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8BBF" w14:textId="33DA7EE0" w:rsidR="00AD7DA6" w:rsidRPr="00AD7DA6" w:rsidRDefault="00AD7DA6" w:rsidP="00AD7DA6">
      <w:pPr>
        <w:spacing w:line="240" w:lineRule="auto"/>
        <w:rPr>
          <w:rFonts w:ascii="Century Schoolbook" w:hAnsi="Century Schoolbook"/>
          <w:sz w:val="20"/>
        </w:rPr>
      </w:pPr>
      <w:bookmarkStart w:id="0" w:name="_GoBack"/>
      <w:bookmarkEnd w:id="0"/>
      <w:r w:rsidRPr="00AD7DA6">
        <w:rPr>
          <w:rFonts w:ascii="Century Schoolbook" w:hAnsi="Century Schoolbook"/>
          <w:sz w:val="20"/>
        </w:rPr>
        <w:t xml:space="preserve">Filed </w:t>
      </w:r>
      <w:r w:rsidR="004D4C46">
        <w:rPr>
          <w:rFonts w:ascii="Century Schoolbook" w:hAnsi="Century Schoolbook"/>
          <w:sz w:val="20"/>
        </w:rPr>
        <w:t>4/24/20</w:t>
      </w:r>
    </w:p>
    <w:p w14:paraId="7B57D710" w14:textId="77777777" w:rsidR="00AD7DA6" w:rsidRPr="00AD7DA6" w:rsidRDefault="00AD7DA6" w:rsidP="00AD7DA6">
      <w:pPr>
        <w:spacing w:line="240" w:lineRule="auto"/>
        <w:jc w:val="center"/>
        <w:rPr>
          <w:rFonts w:ascii="Century Schoolbook" w:hAnsi="Century Schoolbook"/>
        </w:rPr>
      </w:pPr>
      <w:r w:rsidRPr="00AD7DA6">
        <w:rPr>
          <w:rFonts w:ascii="Century Schoolbook" w:hAnsi="Century Schoolbook"/>
        </w:rPr>
        <w:t>CERTIFIED FOR PUBLICATION</w:t>
      </w:r>
    </w:p>
    <w:p w14:paraId="4FF890C1" w14:textId="77777777" w:rsidR="00AD7DA6" w:rsidRPr="00AD7DA6" w:rsidRDefault="00AD7DA6" w:rsidP="00AD7DA6">
      <w:pPr>
        <w:spacing w:line="240" w:lineRule="auto"/>
        <w:jc w:val="center"/>
        <w:rPr>
          <w:rFonts w:ascii="Century Schoolbook" w:hAnsi="Century Schoolbook"/>
        </w:rPr>
      </w:pPr>
    </w:p>
    <w:p w14:paraId="7A13FDD2" w14:textId="73E2698F" w:rsidR="00AE59ED" w:rsidRPr="00AD7DA6" w:rsidRDefault="00514AB4" w:rsidP="00AD7DA6">
      <w:pPr>
        <w:spacing w:line="240" w:lineRule="auto"/>
        <w:jc w:val="center"/>
        <w:rPr>
          <w:rFonts w:ascii="Century Schoolbook" w:hAnsi="Century Schoolbook"/>
        </w:rPr>
      </w:pPr>
      <w:r w:rsidRPr="00AD7DA6">
        <w:rPr>
          <w:rFonts w:ascii="Century Schoolbook" w:hAnsi="Century Schoolbook"/>
        </w:rPr>
        <w:t>IN THE COURT OF APPEAL OF THE STATE OF CALIFORNIA</w:t>
      </w:r>
    </w:p>
    <w:p w14:paraId="6BFD63D0" w14:textId="77777777" w:rsidR="00514AB4" w:rsidRPr="00AD7DA6" w:rsidRDefault="00514AB4" w:rsidP="00514AB4">
      <w:pPr>
        <w:spacing w:line="240" w:lineRule="auto"/>
        <w:jc w:val="center"/>
        <w:rPr>
          <w:rFonts w:ascii="Century Schoolbook" w:hAnsi="Century Schoolbook"/>
        </w:rPr>
      </w:pPr>
    </w:p>
    <w:p w14:paraId="72EB0C95" w14:textId="77777777" w:rsidR="00514AB4" w:rsidRPr="00AD7DA6" w:rsidRDefault="00514AB4" w:rsidP="00514AB4">
      <w:pPr>
        <w:spacing w:line="240" w:lineRule="auto"/>
        <w:jc w:val="center"/>
        <w:rPr>
          <w:rFonts w:ascii="Century Schoolbook" w:hAnsi="Century Schoolbook"/>
        </w:rPr>
      </w:pPr>
      <w:r w:rsidRPr="00AD7DA6">
        <w:rPr>
          <w:rFonts w:ascii="Century Schoolbook" w:hAnsi="Century Schoolbook"/>
        </w:rPr>
        <w:t>FIRST APPELLATE DISTRICT</w:t>
      </w:r>
    </w:p>
    <w:p w14:paraId="3E4EB13B" w14:textId="77777777" w:rsidR="00514AB4" w:rsidRPr="00AD7DA6" w:rsidRDefault="00514AB4" w:rsidP="00514AB4">
      <w:pPr>
        <w:spacing w:line="240" w:lineRule="auto"/>
        <w:jc w:val="center"/>
        <w:rPr>
          <w:rFonts w:ascii="Century Schoolbook" w:hAnsi="Century Schoolbook"/>
        </w:rPr>
      </w:pPr>
    </w:p>
    <w:p w14:paraId="6BF1FD12" w14:textId="77777777" w:rsidR="00514AB4" w:rsidRPr="00AD7DA6" w:rsidRDefault="00514AB4" w:rsidP="00514AB4">
      <w:pPr>
        <w:spacing w:line="240" w:lineRule="auto"/>
        <w:jc w:val="center"/>
        <w:rPr>
          <w:rFonts w:ascii="Century Schoolbook" w:hAnsi="Century Schoolbook"/>
        </w:rPr>
      </w:pPr>
      <w:r w:rsidRPr="00AD7DA6">
        <w:rPr>
          <w:rFonts w:ascii="Century Schoolbook" w:hAnsi="Century Schoolbook"/>
        </w:rPr>
        <w:t>DIVISION ONE</w:t>
      </w:r>
    </w:p>
    <w:p w14:paraId="3D86972C" w14:textId="77777777" w:rsidR="00514AB4" w:rsidRPr="00AD7DA6" w:rsidRDefault="00514AB4" w:rsidP="00514AB4">
      <w:pPr>
        <w:spacing w:line="240" w:lineRule="auto"/>
        <w:jc w:val="center"/>
        <w:rPr>
          <w:rFonts w:ascii="Century Schoolbook" w:hAnsi="Century Schoolbook"/>
        </w:rPr>
      </w:pPr>
    </w:p>
    <w:p w14:paraId="6F6241BB" w14:textId="77777777" w:rsidR="00514AB4" w:rsidRPr="00AD7DA6" w:rsidRDefault="00514AB4" w:rsidP="00514AB4">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514AB4" w:rsidRPr="00AD7DA6" w14:paraId="4F67BC2F" w14:textId="77777777" w:rsidTr="00514AB4">
        <w:tc>
          <w:tcPr>
            <w:tcW w:w="4680" w:type="dxa"/>
            <w:tcBorders>
              <w:bottom w:val="single" w:sz="4" w:space="0" w:color="auto"/>
              <w:right w:val="single" w:sz="4" w:space="0" w:color="auto"/>
            </w:tcBorders>
            <w:shd w:val="clear" w:color="auto" w:fill="auto"/>
          </w:tcPr>
          <w:p w14:paraId="27809F77" w14:textId="77777777" w:rsidR="00514AB4" w:rsidRPr="00AD7DA6" w:rsidRDefault="00514AB4" w:rsidP="00514AB4">
            <w:pPr>
              <w:spacing w:after="120" w:line="240" w:lineRule="auto"/>
              <w:rPr>
                <w:rFonts w:ascii="Century Schoolbook" w:hAnsi="Century Schoolbook"/>
              </w:rPr>
            </w:pPr>
            <w:r w:rsidRPr="00AD7DA6">
              <w:rPr>
                <w:rFonts w:ascii="Century Schoolbook" w:hAnsi="Century Schoolbook"/>
              </w:rPr>
              <w:t>JUSTIN MOORE,</w:t>
            </w:r>
          </w:p>
          <w:p w14:paraId="0C726DE1" w14:textId="77777777" w:rsidR="00514AB4" w:rsidRPr="00AD7DA6" w:rsidRDefault="00514AB4" w:rsidP="00514AB4">
            <w:pPr>
              <w:spacing w:after="120" w:line="240" w:lineRule="auto"/>
              <w:rPr>
                <w:rFonts w:ascii="Century Schoolbook" w:hAnsi="Century Schoolbook"/>
              </w:rPr>
            </w:pPr>
            <w:r w:rsidRPr="00AD7DA6">
              <w:rPr>
                <w:rFonts w:ascii="Century Schoolbook" w:hAnsi="Century Schoolbook"/>
              </w:rPr>
              <w:tab/>
              <w:t>Plaintiff and Respondent,</w:t>
            </w:r>
          </w:p>
          <w:p w14:paraId="1CEDF575" w14:textId="77777777" w:rsidR="00514AB4" w:rsidRPr="00AD7DA6" w:rsidRDefault="00514AB4" w:rsidP="00514AB4">
            <w:pPr>
              <w:spacing w:after="120" w:line="240" w:lineRule="auto"/>
              <w:rPr>
                <w:rFonts w:ascii="Century Schoolbook" w:hAnsi="Century Schoolbook"/>
              </w:rPr>
            </w:pPr>
            <w:r w:rsidRPr="00AD7DA6">
              <w:rPr>
                <w:rFonts w:ascii="Century Schoolbook" w:hAnsi="Century Schoolbook"/>
              </w:rPr>
              <w:t>v.</w:t>
            </w:r>
          </w:p>
          <w:p w14:paraId="6FEE3D20" w14:textId="44563D06" w:rsidR="00514AB4" w:rsidRPr="00AD7DA6" w:rsidRDefault="00514AB4" w:rsidP="00514AB4">
            <w:pPr>
              <w:spacing w:after="120" w:line="240" w:lineRule="auto"/>
              <w:rPr>
                <w:rFonts w:ascii="Century Schoolbook" w:hAnsi="Century Schoolbook"/>
              </w:rPr>
            </w:pPr>
            <w:r w:rsidRPr="00AD7DA6">
              <w:rPr>
                <w:rFonts w:ascii="Century Schoolbook" w:hAnsi="Century Schoolbook"/>
              </w:rPr>
              <w:t>RICHARD BURDEN TEED,</w:t>
            </w:r>
          </w:p>
          <w:p w14:paraId="21ABFA99" w14:textId="4FDAF005" w:rsidR="00514AB4" w:rsidRPr="00AD7DA6" w:rsidRDefault="00514AB4" w:rsidP="00514AB4">
            <w:pPr>
              <w:spacing w:after="120" w:line="240" w:lineRule="auto"/>
              <w:rPr>
                <w:rFonts w:ascii="Century Schoolbook" w:hAnsi="Century Schoolbook"/>
              </w:rPr>
            </w:pPr>
            <w:r w:rsidRPr="00AD7DA6">
              <w:rPr>
                <w:rFonts w:ascii="Century Schoolbook" w:hAnsi="Century Schoolbook"/>
              </w:rPr>
              <w:tab/>
              <w:t>Defendant and Appellant.</w:t>
            </w:r>
          </w:p>
        </w:tc>
        <w:tc>
          <w:tcPr>
            <w:tcW w:w="4680" w:type="dxa"/>
            <w:tcBorders>
              <w:left w:val="single" w:sz="4" w:space="0" w:color="auto"/>
            </w:tcBorders>
            <w:shd w:val="clear" w:color="auto" w:fill="auto"/>
          </w:tcPr>
          <w:p w14:paraId="5DB990BA" w14:textId="77777777" w:rsidR="00514AB4" w:rsidRPr="00AD7DA6" w:rsidRDefault="00514AB4" w:rsidP="00514AB4">
            <w:pPr>
              <w:spacing w:line="240" w:lineRule="auto"/>
              <w:rPr>
                <w:rFonts w:ascii="Century Schoolbook" w:hAnsi="Century Schoolbook"/>
              </w:rPr>
            </w:pPr>
          </w:p>
          <w:p w14:paraId="32F224E9" w14:textId="77777777" w:rsidR="00514AB4" w:rsidRPr="00AD7DA6" w:rsidRDefault="00514AB4" w:rsidP="00514AB4">
            <w:pPr>
              <w:spacing w:line="240" w:lineRule="auto"/>
              <w:rPr>
                <w:rFonts w:ascii="Century Schoolbook" w:hAnsi="Century Schoolbook"/>
              </w:rPr>
            </w:pPr>
          </w:p>
          <w:p w14:paraId="0E7EC35B" w14:textId="77777777" w:rsidR="00514AB4" w:rsidRPr="00AD7DA6" w:rsidRDefault="00514AB4" w:rsidP="00514AB4">
            <w:pPr>
              <w:spacing w:line="240" w:lineRule="auto"/>
              <w:rPr>
                <w:rFonts w:ascii="Century Schoolbook" w:hAnsi="Century Schoolbook"/>
              </w:rPr>
            </w:pPr>
            <w:r w:rsidRPr="00AD7DA6">
              <w:rPr>
                <w:rFonts w:ascii="Century Schoolbook" w:hAnsi="Century Schoolbook"/>
              </w:rPr>
              <w:t xml:space="preserve">      A153523</w:t>
            </w:r>
          </w:p>
          <w:p w14:paraId="30194331" w14:textId="77777777" w:rsidR="00514AB4" w:rsidRPr="00AD7DA6" w:rsidRDefault="00514AB4" w:rsidP="00514AB4">
            <w:pPr>
              <w:spacing w:line="240" w:lineRule="auto"/>
              <w:rPr>
                <w:rFonts w:ascii="Century Schoolbook" w:hAnsi="Century Schoolbook"/>
              </w:rPr>
            </w:pPr>
          </w:p>
          <w:p w14:paraId="54336D11" w14:textId="77777777" w:rsidR="00514AB4" w:rsidRPr="00AD7DA6" w:rsidRDefault="00514AB4" w:rsidP="00514AB4">
            <w:pPr>
              <w:spacing w:line="240" w:lineRule="auto"/>
              <w:rPr>
                <w:rFonts w:ascii="Century Schoolbook" w:hAnsi="Century Schoolbook"/>
              </w:rPr>
            </w:pPr>
            <w:r w:rsidRPr="00AD7DA6">
              <w:rPr>
                <w:rFonts w:ascii="Century Schoolbook" w:hAnsi="Century Schoolbook"/>
              </w:rPr>
              <w:t xml:space="preserve">      (San Francisco County</w:t>
            </w:r>
          </w:p>
          <w:p w14:paraId="53EBFCD7" w14:textId="47E16E53" w:rsidR="00514AB4" w:rsidRPr="00AD7DA6" w:rsidRDefault="00514AB4" w:rsidP="00514AB4">
            <w:pPr>
              <w:spacing w:line="240" w:lineRule="auto"/>
              <w:rPr>
                <w:rFonts w:ascii="Century Schoolbook" w:hAnsi="Century Schoolbook"/>
              </w:rPr>
            </w:pPr>
            <w:r w:rsidRPr="00AD7DA6">
              <w:rPr>
                <w:rFonts w:ascii="Century Schoolbook" w:hAnsi="Century Schoolbook"/>
              </w:rPr>
              <w:t xml:space="preserve">      Super. Ct. No. CGC</w:t>
            </w:r>
            <w:r w:rsidR="009E6526" w:rsidRPr="00AD7DA6">
              <w:rPr>
                <w:rFonts w:ascii="Century Schoolbook" w:hAnsi="Century Schoolbook"/>
              </w:rPr>
              <w:t>-</w:t>
            </w:r>
            <w:r w:rsidRPr="00AD7DA6">
              <w:rPr>
                <w:rFonts w:ascii="Century Schoolbook" w:hAnsi="Century Schoolbook"/>
              </w:rPr>
              <w:t>13</w:t>
            </w:r>
            <w:r w:rsidR="009E6526" w:rsidRPr="00AD7DA6">
              <w:rPr>
                <w:rFonts w:ascii="Century Schoolbook" w:hAnsi="Century Schoolbook"/>
              </w:rPr>
              <w:t>-</w:t>
            </w:r>
            <w:r w:rsidRPr="00AD7DA6">
              <w:rPr>
                <w:rFonts w:ascii="Century Schoolbook" w:hAnsi="Century Schoolbook"/>
              </w:rPr>
              <w:t>533313)</w:t>
            </w:r>
          </w:p>
          <w:p w14:paraId="1F4FB1E1" w14:textId="77777777" w:rsidR="00514AB4" w:rsidRPr="00AD7DA6" w:rsidRDefault="00514AB4" w:rsidP="00514AB4">
            <w:pPr>
              <w:spacing w:line="240" w:lineRule="auto"/>
              <w:rPr>
                <w:rFonts w:ascii="Century Schoolbook" w:hAnsi="Century Schoolbook"/>
              </w:rPr>
            </w:pPr>
          </w:p>
        </w:tc>
      </w:tr>
    </w:tbl>
    <w:p w14:paraId="1CCD2CAC" w14:textId="0ECD0400" w:rsidR="009F12A5" w:rsidRPr="00AD7DA6" w:rsidRDefault="007951F5" w:rsidP="00AD7DA6">
      <w:pPr>
        <w:spacing w:before="360" w:line="360" w:lineRule="auto"/>
        <w:rPr>
          <w:rFonts w:ascii="Century Schoolbook" w:hAnsi="Century Schoolbook"/>
        </w:rPr>
      </w:pPr>
      <w:r w:rsidRPr="00AD7DA6">
        <w:rPr>
          <w:rFonts w:ascii="Century Schoolbook" w:hAnsi="Century Schoolbook"/>
        </w:rPr>
        <w:tab/>
      </w:r>
      <w:r w:rsidR="00347027" w:rsidRPr="00AD7DA6">
        <w:rPr>
          <w:rFonts w:ascii="Century Schoolbook" w:hAnsi="Century Schoolbook"/>
        </w:rPr>
        <w:t xml:space="preserve">This lawsuit arises out of the purchase and </w:t>
      </w:r>
      <w:r w:rsidR="00EA16F3" w:rsidRPr="00AD7DA6">
        <w:rPr>
          <w:rFonts w:ascii="Century Schoolbook" w:hAnsi="Century Schoolbook"/>
        </w:rPr>
        <w:t xml:space="preserve">botched </w:t>
      </w:r>
      <w:r w:rsidR="00347027" w:rsidRPr="00AD7DA6">
        <w:rPr>
          <w:rFonts w:ascii="Century Schoolbook" w:hAnsi="Century Schoolbook"/>
        </w:rPr>
        <w:t xml:space="preserve">remodel of a </w:t>
      </w:r>
      <w:r w:rsidR="00CE4A9F" w:rsidRPr="00AD7DA6">
        <w:rPr>
          <w:rFonts w:ascii="Century Schoolbook" w:hAnsi="Century Schoolbook"/>
        </w:rPr>
        <w:t>fixer</w:t>
      </w:r>
      <w:r w:rsidR="00F56755" w:rsidRPr="00AD7DA6">
        <w:rPr>
          <w:rFonts w:ascii="Century Schoolbook" w:hAnsi="Century Schoolbook"/>
        </w:rPr>
        <w:noBreakHyphen/>
      </w:r>
      <w:r w:rsidR="00CE4A9F" w:rsidRPr="00AD7DA6">
        <w:rPr>
          <w:rFonts w:ascii="Century Schoolbook" w:hAnsi="Century Schoolbook"/>
        </w:rPr>
        <w:t>upper</w:t>
      </w:r>
      <w:r w:rsidR="00347027" w:rsidRPr="00AD7DA6">
        <w:rPr>
          <w:rFonts w:ascii="Century Schoolbook" w:hAnsi="Century Schoolbook"/>
        </w:rPr>
        <w:t xml:space="preserve"> </w:t>
      </w:r>
      <w:r w:rsidR="00CE4A9F" w:rsidRPr="00AD7DA6">
        <w:rPr>
          <w:rFonts w:ascii="Century Schoolbook" w:hAnsi="Century Schoolbook"/>
        </w:rPr>
        <w:t xml:space="preserve">house </w:t>
      </w:r>
      <w:r w:rsidR="00347027" w:rsidRPr="00AD7DA6">
        <w:rPr>
          <w:rFonts w:ascii="Century Schoolbook" w:hAnsi="Century Schoolbook"/>
        </w:rPr>
        <w:t xml:space="preserve">in the Pacific Heights neighborhood </w:t>
      </w:r>
      <w:r w:rsidR="002E70BF" w:rsidRPr="00AD7DA6">
        <w:rPr>
          <w:rFonts w:ascii="Century Schoolbook" w:hAnsi="Century Schoolbook"/>
        </w:rPr>
        <w:t xml:space="preserve">of </w:t>
      </w:r>
      <w:r w:rsidR="00347027" w:rsidRPr="00AD7DA6">
        <w:rPr>
          <w:rFonts w:ascii="Century Schoolbook" w:hAnsi="Century Schoolbook"/>
        </w:rPr>
        <w:t xml:space="preserve">San Francisco.  </w:t>
      </w:r>
      <w:r w:rsidR="005625A3" w:rsidRPr="00AD7DA6">
        <w:rPr>
          <w:rFonts w:ascii="Century Schoolbook" w:hAnsi="Century Schoolbook"/>
        </w:rPr>
        <w:t>Plaintiff Justin Moore alleges he wa</w:t>
      </w:r>
      <w:r w:rsidR="004920A6" w:rsidRPr="00AD7DA6">
        <w:rPr>
          <w:rFonts w:ascii="Century Schoolbook" w:hAnsi="Century Schoolbook"/>
        </w:rPr>
        <w:t xml:space="preserve">s fraudulently induced by his real estate agent Richard Burden Teed to purchase and renovate the property based on </w:t>
      </w:r>
      <w:proofErr w:type="spellStart"/>
      <w:r w:rsidR="004920A6" w:rsidRPr="00AD7DA6">
        <w:rPr>
          <w:rFonts w:ascii="Century Schoolbook" w:hAnsi="Century Schoolbook"/>
        </w:rPr>
        <w:t>Teed’s</w:t>
      </w:r>
      <w:proofErr w:type="spellEnd"/>
      <w:r w:rsidR="004920A6" w:rsidRPr="00AD7DA6">
        <w:rPr>
          <w:rFonts w:ascii="Century Schoolbook" w:hAnsi="Century Schoolbook"/>
        </w:rPr>
        <w:t xml:space="preserve"> assurances that he and his team of experienced contractors could deliver a set of high-end improvements for only $900,000. </w:t>
      </w:r>
      <w:r w:rsidR="00DA0C28" w:rsidRPr="00AD7DA6">
        <w:rPr>
          <w:rFonts w:ascii="Century Schoolbook" w:hAnsi="Century Schoolbook"/>
        </w:rPr>
        <w:t xml:space="preserve"> Moore sued after the installed foundation proved defective and the promised renovations were </w:t>
      </w:r>
      <w:r w:rsidR="004920A6" w:rsidRPr="00AD7DA6">
        <w:rPr>
          <w:rFonts w:ascii="Century Schoolbook" w:hAnsi="Century Schoolbook"/>
        </w:rPr>
        <w:t xml:space="preserve">far more </w:t>
      </w:r>
      <w:r w:rsidR="00DA0C28" w:rsidRPr="00AD7DA6">
        <w:rPr>
          <w:rFonts w:ascii="Century Schoolbook" w:hAnsi="Century Schoolbook"/>
        </w:rPr>
        <w:t>costly</w:t>
      </w:r>
      <w:r w:rsidR="004920A6" w:rsidRPr="00AD7DA6">
        <w:rPr>
          <w:rFonts w:ascii="Century Schoolbook" w:hAnsi="Century Schoolbook"/>
        </w:rPr>
        <w:t xml:space="preserve"> than what Teed had </w:t>
      </w:r>
      <w:proofErr w:type="gramStart"/>
      <w:r w:rsidR="004920A6" w:rsidRPr="00AD7DA6">
        <w:rPr>
          <w:rFonts w:ascii="Century Schoolbook" w:hAnsi="Century Schoolbook"/>
        </w:rPr>
        <w:t>represented</w:t>
      </w:r>
      <w:proofErr w:type="gramEnd"/>
      <w:r w:rsidR="00406745" w:rsidRPr="00AD7DA6">
        <w:rPr>
          <w:rFonts w:ascii="Century Schoolbook" w:hAnsi="Century Schoolbook"/>
        </w:rPr>
        <w:t xml:space="preserve"> they would be</w:t>
      </w:r>
      <w:r w:rsidR="004920A6" w:rsidRPr="00AD7DA6">
        <w:rPr>
          <w:rFonts w:ascii="Century Schoolbook" w:hAnsi="Century Schoolbook"/>
        </w:rPr>
        <w:t xml:space="preserve">.  </w:t>
      </w:r>
      <w:r w:rsidR="00EC3080" w:rsidRPr="00AD7DA6">
        <w:rPr>
          <w:rFonts w:ascii="Century Schoolbook" w:hAnsi="Century Schoolbook"/>
        </w:rPr>
        <w:t xml:space="preserve">The jury returned a verdict in favor of </w:t>
      </w:r>
      <w:r w:rsidR="009F12A5" w:rsidRPr="00AD7DA6">
        <w:rPr>
          <w:rFonts w:ascii="Century Schoolbook" w:hAnsi="Century Schoolbook"/>
        </w:rPr>
        <w:t xml:space="preserve">Moore on his tort claims </w:t>
      </w:r>
      <w:r w:rsidR="00DA0C28" w:rsidRPr="00AD7DA6">
        <w:rPr>
          <w:rFonts w:ascii="Century Schoolbook" w:hAnsi="Century Schoolbook"/>
        </w:rPr>
        <w:t xml:space="preserve">and awarded him </w:t>
      </w:r>
      <w:r w:rsidR="009F12A5" w:rsidRPr="00AD7DA6">
        <w:rPr>
          <w:rFonts w:ascii="Century Schoolbook" w:hAnsi="Century Schoolbook"/>
        </w:rPr>
        <w:t xml:space="preserve">his out-of-pocket expenses for replacing the foundation and </w:t>
      </w:r>
      <w:r w:rsidR="00910D50" w:rsidRPr="00AD7DA6">
        <w:rPr>
          <w:rFonts w:ascii="Century Schoolbook" w:hAnsi="Century Schoolbook"/>
        </w:rPr>
        <w:t xml:space="preserve">benefit-of-the-bargain </w:t>
      </w:r>
      <w:r w:rsidR="00DA0C28" w:rsidRPr="00AD7DA6">
        <w:rPr>
          <w:rFonts w:ascii="Century Schoolbook" w:hAnsi="Century Schoolbook"/>
        </w:rPr>
        <w:t>damages</w:t>
      </w:r>
      <w:r w:rsidR="009F12A5" w:rsidRPr="00AD7DA6">
        <w:rPr>
          <w:rFonts w:ascii="Century Schoolbook" w:hAnsi="Century Schoolbook"/>
        </w:rPr>
        <w:t xml:space="preserve"> for the additional cost he incurred in obtaining the renovations that had been promised to him.  </w:t>
      </w:r>
    </w:p>
    <w:p w14:paraId="7A3AC9AA" w14:textId="2FE8F6BE" w:rsidR="005B2659" w:rsidRPr="00AD7DA6" w:rsidRDefault="009F12A5" w:rsidP="007951F5">
      <w:pPr>
        <w:spacing w:line="360" w:lineRule="auto"/>
        <w:rPr>
          <w:rFonts w:ascii="Century Schoolbook" w:hAnsi="Century Schoolbook"/>
        </w:rPr>
      </w:pPr>
      <w:r w:rsidRPr="00AD7DA6">
        <w:rPr>
          <w:rFonts w:ascii="Century Schoolbook" w:hAnsi="Century Schoolbook"/>
        </w:rPr>
        <w:tab/>
      </w:r>
      <w:r w:rsidR="003648BF" w:rsidRPr="00AD7DA6">
        <w:rPr>
          <w:rFonts w:ascii="Century Schoolbook" w:hAnsi="Century Schoolbook"/>
        </w:rPr>
        <w:t xml:space="preserve">Conceding liability, </w:t>
      </w:r>
      <w:r w:rsidR="007951F5" w:rsidRPr="00AD7DA6">
        <w:rPr>
          <w:rFonts w:ascii="Century Schoolbook" w:hAnsi="Century Schoolbook"/>
        </w:rPr>
        <w:t xml:space="preserve">Teed </w:t>
      </w:r>
      <w:r w:rsidR="00310CB6" w:rsidRPr="00AD7DA6">
        <w:rPr>
          <w:rFonts w:ascii="Century Schoolbook" w:hAnsi="Century Schoolbook"/>
        </w:rPr>
        <w:t xml:space="preserve">challenges the award of </w:t>
      </w:r>
      <w:r w:rsidR="00DD2BA0" w:rsidRPr="00AD7DA6">
        <w:rPr>
          <w:rFonts w:ascii="Century Schoolbook" w:hAnsi="Century Schoolbook"/>
        </w:rPr>
        <w:t xml:space="preserve">benefit-of-the-bargain </w:t>
      </w:r>
      <w:r w:rsidR="00310CB6" w:rsidRPr="00AD7DA6">
        <w:rPr>
          <w:rFonts w:ascii="Century Schoolbook" w:hAnsi="Century Schoolbook"/>
        </w:rPr>
        <w:t>damages</w:t>
      </w:r>
      <w:r w:rsidR="007951F5" w:rsidRPr="00AD7DA6">
        <w:rPr>
          <w:rFonts w:ascii="Century Schoolbook" w:hAnsi="Century Schoolbook"/>
        </w:rPr>
        <w:t xml:space="preserve"> and </w:t>
      </w:r>
      <w:r w:rsidR="00DD2BA0" w:rsidRPr="00AD7DA6">
        <w:rPr>
          <w:rFonts w:ascii="Century Schoolbook" w:hAnsi="Century Schoolbook"/>
        </w:rPr>
        <w:t xml:space="preserve">statutory </w:t>
      </w:r>
      <w:r w:rsidR="007951F5" w:rsidRPr="00AD7DA6">
        <w:rPr>
          <w:rFonts w:ascii="Century Schoolbook" w:hAnsi="Century Schoolbook"/>
        </w:rPr>
        <w:t>attorney fees</w:t>
      </w:r>
      <w:r w:rsidR="0010237C" w:rsidRPr="00AD7DA6">
        <w:rPr>
          <w:rFonts w:ascii="Century Schoolbook" w:hAnsi="Century Schoolbook"/>
        </w:rPr>
        <w:t xml:space="preserve"> on various grounds</w:t>
      </w:r>
      <w:r w:rsidRPr="00AD7DA6">
        <w:rPr>
          <w:rFonts w:ascii="Century Schoolbook" w:hAnsi="Century Schoolbook"/>
        </w:rPr>
        <w:t>.</w:t>
      </w:r>
      <w:r w:rsidR="00A52EE3" w:rsidRPr="00AD7DA6">
        <w:rPr>
          <w:rFonts w:ascii="Century Schoolbook" w:hAnsi="Century Schoolbook"/>
        </w:rPr>
        <w:t xml:space="preserve"> </w:t>
      </w:r>
      <w:r w:rsidR="007951F5" w:rsidRPr="00AD7DA6">
        <w:rPr>
          <w:rFonts w:ascii="Century Schoolbook" w:hAnsi="Century Schoolbook"/>
        </w:rPr>
        <w:t xml:space="preserve"> </w:t>
      </w:r>
      <w:r w:rsidR="00910D50" w:rsidRPr="00AD7DA6">
        <w:rPr>
          <w:rFonts w:ascii="Century Schoolbook" w:hAnsi="Century Schoolbook"/>
        </w:rPr>
        <w:t>C</w:t>
      </w:r>
      <w:r w:rsidR="0010237C" w:rsidRPr="00AD7DA6">
        <w:rPr>
          <w:rFonts w:ascii="Century Schoolbook" w:hAnsi="Century Schoolbook"/>
        </w:rPr>
        <w:t xml:space="preserve">ourts of </w:t>
      </w:r>
      <w:r w:rsidR="001F02DC">
        <w:rPr>
          <w:rFonts w:ascii="Century Schoolbook" w:hAnsi="Century Schoolbook"/>
        </w:rPr>
        <w:t>A</w:t>
      </w:r>
      <w:r w:rsidR="0010237C" w:rsidRPr="00AD7DA6">
        <w:rPr>
          <w:rFonts w:ascii="Century Schoolbook" w:hAnsi="Century Schoolbook"/>
        </w:rPr>
        <w:t xml:space="preserve">ppeal are divided over the question whether benefit-of-the-bargain damages </w:t>
      </w:r>
      <w:r w:rsidR="00D87215" w:rsidRPr="00AD7DA6">
        <w:rPr>
          <w:rFonts w:ascii="Century Schoolbook" w:hAnsi="Century Schoolbook"/>
        </w:rPr>
        <w:t>may be recovered</w:t>
      </w:r>
      <w:r w:rsidR="0010237C" w:rsidRPr="00AD7DA6">
        <w:rPr>
          <w:rFonts w:ascii="Century Schoolbook" w:hAnsi="Century Schoolbook"/>
        </w:rPr>
        <w:t xml:space="preserve"> in </w:t>
      </w:r>
      <w:r w:rsidR="00D87215" w:rsidRPr="00AD7DA6">
        <w:rPr>
          <w:rFonts w:ascii="Century Schoolbook" w:hAnsi="Century Schoolbook"/>
        </w:rPr>
        <w:t xml:space="preserve">fraud claims involving </w:t>
      </w:r>
      <w:r w:rsidR="00910D50" w:rsidRPr="00AD7DA6">
        <w:rPr>
          <w:rFonts w:ascii="Century Schoolbook" w:hAnsi="Century Schoolbook"/>
        </w:rPr>
        <w:t xml:space="preserve">real property transactions where </w:t>
      </w:r>
      <w:r w:rsidR="00D87215" w:rsidRPr="00AD7DA6">
        <w:rPr>
          <w:rFonts w:ascii="Century Schoolbook" w:hAnsi="Century Schoolbook"/>
        </w:rPr>
        <w:t xml:space="preserve">the </w:t>
      </w:r>
      <w:r w:rsidR="00910D50" w:rsidRPr="00AD7DA6">
        <w:rPr>
          <w:rFonts w:ascii="Century Schoolbook" w:hAnsi="Century Schoolbook"/>
        </w:rPr>
        <w:lastRenderedPageBreak/>
        <w:t xml:space="preserve">fraud </w:t>
      </w:r>
      <w:r w:rsidR="0010237C" w:rsidRPr="00AD7DA6">
        <w:rPr>
          <w:rFonts w:ascii="Century Schoolbook" w:hAnsi="Century Schoolbook"/>
        </w:rPr>
        <w:t xml:space="preserve">is perpetrated by </w:t>
      </w:r>
      <w:r w:rsidR="00D87215" w:rsidRPr="00AD7DA6">
        <w:rPr>
          <w:rFonts w:ascii="Century Schoolbook" w:hAnsi="Century Schoolbook"/>
        </w:rPr>
        <w:t>a</w:t>
      </w:r>
      <w:r w:rsidR="00910D50" w:rsidRPr="00AD7DA6">
        <w:rPr>
          <w:rFonts w:ascii="Century Schoolbook" w:hAnsi="Century Schoolbook"/>
        </w:rPr>
        <w:t xml:space="preserve"> </w:t>
      </w:r>
      <w:r w:rsidR="0010237C" w:rsidRPr="00AD7DA6">
        <w:rPr>
          <w:rFonts w:ascii="Century Schoolbook" w:hAnsi="Century Schoolbook"/>
        </w:rPr>
        <w:t>fiduciary</w:t>
      </w:r>
      <w:r w:rsidR="002272C6" w:rsidRPr="00AD7DA6">
        <w:rPr>
          <w:rFonts w:ascii="Century Schoolbook" w:hAnsi="Century Schoolbook"/>
        </w:rPr>
        <w:t>.</w:t>
      </w:r>
      <w:r w:rsidR="005B2659" w:rsidRPr="00AD7DA6">
        <w:rPr>
          <w:rFonts w:ascii="Century Schoolbook" w:hAnsi="Century Schoolbook"/>
        </w:rPr>
        <w:t xml:space="preserve"> </w:t>
      </w:r>
      <w:r w:rsidR="00910D50" w:rsidRPr="00AD7DA6">
        <w:rPr>
          <w:rFonts w:ascii="Century Schoolbook" w:hAnsi="Century Schoolbook"/>
        </w:rPr>
        <w:t xml:space="preserve"> </w:t>
      </w:r>
      <w:r w:rsidR="002272C6" w:rsidRPr="00AD7DA6">
        <w:rPr>
          <w:rFonts w:ascii="Century Schoolbook" w:hAnsi="Century Schoolbook"/>
        </w:rPr>
        <w:t>We</w:t>
      </w:r>
      <w:r w:rsidR="005B2659" w:rsidRPr="00AD7DA6">
        <w:rPr>
          <w:rFonts w:ascii="Century Schoolbook" w:hAnsi="Century Schoolbook"/>
        </w:rPr>
        <w:t xml:space="preserve"> are persuaded by </w:t>
      </w:r>
      <w:r w:rsidR="00910D50" w:rsidRPr="00AD7DA6">
        <w:rPr>
          <w:rFonts w:ascii="Century Schoolbook" w:hAnsi="Century Schoolbook"/>
        </w:rPr>
        <w:t xml:space="preserve">those authorities </w:t>
      </w:r>
      <w:r w:rsidR="005B2659" w:rsidRPr="00AD7DA6">
        <w:rPr>
          <w:rFonts w:ascii="Century Schoolbook" w:hAnsi="Century Schoolbook"/>
        </w:rPr>
        <w:t xml:space="preserve">which have concluded that </w:t>
      </w:r>
      <w:r w:rsidR="0010237C" w:rsidRPr="00AD7DA6">
        <w:rPr>
          <w:rFonts w:ascii="Century Schoolbook" w:hAnsi="Century Schoolbook"/>
        </w:rPr>
        <w:t xml:space="preserve">benefit-of-the-bargain damages </w:t>
      </w:r>
      <w:r w:rsidR="00910D50" w:rsidRPr="00AD7DA6">
        <w:rPr>
          <w:rFonts w:ascii="Century Schoolbook" w:hAnsi="Century Schoolbook"/>
        </w:rPr>
        <w:t xml:space="preserve">are </w:t>
      </w:r>
      <w:r w:rsidR="00D87215" w:rsidRPr="00AD7DA6">
        <w:rPr>
          <w:rFonts w:ascii="Century Schoolbook" w:hAnsi="Century Schoolbook"/>
        </w:rPr>
        <w:t>available</w:t>
      </w:r>
      <w:r w:rsidR="00910D50" w:rsidRPr="00AD7DA6">
        <w:rPr>
          <w:rFonts w:ascii="Century Schoolbook" w:hAnsi="Century Schoolbook"/>
        </w:rPr>
        <w:t xml:space="preserve"> </w:t>
      </w:r>
      <w:r w:rsidR="00D87215" w:rsidRPr="00AD7DA6">
        <w:rPr>
          <w:rFonts w:ascii="Century Schoolbook" w:hAnsi="Century Schoolbook"/>
        </w:rPr>
        <w:t xml:space="preserve">to </w:t>
      </w:r>
      <w:r w:rsidR="00052B42" w:rsidRPr="00AD7DA6">
        <w:rPr>
          <w:rFonts w:ascii="Century Schoolbook" w:hAnsi="Century Schoolbook"/>
        </w:rPr>
        <w:t xml:space="preserve">fully </w:t>
      </w:r>
      <w:r w:rsidR="00D87215" w:rsidRPr="00AD7DA6">
        <w:rPr>
          <w:rFonts w:ascii="Century Schoolbook" w:hAnsi="Century Schoolbook"/>
        </w:rPr>
        <w:t>compensate a plaintiff for all the detriment proximately caused by a fraudulent fiduciary</w:t>
      </w:r>
      <w:r w:rsidR="008E0595" w:rsidRPr="00AD7DA6">
        <w:rPr>
          <w:rFonts w:ascii="Century Schoolbook" w:hAnsi="Century Schoolbook"/>
        </w:rPr>
        <w:t>’s actions</w:t>
      </w:r>
      <w:r w:rsidR="00D87215" w:rsidRPr="00AD7DA6">
        <w:rPr>
          <w:rFonts w:ascii="Century Schoolbook" w:hAnsi="Century Schoolbook"/>
        </w:rPr>
        <w:t xml:space="preserve">.  We also conclude that the jury </w:t>
      </w:r>
      <w:r w:rsidR="00052B42" w:rsidRPr="00AD7DA6">
        <w:rPr>
          <w:rFonts w:ascii="Century Schoolbook" w:hAnsi="Century Schoolbook"/>
        </w:rPr>
        <w:t xml:space="preserve">properly awarded statutory attorney </w:t>
      </w:r>
      <w:r w:rsidR="00D87215" w:rsidRPr="00AD7DA6">
        <w:rPr>
          <w:rFonts w:ascii="Century Schoolbook" w:hAnsi="Century Schoolbook"/>
        </w:rPr>
        <w:t xml:space="preserve">fees and costs.  </w:t>
      </w:r>
      <w:r w:rsidR="005B2659" w:rsidRPr="00AD7DA6">
        <w:rPr>
          <w:rFonts w:ascii="Century Schoolbook" w:hAnsi="Century Schoolbook"/>
        </w:rPr>
        <w:t xml:space="preserve">Accordingly, we affirm the judgment below.  </w:t>
      </w:r>
    </w:p>
    <w:p w14:paraId="2F830F74" w14:textId="493CBF39" w:rsidR="00383EC6" w:rsidRPr="00AD7DA6" w:rsidRDefault="00475D88" w:rsidP="008E2507">
      <w:pPr>
        <w:spacing w:line="360" w:lineRule="auto"/>
        <w:jc w:val="center"/>
        <w:rPr>
          <w:rFonts w:ascii="Century Schoolbook" w:hAnsi="Century Schoolbook"/>
        </w:rPr>
      </w:pPr>
      <w:r w:rsidRPr="00E663F0">
        <w:rPr>
          <w:rFonts w:ascii="Century Schoolbook" w:hAnsi="Century Schoolbook"/>
          <w:b/>
          <w:bCs/>
        </w:rPr>
        <w:t>FACTUAL AND PROCEDURAL BACKGROUND</w:t>
      </w:r>
      <w:r w:rsidR="008134C0" w:rsidRPr="00AD7DA6">
        <w:rPr>
          <w:rStyle w:val="FootnoteReference"/>
          <w:rFonts w:ascii="Century Schoolbook" w:hAnsi="Century Schoolbook"/>
        </w:rPr>
        <w:footnoteReference w:id="1"/>
      </w:r>
    </w:p>
    <w:p w14:paraId="58CC6B28" w14:textId="5BE94F98" w:rsidR="00744128" w:rsidRPr="00716AAC" w:rsidRDefault="00F67028" w:rsidP="00716AAC">
      <w:pPr>
        <w:pStyle w:val="ListParagraph"/>
        <w:numPr>
          <w:ilvl w:val="0"/>
          <w:numId w:val="5"/>
        </w:numPr>
        <w:spacing w:line="360" w:lineRule="auto"/>
        <w:ind w:hanging="720"/>
        <w:rPr>
          <w:rFonts w:ascii="Century Schoolbook" w:hAnsi="Century Schoolbook"/>
          <w:b/>
          <w:bCs/>
          <w:i/>
        </w:rPr>
      </w:pPr>
      <w:r w:rsidRPr="00716AAC">
        <w:rPr>
          <w:rFonts w:ascii="Century Schoolbook" w:hAnsi="Century Schoolbook"/>
          <w:b/>
          <w:bCs/>
          <w:i/>
        </w:rPr>
        <w:t>Background</w:t>
      </w:r>
    </w:p>
    <w:p w14:paraId="367F94CF" w14:textId="2B521CCE" w:rsidR="007951F5" w:rsidRPr="00AD7DA6" w:rsidRDefault="00475D88" w:rsidP="00514AB4">
      <w:pPr>
        <w:spacing w:line="360" w:lineRule="auto"/>
        <w:rPr>
          <w:rFonts w:ascii="Century Schoolbook" w:hAnsi="Century Schoolbook"/>
        </w:rPr>
      </w:pPr>
      <w:r w:rsidRPr="00AD7DA6">
        <w:rPr>
          <w:rFonts w:ascii="Century Schoolbook" w:hAnsi="Century Schoolbook"/>
        </w:rPr>
        <w:tab/>
      </w:r>
      <w:r w:rsidR="00DE49F3" w:rsidRPr="00AD7DA6">
        <w:rPr>
          <w:rFonts w:ascii="Century Schoolbook" w:hAnsi="Century Schoolbook"/>
        </w:rPr>
        <w:t>Moor</w:t>
      </w:r>
      <w:r w:rsidR="007951F5" w:rsidRPr="00AD7DA6">
        <w:rPr>
          <w:rFonts w:ascii="Century Schoolbook" w:hAnsi="Century Schoolbook"/>
        </w:rPr>
        <w:t>e</w:t>
      </w:r>
      <w:r w:rsidR="00DE49F3" w:rsidRPr="00AD7DA6">
        <w:rPr>
          <w:rFonts w:ascii="Century Schoolbook" w:hAnsi="Century Schoolbook"/>
        </w:rPr>
        <w:t xml:space="preserve"> </w:t>
      </w:r>
      <w:r w:rsidR="00CE4A9F" w:rsidRPr="00AD7DA6">
        <w:rPr>
          <w:rFonts w:ascii="Century Schoolbook" w:hAnsi="Century Schoolbook"/>
        </w:rPr>
        <w:t>decided to buy</w:t>
      </w:r>
      <w:r w:rsidR="00DE49F3" w:rsidRPr="00AD7DA6">
        <w:rPr>
          <w:rFonts w:ascii="Century Schoolbook" w:hAnsi="Century Schoolbook"/>
        </w:rPr>
        <w:t xml:space="preserve"> a </w:t>
      </w:r>
      <w:r w:rsidR="00CE4A9F" w:rsidRPr="00AD7DA6">
        <w:rPr>
          <w:rFonts w:ascii="Century Schoolbook" w:hAnsi="Century Schoolbook"/>
        </w:rPr>
        <w:t xml:space="preserve">house </w:t>
      </w:r>
      <w:r w:rsidR="00DE49F3" w:rsidRPr="00AD7DA6">
        <w:rPr>
          <w:rFonts w:ascii="Century Schoolbook" w:hAnsi="Century Schoolbook"/>
        </w:rPr>
        <w:t>in San Francisco</w:t>
      </w:r>
      <w:r w:rsidR="000938FA" w:rsidRPr="00AD7DA6">
        <w:rPr>
          <w:rFonts w:ascii="Century Schoolbook" w:hAnsi="Century Schoolbook"/>
        </w:rPr>
        <w:t xml:space="preserve"> but found </w:t>
      </w:r>
      <w:r w:rsidR="00A358A1" w:rsidRPr="00AD7DA6">
        <w:rPr>
          <w:rFonts w:ascii="Century Schoolbook" w:hAnsi="Century Schoolbook"/>
        </w:rPr>
        <w:t xml:space="preserve">he could not afford </w:t>
      </w:r>
      <w:r w:rsidR="00461CA1" w:rsidRPr="00AD7DA6">
        <w:rPr>
          <w:rFonts w:ascii="Century Schoolbook" w:hAnsi="Century Schoolbook"/>
        </w:rPr>
        <w:t xml:space="preserve">one in </w:t>
      </w:r>
      <w:r w:rsidR="006F712B" w:rsidRPr="00AD7DA6">
        <w:rPr>
          <w:rFonts w:ascii="Century Schoolbook" w:hAnsi="Century Schoolbook"/>
        </w:rPr>
        <w:t xml:space="preserve">the neighborhoods he preferred. </w:t>
      </w:r>
      <w:r w:rsidR="00DE49F3" w:rsidRPr="00AD7DA6">
        <w:rPr>
          <w:rFonts w:ascii="Century Schoolbook" w:hAnsi="Century Schoolbook"/>
        </w:rPr>
        <w:t xml:space="preserve"> </w:t>
      </w:r>
      <w:r w:rsidR="00AA3AD6" w:rsidRPr="00AD7DA6">
        <w:rPr>
          <w:rFonts w:ascii="Century Schoolbook" w:hAnsi="Century Schoolbook"/>
        </w:rPr>
        <w:t xml:space="preserve">In 2011, Moore met </w:t>
      </w:r>
      <w:r w:rsidR="007951F5" w:rsidRPr="00AD7DA6">
        <w:rPr>
          <w:rFonts w:ascii="Century Schoolbook" w:hAnsi="Century Schoolbook"/>
        </w:rPr>
        <w:t>Teed</w:t>
      </w:r>
      <w:r w:rsidR="00AA3AD6" w:rsidRPr="00AD7DA6">
        <w:rPr>
          <w:rFonts w:ascii="Century Schoolbook" w:hAnsi="Century Schoolbook"/>
        </w:rPr>
        <w:t>, who</w:t>
      </w:r>
      <w:r w:rsidR="007951F5" w:rsidRPr="00AD7DA6">
        <w:rPr>
          <w:rFonts w:ascii="Century Schoolbook" w:hAnsi="Century Schoolbook"/>
        </w:rPr>
        <w:t xml:space="preserve"> promoted himself </w:t>
      </w:r>
      <w:r w:rsidR="00AA3AD6" w:rsidRPr="00AD7DA6">
        <w:rPr>
          <w:rFonts w:ascii="Century Schoolbook" w:hAnsi="Century Schoolbook"/>
        </w:rPr>
        <w:t xml:space="preserve">on the </w:t>
      </w:r>
      <w:r w:rsidR="008134C0" w:rsidRPr="00AD7DA6">
        <w:rPr>
          <w:rFonts w:ascii="Century Schoolbook" w:hAnsi="Century Schoolbook"/>
        </w:rPr>
        <w:t>I</w:t>
      </w:r>
      <w:r w:rsidR="00AA3AD6" w:rsidRPr="00AD7DA6">
        <w:rPr>
          <w:rFonts w:ascii="Century Schoolbook" w:hAnsi="Century Schoolbook"/>
        </w:rPr>
        <w:t xml:space="preserve">nternet </w:t>
      </w:r>
      <w:r w:rsidR="007951F5" w:rsidRPr="00AD7DA6">
        <w:rPr>
          <w:rFonts w:ascii="Century Schoolbook" w:hAnsi="Century Schoolbook"/>
        </w:rPr>
        <w:t xml:space="preserve">as a real estate agent with </w:t>
      </w:r>
      <w:r w:rsidR="004A2F70" w:rsidRPr="00AD7DA6">
        <w:rPr>
          <w:rFonts w:ascii="Century Schoolbook" w:hAnsi="Century Schoolbook"/>
        </w:rPr>
        <w:t>“</w:t>
      </w:r>
      <w:r w:rsidR="007951F5" w:rsidRPr="00AD7DA6">
        <w:rPr>
          <w:rFonts w:ascii="Century Schoolbook" w:hAnsi="Century Schoolbook"/>
        </w:rPr>
        <w:t>over 25 years of experience as a building contractor</w:t>
      </w:r>
      <w:r w:rsidR="004A2F70" w:rsidRPr="00AD7DA6">
        <w:rPr>
          <w:rFonts w:ascii="Century Schoolbook" w:hAnsi="Century Schoolbook"/>
        </w:rPr>
        <w:t>”</w:t>
      </w:r>
      <w:r w:rsidR="00ED78A4" w:rsidRPr="00AD7DA6">
        <w:rPr>
          <w:rFonts w:ascii="Century Schoolbook" w:hAnsi="Century Schoolbook"/>
        </w:rPr>
        <w:t xml:space="preserve"> with </w:t>
      </w:r>
      <w:r w:rsidR="004A2F70" w:rsidRPr="00AD7DA6">
        <w:rPr>
          <w:rFonts w:ascii="Century Schoolbook" w:hAnsi="Century Schoolbook"/>
        </w:rPr>
        <w:t>“</w:t>
      </w:r>
      <w:r w:rsidR="007951F5" w:rsidRPr="00AD7DA6">
        <w:rPr>
          <w:rFonts w:ascii="Century Schoolbook" w:hAnsi="Century Schoolbook"/>
        </w:rPr>
        <w:t>an extensive background in historic restorations</w:t>
      </w:r>
      <w:r w:rsidR="004A2F70" w:rsidRPr="00AD7DA6">
        <w:rPr>
          <w:rFonts w:ascii="Century Schoolbook" w:hAnsi="Century Schoolbook"/>
        </w:rPr>
        <w:t>”</w:t>
      </w:r>
      <w:r w:rsidR="007951F5" w:rsidRPr="00AD7DA6">
        <w:rPr>
          <w:rFonts w:ascii="Century Schoolbook" w:hAnsi="Century Schoolbook"/>
        </w:rPr>
        <w:t xml:space="preserve"> and </w:t>
      </w:r>
      <w:r w:rsidR="004A2F70" w:rsidRPr="00AD7DA6">
        <w:rPr>
          <w:rFonts w:ascii="Century Schoolbook" w:hAnsi="Century Schoolbook"/>
        </w:rPr>
        <w:t>“</w:t>
      </w:r>
      <w:r w:rsidR="00CE4A9F" w:rsidRPr="00AD7DA6">
        <w:rPr>
          <w:rFonts w:ascii="Century Schoolbook" w:hAnsi="Century Schoolbook"/>
        </w:rPr>
        <w:t xml:space="preserve">a deep understanding of </w:t>
      </w:r>
      <w:r w:rsidR="007951F5" w:rsidRPr="00AD7DA6">
        <w:rPr>
          <w:rFonts w:ascii="Century Schoolbook" w:hAnsi="Century Schoolbook"/>
        </w:rPr>
        <w:t>quality construction.</w:t>
      </w:r>
      <w:r w:rsidR="004A2F70" w:rsidRPr="00AD7DA6">
        <w:rPr>
          <w:rFonts w:ascii="Century Schoolbook" w:hAnsi="Century Schoolbook"/>
        </w:rPr>
        <w:t>”</w:t>
      </w:r>
      <w:r w:rsidR="007951F5" w:rsidRPr="00AD7DA6">
        <w:rPr>
          <w:rFonts w:ascii="Century Schoolbook" w:hAnsi="Century Schoolbook"/>
        </w:rPr>
        <w:t xml:space="preserve">  </w:t>
      </w:r>
      <w:r w:rsidR="00C47F95" w:rsidRPr="00AD7DA6">
        <w:rPr>
          <w:rFonts w:ascii="Century Schoolbook" w:hAnsi="Century Schoolbook"/>
        </w:rPr>
        <w:t xml:space="preserve">Teed </w:t>
      </w:r>
      <w:r w:rsidR="007951F5" w:rsidRPr="00AD7DA6">
        <w:rPr>
          <w:rFonts w:ascii="Century Schoolbook" w:hAnsi="Century Schoolbook"/>
        </w:rPr>
        <w:t xml:space="preserve">told Moore </w:t>
      </w:r>
      <w:r w:rsidR="00AA3AD6" w:rsidRPr="00AD7DA6">
        <w:rPr>
          <w:rFonts w:ascii="Century Schoolbook" w:hAnsi="Century Schoolbook"/>
        </w:rPr>
        <w:t xml:space="preserve">that </w:t>
      </w:r>
      <w:r w:rsidR="007951F5" w:rsidRPr="00AD7DA6">
        <w:rPr>
          <w:rFonts w:ascii="Century Schoolbook" w:hAnsi="Century Schoolbook"/>
        </w:rPr>
        <w:t xml:space="preserve">he </w:t>
      </w:r>
      <w:r w:rsidR="00AA3AD6" w:rsidRPr="00AD7DA6">
        <w:rPr>
          <w:rFonts w:ascii="Century Schoolbook" w:hAnsi="Century Schoolbook"/>
        </w:rPr>
        <w:t xml:space="preserve">could </w:t>
      </w:r>
      <w:r w:rsidR="00E726CA" w:rsidRPr="00AD7DA6">
        <w:rPr>
          <w:rFonts w:ascii="Century Schoolbook" w:hAnsi="Century Schoolbook"/>
        </w:rPr>
        <w:t xml:space="preserve">locate </w:t>
      </w:r>
      <w:r w:rsidR="00AA3AD6" w:rsidRPr="00AD7DA6">
        <w:rPr>
          <w:rFonts w:ascii="Century Schoolbook" w:hAnsi="Century Schoolbook"/>
        </w:rPr>
        <w:t>a lower-priced</w:t>
      </w:r>
      <w:r w:rsidR="007951F5" w:rsidRPr="00AD7DA6">
        <w:rPr>
          <w:rFonts w:ascii="Century Schoolbook" w:hAnsi="Century Schoolbook"/>
        </w:rPr>
        <w:t xml:space="preserve"> fixer</w:t>
      </w:r>
      <w:r w:rsidR="00CE4A9F" w:rsidRPr="00AD7DA6">
        <w:rPr>
          <w:rFonts w:ascii="Century Schoolbook" w:hAnsi="Century Schoolbook"/>
        </w:rPr>
        <w:t>-</w:t>
      </w:r>
      <w:r w:rsidR="00AA3AD6" w:rsidRPr="00AD7DA6">
        <w:rPr>
          <w:rFonts w:ascii="Century Schoolbook" w:hAnsi="Century Schoolbook"/>
        </w:rPr>
        <w:t xml:space="preserve">upper </w:t>
      </w:r>
      <w:r w:rsidR="004F6A06" w:rsidRPr="00AD7DA6">
        <w:rPr>
          <w:rFonts w:ascii="Century Schoolbook" w:hAnsi="Century Schoolbook"/>
        </w:rPr>
        <w:t xml:space="preserve">home </w:t>
      </w:r>
      <w:r w:rsidR="00CE4A9F" w:rsidRPr="00AD7DA6">
        <w:rPr>
          <w:rFonts w:ascii="Century Schoolbook" w:hAnsi="Century Schoolbook"/>
        </w:rPr>
        <w:t xml:space="preserve">in a choice neighborhood </w:t>
      </w:r>
      <w:r w:rsidR="00AA3AD6" w:rsidRPr="00AD7DA6">
        <w:rPr>
          <w:rFonts w:ascii="Century Schoolbook" w:hAnsi="Century Schoolbook"/>
        </w:rPr>
        <w:t>and then renovate it</w:t>
      </w:r>
      <w:r w:rsidR="00442D84" w:rsidRPr="00AD7DA6">
        <w:rPr>
          <w:rFonts w:ascii="Century Schoolbook" w:hAnsi="Century Schoolbook"/>
        </w:rPr>
        <w:t xml:space="preserve"> </w:t>
      </w:r>
      <w:r w:rsidR="00EA16F3" w:rsidRPr="00AD7DA6">
        <w:rPr>
          <w:rFonts w:ascii="Century Schoolbook" w:hAnsi="Century Schoolbook"/>
        </w:rPr>
        <w:t>in a cost-effective manner</w:t>
      </w:r>
      <w:r w:rsidR="007951F5" w:rsidRPr="00AD7DA6">
        <w:rPr>
          <w:rFonts w:ascii="Century Schoolbook" w:hAnsi="Century Schoolbook"/>
        </w:rPr>
        <w:t xml:space="preserve">. </w:t>
      </w:r>
      <w:r w:rsidR="00C47F95" w:rsidRPr="00AD7DA6">
        <w:rPr>
          <w:rFonts w:ascii="Century Schoolbook" w:hAnsi="Century Schoolbook"/>
        </w:rPr>
        <w:t xml:space="preserve"> </w:t>
      </w:r>
      <w:r w:rsidR="003E7F37" w:rsidRPr="00AD7DA6">
        <w:rPr>
          <w:rFonts w:ascii="Century Schoolbook" w:hAnsi="Century Schoolbook"/>
        </w:rPr>
        <w:t xml:space="preserve">Based on his interactions with Teed and his exposure to </w:t>
      </w:r>
      <w:proofErr w:type="spellStart"/>
      <w:r w:rsidR="003E7F37" w:rsidRPr="00AD7DA6">
        <w:rPr>
          <w:rFonts w:ascii="Century Schoolbook" w:hAnsi="Century Schoolbook"/>
        </w:rPr>
        <w:t>Teed’s</w:t>
      </w:r>
      <w:proofErr w:type="spellEnd"/>
      <w:r w:rsidR="003E7F37" w:rsidRPr="00AD7DA6">
        <w:rPr>
          <w:rFonts w:ascii="Century Schoolbook" w:hAnsi="Century Schoolbook"/>
        </w:rPr>
        <w:t xml:space="preserve"> promotional materials, Moore believed </w:t>
      </w:r>
      <w:r w:rsidR="00BC67DA" w:rsidRPr="00AD7DA6">
        <w:rPr>
          <w:rFonts w:ascii="Century Schoolbook" w:hAnsi="Century Schoolbook"/>
        </w:rPr>
        <w:t xml:space="preserve">that </w:t>
      </w:r>
      <w:r w:rsidR="003E7F37" w:rsidRPr="00AD7DA6">
        <w:rPr>
          <w:rFonts w:ascii="Century Schoolbook" w:hAnsi="Century Schoolbook"/>
        </w:rPr>
        <w:t xml:space="preserve">Teed was a </w:t>
      </w:r>
      <w:r w:rsidR="00B83828" w:rsidRPr="00AD7DA6">
        <w:rPr>
          <w:rFonts w:ascii="Century Schoolbook" w:hAnsi="Century Schoolbook"/>
        </w:rPr>
        <w:t xml:space="preserve">general </w:t>
      </w:r>
      <w:r w:rsidR="003E7F37" w:rsidRPr="00AD7DA6">
        <w:rPr>
          <w:rFonts w:ascii="Century Schoolbook" w:hAnsi="Century Schoolbook"/>
        </w:rPr>
        <w:t xml:space="preserve">contractor.  </w:t>
      </w:r>
      <w:r w:rsidR="00CE4A9F" w:rsidRPr="00AD7DA6">
        <w:rPr>
          <w:rFonts w:ascii="Century Schoolbook" w:hAnsi="Century Schoolbook"/>
        </w:rPr>
        <w:t xml:space="preserve">Both Moore and Moore’s father toured several examples of homes that Teed had renovated and were impressed with </w:t>
      </w:r>
      <w:proofErr w:type="spellStart"/>
      <w:r w:rsidR="00CE4A9F" w:rsidRPr="00AD7DA6">
        <w:rPr>
          <w:rFonts w:ascii="Century Schoolbook" w:hAnsi="Century Schoolbook"/>
        </w:rPr>
        <w:t>Teed’s</w:t>
      </w:r>
      <w:proofErr w:type="spellEnd"/>
      <w:r w:rsidR="00CE4A9F" w:rsidRPr="00AD7DA6">
        <w:rPr>
          <w:rFonts w:ascii="Century Schoolbook" w:hAnsi="Century Schoolbook"/>
        </w:rPr>
        <w:t xml:space="preserve"> substantial knowledge </w:t>
      </w:r>
      <w:r w:rsidR="007834E0" w:rsidRPr="00AD7DA6">
        <w:rPr>
          <w:rFonts w:ascii="Century Schoolbook" w:hAnsi="Century Schoolbook"/>
        </w:rPr>
        <w:t>of materials and design</w:t>
      </w:r>
      <w:r w:rsidR="00BA4180" w:rsidRPr="00AD7DA6">
        <w:rPr>
          <w:rFonts w:ascii="Century Schoolbook" w:hAnsi="Century Schoolbook"/>
        </w:rPr>
        <w:t xml:space="preserve"> </w:t>
      </w:r>
      <w:r w:rsidR="00CE4A9F" w:rsidRPr="00AD7DA6">
        <w:rPr>
          <w:rFonts w:ascii="Century Schoolbook" w:hAnsi="Century Schoolbook"/>
        </w:rPr>
        <w:t>and his business affiliations.</w:t>
      </w:r>
      <w:r w:rsidR="00A52EE3" w:rsidRPr="00AD7DA6">
        <w:rPr>
          <w:rFonts w:ascii="Century Schoolbook" w:hAnsi="Century Schoolbook"/>
        </w:rPr>
        <w:t xml:space="preserve"> </w:t>
      </w:r>
      <w:r w:rsidR="007951F5" w:rsidRPr="00AD7DA6">
        <w:rPr>
          <w:rFonts w:ascii="Century Schoolbook" w:hAnsi="Century Schoolbook"/>
        </w:rPr>
        <w:t xml:space="preserve"> Moore</w:t>
      </w:r>
      <w:r w:rsidR="00DE49F3" w:rsidRPr="00AD7DA6">
        <w:rPr>
          <w:rFonts w:ascii="Century Schoolbook" w:hAnsi="Century Schoolbook"/>
        </w:rPr>
        <w:t xml:space="preserve"> retained Teed as his real estate agent. </w:t>
      </w:r>
    </w:p>
    <w:p w14:paraId="577C8823" w14:textId="376C01EC" w:rsidR="00C91818" w:rsidRPr="00AD7DA6" w:rsidRDefault="007951F5" w:rsidP="00514AB4">
      <w:pPr>
        <w:spacing w:line="360" w:lineRule="auto"/>
        <w:rPr>
          <w:rFonts w:ascii="Century Schoolbook" w:hAnsi="Century Schoolbook"/>
        </w:rPr>
      </w:pPr>
      <w:r w:rsidRPr="00AD7DA6">
        <w:rPr>
          <w:rFonts w:ascii="Century Schoolbook" w:hAnsi="Century Schoolbook"/>
        </w:rPr>
        <w:tab/>
        <w:t xml:space="preserve">In May 2011, </w:t>
      </w:r>
      <w:r w:rsidR="004111B0" w:rsidRPr="00AD7DA6">
        <w:rPr>
          <w:rFonts w:ascii="Century Schoolbook" w:hAnsi="Century Schoolbook"/>
        </w:rPr>
        <w:t>following</w:t>
      </w:r>
      <w:r w:rsidRPr="00AD7DA6">
        <w:rPr>
          <w:rFonts w:ascii="Century Schoolbook" w:hAnsi="Century Schoolbook"/>
        </w:rPr>
        <w:t xml:space="preserve"> </w:t>
      </w:r>
      <w:proofErr w:type="spellStart"/>
      <w:r w:rsidRPr="00AD7DA6">
        <w:rPr>
          <w:rFonts w:ascii="Century Schoolbook" w:hAnsi="Century Schoolbook"/>
        </w:rPr>
        <w:t>Teed’s</w:t>
      </w:r>
      <w:proofErr w:type="spellEnd"/>
      <w:r w:rsidRPr="00AD7DA6">
        <w:rPr>
          <w:rFonts w:ascii="Century Schoolbook" w:hAnsi="Century Schoolbook"/>
        </w:rPr>
        <w:t xml:space="preserve"> advice, </w:t>
      </w:r>
      <w:r w:rsidR="00DE49F3" w:rsidRPr="00AD7DA6">
        <w:rPr>
          <w:rFonts w:ascii="Century Schoolbook" w:hAnsi="Century Schoolbook"/>
        </w:rPr>
        <w:t>Moore bought a large fixer</w:t>
      </w:r>
      <w:r w:rsidR="0060148C" w:rsidRPr="00AD7DA6">
        <w:rPr>
          <w:rFonts w:ascii="Century Schoolbook" w:hAnsi="Century Schoolbook"/>
        </w:rPr>
        <w:t>-</w:t>
      </w:r>
      <w:r w:rsidR="00DE49F3" w:rsidRPr="00AD7DA6">
        <w:rPr>
          <w:rFonts w:ascii="Century Schoolbook" w:hAnsi="Century Schoolbook"/>
        </w:rPr>
        <w:t xml:space="preserve">upper house on Green Street for $4.8 million. </w:t>
      </w:r>
      <w:r w:rsidR="00587AF9" w:rsidRPr="00AD7DA6">
        <w:rPr>
          <w:rFonts w:ascii="Century Schoolbook" w:hAnsi="Century Schoolbook"/>
        </w:rPr>
        <w:t xml:space="preserve"> </w:t>
      </w:r>
      <w:r w:rsidR="0060148C" w:rsidRPr="00AD7DA6">
        <w:rPr>
          <w:rFonts w:ascii="Century Schoolbook" w:hAnsi="Century Schoolbook"/>
        </w:rPr>
        <w:t xml:space="preserve">The home was built in 1912 and </w:t>
      </w:r>
      <w:r w:rsidR="00ED78A4" w:rsidRPr="00AD7DA6">
        <w:rPr>
          <w:rFonts w:ascii="Century Schoolbook" w:hAnsi="Century Schoolbook"/>
        </w:rPr>
        <w:t xml:space="preserve">was </w:t>
      </w:r>
      <w:r w:rsidR="0060148C" w:rsidRPr="00AD7DA6">
        <w:rPr>
          <w:rFonts w:ascii="Century Schoolbook" w:hAnsi="Century Schoolbook"/>
        </w:rPr>
        <w:t xml:space="preserve">last updated in the 1950s.  </w:t>
      </w:r>
      <w:r w:rsidR="00587AF9" w:rsidRPr="00AD7DA6">
        <w:rPr>
          <w:rFonts w:ascii="Century Schoolbook" w:hAnsi="Century Schoolbook"/>
        </w:rPr>
        <w:t>Moore borrowed significantly from his father and a bank</w:t>
      </w:r>
      <w:r w:rsidRPr="00AD7DA6">
        <w:rPr>
          <w:rFonts w:ascii="Century Schoolbook" w:hAnsi="Century Schoolbook"/>
        </w:rPr>
        <w:t xml:space="preserve"> to purchase the house</w:t>
      </w:r>
      <w:r w:rsidR="00587AF9" w:rsidRPr="00AD7DA6">
        <w:rPr>
          <w:rFonts w:ascii="Century Schoolbook" w:hAnsi="Century Schoolbook"/>
        </w:rPr>
        <w:t xml:space="preserve">. </w:t>
      </w:r>
      <w:r w:rsidRPr="00AD7DA6">
        <w:rPr>
          <w:rFonts w:ascii="Century Schoolbook" w:hAnsi="Century Schoolbook"/>
        </w:rPr>
        <w:t xml:space="preserve"> </w:t>
      </w:r>
      <w:r w:rsidR="003051D3" w:rsidRPr="00AD7DA6">
        <w:rPr>
          <w:rFonts w:ascii="Century Schoolbook" w:hAnsi="Century Schoolbook"/>
        </w:rPr>
        <w:t xml:space="preserve">Teed received a </w:t>
      </w:r>
      <w:r w:rsidR="00161D0B" w:rsidRPr="00AD7DA6">
        <w:rPr>
          <w:rFonts w:ascii="Century Schoolbook" w:hAnsi="Century Schoolbook"/>
        </w:rPr>
        <w:t>commission</w:t>
      </w:r>
      <w:r w:rsidR="003051D3" w:rsidRPr="00AD7DA6">
        <w:rPr>
          <w:rFonts w:ascii="Century Schoolbook" w:hAnsi="Century Schoolbook"/>
        </w:rPr>
        <w:t xml:space="preserve"> </w:t>
      </w:r>
      <w:r w:rsidR="00AF1794" w:rsidRPr="00AD7DA6">
        <w:rPr>
          <w:rFonts w:ascii="Century Schoolbook" w:hAnsi="Century Schoolbook"/>
        </w:rPr>
        <w:t>from</w:t>
      </w:r>
      <w:r w:rsidR="003051D3" w:rsidRPr="00AD7DA6">
        <w:rPr>
          <w:rFonts w:ascii="Century Schoolbook" w:hAnsi="Century Schoolbook"/>
        </w:rPr>
        <w:t xml:space="preserve"> the sale. </w:t>
      </w:r>
    </w:p>
    <w:p w14:paraId="5F7F96BB" w14:textId="7AA5533C" w:rsidR="008E1F9E" w:rsidRPr="00AD7DA6" w:rsidRDefault="00C91818" w:rsidP="00DB05AF">
      <w:pPr>
        <w:spacing w:line="360" w:lineRule="auto"/>
        <w:rPr>
          <w:rFonts w:ascii="Century Schoolbook" w:hAnsi="Century Schoolbook"/>
        </w:rPr>
      </w:pPr>
      <w:r w:rsidRPr="00AD7DA6">
        <w:rPr>
          <w:rFonts w:ascii="Century Schoolbook" w:hAnsi="Century Schoolbook"/>
        </w:rPr>
        <w:lastRenderedPageBreak/>
        <w:tab/>
      </w:r>
      <w:r w:rsidR="00BD2091" w:rsidRPr="00AD7DA6">
        <w:rPr>
          <w:rFonts w:ascii="Century Schoolbook" w:hAnsi="Century Schoolbook"/>
        </w:rPr>
        <w:t>Before</w:t>
      </w:r>
      <w:r w:rsidR="0071457E" w:rsidRPr="00AD7DA6">
        <w:rPr>
          <w:rFonts w:ascii="Century Schoolbook" w:hAnsi="Century Schoolbook"/>
        </w:rPr>
        <w:t xml:space="preserve"> the close of escrow</w:t>
      </w:r>
      <w:r w:rsidR="00442D84" w:rsidRPr="00AD7DA6">
        <w:rPr>
          <w:rFonts w:ascii="Century Schoolbook" w:hAnsi="Century Schoolbook"/>
        </w:rPr>
        <w:t xml:space="preserve">, </w:t>
      </w:r>
      <w:proofErr w:type="gramStart"/>
      <w:r w:rsidRPr="00AD7DA6">
        <w:rPr>
          <w:rFonts w:ascii="Century Schoolbook" w:hAnsi="Century Schoolbook"/>
        </w:rPr>
        <w:t>Teed</w:t>
      </w:r>
      <w:proofErr w:type="gramEnd"/>
      <w:r w:rsidRPr="00AD7DA6">
        <w:rPr>
          <w:rFonts w:ascii="Century Schoolbook" w:hAnsi="Century Schoolbook"/>
        </w:rPr>
        <w:t xml:space="preserve"> proposed renovating the basement to create a “below-gro</w:t>
      </w:r>
      <w:r w:rsidR="00335CB1" w:rsidRPr="00AD7DA6">
        <w:rPr>
          <w:rFonts w:ascii="Century Schoolbook" w:hAnsi="Century Schoolbook"/>
        </w:rPr>
        <w:t>u</w:t>
      </w:r>
      <w:r w:rsidRPr="00AD7DA6">
        <w:rPr>
          <w:rFonts w:ascii="Century Schoolbook" w:hAnsi="Century Schoolbook"/>
        </w:rPr>
        <w:t xml:space="preserve">nd floor Grade A living space” </w:t>
      </w:r>
      <w:r w:rsidR="00442D84" w:rsidRPr="00AD7DA6">
        <w:rPr>
          <w:rFonts w:ascii="Century Schoolbook" w:hAnsi="Century Schoolbook"/>
        </w:rPr>
        <w:t xml:space="preserve">with </w:t>
      </w:r>
      <w:r w:rsidRPr="00AD7DA6">
        <w:rPr>
          <w:rFonts w:ascii="Century Schoolbook" w:hAnsi="Century Schoolbook"/>
        </w:rPr>
        <w:t xml:space="preserve">a cinema and a wine cellar.  Teed said other rooms in the house could </w:t>
      </w:r>
      <w:r w:rsidR="00C47F95" w:rsidRPr="00AD7DA6">
        <w:rPr>
          <w:rFonts w:ascii="Century Schoolbook" w:hAnsi="Century Schoolbook"/>
        </w:rPr>
        <w:t xml:space="preserve">also </w:t>
      </w:r>
      <w:r w:rsidRPr="00AD7DA6">
        <w:rPr>
          <w:rFonts w:ascii="Century Schoolbook" w:hAnsi="Century Schoolbook"/>
        </w:rPr>
        <w:t xml:space="preserve">be expanded and modernized.  </w:t>
      </w:r>
      <w:r w:rsidR="000E09D9" w:rsidRPr="00AD7DA6">
        <w:rPr>
          <w:rFonts w:ascii="Century Schoolbook" w:hAnsi="Century Schoolbook"/>
        </w:rPr>
        <w:t>Moore’</w:t>
      </w:r>
      <w:r w:rsidR="00A903FD" w:rsidRPr="00AD7DA6">
        <w:rPr>
          <w:rFonts w:ascii="Century Schoolbook" w:hAnsi="Century Schoolbook"/>
        </w:rPr>
        <w:t xml:space="preserve">s father had a lengthy conversation with Teed </w:t>
      </w:r>
      <w:r w:rsidR="00287B54" w:rsidRPr="00AD7DA6">
        <w:rPr>
          <w:rFonts w:ascii="Century Schoolbook" w:hAnsi="Century Schoolbook"/>
        </w:rPr>
        <w:t>in</w:t>
      </w:r>
      <w:r w:rsidR="00A903FD" w:rsidRPr="00AD7DA6">
        <w:rPr>
          <w:rFonts w:ascii="Century Schoolbook" w:hAnsi="Century Schoolbook"/>
        </w:rPr>
        <w:t xml:space="preserve"> which they discussed </w:t>
      </w:r>
      <w:r w:rsidR="009409BD" w:rsidRPr="00AD7DA6">
        <w:rPr>
          <w:rFonts w:ascii="Century Schoolbook" w:hAnsi="Century Schoolbook"/>
        </w:rPr>
        <w:t xml:space="preserve">on a line-by-line basis </w:t>
      </w:r>
      <w:r w:rsidR="00A903FD" w:rsidRPr="00AD7DA6">
        <w:rPr>
          <w:rFonts w:ascii="Century Schoolbook" w:hAnsi="Century Schoolbook"/>
        </w:rPr>
        <w:t>what the cost</w:t>
      </w:r>
      <w:r w:rsidR="00BC67DA" w:rsidRPr="00AD7DA6">
        <w:rPr>
          <w:rFonts w:ascii="Century Schoolbook" w:hAnsi="Century Schoolbook"/>
        </w:rPr>
        <w:t>s</w:t>
      </w:r>
      <w:r w:rsidR="00A903FD" w:rsidRPr="00AD7DA6">
        <w:rPr>
          <w:rFonts w:ascii="Century Schoolbook" w:hAnsi="Century Schoolbook"/>
        </w:rPr>
        <w:t xml:space="preserve"> of construction would be </w:t>
      </w:r>
      <w:r w:rsidR="00FE6301" w:rsidRPr="00AD7DA6">
        <w:rPr>
          <w:rFonts w:ascii="Century Schoolbook" w:hAnsi="Century Schoolbook"/>
        </w:rPr>
        <w:t>for a</w:t>
      </w:r>
      <w:r w:rsidR="005C23EB" w:rsidRPr="00AD7DA6">
        <w:rPr>
          <w:rFonts w:ascii="Century Schoolbook" w:hAnsi="Century Schoolbook"/>
        </w:rPr>
        <w:t xml:space="preserve"> specific </w:t>
      </w:r>
      <w:r w:rsidR="00287B54" w:rsidRPr="00AD7DA6">
        <w:rPr>
          <w:rFonts w:ascii="Century Schoolbook" w:hAnsi="Century Schoolbook"/>
        </w:rPr>
        <w:t>list of improvements.</w:t>
      </w:r>
      <w:r w:rsidR="00A52EE3" w:rsidRPr="00AD7DA6">
        <w:rPr>
          <w:rFonts w:ascii="Century Schoolbook" w:hAnsi="Century Schoolbook"/>
        </w:rPr>
        <w:t xml:space="preserve"> </w:t>
      </w:r>
      <w:r w:rsidR="00F67963" w:rsidRPr="00AD7DA6">
        <w:rPr>
          <w:rFonts w:ascii="Century Schoolbook" w:hAnsi="Century Schoolbook"/>
        </w:rPr>
        <w:t xml:space="preserve"> </w:t>
      </w:r>
      <w:r w:rsidR="00AA3605" w:rsidRPr="00AD7DA6">
        <w:rPr>
          <w:rFonts w:ascii="Century Schoolbook" w:hAnsi="Century Schoolbook"/>
        </w:rPr>
        <w:t xml:space="preserve">Based on </w:t>
      </w:r>
      <w:r w:rsidR="00DA7309" w:rsidRPr="00AD7DA6">
        <w:rPr>
          <w:rFonts w:ascii="Century Schoolbook" w:hAnsi="Century Schoolbook"/>
        </w:rPr>
        <w:t xml:space="preserve">these </w:t>
      </w:r>
      <w:r w:rsidR="0079432E" w:rsidRPr="00AD7DA6">
        <w:rPr>
          <w:rFonts w:ascii="Century Schoolbook" w:hAnsi="Century Schoolbook"/>
        </w:rPr>
        <w:t>conversations</w:t>
      </w:r>
      <w:r w:rsidR="00AA3605" w:rsidRPr="00AD7DA6">
        <w:rPr>
          <w:rFonts w:ascii="Century Schoolbook" w:hAnsi="Century Schoolbook"/>
        </w:rPr>
        <w:t>, Moore expected that in exchange for the $4.8 million purchase price plus $900,000 for renovations (exclud</w:t>
      </w:r>
      <w:r w:rsidR="008B2056" w:rsidRPr="00AD7DA6">
        <w:rPr>
          <w:rFonts w:ascii="Century Schoolbook" w:hAnsi="Century Schoolbook"/>
        </w:rPr>
        <w:t>i</w:t>
      </w:r>
      <w:r w:rsidR="00AA3605" w:rsidRPr="00AD7DA6">
        <w:rPr>
          <w:rFonts w:ascii="Century Schoolbook" w:hAnsi="Century Schoolbook"/>
        </w:rPr>
        <w:t xml:space="preserve">ng certain design fees), Teed </w:t>
      </w:r>
      <w:r w:rsidR="000B1E59" w:rsidRPr="00AD7DA6">
        <w:rPr>
          <w:rFonts w:ascii="Century Schoolbook" w:hAnsi="Century Schoolbook"/>
        </w:rPr>
        <w:t xml:space="preserve">and his team </w:t>
      </w:r>
      <w:r w:rsidR="0071457E" w:rsidRPr="00AD7DA6">
        <w:rPr>
          <w:rFonts w:ascii="Century Schoolbook" w:hAnsi="Century Schoolbook"/>
        </w:rPr>
        <w:t xml:space="preserve">of construction professionals </w:t>
      </w:r>
      <w:r w:rsidR="00AA3605" w:rsidRPr="00AD7DA6">
        <w:rPr>
          <w:rFonts w:ascii="Century Schoolbook" w:hAnsi="Century Schoolbook"/>
        </w:rPr>
        <w:t>would deliver the Green Street home renovated to the same high-end standar</w:t>
      </w:r>
      <w:r w:rsidR="007951F5" w:rsidRPr="00AD7DA6">
        <w:rPr>
          <w:rFonts w:ascii="Century Schoolbook" w:hAnsi="Century Schoolbook"/>
        </w:rPr>
        <w:t>d</w:t>
      </w:r>
      <w:r w:rsidR="00AA3605" w:rsidRPr="00AD7DA6">
        <w:rPr>
          <w:rFonts w:ascii="Century Schoolbook" w:hAnsi="Century Schoolbook"/>
        </w:rPr>
        <w:t xml:space="preserve"> as the other projects Teed had shown Moore. </w:t>
      </w:r>
      <w:r w:rsidR="0057636F" w:rsidRPr="00AD7DA6">
        <w:rPr>
          <w:rFonts w:ascii="Century Schoolbook" w:hAnsi="Century Schoolbook"/>
        </w:rPr>
        <w:t xml:space="preserve"> </w:t>
      </w:r>
    </w:p>
    <w:p w14:paraId="3CC672FA" w14:textId="15337107" w:rsidR="00475D88" w:rsidRPr="00AD7DA6" w:rsidRDefault="008E1F9E" w:rsidP="008E1F9E">
      <w:pPr>
        <w:spacing w:line="360" w:lineRule="auto"/>
        <w:rPr>
          <w:rFonts w:ascii="Century Schoolbook" w:hAnsi="Century Schoolbook"/>
        </w:rPr>
      </w:pPr>
      <w:r w:rsidRPr="00AD7DA6">
        <w:rPr>
          <w:rFonts w:ascii="Century Schoolbook" w:hAnsi="Century Schoolbook"/>
        </w:rPr>
        <w:tab/>
        <w:t xml:space="preserve">Teed recommended </w:t>
      </w:r>
      <w:r w:rsidR="005A00CA" w:rsidRPr="00AD7DA6">
        <w:rPr>
          <w:rFonts w:ascii="Century Schoolbook" w:hAnsi="Century Schoolbook"/>
        </w:rPr>
        <w:t xml:space="preserve">that Moore hire </w:t>
      </w:r>
      <w:r w:rsidRPr="00AD7DA6">
        <w:rPr>
          <w:rFonts w:ascii="Century Schoolbook" w:hAnsi="Century Schoolbook"/>
        </w:rPr>
        <w:t>architect Gregg De Meza</w:t>
      </w:r>
      <w:r w:rsidR="00ED78A4" w:rsidRPr="00AD7DA6">
        <w:rPr>
          <w:rFonts w:ascii="Century Schoolbook" w:hAnsi="Century Schoolbook"/>
        </w:rPr>
        <w:t xml:space="preserve"> to design the renovation</w:t>
      </w:r>
      <w:r w:rsidR="004C0CAE" w:rsidRPr="00AD7DA6">
        <w:rPr>
          <w:rFonts w:ascii="Century Schoolbook" w:hAnsi="Century Schoolbook"/>
        </w:rPr>
        <w:t>s</w:t>
      </w:r>
      <w:r w:rsidR="00442D84" w:rsidRPr="00AD7DA6">
        <w:rPr>
          <w:rFonts w:ascii="Century Schoolbook" w:hAnsi="Century Schoolbook"/>
        </w:rPr>
        <w:t xml:space="preserve">.  De Meza and Teed met with </w:t>
      </w:r>
      <w:r w:rsidRPr="00AD7DA6">
        <w:rPr>
          <w:rFonts w:ascii="Century Schoolbook" w:hAnsi="Century Schoolbook"/>
        </w:rPr>
        <w:t>Moore and Moore’s father</w:t>
      </w:r>
      <w:r w:rsidR="00442D84" w:rsidRPr="00AD7DA6">
        <w:rPr>
          <w:rFonts w:ascii="Century Schoolbook" w:hAnsi="Century Schoolbook"/>
        </w:rPr>
        <w:t xml:space="preserve"> to </w:t>
      </w:r>
      <w:r w:rsidR="005A00CA" w:rsidRPr="00AD7DA6">
        <w:rPr>
          <w:rFonts w:ascii="Century Schoolbook" w:hAnsi="Century Schoolbook"/>
        </w:rPr>
        <w:t>outline</w:t>
      </w:r>
      <w:r w:rsidRPr="00AD7DA6">
        <w:rPr>
          <w:rFonts w:ascii="Century Schoolbook" w:hAnsi="Century Schoolbook"/>
        </w:rPr>
        <w:t xml:space="preserve"> the budget for </w:t>
      </w:r>
      <w:r w:rsidR="00EA16F3" w:rsidRPr="00AD7DA6">
        <w:rPr>
          <w:rFonts w:ascii="Century Schoolbook" w:hAnsi="Century Schoolbook"/>
        </w:rPr>
        <w:t xml:space="preserve">various aspects of the </w:t>
      </w:r>
      <w:r w:rsidR="005555C5" w:rsidRPr="00AD7DA6">
        <w:rPr>
          <w:rFonts w:ascii="Century Schoolbook" w:hAnsi="Century Schoolbook"/>
        </w:rPr>
        <w:t>project</w:t>
      </w:r>
      <w:r w:rsidRPr="00AD7DA6">
        <w:rPr>
          <w:rFonts w:ascii="Century Schoolbook" w:hAnsi="Century Schoolbook"/>
        </w:rPr>
        <w:t xml:space="preserve">.  </w:t>
      </w:r>
      <w:r w:rsidR="0057636F" w:rsidRPr="00AD7DA6">
        <w:rPr>
          <w:rFonts w:ascii="Century Schoolbook" w:hAnsi="Century Schoolbook"/>
        </w:rPr>
        <w:t xml:space="preserve">The </w:t>
      </w:r>
      <w:r w:rsidR="00B739B4" w:rsidRPr="00AD7DA6">
        <w:rPr>
          <w:rFonts w:ascii="Century Schoolbook" w:hAnsi="Century Schoolbook"/>
        </w:rPr>
        <w:t xml:space="preserve">projected </w:t>
      </w:r>
      <w:r w:rsidR="0057636F" w:rsidRPr="00AD7DA6">
        <w:rPr>
          <w:rFonts w:ascii="Century Schoolbook" w:hAnsi="Century Schoolbook"/>
        </w:rPr>
        <w:t>budget for the foundation</w:t>
      </w:r>
      <w:r w:rsidR="004F4128" w:rsidRPr="00AD7DA6">
        <w:rPr>
          <w:rFonts w:ascii="Century Schoolbook" w:hAnsi="Century Schoolbook"/>
        </w:rPr>
        <w:t xml:space="preserve"> work</w:t>
      </w:r>
      <w:r w:rsidR="0060148C" w:rsidRPr="00AD7DA6">
        <w:rPr>
          <w:rFonts w:ascii="Century Schoolbook" w:hAnsi="Century Schoolbook"/>
        </w:rPr>
        <w:t>, for example,</w:t>
      </w:r>
      <w:r w:rsidR="0057636F" w:rsidRPr="00AD7DA6">
        <w:rPr>
          <w:rFonts w:ascii="Century Schoolbook" w:hAnsi="Century Schoolbook"/>
        </w:rPr>
        <w:t xml:space="preserve"> was $200,000.  </w:t>
      </w:r>
      <w:r w:rsidR="006550AD" w:rsidRPr="00AD7DA6">
        <w:rPr>
          <w:rFonts w:ascii="Century Schoolbook" w:hAnsi="Century Schoolbook"/>
        </w:rPr>
        <w:t xml:space="preserve">After the close of escrow, </w:t>
      </w:r>
      <w:r w:rsidRPr="00AD7DA6">
        <w:rPr>
          <w:rFonts w:ascii="Century Schoolbook" w:hAnsi="Century Schoolbook"/>
        </w:rPr>
        <w:t xml:space="preserve">De Meza </w:t>
      </w:r>
      <w:r w:rsidR="0060148C" w:rsidRPr="00AD7DA6">
        <w:rPr>
          <w:rFonts w:ascii="Century Schoolbook" w:hAnsi="Century Schoolbook"/>
        </w:rPr>
        <w:t>p</w:t>
      </w:r>
      <w:r w:rsidR="00522487" w:rsidRPr="00AD7DA6">
        <w:rPr>
          <w:rFonts w:ascii="Century Schoolbook" w:hAnsi="Century Schoolbook"/>
        </w:rPr>
        <w:t xml:space="preserve">repared a </w:t>
      </w:r>
      <w:r w:rsidR="00795484" w:rsidRPr="00AD7DA6">
        <w:rPr>
          <w:rFonts w:ascii="Century Schoolbook" w:hAnsi="Century Schoolbook"/>
        </w:rPr>
        <w:t>10</w:t>
      </w:r>
      <w:r w:rsidR="00C34BEB" w:rsidRPr="00AD7DA6">
        <w:rPr>
          <w:rFonts w:ascii="Century Schoolbook" w:hAnsi="Century Schoolbook"/>
        </w:rPr>
        <w:t>-page comprehensive</w:t>
      </w:r>
      <w:r w:rsidR="006803C8" w:rsidRPr="00AD7DA6">
        <w:rPr>
          <w:rFonts w:ascii="Century Schoolbook" w:hAnsi="Century Schoolbook"/>
        </w:rPr>
        <w:t xml:space="preserve"> “</w:t>
      </w:r>
      <w:r w:rsidR="000B1E59" w:rsidRPr="00AD7DA6">
        <w:rPr>
          <w:rFonts w:ascii="Century Schoolbook" w:hAnsi="Century Schoolbook"/>
        </w:rPr>
        <w:t>C</w:t>
      </w:r>
      <w:r w:rsidR="006803C8" w:rsidRPr="00AD7DA6">
        <w:rPr>
          <w:rFonts w:ascii="Century Schoolbook" w:hAnsi="Century Schoolbook"/>
        </w:rPr>
        <w:t>reative</w:t>
      </w:r>
      <w:r w:rsidR="00522487" w:rsidRPr="00AD7DA6">
        <w:rPr>
          <w:rFonts w:ascii="Century Schoolbook" w:hAnsi="Century Schoolbook"/>
        </w:rPr>
        <w:t xml:space="preserve"> </w:t>
      </w:r>
      <w:r w:rsidR="000B1E59" w:rsidRPr="00AD7DA6">
        <w:rPr>
          <w:rFonts w:ascii="Century Schoolbook" w:hAnsi="Century Schoolbook"/>
        </w:rPr>
        <w:t>S</w:t>
      </w:r>
      <w:r w:rsidR="00522487" w:rsidRPr="00AD7DA6">
        <w:rPr>
          <w:rFonts w:ascii="Century Schoolbook" w:hAnsi="Century Schoolbook"/>
        </w:rPr>
        <w:t>pec</w:t>
      </w:r>
      <w:r w:rsidR="006803C8" w:rsidRPr="00AD7DA6">
        <w:rPr>
          <w:rFonts w:ascii="Century Schoolbook" w:hAnsi="Century Schoolbook"/>
        </w:rPr>
        <w:t xml:space="preserve">” </w:t>
      </w:r>
      <w:r w:rsidR="0060148C" w:rsidRPr="00AD7DA6">
        <w:rPr>
          <w:rFonts w:ascii="Century Schoolbook" w:hAnsi="Century Schoolbook"/>
        </w:rPr>
        <w:t>setting forth the</w:t>
      </w:r>
      <w:r w:rsidR="006803C8" w:rsidRPr="00AD7DA6">
        <w:rPr>
          <w:rFonts w:ascii="Century Schoolbook" w:hAnsi="Century Schoolbook"/>
        </w:rPr>
        <w:t xml:space="preserve"> proposed renovations</w:t>
      </w:r>
      <w:r w:rsidR="0060148C" w:rsidRPr="00AD7DA6">
        <w:rPr>
          <w:rFonts w:ascii="Century Schoolbook" w:hAnsi="Century Schoolbook"/>
        </w:rPr>
        <w:t xml:space="preserve"> in detail</w:t>
      </w:r>
      <w:r w:rsidR="006803C8" w:rsidRPr="00AD7DA6">
        <w:rPr>
          <w:rFonts w:ascii="Century Schoolbook" w:hAnsi="Century Schoolbook"/>
        </w:rPr>
        <w:t>.</w:t>
      </w:r>
      <w:r w:rsidR="00522487" w:rsidRPr="00AD7DA6">
        <w:rPr>
          <w:rFonts w:ascii="Century Schoolbook" w:hAnsi="Century Schoolbook"/>
        </w:rPr>
        <w:t xml:space="preserve"> </w:t>
      </w:r>
    </w:p>
    <w:p w14:paraId="2435C201" w14:textId="0B3DA30E" w:rsidR="000B1E59" w:rsidRPr="00AD7DA6" w:rsidRDefault="000B1E59" w:rsidP="00DB05AF">
      <w:pPr>
        <w:spacing w:line="360" w:lineRule="auto"/>
        <w:rPr>
          <w:rFonts w:ascii="Century Schoolbook" w:hAnsi="Century Schoolbook"/>
        </w:rPr>
      </w:pPr>
      <w:r w:rsidRPr="00AD7DA6">
        <w:rPr>
          <w:rFonts w:ascii="Century Schoolbook" w:hAnsi="Century Schoolbook"/>
        </w:rPr>
        <w:tab/>
      </w:r>
      <w:r w:rsidR="005555C5" w:rsidRPr="00AD7DA6">
        <w:rPr>
          <w:rFonts w:ascii="Century Schoolbook" w:hAnsi="Century Schoolbook"/>
        </w:rPr>
        <w:t xml:space="preserve">De Meza put the project out for bidding and </w:t>
      </w:r>
      <w:r w:rsidRPr="00AD7DA6">
        <w:rPr>
          <w:rFonts w:ascii="Century Schoolbook" w:hAnsi="Century Schoolbook"/>
        </w:rPr>
        <w:t xml:space="preserve">received </w:t>
      </w:r>
      <w:r w:rsidR="00ED78A4" w:rsidRPr="00AD7DA6">
        <w:rPr>
          <w:rFonts w:ascii="Century Schoolbook" w:hAnsi="Century Schoolbook"/>
        </w:rPr>
        <w:t xml:space="preserve">contractor </w:t>
      </w:r>
      <w:r w:rsidRPr="00AD7DA6">
        <w:rPr>
          <w:rFonts w:ascii="Century Schoolbook" w:hAnsi="Century Schoolbook"/>
        </w:rPr>
        <w:t xml:space="preserve">bids ranging from </w:t>
      </w:r>
      <w:r w:rsidR="00BC67DA" w:rsidRPr="00AD7DA6">
        <w:rPr>
          <w:rFonts w:ascii="Century Schoolbook" w:hAnsi="Century Schoolbook"/>
        </w:rPr>
        <w:t xml:space="preserve">approximately </w:t>
      </w:r>
      <w:r w:rsidRPr="00AD7DA6">
        <w:rPr>
          <w:rFonts w:ascii="Century Schoolbook" w:hAnsi="Century Schoolbook"/>
        </w:rPr>
        <w:t xml:space="preserve">$1.6 million to $2.4 million.  Teed </w:t>
      </w:r>
      <w:r w:rsidR="00ED78A4" w:rsidRPr="00AD7DA6">
        <w:rPr>
          <w:rFonts w:ascii="Century Schoolbook" w:hAnsi="Century Schoolbook"/>
        </w:rPr>
        <w:t>told</w:t>
      </w:r>
      <w:r w:rsidRPr="00AD7DA6">
        <w:rPr>
          <w:rFonts w:ascii="Century Schoolbook" w:hAnsi="Century Schoolbook"/>
        </w:rPr>
        <w:t xml:space="preserve"> Moore</w:t>
      </w:r>
      <w:r w:rsidR="002432FD" w:rsidRPr="00AD7DA6">
        <w:rPr>
          <w:rFonts w:ascii="Century Schoolbook" w:hAnsi="Century Schoolbook"/>
        </w:rPr>
        <w:t xml:space="preserve"> </w:t>
      </w:r>
      <w:r w:rsidR="00ED78A4" w:rsidRPr="00AD7DA6">
        <w:rPr>
          <w:rFonts w:ascii="Century Schoolbook" w:hAnsi="Century Schoolbook"/>
        </w:rPr>
        <w:t>that he</w:t>
      </w:r>
      <w:r w:rsidR="002432FD" w:rsidRPr="00AD7DA6">
        <w:rPr>
          <w:rFonts w:ascii="Century Schoolbook" w:hAnsi="Century Schoolbook"/>
        </w:rPr>
        <w:t xml:space="preserve"> </w:t>
      </w:r>
      <w:r w:rsidR="00ED78A4" w:rsidRPr="00AD7DA6">
        <w:rPr>
          <w:rFonts w:ascii="Century Schoolbook" w:hAnsi="Century Schoolbook"/>
        </w:rPr>
        <w:t>w</w:t>
      </w:r>
      <w:r w:rsidR="002432FD" w:rsidRPr="00AD7DA6">
        <w:rPr>
          <w:rFonts w:ascii="Century Schoolbook" w:hAnsi="Century Schoolbook"/>
        </w:rPr>
        <w:t xml:space="preserve">ould work with De Meza to get the project back within the budget.  </w:t>
      </w:r>
      <w:r w:rsidR="00EA16F3" w:rsidRPr="00AD7DA6">
        <w:rPr>
          <w:rFonts w:ascii="Century Schoolbook" w:hAnsi="Century Schoolbook"/>
        </w:rPr>
        <w:t>Teed</w:t>
      </w:r>
      <w:r w:rsidR="00BC67DA" w:rsidRPr="00AD7DA6">
        <w:rPr>
          <w:rFonts w:ascii="Century Schoolbook" w:hAnsi="Century Schoolbook"/>
        </w:rPr>
        <w:t xml:space="preserve"> proposed </w:t>
      </w:r>
      <w:r w:rsidR="005555C5" w:rsidRPr="00AD7DA6">
        <w:rPr>
          <w:rFonts w:ascii="Century Schoolbook" w:hAnsi="Century Schoolbook"/>
        </w:rPr>
        <w:t>cutting</w:t>
      </w:r>
      <w:r w:rsidR="002432FD" w:rsidRPr="00AD7DA6">
        <w:rPr>
          <w:rFonts w:ascii="Century Schoolbook" w:hAnsi="Century Schoolbook"/>
        </w:rPr>
        <w:t xml:space="preserve"> costs for some items </w:t>
      </w:r>
      <w:r w:rsidR="006316DC" w:rsidRPr="00AD7DA6">
        <w:rPr>
          <w:rFonts w:ascii="Century Schoolbook" w:hAnsi="Century Schoolbook"/>
        </w:rPr>
        <w:t xml:space="preserve">as well as </w:t>
      </w:r>
      <w:r w:rsidR="002432FD" w:rsidRPr="00AD7DA6">
        <w:rPr>
          <w:rFonts w:ascii="Century Schoolbook" w:hAnsi="Century Schoolbook"/>
        </w:rPr>
        <w:t xml:space="preserve">performing demolition in the upper floors and completing the foundation and basement work before seeking further bids. </w:t>
      </w:r>
      <w:r w:rsidR="00ED78A4" w:rsidRPr="00AD7DA6">
        <w:rPr>
          <w:rFonts w:ascii="Century Schoolbook" w:hAnsi="Century Schoolbook"/>
        </w:rPr>
        <w:t xml:space="preserve"> Moore and his father agreed to </w:t>
      </w:r>
      <w:proofErr w:type="spellStart"/>
      <w:r w:rsidR="00ED78A4" w:rsidRPr="00AD7DA6">
        <w:rPr>
          <w:rFonts w:ascii="Century Schoolbook" w:hAnsi="Century Schoolbook"/>
        </w:rPr>
        <w:t>Teed’s</w:t>
      </w:r>
      <w:proofErr w:type="spellEnd"/>
      <w:r w:rsidR="00ED78A4" w:rsidRPr="00AD7DA6">
        <w:rPr>
          <w:rFonts w:ascii="Century Schoolbook" w:hAnsi="Century Schoolbook"/>
        </w:rPr>
        <w:t xml:space="preserve"> </w:t>
      </w:r>
      <w:r w:rsidR="00BC67DA" w:rsidRPr="00AD7DA6">
        <w:rPr>
          <w:rFonts w:ascii="Century Schoolbook" w:hAnsi="Century Schoolbook"/>
        </w:rPr>
        <w:t>plan of action</w:t>
      </w:r>
      <w:r w:rsidR="00ED78A4" w:rsidRPr="00AD7DA6">
        <w:rPr>
          <w:rFonts w:ascii="Century Schoolbook" w:hAnsi="Century Schoolbook"/>
        </w:rPr>
        <w:t xml:space="preserve">. </w:t>
      </w:r>
    </w:p>
    <w:p w14:paraId="3D606A65" w14:textId="38E5E744" w:rsidR="00457C5B" w:rsidRPr="00AD7DA6" w:rsidRDefault="00457C5B" w:rsidP="00514AB4">
      <w:pPr>
        <w:spacing w:line="360" w:lineRule="auto"/>
        <w:rPr>
          <w:rFonts w:ascii="Century Schoolbook" w:hAnsi="Century Schoolbook"/>
        </w:rPr>
      </w:pPr>
      <w:r w:rsidRPr="00AD7DA6">
        <w:rPr>
          <w:rFonts w:ascii="Century Schoolbook" w:hAnsi="Century Schoolbook"/>
        </w:rPr>
        <w:tab/>
        <w:t>Moore</w:t>
      </w:r>
      <w:r w:rsidR="00BC67DA" w:rsidRPr="00AD7DA6">
        <w:rPr>
          <w:rFonts w:ascii="Century Schoolbook" w:hAnsi="Century Schoolbook"/>
        </w:rPr>
        <w:t xml:space="preserve"> employed </w:t>
      </w:r>
      <w:proofErr w:type="spellStart"/>
      <w:r w:rsidR="007951F5" w:rsidRPr="00AD7DA6">
        <w:rPr>
          <w:rFonts w:ascii="Century Schoolbook" w:hAnsi="Century Schoolbook"/>
        </w:rPr>
        <w:t>T</w:t>
      </w:r>
      <w:r w:rsidRPr="00AD7DA6">
        <w:rPr>
          <w:rFonts w:ascii="Century Schoolbook" w:hAnsi="Century Schoolbook"/>
        </w:rPr>
        <w:t>eed’s</w:t>
      </w:r>
      <w:proofErr w:type="spellEnd"/>
      <w:r w:rsidRPr="00AD7DA6">
        <w:rPr>
          <w:rFonts w:ascii="Century Schoolbook" w:hAnsi="Century Schoolbook"/>
        </w:rPr>
        <w:t xml:space="preserve"> </w:t>
      </w:r>
      <w:r w:rsidR="00BC67DA" w:rsidRPr="00AD7DA6">
        <w:rPr>
          <w:rFonts w:ascii="Century Schoolbook" w:hAnsi="Century Schoolbook"/>
        </w:rPr>
        <w:t xml:space="preserve">associates </w:t>
      </w:r>
      <w:r w:rsidR="00EA16F3" w:rsidRPr="00AD7DA6">
        <w:rPr>
          <w:rFonts w:ascii="Century Schoolbook" w:hAnsi="Century Schoolbook"/>
        </w:rPr>
        <w:t>for the project</w:t>
      </w:r>
      <w:r w:rsidR="005555C5" w:rsidRPr="00AD7DA6">
        <w:rPr>
          <w:rFonts w:ascii="Century Schoolbook" w:hAnsi="Century Schoolbook"/>
        </w:rPr>
        <w:t xml:space="preserve">.  He </w:t>
      </w:r>
      <w:r w:rsidRPr="00AD7DA6">
        <w:rPr>
          <w:rFonts w:ascii="Century Schoolbook" w:hAnsi="Century Schoolbook"/>
        </w:rPr>
        <w:t>sign</w:t>
      </w:r>
      <w:r w:rsidR="005555C5" w:rsidRPr="00AD7DA6">
        <w:rPr>
          <w:rFonts w:ascii="Century Schoolbook" w:hAnsi="Century Schoolbook"/>
        </w:rPr>
        <w:t>ed</w:t>
      </w:r>
      <w:r w:rsidRPr="00AD7DA6">
        <w:rPr>
          <w:rFonts w:ascii="Century Schoolbook" w:hAnsi="Century Schoolbook"/>
        </w:rPr>
        <w:t xml:space="preserve"> contracts with two engineering firms </w:t>
      </w:r>
      <w:r w:rsidR="00E024F6" w:rsidRPr="00AD7DA6">
        <w:rPr>
          <w:rFonts w:ascii="Century Schoolbook" w:hAnsi="Century Schoolbook"/>
        </w:rPr>
        <w:t xml:space="preserve">recommended by </w:t>
      </w:r>
      <w:r w:rsidRPr="00AD7DA6">
        <w:rPr>
          <w:rFonts w:ascii="Century Schoolbook" w:hAnsi="Century Schoolbook"/>
        </w:rPr>
        <w:t xml:space="preserve">Teed.  </w:t>
      </w:r>
      <w:r w:rsidR="00A0147C" w:rsidRPr="00AD7DA6">
        <w:rPr>
          <w:rFonts w:ascii="Century Schoolbook" w:hAnsi="Century Schoolbook"/>
        </w:rPr>
        <w:t xml:space="preserve">Moore </w:t>
      </w:r>
      <w:r w:rsidRPr="00AD7DA6">
        <w:rPr>
          <w:rFonts w:ascii="Century Schoolbook" w:hAnsi="Century Schoolbook"/>
        </w:rPr>
        <w:t xml:space="preserve">did not sign a written contract with Teed himself because Teed </w:t>
      </w:r>
      <w:r w:rsidR="0087601A" w:rsidRPr="00AD7DA6">
        <w:rPr>
          <w:rFonts w:ascii="Century Schoolbook" w:hAnsi="Century Schoolbook"/>
        </w:rPr>
        <w:t xml:space="preserve">stated </w:t>
      </w:r>
      <w:r w:rsidRPr="00AD7DA6">
        <w:rPr>
          <w:rFonts w:ascii="Century Schoolbook" w:hAnsi="Century Schoolbook"/>
        </w:rPr>
        <w:t>he “didn’t need contracts; that this is what he</w:t>
      </w:r>
      <w:r w:rsidR="00BC67DA" w:rsidRPr="00AD7DA6">
        <w:rPr>
          <w:rFonts w:ascii="Century Schoolbook" w:hAnsi="Century Schoolbook"/>
        </w:rPr>
        <w:t xml:space="preserve"> </w:t>
      </w:r>
      <w:r w:rsidRPr="00AD7DA6">
        <w:rPr>
          <w:rFonts w:ascii="Century Schoolbook" w:hAnsi="Century Schoolbook"/>
        </w:rPr>
        <w:t>did.  This is how he built his reputation.</w:t>
      </w:r>
      <w:r w:rsidR="00EA16F3" w:rsidRPr="00AD7DA6">
        <w:rPr>
          <w:rFonts w:ascii="Century Schoolbook" w:hAnsi="Century Schoolbook"/>
        </w:rPr>
        <w:t>”</w:t>
      </w:r>
      <w:r w:rsidRPr="00AD7DA6">
        <w:rPr>
          <w:rFonts w:ascii="Century Schoolbook" w:hAnsi="Century Schoolbook"/>
        </w:rPr>
        <w:t xml:space="preserve">  Moore </w:t>
      </w:r>
      <w:r w:rsidR="00BC67DA" w:rsidRPr="00AD7DA6">
        <w:rPr>
          <w:rFonts w:ascii="Century Schoolbook" w:hAnsi="Century Schoolbook"/>
        </w:rPr>
        <w:t xml:space="preserve">nevertheless </w:t>
      </w:r>
      <w:r w:rsidRPr="00AD7DA6">
        <w:rPr>
          <w:rFonts w:ascii="Century Schoolbook" w:hAnsi="Century Schoolbook"/>
        </w:rPr>
        <w:t>believed</w:t>
      </w:r>
      <w:r w:rsidR="00AE746E" w:rsidRPr="00AD7DA6">
        <w:rPr>
          <w:rFonts w:ascii="Century Schoolbook" w:hAnsi="Century Schoolbook"/>
        </w:rPr>
        <w:t xml:space="preserve"> </w:t>
      </w:r>
      <w:r w:rsidR="00C94E90" w:rsidRPr="00AD7DA6">
        <w:rPr>
          <w:rFonts w:ascii="Century Schoolbook" w:hAnsi="Century Schoolbook"/>
        </w:rPr>
        <w:t xml:space="preserve">that </w:t>
      </w:r>
      <w:r w:rsidRPr="00AD7DA6">
        <w:rPr>
          <w:rFonts w:ascii="Century Schoolbook" w:hAnsi="Century Schoolbook"/>
        </w:rPr>
        <w:t xml:space="preserve">he had an oral </w:t>
      </w:r>
      <w:r w:rsidR="006C2EA1" w:rsidRPr="00AD7DA6">
        <w:rPr>
          <w:rFonts w:ascii="Century Schoolbook" w:hAnsi="Century Schoolbook"/>
        </w:rPr>
        <w:t>agreement</w:t>
      </w:r>
      <w:r w:rsidRPr="00AD7DA6">
        <w:rPr>
          <w:rFonts w:ascii="Century Schoolbook" w:hAnsi="Century Schoolbook"/>
        </w:rPr>
        <w:t xml:space="preserve"> with Teed.  </w:t>
      </w:r>
      <w:r w:rsidR="00A569C2" w:rsidRPr="00AD7DA6">
        <w:rPr>
          <w:rFonts w:ascii="Century Schoolbook" w:hAnsi="Century Schoolbook"/>
        </w:rPr>
        <w:t xml:space="preserve">Work </w:t>
      </w:r>
      <w:r w:rsidR="00A569C2" w:rsidRPr="00AD7DA6">
        <w:rPr>
          <w:rFonts w:ascii="Century Schoolbook" w:hAnsi="Century Schoolbook"/>
        </w:rPr>
        <w:lastRenderedPageBreak/>
        <w:t xml:space="preserve">demands prevented Moore from visiting the </w:t>
      </w:r>
      <w:r w:rsidR="004E5A8A" w:rsidRPr="00AD7DA6">
        <w:rPr>
          <w:rFonts w:ascii="Century Schoolbook" w:hAnsi="Century Schoolbook"/>
        </w:rPr>
        <w:t xml:space="preserve">site regularly and </w:t>
      </w:r>
      <w:r w:rsidRPr="00AD7DA6">
        <w:rPr>
          <w:rFonts w:ascii="Century Schoolbook" w:hAnsi="Century Schoolbook"/>
        </w:rPr>
        <w:t xml:space="preserve">he relied on progress videos sent </w:t>
      </w:r>
      <w:r w:rsidR="00173C71" w:rsidRPr="00AD7DA6">
        <w:rPr>
          <w:rFonts w:ascii="Century Schoolbook" w:hAnsi="Century Schoolbook"/>
        </w:rPr>
        <w:t>by</w:t>
      </w:r>
      <w:r w:rsidRPr="00AD7DA6">
        <w:rPr>
          <w:rFonts w:ascii="Century Schoolbook" w:hAnsi="Century Schoolbook"/>
        </w:rPr>
        <w:t xml:space="preserve"> </w:t>
      </w:r>
      <w:r w:rsidR="00173C71" w:rsidRPr="00AD7DA6">
        <w:rPr>
          <w:rFonts w:ascii="Century Schoolbook" w:hAnsi="Century Schoolbook"/>
        </w:rPr>
        <w:t>Teed</w:t>
      </w:r>
      <w:r w:rsidRPr="00AD7DA6">
        <w:rPr>
          <w:rFonts w:ascii="Century Schoolbook" w:hAnsi="Century Schoolbook"/>
        </w:rPr>
        <w:t xml:space="preserve">.  </w:t>
      </w:r>
      <w:r w:rsidR="00335CB1" w:rsidRPr="00AD7DA6">
        <w:rPr>
          <w:rFonts w:ascii="Century Schoolbook" w:hAnsi="Century Schoolbook"/>
        </w:rPr>
        <w:t xml:space="preserve">Teed </w:t>
      </w:r>
      <w:r w:rsidR="00334D77" w:rsidRPr="00AD7DA6">
        <w:rPr>
          <w:rFonts w:ascii="Century Schoolbook" w:hAnsi="Century Schoolbook"/>
        </w:rPr>
        <w:t xml:space="preserve">set up a joint account </w:t>
      </w:r>
      <w:r w:rsidR="00DD1978" w:rsidRPr="00AD7DA6">
        <w:rPr>
          <w:rFonts w:ascii="Century Schoolbook" w:hAnsi="Century Schoolbook"/>
        </w:rPr>
        <w:t xml:space="preserve">funded by Moore to make </w:t>
      </w:r>
      <w:r w:rsidR="005555C5" w:rsidRPr="00AD7DA6">
        <w:rPr>
          <w:rFonts w:ascii="Century Schoolbook" w:hAnsi="Century Schoolbook"/>
        </w:rPr>
        <w:t xml:space="preserve">payments to </w:t>
      </w:r>
      <w:r w:rsidR="00614FCB" w:rsidRPr="00AD7DA6">
        <w:rPr>
          <w:rFonts w:ascii="Century Schoolbook" w:hAnsi="Century Schoolbook"/>
        </w:rPr>
        <w:t xml:space="preserve">the </w:t>
      </w:r>
      <w:r w:rsidR="00335CB1" w:rsidRPr="00AD7DA6">
        <w:rPr>
          <w:rFonts w:ascii="Century Schoolbook" w:hAnsi="Century Schoolbook"/>
        </w:rPr>
        <w:t xml:space="preserve">contractors. </w:t>
      </w:r>
    </w:p>
    <w:p w14:paraId="36DE69DA" w14:textId="0624818D" w:rsidR="00457C5B" w:rsidRPr="00AD7DA6" w:rsidRDefault="00457C5B" w:rsidP="00514AB4">
      <w:pPr>
        <w:spacing w:line="360" w:lineRule="auto"/>
        <w:rPr>
          <w:rFonts w:ascii="Century Schoolbook" w:hAnsi="Century Schoolbook"/>
        </w:rPr>
      </w:pPr>
      <w:r w:rsidRPr="00AD7DA6">
        <w:rPr>
          <w:rFonts w:ascii="Century Schoolbook" w:hAnsi="Century Schoolbook"/>
        </w:rPr>
        <w:tab/>
        <w:t xml:space="preserve">Teed </w:t>
      </w:r>
      <w:r w:rsidR="00ED78A4" w:rsidRPr="00AD7DA6">
        <w:rPr>
          <w:rFonts w:ascii="Century Schoolbook" w:hAnsi="Century Schoolbook"/>
        </w:rPr>
        <w:t xml:space="preserve">was not </w:t>
      </w:r>
      <w:r w:rsidR="003E40A1" w:rsidRPr="00AD7DA6">
        <w:rPr>
          <w:rFonts w:ascii="Century Schoolbook" w:hAnsi="Century Schoolbook"/>
        </w:rPr>
        <w:t xml:space="preserve">in fact </w:t>
      </w:r>
      <w:r w:rsidR="00ED78A4" w:rsidRPr="00AD7DA6">
        <w:rPr>
          <w:rFonts w:ascii="Century Schoolbook" w:hAnsi="Century Schoolbook"/>
        </w:rPr>
        <w:t>a</w:t>
      </w:r>
      <w:r w:rsidRPr="00AD7DA6">
        <w:rPr>
          <w:rFonts w:ascii="Century Schoolbook" w:hAnsi="Century Schoolbook"/>
        </w:rPr>
        <w:t xml:space="preserve"> licensed contractor.  </w:t>
      </w:r>
      <w:r w:rsidR="00B739B4" w:rsidRPr="00AD7DA6">
        <w:rPr>
          <w:rFonts w:ascii="Century Schoolbook" w:hAnsi="Century Schoolbook"/>
        </w:rPr>
        <w:t>Beginning i</w:t>
      </w:r>
      <w:r w:rsidR="00915E7B" w:rsidRPr="00AD7DA6">
        <w:rPr>
          <w:rFonts w:ascii="Century Schoolbook" w:hAnsi="Century Schoolbook"/>
        </w:rPr>
        <w:t>n</w:t>
      </w:r>
      <w:r w:rsidR="00B739B4" w:rsidRPr="00AD7DA6">
        <w:rPr>
          <w:rFonts w:ascii="Century Schoolbook" w:hAnsi="Century Schoolbook"/>
        </w:rPr>
        <w:t xml:space="preserve"> </w:t>
      </w:r>
      <w:r w:rsidRPr="00AD7DA6">
        <w:rPr>
          <w:rFonts w:ascii="Century Schoolbook" w:hAnsi="Century Schoolbook"/>
        </w:rPr>
        <w:t xml:space="preserve">2011, </w:t>
      </w:r>
      <w:proofErr w:type="spellStart"/>
      <w:r w:rsidRPr="00AD7DA6">
        <w:rPr>
          <w:rFonts w:ascii="Century Schoolbook" w:hAnsi="Century Schoolbook"/>
        </w:rPr>
        <w:t>Teed’s</w:t>
      </w:r>
      <w:proofErr w:type="spellEnd"/>
      <w:r w:rsidRPr="00AD7DA6">
        <w:rPr>
          <w:rFonts w:ascii="Century Schoolbook" w:hAnsi="Century Schoolbook"/>
        </w:rPr>
        <w:t xml:space="preserve"> team of contractors gutted large parts of the house, excavated the lot, and built most of </w:t>
      </w:r>
      <w:r w:rsidR="001B1818" w:rsidRPr="00AD7DA6">
        <w:rPr>
          <w:rFonts w:ascii="Century Schoolbook" w:hAnsi="Century Schoolbook"/>
        </w:rPr>
        <w:t>the</w:t>
      </w:r>
      <w:r w:rsidRPr="00AD7DA6">
        <w:rPr>
          <w:rFonts w:ascii="Century Schoolbook" w:hAnsi="Century Schoolbook"/>
        </w:rPr>
        <w:t xml:space="preserve"> </w:t>
      </w:r>
      <w:r w:rsidR="007951F5" w:rsidRPr="00AD7DA6">
        <w:rPr>
          <w:rFonts w:ascii="Century Schoolbook" w:hAnsi="Century Schoolbook"/>
        </w:rPr>
        <w:t>f</w:t>
      </w:r>
      <w:r w:rsidRPr="00AD7DA6">
        <w:rPr>
          <w:rFonts w:ascii="Century Schoolbook" w:hAnsi="Century Schoolbook"/>
        </w:rPr>
        <w:t xml:space="preserve">oundation meant to house </w:t>
      </w:r>
      <w:r w:rsidR="00EA16F3" w:rsidRPr="00AD7DA6">
        <w:rPr>
          <w:rFonts w:ascii="Century Schoolbook" w:hAnsi="Century Schoolbook"/>
        </w:rPr>
        <w:t xml:space="preserve">the </w:t>
      </w:r>
      <w:r w:rsidRPr="00AD7DA6">
        <w:rPr>
          <w:rFonts w:ascii="Century Schoolbook" w:hAnsi="Century Schoolbook"/>
        </w:rPr>
        <w:t xml:space="preserve">basement-level living space.  </w:t>
      </w:r>
      <w:r w:rsidR="00CA552A" w:rsidRPr="00AD7DA6">
        <w:rPr>
          <w:rFonts w:ascii="Century Schoolbook" w:hAnsi="Century Schoolbook"/>
        </w:rPr>
        <w:t>T</w:t>
      </w:r>
      <w:r w:rsidRPr="00AD7DA6">
        <w:rPr>
          <w:rFonts w:ascii="Century Schoolbook" w:hAnsi="Century Schoolbook"/>
        </w:rPr>
        <w:t xml:space="preserve">he foundation was defective, </w:t>
      </w:r>
      <w:r w:rsidR="00CA552A" w:rsidRPr="00AD7DA6">
        <w:rPr>
          <w:rFonts w:ascii="Century Schoolbook" w:hAnsi="Century Schoolbook"/>
        </w:rPr>
        <w:t xml:space="preserve">however, </w:t>
      </w:r>
      <w:r w:rsidRPr="00AD7DA6">
        <w:rPr>
          <w:rFonts w:ascii="Century Schoolbook" w:hAnsi="Century Schoolbook"/>
        </w:rPr>
        <w:t>because i</w:t>
      </w:r>
      <w:r w:rsidR="00435CA0" w:rsidRPr="00AD7DA6">
        <w:rPr>
          <w:rFonts w:ascii="Century Schoolbook" w:hAnsi="Century Schoolbook"/>
        </w:rPr>
        <w:t>t</w:t>
      </w:r>
      <w:r w:rsidRPr="00AD7DA6">
        <w:rPr>
          <w:rFonts w:ascii="Century Schoolbook" w:hAnsi="Century Schoolbook"/>
        </w:rPr>
        <w:t xml:space="preserve"> lacked any waterproofing despite the property’s </w:t>
      </w:r>
      <w:proofErr w:type="gramStart"/>
      <w:r w:rsidRPr="00AD7DA6">
        <w:rPr>
          <w:rFonts w:ascii="Century Schoolbook" w:hAnsi="Century Schoolbook"/>
        </w:rPr>
        <w:t>high water</w:t>
      </w:r>
      <w:proofErr w:type="gramEnd"/>
      <w:r w:rsidRPr="00AD7DA6">
        <w:rPr>
          <w:rFonts w:ascii="Century Schoolbook" w:hAnsi="Century Schoolbook"/>
        </w:rPr>
        <w:t xml:space="preserve"> table.  </w:t>
      </w:r>
      <w:r w:rsidR="00DB1948" w:rsidRPr="00AD7DA6">
        <w:rPr>
          <w:rFonts w:ascii="Century Schoolbook" w:hAnsi="Century Schoolbook"/>
        </w:rPr>
        <w:t xml:space="preserve">After Moore became aware of </w:t>
      </w:r>
      <w:r w:rsidR="00AD022E" w:rsidRPr="00AD7DA6">
        <w:rPr>
          <w:rFonts w:ascii="Century Schoolbook" w:hAnsi="Century Schoolbook"/>
        </w:rPr>
        <w:t>the defects</w:t>
      </w:r>
      <w:r w:rsidR="00DB1948" w:rsidRPr="00AD7DA6">
        <w:rPr>
          <w:rFonts w:ascii="Century Schoolbook" w:hAnsi="Century Schoolbook"/>
        </w:rPr>
        <w:t xml:space="preserve">, he halted all work </w:t>
      </w:r>
      <w:r w:rsidR="00614FCB" w:rsidRPr="00AD7DA6">
        <w:rPr>
          <w:rFonts w:ascii="Century Schoolbook" w:hAnsi="Century Schoolbook"/>
        </w:rPr>
        <w:t xml:space="preserve">on the project </w:t>
      </w:r>
      <w:r w:rsidR="00DB1948" w:rsidRPr="00AD7DA6">
        <w:rPr>
          <w:rFonts w:ascii="Century Schoolbook" w:hAnsi="Century Schoolbook"/>
        </w:rPr>
        <w:t>and terminated De</w:t>
      </w:r>
      <w:r w:rsidR="00C47CFC" w:rsidRPr="00AD7DA6">
        <w:rPr>
          <w:rFonts w:ascii="Century Schoolbook" w:hAnsi="Century Schoolbook"/>
        </w:rPr>
        <w:t xml:space="preserve"> </w:t>
      </w:r>
      <w:r w:rsidR="00DB1948" w:rsidRPr="00AD7DA6">
        <w:rPr>
          <w:rFonts w:ascii="Century Schoolbook" w:hAnsi="Century Schoolbook"/>
        </w:rPr>
        <w:t xml:space="preserve">Meza.  </w:t>
      </w:r>
      <w:r w:rsidR="003C1517" w:rsidRPr="00AD7DA6">
        <w:rPr>
          <w:rFonts w:ascii="Century Schoolbook" w:hAnsi="Century Schoolbook"/>
        </w:rPr>
        <w:t>Moore</w:t>
      </w:r>
      <w:r w:rsidR="00626676" w:rsidRPr="00AD7DA6">
        <w:rPr>
          <w:rFonts w:ascii="Century Schoolbook" w:hAnsi="Century Schoolbook"/>
        </w:rPr>
        <w:t xml:space="preserve">’s father </w:t>
      </w:r>
      <w:r w:rsidR="00D63143" w:rsidRPr="00AD7DA6">
        <w:rPr>
          <w:rFonts w:ascii="Century Schoolbook" w:hAnsi="Century Schoolbook"/>
        </w:rPr>
        <w:t>engaged</w:t>
      </w:r>
      <w:r w:rsidR="00834AF3" w:rsidRPr="00AD7DA6">
        <w:rPr>
          <w:rFonts w:ascii="Century Schoolbook" w:hAnsi="Century Schoolbook"/>
        </w:rPr>
        <w:t xml:space="preserve"> consultants to evaluate and report on the foundation.  </w:t>
      </w:r>
      <w:r w:rsidR="00010D6E" w:rsidRPr="00AD7DA6">
        <w:rPr>
          <w:rFonts w:ascii="Century Schoolbook" w:hAnsi="Century Schoolbook"/>
        </w:rPr>
        <w:t>They concluded</w:t>
      </w:r>
      <w:r w:rsidR="009621FB" w:rsidRPr="00AD7DA6">
        <w:rPr>
          <w:rFonts w:ascii="Century Schoolbook" w:hAnsi="Century Schoolbook"/>
        </w:rPr>
        <w:t xml:space="preserve">, </w:t>
      </w:r>
      <w:r w:rsidR="00F506BC" w:rsidRPr="00AD7DA6">
        <w:rPr>
          <w:rFonts w:ascii="Century Schoolbook" w:hAnsi="Century Schoolbook"/>
        </w:rPr>
        <w:t xml:space="preserve">despite </w:t>
      </w:r>
      <w:r w:rsidR="003B3464" w:rsidRPr="00AD7DA6">
        <w:rPr>
          <w:rFonts w:ascii="Century Schoolbook" w:hAnsi="Century Schoolbook"/>
        </w:rPr>
        <w:t>strong</w:t>
      </w:r>
      <w:r w:rsidR="00F506BC" w:rsidRPr="00AD7DA6">
        <w:rPr>
          <w:rFonts w:ascii="Century Schoolbook" w:hAnsi="Century Schoolbook"/>
        </w:rPr>
        <w:t xml:space="preserve"> resistance from Teed, that</w:t>
      </w:r>
      <w:r w:rsidR="00010D6E" w:rsidRPr="00AD7DA6">
        <w:rPr>
          <w:rFonts w:ascii="Century Schoolbook" w:hAnsi="Century Schoolbook"/>
        </w:rPr>
        <w:t xml:space="preserve"> the foundation had to be </w:t>
      </w:r>
      <w:r w:rsidR="00614FCB" w:rsidRPr="00AD7DA6">
        <w:rPr>
          <w:rFonts w:ascii="Century Schoolbook" w:hAnsi="Century Schoolbook"/>
        </w:rPr>
        <w:t xml:space="preserve">torn out and </w:t>
      </w:r>
      <w:r w:rsidR="00010D6E" w:rsidRPr="00AD7DA6">
        <w:rPr>
          <w:rFonts w:ascii="Century Schoolbook" w:hAnsi="Century Schoolbook"/>
        </w:rPr>
        <w:t xml:space="preserve">replaced.  </w:t>
      </w:r>
      <w:proofErr w:type="spellStart"/>
      <w:r w:rsidR="00010D6E" w:rsidRPr="00AD7DA6">
        <w:rPr>
          <w:rFonts w:ascii="Century Schoolbook" w:hAnsi="Century Schoolbook"/>
        </w:rPr>
        <w:t>Teed’s</w:t>
      </w:r>
      <w:proofErr w:type="spellEnd"/>
      <w:r w:rsidR="00010D6E" w:rsidRPr="00AD7DA6">
        <w:rPr>
          <w:rFonts w:ascii="Century Schoolbook" w:hAnsi="Century Schoolbook"/>
        </w:rPr>
        <w:t xml:space="preserve"> structural engineer agreed that the foundation was defective and privately apologized to Moore. </w:t>
      </w:r>
      <w:r w:rsidR="00795484" w:rsidRPr="00AD7DA6">
        <w:rPr>
          <w:rFonts w:ascii="Century Schoolbook" w:hAnsi="Century Schoolbook"/>
        </w:rPr>
        <w:t xml:space="preserve"> </w:t>
      </w:r>
      <w:r w:rsidR="00DB1948" w:rsidRPr="00AD7DA6">
        <w:rPr>
          <w:rFonts w:ascii="Century Schoolbook" w:hAnsi="Century Schoolbook"/>
        </w:rPr>
        <w:t xml:space="preserve">By </w:t>
      </w:r>
      <w:r w:rsidR="007951F5" w:rsidRPr="00AD7DA6">
        <w:rPr>
          <w:rFonts w:ascii="Century Schoolbook" w:hAnsi="Century Schoolbook"/>
        </w:rPr>
        <w:t>then</w:t>
      </w:r>
      <w:r w:rsidR="00DB1948" w:rsidRPr="00AD7DA6">
        <w:rPr>
          <w:rFonts w:ascii="Century Schoolbook" w:hAnsi="Century Schoolbook"/>
        </w:rPr>
        <w:t xml:space="preserve">, Moore had paid about $265,000 of the $900,000 promised cost </w:t>
      </w:r>
      <w:r w:rsidR="00DA4259" w:rsidRPr="00AD7DA6">
        <w:rPr>
          <w:rFonts w:ascii="Century Schoolbook" w:hAnsi="Century Schoolbook"/>
        </w:rPr>
        <w:t xml:space="preserve">for </w:t>
      </w:r>
      <w:proofErr w:type="spellStart"/>
      <w:r w:rsidR="00DB1948" w:rsidRPr="00AD7DA6">
        <w:rPr>
          <w:rFonts w:ascii="Century Schoolbook" w:hAnsi="Century Schoolbook"/>
        </w:rPr>
        <w:t>Teed</w:t>
      </w:r>
      <w:r w:rsidR="00AD022E" w:rsidRPr="00AD7DA6">
        <w:rPr>
          <w:rFonts w:ascii="Century Schoolbook" w:hAnsi="Century Schoolbook"/>
        </w:rPr>
        <w:t>’s</w:t>
      </w:r>
      <w:proofErr w:type="spellEnd"/>
      <w:r w:rsidR="00AD022E" w:rsidRPr="00AD7DA6">
        <w:rPr>
          <w:rFonts w:ascii="Century Schoolbook" w:hAnsi="Century Schoolbook"/>
        </w:rPr>
        <w:t xml:space="preserve"> </w:t>
      </w:r>
      <w:r w:rsidR="00DB1948" w:rsidRPr="00AD7DA6">
        <w:rPr>
          <w:rFonts w:ascii="Century Schoolbook" w:hAnsi="Century Schoolbook"/>
        </w:rPr>
        <w:t xml:space="preserve">renovations.  </w:t>
      </w:r>
    </w:p>
    <w:p w14:paraId="0D8F9CC7" w14:textId="7D6088B9" w:rsidR="00F67028" w:rsidRPr="00BB0316" w:rsidRDefault="00F67028" w:rsidP="00BB0316">
      <w:pPr>
        <w:pStyle w:val="ListParagraph"/>
        <w:numPr>
          <w:ilvl w:val="0"/>
          <w:numId w:val="5"/>
        </w:numPr>
        <w:spacing w:line="360" w:lineRule="auto"/>
        <w:ind w:hanging="720"/>
        <w:rPr>
          <w:rFonts w:ascii="Century Schoolbook" w:hAnsi="Century Schoolbook"/>
          <w:b/>
          <w:bCs/>
          <w:i/>
        </w:rPr>
      </w:pPr>
      <w:r w:rsidRPr="00BB0316">
        <w:rPr>
          <w:rFonts w:ascii="Century Schoolbook" w:hAnsi="Century Schoolbook"/>
          <w:b/>
          <w:bCs/>
          <w:i/>
        </w:rPr>
        <w:t>Litigation Commences</w:t>
      </w:r>
    </w:p>
    <w:p w14:paraId="597E23D5" w14:textId="026DDF15" w:rsidR="00407E99" w:rsidRPr="00AD7DA6" w:rsidRDefault="00407E99" w:rsidP="00514AB4">
      <w:pPr>
        <w:spacing w:line="360" w:lineRule="auto"/>
        <w:rPr>
          <w:rFonts w:ascii="Century Schoolbook" w:hAnsi="Century Schoolbook"/>
        </w:rPr>
      </w:pPr>
      <w:r w:rsidRPr="00AD7DA6">
        <w:rPr>
          <w:rFonts w:ascii="Century Schoolbook" w:hAnsi="Century Schoolbook"/>
        </w:rPr>
        <w:tab/>
        <w:t xml:space="preserve">On August 2, 2013, </w:t>
      </w:r>
      <w:r w:rsidR="007C1BB3" w:rsidRPr="00AD7DA6">
        <w:rPr>
          <w:rFonts w:ascii="Century Schoolbook" w:hAnsi="Century Schoolbook"/>
        </w:rPr>
        <w:t>Moore</w:t>
      </w:r>
      <w:r w:rsidRPr="00AD7DA6">
        <w:rPr>
          <w:rFonts w:ascii="Century Schoolbook" w:hAnsi="Century Schoolbook"/>
        </w:rPr>
        <w:t xml:space="preserve"> filed a complaint </w:t>
      </w:r>
      <w:r w:rsidR="00F67028" w:rsidRPr="00AD7DA6">
        <w:rPr>
          <w:rFonts w:ascii="Century Schoolbook" w:hAnsi="Century Schoolbook"/>
        </w:rPr>
        <w:t xml:space="preserve">against Teed and other defendants </w:t>
      </w:r>
      <w:r w:rsidRPr="00AD7DA6">
        <w:rPr>
          <w:rFonts w:ascii="Century Schoolbook" w:hAnsi="Century Schoolbook"/>
        </w:rPr>
        <w:t xml:space="preserve">for </w:t>
      </w:r>
      <w:r w:rsidR="00765380" w:rsidRPr="00AD7DA6">
        <w:rPr>
          <w:rFonts w:ascii="Century Schoolbook" w:hAnsi="Century Schoolbook"/>
        </w:rPr>
        <w:t>breach of contract, intentional misrepresentation, negligent misrepresentation, negligence, breach of fiduciary duties, negligence per se, violat</w:t>
      </w:r>
      <w:r w:rsidR="00DC44B9" w:rsidRPr="00AD7DA6">
        <w:rPr>
          <w:rFonts w:ascii="Century Schoolbook" w:hAnsi="Century Schoolbook"/>
        </w:rPr>
        <w:t>i</w:t>
      </w:r>
      <w:r w:rsidR="00765380" w:rsidRPr="00AD7DA6">
        <w:rPr>
          <w:rFonts w:ascii="Century Schoolbook" w:hAnsi="Century Schoolbook"/>
        </w:rPr>
        <w:t xml:space="preserve">on of </w:t>
      </w:r>
      <w:r w:rsidR="00DC44B9" w:rsidRPr="00AD7DA6">
        <w:rPr>
          <w:rFonts w:ascii="Century Schoolbook" w:hAnsi="Century Schoolbook"/>
        </w:rPr>
        <w:t>B</w:t>
      </w:r>
      <w:r w:rsidR="00765380" w:rsidRPr="00AD7DA6">
        <w:rPr>
          <w:rFonts w:ascii="Century Schoolbook" w:hAnsi="Century Schoolbook"/>
        </w:rPr>
        <w:t xml:space="preserve">usiness and </w:t>
      </w:r>
      <w:r w:rsidR="00DC44B9" w:rsidRPr="00AD7DA6">
        <w:rPr>
          <w:rFonts w:ascii="Century Schoolbook" w:hAnsi="Century Schoolbook"/>
        </w:rPr>
        <w:t>P</w:t>
      </w:r>
      <w:r w:rsidR="00765380" w:rsidRPr="00AD7DA6">
        <w:rPr>
          <w:rFonts w:ascii="Century Schoolbook" w:hAnsi="Century Schoolbook"/>
        </w:rPr>
        <w:t>rofess</w:t>
      </w:r>
      <w:r w:rsidR="00DC44B9" w:rsidRPr="00AD7DA6">
        <w:rPr>
          <w:rFonts w:ascii="Century Schoolbook" w:hAnsi="Century Schoolbook"/>
        </w:rPr>
        <w:t>i</w:t>
      </w:r>
      <w:r w:rsidR="00765380" w:rsidRPr="00AD7DA6">
        <w:rPr>
          <w:rFonts w:ascii="Century Schoolbook" w:hAnsi="Century Schoolbook"/>
        </w:rPr>
        <w:t>ons Code</w:t>
      </w:r>
      <w:r w:rsidR="00795484" w:rsidRPr="00AD7DA6">
        <w:rPr>
          <w:rStyle w:val="FootnoteReference"/>
          <w:rFonts w:ascii="Century Schoolbook" w:hAnsi="Century Schoolbook"/>
        </w:rPr>
        <w:footnoteReference w:id="2"/>
      </w:r>
      <w:r w:rsidR="00765380" w:rsidRPr="00AD7DA6">
        <w:rPr>
          <w:rFonts w:ascii="Century Schoolbook" w:hAnsi="Century Schoolbook"/>
        </w:rPr>
        <w:t xml:space="preserve"> section 17200, professional negligence, and recovery against license bonds.  </w:t>
      </w:r>
      <w:r w:rsidR="00475D88" w:rsidRPr="00AD7DA6">
        <w:rPr>
          <w:rFonts w:ascii="Century Schoolbook" w:hAnsi="Century Schoolbook"/>
        </w:rPr>
        <w:t xml:space="preserve">Moore alleged </w:t>
      </w:r>
      <w:r w:rsidR="0082488A" w:rsidRPr="00AD7DA6">
        <w:rPr>
          <w:rFonts w:ascii="Century Schoolbook" w:hAnsi="Century Schoolbook"/>
        </w:rPr>
        <w:t xml:space="preserve">he was fraudulently induced to </w:t>
      </w:r>
      <w:r w:rsidR="009A436C" w:rsidRPr="00AD7DA6">
        <w:rPr>
          <w:rFonts w:ascii="Century Schoolbook" w:hAnsi="Century Schoolbook"/>
        </w:rPr>
        <w:t xml:space="preserve">purchase and renovate the </w:t>
      </w:r>
      <w:r w:rsidR="000219B0" w:rsidRPr="00AD7DA6">
        <w:rPr>
          <w:rFonts w:ascii="Century Schoolbook" w:hAnsi="Century Schoolbook"/>
        </w:rPr>
        <w:t>property</w:t>
      </w:r>
      <w:r w:rsidR="009A436C" w:rsidRPr="00AD7DA6">
        <w:rPr>
          <w:rFonts w:ascii="Century Schoolbook" w:hAnsi="Century Schoolbook"/>
        </w:rPr>
        <w:t xml:space="preserve"> based on false representations that Teed was an experienced contractor who could deliver </w:t>
      </w:r>
      <w:r w:rsidR="00475D88" w:rsidRPr="00AD7DA6">
        <w:rPr>
          <w:rFonts w:ascii="Century Schoolbook" w:hAnsi="Century Schoolbook"/>
        </w:rPr>
        <w:t>a basic</w:t>
      </w:r>
      <w:r w:rsidR="00B739B4" w:rsidRPr="00AD7DA6">
        <w:rPr>
          <w:rFonts w:ascii="Century Schoolbook" w:hAnsi="Century Schoolbook"/>
        </w:rPr>
        <w:t>, yet</w:t>
      </w:r>
      <w:r w:rsidR="00475D88" w:rsidRPr="00AD7DA6">
        <w:rPr>
          <w:rFonts w:ascii="Century Schoolbook" w:hAnsi="Century Schoolbook"/>
        </w:rPr>
        <w:t xml:space="preserve"> quality remodel for $900,000. </w:t>
      </w:r>
      <w:r w:rsidR="00245EB8" w:rsidRPr="00AD7DA6">
        <w:rPr>
          <w:rFonts w:ascii="Century Schoolbook" w:hAnsi="Century Schoolbook"/>
        </w:rPr>
        <w:t xml:space="preserve"> </w:t>
      </w:r>
    </w:p>
    <w:p w14:paraId="57317C4B" w14:textId="0267A2FA" w:rsidR="00245EB8" w:rsidRPr="00AD7DA6" w:rsidRDefault="00F67028" w:rsidP="00514AB4">
      <w:pPr>
        <w:spacing w:line="360" w:lineRule="auto"/>
        <w:rPr>
          <w:rFonts w:ascii="Century Schoolbook" w:hAnsi="Century Schoolbook"/>
        </w:rPr>
      </w:pPr>
      <w:r w:rsidRPr="00AD7DA6">
        <w:rPr>
          <w:rFonts w:ascii="Century Schoolbook" w:hAnsi="Century Schoolbook"/>
        </w:rPr>
        <w:tab/>
        <w:t xml:space="preserve">Moore hired a new architect and a general contractor  </w:t>
      </w:r>
      <w:proofErr w:type="gramStart"/>
      <w:r w:rsidR="005E4749" w:rsidRPr="00AD7DA6">
        <w:rPr>
          <w:rFonts w:ascii="Century Schoolbook" w:hAnsi="Century Schoolbook"/>
        </w:rPr>
        <w:t>T</w:t>
      </w:r>
      <w:r w:rsidR="003031D7" w:rsidRPr="00AD7DA6">
        <w:rPr>
          <w:rFonts w:ascii="Century Schoolbook" w:hAnsi="Century Schoolbook"/>
        </w:rPr>
        <w:t>he</w:t>
      </w:r>
      <w:proofErr w:type="gramEnd"/>
      <w:r w:rsidR="003031D7" w:rsidRPr="00AD7DA6">
        <w:rPr>
          <w:rFonts w:ascii="Century Schoolbook" w:hAnsi="Century Schoolbook"/>
        </w:rPr>
        <w:t xml:space="preserve"> </w:t>
      </w:r>
      <w:r w:rsidR="005E4749" w:rsidRPr="00AD7DA6">
        <w:rPr>
          <w:rFonts w:ascii="Century Schoolbook" w:hAnsi="Century Schoolbook"/>
        </w:rPr>
        <w:t xml:space="preserve">defective </w:t>
      </w:r>
      <w:r w:rsidRPr="00AD7DA6">
        <w:rPr>
          <w:rFonts w:ascii="Century Schoolbook" w:hAnsi="Century Schoolbook"/>
        </w:rPr>
        <w:t xml:space="preserve">foundation </w:t>
      </w:r>
      <w:r w:rsidR="005E4749" w:rsidRPr="00AD7DA6">
        <w:rPr>
          <w:rFonts w:ascii="Century Schoolbook" w:hAnsi="Century Schoolbook"/>
        </w:rPr>
        <w:t xml:space="preserve">was </w:t>
      </w:r>
      <w:r w:rsidR="00794BBF" w:rsidRPr="00AD7DA6">
        <w:rPr>
          <w:rFonts w:ascii="Century Schoolbook" w:hAnsi="Century Schoolbook"/>
        </w:rPr>
        <w:t>demolished</w:t>
      </w:r>
      <w:r w:rsidR="005E4749" w:rsidRPr="00AD7DA6">
        <w:rPr>
          <w:rFonts w:ascii="Century Schoolbook" w:hAnsi="Century Schoolbook"/>
        </w:rPr>
        <w:t xml:space="preserve"> and</w:t>
      </w:r>
      <w:r w:rsidRPr="00AD7DA6">
        <w:rPr>
          <w:rFonts w:ascii="Century Schoolbook" w:hAnsi="Century Schoolbook"/>
        </w:rPr>
        <w:t xml:space="preserve"> replaced</w:t>
      </w:r>
      <w:r w:rsidR="00CC686A" w:rsidRPr="00AD7DA6">
        <w:rPr>
          <w:rFonts w:ascii="Century Schoolbook" w:hAnsi="Century Schoolbook"/>
        </w:rPr>
        <w:t xml:space="preserve"> </w:t>
      </w:r>
      <w:r w:rsidR="00DC62FD" w:rsidRPr="00AD7DA6">
        <w:rPr>
          <w:rFonts w:ascii="Century Schoolbook" w:hAnsi="Century Schoolbook"/>
        </w:rPr>
        <w:t>and</w:t>
      </w:r>
      <w:r w:rsidR="004F1B6E" w:rsidRPr="00AD7DA6">
        <w:rPr>
          <w:rFonts w:ascii="Century Schoolbook" w:hAnsi="Century Schoolbook"/>
        </w:rPr>
        <w:t xml:space="preserve"> renovations along the lines of </w:t>
      </w:r>
      <w:r w:rsidR="004F1B6E" w:rsidRPr="00AD7DA6">
        <w:rPr>
          <w:rFonts w:ascii="Century Schoolbook" w:hAnsi="Century Schoolbook"/>
        </w:rPr>
        <w:lastRenderedPageBreak/>
        <w:t>those promised by Teed were completed at a much higher expense</w:t>
      </w:r>
      <w:r w:rsidRPr="00AD7DA6">
        <w:rPr>
          <w:rFonts w:ascii="Century Schoolbook" w:hAnsi="Century Schoolbook"/>
        </w:rPr>
        <w:t xml:space="preserve">.  Moore and his father </w:t>
      </w:r>
      <w:r w:rsidR="003031D7" w:rsidRPr="00AD7DA6">
        <w:rPr>
          <w:rFonts w:ascii="Century Schoolbook" w:hAnsi="Century Schoolbook"/>
        </w:rPr>
        <w:t xml:space="preserve">eventually </w:t>
      </w:r>
      <w:r w:rsidRPr="00AD7DA6">
        <w:rPr>
          <w:rFonts w:ascii="Century Schoolbook" w:hAnsi="Century Schoolbook"/>
        </w:rPr>
        <w:t xml:space="preserve">expanded the renovation </w:t>
      </w:r>
      <w:r w:rsidR="00B739B4" w:rsidRPr="00AD7DA6">
        <w:rPr>
          <w:rFonts w:ascii="Century Schoolbook" w:hAnsi="Century Schoolbook"/>
        </w:rPr>
        <w:t xml:space="preserve">well </w:t>
      </w:r>
      <w:r w:rsidRPr="00AD7DA6">
        <w:rPr>
          <w:rFonts w:ascii="Century Schoolbook" w:hAnsi="Century Schoolbook"/>
        </w:rPr>
        <w:t>beyond what Teed had originally proposed.  Moore did not seek damages for these additions at trial</w:t>
      </w:r>
      <w:r w:rsidR="00F50131" w:rsidRPr="00AD7DA6">
        <w:rPr>
          <w:rFonts w:ascii="Century Schoolbook" w:hAnsi="Century Schoolbook"/>
        </w:rPr>
        <w:t xml:space="preserve">.  </w:t>
      </w:r>
      <w:r w:rsidR="003938A1" w:rsidRPr="00AD7DA6">
        <w:rPr>
          <w:rFonts w:ascii="Century Schoolbook" w:hAnsi="Century Schoolbook"/>
        </w:rPr>
        <w:t>By</w:t>
      </w:r>
      <w:r w:rsidR="00245EB8" w:rsidRPr="00AD7DA6">
        <w:rPr>
          <w:rFonts w:ascii="Century Schoolbook" w:hAnsi="Century Schoolbook"/>
        </w:rPr>
        <w:t xml:space="preserve"> the 2017 trial, </w:t>
      </w:r>
      <w:r w:rsidR="003031D7" w:rsidRPr="00AD7DA6">
        <w:rPr>
          <w:rFonts w:ascii="Century Schoolbook" w:hAnsi="Century Schoolbook"/>
        </w:rPr>
        <w:t>Moore</w:t>
      </w:r>
      <w:r w:rsidR="003938A1" w:rsidRPr="00AD7DA6">
        <w:rPr>
          <w:rFonts w:ascii="Century Schoolbook" w:hAnsi="Century Schoolbook"/>
        </w:rPr>
        <w:t xml:space="preserve"> had nearly completed </w:t>
      </w:r>
      <w:r w:rsidR="00961D70" w:rsidRPr="00AD7DA6">
        <w:rPr>
          <w:rFonts w:ascii="Century Schoolbook" w:hAnsi="Century Schoolbook"/>
        </w:rPr>
        <w:t xml:space="preserve">the </w:t>
      </w:r>
      <w:r w:rsidR="003938A1" w:rsidRPr="00AD7DA6">
        <w:rPr>
          <w:rFonts w:ascii="Century Schoolbook" w:hAnsi="Century Schoolbook"/>
        </w:rPr>
        <w:t xml:space="preserve">renovations </w:t>
      </w:r>
      <w:r w:rsidR="00961D70" w:rsidRPr="00AD7DA6">
        <w:rPr>
          <w:rFonts w:ascii="Century Schoolbook" w:hAnsi="Century Schoolbook"/>
        </w:rPr>
        <w:t xml:space="preserve">to his home </w:t>
      </w:r>
      <w:r w:rsidR="00245EB8" w:rsidRPr="00AD7DA6">
        <w:rPr>
          <w:rFonts w:ascii="Century Schoolbook" w:hAnsi="Century Schoolbook"/>
        </w:rPr>
        <w:t xml:space="preserve">at a total cost of about $9 million.  </w:t>
      </w:r>
    </w:p>
    <w:p w14:paraId="207A21E3" w14:textId="7DC797AD" w:rsidR="00F67028" w:rsidRPr="00AD7DA6" w:rsidRDefault="00F67028" w:rsidP="00514AB4">
      <w:pPr>
        <w:spacing w:line="360" w:lineRule="auto"/>
        <w:rPr>
          <w:rFonts w:ascii="Century Schoolbook" w:hAnsi="Century Schoolbook"/>
        </w:rPr>
      </w:pPr>
      <w:r w:rsidRPr="00AD7DA6">
        <w:rPr>
          <w:rFonts w:ascii="Century Schoolbook" w:hAnsi="Century Schoolbook"/>
        </w:rPr>
        <w:tab/>
      </w:r>
      <w:r w:rsidR="003031D7" w:rsidRPr="00AD7DA6">
        <w:rPr>
          <w:rFonts w:ascii="Century Schoolbook" w:hAnsi="Century Schoolbook"/>
        </w:rPr>
        <w:t xml:space="preserve">At trial, </w:t>
      </w:r>
      <w:r w:rsidR="000E41B0" w:rsidRPr="00AD7DA6">
        <w:rPr>
          <w:rFonts w:ascii="Century Schoolbook" w:hAnsi="Century Schoolbook"/>
        </w:rPr>
        <w:t>construction cost estimator</w:t>
      </w:r>
      <w:r w:rsidR="003031D7" w:rsidRPr="00AD7DA6">
        <w:rPr>
          <w:rFonts w:ascii="Century Schoolbook" w:hAnsi="Century Schoolbook"/>
        </w:rPr>
        <w:t xml:space="preserve"> Christine </w:t>
      </w:r>
      <w:proofErr w:type="spellStart"/>
      <w:r w:rsidR="003031D7" w:rsidRPr="00AD7DA6">
        <w:rPr>
          <w:rFonts w:ascii="Century Schoolbook" w:hAnsi="Century Schoolbook"/>
        </w:rPr>
        <w:t>Kiesling</w:t>
      </w:r>
      <w:proofErr w:type="spellEnd"/>
      <w:r w:rsidR="003031D7" w:rsidRPr="00AD7DA6">
        <w:rPr>
          <w:rFonts w:ascii="Century Schoolbook" w:hAnsi="Century Schoolbook"/>
        </w:rPr>
        <w:t xml:space="preserve"> testified for </w:t>
      </w:r>
      <w:r w:rsidR="000E41B0" w:rsidRPr="00AD7DA6">
        <w:rPr>
          <w:rFonts w:ascii="Century Schoolbook" w:hAnsi="Century Schoolbook"/>
        </w:rPr>
        <w:t xml:space="preserve">Moore as an expert witness. </w:t>
      </w:r>
      <w:r w:rsidR="009208BA" w:rsidRPr="00AD7DA6">
        <w:rPr>
          <w:rFonts w:ascii="Century Schoolbook" w:hAnsi="Century Schoolbook"/>
        </w:rPr>
        <w:t xml:space="preserve"> </w:t>
      </w:r>
      <w:proofErr w:type="spellStart"/>
      <w:r w:rsidR="00E70DAA" w:rsidRPr="00AD7DA6">
        <w:rPr>
          <w:rFonts w:ascii="Century Schoolbook" w:hAnsi="Century Schoolbook"/>
        </w:rPr>
        <w:t>Kiesling</w:t>
      </w:r>
      <w:proofErr w:type="spellEnd"/>
      <w:r w:rsidR="00E70DAA" w:rsidRPr="00AD7DA6">
        <w:rPr>
          <w:rFonts w:ascii="Century Schoolbook" w:hAnsi="Century Schoolbook"/>
        </w:rPr>
        <w:t xml:space="preserve"> explained that the cost </w:t>
      </w:r>
      <w:r w:rsidR="00400253" w:rsidRPr="00AD7DA6">
        <w:rPr>
          <w:rFonts w:ascii="Century Schoolbook" w:hAnsi="Century Schoolbook"/>
        </w:rPr>
        <w:t xml:space="preserve">to complete </w:t>
      </w:r>
      <w:proofErr w:type="spellStart"/>
      <w:r w:rsidR="00400253" w:rsidRPr="00AD7DA6">
        <w:rPr>
          <w:rFonts w:ascii="Century Schoolbook" w:hAnsi="Century Schoolbook"/>
        </w:rPr>
        <w:t>Teed’s</w:t>
      </w:r>
      <w:proofErr w:type="spellEnd"/>
      <w:r w:rsidR="00400253" w:rsidRPr="00AD7DA6">
        <w:rPr>
          <w:rFonts w:ascii="Century Schoolbook" w:hAnsi="Century Schoolbook"/>
        </w:rPr>
        <w:t xml:space="preserve"> </w:t>
      </w:r>
      <w:r w:rsidR="007F1CF8" w:rsidRPr="00AD7DA6">
        <w:rPr>
          <w:rFonts w:ascii="Century Schoolbook" w:hAnsi="Century Schoolbook"/>
        </w:rPr>
        <w:t xml:space="preserve">proposed </w:t>
      </w:r>
      <w:r w:rsidR="00620B6A" w:rsidRPr="00AD7DA6">
        <w:rPr>
          <w:rFonts w:ascii="Century Schoolbook" w:hAnsi="Century Schoolbook"/>
        </w:rPr>
        <w:t xml:space="preserve">renovations </w:t>
      </w:r>
      <w:r w:rsidR="00C5191E" w:rsidRPr="00AD7DA6">
        <w:rPr>
          <w:rFonts w:ascii="Century Schoolbook" w:hAnsi="Century Schoolbook"/>
        </w:rPr>
        <w:t xml:space="preserve">was much higher than promised because </w:t>
      </w:r>
      <w:proofErr w:type="spellStart"/>
      <w:r w:rsidR="002F1273" w:rsidRPr="00AD7DA6">
        <w:rPr>
          <w:rFonts w:ascii="Century Schoolbook" w:hAnsi="Century Schoolbook"/>
        </w:rPr>
        <w:t>Teed’s</w:t>
      </w:r>
      <w:proofErr w:type="spellEnd"/>
      <w:r w:rsidR="002F1273" w:rsidRPr="00AD7DA6">
        <w:rPr>
          <w:rFonts w:ascii="Century Schoolbook" w:hAnsi="Century Schoolbook"/>
        </w:rPr>
        <w:t xml:space="preserve"> </w:t>
      </w:r>
      <w:r w:rsidR="00CA1EF5" w:rsidRPr="00AD7DA6">
        <w:rPr>
          <w:rFonts w:ascii="Century Schoolbook" w:hAnsi="Century Schoolbook"/>
        </w:rPr>
        <w:t>estimate</w:t>
      </w:r>
      <w:r w:rsidR="00814CD6" w:rsidRPr="00AD7DA6">
        <w:rPr>
          <w:rFonts w:ascii="Century Schoolbook" w:hAnsi="Century Schoolbook"/>
        </w:rPr>
        <w:t>s</w:t>
      </w:r>
      <w:r w:rsidR="00CA1EF5" w:rsidRPr="00AD7DA6">
        <w:rPr>
          <w:rFonts w:ascii="Century Schoolbook" w:hAnsi="Century Schoolbook"/>
        </w:rPr>
        <w:t xml:space="preserve"> </w:t>
      </w:r>
      <w:r w:rsidR="0030541F" w:rsidRPr="00AD7DA6">
        <w:rPr>
          <w:rFonts w:ascii="Century Schoolbook" w:hAnsi="Century Schoolbook"/>
        </w:rPr>
        <w:t>had been</w:t>
      </w:r>
      <w:r w:rsidR="008A6A64" w:rsidRPr="00AD7DA6">
        <w:rPr>
          <w:rFonts w:ascii="Century Schoolbook" w:hAnsi="Century Schoolbook"/>
        </w:rPr>
        <w:t xml:space="preserve"> </w:t>
      </w:r>
      <w:r w:rsidR="000B67C7" w:rsidRPr="00AD7DA6">
        <w:rPr>
          <w:rFonts w:ascii="Century Schoolbook" w:hAnsi="Century Schoolbook"/>
        </w:rPr>
        <w:t xml:space="preserve">unrealistically low </w:t>
      </w:r>
      <w:r w:rsidR="00306702" w:rsidRPr="00AD7DA6">
        <w:rPr>
          <w:rFonts w:ascii="Century Schoolbook" w:hAnsi="Century Schoolbook"/>
        </w:rPr>
        <w:t xml:space="preserve">and because </w:t>
      </w:r>
      <w:r w:rsidR="000B67C7" w:rsidRPr="00AD7DA6">
        <w:rPr>
          <w:rFonts w:ascii="Century Schoolbook" w:hAnsi="Century Schoolbook"/>
        </w:rPr>
        <w:t xml:space="preserve">construction expenses </w:t>
      </w:r>
      <w:r w:rsidR="00844480" w:rsidRPr="00AD7DA6">
        <w:rPr>
          <w:rFonts w:ascii="Century Schoolbook" w:hAnsi="Century Schoolbook"/>
        </w:rPr>
        <w:t xml:space="preserve">had </w:t>
      </w:r>
      <w:r w:rsidR="00DF38FD" w:rsidRPr="00AD7DA6">
        <w:rPr>
          <w:rFonts w:ascii="Century Schoolbook" w:hAnsi="Century Schoolbook"/>
        </w:rPr>
        <w:t xml:space="preserve">gone up in the additional time it took to </w:t>
      </w:r>
      <w:r w:rsidR="0055197F" w:rsidRPr="00AD7DA6">
        <w:rPr>
          <w:rFonts w:ascii="Century Schoolbook" w:hAnsi="Century Schoolbook"/>
        </w:rPr>
        <w:t xml:space="preserve">tear out and </w:t>
      </w:r>
      <w:r w:rsidR="00DF38FD" w:rsidRPr="00AD7DA6">
        <w:rPr>
          <w:rFonts w:ascii="Century Schoolbook" w:hAnsi="Century Schoolbook"/>
        </w:rPr>
        <w:t xml:space="preserve">replace the foundation.  </w:t>
      </w:r>
      <w:proofErr w:type="spellStart"/>
      <w:r w:rsidR="00AB466A" w:rsidRPr="00AD7DA6">
        <w:rPr>
          <w:rFonts w:ascii="Century Schoolbook" w:hAnsi="Century Schoolbook"/>
        </w:rPr>
        <w:t>Kiesling</w:t>
      </w:r>
      <w:proofErr w:type="spellEnd"/>
      <w:r w:rsidR="00AB466A" w:rsidRPr="00AD7DA6">
        <w:rPr>
          <w:rFonts w:ascii="Century Schoolbook" w:hAnsi="Century Schoolbook"/>
        </w:rPr>
        <w:t xml:space="preserve"> testified</w:t>
      </w:r>
      <w:r w:rsidR="00EC2D12" w:rsidRPr="00AD7DA6">
        <w:rPr>
          <w:rFonts w:ascii="Century Schoolbook" w:hAnsi="Century Schoolbook"/>
        </w:rPr>
        <w:t xml:space="preserve"> </w:t>
      </w:r>
      <w:r w:rsidR="0055197F" w:rsidRPr="00AD7DA6">
        <w:rPr>
          <w:rFonts w:ascii="Century Schoolbook" w:hAnsi="Century Schoolbook"/>
        </w:rPr>
        <w:t>about</w:t>
      </w:r>
      <w:r w:rsidR="00833BA2" w:rsidRPr="00AD7DA6">
        <w:rPr>
          <w:rFonts w:ascii="Century Schoolbook" w:hAnsi="Century Schoolbook"/>
        </w:rPr>
        <w:t xml:space="preserve"> four items of damages</w:t>
      </w:r>
      <w:r w:rsidR="00D0219C" w:rsidRPr="00AD7DA6">
        <w:rPr>
          <w:rFonts w:ascii="Century Schoolbook" w:hAnsi="Century Schoolbook"/>
        </w:rPr>
        <w:t xml:space="preserve"> claimed by Moore</w:t>
      </w:r>
      <w:r w:rsidR="00833BA2" w:rsidRPr="00AD7DA6">
        <w:rPr>
          <w:rFonts w:ascii="Century Schoolbook" w:hAnsi="Century Schoolbook"/>
        </w:rPr>
        <w:t xml:space="preserve">: </w:t>
      </w:r>
      <w:r w:rsidR="00795484" w:rsidRPr="00AD7DA6">
        <w:rPr>
          <w:rFonts w:ascii="Century Schoolbook" w:hAnsi="Century Schoolbook"/>
        </w:rPr>
        <w:t xml:space="preserve"> </w:t>
      </w:r>
      <w:r w:rsidR="00833BA2" w:rsidRPr="00AD7DA6">
        <w:rPr>
          <w:rFonts w:ascii="Century Schoolbook" w:hAnsi="Century Schoolbook"/>
        </w:rPr>
        <w:t>(1</w:t>
      </w:r>
      <w:r w:rsidR="001346C1" w:rsidRPr="00AD7DA6">
        <w:rPr>
          <w:rFonts w:ascii="Century Schoolbook" w:hAnsi="Century Schoolbook"/>
        </w:rPr>
        <w:t xml:space="preserve">) </w:t>
      </w:r>
      <w:r w:rsidR="00DC353E" w:rsidRPr="00AD7DA6">
        <w:rPr>
          <w:rFonts w:ascii="Century Schoolbook" w:hAnsi="Century Schoolbook"/>
        </w:rPr>
        <w:t xml:space="preserve">the difference in value between </w:t>
      </w:r>
      <w:r w:rsidR="00D01088" w:rsidRPr="00AD7DA6">
        <w:rPr>
          <w:rFonts w:ascii="Century Schoolbook" w:hAnsi="Century Schoolbook"/>
        </w:rPr>
        <w:t xml:space="preserve">the actual cost of </w:t>
      </w:r>
      <w:proofErr w:type="spellStart"/>
      <w:r w:rsidR="00D01088" w:rsidRPr="00AD7DA6">
        <w:rPr>
          <w:rFonts w:ascii="Century Schoolbook" w:hAnsi="Century Schoolbook"/>
        </w:rPr>
        <w:t>Teed’s</w:t>
      </w:r>
      <w:proofErr w:type="spellEnd"/>
      <w:r w:rsidR="00D01088" w:rsidRPr="00AD7DA6">
        <w:rPr>
          <w:rFonts w:ascii="Century Schoolbook" w:hAnsi="Century Schoolbook"/>
        </w:rPr>
        <w:t xml:space="preserve"> renovations using 2011</w:t>
      </w:r>
      <w:r w:rsidR="00314B55" w:rsidRPr="00AD7DA6">
        <w:rPr>
          <w:rFonts w:ascii="Century Schoolbook" w:hAnsi="Century Schoolbook"/>
        </w:rPr>
        <w:t>-2012</w:t>
      </w:r>
      <w:r w:rsidR="00D01088" w:rsidRPr="00AD7DA6">
        <w:rPr>
          <w:rFonts w:ascii="Century Schoolbook" w:hAnsi="Century Schoolbook"/>
        </w:rPr>
        <w:t xml:space="preserve"> pricing rates</w:t>
      </w:r>
      <w:r w:rsidR="00CB58ED" w:rsidRPr="00AD7DA6">
        <w:rPr>
          <w:rFonts w:ascii="Century Schoolbook" w:hAnsi="Century Schoolbook"/>
        </w:rPr>
        <w:t xml:space="preserve"> and </w:t>
      </w:r>
      <w:r w:rsidR="0002300C" w:rsidRPr="00AD7DA6">
        <w:rPr>
          <w:rFonts w:ascii="Century Schoolbook" w:hAnsi="Century Schoolbook"/>
        </w:rPr>
        <w:t xml:space="preserve">the promised </w:t>
      </w:r>
      <w:r w:rsidR="00D748AE" w:rsidRPr="00AD7DA6">
        <w:rPr>
          <w:rFonts w:ascii="Century Schoolbook" w:hAnsi="Century Schoolbook"/>
        </w:rPr>
        <w:t>cost</w:t>
      </w:r>
      <w:r w:rsidR="0002300C" w:rsidRPr="00AD7DA6">
        <w:rPr>
          <w:rFonts w:ascii="Century Schoolbook" w:hAnsi="Century Schoolbook"/>
        </w:rPr>
        <w:t xml:space="preserve"> of $900,000</w:t>
      </w:r>
      <w:r w:rsidR="00D01088" w:rsidRPr="00AD7DA6">
        <w:rPr>
          <w:rFonts w:ascii="Century Schoolbook" w:hAnsi="Century Schoolbook"/>
        </w:rPr>
        <w:t>;</w:t>
      </w:r>
      <w:r w:rsidR="0002300C" w:rsidRPr="00AD7DA6">
        <w:rPr>
          <w:rFonts w:ascii="Century Schoolbook" w:hAnsi="Century Schoolbook"/>
        </w:rPr>
        <w:t xml:space="preserve"> (2) the actual cost to demolish and replace the foundation; (3) </w:t>
      </w:r>
      <w:r w:rsidR="003D6B83" w:rsidRPr="00AD7DA6">
        <w:rPr>
          <w:rFonts w:ascii="Century Schoolbook" w:hAnsi="Century Schoolbook"/>
        </w:rPr>
        <w:t xml:space="preserve">the </w:t>
      </w:r>
      <w:r w:rsidR="00A600CA" w:rsidRPr="00AD7DA6">
        <w:rPr>
          <w:rFonts w:ascii="Century Schoolbook" w:hAnsi="Century Schoolbook"/>
        </w:rPr>
        <w:t xml:space="preserve">value </w:t>
      </w:r>
      <w:r w:rsidR="000357E7" w:rsidRPr="00AD7DA6">
        <w:rPr>
          <w:rFonts w:ascii="Century Schoolbook" w:hAnsi="Century Schoolbook"/>
        </w:rPr>
        <w:t>of</w:t>
      </w:r>
      <w:r w:rsidR="00A600CA" w:rsidRPr="00AD7DA6">
        <w:rPr>
          <w:rFonts w:ascii="Century Schoolbook" w:hAnsi="Century Schoolbook"/>
        </w:rPr>
        <w:t xml:space="preserve"> the lost use of the property; and (4) the increased costs </w:t>
      </w:r>
      <w:r w:rsidR="00EE39A3" w:rsidRPr="00AD7DA6">
        <w:rPr>
          <w:rFonts w:ascii="Century Schoolbook" w:hAnsi="Century Schoolbook"/>
        </w:rPr>
        <w:t xml:space="preserve">due to the delay </w:t>
      </w:r>
      <w:r w:rsidR="00D7193E" w:rsidRPr="00AD7DA6">
        <w:rPr>
          <w:rFonts w:ascii="Century Schoolbook" w:hAnsi="Century Schoolbook"/>
        </w:rPr>
        <w:t>in</w:t>
      </w:r>
      <w:r w:rsidR="00196489" w:rsidRPr="00AD7DA6">
        <w:rPr>
          <w:rFonts w:ascii="Century Schoolbook" w:hAnsi="Century Schoolbook"/>
        </w:rPr>
        <w:t xml:space="preserve"> the renovations</w:t>
      </w:r>
      <w:r w:rsidR="008935C7" w:rsidRPr="00AD7DA6">
        <w:rPr>
          <w:rFonts w:ascii="Century Schoolbook" w:hAnsi="Century Schoolbook"/>
        </w:rPr>
        <w:t xml:space="preserve">. </w:t>
      </w:r>
      <w:r w:rsidR="00A52EE3" w:rsidRPr="00AD7DA6">
        <w:rPr>
          <w:rFonts w:ascii="Century Schoolbook" w:hAnsi="Century Schoolbook"/>
        </w:rPr>
        <w:t xml:space="preserve"> </w:t>
      </w:r>
    </w:p>
    <w:p w14:paraId="051239DC" w14:textId="0DDD67EB" w:rsidR="00A615F0" w:rsidRPr="00AD7DA6" w:rsidRDefault="00A6128A" w:rsidP="00514AB4">
      <w:pPr>
        <w:spacing w:line="360" w:lineRule="auto"/>
        <w:rPr>
          <w:rFonts w:ascii="Century Schoolbook" w:hAnsi="Century Schoolbook"/>
        </w:rPr>
      </w:pPr>
      <w:r w:rsidRPr="00AD7DA6">
        <w:rPr>
          <w:rFonts w:ascii="Century Schoolbook" w:hAnsi="Century Schoolbook"/>
        </w:rPr>
        <w:tab/>
      </w:r>
      <w:proofErr w:type="spellStart"/>
      <w:r w:rsidRPr="00AD7DA6">
        <w:rPr>
          <w:rFonts w:ascii="Century Schoolbook" w:hAnsi="Century Schoolbook"/>
        </w:rPr>
        <w:t>Kiesling</w:t>
      </w:r>
      <w:proofErr w:type="spellEnd"/>
      <w:r w:rsidRPr="00AD7DA6">
        <w:rPr>
          <w:rFonts w:ascii="Century Schoolbook" w:hAnsi="Century Schoolbook"/>
        </w:rPr>
        <w:t xml:space="preserve"> </w:t>
      </w:r>
      <w:r w:rsidR="003031D7" w:rsidRPr="00AD7DA6">
        <w:rPr>
          <w:rFonts w:ascii="Century Schoolbook" w:hAnsi="Century Schoolbook"/>
        </w:rPr>
        <w:t>estimated</w:t>
      </w:r>
      <w:r w:rsidRPr="00AD7DA6">
        <w:rPr>
          <w:rFonts w:ascii="Century Schoolbook" w:hAnsi="Century Schoolbook"/>
        </w:rPr>
        <w:t xml:space="preserve"> the De Meza </w:t>
      </w:r>
      <w:r w:rsidR="003031D7" w:rsidRPr="00AD7DA6">
        <w:rPr>
          <w:rFonts w:ascii="Century Schoolbook" w:hAnsi="Century Schoolbook"/>
        </w:rPr>
        <w:t xml:space="preserve">design would have cost </w:t>
      </w:r>
      <w:r w:rsidRPr="00AD7DA6">
        <w:rPr>
          <w:rFonts w:ascii="Century Schoolbook" w:hAnsi="Century Schoolbook"/>
        </w:rPr>
        <w:t>$4,477,249</w:t>
      </w:r>
      <w:r w:rsidR="003031D7" w:rsidRPr="00AD7DA6">
        <w:rPr>
          <w:rFonts w:ascii="Century Schoolbook" w:hAnsi="Century Schoolbook"/>
        </w:rPr>
        <w:t xml:space="preserve"> to build in 2011-2012</w:t>
      </w:r>
      <w:r w:rsidRPr="00AD7DA6">
        <w:rPr>
          <w:rFonts w:ascii="Century Schoolbook" w:hAnsi="Century Schoolbook"/>
        </w:rPr>
        <w:t xml:space="preserve">.  </w:t>
      </w:r>
      <w:r w:rsidR="00A0400C" w:rsidRPr="00AD7DA6">
        <w:rPr>
          <w:rFonts w:ascii="Century Schoolbook" w:hAnsi="Century Schoolbook"/>
        </w:rPr>
        <w:t>The foundation alone should have been priced at $620,000</w:t>
      </w:r>
      <w:r w:rsidR="0055197F" w:rsidRPr="00AD7DA6">
        <w:rPr>
          <w:rFonts w:ascii="Century Schoolbook" w:hAnsi="Century Schoolbook"/>
        </w:rPr>
        <w:t>, not $200,000</w:t>
      </w:r>
      <w:r w:rsidR="00A0400C" w:rsidRPr="00AD7DA6">
        <w:rPr>
          <w:rFonts w:ascii="Century Schoolbook" w:hAnsi="Century Schoolbook"/>
        </w:rPr>
        <w:t>.</w:t>
      </w:r>
      <w:r w:rsidR="00A52EE3" w:rsidRPr="00AD7DA6">
        <w:rPr>
          <w:rFonts w:ascii="Century Schoolbook" w:hAnsi="Century Schoolbook"/>
        </w:rPr>
        <w:t xml:space="preserve"> </w:t>
      </w:r>
      <w:r w:rsidRPr="00AD7DA6">
        <w:rPr>
          <w:rFonts w:ascii="Century Schoolbook" w:hAnsi="Century Schoolbook"/>
        </w:rPr>
        <w:t xml:space="preserve"> </w:t>
      </w:r>
      <w:proofErr w:type="spellStart"/>
      <w:r w:rsidR="00D627FB" w:rsidRPr="00AD7DA6">
        <w:rPr>
          <w:rFonts w:ascii="Century Schoolbook" w:hAnsi="Century Schoolbook"/>
        </w:rPr>
        <w:t>Kiesling’s</w:t>
      </w:r>
      <w:proofErr w:type="spellEnd"/>
      <w:r w:rsidR="00AB324D" w:rsidRPr="00AD7DA6">
        <w:rPr>
          <w:rFonts w:ascii="Century Schoolbook" w:hAnsi="Century Schoolbook"/>
        </w:rPr>
        <w:t xml:space="preserve"> estimate </w:t>
      </w:r>
      <w:r w:rsidR="00CF0ED1" w:rsidRPr="00AD7DA6">
        <w:rPr>
          <w:rFonts w:ascii="Century Schoolbook" w:hAnsi="Century Schoolbook"/>
        </w:rPr>
        <w:t xml:space="preserve">was </w:t>
      </w:r>
      <w:r w:rsidR="0055197F" w:rsidRPr="00AD7DA6">
        <w:rPr>
          <w:rFonts w:ascii="Century Schoolbook" w:hAnsi="Century Schoolbook"/>
        </w:rPr>
        <w:t>over</w:t>
      </w:r>
      <w:r w:rsidR="00AB324D" w:rsidRPr="00AD7DA6">
        <w:rPr>
          <w:rFonts w:ascii="Century Schoolbook" w:hAnsi="Century Schoolbook"/>
        </w:rPr>
        <w:t xml:space="preserve"> </w:t>
      </w:r>
      <w:r w:rsidR="00795484" w:rsidRPr="00AD7DA6">
        <w:rPr>
          <w:rFonts w:ascii="Century Schoolbook" w:hAnsi="Century Schoolbook"/>
        </w:rPr>
        <w:t>$1 million</w:t>
      </w:r>
      <w:r w:rsidR="00AB324D" w:rsidRPr="00AD7DA6">
        <w:rPr>
          <w:rFonts w:ascii="Century Schoolbook" w:hAnsi="Century Schoolbook"/>
        </w:rPr>
        <w:t xml:space="preserve"> </w:t>
      </w:r>
      <w:r w:rsidR="005E4749" w:rsidRPr="00AD7DA6">
        <w:rPr>
          <w:rFonts w:ascii="Century Schoolbook" w:hAnsi="Century Schoolbook"/>
        </w:rPr>
        <w:t>above</w:t>
      </w:r>
      <w:r w:rsidR="00AB324D" w:rsidRPr="00AD7DA6">
        <w:rPr>
          <w:rFonts w:ascii="Century Schoolbook" w:hAnsi="Century Schoolbook"/>
        </w:rPr>
        <w:t xml:space="preserve"> the </w:t>
      </w:r>
      <w:r w:rsidR="003031D7" w:rsidRPr="00AD7DA6">
        <w:rPr>
          <w:rFonts w:ascii="Century Schoolbook" w:hAnsi="Century Schoolbook"/>
        </w:rPr>
        <w:t xml:space="preserve">highest contractor </w:t>
      </w:r>
      <w:r w:rsidR="00AB324D" w:rsidRPr="00AD7DA6">
        <w:rPr>
          <w:rFonts w:ascii="Century Schoolbook" w:hAnsi="Century Schoolbook"/>
        </w:rPr>
        <w:t xml:space="preserve">bid </w:t>
      </w:r>
      <w:r w:rsidR="003031D7" w:rsidRPr="00AD7DA6">
        <w:rPr>
          <w:rFonts w:ascii="Century Schoolbook" w:hAnsi="Century Schoolbook"/>
        </w:rPr>
        <w:t xml:space="preserve">De Meza received </w:t>
      </w:r>
      <w:r w:rsidR="00AB324D" w:rsidRPr="00AD7DA6">
        <w:rPr>
          <w:rFonts w:ascii="Century Schoolbook" w:hAnsi="Century Schoolbook"/>
        </w:rPr>
        <w:t xml:space="preserve">in 2011. </w:t>
      </w:r>
      <w:r w:rsidR="00F51AD8" w:rsidRPr="00AD7DA6">
        <w:rPr>
          <w:rFonts w:ascii="Century Schoolbook" w:hAnsi="Century Schoolbook"/>
        </w:rPr>
        <w:t xml:space="preserve"> </w:t>
      </w:r>
      <w:r w:rsidR="00D627FB" w:rsidRPr="00AD7DA6">
        <w:rPr>
          <w:rFonts w:ascii="Century Schoolbook" w:hAnsi="Century Schoolbook"/>
        </w:rPr>
        <w:t>She</w:t>
      </w:r>
      <w:r w:rsidR="00F51AD8" w:rsidRPr="00AD7DA6">
        <w:rPr>
          <w:rFonts w:ascii="Century Schoolbook" w:hAnsi="Century Schoolbook"/>
        </w:rPr>
        <w:t xml:space="preserve"> </w:t>
      </w:r>
      <w:r w:rsidR="00152A9A" w:rsidRPr="00AD7DA6">
        <w:rPr>
          <w:rFonts w:ascii="Century Schoolbook" w:hAnsi="Century Schoolbook"/>
        </w:rPr>
        <w:t xml:space="preserve">explained </w:t>
      </w:r>
      <w:r w:rsidR="00611409" w:rsidRPr="00AD7DA6">
        <w:rPr>
          <w:rFonts w:ascii="Century Schoolbook" w:hAnsi="Century Schoolbook"/>
        </w:rPr>
        <w:t xml:space="preserve">that </w:t>
      </w:r>
      <w:r w:rsidR="005E4749" w:rsidRPr="00AD7DA6">
        <w:rPr>
          <w:rFonts w:ascii="Century Schoolbook" w:hAnsi="Century Schoolbook"/>
        </w:rPr>
        <w:t xml:space="preserve">her estimate was higher because </w:t>
      </w:r>
      <w:r w:rsidR="003031D7" w:rsidRPr="00AD7DA6">
        <w:rPr>
          <w:rFonts w:ascii="Century Schoolbook" w:hAnsi="Century Schoolbook"/>
        </w:rPr>
        <w:t xml:space="preserve">the </w:t>
      </w:r>
      <w:r w:rsidR="005849EA" w:rsidRPr="00AD7DA6">
        <w:rPr>
          <w:rFonts w:ascii="Century Schoolbook" w:hAnsi="Century Schoolbook"/>
        </w:rPr>
        <w:t>20</w:t>
      </w:r>
      <w:r w:rsidR="002112F3" w:rsidRPr="00AD7DA6">
        <w:rPr>
          <w:rFonts w:ascii="Century Schoolbook" w:hAnsi="Century Schoolbook"/>
        </w:rPr>
        <w:t>1</w:t>
      </w:r>
      <w:r w:rsidR="005849EA" w:rsidRPr="00AD7DA6">
        <w:rPr>
          <w:rFonts w:ascii="Century Schoolbook" w:hAnsi="Century Schoolbook"/>
        </w:rPr>
        <w:t xml:space="preserve">1 </w:t>
      </w:r>
      <w:r w:rsidR="00F51AD8" w:rsidRPr="00AD7DA6">
        <w:rPr>
          <w:rFonts w:ascii="Century Schoolbook" w:hAnsi="Century Schoolbook"/>
        </w:rPr>
        <w:t xml:space="preserve">bids </w:t>
      </w:r>
      <w:r w:rsidR="00497C43" w:rsidRPr="00AD7DA6">
        <w:rPr>
          <w:rFonts w:ascii="Century Schoolbook" w:hAnsi="Century Schoolbook"/>
        </w:rPr>
        <w:t>contained</w:t>
      </w:r>
      <w:r w:rsidR="0071347B">
        <w:rPr>
          <w:rFonts w:ascii="Century Schoolbook" w:hAnsi="Century Schoolbook"/>
        </w:rPr>
        <w:t xml:space="preserve"> many</w:t>
      </w:r>
      <w:r w:rsidR="00497C43" w:rsidRPr="00AD7DA6">
        <w:rPr>
          <w:rFonts w:ascii="Century Schoolbook" w:hAnsi="Century Schoolbook"/>
        </w:rPr>
        <w:t xml:space="preserve"> significant omissions</w:t>
      </w:r>
      <w:r w:rsidR="00F51AD8" w:rsidRPr="00AD7DA6">
        <w:rPr>
          <w:rFonts w:ascii="Century Schoolbook" w:hAnsi="Century Schoolbook"/>
        </w:rPr>
        <w:t xml:space="preserve">, including </w:t>
      </w:r>
      <w:r w:rsidR="0055197F" w:rsidRPr="00AD7DA6">
        <w:rPr>
          <w:rFonts w:ascii="Century Schoolbook" w:hAnsi="Century Schoolbook"/>
        </w:rPr>
        <w:t xml:space="preserve">the cost of materials, installation, and installing </w:t>
      </w:r>
      <w:r w:rsidR="00F51AD8" w:rsidRPr="00AD7DA6">
        <w:rPr>
          <w:rFonts w:ascii="Century Schoolbook" w:hAnsi="Century Schoolbook"/>
        </w:rPr>
        <w:t xml:space="preserve">a fire sprinkler system. </w:t>
      </w:r>
    </w:p>
    <w:p w14:paraId="38A4B8E6" w14:textId="41888E26" w:rsidR="00693898" w:rsidRPr="00AD7DA6" w:rsidRDefault="0079303B" w:rsidP="00514AB4">
      <w:pPr>
        <w:spacing w:line="360" w:lineRule="auto"/>
        <w:rPr>
          <w:rFonts w:ascii="Century Schoolbook" w:hAnsi="Century Schoolbook"/>
        </w:rPr>
      </w:pPr>
      <w:r w:rsidRPr="00AD7DA6">
        <w:rPr>
          <w:rFonts w:ascii="Century Schoolbook" w:hAnsi="Century Schoolbook"/>
        </w:rPr>
        <w:tab/>
        <w:t xml:space="preserve">In closing arguments, Moore’s counsel </w:t>
      </w:r>
      <w:r w:rsidR="0056122D" w:rsidRPr="00AD7DA6">
        <w:rPr>
          <w:rFonts w:ascii="Century Schoolbook" w:hAnsi="Century Schoolbook"/>
        </w:rPr>
        <w:t>told the jury</w:t>
      </w:r>
      <w:r w:rsidR="00996861">
        <w:rPr>
          <w:rFonts w:ascii="Century Schoolbook" w:hAnsi="Century Schoolbook"/>
        </w:rPr>
        <w:t xml:space="preserve">: </w:t>
      </w:r>
      <w:r w:rsidR="0056122D" w:rsidRPr="00AD7DA6">
        <w:rPr>
          <w:rFonts w:ascii="Century Schoolbook" w:hAnsi="Century Schoolbook"/>
        </w:rPr>
        <w:t xml:space="preserve"> </w:t>
      </w:r>
      <w:r w:rsidRPr="00AD7DA6">
        <w:rPr>
          <w:rFonts w:ascii="Century Schoolbook" w:hAnsi="Century Schoolbook"/>
        </w:rPr>
        <w:t>“</w:t>
      </w:r>
      <w:r w:rsidR="00D627FB" w:rsidRPr="00AD7DA6">
        <w:rPr>
          <w:rFonts w:ascii="Century Schoolbook" w:hAnsi="Century Schoolbook"/>
        </w:rPr>
        <w:t>T</w:t>
      </w:r>
      <w:r w:rsidRPr="00AD7DA6">
        <w:rPr>
          <w:rFonts w:ascii="Century Schoolbook" w:hAnsi="Century Schoolbook"/>
        </w:rPr>
        <w:t>he first category of damage that Mr. Moore is entitled to from Mr. Teed is the difference between the renovation’s promised cost</w:t>
      </w:r>
      <w:r w:rsidR="00795484" w:rsidRPr="00AD7DA6">
        <w:rPr>
          <w:rFonts w:ascii="Century Schoolbook" w:hAnsi="Century Schoolbook"/>
        </w:rPr>
        <w:t>—</w:t>
      </w:r>
      <w:r w:rsidRPr="00AD7DA6">
        <w:rPr>
          <w:rFonts w:ascii="Century Schoolbook" w:hAnsi="Century Schoolbook"/>
        </w:rPr>
        <w:t>that’s the $900,000 for the construction</w:t>
      </w:r>
      <w:r w:rsidR="00795484" w:rsidRPr="00AD7DA6">
        <w:rPr>
          <w:rFonts w:ascii="Century Schoolbook" w:hAnsi="Century Schoolbook"/>
        </w:rPr>
        <w:t>—</w:t>
      </w:r>
      <w:r w:rsidRPr="00AD7DA6">
        <w:rPr>
          <w:rFonts w:ascii="Century Schoolbook" w:hAnsi="Century Schoolbook"/>
        </w:rPr>
        <w:t xml:space="preserve">and the cost calculated to do that work in 2011-2012.”  Counsel </w:t>
      </w:r>
      <w:r w:rsidR="00CD3B30" w:rsidRPr="00AD7DA6">
        <w:rPr>
          <w:rFonts w:ascii="Century Schoolbook" w:hAnsi="Century Schoolbook"/>
        </w:rPr>
        <w:t xml:space="preserve">asked for an </w:t>
      </w:r>
      <w:r w:rsidRPr="00AD7DA6">
        <w:rPr>
          <w:rFonts w:ascii="Century Schoolbook" w:hAnsi="Century Schoolbook"/>
        </w:rPr>
        <w:t xml:space="preserve">award </w:t>
      </w:r>
      <w:r w:rsidR="00CD3B30" w:rsidRPr="00AD7DA6">
        <w:rPr>
          <w:rFonts w:ascii="Century Schoolbook" w:hAnsi="Century Schoolbook"/>
        </w:rPr>
        <w:t>of</w:t>
      </w:r>
      <w:r w:rsidRPr="00AD7DA6">
        <w:rPr>
          <w:rFonts w:ascii="Century Schoolbook" w:hAnsi="Century Schoolbook"/>
        </w:rPr>
        <w:t xml:space="preserve"> </w:t>
      </w:r>
      <w:r w:rsidR="00CA6C71" w:rsidRPr="00AD7DA6">
        <w:rPr>
          <w:rFonts w:ascii="Century Schoolbook" w:hAnsi="Century Schoolbook"/>
        </w:rPr>
        <w:t>$3,842,160</w:t>
      </w:r>
      <w:r w:rsidR="00CD3B30" w:rsidRPr="00AD7DA6">
        <w:rPr>
          <w:rFonts w:ascii="Century Schoolbook" w:hAnsi="Century Schoolbook"/>
        </w:rPr>
        <w:t xml:space="preserve"> for this category of damages. </w:t>
      </w:r>
      <w:r w:rsidR="00CA6C71" w:rsidRPr="00AD7DA6">
        <w:rPr>
          <w:rFonts w:ascii="Century Schoolbook" w:hAnsi="Century Schoolbook"/>
        </w:rPr>
        <w:t xml:space="preserve"> </w:t>
      </w:r>
      <w:r w:rsidR="00397F8C" w:rsidRPr="00AD7DA6">
        <w:rPr>
          <w:rFonts w:ascii="Century Schoolbook" w:hAnsi="Century Schoolbook"/>
        </w:rPr>
        <w:t>Sh</w:t>
      </w:r>
      <w:r w:rsidR="00CA6C71" w:rsidRPr="00AD7DA6">
        <w:rPr>
          <w:rFonts w:ascii="Century Schoolbook" w:hAnsi="Century Schoolbook"/>
        </w:rPr>
        <w:t xml:space="preserve">e also </w:t>
      </w:r>
      <w:r w:rsidR="00CD3B30" w:rsidRPr="00AD7DA6">
        <w:rPr>
          <w:rFonts w:ascii="Century Schoolbook" w:hAnsi="Century Schoolbook"/>
        </w:rPr>
        <w:lastRenderedPageBreak/>
        <w:t xml:space="preserve">requested </w:t>
      </w:r>
      <w:r w:rsidR="00CA6C71" w:rsidRPr="00AD7DA6">
        <w:rPr>
          <w:rFonts w:ascii="Century Schoolbook" w:hAnsi="Century Schoolbook"/>
        </w:rPr>
        <w:t xml:space="preserve">$693,000 </w:t>
      </w:r>
      <w:r w:rsidR="00D627FB" w:rsidRPr="00AD7DA6">
        <w:rPr>
          <w:rFonts w:ascii="Century Schoolbook" w:hAnsi="Century Schoolbook"/>
        </w:rPr>
        <w:t xml:space="preserve">for increased costs due to </w:t>
      </w:r>
      <w:r w:rsidR="008E2507" w:rsidRPr="00AD7DA6">
        <w:rPr>
          <w:rFonts w:ascii="Century Schoolbook" w:hAnsi="Century Schoolbook"/>
        </w:rPr>
        <w:t xml:space="preserve">the </w:t>
      </w:r>
      <w:r w:rsidR="00D627FB" w:rsidRPr="00AD7DA6">
        <w:rPr>
          <w:rFonts w:ascii="Century Schoolbook" w:hAnsi="Century Schoolbook"/>
        </w:rPr>
        <w:t>delay</w:t>
      </w:r>
      <w:r w:rsidR="00CD3B30" w:rsidRPr="00AD7DA6">
        <w:rPr>
          <w:rFonts w:ascii="Century Schoolbook" w:hAnsi="Century Schoolbook"/>
        </w:rPr>
        <w:t xml:space="preserve"> in the renovation work</w:t>
      </w:r>
      <w:r w:rsidR="00CA6C71" w:rsidRPr="00AD7DA6">
        <w:rPr>
          <w:rFonts w:ascii="Century Schoolbook" w:hAnsi="Century Schoolbook"/>
        </w:rPr>
        <w:t xml:space="preserve">.  </w:t>
      </w:r>
    </w:p>
    <w:p w14:paraId="225617CA" w14:textId="1D61D489" w:rsidR="00693898" w:rsidRPr="00AD7DA6" w:rsidRDefault="00693898" w:rsidP="00693898">
      <w:pPr>
        <w:spacing w:line="360" w:lineRule="auto"/>
        <w:rPr>
          <w:rFonts w:ascii="Century Schoolbook" w:hAnsi="Century Schoolbook"/>
        </w:rPr>
      </w:pPr>
      <w:r w:rsidRPr="00AD7DA6">
        <w:rPr>
          <w:rFonts w:ascii="Century Schoolbook" w:hAnsi="Century Schoolbook"/>
        </w:rPr>
        <w:tab/>
      </w:r>
      <w:proofErr w:type="spellStart"/>
      <w:r w:rsidRPr="00AD7DA6">
        <w:rPr>
          <w:rFonts w:ascii="Century Schoolbook" w:hAnsi="Century Schoolbook"/>
        </w:rPr>
        <w:t>Teed’s</w:t>
      </w:r>
      <w:proofErr w:type="spellEnd"/>
      <w:r w:rsidRPr="00AD7DA6">
        <w:rPr>
          <w:rFonts w:ascii="Century Schoolbook" w:hAnsi="Century Schoolbook"/>
        </w:rPr>
        <w:t xml:space="preserve"> counsel </w:t>
      </w:r>
      <w:r w:rsidR="00CD3B30" w:rsidRPr="00AD7DA6">
        <w:rPr>
          <w:rFonts w:ascii="Century Schoolbook" w:hAnsi="Century Schoolbook"/>
        </w:rPr>
        <w:t>argued</w:t>
      </w:r>
      <w:r w:rsidR="00D627FB" w:rsidRPr="00AD7DA6">
        <w:rPr>
          <w:rFonts w:ascii="Century Schoolbook" w:hAnsi="Century Schoolbook"/>
        </w:rPr>
        <w:t xml:space="preserve"> </w:t>
      </w:r>
      <w:r w:rsidRPr="00AD7DA6">
        <w:rPr>
          <w:rFonts w:ascii="Century Schoolbook" w:hAnsi="Century Schoolbook"/>
        </w:rPr>
        <w:t xml:space="preserve">there </w:t>
      </w:r>
      <w:r w:rsidR="00CD3B30" w:rsidRPr="00AD7DA6">
        <w:rPr>
          <w:rFonts w:ascii="Century Schoolbook" w:hAnsi="Century Schoolbook"/>
        </w:rPr>
        <w:t>had never been a</w:t>
      </w:r>
      <w:r w:rsidRPr="00AD7DA6">
        <w:rPr>
          <w:rFonts w:ascii="Century Schoolbook" w:hAnsi="Century Schoolbook"/>
        </w:rPr>
        <w:t xml:space="preserve"> promised $900,000 remodel and </w:t>
      </w:r>
      <w:r w:rsidR="00CD3B30" w:rsidRPr="00AD7DA6">
        <w:rPr>
          <w:rFonts w:ascii="Century Schoolbook" w:hAnsi="Century Schoolbook"/>
        </w:rPr>
        <w:t xml:space="preserve">urged </w:t>
      </w:r>
      <w:r w:rsidR="00D627FB" w:rsidRPr="00AD7DA6">
        <w:rPr>
          <w:rFonts w:ascii="Century Schoolbook" w:hAnsi="Century Schoolbook"/>
        </w:rPr>
        <w:t>the jury to award</w:t>
      </w:r>
      <w:r w:rsidRPr="00AD7DA6">
        <w:rPr>
          <w:rFonts w:ascii="Century Schoolbook" w:hAnsi="Century Schoolbook"/>
        </w:rPr>
        <w:t xml:space="preserve"> nothing for </w:t>
      </w:r>
      <w:r w:rsidR="00D627FB" w:rsidRPr="00AD7DA6">
        <w:rPr>
          <w:rFonts w:ascii="Century Schoolbook" w:hAnsi="Century Schoolbook"/>
        </w:rPr>
        <w:t>the first</w:t>
      </w:r>
      <w:r w:rsidR="002112F3" w:rsidRPr="00AD7DA6">
        <w:rPr>
          <w:rFonts w:ascii="Century Schoolbook" w:hAnsi="Century Schoolbook"/>
        </w:rPr>
        <w:t xml:space="preserve"> </w:t>
      </w:r>
      <w:r w:rsidR="00CD3B30" w:rsidRPr="00AD7DA6">
        <w:rPr>
          <w:rFonts w:ascii="Century Schoolbook" w:hAnsi="Century Schoolbook"/>
        </w:rPr>
        <w:t xml:space="preserve">and last </w:t>
      </w:r>
      <w:r w:rsidR="002112F3" w:rsidRPr="00AD7DA6">
        <w:rPr>
          <w:rFonts w:ascii="Century Schoolbook" w:hAnsi="Century Schoolbook"/>
        </w:rPr>
        <w:t>categor</w:t>
      </w:r>
      <w:r w:rsidR="00CD3B30" w:rsidRPr="00AD7DA6">
        <w:rPr>
          <w:rFonts w:ascii="Century Schoolbook" w:hAnsi="Century Schoolbook"/>
        </w:rPr>
        <w:t>ies</w:t>
      </w:r>
      <w:r w:rsidR="002112F3" w:rsidRPr="00AD7DA6">
        <w:rPr>
          <w:rFonts w:ascii="Century Schoolbook" w:hAnsi="Century Schoolbook"/>
        </w:rPr>
        <w:t xml:space="preserve"> of damages</w:t>
      </w:r>
      <w:r w:rsidRPr="00AD7DA6">
        <w:rPr>
          <w:rFonts w:ascii="Century Schoolbook" w:hAnsi="Century Schoolbook"/>
        </w:rPr>
        <w:t xml:space="preserve">.  He </w:t>
      </w:r>
      <w:r w:rsidR="00497C43" w:rsidRPr="00AD7DA6">
        <w:rPr>
          <w:rFonts w:ascii="Century Schoolbook" w:hAnsi="Century Schoolbook"/>
        </w:rPr>
        <w:t>said</w:t>
      </w:r>
      <w:r w:rsidRPr="00AD7DA6">
        <w:rPr>
          <w:rFonts w:ascii="Century Schoolbook" w:hAnsi="Century Schoolbook"/>
        </w:rPr>
        <w:t xml:space="preserve"> the</w:t>
      </w:r>
      <w:r w:rsidR="002112F3" w:rsidRPr="00AD7DA6">
        <w:rPr>
          <w:rFonts w:ascii="Century Schoolbook" w:hAnsi="Century Schoolbook"/>
        </w:rPr>
        <w:t xml:space="preserve"> alleged</w:t>
      </w:r>
      <w:r w:rsidRPr="00AD7DA6">
        <w:rPr>
          <w:rFonts w:ascii="Century Schoolbook" w:hAnsi="Century Schoolbook"/>
        </w:rPr>
        <w:t xml:space="preserve"> damages did “not represent any loss that was actually sustained by the plaintiff in the real world.  </w:t>
      </w:r>
      <w:r w:rsidR="00475153" w:rsidRPr="00AD7DA6">
        <w:rPr>
          <w:rFonts w:ascii="Century Schoolbook" w:hAnsi="Century Schoolbook"/>
        </w:rPr>
        <w:t xml:space="preserve">[¶]  </w:t>
      </w:r>
      <w:r w:rsidRPr="00AD7DA6">
        <w:rPr>
          <w:rFonts w:ascii="Century Schoolbook" w:hAnsi="Century Schoolbook"/>
        </w:rPr>
        <w:t xml:space="preserve">What it really is, is free money that is fabricated out of thin air, and we don’t think that you should award any.”  </w:t>
      </w:r>
    </w:p>
    <w:p w14:paraId="5BDB57C1" w14:textId="02DD2044" w:rsidR="00DD586C" w:rsidRPr="00BB0316" w:rsidRDefault="00DD586C" w:rsidP="00BB0316">
      <w:pPr>
        <w:pStyle w:val="ListParagraph"/>
        <w:numPr>
          <w:ilvl w:val="0"/>
          <w:numId w:val="6"/>
        </w:numPr>
        <w:spacing w:line="360" w:lineRule="auto"/>
        <w:ind w:hanging="720"/>
        <w:rPr>
          <w:rFonts w:ascii="Century Schoolbook" w:hAnsi="Century Schoolbook"/>
          <w:b/>
          <w:bCs/>
          <w:i/>
        </w:rPr>
      </w:pPr>
      <w:r w:rsidRPr="00BB0316">
        <w:rPr>
          <w:rFonts w:ascii="Century Schoolbook" w:hAnsi="Century Schoolbook"/>
          <w:b/>
          <w:bCs/>
          <w:i/>
        </w:rPr>
        <w:t>Jury Verdict and Post</w:t>
      </w:r>
      <w:r w:rsidR="00795484" w:rsidRPr="00BB0316">
        <w:rPr>
          <w:rFonts w:ascii="Century Schoolbook" w:hAnsi="Century Schoolbook"/>
          <w:b/>
          <w:bCs/>
          <w:i/>
        </w:rPr>
        <w:t>t</w:t>
      </w:r>
      <w:r w:rsidRPr="00BB0316">
        <w:rPr>
          <w:rFonts w:ascii="Century Schoolbook" w:hAnsi="Century Schoolbook"/>
          <w:b/>
          <w:bCs/>
          <w:i/>
        </w:rPr>
        <w:t>rial Matters</w:t>
      </w:r>
    </w:p>
    <w:p w14:paraId="08C269DF" w14:textId="4B4DEB87" w:rsidR="00693898" w:rsidRPr="00AD7DA6" w:rsidRDefault="00693898" w:rsidP="00514AB4">
      <w:pPr>
        <w:spacing w:line="360" w:lineRule="auto"/>
        <w:rPr>
          <w:rFonts w:ascii="Century Schoolbook" w:hAnsi="Century Schoolbook"/>
        </w:rPr>
      </w:pPr>
      <w:r w:rsidRPr="00AD7DA6">
        <w:rPr>
          <w:rFonts w:ascii="Century Schoolbook" w:hAnsi="Century Schoolbook"/>
        </w:rPr>
        <w:tab/>
        <w:t xml:space="preserve">The jury found for Teed on Moore’s claim for breach of contract but found in favor of Moore </w:t>
      </w:r>
      <w:r w:rsidR="008E2507" w:rsidRPr="00AD7DA6">
        <w:rPr>
          <w:rFonts w:ascii="Century Schoolbook" w:hAnsi="Century Schoolbook"/>
        </w:rPr>
        <w:t>o</w:t>
      </w:r>
      <w:r w:rsidRPr="00AD7DA6">
        <w:rPr>
          <w:rFonts w:ascii="Century Schoolbook" w:hAnsi="Century Schoolbook"/>
        </w:rPr>
        <w:t xml:space="preserve">n all of </w:t>
      </w:r>
      <w:r w:rsidR="003031D7" w:rsidRPr="00AD7DA6">
        <w:rPr>
          <w:rFonts w:ascii="Century Schoolbook" w:hAnsi="Century Schoolbook"/>
        </w:rPr>
        <w:t>his</w:t>
      </w:r>
      <w:r w:rsidRPr="00AD7DA6">
        <w:rPr>
          <w:rFonts w:ascii="Century Schoolbook" w:hAnsi="Century Schoolbook"/>
        </w:rPr>
        <w:t xml:space="preserve"> remaining </w:t>
      </w:r>
      <w:r w:rsidR="00560F52" w:rsidRPr="00AD7DA6">
        <w:rPr>
          <w:rFonts w:ascii="Century Schoolbook" w:hAnsi="Century Schoolbook"/>
        </w:rPr>
        <w:t xml:space="preserve">tort </w:t>
      </w:r>
      <w:r w:rsidRPr="00AD7DA6">
        <w:rPr>
          <w:rFonts w:ascii="Century Schoolbook" w:hAnsi="Century Schoolbook"/>
        </w:rPr>
        <w:t>claims.</w:t>
      </w:r>
      <w:r w:rsidR="00225790" w:rsidRPr="00AD7DA6">
        <w:rPr>
          <w:rStyle w:val="FootnoteReference"/>
          <w:rFonts w:ascii="Century Schoolbook" w:hAnsi="Century Schoolbook"/>
        </w:rPr>
        <w:footnoteReference w:id="3"/>
      </w:r>
      <w:r w:rsidRPr="00AD7DA6">
        <w:rPr>
          <w:rFonts w:ascii="Century Schoolbook" w:hAnsi="Century Schoolbook"/>
        </w:rPr>
        <w:t xml:space="preserve"> </w:t>
      </w:r>
      <w:r w:rsidR="004160AB" w:rsidRPr="00AD7DA6">
        <w:rPr>
          <w:rFonts w:ascii="Century Schoolbook" w:hAnsi="Century Schoolbook"/>
        </w:rPr>
        <w:t xml:space="preserve"> It </w:t>
      </w:r>
      <w:r w:rsidR="00CA6C71" w:rsidRPr="00AD7DA6">
        <w:rPr>
          <w:rFonts w:ascii="Century Schoolbook" w:hAnsi="Century Schoolbook"/>
        </w:rPr>
        <w:t xml:space="preserve">awarded </w:t>
      </w:r>
      <w:r w:rsidR="00ED644C" w:rsidRPr="00AD7DA6">
        <w:rPr>
          <w:rFonts w:ascii="Century Schoolbook" w:hAnsi="Century Schoolbook"/>
        </w:rPr>
        <w:t xml:space="preserve">benefit-of-the-bargain damages </w:t>
      </w:r>
      <w:r w:rsidR="00A05CFF" w:rsidRPr="00AD7DA6">
        <w:rPr>
          <w:rFonts w:ascii="Century Schoolbook" w:hAnsi="Century Schoolbook"/>
        </w:rPr>
        <w:t xml:space="preserve">of </w:t>
      </w:r>
      <w:r w:rsidR="00CA6C71" w:rsidRPr="00AD7DA6">
        <w:rPr>
          <w:rFonts w:ascii="Century Schoolbook" w:hAnsi="Century Schoolbook"/>
        </w:rPr>
        <w:t>$900,000 for the difference between the renovation’s pr</w:t>
      </w:r>
      <w:r w:rsidR="007C1BB3" w:rsidRPr="00AD7DA6">
        <w:rPr>
          <w:rFonts w:ascii="Century Schoolbook" w:hAnsi="Century Schoolbook"/>
        </w:rPr>
        <w:t>o</w:t>
      </w:r>
      <w:r w:rsidR="00CA6C71" w:rsidRPr="00AD7DA6">
        <w:rPr>
          <w:rFonts w:ascii="Century Schoolbook" w:hAnsi="Century Schoolbook"/>
        </w:rPr>
        <w:t xml:space="preserve">mised cost and </w:t>
      </w:r>
      <w:r w:rsidR="002112F3" w:rsidRPr="00AD7DA6">
        <w:rPr>
          <w:rFonts w:ascii="Century Schoolbook" w:hAnsi="Century Schoolbook"/>
        </w:rPr>
        <w:t>the</w:t>
      </w:r>
      <w:r w:rsidR="00CA6C71" w:rsidRPr="00AD7DA6">
        <w:rPr>
          <w:rFonts w:ascii="Century Schoolbook" w:hAnsi="Century Schoolbook"/>
        </w:rPr>
        <w:t xml:space="preserve"> </w:t>
      </w:r>
      <w:r w:rsidR="002112F3" w:rsidRPr="00AD7DA6">
        <w:rPr>
          <w:rFonts w:ascii="Century Schoolbook" w:hAnsi="Century Schoolbook"/>
        </w:rPr>
        <w:t xml:space="preserve">actual </w:t>
      </w:r>
      <w:r w:rsidR="00CA6C71" w:rsidRPr="00AD7DA6">
        <w:rPr>
          <w:rFonts w:ascii="Century Schoolbook" w:hAnsi="Century Schoolbook"/>
        </w:rPr>
        <w:t xml:space="preserve">cost to do </w:t>
      </w:r>
      <w:r w:rsidR="00DD586C" w:rsidRPr="00AD7DA6">
        <w:rPr>
          <w:rFonts w:ascii="Century Schoolbook" w:hAnsi="Century Schoolbook"/>
        </w:rPr>
        <w:t xml:space="preserve">the same </w:t>
      </w:r>
      <w:r w:rsidR="009D3679" w:rsidRPr="00AD7DA6">
        <w:rPr>
          <w:rFonts w:ascii="Century Schoolbook" w:hAnsi="Century Schoolbook"/>
        </w:rPr>
        <w:t>work</w:t>
      </w:r>
      <w:r w:rsidR="00CA6C71" w:rsidRPr="00AD7DA6">
        <w:rPr>
          <w:rFonts w:ascii="Century Schoolbook" w:hAnsi="Century Schoolbook"/>
        </w:rPr>
        <w:t xml:space="preserve"> </w:t>
      </w:r>
      <w:r w:rsidR="00ED7885" w:rsidRPr="00AD7DA6">
        <w:rPr>
          <w:rFonts w:ascii="Century Schoolbook" w:hAnsi="Century Schoolbook"/>
        </w:rPr>
        <w:t>using</w:t>
      </w:r>
      <w:r w:rsidR="00CA6C71" w:rsidRPr="00AD7DA6">
        <w:rPr>
          <w:rFonts w:ascii="Century Schoolbook" w:hAnsi="Century Schoolbook"/>
        </w:rPr>
        <w:t xml:space="preserve"> 2011-2012</w:t>
      </w:r>
      <w:r w:rsidR="00ED7885" w:rsidRPr="00AD7DA6">
        <w:rPr>
          <w:rFonts w:ascii="Century Schoolbook" w:hAnsi="Century Schoolbook"/>
        </w:rPr>
        <w:t xml:space="preserve"> rates</w:t>
      </w:r>
      <w:r w:rsidR="00497C43" w:rsidRPr="00AD7DA6">
        <w:rPr>
          <w:rFonts w:ascii="Century Schoolbook" w:hAnsi="Century Schoolbook"/>
        </w:rPr>
        <w:t>,</w:t>
      </w:r>
      <w:r w:rsidR="009D141D" w:rsidRPr="00AD7DA6">
        <w:rPr>
          <w:rFonts w:ascii="Century Schoolbook" w:hAnsi="Century Schoolbook"/>
        </w:rPr>
        <w:t xml:space="preserve"> </w:t>
      </w:r>
      <w:r w:rsidR="00997BB3" w:rsidRPr="00AD7DA6">
        <w:rPr>
          <w:rFonts w:ascii="Century Schoolbook" w:hAnsi="Century Schoolbook"/>
        </w:rPr>
        <w:t>and</w:t>
      </w:r>
      <w:r w:rsidR="009D141D" w:rsidRPr="00AD7DA6">
        <w:rPr>
          <w:rFonts w:ascii="Century Schoolbook" w:hAnsi="Century Schoolbook"/>
        </w:rPr>
        <w:t xml:space="preserve"> </w:t>
      </w:r>
      <w:r w:rsidR="00CA6C71" w:rsidRPr="00AD7DA6">
        <w:rPr>
          <w:rFonts w:ascii="Century Schoolbook" w:hAnsi="Century Schoolbook"/>
        </w:rPr>
        <w:t xml:space="preserve">$104,498 </w:t>
      </w:r>
      <w:r w:rsidR="00B8200C" w:rsidRPr="00AD7DA6">
        <w:rPr>
          <w:rFonts w:ascii="Century Schoolbook" w:hAnsi="Century Schoolbook"/>
        </w:rPr>
        <w:t>in</w:t>
      </w:r>
      <w:r w:rsidR="00CA6C71" w:rsidRPr="00AD7DA6">
        <w:rPr>
          <w:rFonts w:ascii="Century Schoolbook" w:hAnsi="Century Schoolbook"/>
        </w:rPr>
        <w:t xml:space="preserve"> increased costs due to delay.  </w:t>
      </w:r>
      <w:r w:rsidR="00346226" w:rsidRPr="00AD7DA6">
        <w:rPr>
          <w:rFonts w:ascii="Century Schoolbook" w:hAnsi="Century Schoolbook"/>
        </w:rPr>
        <w:t xml:space="preserve">The jury </w:t>
      </w:r>
      <w:r w:rsidR="00CA6C71" w:rsidRPr="00AD7DA6">
        <w:rPr>
          <w:rFonts w:ascii="Century Schoolbook" w:hAnsi="Century Schoolbook"/>
        </w:rPr>
        <w:t xml:space="preserve">also awarded </w:t>
      </w:r>
      <w:r w:rsidR="005A5068" w:rsidRPr="00AD7DA6">
        <w:rPr>
          <w:rFonts w:ascii="Century Schoolbook" w:hAnsi="Century Schoolbook"/>
        </w:rPr>
        <w:t xml:space="preserve">Moore </w:t>
      </w:r>
      <w:r w:rsidR="00ED644C" w:rsidRPr="00AD7DA6">
        <w:rPr>
          <w:rFonts w:ascii="Century Schoolbook" w:hAnsi="Century Schoolbook"/>
        </w:rPr>
        <w:t xml:space="preserve">out-of-pocket damages </w:t>
      </w:r>
      <w:r w:rsidR="003C4621" w:rsidRPr="00AD7DA6">
        <w:rPr>
          <w:rFonts w:ascii="Century Schoolbook" w:hAnsi="Century Schoolbook"/>
        </w:rPr>
        <w:t xml:space="preserve">of </w:t>
      </w:r>
      <w:r w:rsidR="00CA6C71" w:rsidRPr="00AD7DA6">
        <w:rPr>
          <w:rFonts w:ascii="Century Schoolbook" w:hAnsi="Century Schoolbook"/>
        </w:rPr>
        <w:t xml:space="preserve">$822,904 for </w:t>
      </w:r>
      <w:r w:rsidR="00DD586C" w:rsidRPr="00AD7DA6">
        <w:rPr>
          <w:rFonts w:ascii="Century Schoolbook" w:hAnsi="Century Schoolbook"/>
        </w:rPr>
        <w:t xml:space="preserve">the </w:t>
      </w:r>
      <w:r w:rsidR="002112F3" w:rsidRPr="00AD7DA6">
        <w:rPr>
          <w:rFonts w:ascii="Century Schoolbook" w:hAnsi="Century Schoolbook"/>
        </w:rPr>
        <w:t xml:space="preserve">actual </w:t>
      </w:r>
      <w:r w:rsidR="00DD586C" w:rsidRPr="00AD7DA6">
        <w:rPr>
          <w:rFonts w:ascii="Century Schoolbook" w:hAnsi="Century Schoolbook"/>
        </w:rPr>
        <w:t xml:space="preserve">cost </w:t>
      </w:r>
      <w:r w:rsidR="00436E34" w:rsidRPr="00AD7DA6">
        <w:rPr>
          <w:rFonts w:ascii="Century Schoolbook" w:hAnsi="Century Schoolbook"/>
        </w:rPr>
        <w:t>to</w:t>
      </w:r>
      <w:r w:rsidR="00DD586C" w:rsidRPr="00AD7DA6">
        <w:rPr>
          <w:rFonts w:ascii="Century Schoolbook" w:hAnsi="Century Schoolbook"/>
        </w:rPr>
        <w:t xml:space="preserve"> </w:t>
      </w:r>
      <w:r w:rsidR="00CA6C71" w:rsidRPr="00AD7DA6">
        <w:rPr>
          <w:rFonts w:ascii="Century Schoolbook" w:hAnsi="Century Schoolbook"/>
        </w:rPr>
        <w:t>replac</w:t>
      </w:r>
      <w:r w:rsidR="00436E34" w:rsidRPr="00AD7DA6">
        <w:rPr>
          <w:rFonts w:ascii="Century Schoolbook" w:hAnsi="Century Schoolbook"/>
        </w:rPr>
        <w:t>e</w:t>
      </w:r>
      <w:r w:rsidR="00CA6C71" w:rsidRPr="00AD7DA6">
        <w:rPr>
          <w:rFonts w:ascii="Century Schoolbook" w:hAnsi="Century Schoolbook"/>
        </w:rPr>
        <w:t xml:space="preserve"> the foundation</w:t>
      </w:r>
      <w:r w:rsidR="00497C43" w:rsidRPr="00AD7DA6">
        <w:rPr>
          <w:rFonts w:ascii="Century Schoolbook" w:hAnsi="Century Schoolbook"/>
        </w:rPr>
        <w:t>,</w:t>
      </w:r>
      <w:r w:rsidR="00CA6C71" w:rsidRPr="00AD7DA6">
        <w:rPr>
          <w:rFonts w:ascii="Century Schoolbook" w:hAnsi="Century Schoolbook"/>
        </w:rPr>
        <w:t xml:space="preserve"> and $106,920 for los</w:t>
      </w:r>
      <w:r w:rsidR="009D3679" w:rsidRPr="00AD7DA6">
        <w:rPr>
          <w:rFonts w:ascii="Century Schoolbook" w:hAnsi="Century Schoolbook"/>
        </w:rPr>
        <w:t>t</w:t>
      </w:r>
      <w:r w:rsidR="00CA6C71" w:rsidRPr="00AD7DA6">
        <w:rPr>
          <w:rFonts w:ascii="Century Schoolbook" w:hAnsi="Century Schoolbook"/>
        </w:rPr>
        <w:t xml:space="preserve"> use of </w:t>
      </w:r>
      <w:r w:rsidR="00530A6E" w:rsidRPr="00AD7DA6">
        <w:rPr>
          <w:rFonts w:ascii="Century Schoolbook" w:hAnsi="Century Schoolbook"/>
        </w:rPr>
        <w:t xml:space="preserve">the </w:t>
      </w:r>
      <w:r w:rsidR="00CA6C71" w:rsidRPr="00AD7DA6">
        <w:rPr>
          <w:rFonts w:ascii="Century Schoolbook" w:hAnsi="Century Schoolbook"/>
        </w:rPr>
        <w:t>property</w:t>
      </w:r>
      <w:r w:rsidR="003C4621" w:rsidRPr="00AD7DA6">
        <w:rPr>
          <w:rFonts w:ascii="Century Schoolbook" w:hAnsi="Century Schoolbook"/>
        </w:rPr>
        <w:t>—</w:t>
      </w:r>
      <w:r w:rsidR="002112F3" w:rsidRPr="00AD7DA6">
        <w:rPr>
          <w:rFonts w:ascii="Century Schoolbook" w:hAnsi="Century Schoolbook"/>
        </w:rPr>
        <w:t>damages that Teed does not challenge on appeal</w:t>
      </w:r>
      <w:r w:rsidR="00CA6C71" w:rsidRPr="00AD7DA6">
        <w:rPr>
          <w:rFonts w:ascii="Century Schoolbook" w:hAnsi="Century Schoolbook"/>
        </w:rPr>
        <w:t xml:space="preserve">.  </w:t>
      </w:r>
      <w:r w:rsidRPr="00AD7DA6">
        <w:rPr>
          <w:rFonts w:ascii="Century Schoolbook" w:hAnsi="Century Schoolbook"/>
        </w:rPr>
        <w:t xml:space="preserve">The </w:t>
      </w:r>
      <w:r w:rsidR="008620E2" w:rsidRPr="00AD7DA6">
        <w:rPr>
          <w:rFonts w:ascii="Century Schoolbook" w:hAnsi="Century Schoolbook"/>
        </w:rPr>
        <w:t>damages</w:t>
      </w:r>
      <w:r w:rsidRPr="00AD7DA6">
        <w:rPr>
          <w:rFonts w:ascii="Century Schoolbook" w:hAnsi="Century Schoolbook"/>
        </w:rPr>
        <w:t xml:space="preserve"> awarded against Teed </w:t>
      </w:r>
      <w:r w:rsidR="009D3679" w:rsidRPr="00AD7DA6">
        <w:rPr>
          <w:rFonts w:ascii="Century Schoolbook" w:hAnsi="Century Schoolbook"/>
        </w:rPr>
        <w:t>totaled</w:t>
      </w:r>
      <w:r w:rsidRPr="00AD7DA6">
        <w:rPr>
          <w:rFonts w:ascii="Century Schoolbook" w:hAnsi="Century Schoolbook"/>
        </w:rPr>
        <w:t xml:space="preserve"> $1,934,322.</w:t>
      </w:r>
      <w:r w:rsidR="00C9286E" w:rsidRPr="00AD7DA6">
        <w:rPr>
          <w:rFonts w:ascii="Century Schoolbook" w:hAnsi="Century Schoolbook"/>
        </w:rPr>
        <w:t xml:space="preserve">  </w:t>
      </w:r>
    </w:p>
    <w:p w14:paraId="60331FDC" w14:textId="0ACE0D4E" w:rsidR="00C5478C" w:rsidRPr="00AD7DA6" w:rsidRDefault="00C01DD1" w:rsidP="00514AB4">
      <w:pPr>
        <w:spacing w:line="360" w:lineRule="auto"/>
        <w:rPr>
          <w:rFonts w:ascii="Century Schoolbook" w:hAnsi="Century Schoolbook"/>
        </w:rPr>
      </w:pPr>
      <w:r w:rsidRPr="00AD7DA6">
        <w:rPr>
          <w:rFonts w:ascii="Century Schoolbook" w:hAnsi="Century Schoolbook"/>
        </w:rPr>
        <w:tab/>
        <w:t xml:space="preserve">The trial court </w:t>
      </w:r>
      <w:r w:rsidR="00755099" w:rsidRPr="00AD7DA6">
        <w:rPr>
          <w:rFonts w:ascii="Century Schoolbook" w:hAnsi="Century Schoolbook"/>
        </w:rPr>
        <w:t xml:space="preserve">granted </w:t>
      </w:r>
      <w:proofErr w:type="spellStart"/>
      <w:r w:rsidRPr="00AD7DA6">
        <w:rPr>
          <w:rFonts w:ascii="Century Schoolbook" w:hAnsi="Century Schoolbook"/>
        </w:rPr>
        <w:t>Teed’s</w:t>
      </w:r>
      <w:proofErr w:type="spellEnd"/>
      <w:r w:rsidRPr="00AD7DA6">
        <w:rPr>
          <w:rFonts w:ascii="Century Schoolbook" w:hAnsi="Century Schoolbook"/>
        </w:rPr>
        <w:t xml:space="preserve"> motion for a</w:t>
      </w:r>
      <w:r w:rsidR="009D3679" w:rsidRPr="00AD7DA6">
        <w:rPr>
          <w:rFonts w:ascii="Century Schoolbook" w:hAnsi="Century Schoolbook"/>
        </w:rPr>
        <w:t xml:space="preserve">n </w:t>
      </w:r>
      <w:r w:rsidRPr="00AD7DA6">
        <w:rPr>
          <w:rFonts w:ascii="Century Schoolbook" w:hAnsi="Century Schoolbook"/>
        </w:rPr>
        <w:t>offset based on Moore’s settlements</w:t>
      </w:r>
      <w:r w:rsidR="007C1BB3" w:rsidRPr="00AD7DA6">
        <w:rPr>
          <w:rFonts w:ascii="Century Schoolbook" w:hAnsi="Century Schoolbook"/>
        </w:rPr>
        <w:t xml:space="preserve"> with other defendants,</w:t>
      </w:r>
      <w:r w:rsidR="00A52EE3" w:rsidRPr="00AD7DA6">
        <w:rPr>
          <w:rFonts w:ascii="Century Schoolbook" w:hAnsi="Century Schoolbook"/>
        </w:rPr>
        <w:t xml:space="preserve"> </w:t>
      </w:r>
      <w:r w:rsidRPr="00AD7DA6">
        <w:rPr>
          <w:rFonts w:ascii="Century Schoolbook" w:hAnsi="Century Schoolbook"/>
        </w:rPr>
        <w:t xml:space="preserve">leaving </w:t>
      </w:r>
      <w:r w:rsidR="00225790" w:rsidRPr="00AD7DA6">
        <w:rPr>
          <w:rFonts w:ascii="Century Schoolbook" w:hAnsi="Century Schoolbook"/>
        </w:rPr>
        <w:t xml:space="preserve">the </w:t>
      </w:r>
      <w:r w:rsidRPr="00AD7DA6">
        <w:rPr>
          <w:rFonts w:ascii="Century Schoolbook" w:hAnsi="Century Schoolbook"/>
        </w:rPr>
        <w:t xml:space="preserve">net damages against Teed </w:t>
      </w:r>
      <w:r w:rsidR="00225790" w:rsidRPr="00AD7DA6">
        <w:rPr>
          <w:rFonts w:ascii="Century Schoolbook" w:hAnsi="Century Schoolbook"/>
        </w:rPr>
        <w:t>at</w:t>
      </w:r>
      <w:r w:rsidRPr="00AD7DA6">
        <w:rPr>
          <w:rFonts w:ascii="Century Schoolbook" w:hAnsi="Century Schoolbook"/>
        </w:rPr>
        <w:t xml:space="preserve"> $934,322.  The court also granted Moore’s motion for statutory attorney fees </w:t>
      </w:r>
      <w:r w:rsidR="00AD5E68" w:rsidRPr="00AD7DA6">
        <w:rPr>
          <w:rFonts w:ascii="Century Schoolbook" w:hAnsi="Century Schoolbook"/>
        </w:rPr>
        <w:t>and costs</w:t>
      </w:r>
      <w:r w:rsidR="00A52EE3" w:rsidRPr="00AD7DA6">
        <w:rPr>
          <w:rFonts w:ascii="Century Schoolbook" w:hAnsi="Century Schoolbook"/>
        </w:rPr>
        <w:t xml:space="preserve"> </w:t>
      </w:r>
      <w:r w:rsidRPr="00AD7DA6">
        <w:rPr>
          <w:rFonts w:ascii="Century Schoolbook" w:hAnsi="Century Schoolbook"/>
        </w:rPr>
        <w:t xml:space="preserve">based on </w:t>
      </w:r>
      <w:r w:rsidR="004A2F70" w:rsidRPr="00AD7DA6">
        <w:rPr>
          <w:rFonts w:ascii="Century Schoolbook" w:hAnsi="Century Schoolbook"/>
        </w:rPr>
        <w:t>the jury’s</w:t>
      </w:r>
      <w:r w:rsidRPr="00AD7DA6">
        <w:rPr>
          <w:rFonts w:ascii="Century Schoolbook" w:hAnsi="Century Schoolbook"/>
        </w:rPr>
        <w:t xml:space="preserve"> special verdict finding that Teed </w:t>
      </w:r>
      <w:r w:rsidR="00755099" w:rsidRPr="00AD7DA6">
        <w:rPr>
          <w:rFonts w:ascii="Century Schoolbook" w:hAnsi="Century Schoolbook"/>
        </w:rPr>
        <w:t xml:space="preserve">had </w:t>
      </w:r>
      <w:r w:rsidRPr="00AD7DA6">
        <w:rPr>
          <w:rFonts w:ascii="Century Schoolbook" w:hAnsi="Century Schoolbook"/>
        </w:rPr>
        <w:t>violated section 7160</w:t>
      </w:r>
      <w:r w:rsidR="00FF7CA1" w:rsidRPr="00AD7DA6">
        <w:rPr>
          <w:rFonts w:ascii="Century Schoolbook" w:hAnsi="Century Schoolbook"/>
        </w:rPr>
        <w:t xml:space="preserve"> of the Contractors’ State License Law</w:t>
      </w:r>
      <w:r w:rsidR="00A017ED" w:rsidRPr="00AD7DA6">
        <w:rPr>
          <w:rFonts w:ascii="Century Schoolbook" w:hAnsi="Century Schoolbook"/>
        </w:rPr>
        <w:t xml:space="preserve"> (§ 7000 et seq.)</w:t>
      </w:r>
      <w:r w:rsidRPr="00AD7DA6">
        <w:rPr>
          <w:rFonts w:ascii="Century Schoolbook" w:hAnsi="Century Schoolbook"/>
        </w:rPr>
        <w:t>.  Moore was awarded $2,114,434 in attorney fees plus $104,498 in costs under Code of Civil Procedure section 1032.</w:t>
      </w:r>
      <w:r w:rsidR="00A52EE3" w:rsidRPr="00AD7DA6">
        <w:rPr>
          <w:rFonts w:ascii="Century Schoolbook" w:hAnsi="Century Schoolbook"/>
        </w:rPr>
        <w:t xml:space="preserve"> </w:t>
      </w:r>
      <w:r w:rsidR="00342220" w:rsidRPr="00AD7DA6">
        <w:rPr>
          <w:rFonts w:ascii="Century Schoolbook" w:hAnsi="Century Schoolbook"/>
        </w:rPr>
        <w:t xml:space="preserve"> </w:t>
      </w:r>
      <w:r w:rsidR="00061154" w:rsidRPr="00AD7DA6">
        <w:rPr>
          <w:rFonts w:ascii="Century Schoolbook" w:hAnsi="Century Schoolbook"/>
        </w:rPr>
        <w:t xml:space="preserve">The trial court denied </w:t>
      </w:r>
      <w:proofErr w:type="spellStart"/>
      <w:r w:rsidR="00342220" w:rsidRPr="00AD7DA6">
        <w:rPr>
          <w:rFonts w:ascii="Century Schoolbook" w:hAnsi="Century Schoolbook"/>
        </w:rPr>
        <w:t>Teed’s</w:t>
      </w:r>
      <w:proofErr w:type="spellEnd"/>
      <w:r w:rsidR="00755099" w:rsidRPr="00AD7DA6">
        <w:rPr>
          <w:rFonts w:ascii="Century Schoolbook" w:hAnsi="Century Schoolbook"/>
        </w:rPr>
        <w:t xml:space="preserve"> </w:t>
      </w:r>
      <w:r w:rsidR="00061154" w:rsidRPr="00AD7DA6">
        <w:rPr>
          <w:rFonts w:ascii="Century Schoolbook" w:hAnsi="Century Schoolbook"/>
        </w:rPr>
        <w:t xml:space="preserve">motion </w:t>
      </w:r>
      <w:r w:rsidR="00342220" w:rsidRPr="00AD7DA6">
        <w:rPr>
          <w:rFonts w:ascii="Century Schoolbook" w:hAnsi="Century Schoolbook"/>
        </w:rPr>
        <w:t xml:space="preserve">for a new trial </w:t>
      </w:r>
      <w:r w:rsidR="00061154" w:rsidRPr="00AD7DA6">
        <w:rPr>
          <w:rFonts w:ascii="Century Schoolbook" w:hAnsi="Century Schoolbook"/>
        </w:rPr>
        <w:t>and entered an amended judgment.  This appeal followed.</w:t>
      </w:r>
    </w:p>
    <w:p w14:paraId="3F4D087F" w14:textId="77777777" w:rsidR="00133003" w:rsidRPr="00E663F0" w:rsidRDefault="00133003" w:rsidP="00133003">
      <w:pPr>
        <w:spacing w:line="360" w:lineRule="auto"/>
        <w:jc w:val="center"/>
        <w:rPr>
          <w:rFonts w:ascii="Century Schoolbook" w:hAnsi="Century Schoolbook"/>
          <w:b/>
          <w:bCs/>
        </w:rPr>
      </w:pPr>
      <w:r w:rsidRPr="00E663F0">
        <w:rPr>
          <w:rFonts w:ascii="Century Schoolbook" w:hAnsi="Century Schoolbook"/>
          <w:b/>
          <w:bCs/>
        </w:rPr>
        <w:lastRenderedPageBreak/>
        <w:t>DISCUSSION</w:t>
      </w:r>
    </w:p>
    <w:p w14:paraId="4E51A462" w14:textId="166DE920" w:rsidR="00883953" w:rsidRPr="00AD7DA6" w:rsidRDefault="00225790" w:rsidP="00DC3978">
      <w:pPr>
        <w:spacing w:line="360" w:lineRule="auto"/>
        <w:rPr>
          <w:rFonts w:ascii="Century Schoolbook" w:hAnsi="Century Schoolbook"/>
        </w:rPr>
      </w:pPr>
      <w:r w:rsidRPr="00AD7DA6">
        <w:rPr>
          <w:rFonts w:ascii="Century Schoolbook" w:hAnsi="Century Schoolbook"/>
        </w:rPr>
        <w:tab/>
      </w:r>
      <w:r w:rsidR="00F76276" w:rsidRPr="00AD7DA6">
        <w:rPr>
          <w:rFonts w:ascii="Century Schoolbook" w:hAnsi="Century Schoolbook"/>
        </w:rPr>
        <w:t xml:space="preserve">We review </w:t>
      </w:r>
      <w:proofErr w:type="spellStart"/>
      <w:r w:rsidR="008E2507" w:rsidRPr="00AD7DA6">
        <w:rPr>
          <w:rFonts w:ascii="Century Schoolbook" w:hAnsi="Century Schoolbook"/>
        </w:rPr>
        <w:t>Teed’s</w:t>
      </w:r>
      <w:proofErr w:type="spellEnd"/>
      <w:r w:rsidR="008E2507" w:rsidRPr="00AD7DA6">
        <w:rPr>
          <w:rFonts w:ascii="Century Schoolbook" w:hAnsi="Century Schoolbook"/>
        </w:rPr>
        <w:t xml:space="preserve"> </w:t>
      </w:r>
      <w:r w:rsidR="00F76276" w:rsidRPr="00AD7DA6">
        <w:rPr>
          <w:rFonts w:ascii="Century Schoolbook" w:hAnsi="Century Schoolbook"/>
        </w:rPr>
        <w:t>claims that the trial court erroneously instructed the jury on matters of law de novo</w:t>
      </w:r>
      <w:r w:rsidR="00EF7066" w:rsidRPr="00AD7DA6">
        <w:rPr>
          <w:rFonts w:ascii="Century Schoolbook" w:hAnsi="Century Schoolbook"/>
        </w:rPr>
        <w:t>, viewing</w:t>
      </w:r>
      <w:r w:rsidR="00C54922" w:rsidRPr="00AD7DA6">
        <w:rPr>
          <w:rFonts w:ascii="Century Schoolbook" w:hAnsi="Century Schoolbook"/>
        </w:rPr>
        <w:t xml:space="preserve"> the evidence </w:t>
      </w:r>
      <w:r w:rsidR="000610B3" w:rsidRPr="00AD7DA6">
        <w:rPr>
          <w:rFonts w:ascii="Century Schoolbook" w:hAnsi="Century Schoolbook"/>
        </w:rPr>
        <w:t>in the light most favorable to the claim of instructional error.  (</w:t>
      </w:r>
      <w:r w:rsidR="000610B3" w:rsidRPr="00AD7DA6">
        <w:rPr>
          <w:rFonts w:ascii="Century Schoolbook" w:hAnsi="Century Schoolbook"/>
          <w:i/>
        </w:rPr>
        <w:t>Mize-Kurzman v. Marin Community College Dist.</w:t>
      </w:r>
      <w:r w:rsidR="000610B3" w:rsidRPr="00AD7DA6">
        <w:rPr>
          <w:rFonts w:ascii="Century Schoolbook" w:hAnsi="Century Schoolbook"/>
        </w:rPr>
        <w:t xml:space="preserve"> (2012</w:t>
      </w:r>
      <w:r w:rsidR="00AA351F" w:rsidRPr="00AD7DA6">
        <w:rPr>
          <w:rFonts w:ascii="Century Schoolbook" w:hAnsi="Century Schoolbook"/>
        </w:rPr>
        <w:t>)</w:t>
      </w:r>
      <w:r w:rsidR="000610B3" w:rsidRPr="00AD7DA6">
        <w:rPr>
          <w:rFonts w:ascii="Century Schoolbook" w:hAnsi="Century Schoolbook"/>
        </w:rPr>
        <w:t xml:space="preserve"> 202 Cal.App.4th 832, 845</w:t>
      </w:r>
      <w:r w:rsidR="00DC4184" w:rsidRPr="00AD7DA6">
        <w:rPr>
          <w:rFonts w:ascii="Century Schoolbook" w:hAnsi="Century Schoolbook"/>
        </w:rPr>
        <w:t>–</w:t>
      </w:r>
      <w:r w:rsidR="000610B3" w:rsidRPr="00AD7DA6">
        <w:rPr>
          <w:rFonts w:ascii="Century Schoolbook" w:hAnsi="Century Schoolbook"/>
        </w:rPr>
        <w:t xml:space="preserve">846.)  </w:t>
      </w:r>
      <w:r w:rsidR="00C043D2" w:rsidRPr="00AD7DA6">
        <w:rPr>
          <w:rFonts w:ascii="Century Schoolbook" w:hAnsi="Century Schoolbook"/>
        </w:rPr>
        <w:t xml:space="preserve">“In other words, we assume the jury might have believed the evidence favorable to the </w:t>
      </w:r>
      <w:r w:rsidR="004E04D7" w:rsidRPr="00AD7DA6">
        <w:rPr>
          <w:rFonts w:ascii="Century Schoolbook" w:hAnsi="Century Schoolbook"/>
        </w:rPr>
        <w:t>[prevailing party]</w:t>
      </w:r>
      <w:r w:rsidR="00C043D2" w:rsidRPr="00AD7DA6">
        <w:rPr>
          <w:rFonts w:ascii="Century Schoolbook" w:hAnsi="Century Schoolbook"/>
        </w:rPr>
        <w:t xml:space="preserve"> and rendered a verdict in </w:t>
      </w:r>
      <w:r w:rsidR="00D85C96" w:rsidRPr="00AD7DA6">
        <w:rPr>
          <w:rFonts w:ascii="Century Schoolbook" w:hAnsi="Century Schoolbook"/>
        </w:rPr>
        <w:t>[the prevailing party’s]</w:t>
      </w:r>
      <w:r w:rsidR="00C043D2" w:rsidRPr="00AD7DA6">
        <w:rPr>
          <w:rFonts w:ascii="Century Schoolbook" w:hAnsi="Century Schoolbook"/>
        </w:rPr>
        <w:t xml:space="preserve"> favor on those issues as to which it was misdirected.</w:t>
      </w:r>
      <w:r w:rsidR="004E04D7" w:rsidRPr="00AD7DA6">
        <w:rPr>
          <w:rFonts w:ascii="Century Schoolbook" w:hAnsi="Century Schoolbook"/>
        </w:rPr>
        <w:t xml:space="preserve">” </w:t>
      </w:r>
      <w:r w:rsidR="000D6ACD" w:rsidRPr="00AD7DA6">
        <w:rPr>
          <w:rFonts w:ascii="Century Schoolbook" w:hAnsi="Century Schoolbook"/>
        </w:rPr>
        <w:t xml:space="preserve"> </w:t>
      </w:r>
      <w:r w:rsidR="004E04D7" w:rsidRPr="00AD7DA6">
        <w:rPr>
          <w:rFonts w:ascii="Century Schoolbook" w:hAnsi="Century Schoolbook"/>
        </w:rPr>
        <w:t>(</w:t>
      </w:r>
      <w:r w:rsidR="004E04D7" w:rsidRPr="00AD7DA6">
        <w:rPr>
          <w:rFonts w:ascii="Century Schoolbook" w:hAnsi="Century Schoolbook"/>
          <w:i/>
          <w:iCs/>
        </w:rPr>
        <w:t>Id.</w:t>
      </w:r>
      <w:r w:rsidR="000D6ACD" w:rsidRPr="00AD7DA6">
        <w:rPr>
          <w:rFonts w:ascii="Century Schoolbook" w:hAnsi="Century Schoolbook"/>
        </w:rPr>
        <w:t xml:space="preserve"> at p. 846.</w:t>
      </w:r>
      <w:r w:rsidR="004E04D7" w:rsidRPr="00AD7DA6">
        <w:rPr>
          <w:rFonts w:ascii="Century Schoolbook" w:hAnsi="Century Schoolbook"/>
        </w:rPr>
        <w:t xml:space="preserve">)  </w:t>
      </w:r>
      <w:proofErr w:type="spellStart"/>
      <w:r w:rsidR="00A53E27" w:rsidRPr="00AD7DA6">
        <w:rPr>
          <w:rFonts w:ascii="Century Schoolbook" w:hAnsi="Century Schoolbook"/>
        </w:rPr>
        <w:t>Teed’s</w:t>
      </w:r>
      <w:proofErr w:type="spellEnd"/>
      <w:r w:rsidR="00A53E27" w:rsidRPr="00AD7DA6">
        <w:rPr>
          <w:rFonts w:ascii="Century Schoolbook" w:hAnsi="Century Schoolbook"/>
        </w:rPr>
        <w:t xml:space="preserve"> </w:t>
      </w:r>
      <w:r w:rsidR="00734C3B" w:rsidRPr="00AD7DA6">
        <w:rPr>
          <w:rFonts w:ascii="Century Schoolbook" w:hAnsi="Century Schoolbook"/>
        </w:rPr>
        <w:t xml:space="preserve">claim that </w:t>
      </w:r>
      <w:r w:rsidR="00621482" w:rsidRPr="00AD7DA6">
        <w:rPr>
          <w:rFonts w:ascii="Century Schoolbook" w:hAnsi="Century Schoolbook"/>
        </w:rPr>
        <w:t xml:space="preserve">attorney fees were awarded under a misapplication of law is a legal question we review de novo.  </w:t>
      </w:r>
      <w:r w:rsidR="00A1302F" w:rsidRPr="00AD7DA6">
        <w:rPr>
          <w:rFonts w:ascii="Century Schoolbook" w:hAnsi="Century Schoolbook"/>
        </w:rPr>
        <w:t>(</w:t>
      </w:r>
      <w:r w:rsidR="00DC3978" w:rsidRPr="00AD7DA6">
        <w:rPr>
          <w:rFonts w:ascii="Century Schoolbook" w:hAnsi="Century Schoolbook"/>
          <w:i/>
          <w:iCs/>
        </w:rPr>
        <w:t>Employers Mutual Casualty Co. v. Philadelphia Indemnity Ins. Co</w:t>
      </w:r>
      <w:r w:rsidR="00DC3978" w:rsidRPr="00AD7DA6">
        <w:rPr>
          <w:rFonts w:ascii="Century Schoolbook" w:hAnsi="Century Schoolbook"/>
        </w:rPr>
        <w:t>. (</w:t>
      </w:r>
      <w:r w:rsidR="00471BBA" w:rsidRPr="00AD7DA6">
        <w:rPr>
          <w:rFonts w:ascii="Century Schoolbook" w:hAnsi="Century Schoolbook"/>
        </w:rPr>
        <w:t xml:space="preserve">2008) </w:t>
      </w:r>
      <w:r w:rsidR="00823E30" w:rsidRPr="00AD7DA6">
        <w:rPr>
          <w:rFonts w:ascii="Century Schoolbook" w:hAnsi="Century Schoolbook"/>
        </w:rPr>
        <w:t>169 Cal.App.4th 340, 347</w:t>
      </w:r>
      <w:r w:rsidR="00CA48D0" w:rsidRPr="00AD7DA6">
        <w:rPr>
          <w:rFonts w:ascii="Century Schoolbook" w:hAnsi="Century Schoolbook"/>
        </w:rPr>
        <w:t>.</w:t>
      </w:r>
      <w:r w:rsidR="00823E30" w:rsidRPr="00AD7DA6">
        <w:rPr>
          <w:rFonts w:ascii="Century Schoolbook" w:hAnsi="Century Schoolbook"/>
        </w:rPr>
        <w:t xml:space="preserve">)  </w:t>
      </w:r>
    </w:p>
    <w:p w14:paraId="750F5F00" w14:textId="07E79E41" w:rsidR="00871EB3" w:rsidRPr="00D12B00" w:rsidRDefault="00871EB3" w:rsidP="00440E34">
      <w:pPr>
        <w:pStyle w:val="ListParagraph"/>
        <w:numPr>
          <w:ilvl w:val="0"/>
          <w:numId w:val="1"/>
        </w:numPr>
        <w:spacing w:line="360" w:lineRule="auto"/>
        <w:ind w:hanging="1080"/>
        <w:rPr>
          <w:rFonts w:ascii="Century Schoolbook" w:hAnsi="Century Schoolbook"/>
          <w:b/>
          <w:bCs/>
          <w:i/>
        </w:rPr>
      </w:pPr>
      <w:r w:rsidRPr="00D12B00">
        <w:rPr>
          <w:rFonts w:ascii="Century Schoolbook" w:hAnsi="Century Schoolbook"/>
          <w:b/>
          <w:bCs/>
          <w:i/>
        </w:rPr>
        <w:t xml:space="preserve">Damages Award </w:t>
      </w:r>
    </w:p>
    <w:p w14:paraId="7BE97E92" w14:textId="607CE4D6" w:rsidR="00871EB3" w:rsidRPr="00AD7DA6" w:rsidRDefault="00092199" w:rsidP="00440E34">
      <w:pPr>
        <w:spacing w:line="360" w:lineRule="auto"/>
        <w:rPr>
          <w:rFonts w:ascii="Century Schoolbook" w:hAnsi="Century Schoolbook"/>
        </w:rPr>
      </w:pPr>
      <w:r w:rsidRPr="00AD7DA6">
        <w:rPr>
          <w:rFonts w:ascii="Century Schoolbook" w:hAnsi="Century Schoolbook"/>
        </w:rPr>
        <w:tab/>
      </w:r>
      <w:r w:rsidR="003670D6" w:rsidRPr="00AD7DA6">
        <w:rPr>
          <w:rFonts w:ascii="Century Schoolbook" w:hAnsi="Century Schoolbook"/>
        </w:rPr>
        <w:t xml:space="preserve">Teed </w:t>
      </w:r>
      <w:r w:rsidR="00F90D4A" w:rsidRPr="00AD7DA6">
        <w:rPr>
          <w:rFonts w:ascii="Century Schoolbook" w:hAnsi="Century Schoolbook"/>
        </w:rPr>
        <w:t xml:space="preserve">challenges </w:t>
      </w:r>
      <w:r w:rsidR="009C2833" w:rsidRPr="00AD7DA6">
        <w:rPr>
          <w:rFonts w:ascii="Century Schoolbook" w:hAnsi="Century Schoolbook"/>
        </w:rPr>
        <w:t xml:space="preserve">the damages award on several grounds.  </w:t>
      </w:r>
      <w:r w:rsidRPr="00AD7DA6">
        <w:rPr>
          <w:rFonts w:ascii="Century Schoolbook" w:hAnsi="Century Schoolbook"/>
        </w:rPr>
        <w:t>He claims that benefit-of-the-bargain damages cannot be awarded alongside out-of-pocket damages as a matter of law, benefit-of-the-bargain damages are not a permissible form of recovery for fraud actions involving the purchase of real property</w:t>
      </w:r>
      <w:r w:rsidR="007F7FCA" w:rsidRPr="00AD7DA6">
        <w:rPr>
          <w:rFonts w:ascii="Century Schoolbook" w:hAnsi="Century Schoolbook"/>
        </w:rPr>
        <w:t xml:space="preserve">, </w:t>
      </w:r>
      <w:r w:rsidR="00306E57" w:rsidRPr="00AD7DA6">
        <w:rPr>
          <w:rFonts w:ascii="Century Schoolbook" w:hAnsi="Century Schoolbook"/>
        </w:rPr>
        <w:t xml:space="preserve">and </w:t>
      </w:r>
      <w:r w:rsidR="00DA475F" w:rsidRPr="00AD7DA6">
        <w:rPr>
          <w:rFonts w:ascii="Century Schoolbook" w:hAnsi="Century Schoolbook"/>
        </w:rPr>
        <w:t xml:space="preserve">the </w:t>
      </w:r>
      <w:r w:rsidR="004D034A" w:rsidRPr="00AD7DA6">
        <w:rPr>
          <w:rFonts w:ascii="Century Schoolbook" w:hAnsi="Century Schoolbook"/>
        </w:rPr>
        <w:t xml:space="preserve">trial court erred in allowing </w:t>
      </w:r>
      <w:r w:rsidR="00CA3651" w:rsidRPr="00AD7DA6">
        <w:rPr>
          <w:rFonts w:ascii="Century Schoolbook" w:hAnsi="Century Schoolbook"/>
        </w:rPr>
        <w:t xml:space="preserve">a </w:t>
      </w:r>
      <w:r w:rsidR="00612890" w:rsidRPr="00AD7DA6">
        <w:rPr>
          <w:rFonts w:ascii="Century Schoolbook" w:hAnsi="Century Schoolbook"/>
        </w:rPr>
        <w:t xml:space="preserve">damages </w:t>
      </w:r>
      <w:r w:rsidR="00CA3651" w:rsidRPr="00AD7DA6">
        <w:rPr>
          <w:rFonts w:ascii="Century Schoolbook" w:hAnsi="Century Schoolbook"/>
        </w:rPr>
        <w:t xml:space="preserve">award </w:t>
      </w:r>
      <w:r w:rsidR="00707CE2" w:rsidRPr="00AD7DA6">
        <w:rPr>
          <w:rFonts w:ascii="Century Schoolbook" w:hAnsi="Century Schoolbook"/>
        </w:rPr>
        <w:t xml:space="preserve">founded on </w:t>
      </w:r>
      <w:r w:rsidR="00D57550" w:rsidRPr="00AD7DA6">
        <w:rPr>
          <w:rFonts w:ascii="Century Schoolbook" w:hAnsi="Century Schoolbook"/>
        </w:rPr>
        <w:t xml:space="preserve">speculative assumptions about </w:t>
      </w:r>
      <w:r w:rsidR="006811C8" w:rsidRPr="00AD7DA6">
        <w:rPr>
          <w:rFonts w:ascii="Century Schoolbook" w:hAnsi="Century Schoolbook"/>
        </w:rPr>
        <w:t xml:space="preserve">a </w:t>
      </w:r>
      <w:r w:rsidR="00EC6E04" w:rsidRPr="00AD7DA6">
        <w:rPr>
          <w:rFonts w:ascii="Century Schoolbook" w:hAnsi="Century Schoolbook"/>
        </w:rPr>
        <w:t xml:space="preserve">hypothetical </w:t>
      </w:r>
      <w:r w:rsidR="006811C8" w:rsidRPr="00AD7DA6">
        <w:rPr>
          <w:rFonts w:ascii="Century Schoolbook" w:hAnsi="Century Schoolbook"/>
        </w:rPr>
        <w:t xml:space="preserve">project </w:t>
      </w:r>
      <w:r w:rsidR="0029542B" w:rsidRPr="00AD7DA6">
        <w:rPr>
          <w:rFonts w:ascii="Century Schoolbook" w:hAnsi="Century Schoolbook"/>
        </w:rPr>
        <w:t xml:space="preserve">that </w:t>
      </w:r>
      <w:r w:rsidR="00CA38E6" w:rsidRPr="00AD7DA6">
        <w:rPr>
          <w:rFonts w:ascii="Century Schoolbook" w:hAnsi="Century Schoolbook"/>
        </w:rPr>
        <w:t>was never built</w:t>
      </w:r>
      <w:r w:rsidR="00B215F3" w:rsidRPr="00AD7DA6">
        <w:rPr>
          <w:rFonts w:ascii="Century Schoolbook" w:hAnsi="Century Schoolbook"/>
        </w:rPr>
        <w:t xml:space="preserve">. </w:t>
      </w:r>
      <w:r w:rsidR="00D52D1E" w:rsidRPr="00AD7DA6">
        <w:rPr>
          <w:rFonts w:ascii="Century Schoolbook" w:hAnsi="Century Schoolbook"/>
        </w:rPr>
        <w:t xml:space="preserve"> </w:t>
      </w:r>
      <w:r w:rsidR="002B7F90" w:rsidRPr="00AD7DA6">
        <w:rPr>
          <w:rFonts w:ascii="Century Schoolbook" w:hAnsi="Century Schoolbook"/>
        </w:rPr>
        <w:t xml:space="preserve">These errors were compounded, </w:t>
      </w:r>
      <w:proofErr w:type="gramStart"/>
      <w:r w:rsidR="002B7F90" w:rsidRPr="00AD7DA6">
        <w:rPr>
          <w:rFonts w:ascii="Century Schoolbook" w:hAnsi="Century Schoolbook"/>
        </w:rPr>
        <w:t>Teed</w:t>
      </w:r>
      <w:proofErr w:type="gramEnd"/>
      <w:r w:rsidR="002B7F90" w:rsidRPr="00AD7DA6">
        <w:rPr>
          <w:rFonts w:ascii="Century Schoolbook" w:hAnsi="Century Schoolbook"/>
        </w:rPr>
        <w:t xml:space="preserve"> argues, </w:t>
      </w:r>
      <w:r w:rsidR="00B907EF" w:rsidRPr="00AD7DA6">
        <w:rPr>
          <w:rFonts w:ascii="Century Schoolbook" w:hAnsi="Century Schoolbook"/>
        </w:rPr>
        <w:t xml:space="preserve">when </w:t>
      </w:r>
      <w:r w:rsidR="0088601A" w:rsidRPr="00AD7DA6">
        <w:rPr>
          <w:rFonts w:ascii="Century Schoolbook" w:hAnsi="Century Schoolbook"/>
        </w:rPr>
        <w:t xml:space="preserve">the trial court </w:t>
      </w:r>
      <w:r w:rsidR="0038479E" w:rsidRPr="00AD7DA6">
        <w:rPr>
          <w:rFonts w:ascii="Century Schoolbook" w:hAnsi="Century Schoolbook"/>
        </w:rPr>
        <w:t xml:space="preserve">permitted </w:t>
      </w:r>
      <w:r w:rsidR="00184633" w:rsidRPr="00AD7DA6">
        <w:rPr>
          <w:rFonts w:ascii="Century Schoolbook" w:hAnsi="Century Schoolbook"/>
        </w:rPr>
        <w:t xml:space="preserve">double recovery for the </w:t>
      </w:r>
      <w:r w:rsidR="00C760CC" w:rsidRPr="00AD7DA6">
        <w:rPr>
          <w:rFonts w:ascii="Century Schoolbook" w:hAnsi="Century Schoolbook"/>
        </w:rPr>
        <w:t>cost of replacing the foundation</w:t>
      </w:r>
      <w:r w:rsidR="00D5360C" w:rsidRPr="00AD7DA6">
        <w:rPr>
          <w:rFonts w:ascii="Century Schoolbook" w:hAnsi="Century Schoolbook"/>
        </w:rPr>
        <w:t>.</w:t>
      </w:r>
      <w:r w:rsidR="00A52EE3" w:rsidRPr="00AD7DA6">
        <w:rPr>
          <w:rFonts w:ascii="Century Schoolbook" w:hAnsi="Century Schoolbook"/>
        </w:rPr>
        <w:t xml:space="preserve"> </w:t>
      </w:r>
      <w:r w:rsidR="00A82A33" w:rsidRPr="00AD7DA6">
        <w:rPr>
          <w:rFonts w:ascii="Century Schoolbook" w:hAnsi="Century Schoolbook"/>
        </w:rPr>
        <w:t xml:space="preserve"> </w:t>
      </w:r>
      <w:r w:rsidR="00165FB4" w:rsidRPr="00AD7DA6">
        <w:rPr>
          <w:rFonts w:ascii="Century Schoolbook" w:hAnsi="Century Schoolbook"/>
        </w:rPr>
        <w:t xml:space="preserve">We find no merit to any of these contentions.  </w:t>
      </w:r>
    </w:p>
    <w:p w14:paraId="25290869" w14:textId="1055FCB6" w:rsidR="00871EB3" w:rsidRPr="00C73B4F" w:rsidRDefault="00871EB3" w:rsidP="00440E34">
      <w:pPr>
        <w:pStyle w:val="ListParagraph"/>
        <w:numPr>
          <w:ilvl w:val="1"/>
          <w:numId w:val="1"/>
        </w:numPr>
        <w:spacing w:after="120" w:line="240" w:lineRule="auto"/>
        <w:rPr>
          <w:rFonts w:ascii="Century Schoolbook" w:hAnsi="Century Schoolbook"/>
          <w:b/>
          <w:bCs/>
          <w:i/>
        </w:rPr>
      </w:pPr>
      <w:r w:rsidRPr="00C73B4F">
        <w:rPr>
          <w:rFonts w:ascii="Century Schoolbook" w:hAnsi="Century Schoolbook"/>
          <w:b/>
          <w:bCs/>
          <w:i/>
        </w:rPr>
        <w:t xml:space="preserve">The Trial Court Did Not Err </w:t>
      </w:r>
      <w:r w:rsidR="009A5E1F" w:rsidRPr="00C73B4F">
        <w:rPr>
          <w:rFonts w:ascii="Century Schoolbook" w:hAnsi="Century Schoolbook"/>
          <w:b/>
          <w:bCs/>
          <w:i/>
        </w:rPr>
        <w:t>i</w:t>
      </w:r>
      <w:r w:rsidRPr="00C73B4F">
        <w:rPr>
          <w:rFonts w:ascii="Century Schoolbook" w:hAnsi="Century Schoolbook"/>
          <w:b/>
          <w:bCs/>
          <w:i/>
        </w:rPr>
        <w:t>n Instructing on Alternative Forms of Recovery</w:t>
      </w:r>
    </w:p>
    <w:p w14:paraId="7B4F2AF0" w14:textId="64BFA5C1" w:rsidR="0013073A" w:rsidRPr="00AD7DA6" w:rsidRDefault="004C175A" w:rsidP="004C175A">
      <w:pPr>
        <w:spacing w:line="360" w:lineRule="auto"/>
        <w:rPr>
          <w:rFonts w:ascii="Century Schoolbook" w:hAnsi="Century Schoolbook"/>
        </w:rPr>
      </w:pPr>
      <w:r w:rsidRPr="00AD7DA6">
        <w:rPr>
          <w:rFonts w:ascii="Century Schoolbook" w:hAnsi="Century Schoolbook"/>
        </w:rPr>
        <w:tab/>
      </w:r>
      <w:r w:rsidR="004928F7" w:rsidRPr="00AD7DA6">
        <w:rPr>
          <w:rFonts w:ascii="Century Schoolbook" w:hAnsi="Century Schoolbook"/>
        </w:rPr>
        <w:t xml:space="preserve">The principles applicable to a damages award for fraud are well settled.  </w:t>
      </w:r>
    </w:p>
    <w:p w14:paraId="3DBDC36F" w14:textId="6AE14A98" w:rsidR="00611F37" w:rsidRPr="00AD7DA6" w:rsidRDefault="004C175A" w:rsidP="004C175A">
      <w:pPr>
        <w:spacing w:line="360" w:lineRule="auto"/>
        <w:rPr>
          <w:rFonts w:ascii="Century Schoolbook" w:hAnsi="Century Schoolbook"/>
        </w:rPr>
      </w:pPr>
      <w:r w:rsidRPr="00AD7DA6">
        <w:rPr>
          <w:rFonts w:ascii="Century Schoolbook" w:hAnsi="Century Schoolbook"/>
        </w:rPr>
        <w:t>“</w:t>
      </w:r>
      <w:r w:rsidR="00AC29C6" w:rsidRPr="00AD7DA6">
        <w:rPr>
          <w:rFonts w:ascii="Century Schoolbook" w:hAnsi="Century Schoolbook"/>
        </w:rPr>
        <w:t>T</w:t>
      </w:r>
      <w:r w:rsidRPr="00AD7DA6">
        <w:rPr>
          <w:rFonts w:ascii="Century Schoolbook" w:hAnsi="Century Schoolbook"/>
        </w:rPr>
        <w:t>here are two measures of damages for fraud:</w:t>
      </w:r>
      <w:r w:rsidR="006D314F">
        <w:rPr>
          <w:rFonts w:ascii="Century Schoolbook" w:hAnsi="Century Schoolbook"/>
        </w:rPr>
        <w:t xml:space="preserve"> </w:t>
      </w:r>
      <w:r w:rsidRPr="00AD7DA6">
        <w:rPr>
          <w:rFonts w:ascii="Century Schoolbook" w:hAnsi="Century Schoolbook"/>
        </w:rPr>
        <w:t xml:space="preserve"> out</w:t>
      </w:r>
      <w:r w:rsidR="005A239C" w:rsidRPr="00AD7DA6">
        <w:rPr>
          <w:rFonts w:ascii="Century Schoolbook" w:hAnsi="Century Schoolbook"/>
        </w:rPr>
        <w:t>-</w:t>
      </w:r>
      <w:r w:rsidRPr="00AD7DA6">
        <w:rPr>
          <w:rFonts w:ascii="Century Schoolbook" w:hAnsi="Century Schoolbook"/>
        </w:rPr>
        <w:t>of</w:t>
      </w:r>
      <w:r w:rsidR="005A239C" w:rsidRPr="00AD7DA6">
        <w:rPr>
          <w:rFonts w:ascii="Century Schoolbook" w:hAnsi="Century Schoolbook"/>
        </w:rPr>
        <w:t>-</w:t>
      </w:r>
      <w:r w:rsidRPr="00AD7DA6">
        <w:rPr>
          <w:rFonts w:ascii="Century Schoolbook" w:hAnsi="Century Schoolbook"/>
        </w:rPr>
        <w:t>pocket and benefit</w:t>
      </w:r>
      <w:r w:rsidR="0061011E" w:rsidRPr="00AD7DA6">
        <w:rPr>
          <w:rFonts w:ascii="Century Schoolbook" w:hAnsi="Century Schoolbook"/>
        </w:rPr>
        <w:t xml:space="preserve"> </w:t>
      </w:r>
      <w:r w:rsidRPr="00AD7DA6">
        <w:rPr>
          <w:rFonts w:ascii="Century Schoolbook" w:hAnsi="Century Schoolbook"/>
        </w:rPr>
        <w:t>of</w:t>
      </w:r>
      <w:r w:rsidR="0061011E" w:rsidRPr="00AD7DA6">
        <w:rPr>
          <w:rFonts w:ascii="Century Schoolbook" w:hAnsi="Century Schoolbook"/>
        </w:rPr>
        <w:t xml:space="preserve"> </w:t>
      </w:r>
      <w:r w:rsidRPr="00AD7DA6">
        <w:rPr>
          <w:rFonts w:ascii="Century Schoolbook" w:hAnsi="Century Schoolbook"/>
        </w:rPr>
        <w:t>the</w:t>
      </w:r>
      <w:r w:rsidR="0061011E" w:rsidRPr="00AD7DA6">
        <w:rPr>
          <w:rFonts w:ascii="Century Schoolbook" w:hAnsi="Century Schoolbook"/>
        </w:rPr>
        <w:t xml:space="preserve"> </w:t>
      </w:r>
      <w:r w:rsidRPr="00AD7DA6">
        <w:rPr>
          <w:rFonts w:ascii="Century Schoolbook" w:hAnsi="Century Schoolbook"/>
        </w:rPr>
        <w:t xml:space="preserve">bargain.  [Citation.]  The ‘out-of-pocket’ measure of damages ‘is directed to restoring the plaintiff to the financial position enjoyed by him prior to the fraudulent transaction, and thus awards the difference in actual value at the </w:t>
      </w:r>
      <w:r w:rsidRPr="00AD7DA6">
        <w:rPr>
          <w:rFonts w:ascii="Century Schoolbook" w:hAnsi="Century Schoolbook"/>
        </w:rPr>
        <w:lastRenderedPageBreak/>
        <w:t>time of the transaction between what the plaintiff gave and what he received.  The ‘benefit-of-the-bargain’ measure, on the other hand, is concerned with satisfying the expectancy interest of the defrauded plaintiff by putting him in the position he would have enjoyed if the false representation relied upon had been true; it awards the difference in value between what the plaintiff actually received and what he was fraudulently led to believe he would receive.’</w:t>
      </w:r>
      <w:r w:rsidR="00CA48D0" w:rsidRPr="00AD7DA6">
        <w:rPr>
          <w:rFonts w:ascii="Century Schoolbook" w:hAnsi="Century Schoolbook"/>
        </w:rPr>
        <w:t> </w:t>
      </w:r>
      <w:r w:rsidRPr="00AD7DA6">
        <w:rPr>
          <w:rFonts w:ascii="Century Schoolbook" w:hAnsi="Century Schoolbook"/>
        </w:rPr>
        <w:t>”  (</w:t>
      </w:r>
      <w:r w:rsidRPr="00AD7DA6">
        <w:rPr>
          <w:rFonts w:ascii="Century Schoolbook" w:hAnsi="Century Schoolbook"/>
          <w:i/>
        </w:rPr>
        <w:t>Alliance Mortgage Co. v. Rothwell</w:t>
      </w:r>
      <w:r w:rsidRPr="00AD7DA6">
        <w:rPr>
          <w:rFonts w:ascii="Century Schoolbook" w:hAnsi="Century Schoolbook"/>
        </w:rPr>
        <w:t xml:space="preserve"> (1995) 10 Cal.4th 1226, 1240 (</w:t>
      </w:r>
      <w:r w:rsidRPr="00AD7DA6">
        <w:rPr>
          <w:rFonts w:ascii="Century Schoolbook" w:hAnsi="Century Schoolbook"/>
          <w:i/>
        </w:rPr>
        <w:t>Alliance Mortgage</w:t>
      </w:r>
      <w:r w:rsidRPr="00AD7DA6">
        <w:rPr>
          <w:rFonts w:ascii="Century Schoolbook" w:hAnsi="Century Schoolbook"/>
        </w:rPr>
        <w:t>)</w:t>
      </w:r>
      <w:r w:rsidR="00932FA8" w:rsidRPr="00AD7DA6">
        <w:rPr>
          <w:rFonts w:ascii="Century Schoolbook" w:hAnsi="Century Schoolbook"/>
        </w:rPr>
        <w:t xml:space="preserve">; see </w:t>
      </w:r>
      <w:r w:rsidR="00932FA8" w:rsidRPr="00AD7DA6">
        <w:rPr>
          <w:rFonts w:ascii="Century Schoolbook" w:hAnsi="Century Schoolbook"/>
          <w:i/>
        </w:rPr>
        <w:t>Lazar v. Superior Court</w:t>
      </w:r>
      <w:r w:rsidR="00932FA8" w:rsidRPr="00AD7DA6">
        <w:rPr>
          <w:rFonts w:ascii="Century Schoolbook" w:hAnsi="Century Schoolbook"/>
        </w:rPr>
        <w:t xml:space="preserve"> (1996) 12 Cal.4th 631, 646 (</w:t>
      </w:r>
      <w:r w:rsidR="00932FA8" w:rsidRPr="00AD7DA6">
        <w:rPr>
          <w:rFonts w:ascii="Century Schoolbook" w:hAnsi="Century Schoolbook"/>
          <w:i/>
        </w:rPr>
        <w:t>Lazar</w:t>
      </w:r>
      <w:r w:rsidR="00932FA8" w:rsidRPr="00AD7DA6">
        <w:rPr>
          <w:rFonts w:ascii="Century Schoolbook" w:hAnsi="Century Schoolbook"/>
        </w:rPr>
        <w:t xml:space="preserve">) [“Because of the extra measure of blameworthiness inherent in fraud, and because in fraud cases we are not concerned about the need for ‘predictability about the cost of contractual relationships’ </w:t>
      </w:r>
      <w:r w:rsidR="00636BD3" w:rsidRPr="00AD7DA6">
        <w:rPr>
          <w:rFonts w:ascii="Century Schoolbook" w:hAnsi="Century Schoolbook"/>
        </w:rPr>
        <w:t xml:space="preserve">[citation], </w:t>
      </w:r>
      <w:r w:rsidR="00932FA8" w:rsidRPr="00AD7DA6">
        <w:rPr>
          <w:rFonts w:ascii="Century Schoolbook" w:hAnsi="Century Schoolbook"/>
        </w:rPr>
        <w:t xml:space="preserve">fraud plaintiffs may recover </w:t>
      </w:r>
      <w:r w:rsidR="00CA48D0" w:rsidRPr="00AD7DA6">
        <w:rPr>
          <w:rFonts w:ascii="Century Schoolbook" w:hAnsi="Century Schoolbook"/>
        </w:rPr>
        <w:t>‘</w:t>
      </w:r>
      <w:r w:rsidR="00932FA8" w:rsidRPr="00AD7DA6">
        <w:rPr>
          <w:rFonts w:ascii="Century Schoolbook" w:hAnsi="Century Schoolbook"/>
        </w:rPr>
        <w:t>out-of-pocket</w:t>
      </w:r>
      <w:r w:rsidR="00CA48D0" w:rsidRPr="00AD7DA6">
        <w:rPr>
          <w:rFonts w:ascii="Century Schoolbook" w:hAnsi="Century Schoolbook"/>
        </w:rPr>
        <w:t>’</w:t>
      </w:r>
      <w:r w:rsidR="00932FA8" w:rsidRPr="00AD7DA6">
        <w:rPr>
          <w:rFonts w:ascii="Century Schoolbook" w:hAnsi="Century Schoolbook"/>
        </w:rPr>
        <w:t xml:space="preserve"> damages in addition to benefit-of-the-bargain damages.”]</w:t>
      </w:r>
      <w:r w:rsidR="00CA48D0" w:rsidRPr="00AD7DA6">
        <w:rPr>
          <w:rFonts w:ascii="Century Schoolbook" w:hAnsi="Century Schoolbook"/>
        </w:rPr>
        <w:t>.</w:t>
      </w:r>
      <w:r w:rsidRPr="00AD7DA6">
        <w:rPr>
          <w:rFonts w:ascii="Century Schoolbook" w:hAnsi="Century Schoolbook"/>
        </w:rPr>
        <w:t>)</w:t>
      </w:r>
    </w:p>
    <w:p w14:paraId="08EEF65D" w14:textId="39A7F28F" w:rsidR="0020616C" w:rsidRPr="00AD7DA6" w:rsidRDefault="009050C1" w:rsidP="009050C1">
      <w:pPr>
        <w:spacing w:line="360" w:lineRule="auto"/>
        <w:rPr>
          <w:rFonts w:ascii="Century Schoolbook" w:hAnsi="Century Schoolbook"/>
        </w:rPr>
      </w:pPr>
      <w:r w:rsidRPr="00AD7DA6">
        <w:rPr>
          <w:rFonts w:ascii="Century Schoolbook" w:hAnsi="Century Schoolbook"/>
        </w:rPr>
        <w:tab/>
      </w:r>
      <w:r w:rsidR="00AD363E" w:rsidRPr="00AD7DA6">
        <w:rPr>
          <w:rFonts w:ascii="Century Schoolbook" w:hAnsi="Century Schoolbook"/>
        </w:rPr>
        <w:t xml:space="preserve">As </w:t>
      </w:r>
      <w:r w:rsidR="007521AB" w:rsidRPr="00AD7DA6">
        <w:rPr>
          <w:rFonts w:ascii="Century Schoolbook" w:hAnsi="Century Schoolbook"/>
        </w:rPr>
        <w:t>described</w:t>
      </w:r>
      <w:r w:rsidR="00AD363E" w:rsidRPr="00AD7DA6">
        <w:rPr>
          <w:rFonts w:ascii="Century Schoolbook" w:hAnsi="Century Schoolbook"/>
        </w:rPr>
        <w:t xml:space="preserve"> above, </w:t>
      </w:r>
      <w:r w:rsidRPr="00AD7DA6">
        <w:rPr>
          <w:rFonts w:ascii="Century Schoolbook" w:hAnsi="Century Schoolbook"/>
        </w:rPr>
        <w:t xml:space="preserve">Moore was awarded $900,000 in benefit-of-the-bargain damages </w:t>
      </w:r>
      <w:r w:rsidR="008167C9" w:rsidRPr="00AD7DA6">
        <w:rPr>
          <w:rFonts w:ascii="Century Schoolbook" w:hAnsi="Century Schoolbook"/>
        </w:rPr>
        <w:t xml:space="preserve">based on the difference </w:t>
      </w:r>
      <w:r w:rsidRPr="00AD7DA6">
        <w:rPr>
          <w:rFonts w:ascii="Century Schoolbook" w:hAnsi="Century Schoolbook"/>
        </w:rPr>
        <w:t xml:space="preserve">between the price Teed </w:t>
      </w:r>
      <w:r w:rsidR="006C55D2" w:rsidRPr="00AD7DA6">
        <w:rPr>
          <w:rFonts w:ascii="Century Schoolbook" w:hAnsi="Century Schoolbook"/>
        </w:rPr>
        <w:t xml:space="preserve">represented </w:t>
      </w:r>
      <w:r w:rsidRPr="00AD7DA6">
        <w:rPr>
          <w:rFonts w:ascii="Century Schoolbook" w:hAnsi="Century Schoolbook"/>
        </w:rPr>
        <w:t xml:space="preserve">the renovations </w:t>
      </w:r>
      <w:r w:rsidR="0064797D" w:rsidRPr="00AD7DA6">
        <w:rPr>
          <w:rFonts w:ascii="Century Schoolbook" w:hAnsi="Century Schoolbook"/>
        </w:rPr>
        <w:t xml:space="preserve">would cost </w:t>
      </w:r>
      <w:r w:rsidRPr="00AD7DA6">
        <w:rPr>
          <w:rFonts w:ascii="Century Schoolbook" w:hAnsi="Century Schoolbook"/>
        </w:rPr>
        <w:t xml:space="preserve">and </w:t>
      </w:r>
      <w:r w:rsidR="00AD363E" w:rsidRPr="00AD7DA6">
        <w:rPr>
          <w:rFonts w:ascii="Century Schoolbook" w:hAnsi="Century Schoolbook"/>
        </w:rPr>
        <w:t xml:space="preserve">the actual cost to do the same renovations </w:t>
      </w:r>
      <w:r w:rsidR="00551834" w:rsidRPr="00AD7DA6">
        <w:rPr>
          <w:rFonts w:ascii="Century Schoolbook" w:hAnsi="Century Schoolbook"/>
        </w:rPr>
        <w:t xml:space="preserve">using </w:t>
      </w:r>
      <w:r w:rsidR="00A36441" w:rsidRPr="00AD7DA6">
        <w:rPr>
          <w:rFonts w:ascii="Century Schoolbook" w:hAnsi="Century Schoolbook"/>
        </w:rPr>
        <w:t>rates</w:t>
      </w:r>
      <w:r w:rsidR="00551834" w:rsidRPr="00AD7DA6">
        <w:rPr>
          <w:rFonts w:ascii="Century Schoolbook" w:hAnsi="Century Schoolbook"/>
        </w:rPr>
        <w:t xml:space="preserve"> from</w:t>
      </w:r>
      <w:r w:rsidR="00367E52" w:rsidRPr="00AD7DA6">
        <w:rPr>
          <w:rFonts w:ascii="Century Schoolbook" w:hAnsi="Century Schoolbook"/>
        </w:rPr>
        <w:t xml:space="preserve"> 2011-2012</w:t>
      </w:r>
      <w:r w:rsidR="00AD363E" w:rsidRPr="00AD7DA6">
        <w:rPr>
          <w:rFonts w:ascii="Century Schoolbook" w:hAnsi="Century Schoolbook"/>
        </w:rPr>
        <w:t xml:space="preserve">. </w:t>
      </w:r>
      <w:r w:rsidR="007521AB" w:rsidRPr="00AD7DA6">
        <w:rPr>
          <w:rFonts w:ascii="Century Schoolbook" w:hAnsi="Century Schoolbook"/>
        </w:rPr>
        <w:t xml:space="preserve"> </w:t>
      </w:r>
      <w:r w:rsidR="00692187" w:rsidRPr="00AD7DA6">
        <w:rPr>
          <w:rFonts w:ascii="Century Schoolbook" w:hAnsi="Century Schoolbook"/>
        </w:rPr>
        <w:t xml:space="preserve">Moore was </w:t>
      </w:r>
      <w:r w:rsidR="000E7627" w:rsidRPr="00AD7DA6">
        <w:rPr>
          <w:rFonts w:ascii="Century Schoolbook" w:hAnsi="Century Schoolbook"/>
        </w:rPr>
        <w:t>also</w:t>
      </w:r>
      <w:r w:rsidR="00692187" w:rsidRPr="00AD7DA6">
        <w:rPr>
          <w:rFonts w:ascii="Century Schoolbook" w:hAnsi="Century Schoolbook"/>
        </w:rPr>
        <w:t xml:space="preserve"> awarded </w:t>
      </w:r>
      <w:r w:rsidR="00316C54" w:rsidRPr="00AD7DA6">
        <w:rPr>
          <w:rFonts w:ascii="Century Schoolbook" w:hAnsi="Century Schoolbook"/>
        </w:rPr>
        <w:t xml:space="preserve">out-of-pocket </w:t>
      </w:r>
      <w:r w:rsidR="001B75A9" w:rsidRPr="00AD7DA6">
        <w:rPr>
          <w:rFonts w:ascii="Century Schoolbook" w:hAnsi="Century Schoolbook"/>
        </w:rPr>
        <w:t>damages</w:t>
      </w:r>
      <w:r w:rsidR="00695471" w:rsidRPr="00AD7DA6">
        <w:rPr>
          <w:rFonts w:ascii="Century Schoolbook" w:hAnsi="Century Schoolbook"/>
        </w:rPr>
        <w:t xml:space="preserve"> </w:t>
      </w:r>
      <w:r w:rsidR="001B75A9" w:rsidRPr="00AD7DA6">
        <w:rPr>
          <w:rFonts w:ascii="Century Schoolbook" w:hAnsi="Century Schoolbook"/>
        </w:rPr>
        <w:t xml:space="preserve">for costs he incurred </w:t>
      </w:r>
      <w:r w:rsidR="002168B5" w:rsidRPr="00AD7DA6">
        <w:rPr>
          <w:rFonts w:ascii="Century Schoolbook" w:hAnsi="Century Schoolbook"/>
        </w:rPr>
        <w:t xml:space="preserve">to tear out </w:t>
      </w:r>
      <w:r w:rsidR="006F75D9" w:rsidRPr="00AD7DA6">
        <w:rPr>
          <w:rFonts w:ascii="Century Schoolbook" w:hAnsi="Century Schoolbook"/>
        </w:rPr>
        <w:t xml:space="preserve">and replace </w:t>
      </w:r>
      <w:r w:rsidR="002168B5" w:rsidRPr="00AD7DA6">
        <w:rPr>
          <w:rFonts w:ascii="Century Schoolbook" w:hAnsi="Century Schoolbook"/>
        </w:rPr>
        <w:t xml:space="preserve">the </w:t>
      </w:r>
      <w:r w:rsidR="006F75D9" w:rsidRPr="00AD7DA6">
        <w:rPr>
          <w:rFonts w:ascii="Century Schoolbook" w:hAnsi="Century Schoolbook"/>
        </w:rPr>
        <w:t>defective</w:t>
      </w:r>
      <w:r w:rsidR="002168B5" w:rsidRPr="00AD7DA6">
        <w:rPr>
          <w:rFonts w:ascii="Century Schoolbook" w:hAnsi="Century Schoolbook"/>
        </w:rPr>
        <w:t xml:space="preserve"> foundation</w:t>
      </w:r>
      <w:r w:rsidR="00044251" w:rsidRPr="00AD7DA6">
        <w:rPr>
          <w:rFonts w:ascii="Century Schoolbook" w:hAnsi="Century Schoolbook"/>
        </w:rPr>
        <w:t xml:space="preserve">.  We analyze these </w:t>
      </w:r>
      <w:r w:rsidR="006C3EA1" w:rsidRPr="00AD7DA6">
        <w:rPr>
          <w:rFonts w:ascii="Century Schoolbook" w:hAnsi="Century Schoolbook"/>
        </w:rPr>
        <w:t xml:space="preserve">separate items of recovery in </w:t>
      </w:r>
      <w:r w:rsidR="00D05C3F" w:rsidRPr="00AD7DA6">
        <w:rPr>
          <w:rFonts w:ascii="Century Schoolbook" w:hAnsi="Century Schoolbook"/>
        </w:rPr>
        <w:t>further</w:t>
      </w:r>
      <w:r w:rsidR="006C3EA1" w:rsidRPr="00AD7DA6">
        <w:rPr>
          <w:rFonts w:ascii="Century Schoolbook" w:hAnsi="Century Schoolbook"/>
        </w:rPr>
        <w:t xml:space="preserve"> detail below.  </w:t>
      </w:r>
      <w:r w:rsidR="00F53792" w:rsidRPr="00AD7DA6">
        <w:rPr>
          <w:rFonts w:ascii="Century Schoolbook" w:hAnsi="Century Schoolbook"/>
        </w:rPr>
        <w:t xml:space="preserve">Here, we address </w:t>
      </w:r>
      <w:proofErr w:type="spellStart"/>
      <w:r w:rsidR="00F53792" w:rsidRPr="00AD7DA6">
        <w:rPr>
          <w:rFonts w:ascii="Century Schoolbook" w:hAnsi="Century Schoolbook"/>
        </w:rPr>
        <w:t>Teed’s</w:t>
      </w:r>
      <w:proofErr w:type="spellEnd"/>
      <w:r w:rsidR="00F53792" w:rsidRPr="00AD7DA6">
        <w:rPr>
          <w:rFonts w:ascii="Century Schoolbook" w:hAnsi="Century Schoolbook"/>
        </w:rPr>
        <w:t xml:space="preserve"> contention </w:t>
      </w:r>
      <w:r w:rsidRPr="00AD7DA6">
        <w:rPr>
          <w:rFonts w:ascii="Century Schoolbook" w:hAnsi="Century Schoolbook"/>
        </w:rPr>
        <w:t>that benefit</w:t>
      </w:r>
      <w:r w:rsidR="003F03EC" w:rsidRPr="00AD7DA6">
        <w:rPr>
          <w:rFonts w:ascii="Century Schoolbook" w:hAnsi="Century Schoolbook"/>
        </w:rPr>
        <w:t>-</w:t>
      </w:r>
      <w:r w:rsidRPr="00AD7DA6">
        <w:rPr>
          <w:rFonts w:ascii="Century Schoolbook" w:hAnsi="Century Schoolbook"/>
        </w:rPr>
        <w:t>of</w:t>
      </w:r>
      <w:r w:rsidR="003F03EC" w:rsidRPr="00AD7DA6">
        <w:rPr>
          <w:rFonts w:ascii="Century Schoolbook" w:hAnsi="Century Schoolbook"/>
        </w:rPr>
        <w:t>-</w:t>
      </w:r>
      <w:r w:rsidRPr="00AD7DA6">
        <w:rPr>
          <w:rFonts w:ascii="Century Schoolbook" w:hAnsi="Century Schoolbook"/>
        </w:rPr>
        <w:t>the</w:t>
      </w:r>
      <w:r w:rsidR="003F03EC" w:rsidRPr="00AD7DA6">
        <w:rPr>
          <w:rFonts w:ascii="Century Schoolbook" w:hAnsi="Century Schoolbook"/>
        </w:rPr>
        <w:t>-</w:t>
      </w:r>
      <w:r w:rsidRPr="00AD7DA6">
        <w:rPr>
          <w:rFonts w:ascii="Century Schoolbook" w:hAnsi="Century Schoolbook"/>
        </w:rPr>
        <w:t>bargain and out</w:t>
      </w:r>
      <w:r w:rsidR="003F03EC" w:rsidRPr="00AD7DA6">
        <w:rPr>
          <w:rFonts w:ascii="Century Schoolbook" w:hAnsi="Century Schoolbook"/>
        </w:rPr>
        <w:t>-</w:t>
      </w:r>
      <w:r w:rsidRPr="00AD7DA6">
        <w:rPr>
          <w:rFonts w:ascii="Century Schoolbook" w:hAnsi="Century Schoolbook"/>
        </w:rPr>
        <w:t>of</w:t>
      </w:r>
      <w:r w:rsidR="003F03EC" w:rsidRPr="00AD7DA6">
        <w:rPr>
          <w:rFonts w:ascii="Century Schoolbook" w:hAnsi="Century Schoolbook"/>
        </w:rPr>
        <w:t>-</w:t>
      </w:r>
      <w:r w:rsidRPr="00AD7DA6">
        <w:rPr>
          <w:rFonts w:ascii="Century Schoolbook" w:hAnsi="Century Schoolbook"/>
        </w:rPr>
        <w:t>pocket damages cannot both be awarded on a tort claim</w:t>
      </w:r>
      <w:r w:rsidR="00874C97" w:rsidRPr="00AD7DA6">
        <w:rPr>
          <w:rFonts w:ascii="Century Schoolbook" w:hAnsi="Century Schoolbook"/>
        </w:rPr>
        <w:t xml:space="preserve">.  </w:t>
      </w:r>
      <w:proofErr w:type="spellStart"/>
      <w:r w:rsidR="00874C97" w:rsidRPr="00AD7DA6">
        <w:rPr>
          <w:rFonts w:ascii="Century Schoolbook" w:hAnsi="Century Schoolbook"/>
        </w:rPr>
        <w:t>Teed</w:t>
      </w:r>
      <w:r w:rsidR="00B30304" w:rsidRPr="00AD7DA6">
        <w:rPr>
          <w:rFonts w:ascii="Century Schoolbook" w:hAnsi="Century Schoolbook"/>
        </w:rPr>
        <w:t>’s</w:t>
      </w:r>
      <w:proofErr w:type="spellEnd"/>
      <w:r w:rsidR="00B30304" w:rsidRPr="00AD7DA6">
        <w:rPr>
          <w:rFonts w:ascii="Century Schoolbook" w:hAnsi="Century Schoolbook"/>
        </w:rPr>
        <w:t xml:space="preserve"> reliance</w:t>
      </w:r>
      <w:r w:rsidR="00874C97" w:rsidRPr="00AD7DA6">
        <w:rPr>
          <w:rFonts w:ascii="Century Schoolbook" w:hAnsi="Century Schoolbook"/>
        </w:rPr>
        <w:t xml:space="preserve"> </w:t>
      </w:r>
      <w:r w:rsidRPr="00AD7DA6">
        <w:rPr>
          <w:rFonts w:ascii="Century Schoolbook" w:hAnsi="Century Schoolbook"/>
        </w:rPr>
        <w:t xml:space="preserve">on a footnote in </w:t>
      </w:r>
      <w:r w:rsidRPr="00AD7DA6">
        <w:rPr>
          <w:rFonts w:ascii="Century Schoolbook" w:hAnsi="Century Schoolbook"/>
          <w:i/>
        </w:rPr>
        <w:t xml:space="preserve">Simon v. San Paolo U.S. Holding Co., Inc. </w:t>
      </w:r>
      <w:r w:rsidRPr="00AD7DA6">
        <w:rPr>
          <w:rFonts w:ascii="Century Schoolbook" w:hAnsi="Century Schoolbook"/>
        </w:rPr>
        <w:t>(2005) 35 Cal.4th 1159, 1176, f</w:t>
      </w:r>
      <w:r w:rsidR="00EF3E8F" w:rsidRPr="00AD7DA6">
        <w:rPr>
          <w:rFonts w:ascii="Century Schoolbook" w:hAnsi="Century Schoolbook"/>
        </w:rPr>
        <w:t>ootnote </w:t>
      </w:r>
      <w:r w:rsidRPr="00AD7DA6">
        <w:rPr>
          <w:rFonts w:ascii="Century Schoolbook" w:hAnsi="Century Schoolbook"/>
        </w:rPr>
        <w:t>4 (</w:t>
      </w:r>
      <w:r w:rsidRPr="00AD7DA6">
        <w:rPr>
          <w:rFonts w:ascii="Century Schoolbook" w:hAnsi="Century Schoolbook"/>
          <w:i/>
        </w:rPr>
        <w:t>Simon</w:t>
      </w:r>
      <w:r w:rsidRPr="00AD7DA6">
        <w:rPr>
          <w:rFonts w:ascii="Century Schoolbook" w:hAnsi="Century Schoolbook"/>
        </w:rPr>
        <w:t>))</w:t>
      </w:r>
      <w:r w:rsidR="00B30304" w:rsidRPr="00AD7DA6">
        <w:rPr>
          <w:rFonts w:ascii="Century Schoolbook" w:hAnsi="Century Schoolbook"/>
        </w:rPr>
        <w:t xml:space="preserve"> is misplaced.</w:t>
      </w:r>
      <w:r w:rsidR="00A52EE3" w:rsidRPr="00AD7DA6">
        <w:rPr>
          <w:rFonts w:ascii="Century Schoolbook" w:hAnsi="Century Schoolbook"/>
        </w:rPr>
        <w:t xml:space="preserve"> </w:t>
      </w:r>
      <w:r w:rsidRPr="00AD7DA6">
        <w:rPr>
          <w:rFonts w:ascii="Century Schoolbook" w:hAnsi="Century Schoolbook"/>
        </w:rPr>
        <w:t xml:space="preserve"> </w:t>
      </w:r>
    </w:p>
    <w:p w14:paraId="7541A924" w14:textId="5030FD07" w:rsidR="008046EA" w:rsidRPr="00AD7DA6" w:rsidRDefault="0020616C" w:rsidP="00A839D3">
      <w:pPr>
        <w:spacing w:line="360" w:lineRule="auto"/>
        <w:rPr>
          <w:rFonts w:ascii="Century Schoolbook" w:hAnsi="Century Schoolbook"/>
        </w:rPr>
      </w:pPr>
      <w:r w:rsidRPr="00AD7DA6">
        <w:rPr>
          <w:rFonts w:ascii="Century Schoolbook" w:hAnsi="Century Schoolbook"/>
        </w:rPr>
        <w:tab/>
      </w:r>
      <w:r w:rsidR="004663E7" w:rsidRPr="00AD7DA6">
        <w:rPr>
          <w:rFonts w:ascii="Century Schoolbook" w:hAnsi="Century Schoolbook"/>
        </w:rPr>
        <w:t xml:space="preserve">In </w:t>
      </w:r>
      <w:r w:rsidR="004663E7" w:rsidRPr="00AD7DA6">
        <w:rPr>
          <w:rFonts w:ascii="Century Schoolbook" w:hAnsi="Century Schoolbook"/>
          <w:i/>
          <w:iCs/>
        </w:rPr>
        <w:t>Simon</w:t>
      </w:r>
      <w:r w:rsidR="004663E7" w:rsidRPr="00AD7DA6">
        <w:rPr>
          <w:rFonts w:ascii="Century Schoolbook" w:hAnsi="Century Schoolbook"/>
        </w:rPr>
        <w:t xml:space="preserve">, </w:t>
      </w:r>
      <w:r w:rsidR="000759C9" w:rsidRPr="00AD7DA6">
        <w:rPr>
          <w:rFonts w:ascii="Century Schoolbook" w:hAnsi="Century Schoolbook"/>
        </w:rPr>
        <w:t>the Supreme Court</w:t>
      </w:r>
      <w:r w:rsidR="00F8039F" w:rsidRPr="00AD7DA6">
        <w:rPr>
          <w:rFonts w:ascii="Century Schoolbook" w:hAnsi="Century Schoolbook"/>
        </w:rPr>
        <w:t xml:space="preserve"> </w:t>
      </w:r>
      <w:r w:rsidR="00755C6B" w:rsidRPr="00AD7DA6">
        <w:rPr>
          <w:rFonts w:ascii="Century Schoolbook" w:hAnsi="Century Schoolbook"/>
        </w:rPr>
        <w:t>concluded</w:t>
      </w:r>
      <w:r w:rsidR="00EF055F" w:rsidRPr="00AD7DA6">
        <w:rPr>
          <w:rFonts w:ascii="Century Schoolbook" w:hAnsi="Century Schoolbook"/>
        </w:rPr>
        <w:t xml:space="preserve"> </w:t>
      </w:r>
      <w:r w:rsidR="00755C6B" w:rsidRPr="00AD7DA6">
        <w:rPr>
          <w:rFonts w:ascii="Century Schoolbook" w:hAnsi="Century Schoolbook"/>
        </w:rPr>
        <w:t>that</w:t>
      </w:r>
      <w:r w:rsidR="007B2B1B" w:rsidRPr="00AD7DA6">
        <w:rPr>
          <w:rFonts w:ascii="Century Schoolbook" w:hAnsi="Century Schoolbook"/>
        </w:rPr>
        <w:t xml:space="preserve"> a punitive damages award was excessive under federal </w:t>
      </w:r>
      <w:r w:rsidR="00946A6C" w:rsidRPr="00AD7DA6">
        <w:rPr>
          <w:rFonts w:ascii="Century Schoolbook" w:hAnsi="Century Schoolbook"/>
        </w:rPr>
        <w:t xml:space="preserve">constitutional </w:t>
      </w:r>
      <w:r w:rsidR="007B2B1B" w:rsidRPr="00AD7DA6">
        <w:rPr>
          <w:rFonts w:ascii="Century Schoolbook" w:hAnsi="Century Schoolbook"/>
        </w:rPr>
        <w:t xml:space="preserve">principles.  </w:t>
      </w:r>
      <w:r w:rsidR="00EF055F" w:rsidRPr="00AD7DA6">
        <w:rPr>
          <w:rFonts w:ascii="Century Schoolbook" w:hAnsi="Century Schoolbook"/>
        </w:rPr>
        <w:t>(</w:t>
      </w:r>
      <w:r w:rsidR="00EF055F" w:rsidRPr="00AD7DA6">
        <w:rPr>
          <w:rFonts w:ascii="Century Schoolbook" w:hAnsi="Century Schoolbook"/>
          <w:i/>
          <w:iCs/>
        </w:rPr>
        <w:t>Simon</w:t>
      </w:r>
      <w:r w:rsidR="00EF055F" w:rsidRPr="00AD7DA6">
        <w:rPr>
          <w:rFonts w:ascii="Century Schoolbook" w:hAnsi="Century Schoolbook"/>
        </w:rPr>
        <w:t xml:space="preserve">, </w:t>
      </w:r>
      <w:r w:rsidR="00EF3E8F" w:rsidRPr="00AD7DA6">
        <w:rPr>
          <w:rFonts w:ascii="Century Schoolbook" w:hAnsi="Century Schoolbook"/>
          <w:i/>
          <w:iCs/>
        </w:rPr>
        <w:t>supra</w:t>
      </w:r>
      <w:r w:rsidR="00EF3E8F" w:rsidRPr="00AD7DA6">
        <w:rPr>
          <w:rFonts w:ascii="Century Schoolbook" w:hAnsi="Century Schoolbook"/>
        </w:rPr>
        <w:t xml:space="preserve">, 35 Cal.4th </w:t>
      </w:r>
      <w:r w:rsidR="00EF055F" w:rsidRPr="00AD7DA6">
        <w:rPr>
          <w:rFonts w:ascii="Century Schoolbook" w:hAnsi="Century Schoolbook"/>
        </w:rPr>
        <w:t xml:space="preserve">at p. </w:t>
      </w:r>
      <w:r w:rsidR="00807EA1" w:rsidRPr="00AD7DA6">
        <w:rPr>
          <w:rFonts w:ascii="Century Schoolbook" w:hAnsi="Century Schoolbook"/>
        </w:rPr>
        <w:t xml:space="preserve">1167.)  </w:t>
      </w:r>
      <w:r w:rsidR="00DB2225" w:rsidRPr="00AD7DA6">
        <w:rPr>
          <w:rFonts w:ascii="Century Schoolbook" w:hAnsi="Century Schoolbook"/>
        </w:rPr>
        <w:t xml:space="preserve">The plaintiff in the underlying action prevailed on a claim of </w:t>
      </w:r>
      <w:r w:rsidR="00594B1D" w:rsidRPr="00AD7DA6">
        <w:rPr>
          <w:rFonts w:ascii="Century Schoolbook" w:hAnsi="Century Schoolbook"/>
        </w:rPr>
        <w:t xml:space="preserve">promissory fraud </w:t>
      </w:r>
      <w:r w:rsidR="00877C39" w:rsidRPr="00AD7DA6">
        <w:rPr>
          <w:rFonts w:ascii="Century Schoolbook" w:hAnsi="Century Schoolbook"/>
        </w:rPr>
        <w:t xml:space="preserve">against the seller of a commercial </w:t>
      </w:r>
      <w:r w:rsidR="00224BD8" w:rsidRPr="00AD7DA6">
        <w:rPr>
          <w:rFonts w:ascii="Century Schoolbook" w:hAnsi="Century Schoolbook"/>
        </w:rPr>
        <w:t>office building</w:t>
      </w:r>
      <w:r w:rsidR="00B104E5" w:rsidRPr="00AD7DA6">
        <w:rPr>
          <w:rFonts w:ascii="Century Schoolbook" w:hAnsi="Century Schoolbook"/>
        </w:rPr>
        <w:t xml:space="preserve"> </w:t>
      </w:r>
      <w:r w:rsidR="00B104E5" w:rsidRPr="00AD7DA6">
        <w:rPr>
          <w:rFonts w:ascii="Century Schoolbook" w:hAnsi="Century Schoolbook"/>
        </w:rPr>
        <w:lastRenderedPageBreak/>
        <w:t>who</w:t>
      </w:r>
      <w:r w:rsidR="000C29B9" w:rsidRPr="00AD7DA6">
        <w:rPr>
          <w:rFonts w:ascii="Century Schoolbook" w:hAnsi="Century Schoolbook"/>
        </w:rPr>
        <w:t xml:space="preserve"> backed out of </w:t>
      </w:r>
      <w:r w:rsidR="003C46A0" w:rsidRPr="00AD7DA6">
        <w:rPr>
          <w:rFonts w:ascii="Century Schoolbook" w:hAnsi="Century Schoolbook"/>
        </w:rPr>
        <w:t xml:space="preserve">the </w:t>
      </w:r>
      <w:r w:rsidR="000C29B9" w:rsidRPr="00AD7DA6">
        <w:rPr>
          <w:rFonts w:ascii="Century Schoolbook" w:hAnsi="Century Schoolbook"/>
        </w:rPr>
        <w:t>real estate transaction</w:t>
      </w:r>
      <w:r w:rsidR="000E0341" w:rsidRPr="00AD7DA6">
        <w:rPr>
          <w:rFonts w:ascii="Century Schoolbook" w:hAnsi="Century Schoolbook"/>
        </w:rPr>
        <w:t xml:space="preserve">.  </w:t>
      </w:r>
      <w:r w:rsidR="00603372" w:rsidRPr="00AD7DA6">
        <w:rPr>
          <w:rFonts w:ascii="Century Schoolbook" w:hAnsi="Century Schoolbook"/>
        </w:rPr>
        <w:t>The j</w:t>
      </w:r>
      <w:r w:rsidR="00034487" w:rsidRPr="00AD7DA6">
        <w:rPr>
          <w:rFonts w:ascii="Century Schoolbook" w:hAnsi="Century Schoolbook"/>
        </w:rPr>
        <w:t xml:space="preserve">ury found </w:t>
      </w:r>
      <w:r w:rsidR="00EE71D3" w:rsidRPr="00AD7DA6">
        <w:rPr>
          <w:rFonts w:ascii="Century Schoolbook" w:hAnsi="Century Schoolbook"/>
        </w:rPr>
        <w:t xml:space="preserve">that although the parties had no enforceable agreement, the plaintiff was entitled to $5,000 </w:t>
      </w:r>
      <w:r w:rsidR="00AF5664" w:rsidRPr="00AD7DA6">
        <w:rPr>
          <w:rFonts w:ascii="Century Schoolbook" w:hAnsi="Century Schoolbook"/>
        </w:rPr>
        <w:t xml:space="preserve">in compensatory damages </w:t>
      </w:r>
      <w:r w:rsidR="00CB59D8" w:rsidRPr="00AD7DA6">
        <w:rPr>
          <w:rFonts w:ascii="Century Schoolbook" w:hAnsi="Century Schoolbook"/>
        </w:rPr>
        <w:t xml:space="preserve">and </w:t>
      </w:r>
      <w:r w:rsidR="00802F26" w:rsidRPr="00AD7DA6">
        <w:rPr>
          <w:rFonts w:ascii="Century Schoolbook" w:hAnsi="Century Schoolbook"/>
        </w:rPr>
        <w:t>$1.7 million in punitive damages</w:t>
      </w:r>
      <w:r w:rsidR="00736DD4" w:rsidRPr="00AD7DA6">
        <w:rPr>
          <w:rFonts w:ascii="Century Schoolbook" w:hAnsi="Century Schoolbook"/>
        </w:rPr>
        <w:t xml:space="preserve">.  </w:t>
      </w:r>
      <w:r w:rsidR="0089031E" w:rsidRPr="00AD7DA6">
        <w:rPr>
          <w:rFonts w:ascii="Century Schoolbook" w:hAnsi="Century Schoolbook"/>
        </w:rPr>
        <w:t>(</w:t>
      </w:r>
      <w:r w:rsidR="0089031E" w:rsidRPr="00AD7DA6">
        <w:rPr>
          <w:rFonts w:ascii="Century Schoolbook" w:hAnsi="Century Schoolbook"/>
          <w:i/>
          <w:iCs/>
        </w:rPr>
        <w:t>Id.</w:t>
      </w:r>
      <w:r w:rsidR="0089031E" w:rsidRPr="00AD7DA6">
        <w:rPr>
          <w:rFonts w:ascii="Century Schoolbook" w:hAnsi="Century Schoolbook"/>
        </w:rPr>
        <w:t xml:space="preserve"> at </w:t>
      </w:r>
      <w:r w:rsidR="00802F26" w:rsidRPr="00AD7DA6">
        <w:rPr>
          <w:rFonts w:ascii="Century Schoolbook" w:hAnsi="Century Schoolbook"/>
        </w:rPr>
        <w:t>p</w:t>
      </w:r>
      <w:r w:rsidR="0089031E" w:rsidRPr="00AD7DA6">
        <w:rPr>
          <w:rFonts w:ascii="Century Schoolbook" w:hAnsi="Century Schoolbook"/>
        </w:rPr>
        <w:t>p.</w:t>
      </w:r>
      <w:r w:rsidR="00EF3E8F" w:rsidRPr="00AD7DA6">
        <w:rPr>
          <w:rFonts w:ascii="Century Schoolbook" w:hAnsi="Century Schoolbook"/>
        </w:rPr>
        <w:t> </w:t>
      </w:r>
      <w:r w:rsidR="0089031E" w:rsidRPr="00AD7DA6">
        <w:rPr>
          <w:rFonts w:ascii="Century Schoolbook" w:hAnsi="Century Schoolbook"/>
        </w:rPr>
        <w:t>1170</w:t>
      </w:r>
      <w:r w:rsidR="00EF3E8F" w:rsidRPr="00AD7DA6">
        <w:rPr>
          <w:rFonts w:ascii="Century Schoolbook" w:hAnsi="Century Schoolbook"/>
        </w:rPr>
        <w:t>–</w:t>
      </w:r>
      <w:r w:rsidR="00F75C1B" w:rsidRPr="00AD7DA6">
        <w:rPr>
          <w:rFonts w:ascii="Century Schoolbook" w:hAnsi="Century Schoolbook"/>
        </w:rPr>
        <w:t>1171</w:t>
      </w:r>
      <w:r w:rsidR="0089031E" w:rsidRPr="00AD7DA6">
        <w:rPr>
          <w:rFonts w:ascii="Century Schoolbook" w:hAnsi="Century Schoolbook"/>
        </w:rPr>
        <w:t xml:space="preserve">.)  </w:t>
      </w:r>
      <w:r w:rsidR="00A672CC" w:rsidRPr="00AD7DA6">
        <w:rPr>
          <w:rFonts w:ascii="Century Schoolbook" w:hAnsi="Century Schoolbook"/>
        </w:rPr>
        <w:t xml:space="preserve">In reversing the punitive damages award, the </w:t>
      </w:r>
      <w:r w:rsidR="00F12F55" w:rsidRPr="00AD7DA6">
        <w:rPr>
          <w:rFonts w:ascii="Century Schoolbook" w:hAnsi="Century Schoolbook"/>
          <w:i/>
          <w:iCs/>
        </w:rPr>
        <w:t>Simon</w:t>
      </w:r>
      <w:r w:rsidR="00F12F55" w:rsidRPr="00AD7DA6">
        <w:rPr>
          <w:rFonts w:ascii="Century Schoolbook" w:hAnsi="Century Schoolbook"/>
        </w:rPr>
        <w:t xml:space="preserve"> court </w:t>
      </w:r>
      <w:r w:rsidR="009315B3" w:rsidRPr="00AD7DA6">
        <w:rPr>
          <w:rFonts w:ascii="Century Schoolbook" w:hAnsi="Century Schoolbook"/>
        </w:rPr>
        <w:t xml:space="preserve">rejected the plaintiff’s claim that </w:t>
      </w:r>
      <w:r w:rsidR="00345D23" w:rsidRPr="00AD7DA6">
        <w:rPr>
          <w:rFonts w:ascii="Century Schoolbook" w:hAnsi="Century Schoolbook"/>
        </w:rPr>
        <w:t>t</w:t>
      </w:r>
      <w:r w:rsidR="009315B3" w:rsidRPr="00AD7DA6">
        <w:rPr>
          <w:rFonts w:ascii="Century Schoolbook" w:hAnsi="Century Schoolbook"/>
        </w:rPr>
        <w:t xml:space="preserve">he </w:t>
      </w:r>
      <w:r w:rsidR="006A6162" w:rsidRPr="00AD7DA6">
        <w:rPr>
          <w:rFonts w:ascii="Century Schoolbook" w:hAnsi="Century Schoolbook"/>
        </w:rPr>
        <w:t>defendant’s fraudulent promises caused</w:t>
      </w:r>
      <w:r w:rsidR="001D6CAD" w:rsidRPr="00AD7DA6">
        <w:rPr>
          <w:rFonts w:ascii="Century Schoolbook" w:hAnsi="Century Schoolbook"/>
        </w:rPr>
        <w:t xml:space="preserve"> </w:t>
      </w:r>
      <w:r w:rsidR="009A4E56" w:rsidRPr="00AD7DA6">
        <w:rPr>
          <w:rFonts w:ascii="Century Schoolbook" w:hAnsi="Century Schoolbook"/>
        </w:rPr>
        <w:t xml:space="preserve">him </w:t>
      </w:r>
      <w:r w:rsidR="00D10B7A" w:rsidRPr="00AD7DA6">
        <w:rPr>
          <w:rFonts w:ascii="Century Schoolbook" w:hAnsi="Century Schoolbook"/>
        </w:rPr>
        <w:t xml:space="preserve">$400,000 in </w:t>
      </w:r>
      <w:r w:rsidR="002F7380" w:rsidRPr="00AD7DA6">
        <w:rPr>
          <w:rFonts w:ascii="Century Schoolbook" w:hAnsi="Century Schoolbook"/>
        </w:rPr>
        <w:t xml:space="preserve">potential </w:t>
      </w:r>
      <w:r w:rsidR="00BC08BB" w:rsidRPr="00AD7DA6">
        <w:rPr>
          <w:rFonts w:ascii="Century Schoolbook" w:hAnsi="Century Schoolbook"/>
        </w:rPr>
        <w:t>loss</w:t>
      </w:r>
      <w:r w:rsidR="00D9357B" w:rsidRPr="00AD7DA6">
        <w:rPr>
          <w:rFonts w:ascii="Century Schoolbook" w:hAnsi="Century Schoolbook"/>
        </w:rPr>
        <w:t>es</w:t>
      </w:r>
      <w:r w:rsidR="00D10B7A" w:rsidRPr="00AD7DA6">
        <w:rPr>
          <w:rFonts w:ascii="Century Schoolbook" w:hAnsi="Century Schoolbook"/>
        </w:rPr>
        <w:t xml:space="preserve">—the profit plaintiff </w:t>
      </w:r>
      <w:r w:rsidR="008E0A26" w:rsidRPr="00AD7DA6">
        <w:rPr>
          <w:rFonts w:ascii="Century Schoolbook" w:hAnsi="Century Schoolbook"/>
        </w:rPr>
        <w:t>might</w:t>
      </w:r>
      <w:r w:rsidR="00D10B7A" w:rsidRPr="00AD7DA6">
        <w:rPr>
          <w:rFonts w:ascii="Century Schoolbook" w:hAnsi="Century Schoolbook"/>
        </w:rPr>
        <w:t xml:space="preserve"> have </w:t>
      </w:r>
      <w:r w:rsidR="00846F39" w:rsidRPr="00AD7DA6">
        <w:rPr>
          <w:rFonts w:ascii="Century Schoolbook" w:hAnsi="Century Schoolbook"/>
        </w:rPr>
        <w:t>earned</w:t>
      </w:r>
      <w:r w:rsidR="00D10B7A" w:rsidRPr="00AD7DA6">
        <w:rPr>
          <w:rFonts w:ascii="Century Schoolbook" w:hAnsi="Century Schoolbook"/>
        </w:rPr>
        <w:t xml:space="preserve"> </w:t>
      </w:r>
      <w:r w:rsidR="005E6E39" w:rsidRPr="00AD7DA6">
        <w:rPr>
          <w:rFonts w:ascii="Century Schoolbook" w:hAnsi="Century Schoolbook"/>
        </w:rPr>
        <w:t xml:space="preserve">had the transaction been consummated.  </w:t>
      </w:r>
      <w:r w:rsidR="008E0A26" w:rsidRPr="00AD7DA6">
        <w:rPr>
          <w:rFonts w:ascii="Century Schoolbook" w:hAnsi="Century Schoolbook"/>
        </w:rPr>
        <w:t>(</w:t>
      </w:r>
      <w:r w:rsidR="008E0A26" w:rsidRPr="00AD7DA6">
        <w:rPr>
          <w:rFonts w:ascii="Century Schoolbook" w:hAnsi="Century Schoolbook"/>
          <w:i/>
          <w:iCs/>
        </w:rPr>
        <w:t>Id.</w:t>
      </w:r>
      <w:r w:rsidR="008E0A26" w:rsidRPr="00AD7DA6">
        <w:rPr>
          <w:rFonts w:ascii="Century Schoolbook" w:hAnsi="Century Schoolbook"/>
        </w:rPr>
        <w:t xml:space="preserve"> at p</w:t>
      </w:r>
      <w:r w:rsidR="00676986" w:rsidRPr="00AD7DA6">
        <w:rPr>
          <w:rFonts w:ascii="Century Schoolbook" w:hAnsi="Century Schoolbook"/>
        </w:rPr>
        <w:t>p. 1173</w:t>
      </w:r>
      <w:r w:rsidR="00EF3E8F" w:rsidRPr="00AD7DA6">
        <w:rPr>
          <w:rFonts w:ascii="Century Schoolbook" w:hAnsi="Century Schoolbook"/>
        </w:rPr>
        <w:t>–</w:t>
      </w:r>
      <w:r w:rsidR="00676986" w:rsidRPr="00AD7DA6">
        <w:rPr>
          <w:rFonts w:ascii="Century Schoolbook" w:hAnsi="Century Schoolbook"/>
        </w:rPr>
        <w:t xml:space="preserve">1175.)  </w:t>
      </w:r>
      <w:r w:rsidR="000578C4" w:rsidRPr="00AD7DA6">
        <w:rPr>
          <w:rFonts w:ascii="Century Schoolbook" w:hAnsi="Century Schoolbook"/>
        </w:rPr>
        <w:t xml:space="preserve">The </w:t>
      </w:r>
      <w:r w:rsidR="00D61CAA" w:rsidRPr="00AD7DA6">
        <w:rPr>
          <w:rFonts w:ascii="Century Schoolbook" w:hAnsi="Century Schoolbook"/>
          <w:i/>
          <w:iCs/>
        </w:rPr>
        <w:t xml:space="preserve">Simon </w:t>
      </w:r>
      <w:r w:rsidR="000578C4" w:rsidRPr="00AD7DA6">
        <w:rPr>
          <w:rFonts w:ascii="Century Schoolbook" w:hAnsi="Century Schoolbook"/>
        </w:rPr>
        <w:t xml:space="preserve">court concluded </w:t>
      </w:r>
      <w:r w:rsidR="00A525EF" w:rsidRPr="00AD7DA6">
        <w:rPr>
          <w:rFonts w:ascii="Century Schoolbook" w:hAnsi="Century Schoolbook"/>
        </w:rPr>
        <w:t xml:space="preserve">that </w:t>
      </w:r>
      <w:r w:rsidR="00041570" w:rsidRPr="00AD7DA6">
        <w:rPr>
          <w:rFonts w:ascii="Century Schoolbook" w:hAnsi="Century Schoolbook"/>
        </w:rPr>
        <w:t>the plaintiff</w:t>
      </w:r>
      <w:r w:rsidR="005E0B49" w:rsidRPr="00AD7DA6">
        <w:rPr>
          <w:rFonts w:ascii="Century Schoolbook" w:hAnsi="Century Schoolbook"/>
        </w:rPr>
        <w:t xml:space="preserve"> was not entitled to </w:t>
      </w:r>
      <w:r w:rsidR="00454846" w:rsidRPr="00AD7DA6">
        <w:rPr>
          <w:rFonts w:ascii="Century Schoolbook" w:hAnsi="Century Schoolbook"/>
        </w:rPr>
        <w:t>lost profits</w:t>
      </w:r>
      <w:r w:rsidR="002E4AFC" w:rsidRPr="00AD7DA6">
        <w:rPr>
          <w:rFonts w:ascii="Century Schoolbook" w:hAnsi="Century Schoolbook"/>
        </w:rPr>
        <w:t xml:space="preserve"> </w:t>
      </w:r>
      <w:r w:rsidR="00B81101" w:rsidRPr="00AD7DA6">
        <w:rPr>
          <w:rFonts w:ascii="Century Schoolbook" w:hAnsi="Century Schoolbook"/>
        </w:rPr>
        <w:t xml:space="preserve">of $400,000 </w:t>
      </w:r>
      <w:r w:rsidR="00E54654" w:rsidRPr="00AD7DA6">
        <w:rPr>
          <w:rFonts w:ascii="Century Schoolbook" w:hAnsi="Century Schoolbook"/>
        </w:rPr>
        <w:t xml:space="preserve">because </w:t>
      </w:r>
      <w:r w:rsidR="00A839D3" w:rsidRPr="00AD7DA6">
        <w:rPr>
          <w:rFonts w:ascii="Century Schoolbook" w:hAnsi="Century Schoolbook"/>
        </w:rPr>
        <w:t xml:space="preserve">the defendant’s </w:t>
      </w:r>
      <w:r w:rsidR="00E54654" w:rsidRPr="00AD7DA6">
        <w:rPr>
          <w:rFonts w:ascii="Century Schoolbook" w:hAnsi="Century Schoolbook"/>
        </w:rPr>
        <w:t xml:space="preserve">fraud </w:t>
      </w:r>
      <w:r w:rsidR="00FC7136" w:rsidRPr="00AD7DA6">
        <w:rPr>
          <w:rFonts w:ascii="Century Schoolbook" w:hAnsi="Century Schoolbook"/>
        </w:rPr>
        <w:t>was not the cause of plaintiff’s failure to obtain</w:t>
      </w:r>
    </w:p>
    <w:p w14:paraId="62CEAA3C" w14:textId="45309D41" w:rsidR="00A839D3" w:rsidRPr="00AD7DA6" w:rsidRDefault="00A839D3" w:rsidP="00A839D3">
      <w:pPr>
        <w:spacing w:line="360" w:lineRule="auto"/>
        <w:rPr>
          <w:rFonts w:ascii="Century Schoolbook" w:hAnsi="Century Schoolbook"/>
        </w:rPr>
      </w:pPr>
      <w:r w:rsidRPr="00AD7DA6">
        <w:rPr>
          <w:rFonts w:ascii="Century Schoolbook" w:hAnsi="Century Schoolbook"/>
        </w:rPr>
        <w:t>the property</w:t>
      </w:r>
      <w:r w:rsidR="00B84B75" w:rsidRPr="00AD7DA6">
        <w:rPr>
          <w:rFonts w:ascii="Century Schoolbook" w:hAnsi="Century Schoolbook"/>
        </w:rPr>
        <w:t xml:space="preserve">.  </w:t>
      </w:r>
      <w:r w:rsidRPr="00AD7DA6">
        <w:rPr>
          <w:rFonts w:ascii="Century Schoolbook" w:hAnsi="Century Schoolbook"/>
        </w:rPr>
        <w:t>(</w:t>
      </w:r>
      <w:r w:rsidRPr="00AD7DA6">
        <w:rPr>
          <w:rFonts w:ascii="Century Schoolbook" w:hAnsi="Century Schoolbook"/>
          <w:i/>
          <w:iCs/>
        </w:rPr>
        <w:t>Id.</w:t>
      </w:r>
      <w:r w:rsidRPr="00AD7DA6">
        <w:rPr>
          <w:rFonts w:ascii="Century Schoolbook" w:hAnsi="Century Schoolbook"/>
        </w:rPr>
        <w:t xml:space="preserve"> at p. 1176</w:t>
      </w:r>
      <w:r w:rsidR="00EF3E8F" w:rsidRPr="00AD7DA6">
        <w:rPr>
          <w:rFonts w:ascii="Century Schoolbook" w:hAnsi="Century Schoolbook"/>
        </w:rPr>
        <w:t>.</w:t>
      </w:r>
      <w:r w:rsidRPr="00AD7DA6">
        <w:rPr>
          <w:rFonts w:ascii="Century Schoolbook" w:hAnsi="Century Schoolbook"/>
        </w:rPr>
        <w:t xml:space="preserve">) </w:t>
      </w:r>
    </w:p>
    <w:p w14:paraId="6439BA4F" w14:textId="3CFA569A" w:rsidR="00F213BB" w:rsidRPr="00AD7DA6" w:rsidRDefault="00FE72ED" w:rsidP="004C175A">
      <w:pPr>
        <w:spacing w:line="360" w:lineRule="auto"/>
        <w:rPr>
          <w:rFonts w:ascii="Century Schoolbook" w:hAnsi="Century Schoolbook"/>
        </w:rPr>
      </w:pPr>
      <w:r w:rsidRPr="00AD7DA6">
        <w:rPr>
          <w:rFonts w:ascii="Century Schoolbook" w:hAnsi="Century Schoolbook"/>
        </w:rPr>
        <w:tab/>
      </w:r>
      <w:r w:rsidR="007C0F5B" w:rsidRPr="00AD7DA6">
        <w:rPr>
          <w:rFonts w:ascii="Century Schoolbook" w:hAnsi="Century Schoolbook"/>
        </w:rPr>
        <w:t>Teed contend</w:t>
      </w:r>
      <w:r w:rsidR="003C2F28" w:rsidRPr="00AD7DA6">
        <w:rPr>
          <w:rFonts w:ascii="Century Schoolbook" w:hAnsi="Century Schoolbook"/>
        </w:rPr>
        <w:t xml:space="preserve">s that </w:t>
      </w:r>
      <w:r w:rsidR="003C2F28" w:rsidRPr="00AD7DA6">
        <w:rPr>
          <w:rFonts w:ascii="Century Schoolbook" w:hAnsi="Century Schoolbook"/>
          <w:i/>
          <w:iCs/>
        </w:rPr>
        <w:t>Simon</w:t>
      </w:r>
      <w:r w:rsidR="00B40BAE" w:rsidRPr="00AD7DA6">
        <w:rPr>
          <w:rFonts w:ascii="Century Schoolbook" w:hAnsi="Century Schoolbook"/>
        </w:rPr>
        <w:t xml:space="preserve"> forecloses a </w:t>
      </w:r>
      <w:r w:rsidR="00D95FAD" w:rsidRPr="00AD7DA6">
        <w:rPr>
          <w:rFonts w:ascii="Century Schoolbook" w:hAnsi="Century Schoolbook"/>
        </w:rPr>
        <w:t xml:space="preserve">tort </w:t>
      </w:r>
      <w:r w:rsidR="00B40BAE" w:rsidRPr="00AD7DA6">
        <w:rPr>
          <w:rFonts w:ascii="Century Schoolbook" w:hAnsi="Century Schoolbook"/>
        </w:rPr>
        <w:t>plaintiff</w:t>
      </w:r>
      <w:r w:rsidR="007D1266" w:rsidRPr="00AD7DA6">
        <w:rPr>
          <w:rFonts w:ascii="Century Schoolbook" w:hAnsi="Century Schoolbook"/>
        </w:rPr>
        <w:t>’s</w:t>
      </w:r>
      <w:r w:rsidR="00B40BAE" w:rsidRPr="00AD7DA6">
        <w:rPr>
          <w:rFonts w:ascii="Century Schoolbook" w:hAnsi="Century Schoolbook"/>
        </w:rPr>
        <w:t xml:space="preserve"> </w:t>
      </w:r>
      <w:r w:rsidR="0080465D" w:rsidRPr="00AD7DA6">
        <w:rPr>
          <w:rFonts w:ascii="Century Schoolbook" w:hAnsi="Century Schoolbook"/>
        </w:rPr>
        <w:t xml:space="preserve">right to recover </w:t>
      </w:r>
      <w:r w:rsidR="00C31465" w:rsidRPr="00AD7DA6">
        <w:rPr>
          <w:rFonts w:ascii="Century Schoolbook" w:hAnsi="Century Schoolbook"/>
        </w:rPr>
        <w:t xml:space="preserve">both </w:t>
      </w:r>
      <w:r w:rsidR="0080465D" w:rsidRPr="00AD7DA6">
        <w:rPr>
          <w:rFonts w:ascii="Century Schoolbook" w:hAnsi="Century Schoolbook"/>
        </w:rPr>
        <w:t xml:space="preserve">benefit-of-the-bargain </w:t>
      </w:r>
      <w:r w:rsidR="00B3055C" w:rsidRPr="00AD7DA6">
        <w:rPr>
          <w:rFonts w:ascii="Century Schoolbook" w:hAnsi="Century Schoolbook"/>
        </w:rPr>
        <w:t>and out-of-pocket damages</w:t>
      </w:r>
      <w:r w:rsidR="00245F07" w:rsidRPr="00AD7DA6">
        <w:rPr>
          <w:rFonts w:ascii="Century Schoolbook" w:hAnsi="Century Schoolbook"/>
        </w:rPr>
        <w:t xml:space="preserve"> </w:t>
      </w:r>
      <w:r w:rsidR="00A60B3F" w:rsidRPr="00AD7DA6">
        <w:rPr>
          <w:rFonts w:ascii="Century Schoolbook" w:hAnsi="Century Schoolbook"/>
        </w:rPr>
        <w:t xml:space="preserve">in cases </w:t>
      </w:r>
      <w:r w:rsidR="005D5C92" w:rsidRPr="00AD7DA6">
        <w:rPr>
          <w:rFonts w:ascii="Century Schoolbook" w:hAnsi="Century Schoolbook"/>
        </w:rPr>
        <w:t xml:space="preserve">where, </w:t>
      </w:r>
      <w:r w:rsidR="002A0ED9" w:rsidRPr="00AD7DA6">
        <w:rPr>
          <w:rFonts w:ascii="Century Schoolbook" w:hAnsi="Century Schoolbook"/>
        </w:rPr>
        <w:t>“[l]</w:t>
      </w:r>
      <w:proofErr w:type="spellStart"/>
      <w:r w:rsidR="002A0ED9" w:rsidRPr="00AD7DA6">
        <w:rPr>
          <w:rFonts w:ascii="Century Schoolbook" w:hAnsi="Century Schoolbook"/>
        </w:rPr>
        <w:t>ike</w:t>
      </w:r>
      <w:proofErr w:type="spellEnd"/>
      <w:r w:rsidR="002A0ED9" w:rsidRPr="00AD7DA6">
        <w:rPr>
          <w:rFonts w:ascii="Century Schoolbook" w:hAnsi="Century Schoolbook"/>
        </w:rPr>
        <w:t xml:space="preserve"> the </w:t>
      </w:r>
      <w:r w:rsidR="002A0ED9" w:rsidRPr="00AD7DA6">
        <w:rPr>
          <w:rFonts w:ascii="Century Schoolbook" w:hAnsi="Century Schoolbook"/>
          <w:i/>
        </w:rPr>
        <w:t>Simon</w:t>
      </w:r>
      <w:r w:rsidR="002A0ED9" w:rsidRPr="00AD7DA6">
        <w:rPr>
          <w:rFonts w:ascii="Century Schoolbook" w:hAnsi="Century Schoolbook"/>
        </w:rPr>
        <w:t xml:space="preserve"> plaintiff, Moore prevailed on his fraud claim but not on his contract claim.”</w:t>
      </w:r>
      <w:r w:rsidR="00A52EE3" w:rsidRPr="00AD7DA6">
        <w:rPr>
          <w:rFonts w:ascii="Century Schoolbook" w:hAnsi="Century Schoolbook"/>
        </w:rPr>
        <w:t xml:space="preserve"> </w:t>
      </w:r>
      <w:r w:rsidR="0047523C" w:rsidRPr="00AD7DA6">
        <w:rPr>
          <w:rFonts w:ascii="Century Schoolbook" w:hAnsi="Century Schoolbook"/>
        </w:rPr>
        <w:t xml:space="preserve"> He quotes footnote 4 of the </w:t>
      </w:r>
      <w:r w:rsidR="00902BD6" w:rsidRPr="00AD7DA6">
        <w:rPr>
          <w:rFonts w:ascii="Century Schoolbook" w:hAnsi="Century Schoolbook"/>
          <w:i/>
          <w:iCs/>
        </w:rPr>
        <w:t xml:space="preserve">Simon </w:t>
      </w:r>
      <w:r w:rsidR="0047523C" w:rsidRPr="00AD7DA6">
        <w:rPr>
          <w:rFonts w:ascii="Century Schoolbook" w:hAnsi="Century Schoolbook"/>
        </w:rPr>
        <w:t>opinion</w:t>
      </w:r>
      <w:r w:rsidR="00932FA8" w:rsidRPr="00AD7DA6">
        <w:rPr>
          <w:rFonts w:ascii="Century Schoolbook" w:hAnsi="Century Schoolbook"/>
        </w:rPr>
        <w:t xml:space="preserve">, which </w:t>
      </w:r>
      <w:r w:rsidR="00E43021" w:rsidRPr="00AD7DA6">
        <w:rPr>
          <w:rFonts w:ascii="Century Schoolbook" w:hAnsi="Century Schoolbook"/>
        </w:rPr>
        <w:t>respond</w:t>
      </w:r>
      <w:r w:rsidR="00932FA8" w:rsidRPr="00AD7DA6">
        <w:rPr>
          <w:rFonts w:ascii="Century Schoolbook" w:hAnsi="Century Schoolbook"/>
        </w:rPr>
        <w:t>e</w:t>
      </w:r>
      <w:r w:rsidR="00E43021" w:rsidRPr="00AD7DA6">
        <w:rPr>
          <w:rFonts w:ascii="Century Schoolbook" w:hAnsi="Century Schoolbook"/>
        </w:rPr>
        <w:t>d</w:t>
      </w:r>
      <w:r w:rsidR="00932FA8" w:rsidRPr="00AD7DA6">
        <w:rPr>
          <w:rFonts w:ascii="Century Schoolbook" w:hAnsi="Century Schoolbook"/>
        </w:rPr>
        <w:t xml:space="preserve"> to the </w:t>
      </w:r>
      <w:r w:rsidR="00932FA8" w:rsidRPr="00AD7DA6">
        <w:rPr>
          <w:rFonts w:ascii="Century Schoolbook" w:hAnsi="Century Schoolbook"/>
          <w:i/>
        </w:rPr>
        <w:t>Simon</w:t>
      </w:r>
      <w:r w:rsidR="00932FA8" w:rsidRPr="00AD7DA6">
        <w:rPr>
          <w:rFonts w:ascii="Century Schoolbook" w:hAnsi="Century Schoolbook"/>
        </w:rPr>
        <w:t xml:space="preserve"> plaintiff’s</w:t>
      </w:r>
      <w:r w:rsidR="00B514B1" w:rsidRPr="00AD7DA6">
        <w:rPr>
          <w:rFonts w:ascii="Century Schoolbook" w:hAnsi="Century Schoolbook"/>
        </w:rPr>
        <w:t xml:space="preserve"> argument that under </w:t>
      </w:r>
      <w:r w:rsidR="00932FA8" w:rsidRPr="00AD7DA6">
        <w:rPr>
          <w:rFonts w:ascii="Century Schoolbook" w:hAnsi="Century Schoolbook"/>
          <w:i/>
        </w:rPr>
        <w:t>Lazar</w:t>
      </w:r>
      <w:r w:rsidR="00932FA8" w:rsidRPr="00AD7DA6">
        <w:rPr>
          <w:rFonts w:ascii="Century Schoolbook" w:hAnsi="Century Schoolbook"/>
        </w:rPr>
        <w:t xml:space="preserve">, </w:t>
      </w:r>
      <w:r w:rsidR="00932FA8" w:rsidRPr="00AD7DA6">
        <w:rPr>
          <w:rFonts w:ascii="Century Schoolbook" w:hAnsi="Century Schoolbook"/>
          <w:i/>
        </w:rPr>
        <w:t>supra</w:t>
      </w:r>
      <w:r w:rsidR="00932FA8" w:rsidRPr="00AD7DA6">
        <w:rPr>
          <w:rFonts w:ascii="Century Schoolbook" w:hAnsi="Century Schoolbook"/>
        </w:rPr>
        <w:t xml:space="preserve">, </w:t>
      </w:r>
      <w:r w:rsidR="00EF3E8F" w:rsidRPr="00AD7DA6">
        <w:rPr>
          <w:rFonts w:ascii="Century Schoolbook" w:hAnsi="Century Schoolbook"/>
        </w:rPr>
        <w:t xml:space="preserve">12 Cal.4th 631, </w:t>
      </w:r>
      <w:r w:rsidR="00932FA8" w:rsidRPr="00AD7DA6">
        <w:rPr>
          <w:rFonts w:ascii="Century Schoolbook" w:hAnsi="Century Schoolbook"/>
        </w:rPr>
        <w:t>a fraud plaintiff generally may recover both benefit-of-bargain</w:t>
      </w:r>
      <w:r w:rsidR="0047523C" w:rsidRPr="00AD7DA6">
        <w:rPr>
          <w:rFonts w:ascii="Century Schoolbook" w:hAnsi="Century Schoolbook"/>
        </w:rPr>
        <w:t xml:space="preserve"> </w:t>
      </w:r>
      <w:r w:rsidR="00932FA8" w:rsidRPr="00AD7DA6">
        <w:rPr>
          <w:rFonts w:ascii="Century Schoolbook" w:hAnsi="Century Schoolbook"/>
        </w:rPr>
        <w:t>and out-of-pocket damages</w:t>
      </w:r>
      <w:r w:rsidR="00B84B75" w:rsidRPr="00AD7DA6">
        <w:rPr>
          <w:rFonts w:ascii="Century Schoolbook" w:hAnsi="Century Schoolbook"/>
        </w:rPr>
        <w:t xml:space="preserve">.  </w:t>
      </w:r>
      <w:r w:rsidR="009050C1" w:rsidRPr="00AD7DA6">
        <w:rPr>
          <w:rFonts w:ascii="Century Schoolbook" w:hAnsi="Century Schoolbook"/>
        </w:rPr>
        <w:t xml:space="preserve">“[Plaintiff’s] reliance is misplaced: </w:t>
      </w:r>
      <w:r w:rsidR="00456E2E">
        <w:rPr>
          <w:rFonts w:ascii="Century Schoolbook" w:hAnsi="Century Schoolbook"/>
        </w:rPr>
        <w:t xml:space="preserve"> </w:t>
      </w:r>
      <w:r w:rsidR="009050C1" w:rsidRPr="00AD7DA6">
        <w:rPr>
          <w:rFonts w:ascii="Century Schoolbook" w:hAnsi="Century Schoolbook"/>
        </w:rPr>
        <w:t xml:space="preserve">our reference in [the </w:t>
      </w:r>
      <w:r w:rsidR="009050C1" w:rsidRPr="00AD7DA6">
        <w:rPr>
          <w:rFonts w:ascii="Century Schoolbook" w:hAnsi="Century Schoolbook"/>
          <w:i/>
        </w:rPr>
        <w:t>Lazar</w:t>
      </w:r>
      <w:r w:rsidR="009050C1" w:rsidRPr="00AD7DA6">
        <w:rPr>
          <w:rFonts w:ascii="Century Schoolbook" w:hAnsi="Century Schoolbook"/>
        </w:rPr>
        <w:t xml:space="preserve">] decision to benefit-of-bargain damages was to their recovery under a </w:t>
      </w:r>
      <w:r w:rsidR="009050C1" w:rsidRPr="00AD7DA6">
        <w:rPr>
          <w:rFonts w:ascii="Century Schoolbook" w:hAnsi="Century Schoolbook"/>
          <w:i/>
        </w:rPr>
        <w:t>contract</w:t>
      </w:r>
      <w:r w:rsidR="009050C1" w:rsidRPr="00AD7DA6">
        <w:rPr>
          <w:rFonts w:ascii="Century Schoolbook" w:hAnsi="Century Schoolbook"/>
        </w:rPr>
        <w:t xml:space="preserve"> cause of action.” </w:t>
      </w:r>
      <w:r w:rsidR="00F65179" w:rsidRPr="00AD7DA6">
        <w:rPr>
          <w:rFonts w:ascii="Century Schoolbook" w:hAnsi="Century Schoolbook"/>
        </w:rPr>
        <w:t xml:space="preserve"> </w:t>
      </w:r>
      <w:r w:rsidR="009050C1" w:rsidRPr="00AD7DA6">
        <w:rPr>
          <w:rFonts w:ascii="Century Schoolbook" w:hAnsi="Century Schoolbook"/>
        </w:rPr>
        <w:t>Teed</w:t>
      </w:r>
      <w:r w:rsidR="00F65179" w:rsidRPr="00AD7DA6">
        <w:rPr>
          <w:rFonts w:ascii="Century Schoolbook" w:hAnsi="Century Schoolbook"/>
        </w:rPr>
        <w:t>, however,</w:t>
      </w:r>
      <w:r w:rsidR="009050C1" w:rsidRPr="00AD7DA6">
        <w:rPr>
          <w:rFonts w:ascii="Century Schoolbook" w:hAnsi="Century Schoolbook"/>
        </w:rPr>
        <w:t xml:space="preserve"> omits the last sentence of the footnote</w:t>
      </w:r>
      <w:r w:rsidR="00EF1393" w:rsidRPr="00AD7DA6">
        <w:rPr>
          <w:rFonts w:ascii="Century Schoolbook" w:hAnsi="Century Schoolbook"/>
        </w:rPr>
        <w:t xml:space="preserve">, </w:t>
      </w:r>
      <w:r w:rsidR="00896D51" w:rsidRPr="00AD7DA6">
        <w:rPr>
          <w:rFonts w:ascii="Century Schoolbook" w:hAnsi="Century Schoolbook"/>
        </w:rPr>
        <w:t xml:space="preserve">which states: </w:t>
      </w:r>
      <w:r w:rsidR="00EF3E8F" w:rsidRPr="00AD7DA6">
        <w:rPr>
          <w:rFonts w:ascii="Century Schoolbook" w:hAnsi="Century Schoolbook"/>
        </w:rPr>
        <w:t xml:space="preserve"> </w:t>
      </w:r>
      <w:r w:rsidR="00896D51" w:rsidRPr="00AD7DA6">
        <w:rPr>
          <w:rFonts w:ascii="Century Schoolbook" w:hAnsi="Century Schoolbook"/>
        </w:rPr>
        <w:t>“</w:t>
      </w:r>
      <w:r w:rsidR="009050C1" w:rsidRPr="00AD7DA6">
        <w:rPr>
          <w:rFonts w:ascii="Century Schoolbook" w:hAnsi="Century Schoolbook"/>
        </w:rPr>
        <w:t>On a different point, nothing we say in this case affects the scope of damages recoverable for fraud committed by a fiduciary</w:t>
      </w:r>
      <w:r w:rsidR="009050C1" w:rsidRPr="00AD7DA6">
        <w:rPr>
          <w:rFonts w:ascii="Century Schoolbook" w:hAnsi="Century Schoolbook"/>
          <w:i/>
        </w:rPr>
        <w:t>.</w:t>
      </w:r>
      <w:r w:rsidR="009050C1" w:rsidRPr="00AD7DA6">
        <w:rPr>
          <w:rFonts w:ascii="Century Schoolbook" w:hAnsi="Century Schoolbook"/>
        </w:rPr>
        <w:t>”  (</w:t>
      </w:r>
      <w:r w:rsidR="009050C1" w:rsidRPr="00AD7DA6">
        <w:rPr>
          <w:rFonts w:ascii="Century Schoolbook" w:hAnsi="Century Schoolbook"/>
          <w:i/>
        </w:rPr>
        <w:t>Simon, supra,</w:t>
      </w:r>
      <w:r w:rsidR="009050C1" w:rsidRPr="00AD7DA6">
        <w:rPr>
          <w:rFonts w:ascii="Century Schoolbook" w:hAnsi="Century Schoolbook"/>
        </w:rPr>
        <w:t xml:space="preserve"> 35 Cal.4th at p. 1176, fn. 4.)  </w:t>
      </w:r>
    </w:p>
    <w:p w14:paraId="5E7CBF4E" w14:textId="203F2172" w:rsidR="007521AB" w:rsidRPr="00AD7DA6" w:rsidRDefault="00F213BB" w:rsidP="004C175A">
      <w:pPr>
        <w:spacing w:line="360" w:lineRule="auto"/>
        <w:rPr>
          <w:rFonts w:ascii="Century Schoolbook" w:hAnsi="Century Schoolbook"/>
        </w:rPr>
      </w:pPr>
      <w:r w:rsidRPr="00AD7DA6">
        <w:rPr>
          <w:rFonts w:ascii="Century Schoolbook" w:hAnsi="Century Schoolbook"/>
        </w:rPr>
        <w:tab/>
      </w:r>
      <w:r w:rsidR="00EB550A" w:rsidRPr="00AD7DA6">
        <w:rPr>
          <w:rFonts w:ascii="Century Schoolbook" w:hAnsi="Century Schoolbook"/>
        </w:rPr>
        <w:t xml:space="preserve">We </w:t>
      </w:r>
      <w:r w:rsidR="00A839D3" w:rsidRPr="00AD7DA6">
        <w:rPr>
          <w:rFonts w:ascii="Century Schoolbook" w:hAnsi="Century Schoolbook"/>
        </w:rPr>
        <w:t xml:space="preserve">need not resolve whether </w:t>
      </w:r>
      <w:proofErr w:type="spellStart"/>
      <w:r w:rsidR="00EB550A" w:rsidRPr="00AD7DA6">
        <w:rPr>
          <w:rFonts w:ascii="Century Schoolbook" w:hAnsi="Century Schoolbook"/>
        </w:rPr>
        <w:t>Teed</w:t>
      </w:r>
      <w:r w:rsidR="00BF2D10" w:rsidRPr="00AD7DA6">
        <w:rPr>
          <w:rFonts w:ascii="Century Schoolbook" w:hAnsi="Century Schoolbook"/>
        </w:rPr>
        <w:t>’s</w:t>
      </w:r>
      <w:proofErr w:type="spellEnd"/>
      <w:r w:rsidR="00BF2D10" w:rsidRPr="00AD7DA6">
        <w:rPr>
          <w:rFonts w:ascii="Century Schoolbook" w:hAnsi="Century Schoolbook"/>
        </w:rPr>
        <w:t xml:space="preserve"> interpretation of </w:t>
      </w:r>
      <w:r w:rsidR="00BF2D10" w:rsidRPr="00AD7DA6">
        <w:rPr>
          <w:rFonts w:ascii="Century Schoolbook" w:hAnsi="Century Schoolbook"/>
          <w:i/>
          <w:iCs/>
        </w:rPr>
        <w:t>Simon</w:t>
      </w:r>
      <w:r w:rsidR="00BF2D10" w:rsidRPr="00AD7DA6">
        <w:rPr>
          <w:rFonts w:ascii="Century Schoolbook" w:hAnsi="Century Schoolbook"/>
        </w:rPr>
        <w:t xml:space="preserve"> is correct</w:t>
      </w:r>
      <w:r w:rsidR="00E54654" w:rsidRPr="00AD7DA6">
        <w:rPr>
          <w:rFonts w:ascii="Century Schoolbook" w:hAnsi="Century Schoolbook"/>
        </w:rPr>
        <w:t xml:space="preserve"> because </w:t>
      </w:r>
      <w:proofErr w:type="gramStart"/>
      <w:r w:rsidR="00E54654" w:rsidRPr="00AD7DA6">
        <w:rPr>
          <w:rFonts w:ascii="Century Schoolbook" w:hAnsi="Century Schoolbook"/>
        </w:rPr>
        <w:t xml:space="preserve">it is clear that </w:t>
      </w:r>
      <w:r w:rsidR="00E54654" w:rsidRPr="00AD7DA6">
        <w:rPr>
          <w:rFonts w:ascii="Century Schoolbook" w:hAnsi="Century Schoolbook"/>
          <w:i/>
        </w:rPr>
        <w:t>Simon</w:t>
      </w:r>
      <w:proofErr w:type="gramEnd"/>
      <w:r w:rsidR="00E54654" w:rsidRPr="00AD7DA6">
        <w:rPr>
          <w:rFonts w:ascii="Century Schoolbook" w:hAnsi="Century Schoolbook"/>
        </w:rPr>
        <w:t xml:space="preserve"> </w:t>
      </w:r>
      <w:r w:rsidR="00E163EF" w:rsidRPr="00AD7DA6">
        <w:rPr>
          <w:rFonts w:ascii="Century Schoolbook" w:hAnsi="Century Schoolbook"/>
        </w:rPr>
        <w:t xml:space="preserve">does not </w:t>
      </w:r>
      <w:r w:rsidR="006C441E" w:rsidRPr="00AD7DA6">
        <w:rPr>
          <w:rFonts w:ascii="Century Schoolbook" w:hAnsi="Century Schoolbook"/>
        </w:rPr>
        <w:t xml:space="preserve">purport to address the availability of </w:t>
      </w:r>
    </w:p>
    <w:p w14:paraId="1A698232" w14:textId="6FB2E50D" w:rsidR="004C175A" w:rsidRPr="00AD7DA6" w:rsidRDefault="00E94465">
      <w:pPr>
        <w:spacing w:line="360" w:lineRule="auto"/>
        <w:rPr>
          <w:rFonts w:ascii="Century Schoolbook" w:hAnsi="Century Schoolbook"/>
        </w:rPr>
      </w:pPr>
      <w:r w:rsidRPr="00AD7DA6">
        <w:rPr>
          <w:rFonts w:ascii="Century Schoolbook" w:hAnsi="Century Schoolbook"/>
        </w:rPr>
        <w:t xml:space="preserve">benefit-of-the-bargain damages when tort victims </w:t>
      </w:r>
      <w:r w:rsidR="006C441E" w:rsidRPr="00AD7DA6">
        <w:rPr>
          <w:rFonts w:ascii="Century Schoolbook" w:hAnsi="Century Schoolbook"/>
        </w:rPr>
        <w:t>have been</w:t>
      </w:r>
      <w:r w:rsidR="004013BE" w:rsidRPr="00AD7DA6">
        <w:rPr>
          <w:rFonts w:ascii="Century Schoolbook" w:hAnsi="Century Schoolbook"/>
        </w:rPr>
        <w:t xml:space="preserve"> defrauded by their fiduciaries</w:t>
      </w:r>
      <w:r w:rsidR="006C441E" w:rsidRPr="00AD7DA6">
        <w:rPr>
          <w:rFonts w:ascii="Century Schoolbook" w:hAnsi="Century Schoolbook"/>
        </w:rPr>
        <w:t>—exactly the situation presented by the instant appeal</w:t>
      </w:r>
      <w:r w:rsidR="00B84B75" w:rsidRPr="00AD7DA6">
        <w:rPr>
          <w:rFonts w:ascii="Century Schoolbook" w:hAnsi="Century Schoolbook"/>
        </w:rPr>
        <w:t xml:space="preserve">.  </w:t>
      </w:r>
      <w:r w:rsidR="006C441E" w:rsidRPr="00AD7DA6">
        <w:rPr>
          <w:rFonts w:ascii="Century Schoolbook" w:hAnsi="Century Schoolbook"/>
        </w:rPr>
        <w:t xml:space="preserve">As we explain below, </w:t>
      </w:r>
      <w:r w:rsidR="006C441E" w:rsidRPr="00AD7DA6">
        <w:rPr>
          <w:rFonts w:ascii="Century Schoolbook" w:hAnsi="Century Schoolbook"/>
          <w:i/>
        </w:rPr>
        <w:t>Alliance</w:t>
      </w:r>
      <w:r w:rsidR="006C441E" w:rsidRPr="00AD7DA6">
        <w:rPr>
          <w:rFonts w:ascii="Century Schoolbook" w:hAnsi="Century Schoolbook"/>
        </w:rPr>
        <w:t xml:space="preserve"> </w:t>
      </w:r>
      <w:r w:rsidR="00EF666C" w:rsidRPr="00AD7DA6">
        <w:rPr>
          <w:rFonts w:ascii="Century Schoolbook" w:hAnsi="Century Schoolbook"/>
          <w:i/>
          <w:iCs/>
        </w:rPr>
        <w:t xml:space="preserve">Mortgage </w:t>
      </w:r>
      <w:r w:rsidR="006C441E" w:rsidRPr="00AD7DA6">
        <w:rPr>
          <w:rFonts w:ascii="Century Schoolbook" w:hAnsi="Century Schoolbook"/>
        </w:rPr>
        <w:t xml:space="preserve">and other authorities </w:t>
      </w:r>
      <w:r w:rsidR="004C5E0A" w:rsidRPr="00AD7DA6">
        <w:rPr>
          <w:rFonts w:ascii="Century Schoolbook" w:hAnsi="Century Schoolbook"/>
        </w:rPr>
        <w:t xml:space="preserve">have recognized </w:t>
      </w:r>
      <w:r w:rsidR="004C5E0A" w:rsidRPr="00AD7DA6">
        <w:rPr>
          <w:rFonts w:ascii="Century Schoolbook" w:hAnsi="Century Schoolbook"/>
        </w:rPr>
        <w:lastRenderedPageBreak/>
        <w:t xml:space="preserve">that where the defrauding party stands in a fiduciary relationship with the victim of fraud, a “broader” measure of damages </w:t>
      </w:r>
      <w:r w:rsidR="003B6B66" w:rsidRPr="00AD7DA6">
        <w:rPr>
          <w:rFonts w:ascii="Century Schoolbook" w:hAnsi="Century Schoolbook"/>
        </w:rPr>
        <w:t>may be a</w:t>
      </w:r>
      <w:r w:rsidR="00DA4279" w:rsidRPr="00AD7DA6">
        <w:rPr>
          <w:rFonts w:ascii="Century Schoolbook" w:hAnsi="Century Schoolbook"/>
        </w:rPr>
        <w:t xml:space="preserve">warded </w:t>
      </w:r>
      <w:r w:rsidR="000E7627" w:rsidRPr="00AD7DA6">
        <w:rPr>
          <w:rFonts w:ascii="Century Schoolbook" w:hAnsi="Century Schoolbook"/>
        </w:rPr>
        <w:t xml:space="preserve">than </w:t>
      </w:r>
      <w:r w:rsidR="00636BD3" w:rsidRPr="00AD7DA6">
        <w:rPr>
          <w:rFonts w:ascii="Century Schoolbook" w:hAnsi="Century Schoolbook"/>
        </w:rPr>
        <w:t>simply</w:t>
      </w:r>
      <w:r w:rsidR="000E7627" w:rsidRPr="00AD7DA6">
        <w:rPr>
          <w:rFonts w:ascii="Century Schoolbook" w:hAnsi="Century Schoolbook"/>
        </w:rPr>
        <w:t xml:space="preserve"> “out-of-pocket” </w:t>
      </w:r>
      <w:r w:rsidR="00411B05" w:rsidRPr="00AD7DA6">
        <w:rPr>
          <w:rFonts w:ascii="Century Schoolbook" w:hAnsi="Century Schoolbook"/>
        </w:rPr>
        <w:t>losses</w:t>
      </w:r>
      <w:r w:rsidR="000E7627" w:rsidRPr="00AD7DA6">
        <w:rPr>
          <w:rFonts w:ascii="Century Schoolbook" w:hAnsi="Century Schoolbook"/>
        </w:rPr>
        <w:t>.  (</w:t>
      </w:r>
      <w:r w:rsidR="000E7627" w:rsidRPr="00AD7DA6">
        <w:rPr>
          <w:rFonts w:ascii="Century Schoolbook" w:hAnsi="Century Schoolbook"/>
          <w:i/>
          <w:iCs/>
        </w:rPr>
        <w:t>Alliance</w:t>
      </w:r>
      <w:r w:rsidR="00EF666C" w:rsidRPr="00AD7DA6">
        <w:rPr>
          <w:rFonts w:ascii="Century Schoolbook" w:hAnsi="Century Schoolbook"/>
          <w:i/>
          <w:iCs/>
        </w:rPr>
        <w:t xml:space="preserve"> Mortgage</w:t>
      </w:r>
      <w:r w:rsidR="000E7627" w:rsidRPr="00AD7DA6">
        <w:rPr>
          <w:rFonts w:ascii="Century Schoolbook" w:hAnsi="Century Schoolbook"/>
        </w:rPr>
        <w:t xml:space="preserve">, </w:t>
      </w:r>
      <w:r w:rsidR="000E7627" w:rsidRPr="00AD7DA6">
        <w:rPr>
          <w:rFonts w:ascii="Century Schoolbook" w:hAnsi="Century Schoolbook"/>
          <w:i/>
          <w:iCs/>
        </w:rPr>
        <w:t>supra</w:t>
      </w:r>
      <w:r w:rsidR="000E7627" w:rsidRPr="00AD7DA6">
        <w:rPr>
          <w:rFonts w:ascii="Century Schoolbook" w:hAnsi="Century Schoolbook"/>
        </w:rPr>
        <w:t xml:space="preserve">, </w:t>
      </w:r>
      <w:r w:rsidR="0032245C" w:rsidRPr="00AD7DA6">
        <w:rPr>
          <w:rFonts w:ascii="Century Schoolbook" w:hAnsi="Century Schoolbook"/>
        </w:rPr>
        <w:t xml:space="preserve">10 Cal.4th </w:t>
      </w:r>
      <w:r w:rsidR="000E7627" w:rsidRPr="00AD7DA6">
        <w:rPr>
          <w:rFonts w:ascii="Century Schoolbook" w:hAnsi="Century Schoolbook"/>
        </w:rPr>
        <w:t>at pp. 1240</w:t>
      </w:r>
      <w:r w:rsidR="0032245C" w:rsidRPr="00AD7DA6">
        <w:rPr>
          <w:rFonts w:ascii="Century Schoolbook" w:hAnsi="Century Schoolbook"/>
        </w:rPr>
        <w:t>–</w:t>
      </w:r>
      <w:r w:rsidR="000E7627" w:rsidRPr="00AD7DA6">
        <w:rPr>
          <w:rFonts w:ascii="Century Schoolbook" w:hAnsi="Century Schoolbook"/>
        </w:rPr>
        <w:t xml:space="preserve">1241.) </w:t>
      </w:r>
      <w:r w:rsidR="00E63FFA" w:rsidRPr="00AD7DA6">
        <w:rPr>
          <w:rFonts w:ascii="Century Schoolbook" w:hAnsi="Century Schoolbook"/>
        </w:rPr>
        <w:t>Accordingly</w:t>
      </w:r>
      <w:r w:rsidR="000E7627" w:rsidRPr="00AD7DA6">
        <w:rPr>
          <w:rFonts w:ascii="Century Schoolbook" w:hAnsi="Century Schoolbook"/>
        </w:rPr>
        <w:t xml:space="preserve">, </w:t>
      </w:r>
      <w:r w:rsidR="00776BF1" w:rsidRPr="00AD7DA6">
        <w:rPr>
          <w:rFonts w:ascii="Century Schoolbook" w:hAnsi="Century Schoolbook"/>
        </w:rPr>
        <w:t xml:space="preserve">the trial court committed no error </w:t>
      </w:r>
      <w:r w:rsidR="00C467D7" w:rsidRPr="00AD7DA6">
        <w:rPr>
          <w:rFonts w:ascii="Century Schoolbook" w:hAnsi="Century Schoolbook"/>
        </w:rPr>
        <w:t>in</w:t>
      </w:r>
      <w:r w:rsidR="00776BF1" w:rsidRPr="00AD7DA6">
        <w:rPr>
          <w:rFonts w:ascii="Century Schoolbook" w:hAnsi="Century Schoolbook"/>
        </w:rPr>
        <w:t xml:space="preserve"> instructing the jury </w:t>
      </w:r>
      <w:r w:rsidR="000E7627" w:rsidRPr="00AD7DA6">
        <w:rPr>
          <w:rFonts w:ascii="Century Schoolbook" w:hAnsi="Century Schoolbook"/>
        </w:rPr>
        <w:t xml:space="preserve">on alternative forms of </w:t>
      </w:r>
      <w:r w:rsidR="004B45A5" w:rsidRPr="00AD7DA6">
        <w:rPr>
          <w:rFonts w:ascii="Century Schoolbook" w:hAnsi="Century Schoolbook"/>
        </w:rPr>
        <w:t>recovery</w:t>
      </w:r>
      <w:r w:rsidR="000E7627" w:rsidRPr="00AD7DA6">
        <w:rPr>
          <w:rFonts w:ascii="Century Schoolbook" w:hAnsi="Century Schoolbook"/>
        </w:rPr>
        <w:t xml:space="preserve">. </w:t>
      </w:r>
    </w:p>
    <w:p w14:paraId="5CB46FFC" w14:textId="703AFB20" w:rsidR="009050C1" w:rsidRPr="00500A65" w:rsidRDefault="004C175A" w:rsidP="00440E34">
      <w:pPr>
        <w:pStyle w:val="ListParagraph"/>
        <w:numPr>
          <w:ilvl w:val="1"/>
          <w:numId w:val="1"/>
        </w:numPr>
        <w:spacing w:after="120" w:line="240" w:lineRule="auto"/>
        <w:rPr>
          <w:rFonts w:ascii="Century Schoolbook" w:hAnsi="Century Schoolbook"/>
          <w:b/>
          <w:bCs/>
          <w:i/>
        </w:rPr>
      </w:pPr>
      <w:r w:rsidRPr="00500A65">
        <w:rPr>
          <w:rFonts w:ascii="Century Schoolbook" w:hAnsi="Century Schoolbook"/>
          <w:b/>
          <w:bCs/>
          <w:i/>
        </w:rPr>
        <w:t>Benefit-</w:t>
      </w:r>
      <w:r w:rsidR="005E4E13">
        <w:rPr>
          <w:rFonts w:ascii="Century Schoolbook" w:hAnsi="Century Schoolbook"/>
          <w:b/>
          <w:bCs/>
          <w:i/>
        </w:rPr>
        <w:t>o</w:t>
      </w:r>
      <w:r w:rsidRPr="00500A65">
        <w:rPr>
          <w:rFonts w:ascii="Century Schoolbook" w:hAnsi="Century Schoolbook"/>
          <w:b/>
          <w:bCs/>
          <w:i/>
        </w:rPr>
        <w:t>f-</w:t>
      </w:r>
      <w:r w:rsidR="005E4E13">
        <w:rPr>
          <w:rFonts w:ascii="Century Schoolbook" w:hAnsi="Century Schoolbook"/>
          <w:b/>
          <w:bCs/>
          <w:i/>
        </w:rPr>
        <w:t>t</w:t>
      </w:r>
      <w:r w:rsidRPr="00500A65">
        <w:rPr>
          <w:rFonts w:ascii="Century Schoolbook" w:hAnsi="Century Schoolbook"/>
          <w:b/>
          <w:bCs/>
          <w:i/>
        </w:rPr>
        <w:t>he-</w:t>
      </w:r>
      <w:r w:rsidR="00D42130">
        <w:rPr>
          <w:rFonts w:ascii="Century Schoolbook" w:hAnsi="Century Schoolbook"/>
          <w:b/>
          <w:bCs/>
          <w:i/>
        </w:rPr>
        <w:t>B</w:t>
      </w:r>
      <w:r w:rsidRPr="00500A65">
        <w:rPr>
          <w:rFonts w:ascii="Century Schoolbook" w:hAnsi="Century Schoolbook"/>
          <w:b/>
          <w:bCs/>
          <w:i/>
        </w:rPr>
        <w:t xml:space="preserve">argain Damages May Be Awarded for </w:t>
      </w:r>
      <w:r w:rsidR="009050C1" w:rsidRPr="00500A65">
        <w:rPr>
          <w:rFonts w:ascii="Century Schoolbook" w:hAnsi="Century Schoolbook"/>
          <w:b/>
          <w:bCs/>
          <w:i/>
        </w:rPr>
        <w:t xml:space="preserve">Fraud </w:t>
      </w:r>
      <w:r w:rsidRPr="00500A65">
        <w:rPr>
          <w:rFonts w:ascii="Century Schoolbook" w:hAnsi="Century Schoolbook"/>
          <w:b/>
          <w:bCs/>
          <w:i/>
        </w:rPr>
        <w:t xml:space="preserve">Committed </w:t>
      </w:r>
      <w:r w:rsidR="00DF1775" w:rsidRPr="00500A65">
        <w:rPr>
          <w:rFonts w:ascii="Century Schoolbook" w:hAnsi="Century Schoolbook"/>
          <w:b/>
          <w:bCs/>
          <w:i/>
        </w:rPr>
        <w:t>b</w:t>
      </w:r>
      <w:r w:rsidRPr="00500A65">
        <w:rPr>
          <w:rFonts w:ascii="Century Schoolbook" w:hAnsi="Century Schoolbook"/>
          <w:b/>
          <w:bCs/>
          <w:i/>
        </w:rPr>
        <w:t xml:space="preserve">y </w:t>
      </w:r>
      <w:r w:rsidR="00DF1775" w:rsidRPr="00500A65">
        <w:rPr>
          <w:rFonts w:ascii="Century Schoolbook" w:hAnsi="Century Schoolbook"/>
          <w:b/>
          <w:bCs/>
          <w:i/>
        </w:rPr>
        <w:t>a</w:t>
      </w:r>
      <w:r w:rsidRPr="00500A65">
        <w:rPr>
          <w:rFonts w:ascii="Century Schoolbook" w:hAnsi="Century Schoolbook"/>
          <w:b/>
          <w:bCs/>
          <w:i/>
        </w:rPr>
        <w:t xml:space="preserve"> Fiduciary </w:t>
      </w:r>
      <w:r w:rsidR="0032245C" w:rsidRPr="00500A65">
        <w:rPr>
          <w:rFonts w:ascii="Century Schoolbook" w:hAnsi="Century Schoolbook"/>
          <w:b/>
          <w:bCs/>
          <w:i/>
        </w:rPr>
        <w:t>i</w:t>
      </w:r>
      <w:r w:rsidRPr="00500A65">
        <w:rPr>
          <w:rFonts w:ascii="Century Schoolbook" w:hAnsi="Century Schoolbook"/>
          <w:b/>
          <w:bCs/>
          <w:i/>
        </w:rPr>
        <w:t>n Real Property Transactions</w:t>
      </w:r>
    </w:p>
    <w:p w14:paraId="1138FCC1" w14:textId="04DD9257" w:rsidR="00FF3635" w:rsidRPr="00AD7DA6" w:rsidRDefault="00BF00B8" w:rsidP="00BF00B8">
      <w:pPr>
        <w:spacing w:line="360" w:lineRule="auto"/>
        <w:rPr>
          <w:rFonts w:ascii="Century Schoolbook" w:hAnsi="Century Schoolbook"/>
        </w:rPr>
      </w:pPr>
      <w:r w:rsidRPr="00AD7DA6">
        <w:rPr>
          <w:rFonts w:ascii="Century Schoolbook" w:hAnsi="Century Schoolbook"/>
        </w:rPr>
        <w:tab/>
      </w:r>
      <w:r w:rsidR="00FF3635" w:rsidRPr="00AD7DA6">
        <w:rPr>
          <w:rFonts w:ascii="Century Schoolbook" w:hAnsi="Century Schoolbook"/>
        </w:rPr>
        <w:t xml:space="preserve">Teed </w:t>
      </w:r>
      <w:r w:rsidR="00342387" w:rsidRPr="00AD7DA6">
        <w:rPr>
          <w:rFonts w:ascii="Century Schoolbook" w:hAnsi="Century Schoolbook"/>
        </w:rPr>
        <w:t xml:space="preserve">next </w:t>
      </w:r>
      <w:r w:rsidR="009E36AA" w:rsidRPr="00AD7DA6">
        <w:rPr>
          <w:rFonts w:ascii="Century Schoolbook" w:hAnsi="Century Schoolbook"/>
        </w:rPr>
        <w:t>contends</w:t>
      </w:r>
      <w:r w:rsidR="00FF3635" w:rsidRPr="00AD7DA6">
        <w:rPr>
          <w:rFonts w:ascii="Century Schoolbook" w:hAnsi="Century Schoolbook"/>
        </w:rPr>
        <w:t xml:space="preserve"> </w:t>
      </w:r>
      <w:r w:rsidR="00853866" w:rsidRPr="00AD7DA6">
        <w:rPr>
          <w:rFonts w:ascii="Century Schoolbook" w:hAnsi="Century Schoolbook"/>
        </w:rPr>
        <w:t xml:space="preserve">that </w:t>
      </w:r>
      <w:r w:rsidR="00FF3635" w:rsidRPr="00AD7DA6">
        <w:rPr>
          <w:rFonts w:ascii="Century Schoolbook" w:hAnsi="Century Schoolbook"/>
        </w:rPr>
        <w:t xml:space="preserve">benefit-of-the-bargain damages are never </w:t>
      </w:r>
      <w:r w:rsidR="004923B5" w:rsidRPr="00AD7DA6">
        <w:rPr>
          <w:rFonts w:ascii="Century Schoolbook" w:hAnsi="Century Schoolbook"/>
        </w:rPr>
        <w:t>recoverable</w:t>
      </w:r>
      <w:r w:rsidR="00FF3635" w:rsidRPr="00AD7DA6">
        <w:rPr>
          <w:rFonts w:ascii="Century Schoolbook" w:hAnsi="Century Schoolbook"/>
        </w:rPr>
        <w:t xml:space="preserve"> for fraud claims involving real property transactions, even </w:t>
      </w:r>
      <w:r w:rsidR="007037EE" w:rsidRPr="00AD7DA6">
        <w:rPr>
          <w:rFonts w:ascii="Century Schoolbook" w:hAnsi="Century Schoolbook"/>
        </w:rPr>
        <w:t xml:space="preserve">when </w:t>
      </w:r>
      <w:r w:rsidR="00FF3635" w:rsidRPr="00AD7DA6">
        <w:rPr>
          <w:rFonts w:ascii="Century Schoolbook" w:hAnsi="Century Schoolbook"/>
        </w:rPr>
        <w:t xml:space="preserve">the fraud is </w:t>
      </w:r>
      <w:r w:rsidR="00C54C59" w:rsidRPr="00AD7DA6">
        <w:rPr>
          <w:rFonts w:ascii="Century Schoolbook" w:hAnsi="Century Schoolbook"/>
        </w:rPr>
        <w:t xml:space="preserve">perpetrated </w:t>
      </w:r>
      <w:r w:rsidR="00FF3635" w:rsidRPr="00AD7DA6">
        <w:rPr>
          <w:rFonts w:ascii="Century Schoolbook" w:hAnsi="Century Schoolbook"/>
        </w:rPr>
        <w:t xml:space="preserve">by a fiduciary.  While there is a split of authority on this </w:t>
      </w:r>
      <w:r w:rsidR="00E92AB7" w:rsidRPr="00AD7DA6">
        <w:rPr>
          <w:rFonts w:ascii="Century Schoolbook" w:hAnsi="Century Schoolbook"/>
        </w:rPr>
        <w:t>question</w:t>
      </w:r>
      <w:r w:rsidR="00FF3635" w:rsidRPr="00AD7DA6">
        <w:rPr>
          <w:rFonts w:ascii="Century Schoolbook" w:hAnsi="Century Schoolbook"/>
        </w:rPr>
        <w:t xml:space="preserve">, we are </w:t>
      </w:r>
      <w:r w:rsidR="0090715A" w:rsidRPr="00AD7DA6">
        <w:rPr>
          <w:rFonts w:ascii="Century Schoolbook" w:hAnsi="Century Schoolbook"/>
        </w:rPr>
        <w:t>persuaded</w:t>
      </w:r>
      <w:r w:rsidR="00FF3635" w:rsidRPr="00AD7DA6">
        <w:rPr>
          <w:rFonts w:ascii="Century Schoolbook" w:hAnsi="Century Schoolbook"/>
        </w:rPr>
        <w:t xml:space="preserve"> by the majority of </w:t>
      </w:r>
      <w:r w:rsidR="0090500A" w:rsidRPr="00AD7DA6">
        <w:rPr>
          <w:rFonts w:ascii="Century Schoolbook" w:hAnsi="Century Schoolbook"/>
        </w:rPr>
        <w:t xml:space="preserve">courts </w:t>
      </w:r>
      <w:r w:rsidR="00BC71CC" w:rsidRPr="00AD7DA6">
        <w:rPr>
          <w:rFonts w:ascii="Century Schoolbook" w:hAnsi="Century Schoolbook"/>
        </w:rPr>
        <w:t>which</w:t>
      </w:r>
      <w:r w:rsidR="00FF3635" w:rsidRPr="00AD7DA6">
        <w:rPr>
          <w:rFonts w:ascii="Century Schoolbook" w:hAnsi="Century Schoolbook"/>
        </w:rPr>
        <w:t xml:space="preserve"> have concluded </w:t>
      </w:r>
      <w:r w:rsidR="006D6DE8" w:rsidRPr="00AD7DA6">
        <w:rPr>
          <w:rFonts w:ascii="Century Schoolbook" w:hAnsi="Century Schoolbook"/>
        </w:rPr>
        <w:t xml:space="preserve">that </w:t>
      </w:r>
      <w:r w:rsidR="00F41DF1" w:rsidRPr="00AD7DA6">
        <w:rPr>
          <w:rFonts w:ascii="Century Schoolbook" w:hAnsi="Century Schoolbook"/>
        </w:rPr>
        <w:t xml:space="preserve">benefit-of-the-bargain </w:t>
      </w:r>
      <w:r w:rsidR="00FF3635" w:rsidRPr="00AD7DA6">
        <w:rPr>
          <w:rFonts w:ascii="Century Schoolbook" w:hAnsi="Century Schoolbook"/>
        </w:rPr>
        <w:t>damages</w:t>
      </w:r>
      <w:r w:rsidR="0005438A" w:rsidRPr="00AD7DA6">
        <w:rPr>
          <w:rFonts w:ascii="Century Schoolbook" w:hAnsi="Century Schoolbook"/>
        </w:rPr>
        <w:t xml:space="preserve"> are</w:t>
      </w:r>
      <w:r w:rsidR="00C85605" w:rsidRPr="00AD7DA6">
        <w:rPr>
          <w:rFonts w:ascii="Century Schoolbook" w:hAnsi="Century Schoolbook"/>
        </w:rPr>
        <w:t xml:space="preserve"> </w:t>
      </w:r>
      <w:r w:rsidR="00B05ADE" w:rsidRPr="00AD7DA6">
        <w:rPr>
          <w:rFonts w:ascii="Century Schoolbook" w:hAnsi="Century Schoolbook"/>
        </w:rPr>
        <w:t>recoverable</w:t>
      </w:r>
      <w:r w:rsidR="00181A32" w:rsidRPr="00AD7DA6">
        <w:rPr>
          <w:rFonts w:ascii="Century Schoolbook" w:hAnsi="Century Schoolbook"/>
        </w:rPr>
        <w:t xml:space="preserve"> in </w:t>
      </w:r>
      <w:r w:rsidR="00D61A97" w:rsidRPr="00AD7DA6">
        <w:rPr>
          <w:rFonts w:ascii="Century Schoolbook" w:hAnsi="Century Schoolbook"/>
        </w:rPr>
        <w:t xml:space="preserve">fraud </w:t>
      </w:r>
      <w:r w:rsidR="00181A32" w:rsidRPr="00AD7DA6">
        <w:rPr>
          <w:rFonts w:ascii="Century Schoolbook" w:hAnsi="Century Schoolbook"/>
        </w:rPr>
        <w:t xml:space="preserve">actions where a </w:t>
      </w:r>
      <w:r w:rsidR="00815D74" w:rsidRPr="00AD7DA6">
        <w:rPr>
          <w:rFonts w:ascii="Century Schoolbook" w:hAnsi="Century Schoolbook"/>
        </w:rPr>
        <w:t xml:space="preserve">fiduciary </w:t>
      </w:r>
      <w:r w:rsidR="00FF3635" w:rsidRPr="00AD7DA6">
        <w:rPr>
          <w:rFonts w:ascii="Century Schoolbook" w:hAnsi="Century Schoolbook"/>
        </w:rPr>
        <w:t>induces an individual to purchase, sell, or exchange real property</w:t>
      </w:r>
      <w:r w:rsidR="00B8659F" w:rsidRPr="00AD7DA6">
        <w:rPr>
          <w:rFonts w:ascii="Century Schoolbook" w:hAnsi="Century Schoolbook"/>
        </w:rPr>
        <w:t xml:space="preserve"> to their detriment</w:t>
      </w:r>
      <w:r w:rsidR="00FF3635" w:rsidRPr="00AD7DA6">
        <w:rPr>
          <w:rFonts w:ascii="Century Schoolbook" w:hAnsi="Century Schoolbook"/>
        </w:rPr>
        <w:t xml:space="preserve">.  </w:t>
      </w:r>
    </w:p>
    <w:p w14:paraId="5245224C" w14:textId="1581C428" w:rsidR="00BF00B8" w:rsidRPr="00AD7DA6" w:rsidRDefault="00FF3635" w:rsidP="00BF00B8">
      <w:pPr>
        <w:spacing w:line="360" w:lineRule="auto"/>
        <w:rPr>
          <w:rFonts w:ascii="Century Schoolbook" w:hAnsi="Century Schoolbook"/>
        </w:rPr>
      </w:pPr>
      <w:r w:rsidRPr="00AD7DA6">
        <w:rPr>
          <w:rFonts w:ascii="Century Schoolbook" w:hAnsi="Century Schoolbook"/>
        </w:rPr>
        <w:tab/>
      </w:r>
      <w:r w:rsidR="00CA7B28" w:rsidRPr="00AD7DA6">
        <w:rPr>
          <w:rFonts w:ascii="Century Schoolbook" w:hAnsi="Century Schoolbook"/>
        </w:rPr>
        <w:t>As a general matter, i</w:t>
      </w:r>
      <w:r w:rsidR="00BF00B8" w:rsidRPr="00AD7DA6">
        <w:rPr>
          <w:rFonts w:ascii="Century Schoolbook" w:hAnsi="Century Schoolbook"/>
        </w:rPr>
        <w:t xml:space="preserve">n fraud </w:t>
      </w:r>
      <w:r w:rsidR="00D55ADA" w:rsidRPr="00AD7DA6">
        <w:rPr>
          <w:rFonts w:ascii="Century Schoolbook" w:hAnsi="Century Schoolbook"/>
        </w:rPr>
        <w:t>claims</w:t>
      </w:r>
      <w:r w:rsidR="00BF00B8" w:rsidRPr="00AD7DA6">
        <w:rPr>
          <w:rFonts w:ascii="Century Schoolbook" w:hAnsi="Century Schoolbook"/>
        </w:rPr>
        <w:t xml:space="preserve"> involving the purchase, sale or exchange of property</w:t>
      </w:r>
      <w:r w:rsidR="00A6714E" w:rsidRPr="00AD7DA6">
        <w:rPr>
          <w:rFonts w:ascii="Century Schoolbook" w:hAnsi="Century Schoolbook"/>
        </w:rPr>
        <w:t>,</w:t>
      </w:r>
      <w:r w:rsidR="00BF00B8" w:rsidRPr="00AD7DA6">
        <w:rPr>
          <w:rFonts w:ascii="Century Schoolbook" w:hAnsi="Century Schoolbook"/>
        </w:rPr>
        <w:t xml:space="preserve"> the Legislature has </w:t>
      </w:r>
      <w:r w:rsidR="00321597" w:rsidRPr="00AD7DA6">
        <w:rPr>
          <w:rFonts w:ascii="Century Schoolbook" w:hAnsi="Century Schoolbook"/>
        </w:rPr>
        <w:t>directed</w:t>
      </w:r>
      <w:r w:rsidR="00BF00B8" w:rsidRPr="00AD7DA6">
        <w:rPr>
          <w:rFonts w:ascii="Century Schoolbook" w:hAnsi="Century Schoolbook"/>
        </w:rPr>
        <w:t xml:space="preserve"> that the </w:t>
      </w:r>
      <w:r w:rsidR="00EC0A84" w:rsidRPr="00AD7DA6">
        <w:rPr>
          <w:rFonts w:ascii="Century Schoolbook" w:hAnsi="Century Schoolbook"/>
        </w:rPr>
        <w:t>“</w:t>
      </w:r>
      <w:r w:rsidR="00BF00B8" w:rsidRPr="00AD7DA6">
        <w:rPr>
          <w:rFonts w:ascii="Century Schoolbook" w:hAnsi="Century Schoolbook"/>
        </w:rPr>
        <w:t>out-of-pocket</w:t>
      </w:r>
      <w:r w:rsidR="00EC0A84" w:rsidRPr="00AD7DA6">
        <w:rPr>
          <w:rFonts w:ascii="Century Schoolbook" w:hAnsi="Century Schoolbook"/>
        </w:rPr>
        <w:t>”</w:t>
      </w:r>
      <w:r w:rsidR="00BF00B8" w:rsidRPr="00AD7DA6">
        <w:rPr>
          <w:rFonts w:ascii="Century Schoolbook" w:hAnsi="Century Schoolbook"/>
        </w:rPr>
        <w:t xml:space="preserve"> rather than the </w:t>
      </w:r>
      <w:r w:rsidR="00EC0A84" w:rsidRPr="00AD7DA6">
        <w:rPr>
          <w:rFonts w:ascii="Century Schoolbook" w:hAnsi="Century Schoolbook"/>
        </w:rPr>
        <w:t>“</w:t>
      </w:r>
      <w:r w:rsidR="00BF00B8" w:rsidRPr="00AD7DA6">
        <w:rPr>
          <w:rFonts w:ascii="Century Schoolbook" w:hAnsi="Century Schoolbook"/>
        </w:rPr>
        <w:t>benefit-of-the-bargain</w:t>
      </w:r>
      <w:r w:rsidR="00EC0A84" w:rsidRPr="00AD7DA6">
        <w:rPr>
          <w:rFonts w:ascii="Century Schoolbook" w:hAnsi="Century Schoolbook"/>
        </w:rPr>
        <w:t>”</w:t>
      </w:r>
      <w:r w:rsidR="00BF00B8" w:rsidRPr="00AD7DA6">
        <w:rPr>
          <w:rFonts w:ascii="Century Schoolbook" w:hAnsi="Century Schoolbook"/>
        </w:rPr>
        <w:t xml:space="preserve"> measure of damages should apply. </w:t>
      </w:r>
      <w:r w:rsidR="00EC0A84" w:rsidRPr="00AD7DA6">
        <w:rPr>
          <w:rFonts w:ascii="Century Schoolbook" w:hAnsi="Century Schoolbook"/>
        </w:rPr>
        <w:t xml:space="preserve"> Civil Code section 3343, subdivision (a), provides, “One defrauded in the purchase, sale or exchange of property is entitled to recover the difference between the actual value of that with which the defrauded person parted and the actual value of that which he received, together with any additional damage arising from the particular transaction,</w:t>
      </w:r>
      <w:r w:rsidR="004C175A" w:rsidRPr="00AD7DA6">
        <w:rPr>
          <w:rFonts w:ascii="Century Schoolbook" w:hAnsi="Century Schoolbook"/>
        </w:rPr>
        <w:t>”</w:t>
      </w:r>
      <w:r w:rsidR="00EC0A84" w:rsidRPr="00AD7DA6">
        <w:rPr>
          <w:rFonts w:ascii="Century Schoolbook" w:hAnsi="Century Schoolbook"/>
        </w:rPr>
        <w:t xml:space="preserve"> including certain enumerated damages such as lost profits.  </w:t>
      </w:r>
      <w:r w:rsidR="00D55ADA" w:rsidRPr="00AD7DA6">
        <w:rPr>
          <w:rFonts w:ascii="Century Schoolbook" w:hAnsi="Century Schoolbook"/>
        </w:rPr>
        <w:t xml:space="preserve">Our </w:t>
      </w:r>
      <w:r w:rsidR="00DA5FFE" w:rsidRPr="00AD7DA6">
        <w:rPr>
          <w:rFonts w:ascii="Century Schoolbook" w:hAnsi="Century Schoolbook"/>
        </w:rPr>
        <w:t>high court</w:t>
      </w:r>
      <w:r w:rsidR="00D55ADA" w:rsidRPr="00AD7DA6">
        <w:rPr>
          <w:rFonts w:ascii="Century Schoolbook" w:hAnsi="Century Schoolbook"/>
        </w:rPr>
        <w:t xml:space="preserve"> has clarified that </w:t>
      </w:r>
      <w:r w:rsidR="00EC0A84" w:rsidRPr="00AD7DA6">
        <w:rPr>
          <w:rFonts w:ascii="Century Schoolbook" w:hAnsi="Century Schoolbook"/>
        </w:rPr>
        <w:t>“</w:t>
      </w:r>
      <w:r w:rsidR="00D55ADA" w:rsidRPr="00AD7DA6">
        <w:rPr>
          <w:rFonts w:ascii="Century Schoolbook" w:hAnsi="Century Schoolbook"/>
        </w:rPr>
        <w:t>[t]</w:t>
      </w:r>
      <w:r w:rsidR="00BF00B8" w:rsidRPr="00AD7DA6">
        <w:rPr>
          <w:rFonts w:ascii="Century Schoolbook" w:hAnsi="Century Schoolbook"/>
        </w:rPr>
        <w:t xml:space="preserve">his section does </w:t>
      </w:r>
      <w:r w:rsidR="00BF00B8" w:rsidRPr="00AD7DA6">
        <w:rPr>
          <w:rFonts w:ascii="Century Schoolbook" w:hAnsi="Century Schoolbook"/>
          <w:i/>
        </w:rPr>
        <w:t>not</w:t>
      </w:r>
      <w:r w:rsidR="00BF00B8" w:rsidRPr="00AD7DA6">
        <w:rPr>
          <w:rFonts w:ascii="Century Schoolbook" w:hAnsi="Century Schoolbook"/>
        </w:rPr>
        <w:t xml:space="preserve"> apply, however, when a victim is defrauded by its fiduciaries. </w:t>
      </w:r>
      <w:r w:rsidR="00EC0A84" w:rsidRPr="00AD7DA6">
        <w:rPr>
          <w:rFonts w:ascii="Century Schoolbook" w:hAnsi="Century Schoolbook"/>
        </w:rPr>
        <w:t xml:space="preserve"> </w:t>
      </w:r>
      <w:r w:rsidR="00BF00B8" w:rsidRPr="00AD7DA6">
        <w:rPr>
          <w:rFonts w:ascii="Century Schoolbook" w:hAnsi="Century Schoolbook"/>
        </w:rPr>
        <w:t xml:space="preserve">In this situation, the </w:t>
      </w:r>
      <w:r w:rsidR="00EC0A84" w:rsidRPr="00AD7DA6">
        <w:rPr>
          <w:rFonts w:ascii="Century Schoolbook" w:hAnsi="Century Schoolbook"/>
        </w:rPr>
        <w:t>‘</w:t>
      </w:r>
      <w:r w:rsidR="00BF00B8" w:rsidRPr="00AD7DA6">
        <w:rPr>
          <w:rFonts w:ascii="Century Schoolbook" w:hAnsi="Century Schoolbook"/>
        </w:rPr>
        <w:t>broader</w:t>
      </w:r>
      <w:r w:rsidR="00EC0A84" w:rsidRPr="00AD7DA6">
        <w:rPr>
          <w:rFonts w:ascii="Century Schoolbook" w:hAnsi="Century Schoolbook"/>
        </w:rPr>
        <w:t>’</w:t>
      </w:r>
      <w:r w:rsidR="00BF00B8" w:rsidRPr="00AD7DA6">
        <w:rPr>
          <w:rFonts w:ascii="Century Schoolbook" w:hAnsi="Century Schoolbook"/>
        </w:rPr>
        <w:t xml:space="preserve"> measure of damages provided by </w:t>
      </w:r>
      <w:r w:rsidR="00EC0A84" w:rsidRPr="00AD7DA6">
        <w:rPr>
          <w:rFonts w:ascii="Century Schoolbook" w:hAnsi="Century Schoolbook"/>
        </w:rPr>
        <w:t xml:space="preserve">[Civil Code] </w:t>
      </w:r>
      <w:r w:rsidR="00BF00B8" w:rsidRPr="00AD7DA6">
        <w:rPr>
          <w:rFonts w:ascii="Century Schoolbook" w:hAnsi="Century Schoolbook"/>
        </w:rPr>
        <w:t>sections 1709 and 3333 applies.</w:t>
      </w:r>
      <w:r w:rsidR="00EC0A84" w:rsidRPr="00AD7DA6">
        <w:rPr>
          <w:rFonts w:ascii="Century Schoolbook" w:hAnsi="Century Schoolbook"/>
        </w:rPr>
        <w:t>”  (</w:t>
      </w:r>
      <w:r w:rsidR="00EC0A84" w:rsidRPr="00AD7DA6">
        <w:rPr>
          <w:rFonts w:ascii="Century Schoolbook" w:hAnsi="Century Schoolbook"/>
          <w:i/>
        </w:rPr>
        <w:t>Alliance Mortgage, supra,</w:t>
      </w:r>
      <w:r w:rsidR="00EC0A84" w:rsidRPr="00AD7DA6">
        <w:rPr>
          <w:rFonts w:ascii="Century Schoolbook" w:hAnsi="Century Schoolbook"/>
        </w:rPr>
        <w:t xml:space="preserve"> </w:t>
      </w:r>
      <w:r w:rsidR="0020256A" w:rsidRPr="00AD7DA6">
        <w:rPr>
          <w:rFonts w:ascii="Century Schoolbook" w:hAnsi="Century Schoolbook"/>
        </w:rPr>
        <w:t>10</w:t>
      </w:r>
      <w:r w:rsidR="0049215B" w:rsidRPr="00AD7DA6">
        <w:rPr>
          <w:rFonts w:ascii="Century Schoolbook" w:hAnsi="Century Schoolbook"/>
        </w:rPr>
        <w:t> </w:t>
      </w:r>
      <w:r w:rsidR="0020256A" w:rsidRPr="00AD7DA6">
        <w:rPr>
          <w:rFonts w:ascii="Century Schoolbook" w:hAnsi="Century Schoolbook"/>
        </w:rPr>
        <w:t xml:space="preserve">Cal.4th </w:t>
      </w:r>
      <w:r w:rsidR="00EC0A84" w:rsidRPr="00AD7DA6">
        <w:rPr>
          <w:rFonts w:ascii="Century Schoolbook" w:hAnsi="Century Schoolbook"/>
        </w:rPr>
        <w:t>at p. 1241</w:t>
      </w:r>
      <w:r w:rsidR="000610B3" w:rsidRPr="00AD7DA6">
        <w:rPr>
          <w:rFonts w:ascii="Century Schoolbook" w:hAnsi="Century Schoolbook"/>
        </w:rPr>
        <w:t>, italics added</w:t>
      </w:r>
      <w:r w:rsidR="00EC0A84" w:rsidRPr="00AD7DA6">
        <w:rPr>
          <w:rFonts w:ascii="Century Schoolbook" w:hAnsi="Century Schoolbook"/>
        </w:rPr>
        <w:t xml:space="preserve">.)  </w:t>
      </w:r>
    </w:p>
    <w:p w14:paraId="4141A190" w14:textId="07A8686B" w:rsidR="005A239C" w:rsidRPr="00AD7DA6" w:rsidRDefault="005A239C" w:rsidP="00BF00B8">
      <w:pPr>
        <w:spacing w:line="360" w:lineRule="auto"/>
        <w:rPr>
          <w:rFonts w:ascii="Century Schoolbook" w:hAnsi="Century Schoolbook"/>
        </w:rPr>
      </w:pPr>
      <w:r w:rsidRPr="00AD7DA6">
        <w:rPr>
          <w:rFonts w:ascii="Century Schoolbook" w:hAnsi="Century Schoolbook"/>
        </w:rPr>
        <w:lastRenderedPageBreak/>
        <w:tab/>
        <w:t xml:space="preserve">Under Civil Code section 1709, a defendant who willfully deceives a plaintiff with the intent to induce him to alter his position to his </w:t>
      </w:r>
      <w:r w:rsidR="008F361C" w:rsidRPr="00AD7DA6">
        <w:rPr>
          <w:rFonts w:ascii="Century Schoolbook" w:hAnsi="Century Schoolbook"/>
        </w:rPr>
        <w:t>detriment</w:t>
      </w:r>
      <w:r w:rsidRPr="00AD7DA6">
        <w:rPr>
          <w:rFonts w:ascii="Century Schoolbook" w:hAnsi="Century Schoolbook"/>
        </w:rPr>
        <w:t xml:space="preserve"> “is liable for any damage which he thereby suffers.”  Civil Code section 3333</w:t>
      </w:r>
      <w:r w:rsidR="00656C45" w:rsidRPr="00AD7DA6">
        <w:rPr>
          <w:rFonts w:ascii="Century Schoolbook" w:hAnsi="Century Schoolbook"/>
        </w:rPr>
        <w:t xml:space="preserve">, the general </w:t>
      </w:r>
      <w:r w:rsidR="00ED6442" w:rsidRPr="00AD7DA6">
        <w:rPr>
          <w:rFonts w:ascii="Century Schoolbook" w:hAnsi="Century Schoolbook"/>
        </w:rPr>
        <w:t>tort damage measure,</w:t>
      </w:r>
      <w:r w:rsidRPr="00AD7DA6">
        <w:rPr>
          <w:rFonts w:ascii="Century Schoolbook" w:hAnsi="Century Schoolbook"/>
        </w:rPr>
        <w:t xml:space="preserve"> </w:t>
      </w:r>
      <w:r w:rsidR="00C802DF" w:rsidRPr="00AD7DA6">
        <w:rPr>
          <w:rFonts w:ascii="Century Schoolbook" w:hAnsi="Century Schoolbook"/>
        </w:rPr>
        <w:t xml:space="preserve">provides </w:t>
      </w:r>
      <w:r w:rsidR="00E2447B" w:rsidRPr="00AD7DA6">
        <w:rPr>
          <w:rFonts w:ascii="Century Schoolbook" w:hAnsi="Century Schoolbook"/>
        </w:rPr>
        <w:t xml:space="preserve">that </w:t>
      </w:r>
      <w:r w:rsidR="00C867F9" w:rsidRPr="00AD7DA6">
        <w:rPr>
          <w:rFonts w:ascii="Century Schoolbook" w:hAnsi="Century Schoolbook"/>
        </w:rPr>
        <w:t xml:space="preserve">the </w:t>
      </w:r>
      <w:r w:rsidR="00B37BF0" w:rsidRPr="00AD7DA6">
        <w:rPr>
          <w:rFonts w:ascii="Century Schoolbook" w:hAnsi="Century Schoolbook"/>
        </w:rPr>
        <w:t>“</w:t>
      </w:r>
      <w:r w:rsidR="00C867F9" w:rsidRPr="00AD7DA6">
        <w:rPr>
          <w:rFonts w:ascii="Century Schoolbook" w:hAnsi="Century Schoolbook"/>
        </w:rPr>
        <w:t xml:space="preserve">measure of damages </w:t>
      </w:r>
      <w:r w:rsidR="0020256A" w:rsidRPr="00AD7DA6">
        <w:rPr>
          <w:rFonts w:ascii="Century Schoolbook" w:hAnsi="Century Schoolbook"/>
        </w:rPr>
        <w:t>. . .</w:t>
      </w:r>
      <w:r w:rsidR="001356E1" w:rsidRPr="00AD7DA6">
        <w:rPr>
          <w:rFonts w:ascii="Century Schoolbook" w:hAnsi="Century Schoolbook"/>
        </w:rPr>
        <w:t xml:space="preserve"> is the amount which will compensate </w:t>
      </w:r>
      <w:r w:rsidR="0052345E" w:rsidRPr="00AD7DA6">
        <w:rPr>
          <w:rFonts w:ascii="Century Schoolbook" w:hAnsi="Century Schoolbook"/>
        </w:rPr>
        <w:t xml:space="preserve">for </w:t>
      </w:r>
      <w:r w:rsidRPr="00AD7DA6">
        <w:rPr>
          <w:rFonts w:ascii="Century Schoolbook" w:hAnsi="Century Schoolbook"/>
        </w:rPr>
        <w:t xml:space="preserve">all the detriment proximately caused thereby, whether it could have been anticipated or not.”  As one </w:t>
      </w:r>
      <w:r w:rsidR="00E11DA7" w:rsidRPr="00AD7DA6">
        <w:rPr>
          <w:rFonts w:ascii="Century Schoolbook" w:hAnsi="Century Schoolbook"/>
        </w:rPr>
        <w:t>leading treatise</w:t>
      </w:r>
      <w:r w:rsidRPr="00AD7DA6">
        <w:rPr>
          <w:rFonts w:ascii="Century Schoolbook" w:hAnsi="Century Schoolbook"/>
        </w:rPr>
        <w:t xml:space="preserve"> has noted, these two statutes support imposing benefit-of-the-bargain damages</w:t>
      </w:r>
      <w:r w:rsidR="00FA40C7" w:rsidRPr="00AD7DA6">
        <w:rPr>
          <w:rFonts w:ascii="Century Schoolbook" w:hAnsi="Century Schoolbook"/>
        </w:rPr>
        <w:t xml:space="preserve"> in real property transactions</w:t>
      </w:r>
      <w:r w:rsidRPr="00AD7DA6">
        <w:rPr>
          <w:rFonts w:ascii="Century Schoolbook" w:hAnsi="Century Schoolbook"/>
        </w:rPr>
        <w:t xml:space="preserve"> </w:t>
      </w:r>
      <w:r w:rsidR="00C43A29" w:rsidRPr="00AD7DA6">
        <w:rPr>
          <w:rFonts w:ascii="Century Schoolbook" w:hAnsi="Century Schoolbook"/>
        </w:rPr>
        <w:t xml:space="preserve">involving a fraudulent fiduciary </w:t>
      </w:r>
      <w:r w:rsidRPr="00AD7DA6">
        <w:rPr>
          <w:rFonts w:ascii="Century Schoolbook" w:hAnsi="Century Schoolbook"/>
        </w:rPr>
        <w:t>“ ‘because a fiduciary should be responsible to compensate his or her principal for the full amount of the loss caused by his or her breach of duty.’ ”  (</w:t>
      </w:r>
      <w:r w:rsidR="00E11DA7" w:rsidRPr="00AD7DA6">
        <w:rPr>
          <w:rFonts w:ascii="Century Schoolbook" w:hAnsi="Century Schoolbook"/>
        </w:rPr>
        <w:t xml:space="preserve">See </w:t>
      </w:r>
      <w:r w:rsidRPr="00AD7DA6">
        <w:rPr>
          <w:rFonts w:ascii="Century Schoolbook" w:hAnsi="Century Schoolbook"/>
          <w:i/>
        </w:rPr>
        <w:t xml:space="preserve">Fragale v. Faulkner </w:t>
      </w:r>
      <w:r w:rsidRPr="00AD7DA6">
        <w:rPr>
          <w:rFonts w:ascii="Century Schoolbook" w:hAnsi="Century Schoolbook"/>
        </w:rPr>
        <w:t>(2003) 110 Cal.App.4th 229, 238</w:t>
      </w:r>
      <w:r w:rsidR="0020256A" w:rsidRPr="00AD7DA6">
        <w:rPr>
          <w:rFonts w:ascii="Century Schoolbook" w:hAnsi="Century Schoolbook"/>
        </w:rPr>
        <w:t>–</w:t>
      </w:r>
      <w:r w:rsidRPr="00AD7DA6">
        <w:rPr>
          <w:rFonts w:ascii="Century Schoolbook" w:hAnsi="Century Schoolbook"/>
        </w:rPr>
        <w:t>239 (</w:t>
      </w:r>
      <w:r w:rsidRPr="00AD7DA6">
        <w:rPr>
          <w:rFonts w:ascii="Century Schoolbook" w:hAnsi="Century Schoolbook"/>
          <w:i/>
        </w:rPr>
        <w:t>Fragale</w:t>
      </w:r>
      <w:r w:rsidRPr="00AD7DA6">
        <w:rPr>
          <w:rFonts w:ascii="Century Schoolbook" w:hAnsi="Century Schoolbook"/>
        </w:rPr>
        <w:t>), quoting 2 Miller &amp; Starr, Cal. Real Estate (3d ed. 2000) § 3.33, pp. 190</w:t>
      </w:r>
      <w:r w:rsidR="00DE0140" w:rsidRPr="00AD7DA6">
        <w:rPr>
          <w:rFonts w:ascii="Century Schoolbook" w:hAnsi="Century Schoolbook"/>
        </w:rPr>
        <w:t>–</w:t>
      </w:r>
      <w:r w:rsidRPr="00AD7DA6">
        <w:rPr>
          <w:rFonts w:ascii="Century Schoolbook" w:hAnsi="Century Schoolbook"/>
        </w:rPr>
        <w:t xml:space="preserve">191, </w:t>
      </w:r>
      <w:proofErr w:type="spellStart"/>
      <w:r w:rsidRPr="00AD7DA6">
        <w:rPr>
          <w:rFonts w:ascii="Century Schoolbook" w:hAnsi="Century Schoolbook"/>
        </w:rPr>
        <w:t>fns</w:t>
      </w:r>
      <w:proofErr w:type="spellEnd"/>
      <w:r w:rsidRPr="00AD7DA6">
        <w:rPr>
          <w:rFonts w:ascii="Century Schoolbook" w:hAnsi="Century Schoolbook"/>
        </w:rPr>
        <w:t xml:space="preserve">. omitted.)  </w:t>
      </w:r>
    </w:p>
    <w:p w14:paraId="06D9F2E9" w14:textId="562D5BFC" w:rsidR="00DE73EB" w:rsidRPr="00AD7DA6" w:rsidRDefault="00DA77C2" w:rsidP="005A239C">
      <w:pPr>
        <w:spacing w:line="360" w:lineRule="auto"/>
        <w:rPr>
          <w:rFonts w:ascii="Century Schoolbook" w:hAnsi="Century Schoolbook"/>
        </w:rPr>
      </w:pPr>
      <w:r w:rsidRPr="00AD7DA6">
        <w:rPr>
          <w:rFonts w:ascii="Century Schoolbook" w:hAnsi="Century Schoolbook"/>
        </w:rPr>
        <w:tab/>
        <w:t xml:space="preserve">In </w:t>
      </w:r>
      <w:proofErr w:type="spellStart"/>
      <w:r w:rsidRPr="00AD7DA6">
        <w:rPr>
          <w:rFonts w:ascii="Century Schoolbook" w:hAnsi="Century Schoolbook"/>
          <w:i/>
        </w:rPr>
        <w:t>Salahutdin</w:t>
      </w:r>
      <w:proofErr w:type="spellEnd"/>
      <w:r w:rsidRPr="00AD7DA6">
        <w:rPr>
          <w:rFonts w:ascii="Century Schoolbook" w:hAnsi="Century Schoolbook"/>
          <w:i/>
        </w:rPr>
        <w:t xml:space="preserve"> v. Valley of California, Inc.</w:t>
      </w:r>
      <w:r w:rsidRPr="00AD7DA6">
        <w:rPr>
          <w:rFonts w:ascii="Century Schoolbook" w:hAnsi="Century Schoolbook"/>
        </w:rPr>
        <w:t xml:space="preserve"> (1994) 24 Cal.App.4th 555, our </w:t>
      </w:r>
      <w:r w:rsidR="0090715A" w:rsidRPr="00AD7DA6">
        <w:rPr>
          <w:rFonts w:ascii="Century Schoolbook" w:hAnsi="Century Schoolbook"/>
        </w:rPr>
        <w:t>colleagues</w:t>
      </w:r>
      <w:r w:rsidRPr="00AD7DA6">
        <w:rPr>
          <w:rFonts w:ascii="Century Schoolbook" w:hAnsi="Century Schoolbook"/>
        </w:rPr>
        <w:t xml:space="preserve"> in Division Two affirmed an award of benefit-of-the-bargain damages against a fiduciary in a real estate fraud action.  The court conc</w:t>
      </w:r>
      <w:r w:rsidR="00D716AF" w:rsidRPr="00AD7DA6">
        <w:rPr>
          <w:rFonts w:ascii="Century Schoolbook" w:hAnsi="Century Schoolbook"/>
        </w:rPr>
        <w:t>l</w:t>
      </w:r>
      <w:r w:rsidRPr="00AD7DA6">
        <w:rPr>
          <w:rFonts w:ascii="Century Schoolbook" w:hAnsi="Century Schoolbook"/>
        </w:rPr>
        <w:t xml:space="preserve">uded </w:t>
      </w:r>
      <w:r w:rsidR="00562897" w:rsidRPr="00AD7DA6">
        <w:rPr>
          <w:rFonts w:ascii="Century Schoolbook" w:hAnsi="Century Schoolbook"/>
        </w:rPr>
        <w:t xml:space="preserve">that </w:t>
      </w:r>
      <w:r w:rsidRPr="00AD7DA6">
        <w:rPr>
          <w:rFonts w:ascii="Century Schoolbook" w:hAnsi="Century Schoolbook"/>
        </w:rPr>
        <w:t xml:space="preserve">benefit-of-the-bargain damages was </w:t>
      </w:r>
      <w:r w:rsidR="00A106BF" w:rsidRPr="00AD7DA6">
        <w:rPr>
          <w:rFonts w:ascii="Century Schoolbook" w:hAnsi="Century Schoolbook"/>
        </w:rPr>
        <w:t xml:space="preserve">an </w:t>
      </w:r>
      <w:r w:rsidR="0037208C" w:rsidRPr="00AD7DA6">
        <w:rPr>
          <w:rFonts w:ascii="Century Schoolbook" w:hAnsi="Century Schoolbook"/>
        </w:rPr>
        <w:t xml:space="preserve">appropriate </w:t>
      </w:r>
      <w:r w:rsidR="00A106BF" w:rsidRPr="00AD7DA6">
        <w:rPr>
          <w:rFonts w:ascii="Century Schoolbook" w:hAnsi="Century Schoolbook"/>
        </w:rPr>
        <w:t xml:space="preserve">remedy </w:t>
      </w:r>
      <w:r w:rsidRPr="00AD7DA6">
        <w:rPr>
          <w:rFonts w:ascii="Century Schoolbook" w:hAnsi="Century Schoolbook"/>
        </w:rPr>
        <w:t>under Civil Code sections 1709 and 3333 based on the “</w:t>
      </w:r>
      <w:r w:rsidR="00F71659" w:rsidRPr="00AD7DA6">
        <w:rPr>
          <w:rFonts w:ascii="Century Schoolbook" w:hAnsi="Century Schoolbook"/>
        </w:rPr>
        <w:t> </w:t>
      </w:r>
      <w:r w:rsidRPr="00AD7DA6">
        <w:rPr>
          <w:rFonts w:ascii="Century Schoolbook" w:hAnsi="Century Schoolbook"/>
        </w:rPr>
        <w:t>‘</w:t>
      </w:r>
      <w:r w:rsidR="00F71659" w:rsidRPr="00AD7DA6">
        <w:rPr>
          <w:rFonts w:ascii="Century Schoolbook" w:hAnsi="Century Schoolbook"/>
        </w:rPr>
        <w:t> </w:t>
      </w:r>
      <w:r w:rsidRPr="00AD7DA6">
        <w:rPr>
          <w:rFonts w:ascii="Century Schoolbook" w:hAnsi="Century Schoolbook"/>
        </w:rPr>
        <w:t xml:space="preserve">“determination that </w:t>
      </w:r>
      <w:r w:rsidRPr="00AD7DA6">
        <w:rPr>
          <w:rFonts w:ascii="Century Schoolbook" w:hAnsi="Century Schoolbook"/>
          <w:i/>
          <w:iCs/>
        </w:rPr>
        <w:t>the faithless fiduciary shall make good the full amount of the loss of which his breach of faith is a cause</w:t>
      </w:r>
      <w:r w:rsidRPr="00AD7DA6">
        <w:rPr>
          <w:rFonts w:ascii="Century Schoolbook" w:hAnsi="Century Schoolbook"/>
        </w:rPr>
        <w:t>.”</w:t>
      </w:r>
      <w:r w:rsidR="0020256A" w:rsidRPr="00AD7DA6">
        <w:rPr>
          <w:rFonts w:ascii="Century Schoolbook" w:hAnsi="Century Schoolbook"/>
        </w:rPr>
        <w:t> </w:t>
      </w:r>
      <w:r w:rsidRPr="00AD7DA6">
        <w:rPr>
          <w:rFonts w:ascii="Century Schoolbook" w:hAnsi="Century Schoolbook"/>
        </w:rPr>
        <w:t>’</w:t>
      </w:r>
      <w:r w:rsidR="0020256A" w:rsidRPr="00AD7DA6">
        <w:rPr>
          <w:rFonts w:ascii="Century Schoolbook" w:hAnsi="Century Schoolbook"/>
        </w:rPr>
        <w:t> </w:t>
      </w:r>
      <w:r w:rsidRPr="00AD7DA6">
        <w:rPr>
          <w:rFonts w:ascii="Century Schoolbook" w:hAnsi="Century Schoolbook"/>
        </w:rPr>
        <w:t>”  (</w:t>
      </w:r>
      <w:proofErr w:type="spellStart"/>
      <w:r w:rsidRPr="00AD7DA6">
        <w:rPr>
          <w:rFonts w:ascii="Century Schoolbook" w:hAnsi="Century Schoolbook"/>
          <w:i/>
        </w:rPr>
        <w:t>Salahutdin</w:t>
      </w:r>
      <w:proofErr w:type="spellEnd"/>
      <w:r w:rsidRPr="00AD7DA6">
        <w:rPr>
          <w:rFonts w:ascii="Century Schoolbook" w:hAnsi="Century Schoolbook"/>
          <w:i/>
        </w:rPr>
        <w:t xml:space="preserve">, </w:t>
      </w:r>
      <w:r w:rsidRPr="00AD7DA6">
        <w:rPr>
          <w:rFonts w:ascii="Century Schoolbook" w:hAnsi="Century Schoolbook"/>
        </w:rPr>
        <w:t>at p. 567</w:t>
      </w:r>
      <w:r w:rsidR="00AF21B7" w:rsidRPr="00AD7DA6">
        <w:rPr>
          <w:rFonts w:ascii="Century Schoolbook" w:hAnsi="Century Schoolbook"/>
        </w:rPr>
        <w:t xml:space="preserve">; see </w:t>
      </w:r>
      <w:proofErr w:type="spellStart"/>
      <w:r w:rsidR="002727C2" w:rsidRPr="00AD7DA6">
        <w:rPr>
          <w:rFonts w:ascii="Century Schoolbook" w:hAnsi="Century Schoolbook"/>
          <w:i/>
          <w:iCs/>
        </w:rPr>
        <w:t>Pepitone</w:t>
      </w:r>
      <w:proofErr w:type="spellEnd"/>
      <w:r w:rsidR="002727C2" w:rsidRPr="00AD7DA6">
        <w:rPr>
          <w:rFonts w:ascii="Century Schoolbook" w:hAnsi="Century Schoolbook"/>
          <w:i/>
          <w:iCs/>
        </w:rPr>
        <w:t xml:space="preserve"> v. Russo</w:t>
      </w:r>
      <w:r w:rsidR="002727C2" w:rsidRPr="00AD7DA6">
        <w:rPr>
          <w:rFonts w:ascii="Century Schoolbook" w:hAnsi="Century Schoolbook"/>
        </w:rPr>
        <w:t xml:space="preserve"> (1976) 64 Cal.App.3d 685, </w:t>
      </w:r>
      <w:r w:rsidR="00E23686" w:rsidRPr="00AD7DA6">
        <w:rPr>
          <w:rFonts w:ascii="Century Schoolbook" w:hAnsi="Century Schoolbook"/>
        </w:rPr>
        <w:t xml:space="preserve">689 </w:t>
      </w:r>
      <w:r w:rsidR="0088500F" w:rsidRPr="00AD7DA6">
        <w:rPr>
          <w:rFonts w:ascii="Century Schoolbook" w:hAnsi="Century Schoolbook"/>
        </w:rPr>
        <w:t>(</w:t>
      </w:r>
      <w:proofErr w:type="spellStart"/>
      <w:r w:rsidR="0088500F" w:rsidRPr="00AD7DA6">
        <w:rPr>
          <w:rFonts w:ascii="Century Schoolbook" w:hAnsi="Century Schoolbook"/>
          <w:i/>
          <w:iCs/>
        </w:rPr>
        <w:t>Pepitone</w:t>
      </w:r>
      <w:proofErr w:type="spellEnd"/>
      <w:r w:rsidR="0088500F" w:rsidRPr="00AD7DA6">
        <w:rPr>
          <w:rFonts w:ascii="Century Schoolbook" w:hAnsi="Century Schoolbook"/>
        </w:rPr>
        <w:t xml:space="preserve">) </w:t>
      </w:r>
      <w:r w:rsidR="00E23686" w:rsidRPr="00AD7DA6">
        <w:rPr>
          <w:rFonts w:ascii="Century Schoolbook" w:hAnsi="Century Schoolbook"/>
        </w:rPr>
        <w:t>[</w:t>
      </w:r>
      <w:r w:rsidR="00A7170A" w:rsidRPr="00AD7DA6">
        <w:rPr>
          <w:rFonts w:ascii="Century Schoolbook" w:hAnsi="Century Schoolbook"/>
        </w:rPr>
        <w:t xml:space="preserve">holding that “the measure of damages </w:t>
      </w:r>
      <w:r w:rsidR="00EE6381" w:rsidRPr="00AD7DA6">
        <w:rPr>
          <w:rFonts w:ascii="Century Schoolbook" w:hAnsi="Century Schoolbook"/>
        </w:rPr>
        <w:t>provided by [</w:t>
      </w:r>
      <w:r w:rsidR="00F71659" w:rsidRPr="00AD7DA6">
        <w:rPr>
          <w:rFonts w:ascii="Century Schoolbook" w:hAnsi="Century Schoolbook"/>
        </w:rPr>
        <w:t>Civ</w:t>
      </w:r>
      <w:r w:rsidR="006E0374">
        <w:rPr>
          <w:rFonts w:ascii="Century Schoolbook" w:hAnsi="Century Schoolbook"/>
        </w:rPr>
        <w:t>il</w:t>
      </w:r>
      <w:r w:rsidR="00F71659" w:rsidRPr="00AD7DA6">
        <w:rPr>
          <w:rFonts w:ascii="Century Schoolbook" w:hAnsi="Century Schoolbook"/>
        </w:rPr>
        <w:t xml:space="preserve"> Code</w:t>
      </w:r>
      <w:r w:rsidR="006E0374">
        <w:rPr>
          <w:rFonts w:ascii="Century Schoolbook" w:hAnsi="Century Schoolbook"/>
        </w:rPr>
        <w:t xml:space="preserve"> sections</w:t>
      </w:r>
      <w:r w:rsidR="00EE6381" w:rsidRPr="00AD7DA6">
        <w:rPr>
          <w:rFonts w:ascii="Century Schoolbook" w:hAnsi="Century Schoolbook"/>
        </w:rPr>
        <w:t xml:space="preserve"> 1709 </w:t>
      </w:r>
      <w:r w:rsidR="006E0374">
        <w:rPr>
          <w:rFonts w:ascii="Century Schoolbook" w:hAnsi="Century Schoolbook"/>
        </w:rPr>
        <w:t>and</w:t>
      </w:r>
      <w:r w:rsidR="00EE6381" w:rsidRPr="00AD7DA6">
        <w:rPr>
          <w:rFonts w:ascii="Century Schoolbook" w:hAnsi="Century Schoolbook"/>
        </w:rPr>
        <w:t xml:space="preserve"> 3333] is substantially the same </w:t>
      </w:r>
      <w:r w:rsidR="006E7C8D" w:rsidRPr="00AD7DA6">
        <w:rPr>
          <w:rFonts w:ascii="Century Schoolbook" w:hAnsi="Century Schoolbook"/>
        </w:rPr>
        <w:t xml:space="preserve">as that for breach of contract prescribed by </w:t>
      </w:r>
      <w:r w:rsidR="00AB3FCE" w:rsidRPr="00AD7DA6">
        <w:rPr>
          <w:rFonts w:ascii="Century Schoolbook" w:hAnsi="Century Schoolbook"/>
        </w:rPr>
        <w:t>[</w:t>
      </w:r>
      <w:r w:rsidR="00F71659" w:rsidRPr="00AD7DA6">
        <w:rPr>
          <w:rFonts w:ascii="Century Schoolbook" w:hAnsi="Century Schoolbook"/>
        </w:rPr>
        <w:t>Civ</w:t>
      </w:r>
      <w:r w:rsidR="007D40E6" w:rsidRPr="00AD7DA6">
        <w:rPr>
          <w:rFonts w:ascii="Century Schoolbook" w:hAnsi="Century Schoolbook"/>
        </w:rPr>
        <w:t>il</w:t>
      </w:r>
      <w:r w:rsidR="00F71659" w:rsidRPr="00AD7DA6">
        <w:rPr>
          <w:rFonts w:ascii="Century Schoolbook" w:hAnsi="Century Schoolbook"/>
        </w:rPr>
        <w:t xml:space="preserve"> Code</w:t>
      </w:r>
      <w:r w:rsidR="005D12B6" w:rsidRPr="00AD7DA6">
        <w:rPr>
          <w:rFonts w:ascii="Century Schoolbook" w:hAnsi="Century Schoolbook"/>
        </w:rPr>
        <w:t>]</w:t>
      </w:r>
      <w:r w:rsidR="00F71659" w:rsidRPr="00AD7DA6">
        <w:rPr>
          <w:rFonts w:ascii="Century Schoolbook" w:hAnsi="Century Schoolbook"/>
        </w:rPr>
        <w:t xml:space="preserve"> </w:t>
      </w:r>
      <w:r w:rsidR="005D12B6" w:rsidRPr="00AD7DA6">
        <w:rPr>
          <w:rFonts w:ascii="Century Schoolbook" w:hAnsi="Century Schoolbook"/>
        </w:rPr>
        <w:t xml:space="preserve">section </w:t>
      </w:r>
      <w:r w:rsidR="006E7C8D" w:rsidRPr="00AD7DA6">
        <w:rPr>
          <w:rFonts w:ascii="Century Schoolbook" w:hAnsi="Century Schoolbook"/>
        </w:rPr>
        <w:t>33</w:t>
      </w:r>
      <w:r w:rsidR="007D40E6" w:rsidRPr="00AD7DA6">
        <w:rPr>
          <w:rFonts w:ascii="Century Schoolbook" w:hAnsi="Century Schoolbook"/>
        </w:rPr>
        <w:t>00</w:t>
      </w:r>
      <w:r w:rsidR="006E7C8D" w:rsidRPr="00AD7DA6">
        <w:rPr>
          <w:rFonts w:ascii="Century Schoolbook" w:hAnsi="Century Schoolbook"/>
        </w:rPr>
        <w:t xml:space="preserve">; </w:t>
      </w:r>
      <w:r w:rsidR="00FE217C" w:rsidRPr="00AD7DA6">
        <w:rPr>
          <w:rFonts w:ascii="Century Schoolbook" w:hAnsi="Century Schoolbook"/>
        </w:rPr>
        <w:t xml:space="preserve">i.e., it tends to give the injured party the </w:t>
      </w:r>
      <w:r w:rsidR="00FE217C" w:rsidRPr="00AD7DA6">
        <w:rPr>
          <w:rFonts w:ascii="Century Schoolbook" w:hAnsi="Century Schoolbook"/>
          <w:i/>
          <w:iCs/>
        </w:rPr>
        <w:t xml:space="preserve">benefit of his bargain and insofar as possible to place him in the same position </w:t>
      </w:r>
      <w:r w:rsidR="00562897" w:rsidRPr="00AD7DA6">
        <w:rPr>
          <w:rFonts w:ascii="Century Schoolbook" w:hAnsi="Century Schoolbook"/>
          <w:i/>
          <w:iCs/>
        </w:rPr>
        <w:t>he would have been had the promisor performed the contract</w:t>
      </w:r>
      <w:r w:rsidR="00562897" w:rsidRPr="00AD7DA6">
        <w:rPr>
          <w:rFonts w:ascii="Century Schoolbook" w:hAnsi="Century Schoolbook"/>
        </w:rPr>
        <w:t>.”]</w:t>
      </w:r>
      <w:r w:rsidR="00DC3983" w:rsidRPr="00AD7DA6">
        <w:rPr>
          <w:rFonts w:ascii="Century Schoolbook" w:hAnsi="Century Schoolbook"/>
        </w:rPr>
        <w:t>.)</w:t>
      </w:r>
    </w:p>
    <w:p w14:paraId="0F7802CB" w14:textId="3FB378CF" w:rsidR="00072D47" w:rsidRPr="00AD7DA6" w:rsidRDefault="00DA77C2" w:rsidP="00DA77C2">
      <w:pPr>
        <w:spacing w:line="360" w:lineRule="auto"/>
        <w:rPr>
          <w:rFonts w:ascii="Century Schoolbook" w:hAnsi="Century Schoolbook"/>
        </w:rPr>
      </w:pPr>
      <w:r w:rsidRPr="00AD7DA6">
        <w:rPr>
          <w:rFonts w:ascii="Century Schoolbook" w:hAnsi="Century Schoolbook"/>
        </w:rPr>
        <w:lastRenderedPageBreak/>
        <w:tab/>
        <w:t xml:space="preserve">Contrary to </w:t>
      </w:r>
      <w:proofErr w:type="spellStart"/>
      <w:r w:rsidRPr="00AD7DA6">
        <w:rPr>
          <w:rFonts w:ascii="Century Schoolbook" w:hAnsi="Century Schoolbook"/>
        </w:rPr>
        <w:t>Teed’s</w:t>
      </w:r>
      <w:proofErr w:type="spellEnd"/>
      <w:r w:rsidRPr="00AD7DA6">
        <w:rPr>
          <w:rFonts w:ascii="Century Schoolbook" w:hAnsi="Century Schoolbook"/>
        </w:rPr>
        <w:t xml:space="preserve"> assertion on appeal, </w:t>
      </w:r>
      <w:r w:rsidRPr="00AD7DA6">
        <w:rPr>
          <w:rFonts w:ascii="Century Schoolbook" w:hAnsi="Century Schoolbook"/>
          <w:i/>
        </w:rPr>
        <w:t>Alliance Mortgage</w:t>
      </w:r>
      <w:r w:rsidRPr="00AD7DA6">
        <w:rPr>
          <w:rFonts w:ascii="Century Schoolbook" w:hAnsi="Century Schoolbook"/>
        </w:rPr>
        <w:t xml:space="preserve"> did not disapprove </w:t>
      </w:r>
      <w:proofErr w:type="spellStart"/>
      <w:r w:rsidRPr="00AD7DA6">
        <w:rPr>
          <w:rFonts w:ascii="Century Schoolbook" w:hAnsi="Century Schoolbook"/>
          <w:i/>
        </w:rPr>
        <w:t>Salahutdin</w:t>
      </w:r>
      <w:proofErr w:type="spellEnd"/>
      <w:r w:rsidRPr="00AD7DA6">
        <w:rPr>
          <w:rFonts w:ascii="Century Schoolbook" w:hAnsi="Century Schoolbook"/>
          <w:i/>
        </w:rPr>
        <w:t xml:space="preserve">. </w:t>
      </w:r>
      <w:r w:rsidRPr="00AD7DA6">
        <w:rPr>
          <w:rFonts w:ascii="Century Schoolbook" w:hAnsi="Century Schoolbook"/>
        </w:rPr>
        <w:t xml:space="preserve"> The question before the high court was whether </w:t>
      </w:r>
      <w:r w:rsidR="002D7243" w:rsidRPr="00AD7DA6">
        <w:rPr>
          <w:rFonts w:ascii="Century Schoolbook" w:hAnsi="Century Schoolbook"/>
        </w:rPr>
        <w:t>a real estate lende</w:t>
      </w:r>
      <w:r w:rsidR="00FF74F5" w:rsidRPr="00AD7DA6">
        <w:rPr>
          <w:rFonts w:ascii="Century Schoolbook" w:hAnsi="Century Schoolbook"/>
        </w:rPr>
        <w:t>r</w:t>
      </w:r>
      <w:r w:rsidR="002A53D1" w:rsidRPr="00AD7DA6">
        <w:rPr>
          <w:rFonts w:ascii="Century Schoolbook" w:hAnsi="Century Schoolbook"/>
        </w:rPr>
        <w:t xml:space="preserve">’s </w:t>
      </w:r>
      <w:r w:rsidR="00CA70EA" w:rsidRPr="00AD7DA6">
        <w:rPr>
          <w:rFonts w:ascii="Century Schoolbook" w:hAnsi="Century Schoolbook"/>
        </w:rPr>
        <w:t xml:space="preserve">full credit bid at a nonjudicial foreclosure sale barred the lender from </w:t>
      </w:r>
      <w:r w:rsidR="003907CC" w:rsidRPr="00AD7DA6">
        <w:rPr>
          <w:rFonts w:ascii="Century Schoolbook" w:hAnsi="Century Schoolbook"/>
        </w:rPr>
        <w:t>pursuing a</w:t>
      </w:r>
      <w:r w:rsidR="00CA70EA" w:rsidRPr="00AD7DA6">
        <w:rPr>
          <w:rFonts w:ascii="Century Schoolbook" w:hAnsi="Century Schoolbook"/>
        </w:rPr>
        <w:t xml:space="preserve"> </w:t>
      </w:r>
      <w:r w:rsidR="006E17D3" w:rsidRPr="00AD7DA6">
        <w:rPr>
          <w:rFonts w:ascii="Century Schoolbook" w:hAnsi="Century Schoolbook"/>
        </w:rPr>
        <w:t xml:space="preserve">separate </w:t>
      </w:r>
      <w:r w:rsidR="00345DD5" w:rsidRPr="00AD7DA6">
        <w:rPr>
          <w:rFonts w:ascii="Century Schoolbook" w:hAnsi="Century Schoolbook"/>
        </w:rPr>
        <w:t xml:space="preserve">fraud action against third party fiduciaries that induced the </w:t>
      </w:r>
      <w:r w:rsidR="00CE4230" w:rsidRPr="00AD7DA6">
        <w:rPr>
          <w:rFonts w:ascii="Century Schoolbook" w:hAnsi="Century Schoolbook"/>
        </w:rPr>
        <w:t xml:space="preserve">lender to make the loans. </w:t>
      </w:r>
      <w:r w:rsidRPr="00AD7DA6">
        <w:rPr>
          <w:rFonts w:ascii="Century Schoolbook" w:hAnsi="Century Schoolbook"/>
        </w:rPr>
        <w:t xml:space="preserve"> (</w:t>
      </w:r>
      <w:r w:rsidRPr="00AD7DA6">
        <w:rPr>
          <w:rFonts w:ascii="Century Schoolbook" w:hAnsi="Century Schoolbook"/>
          <w:i/>
        </w:rPr>
        <w:t xml:space="preserve">Alliance Mortgage, supra, </w:t>
      </w:r>
      <w:r w:rsidRPr="00AD7DA6">
        <w:rPr>
          <w:rFonts w:ascii="Century Schoolbook" w:hAnsi="Century Schoolbook"/>
        </w:rPr>
        <w:t>10</w:t>
      </w:r>
      <w:r w:rsidR="00B84B75" w:rsidRPr="00AD7DA6">
        <w:rPr>
          <w:rFonts w:ascii="Century Schoolbook" w:hAnsi="Century Schoolbook"/>
        </w:rPr>
        <w:t> </w:t>
      </w:r>
      <w:r w:rsidRPr="00AD7DA6">
        <w:rPr>
          <w:rFonts w:ascii="Century Schoolbook" w:hAnsi="Century Schoolbook"/>
        </w:rPr>
        <w:t xml:space="preserve">Cal.4th at pp. </w:t>
      </w:r>
      <w:r w:rsidR="00A31808" w:rsidRPr="00AD7DA6">
        <w:rPr>
          <w:rFonts w:ascii="Century Schoolbook" w:hAnsi="Century Schoolbook"/>
        </w:rPr>
        <w:t>12</w:t>
      </w:r>
      <w:r w:rsidR="00A61AEB" w:rsidRPr="00AD7DA6">
        <w:rPr>
          <w:rFonts w:ascii="Century Schoolbook" w:hAnsi="Century Schoolbook"/>
        </w:rPr>
        <w:t>41</w:t>
      </w:r>
      <w:r w:rsidR="00F71659" w:rsidRPr="00AD7DA6">
        <w:rPr>
          <w:rFonts w:ascii="Century Schoolbook" w:hAnsi="Century Schoolbook"/>
        </w:rPr>
        <w:t>–</w:t>
      </w:r>
      <w:r w:rsidR="00A61AEB" w:rsidRPr="00AD7DA6">
        <w:rPr>
          <w:rFonts w:ascii="Century Schoolbook" w:hAnsi="Century Schoolbook"/>
        </w:rPr>
        <w:t>1242</w:t>
      </w:r>
      <w:r w:rsidRPr="00AD7DA6">
        <w:rPr>
          <w:rFonts w:ascii="Century Schoolbook" w:hAnsi="Century Schoolbook"/>
        </w:rPr>
        <w:t xml:space="preserve">.)  </w:t>
      </w:r>
      <w:r w:rsidR="009E19B7" w:rsidRPr="00AD7DA6">
        <w:rPr>
          <w:rFonts w:ascii="Century Schoolbook" w:hAnsi="Century Schoolbook"/>
        </w:rPr>
        <w:t xml:space="preserve">After noting </w:t>
      </w:r>
      <w:proofErr w:type="spellStart"/>
      <w:r w:rsidR="00C91DFD" w:rsidRPr="00AD7DA6">
        <w:rPr>
          <w:rFonts w:ascii="Century Schoolbook" w:hAnsi="Century Schoolbook"/>
          <w:i/>
          <w:iCs/>
        </w:rPr>
        <w:t>Salahutdi</w:t>
      </w:r>
      <w:r w:rsidR="00E96C7C" w:rsidRPr="00AD7DA6">
        <w:rPr>
          <w:rFonts w:ascii="Century Schoolbook" w:hAnsi="Century Schoolbook"/>
          <w:i/>
          <w:iCs/>
        </w:rPr>
        <w:t>n</w:t>
      </w:r>
      <w:r w:rsidR="00FB2B6E" w:rsidRPr="00AD7DA6">
        <w:rPr>
          <w:rFonts w:ascii="Century Schoolbook" w:hAnsi="Century Schoolbook"/>
        </w:rPr>
        <w:t>’s</w:t>
      </w:r>
      <w:proofErr w:type="spellEnd"/>
      <w:r w:rsidR="00FB2B6E" w:rsidRPr="00AD7DA6">
        <w:rPr>
          <w:rFonts w:ascii="Century Schoolbook" w:hAnsi="Century Schoolbook"/>
        </w:rPr>
        <w:t xml:space="preserve"> holding</w:t>
      </w:r>
      <w:r w:rsidR="00E96C7C" w:rsidRPr="00AD7DA6">
        <w:rPr>
          <w:rFonts w:ascii="Century Schoolbook" w:hAnsi="Century Schoolbook"/>
          <w:i/>
          <w:iCs/>
        </w:rPr>
        <w:t xml:space="preserve"> </w:t>
      </w:r>
      <w:r w:rsidR="00E96C7C" w:rsidRPr="00AD7DA6">
        <w:rPr>
          <w:rFonts w:ascii="Century Schoolbook" w:hAnsi="Century Schoolbook"/>
        </w:rPr>
        <w:t>that benefit</w:t>
      </w:r>
      <w:r w:rsidR="00500A65">
        <w:rPr>
          <w:rFonts w:ascii="Century Schoolbook" w:hAnsi="Century Schoolbook"/>
        </w:rPr>
        <w:noBreakHyphen/>
      </w:r>
      <w:r w:rsidR="00E96C7C" w:rsidRPr="00AD7DA6">
        <w:rPr>
          <w:rFonts w:ascii="Century Schoolbook" w:hAnsi="Century Schoolbook"/>
        </w:rPr>
        <w:t xml:space="preserve">of-the-bargain damages </w:t>
      </w:r>
      <w:r w:rsidR="00B93B69" w:rsidRPr="00AD7DA6">
        <w:rPr>
          <w:rFonts w:ascii="Century Schoolbook" w:hAnsi="Century Schoolbook"/>
        </w:rPr>
        <w:t>are</w:t>
      </w:r>
      <w:r w:rsidR="00E96C7C" w:rsidRPr="00AD7DA6">
        <w:rPr>
          <w:rFonts w:ascii="Century Schoolbook" w:hAnsi="Century Schoolbook"/>
        </w:rPr>
        <w:t xml:space="preserve"> available in </w:t>
      </w:r>
      <w:r w:rsidR="001D4B2E" w:rsidRPr="00AD7DA6">
        <w:rPr>
          <w:rFonts w:ascii="Century Schoolbook" w:hAnsi="Century Schoolbook"/>
        </w:rPr>
        <w:t xml:space="preserve">claims of fraud by a fiduciary, the court cautioned that </w:t>
      </w:r>
      <w:proofErr w:type="spellStart"/>
      <w:r w:rsidR="006E2E1A" w:rsidRPr="00AD7DA6">
        <w:rPr>
          <w:rFonts w:ascii="Century Schoolbook" w:hAnsi="Century Schoolbook"/>
          <w:i/>
          <w:iCs/>
        </w:rPr>
        <w:t>Salahutdin</w:t>
      </w:r>
      <w:proofErr w:type="spellEnd"/>
      <w:r w:rsidR="006E2E1A" w:rsidRPr="00AD7DA6">
        <w:rPr>
          <w:rFonts w:ascii="Century Schoolbook" w:hAnsi="Century Schoolbook"/>
        </w:rPr>
        <w:t xml:space="preserve"> involved </w:t>
      </w:r>
      <w:r w:rsidR="00117033" w:rsidRPr="00AD7DA6">
        <w:rPr>
          <w:rFonts w:ascii="Century Schoolbook" w:hAnsi="Century Schoolbook"/>
        </w:rPr>
        <w:t xml:space="preserve">claims </w:t>
      </w:r>
      <w:r w:rsidR="00EF435F" w:rsidRPr="00AD7DA6">
        <w:rPr>
          <w:rFonts w:ascii="Century Schoolbook" w:hAnsi="Century Schoolbook"/>
        </w:rPr>
        <w:t xml:space="preserve">of a fiduciary’s </w:t>
      </w:r>
      <w:r w:rsidR="00EF435F" w:rsidRPr="00AD7DA6">
        <w:rPr>
          <w:rFonts w:ascii="Century Schoolbook" w:hAnsi="Century Schoolbook"/>
          <w:i/>
          <w:iCs/>
        </w:rPr>
        <w:t>negligent</w:t>
      </w:r>
      <w:r w:rsidR="00EF435F" w:rsidRPr="00AD7DA6">
        <w:rPr>
          <w:rFonts w:ascii="Century Schoolbook" w:hAnsi="Century Schoolbook"/>
        </w:rPr>
        <w:t xml:space="preserve"> misrepresentation</w:t>
      </w:r>
      <w:r w:rsidR="007C774D" w:rsidRPr="00AD7DA6">
        <w:rPr>
          <w:rFonts w:ascii="Century Schoolbook" w:hAnsi="Century Schoolbook"/>
        </w:rPr>
        <w:t xml:space="preserve">, </w:t>
      </w:r>
      <w:r w:rsidR="00BD62D9" w:rsidRPr="00AD7DA6">
        <w:rPr>
          <w:rFonts w:ascii="Century Schoolbook" w:hAnsi="Century Schoolbook"/>
        </w:rPr>
        <w:t>and in s</w:t>
      </w:r>
      <w:r w:rsidR="004876DC" w:rsidRPr="00AD7DA6">
        <w:rPr>
          <w:rFonts w:ascii="Century Schoolbook" w:hAnsi="Century Schoolbook"/>
        </w:rPr>
        <w:t xml:space="preserve">uch circumstances “a plaintiff is only entitled to its actual </w:t>
      </w:r>
      <w:r w:rsidRPr="00AD7DA6">
        <w:rPr>
          <w:rFonts w:ascii="Century Schoolbook" w:hAnsi="Century Schoolbook"/>
        </w:rPr>
        <w:t xml:space="preserve">or ‘out-of-pocket’ losses suffered because of fiduciary’s negligent misrepresentation </w:t>
      </w:r>
      <w:r w:rsidR="00297C2C" w:rsidRPr="00AD7DA6">
        <w:rPr>
          <w:rFonts w:ascii="Century Schoolbook" w:hAnsi="Century Schoolbook"/>
        </w:rPr>
        <w:t xml:space="preserve">under </w:t>
      </w:r>
      <w:r w:rsidR="00A63C1B" w:rsidRPr="00AD7DA6">
        <w:rPr>
          <w:rFonts w:ascii="Century Schoolbook" w:hAnsi="Century Schoolbook"/>
        </w:rPr>
        <w:t xml:space="preserve">[Civil Code] </w:t>
      </w:r>
      <w:r w:rsidR="00297C2C" w:rsidRPr="00AD7DA6">
        <w:rPr>
          <w:rFonts w:ascii="Century Schoolbook" w:hAnsi="Century Schoolbook"/>
        </w:rPr>
        <w:t>section 3333.</w:t>
      </w:r>
      <w:r w:rsidRPr="00AD7DA6">
        <w:rPr>
          <w:rFonts w:ascii="Century Schoolbook" w:hAnsi="Century Schoolbook"/>
        </w:rPr>
        <w:t xml:space="preserve">”  </w:t>
      </w:r>
      <w:r w:rsidR="0069353D" w:rsidRPr="00AD7DA6">
        <w:rPr>
          <w:rFonts w:ascii="Century Schoolbook" w:hAnsi="Century Schoolbook"/>
        </w:rPr>
        <w:t>(</w:t>
      </w:r>
      <w:r w:rsidR="00F71659" w:rsidRPr="00AD7DA6">
        <w:rPr>
          <w:rFonts w:ascii="Century Schoolbook" w:hAnsi="Century Schoolbook"/>
          <w:i/>
          <w:iCs/>
        </w:rPr>
        <w:t>Alliance Mortgage</w:t>
      </w:r>
      <w:r w:rsidR="00F71659" w:rsidRPr="00AD7DA6">
        <w:rPr>
          <w:rFonts w:ascii="Century Schoolbook" w:hAnsi="Century Schoolbook"/>
        </w:rPr>
        <w:t>,</w:t>
      </w:r>
      <w:r w:rsidR="0069353D" w:rsidRPr="00AD7DA6">
        <w:rPr>
          <w:rFonts w:ascii="Century Schoolbook" w:hAnsi="Century Schoolbook"/>
        </w:rPr>
        <w:t xml:space="preserve"> at p</w:t>
      </w:r>
      <w:r w:rsidR="00734C7D" w:rsidRPr="00AD7DA6">
        <w:rPr>
          <w:rFonts w:ascii="Century Schoolbook" w:hAnsi="Century Schoolbook"/>
        </w:rPr>
        <w:t>p. 1249</w:t>
      </w:r>
      <w:r w:rsidR="00F71659" w:rsidRPr="00AD7DA6">
        <w:rPr>
          <w:rFonts w:ascii="Century Schoolbook" w:hAnsi="Century Schoolbook"/>
        </w:rPr>
        <w:t>–</w:t>
      </w:r>
      <w:r w:rsidR="00734C7D" w:rsidRPr="00AD7DA6">
        <w:rPr>
          <w:rFonts w:ascii="Century Schoolbook" w:hAnsi="Century Schoolbook"/>
        </w:rPr>
        <w:t xml:space="preserve">1250.) </w:t>
      </w:r>
      <w:r w:rsidR="000B28B4" w:rsidRPr="00AD7DA6">
        <w:rPr>
          <w:rFonts w:ascii="Century Schoolbook" w:hAnsi="Century Schoolbook"/>
        </w:rPr>
        <w:t xml:space="preserve"> </w:t>
      </w:r>
      <w:r w:rsidR="00112BBF" w:rsidRPr="00AD7DA6">
        <w:rPr>
          <w:rFonts w:ascii="Century Schoolbook" w:hAnsi="Century Schoolbook"/>
        </w:rPr>
        <w:t xml:space="preserve">As to </w:t>
      </w:r>
      <w:r w:rsidR="00B80426" w:rsidRPr="00AD7DA6">
        <w:rPr>
          <w:rFonts w:ascii="Century Schoolbook" w:hAnsi="Century Schoolbook"/>
        </w:rPr>
        <w:t>a “</w:t>
      </w:r>
      <w:r w:rsidR="009E6CDC" w:rsidRPr="00AD7DA6">
        <w:rPr>
          <w:rFonts w:ascii="Century Schoolbook" w:hAnsi="Century Schoolbook"/>
        </w:rPr>
        <w:t xml:space="preserve">fiduciary’s </w:t>
      </w:r>
      <w:r w:rsidR="009E6CDC" w:rsidRPr="00AD7DA6">
        <w:rPr>
          <w:rFonts w:ascii="Century Schoolbook" w:hAnsi="Century Schoolbook"/>
          <w:i/>
          <w:iCs/>
        </w:rPr>
        <w:t>intentional</w:t>
      </w:r>
      <w:r w:rsidR="009E6CDC" w:rsidRPr="00AD7DA6">
        <w:rPr>
          <w:rFonts w:ascii="Century Schoolbook" w:hAnsi="Century Schoolbook"/>
        </w:rPr>
        <w:t xml:space="preserve"> misrepresentation</w:t>
      </w:r>
      <w:r w:rsidR="005E5B3E" w:rsidRPr="00AD7DA6">
        <w:rPr>
          <w:rFonts w:ascii="Century Schoolbook" w:hAnsi="Century Schoolbook"/>
        </w:rPr>
        <w:t xml:space="preserve">” </w:t>
      </w:r>
      <w:r w:rsidR="00B80426" w:rsidRPr="00AD7DA6">
        <w:rPr>
          <w:rFonts w:ascii="Century Schoolbook" w:hAnsi="Century Schoolbook"/>
        </w:rPr>
        <w:t xml:space="preserve">however, the court </w:t>
      </w:r>
      <w:r w:rsidR="007878A3" w:rsidRPr="00AD7DA6">
        <w:rPr>
          <w:rFonts w:ascii="Century Schoolbook" w:hAnsi="Century Schoolbook"/>
        </w:rPr>
        <w:t>recognized</w:t>
      </w:r>
      <w:r w:rsidR="00B80426" w:rsidRPr="00AD7DA6">
        <w:rPr>
          <w:rFonts w:ascii="Century Schoolbook" w:hAnsi="Century Schoolbook"/>
        </w:rPr>
        <w:t xml:space="preserve"> that “the measure of damages under section 3333 might be greater</w:t>
      </w:r>
      <w:r w:rsidR="004E1586" w:rsidRPr="00AD7DA6">
        <w:rPr>
          <w:rFonts w:ascii="Century Schoolbook" w:hAnsi="Century Schoolbook"/>
        </w:rPr>
        <w:t xml:space="preserve">” </w:t>
      </w:r>
      <w:r w:rsidR="005E5B3E" w:rsidRPr="00AD7DA6">
        <w:rPr>
          <w:rFonts w:ascii="Century Schoolbook" w:hAnsi="Century Schoolbook"/>
        </w:rPr>
        <w:t>but left the issue for another day.  (</w:t>
      </w:r>
      <w:r w:rsidR="005E5B3E" w:rsidRPr="00AD7DA6">
        <w:rPr>
          <w:rFonts w:ascii="Century Schoolbook" w:hAnsi="Century Schoolbook"/>
          <w:i/>
          <w:iCs/>
        </w:rPr>
        <w:t>Id.</w:t>
      </w:r>
      <w:r w:rsidR="005E5B3E" w:rsidRPr="00AD7DA6">
        <w:rPr>
          <w:rFonts w:ascii="Century Schoolbook" w:hAnsi="Century Schoolbook"/>
        </w:rPr>
        <w:t xml:space="preserve"> at p. 1250.)  </w:t>
      </w:r>
      <w:r w:rsidR="00CC345C" w:rsidRPr="00AD7DA6">
        <w:rPr>
          <w:rFonts w:ascii="Century Schoolbook" w:hAnsi="Century Schoolbook"/>
        </w:rPr>
        <w:t xml:space="preserve">Far from disapproving </w:t>
      </w:r>
      <w:proofErr w:type="spellStart"/>
      <w:r w:rsidR="00CC345C" w:rsidRPr="00AD7DA6">
        <w:rPr>
          <w:rFonts w:ascii="Century Schoolbook" w:hAnsi="Century Schoolbook"/>
          <w:i/>
          <w:iCs/>
        </w:rPr>
        <w:t>Salahutdin</w:t>
      </w:r>
      <w:proofErr w:type="spellEnd"/>
      <w:r w:rsidR="00CC345C" w:rsidRPr="00AD7DA6">
        <w:rPr>
          <w:rFonts w:ascii="Century Schoolbook" w:hAnsi="Century Schoolbook"/>
        </w:rPr>
        <w:t xml:space="preserve">, </w:t>
      </w:r>
      <w:r w:rsidR="00461AE7" w:rsidRPr="00AD7DA6">
        <w:rPr>
          <w:rFonts w:ascii="Century Schoolbook" w:hAnsi="Century Schoolbook"/>
        </w:rPr>
        <w:t xml:space="preserve">the </w:t>
      </w:r>
      <w:r w:rsidR="003F0D44" w:rsidRPr="00AD7DA6">
        <w:rPr>
          <w:rFonts w:ascii="Century Schoolbook" w:hAnsi="Century Schoolbook"/>
        </w:rPr>
        <w:t>Supreme Court</w:t>
      </w:r>
      <w:r w:rsidR="00461AE7" w:rsidRPr="00AD7DA6">
        <w:rPr>
          <w:rFonts w:ascii="Century Schoolbook" w:hAnsi="Century Schoolbook"/>
        </w:rPr>
        <w:t xml:space="preserve"> </w:t>
      </w:r>
      <w:r w:rsidR="007878A3" w:rsidRPr="00AD7DA6">
        <w:rPr>
          <w:rFonts w:ascii="Century Schoolbook" w:hAnsi="Century Schoolbook"/>
        </w:rPr>
        <w:t xml:space="preserve">reaffirmed </w:t>
      </w:r>
      <w:r w:rsidR="00B7648A" w:rsidRPr="00AD7DA6">
        <w:rPr>
          <w:rFonts w:ascii="Century Schoolbook" w:hAnsi="Century Schoolbook"/>
        </w:rPr>
        <w:t xml:space="preserve">the lower court’s reasoning </w:t>
      </w:r>
      <w:r w:rsidR="00417A2D" w:rsidRPr="00AD7DA6">
        <w:rPr>
          <w:rFonts w:ascii="Century Schoolbook" w:hAnsi="Century Schoolbook"/>
        </w:rPr>
        <w:t xml:space="preserve">that </w:t>
      </w:r>
      <w:r w:rsidR="00D53A6C" w:rsidRPr="00AD7DA6">
        <w:rPr>
          <w:rFonts w:ascii="Century Schoolbook" w:hAnsi="Century Schoolbook"/>
        </w:rPr>
        <w:t xml:space="preserve">fraudulent fiduciaries may be subject to </w:t>
      </w:r>
      <w:r w:rsidR="00785CA0" w:rsidRPr="00AD7DA6">
        <w:rPr>
          <w:rFonts w:ascii="Century Schoolbook" w:hAnsi="Century Schoolbook"/>
        </w:rPr>
        <w:t xml:space="preserve">a “broader” measure of damages </w:t>
      </w:r>
      <w:r w:rsidR="00417A2D" w:rsidRPr="00AD7DA6">
        <w:rPr>
          <w:rFonts w:ascii="Century Schoolbook" w:hAnsi="Century Schoolbook"/>
        </w:rPr>
        <w:t xml:space="preserve">under </w:t>
      </w:r>
      <w:r w:rsidR="00216518" w:rsidRPr="00AD7DA6">
        <w:rPr>
          <w:rFonts w:ascii="Century Schoolbook" w:hAnsi="Century Schoolbook"/>
        </w:rPr>
        <w:t xml:space="preserve">Civil Code </w:t>
      </w:r>
      <w:r w:rsidR="00417A2D" w:rsidRPr="00AD7DA6">
        <w:rPr>
          <w:rFonts w:ascii="Century Schoolbook" w:hAnsi="Century Schoolbook"/>
        </w:rPr>
        <w:t>sections 1709 and 3333</w:t>
      </w:r>
      <w:r w:rsidR="00E25E49" w:rsidRPr="00AD7DA6">
        <w:rPr>
          <w:rFonts w:ascii="Century Schoolbook" w:hAnsi="Century Schoolbook"/>
        </w:rPr>
        <w:t xml:space="preserve">.  </w:t>
      </w:r>
      <w:r w:rsidR="00417A2D" w:rsidRPr="00AD7DA6">
        <w:rPr>
          <w:rFonts w:ascii="Century Schoolbook" w:hAnsi="Century Schoolbook"/>
        </w:rPr>
        <w:t>(</w:t>
      </w:r>
      <w:r w:rsidR="00736DBE" w:rsidRPr="00AD7DA6">
        <w:rPr>
          <w:rFonts w:ascii="Century Schoolbook" w:hAnsi="Century Schoolbook"/>
          <w:i/>
          <w:iCs/>
        </w:rPr>
        <w:t>Alliance Mortgage</w:t>
      </w:r>
      <w:r w:rsidR="00736DBE" w:rsidRPr="00AD7DA6">
        <w:rPr>
          <w:rFonts w:ascii="Century Schoolbook" w:hAnsi="Century Schoolbook"/>
        </w:rPr>
        <w:t>,</w:t>
      </w:r>
      <w:r w:rsidR="00417A2D" w:rsidRPr="00AD7DA6">
        <w:rPr>
          <w:rFonts w:ascii="Century Schoolbook" w:hAnsi="Century Schoolbook"/>
        </w:rPr>
        <w:t xml:space="preserve"> at p.</w:t>
      </w:r>
      <w:r w:rsidR="00500A65">
        <w:rPr>
          <w:rFonts w:ascii="Century Schoolbook" w:hAnsi="Century Schoolbook"/>
        </w:rPr>
        <w:t> </w:t>
      </w:r>
      <w:r w:rsidR="00417A2D" w:rsidRPr="00AD7DA6">
        <w:rPr>
          <w:rFonts w:ascii="Century Schoolbook" w:hAnsi="Century Schoolbook"/>
        </w:rPr>
        <w:t>12</w:t>
      </w:r>
      <w:r w:rsidR="00216518" w:rsidRPr="00AD7DA6">
        <w:rPr>
          <w:rFonts w:ascii="Century Schoolbook" w:hAnsi="Century Schoolbook"/>
        </w:rPr>
        <w:t xml:space="preserve">41.)  </w:t>
      </w:r>
    </w:p>
    <w:p w14:paraId="5AB8122D" w14:textId="72FEFB65" w:rsidR="00426976" w:rsidRPr="00AD7DA6" w:rsidRDefault="00DA77C2" w:rsidP="00844071">
      <w:pPr>
        <w:spacing w:line="360" w:lineRule="auto"/>
        <w:rPr>
          <w:rFonts w:ascii="Century Schoolbook" w:hAnsi="Century Schoolbook"/>
        </w:rPr>
      </w:pPr>
      <w:r w:rsidRPr="00AD7DA6">
        <w:rPr>
          <w:rFonts w:ascii="Century Schoolbook" w:hAnsi="Century Schoolbook"/>
        </w:rPr>
        <w:tab/>
      </w:r>
      <w:r w:rsidRPr="00AD7DA6">
        <w:rPr>
          <w:rFonts w:ascii="Century Schoolbook" w:hAnsi="Century Schoolbook"/>
          <w:i/>
        </w:rPr>
        <w:t>Alliance Mortgage</w:t>
      </w:r>
      <w:r w:rsidR="00570756" w:rsidRPr="00AD7DA6">
        <w:rPr>
          <w:rFonts w:ascii="Century Schoolbook" w:hAnsi="Century Schoolbook"/>
          <w:i/>
        </w:rPr>
        <w:t xml:space="preserve"> </w:t>
      </w:r>
      <w:r w:rsidR="003472F1" w:rsidRPr="00AD7DA6">
        <w:rPr>
          <w:rFonts w:ascii="Century Schoolbook" w:hAnsi="Century Schoolbook"/>
          <w:iCs/>
        </w:rPr>
        <w:t xml:space="preserve">left unresolved </w:t>
      </w:r>
      <w:r w:rsidR="001B6BFB" w:rsidRPr="00AD7DA6">
        <w:rPr>
          <w:rFonts w:ascii="Century Schoolbook" w:hAnsi="Century Schoolbook"/>
          <w:iCs/>
        </w:rPr>
        <w:t xml:space="preserve">the </w:t>
      </w:r>
      <w:r w:rsidR="00570756" w:rsidRPr="00AD7DA6">
        <w:rPr>
          <w:rFonts w:ascii="Century Schoolbook" w:hAnsi="Century Schoolbook"/>
          <w:iCs/>
        </w:rPr>
        <w:t>split of aut</w:t>
      </w:r>
      <w:r w:rsidR="00E021FF" w:rsidRPr="00AD7DA6">
        <w:rPr>
          <w:rFonts w:ascii="Century Schoolbook" w:hAnsi="Century Schoolbook"/>
          <w:iCs/>
        </w:rPr>
        <w:t xml:space="preserve">hority </w:t>
      </w:r>
      <w:r w:rsidR="002A4F1C" w:rsidRPr="00AD7DA6">
        <w:rPr>
          <w:rFonts w:ascii="Century Schoolbook" w:hAnsi="Century Schoolbook"/>
          <w:iCs/>
        </w:rPr>
        <w:t xml:space="preserve">concerning the </w:t>
      </w:r>
      <w:r w:rsidR="009A4F49" w:rsidRPr="00AD7DA6">
        <w:rPr>
          <w:rFonts w:ascii="Century Schoolbook" w:hAnsi="Century Schoolbook"/>
          <w:iCs/>
        </w:rPr>
        <w:t xml:space="preserve">appropriate </w:t>
      </w:r>
      <w:r w:rsidR="002A4F1C" w:rsidRPr="00AD7DA6">
        <w:rPr>
          <w:rFonts w:ascii="Century Schoolbook" w:hAnsi="Century Schoolbook"/>
          <w:iCs/>
        </w:rPr>
        <w:t xml:space="preserve">measure of damages </w:t>
      </w:r>
      <w:r w:rsidR="003C3A69" w:rsidRPr="00AD7DA6">
        <w:rPr>
          <w:rFonts w:ascii="Century Schoolbook" w:hAnsi="Century Schoolbook"/>
          <w:iCs/>
        </w:rPr>
        <w:t xml:space="preserve">for a fiduciary’s intentional fraud, </w:t>
      </w:r>
      <w:r w:rsidR="00C6257C" w:rsidRPr="00AD7DA6">
        <w:rPr>
          <w:rFonts w:ascii="Century Schoolbook" w:hAnsi="Century Schoolbook"/>
          <w:iCs/>
        </w:rPr>
        <w:t xml:space="preserve">and the disagreement persists.  </w:t>
      </w:r>
      <w:r w:rsidRPr="00AD7DA6">
        <w:rPr>
          <w:rFonts w:ascii="Century Schoolbook" w:hAnsi="Century Schoolbook"/>
        </w:rPr>
        <w:t xml:space="preserve">In </w:t>
      </w:r>
      <w:r w:rsidRPr="00AD7DA6">
        <w:rPr>
          <w:rFonts w:ascii="Century Schoolbook" w:hAnsi="Century Schoolbook"/>
          <w:i/>
        </w:rPr>
        <w:t xml:space="preserve">Fragale, </w:t>
      </w:r>
      <w:r w:rsidR="00196E59" w:rsidRPr="00AD7DA6">
        <w:rPr>
          <w:rFonts w:ascii="Century Schoolbook" w:hAnsi="Century Schoolbook"/>
        </w:rPr>
        <w:t xml:space="preserve">the </w:t>
      </w:r>
      <w:r w:rsidR="00A47F2D" w:rsidRPr="00AD7DA6">
        <w:rPr>
          <w:rFonts w:ascii="Century Schoolbook" w:hAnsi="Century Schoolbook"/>
        </w:rPr>
        <w:t xml:space="preserve">Second Appellate District </w:t>
      </w:r>
      <w:r w:rsidR="00196E59" w:rsidRPr="00AD7DA6">
        <w:rPr>
          <w:rFonts w:ascii="Century Schoolbook" w:hAnsi="Century Schoolbook"/>
        </w:rPr>
        <w:t>concluded that benefit-of-the-bargain damages apply in intentional fraud claims involving a fiduciary</w:t>
      </w:r>
      <w:r w:rsidR="009F7577" w:rsidRPr="00AD7DA6">
        <w:rPr>
          <w:rFonts w:ascii="Century Schoolbook" w:hAnsi="Century Schoolbook"/>
        </w:rPr>
        <w:t xml:space="preserve">, </w:t>
      </w:r>
      <w:r w:rsidR="00196E59" w:rsidRPr="00AD7DA6">
        <w:rPr>
          <w:rFonts w:ascii="Century Schoolbook" w:hAnsi="Century Schoolbook"/>
        </w:rPr>
        <w:t>observ</w:t>
      </w:r>
      <w:r w:rsidR="009F7577" w:rsidRPr="00AD7DA6">
        <w:rPr>
          <w:rFonts w:ascii="Century Schoolbook" w:hAnsi="Century Schoolbook"/>
        </w:rPr>
        <w:t>ing that</w:t>
      </w:r>
      <w:r w:rsidR="00196E59" w:rsidRPr="00AD7DA6">
        <w:rPr>
          <w:rFonts w:ascii="Century Schoolbook" w:hAnsi="Century Schoolbook"/>
        </w:rPr>
        <w:t xml:space="preserve"> “ ‘the remedy afforded by [Civil Code] sections 1709 and 3333 aims at compensation for any and all the detriment proximately caused by the breach.’ ”  (</w:t>
      </w:r>
      <w:r w:rsidR="00196E59" w:rsidRPr="00AD7DA6">
        <w:rPr>
          <w:rFonts w:ascii="Century Schoolbook" w:hAnsi="Century Schoolbook"/>
          <w:i/>
        </w:rPr>
        <w:t>Fragale,</w:t>
      </w:r>
      <w:r w:rsidR="00196E59" w:rsidRPr="00AD7DA6">
        <w:rPr>
          <w:rFonts w:ascii="Century Schoolbook" w:hAnsi="Century Schoolbook"/>
        </w:rPr>
        <w:t xml:space="preserve"> </w:t>
      </w:r>
      <w:r w:rsidR="00B758F0" w:rsidRPr="00AD7DA6">
        <w:rPr>
          <w:rFonts w:ascii="Century Schoolbook" w:hAnsi="Century Schoolbook"/>
          <w:i/>
        </w:rPr>
        <w:t>supra,</w:t>
      </w:r>
      <w:r w:rsidR="00B758F0" w:rsidRPr="00AD7DA6">
        <w:rPr>
          <w:rFonts w:ascii="Century Schoolbook" w:hAnsi="Century Schoolbook"/>
        </w:rPr>
        <w:t xml:space="preserve"> 110</w:t>
      </w:r>
      <w:r w:rsidR="00A52EE3" w:rsidRPr="00AD7DA6">
        <w:rPr>
          <w:rFonts w:ascii="Century Schoolbook" w:hAnsi="Century Schoolbook"/>
        </w:rPr>
        <w:t> </w:t>
      </w:r>
      <w:r w:rsidR="00B758F0" w:rsidRPr="00AD7DA6">
        <w:rPr>
          <w:rFonts w:ascii="Century Schoolbook" w:hAnsi="Century Schoolbook"/>
        </w:rPr>
        <w:t xml:space="preserve">Cal.App.4th </w:t>
      </w:r>
      <w:r w:rsidR="00196E59" w:rsidRPr="00AD7DA6">
        <w:rPr>
          <w:rFonts w:ascii="Century Schoolbook" w:hAnsi="Century Schoolbook"/>
        </w:rPr>
        <w:t>at p.</w:t>
      </w:r>
      <w:r w:rsidR="00500A65">
        <w:rPr>
          <w:rFonts w:ascii="Century Schoolbook" w:hAnsi="Century Schoolbook"/>
        </w:rPr>
        <w:t> </w:t>
      </w:r>
      <w:r w:rsidR="00196E59" w:rsidRPr="00AD7DA6">
        <w:rPr>
          <w:rFonts w:ascii="Century Schoolbook" w:hAnsi="Century Schoolbook"/>
        </w:rPr>
        <w:t xml:space="preserve">238.)  </w:t>
      </w:r>
      <w:r w:rsidRPr="00AD7DA6">
        <w:rPr>
          <w:rFonts w:ascii="Century Schoolbook" w:hAnsi="Century Schoolbook"/>
        </w:rPr>
        <w:t>“</w:t>
      </w:r>
      <w:r w:rsidR="00D05FF4" w:rsidRPr="00AD7DA6">
        <w:rPr>
          <w:rFonts w:ascii="Century Schoolbook" w:hAnsi="Century Schoolbook"/>
        </w:rPr>
        <w:t>T</w:t>
      </w:r>
      <w:r w:rsidRPr="00AD7DA6">
        <w:rPr>
          <w:rFonts w:ascii="Century Schoolbook" w:hAnsi="Century Schoolbook"/>
        </w:rPr>
        <w:t xml:space="preserve">he benefit-of-the-bargain measure places a defrauded plaintiff in the position he would have enjoyed had the false representation been true, </w:t>
      </w:r>
      <w:r w:rsidRPr="00AD7DA6">
        <w:rPr>
          <w:rFonts w:ascii="Century Schoolbook" w:hAnsi="Century Schoolbook"/>
        </w:rPr>
        <w:lastRenderedPageBreak/>
        <w:t>awarding him the difference in value between what he actually received and what he was fraudulently led to believe he would receive.”  (</w:t>
      </w:r>
      <w:r w:rsidR="00CB55A4" w:rsidRPr="00AD7DA6">
        <w:rPr>
          <w:rFonts w:ascii="Century Schoolbook" w:hAnsi="Century Schoolbook"/>
          <w:i/>
          <w:iCs/>
        </w:rPr>
        <w:t>Id.</w:t>
      </w:r>
      <w:r w:rsidR="00CB55A4" w:rsidRPr="00AD7DA6">
        <w:t xml:space="preserve"> at </w:t>
      </w:r>
      <w:r w:rsidRPr="00AD7DA6">
        <w:rPr>
          <w:rFonts w:ascii="Century Schoolbook" w:hAnsi="Century Schoolbook"/>
        </w:rPr>
        <w:t>p. 236</w:t>
      </w:r>
      <w:r w:rsidR="009770B3" w:rsidRPr="00AD7DA6">
        <w:rPr>
          <w:rFonts w:ascii="Century Schoolbook" w:hAnsi="Century Schoolbook"/>
        </w:rPr>
        <w:t xml:space="preserve">.)  </w:t>
      </w:r>
      <w:r w:rsidR="00945D15" w:rsidRPr="00AD7DA6">
        <w:rPr>
          <w:rFonts w:ascii="Century Schoolbook" w:hAnsi="Century Schoolbook"/>
        </w:rPr>
        <w:t xml:space="preserve">In </w:t>
      </w:r>
      <w:proofErr w:type="spellStart"/>
      <w:r w:rsidR="00945D15" w:rsidRPr="00AD7DA6">
        <w:rPr>
          <w:rFonts w:ascii="Century Schoolbook" w:hAnsi="Century Schoolbook"/>
          <w:i/>
          <w:iCs/>
        </w:rPr>
        <w:t>Strebel</w:t>
      </w:r>
      <w:proofErr w:type="spellEnd"/>
      <w:r w:rsidR="00945D15" w:rsidRPr="00AD7DA6">
        <w:rPr>
          <w:rFonts w:ascii="Century Schoolbook" w:hAnsi="Century Schoolbook"/>
          <w:i/>
          <w:iCs/>
        </w:rPr>
        <w:t xml:space="preserve"> v. </w:t>
      </w:r>
      <w:proofErr w:type="spellStart"/>
      <w:r w:rsidR="00945D15" w:rsidRPr="00AD7DA6">
        <w:rPr>
          <w:rFonts w:ascii="Century Schoolbook" w:hAnsi="Century Schoolbook"/>
          <w:i/>
          <w:iCs/>
        </w:rPr>
        <w:t>Brenlar</w:t>
      </w:r>
      <w:proofErr w:type="spellEnd"/>
      <w:r w:rsidR="00945D15" w:rsidRPr="00AD7DA6">
        <w:rPr>
          <w:rFonts w:ascii="Century Schoolbook" w:hAnsi="Century Schoolbook"/>
          <w:i/>
          <w:iCs/>
        </w:rPr>
        <w:t xml:space="preserve"> Investments, Inc.</w:t>
      </w:r>
      <w:r w:rsidR="006E0D25" w:rsidRPr="00AD7DA6">
        <w:rPr>
          <w:rFonts w:ascii="Century Schoolbook" w:hAnsi="Century Schoolbook"/>
        </w:rPr>
        <w:t xml:space="preserve"> </w:t>
      </w:r>
      <w:r w:rsidR="00945D15" w:rsidRPr="00AD7DA6">
        <w:rPr>
          <w:rFonts w:ascii="Century Schoolbook" w:hAnsi="Century Schoolbook"/>
        </w:rPr>
        <w:t>(2006) 135</w:t>
      </w:r>
      <w:r w:rsidR="006E0D25" w:rsidRPr="00AD7DA6">
        <w:rPr>
          <w:rFonts w:ascii="Century Schoolbook" w:hAnsi="Century Schoolbook"/>
        </w:rPr>
        <w:t> </w:t>
      </w:r>
      <w:r w:rsidR="00945D15" w:rsidRPr="00AD7DA6">
        <w:rPr>
          <w:rFonts w:ascii="Century Schoolbook" w:hAnsi="Century Schoolbook"/>
        </w:rPr>
        <w:t>Cal.App.4th 740,</w:t>
      </w:r>
      <w:r w:rsidR="00CF4B1B" w:rsidRPr="00AD7DA6">
        <w:rPr>
          <w:rFonts w:ascii="Century Schoolbook" w:hAnsi="Century Schoolbook"/>
        </w:rPr>
        <w:t xml:space="preserve"> </w:t>
      </w:r>
      <w:r w:rsidR="00844071" w:rsidRPr="00AD7DA6">
        <w:rPr>
          <w:rFonts w:ascii="Century Schoolbook" w:hAnsi="Century Schoolbook"/>
        </w:rPr>
        <w:t xml:space="preserve">Division Three of this court concluded that a real estate broker’s </w:t>
      </w:r>
      <w:r w:rsidR="000E0EB7" w:rsidRPr="00AD7DA6">
        <w:rPr>
          <w:rFonts w:ascii="Century Schoolbook" w:hAnsi="Century Schoolbook"/>
        </w:rPr>
        <w:t>fraudulent</w:t>
      </w:r>
      <w:r w:rsidR="00844071" w:rsidRPr="00AD7DA6">
        <w:rPr>
          <w:rFonts w:ascii="Century Schoolbook" w:hAnsi="Century Schoolbook"/>
        </w:rPr>
        <w:t xml:space="preserve"> concealment </w:t>
      </w:r>
      <w:r w:rsidR="00E30350" w:rsidRPr="00AD7DA6">
        <w:rPr>
          <w:rFonts w:ascii="Century Schoolbook" w:hAnsi="Century Schoolbook"/>
        </w:rPr>
        <w:t xml:space="preserve">of facts </w:t>
      </w:r>
      <w:r w:rsidR="00844071" w:rsidRPr="00AD7DA6">
        <w:rPr>
          <w:rFonts w:ascii="Century Schoolbook" w:hAnsi="Century Schoolbook"/>
        </w:rPr>
        <w:t>that induced his client to sell his house prematurely</w:t>
      </w:r>
      <w:r w:rsidR="005E5AE9" w:rsidRPr="00AD7DA6">
        <w:rPr>
          <w:rFonts w:ascii="Century Schoolbook" w:hAnsi="Century Schoolbook"/>
        </w:rPr>
        <w:t xml:space="preserve"> allowed for an unusual damages award</w:t>
      </w:r>
      <w:r w:rsidR="009770B3" w:rsidRPr="00AD7DA6">
        <w:rPr>
          <w:rFonts w:ascii="Century Schoolbook" w:hAnsi="Century Schoolbook"/>
        </w:rPr>
        <w:t>—</w:t>
      </w:r>
      <w:r w:rsidR="002E2C7F" w:rsidRPr="00AD7DA6">
        <w:rPr>
          <w:rFonts w:ascii="Century Schoolbook" w:hAnsi="Century Schoolbook"/>
        </w:rPr>
        <w:t xml:space="preserve">the </w:t>
      </w:r>
      <w:r w:rsidR="00BF1B4E" w:rsidRPr="00AD7DA6">
        <w:rPr>
          <w:rFonts w:ascii="Century Schoolbook" w:hAnsi="Century Schoolbook"/>
        </w:rPr>
        <w:t xml:space="preserve">loss </w:t>
      </w:r>
      <w:r w:rsidR="00D6119D" w:rsidRPr="00AD7DA6">
        <w:rPr>
          <w:rFonts w:ascii="Century Schoolbook" w:hAnsi="Century Schoolbook"/>
        </w:rPr>
        <w:t>in</w:t>
      </w:r>
      <w:r w:rsidR="00BF1B4E" w:rsidRPr="00AD7DA6">
        <w:rPr>
          <w:rFonts w:ascii="Century Schoolbook" w:hAnsi="Century Schoolbook"/>
        </w:rPr>
        <w:t xml:space="preserve"> appreciation of his home</w:t>
      </w:r>
      <w:r w:rsidR="00D6119D" w:rsidRPr="00AD7DA6">
        <w:rPr>
          <w:rFonts w:ascii="Century Schoolbook" w:hAnsi="Century Schoolbook"/>
        </w:rPr>
        <w:t xml:space="preserve"> caused by the premature sale</w:t>
      </w:r>
      <w:r w:rsidR="00C268AA" w:rsidRPr="00AD7DA6">
        <w:rPr>
          <w:rFonts w:ascii="Century Schoolbook" w:hAnsi="Century Schoolbook"/>
        </w:rPr>
        <w:t xml:space="preserve">. </w:t>
      </w:r>
      <w:r w:rsidR="009D0AB4" w:rsidRPr="00AD7DA6">
        <w:rPr>
          <w:rFonts w:ascii="Century Schoolbook" w:hAnsi="Century Schoolbook"/>
        </w:rPr>
        <w:t xml:space="preserve"> </w:t>
      </w:r>
      <w:r w:rsidR="00D732A6" w:rsidRPr="00AD7DA6">
        <w:rPr>
          <w:rFonts w:ascii="Century Schoolbook" w:hAnsi="Century Schoolbook"/>
        </w:rPr>
        <w:t>(</w:t>
      </w:r>
      <w:r w:rsidR="00D732A6" w:rsidRPr="00AD7DA6">
        <w:rPr>
          <w:rFonts w:ascii="Century Schoolbook" w:hAnsi="Century Schoolbook"/>
          <w:i/>
          <w:iCs/>
        </w:rPr>
        <w:t>Id.</w:t>
      </w:r>
      <w:r w:rsidR="00D732A6" w:rsidRPr="00AD7DA6">
        <w:rPr>
          <w:rFonts w:ascii="Century Schoolbook" w:hAnsi="Century Schoolbook"/>
        </w:rPr>
        <w:t xml:space="preserve"> at pp. 744</w:t>
      </w:r>
      <w:r w:rsidR="00622C91" w:rsidRPr="00AD7DA6">
        <w:rPr>
          <w:rFonts w:ascii="Century Schoolbook" w:hAnsi="Century Schoolbook"/>
        </w:rPr>
        <w:t>–</w:t>
      </w:r>
      <w:r w:rsidR="00D732A6" w:rsidRPr="00AD7DA6">
        <w:rPr>
          <w:rFonts w:ascii="Century Schoolbook" w:hAnsi="Century Schoolbook"/>
        </w:rPr>
        <w:t>745.)</w:t>
      </w:r>
      <w:r w:rsidR="008A6B44" w:rsidRPr="00AD7DA6">
        <w:rPr>
          <w:rFonts w:ascii="Century Schoolbook" w:hAnsi="Century Schoolbook"/>
        </w:rPr>
        <w:t xml:space="preserve">  </w:t>
      </w:r>
      <w:r w:rsidR="00D4695F" w:rsidRPr="00AD7DA6">
        <w:rPr>
          <w:rFonts w:ascii="Century Schoolbook" w:hAnsi="Century Schoolbook"/>
        </w:rPr>
        <w:t xml:space="preserve">The </w:t>
      </w:r>
      <w:r w:rsidR="00985D80" w:rsidRPr="00AD7DA6">
        <w:rPr>
          <w:rFonts w:ascii="Century Schoolbook" w:hAnsi="Century Schoolbook"/>
        </w:rPr>
        <w:t xml:space="preserve">court </w:t>
      </w:r>
      <w:r w:rsidR="00CA36F1" w:rsidRPr="00AD7DA6">
        <w:rPr>
          <w:rFonts w:ascii="Century Schoolbook" w:hAnsi="Century Schoolbook"/>
        </w:rPr>
        <w:t>reasoned</w:t>
      </w:r>
      <w:r w:rsidR="00985D80" w:rsidRPr="00AD7DA6">
        <w:rPr>
          <w:rFonts w:ascii="Century Schoolbook" w:hAnsi="Century Schoolbook"/>
        </w:rPr>
        <w:t xml:space="preserve"> that</w:t>
      </w:r>
      <w:r w:rsidR="00BC1E1F" w:rsidRPr="00AD7DA6">
        <w:rPr>
          <w:rFonts w:ascii="Century Schoolbook" w:hAnsi="Century Schoolbook"/>
        </w:rPr>
        <w:t xml:space="preserve"> “</w:t>
      </w:r>
      <w:r w:rsidR="00FF38B7" w:rsidRPr="00AD7DA6">
        <w:rPr>
          <w:rFonts w:ascii="Century Schoolbook" w:hAnsi="Century Schoolbook"/>
        </w:rPr>
        <w:t xml:space="preserve"> ‘</w:t>
      </w:r>
      <w:r w:rsidR="000B6A31" w:rsidRPr="00AD7DA6">
        <w:rPr>
          <w:rFonts w:ascii="Century Schoolbook" w:hAnsi="Century Schoolbook"/>
        </w:rPr>
        <w:t>[t]</w:t>
      </w:r>
      <w:r w:rsidR="00BC1E1F" w:rsidRPr="00AD7DA6">
        <w:rPr>
          <w:rFonts w:ascii="Century Schoolbook" w:hAnsi="Century Schoolbook"/>
        </w:rPr>
        <w:t>here is no fixed rule for the measure of tort damages under Civil Code section 33</w:t>
      </w:r>
      <w:r w:rsidR="00985D80" w:rsidRPr="00AD7DA6">
        <w:rPr>
          <w:rFonts w:ascii="Century Schoolbook" w:hAnsi="Century Schoolbook"/>
        </w:rPr>
        <w:t>3</w:t>
      </w:r>
      <w:r w:rsidR="00BC1E1F" w:rsidRPr="00AD7DA6">
        <w:rPr>
          <w:rFonts w:ascii="Century Schoolbook" w:hAnsi="Century Schoolbook"/>
        </w:rPr>
        <w:t>3</w:t>
      </w:r>
      <w:r w:rsidR="00FF38B7" w:rsidRPr="00AD7DA6">
        <w:rPr>
          <w:rFonts w:ascii="Century Schoolbook" w:hAnsi="Century Schoolbook"/>
        </w:rPr>
        <w:t xml:space="preserve">’ </w:t>
      </w:r>
      <w:r w:rsidR="00CA36F1" w:rsidRPr="00AD7DA6">
        <w:rPr>
          <w:rFonts w:ascii="Century Schoolbook" w:hAnsi="Century Schoolbook"/>
        </w:rPr>
        <w:t xml:space="preserve">” </w:t>
      </w:r>
      <w:r w:rsidR="000B6A31" w:rsidRPr="00AD7DA6">
        <w:rPr>
          <w:rFonts w:ascii="Century Schoolbook" w:hAnsi="Century Schoolbook"/>
        </w:rPr>
        <w:t xml:space="preserve">and </w:t>
      </w:r>
      <w:r w:rsidR="00300438" w:rsidRPr="00AD7DA6">
        <w:rPr>
          <w:rFonts w:ascii="Century Schoolbook" w:hAnsi="Century Schoolbook"/>
        </w:rPr>
        <w:t>“ ‘</w:t>
      </w:r>
      <w:r w:rsidR="000B6A31" w:rsidRPr="00AD7DA6">
        <w:rPr>
          <w:rFonts w:ascii="Century Schoolbook" w:hAnsi="Century Schoolbook"/>
        </w:rPr>
        <w:t>[t]he measure that most appropriately compensates the injured party for the loss sustained should be adopted.</w:t>
      </w:r>
      <w:r w:rsidR="00300438" w:rsidRPr="00AD7DA6">
        <w:rPr>
          <w:rFonts w:ascii="Century Schoolbook" w:hAnsi="Century Schoolbook"/>
        </w:rPr>
        <w:t>’</w:t>
      </w:r>
      <w:r w:rsidR="00622C91" w:rsidRPr="00AD7DA6">
        <w:rPr>
          <w:rFonts w:ascii="Century Schoolbook" w:hAnsi="Century Schoolbook"/>
        </w:rPr>
        <w:t> </w:t>
      </w:r>
      <w:r w:rsidR="000B6A31" w:rsidRPr="00AD7DA6">
        <w:rPr>
          <w:rFonts w:ascii="Century Schoolbook" w:hAnsi="Century Schoolbook"/>
        </w:rPr>
        <w:t xml:space="preserve">”  </w:t>
      </w:r>
      <w:r w:rsidR="00043769" w:rsidRPr="00AD7DA6">
        <w:rPr>
          <w:rFonts w:ascii="Century Schoolbook" w:hAnsi="Century Schoolbook"/>
        </w:rPr>
        <w:t>(</w:t>
      </w:r>
      <w:proofErr w:type="spellStart"/>
      <w:r w:rsidR="002639E3">
        <w:rPr>
          <w:rFonts w:ascii="Century Schoolbook" w:hAnsi="Century Schoolbook"/>
          <w:i/>
          <w:iCs/>
        </w:rPr>
        <w:t>Strebel</w:t>
      </w:r>
      <w:proofErr w:type="spellEnd"/>
      <w:r w:rsidR="002639E3">
        <w:rPr>
          <w:rFonts w:ascii="Century Schoolbook" w:hAnsi="Century Schoolbook"/>
        </w:rPr>
        <w:t>,</w:t>
      </w:r>
      <w:r w:rsidR="00043769" w:rsidRPr="00AD7DA6">
        <w:rPr>
          <w:rFonts w:ascii="Century Schoolbook" w:hAnsi="Century Schoolbook"/>
        </w:rPr>
        <w:t xml:space="preserve"> at p. </w:t>
      </w:r>
      <w:r w:rsidR="00C0744D" w:rsidRPr="00AD7DA6">
        <w:rPr>
          <w:rFonts w:ascii="Century Schoolbook" w:hAnsi="Century Schoolbook"/>
        </w:rPr>
        <w:t xml:space="preserve">749.)  </w:t>
      </w:r>
    </w:p>
    <w:p w14:paraId="0F29E28D" w14:textId="6E68E1C8" w:rsidR="005B6471" w:rsidRPr="00AD7DA6" w:rsidRDefault="00DA77C2" w:rsidP="00DA77C2">
      <w:pPr>
        <w:spacing w:line="360" w:lineRule="auto"/>
        <w:rPr>
          <w:rFonts w:ascii="Century Schoolbook" w:hAnsi="Century Schoolbook"/>
        </w:rPr>
      </w:pPr>
      <w:r w:rsidRPr="00AD7DA6">
        <w:rPr>
          <w:rFonts w:ascii="Century Schoolbook" w:hAnsi="Century Schoolbook"/>
        </w:rPr>
        <w:tab/>
        <w:t xml:space="preserve">Conversely, in </w:t>
      </w:r>
      <w:r w:rsidR="00E43CCD" w:rsidRPr="00AD7DA6">
        <w:rPr>
          <w:rFonts w:ascii="Century Schoolbook" w:hAnsi="Century Schoolbook"/>
          <w:i/>
        </w:rPr>
        <w:t>Hensley v. McSweeney</w:t>
      </w:r>
      <w:r w:rsidR="00E43CCD" w:rsidRPr="00AD7DA6">
        <w:rPr>
          <w:rFonts w:ascii="Century Schoolbook" w:hAnsi="Century Schoolbook"/>
        </w:rPr>
        <w:t xml:space="preserve"> (2001) 90 Cal.App.4th 1081</w:t>
      </w:r>
      <w:r w:rsidR="002106E3" w:rsidRPr="00AD7DA6">
        <w:rPr>
          <w:rFonts w:ascii="Century Schoolbook" w:hAnsi="Century Schoolbook"/>
        </w:rPr>
        <w:t xml:space="preserve">, </w:t>
      </w:r>
      <w:r w:rsidR="004A5117" w:rsidRPr="00AD7DA6">
        <w:rPr>
          <w:rFonts w:ascii="Century Schoolbook" w:hAnsi="Century Schoolbook"/>
        </w:rPr>
        <w:t xml:space="preserve">the </w:t>
      </w:r>
      <w:r w:rsidR="00EA3A48" w:rsidRPr="00AD7DA6">
        <w:rPr>
          <w:rFonts w:ascii="Century Schoolbook" w:hAnsi="Century Schoolbook"/>
        </w:rPr>
        <w:t>Fifth Appellate District</w:t>
      </w:r>
      <w:r w:rsidR="004A5117" w:rsidRPr="00AD7DA6">
        <w:rPr>
          <w:rFonts w:ascii="Century Schoolbook" w:hAnsi="Century Schoolbook"/>
        </w:rPr>
        <w:t xml:space="preserve"> </w:t>
      </w:r>
      <w:r w:rsidR="00E92E9C" w:rsidRPr="00AD7DA6">
        <w:rPr>
          <w:rFonts w:ascii="Century Schoolbook" w:hAnsi="Century Schoolbook"/>
        </w:rPr>
        <w:t xml:space="preserve">limited the damages </w:t>
      </w:r>
      <w:r w:rsidR="001B4EE2" w:rsidRPr="00AD7DA6">
        <w:rPr>
          <w:rFonts w:ascii="Century Schoolbook" w:hAnsi="Century Schoolbook"/>
        </w:rPr>
        <w:t>available</w:t>
      </w:r>
      <w:r w:rsidR="00E92E9C" w:rsidRPr="00AD7DA6">
        <w:rPr>
          <w:rFonts w:ascii="Century Schoolbook" w:hAnsi="Century Schoolbook"/>
        </w:rPr>
        <w:t xml:space="preserve"> </w:t>
      </w:r>
      <w:r w:rsidR="00925604" w:rsidRPr="00AD7DA6">
        <w:rPr>
          <w:rFonts w:ascii="Century Schoolbook" w:hAnsi="Century Schoolbook"/>
        </w:rPr>
        <w:t xml:space="preserve">for claims of fraud </w:t>
      </w:r>
      <w:r w:rsidR="009E3C68" w:rsidRPr="00AD7DA6">
        <w:rPr>
          <w:rFonts w:ascii="Century Schoolbook" w:hAnsi="Century Schoolbook"/>
        </w:rPr>
        <w:t xml:space="preserve">by a fiduciary </w:t>
      </w:r>
      <w:r w:rsidR="008D5A1A" w:rsidRPr="00AD7DA6">
        <w:rPr>
          <w:rFonts w:ascii="Century Schoolbook" w:hAnsi="Century Schoolbook"/>
        </w:rPr>
        <w:t xml:space="preserve">in a real property transaction </w:t>
      </w:r>
      <w:r w:rsidR="00E92E9C" w:rsidRPr="00AD7DA6">
        <w:rPr>
          <w:rFonts w:ascii="Century Schoolbook" w:hAnsi="Century Schoolbook"/>
        </w:rPr>
        <w:t xml:space="preserve">to </w:t>
      </w:r>
      <w:r w:rsidRPr="00AD7DA6">
        <w:rPr>
          <w:rFonts w:ascii="Century Schoolbook" w:hAnsi="Century Schoolbook"/>
        </w:rPr>
        <w:t>out-of-pocket damages.  (</w:t>
      </w:r>
      <w:r w:rsidRPr="00AD7DA6">
        <w:rPr>
          <w:rFonts w:ascii="Century Schoolbook" w:hAnsi="Century Schoolbook"/>
          <w:i/>
        </w:rPr>
        <w:t>Id.</w:t>
      </w:r>
      <w:r w:rsidRPr="00AD7DA6">
        <w:rPr>
          <w:rFonts w:ascii="Century Schoolbook" w:hAnsi="Century Schoolbook"/>
        </w:rPr>
        <w:t xml:space="preserve"> at p.</w:t>
      </w:r>
      <w:r w:rsidR="002639E3">
        <w:rPr>
          <w:rFonts w:ascii="Century Schoolbook" w:hAnsi="Century Schoolbook"/>
        </w:rPr>
        <w:t> </w:t>
      </w:r>
      <w:r w:rsidRPr="00AD7DA6">
        <w:rPr>
          <w:rFonts w:ascii="Century Schoolbook" w:hAnsi="Century Schoolbook"/>
        </w:rPr>
        <w:t xml:space="preserve">1086.)  </w:t>
      </w:r>
      <w:r w:rsidR="00977012" w:rsidRPr="00AD7DA6">
        <w:rPr>
          <w:rFonts w:ascii="Century Schoolbook" w:hAnsi="Century Schoolbook"/>
        </w:rPr>
        <w:t>It</w:t>
      </w:r>
      <w:r w:rsidRPr="00AD7DA6">
        <w:rPr>
          <w:rFonts w:ascii="Century Schoolbook" w:hAnsi="Century Schoolbook"/>
        </w:rPr>
        <w:t xml:space="preserve"> adopted the reasoning of its earlier decision in </w:t>
      </w:r>
      <w:r w:rsidRPr="00AD7DA6">
        <w:rPr>
          <w:rFonts w:ascii="Century Schoolbook" w:hAnsi="Century Schoolbook"/>
          <w:i/>
        </w:rPr>
        <w:t>Overgaard v. Johnson</w:t>
      </w:r>
      <w:r w:rsidRPr="00AD7DA6">
        <w:rPr>
          <w:rFonts w:ascii="Century Schoolbook" w:hAnsi="Century Schoolbook"/>
        </w:rPr>
        <w:t xml:space="preserve"> (1977) 68 Cal.App.3d 821, which </w:t>
      </w:r>
      <w:r w:rsidR="00601254" w:rsidRPr="00AD7DA6">
        <w:rPr>
          <w:rFonts w:ascii="Century Schoolbook" w:hAnsi="Century Schoolbook"/>
        </w:rPr>
        <w:t>held</w:t>
      </w:r>
      <w:r w:rsidR="00E84443" w:rsidRPr="00AD7DA6">
        <w:rPr>
          <w:rFonts w:ascii="Century Schoolbook" w:hAnsi="Century Schoolbook"/>
        </w:rPr>
        <w:t xml:space="preserve"> that </w:t>
      </w:r>
      <w:r w:rsidRPr="00AD7DA6">
        <w:rPr>
          <w:rFonts w:ascii="Century Schoolbook" w:hAnsi="Century Schoolbook"/>
        </w:rPr>
        <w:t>the measure of damages for fraud by a fiduciary is out-of-pocket damages, not the benefit-of-the-bargain damages normally applicable to contract causes of action. (</w:t>
      </w:r>
      <w:r w:rsidRPr="00AD7DA6">
        <w:rPr>
          <w:rFonts w:ascii="Century Schoolbook" w:hAnsi="Century Schoolbook"/>
          <w:i/>
        </w:rPr>
        <w:t>Overgaard,</w:t>
      </w:r>
      <w:r w:rsidRPr="00AD7DA6">
        <w:rPr>
          <w:rFonts w:ascii="Century Schoolbook" w:hAnsi="Century Schoolbook"/>
        </w:rPr>
        <w:t xml:space="preserve"> at pp. 826</w:t>
      </w:r>
      <w:r w:rsidR="0074190D" w:rsidRPr="00AD7DA6">
        <w:rPr>
          <w:rFonts w:ascii="Century Schoolbook" w:hAnsi="Century Schoolbook"/>
        </w:rPr>
        <w:t>–</w:t>
      </w:r>
      <w:r w:rsidRPr="00AD7DA6">
        <w:rPr>
          <w:rFonts w:ascii="Century Schoolbook" w:hAnsi="Century Schoolbook"/>
        </w:rPr>
        <w:t xml:space="preserve">828.)  </w:t>
      </w:r>
      <w:r w:rsidR="00006B73" w:rsidRPr="00AD7DA6">
        <w:rPr>
          <w:rFonts w:ascii="Century Schoolbook" w:hAnsi="Century Schoolbook"/>
        </w:rPr>
        <w:t xml:space="preserve">But </w:t>
      </w:r>
      <w:r w:rsidR="00006B73" w:rsidRPr="00AD7DA6">
        <w:rPr>
          <w:rFonts w:ascii="Century Schoolbook" w:hAnsi="Century Schoolbook"/>
          <w:i/>
          <w:iCs/>
        </w:rPr>
        <w:t xml:space="preserve">Overgaard </w:t>
      </w:r>
      <w:r w:rsidR="00612B26" w:rsidRPr="00AD7DA6">
        <w:rPr>
          <w:rFonts w:ascii="Century Schoolbook" w:hAnsi="Century Schoolbook"/>
        </w:rPr>
        <w:t xml:space="preserve">involved </w:t>
      </w:r>
      <w:r w:rsidR="00945450" w:rsidRPr="00AD7DA6">
        <w:rPr>
          <w:rFonts w:ascii="Century Schoolbook" w:hAnsi="Century Schoolbook"/>
        </w:rPr>
        <w:t>allegations</w:t>
      </w:r>
      <w:r w:rsidR="00612B26" w:rsidRPr="00AD7DA6">
        <w:rPr>
          <w:rFonts w:ascii="Century Schoolbook" w:hAnsi="Century Schoolbook"/>
        </w:rPr>
        <w:t xml:space="preserve"> of </w:t>
      </w:r>
      <w:r w:rsidR="008459C8" w:rsidRPr="00AD7DA6">
        <w:rPr>
          <w:rFonts w:ascii="Century Schoolbook" w:hAnsi="Century Schoolbook"/>
        </w:rPr>
        <w:t xml:space="preserve">negligent misrepresentation by a fiduciary, and </w:t>
      </w:r>
      <w:r w:rsidR="008459C8" w:rsidRPr="00AD7DA6">
        <w:rPr>
          <w:rFonts w:ascii="Century Schoolbook" w:hAnsi="Century Schoolbook"/>
          <w:i/>
          <w:iCs/>
        </w:rPr>
        <w:t>Hensley</w:t>
      </w:r>
      <w:r w:rsidR="008459C8" w:rsidRPr="00AD7DA6">
        <w:rPr>
          <w:rFonts w:ascii="Century Schoolbook" w:hAnsi="Century Schoolbook"/>
        </w:rPr>
        <w:t xml:space="preserve"> does not explain why </w:t>
      </w:r>
      <w:r w:rsidR="00620FA6" w:rsidRPr="00AD7DA6">
        <w:rPr>
          <w:rFonts w:ascii="Century Schoolbook" w:hAnsi="Century Schoolbook"/>
        </w:rPr>
        <w:t xml:space="preserve">the same </w:t>
      </w:r>
      <w:r w:rsidR="002139EF" w:rsidRPr="00AD7DA6">
        <w:rPr>
          <w:rFonts w:ascii="Century Schoolbook" w:hAnsi="Century Schoolbook"/>
        </w:rPr>
        <w:t xml:space="preserve">out-of-pocket </w:t>
      </w:r>
      <w:r w:rsidR="00620FA6" w:rsidRPr="00AD7DA6">
        <w:rPr>
          <w:rFonts w:ascii="Century Schoolbook" w:hAnsi="Century Schoolbook"/>
        </w:rPr>
        <w:t xml:space="preserve">rule should </w:t>
      </w:r>
      <w:r w:rsidR="00402128" w:rsidRPr="00AD7DA6">
        <w:rPr>
          <w:rFonts w:ascii="Century Schoolbook" w:hAnsi="Century Schoolbook"/>
        </w:rPr>
        <w:t xml:space="preserve">apply </w:t>
      </w:r>
      <w:r w:rsidR="00D6722C" w:rsidRPr="00AD7DA6">
        <w:rPr>
          <w:rFonts w:ascii="Century Schoolbook" w:hAnsi="Century Schoolbook"/>
        </w:rPr>
        <w:t xml:space="preserve">for </w:t>
      </w:r>
      <w:r w:rsidR="005924C6" w:rsidRPr="00AD7DA6">
        <w:rPr>
          <w:rFonts w:ascii="Century Schoolbook" w:hAnsi="Century Schoolbook"/>
        </w:rPr>
        <w:t xml:space="preserve">a fiduciary’s </w:t>
      </w:r>
      <w:r w:rsidR="002A213F" w:rsidRPr="00AD7DA6">
        <w:rPr>
          <w:rFonts w:ascii="Century Schoolbook" w:hAnsi="Century Schoolbook"/>
        </w:rPr>
        <w:t xml:space="preserve">intentional </w:t>
      </w:r>
      <w:r w:rsidR="005924C6" w:rsidRPr="00AD7DA6">
        <w:rPr>
          <w:rFonts w:ascii="Century Schoolbook" w:hAnsi="Century Schoolbook"/>
        </w:rPr>
        <w:t>fraud</w:t>
      </w:r>
      <w:r w:rsidR="00D6722C" w:rsidRPr="00AD7DA6">
        <w:rPr>
          <w:rFonts w:ascii="Century Schoolbook" w:hAnsi="Century Schoolbook"/>
        </w:rPr>
        <w:t xml:space="preserve">. </w:t>
      </w:r>
    </w:p>
    <w:p w14:paraId="3078FFF3" w14:textId="48AAB5A2" w:rsidR="00C130BD" w:rsidRPr="00AD7DA6" w:rsidRDefault="005B6471" w:rsidP="00440E34">
      <w:pPr>
        <w:spacing w:line="360" w:lineRule="auto"/>
        <w:rPr>
          <w:rFonts w:ascii="Century Schoolbook" w:hAnsi="Century Schoolbook"/>
          <w:i/>
        </w:rPr>
      </w:pPr>
      <w:r w:rsidRPr="00AD7DA6">
        <w:rPr>
          <w:rFonts w:ascii="Century Schoolbook" w:hAnsi="Century Schoolbook"/>
        </w:rPr>
        <w:tab/>
      </w:r>
      <w:r w:rsidR="006F4003" w:rsidRPr="00AD7DA6">
        <w:rPr>
          <w:rFonts w:ascii="Century Schoolbook" w:hAnsi="Century Schoolbook"/>
        </w:rPr>
        <w:t xml:space="preserve">We </w:t>
      </w:r>
      <w:r w:rsidR="007270FF" w:rsidRPr="00AD7DA6">
        <w:rPr>
          <w:rFonts w:ascii="Century Schoolbook" w:hAnsi="Century Schoolbook"/>
        </w:rPr>
        <w:t>are persuaded by</w:t>
      </w:r>
      <w:r w:rsidR="00F61004" w:rsidRPr="00AD7DA6">
        <w:rPr>
          <w:rFonts w:ascii="Century Schoolbook" w:hAnsi="Century Schoolbook"/>
        </w:rPr>
        <w:t xml:space="preserve"> the reasoning of </w:t>
      </w:r>
      <w:proofErr w:type="spellStart"/>
      <w:r w:rsidR="00CD5E17" w:rsidRPr="00AD7DA6">
        <w:rPr>
          <w:rFonts w:ascii="Century Schoolbook" w:hAnsi="Century Schoolbook"/>
          <w:i/>
          <w:iCs/>
        </w:rPr>
        <w:t>Pepitone</w:t>
      </w:r>
      <w:proofErr w:type="spellEnd"/>
      <w:r w:rsidR="00CD5E17" w:rsidRPr="00AD7DA6">
        <w:rPr>
          <w:rFonts w:ascii="Century Schoolbook" w:hAnsi="Century Schoolbook"/>
          <w:i/>
          <w:iCs/>
        </w:rPr>
        <w:t xml:space="preserve">, </w:t>
      </w:r>
      <w:proofErr w:type="spellStart"/>
      <w:r w:rsidR="00F61004" w:rsidRPr="00AD7DA6">
        <w:rPr>
          <w:rFonts w:ascii="Century Schoolbook" w:hAnsi="Century Schoolbook"/>
          <w:i/>
        </w:rPr>
        <w:t>Salahutdin</w:t>
      </w:r>
      <w:proofErr w:type="spellEnd"/>
      <w:r w:rsidR="00075AA3" w:rsidRPr="00AD7DA6">
        <w:rPr>
          <w:rFonts w:ascii="Century Schoolbook" w:hAnsi="Century Schoolbook"/>
        </w:rPr>
        <w:t xml:space="preserve">, </w:t>
      </w:r>
      <w:r w:rsidR="00F61004" w:rsidRPr="00AD7DA6">
        <w:rPr>
          <w:rFonts w:ascii="Century Schoolbook" w:hAnsi="Century Schoolbook"/>
          <w:i/>
        </w:rPr>
        <w:t>Fragale</w:t>
      </w:r>
      <w:r w:rsidR="00075AA3" w:rsidRPr="00AD7DA6">
        <w:rPr>
          <w:rFonts w:ascii="Century Schoolbook" w:hAnsi="Century Schoolbook"/>
          <w:iCs/>
        </w:rPr>
        <w:t>,</w:t>
      </w:r>
      <w:r w:rsidR="00F61004" w:rsidRPr="00AD7DA6">
        <w:rPr>
          <w:rFonts w:ascii="Century Schoolbook" w:hAnsi="Century Schoolbook"/>
        </w:rPr>
        <w:t xml:space="preserve"> </w:t>
      </w:r>
      <w:r w:rsidR="00630FAF" w:rsidRPr="00AD7DA6">
        <w:rPr>
          <w:rFonts w:ascii="Century Schoolbook" w:hAnsi="Century Schoolbook"/>
        </w:rPr>
        <w:t xml:space="preserve">and related authorities </w:t>
      </w:r>
      <w:r w:rsidR="00306540" w:rsidRPr="00AD7DA6">
        <w:rPr>
          <w:rFonts w:ascii="Century Schoolbook" w:hAnsi="Century Schoolbook"/>
        </w:rPr>
        <w:t xml:space="preserve">and </w:t>
      </w:r>
      <w:r w:rsidR="006F4003" w:rsidRPr="00AD7DA6">
        <w:rPr>
          <w:rFonts w:ascii="Century Schoolbook" w:hAnsi="Century Schoolbook"/>
        </w:rPr>
        <w:t xml:space="preserve">conclude </w:t>
      </w:r>
      <w:r w:rsidR="00E76A7A" w:rsidRPr="00AD7DA6">
        <w:rPr>
          <w:rFonts w:ascii="Century Schoolbook" w:hAnsi="Century Schoolbook"/>
        </w:rPr>
        <w:t xml:space="preserve">that </w:t>
      </w:r>
      <w:r w:rsidR="00E100A8" w:rsidRPr="00AD7DA6">
        <w:rPr>
          <w:rFonts w:ascii="Century Schoolbook" w:hAnsi="Century Schoolbook"/>
        </w:rPr>
        <w:t xml:space="preserve">where a person has been defrauded by their fiduciary in a real </w:t>
      </w:r>
      <w:r w:rsidR="00525B1D" w:rsidRPr="00AD7DA6">
        <w:rPr>
          <w:rFonts w:ascii="Century Schoolbook" w:hAnsi="Century Schoolbook"/>
        </w:rPr>
        <w:t xml:space="preserve">property transaction, </w:t>
      </w:r>
      <w:r w:rsidR="0098057E" w:rsidRPr="00AD7DA6">
        <w:rPr>
          <w:rFonts w:ascii="Century Schoolbook" w:hAnsi="Century Schoolbook"/>
        </w:rPr>
        <w:t xml:space="preserve">the measure of </w:t>
      </w:r>
      <w:r w:rsidR="004F7714" w:rsidRPr="00AD7DA6">
        <w:rPr>
          <w:rFonts w:ascii="Century Schoolbook" w:hAnsi="Century Schoolbook"/>
        </w:rPr>
        <w:t xml:space="preserve">damages </w:t>
      </w:r>
      <w:r w:rsidR="00BB0196" w:rsidRPr="00AD7DA6">
        <w:rPr>
          <w:rFonts w:ascii="Century Schoolbook" w:hAnsi="Century Schoolbook"/>
        </w:rPr>
        <w:t xml:space="preserve">available </w:t>
      </w:r>
      <w:r w:rsidR="004F7714" w:rsidRPr="00AD7DA6">
        <w:rPr>
          <w:rFonts w:ascii="Century Schoolbook" w:hAnsi="Century Schoolbook"/>
        </w:rPr>
        <w:t xml:space="preserve">under Civil Code sections 3333 and </w:t>
      </w:r>
      <w:r w:rsidR="0078113A" w:rsidRPr="00AD7DA6">
        <w:rPr>
          <w:rFonts w:ascii="Century Schoolbook" w:hAnsi="Century Schoolbook"/>
        </w:rPr>
        <w:t>1709</w:t>
      </w:r>
      <w:r w:rsidR="004F7714" w:rsidRPr="00AD7DA6">
        <w:rPr>
          <w:rFonts w:ascii="Century Schoolbook" w:hAnsi="Century Schoolbook"/>
        </w:rPr>
        <w:t xml:space="preserve"> </w:t>
      </w:r>
      <w:r w:rsidR="004F6244" w:rsidRPr="00AD7DA6">
        <w:rPr>
          <w:rFonts w:ascii="Century Schoolbook" w:hAnsi="Century Schoolbook"/>
        </w:rPr>
        <w:t xml:space="preserve">may </w:t>
      </w:r>
      <w:r w:rsidR="00E06AB2" w:rsidRPr="00AD7DA6">
        <w:rPr>
          <w:rFonts w:ascii="Century Schoolbook" w:hAnsi="Century Schoolbook"/>
        </w:rPr>
        <w:t>include</w:t>
      </w:r>
      <w:r w:rsidR="004F7714" w:rsidRPr="00AD7DA6">
        <w:rPr>
          <w:rFonts w:ascii="Century Schoolbook" w:hAnsi="Century Schoolbook"/>
        </w:rPr>
        <w:t xml:space="preserve"> </w:t>
      </w:r>
      <w:r w:rsidR="0010377E" w:rsidRPr="00AD7DA6">
        <w:rPr>
          <w:rFonts w:ascii="Century Schoolbook" w:hAnsi="Century Schoolbook"/>
        </w:rPr>
        <w:t xml:space="preserve">a </w:t>
      </w:r>
      <w:r w:rsidR="004F7714" w:rsidRPr="00AD7DA6">
        <w:rPr>
          <w:rFonts w:ascii="Century Schoolbook" w:hAnsi="Century Schoolbook"/>
        </w:rPr>
        <w:t xml:space="preserve">benefit-of-the-bargain </w:t>
      </w:r>
      <w:r w:rsidR="00373D22" w:rsidRPr="00AD7DA6">
        <w:rPr>
          <w:rFonts w:ascii="Century Schoolbook" w:hAnsi="Century Schoolbook"/>
        </w:rPr>
        <w:t xml:space="preserve">damages </w:t>
      </w:r>
      <w:r w:rsidR="0010377E" w:rsidRPr="00AD7DA6">
        <w:rPr>
          <w:rFonts w:ascii="Century Schoolbook" w:hAnsi="Century Schoolbook"/>
        </w:rPr>
        <w:t>award</w:t>
      </w:r>
      <w:r w:rsidR="004F7714" w:rsidRPr="00AD7DA6">
        <w:rPr>
          <w:rFonts w:ascii="Century Schoolbook" w:hAnsi="Century Schoolbook"/>
        </w:rPr>
        <w:t xml:space="preserve">. </w:t>
      </w:r>
      <w:r w:rsidR="00ED10F1" w:rsidRPr="00AD7DA6">
        <w:rPr>
          <w:rFonts w:ascii="Century Schoolbook" w:hAnsi="Century Schoolbook"/>
        </w:rPr>
        <w:t xml:space="preserve"> </w:t>
      </w:r>
      <w:r w:rsidR="00BB2ADF" w:rsidRPr="00AD7DA6">
        <w:rPr>
          <w:rFonts w:ascii="Century Schoolbook" w:hAnsi="Century Schoolbook"/>
        </w:rPr>
        <w:t xml:space="preserve">Applying </w:t>
      </w:r>
      <w:r w:rsidR="00863121" w:rsidRPr="00AD7DA6">
        <w:rPr>
          <w:rFonts w:ascii="Century Schoolbook" w:hAnsi="Century Schoolbook"/>
        </w:rPr>
        <w:t>this</w:t>
      </w:r>
      <w:r w:rsidR="000355F6" w:rsidRPr="00AD7DA6">
        <w:rPr>
          <w:rFonts w:ascii="Century Schoolbook" w:hAnsi="Century Schoolbook"/>
        </w:rPr>
        <w:t xml:space="preserve"> </w:t>
      </w:r>
      <w:r w:rsidR="009D78F9" w:rsidRPr="00AD7DA6">
        <w:rPr>
          <w:rFonts w:ascii="Century Schoolbook" w:hAnsi="Century Schoolbook"/>
        </w:rPr>
        <w:t xml:space="preserve">broader measure of damages </w:t>
      </w:r>
      <w:r w:rsidR="003E105F" w:rsidRPr="00AD7DA6">
        <w:rPr>
          <w:rFonts w:ascii="Century Schoolbook" w:hAnsi="Century Schoolbook"/>
        </w:rPr>
        <w:t>ensures that</w:t>
      </w:r>
      <w:r w:rsidR="009D78F9" w:rsidRPr="00AD7DA6">
        <w:rPr>
          <w:rFonts w:ascii="Century Schoolbook" w:hAnsi="Century Schoolbook"/>
        </w:rPr>
        <w:t xml:space="preserve"> </w:t>
      </w:r>
      <w:r w:rsidR="00613255" w:rsidRPr="00AD7DA6">
        <w:rPr>
          <w:rFonts w:ascii="Century Schoolbook" w:hAnsi="Century Schoolbook"/>
        </w:rPr>
        <w:t xml:space="preserve">a faithless fiduciary </w:t>
      </w:r>
      <w:r w:rsidR="008B614F" w:rsidRPr="00AD7DA6">
        <w:rPr>
          <w:rFonts w:ascii="Century Schoolbook" w:hAnsi="Century Schoolbook"/>
        </w:rPr>
        <w:t xml:space="preserve">is held to account for </w:t>
      </w:r>
      <w:r w:rsidR="00F11E6D" w:rsidRPr="00AD7DA6">
        <w:rPr>
          <w:rFonts w:ascii="Century Schoolbook" w:hAnsi="Century Schoolbook"/>
        </w:rPr>
        <w:t xml:space="preserve">the full amount of the loss of </w:t>
      </w:r>
      <w:r w:rsidR="00517622" w:rsidRPr="00AD7DA6">
        <w:rPr>
          <w:rFonts w:ascii="Century Schoolbook" w:hAnsi="Century Schoolbook"/>
        </w:rPr>
        <w:t>which his breach of faith is a cause</w:t>
      </w:r>
      <w:r w:rsidR="008B614F" w:rsidRPr="00AD7DA6">
        <w:rPr>
          <w:rFonts w:ascii="Century Schoolbook" w:hAnsi="Century Schoolbook"/>
        </w:rPr>
        <w:t xml:space="preserve"> </w:t>
      </w:r>
      <w:r w:rsidR="008B46E1" w:rsidRPr="00AD7DA6">
        <w:rPr>
          <w:rFonts w:ascii="Century Schoolbook" w:hAnsi="Century Schoolbook"/>
        </w:rPr>
        <w:t>(</w:t>
      </w:r>
      <w:proofErr w:type="spellStart"/>
      <w:r w:rsidR="008B46E1" w:rsidRPr="00AD7DA6">
        <w:rPr>
          <w:rFonts w:ascii="Century Schoolbook" w:hAnsi="Century Schoolbook"/>
          <w:i/>
          <w:iCs/>
        </w:rPr>
        <w:t>Pepitone</w:t>
      </w:r>
      <w:proofErr w:type="spellEnd"/>
      <w:r w:rsidR="008B46E1" w:rsidRPr="00AD7DA6">
        <w:rPr>
          <w:rFonts w:ascii="Century Schoolbook" w:hAnsi="Century Schoolbook"/>
        </w:rPr>
        <w:t xml:space="preserve">, </w:t>
      </w:r>
      <w:r w:rsidR="00D30643" w:rsidRPr="00AD7DA6">
        <w:rPr>
          <w:rFonts w:ascii="Century Schoolbook" w:hAnsi="Century Schoolbook"/>
          <w:i/>
          <w:iCs/>
        </w:rPr>
        <w:t>supra</w:t>
      </w:r>
      <w:r w:rsidR="00D30643" w:rsidRPr="00AD7DA6">
        <w:rPr>
          <w:rFonts w:ascii="Century Schoolbook" w:hAnsi="Century Schoolbook"/>
        </w:rPr>
        <w:t>, 64 Cal.App.3rd</w:t>
      </w:r>
      <w:r w:rsidR="008B46E1" w:rsidRPr="00AD7DA6">
        <w:rPr>
          <w:rFonts w:ascii="Century Schoolbook" w:hAnsi="Century Schoolbook"/>
        </w:rPr>
        <w:t xml:space="preserve"> at </w:t>
      </w:r>
      <w:r w:rsidR="008B46E1" w:rsidRPr="00AD7DA6">
        <w:rPr>
          <w:rFonts w:ascii="Century Schoolbook" w:hAnsi="Century Schoolbook"/>
        </w:rPr>
        <w:lastRenderedPageBreak/>
        <w:t xml:space="preserve">p. </w:t>
      </w:r>
      <w:r w:rsidR="00630FAF" w:rsidRPr="00AD7DA6">
        <w:rPr>
          <w:rFonts w:ascii="Century Schoolbook" w:hAnsi="Century Schoolbook"/>
        </w:rPr>
        <w:t>688)</w:t>
      </w:r>
      <w:r w:rsidR="00F41771" w:rsidRPr="00AD7DA6">
        <w:rPr>
          <w:rFonts w:ascii="Century Schoolbook" w:hAnsi="Century Schoolbook"/>
        </w:rPr>
        <w:t>,</w:t>
      </w:r>
      <w:r w:rsidR="00630FAF" w:rsidRPr="00AD7DA6">
        <w:rPr>
          <w:rFonts w:ascii="Century Schoolbook" w:hAnsi="Century Schoolbook"/>
        </w:rPr>
        <w:t xml:space="preserve"> </w:t>
      </w:r>
      <w:r w:rsidR="00517622" w:rsidRPr="00AD7DA6">
        <w:rPr>
          <w:rFonts w:ascii="Century Schoolbook" w:hAnsi="Century Schoolbook"/>
        </w:rPr>
        <w:t xml:space="preserve">and </w:t>
      </w:r>
      <w:r w:rsidR="002D50F2" w:rsidRPr="00AD7DA6">
        <w:rPr>
          <w:rFonts w:ascii="Century Schoolbook" w:hAnsi="Century Schoolbook"/>
        </w:rPr>
        <w:t xml:space="preserve">that a victim is </w:t>
      </w:r>
      <w:r w:rsidR="006F323C" w:rsidRPr="00AD7DA6">
        <w:rPr>
          <w:rFonts w:ascii="Century Schoolbook" w:hAnsi="Century Schoolbook"/>
        </w:rPr>
        <w:t>compensat</w:t>
      </w:r>
      <w:r w:rsidR="00AC5391" w:rsidRPr="00AD7DA6">
        <w:rPr>
          <w:rFonts w:ascii="Century Schoolbook" w:hAnsi="Century Schoolbook"/>
        </w:rPr>
        <w:t>e</w:t>
      </w:r>
      <w:r w:rsidR="002D50F2" w:rsidRPr="00AD7DA6">
        <w:rPr>
          <w:rFonts w:ascii="Century Schoolbook" w:hAnsi="Century Schoolbook"/>
        </w:rPr>
        <w:t>d</w:t>
      </w:r>
      <w:r w:rsidR="006F323C" w:rsidRPr="00AD7DA6">
        <w:rPr>
          <w:rFonts w:ascii="Century Schoolbook" w:hAnsi="Century Schoolbook"/>
        </w:rPr>
        <w:t xml:space="preserve"> </w:t>
      </w:r>
      <w:r w:rsidR="00001561" w:rsidRPr="00AD7DA6">
        <w:rPr>
          <w:rFonts w:ascii="Century Schoolbook" w:hAnsi="Century Schoolbook"/>
        </w:rPr>
        <w:t>for any and all detriment proximately caused by the</w:t>
      </w:r>
      <w:r w:rsidR="00083EA1" w:rsidRPr="00AD7DA6">
        <w:rPr>
          <w:rFonts w:ascii="Century Schoolbook" w:hAnsi="Century Schoolbook"/>
        </w:rPr>
        <w:t>ir</w:t>
      </w:r>
      <w:r w:rsidR="00001561" w:rsidRPr="00AD7DA6">
        <w:rPr>
          <w:rFonts w:ascii="Century Schoolbook" w:hAnsi="Century Schoolbook"/>
        </w:rPr>
        <w:t xml:space="preserve"> </w:t>
      </w:r>
      <w:r w:rsidR="00593631" w:rsidRPr="00AD7DA6">
        <w:rPr>
          <w:rFonts w:ascii="Century Schoolbook" w:hAnsi="Century Schoolbook"/>
        </w:rPr>
        <w:t>fraud</w:t>
      </w:r>
      <w:r w:rsidR="00BE7BEE" w:rsidRPr="00AD7DA6">
        <w:rPr>
          <w:rFonts w:ascii="Century Schoolbook" w:hAnsi="Century Schoolbook"/>
        </w:rPr>
        <w:t xml:space="preserve">ulent </w:t>
      </w:r>
      <w:r w:rsidR="00CD50B2" w:rsidRPr="00AD7DA6">
        <w:rPr>
          <w:rFonts w:ascii="Century Schoolbook" w:hAnsi="Century Schoolbook"/>
        </w:rPr>
        <w:t>behav</w:t>
      </w:r>
      <w:r w:rsidR="00BE7BEE" w:rsidRPr="00AD7DA6">
        <w:rPr>
          <w:rFonts w:ascii="Century Schoolbook" w:hAnsi="Century Schoolbook"/>
        </w:rPr>
        <w:t>ior</w:t>
      </w:r>
      <w:r w:rsidR="00593631" w:rsidRPr="00AD7DA6">
        <w:rPr>
          <w:rFonts w:ascii="Century Schoolbook" w:hAnsi="Century Schoolbook"/>
        </w:rPr>
        <w:t xml:space="preserve">. </w:t>
      </w:r>
      <w:r w:rsidR="00CD50B2" w:rsidRPr="00AD7DA6">
        <w:rPr>
          <w:rFonts w:ascii="Century Schoolbook" w:hAnsi="Century Schoolbook"/>
        </w:rPr>
        <w:t xml:space="preserve"> </w:t>
      </w:r>
      <w:r w:rsidR="00593631" w:rsidRPr="00AD7DA6">
        <w:rPr>
          <w:rFonts w:ascii="Century Schoolbook" w:hAnsi="Century Schoolbook"/>
        </w:rPr>
        <w:t>(Civ. Code</w:t>
      </w:r>
      <w:r w:rsidR="002639E3">
        <w:rPr>
          <w:rFonts w:ascii="Century Schoolbook" w:hAnsi="Century Schoolbook"/>
        </w:rPr>
        <w:t>,</w:t>
      </w:r>
      <w:r w:rsidR="00593631" w:rsidRPr="00AD7DA6">
        <w:rPr>
          <w:rFonts w:ascii="Century Schoolbook" w:hAnsi="Century Schoolbook"/>
        </w:rPr>
        <w:t xml:space="preserve"> §</w:t>
      </w:r>
      <w:r w:rsidR="00CD50B2" w:rsidRPr="00AD7DA6">
        <w:rPr>
          <w:rFonts w:ascii="Century Schoolbook" w:hAnsi="Century Schoolbook"/>
        </w:rPr>
        <w:t> </w:t>
      </w:r>
      <w:r w:rsidR="00593631" w:rsidRPr="00AD7DA6">
        <w:rPr>
          <w:rFonts w:ascii="Century Schoolbook" w:hAnsi="Century Schoolbook"/>
        </w:rPr>
        <w:t>3333.)</w:t>
      </w:r>
      <w:r w:rsidR="00AF3263" w:rsidRPr="00AD7DA6">
        <w:rPr>
          <w:rStyle w:val="FootnoteReference"/>
          <w:rFonts w:ascii="Century Schoolbook" w:hAnsi="Century Schoolbook"/>
        </w:rPr>
        <w:footnoteReference w:id="4"/>
      </w:r>
      <w:r w:rsidR="00AA2D3C" w:rsidRPr="00AD7DA6">
        <w:rPr>
          <w:rFonts w:ascii="Century Schoolbook" w:hAnsi="Century Schoolbook"/>
        </w:rPr>
        <w:t xml:space="preserve"> </w:t>
      </w:r>
    </w:p>
    <w:p w14:paraId="14C7FE38" w14:textId="5A26954C" w:rsidR="00DF6273" w:rsidRPr="004C1D40" w:rsidRDefault="00A00200" w:rsidP="00440E34">
      <w:pPr>
        <w:pStyle w:val="ListParagraph"/>
        <w:numPr>
          <w:ilvl w:val="1"/>
          <w:numId w:val="1"/>
        </w:numPr>
        <w:spacing w:line="360" w:lineRule="auto"/>
        <w:rPr>
          <w:rFonts w:ascii="Century Schoolbook" w:hAnsi="Century Schoolbook"/>
          <w:b/>
          <w:bCs/>
          <w:i/>
        </w:rPr>
      </w:pPr>
      <w:r w:rsidRPr="004C1D40">
        <w:rPr>
          <w:rFonts w:ascii="Century Schoolbook" w:hAnsi="Century Schoolbook"/>
          <w:b/>
          <w:bCs/>
          <w:i/>
        </w:rPr>
        <w:t xml:space="preserve">The </w:t>
      </w:r>
      <w:r w:rsidR="00DF6273" w:rsidRPr="004C1D40">
        <w:rPr>
          <w:rFonts w:ascii="Century Schoolbook" w:hAnsi="Century Schoolbook"/>
          <w:b/>
          <w:bCs/>
          <w:i/>
        </w:rPr>
        <w:t xml:space="preserve">Damages </w:t>
      </w:r>
      <w:r w:rsidRPr="004C1D40">
        <w:rPr>
          <w:rFonts w:ascii="Century Schoolbook" w:hAnsi="Century Schoolbook"/>
          <w:b/>
          <w:bCs/>
          <w:i/>
        </w:rPr>
        <w:t>Award Was</w:t>
      </w:r>
      <w:r w:rsidR="00DF6273" w:rsidRPr="004C1D40">
        <w:rPr>
          <w:rFonts w:ascii="Century Schoolbook" w:hAnsi="Century Schoolbook"/>
          <w:b/>
          <w:bCs/>
          <w:i/>
        </w:rPr>
        <w:t xml:space="preserve"> Not Speculative </w:t>
      </w:r>
    </w:p>
    <w:p w14:paraId="0EEE3A64" w14:textId="5A460E7A" w:rsidR="00DF6273" w:rsidRPr="00AD7DA6" w:rsidRDefault="00DF6273" w:rsidP="00DF6273">
      <w:pPr>
        <w:spacing w:line="360" w:lineRule="auto"/>
        <w:rPr>
          <w:rFonts w:ascii="Century Schoolbook" w:hAnsi="Century Schoolbook"/>
        </w:rPr>
      </w:pPr>
      <w:r w:rsidRPr="00AD7DA6">
        <w:rPr>
          <w:rFonts w:ascii="Century Schoolbook" w:hAnsi="Century Schoolbook"/>
        </w:rPr>
        <w:tab/>
        <w:t>Teed</w:t>
      </w:r>
      <w:r w:rsidR="00AB3D65" w:rsidRPr="00AD7DA6">
        <w:rPr>
          <w:rFonts w:ascii="Century Schoolbook" w:hAnsi="Century Schoolbook"/>
        </w:rPr>
        <w:t xml:space="preserve"> </w:t>
      </w:r>
      <w:r w:rsidR="00083EA1" w:rsidRPr="00AD7DA6">
        <w:rPr>
          <w:rFonts w:ascii="Century Schoolbook" w:hAnsi="Century Schoolbook"/>
        </w:rPr>
        <w:t xml:space="preserve">next </w:t>
      </w:r>
      <w:r w:rsidR="00AB3D65" w:rsidRPr="00AD7DA6">
        <w:rPr>
          <w:rFonts w:ascii="Century Schoolbook" w:hAnsi="Century Schoolbook"/>
        </w:rPr>
        <w:t>argues th</w:t>
      </w:r>
      <w:r w:rsidR="00BF453B" w:rsidRPr="00AD7DA6">
        <w:rPr>
          <w:rFonts w:ascii="Century Schoolbook" w:hAnsi="Century Schoolbook"/>
        </w:rPr>
        <w:t xml:space="preserve">at the jury could not have calculated a benefit-of-the-bargain damages award </w:t>
      </w:r>
      <w:r w:rsidR="007A4E66" w:rsidRPr="00AD7DA6">
        <w:rPr>
          <w:rFonts w:ascii="Century Schoolbook" w:hAnsi="Century Schoolbook"/>
        </w:rPr>
        <w:t xml:space="preserve">because such </w:t>
      </w:r>
      <w:r w:rsidR="00E6171B" w:rsidRPr="00AD7DA6">
        <w:rPr>
          <w:rFonts w:ascii="Century Schoolbook" w:hAnsi="Century Schoolbook"/>
        </w:rPr>
        <w:t xml:space="preserve">damages require that </w:t>
      </w:r>
      <w:r w:rsidR="00414593" w:rsidRPr="00AD7DA6">
        <w:rPr>
          <w:rFonts w:ascii="Century Schoolbook" w:hAnsi="Century Schoolbook"/>
        </w:rPr>
        <w:t>both the</w:t>
      </w:r>
      <w:r w:rsidR="00E6171B" w:rsidRPr="00AD7DA6">
        <w:rPr>
          <w:rFonts w:ascii="Century Schoolbook" w:hAnsi="Century Schoolbook"/>
        </w:rPr>
        <w:t xml:space="preserve"> </w:t>
      </w:r>
      <w:r w:rsidR="00A952A6" w:rsidRPr="00AD7DA6">
        <w:rPr>
          <w:rFonts w:ascii="Century Schoolbook" w:hAnsi="Century Schoolbook"/>
        </w:rPr>
        <w:t xml:space="preserve">scope of promised work </w:t>
      </w:r>
      <w:r w:rsidR="00762B62" w:rsidRPr="00AD7DA6">
        <w:rPr>
          <w:rFonts w:ascii="Century Schoolbook" w:hAnsi="Century Schoolbook"/>
        </w:rPr>
        <w:t xml:space="preserve">and the actual value received (i.e., the </w:t>
      </w:r>
      <w:r w:rsidR="00EE60BA" w:rsidRPr="00AD7DA6">
        <w:rPr>
          <w:rFonts w:ascii="Century Schoolbook" w:hAnsi="Century Schoolbook"/>
        </w:rPr>
        <w:t>actual cost to</w:t>
      </w:r>
      <w:r w:rsidR="0040004C" w:rsidRPr="00AD7DA6">
        <w:rPr>
          <w:rFonts w:ascii="Century Schoolbook" w:hAnsi="Century Schoolbook"/>
        </w:rPr>
        <w:t xml:space="preserve"> </w:t>
      </w:r>
      <w:r w:rsidR="00EE60BA" w:rsidRPr="00AD7DA6">
        <w:rPr>
          <w:rFonts w:ascii="Century Schoolbook" w:hAnsi="Century Schoolbook"/>
        </w:rPr>
        <w:t xml:space="preserve">accomplish the renovations) </w:t>
      </w:r>
      <w:r w:rsidR="006D5FA3" w:rsidRPr="00AD7DA6">
        <w:rPr>
          <w:rFonts w:ascii="Century Schoolbook" w:hAnsi="Century Schoolbook"/>
        </w:rPr>
        <w:t xml:space="preserve">be definite </w:t>
      </w:r>
      <w:r w:rsidR="00157D9B" w:rsidRPr="00AD7DA6">
        <w:rPr>
          <w:rFonts w:ascii="Century Schoolbook" w:hAnsi="Century Schoolbook"/>
        </w:rPr>
        <w:t xml:space="preserve">and </w:t>
      </w:r>
      <w:r w:rsidR="00E31E8A" w:rsidRPr="00AD7DA6">
        <w:rPr>
          <w:rFonts w:ascii="Century Schoolbook" w:hAnsi="Century Schoolbook"/>
        </w:rPr>
        <w:t>concrete</w:t>
      </w:r>
      <w:r w:rsidRPr="00AD7DA6">
        <w:rPr>
          <w:rFonts w:ascii="Century Schoolbook" w:hAnsi="Century Schoolbook"/>
        </w:rPr>
        <w:t xml:space="preserve">.  Moore’s damages </w:t>
      </w:r>
      <w:r w:rsidR="00F3313D" w:rsidRPr="00AD7DA6">
        <w:rPr>
          <w:rFonts w:ascii="Century Schoolbook" w:hAnsi="Century Schoolbook"/>
        </w:rPr>
        <w:t>were</w:t>
      </w:r>
      <w:r w:rsidRPr="00AD7DA6">
        <w:rPr>
          <w:rFonts w:ascii="Century Schoolbook" w:hAnsi="Century Schoolbook"/>
        </w:rPr>
        <w:t xml:space="preserve"> too </w:t>
      </w:r>
      <w:r w:rsidR="00116D08" w:rsidRPr="00AD7DA6">
        <w:rPr>
          <w:rFonts w:ascii="Century Schoolbook" w:hAnsi="Century Schoolbook"/>
        </w:rPr>
        <w:t>speculative</w:t>
      </w:r>
      <w:r w:rsidRPr="00AD7DA6">
        <w:rPr>
          <w:rFonts w:ascii="Century Schoolbook" w:hAnsi="Century Schoolbook"/>
        </w:rPr>
        <w:t xml:space="preserve"> because the project that Teed said would cost $900,000 was never built as the construction plans “were in a constant state of change” due to </w:t>
      </w:r>
      <w:r w:rsidR="00E62113" w:rsidRPr="00AD7DA6">
        <w:rPr>
          <w:rFonts w:ascii="Century Schoolbook" w:hAnsi="Century Schoolbook"/>
        </w:rPr>
        <w:t>extensive</w:t>
      </w:r>
      <w:r w:rsidRPr="00AD7DA6">
        <w:rPr>
          <w:rFonts w:ascii="Century Schoolbook" w:hAnsi="Century Schoolbook"/>
        </w:rPr>
        <w:t xml:space="preserve"> revisions Moore made to the plans over time.  Teed also claims the </w:t>
      </w:r>
      <w:r w:rsidR="00D803B0" w:rsidRPr="00AD7DA6">
        <w:rPr>
          <w:rFonts w:ascii="Century Schoolbook" w:hAnsi="Century Schoolbook"/>
        </w:rPr>
        <w:t xml:space="preserve">actual cost to </w:t>
      </w:r>
      <w:r w:rsidR="00227768" w:rsidRPr="00AD7DA6">
        <w:rPr>
          <w:rFonts w:ascii="Century Schoolbook" w:hAnsi="Century Schoolbook"/>
        </w:rPr>
        <w:t xml:space="preserve">perform the work </w:t>
      </w:r>
      <w:r w:rsidR="00BF6A59" w:rsidRPr="00AD7DA6">
        <w:rPr>
          <w:rFonts w:ascii="Century Schoolbook" w:hAnsi="Century Schoolbook"/>
        </w:rPr>
        <w:t>rested on</w:t>
      </w:r>
      <w:r w:rsidR="00227768" w:rsidRPr="00AD7DA6">
        <w:rPr>
          <w:rFonts w:ascii="Century Schoolbook" w:hAnsi="Century Schoolbook"/>
        </w:rPr>
        <w:t xml:space="preserve"> </w:t>
      </w:r>
      <w:r w:rsidR="00083EA1" w:rsidRPr="00AD7DA6">
        <w:rPr>
          <w:rFonts w:ascii="Century Schoolbook" w:hAnsi="Century Schoolbook"/>
        </w:rPr>
        <w:t>conjecture</w:t>
      </w:r>
      <w:r w:rsidR="00227768" w:rsidRPr="00AD7DA6">
        <w:rPr>
          <w:rFonts w:ascii="Century Schoolbook" w:hAnsi="Century Schoolbook"/>
        </w:rPr>
        <w:t xml:space="preserve"> because the project as contemplated </w:t>
      </w:r>
      <w:r w:rsidR="00191ADC" w:rsidRPr="00AD7DA6">
        <w:rPr>
          <w:rFonts w:ascii="Century Schoolbook" w:hAnsi="Century Schoolbook"/>
        </w:rPr>
        <w:t xml:space="preserve">during </w:t>
      </w:r>
      <w:proofErr w:type="spellStart"/>
      <w:r w:rsidR="00191ADC" w:rsidRPr="00AD7DA6">
        <w:rPr>
          <w:rFonts w:ascii="Century Schoolbook" w:hAnsi="Century Schoolbook"/>
        </w:rPr>
        <w:t>Teed’s</w:t>
      </w:r>
      <w:proofErr w:type="spellEnd"/>
      <w:r w:rsidR="00191ADC" w:rsidRPr="00AD7DA6">
        <w:rPr>
          <w:rFonts w:ascii="Century Schoolbook" w:hAnsi="Century Schoolbook"/>
        </w:rPr>
        <w:t xml:space="preserve"> involvement was never built</w:t>
      </w:r>
      <w:r w:rsidR="00EE2E75" w:rsidRPr="00AD7DA6">
        <w:rPr>
          <w:rFonts w:ascii="Century Schoolbook" w:hAnsi="Century Schoolbook"/>
        </w:rPr>
        <w:t>.</w:t>
      </w:r>
      <w:r w:rsidR="00891443" w:rsidRPr="00AD7DA6">
        <w:rPr>
          <w:rFonts w:ascii="Century Schoolbook" w:hAnsi="Century Schoolbook"/>
        </w:rPr>
        <w:t xml:space="preserve"> </w:t>
      </w:r>
      <w:r w:rsidR="00EE2E75" w:rsidRPr="00AD7DA6">
        <w:rPr>
          <w:rFonts w:ascii="Century Schoolbook" w:hAnsi="Century Schoolbook"/>
        </w:rPr>
        <w:t xml:space="preserve"> T</w:t>
      </w:r>
      <w:r w:rsidR="00891443" w:rsidRPr="00AD7DA6">
        <w:rPr>
          <w:rFonts w:ascii="Century Schoolbook" w:hAnsi="Century Schoolbook"/>
        </w:rPr>
        <w:t xml:space="preserve">he hypothetical costs due to delay </w:t>
      </w:r>
      <w:r w:rsidR="0013013B" w:rsidRPr="00AD7DA6">
        <w:rPr>
          <w:rFonts w:ascii="Century Schoolbook" w:hAnsi="Century Schoolbook"/>
        </w:rPr>
        <w:t xml:space="preserve">must fall away </w:t>
      </w:r>
      <w:r w:rsidR="00EE2E75" w:rsidRPr="00AD7DA6">
        <w:rPr>
          <w:rFonts w:ascii="Century Schoolbook" w:hAnsi="Century Schoolbook"/>
        </w:rPr>
        <w:t>for the same reason</w:t>
      </w:r>
      <w:r w:rsidR="00B47CF1" w:rsidRPr="00AD7DA6">
        <w:rPr>
          <w:rFonts w:ascii="Century Schoolbook" w:hAnsi="Century Schoolbook"/>
        </w:rPr>
        <w:t>s</w:t>
      </w:r>
      <w:r w:rsidR="00191ADC" w:rsidRPr="00AD7DA6">
        <w:rPr>
          <w:rFonts w:ascii="Century Schoolbook" w:hAnsi="Century Schoolbook"/>
        </w:rPr>
        <w:t xml:space="preserve">. </w:t>
      </w:r>
      <w:r w:rsidRPr="00AD7DA6">
        <w:rPr>
          <w:rFonts w:ascii="Century Schoolbook" w:hAnsi="Century Schoolbook"/>
        </w:rPr>
        <w:t xml:space="preserve"> </w:t>
      </w:r>
      <w:r w:rsidR="005D1CE4" w:rsidRPr="00AD7DA6">
        <w:rPr>
          <w:rFonts w:ascii="Century Schoolbook" w:hAnsi="Century Schoolbook"/>
        </w:rPr>
        <w:t xml:space="preserve">We are not persuaded that the evidentiary record is </w:t>
      </w:r>
      <w:r w:rsidR="00F35C71" w:rsidRPr="00AD7DA6">
        <w:rPr>
          <w:rFonts w:ascii="Century Schoolbook" w:hAnsi="Century Schoolbook"/>
        </w:rPr>
        <w:t>too indefinite to support the damages award</w:t>
      </w:r>
      <w:r w:rsidR="003219D8" w:rsidRPr="00AD7DA6">
        <w:rPr>
          <w:rFonts w:ascii="Century Schoolbook" w:hAnsi="Century Schoolbook"/>
        </w:rPr>
        <w:t xml:space="preserve"> or that the jury </w:t>
      </w:r>
      <w:r w:rsidR="00024F34" w:rsidRPr="00AD7DA6">
        <w:rPr>
          <w:rFonts w:ascii="Century Schoolbook" w:hAnsi="Century Schoolbook"/>
        </w:rPr>
        <w:t>was erroneously instructed in the calculation of such damages</w:t>
      </w:r>
      <w:r w:rsidR="00F35C71" w:rsidRPr="00AD7DA6">
        <w:rPr>
          <w:rFonts w:ascii="Century Schoolbook" w:hAnsi="Century Schoolbook"/>
        </w:rPr>
        <w:t xml:space="preserve">. </w:t>
      </w:r>
      <w:r w:rsidR="00A52EE3" w:rsidRPr="00AD7DA6">
        <w:rPr>
          <w:rFonts w:ascii="Century Schoolbook" w:hAnsi="Century Schoolbook"/>
        </w:rPr>
        <w:t xml:space="preserve"> </w:t>
      </w:r>
    </w:p>
    <w:p w14:paraId="456F23C5" w14:textId="075E595D" w:rsidR="00111A2F" w:rsidRPr="00AD7DA6" w:rsidRDefault="00B13AC9" w:rsidP="00DF6273">
      <w:pPr>
        <w:spacing w:line="360" w:lineRule="auto"/>
        <w:rPr>
          <w:rFonts w:ascii="Century Schoolbook" w:hAnsi="Century Schoolbook"/>
        </w:rPr>
      </w:pPr>
      <w:r w:rsidRPr="00AD7DA6">
        <w:rPr>
          <w:rFonts w:ascii="Century Schoolbook" w:hAnsi="Century Schoolbook"/>
        </w:rPr>
        <w:tab/>
      </w:r>
      <w:r w:rsidR="002A7C56" w:rsidRPr="00AD7DA6">
        <w:rPr>
          <w:rFonts w:ascii="Century Schoolbook" w:hAnsi="Century Schoolbook"/>
        </w:rPr>
        <w:t>“Whatever its measure in a given case, it is fundamental that ‘damages which are speculative, remote, imaginary, contingent, or merely possible cannot serve as a legal basis for recovery.  [Citations.]’  [Citations.]  However, recovery is allowed if claimed benefits are reasonably certain to have been realized but for the wrongful act of the opposing party.”  (</w:t>
      </w:r>
      <w:proofErr w:type="spellStart"/>
      <w:r w:rsidR="002A7C56" w:rsidRPr="00AD7DA6">
        <w:rPr>
          <w:rFonts w:ascii="Century Schoolbook" w:hAnsi="Century Schoolbook"/>
          <w:i/>
        </w:rPr>
        <w:t>Piscitelli</w:t>
      </w:r>
      <w:proofErr w:type="spellEnd"/>
      <w:r w:rsidR="002A7C56" w:rsidRPr="00AD7DA6">
        <w:rPr>
          <w:rFonts w:ascii="Century Schoolbook" w:hAnsi="Century Schoolbook"/>
          <w:i/>
        </w:rPr>
        <w:t xml:space="preserve"> v. </w:t>
      </w:r>
      <w:proofErr w:type="spellStart"/>
      <w:r w:rsidR="002A7C56" w:rsidRPr="00AD7DA6">
        <w:rPr>
          <w:rFonts w:ascii="Century Schoolbook" w:hAnsi="Century Schoolbook"/>
          <w:i/>
        </w:rPr>
        <w:t>Friedenberg</w:t>
      </w:r>
      <w:proofErr w:type="spellEnd"/>
      <w:r w:rsidR="002A7C56" w:rsidRPr="00AD7DA6">
        <w:rPr>
          <w:rFonts w:ascii="Century Schoolbook" w:hAnsi="Century Schoolbook"/>
        </w:rPr>
        <w:t xml:space="preserve"> (2001) 87 Cal.App.4th 953, 989.) </w:t>
      </w:r>
      <w:r w:rsidR="00E6330A" w:rsidRPr="00AD7DA6">
        <w:rPr>
          <w:rFonts w:ascii="Century Schoolbook" w:hAnsi="Century Schoolbook"/>
        </w:rPr>
        <w:t xml:space="preserve"> </w:t>
      </w:r>
    </w:p>
    <w:p w14:paraId="1553C9A1" w14:textId="1F4918F6" w:rsidR="00597C15" w:rsidRPr="00AD7DA6" w:rsidRDefault="00111A2F" w:rsidP="00DF6273">
      <w:pPr>
        <w:spacing w:line="360" w:lineRule="auto"/>
        <w:rPr>
          <w:rFonts w:ascii="Century Schoolbook" w:hAnsi="Century Schoolbook"/>
        </w:rPr>
      </w:pPr>
      <w:r w:rsidRPr="00AD7DA6">
        <w:rPr>
          <w:rFonts w:ascii="Century Schoolbook" w:hAnsi="Century Schoolbook"/>
        </w:rPr>
        <w:tab/>
      </w:r>
      <w:r w:rsidR="00E6330A" w:rsidRPr="00AD7DA6">
        <w:rPr>
          <w:rFonts w:ascii="Century Schoolbook" w:hAnsi="Century Schoolbook"/>
        </w:rPr>
        <w:t xml:space="preserve">As a preliminary matter, </w:t>
      </w:r>
      <w:proofErr w:type="spellStart"/>
      <w:r w:rsidR="00E6330A" w:rsidRPr="00AD7DA6">
        <w:rPr>
          <w:rFonts w:ascii="Century Schoolbook" w:hAnsi="Century Schoolbook"/>
        </w:rPr>
        <w:t>Teed’s</w:t>
      </w:r>
      <w:proofErr w:type="spellEnd"/>
      <w:r w:rsidR="00E6330A" w:rsidRPr="00AD7DA6">
        <w:rPr>
          <w:rFonts w:ascii="Century Schoolbook" w:hAnsi="Century Schoolbook"/>
        </w:rPr>
        <w:t xml:space="preserve"> argument</w:t>
      </w:r>
      <w:r w:rsidR="00CB3A52" w:rsidRPr="00AD7DA6">
        <w:rPr>
          <w:rFonts w:ascii="Century Schoolbook" w:hAnsi="Century Schoolbook"/>
        </w:rPr>
        <w:t xml:space="preserve"> </w:t>
      </w:r>
      <w:r w:rsidR="0074719C" w:rsidRPr="00AD7DA6">
        <w:rPr>
          <w:rFonts w:ascii="Century Schoolbook" w:hAnsi="Century Schoolbook"/>
        </w:rPr>
        <w:t xml:space="preserve">that the scope of the promised renovations was too indefinite to support the damages award </w:t>
      </w:r>
      <w:r w:rsidR="0074719C" w:rsidRPr="00AD7DA6">
        <w:rPr>
          <w:rFonts w:ascii="Century Schoolbook" w:hAnsi="Century Schoolbook"/>
        </w:rPr>
        <w:lastRenderedPageBreak/>
        <w:t xml:space="preserve">stands in tension with his concession on liability.  </w:t>
      </w:r>
      <w:r w:rsidR="00597C15" w:rsidRPr="00AD7DA6">
        <w:rPr>
          <w:rFonts w:ascii="Century Schoolbook" w:hAnsi="Century Schoolbook"/>
        </w:rPr>
        <w:t xml:space="preserve">We </w:t>
      </w:r>
      <w:r w:rsidR="00E65224" w:rsidRPr="00AD7DA6">
        <w:rPr>
          <w:rFonts w:ascii="Century Schoolbook" w:hAnsi="Century Schoolbook"/>
        </w:rPr>
        <w:t xml:space="preserve">must </w:t>
      </w:r>
      <w:r w:rsidR="00597C15" w:rsidRPr="00AD7DA6">
        <w:rPr>
          <w:rFonts w:ascii="Century Schoolbook" w:hAnsi="Century Schoolbook"/>
        </w:rPr>
        <w:t xml:space="preserve">accept </w:t>
      </w:r>
      <w:r w:rsidR="003F0A90" w:rsidRPr="00AD7DA6">
        <w:rPr>
          <w:rFonts w:ascii="Century Schoolbook" w:hAnsi="Century Schoolbook"/>
        </w:rPr>
        <w:t xml:space="preserve">all facts in support of </w:t>
      </w:r>
      <w:r w:rsidR="00F06375" w:rsidRPr="00AD7DA6">
        <w:rPr>
          <w:rFonts w:ascii="Century Schoolbook" w:hAnsi="Century Schoolbook"/>
        </w:rPr>
        <w:t xml:space="preserve">his </w:t>
      </w:r>
      <w:r w:rsidR="003F0A90" w:rsidRPr="00AD7DA6">
        <w:rPr>
          <w:rFonts w:ascii="Century Schoolbook" w:hAnsi="Century Schoolbook"/>
        </w:rPr>
        <w:t>liability</w:t>
      </w:r>
      <w:r w:rsidR="00F06375" w:rsidRPr="00AD7DA6">
        <w:rPr>
          <w:rFonts w:ascii="Century Schoolbook" w:hAnsi="Century Schoolbook"/>
        </w:rPr>
        <w:t xml:space="preserve"> for fraud, </w:t>
      </w:r>
      <w:r w:rsidR="00325C1A" w:rsidRPr="00AD7DA6">
        <w:rPr>
          <w:rFonts w:ascii="Century Schoolbook" w:hAnsi="Century Schoolbook"/>
        </w:rPr>
        <w:t xml:space="preserve">including that he held himself out as an </w:t>
      </w:r>
      <w:r w:rsidR="00EA7BC7" w:rsidRPr="00AD7DA6">
        <w:rPr>
          <w:rFonts w:ascii="Century Schoolbook" w:hAnsi="Century Schoolbook"/>
        </w:rPr>
        <w:t xml:space="preserve">experienced contractor and renovator of houses </w:t>
      </w:r>
      <w:r w:rsidR="00354F92" w:rsidRPr="00AD7DA6">
        <w:rPr>
          <w:rFonts w:ascii="Century Schoolbook" w:hAnsi="Century Schoolbook"/>
        </w:rPr>
        <w:t xml:space="preserve">and that </w:t>
      </w:r>
      <w:r w:rsidR="005740BA" w:rsidRPr="00AD7DA6">
        <w:rPr>
          <w:rFonts w:ascii="Century Schoolbook" w:hAnsi="Century Schoolbook"/>
        </w:rPr>
        <w:t xml:space="preserve">he </w:t>
      </w:r>
      <w:r w:rsidR="0035552D" w:rsidRPr="00AD7DA6">
        <w:rPr>
          <w:rFonts w:ascii="Century Schoolbook" w:hAnsi="Century Schoolbook"/>
        </w:rPr>
        <w:t xml:space="preserve">falsely </w:t>
      </w:r>
      <w:r w:rsidR="005740BA" w:rsidRPr="00AD7DA6">
        <w:rPr>
          <w:rFonts w:ascii="Century Schoolbook" w:hAnsi="Century Schoolbook"/>
        </w:rPr>
        <w:t xml:space="preserve">represented to Moore that </w:t>
      </w:r>
      <w:r w:rsidR="00A23C03" w:rsidRPr="00AD7DA6">
        <w:rPr>
          <w:rFonts w:ascii="Century Schoolbook" w:hAnsi="Century Schoolbook"/>
        </w:rPr>
        <w:t xml:space="preserve">he and his team could deliver a </w:t>
      </w:r>
      <w:r w:rsidR="00FA3EB0" w:rsidRPr="00AD7DA6">
        <w:rPr>
          <w:rFonts w:ascii="Century Schoolbook" w:hAnsi="Century Schoolbook"/>
        </w:rPr>
        <w:t xml:space="preserve">set of </w:t>
      </w:r>
      <w:r w:rsidRPr="00AD7DA6">
        <w:rPr>
          <w:rFonts w:ascii="Century Schoolbook" w:hAnsi="Century Schoolbook"/>
        </w:rPr>
        <w:t xml:space="preserve">specific </w:t>
      </w:r>
      <w:r w:rsidR="00FA3EB0" w:rsidRPr="00AD7DA6">
        <w:rPr>
          <w:rFonts w:ascii="Century Schoolbook" w:hAnsi="Century Schoolbook"/>
        </w:rPr>
        <w:t xml:space="preserve">renovations </w:t>
      </w:r>
      <w:r w:rsidR="00A23C03" w:rsidRPr="00AD7DA6">
        <w:rPr>
          <w:rFonts w:ascii="Century Schoolbook" w:hAnsi="Century Schoolbook"/>
        </w:rPr>
        <w:t xml:space="preserve">for only $900,000. </w:t>
      </w:r>
      <w:r w:rsidR="00061948" w:rsidRPr="00AD7DA6">
        <w:rPr>
          <w:rFonts w:ascii="Century Schoolbook" w:hAnsi="Century Schoolbook"/>
        </w:rPr>
        <w:t xml:space="preserve"> The record </w:t>
      </w:r>
      <w:r w:rsidR="004A3F28" w:rsidRPr="00AD7DA6">
        <w:rPr>
          <w:rFonts w:ascii="Century Schoolbook" w:hAnsi="Century Schoolbook"/>
        </w:rPr>
        <w:t>evinces</w:t>
      </w:r>
      <w:r w:rsidR="00061948" w:rsidRPr="00AD7DA6">
        <w:rPr>
          <w:rFonts w:ascii="Century Schoolbook" w:hAnsi="Century Schoolbook"/>
        </w:rPr>
        <w:t xml:space="preserve"> that </w:t>
      </w:r>
      <w:proofErr w:type="spellStart"/>
      <w:r w:rsidR="00BD48C6" w:rsidRPr="00AD7DA6">
        <w:rPr>
          <w:rFonts w:ascii="Century Schoolbook" w:hAnsi="Century Schoolbook"/>
        </w:rPr>
        <w:t>Teed’s</w:t>
      </w:r>
      <w:proofErr w:type="spellEnd"/>
      <w:r w:rsidR="00BD48C6" w:rsidRPr="00AD7DA6">
        <w:rPr>
          <w:rFonts w:ascii="Century Schoolbook" w:hAnsi="Century Schoolbook"/>
        </w:rPr>
        <w:t xml:space="preserve"> conversations with Moore and Moore’s father generated a sufficiently clear scope of work for the promised renovations</w:t>
      </w:r>
      <w:r w:rsidR="006E4F4A" w:rsidRPr="00AD7DA6">
        <w:rPr>
          <w:rFonts w:ascii="Century Schoolbook" w:hAnsi="Century Schoolbook"/>
        </w:rPr>
        <w:t xml:space="preserve"> prior to the close of escrow.  </w:t>
      </w:r>
      <w:r w:rsidR="000934B0" w:rsidRPr="00AD7DA6">
        <w:rPr>
          <w:rFonts w:ascii="Century Schoolbook" w:hAnsi="Century Schoolbook"/>
        </w:rPr>
        <w:t xml:space="preserve">In one such conversation, </w:t>
      </w:r>
      <w:r w:rsidR="00EA54BE" w:rsidRPr="00AD7DA6">
        <w:rPr>
          <w:rFonts w:ascii="Century Schoolbook" w:hAnsi="Century Schoolbook"/>
        </w:rPr>
        <w:t xml:space="preserve">Teed and Moore’s father </w:t>
      </w:r>
      <w:r w:rsidR="00DD6AD4" w:rsidRPr="00AD7DA6">
        <w:rPr>
          <w:rFonts w:ascii="Century Schoolbook" w:hAnsi="Century Schoolbook"/>
        </w:rPr>
        <w:t xml:space="preserve">discussed </w:t>
      </w:r>
      <w:r w:rsidR="000934B0" w:rsidRPr="00AD7DA6">
        <w:rPr>
          <w:rFonts w:ascii="Century Schoolbook" w:hAnsi="Century Schoolbook"/>
        </w:rPr>
        <w:t xml:space="preserve">on a line-by-line basis what the cost of construction would be for a </w:t>
      </w:r>
      <w:r w:rsidR="00E10D48" w:rsidRPr="00AD7DA6">
        <w:rPr>
          <w:rFonts w:ascii="Century Schoolbook" w:hAnsi="Century Schoolbook"/>
        </w:rPr>
        <w:t>list</w:t>
      </w:r>
      <w:r w:rsidR="000934B0" w:rsidRPr="00AD7DA6">
        <w:rPr>
          <w:rFonts w:ascii="Century Schoolbook" w:hAnsi="Century Schoolbook"/>
        </w:rPr>
        <w:t xml:space="preserve"> of </w:t>
      </w:r>
      <w:r w:rsidR="004F0BDE" w:rsidRPr="00AD7DA6">
        <w:rPr>
          <w:rFonts w:ascii="Century Schoolbook" w:hAnsi="Century Schoolbook"/>
        </w:rPr>
        <w:t>renovations</w:t>
      </w:r>
      <w:r w:rsidR="0005587B">
        <w:rPr>
          <w:rFonts w:ascii="Century Schoolbook" w:hAnsi="Century Schoolbook"/>
        </w:rPr>
        <w:t>,</w:t>
      </w:r>
      <w:r w:rsidR="00572E4D" w:rsidRPr="00AD7DA6">
        <w:rPr>
          <w:rFonts w:ascii="Century Schoolbook" w:hAnsi="Century Schoolbook"/>
        </w:rPr>
        <w:t xml:space="preserve"> with the costs totaling $900,000</w:t>
      </w:r>
      <w:r w:rsidR="00DD6AD4" w:rsidRPr="00AD7DA6">
        <w:rPr>
          <w:rFonts w:ascii="Century Schoolbook" w:hAnsi="Century Schoolbook"/>
        </w:rPr>
        <w:t>.</w:t>
      </w:r>
      <w:r w:rsidR="00A52EE3" w:rsidRPr="00AD7DA6">
        <w:rPr>
          <w:rFonts w:ascii="Century Schoolbook" w:hAnsi="Century Schoolbook"/>
        </w:rPr>
        <w:t xml:space="preserve"> </w:t>
      </w:r>
      <w:r w:rsidR="00EF3A28" w:rsidRPr="00AD7DA6">
        <w:rPr>
          <w:rFonts w:ascii="Century Schoolbook" w:hAnsi="Century Schoolbook"/>
        </w:rPr>
        <w:t xml:space="preserve"> </w:t>
      </w:r>
      <w:r w:rsidR="00572E4D" w:rsidRPr="00AD7DA6">
        <w:rPr>
          <w:rFonts w:ascii="Century Schoolbook" w:hAnsi="Century Schoolbook"/>
        </w:rPr>
        <w:t>That the renovation</w:t>
      </w:r>
      <w:r w:rsidR="002722B4" w:rsidRPr="00AD7DA6">
        <w:rPr>
          <w:rFonts w:ascii="Century Schoolbook" w:hAnsi="Century Schoolbook"/>
        </w:rPr>
        <w:t xml:space="preserve"> concepts</w:t>
      </w:r>
      <w:r w:rsidR="00BA109E" w:rsidRPr="00AD7DA6">
        <w:rPr>
          <w:rFonts w:ascii="Century Schoolbook" w:hAnsi="Century Schoolbook"/>
        </w:rPr>
        <w:t xml:space="preserve"> were </w:t>
      </w:r>
      <w:r w:rsidR="002722B4" w:rsidRPr="00AD7DA6">
        <w:rPr>
          <w:rFonts w:ascii="Century Schoolbook" w:hAnsi="Century Schoolbook"/>
        </w:rPr>
        <w:t>modified</w:t>
      </w:r>
      <w:r w:rsidR="00BA109E" w:rsidRPr="00AD7DA6">
        <w:rPr>
          <w:rFonts w:ascii="Century Schoolbook" w:hAnsi="Century Schoolbook"/>
        </w:rPr>
        <w:t xml:space="preserve"> in follow</w:t>
      </w:r>
      <w:r w:rsidR="003D003F" w:rsidRPr="00AD7DA6">
        <w:rPr>
          <w:rFonts w:ascii="Century Schoolbook" w:hAnsi="Century Schoolbook"/>
        </w:rPr>
        <w:t>-</w:t>
      </w:r>
      <w:r w:rsidR="00BA109E" w:rsidRPr="00AD7DA6">
        <w:rPr>
          <w:rFonts w:ascii="Century Schoolbook" w:hAnsi="Century Schoolbook"/>
        </w:rPr>
        <w:t>up conversations with Teed and architect De</w:t>
      </w:r>
      <w:r w:rsidR="002722B4" w:rsidRPr="00AD7DA6">
        <w:rPr>
          <w:rFonts w:ascii="Century Schoolbook" w:hAnsi="Century Schoolbook"/>
        </w:rPr>
        <w:t xml:space="preserve"> Meza</w:t>
      </w:r>
      <w:r w:rsidR="00BA109E" w:rsidRPr="00AD7DA6">
        <w:rPr>
          <w:rFonts w:ascii="Century Schoolbook" w:hAnsi="Century Schoolbook"/>
        </w:rPr>
        <w:t xml:space="preserve"> </w:t>
      </w:r>
      <w:r w:rsidR="00EE4384" w:rsidRPr="00AD7DA6">
        <w:rPr>
          <w:rFonts w:ascii="Century Schoolbook" w:hAnsi="Century Schoolbook"/>
        </w:rPr>
        <w:t xml:space="preserve">does not </w:t>
      </w:r>
      <w:r w:rsidR="008E5A2A" w:rsidRPr="00AD7DA6">
        <w:rPr>
          <w:rFonts w:ascii="Century Schoolbook" w:hAnsi="Century Schoolbook"/>
        </w:rPr>
        <w:t xml:space="preserve">render this evidence </w:t>
      </w:r>
      <w:r w:rsidR="006D05F3" w:rsidRPr="00AD7DA6">
        <w:rPr>
          <w:rFonts w:ascii="Century Schoolbook" w:hAnsi="Century Schoolbook"/>
        </w:rPr>
        <w:t xml:space="preserve">remote or </w:t>
      </w:r>
      <w:r w:rsidR="00FB5E24" w:rsidRPr="00AD7DA6">
        <w:rPr>
          <w:rFonts w:ascii="Century Schoolbook" w:hAnsi="Century Schoolbook"/>
        </w:rPr>
        <w:t>illusory</w:t>
      </w:r>
      <w:r w:rsidR="006D05F3" w:rsidRPr="00AD7DA6">
        <w:rPr>
          <w:rFonts w:ascii="Century Schoolbook" w:hAnsi="Century Schoolbook"/>
        </w:rPr>
        <w:t xml:space="preserve">.  </w:t>
      </w:r>
    </w:p>
    <w:p w14:paraId="3428B981" w14:textId="2D093CFF" w:rsidR="007B32E3" w:rsidRPr="00AD7DA6" w:rsidRDefault="00DF0ED4" w:rsidP="00DF6273">
      <w:pPr>
        <w:spacing w:line="360" w:lineRule="auto"/>
        <w:rPr>
          <w:rFonts w:ascii="Century Schoolbook" w:hAnsi="Century Schoolbook"/>
        </w:rPr>
      </w:pPr>
      <w:r w:rsidRPr="00AD7DA6">
        <w:rPr>
          <w:rFonts w:ascii="Century Schoolbook" w:hAnsi="Century Schoolbook"/>
        </w:rPr>
        <w:tab/>
      </w:r>
      <w:r w:rsidR="00E7674D" w:rsidRPr="00AD7DA6">
        <w:rPr>
          <w:rFonts w:ascii="Century Schoolbook" w:hAnsi="Century Schoolbook"/>
        </w:rPr>
        <w:t xml:space="preserve">We must also reject </w:t>
      </w:r>
      <w:proofErr w:type="spellStart"/>
      <w:r w:rsidR="00E7674D" w:rsidRPr="00AD7DA6">
        <w:rPr>
          <w:rFonts w:ascii="Century Schoolbook" w:hAnsi="Century Schoolbook"/>
        </w:rPr>
        <w:t>Teed’s</w:t>
      </w:r>
      <w:proofErr w:type="spellEnd"/>
      <w:r w:rsidR="00E7674D" w:rsidRPr="00AD7DA6">
        <w:rPr>
          <w:rFonts w:ascii="Century Schoolbook" w:hAnsi="Century Schoolbook"/>
        </w:rPr>
        <w:t xml:space="preserve"> claim that the</w:t>
      </w:r>
      <w:r w:rsidR="00360F1E" w:rsidRPr="00AD7DA6">
        <w:rPr>
          <w:rFonts w:ascii="Century Schoolbook" w:hAnsi="Century Schoolbook"/>
        </w:rPr>
        <w:t>re was no evidence the</w:t>
      </w:r>
      <w:r w:rsidR="00E7674D" w:rsidRPr="00AD7DA6">
        <w:rPr>
          <w:rFonts w:ascii="Century Schoolbook" w:hAnsi="Century Schoolbook"/>
        </w:rPr>
        <w:t xml:space="preserve"> </w:t>
      </w:r>
      <w:r w:rsidR="001605DB" w:rsidRPr="00AD7DA6">
        <w:rPr>
          <w:rFonts w:ascii="Century Schoolbook" w:hAnsi="Century Schoolbook"/>
        </w:rPr>
        <w:t xml:space="preserve">promised </w:t>
      </w:r>
      <w:r w:rsidR="00360F1E" w:rsidRPr="00AD7DA6">
        <w:rPr>
          <w:rFonts w:ascii="Century Schoolbook" w:hAnsi="Century Schoolbook"/>
        </w:rPr>
        <w:t xml:space="preserve">renovations were </w:t>
      </w:r>
      <w:r w:rsidR="000B6E6A" w:rsidRPr="00AD7DA6">
        <w:rPr>
          <w:rFonts w:ascii="Century Schoolbook" w:hAnsi="Century Schoolbook"/>
        </w:rPr>
        <w:t>ever</w:t>
      </w:r>
      <w:r w:rsidR="00360F1E" w:rsidRPr="00AD7DA6">
        <w:rPr>
          <w:rFonts w:ascii="Century Schoolbook" w:hAnsi="Century Schoolbook"/>
        </w:rPr>
        <w:t xml:space="preserve"> completed.  </w:t>
      </w:r>
      <w:r w:rsidR="0051178A" w:rsidRPr="00AD7DA6">
        <w:rPr>
          <w:rFonts w:ascii="Century Schoolbook" w:hAnsi="Century Schoolbook"/>
        </w:rPr>
        <w:t xml:space="preserve">As the trial court </w:t>
      </w:r>
      <w:r w:rsidR="00AE0505" w:rsidRPr="00AD7DA6">
        <w:rPr>
          <w:rFonts w:ascii="Century Schoolbook" w:hAnsi="Century Schoolbook"/>
        </w:rPr>
        <w:t>found</w:t>
      </w:r>
      <w:r w:rsidR="0051178A" w:rsidRPr="00AD7DA6">
        <w:rPr>
          <w:rFonts w:ascii="Century Schoolbook" w:hAnsi="Century Schoolbook"/>
        </w:rPr>
        <w:t xml:space="preserve"> in denying </w:t>
      </w:r>
      <w:proofErr w:type="spellStart"/>
      <w:r w:rsidR="0051178A" w:rsidRPr="00AD7DA6">
        <w:rPr>
          <w:rFonts w:ascii="Century Schoolbook" w:hAnsi="Century Schoolbook"/>
        </w:rPr>
        <w:t>Teed’s</w:t>
      </w:r>
      <w:proofErr w:type="spellEnd"/>
      <w:r w:rsidR="0051178A" w:rsidRPr="00AD7DA6">
        <w:rPr>
          <w:rFonts w:ascii="Century Schoolbook" w:hAnsi="Century Schoolbook"/>
        </w:rPr>
        <w:t xml:space="preserve"> motion for new trial</w:t>
      </w:r>
      <w:r w:rsidR="0005587B">
        <w:rPr>
          <w:rFonts w:ascii="Century Schoolbook" w:hAnsi="Century Schoolbook"/>
        </w:rPr>
        <w:t xml:space="preserve">: </w:t>
      </w:r>
      <w:r w:rsidR="0051178A" w:rsidRPr="00AD7DA6">
        <w:rPr>
          <w:rFonts w:ascii="Century Schoolbook" w:hAnsi="Century Schoolbook"/>
        </w:rPr>
        <w:t xml:space="preserve"> </w:t>
      </w:r>
      <w:r w:rsidR="00D843A2" w:rsidRPr="00AD7DA6">
        <w:rPr>
          <w:rFonts w:ascii="Century Schoolbook" w:hAnsi="Century Schoolbook"/>
        </w:rPr>
        <w:t xml:space="preserve">“[T]he most relevant misrepresentations </w:t>
      </w:r>
      <w:r w:rsidR="00893BC9" w:rsidRPr="00AD7DA6">
        <w:rPr>
          <w:rFonts w:ascii="Century Schoolbook" w:hAnsi="Century Schoolbook"/>
        </w:rPr>
        <w:t xml:space="preserve">are </w:t>
      </w:r>
      <w:proofErr w:type="spellStart"/>
      <w:r w:rsidR="00893BC9" w:rsidRPr="00AD7DA6">
        <w:rPr>
          <w:rFonts w:ascii="Century Schoolbook" w:hAnsi="Century Schoolbook"/>
        </w:rPr>
        <w:t>Teed’s</w:t>
      </w:r>
      <w:proofErr w:type="spellEnd"/>
      <w:r w:rsidR="00893BC9" w:rsidRPr="00AD7DA6">
        <w:rPr>
          <w:rFonts w:ascii="Century Schoolbook" w:hAnsi="Century Schoolbook"/>
        </w:rPr>
        <w:t xml:space="preserve"> statements that the value of his team’s renovation</w:t>
      </w:r>
      <w:r w:rsidR="007E0865" w:rsidRPr="00AD7DA6">
        <w:rPr>
          <w:rFonts w:ascii="Century Schoolbook" w:hAnsi="Century Schoolbook"/>
        </w:rPr>
        <w:t xml:space="preserve">—the </w:t>
      </w:r>
      <w:r w:rsidR="00DF0251">
        <w:rPr>
          <w:rFonts w:ascii="Century Schoolbook" w:hAnsi="Century Schoolbook"/>
        </w:rPr>
        <w:t>‘</w:t>
      </w:r>
      <w:r w:rsidR="007E0865" w:rsidRPr="00AD7DA6">
        <w:rPr>
          <w:rFonts w:ascii="Century Schoolbook" w:hAnsi="Century Schoolbook"/>
        </w:rPr>
        <w:t>Teed/De</w:t>
      </w:r>
      <w:r w:rsidR="00236F79" w:rsidRPr="00AD7DA6">
        <w:rPr>
          <w:rFonts w:ascii="Century Schoolbook" w:hAnsi="Century Schoolbook"/>
        </w:rPr>
        <w:t> </w:t>
      </w:r>
      <w:r w:rsidR="007E0865" w:rsidRPr="00AD7DA6">
        <w:rPr>
          <w:rFonts w:ascii="Century Schoolbook" w:hAnsi="Century Schoolbook"/>
        </w:rPr>
        <w:t>Meza project</w:t>
      </w:r>
      <w:r w:rsidR="00DF0251">
        <w:rPr>
          <w:rFonts w:ascii="Century Schoolbook" w:hAnsi="Century Schoolbook"/>
        </w:rPr>
        <w:t>’</w:t>
      </w:r>
      <w:r w:rsidR="007E0865" w:rsidRPr="00AD7DA6">
        <w:rPr>
          <w:rFonts w:ascii="Century Schoolbook" w:hAnsi="Century Schoolbook"/>
        </w:rPr>
        <w:t xml:space="preserve">—would be $900,000.  Eventually, </w:t>
      </w:r>
      <w:r w:rsidR="007E0865" w:rsidRPr="00AD7DA6">
        <w:rPr>
          <w:rFonts w:ascii="Century Schoolbook" w:hAnsi="Century Schoolbook"/>
          <w:i/>
          <w:iCs/>
        </w:rPr>
        <w:t xml:space="preserve">Moore </w:t>
      </w:r>
      <w:proofErr w:type="gramStart"/>
      <w:r w:rsidR="007E0865" w:rsidRPr="00AD7DA6">
        <w:rPr>
          <w:rFonts w:ascii="Century Schoolbook" w:hAnsi="Century Schoolbook"/>
          <w:i/>
          <w:iCs/>
        </w:rPr>
        <w:t>actually received</w:t>
      </w:r>
      <w:proofErr w:type="gramEnd"/>
      <w:r w:rsidR="007E0865" w:rsidRPr="00AD7DA6">
        <w:rPr>
          <w:rFonts w:ascii="Century Schoolbook" w:hAnsi="Century Schoolbook"/>
          <w:i/>
          <w:iCs/>
        </w:rPr>
        <w:t xml:space="preserve"> that renovation</w:t>
      </w:r>
      <w:r w:rsidR="00652C78" w:rsidRPr="00AD7DA6">
        <w:rPr>
          <w:rFonts w:ascii="Century Schoolbook" w:hAnsi="Century Schoolbook"/>
          <w:i/>
          <w:iCs/>
        </w:rPr>
        <w:t>,</w:t>
      </w:r>
      <w:r w:rsidR="00F05BBB" w:rsidRPr="00AD7DA6">
        <w:rPr>
          <w:rFonts w:ascii="Century Schoolbook" w:hAnsi="Century Schoolbook"/>
        </w:rPr>
        <w:t xml:space="preserve"> </w:t>
      </w:r>
      <w:r w:rsidR="00F05BBB" w:rsidRPr="00AD7DA6">
        <w:rPr>
          <w:rFonts w:ascii="Century Schoolbook" w:hAnsi="Century Schoolbook"/>
          <w:i/>
          <w:iCs/>
        </w:rPr>
        <w:t>but at far greater cost</w:t>
      </w:r>
      <w:r w:rsidR="00F05BBB" w:rsidRPr="00AD7DA6">
        <w:rPr>
          <w:rFonts w:ascii="Century Schoolbook" w:hAnsi="Century Schoolbook"/>
        </w:rPr>
        <w:t xml:space="preserve"> than the $900,000 Teed fraudulently led Moore to believe </w:t>
      </w:r>
      <w:r w:rsidR="00790901" w:rsidRPr="00AD7DA6">
        <w:rPr>
          <w:rFonts w:ascii="Century Schoolbook" w:hAnsi="Century Schoolbook"/>
        </w:rPr>
        <w:t>when convincing him to buy the house and undertake the renovation.  T</w:t>
      </w:r>
      <w:r w:rsidR="0051178A" w:rsidRPr="00AD7DA6">
        <w:rPr>
          <w:rFonts w:ascii="Century Schoolbook" w:hAnsi="Century Schoolbook"/>
        </w:rPr>
        <w:t>he damage was not speculative</w:t>
      </w:r>
      <w:r w:rsidR="002A6D23" w:rsidRPr="00AD7DA6">
        <w:rPr>
          <w:rFonts w:ascii="Century Schoolbook" w:hAnsi="Century Schoolbook"/>
        </w:rPr>
        <w:t>;</w:t>
      </w:r>
      <w:r w:rsidR="0051178A" w:rsidRPr="00AD7DA6">
        <w:rPr>
          <w:rFonts w:ascii="Century Schoolbook" w:hAnsi="Century Schoolbook"/>
        </w:rPr>
        <w:t xml:space="preserve"> it was supported by documents and by testimony from Moore, his father, Teed himself and Christine </w:t>
      </w:r>
      <w:proofErr w:type="spellStart"/>
      <w:r w:rsidR="0051178A" w:rsidRPr="00AD7DA6">
        <w:rPr>
          <w:rFonts w:ascii="Century Schoolbook" w:hAnsi="Century Schoolbook"/>
        </w:rPr>
        <w:t>Kiesling</w:t>
      </w:r>
      <w:proofErr w:type="spellEnd"/>
      <w:r w:rsidR="0051178A" w:rsidRPr="00AD7DA6">
        <w:rPr>
          <w:rFonts w:ascii="Century Schoolbook" w:hAnsi="Century Schoolbook"/>
        </w:rPr>
        <w:t>, a well-qualified expert on construction costs.”</w:t>
      </w:r>
      <w:r w:rsidR="0079391D" w:rsidRPr="00AD7DA6">
        <w:rPr>
          <w:rFonts w:ascii="Century Schoolbook" w:hAnsi="Century Schoolbook"/>
        </w:rPr>
        <w:t xml:space="preserve"> </w:t>
      </w:r>
      <w:r w:rsidR="002A6D23" w:rsidRPr="00AD7DA6">
        <w:rPr>
          <w:rFonts w:ascii="Century Schoolbook" w:hAnsi="Century Schoolbook"/>
        </w:rPr>
        <w:t xml:space="preserve"> </w:t>
      </w:r>
      <w:r w:rsidR="0079391D" w:rsidRPr="00AD7DA6">
        <w:rPr>
          <w:rFonts w:ascii="Century Schoolbook" w:hAnsi="Century Schoolbook"/>
        </w:rPr>
        <w:t>(</w:t>
      </w:r>
      <w:r w:rsidR="00236F79" w:rsidRPr="00AD7DA6">
        <w:rPr>
          <w:rFonts w:ascii="Century Schoolbook" w:hAnsi="Century Schoolbook"/>
        </w:rPr>
        <w:t>Italics</w:t>
      </w:r>
      <w:r w:rsidR="0079391D" w:rsidRPr="00AD7DA6">
        <w:rPr>
          <w:rFonts w:ascii="Century Schoolbook" w:hAnsi="Century Schoolbook"/>
        </w:rPr>
        <w:t xml:space="preserve"> added</w:t>
      </w:r>
      <w:r w:rsidR="002A6D23" w:rsidRPr="00AD7DA6">
        <w:rPr>
          <w:rFonts w:ascii="Century Schoolbook" w:hAnsi="Century Schoolbook"/>
        </w:rPr>
        <w:t xml:space="preserve">, </w:t>
      </w:r>
      <w:proofErr w:type="spellStart"/>
      <w:r w:rsidR="002A6D23" w:rsidRPr="00AD7DA6">
        <w:rPr>
          <w:rFonts w:ascii="Century Schoolbook" w:hAnsi="Century Schoolbook"/>
        </w:rPr>
        <w:t>fns</w:t>
      </w:r>
      <w:proofErr w:type="spellEnd"/>
      <w:r w:rsidR="002A6D23" w:rsidRPr="00AD7DA6">
        <w:rPr>
          <w:rFonts w:ascii="Century Schoolbook" w:hAnsi="Century Schoolbook"/>
        </w:rPr>
        <w:t>. omitted</w:t>
      </w:r>
      <w:r w:rsidR="00236F79" w:rsidRPr="00AD7DA6">
        <w:rPr>
          <w:rFonts w:ascii="Century Schoolbook" w:hAnsi="Century Schoolbook"/>
        </w:rPr>
        <w:t>.</w:t>
      </w:r>
      <w:r w:rsidR="0079391D" w:rsidRPr="00AD7DA6">
        <w:rPr>
          <w:rFonts w:ascii="Century Schoolbook" w:hAnsi="Century Schoolbook"/>
        </w:rPr>
        <w:t>)</w:t>
      </w:r>
      <w:r w:rsidR="0051178A" w:rsidRPr="00AD7DA6">
        <w:rPr>
          <w:rFonts w:ascii="Century Schoolbook" w:hAnsi="Century Schoolbook"/>
        </w:rPr>
        <w:t xml:space="preserve">  </w:t>
      </w:r>
      <w:r w:rsidR="00DE3666" w:rsidRPr="00AD7DA6">
        <w:rPr>
          <w:rFonts w:ascii="Century Schoolbook" w:hAnsi="Century Schoolbook"/>
        </w:rPr>
        <w:t xml:space="preserve">While </w:t>
      </w:r>
      <w:r w:rsidR="0061345C" w:rsidRPr="00AD7DA6">
        <w:rPr>
          <w:rFonts w:ascii="Century Schoolbook" w:hAnsi="Century Schoolbook"/>
        </w:rPr>
        <w:t xml:space="preserve">some plans were changed and the actual renovation was more expansive than </w:t>
      </w:r>
      <w:proofErr w:type="spellStart"/>
      <w:r w:rsidR="0061345C" w:rsidRPr="00AD7DA6">
        <w:rPr>
          <w:rFonts w:ascii="Century Schoolbook" w:hAnsi="Century Schoolbook"/>
        </w:rPr>
        <w:t>Teed’s</w:t>
      </w:r>
      <w:proofErr w:type="spellEnd"/>
      <w:r w:rsidR="0061345C" w:rsidRPr="00AD7DA6">
        <w:rPr>
          <w:rFonts w:ascii="Century Schoolbook" w:hAnsi="Century Schoolbook"/>
        </w:rPr>
        <w:t xml:space="preserve"> proposal</w:t>
      </w:r>
      <w:r w:rsidR="00D72FE6" w:rsidRPr="00AD7DA6">
        <w:rPr>
          <w:rFonts w:ascii="Century Schoolbook" w:hAnsi="Century Schoolbook"/>
        </w:rPr>
        <w:t>, it is undisputed that Moore did not seek to recover damages for work that went beyond what Teed had promised to deliver.</w:t>
      </w:r>
      <w:r w:rsidR="00A52EE3" w:rsidRPr="00AD7DA6">
        <w:rPr>
          <w:rFonts w:ascii="Century Schoolbook" w:hAnsi="Century Schoolbook"/>
        </w:rPr>
        <w:t xml:space="preserve">  </w:t>
      </w:r>
    </w:p>
    <w:p w14:paraId="61DC8CCC" w14:textId="545D268A" w:rsidR="00662E8F" w:rsidRPr="00AD7DA6" w:rsidRDefault="00E85AA1" w:rsidP="00A67EAE">
      <w:pPr>
        <w:spacing w:line="360" w:lineRule="auto"/>
        <w:rPr>
          <w:rFonts w:ascii="Century Schoolbook" w:hAnsi="Century Schoolbook"/>
        </w:rPr>
      </w:pPr>
      <w:r w:rsidRPr="00AD7DA6">
        <w:rPr>
          <w:rFonts w:ascii="Century Schoolbook" w:hAnsi="Century Schoolbook"/>
        </w:rPr>
        <w:lastRenderedPageBreak/>
        <w:tab/>
      </w:r>
      <w:r w:rsidR="00693EB3" w:rsidRPr="00AD7DA6">
        <w:rPr>
          <w:rFonts w:ascii="Century Schoolbook" w:hAnsi="Century Schoolbook"/>
        </w:rPr>
        <w:t xml:space="preserve">Teed </w:t>
      </w:r>
      <w:r w:rsidR="0095550A" w:rsidRPr="00AD7DA6">
        <w:rPr>
          <w:rFonts w:ascii="Century Schoolbook" w:hAnsi="Century Schoolbook"/>
        </w:rPr>
        <w:t xml:space="preserve">also </w:t>
      </w:r>
      <w:r w:rsidR="00703B48" w:rsidRPr="00AD7DA6">
        <w:rPr>
          <w:rFonts w:ascii="Century Schoolbook" w:hAnsi="Century Schoolbook"/>
        </w:rPr>
        <w:t>challenge</w:t>
      </w:r>
      <w:r w:rsidR="00BC6941" w:rsidRPr="00AD7DA6">
        <w:rPr>
          <w:rFonts w:ascii="Century Schoolbook" w:hAnsi="Century Schoolbook"/>
        </w:rPr>
        <w:t>s</w:t>
      </w:r>
      <w:r w:rsidR="00703B48" w:rsidRPr="00AD7DA6">
        <w:rPr>
          <w:rFonts w:ascii="Century Schoolbook" w:hAnsi="Century Schoolbook"/>
        </w:rPr>
        <w:t xml:space="preserve"> </w:t>
      </w:r>
      <w:proofErr w:type="spellStart"/>
      <w:r w:rsidR="00703B48" w:rsidRPr="00AD7DA6">
        <w:rPr>
          <w:rFonts w:ascii="Century Schoolbook" w:hAnsi="Century Schoolbook"/>
        </w:rPr>
        <w:t>Kiesling’s</w:t>
      </w:r>
      <w:proofErr w:type="spellEnd"/>
      <w:r w:rsidR="00703B48" w:rsidRPr="00AD7DA6">
        <w:rPr>
          <w:rFonts w:ascii="Century Schoolbook" w:hAnsi="Century Schoolbook"/>
        </w:rPr>
        <w:t xml:space="preserve"> </w:t>
      </w:r>
      <w:r w:rsidR="00B2622C" w:rsidRPr="00AD7DA6">
        <w:rPr>
          <w:rFonts w:ascii="Century Schoolbook" w:hAnsi="Century Schoolbook"/>
        </w:rPr>
        <w:t>estimate</w:t>
      </w:r>
      <w:r w:rsidR="00B020BD" w:rsidRPr="00AD7DA6">
        <w:rPr>
          <w:rFonts w:ascii="Century Schoolbook" w:hAnsi="Century Schoolbook"/>
        </w:rPr>
        <w:t xml:space="preserve"> of the cost </w:t>
      </w:r>
      <w:r w:rsidR="00CD5EB3" w:rsidRPr="00AD7DA6">
        <w:rPr>
          <w:rFonts w:ascii="Century Schoolbook" w:hAnsi="Century Schoolbook"/>
        </w:rPr>
        <w:t xml:space="preserve">to build the </w:t>
      </w:r>
      <w:r w:rsidR="005C4F94" w:rsidRPr="00AD7DA6">
        <w:rPr>
          <w:rFonts w:ascii="Century Schoolbook" w:hAnsi="Century Schoolbook"/>
        </w:rPr>
        <w:t>Teed/De</w:t>
      </w:r>
      <w:r w:rsidR="00236F79" w:rsidRPr="00AD7DA6">
        <w:rPr>
          <w:rFonts w:ascii="Century Schoolbook" w:hAnsi="Century Schoolbook"/>
        </w:rPr>
        <w:t> </w:t>
      </w:r>
      <w:r w:rsidR="005C4F94" w:rsidRPr="00AD7DA6">
        <w:rPr>
          <w:rFonts w:ascii="Century Schoolbook" w:hAnsi="Century Schoolbook"/>
        </w:rPr>
        <w:t>Meza</w:t>
      </w:r>
      <w:r w:rsidR="00CD5EB3" w:rsidRPr="00AD7DA6">
        <w:rPr>
          <w:rFonts w:ascii="Century Schoolbook" w:hAnsi="Century Schoolbook"/>
        </w:rPr>
        <w:t xml:space="preserve"> renovations in </w:t>
      </w:r>
      <w:r w:rsidR="006A5666" w:rsidRPr="00AD7DA6">
        <w:rPr>
          <w:rFonts w:ascii="Century Schoolbook" w:hAnsi="Century Schoolbook"/>
        </w:rPr>
        <w:t>2011-2012</w:t>
      </w:r>
      <w:r w:rsidR="00B020BD" w:rsidRPr="00AD7DA6">
        <w:rPr>
          <w:rFonts w:ascii="Century Schoolbook" w:hAnsi="Century Schoolbook"/>
        </w:rPr>
        <w:t xml:space="preserve">, noting </w:t>
      </w:r>
      <w:r w:rsidR="00993985" w:rsidRPr="00AD7DA6">
        <w:rPr>
          <w:rFonts w:ascii="Century Schoolbook" w:hAnsi="Century Schoolbook"/>
        </w:rPr>
        <w:t xml:space="preserve">that </w:t>
      </w:r>
      <w:proofErr w:type="spellStart"/>
      <w:r w:rsidR="00993985" w:rsidRPr="00AD7DA6">
        <w:rPr>
          <w:rFonts w:ascii="Century Schoolbook" w:hAnsi="Century Schoolbook"/>
        </w:rPr>
        <w:t>Kiesling</w:t>
      </w:r>
      <w:proofErr w:type="spellEnd"/>
      <w:r w:rsidR="00BA4AE4" w:rsidRPr="00AD7DA6">
        <w:rPr>
          <w:rFonts w:ascii="Century Schoolbook" w:hAnsi="Century Schoolbook"/>
        </w:rPr>
        <w:t xml:space="preserve"> did not rely on the actual cost</w:t>
      </w:r>
      <w:r w:rsidR="00993985" w:rsidRPr="00AD7DA6">
        <w:rPr>
          <w:rFonts w:ascii="Century Schoolbook" w:hAnsi="Century Schoolbook"/>
        </w:rPr>
        <w:t xml:space="preserve"> to</w:t>
      </w:r>
      <w:r w:rsidR="00BA4AE4" w:rsidRPr="00AD7DA6">
        <w:rPr>
          <w:rFonts w:ascii="Century Schoolbook" w:hAnsi="Century Schoolbook"/>
        </w:rPr>
        <w:t xml:space="preserve"> complet</w:t>
      </w:r>
      <w:r w:rsidR="00993985" w:rsidRPr="00AD7DA6">
        <w:rPr>
          <w:rFonts w:ascii="Century Schoolbook" w:hAnsi="Century Schoolbook"/>
        </w:rPr>
        <w:t>e</w:t>
      </w:r>
      <w:r w:rsidR="00BA4AE4" w:rsidRPr="00AD7DA6">
        <w:rPr>
          <w:rFonts w:ascii="Century Schoolbook" w:hAnsi="Century Schoolbook"/>
        </w:rPr>
        <w:t xml:space="preserve"> the project.</w:t>
      </w:r>
      <w:r w:rsidR="00A52EE3" w:rsidRPr="00AD7DA6">
        <w:rPr>
          <w:rFonts w:ascii="Century Schoolbook" w:hAnsi="Century Schoolbook"/>
        </w:rPr>
        <w:t xml:space="preserve"> </w:t>
      </w:r>
      <w:r w:rsidR="00574B92" w:rsidRPr="00AD7DA6">
        <w:rPr>
          <w:rFonts w:ascii="Century Schoolbook" w:hAnsi="Century Schoolbook"/>
        </w:rPr>
        <w:t xml:space="preserve"> </w:t>
      </w:r>
      <w:r w:rsidR="004D683C" w:rsidRPr="00AD7DA6">
        <w:rPr>
          <w:rFonts w:ascii="Century Schoolbook" w:hAnsi="Century Schoolbook"/>
        </w:rPr>
        <w:t xml:space="preserve">That comes as no surprise, however, because </w:t>
      </w:r>
      <w:r w:rsidR="00B4544C" w:rsidRPr="00AD7DA6">
        <w:rPr>
          <w:rFonts w:ascii="Century Schoolbook" w:hAnsi="Century Schoolbook"/>
        </w:rPr>
        <w:t xml:space="preserve">the </w:t>
      </w:r>
      <w:r w:rsidR="002F30C7" w:rsidRPr="00AD7DA6">
        <w:rPr>
          <w:rFonts w:ascii="Century Schoolbook" w:hAnsi="Century Schoolbook"/>
        </w:rPr>
        <w:t xml:space="preserve">renovations were delayed </w:t>
      </w:r>
      <w:r w:rsidR="00BC0988" w:rsidRPr="00AD7DA6">
        <w:rPr>
          <w:rFonts w:ascii="Century Schoolbook" w:hAnsi="Century Schoolbook"/>
        </w:rPr>
        <w:t xml:space="preserve">by a defective foundation that </w:t>
      </w:r>
      <w:r w:rsidR="006C0D65" w:rsidRPr="00AD7DA6">
        <w:rPr>
          <w:rFonts w:ascii="Century Schoolbook" w:hAnsi="Century Schoolbook"/>
        </w:rPr>
        <w:t xml:space="preserve">first </w:t>
      </w:r>
      <w:r w:rsidR="00BC0988" w:rsidRPr="00AD7DA6">
        <w:rPr>
          <w:rFonts w:ascii="Century Schoolbook" w:hAnsi="Century Schoolbook"/>
        </w:rPr>
        <w:t xml:space="preserve">had to be replaced.  </w:t>
      </w:r>
      <w:r w:rsidR="00AA3A17" w:rsidRPr="00AD7DA6">
        <w:rPr>
          <w:rFonts w:ascii="Century Schoolbook" w:hAnsi="Century Schoolbook"/>
        </w:rPr>
        <w:t>To the extent Teed is arguing that a</w:t>
      </w:r>
      <w:r w:rsidR="00D44676" w:rsidRPr="00AD7DA6">
        <w:rPr>
          <w:rFonts w:ascii="Century Schoolbook" w:hAnsi="Century Schoolbook"/>
        </w:rPr>
        <w:t xml:space="preserve"> construction </w:t>
      </w:r>
      <w:r w:rsidR="00AA3A17" w:rsidRPr="00AD7DA6">
        <w:rPr>
          <w:rFonts w:ascii="Century Schoolbook" w:hAnsi="Century Schoolbook"/>
        </w:rPr>
        <w:t xml:space="preserve">expert cannot recreate the cost of building such a project under 2011-2012 rates, </w:t>
      </w:r>
      <w:r w:rsidR="00BF21F3" w:rsidRPr="00AD7DA6">
        <w:rPr>
          <w:rFonts w:ascii="Century Schoolbook" w:hAnsi="Century Schoolbook"/>
        </w:rPr>
        <w:t>no evidence supports it</w:t>
      </w:r>
      <w:r w:rsidR="002422D6" w:rsidRPr="00AD7DA6">
        <w:rPr>
          <w:rFonts w:ascii="Century Schoolbook" w:hAnsi="Century Schoolbook"/>
        </w:rPr>
        <w:t xml:space="preserve">.  </w:t>
      </w:r>
      <w:r w:rsidR="00AC58D5" w:rsidRPr="00AD7DA6">
        <w:rPr>
          <w:rFonts w:ascii="Century Schoolbook" w:hAnsi="Century Schoolbook"/>
        </w:rPr>
        <w:t>T</w:t>
      </w:r>
      <w:r w:rsidR="00693C9B" w:rsidRPr="00AD7DA6">
        <w:rPr>
          <w:rFonts w:ascii="Century Schoolbook" w:hAnsi="Century Schoolbook"/>
        </w:rPr>
        <w:t xml:space="preserve">he parties’ testimony as well as </w:t>
      </w:r>
      <w:proofErr w:type="spellStart"/>
      <w:r w:rsidR="00693C9B" w:rsidRPr="00AD7DA6">
        <w:rPr>
          <w:rFonts w:ascii="Century Schoolbook" w:hAnsi="Century Schoolbook"/>
        </w:rPr>
        <w:t>Kiesling’s</w:t>
      </w:r>
      <w:proofErr w:type="spellEnd"/>
      <w:r w:rsidR="00693C9B" w:rsidRPr="00AD7DA6">
        <w:rPr>
          <w:rFonts w:ascii="Century Schoolbook" w:hAnsi="Century Schoolbook"/>
        </w:rPr>
        <w:t xml:space="preserve"> testimony </w:t>
      </w:r>
      <w:r w:rsidR="005625F4" w:rsidRPr="00AD7DA6">
        <w:rPr>
          <w:rFonts w:ascii="Century Schoolbook" w:hAnsi="Century Schoolbook"/>
        </w:rPr>
        <w:t xml:space="preserve">established </w:t>
      </w:r>
      <w:r w:rsidR="00693C9B" w:rsidRPr="00AD7DA6">
        <w:rPr>
          <w:rFonts w:ascii="Century Schoolbook" w:hAnsi="Century Schoolbook"/>
        </w:rPr>
        <w:t xml:space="preserve">the projected costs to a reasonable certainty.  Her estimate was based on floor plans and specifications that were directly tied to </w:t>
      </w:r>
      <w:proofErr w:type="spellStart"/>
      <w:r w:rsidR="00693C9B" w:rsidRPr="00AD7DA6">
        <w:rPr>
          <w:rFonts w:ascii="Century Schoolbook" w:hAnsi="Century Schoolbook"/>
        </w:rPr>
        <w:t>Teed’s</w:t>
      </w:r>
      <w:proofErr w:type="spellEnd"/>
      <w:r w:rsidR="00693C9B" w:rsidRPr="00AD7DA6">
        <w:rPr>
          <w:rFonts w:ascii="Century Schoolbook" w:hAnsi="Century Schoolbook"/>
        </w:rPr>
        <w:t xml:space="preserve"> original $900,000 proposal.  </w:t>
      </w:r>
      <w:proofErr w:type="spellStart"/>
      <w:r w:rsidR="00F74738" w:rsidRPr="00AD7DA6">
        <w:rPr>
          <w:rFonts w:ascii="Century Schoolbook" w:hAnsi="Century Schoolbook"/>
        </w:rPr>
        <w:t>Kiesling</w:t>
      </w:r>
      <w:proofErr w:type="spellEnd"/>
      <w:r w:rsidR="00F74738" w:rsidRPr="00AD7DA6">
        <w:rPr>
          <w:rFonts w:ascii="Century Schoolbook" w:hAnsi="Century Schoolbook"/>
        </w:rPr>
        <w:t xml:space="preserve"> also gave specific testimony on the </w:t>
      </w:r>
      <w:r w:rsidR="00314438" w:rsidRPr="00AD7DA6">
        <w:rPr>
          <w:rFonts w:ascii="Century Schoolbook" w:hAnsi="Century Schoolbook"/>
        </w:rPr>
        <w:t xml:space="preserve">increased </w:t>
      </w:r>
      <w:r w:rsidR="00322DDD" w:rsidRPr="00AD7DA6">
        <w:rPr>
          <w:rFonts w:ascii="Century Schoolbook" w:hAnsi="Century Schoolbook"/>
        </w:rPr>
        <w:t xml:space="preserve">costs associated with </w:t>
      </w:r>
      <w:r w:rsidR="003A65C6" w:rsidRPr="00AD7DA6">
        <w:rPr>
          <w:rFonts w:ascii="Century Schoolbook" w:hAnsi="Century Schoolbook"/>
        </w:rPr>
        <w:t>delaying the renovations</w:t>
      </w:r>
      <w:r w:rsidR="00CB6F87" w:rsidRPr="00AD7DA6">
        <w:rPr>
          <w:rFonts w:ascii="Century Schoolbook" w:hAnsi="Century Schoolbook"/>
        </w:rPr>
        <w:t xml:space="preserve">.  </w:t>
      </w:r>
      <w:r w:rsidR="00BF21F3" w:rsidRPr="00AD7DA6">
        <w:rPr>
          <w:rFonts w:ascii="Century Schoolbook" w:hAnsi="Century Schoolbook"/>
        </w:rPr>
        <w:t>On this record, w</w:t>
      </w:r>
      <w:r w:rsidR="00040321" w:rsidRPr="00AD7DA6">
        <w:rPr>
          <w:rFonts w:ascii="Century Schoolbook" w:hAnsi="Century Schoolbook"/>
        </w:rPr>
        <w:t xml:space="preserve">e cannot say the jury’s decision to award Moore </w:t>
      </w:r>
      <w:r w:rsidR="00342233" w:rsidRPr="00AD7DA6">
        <w:rPr>
          <w:rFonts w:ascii="Century Schoolbook" w:hAnsi="Century Schoolbook"/>
        </w:rPr>
        <w:t xml:space="preserve">the difference </w:t>
      </w:r>
      <w:r w:rsidR="006E7B41" w:rsidRPr="00AD7DA6">
        <w:rPr>
          <w:rFonts w:ascii="Century Schoolbook" w:hAnsi="Century Schoolbook"/>
        </w:rPr>
        <w:t>between</w:t>
      </w:r>
      <w:r w:rsidR="00A044F8" w:rsidRPr="00AD7DA6">
        <w:rPr>
          <w:rFonts w:ascii="Century Schoolbook" w:hAnsi="Century Schoolbook"/>
        </w:rPr>
        <w:t xml:space="preserve"> the promised cost and </w:t>
      </w:r>
      <w:r w:rsidR="00040321" w:rsidRPr="00AD7DA6">
        <w:rPr>
          <w:rFonts w:ascii="Century Schoolbook" w:hAnsi="Century Schoolbook"/>
        </w:rPr>
        <w:t xml:space="preserve">the actual cost he would have spent to renovate the </w:t>
      </w:r>
      <w:r w:rsidR="006E4CD3" w:rsidRPr="00AD7DA6">
        <w:rPr>
          <w:rFonts w:ascii="Century Schoolbook" w:hAnsi="Century Schoolbook"/>
        </w:rPr>
        <w:t xml:space="preserve">Green Street </w:t>
      </w:r>
      <w:r w:rsidR="00040321" w:rsidRPr="00AD7DA6">
        <w:rPr>
          <w:rFonts w:ascii="Century Schoolbook" w:hAnsi="Century Schoolbook"/>
        </w:rPr>
        <w:t xml:space="preserve">home per </w:t>
      </w:r>
      <w:proofErr w:type="spellStart"/>
      <w:r w:rsidR="00040321" w:rsidRPr="00AD7DA6">
        <w:rPr>
          <w:rFonts w:ascii="Century Schoolbook" w:hAnsi="Century Schoolbook"/>
        </w:rPr>
        <w:t>Teed’s</w:t>
      </w:r>
      <w:proofErr w:type="spellEnd"/>
      <w:r w:rsidR="00040321" w:rsidRPr="00AD7DA6">
        <w:rPr>
          <w:rFonts w:ascii="Century Schoolbook" w:hAnsi="Century Schoolbook"/>
        </w:rPr>
        <w:t xml:space="preserve"> recommendations is entirely speculative as a matter of law.  </w:t>
      </w:r>
    </w:p>
    <w:p w14:paraId="3BD5D3EF" w14:textId="28188489" w:rsidR="00A67EAE" w:rsidRPr="00AD7DA6" w:rsidRDefault="001E575E" w:rsidP="00A67EAE">
      <w:pPr>
        <w:spacing w:line="360" w:lineRule="auto"/>
        <w:rPr>
          <w:rFonts w:ascii="Century Schoolbook" w:hAnsi="Century Schoolbook"/>
        </w:rPr>
      </w:pPr>
      <w:r w:rsidRPr="00AD7DA6">
        <w:rPr>
          <w:rFonts w:ascii="Century Schoolbook" w:hAnsi="Century Schoolbook"/>
        </w:rPr>
        <w:tab/>
      </w:r>
      <w:r w:rsidR="00A67EAE" w:rsidRPr="00AD7DA6">
        <w:rPr>
          <w:rFonts w:ascii="Century Schoolbook" w:hAnsi="Century Schoolbook"/>
        </w:rPr>
        <w:t>Teed further complains that the trial court erroneously modified the standard CACI instruction on benefit-of-the-bargain damages.  CACI No.</w:t>
      </w:r>
      <w:r w:rsidR="00A52EE3" w:rsidRPr="00AD7DA6">
        <w:rPr>
          <w:rFonts w:ascii="Century Schoolbook" w:hAnsi="Century Schoolbook"/>
        </w:rPr>
        <w:t> </w:t>
      </w:r>
      <w:r w:rsidR="00A67EAE" w:rsidRPr="00AD7DA6">
        <w:rPr>
          <w:rFonts w:ascii="Century Schoolbook" w:hAnsi="Century Schoolbook"/>
        </w:rPr>
        <w:t xml:space="preserve">1924 provides: </w:t>
      </w:r>
      <w:r w:rsidR="00F65398" w:rsidRPr="00AD7DA6">
        <w:rPr>
          <w:rFonts w:ascii="Century Schoolbook" w:hAnsi="Century Schoolbook"/>
        </w:rPr>
        <w:t xml:space="preserve"> </w:t>
      </w:r>
      <w:r w:rsidR="00A67EAE" w:rsidRPr="00AD7DA6">
        <w:rPr>
          <w:rFonts w:ascii="Century Schoolbook" w:hAnsi="Century Schoolbook"/>
        </w:rPr>
        <w:t xml:space="preserve">“To determine the amount of damages, you must: </w:t>
      </w:r>
      <w:r w:rsidR="00F65398" w:rsidRPr="00AD7DA6">
        <w:rPr>
          <w:rFonts w:ascii="Century Schoolbook" w:hAnsi="Century Schoolbook"/>
        </w:rPr>
        <w:t xml:space="preserve"> </w:t>
      </w:r>
      <w:r w:rsidR="00A67EAE" w:rsidRPr="00AD7DA6">
        <w:rPr>
          <w:rFonts w:ascii="Century Schoolbook" w:hAnsi="Century Schoolbook"/>
        </w:rPr>
        <w:t>[¶]</w:t>
      </w:r>
      <w:r w:rsidR="00B84B75" w:rsidRPr="00AD7DA6">
        <w:rPr>
          <w:rFonts w:ascii="Century Schoolbook" w:hAnsi="Century Schoolbook"/>
        </w:rPr>
        <w:t>  </w:t>
      </w:r>
      <w:r w:rsidR="00A67EAE" w:rsidRPr="00AD7DA6">
        <w:rPr>
          <w:rFonts w:ascii="Century Schoolbook" w:hAnsi="Century Schoolbook"/>
        </w:rPr>
        <w:t>1.</w:t>
      </w:r>
      <w:r w:rsidR="00A52EE3" w:rsidRPr="00AD7DA6">
        <w:rPr>
          <w:rFonts w:ascii="Century Schoolbook" w:hAnsi="Century Schoolbook"/>
        </w:rPr>
        <w:t> </w:t>
      </w:r>
      <w:r w:rsidR="00A67EAE" w:rsidRPr="00AD7DA6">
        <w:rPr>
          <w:rFonts w:ascii="Century Schoolbook" w:hAnsi="Century Schoolbook"/>
        </w:rPr>
        <w:t xml:space="preserve">Determine the </w:t>
      </w:r>
      <w:proofErr w:type="gramStart"/>
      <w:r w:rsidR="00A67EAE" w:rsidRPr="00AD7DA6">
        <w:rPr>
          <w:rFonts w:ascii="Century Schoolbook" w:hAnsi="Century Schoolbook"/>
        </w:rPr>
        <w:t>fair market value</w:t>
      </w:r>
      <w:proofErr w:type="gramEnd"/>
      <w:r w:rsidR="00A67EAE" w:rsidRPr="00AD7DA6">
        <w:rPr>
          <w:rFonts w:ascii="Century Schoolbook" w:hAnsi="Century Schoolbook"/>
        </w:rPr>
        <w:t xml:space="preserve"> that [name of plaintiff] would have received if the representations made by [name of defendant] had been true; and [¶] 2. Subtract the </w:t>
      </w:r>
      <w:proofErr w:type="gramStart"/>
      <w:r w:rsidR="00A67EAE" w:rsidRPr="00AD7DA6">
        <w:rPr>
          <w:rFonts w:ascii="Century Schoolbook" w:hAnsi="Century Schoolbook"/>
        </w:rPr>
        <w:t>fair market value</w:t>
      </w:r>
      <w:proofErr w:type="gramEnd"/>
      <w:r w:rsidR="00A67EAE" w:rsidRPr="00AD7DA6">
        <w:rPr>
          <w:rFonts w:ascii="Century Schoolbook" w:hAnsi="Century Schoolbook"/>
        </w:rPr>
        <w:t xml:space="preserve"> of what [he/she/it] did receive.  [¶]</w:t>
      </w:r>
      <w:r w:rsidR="00B84B75" w:rsidRPr="00AD7DA6">
        <w:rPr>
          <w:rFonts w:ascii="Century Schoolbook" w:hAnsi="Century Schoolbook"/>
        </w:rPr>
        <w:t> </w:t>
      </w:r>
      <w:r w:rsidR="00A67EAE" w:rsidRPr="00AD7DA6">
        <w:rPr>
          <w:rFonts w:ascii="Century Schoolbook" w:hAnsi="Century Schoolbook"/>
        </w:rPr>
        <w:t xml:space="preserve">The resulting amount is [name of plaintiff]’s damages.”  CACI No. 1924 was modified by the trial court to read: </w:t>
      </w:r>
      <w:r w:rsidR="00F65398" w:rsidRPr="00AD7DA6">
        <w:rPr>
          <w:rFonts w:ascii="Century Schoolbook" w:hAnsi="Century Schoolbook"/>
        </w:rPr>
        <w:t xml:space="preserve"> </w:t>
      </w:r>
      <w:r w:rsidR="00A67EAE" w:rsidRPr="00AD7DA6">
        <w:rPr>
          <w:rFonts w:ascii="Century Schoolbook" w:hAnsi="Century Schoolbook"/>
        </w:rPr>
        <w:t>“To determine the amount of damages</w:t>
      </w:r>
      <w:r w:rsidR="007068F1" w:rsidRPr="00AD7DA6">
        <w:rPr>
          <w:rFonts w:ascii="Century Schoolbook" w:hAnsi="Century Schoolbook"/>
        </w:rPr>
        <w:t>,</w:t>
      </w:r>
      <w:r w:rsidR="00A67EAE" w:rsidRPr="00AD7DA6">
        <w:rPr>
          <w:rFonts w:ascii="Century Schoolbook" w:hAnsi="Century Schoolbook"/>
        </w:rPr>
        <w:t xml:space="preserve"> you must determine:  [¶] 1. The difference between the actual cost that Mr. Moore would have incurred in 2011 and 2012 to complete the work promised by Mr. Teed and the amount for which Mr. Teed promised to complete the work; [¶] And [¶] 2. Increased costs due to the delay.  </w:t>
      </w:r>
    </w:p>
    <w:p w14:paraId="15303FAF" w14:textId="5DBA15F7" w:rsidR="00A67EAE" w:rsidRPr="00AD7DA6" w:rsidRDefault="00A67EAE" w:rsidP="00A67EAE">
      <w:pPr>
        <w:spacing w:line="360" w:lineRule="auto"/>
        <w:rPr>
          <w:rFonts w:ascii="Century Schoolbook" w:hAnsi="Century Schoolbook"/>
        </w:rPr>
      </w:pPr>
      <w:r w:rsidRPr="00AD7DA6">
        <w:rPr>
          <w:rFonts w:ascii="Century Schoolbook" w:hAnsi="Century Schoolbook"/>
        </w:rPr>
        <w:lastRenderedPageBreak/>
        <w:tab/>
        <w:t xml:space="preserve">Citing out-of-state authorities, </w:t>
      </w:r>
      <w:proofErr w:type="gramStart"/>
      <w:r w:rsidRPr="00AD7DA6">
        <w:rPr>
          <w:rFonts w:ascii="Century Schoolbook" w:hAnsi="Century Schoolbook"/>
        </w:rPr>
        <w:t>Teed</w:t>
      </w:r>
      <w:proofErr w:type="gramEnd"/>
      <w:r w:rsidRPr="00AD7DA6">
        <w:rPr>
          <w:rFonts w:ascii="Century Schoolbook" w:hAnsi="Century Schoolbook"/>
        </w:rPr>
        <w:t xml:space="preserve"> argues that benefit-of-the-bargain damages cannot be awarded when they are based on the value of something nonexistent and never in fact received.  </w:t>
      </w:r>
      <w:r w:rsidR="0089130F" w:rsidRPr="00AD7DA6">
        <w:rPr>
          <w:rFonts w:ascii="Century Schoolbook" w:hAnsi="Century Schoolbook"/>
        </w:rPr>
        <w:t>H</w:t>
      </w:r>
      <w:r w:rsidRPr="00AD7DA6">
        <w:rPr>
          <w:rFonts w:ascii="Century Schoolbook" w:hAnsi="Century Schoolbook"/>
        </w:rPr>
        <w:t xml:space="preserve">e quotes </w:t>
      </w:r>
      <w:r w:rsidRPr="00AD7DA6">
        <w:rPr>
          <w:rFonts w:ascii="Century Schoolbook" w:hAnsi="Century Schoolbook"/>
          <w:i/>
        </w:rPr>
        <w:t>Barrows v. Forest Laboratories, Inc.</w:t>
      </w:r>
      <w:r w:rsidRPr="00AD7DA6">
        <w:rPr>
          <w:rFonts w:ascii="Century Schoolbook" w:hAnsi="Century Schoolbook"/>
        </w:rPr>
        <w:t xml:space="preserve"> (2d Cir. 1984) 742 F.2d 54, 60</w:t>
      </w:r>
      <w:r w:rsidR="00F65398" w:rsidRPr="00AD7DA6">
        <w:rPr>
          <w:rFonts w:ascii="Century Schoolbook" w:hAnsi="Century Schoolbook"/>
        </w:rPr>
        <w:t>)</w:t>
      </w:r>
      <w:r w:rsidRPr="00AD7DA6">
        <w:rPr>
          <w:rFonts w:ascii="Century Schoolbook" w:hAnsi="Century Schoolbook"/>
        </w:rPr>
        <w:t xml:space="preserve"> for the proposition that “ ‘</w:t>
      </w:r>
      <w:r w:rsidR="004A5B3A" w:rsidRPr="00AD7DA6">
        <w:rPr>
          <w:rFonts w:ascii="Century Schoolbook" w:hAnsi="Century Schoolbook"/>
        </w:rPr>
        <w:t>[a]</w:t>
      </w:r>
      <w:r w:rsidRPr="00AD7DA6">
        <w:rPr>
          <w:rFonts w:ascii="Century Schoolbook" w:hAnsi="Century Schoolbook"/>
        </w:rPr>
        <w:t xml:space="preserve"> claim for benefit</w:t>
      </w:r>
      <w:r w:rsidR="008455D9" w:rsidRPr="00AD7DA6">
        <w:rPr>
          <w:rFonts w:ascii="Century Schoolbook" w:hAnsi="Century Schoolbook"/>
        </w:rPr>
        <w:t>-</w:t>
      </w:r>
      <w:r w:rsidRPr="00AD7DA6">
        <w:rPr>
          <w:rFonts w:ascii="Century Schoolbook" w:hAnsi="Century Schoolbook"/>
        </w:rPr>
        <w:t>of</w:t>
      </w:r>
      <w:r w:rsidR="008455D9" w:rsidRPr="00AD7DA6">
        <w:rPr>
          <w:rFonts w:ascii="Century Schoolbook" w:hAnsi="Century Schoolbook"/>
        </w:rPr>
        <w:t>-</w:t>
      </w:r>
      <w:r w:rsidRPr="00AD7DA6">
        <w:rPr>
          <w:rFonts w:ascii="Century Schoolbook" w:hAnsi="Century Schoolbook"/>
        </w:rPr>
        <w:t>the</w:t>
      </w:r>
      <w:r w:rsidR="008455D9" w:rsidRPr="00AD7DA6">
        <w:rPr>
          <w:rFonts w:ascii="Century Schoolbook" w:hAnsi="Century Schoolbook"/>
        </w:rPr>
        <w:t>-</w:t>
      </w:r>
      <w:r w:rsidRPr="00AD7DA6">
        <w:rPr>
          <w:rFonts w:ascii="Century Schoolbook" w:hAnsi="Century Schoolbook"/>
        </w:rPr>
        <w:t xml:space="preserve">bargain damages must be based on the bargain that was actually struck, not on a bargain whose terms must be supplied by hypotheses about what the parties would have done if the circumstances surrounding their transaction had been different.’ ”  Teed contends that the difference between the promised cost of his vague, original renovation concepts and the hypothetical cost of De Meza’s later, more elaborate design—neither of which was ever built—has no connection to any damages that Moore actually suffered.  </w:t>
      </w:r>
    </w:p>
    <w:p w14:paraId="248D6575" w14:textId="76340BDB" w:rsidR="009A2BDE" w:rsidRPr="00AD7DA6" w:rsidRDefault="00A67EAE" w:rsidP="00DF6273">
      <w:pPr>
        <w:spacing w:line="360" w:lineRule="auto"/>
        <w:rPr>
          <w:rFonts w:ascii="Century Schoolbook" w:hAnsi="Century Schoolbook"/>
        </w:rPr>
      </w:pPr>
      <w:r w:rsidRPr="00AD7DA6">
        <w:rPr>
          <w:rFonts w:ascii="Century Schoolbook" w:hAnsi="Century Schoolbook"/>
        </w:rPr>
        <w:tab/>
      </w:r>
      <w:proofErr w:type="spellStart"/>
      <w:r w:rsidRPr="00AD7DA6">
        <w:rPr>
          <w:rFonts w:ascii="Century Schoolbook" w:hAnsi="Century Schoolbook"/>
        </w:rPr>
        <w:t>Teed’s</w:t>
      </w:r>
      <w:proofErr w:type="spellEnd"/>
      <w:r w:rsidRPr="00AD7DA6">
        <w:rPr>
          <w:rFonts w:ascii="Century Schoolbook" w:hAnsi="Century Schoolbook"/>
        </w:rPr>
        <w:t xml:space="preserve"> </w:t>
      </w:r>
      <w:r w:rsidR="0012684A" w:rsidRPr="00AD7DA6">
        <w:rPr>
          <w:rFonts w:ascii="Century Schoolbook" w:hAnsi="Century Schoolbook"/>
        </w:rPr>
        <w:t xml:space="preserve">jury instruction challenge </w:t>
      </w:r>
      <w:r w:rsidRPr="00AD7DA6">
        <w:rPr>
          <w:rFonts w:ascii="Century Schoolbook" w:hAnsi="Century Schoolbook"/>
        </w:rPr>
        <w:t xml:space="preserve">is but a variation on his assertion that the damages were speculative. </w:t>
      </w:r>
      <w:r w:rsidR="00EC6201" w:rsidRPr="00AD7DA6">
        <w:rPr>
          <w:rFonts w:ascii="Century Schoolbook" w:hAnsi="Century Schoolbook"/>
        </w:rPr>
        <w:t xml:space="preserve">For the reasons explained, </w:t>
      </w:r>
      <w:r w:rsidR="002C4D6A" w:rsidRPr="00AD7DA6">
        <w:rPr>
          <w:rFonts w:ascii="Century Schoolbook" w:hAnsi="Century Schoolbook"/>
        </w:rPr>
        <w:t xml:space="preserve">the record supports the conclusion that </w:t>
      </w:r>
      <w:r w:rsidR="00EC6201" w:rsidRPr="00AD7DA6">
        <w:rPr>
          <w:rFonts w:ascii="Century Schoolbook" w:hAnsi="Century Schoolbook"/>
        </w:rPr>
        <w:t xml:space="preserve">benefit-of-the-bargain damages </w:t>
      </w:r>
      <w:r w:rsidR="002C4D6A" w:rsidRPr="00AD7DA6">
        <w:rPr>
          <w:rFonts w:ascii="Century Schoolbook" w:hAnsi="Century Schoolbook"/>
        </w:rPr>
        <w:t xml:space="preserve">here were </w:t>
      </w:r>
      <w:r w:rsidR="009722B7" w:rsidRPr="00AD7DA6">
        <w:rPr>
          <w:rFonts w:ascii="Century Schoolbook" w:hAnsi="Century Schoolbook"/>
        </w:rPr>
        <w:t>ascertainable</w:t>
      </w:r>
      <w:r w:rsidR="00336A4C" w:rsidRPr="00AD7DA6">
        <w:rPr>
          <w:rFonts w:ascii="Century Schoolbook" w:hAnsi="Century Schoolbook"/>
        </w:rPr>
        <w:t xml:space="preserve"> </w:t>
      </w:r>
      <w:r w:rsidR="005651F2" w:rsidRPr="00AD7DA6">
        <w:rPr>
          <w:rFonts w:ascii="Century Schoolbook" w:hAnsi="Century Schoolbook"/>
        </w:rPr>
        <w:t>with relative certainty</w:t>
      </w:r>
      <w:r w:rsidR="009722B7" w:rsidRPr="00AD7DA6">
        <w:rPr>
          <w:rFonts w:ascii="Century Schoolbook" w:hAnsi="Century Schoolbook"/>
        </w:rPr>
        <w:t xml:space="preserve"> based on </w:t>
      </w:r>
      <w:r w:rsidR="00672D47" w:rsidRPr="00AD7DA6">
        <w:rPr>
          <w:rFonts w:ascii="Century Schoolbook" w:hAnsi="Century Schoolbook"/>
        </w:rPr>
        <w:t xml:space="preserve">expert and party </w:t>
      </w:r>
      <w:r w:rsidR="00600AF9" w:rsidRPr="00AD7DA6">
        <w:rPr>
          <w:rFonts w:ascii="Century Schoolbook" w:hAnsi="Century Schoolbook"/>
        </w:rPr>
        <w:t xml:space="preserve">testimony </w:t>
      </w:r>
      <w:r w:rsidR="005D5D9C" w:rsidRPr="00AD7DA6">
        <w:rPr>
          <w:rFonts w:ascii="Century Schoolbook" w:hAnsi="Century Schoolbook"/>
        </w:rPr>
        <w:t xml:space="preserve">about a specific set of promised renovations and the actual cost </w:t>
      </w:r>
      <w:r w:rsidR="003075B9" w:rsidRPr="00AD7DA6">
        <w:rPr>
          <w:rFonts w:ascii="Century Schoolbook" w:hAnsi="Century Schoolbook"/>
        </w:rPr>
        <w:t>to complete</w:t>
      </w:r>
      <w:r w:rsidR="00A77EDB" w:rsidRPr="00AD7DA6">
        <w:rPr>
          <w:rFonts w:ascii="Century Schoolbook" w:hAnsi="Century Schoolbook"/>
        </w:rPr>
        <w:t xml:space="preserve"> those renovations</w:t>
      </w:r>
      <w:r w:rsidR="003075B9" w:rsidRPr="00AD7DA6">
        <w:rPr>
          <w:rFonts w:ascii="Century Schoolbook" w:hAnsi="Century Schoolbook"/>
        </w:rPr>
        <w:t xml:space="preserve">.  </w:t>
      </w:r>
      <w:r w:rsidR="00CE670A" w:rsidRPr="00AD7DA6">
        <w:rPr>
          <w:rFonts w:ascii="Century Schoolbook" w:hAnsi="Century Schoolbook"/>
        </w:rPr>
        <w:t xml:space="preserve">We thus find these </w:t>
      </w:r>
      <w:r w:rsidR="00B96CAA" w:rsidRPr="00AD7DA6">
        <w:rPr>
          <w:rFonts w:ascii="Century Schoolbook" w:hAnsi="Century Schoolbook"/>
        </w:rPr>
        <w:t xml:space="preserve">authorities inapt.  </w:t>
      </w:r>
    </w:p>
    <w:p w14:paraId="321A6122" w14:textId="5CB28DC7" w:rsidR="00870BA8" w:rsidRPr="00AD7DA6" w:rsidRDefault="009A2BDE" w:rsidP="008969F5">
      <w:pPr>
        <w:spacing w:line="360" w:lineRule="auto"/>
        <w:rPr>
          <w:rFonts w:ascii="Century Schoolbook" w:hAnsi="Century Schoolbook"/>
        </w:rPr>
      </w:pPr>
      <w:r w:rsidRPr="00AD7DA6">
        <w:rPr>
          <w:rFonts w:ascii="Century Schoolbook" w:hAnsi="Century Schoolbook"/>
        </w:rPr>
        <w:tab/>
      </w:r>
      <w:r w:rsidR="00BA2541" w:rsidRPr="00AD7DA6">
        <w:rPr>
          <w:rFonts w:ascii="Century Schoolbook" w:hAnsi="Century Schoolbook"/>
        </w:rPr>
        <w:t xml:space="preserve">Even if </w:t>
      </w:r>
      <w:r w:rsidR="00716F19" w:rsidRPr="00AD7DA6">
        <w:rPr>
          <w:rFonts w:ascii="Century Schoolbook" w:hAnsi="Century Schoolbook"/>
        </w:rPr>
        <w:t xml:space="preserve">Teed were correct that </w:t>
      </w:r>
      <w:r w:rsidR="00F57E83" w:rsidRPr="00AD7DA6">
        <w:rPr>
          <w:rFonts w:ascii="Century Schoolbook" w:hAnsi="Century Schoolbook"/>
        </w:rPr>
        <w:t>th</w:t>
      </w:r>
      <w:r w:rsidR="007F11ED" w:rsidRPr="00AD7DA6">
        <w:rPr>
          <w:rFonts w:ascii="Century Schoolbook" w:hAnsi="Century Schoolbook"/>
        </w:rPr>
        <w:t xml:space="preserve">e </w:t>
      </w:r>
      <w:r w:rsidR="007446EE" w:rsidRPr="00AD7DA6">
        <w:rPr>
          <w:rFonts w:ascii="Century Schoolbook" w:hAnsi="Century Schoolbook"/>
        </w:rPr>
        <w:t xml:space="preserve">challenged damages were improper under a </w:t>
      </w:r>
      <w:r w:rsidR="00BD3ECB" w:rsidRPr="00AD7DA6">
        <w:rPr>
          <w:rFonts w:ascii="Century Schoolbook" w:hAnsi="Century Schoolbook"/>
        </w:rPr>
        <w:t xml:space="preserve">benefit-of-the-bargain </w:t>
      </w:r>
      <w:r w:rsidR="0054626C" w:rsidRPr="00AD7DA6">
        <w:rPr>
          <w:rFonts w:ascii="Century Schoolbook" w:hAnsi="Century Schoolbook"/>
        </w:rPr>
        <w:t>theory</w:t>
      </w:r>
      <w:r w:rsidR="00BD3ECB" w:rsidRPr="00AD7DA6">
        <w:rPr>
          <w:rFonts w:ascii="Century Schoolbook" w:hAnsi="Century Schoolbook"/>
        </w:rPr>
        <w:t xml:space="preserve">, </w:t>
      </w:r>
      <w:r w:rsidR="00237AF5" w:rsidRPr="00AD7DA6">
        <w:rPr>
          <w:rFonts w:ascii="Century Schoolbook" w:hAnsi="Century Schoolbook"/>
        </w:rPr>
        <w:t xml:space="preserve">we conclude </w:t>
      </w:r>
      <w:r w:rsidR="0089130F" w:rsidRPr="00AD7DA6">
        <w:rPr>
          <w:rFonts w:ascii="Century Schoolbook" w:hAnsi="Century Schoolbook"/>
        </w:rPr>
        <w:t xml:space="preserve">that </w:t>
      </w:r>
      <w:r w:rsidR="00176CE2" w:rsidRPr="00AD7DA6">
        <w:rPr>
          <w:rFonts w:ascii="Century Schoolbook" w:hAnsi="Century Schoolbook"/>
        </w:rPr>
        <w:t xml:space="preserve">the jury would have returned </w:t>
      </w:r>
      <w:r w:rsidR="00CB4C25" w:rsidRPr="00AD7DA6">
        <w:rPr>
          <w:rFonts w:ascii="Century Schoolbook" w:hAnsi="Century Schoolbook"/>
        </w:rPr>
        <w:t xml:space="preserve">the same damages award </w:t>
      </w:r>
      <w:r w:rsidR="00BD3ECB" w:rsidRPr="00AD7DA6">
        <w:rPr>
          <w:rFonts w:ascii="Century Schoolbook" w:hAnsi="Century Schoolbook"/>
        </w:rPr>
        <w:t xml:space="preserve">under </w:t>
      </w:r>
      <w:r w:rsidR="008C27B0" w:rsidRPr="00AD7DA6">
        <w:rPr>
          <w:rFonts w:ascii="Century Schoolbook" w:hAnsi="Century Schoolbook"/>
        </w:rPr>
        <w:t xml:space="preserve">Civil Code sections </w:t>
      </w:r>
      <w:r w:rsidR="004B317B" w:rsidRPr="00AD7DA6">
        <w:rPr>
          <w:rFonts w:ascii="Century Schoolbook" w:hAnsi="Century Schoolbook"/>
        </w:rPr>
        <w:t>1709 and 3333</w:t>
      </w:r>
      <w:r w:rsidR="001E330F" w:rsidRPr="00AD7DA6">
        <w:rPr>
          <w:rFonts w:ascii="Century Schoolbook" w:hAnsi="Century Schoolbook"/>
        </w:rPr>
        <w:t>.</w:t>
      </w:r>
      <w:r w:rsidR="001E330F" w:rsidRPr="00AD7DA6">
        <w:rPr>
          <w:rStyle w:val="FootnoteReference"/>
          <w:rFonts w:ascii="Century Schoolbook" w:hAnsi="Century Schoolbook"/>
        </w:rPr>
        <w:footnoteReference w:id="5"/>
      </w:r>
      <w:r w:rsidR="001E330F" w:rsidRPr="00AD7DA6">
        <w:rPr>
          <w:rFonts w:ascii="Century Schoolbook" w:hAnsi="Century Schoolbook"/>
        </w:rPr>
        <w:t xml:space="preserve">  </w:t>
      </w:r>
    </w:p>
    <w:p w14:paraId="6798CA41" w14:textId="317F79AC" w:rsidR="004F6EA0" w:rsidRPr="00AD7DA6" w:rsidRDefault="004F3355" w:rsidP="008969F5">
      <w:pPr>
        <w:spacing w:line="360" w:lineRule="auto"/>
        <w:rPr>
          <w:rFonts w:ascii="Century Schoolbook" w:hAnsi="Century Schoolbook"/>
        </w:rPr>
      </w:pPr>
      <w:r w:rsidRPr="00AD7DA6">
        <w:rPr>
          <w:rFonts w:ascii="Century Schoolbook" w:hAnsi="Century Schoolbook"/>
        </w:rPr>
        <w:lastRenderedPageBreak/>
        <w:t>“Tort damages are awarded to fully compensate the victim for all the injury suffered.  [Citation.]  There is no fixed rule for the measure of tort damages under Civil Code section 3333.  The measure that most appropriately compensates the injured party for the loss sustained should be adopted.”</w:t>
      </w:r>
      <w:r w:rsidR="00A52EE3" w:rsidRPr="00AD7DA6">
        <w:rPr>
          <w:rFonts w:ascii="Century Schoolbook" w:hAnsi="Century Schoolbook"/>
        </w:rPr>
        <w:t xml:space="preserve"> </w:t>
      </w:r>
      <w:r w:rsidRPr="00AD7DA6">
        <w:rPr>
          <w:rFonts w:ascii="Century Schoolbook" w:hAnsi="Century Schoolbook"/>
        </w:rPr>
        <w:t xml:space="preserve"> (</w:t>
      </w:r>
      <w:r w:rsidRPr="00AD7DA6">
        <w:rPr>
          <w:rFonts w:ascii="Century Schoolbook" w:hAnsi="Century Schoolbook"/>
          <w:i/>
        </w:rPr>
        <w:t>Santa Barbara Pistachio Ranch v. Chowchilla Water Dist.</w:t>
      </w:r>
      <w:r w:rsidRPr="00AD7DA6">
        <w:rPr>
          <w:rFonts w:ascii="Century Schoolbook" w:hAnsi="Century Schoolbook"/>
        </w:rPr>
        <w:t xml:space="preserve"> (2001) 88</w:t>
      </w:r>
      <w:r w:rsidR="00834203" w:rsidRPr="00AD7DA6">
        <w:rPr>
          <w:rFonts w:ascii="Century Schoolbook" w:hAnsi="Century Schoolbook"/>
        </w:rPr>
        <w:t> </w:t>
      </w:r>
      <w:r w:rsidRPr="00AD7DA6">
        <w:rPr>
          <w:rFonts w:ascii="Century Schoolbook" w:hAnsi="Century Schoolbook"/>
        </w:rPr>
        <w:t>Cal.App.4th 439, 446</w:t>
      </w:r>
      <w:r w:rsidR="00834203" w:rsidRPr="00AD7DA6">
        <w:rPr>
          <w:rFonts w:ascii="Century Schoolbook" w:hAnsi="Century Schoolbook"/>
        </w:rPr>
        <w:t>–</w:t>
      </w:r>
      <w:r w:rsidRPr="00AD7DA6">
        <w:rPr>
          <w:rFonts w:ascii="Century Schoolbook" w:hAnsi="Century Schoolbook"/>
        </w:rPr>
        <w:t xml:space="preserve">447; accord, </w:t>
      </w:r>
      <w:proofErr w:type="spellStart"/>
      <w:r w:rsidRPr="00AD7DA6">
        <w:rPr>
          <w:rFonts w:ascii="Century Schoolbook" w:hAnsi="Century Schoolbook"/>
          <w:i/>
        </w:rPr>
        <w:t>Erlich</w:t>
      </w:r>
      <w:proofErr w:type="spellEnd"/>
      <w:r w:rsidRPr="00AD7DA6">
        <w:rPr>
          <w:rFonts w:ascii="Century Schoolbook" w:hAnsi="Century Schoolbook"/>
          <w:i/>
        </w:rPr>
        <w:t xml:space="preserve"> v. Menezes</w:t>
      </w:r>
      <w:r w:rsidRPr="00AD7DA6">
        <w:rPr>
          <w:rFonts w:ascii="Century Schoolbook" w:hAnsi="Century Schoolbook"/>
        </w:rPr>
        <w:t xml:space="preserve"> (1999) 21 Cal.4th 543, 550.)  </w:t>
      </w:r>
    </w:p>
    <w:p w14:paraId="2032EFDE" w14:textId="6499EFCA" w:rsidR="00546A48" w:rsidRPr="00AD7DA6" w:rsidRDefault="004F6EA0" w:rsidP="00DF6273">
      <w:pPr>
        <w:spacing w:line="360" w:lineRule="auto"/>
        <w:rPr>
          <w:rFonts w:ascii="Century Schoolbook" w:hAnsi="Century Schoolbook"/>
        </w:rPr>
      </w:pPr>
      <w:r w:rsidRPr="00AD7DA6">
        <w:rPr>
          <w:rFonts w:ascii="Century Schoolbook" w:hAnsi="Century Schoolbook"/>
        </w:rPr>
        <w:tab/>
      </w:r>
      <w:r w:rsidR="00C06202" w:rsidRPr="00AD7DA6">
        <w:rPr>
          <w:rFonts w:ascii="Century Schoolbook" w:hAnsi="Century Schoolbook"/>
        </w:rPr>
        <w:t xml:space="preserve">The jury </w:t>
      </w:r>
      <w:r w:rsidR="00232E2F" w:rsidRPr="00AD7DA6">
        <w:rPr>
          <w:rFonts w:ascii="Century Schoolbook" w:hAnsi="Century Schoolbook"/>
        </w:rPr>
        <w:t>found</w:t>
      </w:r>
      <w:r w:rsidR="00C06202" w:rsidRPr="00AD7DA6">
        <w:rPr>
          <w:rFonts w:ascii="Century Schoolbook" w:hAnsi="Century Schoolbook"/>
        </w:rPr>
        <w:t xml:space="preserve"> that t</w:t>
      </w:r>
      <w:r w:rsidR="008B417E" w:rsidRPr="00AD7DA6">
        <w:rPr>
          <w:rFonts w:ascii="Century Schoolbook" w:hAnsi="Century Schoolbook"/>
        </w:rPr>
        <w:t xml:space="preserve">he only way to </w:t>
      </w:r>
      <w:r w:rsidR="00B02C9B" w:rsidRPr="00AD7DA6">
        <w:rPr>
          <w:rFonts w:ascii="Century Schoolbook" w:hAnsi="Century Schoolbook"/>
        </w:rPr>
        <w:t xml:space="preserve">fully </w:t>
      </w:r>
      <w:r w:rsidR="008B417E" w:rsidRPr="00AD7DA6">
        <w:rPr>
          <w:rFonts w:ascii="Century Schoolbook" w:hAnsi="Century Schoolbook"/>
        </w:rPr>
        <w:t xml:space="preserve">compensate Moore for the detriment caused by </w:t>
      </w:r>
      <w:proofErr w:type="spellStart"/>
      <w:r w:rsidR="008B417E" w:rsidRPr="00AD7DA6">
        <w:rPr>
          <w:rFonts w:ascii="Century Schoolbook" w:hAnsi="Century Schoolbook"/>
        </w:rPr>
        <w:t>Teed’s</w:t>
      </w:r>
      <w:proofErr w:type="spellEnd"/>
      <w:r w:rsidR="008B417E" w:rsidRPr="00AD7DA6">
        <w:rPr>
          <w:rFonts w:ascii="Century Schoolbook" w:hAnsi="Century Schoolbook"/>
        </w:rPr>
        <w:t xml:space="preserve"> misrepresentation</w:t>
      </w:r>
      <w:r w:rsidR="00232E2F" w:rsidRPr="00AD7DA6">
        <w:rPr>
          <w:rFonts w:ascii="Century Schoolbook" w:hAnsi="Century Schoolbook"/>
        </w:rPr>
        <w:t>s</w:t>
      </w:r>
      <w:r w:rsidR="008B417E" w:rsidRPr="00AD7DA6">
        <w:rPr>
          <w:rFonts w:ascii="Century Schoolbook" w:hAnsi="Century Schoolbook"/>
        </w:rPr>
        <w:t xml:space="preserve"> </w:t>
      </w:r>
      <w:r w:rsidR="00F35D7B" w:rsidRPr="00AD7DA6">
        <w:rPr>
          <w:rFonts w:ascii="Century Schoolbook" w:hAnsi="Century Schoolbook"/>
        </w:rPr>
        <w:t xml:space="preserve">that he </w:t>
      </w:r>
      <w:r w:rsidR="0052510B" w:rsidRPr="00AD7DA6">
        <w:rPr>
          <w:rFonts w:ascii="Century Schoolbook" w:hAnsi="Century Schoolbook"/>
        </w:rPr>
        <w:t xml:space="preserve">and his team of experienced </w:t>
      </w:r>
      <w:r w:rsidR="00F03139" w:rsidRPr="00AD7DA6">
        <w:rPr>
          <w:rFonts w:ascii="Century Schoolbook" w:hAnsi="Century Schoolbook"/>
        </w:rPr>
        <w:t>contractors</w:t>
      </w:r>
      <w:r w:rsidR="0052510B" w:rsidRPr="00AD7DA6">
        <w:rPr>
          <w:rFonts w:ascii="Century Schoolbook" w:hAnsi="Century Schoolbook"/>
        </w:rPr>
        <w:t xml:space="preserve"> could deliver a quality remodel for only $900,000 </w:t>
      </w:r>
      <w:r w:rsidR="00205E01" w:rsidRPr="00AD7DA6">
        <w:rPr>
          <w:rFonts w:ascii="Century Schoolbook" w:hAnsi="Century Schoolbook"/>
        </w:rPr>
        <w:t>was</w:t>
      </w:r>
      <w:r w:rsidR="008B417E" w:rsidRPr="00AD7DA6">
        <w:rPr>
          <w:rFonts w:ascii="Century Schoolbook" w:hAnsi="Century Schoolbook"/>
        </w:rPr>
        <w:t xml:space="preserve"> to award Moore the </w:t>
      </w:r>
      <w:r w:rsidR="007155E2" w:rsidRPr="00AD7DA6">
        <w:rPr>
          <w:rFonts w:ascii="Century Schoolbook" w:hAnsi="Century Schoolbook"/>
        </w:rPr>
        <w:t>additional</w:t>
      </w:r>
      <w:r w:rsidR="008B417E" w:rsidRPr="00AD7DA6">
        <w:rPr>
          <w:rFonts w:ascii="Century Schoolbook" w:hAnsi="Century Schoolbook"/>
        </w:rPr>
        <w:t xml:space="preserve"> cost necessary to accomplish the promised renovation</w:t>
      </w:r>
      <w:r w:rsidR="006219A6" w:rsidRPr="00AD7DA6">
        <w:rPr>
          <w:rFonts w:ascii="Century Schoolbook" w:hAnsi="Century Schoolbook"/>
        </w:rPr>
        <w:t>s</w:t>
      </w:r>
      <w:r w:rsidR="008B417E" w:rsidRPr="00AD7DA6">
        <w:rPr>
          <w:rFonts w:ascii="Century Schoolbook" w:hAnsi="Century Schoolbook"/>
        </w:rPr>
        <w:t xml:space="preserve">.  Once Moore was induced to buy the house </w:t>
      </w:r>
      <w:r w:rsidR="00155483" w:rsidRPr="00AD7DA6">
        <w:rPr>
          <w:rFonts w:ascii="Century Schoolbook" w:hAnsi="Century Schoolbook"/>
        </w:rPr>
        <w:t xml:space="preserve">and hire people to renovate it </w:t>
      </w:r>
      <w:r w:rsidR="008B417E" w:rsidRPr="00AD7DA6">
        <w:rPr>
          <w:rFonts w:ascii="Century Schoolbook" w:hAnsi="Century Schoolbook"/>
        </w:rPr>
        <w:t xml:space="preserve">in reliance upon </w:t>
      </w:r>
      <w:proofErr w:type="spellStart"/>
      <w:r w:rsidR="008B417E" w:rsidRPr="00AD7DA6">
        <w:rPr>
          <w:rFonts w:ascii="Century Schoolbook" w:hAnsi="Century Schoolbook"/>
        </w:rPr>
        <w:t>Teed’s</w:t>
      </w:r>
      <w:proofErr w:type="spellEnd"/>
      <w:r w:rsidR="008B417E" w:rsidRPr="00AD7DA6">
        <w:rPr>
          <w:rFonts w:ascii="Century Schoolbook" w:hAnsi="Century Schoolbook"/>
        </w:rPr>
        <w:t xml:space="preserve"> false representations, he was entitled under Civil Code section 3333 to be compensated “for all the detriment proximately caused thereby,” including </w:t>
      </w:r>
      <w:r w:rsidR="004814FA" w:rsidRPr="00AD7DA6">
        <w:rPr>
          <w:rFonts w:ascii="Century Schoolbook" w:hAnsi="Century Schoolbook"/>
        </w:rPr>
        <w:t xml:space="preserve">the increased expense </w:t>
      </w:r>
      <w:r w:rsidR="008B417E" w:rsidRPr="00AD7DA6">
        <w:rPr>
          <w:rFonts w:ascii="Century Schoolbook" w:hAnsi="Century Schoolbook"/>
        </w:rPr>
        <w:t xml:space="preserve">attributable to the delay resulting from the need to demolish and remove the defective foundation.  </w:t>
      </w:r>
      <w:r w:rsidR="006359F8" w:rsidRPr="00AD7DA6">
        <w:rPr>
          <w:rFonts w:ascii="Century Schoolbook" w:hAnsi="Century Schoolbook"/>
        </w:rPr>
        <w:t xml:space="preserve">We will not disturb the </w:t>
      </w:r>
      <w:r w:rsidR="00C438F1" w:rsidRPr="00AD7DA6">
        <w:rPr>
          <w:rFonts w:ascii="Century Schoolbook" w:hAnsi="Century Schoolbook"/>
        </w:rPr>
        <w:t>jury’s verdict</w:t>
      </w:r>
      <w:r w:rsidR="006359F8" w:rsidRPr="00AD7DA6">
        <w:rPr>
          <w:rFonts w:ascii="Century Schoolbook" w:hAnsi="Century Schoolbook"/>
        </w:rPr>
        <w:t xml:space="preserve"> in the absence of a </w:t>
      </w:r>
      <w:r w:rsidR="005764B7" w:rsidRPr="00AD7DA6">
        <w:rPr>
          <w:rFonts w:ascii="Century Schoolbook" w:hAnsi="Century Schoolbook"/>
        </w:rPr>
        <w:t xml:space="preserve">clear </w:t>
      </w:r>
      <w:r w:rsidR="006359F8" w:rsidRPr="00AD7DA6">
        <w:rPr>
          <w:rFonts w:ascii="Century Schoolbook" w:hAnsi="Century Schoolbook"/>
        </w:rPr>
        <w:t>miscarriage of justice.  (</w:t>
      </w:r>
      <w:r w:rsidR="00A8027A" w:rsidRPr="00AD7DA6">
        <w:rPr>
          <w:rFonts w:ascii="Century Schoolbook" w:hAnsi="Century Schoolbook"/>
        </w:rPr>
        <w:t>Cal. Const., art. VI, § 13</w:t>
      </w:r>
      <w:r w:rsidR="00F46179" w:rsidRPr="00AD7DA6">
        <w:rPr>
          <w:rFonts w:ascii="Century Schoolbook" w:hAnsi="Century Schoolbook"/>
        </w:rPr>
        <w:t xml:space="preserve">; </w:t>
      </w:r>
      <w:r w:rsidR="00F46179" w:rsidRPr="00AD7DA6">
        <w:rPr>
          <w:rFonts w:ascii="Century Schoolbook" w:hAnsi="Century Schoolbook"/>
          <w:i/>
          <w:iCs/>
        </w:rPr>
        <w:t>Soule v. General Motors Corp.</w:t>
      </w:r>
      <w:r w:rsidR="00F46179" w:rsidRPr="00AD7DA6">
        <w:rPr>
          <w:rFonts w:ascii="Century Schoolbook" w:hAnsi="Century Schoolbook"/>
        </w:rPr>
        <w:t xml:space="preserve"> (1994) 8 Cal.4th 548, 573–580</w:t>
      </w:r>
      <w:r w:rsidR="00A8027A" w:rsidRPr="00AD7DA6">
        <w:rPr>
          <w:rFonts w:ascii="Century Schoolbook" w:hAnsi="Century Schoolbook"/>
        </w:rPr>
        <w:t xml:space="preserve">.)  </w:t>
      </w:r>
    </w:p>
    <w:p w14:paraId="07376614" w14:textId="5A717577" w:rsidR="00C130BD" w:rsidRPr="004C1D40" w:rsidRDefault="00187E72" w:rsidP="00440E34">
      <w:pPr>
        <w:pStyle w:val="ListParagraph"/>
        <w:numPr>
          <w:ilvl w:val="1"/>
          <w:numId w:val="1"/>
        </w:numPr>
        <w:spacing w:line="360" w:lineRule="auto"/>
        <w:rPr>
          <w:rFonts w:ascii="Century Schoolbook" w:hAnsi="Century Schoolbook"/>
          <w:b/>
          <w:bCs/>
          <w:i/>
        </w:rPr>
      </w:pPr>
      <w:r w:rsidRPr="004C1D40">
        <w:rPr>
          <w:rFonts w:ascii="Century Schoolbook" w:hAnsi="Century Schoolbook"/>
          <w:b/>
          <w:bCs/>
          <w:i/>
        </w:rPr>
        <w:t>The Damages Award Was Not Duplicative</w:t>
      </w:r>
    </w:p>
    <w:p w14:paraId="1014C78B" w14:textId="46E98709" w:rsidR="00B4444F" w:rsidRPr="00AD7DA6" w:rsidRDefault="00C130BD" w:rsidP="00BF2809">
      <w:pPr>
        <w:spacing w:line="360" w:lineRule="auto"/>
        <w:rPr>
          <w:rFonts w:ascii="Century Schoolbook" w:hAnsi="Century Schoolbook"/>
        </w:rPr>
      </w:pPr>
      <w:r w:rsidRPr="00AD7DA6">
        <w:rPr>
          <w:rFonts w:ascii="Century Schoolbook" w:hAnsi="Century Schoolbook"/>
        </w:rPr>
        <w:tab/>
        <w:t xml:space="preserve"> </w:t>
      </w:r>
      <w:r w:rsidR="00A67EAE" w:rsidRPr="00AD7DA6">
        <w:rPr>
          <w:rFonts w:ascii="Century Schoolbook" w:hAnsi="Century Schoolbook"/>
        </w:rPr>
        <w:t xml:space="preserve">Teed </w:t>
      </w:r>
      <w:r w:rsidR="00210F47" w:rsidRPr="00AD7DA6">
        <w:rPr>
          <w:rFonts w:ascii="Century Schoolbook" w:hAnsi="Century Schoolbook"/>
        </w:rPr>
        <w:t>finally</w:t>
      </w:r>
      <w:r w:rsidR="00A67EAE" w:rsidRPr="00AD7DA6">
        <w:rPr>
          <w:rFonts w:ascii="Century Schoolbook" w:hAnsi="Century Schoolbook"/>
        </w:rPr>
        <w:t xml:space="preserve"> asserts that the benefit-of-the-bargain </w:t>
      </w:r>
      <w:r w:rsidR="000C44D5" w:rsidRPr="00AD7DA6">
        <w:rPr>
          <w:rFonts w:ascii="Century Schoolbook" w:hAnsi="Century Schoolbook"/>
        </w:rPr>
        <w:t xml:space="preserve">damages </w:t>
      </w:r>
      <w:r w:rsidR="00A67EAE" w:rsidRPr="00AD7DA6">
        <w:rPr>
          <w:rFonts w:ascii="Century Schoolbook" w:hAnsi="Century Schoolbook"/>
        </w:rPr>
        <w:t>award was improper because it duplicates the out-of-pocket damages that the jury awarded for the foundation replacement.  While it is true that “[d]</w:t>
      </w:r>
      <w:proofErr w:type="spellStart"/>
      <w:r w:rsidR="00A67EAE" w:rsidRPr="00AD7DA6">
        <w:rPr>
          <w:rFonts w:ascii="Century Schoolbook" w:hAnsi="Century Schoolbook"/>
        </w:rPr>
        <w:t>ouble</w:t>
      </w:r>
      <w:proofErr w:type="spellEnd"/>
      <w:r w:rsidR="00A67EAE" w:rsidRPr="00AD7DA6">
        <w:rPr>
          <w:rFonts w:ascii="Century Schoolbook" w:hAnsi="Century Schoolbook"/>
        </w:rPr>
        <w:t xml:space="preserve"> or duplicative recovery for the same items of damage amounts to overcompensation and is therefore prohibited” (</w:t>
      </w:r>
      <w:proofErr w:type="spellStart"/>
      <w:r w:rsidR="004B3724" w:rsidRPr="00AD7DA6">
        <w:rPr>
          <w:rFonts w:ascii="Century Schoolbook" w:hAnsi="Century Schoolbook"/>
          <w:i/>
        </w:rPr>
        <w:t>Tavaglione</w:t>
      </w:r>
      <w:proofErr w:type="spellEnd"/>
      <w:r w:rsidR="004B3724" w:rsidRPr="00AD7DA6">
        <w:rPr>
          <w:rFonts w:ascii="Century Schoolbook" w:hAnsi="Century Schoolbook"/>
          <w:i/>
        </w:rPr>
        <w:t xml:space="preserve"> v. Billings</w:t>
      </w:r>
      <w:r w:rsidR="004B3724" w:rsidRPr="00AD7DA6">
        <w:rPr>
          <w:rFonts w:ascii="Century Schoolbook" w:hAnsi="Century Schoolbook"/>
        </w:rPr>
        <w:t xml:space="preserve"> (1993) 4 Cal.4th 1150, 1159</w:t>
      </w:r>
      <w:r w:rsidR="00A67EAE" w:rsidRPr="00AD7DA6">
        <w:rPr>
          <w:rFonts w:ascii="Century Schoolbook" w:hAnsi="Century Schoolbook"/>
        </w:rPr>
        <w:t xml:space="preserve">), Teed is barred from claiming </w:t>
      </w:r>
      <w:r w:rsidR="005A7E55" w:rsidRPr="00AD7DA6">
        <w:rPr>
          <w:rFonts w:ascii="Century Schoolbook" w:hAnsi="Century Schoolbook"/>
        </w:rPr>
        <w:t xml:space="preserve">that </w:t>
      </w:r>
      <w:r w:rsidR="00A67EAE" w:rsidRPr="00AD7DA6">
        <w:rPr>
          <w:rFonts w:ascii="Century Schoolbook" w:hAnsi="Century Schoolbook"/>
        </w:rPr>
        <w:t>the jury awarded overlapping damag</w:t>
      </w:r>
      <w:r w:rsidR="00F86126" w:rsidRPr="00AD7DA6">
        <w:rPr>
          <w:rFonts w:ascii="Century Schoolbook" w:hAnsi="Century Schoolbook"/>
        </w:rPr>
        <w:t xml:space="preserve">es </w:t>
      </w:r>
      <w:r w:rsidR="00A67EAE" w:rsidRPr="00AD7DA6">
        <w:rPr>
          <w:rFonts w:ascii="Century Schoolbook" w:hAnsi="Century Schoolbook"/>
        </w:rPr>
        <w:t xml:space="preserve">because he did not request a </w:t>
      </w:r>
      <w:r w:rsidR="005A7E55" w:rsidRPr="00AD7DA6">
        <w:rPr>
          <w:rFonts w:ascii="Century Schoolbook" w:hAnsi="Century Schoolbook"/>
        </w:rPr>
        <w:t xml:space="preserve">special </w:t>
      </w:r>
      <w:r w:rsidR="00A67EAE" w:rsidRPr="00AD7DA6">
        <w:rPr>
          <w:rFonts w:ascii="Century Schoolbook" w:hAnsi="Century Schoolbook"/>
        </w:rPr>
        <w:t xml:space="preserve">verdict form </w:t>
      </w:r>
      <w:r w:rsidR="00A67EAE" w:rsidRPr="00AD7DA6">
        <w:rPr>
          <w:rFonts w:ascii="Century Schoolbook" w:hAnsi="Century Schoolbook"/>
        </w:rPr>
        <w:lastRenderedPageBreak/>
        <w:t xml:space="preserve">containing separate entries for </w:t>
      </w:r>
      <w:r w:rsidR="0089166B" w:rsidRPr="00AD7DA6">
        <w:rPr>
          <w:rFonts w:ascii="Century Schoolbook" w:hAnsi="Century Schoolbook"/>
        </w:rPr>
        <w:t>each component</w:t>
      </w:r>
      <w:r w:rsidR="00A67EAE" w:rsidRPr="00AD7DA6">
        <w:rPr>
          <w:rFonts w:ascii="Century Schoolbook" w:hAnsi="Century Schoolbook"/>
        </w:rPr>
        <w:t xml:space="preserve"> of damage</w:t>
      </w:r>
      <w:r w:rsidR="005A7E55" w:rsidRPr="00AD7DA6">
        <w:rPr>
          <w:rFonts w:ascii="Century Schoolbook" w:hAnsi="Century Schoolbook"/>
        </w:rPr>
        <w:t xml:space="preserve">s comprising the benefit-of-the-bargain damages award.  </w:t>
      </w:r>
    </w:p>
    <w:p w14:paraId="180C94DB" w14:textId="389D79B5" w:rsidR="007F3EE4" w:rsidRPr="00AD7DA6" w:rsidRDefault="00B4444F" w:rsidP="00BF2809">
      <w:pPr>
        <w:spacing w:line="360" w:lineRule="auto"/>
        <w:rPr>
          <w:rFonts w:ascii="Century Schoolbook" w:hAnsi="Century Schoolbook"/>
        </w:rPr>
      </w:pPr>
      <w:r w:rsidRPr="00AD7DA6">
        <w:rPr>
          <w:rFonts w:ascii="Century Schoolbook" w:hAnsi="Century Schoolbook"/>
        </w:rPr>
        <w:tab/>
      </w:r>
      <w:r w:rsidR="00A67EAE" w:rsidRPr="00AD7DA6">
        <w:rPr>
          <w:rFonts w:ascii="Century Schoolbook" w:hAnsi="Century Schoolbook"/>
        </w:rPr>
        <w:t>“To preserve for appeal a challenge to separate components of a plaintiff’s damage award, a defendant must request a special verdict form that segregates the elements of damages.  [Citations.]  The reason for this rule is simple.  Without a special verdict separating the various damage components, ‘we have no way of determining what portion—if any’ of an award was attributable to a particular category of damages challenged on appeal.”  (</w:t>
      </w:r>
      <w:r w:rsidR="00A67EAE" w:rsidRPr="00AD7DA6">
        <w:rPr>
          <w:rFonts w:ascii="Century Schoolbook" w:hAnsi="Century Schoolbook"/>
          <w:i/>
        </w:rPr>
        <w:t xml:space="preserve">Greer v. </w:t>
      </w:r>
      <w:proofErr w:type="spellStart"/>
      <w:r w:rsidR="00A67EAE" w:rsidRPr="00AD7DA6">
        <w:rPr>
          <w:rFonts w:ascii="Century Schoolbook" w:hAnsi="Century Schoolbook"/>
          <w:i/>
        </w:rPr>
        <w:t>Buzgheia</w:t>
      </w:r>
      <w:proofErr w:type="spellEnd"/>
      <w:r w:rsidR="00A67EAE" w:rsidRPr="00AD7DA6">
        <w:rPr>
          <w:rFonts w:ascii="Century Schoolbook" w:hAnsi="Century Schoolbook"/>
        </w:rPr>
        <w:t xml:space="preserve"> (2006) 141 Cal.App.4th 1150, 1158.)  </w:t>
      </w:r>
    </w:p>
    <w:p w14:paraId="5E2E779D" w14:textId="394D1A07" w:rsidR="005E4C28" w:rsidRPr="00AD7DA6" w:rsidRDefault="007F3EE4" w:rsidP="00BF2809">
      <w:pPr>
        <w:spacing w:line="360" w:lineRule="auto"/>
        <w:rPr>
          <w:rFonts w:ascii="Century Schoolbook" w:hAnsi="Century Schoolbook"/>
        </w:rPr>
      </w:pPr>
      <w:r w:rsidRPr="00AD7DA6">
        <w:rPr>
          <w:rFonts w:ascii="Century Schoolbook" w:hAnsi="Century Schoolbook"/>
        </w:rPr>
        <w:tab/>
      </w:r>
      <w:r w:rsidR="00A67EAE" w:rsidRPr="00AD7DA6">
        <w:rPr>
          <w:rFonts w:ascii="Century Schoolbook" w:hAnsi="Century Schoolbook"/>
        </w:rPr>
        <w:t xml:space="preserve">Because we cannot determine </w:t>
      </w:r>
      <w:r w:rsidR="00C515EA" w:rsidRPr="00AD7DA6">
        <w:rPr>
          <w:rFonts w:ascii="Century Schoolbook" w:hAnsi="Century Schoolbook"/>
        </w:rPr>
        <w:t xml:space="preserve">from the record </w:t>
      </w:r>
      <w:r w:rsidR="00A67EAE" w:rsidRPr="00AD7DA6">
        <w:rPr>
          <w:rFonts w:ascii="Century Schoolbook" w:hAnsi="Century Schoolbook"/>
        </w:rPr>
        <w:t>whether the jury awarded damages for the defective foundation as part of its $900,000 benefit</w:t>
      </w:r>
      <w:r w:rsidR="00620166">
        <w:rPr>
          <w:rFonts w:ascii="Century Schoolbook" w:hAnsi="Century Schoolbook"/>
        </w:rPr>
        <w:noBreakHyphen/>
      </w:r>
      <w:r w:rsidR="00A67EAE" w:rsidRPr="00AD7DA6">
        <w:rPr>
          <w:rFonts w:ascii="Century Schoolbook" w:hAnsi="Century Schoolbook"/>
        </w:rPr>
        <w:t xml:space="preserve">of-the-bargain award, </w:t>
      </w:r>
      <w:proofErr w:type="gramStart"/>
      <w:r w:rsidR="00A67EAE" w:rsidRPr="00AD7DA6">
        <w:rPr>
          <w:rFonts w:ascii="Century Schoolbook" w:hAnsi="Century Schoolbook"/>
        </w:rPr>
        <w:t>Teed</w:t>
      </w:r>
      <w:proofErr w:type="gramEnd"/>
      <w:r w:rsidR="00C515EA" w:rsidRPr="00AD7DA6">
        <w:rPr>
          <w:rFonts w:ascii="Century Schoolbook" w:hAnsi="Century Schoolbook"/>
        </w:rPr>
        <w:t xml:space="preserve"> has forfeited his claim on appeal</w:t>
      </w:r>
      <w:r w:rsidR="00505BC3" w:rsidRPr="00AD7DA6">
        <w:rPr>
          <w:rFonts w:ascii="Century Schoolbook" w:hAnsi="Century Schoolbook"/>
        </w:rPr>
        <w:t>.</w:t>
      </w:r>
      <w:r w:rsidR="003B4416" w:rsidRPr="00AD7DA6">
        <w:rPr>
          <w:rFonts w:ascii="Century Schoolbook" w:hAnsi="Century Schoolbook"/>
        </w:rPr>
        <w:t xml:space="preserve">  </w:t>
      </w:r>
      <w:r w:rsidR="000D04B6" w:rsidRPr="00AD7DA6">
        <w:rPr>
          <w:rFonts w:ascii="Century Schoolbook" w:hAnsi="Century Schoolbook"/>
        </w:rPr>
        <w:t>A</w:t>
      </w:r>
      <w:r w:rsidR="00A70540" w:rsidRPr="00AD7DA6">
        <w:rPr>
          <w:rFonts w:ascii="Century Schoolbook" w:hAnsi="Century Schoolbook"/>
        </w:rPr>
        <w:t xml:space="preserve">s Moore points out, </w:t>
      </w:r>
      <w:r w:rsidR="007B61E8" w:rsidRPr="00AD7DA6">
        <w:rPr>
          <w:rFonts w:ascii="Century Schoolbook" w:hAnsi="Century Schoolbook"/>
        </w:rPr>
        <w:t xml:space="preserve">the jury returned a verdict for benefit-of-the-bargain damages </w:t>
      </w:r>
      <w:r w:rsidR="000D04B6" w:rsidRPr="00AD7DA6">
        <w:rPr>
          <w:rFonts w:ascii="Century Schoolbook" w:hAnsi="Century Schoolbook"/>
        </w:rPr>
        <w:t xml:space="preserve">that was </w:t>
      </w:r>
      <w:r w:rsidR="007B61E8" w:rsidRPr="00AD7DA6">
        <w:rPr>
          <w:rFonts w:ascii="Century Schoolbook" w:hAnsi="Century Schoolbook"/>
        </w:rPr>
        <w:t xml:space="preserve">substantially </w:t>
      </w:r>
      <w:r w:rsidR="000D04B6" w:rsidRPr="00AD7DA6">
        <w:rPr>
          <w:rFonts w:ascii="Century Schoolbook" w:hAnsi="Century Schoolbook"/>
        </w:rPr>
        <w:t>below</w:t>
      </w:r>
      <w:r w:rsidR="007B61E8" w:rsidRPr="00AD7DA6">
        <w:rPr>
          <w:rFonts w:ascii="Century Schoolbook" w:hAnsi="Century Schoolbook"/>
        </w:rPr>
        <w:t xml:space="preserve"> </w:t>
      </w:r>
      <w:r w:rsidR="00271BE1" w:rsidRPr="00AD7DA6">
        <w:rPr>
          <w:rFonts w:ascii="Century Schoolbook" w:hAnsi="Century Schoolbook"/>
        </w:rPr>
        <w:t xml:space="preserve">the </w:t>
      </w:r>
      <w:r w:rsidR="00A5585B" w:rsidRPr="00AD7DA6">
        <w:rPr>
          <w:rFonts w:ascii="Century Schoolbook" w:hAnsi="Century Schoolbook"/>
        </w:rPr>
        <w:t>requested</w:t>
      </w:r>
      <w:r w:rsidR="00271BE1" w:rsidRPr="00AD7DA6">
        <w:rPr>
          <w:rFonts w:ascii="Century Schoolbook" w:hAnsi="Century Schoolbook"/>
        </w:rPr>
        <w:t xml:space="preserve"> amount of </w:t>
      </w:r>
      <w:r w:rsidR="00003435" w:rsidRPr="00AD7DA6">
        <w:rPr>
          <w:rFonts w:ascii="Century Schoolbook" w:hAnsi="Century Schoolbook"/>
        </w:rPr>
        <w:t xml:space="preserve">$3,842,160, </w:t>
      </w:r>
      <w:r w:rsidR="008F5415" w:rsidRPr="00AD7DA6">
        <w:rPr>
          <w:rFonts w:ascii="Century Schoolbook" w:hAnsi="Century Schoolbook"/>
        </w:rPr>
        <w:t xml:space="preserve">and it </w:t>
      </w:r>
      <w:r w:rsidR="00192D09" w:rsidRPr="00AD7DA6">
        <w:rPr>
          <w:rFonts w:ascii="Century Schoolbook" w:hAnsi="Century Schoolbook"/>
        </w:rPr>
        <w:t>awarded Moore the exact</w:t>
      </w:r>
      <w:r w:rsidR="00A0301A" w:rsidRPr="00AD7DA6">
        <w:rPr>
          <w:rFonts w:ascii="Century Schoolbook" w:hAnsi="Century Schoolbook"/>
        </w:rPr>
        <w:t xml:space="preserve"> amount </w:t>
      </w:r>
      <w:r w:rsidR="001F25A9" w:rsidRPr="00AD7DA6">
        <w:rPr>
          <w:rFonts w:ascii="Century Schoolbook" w:hAnsi="Century Schoolbook"/>
        </w:rPr>
        <w:t xml:space="preserve">($822,904) </w:t>
      </w:r>
      <w:r w:rsidR="00A0301A" w:rsidRPr="00AD7DA6">
        <w:rPr>
          <w:rFonts w:ascii="Century Schoolbook" w:hAnsi="Century Schoolbook"/>
        </w:rPr>
        <w:t xml:space="preserve">he had requested for </w:t>
      </w:r>
      <w:r w:rsidR="001F25A9" w:rsidRPr="00AD7DA6">
        <w:rPr>
          <w:rFonts w:ascii="Century Schoolbook" w:hAnsi="Century Schoolbook"/>
        </w:rPr>
        <w:t xml:space="preserve">the cost of replacing the foundation. </w:t>
      </w:r>
      <w:r w:rsidR="00A52EE3" w:rsidRPr="00AD7DA6">
        <w:rPr>
          <w:rFonts w:ascii="Century Schoolbook" w:hAnsi="Century Schoolbook"/>
        </w:rPr>
        <w:t xml:space="preserve"> </w:t>
      </w:r>
      <w:r w:rsidR="00B3113F" w:rsidRPr="00AD7DA6">
        <w:rPr>
          <w:rFonts w:ascii="Century Schoolbook" w:hAnsi="Century Schoolbook"/>
        </w:rPr>
        <w:t xml:space="preserve">This would suggest that the jury </w:t>
      </w:r>
      <w:r w:rsidR="007A506F" w:rsidRPr="00AD7DA6">
        <w:rPr>
          <w:rFonts w:ascii="Century Schoolbook" w:hAnsi="Century Schoolbook"/>
        </w:rPr>
        <w:t>separated</w:t>
      </w:r>
      <w:r w:rsidR="00B3113F" w:rsidRPr="00AD7DA6">
        <w:rPr>
          <w:rFonts w:ascii="Century Schoolbook" w:hAnsi="Century Schoolbook"/>
        </w:rPr>
        <w:t xml:space="preserve"> the damages award for the foundation replacement from benefit-of-the-bargain damages items for completing the promised renovations.  </w:t>
      </w:r>
      <w:r w:rsidR="009C5D52" w:rsidRPr="00AD7DA6">
        <w:rPr>
          <w:rFonts w:ascii="Century Schoolbook" w:hAnsi="Century Schoolbook"/>
        </w:rPr>
        <w:t xml:space="preserve">There is no basis for inferring that the benefit-of-the-bargain damages award contains any duplicate money for foundation replacement.  </w:t>
      </w:r>
    </w:p>
    <w:p w14:paraId="1A57E927" w14:textId="1DDA5950" w:rsidR="007F660E" w:rsidRPr="004C1D40" w:rsidRDefault="007F660E" w:rsidP="00440E34">
      <w:pPr>
        <w:pStyle w:val="ListParagraph"/>
        <w:numPr>
          <w:ilvl w:val="0"/>
          <w:numId w:val="1"/>
        </w:numPr>
        <w:spacing w:line="360" w:lineRule="auto"/>
        <w:ind w:hanging="1080"/>
        <w:rPr>
          <w:rFonts w:ascii="Century Schoolbook" w:hAnsi="Century Schoolbook"/>
          <w:b/>
          <w:bCs/>
          <w:i/>
        </w:rPr>
      </w:pPr>
      <w:r w:rsidRPr="004C1D40">
        <w:rPr>
          <w:rFonts w:ascii="Century Schoolbook" w:hAnsi="Century Schoolbook"/>
          <w:b/>
          <w:bCs/>
          <w:i/>
        </w:rPr>
        <w:t>Attorney Fee</w:t>
      </w:r>
      <w:r w:rsidR="00792C1C" w:rsidRPr="004C1D40">
        <w:rPr>
          <w:rFonts w:ascii="Century Schoolbook" w:hAnsi="Century Schoolbook"/>
          <w:b/>
          <w:bCs/>
          <w:i/>
        </w:rPr>
        <w:t xml:space="preserve"> Award</w:t>
      </w:r>
    </w:p>
    <w:p w14:paraId="1945C55D" w14:textId="5B9D7526" w:rsidR="00A67CE5" w:rsidRPr="00AD7DA6" w:rsidRDefault="00503D2D" w:rsidP="00345CDC">
      <w:pPr>
        <w:spacing w:line="360" w:lineRule="auto"/>
        <w:rPr>
          <w:rFonts w:ascii="Century Schoolbook" w:hAnsi="Century Schoolbook"/>
        </w:rPr>
      </w:pPr>
      <w:r w:rsidRPr="00AD7DA6">
        <w:rPr>
          <w:rFonts w:ascii="Century Schoolbook" w:hAnsi="Century Schoolbook"/>
        </w:rPr>
        <w:tab/>
      </w:r>
      <w:r w:rsidR="00FC6D45" w:rsidRPr="00AD7DA6">
        <w:rPr>
          <w:rFonts w:ascii="Century Schoolbook" w:hAnsi="Century Schoolbook"/>
        </w:rPr>
        <w:t xml:space="preserve">Teed challenges the trial court’s award of attorney fees under </w:t>
      </w:r>
      <w:r w:rsidRPr="00AD7DA6">
        <w:rPr>
          <w:rFonts w:ascii="Century Schoolbook" w:hAnsi="Century Schoolbook"/>
        </w:rPr>
        <w:t>section 7160</w:t>
      </w:r>
      <w:r w:rsidR="00C83EA7" w:rsidRPr="00AD7DA6">
        <w:rPr>
          <w:rFonts w:ascii="Century Schoolbook" w:hAnsi="Century Schoolbook"/>
        </w:rPr>
        <w:t>,</w:t>
      </w:r>
      <w:r w:rsidR="007159E0" w:rsidRPr="00AD7DA6">
        <w:rPr>
          <w:rFonts w:ascii="Century Schoolbook" w:hAnsi="Century Schoolbook"/>
        </w:rPr>
        <w:t xml:space="preserve"> </w:t>
      </w:r>
      <w:r w:rsidR="00515278" w:rsidRPr="00AD7DA6">
        <w:rPr>
          <w:rFonts w:ascii="Century Schoolbook" w:hAnsi="Century Schoolbook"/>
        </w:rPr>
        <w:t xml:space="preserve">contending the </w:t>
      </w:r>
      <w:r w:rsidR="007E61B6" w:rsidRPr="00AD7DA6">
        <w:rPr>
          <w:rFonts w:ascii="Century Schoolbook" w:hAnsi="Century Schoolbook"/>
        </w:rPr>
        <w:t>statute</w:t>
      </w:r>
      <w:r w:rsidR="00515278" w:rsidRPr="00AD7DA6">
        <w:rPr>
          <w:rFonts w:ascii="Century Schoolbook" w:hAnsi="Century Schoolbook"/>
        </w:rPr>
        <w:t xml:space="preserve"> does not apply </w:t>
      </w:r>
      <w:r w:rsidR="00276620" w:rsidRPr="00AD7DA6">
        <w:rPr>
          <w:rFonts w:ascii="Century Schoolbook" w:hAnsi="Century Schoolbook"/>
        </w:rPr>
        <w:t xml:space="preserve">to him </w:t>
      </w:r>
      <w:r w:rsidR="00C72350" w:rsidRPr="00AD7DA6">
        <w:rPr>
          <w:rFonts w:ascii="Century Schoolbook" w:hAnsi="Century Schoolbook"/>
        </w:rPr>
        <w:t xml:space="preserve">and </w:t>
      </w:r>
      <w:r w:rsidR="00F248A7" w:rsidRPr="00AD7DA6">
        <w:rPr>
          <w:rFonts w:ascii="Century Schoolbook" w:hAnsi="Century Schoolbook"/>
        </w:rPr>
        <w:t>the court’s jury instruction</w:t>
      </w:r>
      <w:r w:rsidR="006F5563" w:rsidRPr="00AD7DA6">
        <w:rPr>
          <w:rFonts w:ascii="Century Schoolbook" w:hAnsi="Century Schoolbook"/>
        </w:rPr>
        <w:t>s</w:t>
      </w:r>
      <w:r w:rsidR="00F248A7" w:rsidRPr="00AD7DA6">
        <w:rPr>
          <w:rFonts w:ascii="Century Schoolbook" w:hAnsi="Century Schoolbook"/>
        </w:rPr>
        <w:t xml:space="preserve"> w</w:t>
      </w:r>
      <w:r w:rsidR="006F5563" w:rsidRPr="00AD7DA6">
        <w:rPr>
          <w:rFonts w:ascii="Century Schoolbook" w:hAnsi="Century Schoolbook"/>
        </w:rPr>
        <w:t>ere</w:t>
      </w:r>
      <w:r w:rsidR="00F248A7" w:rsidRPr="00AD7DA6">
        <w:rPr>
          <w:rFonts w:ascii="Century Schoolbook" w:hAnsi="Century Schoolbook"/>
        </w:rPr>
        <w:t xml:space="preserve"> </w:t>
      </w:r>
      <w:r w:rsidR="00C72350" w:rsidRPr="00AD7DA6">
        <w:rPr>
          <w:rFonts w:ascii="Century Schoolbook" w:hAnsi="Century Schoolbook"/>
        </w:rPr>
        <w:t>misleading</w:t>
      </w:r>
      <w:r w:rsidR="00D34C8D" w:rsidRPr="00AD7DA6">
        <w:rPr>
          <w:rFonts w:ascii="Century Schoolbook" w:hAnsi="Century Schoolbook"/>
        </w:rPr>
        <w:t xml:space="preserve"> and led to an inconsistent verdict</w:t>
      </w:r>
      <w:r w:rsidR="00F248A7" w:rsidRPr="00AD7DA6">
        <w:rPr>
          <w:rFonts w:ascii="Century Schoolbook" w:hAnsi="Century Schoolbook"/>
        </w:rPr>
        <w:t>.</w:t>
      </w:r>
      <w:r w:rsidR="00C72350" w:rsidRPr="00AD7DA6">
        <w:rPr>
          <w:rFonts w:ascii="Century Schoolbook" w:hAnsi="Century Schoolbook"/>
        </w:rPr>
        <w:t xml:space="preserve">  </w:t>
      </w:r>
      <w:r w:rsidR="00C83FB0" w:rsidRPr="00AD7DA6">
        <w:rPr>
          <w:rFonts w:ascii="Century Schoolbook" w:hAnsi="Century Schoolbook"/>
        </w:rPr>
        <w:t>He</w:t>
      </w:r>
      <w:r w:rsidR="006F5563" w:rsidRPr="00AD7DA6">
        <w:rPr>
          <w:rFonts w:ascii="Century Schoolbook" w:hAnsi="Century Schoolbook"/>
        </w:rPr>
        <w:t xml:space="preserve"> </w:t>
      </w:r>
      <w:r w:rsidR="00C83FB0" w:rsidRPr="00AD7DA6">
        <w:rPr>
          <w:rFonts w:ascii="Century Schoolbook" w:hAnsi="Century Schoolbook"/>
        </w:rPr>
        <w:t>seeks</w:t>
      </w:r>
      <w:r w:rsidR="006F5563" w:rsidRPr="00AD7DA6">
        <w:rPr>
          <w:rFonts w:ascii="Century Schoolbook" w:hAnsi="Century Schoolbook"/>
        </w:rPr>
        <w:t xml:space="preserve"> reversal of the entire </w:t>
      </w:r>
      <w:r w:rsidR="00D33621" w:rsidRPr="00AD7DA6">
        <w:rPr>
          <w:rFonts w:ascii="Century Schoolbook" w:hAnsi="Century Schoolbook"/>
        </w:rPr>
        <w:t xml:space="preserve">attorney fee award.  </w:t>
      </w:r>
      <w:r w:rsidR="00C200F1" w:rsidRPr="00AD7DA6">
        <w:rPr>
          <w:rFonts w:ascii="Century Schoolbook" w:hAnsi="Century Schoolbook"/>
        </w:rPr>
        <w:t xml:space="preserve">We will affirm.  </w:t>
      </w:r>
    </w:p>
    <w:p w14:paraId="399839EF" w14:textId="6F22C3A1" w:rsidR="004834F7" w:rsidRPr="00AD7DA6" w:rsidRDefault="00A67CE5" w:rsidP="00345CDC">
      <w:pPr>
        <w:spacing w:line="360" w:lineRule="auto"/>
        <w:rPr>
          <w:rFonts w:ascii="Century Schoolbook" w:hAnsi="Century Schoolbook"/>
        </w:rPr>
      </w:pPr>
      <w:r w:rsidRPr="00AD7DA6">
        <w:rPr>
          <w:rFonts w:ascii="Century Schoolbook" w:hAnsi="Century Schoolbook"/>
        </w:rPr>
        <w:tab/>
      </w:r>
      <w:r w:rsidR="00FC6D45" w:rsidRPr="00AD7DA6">
        <w:rPr>
          <w:rFonts w:ascii="Century Schoolbook" w:hAnsi="Century Schoolbook"/>
        </w:rPr>
        <w:t>Section 7160</w:t>
      </w:r>
      <w:r w:rsidR="006416E4" w:rsidRPr="00AD7DA6">
        <w:rPr>
          <w:rFonts w:ascii="Century Schoolbook" w:hAnsi="Century Schoolbook"/>
        </w:rPr>
        <w:t xml:space="preserve">, </w:t>
      </w:r>
      <w:r w:rsidR="00503D2D" w:rsidRPr="00AD7DA6">
        <w:rPr>
          <w:rFonts w:ascii="Century Schoolbook" w:hAnsi="Century Schoolbook"/>
        </w:rPr>
        <w:t>part of the Contractors’ State License Law</w:t>
      </w:r>
      <w:r w:rsidR="006416E4" w:rsidRPr="00AD7DA6">
        <w:rPr>
          <w:rFonts w:ascii="Century Schoolbook" w:hAnsi="Century Schoolbook"/>
        </w:rPr>
        <w:t xml:space="preserve">, </w:t>
      </w:r>
      <w:r w:rsidR="00503D2D" w:rsidRPr="00AD7DA6">
        <w:rPr>
          <w:rFonts w:ascii="Century Schoolbook" w:hAnsi="Century Schoolbook"/>
        </w:rPr>
        <w:t>provides</w:t>
      </w:r>
      <w:r w:rsidR="00DB09ED" w:rsidRPr="00AD7DA6">
        <w:rPr>
          <w:rFonts w:ascii="Century Schoolbook" w:hAnsi="Century Schoolbook"/>
        </w:rPr>
        <w:t xml:space="preserve"> as follows</w:t>
      </w:r>
      <w:r w:rsidR="00503D2D" w:rsidRPr="00AD7DA6">
        <w:rPr>
          <w:rFonts w:ascii="Century Schoolbook" w:hAnsi="Century Schoolbook"/>
        </w:rPr>
        <w:t xml:space="preserve">: </w:t>
      </w:r>
      <w:r w:rsidR="00834203" w:rsidRPr="00AD7DA6">
        <w:rPr>
          <w:rFonts w:ascii="Century Schoolbook" w:hAnsi="Century Schoolbook"/>
        </w:rPr>
        <w:t xml:space="preserve"> </w:t>
      </w:r>
      <w:r w:rsidR="00503D2D" w:rsidRPr="00AD7DA6">
        <w:rPr>
          <w:rFonts w:ascii="Century Schoolbook" w:hAnsi="Century Schoolbook"/>
        </w:rPr>
        <w:t xml:space="preserve">“Any person who is induced to contract for a work of improvement, </w:t>
      </w:r>
      <w:r w:rsidR="00503D2D" w:rsidRPr="00AD7DA6">
        <w:rPr>
          <w:rFonts w:ascii="Century Schoolbook" w:hAnsi="Century Schoolbook"/>
        </w:rPr>
        <w:lastRenderedPageBreak/>
        <w:t xml:space="preserve">including but not limited to a home improvement, in reliance on false or fraudulent representations or false statements knowingly made, may sue and recover from such contractor or solicitor a penalty of five hundred dollars ($500), plus reasonable attorney’s fees, in addition to any damages sustained by him by reason of such statements or representations made by the contractor or solicitor.”  </w:t>
      </w:r>
    </w:p>
    <w:p w14:paraId="10135D56" w14:textId="4B6FA2A8" w:rsidR="00140BD9" w:rsidRPr="00AD7DA6" w:rsidRDefault="004834F7" w:rsidP="00503D2D">
      <w:pPr>
        <w:spacing w:line="360" w:lineRule="auto"/>
        <w:rPr>
          <w:rFonts w:ascii="Century Schoolbook" w:hAnsi="Century Schoolbook"/>
        </w:rPr>
      </w:pPr>
      <w:r w:rsidRPr="00AD7DA6">
        <w:rPr>
          <w:rFonts w:ascii="Century Schoolbook" w:hAnsi="Century Schoolbook"/>
        </w:rPr>
        <w:tab/>
      </w:r>
      <w:r w:rsidR="000866D5" w:rsidRPr="00AD7DA6">
        <w:rPr>
          <w:rFonts w:ascii="Century Schoolbook" w:hAnsi="Century Schoolbook"/>
        </w:rPr>
        <w:t>At trial, t</w:t>
      </w:r>
      <w:r w:rsidR="00345CDC" w:rsidRPr="00AD7DA6">
        <w:rPr>
          <w:rFonts w:ascii="Century Schoolbook" w:hAnsi="Century Schoolbook"/>
        </w:rPr>
        <w:t xml:space="preserve">he parties agreed to an instruction that closely tracked section 7160 but, for reasons </w:t>
      </w:r>
      <w:r w:rsidR="0089576E" w:rsidRPr="00AD7DA6">
        <w:rPr>
          <w:rFonts w:ascii="Century Schoolbook" w:hAnsi="Century Schoolbook"/>
        </w:rPr>
        <w:t>appellate counsel</w:t>
      </w:r>
      <w:r w:rsidR="00345CDC" w:rsidRPr="00AD7DA6">
        <w:rPr>
          <w:rFonts w:ascii="Century Schoolbook" w:hAnsi="Century Schoolbook"/>
        </w:rPr>
        <w:t xml:space="preserve"> </w:t>
      </w:r>
      <w:r w:rsidR="003C7D43" w:rsidRPr="00AD7DA6">
        <w:rPr>
          <w:rFonts w:ascii="Century Schoolbook" w:hAnsi="Century Schoolbook"/>
        </w:rPr>
        <w:t>could not</w:t>
      </w:r>
      <w:r w:rsidR="00345CDC" w:rsidRPr="00AD7DA6">
        <w:rPr>
          <w:rFonts w:ascii="Century Schoolbook" w:hAnsi="Century Schoolbook"/>
        </w:rPr>
        <w:t xml:space="preserve"> explain, omitted the word “solicitor.”  </w:t>
      </w:r>
      <w:r w:rsidR="00476E6F" w:rsidRPr="00AD7DA6">
        <w:rPr>
          <w:rFonts w:ascii="Century Schoolbook" w:hAnsi="Century Schoolbook"/>
        </w:rPr>
        <w:t xml:space="preserve">The </w:t>
      </w:r>
      <w:r w:rsidR="00503D2D" w:rsidRPr="00AD7DA6">
        <w:rPr>
          <w:rFonts w:ascii="Century Schoolbook" w:hAnsi="Century Schoolbook"/>
        </w:rPr>
        <w:t>CACI No. 418</w:t>
      </w:r>
      <w:r w:rsidR="00160091" w:rsidRPr="00AD7DA6">
        <w:rPr>
          <w:rFonts w:ascii="Century Schoolbook" w:hAnsi="Century Schoolbook"/>
        </w:rPr>
        <w:t xml:space="preserve"> instruction given to the jury stated in part: </w:t>
      </w:r>
      <w:r w:rsidR="00AC48E5" w:rsidRPr="00AD7DA6">
        <w:rPr>
          <w:rFonts w:ascii="Century Schoolbook" w:hAnsi="Century Schoolbook"/>
        </w:rPr>
        <w:t xml:space="preserve"> </w:t>
      </w:r>
      <w:r w:rsidR="00503D2D" w:rsidRPr="00AD7DA6">
        <w:rPr>
          <w:rFonts w:ascii="Century Schoolbook" w:hAnsi="Century Schoolbook"/>
        </w:rPr>
        <w:t xml:space="preserve">“Business &amp; Professions Code section 7160 states: </w:t>
      </w:r>
      <w:r w:rsidR="00834203" w:rsidRPr="00AD7DA6">
        <w:rPr>
          <w:rFonts w:ascii="Century Schoolbook" w:hAnsi="Century Schoolbook"/>
        </w:rPr>
        <w:t xml:space="preserve"> </w:t>
      </w:r>
      <w:r w:rsidRPr="00AD7DA6">
        <w:rPr>
          <w:rFonts w:ascii="Century Schoolbook" w:hAnsi="Century Schoolbook"/>
        </w:rPr>
        <w:t>‘</w:t>
      </w:r>
      <w:r w:rsidR="00503D2D" w:rsidRPr="00AD7DA6">
        <w:rPr>
          <w:rFonts w:ascii="Century Schoolbook" w:hAnsi="Century Schoolbook"/>
        </w:rPr>
        <w:t xml:space="preserve">Any person who is induced </w:t>
      </w:r>
      <w:r w:rsidR="00503D2D" w:rsidRPr="00AD7DA6">
        <w:rPr>
          <w:rFonts w:ascii="Century Schoolbook" w:hAnsi="Century Schoolbook"/>
          <w:i/>
        </w:rPr>
        <w:t>to contract</w:t>
      </w:r>
      <w:r w:rsidR="00503D2D" w:rsidRPr="00AD7DA6">
        <w:rPr>
          <w:rFonts w:ascii="Century Schoolbook" w:hAnsi="Century Schoolbook"/>
        </w:rPr>
        <w:t xml:space="preserve"> for a work of improvement, including by [</w:t>
      </w:r>
      <w:r w:rsidR="00503D2D" w:rsidRPr="00AD7DA6">
        <w:rPr>
          <w:rFonts w:ascii="Century Schoolbook" w:hAnsi="Century Schoolbook"/>
          <w:i/>
        </w:rPr>
        <w:t>sic</w:t>
      </w:r>
      <w:r w:rsidR="00503D2D" w:rsidRPr="00AD7DA6">
        <w:rPr>
          <w:rFonts w:ascii="Century Schoolbook" w:hAnsi="Century Schoolbook"/>
        </w:rPr>
        <w:t xml:space="preserve">] not limited to a home improvement, in reliance on false or fraudulent representations or false statements knowingly made, may sue and recover </w:t>
      </w:r>
      <w:r w:rsidR="00503D2D" w:rsidRPr="00AD7DA6">
        <w:rPr>
          <w:rFonts w:ascii="Century Schoolbook" w:hAnsi="Century Schoolbook"/>
          <w:i/>
        </w:rPr>
        <w:t>from such contractor</w:t>
      </w:r>
      <w:r w:rsidR="00503D2D" w:rsidRPr="00AD7DA6">
        <w:rPr>
          <w:rFonts w:ascii="Century Schoolbook" w:hAnsi="Century Schoolbook"/>
        </w:rPr>
        <w:t>.</w:t>
      </w:r>
      <w:r w:rsidRPr="00AD7DA6">
        <w:rPr>
          <w:rFonts w:ascii="Century Schoolbook" w:hAnsi="Century Schoolbook"/>
        </w:rPr>
        <w:t>’</w:t>
      </w:r>
      <w:r w:rsidR="00620166">
        <w:rPr>
          <w:rFonts w:ascii="Century Schoolbook" w:hAnsi="Century Schoolbook"/>
        </w:rPr>
        <w:t> </w:t>
      </w:r>
      <w:r w:rsidR="00503D2D" w:rsidRPr="00AD7DA6">
        <w:rPr>
          <w:rFonts w:ascii="Century Schoolbook" w:hAnsi="Century Schoolbook"/>
        </w:rPr>
        <w:t xml:space="preserve">” </w:t>
      </w:r>
      <w:r w:rsidR="007C71AD" w:rsidRPr="00AD7DA6">
        <w:rPr>
          <w:rFonts w:ascii="Century Schoolbook" w:hAnsi="Century Schoolbook"/>
        </w:rPr>
        <w:t xml:space="preserve"> (Italics added.) </w:t>
      </w:r>
      <w:r w:rsidR="00503D2D" w:rsidRPr="00AD7DA6">
        <w:rPr>
          <w:rFonts w:ascii="Century Schoolbook" w:hAnsi="Century Schoolbook"/>
        </w:rPr>
        <w:t xml:space="preserve"> In response to question </w:t>
      </w:r>
      <w:r w:rsidR="00C75B52" w:rsidRPr="00AD7DA6">
        <w:rPr>
          <w:rFonts w:ascii="Century Schoolbook" w:hAnsi="Century Schoolbook"/>
        </w:rPr>
        <w:t>9</w:t>
      </w:r>
      <w:r w:rsidR="00503D2D" w:rsidRPr="00AD7DA6">
        <w:rPr>
          <w:rFonts w:ascii="Century Schoolbook" w:hAnsi="Century Schoolbook"/>
        </w:rPr>
        <w:t xml:space="preserve"> on the verdict form, “Did Justin Moore prove that Richard Teed violated Business &amp; Professions Code § 7160 (see CACI </w:t>
      </w:r>
      <w:r w:rsidR="00345CDC" w:rsidRPr="00AD7DA6">
        <w:rPr>
          <w:rFonts w:ascii="Century Schoolbook" w:hAnsi="Century Schoolbook"/>
        </w:rPr>
        <w:t xml:space="preserve">[No.] </w:t>
      </w:r>
      <w:r w:rsidR="00503D2D" w:rsidRPr="00AD7DA6">
        <w:rPr>
          <w:rFonts w:ascii="Century Schoolbook" w:hAnsi="Century Schoolbook"/>
        </w:rPr>
        <w:t>418</w:t>
      </w:r>
      <w:proofErr w:type="gramStart"/>
      <w:r w:rsidR="00503D2D" w:rsidRPr="00AD7DA6">
        <w:rPr>
          <w:rFonts w:ascii="Century Schoolbook" w:hAnsi="Century Schoolbook"/>
        </w:rPr>
        <w:t>)?,</w:t>
      </w:r>
      <w:proofErr w:type="gramEnd"/>
      <w:r w:rsidR="00503D2D" w:rsidRPr="00AD7DA6">
        <w:rPr>
          <w:rFonts w:ascii="Century Schoolbook" w:hAnsi="Century Schoolbook"/>
        </w:rPr>
        <w:t xml:space="preserve">” the jury answered “Yes.” </w:t>
      </w:r>
      <w:r w:rsidR="00345CDC" w:rsidRPr="00AD7DA6">
        <w:rPr>
          <w:rFonts w:ascii="Century Schoolbook" w:hAnsi="Century Schoolbook"/>
        </w:rPr>
        <w:t xml:space="preserve"> </w:t>
      </w:r>
    </w:p>
    <w:p w14:paraId="6E6B0700" w14:textId="77777777" w:rsidR="0052253F" w:rsidRPr="00AD7DA6" w:rsidRDefault="008B6765" w:rsidP="00A770A7">
      <w:pPr>
        <w:spacing w:line="360" w:lineRule="auto"/>
        <w:rPr>
          <w:rFonts w:ascii="Century Schoolbook" w:hAnsi="Century Schoolbook"/>
        </w:rPr>
      </w:pPr>
      <w:r w:rsidRPr="00AD7DA6">
        <w:rPr>
          <w:rFonts w:ascii="Century Schoolbook" w:hAnsi="Century Schoolbook"/>
        </w:rPr>
        <w:tab/>
        <w:t xml:space="preserve">While </w:t>
      </w:r>
      <w:r w:rsidR="001C743F" w:rsidRPr="00AD7DA6">
        <w:rPr>
          <w:rFonts w:ascii="Century Schoolbook" w:hAnsi="Century Schoolbook"/>
        </w:rPr>
        <w:t xml:space="preserve">Teed </w:t>
      </w:r>
      <w:r w:rsidRPr="00AD7DA6">
        <w:rPr>
          <w:rFonts w:ascii="Century Schoolbook" w:hAnsi="Century Schoolbook"/>
        </w:rPr>
        <w:t>conced</w:t>
      </w:r>
      <w:r w:rsidR="001C743F" w:rsidRPr="00AD7DA6">
        <w:rPr>
          <w:rFonts w:ascii="Century Schoolbook" w:hAnsi="Century Schoolbook"/>
        </w:rPr>
        <w:t>es</w:t>
      </w:r>
      <w:r w:rsidRPr="00AD7DA6">
        <w:rPr>
          <w:rFonts w:ascii="Century Schoolbook" w:hAnsi="Century Schoolbook"/>
        </w:rPr>
        <w:t xml:space="preserve"> that a</w:t>
      </w:r>
      <w:r w:rsidR="0039708C" w:rsidRPr="00AD7DA6">
        <w:rPr>
          <w:rFonts w:ascii="Century Schoolbook" w:hAnsi="Century Schoolbook"/>
        </w:rPr>
        <w:t xml:space="preserve"> contract is not required for a </w:t>
      </w:r>
      <w:r w:rsidR="00175F5D" w:rsidRPr="00AD7DA6">
        <w:rPr>
          <w:rFonts w:ascii="Century Schoolbook" w:hAnsi="Century Schoolbook"/>
        </w:rPr>
        <w:t xml:space="preserve">person </w:t>
      </w:r>
      <w:r w:rsidR="0039708C" w:rsidRPr="00AD7DA6">
        <w:rPr>
          <w:rFonts w:ascii="Century Schoolbook" w:hAnsi="Century Schoolbook"/>
        </w:rPr>
        <w:t>to be deemed</w:t>
      </w:r>
      <w:r w:rsidRPr="00AD7DA6">
        <w:rPr>
          <w:rFonts w:ascii="Century Schoolbook" w:hAnsi="Century Schoolbook"/>
        </w:rPr>
        <w:t xml:space="preserve"> a “contractor” </w:t>
      </w:r>
      <w:r w:rsidR="0039708C" w:rsidRPr="00AD7DA6">
        <w:rPr>
          <w:rFonts w:ascii="Century Schoolbook" w:hAnsi="Century Schoolbook"/>
        </w:rPr>
        <w:t>under the Contractors’ State License Law</w:t>
      </w:r>
      <w:r w:rsidRPr="00AD7DA6">
        <w:rPr>
          <w:rFonts w:ascii="Century Schoolbook" w:hAnsi="Century Schoolbook"/>
        </w:rPr>
        <w:t xml:space="preserve">, </w:t>
      </w:r>
      <w:r w:rsidR="0052253F" w:rsidRPr="00AD7DA6">
        <w:rPr>
          <w:rFonts w:ascii="Century Schoolbook" w:hAnsi="Century Schoolbook"/>
        </w:rPr>
        <w:t>he</w:t>
      </w:r>
      <w:r w:rsidRPr="00AD7DA6">
        <w:rPr>
          <w:rFonts w:ascii="Century Schoolbook" w:hAnsi="Century Schoolbook"/>
        </w:rPr>
        <w:t xml:space="preserve"> contends </w:t>
      </w:r>
    </w:p>
    <w:p w14:paraId="33AFD893" w14:textId="459A2FC5" w:rsidR="00B0031B" w:rsidRPr="00AD7DA6" w:rsidRDefault="0052253F" w:rsidP="00A770A7">
      <w:pPr>
        <w:spacing w:line="360" w:lineRule="auto"/>
        <w:rPr>
          <w:rFonts w:ascii="Century Schoolbook" w:hAnsi="Century Schoolbook"/>
        </w:rPr>
      </w:pPr>
      <w:r w:rsidRPr="00AD7DA6">
        <w:rPr>
          <w:rFonts w:ascii="Century Schoolbook" w:hAnsi="Century Schoolbook"/>
        </w:rPr>
        <w:t xml:space="preserve">that </w:t>
      </w:r>
      <w:r w:rsidR="007A57AC" w:rsidRPr="00AD7DA6">
        <w:rPr>
          <w:rFonts w:ascii="Century Schoolbook" w:hAnsi="Century Schoolbook"/>
        </w:rPr>
        <w:t xml:space="preserve">a contract was required here </w:t>
      </w:r>
      <w:proofErr w:type="gramStart"/>
      <w:r w:rsidR="007A57AC" w:rsidRPr="00AD7DA6">
        <w:rPr>
          <w:rFonts w:ascii="Century Schoolbook" w:hAnsi="Century Schoolbook"/>
        </w:rPr>
        <w:t>in order for</w:t>
      </w:r>
      <w:proofErr w:type="gramEnd"/>
      <w:r w:rsidR="007A57AC" w:rsidRPr="00AD7DA6">
        <w:rPr>
          <w:rFonts w:ascii="Century Schoolbook" w:hAnsi="Century Schoolbook"/>
        </w:rPr>
        <w:t xml:space="preserve"> the jury to have found </w:t>
      </w:r>
      <w:r w:rsidR="00842739">
        <w:rPr>
          <w:rFonts w:ascii="Century Schoolbook" w:hAnsi="Century Schoolbook"/>
        </w:rPr>
        <w:t>him in</w:t>
      </w:r>
      <w:r w:rsidR="007A57AC" w:rsidRPr="00AD7DA6">
        <w:rPr>
          <w:rFonts w:ascii="Century Schoolbook" w:hAnsi="Century Schoolbook"/>
        </w:rPr>
        <w:t xml:space="preserve"> violation of section 7160 because </w:t>
      </w:r>
      <w:r w:rsidR="008B6765" w:rsidRPr="00AD7DA6">
        <w:rPr>
          <w:rFonts w:ascii="Century Schoolbook" w:hAnsi="Century Schoolbook"/>
        </w:rPr>
        <w:t xml:space="preserve">CACI No. 418 </w:t>
      </w:r>
      <w:r w:rsidRPr="00AD7DA6">
        <w:rPr>
          <w:rFonts w:ascii="Century Schoolbook" w:hAnsi="Century Schoolbook"/>
        </w:rPr>
        <w:t>describes</w:t>
      </w:r>
      <w:r w:rsidR="009E205C" w:rsidRPr="00AD7DA6">
        <w:rPr>
          <w:rFonts w:ascii="Century Schoolbook" w:hAnsi="Century Schoolbook"/>
        </w:rPr>
        <w:t xml:space="preserve"> a person </w:t>
      </w:r>
      <w:r w:rsidR="00AB6667" w:rsidRPr="00AD7DA6">
        <w:rPr>
          <w:rFonts w:ascii="Century Schoolbook" w:hAnsi="Century Schoolbook"/>
        </w:rPr>
        <w:t xml:space="preserve">“who is </w:t>
      </w:r>
      <w:r w:rsidR="00AB6667" w:rsidRPr="00AD7DA6">
        <w:rPr>
          <w:rFonts w:ascii="Century Schoolbook" w:hAnsi="Century Schoolbook"/>
          <w:i/>
          <w:iCs/>
        </w:rPr>
        <w:t>induced to contract</w:t>
      </w:r>
      <w:r w:rsidR="00AB6667" w:rsidRPr="00AD7DA6">
        <w:rPr>
          <w:rFonts w:ascii="Century Schoolbook" w:hAnsi="Century Schoolbook"/>
        </w:rPr>
        <w:t xml:space="preserve"> </w:t>
      </w:r>
      <w:r w:rsidR="00834203" w:rsidRPr="00AD7DA6">
        <w:rPr>
          <w:rFonts w:ascii="Century Schoolbook" w:hAnsi="Century Schoolbook"/>
        </w:rPr>
        <w:t>. . .</w:t>
      </w:r>
      <w:r w:rsidR="00AB6667" w:rsidRPr="00AD7DA6">
        <w:rPr>
          <w:rFonts w:ascii="Century Schoolbook" w:hAnsi="Century Schoolbook"/>
        </w:rPr>
        <w:t xml:space="preserve"> recover[</w:t>
      </w:r>
      <w:proofErr w:type="spellStart"/>
      <w:r w:rsidR="00AB6667" w:rsidRPr="00AD7DA6">
        <w:rPr>
          <w:rFonts w:ascii="Century Schoolbook" w:hAnsi="Century Schoolbook"/>
        </w:rPr>
        <w:t>ing</w:t>
      </w:r>
      <w:proofErr w:type="spellEnd"/>
      <w:r w:rsidR="00AB6667" w:rsidRPr="00AD7DA6">
        <w:rPr>
          <w:rFonts w:ascii="Century Schoolbook" w:hAnsi="Century Schoolbook"/>
        </w:rPr>
        <w:t xml:space="preserve">] </w:t>
      </w:r>
      <w:r w:rsidR="00AB6667" w:rsidRPr="00AD7DA6">
        <w:rPr>
          <w:rFonts w:ascii="Century Schoolbook" w:hAnsi="Century Schoolbook"/>
          <w:i/>
          <w:iCs/>
        </w:rPr>
        <w:t>from</w:t>
      </w:r>
      <w:r w:rsidR="00AB6667" w:rsidRPr="00AD7DA6">
        <w:rPr>
          <w:rFonts w:ascii="Century Schoolbook" w:hAnsi="Century Schoolbook"/>
        </w:rPr>
        <w:t xml:space="preserve"> </w:t>
      </w:r>
      <w:r w:rsidR="00AB6667" w:rsidRPr="00AD7DA6">
        <w:rPr>
          <w:rFonts w:ascii="Century Schoolbook" w:hAnsi="Century Schoolbook"/>
          <w:i/>
          <w:iCs/>
        </w:rPr>
        <w:t>such contractor</w:t>
      </w:r>
      <w:r w:rsidR="00AB6667" w:rsidRPr="00AD7DA6">
        <w:rPr>
          <w:rFonts w:ascii="Century Schoolbook" w:hAnsi="Century Schoolbook"/>
        </w:rPr>
        <w:t>.”</w:t>
      </w:r>
      <w:r w:rsidR="00A52EE3" w:rsidRPr="00AD7DA6">
        <w:rPr>
          <w:rFonts w:ascii="Century Schoolbook" w:hAnsi="Century Schoolbook"/>
        </w:rPr>
        <w:t xml:space="preserve"> </w:t>
      </w:r>
      <w:r w:rsidR="008B6765" w:rsidRPr="00AD7DA6">
        <w:rPr>
          <w:rFonts w:ascii="Century Schoolbook" w:hAnsi="Century Schoolbook"/>
        </w:rPr>
        <w:t xml:space="preserve"> </w:t>
      </w:r>
      <w:r w:rsidR="008804F0" w:rsidRPr="00AD7DA6">
        <w:rPr>
          <w:rFonts w:ascii="Century Schoolbook" w:hAnsi="Century Schoolbook"/>
        </w:rPr>
        <w:t xml:space="preserve">Because the jury </w:t>
      </w:r>
      <w:r w:rsidR="008B6765" w:rsidRPr="00AD7DA6">
        <w:rPr>
          <w:rFonts w:ascii="Century Schoolbook" w:hAnsi="Century Schoolbook"/>
        </w:rPr>
        <w:t xml:space="preserve">found </w:t>
      </w:r>
      <w:r w:rsidR="003227BF" w:rsidRPr="00AD7DA6">
        <w:rPr>
          <w:rFonts w:ascii="Century Schoolbook" w:hAnsi="Century Schoolbook"/>
        </w:rPr>
        <w:t xml:space="preserve">that </w:t>
      </w:r>
      <w:r w:rsidR="00A770A7" w:rsidRPr="00AD7DA6">
        <w:rPr>
          <w:rFonts w:ascii="Century Schoolbook" w:hAnsi="Century Schoolbook"/>
        </w:rPr>
        <w:t xml:space="preserve">no contract existed between Moore and Teed when </w:t>
      </w:r>
      <w:r w:rsidR="002C4AA2" w:rsidRPr="00AD7DA6">
        <w:rPr>
          <w:rFonts w:ascii="Century Schoolbook" w:hAnsi="Century Schoolbook"/>
        </w:rPr>
        <w:t xml:space="preserve">Teed prevailed </w:t>
      </w:r>
      <w:r w:rsidR="008B6765" w:rsidRPr="00AD7DA6">
        <w:rPr>
          <w:rFonts w:ascii="Century Schoolbook" w:hAnsi="Century Schoolbook"/>
        </w:rPr>
        <w:t xml:space="preserve">on </w:t>
      </w:r>
      <w:r w:rsidR="002C4AA2" w:rsidRPr="00AD7DA6">
        <w:rPr>
          <w:rFonts w:ascii="Century Schoolbook" w:hAnsi="Century Schoolbook"/>
        </w:rPr>
        <w:t>the</w:t>
      </w:r>
      <w:r w:rsidR="008B6765" w:rsidRPr="00AD7DA6">
        <w:rPr>
          <w:rFonts w:ascii="Century Schoolbook" w:hAnsi="Century Schoolbook"/>
        </w:rPr>
        <w:t xml:space="preserve"> breach of contract claim, </w:t>
      </w:r>
      <w:r w:rsidR="007A57AC" w:rsidRPr="00AD7DA6">
        <w:rPr>
          <w:rFonts w:ascii="Century Schoolbook" w:hAnsi="Century Schoolbook"/>
        </w:rPr>
        <w:t>that</w:t>
      </w:r>
      <w:r w:rsidR="00F155CC" w:rsidRPr="00AD7DA6">
        <w:rPr>
          <w:rFonts w:ascii="Century Schoolbook" w:hAnsi="Century Schoolbook"/>
        </w:rPr>
        <w:t xml:space="preserve"> </w:t>
      </w:r>
      <w:r w:rsidR="004102EF" w:rsidRPr="00AD7DA6">
        <w:rPr>
          <w:rFonts w:ascii="Century Schoolbook" w:hAnsi="Century Schoolbook"/>
        </w:rPr>
        <w:t xml:space="preserve">finding </w:t>
      </w:r>
      <w:r w:rsidR="008B6765" w:rsidRPr="00AD7DA6">
        <w:rPr>
          <w:rFonts w:ascii="Century Schoolbook" w:hAnsi="Century Schoolbook"/>
        </w:rPr>
        <w:t>render</w:t>
      </w:r>
      <w:r w:rsidR="00F155CC" w:rsidRPr="00AD7DA6">
        <w:rPr>
          <w:rFonts w:ascii="Century Schoolbook" w:hAnsi="Century Schoolbook"/>
        </w:rPr>
        <w:t>s</w:t>
      </w:r>
      <w:r w:rsidR="008B6765" w:rsidRPr="00AD7DA6">
        <w:rPr>
          <w:rFonts w:ascii="Century Schoolbook" w:hAnsi="Century Schoolbook"/>
        </w:rPr>
        <w:t xml:space="preserve"> the jury’s verdict on section 7160 internally inconsistent</w:t>
      </w:r>
      <w:r w:rsidR="006D6924" w:rsidRPr="00AD7DA6">
        <w:rPr>
          <w:rFonts w:ascii="Century Schoolbook" w:hAnsi="Century Schoolbook"/>
        </w:rPr>
        <w:t xml:space="preserve"> and unsustainable</w:t>
      </w:r>
      <w:r w:rsidR="008B6765" w:rsidRPr="00AD7DA6">
        <w:rPr>
          <w:rFonts w:ascii="Century Schoolbook" w:hAnsi="Century Schoolbook"/>
        </w:rPr>
        <w:t xml:space="preserve">.  Moore counters that we </w:t>
      </w:r>
      <w:r w:rsidR="0024653D" w:rsidRPr="00AD7DA6">
        <w:rPr>
          <w:rFonts w:ascii="Century Schoolbook" w:hAnsi="Century Schoolbook"/>
        </w:rPr>
        <w:t>should not</w:t>
      </w:r>
      <w:r w:rsidR="008B6765" w:rsidRPr="00AD7DA6">
        <w:rPr>
          <w:rFonts w:ascii="Century Schoolbook" w:hAnsi="Century Schoolbook"/>
        </w:rPr>
        <w:t xml:space="preserve"> infer </w:t>
      </w:r>
      <w:r w:rsidR="00B23E61" w:rsidRPr="00AD7DA6">
        <w:rPr>
          <w:rFonts w:ascii="Century Schoolbook" w:hAnsi="Century Schoolbook"/>
        </w:rPr>
        <w:t xml:space="preserve">that </w:t>
      </w:r>
      <w:r w:rsidR="008B6765" w:rsidRPr="00AD7DA6">
        <w:rPr>
          <w:rFonts w:ascii="Century Schoolbook" w:hAnsi="Century Schoolbook"/>
        </w:rPr>
        <w:t xml:space="preserve">the jury found there was </w:t>
      </w:r>
      <w:r w:rsidR="00984A0C" w:rsidRPr="00AD7DA6">
        <w:rPr>
          <w:rFonts w:ascii="Century Schoolbook" w:hAnsi="Century Schoolbook"/>
        </w:rPr>
        <w:t xml:space="preserve">no </w:t>
      </w:r>
      <w:r w:rsidR="00593CA8" w:rsidRPr="00AD7DA6">
        <w:rPr>
          <w:rFonts w:ascii="Century Schoolbook" w:hAnsi="Century Schoolbook"/>
        </w:rPr>
        <w:t>enforceable</w:t>
      </w:r>
      <w:r w:rsidR="00B23E61" w:rsidRPr="00AD7DA6">
        <w:rPr>
          <w:rFonts w:ascii="Century Schoolbook" w:hAnsi="Century Schoolbook"/>
        </w:rPr>
        <w:t xml:space="preserve"> agreement</w:t>
      </w:r>
      <w:r w:rsidR="008B6765" w:rsidRPr="00AD7DA6">
        <w:rPr>
          <w:rFonts w:ascii="Century Schoolbook" w:hAnsi="Century Schoolbook"/>
        </w:rPr>
        <w:t xml:space="preserve"> between Moore and Teed </w:t>
      </w:r>
      <w:r w:rsidR="008F7732" w:rsidRPr="00AD7DA6">
        <w:rPr>
          <w:rFonts w:ascii="Century Schoolbook" w:hAnsi="Century Schoolbook"/>
        </w:rPr>
        <w:t>simply</w:t>
      </w:r>
      <w:r w:rsidR="008B6765" w:rsidRPr="00AD7DA6">
        <w:rPr>
          <w:rFonts w:ascii="Century Schoolbook" w:hAnsi="Century Schoolbook"/>
        </w:rPr>
        <w:t xml:space="preserve"> because it found against Moore on that cause of action.  He also argues that </w:t>
      </w:r>
      <w:r w:rsidR="00C12D1F" w:rsidRPr="00AD7DA6">
        <w:rPr>
          <w:rFonts w:ascii="Century Schoolbook" w:hAnsi="Century Schoolbook"/>
        </w:rPr>
        <w:t xml:space="preserve">an attorney fee award under </w:t>
      </w:r>
      <w:r w:rsidR="00562DC9" w:rsidRPr="00AD7DA6">
        <w:rPr>
          <w:rFonts w:ascii="Century Schoolbook" w:hAnsi="Century Schoolbook"/>
        </w:rPr>
        <w:t xml:space="preserve">section </w:t>
      </w:r>
      <w:r w:rsidR="00C12D1F" w:rsidRPr="00AD7DA6">
        <w:rPr>
          <w:rFonts w:ascii="Century Schoolbook" w:hAnsi="Century Schoolbook"/>
        </w:rPr>
        <w:lastRenderedPageBreak/>
        <w:t xml:space="preserve">7160 does not require </w:t>
      </w:r>
      <w:r w:rsidR="001627DF" w:rsidRPr="00AD7DA6">
        <w:rPr>
          <w:rFonts w:ascii="Century Schoolbook" w:hAnsi="Century Schoolbook"/>
        </w:rPr>
        <w:t xml:space="preserve">a contract between Moore and Teed </w:t>
      </w:r>
      <w:r w:rsidR="008B6765" w:rsidRPr="00AD7DA6">
        <w:rPr>
          <w:rFonts w:ascii="Century Schoolbook" w:hAnsi="Century Schoolbook"/>
        </w:rPr>
        <w:t xml:space="preserve">because Teed induced Moore to enter into contracts with his </w:t>
      </w:r>
      <w:r w:rsidR="002034A0" w:rsidRPr="00AD7DA6">
        <w:rPr>
          <w:rFonts w:ascii="Century Schoolbook" w:hAnsi="Century Schoolbook"/>
        </w:rPr>
        <w:t>associates</w:t>
      </w:r>
      <w:r w:rsidR="008B6765" w:rsidRPr="00AD7DA6">
        <w:rPr>
          <w:rFonts w:ascii="Century Schoolbook" w:hAnsi="Century Schoolbook"/>
        </w:rPr>
        <w:t>.</w:t>
      </w:r>
      <w:r w:rsidR="00A52EE3" w:rsidRPr="00AD7DA6">
        <w:rPr>
          <w:rFonts w:ascii="Century Schoolbook" w:hAnsi="Century Schoolbook"/>
        </w:rPr>
        <w:t xml:space="preserve"> </w:t>
      </w:r>
      <w:r w:rsidR="008B6765" w:rsidRPr="00AD7DA6">
        <w:rPr>
          <w:rFonts w:ascii="Century Schoolbook" w:hAnsi="Century Schoolbook"/>
        </w:rPr>
        <w:t xml:space="preserve"> </w:t>
      </w:r>
      <w:r w:rsidR="003B2455" w:rsidRPr="00AD7DA6">
        <w:rPr>
          <w:rFonts w:ascii="Century Schoolbook" w:hAnsi="Century Schoolbook"/>
        </w:rPr>
        <w:t xml:space="preserve">We </w:t>
      </w:r>
      <w:r w:rsidR="00B0031B" w:rsidRPr="00AD7DA6">
        <w:rPr>
          <w:rFonts w:ascii="Century Schoolbook" w:hAnsi="Century Schoolbook"/>
        </w:rPr>
        <w:t xml:space="preserve">need not </w:t>
      </w:r>
      <w:r w:rsidR="00105F7B" w:rsidRPr="00AD7DA6">
        <w:rPr>
          <w:rFonts w:ascii="Century Schoolbook" w:hAnsi="Century Schoolbook"/>
        </w:rPr>
        <w:t>resolve</w:t>
      </w:r>
      <w:r w:rsidR="00B0031B" w:rsidRPr="00AD7DA6">
        <w:rPr>
          <w:rFonts w:ascii="Century Schoolbook" w:hAnsi="Century Schoolbook"/>
        </w:rPr>
        <w:t xml:space="preserve"> whether a contract </w:t>
      </w:r>
      <w:r w:rsidR="00A92C2A" w:rsidRPr="00AD7DA6">
        <w:rPr>
          <w:rFonts w:ascii="Century Schoolbook" w:hAnsi="Century Schoolbook"/>
        </w:rPr>
        <w:t>was formed</w:t>
      </w:r>
      <w:r w:rsidR="00B0031B" w:rsidRPr="00AD7DA6">
        <w:rPr>
          <w:rFonts w:ascii="Century Schoolbook" w:hAnsi="Century Schoolbook"/>
        </w:rPr>
        <w:t xml:space="preserve"> between Teed and Moore </w:t>
      </w:r>
      <w:r w:rsidR="00542205" w:rsidRPr="00AD7DA6">
        <w:rPr>
          <w:rFonts w:ascii="Century Schoolbook" w:hAnsi="Century Schoolbook"/>
        </w:rPr>
        <w:t xml:space="preserve">because we agree that section 7160 </w:t>
      </w:r>
      <w:r w:rsidR="007D46BC" w:rsidRPr="00AD7DA6">
        <w:rPr>
          <w:rFonts w:ascii="Century Schoolbook" w:hAnsi="Century Schoolbook"/>
        </w:rPr>
        <w:t xml:space="preserve">permits an attorney fee award </w:t>
      </w:r>
      <w:r w:rsidR="00AE1790" w:rsidRPr="00AD7DA6">
        <w:rPr>
          <w:rFonts w:ascii="Century Schoolbook" w:hAnsi="Century Schoolbook"/>
        </w:rPr>
        <w:t xml:space="preserve">against a </w:t>
      </w:r>
      <w:r w:rsidR="00EB1070" w:rsidRPr="00AD7DA6">
        <w:rPr>
          <w:rFonts w:ascii="Century Schoolbook" w:hAnsi="Century Schoolbook"/>
        </w:rPr>
        <w:t>defendant</w:t>
      </w:r>
      <w:r w:rsidR="00AE1790" w:rsidRPr="00AD7DA6">
        <w:rPr>
          <w:rFonts w:ascii="Century Schoolbook" w:hAnsi="Century Schoolbook"/>
        </w:rPr>
        <w:t xml:space="preserve"> who fraudulently induce</w:t>
      </w:r>
      <w:r w:rsidR="00EB1070" w:rsidRPr="00AD7DA6">
        <w:rPr>
          <w:rFonts w:ascii="Century Schoolbook" w:hAnsi="Century Schoolbook"/>
        </w:rPr>
        <w:t xml:space="preserve">s a person to enter into </w:t>
      </w:r>
      <w:r w:rsidR="00520C9F" w:rsidRPr="00AD7DA6">
        <w:rPr>
          <w:rFonts w:ascii="Century Schoolbook" w:hAnsi="Century Schoolbook"/>
        </w:rPr>
        <w:t xml:space="preserve">home improvement </w:t>
      </w:r>
      <w:r w:rsidR="00EB1070" w:rsidRPr="00AD7DA6">
        <w:rPr>
          <w:rFonts w:ascii="Century Schoolbook" w:hAnsi="Century Schoolbook"/>
        </w:rPr>
        <w:t xml:space="preserve">contracts </w:t>
      </w:r>
      <w:r w:rsidR="00520C9F" w:rsidRPr="00AD7DA6">
        <w:rPr>
          <w:rFonts w:ascii="Century Schoolbook" w:hAnsi="Century Schoolbook"/>
        </w:rPr>
        <w:t xml:space="preserve">with his confederates.  </w:t>
      </w:r>
    </w:p>
    <w:p w14:paraId="34129229" w14:textId="5F231B69" w:rsidR="00C84A19" w:rsidRPr="00AD7DA6" w:rsidRDefault="008B6765" w:rsidP="008B6765">
      <w:pPr>
        <w:spacing w:line="360" w:lineRule="auto"/>
        <w:rPr>
          <w:rFonts w:ascii="Century Schoolbook" w:hAnsi="Century Schoolbook"/>
        </w:rPr>
      </w:pPr>
      <w:r w:rsidRPr="00AD7DA6">
        <w:rPr>
          <w:rFonts w:ascii="Century Schoolbook" w:hAnsi="Century Schoolbook"/>
        </w:rPr>
        <w:tab/>
        <w:t xml:space="preserve">We </w:t>
      </w:r>
      <w:r w:rsidR="00200036" w:rsidRPr="00AD7DA6">
        <w:rPr>
          <w:rFonts w:ascii="Century Schoolbook" w:hAnsi="Century Schoolbook"/>
        </w:rPr>
        <w:t>begin</w:t>
      </w:r>
      <w:r w:rsidR="00520C9F" w:rsidRPr="00AD7DA6">
        <w:rPr>
          <w:rFonts w:ascii="Century Schoolbook" w:hAnsi="Century Schoolbook"/>
        </w:rPr>
        <w:t xml:space="preserve"> with the observation that </w:t>
      </w:r>
      <w:r w:rsidR="00416943" w:rsidRPr="00AD7DA6">
        <w:rPr>
          <w:rFonts w:ascii="Century Schoolbook" w:hAnsi="Century Schoolbook"/>
        </w:rPr>
        <w:t xml:space="preserve">statutory </w:t>
      </w:r>
      <w:r w:rsidRPr="00AD7DA6">
        <w:rPr>
          <w:rFonts w:ascii="Century Schoolbook" w:hAnsi="Century Schoolbook"/>
        </w:rPr>
        <w:t xml:space="preserve">provisions regulating contractors </w:t>
      </w:r>
      <w:r w:rsidR="00416943" w:rsidRPr="00AD7DA6">
        <w:rPr>
          <w:rFonts w:ascii="Century Schoolbook" w:hAnsi="Century Schoolbook"/>
        </w:rPr>
        <w:t>are to</w:t>
      </w:r>
      <w:r w:rsidR="00520C9F" w:rsidRPr="00AD7DA6">
        <w:rPr>
          <w:rFonts w:ascii="Century Schoolbook" w:hAnsi="Century Schoolbook"/>
        </w:rPr>
        <w:t xml:space="preserve"> be </w:t>
      </w:r>
      <w:r w:rsidRPr="00AD7DA6">
        <w:rPr>
          <w:rFonts w:ascii="Century Schoolbook" w:hAnsi="Century Schoolbook"/>
        </w:rPr>
        <w:t xml:space="preserve">broadly construed.  “The Contractors’ State License Law </w:t>
      </w:r>
      <w:r w:rsidR="00834203" w:rsidRPr="00AD7DA6">
        <w:rPr>
          <w:rFonts w:ascii="Century Schoolbook" w:hAnsi="Century Schoolbook"/>
        </w:rPr>
        <w:t>. . .</w:t>
      </w:r>
      <w:r w:rsidRPr="00AD7DA6">
        <w:rPr>
          <w:rFonts w:ascii="Century Schoolbook" w:hAnsi="Century Schoolbook"/>
        </w:rPr>
        <w:t xml:space="preserve"> is to be given a ‘reasonable and practical construction’ ‘[</w:t>
      </w:r>
      <w:proofErr w:type="spellStart"/>
      <w:r w:rsidRPr="00AD7DA6">
        <w:rPr>
          <w:rFonts w:ascii="Century Schoolbook" w:hAnsi="Century Schoolbook"/>
        </w:rPr>
        <w:t>i</w:t>
      </w:r>
      <w:proofErr w:type="spellEnd"/>
      <w:r w:rsidRPr="00AD7DA6">
        <w:rPr>
          <w:rFonts w:ascii="Century Schoolbook" w:hAnsi="Century Schoolbook"/>
        </w:rPr>
        <w:t>]n light of the intent of the Legislature and the purpose behind the statutory scheme—to protect consumers and the public from dishonest or incompetent contractors.’</w:t>
      </w:r>
      <w:r w:rsidR="00834203" w:rsidRPr="00AD7DA6">
        <w:rPr>
          <w:rFonts w:ascii="Century Schoolbook" w:hAnsi="Century Schoolbook"/>
        </w:rPr>
        <w:t> </w:t>
      </w:r>
      <w:r w:rsidRPr="00AD7DA6">
        <w:rPr>
          <w:rFonts w:ascii="Century Schoolbook" w:hAnsi="Century Schoolbook"/>
        </w:rPr>
        <w:t>”  (</w:t>
      </w:r>
      <w:r w:rsidRPr="00AD7DA6">
        <w:rPr>
          <w:rFonts w:ascii="Century Schoolbook" w:hAnsi="Century Schoolbook"/>
          <w:i/>
        </w:rPr>
        <w:t>ACCO Engineered Systems, Inc. v. Contractors’ State License Bd.</w:t>
      </w:r>
      <w:r w:rsidRPr="00AD7DA6">
        <w:rPr>
          <w:rFonts w:ascii="Century Schoolbook" w:hAnsi="Century Schoolbook"/>
        </w:rPr>
        <w:t xml:space="preserve"> (</w:t>
      </w:r>
      <w:r w:rsidR="005F50CB" w:rsidRPr="00AD7DA6">
        <w:rPr>
          <w:rFonts w:ascii="Century Schoolbook" w:hAnsi="Century Schoolbook"/>
        </w:rPr>
        <w:t>2018</w:t>
      </w:r>
      <w:r w:rsidRPr="00AD7DA6">
        <w:rPr>
          <w:rFonts w:ascii="Century Schoolbook" w:hAnsi="Century Schoolbook"/>
        </w:rPr>
        <w:t>) 30 Cal.App.5th 80, 88.)  “California’s strict contractor licensing law reflects a strong public policy in favor of protecting the public against unscrupulous and/or incompetent contracting work.”  (</w:t>
      </w:r>
      <w:r w:rsidRPr="00AD7DA6">
        <w:rPr>
          <w:rFonts w:ascii="Century Schoolbook" w:hAnsi="Century Schoolbook"/>
          <w:i/>
        </w:rPr>
        <w:t>Vallejo Development Co. v. Beck Development Co.</w:t>
      </w:r>
      <w:r w:rsidRPr="00AD7DA6">
        <w:rPr>
          <w:rFonts w:ascii="Century Schoolbook" w:hAnsi="Century Schoolbook"/>
        </w:rPr>
        <w:t xml:space="preserve"> (1994) 24 Cal.App.4th 929, 938; </w:t>
      </w:r>
      <w:r w:rsidR="00A532BC">
        <w:rPr>
          <w:rFonts w:ascii="Century Schoolbook" w:hAnsi="Century Schoolbook"/>
        </w:rPr>
        <w:t xml:space="preserve">see </w:t>
      </w:r>
      <w:r w:rsidRPr="00AD7DA6">
        <w:rPr>
          <w:rFonts w:ascii="Century Schoolbook" w:hAnsi="Century Schoolbook"/>
          <w:i/>
        </w:rPr>
        <w:t>Judicial Council of California v. Jacobs Facilities, Inc.</w:t>
      </w:r>
      <w:r w:rsidRPr="00AD7DA6">
        <w:rPr>
          <w:rFonts w:ascii="Century Schoolbook" w:hAnsi="Century Schoolbook"/>
        </w:rPr>
        <w:t xml:space="preserve"> (2015) 239 Cal.App.4th 882, 894.)  </w:t>
      </w:r>
    </w:p>
    <w:p w14:paraId="0FBEF039" w14:textId="7E3A1B97" w:rsidR="00B96022" w:rsidRPr="00AD7DA6" w:rsidRDefault="00C84A19" w:rsidP="008B6765">
      <w:pPr>
        <w:spacing w:line="360" w:lineRule="auto"/>
        <w:rPr>
          <w:rFonts w:ascii="Century Schoolbook" w:hAnsi="Century Schoolbook"/>
        </w:rPr>
      </w:pPr>
      <w:r w:rsidRPr="00AD7DA6">
        <w:rPr>
          <w:rFonts w:ascii="Century Schoolbook" w:hAnsi="Century Schoolbook"/>
        </w:rPr>
        <w:tab/>
      </w:r>
      <w:r w:rsidR="00EE0367" w:rsidRPr="00AD7DA6">
        <w:rPr>
          <w:rFonts w:ascii="Century Schoolbook" w:hAnsi="Century Schoolbook"/>
        </w:rPr>
        <w:t>S</w:t>
      </w:r>
      <w:r w:rsidR="009943BB" w:rsidRPr="00AD7DA6">
        <w:rPr>
          <w:rFonts w:ascii="Century Schoolbook" w:hAnsi="Century Schoolbook"/>
        </w:rPr>
        <w:t xml:space="preserve">ection 7160 </w:t>
      </w:r>
      <w:r w:rsidR="00EE0367" w:rsidRPr="00AD7DA6">
        <w:rPr>
          <w:rFonts w:ascii="Century Schoolbook" w:hAnsi="Century Schoolbook"/>
        </w:rPr>
        <w:t xml:space="preserve">does not exempt noncontracting parties from liability for attorney fees for fraudulent inducement of a </w:t>
      </w:r>
      <w:r w:rsidR="00693679" w:rsidRPr="00AD7DA6">
        <w:rPr>
          <w:rFonts w:ascii="Century Schoolbook" w:hAnsi="Century Schoolbook"/>
        </w:rPr>
        <w:t xml:space="preserve">home improvement </w:t>
      </w:r>
      <w:r w:rsidR="00EE0367" w:rsidRPr="00AD7DA6">
        <w:rPr>
          <w:rFonts w:ascii="Century Schoolbook" w:hAnsi="Century Schoolbook"/>
        </w:rPr>
        <w:t xml:space="preserve">contract.  As quoted above, </w:t>
      </w:r>
      <w:r w:rsidR="003F48C1" w:rsidRPr="00AD7DA6">
        <w:rPr>
          <w:rFonts w:ascii="Century Schoolbook" w:hAnsi="Century Schoolbook"/>
        </w:rPr>
        <w:t xml:space="preserve">a person may recover </w:t>
      </w:r>
      <w:r w:rsidR="005A6D01" w:rsidRPr="00AD7DA6">
        <w:rPr>
          <w:rFonts w:ascii="Century Schoolbook" w:hAnsi="Century Schoolbook"/>
        </w:rPr>
        <w:t xml:space="preserve">damages and </w:t>
      </w:r>
      <w:r w:rsidR="003F48C1" w:rsidRPr="00AD7DA6">
        <w:rPr>
          <w:rFonts w:ascii="Century Schoolbook" w:hAnsi="Century Schoolbook"/>
        </w:rPr>
        <w:t xml:space="preserve">attorney fees against </w:t>
      </w:r>
      <w:r w:rsidR="009D17B6" w:rsidRPr="00AD7DA6">
        <w:rPr>
          <w:rFonts w:ascii="Century Schoolbook" w:hAnsi="Century Schoolbook"/>
        </w:rPr>
        <w:t>one who “solicits” a contract under false pretenses</w:t>
      </w:r>
      <w:r w:rsidR="001E695C" w:rsidRPr="00AD7DA6">
        <w:rPr>
          <w:rFonts w:ascii="Century Schoolbook" w:hAnsi="Century Schoolbook"/>
        </w:rPr>
        <w:t xml:space="preserve">.  Teed </w:t>
      </w:r>
      <w:r w:rsidR="00901736" w:rsidRPr="00AD7DA6">
        <w:rPr>
          <w:rFonts w:ascii="Century Schoolbook" w:hAnsi="Century Schoolbook"/>
        </w:rPr>
        <w:t xml:space="preserve">nevertheless </w:t>
      </w:r>
      <w:r w:rsidR="001E695C" w:rsidRPr="00AD7DA6">
        <w:rPr>
          <w:rFonts w:ascii="Century Schoolbook" w:hAnsi="Century Schoolbook"/>
        </w:rPr>
        <w:t xml:space="preserve">maintains that because “solicitor” was omitted from the </w:t>
      </w:r>
      <w:r w:rsidR="003C582F" w:rsidRPr="00AD7DA6">
        <w:rPr>
          <w:rFonts w:ascii="Century Schoolbook" w:hAnsi="Century Schoolbook"/>
        </w:rPr>
        <w:t xml:space="preserve">given </w:t>
      </w:r>
      <w:r w:rsidR="001E695C" w:rsidRPr="00AD7DA6">
        <w:rPr>
          <w:rFonts w:ascii="Century Schoolbook" w:hAnsi="Century Schoolbook"/>
        </w:rPr>
        <w:t xml:space="preserve">instructions, </w:t>
      </w:r>
      <w:r w:rsidR="00CD0C1A" w:rsidRPr="00AD7DA6">
        <w:rPr>
          <w:rFonts w:ascii="Century Schoolbook" w:hAnsi="Century Schoolbook"/>
        </w:rPr>
        <w:t xml:space="preserve">the jury could only </w:t>
      </w:r>
      <w:r w:rsidR="004D29D1" w:rsidRPr="00AD7DA6">
        <w:rPr>
          <w:rFonts w:ascii="Century Schoolbook" w:hAnsi="Century Schoolbook"/>
        </w:rPr>
        <w:t xml:space="preserve">apply </w:t>
      </w:r>
      <w:r w:rsidR="000405B9" w:rsidRPr="00AD7DA6">
        <w:rPr>
          <w:rFonts w:ascii="Century Schoolbook" w:hAnsi="Century Schoolbook"/>
        </w:rPr>
        <w:t>the</w:t>
      </w:r>
      <w:r w:rsidR="006461B6" w:rsidRPr="00AD7DA6">
        <w:rPr>
          <w:rFonts w:ascii="Century Schoolbook" w:hAnsi="Century Schoolbook"/>
        </w:rPr>
        <w:t xml:space="preserve"> </w:t>
      </w:r>
      <w:r w:rsidR="004D29D1" w:rsidRPr="00AD7DA6">
        <w:rPr>
          <w:rFonts w:ascii="Century Schoolbook" w:hAnsi="Century Schoolbook"/>
        </w:rPr>
        <w:t xml:space="preserve">section 7160 </w:t>
      </w:r>
      <w:r w:rsidR="000405B9" w:rsidRPr="00AD7DA6">
        <w:rPr>
          <w:rFonts w:ascii="Century Schoolbook" w:hAnsi="Century Schoolbook"/>
        </w:rPr>
        <w:t xml:space="preserve">attorney fee provision </w:t>
      </w:r>
      <w:r w:rsidR="00D6109B" w:rsidRPr="00AD7DA6">
        <w:rPr>
          <w:rFonts w:ascii="Century Schoolbook" w:hAnsi="Century Schoolbook"/>
        </w:rPr>
        <w:t xml:space="preserve">to one who </w:t>
      </w:r>
      <w:r w:rsidR="00E134CD" w:rsidRPr="00AD7DA6">
        <w:rPr>
          <w:rFonts w:ascii="Century Schoolbook" w:hAnsi="Century Schoolbook"/>
        </w:rPr>
        <w:t>“</w:t>
      </w:r>
      <w:r w:rsidR="009E111B" w:rsidRPr="00AD7DA6">
        <w:rPr>
          <w:rFonts w:ascii="Century Schoolbook" w:hAnsi="Century Schoolbook"/>
        </w:rPr>
        <w:t>contracted</w:t>
      </w:r>
      <w:r w:rsidR="00E134CD" w:rsidRPr="00AD7DA6">
        <w:rPr>
          <w:rFonts w:ascii="Century Schoolbook" w:hAnsi="Century Schoolbook"/>
        </w:rPr>
        <w:t>”</w:t>
      </w:r>
      <w:r w:rsidR="009E111B" w:rsidRPr="00AD7DA6">
        <w:rPr>
          <w:rFonts w:ascii="Century Schoolbook" w:hAnsi="Century Schoolbook"/>
        </w:rPr>
        <w:t xml:space="preserve"> with the defrauded victim.  </w:t>
      </w:r>
      <w:r w:rsidR="00D66F42" w:rsidRPr="00AD7DA6">
        <w:rPr>
          <w:rFonts w:ascii="Century Schoolbook" w:hAnsi="Century Schoolbook"/>
        </w:rPr>
        <w:t xml:space="preserve">We </w:t>
      </w:r>
      <w:r w:rsidR="00F06453" w:rsidRPr="00AD7DA6">
        <w:rPr>
          <w:rFonts w:ascii="Century Schoolbook" w:hAnsi="Century Schoolbook"/>
        </w:rPr>
        <w:t xml:space="preserve">decline to apply such a narrow interpretation </w:t>
      </w:r>
      <w:r w:rsidR="0028568E" w:rsidRPr="00AD7DA6">
        <w:rPr>
          <w:rFonts w:ascii="Century Schoolbook" w:hAnsi="Century Schoolbook"/>
        </w:rPr>
        <w:t>to section 7160</w:t>
      </w:r>
      <w:r w:rsidR="000D30DC" w:rsidRPr="00AD7DA6">
        <w:rPr>
          <w:rFonts w:ascii="Century Schoolbook" w:hAnsi="Century Schoolbook"/>
        </w:rPr>
        <w:t xml:space="preserve"> and conclude there is an adequate statutory basis for affirming the jury’s attorney fee award</w:t>
      </w:r>
      <w:r w:rsidR="0028568E" w:rsidRPr="00AD7DA6">
        <w:rPr>
          <w:rFonts w:ascii="Century Schoolbook" w:hAnsi="Century Schoolbook"/>
        </w:rPr>
        <w:t xml:space="preserve">.  </w:t>
      </w:r>
    </w:p>
    <w:p w14:paraId="2AE3EDB3" w14:textId="0F7C2635" w:rsidR="009A16CA" w:rsidRPr="00AD7DA6" w:rsidRDefault="00315324" w:rsidP="008B6765">
      <w:pPr>
        <w:spacing w:line="360" w:lineRule="auto"/>
        <w:rPr>
          <w:rFonts w:ascii="Century Schoolbook" w:hAnsi="Century Schoolbook"/>
        </w:rPr>
      </w:pPr>
      <w:r w:rsidRPr="00AD7DA6">
        <w:rPr>
          <w:rFonts w:ascii="Century Schoolbook" w:hAnsi="Century Schoolbook"/>
        </w:rPr>
        <w:lastRenderedPageBreak/>
        <w:tab/>
      </w:r>
      <w:r w:rsidR="00622613" w:rsidRPr="00AD7DA6">
        <w:rPr>
          <w:rFonts w:ascii="Century Schoolbook" w:hAnsi="Century Schoolbook"/>
        </w:rPr>
        <w:t xml:space="preserve">Even if we were guided by the </w:t>
      </w:r>
      <w:r w:rsidR="00841FEA" w:rsidRPr="00AD7DA6">
        <w:rPr>
          <w:rFonts w:ascii="Century Schoolbook" w:hAnsi="Century Schoolbook"/>
        </w:rPr>
        <w:t xml:space="preserve">CACI </w:t>
      </w:r>
      <w:r w:rsidR="00067BEB" w:rsidRPr="00AD7DA6">
        <w:rPr>
          <w:rFonts w:ascii="Century Schoolbook" w:hAnsi="Century Schoolbook"/>
        </w:rPr>
        <w:t>No. </w:t>
      </w:r>
      <w:r w:rsidR="00841FEA" w:rsidRPr="00AD7DA6">
        <w:rPr>
          <w:rFonts w:ascii="Century Schoolbook" w:hAnsi="Century Schoolbook"/>
        </w:rPr>
        <w:t xml:space="preserve">418 </w:t>
      </w:r>
      <w:r w:rsidR="00543E68" w:rsidRPr="00AD7DA6">
        <w:rPr>
          <w:rFonts w:ascii="Century Schoolbook" w:hAnsi="Century Schoolbook"/>
        </w:rPr>
        <w:t>instruction</w:t>
      </w:r>
      <w:r w:rsidR="00E94BAE" w:rsidRPr="00AD7DA6">
        <w:rPr>
          <w:rFonts w:ascii="Century Schoolbook" w:hAnsi="Century Schoolbook"/>
        </w:rPr>
        <w:t xml:space="preserve"> alone</w:t>
      </w:r>
      <w:r w:rsidR="00841FEA" w:rsidRPr="00AD7DA6">
        <w:rPr>
          <w:rFonts w:ascii="Century Schoolbook" w:hAnsi="Century Schoolbook"/>
        </w:rPr>
        <w:t xml:space="preserve">, we </w:t>
      </w:r>
      <w:r w:rsidR="005A038C" w:rsidRPr="00AD7DA6">
        <w:rPr>
          <w:rFonts w:ascii="Century Schoolbook" w:hAnsi="Century Schoolbook"/>
        </w:rPr>
        <w:t xml:space="preserve">would </w:t>
      </w:r>
      <w:r w:rsidR="002E22C1" w:rsidRPr="00AD7DA6">
        <w:rPr>
          <w:rFonts w:ascii="Century Schoolbook" w:hAnsi="Century Schoolbook"/>
        </w:rPr>
        <w:t xml:space="preserve">conclude </w:t>
      </w:r>
      <w:r w:rsidR="00C538F6" w:rsidRPr="00AD7DA6">
        <w:rPr>
          <w:rFonts w:ascii="Century Schoolbook" w:hAnsi="Century Schoolbook"/>
        </w:rPr>
        <w:t xml:space="preserve">that the </w:t>
      </w:r>
      <w:r w:rsidR="00BF2F1E" w:rsidRPr="00AD7DA6">
        <w:rPr>
          <w:rFonts w:ascii="Century Schoolbook" w:hAnsi="Century Schoolbook"/>
        </w:rPr>
        <w:t xml:space="preserve">instruction permitted the jury to find </w:t>
      </w:r>
      <w:r w:rsidR="003356EE" w:rsidRPr="00AD7DA6">
        <w:rPr>
          <w:rFonts w:ascii="Century Schoolbook" w:hAnsi="Century Schoolbook"/>
        </w:rPr>
        <w:t xml:space="preserve">Teed liable for attorney fees for </w:t>
      </w:r>
      <w:r w:rsidR="00DB71D0" w:rsidRPr="00AD7DA6">
        <w:rPr>
          <w:rFonts w:ascii="Century Schoolbook" w:hAnsi="Century Schoolbook"/>
        </w:rPr>
        <w:t>fraudulently</w:t>
      </w:r>
      <w:r w:rsidR="0082510C" w:rsidRPr="00AD7DA6">
        <w:rPr>
          <w:rFonts w:ascii="Century Schoolbook" w:hAnsi="Century Schoolbook"/>
        </w:rPr>
        <w:t xml:space="preserve"> </w:t>
      </w:r>
      <w:r w:rsidR="003356EE" w:rsidRPr="00AD7DA6">
        <w:rPr>
          <w:rFonts w:ascii="Century Schoolbook" w:hAnsi="Century Schoolbook"/>
        </w:rPr>
        <w:t xml:space="preserve">inducing </w:t>
      </w:r>
      <w:r w:rsidR="003554CB" w:rsidRPr="00AD7DA6">
        <w:rPr>
          <w:rFonts w:ascii="Century Schoolbook" w:hAnsi="Century Schoolbook"/>
        </w:rPr>
        <w:t>Moore to contract with his team of engineers</w:t>
      </w:r>
      <w:r w:rsidR="0082510C" w:rsidRPr="00AD7DA6">
        <w:rPr>
          <w:rFonts w:ascii="Century Schoolbook" w:hAnsi="Century Schoolbook"/>
        </w:rPr>
        <w:t xml:space="preserve"> on a home improvement contract</w:t>
      </w:r>
      <w:r w:rsidR="00B20550" w:rsidRPr="00AD7DA6">
        <w:rPr>
          <w:rFonts w:ascii="Century Schoolbook" w:hAnsi="Century Schoolbook"/>
        </w:rPr>
        <w:t xml:space="preserve">.  </w:t>
      </w:r>
      <w:r w:rsidR="001733F2" w:rsidRPr="00AD7DA6">
        <w:rPr>
          <w:rFonts w:ascii="Century Schoolbook" w:hAnsi="Century Schoolbook"/>
        </w:rPr>
        <w:t xml:space="preserve">There is no dispute that Moore was </w:t>
      </w:r>
      <w:r w:rsidR="00D05C36" w:rsidRPr="00AD7DA6">
        <w:rPr>
          <w:rFonts w:ascii="Century Schoolbook" w:hAnsi="Century Schoolbook"/>
        </w:rPr>
        <w:t>“</w:t>
      </w:r>
      <w:r w:rsidR="00FF7327" w:rsidRPr="00AD7DA6">
        <w:rPr>
          <w:rFonts w:ascii="Century Schoolbook" w:hAnsi="Century Schoolbook"/>
        </w:rPr>
        <w:t>induced to contract</w:t>
      </w:r>
      <w:r w:rsidR="00D05C36" w:rsidRPr="00AD7DA6">
        <w:rPr>
          <w:rFonts w:ascii="Century Schoolbook" w:hAnsi="Century Schoolbook"/>
        </w:rPr>
        <w:t>”</w:t>
      </w:r>
      <w:r w:rsidR="00362E27" w:rsidRPr="00AD7DA6">
        <w:rPr>
          <w:rFonts w:ascii="Century Schoolbook" w:hAnsi="Century Schoolbook"/>
        </w:rPr>
        <w:t xml:space="preserve"> with Moore’s recommended engineers</w:t>
      </w:r>
      <w:r w:rsidR="00AC3213" w:rsidRPr="00AD7DA6">
        <w:rPr>
          <w:rFonts w:ascii="Century Schoolbook" w:hAnsi="Century Schoolbook"/>
        </w:rPr>
        <w:t xml:space="preserve">, and that Moore did so in reliance on </w:t>
      </w:r>
      <w:proofErr w:type="spellStart"/>
      <w:r w:rsidR="00AC3213" w:rsidRPr="00AD7DA6">
        <w:rPr>
          <w:rFonts w:ascii="Century Schoolbook" w:hAnsi="Century Schoolbook"/>
        </w:rPr>
        <w:t>Teed’s</w:t>
      </w:r>
      <w:proofErr w:type="spellEnd"/>
      <w:r w:rsidR="00AC3213" w:rsidRPr="00AD7DA6">
        <w:rPr>
          <w:rFonts w:ascii="Century Schoolbook" w:hAnsi="Century Schoolbook"/>
        </w:rPr>
        <w:t xml:space="preserve"> fraudulent representations.  </w:t>
      </w:r>
      <w:r w:rsidR="004F3A24" w:rsidRPr="00AD7DA6">
        <w:rPr>
          <w:rFonts w:ascii="Century Schoolbook" w:hAnsi="Century Schoolbook"/>
        </w:rPr>
        <w:t>The only q</w:t>
      </w:r>
      <w:r w:rsidR="00057C8D" w:rsidRPr="00AD7DA6">
        <w:rPr>
          <w:rFonts w:ascii="Century Schoolbook" w:hAnsi="Century Schoolbook"/>
        </w:rPr>
        <w:t xml:space="preserve">uestion is whether Moore may recover from “such contractor”—from Teed himself.  </w:t>
      </w:r>
    </w:p>
    <w:p w14:paraId="762EBA28" w14:textId="26772F03" w:rsidR="00503D2D" w:rsidRPr="00AD7DA6" w:rsidRDefault="005329E2" w:rsidP="00503D2D">
      <w:pPr>
        <w:spacing w:line="360" w:lineRule="auto"/>
        <w:rPr>
          <w:rFonts w:ascii="Century Schoolbook" w:hAnsi="Century Schoolbook"/>
        </w:rPr>
      </w:pPr>
      <w:r w:rsidRPr="00AD7DA6">
        <w:rPr>
          <w:rFonts w:ascii="Century Schoolbook" w:hAnsi="Century Schoolbook"/>
        </w:rPr>
        <w:tab/>
      </w:r>
      <w:r w:rsidR="001221B5" w:rsidRPr="00AD7DA6">
        <w:rPr>
          <w:rFonts w:ascii="Century Schoolbook" w:hAnsi="Century Schoolbook"/>
        </w:rPr>
        <w:t>To assist the jury, the trial court</w:t>
      </w:r>
      <w:r w:rsidR="00E55DF6" w:rsidRPr="00AD7DA6">
        <w:rPr>
          <w:rFonts w:ascii="Century Schoolbook" w:hAnsi="Century Schoolbook"/>
        </w:rPr>
        <w:t xml:space="preserve"> also instructed on the definition of </w:t>
      </w:r>
      <w:r w:rsidR="00503D2D" w:rsidRPr="00AD7DA6">
        <w:rPr>
          <w:rFonts w:ascii="Century Schoolbook" w:hAnsi="Century Schoolbook"/>
        </w:rPr>
        <w:t>“</w:t>
      </w:r>
      <w:r w:rsidR="00E55DF6" w:rsidRPr="00AD7DA6">
        <w:rPr>
          <w:rFonts w:ascii="Century Schoolbook" w:hAnsi="Century Schoolbook"/>
        </w:rPr>
        <w:t>contractor</w:t>
      </w:r>
      <w:r w:rsidR="00503D2D" w:rsidRPr="00AD7DA6">
        <w:rPr>
          <w:rFonts w:ascii="Century Schoolbook" w:hAnsi="Century Schoolbook"/>
        </w:rPr>
        <w:t>”</w:t>
      </w:r>
      <w:r w:rsidR="00E55DF6" w:rsidRPr="00AD7DA6">
        <w:rPr>
          <w:rFonts w:ascii="Century Schoolbook" w:hAnsi="Century Schoolbook"/>
        </w:rPr>
        <w:t xml:space="preserve"> under section 7026</w:t>
      </w:r>
      <w:r w:rsidR="001221B5" w:rsidRPr="00AD7DA6">
        <w:rPr>
          <w:rFonts w:ascii="Century Schoolbook" w:hAnsi="Century Schoolbook"/>
        </w:rPr>
        <w:t xml:space="preserve">, shortening </w:t>
      </w:r>
      <w:r w:rsidR="00503D2D" w:rsidRPr="00AD7DA6">
        <w:rPr>
          <w:rFonts w:ascii="Century Schoolbook" w:hAnsi="Century Schoolbook"/>
        </w:rPr>
        <w:t xml:space="preserve">the </w:t>
      </w:r>
      <w:r w:rsidR="00345CDC" w:rsidRPr="00AD7DA6">
        <w:rPr>
          <w:rFonts w:ascii="Century Schoolbook" w:hAnsi="Century Schoolbook"/>
        </w:rPr>
        <w:t xml:space="preserve">lengthy </w:t>
      </w:r>
      <w:r w:rsidR="00503D2D" w:rsidRPr="00AD7DA6">
        <w:rPr>
          <w:rFonts w:ascii="Century Schoolbook" w:hAnsi="Century Schoolbook"/>
        </w:rPr>
        <w:t>statute</w:t>
      </w:r>
      <w:r w:rsidR="00345CDC" w:rsidRPr="00AD7DA6">
        <w:rPr>
          <w:rStyle w:val="FootnoteReference"/>
          <w:rFonts w:ascii="Century Schoolbook" w:hAnsi="Century Schoolbook"/>
        </w:rPr>
        <w:footnoteReference w:id="6"/>
      </w:r>
      <w:r w:rsidR="00503D2D" w:rsidRPr="00AD7DA6">
        <w:rPr>
          <w:rFonts w:ascii="Century Schoolbook" w:hAnsi="Century Schoolbook"/>
        </w:rPr>
        <w:t xml:space="preserve"> as follows: </w:t>
      </w:r>
      <w:r w:rsidR="00067BEB" w:rsidRPr="00AD7DA6">
        <w:rPr>
          <w:rFonts w:ascii="Century Schoolbook" w:hAnsi="Century Schoolbook"/>
        </w:rPr>
        <w:t xml:space="preserve"> </w:t>
      </w:r>
      <w:r w:rsidR="00503D2D" w:rsidRPr="00AD7DA6">
        <w:rPr>
          <w:rFonts w:ascii="Century Schoolbook" w:hAnsi="Century Schoolbook"/>
        </w:rPr>
        <w:t>“</w:t>
      </w:r>
      <w:r w:rsidR="00067BEB" w:rsidRPr="00AD7DA6">
        <w:rPr>
          <w:rFonts w:ascii="Century Schoolbook" w:hAnsi="Century Schoolbook"/>
        </w:rPr>
        <w:t> </w:t>
      </w:r>
      <w:r w:rsidR="00503D2D" w:rsidRPr="00AD7DA6">
        <w:rPr>
          <w:rFonts w:ascii="Century Schoolbook" w:hAnsi="Century Schoolbook"/>
        </w:rPr>
        <w:t>‘Contractor’ is synonymous with ‘builder</w:t>
      </w:r>
      <w:r w:rsidR="00B3282A">
        <w:rPr>
          <w:rFonts w:ascii="Century Schoolbook" w:hAnsi="Century Schoolbook"/>
        </w:rPr>
        <w:t>.</w:t>
      </w:r>
      <w:r w:rsidR="00503D2D" w:rsidRPr="00AD7DA6">
        <w:rPr>
          <w:rFonts w:ascii="Century Schoolbook" w:hAnsi="Century Schoolbook"/>
        </w:rPr>
        <w:t xml:space="preserve">’ </w:t>
      </w:r>
      <w:r w:rsidR="00B3282A">
        <w:rPr>
          <w:rFonts w:ascii="Century Schoolbook" w:hAnsi="Century Schoolbook"/>
        </w:rPr>
        <w:t xml:space="preserve"> It is </w:t>
      </w:r>
      <w:r w:rsidR="00503D2D" w:rsidRPr="00AD7DA6">
        <w:rPr>
          <w:rFonts w:ascii="Century Schoolbook" w:hAnsi="Century Schoolbook"/>
          <w:i/>
          <w:iCs/>
        </w:rPr>
        <w:t>any person who undertakes to or offers to undertake to, or purports to have the capacity to undertake to</w:t>
      </w:r>
      <w:r w:rsidR="00503D2D" w:rsidRPr="00AD7DA6">
        <w:rPr>
          <w:rFonts w:ascii="Century Schoolbook" w:hAnsi="Century Schoolbook"/>
        </w:rPr>
        <w:t>, or submits a bi</w:t>
      </w:r>
      <w:r w:rsidR="002725D4" w:rsidRPr="00AD7DA6">
        <w:rPr>
          <w:rFonts w:ascii="Century Schoolbook" w:hAnsi="Century Schoolbook"/>
        </w:rPr>
        <w:t>d</w:t>
      </w:r>
      <w:r w:rsidR="00503D2D" w:rsidRPr="00AD7DA6">
        <w:rPr>
          <w:rFonts w:ascii="Century Schoolbook" w:hAnsi="Century Schoolbook"/>
        </w:rPr>
        <w:t xml:space="preserve"> to, or does himself or herself </w:t>
      </w:r>
      <w:r w:rsidR="00503D2D" w:rsidRPr="00AD7DA6">
        <w:rPr>
          <w:rFonts w:ascii="Century Schoolbook" w:hAnsi="Century Schoolbook"/>
          <w:i/>
          <w:iCs/>
        </w:rPr>
        <w:t xml:space="preserve">or </w:t>
      </w:r>
      <w:r w:rsidR="00C82C92" w:rsidRPr="00C82C92">
        <w:rPr>
          <w:rFonts w:ascii="Century Schoolbook" w:hAnsi="Century Schoolbook"/>
        </w:rPr>
        <w:t>[</w:t>
      </w:r>
      <w:r w:rsidR="00503D2D" w:rsidRPr="00AD7DA6">
        <w:rPr>
          <w:rFonts w:ascii="Century Schoolbook" w:hAnsi="Century Schoolbook"/>
          <w:i/>
          <w:iCs/>
        </w:rPr>
        <w:t>by or</w:t>
      </w:r>
      <w:r w:rsidR="00C54CDA" w:rsidRPr="00C82C92">
        <w:rPr>
          <w:rFonts w:ascii="Century Schoolbook" w:hAnsi="Century Schoolbook"/>
        </w:rPr>
        <w:t>]</w:t>
      </w:r>
      <w:r w:rsidR="00503D2D" w:rsidRPr="00AD7DA6">
        <w:rPr>
          <w:rFonts w:ascii="Century Schoolbook" w:hAnsi="Century Schoolbook"/>
          <w:i/>
          <w:iCs/>
        </w:rPr>
        <w:t xml:space="preserve"> through others</w:t>
      </w:r>
      <w:r w:rsidR="00503D2D" w:rsidRPr="00AD7DA6">
        <w:rPr>
          <w:rFonts w:ascii="Century Schoolbook" w:hAnsi="Century Schoolbook"/>
        </w:rPr>
        <w:t xml:space="preserve">, </w:t>
      </w:r>
      <w:r w:rsidR="00503D2D" w:rsidRPr="00AD7DA6">
        <w:rPr>
          <w:rFonts w:ascii="Century Schoolbook" w:hAnsi="Century Schoolbook"/>
        </w:rPr>
        <w:lastRenderedPageBreak/>
        <w:t xml:space="preserve">construct, alter, repair, add to, subtract from, improve, </w:t>
      </w:r>
      <w:r w:rsidR="005E55AB">
        <w:rPr>
          <w:rFonts w:ascii="Century Schoolbook" w:hAnsi="Century Schoolbook"/>
        </w:rPr>
        <w:t>[</w:t>
      </w:r>
      <w:r w:rsidR="00503D2D" w:rsidRPr="00AD7DA6">
        <w:rPr>
          <w:rFonts w:ascii="Century Schoolbook" w:hAnsi="Century Schoolbook"/>
        </w:rPr>
        <w:t>move</w:t>
      </w:r>
      <w:r w:rsidR="005E55AB">
        <w:rPr>
          <w:rFonts w:ascii="Century Schoolbook" w:hAnsi="Century Schoolbook"/>
        </w:rPr>
        <w:t>]</w:t>
      </w:r>
      <w:r w:rsidR="00503D2D" w:rsidRPr="00AD7DA6">
        <w:rPr>
          <w:rFonts w:ascii="Century Schoolbook" w:hAnsi="Century Schoolbook"/>
        </w:rPr>
        <w:t xml:space="preserve">, wreck or demolish any building, excavation or other structures or works in connection therewith, or the cleaning of grounds </w:t>
      </w:r>
      <w:r w:rsidR="005E55AB">
        <w:rPr>
          <w:rFonts w:ascii="Century Schoolbook" w:hAnsi="Century Schoolbook"/>
        </w:rPr>
        <w:t>and</w:t>
      </w:r>
      <w:r w:rsidR="005E55AB" w:rsidRPr="00AD7DA6">
        <w:rPr>
          <w:rFonts w:ascii="Century Schoolbook" w:hAnsi="Century Schoolbook"/>
        </w:rPr>
        <w:t xml:space="preserve"> </w:t>
      </w:r>
      <w:r w:rsidR="00503D2D" w:rsidRPr="00AD7DA6">
        <w:rPr>
          <w:rFonts w:ascii="Century Schoolbook" w:hAnsi="Century Schoolbook"/>
        </w:rPr>
        <w:t xml:space="preserve">structures in connection therewith, </w:t>
      </w:r>
      <w:r w:rsidR="00A0342E">
        <w:rPr>
          <w:rFonts w:ascii="Century Schoolbook" w:hAnsi="Century Schoolbook"/>
        </w:rPr>
        <w:t>or</w:t>
      </w:r>
      <w:r w:rsidR="00A0342E" w:rsidRPr="00AD7DA6">
        <w:rPr>
          <w:rFonts w:ascii="Century Schoolbook" w:hAnsi="Century Schoolbook"/>
        </w:rPr>
        <w:t xml:space="preserve"> </w:t>
      </w:r>
      <w:r w:rsidR="00503D2D" w:rsidRPr="00AD7DA6">
        <w:rPr>
          <w:rFonts w:ascii="Century Schoolbook" w:hAnsi="Century Schoolbook"/>
        </w:rPr>
        <w:t>whether or not the performance of the work herein described involves the addition to, or fabrication into, any structure, project, development or improvement herein described of any material or article of merchandise.  ‘Contractor’ includes subcontractor and specialty contractor.”</w:t>
      </w:r>
      <w:r w:rsidR="007F6845" w:rsidRPr="00AD7DA6">
        <w:rPr>
          <w:rFonts w:ascii="Century Schoolbook" w:hAnsi="Century Schoolbook"/>
        </w:rPr>
        <w:t xml:space="preserve"> </w:t>
      </w:r>
      <w:r w:rsidR="00067BEB" w:rsidRPr="00AD7DA6">
        <w:rPr>
          <w:rFonts w:ascii="Century Schoolbook" w:hAnsi="Century Schoolbook"/>
        </w:rPr>
        <w:t xml:space="preserve"> </w:t>
      </w:r>
      <w:r w:rsidR="007F6845" w:rsidRPr="00AD7DA6">
        <w:rPr>
          <w:rFonts w:ascii="Century Schoolbook" w:hAnsi="Century Schoolbook"/>
        </w:rPr>
        <w:t>(</w:t>
      </w:r>
      <w:r w:rsidR="00067BEB" w:rsidRPr="00AD7DA6">
        <w:rPr>
          <w:rFonts w:ascii="Century Schoolbook" w:hAnsi="Century Schoolbook"/>
        </w:rPr>
        <w:t>I</w:t>
      </w:r>
      <w:r w:rsidR="007F6845" w:rsidRPr="00AD7DA6">
        <w:rPr>
          <w:rFonts w:ascii="Century Schoolbook" w:hAnsi="Century Schoolbook"/>
        </w:rPr>
        <w:t>talics added</w:t>
      </w:r>
      <w:r w:rsidR="00B92024" w:rsidRPr="00AD7DA6">
        <w:rPr>
          <w:rFonts w:ascii="Century Schoolbook" w:hAnsi="Century Schoolbook"/>
        </w:rPr>
        <w:t>.</w:t>
      </w:r>
      <w:r w:rsidR="007F6845" w:rsidRPr="00AD7DA6">
        <w:rPr>
          <w:rFonts w:ascii="Century Schoolbook" w:hAnsi="Century Schoolbook"/>
        </w:rPr>
        <w:t>)</w:t>
      </w:r>
      <w:r w:rsidR="00503D2D" w:rsidRPr="00AD7DA6">
        <w:rPr>
          <w:rFonts w:ascii="Century Schoolbook" w:hAnsi="Century Schoolbook"/>
        </w:rPr>
        <w:t xml:space="preserve">  </w:t>
      </w:r>
    </w:p>
    <w:p w14:paraId="1959882C" w14:textId="6D03841F" w:rsidR="00984355" w:rsidRPr="000762C1" w:rsidRDefault="00503D2D" w:rsidP="00503D2D">
      <w:pPr>
        <w:spacing w:line="360" w:lineRule="auto"/>
        <w:rPr>
          <w:rFonts w:ascii="Century Schoolbook" w:hAnsi="Century Schoolbook"/>
        </w:rPr>
      </w:pPr>
      <w:r w:rsidRPr="00AD7DA6">
        <w:rPr>
          <w:rFonts w:ascii="Century Schoolbook" w:hAnsi="Century Schoolbook"/>
        </w:rPr>
        <w:tab/>
      </w:r>
      <w:r w:rsidR="00D02660" w:rsidRPr="00AD7DA6">
        <w:rPr>
          <w:rFonts w:ascii="Century Schoolbook" w:hAnsi="Century Schoolbook"/>
        </w:rPr>
        <w:t xml:space="preserve">There was ample evidence for the jury to find that </w:t>
      </w:r>
      <w:r w:rsidR="00C9758A" w:rsidRPr="00AD7DA6">
        <w:rPr>
          <w:rFonts w:ascii="Century Schoolbook" w:hAnsi="Century Schoolbook"/>
        </w:rPr>
        <w:t xml:space="preserve">Teed was a “contractor” within the meaning of </w:t>
      </w:r>
      <w:r w:rsidR="0047054C" w:rsidRPr="00AD7DA6">
        <w:rPr>
          <w:rFonts w:ascii="Century Schoolbook" w:hAnsi="Century Schoolbook"/>
        </w:rPr>
        <w:t xml:space="preserve">section 7026.  Teed </w:t>
      </w:r>
      <w:r w:rsidR="004A5CA4" w:rsidRPr="00AD7DA6">
        <w:rPr>
          <w:rFonts w:ascii="Century Schoolbook" w:hAnsi="Century Schoolbook"/>
        </w:rPr>
        <w:t xml:space="preserve">offered to undertake, and purported to have the capacity to undertake, renovations </w:t>
      </w:r>
      <w:r w:rsidR="00460C3D" w:rsidRPr="00AD7DA6">
        <w:rPr>
          <w:rFonts w:ascii="Century Schoolbook" w:hAnsi="Century Schoolbook"/>
        </w:rPr>
        <w:t xml:space="preserve">to the Green Street home by or through others—his team of </w:t>
      </w:r>
      <w:r w:rsidR="00AD0B3F" w:rsidRPr="00AD7DA6">
        <w:rPr>
          <w:rFonts w:ascii="Century Schoolbook" w:hAnsi="Century Schoolbook"/>
        </w:rPr>
        <w:t>experienced</w:t>
      </w:r>
      <w:r w:rsidR="00460C3D" w:rsidRPr="00AD7DA6">
        <w:rPr>
          <w:rFonts w:ascii="Century Schoolbook" w:hAnsi="Century Schoolbook"/>
        </w:rPr>
        <w:t xml:space="preserve"> architects, </w:t>
      </w:r>
      <w:r w:rsidR="003F63EE" w:rsidRPr="00AD7DA6">
        <w:rPr>
          <w:rFonts w:ascii="Century Schoolbook" w:hAnsi="Century Schoolbook"/>
        </w:rPr>
        <w:t>contractors</w:t>
      </w:r>
      <w:r w:rsidR="00845A46" w:rsidRPr="00AD7DA6">
        <w:rPr>
          <w:rFonts w:ascii="Century Schoolbook" w:hAnsi="Century Schoolbook"/>
        </w:rPr>
        <w:t>, and engineers</w:t>
      </w:r>
      <w:r w:rsidR="00987F3A" w:rsidRPr="00AD7DA6">
        <w:rPr>
          <w:rFonts w:ascii="Century Schoolbook" w:hAnsi="Century Schoolbook"/>
        </w:rPr>
        <w:t xml:space="preserve">.  </w:t>
      </w:r>
      <w:r w:rsidR="00B274DD" w:rsidRPr="00AD7DA6">
        <w:rPr>
          <w:rFonts w:ascii="Century Schoolbook" w:hAnsi="Century Schoolbook"/>
        </w:rPr>
        <w:t xml:space="preserve">He led Moore to believe that </w:t>
      </w:r>
      <w:r w:rsidR="00C01AB9" w:rsidRPr="00AD7DA6">
        <w:rPr>
          <w:rFonts w:ascii="Century Schoolbook" w:hAnsi="Century Schoolbook"/>
        </w:rPr>
        <w:t xml:space="preserve">with his </w:t>
      </w:r>
      <w:r w:rsidR="007A68BE" w:rsidRPr="00AD7DA6">
        <w:rPr>
          <w:rFonts w:ascii="Century Schoolbook" w:hAnsi="Century Schoolbook"/>
        </w:rPr>
        <w:t>“</w:t>
      </w:r>
      <w:r w:rsidR="00C01AB9" w:rsidRPr="00AD7DA6">
        <w:rPr>
          <w:rFonts w:ascii="Century Schoolbook" w:hAnsi="Century Schoolbook"/>
        </w:rPr>
        <w:t>extensive background</w:t>
      </w:r>
      <w:r w:rsidR="007A68BE" w:rsidRPr="00AD7DA6">
        <w:rPr>
          <w:rFonts w:ascii="Century Schoolbook" w:hAnsi="Century Schoolbook"/>
        </w:rPr>
        <w:t>”</w:t>
      </w:r>
      <w:r w:rsidR="00C01AB9" w:rsidRPr="00AD7DA6">
        <w:rPr>
          <w:rFonts w:ascii="Century Schoolbook" w:hAnsi="Century Schoolbook"/>
        </w:rPr>
        <w:t xml:space="preserve"> in r</w:t>
      </w:r>
      <w:r w:rsidR="00282E40" w:rsidRPr="00AD7DA6">
        <w:rPr>
          <w:rFonts w:ascii="Century Schoolbook" w:hAnsi="Century Schoolbook"/>
        </w:rPr>
        <w:t xml:space="preserve">enovations and “deep understanding of quality construction,” </w:t>
      </w:r>
      <w:r w:rsidR="00911250" w:rsidRPr="00AD7DA6">
        <w:rPr>
          <w:rFonts w:ascii="Century Schoolbook" w:hAnsi="Century Schoolbook"/>
        </w:rPr>
        <w:t xml:space="preserve">he could accomplish </w:t>
      </w:r>
      <w:r w:rsidR="00E85360" w:rsidRPr="00AD7DA6">
        <w:rPr>
          <w:rFonts w:ascii="Century Schoolbook" w:hAnsi="Century Schoolbook"/>
        </w:rPr>
        <w:t>quality, cost-effective</w:t>
      </w:r>
      <w:r w:rsidR="00911250" w:rsidRPr="00AD7DA6">
        <w:rPr>
          <w:rFonts w:ascii="Century Schoolbook" w:hAnsi="Century Schoolbook"/>
        </w:rPr>
        <w:t xml:space="preserve"> renovations. </w:t>
      </w:r>
      <w:r w:rsidR="00A52EE3" w:rsidRPr="00AD7DA6">
        <w:rPr>
          <w:rFonts w:ascii="Century Schoolbook" w:hAnsi="Century Schoolbook"/>
        </w:rPr>
        <w:t xml:space="preserve"> </w:t>
      </w:r>
      <w:r w:rsidR="006F3B5B" w:rsidRPr="00AD7DA6">
        <w:rPr>
          <w:rFonts w:ascii="Century Schoolbook" w:hAnsi="Century Schoolbook"/>
        </w:rPr>
        <w:t xml:space="preserve">The jury finding that </w:t>
      </w:r>
      <w:r w:rsidR="009351F9" w:rsidRPr="00AD7DA6">
        <w:rPr>
          <w:rFonts w:ascii="Century Schoolbook" w:hAnsi="Century Schoolbook"/>
        </w:rPr>
        <w:t>Teed</w:t>
      </w:r>
      <w:r w:rsidR="006F3B5B" w:rsidRPr="00AD7DA6">
        <w:rPr>
          <w:rFonts w:ascii="Century Schoolbook" w:hAnsi="Century Schoolbook"/>
        </w:rPr>
        <w:t xml:space="preserve"> was a contractor thus supported its finding that </w:t>
      </w:r>
      <w:r w:rsidR="00B54083" w:rsidRPr="00AD7DA6">
        <w:rPr>
          <w:rFonts w:ascii="Century Schoolbook" w:hAnsi="Century Schoolbook"/>
        </w:rPr>
        <w:t xml:space="preserve">Teed was in violation of </w:t>
      </w:r>
      <w:r w:rsidR="009351F9" w:rsidRPr="00AD7DA6">
        <w:rPr>
          <w:rFonts w:ascii="Century Schoolbook" w:hAnsi="Century Schoolbook"/>
        </w:rPr>
        <w:t>section 7160</w:t>
      </w:r>
      <w:r w:rsidR="00791645" w:rsidRPr="00AD7DA6">
        <w:rPr>
          <w:rFonts w:ascii="Century Schoolbook" w:hAnsi="Century Schoolbook"/>
        </w:rPr>
        <w:t xml:space="preserve"> and liable for attorney fees</w:t>
      </w:r>
      <w:r w:rsidR="009351F9" w:rsidRPr="00AD7DA6">
        <w:rPr>
          <w:rFonts w:ascii="Century Schoolbook" w:hAnsi="Century Schoolbook"/>
        </w:rPr>
        <w:t xml:space="preserve">.  </w:t>
      </w:r>
      <w:r w:rsidR="000762C1" w:rsidRPr="000762C1">
        <w:rPr>
          <w:rFonts w:ascii="Century Schoolbook" w:hAnsi="Century Schoolbook" w:cs="Calibri"/>
          <w:color w:val="201F1E"/>
          <w:shd w:val="clear" w:color="auto" w:fill="FFFFFF"/>
        </w:rPr>
        <w:t>No inconsistency exists between the jury’s finding of liability under section 7160 and its separate finding that Moore failed to meet his burden of proving his breach of contract claim</w:t>
      </w:r>
      <w:r w:rsidR="00840F58" w:rsidRPr="000762C1">
        <w:rPr>
          <w:rFonts w:ascii="Century Schoolbook" w:hAnsi="Century Schoolbook"/>
        </w:rPr>
        <w:t xml:space="preserve">.  </w:t>
      </w:r>
    </w:p>
    <w:p w14:paraId="020F3677" w14:textId="7A344F9F" w:rsidR="003E1A4B" w:rsidRPr="00AD7DA6" w:rsidRDefault="00B5461E" w:rsidP="00503D2D">
      <w:pPr>
        <w:spacing w:line="360" w:lineRule="auto"/>
        <w:rPr>
          <w:rFonts w:ascii="Century Schoolbook" w:hAnsi="Century Schoolbook"/>
        </w:rPr>
      </w:pPr>
      <w:r w:rsidRPr="00AD7DA6">
        <w:rPr>
          <w:rFonts w:ascii="Century Schoolbook" w:hAnsi="Century Schoolbook"/>
        </w:rPr>
        <w:tab/>
      </w:r>
      <w:r w:rsidR="00503D2D" w:rsidRPr="00AD7DA6">
        <w:rPr>
          <w:rFonts w:ascii="Century Schoolbook" w:hAnsi="Century Schoolbook"/>
        </w:rPr>
        <w:t xml:space="preserve">Teed attacks </w:t>
      </w:r>
      <w:r w:rsidR="00676F56" w:rsidRPr="00AD7DA6">
        <w:rPr>
          <w:rFonts w:ascii="Century Schoolbook" w:hAnsi="Century Schoolbook"/>
        </w:rPr>
        <w:t>the</w:t>
      </w:r>
      <w:r w:rsidR="00503D2D" w:rsidRPr="00AD7DA6">
        <w:rPr>
          <w:rFonts w:ascii="Century Schoolbook" w:hAnsi="Century Schoolbook"/>
        </w:rPr>
        <w:t xml:space="preserve"> </w:t>
      </w:r>
      <w:r w:rsidR="007C71AD" w:rsidRPr="00AD7DA6">
        <w:rPr>
          <w:rFonts w:ascii="Century Schoolbook" w:hAnsi="Century Schoolbook"/>
        </w:rPr>
        <w:t xml:space="preserve">definitional </w:t>
      </w:r>
      <w:r w:rsidR="00503D2D" w:rsidRPr="00AD7DA6">
        <w:rPr>
          <w:rFonts w:ascii="Century Schoolbook" w:hAnsi="Century Schoolbook"/>
        </w:rPr>
        <w:t xml:space="preserve">instruction </w:t>
      </w:r>
      <w:r w:rsidR="00143A52" w:rsidRPr="00AD7DA6">
        <w:rPr>
          <w:rFonts w:ascii="Century Schoolbook" w:hAnsi="Century Schoolbook"/>
        </w:rPr>
        <w:t xml:space="preserve">of “contractor” </w:t>
      </w:r>
      <w:r w:rsidR="00503D2D" w:rsidRPr="00AD7DA6">
        <w:rPr>
          <w:rFonts w:ascii="Century Schoolbook" w:hAnsi="Century Schoolbook"/>
        </w:rPr>
        <w:t>as confusing and incomprehensible,</w:t>
      </w:r>
      <w:r w:rsidR="00A52EE3" w:rsidRPr="00AD7DA6">
        <w:rPr>
          <w:rFonts w:ascii="Century Schoolbook" w:hAnsi="Century Schoolbook"/>
        </w:rPr>
        <w:t xml:space="preserve"> </w:t>
      </w:r>
      <w:r w:rsidR="00503D2D" w:rsidRPr="00AD7DA6">
        <w:rPr>
          <w:rFonts w:ascii="Century Schoolbook" w:hAnsi="Century Schoolbook"/>
        </w:rPr>
        <w:t xml:space="preserve">yet he submitted a nearly identical instruction </w:t>
      </w:r>
      <w:r w:rsidR="00CF6030" w:rsidRPr="00AD7DA6">
        <w:rPr>
          <w:rFonts w:ascii="Century Schoolbook" w:hAnsi="Century Schoolbook"/>
        </w:rPr>
        <w:t>defining “contractor</w:t>
      </w:r>
      <w:r w:rsidR="00345CDC" w:rsidRPr="00AD7DA6">
        <w:rPr>
          <w:rFonts w:ascii="Century Schoolbook" w:hAnsi="Century Schoolbook"/>
        </w:rPr>
        <w:t>”</w:t>
      </w:r>
      <w:r w:rsidR="00CF6030" w:rsidRPr="00AD7DA6">
        <w:rPr>
          <w:rFonts w:ascii="Century Schoolbook" w:hAnsi="Century Schoolbook"/>
        </w:rPr>
        <w:t xml:space="preserve"> </w:t>
      </w:r>
      <w:r w:rsidR="00503D2D" w:rsidRPr="00AD7DA6">
        <w:rPr>
          <w:rFonts w:ascii="Century Schoolbook" w:hAnsi="Century Schoolbook"/>
        </w:rPr>
        <w:t xml:space="preserve">as his Special Jury Instruction No. 1.  </w:t>
      </w:r>
      <w:r w:rsidR="004834F7" w:rsidRPr="00AD7DA6">
        <w:rPr>
          <w:rFonts w:ascii="Century Schoolbook" w:hAnsi="Century Schoolbook"/>
        </w:rPr>
        <w:t>And w</w:t>
      </w:r>
      <w:r w:rsidR="00503D2D" w:rsidRPr="00AD7DA6">
        <w:rPr>
          <w:rFonts w:ascii="Century Schoolbook" w:hAnsi="Century Schoolbook"/>
        </w:rPr>
        <w:t xml:space="preserve">hile </w:t>
      </w:r>
      <w:r w:rsidR="00F14173" w:rsidRPr="00AD7DA6">
        <w:rPr>
          <w:rFonts w:ascii="Century Schoolbook" w:hAnsi="Century Schoolbook"/>
        </w:rPr>
        <w:t xml:space="preserve">he admits he had no objection </w:t>
      </w:r>
      <w:r w:rsidR="00503D2D" w:rsidRPr="00AD7DA6">
        <w:rPr>
          <w:rFonts w:ascii="Century Schoolbook" w:hAnsi="Century Schoolbook"/>
        </w:rPr>
        <w:t xml:space="preserve">to </w:t>
      </w:r>
      <w:r w:rsidR="007C71AD" w:rsidRPr="00AD7DA6">
        <w:rPr>
          <w:rFonts w:ascii="Century Schoolbook" w:hAnsi="Century Schoolbook"/>
        </w:rPr>
        <w:t>the wording of CACI No. 418</w:t>
      </w:r>
      <w:r w:rsidR="00503D2D" w:rsidRPr="00AD7DA6">
        <w:rPr>
          <w:rFonts w:ascii="Century Schoolbook" w:hAnsi="Century Schoolbook"/>
        </w:rPr>
        <w:t xml:space="preserve">,  Teed </w:t>
      </w:r>
      <w:r w:rsidR="001221B5" w:rsidRPr="00AD7DA6">
        <w:rPr>
          <w:rFonts w:ascii="Century Schoolbook" w:hAnsi="Century Schoolbook"/>
        </w:rPr>
        <w:t>asserts</w:t>
      </w:r>
      <w:r w:rsidR="00503D2D" w:rsidRPr="00AD7DA6">
        <w:rPr>
          <w:rFonts w:ascii="Century Schoolbook" w:hAnsi="Century Schoolbook"/>
        </w:rPr>
        <w:t xml:space="preserve"> the trial court should have clarified th</w:t>
      </w:r>
      <w:r w:rsidR="001221B5" w:rsidRPr="00AD7DA6">
        <w:rPr>
          <w:rFonts w:ascii="Century Schoolbook" w:hAnsi="Century Schoolbook"/>
        </w:rPr>
        <w:t>e accompanying</w:t>
      </w:r>
      <w:r w:rsidR="00503D2D" w:rsidRPr="00AD7DA6">
        <w:rPr>
          <w:rFonts w:ascii="Century Schoolbook" w:hAnsi="Century Schoolbook"/>
        </w:rPr>
        <w:t xml:space="preserve"> </w:t>
      </w:r>
      <w:r w:rsidR="00345CDC" w:rsidRPr="00AD7DA6">
        <w:rPr>
          <w:rFonts w:ascii="Century Schoolbook" w:hAnsi="Century Schoolbook"/>
        </w:rPr>
        <w:t xml:space="preserve">instruction </w:t>
      </w:r>
      <w:r w:rsidR="00503D2D" w:rsidRPr="00AD7DA6">
        <w:rPr>
          <w:rFonts w:ascii="Century Schoolbook" w:hAnsi="Century Schoolbook"/>
        </w:rPr>
        <w:t>defini</w:t>
      </w:r>
      <w:r w:rsidR="00345CDC" w:rsidRPr="00AD7DA6">
        <w:rPr>
          <w:rFonts w:ascii="Century Schoolbook" w:hAnsi="Century Schoolbook"/>
        </w:rPr>
        <w:t>ng</w:t>
      </w:r>
      <w:r w:rsidR="00503D2D" w:rsidRPr="00AD7DA6">
        <w:rPr>
          <w:rFonts w:ascii="Century Schoolbook" w:hAnsi="Century Schoolbook"/>
        </w:rPr>
        <w:t xml:space="preserve"> “contractor” by giving his proposed Special Jury Instruction No. 2,</w:t>
      </w:r>
      <w:r w:rsidR="00A52EE3" w:rsidRPr="00AD7DA6">
        <w:rPr>
          <w:rFonts w:ascii="Century Schoolbook" w:hAnsi="Century Schoolbook"/>
        </w:rPr>
        <w:t xml:space="preserve"> </w:t>
      </w:r>
      <w:r w:rsidR="00503D2D" w:rsidRPr="00AD7DA6">
        <w:rPr>
          <w:rFonts w:ascii="Century Schoolbook" w:hAnsi="Century Schoolbook"/>
        </w:rPr>
        <w:t>entitled</w:t>
      </w:r>
      <w:r w:rsidR="00067BEB" w:rsidRPr="00AD7DA6">
        <w:rPr>
          <w:rFonts w:ascii="Century Schoolbook" w:hAnsi="Century Schoolbook"/>
        </w:rPr>
        <w:t>,</w:t>
      </w:r>
      <w:r w:rsidR="00503D2D" w:rsidRPr="00AD7DA6">
        <w:rPr>
          <w:rFonts w:ascii="Century Schoolbook" w:hAnsi="Century Schoolbook"/>
        </w:rPr>
        <w:t xml:space="preserve"> “Construction managers are not required to be licensed under California law.”  </w:t>
      </w:r>
      <w:r w:rsidR="00957E6C" w:rsidRPr="00AD7DA6">
        <w:rPr>
          <w:rFonts w:ascii="Century Schoolbook" w:hAnsi="Century Schoolbook"/>
        </w:rPr>
        <w:t xml:space="preserve">The trial court did not err in rejecting </w:t>
      </w:r>
      <w:proofErr w:type="spellStart"/>
      <w:r w:rsidR="00957E6C" w:rsidRPr="00AD7DA6">
        <w:rPr>
          <w:rFonts w:ascii="Century Schoolbook" w:hAnsi="Century Schoolbook"/>
        </w:rPr>
        <w:t>Teed’s</w:t>
      </w:r>
      <w:proofErr w:type="spellEnd"/>
      <w:r w:rsidR="00957E6C" w:rsidRPr="00AD7DA6">
        <w:rPr>
          <w:rFonts w:ascii="Century Schoolbook" w:hAnsi="Century Schoolbook"/>
        </w:rPr>
        <w:t xml:space="preserve"> proposed definition of </w:t>
      </w:r>
      <w:r w:rsidR="0058782D" w:rsidRPr="00AD7DA6">
        <w:rPr>
          <w:rFonts w:ascii="Century Schoolbook" w:hAnsi="Century Schoolbook"/>
        </w:rPr>
        <w:t xml:space="preserve">“contractor.” </w:t>
      </w:r>
    </w:p>
    <w:p w14:paraId="52FBEBA9" w14:textId="54D54EF6" w:rsidR="003A70F0" w:rsidRPr="00AD7DA6" w:rsidRDefault="00491CE0" w:rsidP="00222886">
      <w:pPr>
        <w:spacing w:line="360" w:lineRule="auto"/>
        <w:rPr>
          <w:rFonts w:ascii="Century Schoolbook" w:hAnsi="Century Schoolbook"/>
        </w:rPr>
      </w:pPr>
      <w:r w:rsidRPr="00AD7DA6">
        <w:rPr>
          <w:rFonts w:ascii="Century Schoolbook" w:hAnsi="Century Schoolbook"/>
        </w:rPr>
        <w:lastRenderedPageBreak/>
        <w:tab/>
      </w:r>
      <w:r w:rsidR="00222886" w:rsidRPr="00AD7DA6">
        <w:rPr>
          <w:rFonts w:ascii="Century Schoolbook" w:hAnsi="Century Schoolbook"/>
        </w:rPr>
        <w:t>“In general, ‘</w:t>
      </w:r>
      <w:r w:rsidR="00F21D67" w:rsidRPr="00AD7DA6">
        <w:rPr>
          <w:rFonts w:ascii="Century Schoolbook" w:hAnsi="Century Schoolbook"/>
        </w:rPr>
        <w:t>[</w:t>
      </w:r>
      <w:proofErr w:type="spellStart"/>
      <w:r w:rsidR="00F21D67" w:rsidRPr="00AD7DA6">
        <w:rPr>
          <w:rFonts w:ascii="Century Schoolbook" w:hAnsi="Century Schoolbook"/>
        </w:rPr>
        <w:t>i</w:t>
      </w:r>
      <w:proofErr w:type="spellEnd"/>
      <w:r w:rsidR="00F21D67" w:rsidRPr="00AD7DA6">
        <w:rPr>
          <w:rFonts w:ascii="Century Schoolbook" w:hAnsi="Century Schoolbook"/>
        </w:rPr>
        <w:t>]</w:t>
      </w:r>
      <w:proofErr w:type="spellStart"/>
      <w:r w:rsidR="00222886" w:rsidRPr="00AD7DA6">
        <w:rPr>
          <w:rFonts w:ascii="Century Schoolbook" w:hAnsi="Century Schoolbook"/>
        </w:rPr>
        <w:t>nstructions</w:t>
      </w:r>
      <w:proofErr w:type="spellEnd"/>
      <w:r w:rsidR="00222886" w:rsidRPr="00AD7DA6">
        <w:rPr>
          <w:rFonts w:ascii="Century Schoolbook" w:hAnsi="Century Schoolbook"/>
        </w:rPr>
        <w:t xml:space="preserve"> in the language of a statute should only be given “ ‘if the jury would have no difficulty in understanding the statute without guidance from the court.’ ”  [Citations.]’  [Citation.]  Although instructions based on code sections should follow the language of the </w:t>
      </w:r>
      <w:proofErr w:type="gramStart"/>
      <w:r w:rsidR="00222886" w:rsidRPr="00AD7DA6">
        <w:rPr>
          <w:rFonts w:ascii="Century Schoolbook" w:hAnsi="Century Schoolbook"/>
        </w:rPr>
        <w:t>particular section</w:t>
      </w:r>
      <w:proofErr w:type="gramEnd"/>
      <w:r w:rsidR="00222886" w:rsidRPr="00AD7DA6">
        <w:rPr>
          <w:rFonts w:ascii="Century Schoolbook" w:hAnsi="Century Schoolbook"/>
        </w:rPr>
        <w:t xml:space="preserve"> at issue, the court should give explanatory instructions where the statutory wording is confusing or couched in legal terms.  [Citation.]  ‘It is incumbent upon the trial court to determine whether or not a code section should be explained.’</w:t>
      </w:r>
      <w:r w:rsidR="00067BEB" w:rsidRPr="00AD7DA6">
        <w:rPr>
          <w:rFonts w:ascii="Century Schoolbook" w:hAnsi="Century Schoolbook"/>
        </w:rPr>
        <w:t> </w:t>
      </w:r>
      <w:r w:rsidR="00222886" w:rsidRPr="00AD7DA6">
        <w:rPr>
          <w:rFonts w:ascii="Century Schoolbook" w:hAnsi="Century Schoolbook"/>
        </w:rPr>
        <w:t xml:space="preserve">”  </w:t>
      </w:r>
      <w:r w:rsidR="003A70F0" w:rsidRPr="00AD7DA6">
        <w:rPr>
          <w:rFonts w:ascii="Century Schoolbook" w:hAnsi="Century Schoolbook"/>
        </w:rPr>
        <w:t>(</w:t>
      </w:r>
      <w:r w:rsidR="003A70F0" w:rsidRPr="00AD7DA6">
        <w:rPr>
          <w:rFonts w:ascii="Century Schoolbook" w:hAnsi="Century Schoolbook"/>
          <w:i/>
        </w:rPr>
        <w:t>Brown v. Smith</w:t>
      </w:r>
      <w:r w:rsidR="003A70F0" w:rsidRPr="00AD7DA6">
        <w:rPr>
          <w:rFonts w:ascii="Century Schoolbook" w:hAnsi="Century Schoolbook"/>
        </w:rPr>
        <w:t xml:space="preserve"> (1997) 55 Cal.App.4th 767, 784</w:t>
      </w:r>
      <w:r w:rsidR="00067BEB" w:rsidRPr="00AD7DA6">
        <w:rPr>
          <w:rFonts w:ascii="Century Schoolbook" w:hAnsi="Century Schoolbook"/>
        </w:rPr>
        <w:t>–</w:t>
      </w:r>
      <w:r w:rsidR="00222886" w:rsidRPr="00AD7DA6">
        <w:rPr>
          <w:rFonts w:ascii="Century Schoolbook" w:hAnsi="Century Schoolbook"/>
        </w:rPr>
        <w:t>785</w:t>
      </w:r>
      <w:r w:rsidR="003A70F0" w:rsidRPr="00AD7DA6">
        <w:rPr>
          <w:rFonts w:ascii="Century Schoolbook" w:hAnsi="Century Schoolbook"/>
        </w:rPr>
        <w:t xml:space="preserve">.)  </w:t>
      </w:r>
    </w:p>
    <w:p w14:paraId="139BCD80" w14:textId="280C0561" w:rsidR="00FE3439" w:rsidRPr="00AD7DA6" w:rsidRDefault="00A449A5" w:rsidP="00222886">
      <w:pPr>
        <w:spacing w:line="360" w:lineRule="auto"/>
        <w:rPr>
          <w:rFonts w:ascii="Century Schoolbook" w:hAnsi="Century Schoolbook"/>
        </w:rPr>
      </w:pPr>
      <w:r w:rsidRPr="00AD7DA6">
        <w:rPr>
          <w:rFonts w:ascii="Century Schoolbook" w:hAnsi="Century Schoolbook"/>
        </w:rPr>
        <w:tab/>
      </w:r>
      <w:r w:rsidR="0081094C" w:rsidRPr="00AD7DA6">
        <w:rPr>
          <w:rFonts w:ascii="Century Schoolbook" w:hAnsi="Century Schoolbook"/>
        </w:rPr>
        <w:t>T</w:t>
      </w:r>
      <w:r w:rsidR="009A50B9" w:rsidRPr="00AD7DA6">
        <w:rPr>
          <w:rFonts w:ascii="Century Schoolbook" w:hAnsi="Century Schoolbook"/>
        </w:rPr>
        <w:t xml:space="preserve">he </w:t>
      </w:r>
      <w:r w:rsidR="00F52D44" w:rsidRPr="00AD7DA6">
        <w:rPr>
          <w:rFonts w:ascii="Century Schoolbook" w:hAnsi="Century Schoolbook"/>
        </w:rPr>
        <w:t xml:space="preserve">trial court’s </w:t>
      </w:r>
      <w:r w:rsidR="009A50B9" w:rsidRPr="00AD7DA6">
        <w:rPr>
          <w:rFonts w:ascii="Century Schoolbook" w:hAnsi="Century Schoolbook"/>
        </w:rPr>
        <w:t xml:space="preserve">instruction </w:t>
      </w:r>
      <w:r w:rsidR="00345CDC" w:rsidRPr="00AD7DA6">
        <w:rPr>
          <w:rFonts w:ascii="Century Schoolbook" w:hAnsi="Century Schoolbook"/>
        </w:rPr>
        <w:t>on the statut</w:t>
      </w:r>
      <w:r w:rsidR="001221B5" w:rsidRPr="00AD7DA6">
        <w:rPr>
          <w:rFonts w:ascii="Century Schoolbook" w:hAnsi="Century Schoolbook"/>
        </w:rPr>
        <w:t>ory</w:t>
      </w:r>
      <w:r w:rsidR="00345CDC" w:rsidRPr="00AD7DA6">
        <w:rPr>
          <w:rFonts w:ascii="Century Schoolbook" w:hAnsi="Century Schoolbook"/>
        </w:rPr>
        <w:t xml:space="preserve"> </w:t>
      </w:r>
      <w:r w:rsidR="001221B5" w:rsidRPr="00AD7DA6">
        <w:rPr>
          <w:rFonts w:ascii="Century Schoolbook" w:hAnsi="Century Schoolbook"/>
        </w:rPr>
        <w:t xml:space="preserve">definition of “contractor” </w:t>
      </w:r>
      <w:r w:rsidR="009A50B9" w:rsidRPr="00AD7DA6">
        <w:rPr>
          <w:rFonts w:ascii="Century Schoolbook" w:hAnsi="Century Schoolbook"/>
        </w:rPr>
        <w:t xml:space="preserve">required </w:t>
      </w:r>
      <w:r w:rsidR="0081094C" w:rsidRPr="00AD7DA6">
        <w:rPr>
          <w:rFonts w:ascii="Century Schoolbook" w:hAnsi="Century Schoolbook"/>
        </w:rPr>
        <w:t xml:space="preserve">no </w:t>
      </w:r>
      <w:r w:rsidR="009A50B9" w:rsidRPr="00AD7DA6">
        <w:rPr>
          <w:rFonts w:ascii="Century Schoolbook" w:hAnsi="Century Schoolbook"/>
        </w:rPr>
        <w:t xml:space="preserve">clarification.  </w:t>
      </w:r>
      <w:r w:rsidRPr="00AD7DA6">
        <w:rPr>
          <w:rFonts w:ascii="Century Schoolbook" w:hAnsi="Century Schoolbook"/>
        </w:rPr>
        <w:t xml:space="preserve">While section </w:t>
      </w:r>
      <w:r w:rsidR="0069721A" w:rsidRPr="00AD7DA6">
        <w:rPr>
          <w:rFonts w:ascii="Century Schoolbook" w:hAnsi="Century Schoolbook"/>
        </w:rPr>
        <w:t xml:space="preserve">7026 is </w:t>
      </w:r>
      <w:r w:rsidR="007039B2" w:rsidRPr="00AD7DA6">
        <w:rPr>
          <w:rFonts w:ascii="Century Schoolbook" w:hAnsi="Century Schoolbook"/>
        </w:rPr>
        <w:t>not</w:t>
      </w:r>
      <w:r w:rsidR="00345CDC" w:rsidRPr="00AD7DA6">
        <w:rPr>
          <w:rFonts w:ascii="Century Schoolbook" w:hAnsi="Century Schoolbook"/>
        </w:rPr>
        <w:t xml:space="preserve"> </w:t>
      </w:r>
      <w:r w:rsidR="0069721A" w:rsidRPr="00AD7DA6">
        <w:rPr>
          <w:rFonts w:ascii="Century Schoolbook" w:hAnsi="Century Schoolbook"/>
        </w:rPr>
        <w:t xml:space="preserve">the </w:t>
      </w:r>
      <w:r w:rsidR="00345CDC" w:rsidRPr="00AD7DA6">
        <w:rPr>
          <w:rFonts w:ascii="Century Schoolbook" w:hAnsi="Century Schoolbook"/>
        </w:rPr>
        <w:t>most succinct</w:t>
      </w:r>
      <w:r w:rsidR="0069721A" w:rsidRPr="00AD7DA6">
        <w:rPr>
          <w:rFonts w:ascii="Century Schoolbook" w:hAnsi="Century Schoolbook"/>
        </w:rPr>
        <w:t xml:space="preserve"> example of statutory drafting, it does not contain </w:t>
      </w:r>
      <w:r w:rsidR="00675B51" w:rsidRPr="00AD7DA6">
        <w:rPr>
          <w:rFonts w:ascii="Century Schoolbook" w:hAnsi="Century Schoolbook"/>
        </w:rPr>
        <w:t xml:space="preserve">any </w:t>
      </w:r>
      <w:r w:rsidR="0069721A" w:rsidRPr="00AD7DA6">
        <w:rPr>
          <w:rFonts w:ascii="Century Schoolbook" w:hAnsi="Century Schoolbook"/>
        </w:rPr>
        <w:t xml:space="preserve">unfamiliar legal or technical terms.  </w:t>
      </w:r>
      <w:r w:rsidR="00F52D44" w:rsidRPr="00AD7DA6">
        <w:rPr>
          <w:rFonts w:ascii="Century Schoolbook" w:hAnsi="Century Schoolbook"/>
        </w:rPr>
        <w:t xml:space="preserve">Moreover, the </w:t>
      </w:r>
      <w:r w:rsidR="001221B5" w:rsidRPr="00AD7DA6">
        <w:rPr>
          <w:rFonts w:ascii="Century Schoolbook" w:hAnsi="Century Schoolbook"/>
        </w:rPr>
        <w:t xml:space="preserve">court’s </w:t>
      </w:r>
      <w:r w:rsidR="00F52D44" w:rsidRPr="00AD7DA6">
        <w:rPr>
          <w:rFonts w:ascii="Century Schoolbook" w:hAnsi="Century Schoolbook"/>
        </w:rPr>
        <w:t>instruction</w:t>
      </w:r>
      <w:r w:rsidR="00345CDC" w:rsidRPr="00AD7DA6">
        <w:rPr>
          <w:rFonts w:ascii="Century Schoolbook" w:hAnsi="Century Schoolbook"/>
        </w:rPr>
        <w:t xml:space="preserve"> </w:t>
      </w:r>
      <w:r w:rsidR="00F52D44" w:rsidRPr="00AD7DA6">
        <w:rPr>
          <w:rFonts w:ascii="Century Schoolbook" w:hAnsi="Century Schoolbook"/>
        </w:rPr>
        <w:t>tailored the statute to conform to the circumstances of this case</w:t>
      </w:r>
      <w:r w:rsidR="00345CDC" w:rsidRPr="00AD7DA6">
        <w:rPr>
          <w:rFonts w:ascii="Century Schoolbook" w:hAnsi="Century Schoolbook"/>
        </w:rPr>
        <w:t xml:space="preserve">, omitting unnecessary </w:t>
      </w:r>
      <w:r w:rsidR="001221B5" w:rsidRPr="00AD7DA6">
        <w:rPr>
          <w:rFonts w:ascii="Century Schoolbook" w:hAnsi="Century Schoolbook"/>
        </w:rPr>
        <w:t xml:space="preserve">language that would have distracted </w:t>
      </w:r>
      <w:r w:rsidR="004C2C2D" w:rsidRPr="00AD7DA6">
        <w:rPr>
          <w:rFonts w:ascii="Century Schoolbook" w:hAnsi="Century Schoolbook"/>
        </w:rPr>
        <w:t xml:space="preserve">from </w:t>
      </w:r>
      <w:r w:rsidR="001221B5" w:rsidRPr="00AD7DA6">
        <w:rPr>
          <w:rFonts w:ascii="Century Schoolbook" w:hAnsi="Century Schoolbook"/>
        </w:rPr>
        <w:t>the jury</w:t>
      </w:r>
      <w:r w:rsidR="004C2C2D" w:rsidRPr="00AD7DA6">
        <w:rPr>
          <w:rFonts w:ascii="Century Schoolbook" w:hAnsi="Century Schoolbook"/>
        </w:rPr>
        <w:t>’s task</w:t>
      </w:r>
      <w:r w:rsidR="00F52D44" w:rsidRPr="00AD7DA6">
        <w:rPr>
          <w:rFonts w:ascii="Century Schoolbook" w:hAnsi="Century Schoolbook"/>
        </w:rPr>
        <w:t>.</w:t>
      </w:r>
      <w:r w:rsidR="006A5AB6" w:rsidRPr="00AD7DA6">
        <w:rPr>
          <w:rFonts w:ascii="Century Schoolbook" w:hAnsi="Century Schoolbook"/>
        </w:rPr>
        <w:t xml:space="preserve"> </w:t>
      </w:r>
    </w:p>
    <w:p w14:paraId="4D7D227D" w14:textId="72159A5E" w:rsidR="007E2510" w:rsidRPr="00AD7DA6" w:rsidRDefault="00FE3439" w:rsidP="00CB0A0F">
      <w:pPr>
        <w:spacing w:line="360" w:lineRule="auto"/>
        <w:rPr>
          <w:rFonts w:ascii="Century Schoolbook" w:hAnsi="Century Schoolbook"/>
        </w:rPr>
      </w:pPr>
      <w:r w:rsidRPr="00AD7DA6">
        <w:rPr>
          <w:rFonts w:ascii="Century Schoolbook" w:hAnsi="Century Schoolbook"/>
        </w:rPr>
        <w:tab/>
      </w:r>
      <w:r w:rsidR="00222886" w:rsidRPr="00AD7DA6">
        <w:rPr>
          <w:rFonts w:ascii="Century Schoolbook" w:hAnsi="Century Schoolbook"/>
        </w:rPr>
        <w:t xml:space="preserve">In contrast, </w:t>
      </w:r>
      <w:proofErr w:type="spellStart"/>
      <w:r w:rsidR="00A25503" w:rsidRPr="00AD7DA6">
        <w:rPr>
          <w:rFonts w:ascii="Century Schoolbook" w:hAnsi="Century Schoolbook"/>
        </w:rPr>
        <w:t>Teed’s</w:t>
      </w:r>
      <w:proofErr w:type="spellEnd"/>
      <w:r w:rsidR="00A25503" w:rsidRPr="00AD7DA6">
        <w:rPr>
          <w:rFonts w:ascii="Century Schoolbook" w:hAnsi="Century Schoolbook"/>
        </w:rPr>
        <w:t xml:space="preserve"> </w:t>
      </w:r>
      <w:r w:rsidR="00222886" w:rsidRPr="00AD7DA6">
        <w:rPr>
          <w:rFonts w:ascii="Century Schoolbook" w:hAnsi="Century Schoolbook"/>
        </w:rPr>
        <w:t xml:space="preserve">proposed </w:t>
      </w:r>
      <w:r w:rsidR="009A50B9" w:rsidRPr="00AD7DA6">
        <w:rPr>
          <w:rFonts w:ascii="Century Schoolbook" w:hAnsi="Century Schoolbook"/>
        </w:rPr>
        <w:t>Special Jury I</w:t>
      </w:r>
      <w:r w:rsidR="00A25503" w:rsidRPr="00AD7DA6">
        <w:rPr>
          <w:rFonts w:ascii="Century Schoolbook" w:hAnsi="Century Schoolbook"/>
        </w:rPr>
        <w:t xml:space="preserve">nstruction </w:t>
      </w:r>
      <w:r w:rsidR="009A50B9" w:rsidRPr="00AD7DA6">
        <w:rPr>
          <w:rFonts w:ascii="Century Schoolbook" w:hAnsi="Century Schoolbook"/>
        </w:rPr>
        <w:t xml:space="preserve">No. 2 </w:t>
      </w:r>
      <w:r w:rsidR="00222886" w:rsidRPr="00AD7DA6">
        <w:rPr>
          <w:rFonts w:ascii="Century Schoolbook" w:hAnsi="Century Schoolbook"/>
        </w:rPr>
        <w:t xml:space="preserve">was </w:t>
      </w:r>
      <w:r w:rsidR="00483552" w:rsidRPr="00AD7DA6">
        <w:rPr>
          <w:rFonts w:ascii="Century Schoolbook" w:hAnsi="Century Schoolbook"/>
        </w:rPr>
        <w:t xml:space="preserve">lengthier </w:t>
      </w:r>
      <w:r w:rsidR="00222886" w:rsidRPr="00AD7DA6">
        <w:rPr>
          <w:rFonts w:ascii="Century Schoolbook" w:hAnsi="Century Schoolbook"/>
        </w:rPr>
        <w:t>than the instruction give</w:t>
      </w:r>
      <w:r w:rsidR="00684DAC" w:rsidRPr="00AD7DA6">
        <w:rPr>
          <w:rFonts w:ascii="Century Schoolbook" w:hAnsi="Century Schoolbook"/>
        </w:rPr>
        <w:t>n</w:t>
      </w:r>
      <w:r w:rsidR="009A50B9" w:rsidRPr="00AD7DA6">
        <w:rPr>
          <w:rFonts w:ascii="Century Schoolbook" w:hAnsi="Century Schoolbook"/>
        </w:rPr>
        <w:t xml:space="preserve"> by the trial court</w:t>
      </w:r>
      <w:r w:rsidR="00222886" w:rsidRPr="00AD7DA6">
        <w:rPr>
          <w:rFonts w:ascii="Century Schoolbook" w:hAnsi="Century Schoolbook"/>
        </w:rPr>
        <w:t xml:space="preserve">, </w:t>
      </w:r>
      <w:r w:rsidR="00F52D44" w:rsidRPr="00AD7DA6">
        <w:rPr>
          <w:rFonts w:ascii="Century Schoolbook" w:hAnsi="Century Schoolbook"/>
        </w:rPr>
        <w:t>includ</w:t>
      </w:r>
      <w:r w:rsidR="00345CDC" w:rsidRPr="00AD7DA6">
        <w:rPr>
          <w:rFonts w:ascii="Century Schoolbook" w:hAnsi="Century Schoolbook"/>
        </w:rPr>
        <w:t>ed</w:t>
      </w:r>
      <w:r w:rsidR="00222886" w:rsidRPr="00AD7DA6">
        <w:rPr>
          <w:rFonts w:ascii="Century Schoolbook" w:hAnsi="Century Schoolbook"/>
        </w:rPr>
        <w:t xml:space="preserve"> several </w:t>
      </w:r>
      <w:r w:rsidR="009A50B9" w:rsidRPr="00AD7DA6">
        <w:rPr>
          <w:rFonts w:ascii="Century Schoolbook" w:hAnsi="Century Schoolbook"/>
        </w:rPr>
        <w:t xml:space="preserve">numbered </w:t>
      </w:r>
      <w:r w:rsidR="00222886" w:rsidRPr="00AD7DA6">
        <w:rPr>
          <w:rFonts w:ascii="Century Schoolbook" w:hAnsi="Century Schoolbook"/>
        </w:rPr>
        <w:t>subparts</w:t>
      </w:r>
      <w:r w:rsidR="00654E1A" w:rsidRPr="00AD7DA6">
        <w:rPr>
          <w:rFonts w:ascii="Century Schoolbook" w:hAnsi="Century Schoolbook"/>
        </w:rPr>
        <w:t xml:space="preserve">, </w:t>
      </w:r>
      <w:r w:rsidR="00BF26DB" w:rsidRPr="00AD7DA6">
        <w:rPr>
          <w:rFonts w:ascii="Century Schoolbook" w:hAnsi="Century Schoolbook"/>
        </w:rPr>
        <w:t>and contained argumentative passages</w:t>
      </w:r>
      <w:r w:rsidR="00222886" w:rsidRPr="00AD7DA6">
        <w:rPr>
          <w:rFonts w:ascii="Century Schoolbook" w:hAnsi="Century Schoolbook"/>
        </w:rPr>
        <w:t xml:space="preserve">.  </w:t>
      </w:r>
      <w:r w:rsidR="00BF26DB" w:rsidRPr="00AD7DA6">
        <w:rPr>
          <w:rFonts w:ascii="Century Schoolbook" w:hAnsi="Century Schoolbook"/>
        </w:rPr>
        <w:t xml:space="preserve">For example, the proposed instruction </w:t>
      </w:r>
      <w:r w:rsidR="00503D2D" w:rsidRPr="00AD7DA6">
        <w:rPr>
          <w:rFonts w:ascii="Century Schoolbook" w:hAnsi="Century Schoolbook"/>
        </w:rPr>
        <w:t>stat</w:t>
      </w:r>
      <w:r w:rsidR="00BF26DB" w:rsidRPr="00AD7DA6">
        <w:rPr>
          <w:rFonts w:ascii="Century Schoolbook" w:hAnsi="Century Schoolbook"/>
        </w:rPr>
        <w:t>ed</w:t>
      </w:r>
      <w:r w:rsidR="00503D2D" w:rsidRPr="00AD7DA6">
        <w:rPr>
          <w:rFonts w:ascii="Century Schoolbook" w:hAnsi="Century Schoolbook"/>
        </w:rPr>
        <w:t xml:space="preserve"> </w:t>
      </w:r>
      <w:r w:rsidR="0001231B" w:rsidRPr="00AD7DA6">
        <w:rPr>
          <w:rFonts w:ascii="Century Schoolbook" w:hAnsi="Century Schoolbook"/>
        </w:rPr>
        <w:t xml:space="preserve">that </w:t>
      </w:r>
      <w:r w:rsidR="00F52D44" w:rsidRPr="00AD7DA6">
        <w:rPr>
          <w:rFonts w:ascii="Century Schoolbook" w:hAnsi="Century Schoolbook"/>
        </w:rPr>
        <w:t>“</w:t>
      </w:r>
      <w:r w:rsidR="0001231B" w:rsidRPr="00AD7DA6">
        <w:rPr>
          <w:rFonts w:ascii="Century Schoolbook" w:hAnsi="Century Schoolbook"/>
        </w:rPr>
        <w:t>even if</w:t>
      </w:r>
      <w:r w:rsidR="00F52D44" w:rsidRPr="00AD7DA6">
        <w:rPr>
          <w:rFonts w:ascii="Century Schoolbook" w:hAnsi="Century Schoolbook"/>
        </w:rPr>
        <w:t>”</w:t>
      </w:r>
      <w:r w:rsidR="0001231B" w:rsidRPr="00AD7DA6">
        <w:rPr>
          <w:rFonts w:ascii="Century Schoolbook" w:hAnsi="Century Schoolbook"/>
        </w:rPr>
        <w:t xml:space="preserve"> </w:t>
      </w:r>
      <w:r w:rsidR="009A50B9" w:rsidRPr="00AD7DA6">
        <w:rPr>
          <w:rFonts w:ascii="Century Schoolbook" w:hAnsi="Century Schoolbook"/>
        </w:rPr>
        <w:t>Teed</w:t>
      </w:r>
      <w:r w:rsidR="0001231B" w:rsidRPr="00AD7DA6">
        <w:rPr>
          <w:rFonts w:ascii="Century Schoolbook" w:hAnsi="Century Schoolbook"/>
        </w:rPr>
        <w:t xml:space="preserve"> engaged in four types of activities, including coordinating construction workers, keeping Moor</w:t>
      </w:r>
      <w:r w:rsidR="00A25503" w:rsidRPr="00AD7DA6">
        <w:rPr>
          <w:rFonts w:ascii="Century Schoolbook" w:hAnsi="Century Schoolbook"/>
        </w:rPr>
        <w:t>e</w:t>
      </w:r>
      <w:r w:rsidR="0001231B" w:rsidRPr="00AD7DA6">
        <w:rPr>
          <w:rFonts w:ascii="Century Schoolbook" w:hAnsi="Century Schoolbook"/>
        </w:rPr>
        <w:t xml:space="preserve"> informed of the project’s status, being the onsite “point person</w:t>
      </w:r>
      <w:r w:rsidR="00A25503" w:rsidRPr="00AD7DA6">
        <w:rPr>
          <w:rFonts w:ascii="Century Schoolbook" w:hAnsi="Century Schoolbook"/>
        </w:rPr>
        <w:t>,</w:t>
      </w:r>
      <w:r w:rsidR="0001231B" w:rsidRPr="00AD7DA6">
        <w:rPr>
          <w:rFonts w:ascii="Century Schoolbook" w:hAnsi="Century Schoolbook"/>
        </w:rPr>
        <w:t xml:space="preserve">” and acting as Moore’s agent in the renovations, these activities </w:t>
      </w:r>
      <w:r w:rsidR="00345CDC" w:rsidRPr="00AD7DA6">
        <w:rPr>
          <w:rFonts w:ascii="Century Schoolbook" w:hAnsi="Century Schoolbook"/>
        </w:rPr>
        <w:t>were not enough to</w:t>
      </w:r>
      <w:r w:rsidR="00684DAC" w:rsidRPr="00AD7DA6">
        <w:rPr>
          <w:rFonts w:ascii="Century Schoolbook" w:hAnsi="Century Schoolbook"/>
        </w:rPr>
        <w:t xml:space="preserve"> have made </w:t>
      </w:r>
      <w:r w:rsidR="0001231B" w:rsidRPr="00AD7DA6">
        <w:rPr>
          <w:rFonts w:ascii="Century Schoolbook" w:hAnsi="Century Schoolbook"/>
        </w:rPr>
        <w:t xml:space="preserve">him a contractor. </w:t>
      </w:r>
      <w:r w:rsidR="00222886" w:rsidRPr="00AD7DA6">
        <w:rPr>
          <w:rFonts w:ascii="Century Schoolbook" w:hAnsi="Century Schoolbook"/>
        </w:rPr>
        <w:t xml:space="preserve"> </w:t>
      </w:r>
      <w:r w:rsidR="001221B5" w:rsidRPr="00AD7DA6">
        <w:rPr>
          <w:rFonts w:ascii="Century Schoolbook" w:hAnsi="Century Schoolbook"/>
        </w:rPr>
        <w:t xml:space="preserve">The </w:t>
      </w:r>
      <w:r w:rsidR="00161D0B" w:rsidRPr="00AD7DA6">
        <w:rPr>
          <w:rFonts w:ascii="Century Schoolbook" w:hAnsi="Century Schoolbook"/>
        </w:rPr>
        <w:t>instruction</w:t>
      </w:r>
      <w:r w:rsidR="00EC2CC9" w:rsidRPr="00AD7DA6">
        <w:rPr>
          <w:rFonts w:ascii="Century Schoolbook" w:hAnsi="Century Schoolbook"/>
        </w:rPr>
        <w:t xml:space="preserve"> </w:t>
      </w:r>
      <w:r w:rsidR="00503D2D" w:rsidRPr="00AD7DA6">
        <w:rPr>
          <w:rFonts w:ascii="Century Schoolbook" w:hAnsi="Century Schoolbook"/>
        </w:rPr>
        <w:t xml:space="preserve">also erroneously </w:t>
      </w:r>
      <w:r w:rsidR="00F52D44" w:rsidRPr="00AD7DA6">
        <w:rPr>
          <w:rFonts w:ascii="Century Schoolbook" w:hAnsi="Century Schoolbook"/>
        </w:rPr>
        <w:t>stated</w:t>
      </w:r>
      <w:r w:rsidR="00EC2CC9" w:rsidRPr="00AD7DA6">
        <w:rPr>
          <w:rFonts w:ascii="Century Schoolbook" w:hAnsi="Century Schoolbook"/>
        </w:rPr>
        <w:t xml:space="preserve">: </w:t>
      </w:r>
      <w:r w:rsidR="009166F1" w:rsidRPr="00AD7DA6">
        <w:rPr>
          <w:rFonts w:ascii="Century Schoolbook" w:hAnsi="Century Schoolbook"/>
        </w:rPr>
        <w:t xml:space="preserve"> </w:t>
      </w:r>
      <w:r w:rsidR="00EC2CC9" w:rsidRPr="00AD7DA6">
        <w:rPr>
          <w:rFonts w:ascii="Century Schoolbook" w:hAnsi="Century Schoolbook"/>
        </w:rPr>
        <w:t>“If you find that evidence was presented establishes [</w:t>
      </w:r>
      <w:r w:rsidR="00EC2CC9" w:rsidRPr="00AD7DA6">
        <w:rPr>
          <w:rFonts w:ascii="Century Schoolbook" w:hAnsi="Century Schoolbook"/>
          <w:i/>
        </w:rPr>
        <w:t>sic</w:t>
      </w:r>
      <w:r w:rsidR="00EC2CC9" w:rsidRPr="00AD7DA6">
        <w:rPr>
          <w:rFonts w:ascii="Century Schoolbook" w:hAnsi="Century Schoolbook"/>
        </w:rPr>
        <w:t xml:space="preserve">] that [Teed] had no responsibility or authority to perform any </w:t>
      </w:r>
      <w:r w:rsidR="00161D0B" w:rsidRPr="00AD7DA6">
        <w:rPr>
          <w:rFonts w:ascii="Century Schoolbook" w:hAnsi="Century Schoolbook"/>
        </w:rPr>
        <w:t>construction</w:t>
      </w:r>
      <w:r w:rsidR="00EC2CC9" w:rsidRPr="00AD7DA6">
        <w:rPr>
          <w:rFonts w:ascii="Century Schoolbook" w:hAnsi="Century Schoolbook"/>
        </w:rPr>
        <w:t xml:space="preserve"> work on the project, or to enter into any contract or subcontract for the performance of such work, then you must find that he was not acting as a ‘contractor.’</w:t>
      </w:r>
      <w:r w:rsidR="009166F1" w:rsidRPr="00AD7DA6">
        <w:rPr>
          <w:rFonts w:ascii="Century Schoolbook" w:hAnsi="Century Schoolbook"/>
        </w:rPr>
        <w:t> </w:t>
      </w:r>
      <w:r w:rsidR="00EC2CC9" w:rsidRPr="00AD7DA6">
        <w:rPr>
          <w:rFonts w:ascii="Century Schoolbook" w:hAnsi="Century Schoolbook"/>
        </w:rPr>
        <w:t xml:space="preserve">”  </w:t>
      </w:r>
      <w:r w:rsidR="00DC5300" w:rsidRPr="00AD7DA6">
        <w:rPr>
          <w:rFonts w:ascii="Century Schoolbook" w:hAnsi="Century Schoolbook"/>
        </w:rPr>
        <w:t xml:space="preserve">This </w:t>
      </w:r>
      <w:r w:rsidR="00F52D44" w:rsidRPr="00AD7DA6">
        <w:rPr>
          <w:rFonts w:ascii="Century Schoolbook" w:hAnsi="Century Schoolbook"/>
        </w:rPr>
        <w:t xml:space="preserve">passage </w:t>
      </w:r>
      <w:r w:rsidR="00DC5300" w:rsidRPr="00AD7DA6">
        <w:rPr>
          <w:rFonts w:ascii="Century Schoolbook" w:hAnsi="Century Schoolbook"/>
        </w:rPr>
        <w:lastRenderedPageBreak/>
        <w:t xml:space="preserve">misstates the law, as it omits that </w:t>
      </w:r>
      <w:r w:rsidR="00345CDC" w:rsidRPr="00AD7DA6">
        <w:rPr>
          <w:rFonts w:ascii="Century Schoolbook" w:hAnsi="Century Schoolbook"/>
        </w:rPr>
        <w:t>one can</w:t>
      </w:r>
      <w:r w:rsidR="00DC5300" w:rsidRPr="00AD7DA6">
        <w:rPr>
          <w:rFonts w:ascii="Century Schoolbook" w:hAnsi="Century Schoolbook"/>
        </w:rPr>
        <w:t xml:space="preserve"> be deemed a contractor </w:t>
      </w:r>
      <w:r w:rsidR="00B3709A" w:rsidRPr="00AD7DA6">
        <w:rPr>
          <w:rFonts w:ascii="Century Schoolbook" w:hAnsi="Century Schoolbook"/>
        </w:rPr>
        <w:t xml:space="preserve">under California law </w:t>
      </w:r>
      <w:r w:rsidR="00B54012" w:rsidRPr="00AD7DA6">
        <w:rPr>
          <w:rFonts w:ascii="Century Schoolbook" w:hAnsi="Century Schoolbook"/>
        </w:rPr>
        <w:t xml:space="preserve">if he or she </w:t>
      </w:r>
      <w:r w:rsidR="00682F3B" w:rsidRPr="00AD7DA6">
        <w:rPr>
          <w:rFonts w:ascii="Century Schoolbook" w:hAnsi="Century Schoolbook"/>
        </w:rPr>
        <w:t>“offer</w:t>
      </w:r>
      <w:r w:rsidR="00D351E3" w:rsidRPr="00AD7DA6">
        <w:rPr>
          <w:rFonts w:ascii="Century Schoolbook" w:hAnsi="Century Schoolbook"/>
        </w:rPr>
        <w:t>s</w:t>
      </w:r>
      <w:r w:rsidR="00682F3B" w:rsidRPr="00AD7DA6">
        <w:rPr>
          <w:rFonts w:ascii="Century Schoolbook" w:hAnsi="Century Schoolbook"/>
        </w:rPr>
        <w:t xml:space="preserve"> to undertake</w:t>
      </w:r>
      <w:r w:rsidR="00D351E3" w:rsidRPr="00AD7DA6">
        <w:rPr>
          <w:rFonts w:ascii="Century Schoolbook" w:hAnsi="Century Schoolbook"/>
        </w:rPr>
        <w:t xml:space="preserve">” or “purports </w:t>
      </w:r>
      <w:r w:rsidR="00682F3B" w:rsidRPr="00AD7DA6">
        <w:rPr>
          <w:rFonts w:ascii="Century Schoolbook" w:hAnsi="Century Schoolbook"/>
        </w:rPr>
        <w:t>to have the capacity to undertake</w:t>
      </w:r>
      <w:r w:rsidR="00D351E3" w:rsidRPr="00AD7DA6">
        <w:rPr>
          <w:rFonts w:ascii="Century Schoolbook" w:hAnsi="Century Schoolbook"/>
        </w:rPr>
        <w:t xml:space="preserve">” </w:t>
      </w:r>
      <w:r w:rsidR="00227156" w:rsidRPr="00AD7DA6">
        <w:rPr>
          <w:rFonts w:ascii="Century Schoolbook" w:hAnsi="Century Schoolbook"/>
        </w:rPr>
        <w:t>or undertakes a renovation “</w:t>
      </w:r>
      <w:r w:rsidR="00BE76B5" w:rsidRPr="00AD7DA6">
        <w:rPr>
          <w:rFonts w:ascii="Century Schoolbook" w:hAnsi="Century Schoolbook"/>
        </w:rPr>
        <w:t xml:space="preserve">by </w:t>
      </w:r>
      <w:r w:rsidR="009C6B70" w:rsidRPr="00AD7DA6">
        <w:rPr>
          <w:rFonts w:ascii="Century Schoolbook" w:hAnsi="Century Schoolbook"/>
        </w:rPr>
        <w:t>or</w:t>
      </w:r>
      <w:r w:rsidR="00BE76B5" w:rsidRPr="00AD7DA6">
        <w:rPr>
          <w:rFonts w:ascii="Century Schoolbook" w:hAnsi="Century Schoolbook"/>
        </w:rPr>
        <w:t xml:space="preserve"> through others</w:t>
      </w:r>
      <w:r w:rsidR="00227156" w:rsidRPr="00AD7DA6">
        <w:rPr>
          <w:rFonts w:ascii="Century Schoolbook" w:hAnsi="Century Schoolbook"/>
        </w:rPr>
        <w:t>.</w:t>
      </w:r>
      <w:r w:rsidR="00BE76B5" w:rsidRPr="00AD7DA6">
        <w:rPr>
          <w:rFonts w:ascii="Century Schoolbook" w:hAnsi="Century Schoolbook"/>
        </w:rPr>
        <w:t>”</w:t>
      </w:r>
      <w:r w:rsidR="009A50B9" w:rsidRPr="00AD7DA6">
        <w:rPr>
          <w:rFonts w:ascii="Century Schoolbook" w:hAnsi="Century Schoolbook"/>
        </w:rPr>
        <w:t xml:space="preserve"> </w:t>
      </w:r>
      <w:r w:rsidR="009166F1" w:rsidRPr="00AD7DA6">
        <w:rPr>
          <w:rFonts w:ascii="Century Schoolbook" w:hAnsi="Century Schoolbook"/>
        </w:rPr>
        <w:t xml:space="preserve"> </w:t>
      </w:r>
      <w:r w:rsidR="009A50B9" w:rsidRPr="00AD7DA6">
        <w:rPr>
          <w:rFonts w:ascii="Century Schoolbook" w:hAnsi="Century Schoolbook"/>
        </w:rPr>
        <w:t>(§</w:t>
      </w:r>
      <w:r w:rsidR="00A52EE3" w:rsidRPr="00AD7DA6">
        <w:rPr>
          <w:rFonts w:ascii="Century Schoolbook" w:hAnsi="Century Schoolbook"/>
        </w:rPr>
        <w:t> </w:t>
      </w:r>
      <w:r w:rsidR="009A50B9" w:rsidRPr="00AD7DA6">
        <w:rPr>
          <w:rFonts w:ascii="Century Schoolbook" w:hAnsi="Century Schoolbook"/>
        </w:rPr>
        <w:t>7026.)</w:t>
      </w:r>
      <w:r w:rsidR="00503D2D" w:rsidRPr="00AD7DA6">
        <w:rPr>
          <w:rFonts w:ascii="Century Schoolbook" w:hAnsi="Century Schoolbook"/>
        </w:rPr>
        <w:t xml:space="preserve">  </w:t>
      </w:r>
      <w:r w:rsidR="00170473" w:rsidRPr="00AD7DA6">
        <w:rPr>
          <w:rFonts w:ascii="Century Schoolbook" w:hAnsi="Century Schoolbook"/>
        </w:rPr>
        <w:t xml:space="preserve">In sum, the trial court did not err in awarding Moore </w:t>
      </w:r>
      <w:r w:rsidR="0090715A" w:rsidRPr="00AD7DA6">
        <w:rPr>
          <w:rFonts w:ascii="Century Schoolbook" w:hAnsi="Century Schoolbook"/>
        </w:rPr>
        <w:t xml:space="preserve">his </w:t>
      </w:r>
      <w:r w:rsidR="00170473" w:rsidRPr="00AD7DA6">
        <w:rPr>
          <w:rFonts w:ascii="Century Schoolbook" w:hAnsi="Century Schoolbook"/>
        </w:rPr>
        <w:t>attorney fees under section 7160.</w:t>
      </w:r>
    </w:p>
    <w:p w14:paraId="54A0F937" w14:textId="6C0822F4" w:rsidR="00B45695" w:rsidRPr="004C1D40" w:rsidRDefault="00170473" w:rsidP="00440E34">
      <w:pPr>
        <w:pStyle w:val="ListParagraph"/>
        <w:numPr>
          <w:ilvl w:val="0"/>
          <w:numId w:val="2"/>
        </w:numPr>
        <w:spacing w:line="360" w:lineRule="auto"/>
        <w:ind w:hanging="1080"/>
        <w:rPr>
          <w:rFonts w:ascii="Century Schoolbook" w:hAnsi="Century Schoolbook"/>
          <w:b/>
          <w:bCs/>
          <w:i/>
        </w:rPr>
      </w:pPr>
      <w:r w:rsidRPr="004C1D40">
        <w:rPr>
          <w:rFonts w:ascii="Century Schoolbook" w:hAnsi="Century Schoolbook"/>
          <w:b/>
          <w:bCs/>
          <w:i/>
        </w:rPr>
        <w:t xml:space="preserve">Moore’s </w:t>
      </w:r>
      <w:r w:rsidR="00B45695" w:rsidRPr="004C1D40">
        <w:rPr>
          <w:rFonts w:ascii="Century Schoolbook" w:hAnsi="Century Schoolbook"/>
          <w:b/>
          <w:bCs/>
          <w:i/>
        </w:rPr>
        <w:t>Request for Appellate Fees</w:t>
      </w:r>
    </w:p>
    <w:p w14:paraId="3E858AB9" w14:textId="5F787F57" w:rsidR="00715199" w:rsidRPr="00AD7DA6" w:rsidRDefault="00B45695" w:rsidP="00715199">
      <w:pPr>
        <w:spacing w:line="360" w:lineRule="auto"/>
        <w:rPr>
          <w:rFonts w:ascii="Century Schoolbook" w:hAnsi="Century Schoolbook"/>
        </w:rPr>
      </w:pPr>
      <w:r w:rsidRPr="00AD7DA6">
        <w:rPr>
          <w:rFonts w:ascii="Century Schoolbook" w:hAnsi="Century Schoolbook"/>
        </w:rPr>
        <w:tab/>
        <w:t>Moore asks that we direct the trial court to award attorney fees incurred on appeal under section 7160.</w:t>
      </w:r>
      <w:r w:rsidR="00041D7C" w:rsidRPr="00AD7DA6">
        <w:rPr>
          <w:rFonts w:ascii="Century Schoolbook" w:hAnsi="Century Schoolbook"/>
        </w:rPr>
        <w:t xml:space="preserve">  “A statute providing for an attorney fee award to the prevailing party in litigation ordinarily also authorizes an award of fees incurred on appeal even if it does not expressly so state.</w:t>
      </w:r>
      <w:r w:rsidR="005E5297" w:rsidRPr="00AD7DA6">
        <w:rPr>
          <w:rFonts w:ascii="Century Schoolbook" w:hAnsi="Century Schoolbook"/>
        </w:rPr>
        <w:t>”</w:t>
      </w:r>
      <w:r w:rsidR="009166F1" w:rsidRPr="00AD7DA6">
        <w:rPr>
          <w:rFonts w:ascii="Century Schoolbook" w:hAnsi="Century Schoolbook"/>
        </w:rPr>
        <w:t> </w:t>
      </w:r>
      <w:r w:rsidR="005E5297" w:rsidRPr="00AD7DA6">
        <w:rPr>
          <w:rFonts w:ascii="Century Schoolbook" w:hAnsi="Century Schoolbook"/>
        </w:rPr>
        <w:t>”  (</w:t>
      </w:r>
      <w:r w:rsidR="00041D7C" w:rsidRPr="00AD7DA6">
        <w:rPr>
          <w:rFonts w:ascii="Century Schoolbook" w:hAnsi="Century Schoolbook"/>
          <w:i/>
        </w:rPr>
        <w:t>Garcia v. Bellflower Unified School Dist. Governing Bd.</w:t>
      </w:r>
      <w:r w:rsidR="005E5297" w:rsidRPr="00AD7DA6">
        <w:rPr>
          <w:rFonts w:ascii="Century Schoolbook" w:hAnsi="Century Schoolbook"/>
        </w:rPr>
        <w:t xml:space="preserve"> (2013)</w:t>
      </w:r>
      <w:r w:rsidR="00041D7C" w:rsidRPr="00AD7DA6">
        <w:rPr>
          <w:rFonts w:ascii="Century Schoolbook" w:hAnsi="Century Schoolbook"/>
        </w:rPr>
        <w:t xml:space="preserve"> 220</w:t>
      </w:r>
      <w:r w:rsidR="009C6B70" w:rsidRPr="00AD7DA6">
        <w:rPr>
          <w:rFonts w:ascii="Century Schoolbook" w:hAnsi="Century Schoolbook"/>
        </w:rPr>
        <w:t> </w:t>
      </w:r>
      <w:r w:rsidR="00041D7C" w:rsidRPr="00AD7DA6">
        <w:rPr>
          <w:rFonts w:ascii="Century Schoolbook" w:hAnsi="Century Schoolbook"/>
        </w:rPr>
        <w:t>Cal.App.4th 1058, 1067</w:t>
      </w:r>
      <w:r w:rsidR="005E5297" w:rsidRPr="00AD7DA6">
        <w:rPr>
          <w:rFonts w:ascii="Century Schoolbook" w:hAnsi="Century Schoolbook"/>
        </w:rPr>
        <w:t>.)</w:t>
      </w:r>
      <w:r w:rsidR="00715199" w:rsidRPr="00AD7DA6">
        <w:rPr>
          <w:rFonts w:ascii="Century Schoolbook" w:hAnsi="Century Schoolbook"/>
        </w:rPr>
        <w:t xml:space="preserve">  Moore is the prevailing party on appeal, and thus he is entitled to fees under </w:t>
      </w:r>
      <w:r w:rsidR="008E3D6D" w:rsidRPr="00AD7DA6">
        <w:rPr>
          <w:rFonts w:ascii="Century Schoolbook" w:hAnsi="Century Schoolbook"/>
        </w:rPr>
        <w:t>section 7160</w:t>
      </w:r>
      <w:r w:rsidR="00715199" w:rsidRPr="00AD7DA6">
        <w:rPr>
          <w:rFonts w:ascii="Century Schoolbook" w:hAnsi="Century Schoolbook"/>
        </w:rPr>
        <w:t xml:space="preserve">. </w:t>
      </w:r>
      <w:r w:rsidR="008E3D6D" w:rsidRPr="00AD7DA6">
        <w:rPr>
          <w:rFonts w:ascii="Century Schoolbook" w:hAnsi="Century Schoolbook"/>
        </w:rPr>
        <w:t xml:space="preserve"> </w:t>
      </w:r>
      <w:r w:rsidR="00715199" w:rsidRPr="00AD7DA6">
        <w:rPr>
          <w:rFonts w:ascii="Century Schoolbook" w:hAnsi="Century Schoolbook"/>
        </w:rPr>
        <w:t xml:space="preserve">“Although this court has the power to fix attorney fees on appeal, the better practice is to have the trial court determine such fees </w:t>
      </w:r>
      <w:r w:rsidR="009166F1" w:rsidRPr="00AD7DA6">
        <w:rPr>
          <w:rFonts w:ascii="Century Schoolbook" w:hAnsi="Century Schoolbook"/>
        </w:rPr>
        <w:t>. . . </w:t>
      </w:r>
      <w:r w:rsidR="00715199" w:rsidRPr="00AD7DA6">
        <w:rPr>
          <w:rFonts w:ascii="Century Schoolbook" w:hAnsi="Century Schoolbook"/>
        </w:rPr>
        <w:t xml:space="preserve">.” </w:t>
      </w:r>
      <w:r w:rsidR="008E3D6D" w:rsidRPr="00AD7DA6">
        <w:rPr>
          <w:rFonts w:ascii="Century Schoolbook" w:hAnsi="Century Schoolbook"/>
        </w:rPr>
        <w:t xml:space="preserve"> </w:t>
      </w:r>
      <w:r w:rsidR="00715199" w:rsidRPr="00AD7DA6">
        <w:rPr>
          <w:rFonts w:ascii="Century Schoolbook" w:hAnsi="Century Schoolbook"/>
        </w:rPr>
        <w:t>(</w:t>
      </w:r>
      <w:r w:rsidR="00715199" w:rsidRPr="00AD7DA6">
        <w:rPr>
          <w:rFonts w:ascii="Century Schoolbook" w:hAnsi="Century Schoolbook"/>
          <w:i/>
        </w:rPr>
        <w:t>Security Pacific National Bank v. Adamo</w:t>
      </w:r>
      <w:r w:rsidR="00715199" w:rsidRPr="00AD7DA6">
        <w:rPr>
          <w:rFonts w:ascii="Century Schoolbook" w:hAnsi="Century Schoolbook"/>
        </w:rPr>
        <w:t xml:space="preserve"> (1983) 142 Cal.App.3d 492, 498.)</w:t>
      </w:r>
    </w:p>
    <w:p w14:paraId="2427A996" w14:textId="77777777" w:rsidR="00B45695" w:rsidRPr="004C1D40" w:rsidRDefault="00B45695" w:rsidP="00B45695">
      <w:pPr>
        <w:spacing w:line="360" w:lineRule="auto"/>
        <w:jc w:val="center"/>
        <w:rPr>
          <w:rFonts w:ascii="Century Schoolbook" w:hAnsi="Century Schoolbook"/>
          <w:b/>
          <w:bCs/>
        </w:rPr>
      </w:pPr>
      <w:r w:rsidRPr="004C1D40">
        <w:rPr>
          <w:rFonts w:ascii="Century Schoolbook" w:hAnsi="Century Schoolbook"/>
          <w:b/>
          <w:bCs/>
        </w:rPr>
        <w:t>DISPOSITION</w:t>
      </w:r>
    </w:p>
    <w:p w14:paraId="20A192D2" w14:textId="08470DF5" w:rsidR="00B45695" w:rsidRPr="00AD7DA6" w:rsidRDefault="00B45695" w:rsidP="00436A43">
      <w:pPr>
        <w:spacing w:line="360" w:lineRule="auto"/>
        <w:rPr>
          <w:rFonts w:ascii="Century Schoolbook" w:hAnsi="Century Schoolbook"/>
        </w:rPr>
      </w:pPr>
      <w:r w:rsidRPr="00AD7DA6">
        <w:rPr>
          <w:rFonts w:ascii="Century Schoolbook" w:hAnsi="Century Schoolbook"/>
        </w:rPr>
        <w:tab/>
        <w:t>The judgment is affirmed.</w:t>
      </w:r>
      <w:r w:rsidR="008E3D6D" w:rsidRPr="00AD7DA6">
        <w:rPr>
          <w:rFonts w:ascii="Century Schoolbook" w:hAnsi="Century Schoolbook"/>
        </w:rPr>
        <w:t xml:space="preserve">  The matter is remanded to the trial court for its determination of an award to Moore of attorney fees on appeal.  Moore is entitled to costs on appeal.</w:t>
      </w:r>
    </w:p>
    <w:p w14:paraId="17A9B875" w14:textId="77777777" w:rsidR="00C648C5" w:rsidRPr="00AD7DA6" w:rsidRDefault="00C648C5" w:rsidP="00330F8F">
      <w:pPr>
        <w:spacing w:line="360" w:lineRule="auto"/>
        <w:rPr>
          <w:rFonts w:ascii="Century Schoolbook" w:hAnsi="Century Schoolbook"/>
        </w:rPr>
        <w:sectPr w:rsidR="00C648C5" w:rsidRPr="00AD7DA6" w:rsidSect="00514AB4">
          <w:footerReference w:type="even" r:id="rId8"/>
          <w:footerReference w:type="default" r:id="rId9"/>
          <w:pgSz w:w="12240" w:h="15840"/>
          <w:pgMar w:top="1440" w:right="1440" w:bottom="1440" w:left="1440" w:header="720" w:footer="720" w:gutter="0"/>
          <w:cols w:space="720"/>
          <w:docGrid w:linePitch="360"/>
        </w:sectPr>
      </w:pPr>
    </w:p>
    <w:p w14:paraId="60AD35CF" w14:textId="33F4968F" w:rsidR="007E189C" w:rsidRPr="00AD7DA6" w:rsidRDefault="007E189C" w:rsidP="001E4BC3">
      <w:pPr>
        <w:spacing w:line="240" w:lineRule="auto"/>
        <w:rPr>
          <w:rFonts w:ascii="Century Schoolbook" w:hAnsi="Century Schoolbook"/>
        </w:rPr>
      </w:pPr>
    </w:p>
    <w:p w14:paraId="4940C603" w14:textId="7A3F3825" w:rsidR="001E4BC3" w:rsidRPr="00AD7DA6" w:rsidRDefault="001E4BC3" w:rsidP="001E4BC3">
      <w:pPr>
        <w:spacing w:line="240" w:lineRule="auto"/>
        <w:rPr>
          <w:rFonts w:ascii="Century Schoolbook" w:hAnsi="Century Schoolbook"/>
        </w:rPr>
      </w:pP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t>_________________________</w:t>
      </w:r>
    </w:p>
    <w:p w14:paraId="6659D927" w14:textId="7CC513F2" w:rsidR="001E4BC3" w:rsidRPr="00AD7DA6" w:rsidRDefault="001E4BC3" w:rsidP="001E4BC3">
      <w:pPr>
        <w:spacing w:line="240" w:lineRule="auto"/>
        <w:rPr>
          <w:rFonts w:ascii="Century Schoolbook" w:hAnsi="Century Schoolbook"/>
        </w:rPr>
      </w:pP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r>
      <w:r w:rsidRPr="00AD7DA6">
        <w:rPr>
          <w:rFonts w:ascii="Century Schoolbook" w:hAnsi="Century Schoolbook"/>
        </w:rPr>
        <w:tab/>
        <w:t>Sanchez, J.</w:t>
      </w:r>
    </w:p>
    <w:p w14:paraId="2F9B213A" w14:textId="6D5680B7" w:rsidR="001E4BC3" w:rsidRPr="00AD7DA6" w:rsidRDefault="001E4BC3" w:rsidP="001E4BC3">
      <w:pPr>
        <w:spacing w:line="240" w:lineRule="auto"/>
        <w:rPr>
          <w:rFonts w:ascii="Century Schoolbook" w:hAnsi="Century Schoolbook"/>
        </w:rPr>
      </w:pPr>
    </w:p>
    <w:p w14:paraId="2A94D3BC" w14:textId="2A8B9277" w:rsidR="001E4BC3" w:rsidRPr="00AD7DA6" w:rsidRDefault="001E4BC3" w:rsidP="001E4BC3">
      <w:pPr>
        <w:spacing w:line="240" w:lineRule="auto"/>
        <w:rPr>
          <w:rFonts w:ascii="Century Schoolbook" w:hAnsi="Century Schoolbook"/>
        </w:rPr>
      </w:pPr>
    </w:p>
    <w:p w14:paraId="477E976D" w14:textId="0BE46D1A" w:rsidR="001E4BC3" w:rsidRPr="00AD7DA6" w:rsidRDefault="001E4BC3" w:rsidP="001E4BC3">
      <w:pPr>
        <w:spacing w:line="240" w:lineRule="auto"/>
        <w:rPr>
          <w:rFonts w:ascii="Century Schoolbook" w:hAnsi="Century Schoolbook"/>
        </w:rPr>
      </w:pPr>
      <w:r w:rsidRPr="00AD7DA6">
        <w:rPr>
          <w:rFonts w:ascii="Century Schoolbook" w:hAnsi="Century Schoolbook"/>
        </w:rPr>
        <w:t>WE CONCUR:</w:t>
      </w:r>
    </w:p>
    <w:p w14:paraId="553A3DE9" w14:textId="3665E7B7" w:rsidR="001E4BC3" w:rsidRPr="00AD7DA6" w:rsidRDefault="001E4BC3" w:rsidP="001E4BC3">
      <w:pPr>
        <w:spacing w:line="240" w:lineRule="auto"/>
        <w:rPr>
          <w:rFonts w:ascii="Century Schoolbook" w:hAnsi="Century Schoolbook"/>
        </w:rPr>
      </w:pPr>
    </w:p>
    <w:p w14:paraId="7E7729AC" w14:textId="3C86B5A7" w:rsidR="001E4BC3" w:rsidRPr="00AD7DA6" w:rsidRDefault="001E4BC3" w:rsidP="001E4BC3">
      <w:pPr>
        <w:spacing w:line="240" w:lineRule="auto"/>
        <w:rPr>
          <w:rFonts w:ascii="Century Schoolbook" w:hAnsi="Century Schoolbook"/>
        </w:rPr>
      </w:pPr>
    </w:p>
    <w:p w14:paraId="16F39F69" w14:textId="33A5C102" w:rsidR="001E4BC3" w:rsidRPr="00AD7DA6" w:rsidRDefault="001E4BC3" w:rsidP="001E4BC3">
      <w:pPr>
        <w:spacing w:line="240" w:lineRule="auto"/>
        <w:rPr>
          <w:rFonts w:ascii="Century Schoolbook" w:hAnsi="Century Schoolbook"/>
        </w:rPr>
      </w:pPr>
      <w:r w:rsidRPr="00AD7DA6">
        <w:rPr>
          <w:rFonts w:ascii="Century Schoolbook" w:hAnsi="Century Schoolbook"/>
        </w:rPr>
        <w:t>_________________________</w:t>
      </w:r>
    </w:p>
    <w:p w14:paraId="78EA2D75" w14:textId="36530B1D" w:rsidR="001E4BC3" w:rsidRPr="00AD7DA6" w:rsidRDefault="001E4BC3" w:rsidP="001E4BC3">
      <w:pPr>
        <w:spacing w:line="240" w:lineRule="auto"/>
        <w:rPr>
          <w:rFonts w:ascii="Century Schoolbook" w:hAnsi="Century Schoolbook"/>
        </w:rPr>
      </w:pPr>
      <w:r w:rsidRPr="00AD7DA6">
        <w:rPr>
          <w:rFonts w:ascii="Century Schoolbook" w:hAnsi="Century Schoolbook"/>
        </w:rPr>
        <w:t>Humes, P.J.</w:t>
      </w:r>
    </w:p>
    <w:p w14:paraId="2ADE350C" w14:textId="29A5DB36" w:rsidR="001E4BC3" w:rsidRPr="00AD7DA6" w:rsidRDefault="001E4BC3" w:rsidP="001E4BC3">
      <w:pPr>
        <w:spacing w:line="240" w:lineRule="auto"/>
        <w:rPr>
          <w:rFonts w:ascii="Century Schoolbook" w:hAnsi="Century Schoolbook"/>
        </w:rPr>
      </w:pPr>
    </w:p>
    <w:p w14:paraId="5AD775E4" w14:textId="16D28C6A" w:rsidR="001E4BC3" w:rsidRPr="00AD7DA6" w:rsidRDefault="001E4BC3" w:rsidP="001E4BC3">
      <w:pPr>
        <w:spacing w:line="240" w:lineRule="auto"/>
        <w:rPr>
          <w:rFonts w:ascii="Century Schoolbook" w:hAnsi="Century Schoolbook"/>
        </w:rPr>
      </w:pPr>
    </w:p>
    <w:p w14:paraId="26617728" w14:textId="197CA231" w:rsidR="001E4BC3" w:rsidRPr="00AD7DA6" w:rsidRDefault="001E4BC3" w:rsidP="001E4BC3">
      <w:pPr>
        <w:spacing w:line="240" w:lineRule="auto"/>
        <w:rPr>
          <w:rFonts w:ascii="Century Schoolbook" w:hAnsi="Century Schoolbook"/>
        </w:rPr>
      </w:pPr>
      <w:r w:rsidRPr="00AD7DA6">
        <w:rPr>
          <w:rFonts w:ascii="Century Schoolbook" w:hAnsi="Century Schoolbook"/>
        </w:rPr>
        <w:t>_________________________</w:t>
      </w:r>
    </w:p>
    <w:p w14:paraId="5D66F383" w14:textId="2754E6EC" w:rsidR="001E4BC3" w:rsidRPr="00AD7DA6" w:rsidRDefault="001E4BC3" w:rsidP="001E4BC3">
      <w:pPr>
        <w:spacing w:line="240" w:lineRule="auto"/>
        <w:rPr>
          <w:rFonts w:ascii="Century Schoolbook" w:hAnsi="Century Schoolbook"/>
        </w:rPr>
      </w:pPr>
      <w:r w:rsidRPr="00AD7DA6">
        <w:rPr>
          <w:rFonts w:ascii="Century Schoolbook" w:hAnsi="Century Schoolbook"/>
        </w:rPr>
        <w:t>Margulies, J.</w:t>
      </w:r>
    </w:p>
    <w:p w14:paraId="7F2BC3B2" w14:textId="4CFF8D4F" w:rsidR="001E4BC3" w:rsidRPr="00AD7DA6" w:rsidRDefault="001E4BC3" w:rsidP="001E4BC3">
      <w:pPr>
        <w:spacing w:line="240" w:lineRule="auto"/>
        <w:rPr>
          <w:rFonts w:ascii="Century Schoolbook" w:hAnsi="Century Schoolbook"/>
        </w:rPr>
      </w:pPr>
    </w:p>
    <w:p w14:paraId="02DCDD1B" w14:textId="6E1AFA45" w:rsidR="001E4BC3" w:rsidRPr="00AD7DA6" w:rsidRDefault="001E4BC3" w:rsidP="001E4BC3">
      <w:pPr>
        <w:spacing w:line="240" w:lineRule="auto"/>
        <w:rPr>
          <w:rFonts w:ascii="Century Schoolbook" w:hAnsi="Century Schoolbook"/>
        </w:rPr>
      </w:pPr>
    </w:p>
    <w:p w14:paraId="1C002261" w14:textId="4C33B0A4" w:rsidR="001E4BC3" w:rsidRPr="00AD7DA6" w:rsidRDefault="001E4BC3" w:rsidP="001E4BC3">
      <w:pPr>
        <w:spacing w:line="240" w:lineRule="auto"/>
        <w:rPr>
          <w:rFonts w:ascii="Century Schoolbook" w:hAnsi="Century Schoolbook"/>
        </w:rPr>
      </w:pPr>
    </w:p>
    <w:p w14:paraId="760C4F67" w14:textId="514F1BBA" w:rsidR="001E4BC3" w:rsidRPr="00AD7DA6" w:rsidRDefault="001E4BC3" w:rsidP="001E4BC3">
      <w:pPr>
        <w:spacing w:line="240" w:lineRule="auto"/>
        <w:rPr>
          <w:rFonts w:ascii="Century Schoolbook" w:hAnsi="Century Schoolbook"/>
        </w:rPr>
      </w:pPr>
    </w:p>
    <w:p w14:paraId="62E78B68" w14:textId="67DBF0A4" w:rsidR="001E4BC3" w:rsidRPr="00AD7DA6" w:rsidRDefault="001E4BC3" w:rsidP="001E4BC3">
      <w:pPr>
        <w:spacing w:line="240" w:lineRule="auto"/>
        <w:rPr>
          <w:rFonts w:ascii="Century Schoolbook" w:hAnsi="Century Schoolbook"/>
        </w:rPr>
      </w:pPr>
    </w:p>
    <w:p w14:paraId="7BABB7F0" w14:textId="05BC75C4" w:rsidR="001E4BC3" w:rsidRPr="00AD7DA6" w:rsidRDefault="001E4BC3" w:rsidP="001E4BC3">
      <w:pPr>
        <w:spacing w:line="240" w:lineRule="auto"/>
        <w:rPr>
          <w:rFonts w:ascii="Century Schoolbook" w:hAnsi="Century Schoolbook"/>
        </w:rPr>
      </w:pPr>
    </w:p>
    <w:p w14:paraId="29FE922F" w14:textId="263ACE79" w:rsidR="001E4BC3" w:rsidRPr="00AD7DA6" w:rsidRDefault="001E4BC3" w:rsidP="001E4BC3">
      <w:pPr>
        <w:spacing w:line="240" w:lineRule="auto"/>
        <w:rPr>
          <w:rFonts w:ascii="Century Schoolbook" w:hAnsi="Century Schoolbook"/>
        </w:rPr>
      </w:pPr>
    </w:p>
    <w:p w14:paraId="390FB0AE" w14:textId="29F9C9F2" w:rsidR="001E4BC3" w:rsidRPr="00AD7DA6" w:rsidRDefault="001E4BC3" w:rsidP="001E4BC3">
      <w:pPr>
        <w:spacing w:line="240" w:lineRule="auto"/>
        <w:rPr>
          <w:rFonts w:ascii="Century Schoolbook" w:hAnsi="Century Schoolbook"/>
        </w:rPr>
      </w:pPr>
    </w:p>
    <w:p w14:paraId="6EC50E5F" w14:textId="18C53AF7" w:rsidR="001E4BC3" w:rsidRPr="00AD7DA6" w:rsidRDefault="001E4BC3" w:rsidP="001E4BC3">
      <w:pPr>
        <w:spacing w:line="240" w:lineRule="auto"/>
        <w:rPr>
          <w:rFonts w:ascii="Century Schoolbook" w:hAnsi="Century Schoolbook"/>
        </w:rPr>
      </w:pPr>
    </w:p>
    <w:p w14:paraId="6173D14C" w14:textId="333139F6" w:rsidR="001E4BC3" w:rsidRPr="00AD7DA6" w:rsidRDefault="001E4BC3" w:rsidP="001E4BC3">
      <w:pPr>
        <w:spacing w:line="240" w:lineRule="auto"/>
        <w:rPr>
          <w:rFonts w:ascii="Century Schoolbook" w:hAnsi="Century Schoolbook"/>
        </w:rPr>
      </w:pPr>
    </w:p>
    <w:p w14:paraId="028954AF" w14:textId="69826788" w:rsidR="001E4BC3" w:rsidRPr="00AD7DA6" w:rsidRDefault="001E4BC3" w:rsidP="001E4BC3">
      <w:pPr>
        <w:spacing w:line="240" w:lineRule="auto"/>
        <w:rPr>
          <w:rFonts w:ascii="Century Schoolbook" w:hAnsi="Century Schoolbook"/>
        </w:rPr>
      </w:pPr>
    </w:p>
    <w:p w14:paraId="4ACAC1D2" w14:textId="5F7A77F8" w:rsidR="001E4BC3" w:rsidRPr="00AD7DA6" w:rsidRDefault="001E4BC3" w:rsidP="001E4BC3">
      <w:pPr>
        <w:spacing w:line="240" w:lineRule="auto"/>
        <w:rPr>
          <w:rFonts w:ascii="Century Schoolbook" w:hAnsi="Century Schoolbook"/>
        </w:rPr>
      </w:pPr>
    </w:p>
    <w:p w14:paraId="78594766" w14:textId="1414F9E3" w:rsidR="001E4BC3" w:rsidRPr="00AD7DA6" w:rsidRDefault="001E4BC3" w:rsidP="001E4BC3">
      <w:pPr>
        <w:spacing w:line="240" w:lineRule="auto"/>
        <w:rPr>
          <w:rFonts w:ascii="Century Schoolbook" w:hAnsi="Century Schoolbook"/>
        </w:rPr>
      </w:pPr>
    </w:p>
    <w:p w14:paraId="03C32740" w14:textId="70C5750C" w:rsidR="001E4BC3" w:rsidRPr="00AD7DA6" w:rsidRDefault="001E4BC3" w:rsidP="001E4BC3">
      <w:pPr>
        <w:spacing w:line="240" w:lineRule="auto"/>
        <w:rPr>
          <w:rFonts w:ascii="Century Schoolbook" w:hAnsi="Century Schoolbook"/>
        </w:rPr>
      </w:pPr>
    </w:p>
    <w:p w14:paraId="62285368" w14:textId="401494F9" w:rsidR="001E4BC3" w:rsidRPr="00AD7DA6" w:rsidRDefault="001E4BC3" w:rsidP="001E4BC3">
      <w:pPr>
        <w:spacing w:line="240" w:lineRule="auto"/>
        <w:rPr>
          <w:rFonts w:ascii="Century Schoolbook" w:hAnsi="Century Schoolbook"/>
        </w:rPr>
      </w:pPr>
    </w:p>
    <w:p w14:paraId="70A3E647" w14:textId="5AC6191E" w:rsidR="001E4BC3" w:rsidRPr="00AD7DA6" w:rsidRDefault="001E4BC3" w:rsidP="001E4BC3">
      <w:pPr>
        <w:spacing w:line="240" w:lineRule="auto"/>
        <w:rPr>
          <w:rFonts w:ascii="Century Schoolbook" w:hAnsi="Century Schoolbook"/>
        </w:rPr>
      </w:pPr>
    </w:p>
    <w:p w14:paraId="7CBE8051" w14:textId="334D9D43" w:rsidR="001E4BC3" w:rsidRPr="00AD7DA6" w:rsidRDefault="001E4BC3" w:rsidP="001E4BC3">
      <w:pPr>
        <w:spacing w:line="240" w:lineRule="auto"/>
        <w:rPr>
          <w:rFonts w:ascii="Century Schoolbook" w:hAnsi="Century Schoolbook"/>
        </w:rPr>
      </w:pPr>
    </w:p>
    <w:p w14:paraId="4396D44E" w14:textId="0C5B7A53" w:rsidR="001E4BC3" w:rsidRPr="00AD7DA6" w:rsidRDefault="001E4BC3" w:rsidP="001E4BC3">
      <w:pPr>
        <w:spacing w:line="240" w:lineRule="auto"/>
        <w:rPr>
          <w:rFonts w:ascii="Century Schoolbook" w:hAnsi="Century Schoolbook"/>
        </w:rPr>
      </w:pPr>
    </w:p>
    <w:p w14:paraId="2C70684B" w14:textId="6F5DCA2D" w:rsidR="001E4BC3" w:rsidRPr="00AD7DA6" w:rsidRDefault="001E4BC3" w:rsidP="001E4BC3">
      <w:pPr>
        <w:spacing w:line="240" w:lineRule="auto"/>
        <w:rPr>
          <w:rFonts w:ascii="Century Schoolbook" w:hAnsi="Century Schoolbook"/>
        </w:rPr>
      </w:pPr>
    </w:p>
    <w:p w14:paraId="7C2224BE" w14:textId="44E88BBA" w:rsidR="001E4BC3" w:rsidRPr="00AD7DA6" w:rsidRDefault="001E4BC3" w:rsidP="001E4BC3">
      <w:pPr>
        <w:spacing w:line="240" w:lineRule="auto"/>
        <w:rPr>
          <w:rFonts w:ascii="Century Schoolbook" w:hAnsi="Century Schoolbook"/>
        </w:rPr>
      </w:pPr>
    </w:p>
    <w:p w14:paraId="28453E68" w14:textId="0377DB79" w:rsidR="001E4BC3" w:rsidRPr="00AD7DA6" w:rsidRDefault="001E4BC3" w:rsidP="001E4BC3">
      <w:pPr>
        <w:spacing w:line="240" w:lineRule="auto"/>
        <w:rPr>
          <w:rFonts w:ascii="Century Schoolbook" w:hAnsi="Century Schoolbook"/>
        </w:rPr>
      </w:pPr>
    </w:p>
    <w:p w14:paraId="282B7392" w14:textId="25FD6DE0" w:rsidR="001E4BC3" w:rsidRPr="00AD7DA6" w:rsidRDefault="001E4BC3" w:rsidP="001E4BC3">
      <w:pPr>
        <w:spacing w:line="240" w:lineRule="auto"/>
        <w:rPr>
          <w:rFonts w:ascii="Century Schoolbook" w:hAnsi="Century Schoolbook"/>
        </w:rPr>
      </w:pPr>
    </w:p>
    <w:p w14:paraId="066CE8F2" w14:textId="1B3132BB" w:rsidR="001E4BC3" w:rsidRPr="00AD7DA6" w:rsidRDefault="001E4BC3" w:rsidP="001E4BC3">
      <w:pPr>
        <w:spacing w:line="240" w:lineRule="auto"/>
        <w:rPr>
          <w:rFonts w:ascii="Century Schoolbook" w:hAnsi="Century Schoolbook"/>
        </w:rPr>
      </w:pPr>
    </w:p>
    <w:p w14:paraId="4973E6DB" w14:textId="7E6C3EDD" w:rsidR="001E4BC3" w:rsidRPr="00AD7DA6" w:rsidRDefault="001E4BC3" w:rsidP="001E4BC3">
      <w:pPr>
        <w:spacing w:line="240" w:lineRule="auto"/>
        <w:rPr>
          <w:rFonts w:ascii="Century Schoolbook" w:hAnsi="Century Schoolbook"/>
        </w:rPr>
      </w:pPr>
    </w:p>
    <w:p w14:paraId="19B4A64A" w14:textId="425C1E0E" w:rsidR="001E4BC3" w:rsidRPr="00AD7DA6" w:rsidRDefault="001E4BC3" w:rsidP="001E4BC3">
      <w:pPr>
        <w:spacing w:line="240" w:lineRule="auto"/>
        <w:rPr>
          <w:rFonts w:ascii="Century Schoolbook" w:hAnsi="Century Schoolbook"/>
        </w:rPr>
      </w:pPr>
    </w:p>
    <w:p w14:paraId="62F9C943" w14:textId="23AB08CD" w:rsidR="001E4BC3" w:rsidRPr="00AD7DA6" w:rsidRDefault="001E4BC3" w:rsidP="001E4BC3">
      <w:pPr>
        <w:spacing w:line="240" w:lineRule="auto"/>
        <w:rPr>
          <w:rFonts w:ascii="Century Schoolbook" w:hAnsi="Century Schoolbook"/>
        </w:rPr>
      </w:pPr>
    </w:p>
    <w:p w14:paraId="4677EC8F" w14:textId="77777777" w:rsidR="004B06E2" w:rsidRDefault="001E4BC3" w:rsidP="001E4BC3">
      <w:pPr>
        <w:spacing w:line="240" w:lineRule="auto"/>
        <w:rPr>
          <w:rFonts w:ascii="Century Schoolbook" w:hAnsi="Century Schoolbook"/>
          <w:i/>
          <w:iCs/>
          <w:sz w:val="22"/>
          <w:szCs w:val="22"/>
        </w:rPr>
        <w:sectPr w:rsidR="004B06E2" w:rsidSect="00514AB4">
          <w:pgSz w:w="12240" w:h="15840"/>
          <w:pgMar w:top="1440" w:right="1440" w:bottom="1440" w:left="1440" w:header="720" w:footer="720" w:gutter="0"/>
          <w:cols w:space="720"/>
          <w:docGrid w:linePitch="360"/>
        </w:sectPr>
      </w:pPr>
      <w:r w:rsidRPr="00AD7DA6">
        <w:rPr>
          <w:rFonts w:ascii="Century Schoolbook" w:hAnsi="Century Schoolbook"/>
          <w:i/>
          <w:iCs/>
          <w:sz w:val="22"/>
          <w:szCs w:val="22"/>
        </w:rPr>
        <w:t>A</w:t>
      </w:r>
      <w:r w:rsidR="00AA7F0B" w:rsidRPr="00AD7DA6">
        <w:rPr>
          <w:rFonts w:ascii="Century Schoolbook" w:hAnsi="Century Schoolbook"/>
          <w:i/>
          <w:iCs/>
          <w:sz w:val="22"/>
          <w:szCs w:val="22"/>
        </w:rPr>
        <w:t>153523  Moore v. Teed</w:t>
      </w:r>
    </w:p>
    <w:p w14:paraId="73FFCF8C" w14:textId="088E0F9F" w:rsidR="00241C6D" w:rsidRPr="008C429F" w:rsidRDefault="00241C6D" w:rsidP="00241C6D">
      <w:pPr>
        <w:tabs>
          <w:tab w:val="left" w:pos="2160"/>
        </w:tabs>
        <w:spacing w:line="240" w:lineRule="auto"/>
        <w:rPr>
          <w:rFonts w:ascii="Century Schoolbook" w:eastAsia="Calibri" w:hAnsi="Century Schoolbook"/>
        </w:rPr>
      </w:pPr>
      <w:r w:rsidRPr="008C429F">
        <w:rPr>
          <w:rFonts w:ascii="Century Schoolbook" w:eastAsia="Calibri" w:hAnsi="Century Schoolbook"/>
        </w:rPr>
        <w:lastRenderedPageBreak/>
        <w:t>Trial Court:</w:t>
      </w:r>
      <w:r w:rsidRPr="008C429F">
        <w:rPr>
          <w:rFonts w:ascii="Century Schoolbook" w:eastAsia="Calibri" w:hAnsi="Century Schoolbook"/>
        </w:rPr>
        <w:tab/>
      </w:r>
      <w:r w:rsidR="00DD1130" w:rsidRPr="008C429F">
        <w:rPr>
          <w:rFonts w:ascii="Century Schoolbook" w:eastAsia="Calibri" w:hAnsi="Century Schoolbook"/>
        </w:rPr>
        <w:t xml:space="preserve">San Francisco </w:t>
      </w:r>
      <w:r w:rsidRPr="008C429F">
        <w:rPr>
          <w:rFonts w:ascii="Century Schoolbook" w:eastAsia="Calibri" w:hAnsi="Century Schoolbook"/>
        </w:rPr>
        <w:t>County Superior Court</w:t>
      </w:r>
    </w:p>
    <w:p w14:paraId="37CA1C9B" w14:textId="77777777" w:rsidR="00241C6D" w:rsidRPr="008C429F" w:rsidRDefault="00241C6D" w:rsidP="00241C6D">
      <w:pPr>
        <w:spacing w:line="240" w:lineRule="auto"/>
        <w:rPr>
          <w:rFonts w:ascii="Century Schoolbook" w:eastAsia="Calibri" w:hAnsi="Century Schoolbook"/>
        </w:rPr>
      </w:pPr>
    </w:p>
    <w:p w14:paraId="42D35141" w14:textId="1CD2B529" w:rsidR="005B2840" w:rsidRPr="008C429F" w:rsidRDefault="00241C6D" w:rsidP="001D5568">
      <w:pPr>
        <w:tabs>
          <w:tab w:val="left" w:pos="2160"/>
        </w:tabs>
        <w:spacing w:line="240" w:lineRule="auto"/>
        <w:ind w:left="2160" w:hanging="2160"/>
        <w:rPr>
          <w:rFonts w:ascii="Century Schoolbook" w:eastAsia="Calibri" w:hAnsi="Century Schoolbook"/>
        </w:rPr>
      </w:pPr>
      <w:r w:rsidRPr="008C429F">
        <w:rPr>
          <w:rFonts w:ascii="Century Schoolbook" w:eastAsia="Calibri" w:hAnsi="Century Schoolbook"/>
        </w:rPr>
        <w:t>Trial Judge</w:t>
      </w:r>
      <w:r w:rsidR="005B2840" w:rsidRPr="008C429F">
        <w:rPr>
          <w:rFonts w:ascii="Century Schoolbook" w:eastAsia="Calibri" w:hAnsi="Century Schoolbook"/>
        </w:rPr>
        <w:t>s</w:t>
      </w:r>
      <w:r w:rsidRPr="008C429F">
        <w:rPr>
          <w:rFonts w:ascii="Century Schoolbook" w:eastAsia="Calibri" w:hAnsi="Century Schoolbook"/>
        </w:rPr>
        <w:t>:</w:t>
      </w:r>
      <w:r w:rsidRPr="008C429F">
        <w:rPr>
          <w:rFonts w:ascii="Century Schoolbook" w:eastAsia="Calibri" w:hAnsi="Century Schoolbook"/>
        </w:rPr>
        <w:tab/>
        <w:t xml:space="preserve">Hon. </w:t>
      </w:r>
      <w:r w:rsidR="001D793A" w:rsidRPr="008C429F">
        <w:rPr>
          <w:rFonts w:ascii="Century Schoolbook" w:eastAsia="Calibri" w:hAnsi="Century Schoolbook"/>
        </w:rPr>
        <w:t>Richard B. Ulmer</w:t>
      </w:r>
      <w:r w:rsidR="0063278B">
        <w:rPr>
          <w:rFonts w:ascii="Century Schoolbook" w:eastAsia="Calibri" w:hAnsi="Century Schoolbook"/>
        </w:rPr>
        <w:t>, Jr.</w:t>
      </w:r>
    </w:p>
    <w:p w14:paraId="2F8D750B" w14:textId="77777777" w:rsidR="00A02F59" w:rsidRPr="008C429F" w:rsidRDefault="00A02F59" w:rsidP="001D5568">
      <w:pPr>
        <w:tabs>
          <w:tab w:val="left" w:pos="2160"/>
        </w:tabs>
        <w:spacing w:line="240" w:lineRule="auto"/>
        <w:ind w:left="2160" w:hanging="2160"/>
        <w:rPr>
          <w:rFonts w:ascii="Century Schoolbook" w:eastAsia="Calibri" w:hAnsi="Century Schoolbook"/>
        </w:rPr>
      </w:pPr>
    </w:p>
    <w:p w14:paraId="3773E6A7" w14:textId="77777777" w:rsidR="00241C6D" w:rsidRPr="008C429F" w:rsidRDefault="00241C6D" w:rsidP="00241C6D">
      <w:pPr>
        <w:spacing w:line="240" w:lineRule="auto"/>
        <w:ind w:firstLine="720"/>
        <w:rPr>
          <w:rFonts w:ascii="Century Schoolbook" w:eastAsia="Calibri" w:hAnsi="Century Schoolbook"/>
        </w:rPr>
      </w:pPr>
    </w:p>
    <w:p w14:paraId="74647672" w14:textId="77777777" w:rsidR="00241C6D" w:rsidRPr="008C429F" w:rsidRDefault="00241C6D" w:rsidP="00241C6D">
      <w:pPr>
        <w:spacing w:line="240" w:lineRule="auto"/>
        <w:rPr>
          <w:rFonts w:ascii="Century Schoolbook" w:eastAsia="Calibri" w:hAnsi="Century Schoolbook"/>
        </w:rPr>
      </w:pPr>
      <w:r w:rsidRPr="008C429F">
        <w:rPr>
          <w:rFonts w:ascii="Century Schoolbook" w:eastAsia="Calibri" w:hAnsi="Century Schoolbook"/>
        </w:rPr>
        <w:t xml:space="preserve">Counsel:  </w:t>
      </w:r>
    </w:p>
    <w:p w14:paraId="4D20F530" w14:textId="77777777" w:rsidR="00241C6D" w:rsidRPr="008C429F" w:rsidRDefault="00241C6D" w:rsidP="00241C6D">
      <w:pPr>
        <w:spacing w:line="240" w:lineRule="auto"/>
        <w:rPr>
          <w:rFonts w:ascii="Century Schoolbook" w:eastAsia="Calibri" w:hAnsi="Century Schoolbook"/>
        </w:rPr>
      </w:pPr>
    </w:p>
    <w:p w14:paraId="046B235C" w14:textId="44EB2DFB" w:rsidR="00241C6D" w:rsidRPr="008C429F" w:rsidRDefault="00241C6D" w:rsidP="00241C6D">
      <w:pPr>
        <w:spacing w:line="240" w:lineRule="auto"/>
        <w:rPr>
          <w:rFonts w:ascii="Century Schoolbook" w:hAnsi="Century Schoolbook"/>
          <w:szCs w:val="24"/>
        </w:rPr>
      </w:pPr>
      <w:r w:rsidRPr="008C429F">
        <w:rPr>
          <w:rFonts w:ascii="Century Schoolbook" w:eastAsia="Calibri" w:hAnsi="Century Schoolbook"/>
        </w:rPr>
        <w:tab/>
      </w:r>
      <w:r w:rsidR="00E208C6" w:rsidRPr="008C429F">
        <w:rPr>
          <w:rFonts w:ascii="Century Schoolbook" w:hAnsi="Century Schoolbook"/>
          <w:szCs w:val="24"/>
        </w:rPr>
        <w:t>California Appellate Law Group</w:t>
      </w:r>
      <w:r w:rsidR="000D701E" w:rsidRPr="008C429F">
        <w:rPr>
          <w:rFonts w:ascii="Century Schoolbook" w:hAnsi="Century Schoolbook"/>
          <w:szCs w:val="24"/>
        </w:rPr>
        <w:t xml:space="preserve">, Ben Feuer, Charles </w:t>
      </w:r>
      <w:proofErr w:type="spellStart"/>
      <w:r w:rsidR="000D701E" w:rsidRPr="008C429F">
        <w:rPr>
          <w:rFonts w:ascii="Century Schoolbook" w:hAnsi="Century Schoolbook"/>
          <w:szCs w:val="24"/>
        </w:rPr>
        <w:t>Kagay</w:t>
      </w:r>
      <w:proofErr w:type="spellEnd"/>
      <w:r w:rsidR="000D701E" w:rsidRPr="008C429F">
        <w:rPr>
          <w:rFonts w:ascii="Century Schoolbook" w:hAnsi="Century Schoolbook"/>
          <w:szCs w:val="24"/>
        </w:rPr>
        <w:t>, Sarah</w:t>
      </w:r>
      <w:r w:rsidR="00BF3924" w:rsidRPr="008C429F">
        <w:rPr>
          <w:rFonts w:ascii="Century Schoolbook" w:hAnsi="Century Schoolbook"/>
          <w:szCs w:val="24"/>
        </w:rPr>
        <w:t> </w:t>
      </w:r>
      <w:r w:rsidR="000D701E" w:rsidRPr="008C429F">
        <w:rPr>
          <w:rFonts w:ascii="Century Schoolbook" w:hAnsi="Century Schoolbook"/>
          <w:szCs w:val="24"/>
        </w:rPr>
        <w:t>K. Hofstadter</w:t>
      </w:r>
      <w:r w:rsidRPr="008C429F">
        <w:rPr>
          <w:rFonts w:ascii="Century Schoolbook" w:hAnsi="Century Schoolbook"/>
          <w:szCs w:val="24"/>
        </w:rPr>
        <w:t>, for Defendant and Appellant</w:t>
      </w:r>
    </w:p>
    <w:p w14:paraId="1D3829A3" w14:textId="77777777" w:rsidR="00241C6D" w:rsidRPr="008C429F" w:rsidRDefault="00241C6D" w:rsidP="00241C6D">
      <w:pPr>
        <w:spacing w:line="240" w:lineRule="auto"/>
        <w:rPr>
          <w:rFonts w:ascii="Century Schoolbook" w:hAnsi="Century Schoolbook"/>
          <w:sz w:val="24"/>
          <w:szCs w:val="24"/>
        </w:rPr>
      </w:pPr>
    </w:p>
    <w:p w14:paraId="77D2F483" w14:textId="5872CA91" w:rsidR="004B06E2" w:rsidRDefault="00241C6D" w:rsidP="008C429F">
      <w:pPr>
        <w:tabs>
          <w:tab w:val="clear" w:pos="720"/>
        </w:tabs>
        <w:autoSpaceDE w:val="0"/>
        <w:autoSpaceDN w:val="0"/>
        <w:adjustRightInd w:val="0"/>
        <w:spacing w:line="240" w:lineRule="auto"/>
        <w:rPr>
          <w:rFonts w:ascii="Century Schoolbook" w:hAnsi="Century Schoolbook"/>
        </w:rPr>
      </w:pPr>
      <w:r w:rsidRPr="008C429F">
        <w:rPr>
          <w:rFonts w:ascii="Century Schoolbook" w:hAnsi="Century Schoolbook"/>
        </w:rPr>
        <w:tab/>
      </w:r>
      <w:proofErr w:type="spellStart"/>
      <w:r w:rsidR="001C2694" w:rsidRPr="008C429F">
        <w:rPr>
          <w:rFonts w:ascii="Century Schoolbook" w:hAnsi="Century Schoolbook"/>
        </w:rPr>
        <w:t>Farella</w:t>
      </w:r>
      <w:proofErr w:type="spellEnd"/>
      <w:r w:rsidR="001C2694" w:rsidRPr="008C429F">
        <w:rPr>
          <w:rFonts w:ascii="Century Schoolbook" w:hAnsi="Century Schoolbook"/>
        </w:rPr>
        <w:t xml:space="preserve">, Braun + </w:t>
      </w:r>
      <w:proofErr w:type="spellStart"/>
      <w:r w:rsidR="001C2694" w:rsidRPr="008C429F">
        <w:rPr>
          <w:rFonts w:ascii="Century Schoolbook" w:hAnsi="Century Schoolbook"/>
        </w:rPr>
        <w:t>Marter</w:t>
      </w:r>
      <w:proofErr w:type="spellEnd"/>
      <w:r w:rsidR="001C2694" w:rsidRPr="008C429F">
        <w:rPr>
          <w:rFonts w:ascii="Century Schoolbook" w:hAnsi="Century Schoolbook"/>
        </w:rPr>
        <w:t xml:space="preserve">, Sandra A. Edwards; </w:t>
      </w:r>
      <w:proofErr w:type="spellStart"/>
      <w:r w:rsidR="001C2694" w:rsidRPr="008C429F">
        <w:rPr>
          <w:rFonts w:ascii="Century Schoolbook" w:hAnsi="Century Schoolbook"/>
        </w:rPr>
        <w:t>Greines</w:t>
      </w:r>
      <w:proofErr w:type="spellEnd"/>
      <w:r w:rsidR="001C2694" w:rsidRPr="008C429F">
        <w:rPr>
          <w:rFonts w:ascii="Century Schoolbook" w:hAnsi="Century Schoolbook"/>
        </w:rPr>
        <w:t>, Martin, Stein &amp; Richland</w:t>
      </w:r>
      <w:r w:rsidR="00D10186" w:rsidRPr="008C429F">
        <w:rPr>
          <w:rFonts w:ascii="Century Schoolbook" w:hAnsi="Century Schoolbook"/>
        </w:rPr>
        <w:t xml:space="preserve">, Laurie J. Hepler, for </w:t>
      </w:r>
      <w:r w:rsidRPr="008C429F">
        <w:rPr>
          <w:rFonts w:ascii="Century Schoolbook" w:hAnsi="Century Schoolbook" w:cs="TimesNewRomanPSMT"/>
        </w:rPr>
        <w:t>Plaintiff and Respondent</w:t>
      </w:r>
    </w:p>
    <w:p w14:paraId="46D1F5FD" w14:textId="0881245B" w:rsidR="008C429F" w:rsidRDefault="008C429F" w:rsidP="008C429F">
      <w:pPr>
        <w:tabs>
          <w:tab w:val="clear" w:pos="720"/>
        </w:tabs>
        <w:autoSpaceDE w:val="0"/>
        <w:autoSpaceDN w:val="0"/>
        <w:adjustRightInd w:val="0"/>
        <w:spacing w:line="240" w:lineRule="auto"/>
        <w:rPr>
          <w:rFonts w:ascii="Century Schoolbook" w:hAnsi="Century Schoolbook"/>
        </w:rPr>
      </w:pPr>
    </w:p>
    <w:p w14:paraId="5D5C66B6" w14:textId="6EED5DEF" w:rsidR="008C429F" w:rsidRDefault="008C429F" w:rsidP="008C429F">
      <w:pPr>
        <w:tabs>
          <w:tab w:val="clear" w:pos="720"/>
        </w:tabs>
        <w:autoSpaceDE w:val="0"/>
        <w:autoSpaceDN w:val="0"/>
        <w:adjustRightInd w:val="0"/>
        <w:spacing w:line="240" w:lineRule="auto"/>
        <w:rPr>
          <w:rFonts w:ascii="Century Schoolbook" w:hAnsi="Century Schoolbook"/>
        </w:rPr>
      </w:pPr>
    </w:p>
    <w:p w14:paraId="23397FBB" w14:textId="6FE5DD9B" w:rsidR="008C429F" w:rsidRDefault="008C429F" w:rsidP="008C429F">
      <w:pPr>
        <w:tabs>
          <w:tab w:val="clear" w:pos="720"/>
        </w:tabs>
        <w:autoSpaceDE w:val="0"/>
        <w:autoSpaceDN w:val="0"/>
        <w:adjustRightInd w:val="0"/>
        <w:spacing w:line="240" w:lineRule="auto"/>
        <w:rPr>
          <w:rFonts w:ascii="Century Schoolbook" w:hAnsi="Century Schoolbook"/>
        </w:rPr>
      </w:pPr>
    </w:p>
    <w:p w14:paraId="607377BF" w14:textId="48C5BEB7" w:rsidR="008C429F" w:rsidRDefault="008C429F" w:rsidP="008C429F">
      <w:pPr>
        <w:tabs>
          <w:tab w:val="clear" w:pos="720"/>
        </w:tabs>
        <w:autoSpaceDE w:val="0"/>
        <w:autoSpaceDN w:val="0"/>
        <w:adjustRightInd w:val="0"/>
        <w:spacing w:line="240" w:lineRule="auto"/>
        <w:rPr>
          <w:rFonts w:ascii="Century Schoolbook" w:hAnsi="Century Schoolbook"/>
        </w:rPr>
      </w:pPr>
    </w:p>
    <w:p w14:paraId="653254A2" w14:textId="56E5C91B" w:rsidR="008C429F" w:rsidRDefault="008C429F" w:rsidP="008C429F">
      <w:pPr>
        <w:tabs>
          <w:tab w:val="clear" w:pos="720"/>
        </w:tabs>
        <w:autoSpaceDE w:val="0"/>
        <w:autoSpaceDN w:val="0"/>
        <w:adjustRightInd w:val="0"/>
        <w:spacing w:line="240" w:lineRule="auto"/>
        <w:rPr>
          <w:rFonts w:ascii="Century Schoolbook" w:hAnsi="Century Schoolbook"/>
        </w:rPr>
      </w:pPr>
    </w:p>
    <w:p w14:paraId="4860ED1F" w14:textId="49758FB5" w:rsidR="008C429F" w:rsidRDefault="008C429F" w:rsidP="008C429F">
      <w:pPr>
        <w:tabs>
          <w:tab w:val="clear" w:pos="720"/>
        </w:tabs>
        <w:autoSpaceDE w:val="0"/>
        <w:autoSpaceDN w:val="0"/>
        <w:adjustRightInd w:val="0"/>
        <w:spacing w:line="240" w:lineRule="auto"/>
        <w:rPr>
          <w:rFonts w:ascii="Century Schoolbook" w:hAnsi="Century Schoolbook"/>
        </w:rPr>
      </w:pPr>
    </w:p>
    <w:p w14:paraId="3E16FD9A" w14:textId="130BD789" w:rsidR="008C429F" w:rsidRDefault="008C429F" w:rsidP="008C429F">
      <w:pPr>
        <w:tabs>
          <w:tab w:val="clear" w:pos="720"/>
        </w:tabs>
        <w:autoSpaceDE w:val="0"/>
        <w:autoSpaceDN w:val="0"/>
        <w:adjustRightInd w:val="0"/>
        <w:spacing w:line="240" w:lineRule="auto"/>
        <w:rPr>
          <w:rFonts w:ascii="Century Schoolbook" w:hAnsi="Century Schoolbook"/>
        </w:rPr>
      </w:pPr>
    </w:p>
    <w:p w14:paraId="48586D66" w14:textId="0369B89A" w:rsidR="008C429F" w:rsidRDefault="008C429F" w:rsidP="008C429F">
      <w:pPr>
        <w:tabs>
          <w:tab w:val="clear" w:pos="720"/>
        </w:tabs>
        <w:autoSpaceDE w:val="0"/>
        <w:autoSpaceDN w:val="0"/>
        <w:adjustRightInd w:val="0"/>
        <w:spacing w:line="240" w:lineRule="auto"/>
        <w:rPr>
          <w:rFonts w:ascii="Century Schoolbook" w:hAnsi="Century Schoolbook"/>
        </w:rPr>
      </w:pPr>
    </w:p>
    <w:p w14:paraId="09DB978F" w14:textId="4851F17C" w:rsidR="008C429F" w:rsidRDefault="008C429F" w:rsidP="008C429F">
      <w:pPr>
        <w:tabs>
          <w:tab w:val="clear" w:pos="720"/>
        </w:tabs>
        <w:autoSpaceDE w:val="0"/>
        <w:autoSpaceDN w:val="0"/>
        <w:adjustRightInd w:val="0"/>
        <w:spacing w:line="240" w:lineRule="auto"/>
        <w:rPr>
          <w:rFonts w:ascii="Century Schoolbook" w:hAnsi="Century Schoolbook"/>
        </w:rPr>
      </w:pPr>
    </w:p>
    <w:p w14:paraId="0AAA0628" w14:textId="37BAD36B" w:rsidR="008C429F" w:rsidRDefault="008C429F" w:rsidP="008C429F">
      <w:pPr>
        <w:tabs>
          <w:tab w:val="clear" w:pos="720"/>
        </w:tabs>
        <w:autoSpaceDE w:val="0"/>
        <w:autoSpaceDN w:val="0"/>
        <w:adjustRightInd w:val="0"/>
        <w:spacing w:line="240" w:lineRule="auto"/>
        <w:rPr>
          <w:rFonts w:ascii="Century Schoolbook" w:hAnsi="Century Schoolbook"/>
        </w:rPr>
      </w:pPr>
    </w:p>
    <w:p w14:paraId="154D9421" w14:textId="5C386AD0" w:rsidR="008C429F" w:rsidRDefault="008C429F" w:rsidP="008C429F">
      <w:pPr>
        <w:tabs>
          <w:tab w:val="clear" w:pos="720"/>
        </w:tabs>
        <w:autoSpaceDE w:val="0"/>
        <w:autoSpaceDN w:val="0"/>
        <w:adjustRightInd w:val="0"/>
        <w:spacing w:line="240" w:lineRule="auto"/>
        <w:rPr>
          <w:rFonts w:ascii="Century Schoolbook" w:hAnsi="Century Schoolbook"/>
        </w:rPr>
      </w:pPr>
    </w:p>
    <w:p w14:paraId="7B668992" w14:textId="27B8A857" w:rsidR="008C429F" w:rsidRDefault="008C429F" w:rsidP="008C429F">
      <w:pPr>
        <w:tabs>
          <w:tab w:val="clear" w:pos="720"/>
        </w:tabs>
        <w:autoSpaceDE w:val="0"/>
        <w:autoSpaceDN w:val="0"/>
        <w:adjustRightInd w:val="0"/>
        <w:spacing w:line="240" w:lineRule="auto"/>
        <w:rPr>
          <w:rFonts w:ascii="Century Schoolbook" w:hAnsi="Century Schoolbook"/>
        </w:rPr>
      </w:pPr>
    </w:p>
    <w:p w14:paraId="721EE6A5" w14:textId="26834E5D" w:rsidR="008C429F" w:rsidRDefault="008C429F" w:rsidP="008C429F">
      <w:pPr>
        <w:tabs>
          <w:tab w:val="clear" w:pos="720"/>
        </w:tabs>
        <w:autoSpaceDE w:val="0"/>
        <w:autoSpaceDN w:val="0"/>
        <w:adjustRightInd w:val="0"/>
        <w:spacing w:line="240" w:lineRule="auto"/>
        <w:rPr>
          <w:rFonts w:ascii="Century Schoolbook" w:hAnsi="Century Schoolbook"/>
        </w:rPr>
      </w:pPr>
    </w:p>
    <w:p w14:paraId="16621A88" w14:textId="4CA09797" w:rsidR="008C429F" w:rsidRDefault="008C429F" w:rsidP="008C429F">
      <w:pPr>
        <w:tabs>
          <w:tab w:val="clear" w:pos="720"/>
        </w:tabs>
        <w:autoSpaceDE w:val="0"/>
        <w:autoSpaceDN w:val="0"/>
        <w:adjustRightInd w:val="0"/>
        <w:spacing w:line="240" w:lineRule="auto"/>
        <w:rPr>
          <w:rFonts w:ascii="Century Schoolbook" w:hAnsi="Century Schoolbook"/>
        </w:rPr>
      </w:pPr>
    </w:p>
    <w:p w14:paraId="47E460EF" w14:textId="1F678BF0" w:rsidR="008C429F" w:rsidRDefault="008C429F" w:rsidP="008C429F">
      <w:pPr>
        <w:tabs>
          <w:tab w:val="clear" w:pos="720"/>
        </w:tabs>
        <w:autoSpaceDE w:val="0"/>
        <w:autoSpaceDN w:val="0"/>
        <w:adjustRightInd w:val="0"/>
        <w:spacing w:line="240" w:lineRule="auto"/>
        <w:rPr>
          <w:rFonts w:ascii="Century Schoolbook" w:hAnsi="Century Schoolbook"/>
        </w:rPr>
      </w:pPr>
    </w:p>
    <w:p w14:paraId="62704B3B" w14:textId="0902F67F" w:rsidR="008C429F" w:rsidRDefault="008C429F" w:rsidP="008C429F">
      <w:pPr>
        <w:tabs>
          <w:tab w:val="clear" w:pos="720"/>
        </w:tabs>
        <w:autoSpaceDE w:val="0"/>
        <w:autoSpaceDN w:val="0"/>
        <w:adjustRightInd w:val="0"/>
        <w:spacing w:line="240" w:lineRule="auto"/>
        <w:rPr>
          <w:rFonts w:ascii="Century Schoolbook" w:hAnsi="Century Schoolbook"/>
        </w:rPr>
      </w:pPr>
    </w:p>
    <w:p w14:paraId="51B7145E" w14:textId="779536C2" w:rsidR="008C429F" w:rsidRDefault="008C429F" w:rsidP="008C429F">
      <w:pPr>
        <w:tabs>
          <w:tab w:val="clear" w:pos="720"/>
        </w:tabs>
        <w:autoSpaceDE w:val="0"/>
        <w:autoSpaceDN w:val="0"/>
        <w:adjustRightInd w:val="0"/>
        <w:spacing w:line="240" w:lineRule="auto"/>
        <w:rPr>
          <w:rFonts w:ascii="Century Schoolbook" w:hAnsi="Century Schoolbook"/>
        </w:rPr>
      </w:pPr>
    </w:p>
    <w:p w14:paraId="32629DCC" w14:textId="0C4C758D" w:rsidR="008C429F" w:rsidRDefault="008C429F" w:rsidP="008C429F">
      <w:pPr>
        <w:tabs>
          <w:tab w:val="clear" w:pos="720"/>
        </w:tabs>
        <w:autoSpaceDE w:val="0"/>
        <w:autoSpaceDN w:val="0"/>
        <w:adjustRightInd w:val="0"/>
        <w:spacing w:line="240" w:lineRule="auto"/>
        <w:rPr>
          <w:rFonts w:ascii="Century Schoolbook" w:hAnsi="Century Schoolbook"/>
        </w:rPr>
      </w:pPr>
    </w:p>
    <w:p w14:paraId="6C465EEA" w14:textId="62B415CA" w:rsidR="008C429F" w:rsidRDefault="008C429F" w:rsidP="008C429F">
      <w:pPr>
        <w:tabs>
          <w:tab w:val="clear" w:pos="720"/>
        </w:tabs>
        <w:autoSpaceDE w:val="0"/>
        <w:autoSpaceDN w:val="0"/>
        <w:adjustRightInd w:val="0"/>
        <w:spacing w:line="240" w:lineRule="auto"/>
        <w:rPr>
          <w:rFonts w:ascii="Century Schoolbook" w:hAnsi="Century Schoolbook"/>
        </w:rPr>
      </w:pPr>
    </w:p>
    <w:p w14:paraId="31B4DE0B" w14:textId="02B728E9" w:rsidR="008C429F" w:rsidRDefault="008C429F" w:rsidP="008C429F">
      <w:pPr>
        <w:tabs>
          <w:tab w:val="clear" w:pos="720"/>
        </w:tabs>
        <w:autoSpaceDE w:val="0"/>
        <w:autoSpaceDN w:val="0"/>
        <w:adjustRightInd w:val="0"/>
        <w:spacing w:line="240" w:lineRule="auto"/>
        <w:rPr>
          <w:rFonts w:ascii="Century Schoolbook" w:hAnsi="Century Schoolbook"/>
        </w:rPr>
      </w:pPr>
    </w:p>
    <w:p w14:paraId="47A92F1D" w14:textId="4081356B" w:rsidR="008C429F" w:rsidRDefault="008C429F" w:rsidP="008C429F">
      <w:pPr>
        <w:tabs>
          <w:tab w:val="clear" w:pos="720"/>
        </w:tabs>
        <w:autoSpaceDE w:val="0"/>
        <w:autoSpaceDN w:val="0"/>
        <w:adjustRightInd w:val="0"/>
        <w:spacing w:line="240" w:lineRule="auto"/>
        <w:rPr>
          <w:rFonts w:ascii="Century Schoolbook" w:hAnsi="Century Schoolbook"/>
        </w:rPr>
      </w:pPr>
    </w:p>
    <w:p w14:paraId="37EB1819" w14:textId="510842D5" w:rsidR="008C429F" w:rsidRDefault="008C429F" w:rsidP="008C429F">
      <w:pPr>
        <w:tabs>
          <w:tab w:val="clear" w:pos="720"/>
        </w:tabs>
        <w:autoSpaceDE w:val="0"/>
        <w:autoSpaceDN w:val="0"/>
        <w:adjustRightInd w:val="0"/>
        <w:spacing w:line="240" w:lineRule="auto"/>
        <w:rPr>
          <w:rFonts w:ascii="Century Schoolbook" w:hAnsi="Century Schoolbook"/>
        </w:rPr>
      </w:pPr>
    </w:p>
    <w:p w14:paraId="44F8D7B8" w14:textId="19788EBB" w:rsidR="008C429F" w:rsidRDefault="008C429F" w:rsidP="008C429F">
      <w:pPr>
        <w:tabs>
          <w:tab w:val="clear" w:pos="720"/>
        </w:tabs>
        <w:autoSpaceDE w:val="0"/>
        <w:autoSpaceDN w:val="0"/>
        <w:adjustRightInd w:val="0"/>
        <w:spacing w:line="240" w:lineRule="auto"/>
        <w:rPr>
          <w:rFonts w:ascii="Century Schoolbook" w:hAnsi="Century Schoolbook"/>
        </w:rPr>
      </w:pPr>
    </w:p>
    <w:p w14:paraId="41084A17" w14:textId="760F29FF" w:rsidR="008C429F" w:rsidRDefault="008C429F" w:rsidP="008C429F">
      <w:pPr>
        <w:tabs>
          <w:tab w:val="clear" w:pos="720"/>
        </w:tabs>
        <w:autoSpaceDE w:val="0"/>
        <w:autoSpaceDN w:val="0"/>
        <w:adjustRightInd w:val="0"/>
        <w:spacing w:line="240" w:lineRule="auto"/>
        <w:rPr>
          <w:rFonts w:ascii="Century Schoolbook" w:hAnsi="Century Schoolbook"/>
        </w:rPr>
      </w:pPr>
    </w:p>
    <w:p w14:paraId="3ECB0D14" w14:textId="6FC1D8C6" w:rsidR="008C429F" w:rsidRDefault="008C429F" w:rsidP="008C429F">
      <w:pPr>
        <w:tabs>
          <w:tab w:val="clear" w:pos="720"/>
        </w:tabs>
        <w:autoSpaceDE w:val="0"/>
        <w:autoSpaceDN w:val="0"/>
        <w:adjustRightInd w:val="0"/>
        <w:spacing w:line="240" w:lineRule="auto"/>
        <w:rPr>
          <w:rFonts w:ascii="Century Schoolbook" w:hAnsi="Century Schoolbook"/>
        </w:rPr>
      </w:pPr>
    </w:p>
    <w:p w14:paraId="7AA62361" w14:textId="52A83F64" w:rsidR="004A1623" w:rsidRDefault="004A1623" w:rsidP="008C429F">
      <w:pPr>
        <w:tabs>
          <w:tab w:val="clear" w:pos="720"/>
        </w:tabs>
        <w:autoSpaceDE w:val="0"/>
        <w:autoSpaceDN w:val="0"/>
        <w:adjustRightInd w:val="0"/>
        <w:spacing w:line="240" w:lineRule="auto"/>
        <w:rPr>
          <w:rFonts w:ascii="Century Schoolbook" w:hAnsi="Century Schoolbook"/>
        </w:rPr>
      </w:pPr>
    </w:p>
    <w:p w14:paraId="1B94C29C" w14:textId="6CE92838" w:rsidR="004A1623" w:rsidRDefault="004A1623" w:rsidP="008C429F">
      <w:pPr>
        <w:tabs>
          <w:tab w:val="clear" w:pos="720"/>
        </w:tabs>
        <w:autoSpaceDE w:val="0"/>
        <w:autoSpaceDN w:val="0"/>
        <w:adjustRightInd w:val="0"/>
        <w:spacing w:line="240" w:lineRule="auto"/>
        <w:rPr>
          <w:rFonts w:ascii="Century Schoolbook" w:hAnsi="Century Schoolbook"/>
        </w:rPr>
      </w:pPr>
    </w:p>
    <w:p w14:paraId="47B8D000" w14:textId="181059F5" w:rsidR="00195512" w:rsidRDefault="00195512" w:rsidP="008C429F">
      <w:pPr>
        <w:tabs>
          <w:tab w:val="clear" w:pos="720"/>
        </w:tabs>
        <w:autoSpaceDE w:val="0"/>
        <w:autoSpaceDN w:val="0"/>
        <w:adjustRightInd w:val="0"/>
        <w:spacing w:line="240" w:lineRule="auto"/>
        <w:rPr>
          <w:rFonts w:ascii="Century Schoolbook" w:hAnsi="Century Schoolbook"/>
        </w:rPr>
      </w:pPr>
    </w:p>
    <w:p w14:paraId="78CF17A0" w14:textId="35CCCD97" w:rsidR="008C429F" w:rsidRPr="008C429F" w:rsidRDefault="008C429F" w:rsidP="008C429F">
      <w:pPr>
        <w:tabs>
          <w:tab w:val="clear" w:pos="720"/>
        </w:tabs>
        <w:autoSpaceDE w:val="0"/>
        <w:autoSpaceDN w:val="0"/>
        <w:adjustRightInd w:val="0"/>
        <w:spacing w:line="240" w:lineRule="auto"/>
        <w:rPr>
          <w:rFonts w:ascii="Century Schoolbook" w:hAnsi="Century Schoolbook"/>
        </w:rPr>
      </w:pPr>
      <w:r w:rsidRPr="00AD7DA6">
        <w:rPr>
          <w:rFonts w:ascii="Century Schoolbook" w:hAnsi="Century Schoolbook"/>
          <w:i/>
          <w:iCs/>
          <w:sz w:val="22"/>
          <w:szCs w:val="22"/>
        </w:rPr>
        <w:t>A153523  Moore v. Teed</w:t>
      </w:r>
    </w:p>
    <w:sectPr w:rsidR="008C429F" w:rsidRPr="008C429F" w:rsidSect="00514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E20A" w14:textId="77777777" w:rsidR="004E7CA9" w:rsidRDefault="004E7CA9" w:rsidP="00514AB4">
      <w:pPr>
        <w:spacing w:line="240" w:lineRule="auto"/>
      </w:pPr>
      <w:r>
        <w:separator/>
      </w:r>
    </w:p>
  </w:endnote>
  <w:endnote w:type="continuationSeparator" w:id="0">
    <w:p w14:paraId="67C167A2" w14:textId="77777777" w:rsidR="004E7CA9" w:rsidRDefault="004E7CA9" w:rsidP="00514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BEAA" w14:textId="77777777" w:rsidR="00812E36" w:rsidRDefault="00812E36"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A03722" w14:textId="77777777" w:rsidR="00812E36" w:rsidRDefault="00812E36" w:rsidP="00154D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6FCFBE" w14:textId="77777777" w:rsidR="00812E36" w:rsidRDefault="00812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6664" w14:textId="66BD7003" w:rsidR="00812E36" w:rsidRDefault="00812E36" w:rsidP="00514A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6591">
      <w:rPr>
        <w:rStyle w:val="PageNumber"/>
        <w:noProof/>
      </w:rPr>
      <w:t>10</w:t>
    </w:r>
    <w:r>
      <w:rPr>
        <w:rStyle w:val="PageNumber"/>
      </w:rPr>
      <w:fldChar w:fldCharType="end"/>
    </w:r>
  </w:p>
  <w:p w14:paraId="2AE9E5BE" w14:textId="77777777" w:rsidR="00812E36" w:rsidRDefault="008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2C4E" w14:textId="77777777" w:rsidR="004E7CA9" w:rsidRDefault="004E7CA9" w:rsidP="00514AB4">
      <w:pPr>
        <w:spacing w:line="240" w:lineRule="auto"/>
      </w:pPr>
      <w:r>
        <w:separator/>
      </w:r>
    </w:p>
  </w:footnote>
  <w:footnote w:type="continuationSeparator" w:id="0">
    <w:p w14:paraId="5AD052B6" w14:textId="77777777" w:rsidR="004E7CA9" w:rsidRDefault="004E7CA9" w:rsidP="00514AB4">
      <w:pPr>
        <w:spacing w:line="240" w:lineRule="auto"/>
      </w:pPr>
      <w:r>
        <w:continuationSeparator/>
      </w:r>
    </w:p>
  </w:footnote>
  <w:footnote w:id="1">
    <w:p w14:paraId="5F30912D" w14:textId="34FE5CFB" w:rsidR="008134C0" w:rsidRPr="00440E34" w:rsidRDefault="008134C0" w:rsidP="00440E34">
      <w:pPr>
        <w:pStyle w:val="FootnoteText"/>
        <w:ind w:firstLine="720"/>
        <w:rPr>
          <w:rFonts w:ascii="Century Schoolbook" w:hAnsi="Century Schoolbook"/>
        </w:rPr>
      </w:pPr>
      <w:r w:rsidRPr="00440E34">
        <w:rPr>
          <w:rStyle w:val="FootnoteReference"/>
          <w:rFonts w:ascii="Century Schoolbook" w:hAnsi="Century Schoolbook"/>
        </w:rPr>
        <w:footnoteRef/>
      </w:r>
      <w:r w:rsidRPr="00440E34">
        <w:rPr>
          <w:rFonts w:ascii="Century Schoolbook" w:hAnsi="Century Schoolbook"/>
        </w:rPr>
        <w:t xml:space="preserve"> Under established appellate principles, we recite the facts in the light most favorable to the judgment</w:t>
      </w:r>
      <w:r>
        <w:rPr>
          <w:rFonts w:ascii="Century Schoolbook" w:hAnsi="Century Schoolbook"/>
        </w:rPr>
        <w:t xml:space="preserve"> below</w:t>
      </w:r>
      <w:r w:rsidRPr="00440E34">
        <w:rPr>
          <w:rFonts w:ascii="Century Schoolbook" w:hAnsi="Century Schoolbook"/>
        </w:rPr>
        <w:t>.  (</w:t>
      </w:r>
      <w:r w:rsidRPr="00440E34">
        <w:rPr>
          <w:rFonts w:ascii="Century Schoolbook" w:hAnsi="Century Schoolbook"/>
          <w:i/>
        </w:rPr>
        <w:t>People v. Bogle</w:t>
      </w:r>
      <w:r w:rsidRPr="00440E34">
        <w:rPr>
          <w:rFonts w:ascii="Century Schoolbook" w:hAnsi="Century Schoolbook"/>
        </w:rPr>
        <w:t xml:space="preserve"> (1995) 41 Cal.App.4th 770, 775.)  </w:t>
      </w:r>
    </w:p>
  </w:footnote>
  <w:footnote w:id="2">
    <w:p w14:paraId="5120A3DC" w14:textId="77777777" w:rsidR="00795484" w:rsidRPr="00440E34" w:rsidRDefault="00795484" w:rsidP="00795484">
      <w:pPr>
        <w:pStyle w:val="FootnoteText"/>
        <w:ind w:firstLine="720"/>
        <w:rPr>
          <w:rFonts w:ascii="Century Schoolbook" w:hAnsi="Century Schoolbook"/>
        </w:rPr>
      </w:pPr>
      <w:r w:rsidRPr="00440E34">
        <w:rPr>
          <w:rStyle w:val="FootnoteReference"/>
          <w:rFonts w:ascii="Century Schoolbook" w:hAnsi="Century Schoolbook"/>
        </w:rPr>
        <w:footnoteRef/>
      </w:r>
      <w:r w:rsidRPr="00440E34">
        <w:rPr>
          <w:rFonts w:ascii="Century Schoolbook" w:hAnsi="Century Schoolbook"/>
        </w:rPr>
        <w:t xml:space="preserve"> All further statutory references are to the Business and Professions Code except as otherwise indicated. </w:t>
      </w:r>
    </w:p>
  </w:footnote>
  <w:footnote w:id="3">
    <w:p w14:paraId="72268D8D" w14:textId="2CBA12BC" w:rsidR="00225790" w:rsidRPr="00440E34" w:rsidRDefault="00225790" w:rsidP="00225790">
      <w:pPr>
        <w:pStyle w:val="FootnoteText"/>
        <w:ind w:firstLine="720"/>
        <w:rPr>
          <w:rFonts w:ascii="Century Schoolbook" w:hAnsi="Century Schoolbook"/>
        </w:rPr>
      </w:pPr>
      <w:r w:rsidRPr="00440E34">
        <w:rPr>
          <w:rStyle w:val="FootnoteReference"/>
          <w:rFonts w:ascii="Century Schoolbook" w:hAnsi="Century Schoolbook"/>
        </w:rPr>
        <w:footnoteRef/>
      </w:r>
      <w:r w:rsidRPr="00440E34">
        <w:rPr>
          <w:rFonts w:ascii="Century Schoolbook" w:hAnsi="Century Schoolbook"/>
        </w:rPr>
        <w:t xml:space="preserve"> The trial court later ruled against Moore on his section 17200 claim. </w:t>
      </w:r>
    </w:p>
  </w:footnote>
  <w:footnote w:id="4">
    <w:p w14:paraId="10837A34" w14:textId="796D7FE0" w:rsidR="00AF3263" w:rsidRPr="00440E34" w:rsidRDefault="00AF3263" w:rsidP="00440E34">
      <w:pPr>
        <w:pStyle w:val="FootnoteText"/>
        <w:ind w:firstLine="720"/>
        <w:rPr>
          <w:rFonts w:ascii="Century Schoolbook" w:hAnsi="Century Schoolbook"/>
        </w:rPr>
      </w:pPr>
      <w:r w:rsidRPr="00440E34">
        <w:rPr>
          <w:rStyle w:val="FootnoteReference"/>
          <w:rFonts w:ascii="Century Schoolbook" w:hAnsi="Century Schoolbook"/>
        </w:rPr>
        <w:footnoteRef/>
      </w:r>
      <w:r w:rsidRPr="00440E34">
        <w:rPr>
          <w:rFonts w:ascii="Century Schoolbook" w:hAnsi="Century Schoolbook"/>
        </w:rPr>
        <w:t xml:space="preserve"> </w:t>
      </w:r>
      <w:r w:rsidR="00A90FC0">
        <w:rPr>
          <w:rFonts w:ascii="Century Schoolbook" w:hAnsi="Century Schoolbook"/>
        </w:rPr>
        <w:t>W</w:t>
      </w:r>
      <w:r w:rsidR="000772D3">
        <w:rPr>
          <w:rFonts w:ascii="Century Schoolbook" w:hAnsi="Century Schoolbook"/>
        </w:rPr>
        <w:t xml:space="preserve">e reject </w:t>
      </w:r>
      <w:proofErr w:type="spellStart"/>
      <w:r w:rsidR="000772D3">
        <w:rPr>
          <w:rFonts w:ascii="Century Schoolbook" w:hAnsi="Century Schoolbook"/>
        </w:rPr>
        <w:t>Teed’s</w:t>
      </w:r>
      <w:proofErr w:type="spellEnd"/>
      <w:r w:rsidR="000772D3">
        <w:rPr>
          <w:rFonts w:ascii="Century Schoolbook" w:hAnsi="Century Schoolbook"/>
        </w:rPr>
        <w:t xml:space="preserve"> related </w:t>
      </w:r>
      <w:r w:rsidR="00C33396">
        <w:rPr>
          <w:rFonts w:ascii="Century Schoolbook" w:hAnsi="Century Schoolbook"/>
        </w:rPr>
        <w:t>argument</w:t>
      </w:r>
      <w:r w:rsidR="000772D3">
        <w:rPr>
          <w:rFonts w:ascii="Century Schoolbook" w:hAnsi="Century Schoolbook"/>
        </w:rPr>
        <w:t xml:space="preserve"> that </w:t>
      </w:r>
      <w:r w:rsidRPr="00AF3263">
        <w:rPr>
          <w:rFonts w:ascii="Century Schoolbook" w:hAnsi="Century Schoolbook"/>
        </w:rPr>
        <w:t xml:space="preserve">benefit-of-the-bargain </w:t>
      </w:r>
      <w:r w:rsidR="004737B2">
        <w:rPr>
          <w:rFonts w:ascii="Century Schoolbook" w:hAnsi="Century Schoolbook"/>
        </w:rPr>
        <w:t xml:space="preserve">damages may not be awarded </w:t>
      </w:r>
      <w:r w:rsidRPr="00AF3263">
        <w:rPr>
          <w:rFonts w:ascii="Century Schoolbook" w:hAnsi="Century Schoolbook"/>
        </w:rPr>
        <w:t>in the absence of an enforceable contract</w:t>
      </w:r>
      <w:r w:rsidR="00732B95">
        <w:rPr>
          <w:rFonts w:ascii="Century Schoolbook" w:hAnsi="Century Schoolbook"/>
        </w:rPr>
        <w:t xml:space="preserve">.  </w:t>
      </w:r>
      <w:r w:rsidRPr="00AF3263">
        <w:rPr>
          <w:rFonts w:ascii="Century Schoolbook" w:hAnsi="Century Schoolbook"/>
        </w:rPr>
        <w:t xml:space="preserve"> As discussed above, such damages are available in tort cases involving fraud committed by a fiduciary in real property transactions.</w:t>
      </w:r>
    </w:p>
  </w:footnote>
  <w:footnote w:id="5">
    <w:p w14:paraId="67A48AA2" w14:textId="78FDA5EA" w:rsidR="001E330F" w:rsidRPr="00440E34" w:rsidRDefault="001E330F" w:rsidP="00440E34">
      <w:pPr>
        <w:pStyle w:val="FootnoteText"/>
        <w:ind w:firstLine="720"/>
        <w:rPr>
          <w:rFonts w:ascii="Century Schoolbook" w:hAnsi="Century Schoolbook"/>
        </w:rPr>
      </w:pPr>
      <w:r w:rsidRPr="00440E34">
        <w:rPr>
          <w:rStyle w:val="FootnoteReference"/>
          <w:rFonts w:ascii="Century Schoolbook" w:hAnsi="Century Schoolbook"/>
        </w:rPr>
        <w:footnoteRef/>
      </w:r>
      <w:r w:rsidRPr="00440E34">
        <w:rPr>
          <w:rFonts w:ascii="Century Schoolbook" w:hAnsi="Century Schoolbook"/>
        </w:rPr>
        <w:t xml:space="preserve"> The jury </w:t>
      </w:r>
      <w:r w:rsidR="00986460">
        <w:rPr>
          <w:rFonts w:ascii="Century Schoolbook" w:hAnsi="Century Schoolbook"/>
        </w:rPr>
        <w:t xml:space="preserve">was </w:t>
      </w:r>
      <w:r w:rsidR="004A5C4B">
        <w:rPr>
          <w:rFonts w:ascii="Century Schoolbook" w:hAnsi="Century Schoolbook"/>
        </w:rPr>
        <w:t xml:space="preserve">instructed </w:t>
      </w:r>
      <w:r w:rsidR="00FA3621">
        <w:rPr>
          <w:rFonts w:ascii="Century Schoolbook" w:hAnsi="Century Schoolbook"/>
        </w:rPr>
        <w:t xml:space="preserve">under </w:t>
      </w:r>
      <w:r w:rsidR="004A5C4B">
        <w:rPr>
          <w:rFonts w:ascii="Century Schoolbook" w:hAnsi="Century Schoolbook"/>
        </w:rPr>
        <w:t xml:space="preserve">CACI </w:t>
      </w:r>
      <w:r w:rsidR="00834203">
        <w:rPr>
          <w:rFonts w:ascii="Century Schoolbook" w:hAnsi="Century Schoolbook"/>
        </w:rPr>
        <w:t>No</w:t>
      </w:r>
      <w:r w:rsidR="00A73B82">
        <w:rPr>
          <w:rFonts w:ascii="Century Schoolbook" w:hAnsi="Century Schoolbook"/>
        </w:rPr>
        <w:t>s</w:t>
      </w:r>
      <w:r w:rsidR="00834203">
        <w:rPr>
          <w:rFonts w:ascii="Century Schoolbook" w:hAnsi="Century Schoolbook"/>
        </w:rPr>
        <w:t>. </w:t>
      </w:r>
      <w:r w:rsidR="004A5C4B">
        <w:rPr>
          <w:rFonts w:ascii="Century Schoolbook" w:hAnsi="Century Schoolbook"/>
        </w:rPr>
        <w:t>3900</w:t>
      </w:r>
      <w:r w:rsidR="00D83823">
        <w:rPr>
          <w:rFonts w:ascii="Century Schoolbook" w:hAnsi="Century Schoolbook"/>
        </w:rPr>
        <w:t xml:space="preserve"> </w:t>
      </w:r>
      <w:r w:rsidR="00FA3621">
        <w:rPr>
          <w:rFonts w:ascii="Century Schoolbook" w:hAnsi="Century Schoolbook"/>
        </w:rPr>
        <w:t xml:space="preserve">and 1923 that </w:t>
      </w:r>
      <w:r w:rsidR="000B4D95">
        <w:rPr>
          <w:rFonts w:ascii="Century Schoolbook" w:hAnsi="Century Schoolbook"/>
        </w:rPr>
        <w:t xml:space="preserve">the amount of damages </w:t>
      </w:r>
      <w:r w:rsidR="008E7498">
        <w:rPr>
          <w:rFonts w:ascii="Century Schoolbook" w:hAnsi="Century Schoolbook"/>
        </w:rPr>
        <w:t xml:space="preserve">to reasonably compensate Moore </w:t>
      </w:r>
      <w:r w:rsidR="00FB3B3A">
        <w:rPr>
          <w:rFonts w:ascii="Century Schoolbook" w:hAnsi="Century Schoolbook"/>
        </w:rPr>
        <w:t>“</w:t>
      </w:r>
      <w:r w:rsidR="00B66A4E" w:rsidRPr="00B66A4E">
        <w:rPr>
          <w:rFonts w:ascii="Century Schoolbook" w:hAnsi="Century Schoolbook"/>
        </w:rPr>
        <w:t xml:space="preserve">must include an award for each item of harm that was caused by </w:t>
      </w:r>
      <w:r w:rsidR="00FF4331">
        <w:rPr>
          <w:rFonts w:ascii="Century Schoolbook" w:hAnsi="Century Schoolbook"/>
        </w:rPr>
        <w:t>Mr. </w:t>
      </w:r>
      <w:proofErr w:type="spellStart"/>
      <w:r w:rsidR="00DD2300">
        <w:rPr>
          <w:rFonts w:ascii="Century Schoolbook" w:hAnsi="Century Schoolbook"/>
        </w:rPr>
        <w:t>Teed</w:t>
      </w:r>
      <w:r w:rsidR="00FB3B3A">
        <w:rPr>
          <w:rFonts w:ascii="Century Schoolbook" w:hAnsi="Century Schoolbook"/>
        </w:rPr>
        <w:t>’s</w:t>
      </w:r>
      <w:proofErr w:type="spellEnd"/>
      <w:r w:rsidR="00FB3B3A">
        <w:rPr>
          <w:rFonts w:ascii="Century Schoolbook" w:hAnsi="Century Schoolbook"/>
        </w:rPr>
        <w:t xml:space="preserve"> wrongful conduct</w:t>
      </w:r>
      <w:r w:rsidR="006E127F">
        <w:rPr>
          <w:rFonts w:ascii="Century Schoolbook" w:hAnsi="Century Schoolbook"/>
        </w:rPr>
        <w:t xml:space="preserve">, </w:t>
      </w:r>
      <w:r w:rsidR="00B66A4E" w:rsidRPr="00B66A4E">
        <w:rPr>
          <w:rFonts w:ascii="Century Schoolbook" w:hAnsi="Century Schoolbook"/>
        </w:rPr>
        <w:t>even if the particular harm could not have been anticipated</w:t>
      </w:r>
      <w:r w:rsidR="00DD2300">
        <w:rPr>
          <w:rFonts w:ascii="Century Schoolbook" w:hAnsi="Century Schoolbook"/>
        </w:rPr>
        <w:t>,</w:t>
      </w:r>
      <w:r w:rsidR="00FB3B3A">
        <w:rPr>
          <w:rFonts w:ascii="Century Schoolbook" w:hAnsi="Century Schoolbook"/>
        </w:rPr>
        <w:t>”</w:t>
      </w:r>
      <w:r w:rsidR="00DD2300">
        <w:rPr>
          <w:rFonts w:ascii="Century Schoolbook" w:hAnsi="Century Schoolbook"/>
        </w:rPr>
        <w:t xml:space="preserve"> </w:t>
      </w:r>
      <w:r w:rsidR="00F434AB">
        <w:rPr>
          <w:rFonts w:ascii="Century Schoolbook" w:hAnsi="Century Schoolbook"/>
        </w:rPr>
        <w:t>and that Moore was entitled to recover “amounts that he reasonably spent in reliance on Mr.</w:t>
      </w:r>
      <w:r w:rsidR="00834203">
        <w:rPr>
          <w:rFonts w:ascii="Century Schoolbook" w:hAnsi="Century Schoolbook"/>
        </w:rPr>
        <w:t> </w:t>
      </w:r>
      <w:proofErr w:type="spellStart"/>
      <w:r w:rsidR="00F434AB">
        <w:rPr>
          <w:rFonts w:ascii="Century Schoolbook" w:hAnsi="Century Schoolbook"/>
        </w:rPr>
        <w:t>Teed’s</w:t>
      </w:r>
      <w:proofErr w:type="spellEnd"/>
      <w:r w:rsidR="00F434AB">
        <w:rPr>
          <w:rFonts w:ascii="Century Schoolbook" w:hAnsi="Century Schoolbook"/>
        </w:rPr>
        <w:t xml:space="preserve"> false representations even if those amounts would not otherwise have been spent.”  </w:t>
      </w:r>
      <w:r w:rsidR="00C6356E">
        <w:rPr>
          <w:rFonts w:ascii="Century Schoolbook" w:hAnsi="Century Schoolbook"/>
        </w:rPr>
        <w:t xml:space="preserve"> </w:t>
      </w:r>
    </w:p>
  </w:footnote>
  <w:footnote w:id="6">
    <w:p w14:paraId="4C1141D9" w14:textId="304C0A05" w:rsidR="00812E36" w:rsidRDefault="00812E36" w:rsidP="00345CDC">
      <w:pPr>
        <w:pStyle w:val="FootnoteText"/>
      </w:pPr>
      <w:r>
        <w:rPr>
          <w:rStyle w:val="FootnoteReference"/>
        </w:rPr>
        <w:footnoteRef/>
      </w:r>
      <w:r>
        <w:t xml:space="preserve"> </w:t>
      </w:r>
      <w:r w:rsidRPr="00503D2D">
        <w:tab/>
      </w:r>
      <w:r w:rsidRPr="00440E34">
        <w:rPr>
          <w:rFonts w:ascii="Century Schoolbook" w:hAnsi="Century Schoolbook"/>
        </w:rPr>
        <w:t>In full, section 70</w:t>
      </w:r>
      <w:r w:rsidR="00216C0C">
        <w:rPr>
          <w:rFonts w:ascii="Century Schoolbook" w:hAnsi="Century Schoolbook"/>
        </w:rPr>
        <w:t>26</w:t>
      </w:r>
      <w:r w:rsidRPr="00440E34">
        <w:rPr>
          <w:rFonts w:ascii="Century Schoolbook" w:hAnsi="Century Schoolbook"/>
        </w:rPr>
        <w:t xml:space="preserve"> states: “ ‘Contractor,’ for the purposes of this chapter, is synonymous with ‘builder’ and, within the meaning of this chapter, a contractor is any person who undertakes to or offers to undertake to, or purports to have the capacity to undertake to, or submits a bid to, or does himself or herself or by or through others, construct, alter, repair, add to, subtract from, improve, move, wreck or demolish any building, highway, road, parking facility, railroad, excavation or other structure, project, development or improvement, or to do any part thereof, including the erection of scaffolding or other structures or works in connection therewith, or the cleaning of grounds or structures in connection therewith, or the preparation and removal of roadway construction zones, lane closures, flagging, or traffic diversions, or the installation, repair, maintenance, or calibration of monitoring equipment for underground storage tanks, and whether or not the performance of work herein described involves the addition to, or fabrication into, any structure, project, development or improvement herein described of any material or article of merchandise.  ‘Contractor’ includes subcontractor and specialty contractor.  ‘Roadway’ includes, but is not limited to, public or city streets, highways, or any public conveyance.”  The provision, while wordy, conveys the Legislature’s intent to define a large group of actors in the construction field as “contractors” </w:t>
      </w:r>
      <w:proofErr w:type="gramStart"/>
      <w:r w:rsidRPr="00440E34">
        <w:rPr>
          <w:rFonts w:ascii="Century Schoolbook" w:hAnsi="Century Schoolbook"/>
        </w:rPr>
        <w:t>so as to</w:t>
      </w:r>
      <w:proofErr w:type="gramEnd"/>
      <w:r w:rsidRPr="00440E34">
        <w:rPr>
          <w:rFonts w:ascii="Century Schoolbook" w:hAnsi="Century Schoolbook"/>
        </w:rPr>
        <w:t xml:space="preserve"> subject them to the Contractors’ State License Law.</w:t>
      </w:r>
      <w:r w:rsidRPr="00503D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566"/>
    <w:multiLevelType w:val="hybridMultilevel"/>
    <w:tmpl w:val="3E140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F1F1F"/>
    <w:multiLevelType w:val="hybridMultilevel"/>
    <w:tmpl w:val="C11E4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B1EED"/>
    <w:multiLevelType w:val="hybridMultilevel"/>
    <w:tmpl w:val="70FE20C0"/>
    <w:lvl w:ilvl="0" w:tplc="D0DE62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64D65"/>
    <w:multiLevelType w:val="hybridMultilevel"/>
    <w:tmpl w:val="CC883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714684"/>
    <w:multiLevelType w:val="hybridMultilevel"/>
    <w:tmpl w:val="11A8B184"/>
    <w:lvl w:ilvl="0" w:tplc="F0883F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A35D3"/>
    <w:multiLevelType w:val="hybridMultilevel"/>
    <w:tmpl w:val="7674A3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B4"/>
    <w:rsid w:val="00001561"/>
    <w:rsid w:val="000025D5"/>
    <w:rsid w:val="00003435"/>
    <w:rsid w:val="00003AE4"/>
    <w:rsid w:val="00003D37"/>
    <w:rsid w:val="000061D5"/>
    <w:rsid w:val="00006788"/>
    <w:rsid w:val="00006B73"/>
    <w:rsid w:val="000076C3"/>
    <w:rsid w:val="00010962"/>
    <w:rsid w:val="00010D6E"/>
    <w:rsid w:val="0001144F"/>
    <w:rsid w:val="0001231B"/>
    <w:rsid w:val="0001258F"/>
    <w:rsid w:val="000134D3"/>
    <w:rsid w:val="00017B85"/>
    <w:rsid w:val="00021600"/>
    <w:rsid w:val="00021972"/>
    <w:rsid w:val="000219B0"/>
    <w:rsid w:val="0002300C"/>
    <w:rsid w:val="000233D1"/>
    <w:rsid w:val="0002383E"/>
    <w:rsid w:val="00023AC1"/>
    <w:rsid w:val="000245A2"/>
    <w:rsid w:val="00024F34"/>
    <w:rsid w:val="000268A8"/>
    <w:rsid w:val="000276F5"/>
    <w:rsid w:val="00027C80"/>
    <w:rsid w:val="00034487"/>
    <w:rsid w:val="00034625"/>
    <w:rsid w:val="000355F6"/>
    <w:rsid w:val="000357E7"/>
    <w:rsid w:val="00035A46"/>
    <w:rsid w:val="00040321"/>
    <w:rsid w:val="000405B9"/>
    <w:rsid w:val="00041570"/>
    <w:rsid w:val="00041C2F"/>
    <w:rsid w:val="00041D7C"/>
    <w:rsid w:val="00042259"/>
    <w:rsid w:val="00043769"/>
    <w:rsid w:val="00044251"/>
    <w:rsid w:val="0004453A"/>
    <w:rsid w:val="00044AE7"/>
    <w:rsid w:val="0004502E"/>
    <w:rsid w:val="00046A10"/>
    <w:rsid w:val="00052B42"/>
    <w:rsid w:val="0005438A"/>
    <w:rsid w:val="0005587B"/>
    <w:rsid w:val="00057462"/>
    <w:rsid w:val="000578C4"/>
    <w:rsid w:val="00057C8D"/>
    <w:rsid w:val="000610B3"/>
    <w:rsid w:val="00061154"/>
    <w:rsid w:val="00061948"/>
    <w:rsid w:val="00061990"/>
    <w:rsid w:val="00061BEB"/>
    <w:rsid w:val="0006389E"/>
    <w:rsid w:val="00063EAA"/>
    <w:rsid w:val="000648D7"/>
    <w:rsid w:val="000652C1"/>
    <w:rsid w:val="00066913"/>
    <w:rsid w:val="00066E7E"/>
    <w:rsid w:val="0006759B"/>
    <w:rsid w:val="00067B0C"/>
    <w:rsid w:val="00067BEB"/>
    <w:rsid w:val="00067ED6"/>
    <w:rsid w:val="00070A4C"/>
    <w:rsid w:val="00071001"/>
    <w:rsid w:val="00071ABE"/>
    <w:rsid w:val="00072D47"/>
    <w:rsid w:val="00073750"/>
    <w:rsid w:val="0007400E"/>
    <w:rsid w:val="0007547A"/>
    <w:rsid w:val="000759C9"/>
    <w:rsid w:val="00075AA3"/>
    <w:rsid w:val="000762C1"/>
    <w:rsid w:val="000772D3"/>
    <w:rsid w:val="00080424"/>
    <w:rsid w:val="00082D9B"/>
    <w:rsid w:val="00083EA1"/>
    <w:rsid w:val="000866D5"/>
    <w:rsid w:val="00086CDC"/>
    <w:rsid w:val="00087923"/>
    <w:rsid w:val="000910DC"/>
    <w:rsid w:val="00092199"/>
    <w:rsid w:val="000934B0"/>
    <w:rsid w:val="000938FA"/>
    <w:rsid w:val="00093A9C"/>
    <w:rsid w:val="00093AEA"/>
    <w:rsid w:val="000944FB"/>
    <w:rsid w:val="00095AFA"/>
    <w:rsid w:val="00097155"/>
    <w:rsid w:val="000A023A"/>
    <w:rsid w:val="000A1A18"/>
    <w:rsid w:val="000A1CFF"/>
    <w:rsid w:val="000A2BF7"/>
    <w:rsid w:val="000A30CD"/>
    <w:rsid w:val="000A5DEB"/>
    <w:rsid w:val="000B0875"/>
    <w:rsid w:val="000B1DA2"/>
    <w:rsid w:val="000B1E59"/>
    <w:rsid w:val="000B1F1F"/>
    <w:rsid w:val="000B28B4"/>
    <w:rsid w:val="000B3C7F"/>
    <w:rsid w:val="000B3E7F"/>
    <w:rsid w:val="000B4572"/>
    <w:rsid w:val="000B4D95"/>
    <w:rsid w:val="000B63BA"/>
    <w:rsid w:val="000B67C7"/>
    <w:rsid w:val="000B6A31"/>
    <w:rsid w:val="000B6E6A"/>
    <w:rsid w:val="000B7E0C"/>
    <w:rsid w:val="000C030C"/>
    <w:rsid w:val="000C2456"/>
    <w:rsid w:val="000C29B9"/>
    <w:rsid w:val="000C40EF"/>
    <w:rsid w:val="000C44D5"/>
    <w:rsid w:val="000C5C8A"/>
    <w:rsid w:val="000C6151"/>
    <w:rsid w:val="000C7E27"/>
    <w:rsid w:val="000D04B6"/>
    <w:rsid w:val="000D0ECB"/>
    <w:rsid w:val="000D15F5"/>
    <w:rsid w:val="000D1C5B"/>
    <w:rsid w:val="000D21B6"/>
    <w:rsid w:val="000D30DC"/>
    <w:rsid w:val="000D39CF"/>
    <w:rsid w:val="000D39E8"/>
    <w:rsid w:val="000D3A77"/>
    <w:rsid w:val="000D43E2"/>
    <w:rsid w:val="000D465F"/>
    <w:rsid w:val="000D56E9"/>
    <w:rsid w:val="000D6ACD"/>
    <w:rsid w:val="000D701E"/>
    <w:rsid w:val="000D7BD7"/>
    <w:rsid w:val="000D7DF8"/>
    <w:rsid w:val="000E0341"/>
    <w:rsid w:val="000E09D9"/>
    <w:rsid w:val="000E0EB7"/>
    <w:rsid w:val="000E4089"/>
    <w:rsid w:val="000E41B0"/>
    <w:rsid w:val="000E427D"/>
    <w:rsid w:val="000E7627"/>
    <w:rsid w:val="000F12FC"/>
    <w:rsid w:val="000F1575"/>
    <w:rsid w:val="000F2F87"/>
    <w:rsid w:val="000F4C51"/>
    <w:rsid w:val="000F6A5B"/>
    <w:rsid w:val="000F721D"/>
    <w:rsid w:val="000F724F"/>
    <w:rsid w:val="00100574"/>
    <w:rsid w:val="0010237C"/>
    <w:rsid w:val="0010377E"/>
    <w:rsid w:val="001039DD"/>
    <w:rsid w:val="00105F7B"/>
    <w:rsid w:val="001079D3"/>
    <w:rsid w:val="00111352"/>
    <w:rsid w:val="00111A2F"/>
    <w:rsid w:val="00112BBF"/>
    <w:rsid w:val="00112FE8"/>
    <w:rsid w:val="00113955"/>
    <w:rsid w:val="001168B2"/>
    <w:rsid w:val="00116D08"/>
    <w:rsid w:val="00116E53"/>
    <w:rsid w:val="00117033"/>
    <w:rsid w:val="00120629"/>
    <w:rsid w:val="00121ACD"/>
    <w:rsid w:val="001221B5"/>
    <w:rsid w:val="00122620"/>
    <w:rsid w:val="00122FDB"/>
    <w:rsid w:val="0012334D"/>
    <w:rsid w:val="001240ED"/>
    <w:rsid w:val="0012684A"/>
    <w:rsid w:val="00126BC4"/>
    <w:rsid w:val="0013013B"/>
    <w:rsid w:val="0013073A"/>
    <w:rsid w:val="001314B0"/>
    <w:rsid w:val="001315C7"/>
    <w:rsid w:val="00131E4F"/>
    <w:rsid w:val="00132F30"/>
    <w:rsid w:val="00133003"/>
    <w:rsid w:val="00133451"/>
    <w:rsid w:val="00133B92"/>
    <w:rsid w:val="001346C1"/>
    <w:rsid w:val="001356E1"/>
    <w:rsid w:val="001379B3"/>
    <w:rsid w:val="00140BD9"/>
    <w:rsid w:val="00141C51"/>
    <w:rsid w:val="00141E2A"/>
    <w:rsid w:val="00143A52"/>
    <w:rsid w:val="0015297E"/>
    <w:rsid w:val="00152A9A"/>
    <w:rsid w:val="00152E2D"/>
    <w:rsid w:val="00154D94"/>
    <w:rsid w:val="00154F11"/>
    <w:rsid w:val="00155483"/>
    <w:rsid w:val="00155AFC"/>
    <w:rsid w:val="001561BD"/>
    <w:rsid w:val="00156463"/>
    <w:rsid w:val="00157D9B"/>
    <w:rsid w:val="00160091"/>
    <w:rsid w:val="001605DB"/>
    <w:rsid w:val="00161D0B"/>
    <w:rsid w:val="001627DF"/>
    <w:rsid w:val="00164034"/>
    <w:rsid w:val="0016524D"/>
    <w:rsid w:val="00165322"/>
    <w:rsid w:val="00165FB4"/>
    <w:rsid w:val="001679F7"/>
    <w:rsid w:val="00170473"/>
    <w:rsid w:val="00171126"/>
    <w:rsid w:val="001733F2"/>
    <w:rsid w:val="0017363A"/>
    <w:rsid w:val="00173800"/>
    <w:rsid w:val="00173C71"/>
    <w:rsid w:val="0017483F"/>
    <w:rsid w:val="0017541C"/>
    <w:rsid w:val="00175F5D"/>
    <w:rsid w:val="00176314"/>
    <w:rsid w:val="00176365"/>
    <w:rsid w:val="00176CE2"/>
    <w:rsid w:val="00181646"/>
    <w:rsid w:val="0018175B"/>
    <w:rsid w:val="00181A32"/>
    <w:rsid w:val="00182AB6"/>
    <w:rsid w:val="00184633"/>
    <w:rsid w:val="001853D7"/>
    <w:rsid w:val="00187C7B"/>
    <w:rsid w:val="00187E69"/>
    <w:rsid w:val="00187E72"/>
    <w:rsid w:val="00191ADC"/>
    <w:rsid w:val="00192CB4"/>
    <w:rsid w:val="00192D09"/>
    <w:rsid w:val="00193B91"/>
    <w:rsid w:val="00195512"/>
    <w:rsid w:val="00195AC9"/>
    <w:rsid w:val="00196489"/>
    <w:rsid w:val="00196E59"/>
    <w:rsid w:val="00197F65"/>
    <w:rsid w:val="001A140F"/>
    <w:rsid w:val="001A1FDD"/>
    <w:rsid w:val="001A2DAC"/>
    <w:rsid w:val="001B1818"/>
    <w:rsid w:val="001B199D"/>
    <w:rsid w:val="001B1FBF"/>
    <w:rsid w:val="001B33FA"/>
    <w:rsid w:val="001B41F3"/>
    <w:rsid w:val="001B4EE2"/>
    <w:rsid w:val="001B6741"/>
    <w:rsid w:val="001B68A9"/>
    <w:rsid w:val="001B6BFB"/>
    <w:rsid w:val="001B6E0C"/>
    <w:rsid w:val="001B75A9"/>
    <w:rsid w:val="001C1753"/>
    <w:rsid w:val="001C2694"/>
    <w:rsid w:val="001C37D0"/>
    <w:rsid w:val="001C4803"/>
    <w:rsid w:val="001C6538"/>
    <w:rsid w:val="001C67F5"/>
    <w:rsid w:val="001C6C3E"/>
    <w:rsid w:val="001C743F"/>
    <w:rsid w:val="001D15D0"/>
    <w:rsid w:val="001D1780"/>
    <w:rsid w:val="001D3DA2"/>
    <w:rsid w:val="001D4B2E"/>
    <w:rsid w:val="001D5204"/>
    <w:rsid w:val="001D5568"/>
    <w:rsid w:val="001D64FF"/>
    <w:rsid w:val="001D673F"/>
    <w:rsid w:val="001D6CAD"/>
    <w:rsid w:val="001D793A"/>
    <w:rsid w:val="001E1BF3"/>
    <w:rsid w:val="001E2AFD"/>
    <w:rsid w:val="001E2B3F"/>
    <w:rsid w:val="001E330F"/>
    <w:rsid w:val="001E4BC3"/>
    <w:rsid w:val="001E5597"/>
    <w:rsid w:val="001E5699"/>
    <w:rsid w:val="001E575E"/>
    <w:rsid w:val="001E695C"/>
    <w:rsid w:val="001E69E2"/>
    <w:rsid w:val="001E763F"/>
    <w:rsid w:val="001E7AF7"/>
    <w:rsid w:val="001E7BAA"/>
    <w:rsid w:val="001F02DC"/>
    <w:rsid w:val="001F25A9"/>
    <w:rsid w:val="001F2A4D"/>
    <w:rsid w:val="001F2C9C"/>
    <w:rsid w:val="001F6966"/>
    <w:rsid w:val="00200036"/>
    <w:rsid w:val="002007F6"/>
    <w:rsid w:val="0020256A"/>
    <w:rsid w:val="002034A0"/>
    <w:rsid w:val="002054A1"/>
    <w:rsid w:val="00205E01"/>
    <w:rsid w:val="00205E7A"/>
    <w:rsid w:val="0020616C"/>
    <w:rsid w:val="00206B13"/>
    <w:rsid w:val="002106E3"/>
    <w:rsid w:val="00210F47"/>
    <w:rsid w:val="002112F3"/>
    <w:rsid w:val="00212941"/>
    <w:rsid w:val="002139EF"/>
    <w:rsid w:val="0021492C"/>
    <w:rsid w:val="00216518"/>
    <w:rsid w:val="002168B5"/>
    <w:rsid w:val="00216C0C"/>
    <w:rsid w:val="002214AC"/>
    <w:rsid w:val="002220DE"/>
    <w:rsid w:val="00222886"/>
    <w:rsid w:val="002233BB"/>
    <w:rsid w:val="002234C7"/>
    <w:rsid w:val="00224BD8"/>
    <w:rsid w:val="002251CB"/>
    <w:rsid w:val="002252D3"/>
    <w:rsid w:val="00225790"/>
    <w:rsid w:val="00227156"/>
    <w:rsid w:val="002272C6"/>
    <w:rsid w:val="00227382"/>
    <w:rsid w:val="00227768"/>
    <w:rsid w:val="0023089A"/>
    <w:rsid w:val="0023123E"/>
    <w:rsid w:val="00231E79"/>
    <w:rsid w:val="00232C15"/>
    <w:rsid w:val="00232E2F"/>
    <w:rsid w:val="00236A6D"/>
    <w:rsid w:val="00236D7B"/>
    <w:rsid w:val="00236F79"/>
    <w:rsid w:val="00237AF5"/>
    <w:rsid w:val="00241C6D"/>
    <w:rsid w:val="002422D6"/>
    <w:rsid w:val="002426AB"/>
    <w:rsid w:val="002432FD"/>
    <w:rsid w:val="0024456D"/>
    <w:rsid w:val="00245EB8"/>
    <w:rsid w:val="00245F07"/>
    <w:rsid w:val="0024653D"/>
    <w:rsid w:val="0025078E"/>
    <w:rsid w:val="00252380"/>
    <w:rsid w:val="0025364C"/>
    <w:rsid w:val="00256AEB"/>
    <w:rsid w:val="002626B0"/>
    <w:rsid w:val="002639E3"/>
    <w:rsid w:val="00265254"/>
    <w:rsid w:val="002662B1"/>
    <w:rsid w:val="00270C60"/>
    <w:rsid w:val="00271BE1"/>
    <w:rsid w:val="002722B4"/>
    <w:rsid w:val="002725D4"/>
    <w:rsid w:val="002727C2"/>
    <w:rsid w:val="0027535A"/>
    <w:rsid w:val="002754F9"/>
    <w:rsid w:val="00275FA0"/>
    <w:rsid w:val="00276079"/>
    <w:rsid w:val="00276193"/>
    <w:rsid w:val="00276620"/>
    <w:rsid w:val="00276EC1"/>
    <w:rsid w:val="00282E40"/>
    <w:rsid w:val="00284706"/>
    <w:rsid w:val="00284CB1"/>
    <w:rsid w:val="0028568E"/>
    <w:rsid w:val="00286265"/>
    <w:rsid w:val="00286A42"/>
    <w:rsid w:val="00287B54"/>
    <w:rsid w:val="00287D00"/>
    <w:rsid w:val="00291856"/>
    <w:rsid w:val="002918EE"/>
    <w:rsid w:val="00291989"/>
    <w:rsid w:val="00291C21"/>
    <w:rsid w:val="0029204A"/>
    <w:rsid w:val="00292854"/>
    <w:rsid w:val="0029372E"/>
    <w:rsid w:val="0029542B"/>
    <w:rsid w:val="0029657A"/>
    <w:rsid w:val="0029761B"/>
    <w:rsid w:val="00297C2C"/>
    <w:rsid w:val="002A0ED9"/>
    <w:rsid w:val="002A213F"/>
    <w:rsid w:val="002A321B"/>
    <w:rsid w:val="002A4F1C"/>
    <w:rsid w:val="002A53D1"/>
    <w:rsid w:val="002A5BF9"/>
    <w:rsid w:val="002A5C65"/>
    <w:rsid w:val="002A6D23"/>
    <w:rsid w:val="002A740F"/>
    <w:rsid w:val="002A7C56"/>
    <w:rsid w:val="002A7F75"/>
    <w:rsid w:val="002B49FA"/>
    <w:rsid w:val="002B58EF"/>
    <w:rsid w:val="002B592E"/>
    <w:rsid w:val="002B7F90"/>
    <w:rsid w:val="002C1217"/>
    <w:rsid w:val="002C14A7"/>
    <w:rsid w:val="002C22E0"/>
    <w:rsid w:val="002C2526"/>
    <w:rsid w:val="002C2D50"/>
    <w:rsid w:val="002C3868"/>
    <w:rsid w:val="002C3A29"/>
    <w:rsid w:val="002C4AA2"/>
    <w:rsid w:val="002C4D6A"/>
    <w:rsid w:val="002C6845"/>
    <w:rsid w:val="002C72B5"/>
    <w:rsid w:val="002D0FC5"/>
    <w:rsid w:val="002D3796"/>
    <w:rsid w:val="002D50F2"/>
    <w:rsid w:val="002D6279"/>
    <w:rsid w:val="002D70EE"/>
    <w:rsid w:val="002D7243"/>
    <w:rsid w:val="002E1812"/>
    <w:rsid w:val="002E1E31"/>
    <w:rsid w:val="002E22C1"/>
    <w:rsid w:val="002E2C7F"/>
    <w:rsid w:val="002E4AFC"/>
    <w:rsid w:val="002E70BF"/>
    <w:rsid w:val="002F01FA"/>
    <w:rsid w:val="002F0437"/>
    <w:rsid w:val="002F1273"/>
    <w:rsid w:val="002F225C"/>
    <w:rsid w:val="002F2B70"/>
    <w:rsid w:val="002F30C7"/>
    <w:rsid w:val="002F3232"/>
    <w:rsid w:val="002F350F"/>
    <w:rsid w:val="002F54E2"/>
    <w:rsid w:val="002F572D"/>
    <w:rsid w:val="002F5E80"/>
    <w:rsid w:val="002F7380"/>
    <w:rsid w:val="00300438"/>
    <w:rsid w:val="003015EF"/>
    <w:rsid w:val="00302BB3"/>
    <w:rsid w:val="003031D7"/>
    <w:rsid w:val="003051D3"/>
    <w:rsid w:val="0030541F"/>
    <w:rsid w:val="003057F8"/>
    <w:rsid w:val="0030641D"/>
    <w:rsid w:val="00306540"/>
    <w:rsid w:val="00306702"/>
    <w:rsid w:val="00306A15"/>
    <w:rsid w:val="00306E57"/>
    <w:rsid w:val="00307272"/>
    <w:rsid w:val="003075B9"/>
    <w:rsid w:val="0031079F"/>
    <w:rsid w:val="00310CB6"/>
    <w:rsid w:val="00314438"/>
    <w:rsid w:val="00314B55"/>
    <w:rsid w:val="00315324"/>
    <w:rsid w:val="00316C54"/>
    <w:rsid w:val="00317365"/>
    <w:rsid w:val="00320A29"/>
    <w:rsid w:val="00320BF3"/>
    <w:rsid w:val="00321597"/>
    <w:rsid w:val="003219D8"/>
    <w:rsid w:val="0032245C"/>
    <w:rsid w:val="003227BF"/>
    <w:rsid w:val="00322DDD"/>
    <w:rsid w:val="00323E1D"/>
    <w:rsid w:val="00325C1A"/>
    <w:rsid w:val="003275DF"/>
    <w:rsid w:val="00330F8F"/>
    <w:rsid w:val="00333F91"/>
    <w:rsid w:val="0033417F"/>
    <w:rsid w:val="00334D77"/>
    <w:rsid w:val="003356EE"/>
    <w:rsid w:val="00335CB1"/>
    <w:rsid w:val="00336A4C"/>
    <w:rsid w:val="00340C35"/>
    <w:rsid w:val="00341899"/>
    <w:rsid w:val="00342220"/>
    <w:rsid w:val="00342233"/>
    <w:rsid w:val="00342387"/>
    <w:rsid w:val="00345C44"/>
    <w:rsid w:val="00345CDC"/>
    <w:rsid w:val="00345D23"/>
    <w:rsid w:val="00345DD5"/>
    <w:rsid w:val="00346226"/>
    <w:rsid w:val="00347027"/>
    <w:rsid w:val="00347033"/>
    <w:rsid w:val="003472F1"/>
    <w:rsid w:val="00350C02"/>
    <w:rsid w:val="00351268"/>
    <w:rsid w:val="00351673"/>
    <w:rsid w:val="00352DA9"/>
    <w:rsid w:val="00353C74"/>
    <w:rsid w:val="00354F92"/>
    <w:rsid w:val="003554CB"/>
    <w:rsid w:val="0035552D"/>
    <w:rsid w:val="00355A1A"/>
    <w:rsid w:val="00355DCC"/>
    <w:rsid w:val="00356037"/>
    <w:rsid w:val="00357A60"/>
    <w:rsid w:val="00360F1E"/>
    <w:rsid w:val="00362E27"/>
    <w:rsid w:val="003630ED"/>
    <w:rsid w:val="00363F45"/>
    <w:rsid w:val="003648BF"/>
    <w:rsid w:val="00365C6B"/>
    <w:rsid w:val="003670D6"/>
    <w:rsid w:val="0036721D"/>
    <w:rsid w:val="00367431"/>
    <w:rsid w:val="00367456"/>
    <w:rsid w:val="00367797"/>
    <w:rsid w:val="00367E52"/>
    <w:rsid w:val="003700F4"/>
    <w:rsid w:val="0037208C"/>
    <w:rsid w:val="003731EF"/>
    <w:rsid w:val="00373D22"/>
    <w:rsid w:val="003769F4"/>
    <w:rsid w:val="0038021B"/>
    <w:rsid w:val="003804B1"/>
    <w:rsid w:val="0038272E"/>
    <w:rsid w:val="00383EC6"/>
    <w:rsid w:val="00383FA4"/>
    <w:rsid w:val="0038479E"/>
    <w:rsid w:val="00385A02"/>
    <w:rsid w:val="00385D87"/>
    <w:rsid w:val="003860B5"/>
    <w:rsid w:val="003907CC"/>
    <w:rsid w:val="0039210C"/>
    <w:rsid w:val="003921AC"/>
    <w:rsid w:val="003938A1"/>
    <w:rsid w:val="0039708C"/>
    <w:rsid w:val="00397835"/>
    <w:rsid w:val="00397F8C"/>
    <w:rsid w:val="003A1842"/>
    <w:rsid w:val="003A2447"/>
    <w:rsid w:val="003A4069"/>
    <w:rsid w:val="003A4DEA"/>
    <w:rsid w:val="003A5ACE"/>
    <w:rsid w:val="003A6109"/>
    <w:rsid w:val="003A65C6"/>
    <w:rsid w:val="003A6A4C"/>
    <w:rsid w:val="003A70F0"/>
    <w:rsid w:val="003A7255"/>
    <w:rsid w:val="003B17EA"/>
    <w:rsid w:val="003B2455"/>
    <w:rsid w:val="003B3464"/>
    <w:rsid w:val="003B4416"/>
    <w:rsid w:val="003B6B66"/>
    <w:rsid w:val="003B7E98"/>
    <w:rsid w:val="003C1517"/>
    <w:rsid w:val="003C1611"/>
    <w:rsid w:val="003C2F28"/>
    <w:rsid w:val="003C3A69"/>
    <w:rsid w:val="003C4400"/>
    <w:rsid w:val="003C4621"/>
    <w:rsid w:val="003C46A0"/>
    <w:rsid w:val="003C582F"/>
    <w:rsid w:val="003C680A"/>
    <w:rsid w:val="003C74BA"/>
    <w:rsid w:val="003C7501"/>
    <w:rsid w:val="003C7D43"/>
    <w:rsid w:val="003D003F"/>
    <w:rsid w:val="003D1833"/>
    <w:rsid w:val="003D3596"/>
    <w:rsid w:val="003D39CB"/>
    <w:rsid w:val="003D3CBD"/>
    <w:rsid w:val="003D6B83"/>
    <w:rsid w:val="003E105F"/>
    <w:rsid w:val="003E1A4B"/>
    <w:rsid w:val="003E2FDF"/>
    <w:rsid w:val="003E3661"/>
    <w:rsid w:val="003E40A1"/>
    <w:rsid w:val="003E427A"/>
    <w:rsid w:val="003E6309"/>
    <w:rsid w:val="003E7F37"/>
    <w:rsid w:val="003F03EC"/>
    <w:rsid w:val="003F0A90"/>
    <w:rsid w:val="003F0D44"/>
    <w:rsid w:val="003F188F"/>
    <w:rsid w:val="003F1A9E"/>
    <w:rsid w:val="003F1F5C"/>
    <w:rsid w:val="003F4020"/>
    <w:rsid w:val="003F48C1"/>
    <w:rsid w:val="003F569D"/>
    <w:rsid w:val="003F63EE"/>
    <w:rsid w:val="003F7025"/>
    <w:rsid w:val="003F7CF7"/>
    <w:rsid w:val="0040004C"/>
    <w:rsid w:val="00400253"/>
    <w:rsid w:val="00400555"/>
    <w:rsid w:val="0040096D"/>
    <w:rsid w:val="00400DEC"/>
    <w:rsid w:val="00400EFA"/>
    <w:rsid w:val="004013BE"/>
    <w:rsid w:val="00402128"/>
    <w:rsid w:val="00403B33"/>
    <w:rsid w:val="0040635F"/>
    <w:rsid w:val="00406745"/>
    <w:rsid w:val="00407A22"/>
    <w:rsid w:val="00407CCE"/>
    <w:rsid w:val="00407E99"/>
    <w:rsid w:val="004102EF"/>
    <w:rsid w:val="004111B0"/>
    <w:rsid w:val="00411534"/>
    <w:rsid w:val="00411988"/>
    <w:rsid w:val="00411B05"/>
    <w:rsid w:val="00414593"/>
    <w:rsid w:val="00415CAD"/>
    <w:rsid w:val="004160AB"/>
    <w:rsid w:val="00416943"/>
    <w:rsid w:val="00417A2D"/>
    <w:rsid w:val="00420BB2"/>
    <w:rsid w:val="00420E33"/>
    <w:rsid w:val="00421CC6"/>
    <w:rsid w:val="004223CD"/>
    <w:rsid w:val="004248E4"/>
    <w:rsid w:val="0042650C"/>
    <w:rsid w:val="00426976"/>
    <w:rsid w:val="004276E2"/>
    <w:rsid w:val="004300E4"/>
    <w:rsid w:val="004301CE"/>
    <w:rsid w:val="004336CB"/>
    <w:rsid w:val="00435CA0"/>
    <w:rsid w:val="00436A43"/>
    <w:rsid w:val="00436E34"/>
    <w:rsid w:val="00437DA5"/>
    <w:rsid w:val="00437E86"/>
    <w:rsid w:val="00440BF6"/>
    <w:rsid w:val="00440E34"/>
    <w:rsid w:val="004417FB"/>
    <w:rsid w:val="00442D84"/>
    <w:rsid w:val="004444EF"/>
    <w:rsid w:val="00444864"/>
    <w:rsid w:val="00446451"/>
    <w:rsid w:val="004474A3"/>
    <w:rsid w:val="004479C1"/>
    <w:rsid w:val="00447BDB"/>
    <w:rsid w:val="00451AC5"/>
    <w:rsid w:val="00451B39"/>
    <w:rsid w:val="00452AB2"/>
    <w:rsid w:val="00453176"/>
    <w:rsid w:val="00454846"/>
    <w:rsid w:val="00455B24"/>
    <w:rsid w:val="00456E2E"/>
    <w:rsid w:val="00457439"/>
    <w:rsid w:val="00457C51"/>
    <w:rsid w:val="00457C5B"/>
    <w:rsid w:val="00460C3D"/>
    <w:rsid w:val="004619E8"/>
    <w:rsid w:val="00461AE7"/>
    <w:rsid w:val="00461CA1"/>
    <w:rsid w:val="00463779"/>
    <w:rsid w:val="00465DB7"/>
    <w:rsid w:val="004663C4"/>
    <w:rsid w:val="004663E7"/>
    <w:rsid w:val="0047054C"/>
    <w:rsid w:val="004708B4"/>
    <w:rsid w:val="004717DD"/>
    <w:rsid w:val="00471BBA"/>
    <w:rsid w:val="00471E1B"/>
    <w:rsid w:val="004737B2"/>
    <w:rsid w:val="00475153"/>
    <w:rsid w:val="0047523C"/>
    <w:rsid w:val="00475D88"/>
    <w:rsid w:val="0047661F"/>
    <w:rsid w:val="00476A8E"/>
    <w:rsid w:val="00476E6F"/>
    <w:rsid w:val="0047720D"/>
    <w:rsid w:val="004814FA"/>
    <w:rsid w:val="00482E7D"/>
    <w:rsid w:val="004831B8"/>
    <w:rsid w:val="004834F7"/>
    <w:rsid w:val="00483552"/>
    <w:rsid w:val="004843DE"/>
    <w:rsid w:val="0048733D"/>
    <w:rsid w:val="004876DC"/>
    <w:rsid w:val="0049108C"/>
    <w:rsid w:val="00491CE0"/>
    <w:rsid w:val="00491F3B"/>
    <w:rsid w:val="004920A6"/>
    <w:rsid w:val="0049215B"/>
    <w:rsid w:val="004923B5"/>
    <w:rsid w:val="004928F7"/>
    <w:rsid w:val="00492D63"/>
    <w:rsid w:val="0049494B"/>
    <w:rsid w:val="00494FF4"/>
    <w:rsid w:val="00496E68"/>
    <w:rsid w:val="00497C43"/>
    <w:rsid w:val="004A1623"/>
    <w:rsid w:val="004A2F70"/>
    <w:rsid w:val="004A3F28"/>
    <w:rsid w:val="004A5117"/>
    <w:rsid w:val="004A5B3A"/>
    <w:rsid w:val="004A5C4B"/>
    <w:rsid w:val="004A5CA4"/>
    <w:rsid w:val="004A64E0"/>
    <w:rsid w:val="004B00D4"/>
    <w:rsid w:val="004B06E2"/>
    <w:rsid w:val="004B317B"/>
    <w:rsid w:val="004B3724"/>
    <w:rsid w:val="004B45A5"/>
    <w:rsid w:val="004B4A01"/>
    <w:rsid w:val="004B796F"/>
    <w:rsid w:val="004C08F3"/>
    <w:rsid w:val="004C0CAE"/>
    <w:rsid w:val="004C1316"/>
    <w:rsid w:val="004C175A"/>
    <w:rsid w:val="004C1D40"/>
    <w:rsid w:val="004C2C2D"/>
    <w:rsid w:val="004C3F8A"/>
    <w:rsid w:val="004C566B"/>
    <w:rsid w:val="004C5D20"/>
    <w:rsid w:val="004C5E0A"/>
    <w:rsid w:val="004D034A"/>
    <w:rsid w:val="004D29D1"/>
    <w:rsid w:val="004D2A15"/>
    <w:rsid w:val="004D36BD"/>
    <w:rsid w:val="004D4C46"/>
    <w:rsid w:val="004D5048"/>
    <w:rsid w:val="004D683C"/>
    <w:rsid w:val="004E04D7"/>
    <w:rsid w:val="004E0819"/>
    <w:rsid w:val="004E1586"/>
    <w:rsid w:val="004E275F"/>
    <w:rsid w:val="004E4677"/>
    <w:rsid w:val="004E5A5B"/>
    <w:rsid w:val="004E5A8A"/>
    <w:rsid w:val="004E6BA2"/>
    <w:rsid w:val="004E6D4F"/>
    <w:rsid w:val="004E7632"/>
    <w:rsid w:val="004E7CA9"/>
    <w:rsid w:val="004F09F5"/>
    <w:rsid w:val="004F0BDE"/>
    <w:rsid w:val="004F1B6E"/>
    <w:rsid w:val="004F3355"/>
    <w:rsid w:val="004F3A24"/>
    <w:rsid w:val="004F4128"/>
    <w:rsid w:val="004F5A63"/>
    <w:rsid w:val="004F6244"/>
    <w:rsid w:val="004F64E0"/>
    <w:rsid w:val="004F6A06"/>
    <w:rsid w:val="004F6EA0"/>
    <w:rsid w:val="004F7714"/>
    <w:rsid w:val="004F78D6"/>
    <w:rsid w:val="00500A65"/>
    <w:rsid w:val="0050321F"/>
    <w:rsid w:val="005036D0"/>
    <w:rsid w:val="00503D2D"/>
    <w:rsid w:val="0050422D"/>
    <w:rsid w:val="00505BC3"/>
    <w:rsid w:val="00505D8D"/>
    <w:rsid w:val="00507293"/>
    <w:rsid w:val="0051147A"/>
    <w:rsid w:val="0051178A"/>
    <w:rsid w:val="00514AB4"/>
    <w:rsid w:val="00515278"/>
    <w:rsid w:val="00517622"/>
    <w:rsid w:val="00520416"/>
    <w:rsid w:val="00520C9F"/>
    <w:rsid w:val="00521513"/>
    <w:rsid w:val="00522487"/>
    <w:rsid w:val="0052253F"/>
    <w:rsid w:val="0052345E"/>
    <w:rsid w:val="0052510B"/>
    <w:rsid w:val="00525A10"/>
    <w:rsid w:val="00525B1D"/>
    <w:rsid w:val="00527086"/>
    <w:rsid w:val="00530A6E"/>
    <w:rsid w:val="005329E2"/>
    <w:rsid w:val="00536FA9"/>
    <w:rsid w:val="005375C0"/>
    <w:rsid w:val="00540A53"/>
    <w:rsid w:val="00541E77"/>
    <w:rsid w:val="00542205"/>
    <w:rsid w:val="00543E68"/>
    <w:rsid w:val="0054626C"/>
    <w:rsid w:val="00546A48"/>
    <w:rsid w:val="00546F71"/>
    <w:rsid w:val="005477D9"/>
    <w:rsid w:val="00551089"/>
    <w:rsid w:val="00551358"/>
    <w:rsid w:val="00551834"/>
    <w:rsid w:val="0055197F"/>
    <w:rsid w:val="00551CC2"/>
    <w:rsid w:val="0055269C"/>
    <w:rsid w:val="005537A9"/>
    <w:rsid w:val="00553AB7"/>
    <w:rsid w:val="005555C5"/>
    <w:rsid w:val="00557988"/>
    <w:rsid w:val="00560F52"/>
    <w:rsid w:val="0056122D"/>
    <w:rsid w:val="00561513"/>
    <w:rsid w:val="005625A3"/>
    <w:rsid w:val="005625F4"/>
    <w:rsid w:val="005627FB"/>
    <w:rsid w:val="00562897"/>
    <w:rsid w:val="00562DC9"/>
    <w:rsid w:val="005644FA"/>
    <w:rsid w:val="00564D88"/>
    <w:rsid w:val="005651F2"/>
    <w:rsid w:val="00565F51"/>
    <w:rsid w:val="005665DC"/>
    <w:rsid w:val="0056684E"/>
    <w:rsid w:val="0056685B"/>
    <w:rsid w:val="00567F91"/>
    <w:rsid w:val="00570756"/>
    <w:rsid w:val="00571139"/>
    <w:rsid w:val="005726B2"/>
    <w:rsid w:val="00572E4D"/>
    <w:rsid w:val="005740BA"/>
    <w:rsid w:val="00574818"/>
    <w:rsid w:val="00574B92"/>
    <w:rsid w:val="0057636F"/>
    <w:rsid w:val="005764B7"/>
    <w:rsid w:val="005776CD"/>
    <w:rsid w:val="005818FB"/>
    <w:rsid w:val="00582056"/>
    <w:rsid w:val="005823D5"/>
    <w:rsid w:val="005825C6"/>
    <w:rsid w:val="0058389C"/>
    <w:rsid w:val="005849EA"/>
    <w:rsid w:val="00584D84"/>
    <w:rsid w:val="00585FF8"/>
    <w:rsid w:val="0058782D"/>
    <w:rsid w:val="00587AF9"/>
    <w:rsid w:val="00590930"/>
    <w:rsid w:val="00591DED"/>
    <w:rsid w:val="00591DF2"/>
    <w:rsid w:val="005924C6"/>
    <w:rsid w:val="00592DFB"/>
    <w:rsid w:val="00593631"/>
    <w:rsid w:val="00593CA8"/>
    <w:rsid w:val="00594B1D"/>
    <w:rsid w:val="005950D3"/>
    <w:rsid w:val="00597C15"/>
    <w:rsid w:val="005A00CA"/>
    <w:rsid w:val="005A017C"/>
    <w:rsid w:val="005A038C"/>
    <w:rsid w:val="005A239C"/>
    <w:rsid w:val="005A29FE"/>
    <w:rsid w:val="005A46C0"/>
    <w:rsid w:val="005A4CCA"/>
    <w:rsid w:val="005A5068"/>
    <w:rsid w:val="005A5CC8"/>
    <w:rsid w:val="005A62AF"/>
    <w:rsid w:val="005A6D01"/>
    <w:rsid w:val="005A7E55"/>
    <w:rsid w:val="005B0B1B"/>
    <w:rsid w:val="005B2659"/>
    <w:rsid w:val="005B2840"/>
    <w:rsid w:val="005B4866"/>
    <w:rsid w:val="005B546E"/>
    <w:rsid w:val="005B6471"/>
    <w:rsid w:val="005C23EB"/>
    <w:rsid w:val="005C2E00"/>
    <w:rsid w:val="005C4F94"/>
    <w:rsid w:val="005C55C0"/>
    <w:rsid w:val="005C7045"/>
    <w:rsid w:val="005D12B6"/>
    <w:rsid w:val="005D1502"/>
    <w:rsid w:val="005D1CE4"/>
    <w:rsid w:val="005D5C92"/>
    <w:rsid w:val="005D5D9C"/>
    <w:rsid w:val="005E0B49"/>
    <w:rsid w:val="005E14FD"/>
    <w:rsid w:val="005E1BD5"/>
    <w:rsid w:val="005E27AD"/>
    <w:rsid w:val="005E4749"/>
    <w:rsid w:val="005E4ACB"/>
    <w:rsid w:val="005E4C28"/>
    <w:rsid w:val="005E4E13"/>
    <w:rsid w:val="005E5297"/>
    <w:rsid w:val="005E55AB"/>
    <w:rsid w:val="005E5AE9"/>
    <w:rsid w:val="005E5B3E"/>
    <w:rsid w:val="005E698F"/>
    <w:rsid w:val="005E6E39"/>
    <w:rsid w:val="005F367A"/>
    <w:rsid w:val="005F50A4"/>
    <w:rsid w:val="005F50CB"/>
    <w:rsid w:val="005F7462"/>
    <w:rsid w:val="00600AF9"/>
    <w:rsid w:val="00601254"/>
    <w:rsid w:val="006013DC"/>
    <w:rsid w:val="0060148C"/>
    <w:rsid w:val="006029B9"/>
    <w:rsid w:val="00602FDA"/>
    <w:rsid w:val="00603372"/>
    <w:rsid w:val="0061011E"/>
    <w:rsid w:val="006112D5"/>
    <w:rsid w:val="00611409"/>
    <w:rsid w:val="00611CF1"/>
    <w:rsid w:val="00611F37"/>
    <w:rsid w:val="00612890"/>
    <w:rsid w:val="00612B26"/>
    <w:rsid w:val="00613255"/>
    <w:rsid w:val="00613325"/>
    <w:rsid w:val="0061345C"/>
    <w:rsid w:val="00613885"/>
    <w:rsid w:val="00614116"/>
    <w:rsid w:val="00614FCB"/>
    <w:rsid w:val="006150C0"/>
    <w:rsid w:val="006171E0"/>
    <w:rsid w:val="006172ED"/>
    <w:rsid w:val="00617E81"/>
    <w:rsid w:val="00617F39"/>
    <w:rsid w:val="00620166"/>
    <w:rsid w:val="0062026C"/>
    <w:rsid w:val="006209D7"/>
    <w:rsid w:val="00620B6A"/>
    <w:rsid w:val="00620FA6"/>
    <w:rsid w:val="006213A0"/>
    <w:rsid w:val="00621482"/>
    <w:rsid w:val="006219A6"/>
    <w:rsid w:val="006221E7"/>
    <w:rsid w:val="00622613"/>
    <w:rsid w:val="00622C91"/>
    <w:rsid w:val="0062310D"/>
    <w:rsid w:val="00623BF6"/>
    <w:rsid w:val="00623E5B"/>
    <w:rsid w:val="00626676"/>
    <w:rsid w:val="00630488"/>
    <w:rsid w:val="00630B67"/>
    <w:rsid w:val="00630BD5"/>
    <w:rsid w:val="00630FAF"/>
    <w:rsid w:val="006316DC"/>
    <w:rsid w:val="00631965"/>
    <w:rsid w:val="00631B76"/>
    <w:rsid w:val="00631DA3"/>
    <w:rsid w:val="00631F30"/>
    <w:rsid w:val="0063278B"/>
    <w:rsid w:val="006340AD"/>
    <w:rsid w:val="00635309"/>
    <w:rsid w:val="006359F8"/>
    <w:rsid w:val="00636BD3"/>
    <w:rsid w:val="00640376"/>
    <w:rsid w:val="00640393"/>
    <w:rsid w:val="00640870"/>
    <w:rsid w:val="006416E4"/>
    <w:rsid w:val="00644E0E"/>
    <w:rsid w:val="00645F9E"/>
    <w:rsid w:val="006461B6"/>
    <w:rsid w:val="0064797D"/>
    <w:rsid w:val="006505EA"/>
    <w:rsid w:val="00652C78"/>
    <w:rsid w:val="00654E1A"/>
    <w:rsid w:val="006550AD"/>
    <w:rsid w:val="00656C45"/>
    <w:rsid w:val="00657679"/>
    <w:rsid w:val="00662E8F"/>
    <w:rsid w:val="0066403D"/>
    <w:rsid w:val="0066431E"/>
    <w:rsid w:val="00665145"/>
    <w:rsid w:val="00666EEA"/>
    <w:rsid w:val="00667449"/>
    <w:rsid w:val="00672D47"/>
    <w:rsid w:val="0067372B"/>
    <w:rsid w:val="00673A02"/>
    <w:rsid w:val="00675B51"/>
    <w:rsid w:val="00676986"/>
    <w:rsid w:val="00676C78"/>
    <w:rsid w:val="00676F56"/>
    <w:rsid w:val="006803C8"/>
    <w:rsid w:val="006811C8"/>
    <w:rsid w:val="00682F3B"/>
    <w:rsid w:val="00682FDA"/>
    <w:rsid w:val="00684DAC"/>
    <w:rsid w:val="006857F9"/>
    <w:rsid w:val="00686347"/>
    <w:rsid w:val="00686E07"/>
    <w:rsid w:val="00687E77"/>
    <w:rsid w:val="00692187"/>
    <w:rsid w:val="0069353D"/>
    <w:rsid w:val="00693679"/>
    <w:rsid w:val="00693898"/>
    <w:rsid w:val="00693C9B"/>
    <w:rsid w:val="00693EB3"/>
    <w:rsid w:val="00694372"/>
    <w:rsid w:val="00694863"/>
    <w:rsid w:val="00695471"/>
    <w:rsid w:val="0069580E"/>
    <w:rsid w:val="006960D4"/>
    <w:rsid w:val="0069673A"/>
    <w:rsid w:val="0069721A"/>
    <w:rsid w:val="00697D05"/>
    <w:rsid w:val="006A209E"/>
    <w:rsid w:val="006A3E53"/>
    <w:rsid w:val="006A4127"/>
    <w:rsid w:val="006A4A07"/>
    <w:rsid w:val="006A5666"/>
    <w:rsid w:val="006A5AB6"/>
    <w:rsid w:val="006A6162"/>
    <w:rsid w:val="006A6298"/>
    <w:rsid w:val="006B0511"/>
    <w:rsid w:val="006B1C5C"/>
    <w:rsid w:val="006B2922"/>
    <w:rsid w:val="006C0B7A"/>
    <w:rsid w:val="006C0C1E"/>
    <w:rsid w:val="006C0D65"/>
    <w:rsid w:val="006C1B05"/>
    <w:rsid w:val="006C2C0A"/>
    <w:rsid w:val="006C2EA1"/>
    <w:rsid w:val="006C3101"/>
    <w:rsid w:val="006C3EA1"/>
    <w:rsid w:val="006C441E"/>
    <w:rsid w:val="006C55D2"/>
    <w:rsid w:val="006D05F3"/>
    <w:rsid w:val="006D0981"/>
    <w:rsid w:val="006D159D"/>
    <w:rsid w:val="006D1932"/>
    <w:rsid w:val="006D314F"/>
    <w:rsid w:val="006D4F3D"/>
    <w:rsid w:val="006D5521"/>
    <w:rsid w:val="006D5FA3"/>
    <w:rsid w:val="006D68ED"/>
    <w:rsid w:val="006D6924"/>
    <w:rsid w:val="006D6DE8"/>
    <w:rsid w:val="006D7424"/>
    <w:rsid w:val="006D7CDE"/>
    <w:rsid w:val="006E0374"/>
    <w:rsid w:val="006E0938"/>
    <w:rsid w:val="006E0D25"/>
    <w:rsid w:val="006E127F"/>
    <w:rsid w:val="006E17D3"/>
    <w:rsid w:val="006E2E1A"/>
    <w:rsid w:val="006E305C"/>
    <w:rsid w:val="006E4CD3"/>
    <w:rsid w:val="006E4F4A"/>
    <w:rsid w:val="006E7B41"/>
    <w:rsid w:val="006E7BEE"/>
    <w:rsid w:val="006E7C8D"/>
    <w:rsid w:val="006F323C"/>
    <w:rsid w:val="006F3B5B"/>
    <w:rsid w:val="006F4003"/>
    <w:rsid w:val="006F41B5"/>
    <w:rsid w:val="006F439D"/>
    <w:rsid w:val="006F46A2"/>
    <w:rsid w:val="006F5563"/>
    <w:rsid w:val="006F712B"/>
    <w:rsid w:val="006F75D9"/>
    <w:rsid w:val="007002C9"/>
    <w:rsid w:val="00702E81"/>
    <w:rsid w:val="007037EE"/>
    <w:rsid w:val="007039B2"/>
    <w:rsid w:val="00703B48"/>
    <w:rsid w:val="00703C50"/>
    <w:rsid w:val="00703E04"/>
    <w:rsid w:val="007044A4"/>
    <w:rsid w:val="007068F1"/>
    <w:rsid w:val="0070748B"/>
    <w:rsid w:val="00707CE2"/>
    <w:rsid w:val="00711741"/>
    <w:rsid w:val="0071347B"/>
    <w:rsid w:val="007144C2"/>
    <w:rsid w:val="0071457E"/>
    <w:rsid w:val="00715199"/>
    <w:rsid w:val="007155E2"/>
    <w:rsid w:val="00715854"/>
    <w:rsid w:val="007159E0"/>
    <w:rsid w:val="00716AAC"/>
    <w:rsid w:val="00716F19"/>
    <w:rsid w:val="00722449"/>
    <w:rsid w:val="00723150"/>
    <w:rsid w:val="007270FF"/>
    <w:rsid w:val="00732B95"/>
    <w:rsid w:val="00732F94"/>
    <w:rsid w:val="00734C3B"/>
    <w:rsid w:val="00734C7D"/>
    <w:rsid w:val="00736D46"/>
    <w:rsid w:val="00736DBE"/>
    <w:rsid w:val="00736DD4"/>
    <w:rsid w:val="00741438"/>
    <w:rsid w:val="0074190D"/>
    <w:rsid w:val="00741C9C"/>
    <w:rsid w:val="00743D51"/>
    <w:rsid w:val="00744128"/>
    <w:rsid w:val="007442B7"/>
    <w:rsid w:val="007446EE"/>
    <w:rsid w:val="007466DF"/>
    <w:rsid w:val="0074719C"/>
    <w:rsid w:val="00747489"/>
    <w:rsid w:val="00747E71"/>
    <w:rsid w:val="0075011B"/>
    <w:rsid w:val="00750185"/>
    <w:rsid w:val="00751B9F"/>
    <w:rsid w:val="007521AB"/>
    <w:rsid w:val="007525CF"/>
    <w:rsid w:val="007534CA"/>
    <w:rsid w:val="00753627"/>
    <w:rsid w:val="007543AC"/>
    <w:rsid w:val="00755099"/>
    <w:rsid w:val="00755C6B"/>
    <w:rsid w:val="007561EC"/>
    <w:rsid w:val="00756412"/>
    <w:rsid w:val="00757F94"/>
    <w:rsid w:val="00762B62"/>
    <w:rsid w:val="007642DA"/>
    <w:rsid w:val="0076439C"/>
    <w:rsid w:val="00765380"/>
    <w:rsid w:val="00767014"/>
    <w:rsid w:val="00767D84"/>
    <w:rsid w:val="007711B4"/>
    <w:rsid w:val="0077325C"/>
    <w:rsid w:val="00776BF1"/>
    <w:rsid w:val="00777904"/>
    <w:rsid w:val="007810D9"/>
    <w:rsid w:val="0078113A"/>
    <w:rsid w:val="00781ABC"/>
    <w:rsid w:val="00782CA4"/>
    <w:rsid w:val="00782D26"/>
    <w:rsid w:val="007834E0"/>
    <w:rsid w:val="00785CA0"/>
    <w:rsid w:val="007878A3"/>
    <w:rsid w:val="00787E51"/>
    <w:rsid w:val="00790901"/>
    <w:rsid w:val="00791645"/>
    <w:rsid w:val="00792C1C"/>
    <w:rsid w:val="00792CDF"/>
    <w:rsid w:val="0079303B"/>
    <w:rsid w:val="0079391D"/>
    <w:rsid w:val="007939FD"/>
    <w:rsid w:val="00793F25"/>
    <w:rsid w:val="0079432E"/>
    <w:rsid w:val="00794BBF"/>
    <w:rsid w:val="007951F5"/>
    <w:rsid w:val="00795484"/>
    <w:rsid w:val="00796FB9"/>
    <w:rsid w:val="007A097D"/>
    <w:rsid w:val="007A1E55"/>
    <w:rsid w:val="007A4E66"/>
    <w:rsid w:val="007A506F"/>
    <w:rsid w:val="007A5488"/>
    <w:rsid w:val="007A57AC"/>
    <w:rsid w:val="007A63ED"/>
    <w:rsid w:val="007A68BE"/>
    <w:rsid w:val="007B0159"/>
    <w:rsid w:val="007B171E"/>
    <w:rsid w:val="007B23B6"/>
    <w:rsid w:val="007B2B1B"/>
    <w:rsid w:val="007B32E3"/>
    <w:rsid w:val="007B4408"/>
    <w:rsid w:val="007B4B0B"/>
    <w:rsid w:val="007B61C8"/>
    <w:rsid w:val="007B61E8"/>
    <w:rsid w:val="007B6E12"/>
    <w:rsid w:val="007B6E9C"/>
    <w:rsid w:val="007C0F5B"/>
    <w:rsid w:val="007C1BB3"/>
    <w:rsid w:val="007C4A97"/>
    <w:rsid w:val="007C503C"/>
    <w:rsid w:val="007C541D"/>
    <w:rsid w:val="007C5A68"/>
    <w:rsid w:val="007C7003"/>
    <w:rsid w:val="007C71AD"/>
    <w:rsid w:val="007C774D"/>
    <w:rsid w:val="007D04F6"/>
    <w:rsid w:val="007D055A"/>
    <w:rsid w:val="007D1266"/>
    <w:rsid w:val="007D40E6"/>
    <w:rsid w:val="007D46BC"/>
    <w:rsid w:val="007D50DB"/>
    <w:rsid w:val="007D73D3"/>
    <w:rsid w:val="007E0865"/>
    <w:rsid w:val="007E189C"/>
    <w:rsid w:val="007E2510"/>
    <w:rsid w:val="007E252C"/>
    <w:rsid w:val="007E3B98"/>
    <w:rsid w:val="007E43A1"/>
    <w:rsid w:val="007E4682"/>
    <w:rsid w:val="007E55A9"/>
    <w:rsid w:val="007E61B6"/>
    <w:rsid w:val="007E7428"/>
    <w:rsid w:val="007E74E8"/>
    <w:rsid w:val="007E7E72"/>
    <w:rsid w:val="007F11ED"/>
    <w:rsid w:val="007F1ADB"/>
    <w:rsid w:val="007F1CF8"/>
    <w:rsid w:val="007F2C2F"/>
    <w:rsid w:val="007F3EE4"/>
    <w:rsid w:val="007F5B59"/>
    <w:rsid w:val="007F660E"/>
    <w:rsid w:val="007F67F4"/>
    <w:rsid w:val="007F6845"/>
    <w:rsid w:val="007F6A2C"/>
    <w:rsid w:val="007F7FCA"/>
    <w:rsid w:val="008008B8"/>
    <w:rsid w:val="00802F26"/>
    <w:rsid w:val="0080465D"/>
    <w:rsid w:val="008046EA"/>
    <w:rsid w:val="00804E33"/>
    <w:rsid w:val="008058A0"/>
    <w:rsid w:val="00807EA1"/>
    <w:rsid w:val="00807FAC"/>
    <w:rsid w:val="00810095"/>
    <w:rsid w:val="0081094C"/>
    <w:rsid w:val="00811FF2"/>
    <w:rsid w:val="00812E36"/>
    <w:rsid w:val="008134C0"/>
    <w:rsid w:val="00814CD6"/>
    <w:rsid w:val="0081533E"/>
    <w:rsid w:val="00815D74"/>
    <w:rsid w:val="0081620E"/>
    <w:rsid w:val="008167C9"/>
    <w:rsid w:val="00816A67"/>
    <w:rsid w:val="00816CD4"/>
    <w:rsid w:val="00823E30"/>
    <w:rsid w:val="00824085"/>
    <w:rsid w:val="008244E4"/>
    <w:rsid w:val="0082488A"/>
    <w:rsid w:val="0082510C"/>
    <w:rsid w:val="00827E21"/>
    <w:rsid w:val="00827E3D"/>
    <w:rsid w:val="00832191"/>
    <w:rsid w:val="00832237"/>
    <w:rsid w:val="00833BA2"/>
    <w:rsid w:val="00834203"/>
    <w:rsid w:val="00834AF3"/>
    <w:rsid w:val="00834CEA"/>
    <w:rsid w:val="00835077"/>
    <w:rsid w:val="008355F5"/>
    <w:rsid w:val="0083628C"/>
    <w:rsid w:val="00840F58"/>
    <w:rsid w:val="00841FEA"/>
    <w:rsid w:val="00842739"/>
    <w:rsid w:val="00844071"/>
    <w:rsid w:val="00844480"/>
    <w:rsid w:val="00844FB7"/>
    <w:rsid w:val="0084503E"/>
    <w:rsid w:val="008455D9"/>
    <w:rsid w:val="008459C8"/>
    <w:rsid w:val="00845A46"/>
    <w:rsid w:val="00846F39"/>
    <w:rsid w:val="00847C77"/>
    <w:rsid w:val="0085015E"/>
    <w:rsid w:val="00853866"/>
    <w:rsid w:val="008546A4"/>
    <w:rsid w:val="00857D69"/>
    <w:rsid w:val="008601A9"/>
    <w:rsid w:val="00861543"/>
    <w:rsid w:val="008620E2"/>
    <w:rsid w:val="008626E9"/>
    <w:rsid w:val="00863121"/>
    <w:rsid w:val="008640C6"/>
    <w:rsid w:val="008702B3"/>
    <w:rsid w:val="00870BA8"/>
    <w:rsid w:val="00870E77"/>
    <w:rsid w:val="00871EB3"/>
    <w:rsid w:val="00872716"/>
    <w:rsid w:val="00872AED"/>
    <w:rsid w:val="00873310"/>
    <w:rsid w:val="00873B71"/>
    <w:rsid w:val="00874C97"/>
    <w:rsid w:val="008758A0"/>
    <w:rsid w:val="0087601A"/>
    <w:rsid w:val="00877C39"/>
    <w:rsid w:val="008804F0"/>
    <w:rsid w:val="008805D7"/>
    <w:rsid w:val="00882A92"/>
    <w:rsid w:val="00882AD9"/>
    <w:rsid w:val="00883953"/>
    <w:rsid w:val="0088500F"/>
    <w:rsid w:val="00885A82"/>
    <w:rsid w:val="0088601A"/>
    <w:rsid w:val="00886282"/>
    <w:rsid w:val="00886413"/>
    <w:rsid w:val="0088642F"/>
    <w:rsid w:val="0089031E"/>
    <w:rsid w:val="00890C95"/>
    <w:rsid w:val="0089130F"/>
    <w:rsid w:val="00891443"/>
    <w:rsid w:val="008915D8"/>
    <w:rsid w:val="0089166B"/>
    <w:rsid w:val="00891BE4"/>
    <w:rsid w:val="00892791"/>
    <w:rsid w:val="00892D8C"/>
    <w:rsid w:val="008934C3"/>
    <w:rsid w:val="008935C7"/>
    <w:rsid w:val="00893BC9"/>
    <w:rsid w:val="0089576E"/>
    <w:rsid w:val="00895E4C"/>
    <w:rsid w:val="008969F5"/>
    <w:rsid w:val="00896D51"/>
    <w:rsid w:val="00897108"/>
    <w:rsid w:val="008A183D"/>
    <w:rsid w:val="008A2918"/>
    <w:rsid w:val="008A36C1"/>
    <w:rsid w:val="008A3B56"/>
    <w:rsid w:val="008A4E4D"/>
    <w:rsid w:val="008A6523"/>
    <w:rsid w:val="008A6972"/>
    <w:rsid w:val="008A6A44"/>
    <w:rsid w:val="008A6A64"/>
    <w:rsid w:val="008A6B44"/>
    <w:rsid w:val="008B2056"/>
    <w:rsid w:val="008B3E99"/>
    <w:rsid w:val="008B417E"/>
    <w:rsid w:val="008B46E1"/>
    <w:rsid w:val="008B4E39"/>
    <w:rsid w:val="008B614F"/>
    <w:rsid w:val="008B6765"/>
    <w:rsid w:val="008C27B0"/>
    <w:rsid w:val="008C429F"/>
    <w:rsid w:val="008C4986"/>
    <w:rsid w:val="008C4EF5"/>
    <w:rsid w:val="008C703C"/>
    <w:rsid w:val="008C70F0"/>
    <w:rsid w:val="008D06ED"/>
    <w:rsid w:val="008D164C"/>
    <w:rsid w:val="008D5A1A"/>
    <w:rsid w:val="008D73E9"/>
    <w:rsid w:val="008D747D"/>
    <w:rsid w:val="008E04FE"/>
    <w:rsid w:val="008E0595"/>
    <w:rsid w:val="008E0A26"/>
    <w:rsid w:val="008E1F9E"/>
    <w:rsid w:val="008E2507"/>
    <w:rsid w:val="008E2C58"/>
    <w:rsid w:val="008E2CCF"/>
    <w:rsid w:val="008E2FE5"/>
    <w:rsid w:val="008E3D6D"/>
    <w:rsid w:val="008E4CF7"/>
    <w:rsid w:val="008E5A2A"/>
    <w:rsid w:val="008E7498"/>
    <w:rsid w:val="008E761D"/>
    <w:rsid w:val="008E7D67"/>
    <w:rsid w:val="008F02CA"/>
    <w:rsid w:val="008F0C10"/>
    <w:rsid w:val="008F0F34"/>
    <w:rsid w:val="008F361C"/>
    <w:rsid w:val="008F4615"/>
    <w:rsid w:val="008F4ECF"/>
    <w:rsid w:val="008F506C"/>
    <w:rsid w:val="008F5415"/>
    <w:rsid w:val="008F5F77"/>
    <w:rsid w:val="008F7732"/>
    <w:rsid w:val="00901736"/>
    <w:rsid w:val="00902185"/>
    <w:rsid w:val="00902BD6"/>
    <w:rsid w:val="00902C32"/>
    <w:rsid w:val="00903FCD"/>
    <w:rsid w:val="0090500A"/>
    <w:rsid w:val="009050C1"/>
    <w:rsid w:val="0090692E"/>
    <w:rsid w:val="0090715A"/>
    <w:rsid w:val="009076C7"/>
    <w:rsid w:val="00910036"/>
    <w:rsid w:val="00910D50"/>
    <w:rsid w:val="00911250"/>
    <w:rsid w:val="00911B29"/>
    <w:rsid w:val="00914D62"/>
    <w:rsid w:val="00915E2A"/>
    <w:rsid w:val="00915E7B"/>
    <w:rsid w:val="0091658B"/>
    <w:rsid w:val="009166F1"/>
    <w:rsid w:val="00917A34"/>
    <w:rsid w:val="00917EE1"/>
    <w:rsid w:val="009208BA"/>
    <w:rsid w:val="00920932"/>
    <w:rsid w:val="00921E20"/>
    <w:rsid w:val="00922A21"/>
    <w:rsid w:val="00922FAC"/>
    <w:rsid w:val="00923562"/>
    <w:rsid w:val="0092383F"/>
    <w:rsid w:val="00925604"/>
    <w:rsid w:val="00926663"/>
    <w:rsid w:val="00926CD3"/>
    <w:rsid w:val="00927007"/>
    <w:rsid w:val="00927B6C"/>
    <w:rsid w:val="00930024"/>
    <w:rsid w:val="009315B3"/>
    <w:rsid w:val="00931998"/>
    <w:rsid w:val="00932D97"/>
    <w:rsid w:val="00932FA8"/>
    <w:rsid w:val="00934BDE"/>
    <w:rsid w:val="009351F9"/>
    <w:rsid w:val="009369EC"/>
    <w:rsid w:val="009409BD"/>
    <w:rsid w:val="00940A37"/>
    <w:rsid w:val="0094353D"/>
    <w:rsid w:val="00944234"/>
    <w:rsid w:val="00945450"/>
    <w:rsid w:val="009457C7"/>
    <w:rsid w:val="00945D15"/>
    <w:rsid w:val="00945F6E"/>
    <w:rsid w:val="00946A6C"/>
    <w:rsid w:val="00952DC7"/>
    <w:rsid w:val="00952ED7"/>
    <w:rsid w:val="009539EE"/>
    <w:rsid w:val="00953BC5"/>
    <w:rsid w:val="00954268"/>
    <w:rsid w:val="00954E3C"/>
    <w:rsid w:val="0095550A"/>
    <w:rsid w:val="00955AE3"/>
    <w:rsid w:val="00955D28"/>
    <w:rsid w:val="009562CF"/>
    <w:rsid w:val="00957E6C"/>
    <w:rsid w:val="00960BD3"/>
    <w:rsid w:val="00961D70"/>
    <w:rsid w:val="009621FB"/>
    <w:rsid w:val="00962EBA"/>
    <w:rsid w:val="0096311B"/>
    <w:rsid w:val="0096361A"/>
    <w:rsid w:val="00963A37"/>
    <w:rsid w:val="00964224"/>
    <w:rsid w:val="009650C9"/>
    <w:rsid w:val="00965609"/>
    <w:rsid w:val="00965F3B"/>
    <w:rsid w:val="009722B7"/>
    <w:rsid w:val="009726EC"/>
    <w:rsid w:val="00972B92"/>
    <w:rsid w:val="00976DC1"/>
    <w:rsid w:val="00976F9D"/>
    <w:rsid w:val="00977012"/>
    <w:rsid w:val="009770B3"/>
    <w:rsid w:val="0098057E"/>
    <w:rsid w:val="009808BD"/>
    <w:rsid w:val="009826DF"/>
    <w:rsid w:val="00983C25"/>
    <w:rsid w:val="00984355"/>
    <w:rsid w:val="00984A0C"/>
    <w:rsid w:val="00985D80"/>
    <w:rsid w:val="009862E7"/>
    <w:rsid w:val="009863DF"/>
    <w:rsid w:val="00986460"/>
    <w:rsid w:val="009872B4"/>
    <w:rsid w:val="00987F3A"/>
    <w:rsid w:val="00990392"/>
    <w:rsid w:val="0099107D"/>
    <w:rsid w:val="00991968"/>
    <w:rsid w:val="00992FA5"/>
    <w:rsid w:val="00993985"/>
    <w:rsid w:val="009943BB"/>
    <w:rsid w:val="00994FF8"/>
    <w:rsid w:val="00996861"/>
    <w:rsid w:val="00997BB3"/>
    <w:rsid w:val="009A02A9"/>
    <w:rsid w:val="009A0857"/>
    <w:rsid w:val="009A0C35"/>
    <w:rsid w:val="009A16CA"/>
    <w:rsid w:val="009A1DB4"/>
    <w:rsid w:val="009A2551"/>
    <w:rsid w:val="009A2BDE"/>
    <w:rsid w:val="009A301C"/>
    <w:rsid w:val="009A3454"/>
    <w:rsid w:val="009A3B83"/>
    <w:rsid w:val="009A436C"/>
    <w:rsid w:val="009A4E56"/>
    <w:rsid w:val="009A4F49"/>
    <w:rsid w:val="009A50B9"/>
    <w:rsid w:val="009A562D"/>
    <w:rsid w:val="009A5E1F"/>
    <w:rsid w:val="009A6040"/>
    <w:rsid w:val="009A6591"/>
    <w:rsid w:val="009A76E7"/>
    <w:rsid w:val="009B0760"/>
    <w:rsid w:val="009B1709"/>
    <w:rsid w:val="009B597B"/>
    <w:rsid w:val="009B669D"/>
    <w:rsid w:val="009B67C1"/>
    <w:rsid w:val="009C0089"/>
    <w:rsid w:val="009C185F"/>
    <w:rsid w:val="009C2833"/>
    <w:rsid w:val="009C5D52"/>
    <w:rsid w:val="009C614B"/>
    <w:rsid w:val="009C65EC"/>
    <w:rsid w:val="009C6B70"/>
    <w:rsid w:val="009C7E1D"/>
    <w:rsid w:val="009D0AB4"/>
    <w:rsid w:val="009D141D"/>
    <w:rsid w:val="009D17B6"/>
    <w:rsid w:val="009D1EF4"/>
    <w:rsid w:val="009D2BC0"/>
    <w:rsid w:val="009D2FEE"/>
    <w:rsid w:val="009D32AF"/>
    <w:rsid w:val="009D3447"/>
    <w:rsid w:val="009D3679"/>
    <w:rsid w:val="009D6493"/>
    <w:rsid w:val="009D6DC7"/>
    <w:rsid w:val="009D78F9"/>
    <w:rsid w:val="009E0E58"/>
    <w:rsid w:val="009E111B"/>
    <w:rsid w:val="009E19B7"/>
    <w:rsid w:val="009E205C"/>
    <w:rsid w:val="009E36AA"/>
    <w:rsid w:val="009E37AC"/>
    <w:rsid w:val="009E3C68"/>
    <w:rsid w:val="009E429A"/>
    <w:rsid w:val="009E48AE"/>
    <w:rsid w:val="009E5131"/>
    <w:rsid w:val="009E55C5"/>
    <w:rsid w:val="009E6526"/>
    <w:rsid w:val="009E6CDC"/>
    <w:rsid w:val="009F0EC7"/>
    <w:rsid w:val="009F12A5"/>
    <w:rsid w:val="009F48A3"/>
    <w:rsid w:val="009F6B70"/>
    <w:rsid w:val="009F701F"/>
    <w:rsid w:val="009F7577"/>
    <w:rsid w:val="00A00200"/>
    <w:rsid w:val="00A01168"/>
    <w:rsid w:val="00A0147C"/>
    <w:rsid w:val="00A017ED"/>
    <w:rsid w:val="00A02B8E"/>
    <w:rsid w:val="00A02F59"/>
    <w:rsid w:val="00A0301A"/>
    <w:rsid w:val="00A0342E"/>
    <w:rsid w:val="00A0400C"/>
    <w:rsid w:val="00A044F8"/>
    <w:rsid w:val="00A05CFF"/>
    <w:rsid w:val="00A078A4"/>
    <w:rsid w:val="00A106BF"/>
    <w:rsid w:val="00A10898"/>
    <w:rsid w:val="00A11157"/>
    <w:rsid w:val="00A12100"/>
    <w:rsid w:val="00A12221"/>
    <w:rsid w:val="00A1235F"/>
    <w:rsid w:val="00A12BA6"/>
    <w:rsid w:val="00A1302F"/>
    <w:rsid w:val="00A13883"/>
    <w:rsid w:val="00A14B9D"/>
    <w:rsid w:val="00A14DBE"/>
    <w:rsid w:val="00A1503C"/>
    <w:rsid w:val="00A15DA7"/>
    <w:rsid w:val="00A161FD"/>
    <w:rsid w:val="00A169CA"/>
    <w:rsid w:val="00A1725D"/>
    <w:rsid w:val="00A20AB5"/>
    <w:rsid w:val="00A21820"/>
    <w:rsid w:val="00A21BE9"/>
    <w:rsid w:val="00A22596"/>
    <w:rsid w:val="00A231ED"/>
    <w:rsid w:val="00A23C03"/>
    <w:rsid w:val="00A25503"/>
    <w:rsid w:val="00A25F16"/>
    <w:rsid w:val="00A27659"/>
    <w:rsid w:val="00A31808"/>
    <w:rsid w:val="00A33CB0"/>
    <w:rsid w:val="00A3469B"/>
    <w:rsid w:val="00A358A1"/>
    <w:rsid w:val="00A36441"/>
    <w:rsid w:val="00A37537"/>
    <w:rsid w:val="00A40161"/>
    <w:rsid w:val="00A420AA"/>
    <w:rsid w:val="00A42572"/>
    <w:rsid w:val="00A436C9"/>
    <w:rsid w:val="00A449A5"/>
    <w:rsid w:val="00A44F4B"/>
    <w:rsid w:val="00A47693"/>
    <w:rsid w:val="00A47F2D"/>
    <w:rsid w:val="00A50317"/>
    <w:rsid w:val="00A51382"/>
    <w:rsid w:val="00A51D07"/>
    <w:rsid w:val="00A525EF"/>
    <w:rsid w:val="00A52EE3"/>
    <w:rsid w:val="00A53258"/>
    <w:rsid w:val="00A532BC"/>
    <w:rsid w:val="00A53E27"/>
    <w:rsid w:val="00A53E7E"/>
    <w:rsid w:val="00A54905"/>
    <w:rsid w:val="00A5566F"/>
    <w:rsid w:val="00A5585B"/>
    <w:rsid w:val="00A5690D"/>
    <w:rsid w:val="00A56936"/>
    <w:rsid w:val="00A569C2"/>
    <w:rsid w:val="00A56BD4"/>
    <w:rsid w:val="00A600CA"/>
    <w:rsid w:val="00A607F5"/>
    <w:rsid w:val="00A60B3F"/>
    <w:rsid w:val="00A60E83"/>
    <w:rsid w:val="00A6128A"/>
    <w:rsid w:val="00A615F0"/>
    <w:rsid w:val="00A61AEB"/>
    <w:rsid w:val="00A628B3"/>
    <w:rsid w:val="00A63C1B"/>
    <w:rsid w:val="00A6543B"/>
    <w:rsid w:val="00A65F2F"/>
    <w:rsid w:val="00A66EBB"/>
    <w:rsid w:val="00A6714E"/>
    <w:rsid w:val="00A672CC"/>
    <w:rsid w:val="00A6789C"/>
    <w:rsid w:val="00A67CE5"/>
    <w:rsid w:val="00A67EAE"/>
    <w:rsid w:val="00A70256"/>
    <w:rsid w:val="00A70540"/>
    <w:rsid w:val="00A7170A"/>
    <w:rsid w:val="00A71906"/>
    <w:rsid w:val="00A73B82"/>
    <w:rsid w:val="00A770A7"/>
    <w:rsid w:val="00A775DD"/>
    <w:rsid w:val="00A77EDB"/>
    <w:rsid w:val="00A8027A"/>
    <w:rsid w:val="00A8212B"/>
    <w:rsid w:val="00A825C1"/>
    <w:rsid w:val="00A82983"/>
    <w:rsid w:val="00A82A33"/>
    <w:rsid w:val="00A82AA6"/>
    <w:rsid w:val="00A82CD1"/>
    <w:rsid w:val="00A839D3"/>
    <w:rsid w:val="00A84C76"/>
    <w:rsid w:val="00A85279"/>
    <w:rsid w:val="00A85528"/>
    <w:rsid w:val="00A903FD"/>
    <w:rsid w:val="00A90EA3"/>
    <w:rsid w:val="00A90FC0"/>
    <w:rsid w:val="00A91AD8"/>
    <w:rsid w:val="00A92090"/>
    <w:rsid w:val="00A92309"/>
    <w:rsid w:val="00A92B53"/>
    <w:rsid w:val="00A92C2A"/>
    <w:rsid w:val="00A92DD4"/>
    <w:rsid w:val="00A93AA9"/>
    <w:rsid w:val="00A952A6"/>
    <w:rsid w:val="00A9571C"/>
    <w:rsid w:val="00A95B15"/>
    <w:rsid w:val="00A95C17"/>
    <w:rsid w:val="00A95E6C"/>
    <w:rsid w:val="00A963FA"/>
    <w:rsid w:val="00A96660"/>
    <w:rsid w:val="00AA2D3C"/>
    <w:rsid w:val="00AA2EE7"/>
    <w:rsid w:val="00AA351F"/>
    <w:rsid w:val="00AA3605"/>
    <w:rsid w:val="00AA3A17"/>
    <w:rsid w:val="00AA3AD6"/>
    <w:rsid w:val="00AA40C5"/>
    <w:rsid w:val="00AA444B"/>
    <w:rsid w:val="00AA492C"/>
    <w:rsid w:val="00AA51AA"/>
    <w:rsid w:val="00AA7F0B"/>
    <w:rsid w:val="00AB07A1"/>
    <w:rsid w:val="00AB2990"/>
    <w:rsid w:val="00AB324D"/>
    <w:rsid w:val="00AB3D65"/>
    <w:rsid w:val="00AB3FCE"/>
    <w:rsid w:val="00AB466A"/>
    <w:rsid w:val="00AB46CE"/>
    <w:rsid w:val="00AB6080"/>
    <w:rsid w:val="00AB6667"/>
    <w:rsid w:val="00AB6E41"/>
    <w:rsid w:val="00AC0E62"/>
    <w:rsid w:val="00AC1FF4"/>
    <w:rsid w:val="00AC29C6"/>
    <w:rsid w:val="00AC3213"/>
    <w:rsid w:val="00AC48E5"/>
    <w:rsid w:val="00AC5391"/>
    <w:rsid w:val="00AC55B4"/>
    <w:rsid w:val="00AC58D5"/>
    <w:rsid w:val="00AD022E"/>
    <w:rsid w:val="00AD0B3F"/>
    <w:rsid w:val="00AD0C22"/>
    <w:rsid w:val="00AD363E"/>
    <w:rsid w:val="00AD5E68"/>
    <w:rsid w:val="00AD7DA6"/>
    <w:rsid w:val="00AD7E2B"/>
    <w:rsid w:val="00AE0505"/>
    <w:rsid w:val="00AE0A41"/>
    <w:rsid w:val="00AE1790"/>
    <w:rsid w:val="00AE1CAF"/>
    <w:rsid w:val="00AE59ED"/>
    <w:rsid w:val="00AE746E"/>
    <w:rsid w:val="00AF03DD"/>
    <w:rsid w:val="00AF0D80"/>
    <w:rsid w:val="00AF1794"/>
    <w:rsid w:val="00AF21B7"/>
    <w:rsid w:val="00AF3263"/>
    <w:rsid w:val="00AF3962"/>
    <w:rsid w:val="00AF4CE8"/>
    <w:rsid w:val="00AF5664"/>
    <w:rsid w:val="00AF6358"/>
    <w:rsid w:val="00AF6FFF"/>
    <w:rsid w:val="00B00100"/>
    <w:rsid w:val="00B0031B"/>
    <w:rsid w:val="00B00A88"/>
    <w:rsid w:val="00B01A38"/>
    <w:rsid w:val="00B01E3A"/>
    <w:rsid w:val="00B020BD"/>
    <w:rsid w:val="00B02898"/>
    <w:rsid w:val="00B02C9B"/>
    <w:rsid w:val="00B05ADE"/>
    <w:rsid w:val="00B06DD3"/>
    <w:rsid w:val="00B076B6"/>
    <w:rsid w:val="00B078E2"/>
    <w:rsid w:val="00B104E5"/>
    <w:rsid w:val="00B105E0"/>
    <w:rsid w:val="00B110EC"/>
    <w:rsid w:val="00B112EC"/>
    <w:rsid w:val="00B11749"/>
    <w:rsid w:val="00B13AC9"/>
    <w:rsid w:val="00B14909"/>
    <w:rsid w:val="00B1633A"/>
    <w:rsid w:val="00B20550"/>
    <w:rsid w:val="00B215F3"/>
    <w:rsid w:val="00B222D7"/>
    <w:rsid w:val="00B2377C"/>
    <w:rsid w:val="00B23E61"/>
    <w:rsid w:val="00B251DE"/>
    <w:rsid w:val="00B2622C"/>
    <w:rsid w:val="00B2638A"/>
    <w:rsid w:val="00B26518"/>
    <w:rsid w:val="00B274DD"/>
    <w:rsid w:val="00B27EF3"/>
    <w:rsid w:val="00B30304"/>
    <w:rsid w:val="00B3055C"/>
    <w:rsid w:val="00B3100D"/>
    <w:rsid w:val="00B3113F"/>
    <w:rsid w:val="00B3188B"/>
    <w:rsid w:val="00B3280B"/>
    <w:rsid w:val="00B3282A"/>
    <w:rsid w:val="00B3709A"/>
    <w:rsid w:val="00B37BF0"/>
    <w:rsid w:val="00B37DB0"/>
    <w:rsid w:val="00B40BAE"/>
    <w:rsid w:val="00B4444F"/>
    <w:rsid w:val="00B44683"/>
    <w:rsid w:val="00B4544C"/>
    <w:rsid w:val="00B45695"/>
    <w:rsid w:val="00B47CF1"/>
    <w:rsid w:val="00B511DF"/>
    <w:rsid w:val="00B514B1"/>
    <w:rsid w:val="00B53F15"/>
    <w:rsid w:val="00B54012"/>
    <w:rsid w:val="00B54083"/>
    <w:rsid w:val="00B5461E"/>
    <w:rsid w:val="00B5486A"/>
    <w:rsid w:val="00B60EA9"/>
    <w:rsid w:val="00B6355F"/>
    <w:rsid w:val="00B65599"/>
    <w:rsid w:val="00B655E4"/>
    <w:rsid w:val="00B6561A"/>
    <w:rsid w:val="00B660B5"/>
    <w:rsid w:val="00B6676A"/>
    <w:rsid w:val="00B66A4E"/>
    <w:rsid w:val="00B70DE1"/>
    <w:rsid w:val="00B739B4"/>
    <w:rsid w:val="00B743BA"/>
    <w:rsid w:val="00B758F0"/>
    <w:rsid w:val="00B7648A"/>
    <w:rsid w:val="00B7710C"/>
    <w:rsid w:val="00B800CF"/>
    <w:rsid w:val="00B801DA"/>
    <w:rsid w:val="00B80424"/>
    <w:rsid w:val="00B80426"/>
    <w:rsid w:val="00B81101"/>
    <w:rsid w:val="00B81680"/>
    <w:rsid w:val="00B8200C"/>
    <w:rsid w:val="00B82932"/>
    <w:rsid w:val="00B83828"/>
    <w:rsid w:val="00B8471E"/>
    <w:rsid w:val="00B84A6D"/>
    <w:rsid w:val="00B84B75"/>
    <w:rsid w:val="00B85007"/>
    <w:rsid w:val="00B853F8"/>
    <w:rsid w:val="00B8659F"/>
    <w:rsid w:val="00B907EF"/>
    <w:rsid w:val="00B91103"/>
    <w:rsid w:val="00B92024"/>
    <w:rsid w:val="00B926E9"/>
    <w:rsid w:val="00B93B69"/>
    <w:rsid w:val="00B943A8"/>
    <w:rsid w:val="00B95838"/>
    <w:rsid w:val="00B96022"/>
    <w:rsid w:val="00B96CAA"/>
    <w:rsid w:val="00BA109E"/>
    <w:rsid w:val="00BA2541"/>
    <w:rsid w:val="00BA3B96"/>
    <w:rsid w:val="00BA4180"/>
    <w:rsid w:val="00BA4AE4"/>
    <w:rsid w:val="00BA64D1"/>
    <w:rsid w:val="00BA67E3"/>
    <w:rsid w:val="00BA6E63"/>
    <w:rsid w:val="00BB0196"/>
    <w:rsid w:val="00BB02B1"/>
    <w:rsid w:val="00BB0316"/>
    <w:rsid w:val="00BB041B"/>
    <w:rsid w:val="00BB1778"/>
    <w:rsid w:val="00BB2360"/>
    <w:rsid w:val="00BB25E3"/>
    <w:rsid w:val="00BB2ADF"/>
    <w:rsid w:val="00BB425E"/>
    <w:rsid w:val="00BB7ADE"/>
    <w:rsid w:val="00BC08BB"/>
    <w:rsid w:val="00BC0988"/>
    <w:rsid w:val="00BC1E1F"/>
    <w:rsid w:val="00BC237F"/>
    <w:rsid w:val="00BC263F"/>
    <w:rsid w:val="00BC280F"/>
    <w:rsid w:val="00BC3845"/>
    <w:rsid w:val="00BC4CDE"/>
    <w:rsid w:val="00BC67DA"/>
    <w:rsid w:val="00BC68AE"/>
    <w:rsid w:val="00BC6941"/>
    <w:rsid w:val="00BC71CC"/>
    <w:rsid w:val="00BC7670"/>
    <w:rsid w:val="00BD184D"/>
    <w:rsid w:val="00BD2091"/>
    <w:rsid w:val="00BD23B5"/>
    <w:rsid w:val="00BD26D7"/>
    <w:rsid w:val="00BD3ECB"/>
    <w:rsid w:val="00BD48C6"/>
    <w:rsid w:val="00BD4A1F"/>
    <w:rsid w:val="00BD4C0F"/>
    <w:rsid w:val="00BD62D9"/>
    <w:rsid w:val="00BD7C99"/>
    <w:rsid w:val="00BE07C2"/>
    <w:rsid w:val="00BE14D0"/>
    <w:rsid w:val="00BE2F1B"/>
    <w:rsid w:val="00BE58CA"/>
    <w:rsid w:val="00BE5A56"/>
    <w:rsid w:val="00BE6136"/>
    <w:rsid w:val="00BE6F85"/>
    <w:rsid w:val="00BE76B5"/>
    <w:rsid w:val="00BE7BEE"/>
    <w:rsid w:val="00BE7DDE"/>
    <w:rsid w:val="00BE7F15"/>
    <w:rsid w:val="00BF00B8"/>
    <w:rsid w:val="00BF1038"/>
    <w:rsid w:val="00BF1B4E"/>
    <w:rsid w:val="00BF21F3"/>
    <w:rsid w:val="00BF26DB"/>
    <w:rsid w:val="00BF2809"/>
    <w:rsid w:val="00BF2D10"/>
    <w:rsid w:val="00BF2D35"/>
    <w:rsid w:val="00BF2F1E"/>
    <w:rsid w:val="00BF3924"/>
    <w:rsid w:val="00BF3AAD"/>
    <w:rsid w:val="00BF453B"/>
    <w:rsid w:val="00BF6972"/>
    <w:rsid w:val="00BF6A59"/>
    <w:rsid w:val="00C0045F"/>
    <w:rsid w:val="00C00663"/>
    <w:rsid w:val="00C009B4"/>
    <w:rsid w:val="00C01AB9"/>
    <w:rsid w:val="00C01DD1"/>
    <w:rsid w:val="00C043D2"/>
    <w:rsid w:val="00C04F88"/>
    <w:rsid w:val="00C06202"/>
    <w:rsid w:val="00C0744D"/>
    <w:rsid w:val="00C07536"/>
    <w:rsid w:val="00C11A4F"/>
    <w:rsid w:val="00C11C7A"/>
    <w:rsid w:val="00C12228"/>
    <w:rsid w:val="00C12D1F"/>
    <w:rsid w:val="00C130BD"/>
    <w:rsid w:val="00C200F1"/>
    <w:rsid w:val="00C20D26"/>
    <w:rsid w:val="00C217D8"/>
    <w:rsid w:val="00C219D7"/>
    <w:rsid w:val="00C22030"/>
    <w:rsid w:val="00C226D9"/>
    <w:rsid w:val="00C22D94"/>
    <w:rsid w:val="00C24E96"/>
    <w:rsid w:val="00C263E2"/>
    <w:rsid w:val="00C268AA"/>
    <w:rsid w:val="00C27C90"/>
    <w:rsid w:val="00C31076"/>
    <w:rsid w:val="00C31465"/>
    <w:rsid w:val="00C33396"/>
    <w:rsid w:val="00C3487C"/>
    <w:rsid w:val="00C34BEB"/>
    <w:rsid w:val="00C37241"/>
    <w:rsid w:val="00C373B6"/>
    <w:rsid w:val="00C42C03"/>
    <w:rsid w:val="00C4360C"/>
    <w:rsid w:val="00C438F1"/>
    <w:rsid w:val="00C43A29"/>
    <w:rsid w:val="00C46236"/>
    <w:rsid w:val="00C467D7"/>
    <w:rsid w:val="00C47CFC"/>
    <w:rsid w:val="00C47F95"/>
    <w:rsid w:val="00C51512"/>
    <w:rsid w:val="00C515EA"/>
    <w:rsid w:val="00C5191E"/>
    <w:rsid w:val="00C538F6"/>
    <w:rsid w:val="00C5478C"/>
    <w:rsid w:val="00C54922"/>
    <w:rsid w:val="00C54C59"/>
    <w:rsid w:val="00C54CDA"/>
    <w:rsid w:val="00C55002"/>
    <w:rsid w:val="00C615B3"/>
    <w:rsid w:val="00C62041"/>
    <w:rsid w:val="00C6257C"/>
    <w:rsid w:val="00C62AC9"/>
    <w:rsid w:val="00C6356E"/>
    <w:rsid w:val="00C64697"/>
    <w:rsid w:val="00C648C5"/>
    <w:rsid w:val="00C64B68"/>
    <w:rsid w:val="00C654D8"/>
    <w:rsid w:val="00C71806"/>
    <w:rsid w:val="00C72350"/>
    <w:rsid w:val="00C73B4F"/>
    <w:rsid w:val="00C75B52"/>
    <w:rsid w:val="00C760CC"/>
    <w:rsid w:val="00C7748A"/>
    <w:rsid w:val="00C77C88"/>
    <w:rsid w:val="00C802DF"/>
    <w:rsid w:val="00C8033D"/>
    <w:rsid w:val="00C82C92"/>
    <w:rsid w:val="00C83EA7"/>
    <w:rsid w:val="00C83FB0"/>
    <w:rsid w:val="00C83FEA"/>
    <w:rsid w:val="00C84A19"/>
    <w:rsid w:val="00C85605"/>
    <w:rsid w:val="00C867F9"/>
    <w:rsid w:val="00C905ED"/>
    <w:rsid w:val="00C91818"/>
    <w:rsid w:val="00C91DFD"/>
    <w:rsid w:val="00C9286E"/>
    <w:rsid w:val="00C92C78"/>
    <w:rsid w:val="00C94E90"/>
    <w:rsid w:val="00C955B0"/>
    <w:rsid w:val="00C9758A"/>
    <w:rsid w:val="00C97A27"/>
    <w:rsid w:val="00C97A2C"/>
    <w:rsid w:val="00C97AE4"/>
    <w:rsid w:val="00CA1EF5"/>
    <w:rsid w:val="00CA2382"/>
    <w:rsid w:val="00CA2B51"/>
    <w:rsid w:val="00CA2F77"/>
    <w:rsid w:val="00CA34B7"/>
    <w:rsid w:val="00CA3651"/>
    <w:rsid w:val="00CA36F1"/>
    <w:rsid w:val="00CA38E6"/>
    <w:rsid w:val="00CA48D0"/>
    <w:rsid w:val="00CA552A"/>
    <w:rsid w:val="00CA65B5"/>
    <w:rsid w:val="00CA6C71"/>
    <w:rsid w:val="00CA70EA"/>
    <w:rsid w:val="00CA7B28"/>
    <w:rsid w:val="00CB0A0F"/>
    <w:rsid w:val="00CB0C11"/>
    <w:rsid w:val="00CB0DD9"/>
    <w:rsid w:val="00CB284C"/>
    <w:rsid w:val="00CB33E2"/>
    <w:rsid w:val="00CB3A52"/>
    <w:rsid w:val="00CB4C25"/>
    <w:rsid w:val="00CB55A4"/>
    <w:rsid w:val="00CB58ED"/>
    <w:rsid w:val="00CB59D8"/>
    <w:rsid w:val="00CB5CF8"/>
    <w:rsid w:val="00CB6F87"/>
    <w:rsid w:val="00CB7462"/>
    <w:rsid w:val="00CC17BD"/>
    <w:rsid w:val="00CC2519"/>
    <w:rsid w:val="00CC265D"/>
    <w:rsid w:val="00CC345C"/>
    <w:rsid w:val="00CC686A"/>
    <w:rsid w:val="00CC74D0"/>
    <w:rsid w:val="00CD0C1A"/>
    <w:rsid w:val="00CD3B30"/>
    <w:rsid w:val="00CD50B2"/>
    <w:rsid w:val="00CD5E17"/>
    <w:rsid w:val="00CD5EB3"/>
    <w:rsid w:val="00CD6E4E"/>
    <w:rsid w:val="00CD7194"/>
    <w:rsid w:val="00CD7A66"/>
    <w:rsid w:val="00CE14F4"/>
    <w:rsid w:val="00CE1AC4"/>
    <w:rsid w:val="00CE2B49"/>
    <w:rsid w:val="00CE2BA6"/>
    <w:rsid w:val="00CE2DDE"/>
    <w:rsid w:val="00CE2EE4"/>
    <w:rsid w:val="00CE4230"/>
    <w:rsid w:val="00CE49B5"/>
    <w:rsid w:val="00CE4A9F"/>
    <w:rsid w:val="00CE4E1F"/>
    <w:rsid w:val="00CE670A"/>
    <w:rsid w:val="00CE6782"/>
    <w:rsid w:val="00CF0ED1"/>
    <w:rsid w:val="00CF202D"/>
    <w:rsid w:val="00CF23C4"/>
    <w:rsid w:val="00CF3C00"/>
    <w:rsid w:val="00CF4B1B"/>
    <w:rsid w:val="00CF596A"/>
    <w:rsid w:val="00CF6030"/>
    <w:rsid w:val="00CF764C"/>
    <w:rsid w:val="00CF7B19"/>
    <w:rsid w:val="00D01088"/>
    <w:rsid w:val="00D01E9C"/>
    <w:rsid w:val="00D0219C"/>
    <w:rsid w:val="00D02660"/>
    <w:rsid w:val="00D02AE4"/>
    <w:rsid w:val="00D049B8"/>
    <w:rsid w:val="00D05B2A"/>
    <w:rsid w:val="00D05C36"/>
    <w:rsid w:val="00D05C3F"/>
    <w:rsid w:val="00D05FF4"/>
    <w:rsid w:val="00D062C1"/>
    <w:rsid w:val="00D077ED"/>
    <w:rsid w:val="00D10186"/>
    <w:rsid w:val="00D10B7A"/>
    <w:rsid w:val="00D10E02"/>
    <w:rsid w:val="00D11F49"/>
    <w:rsid w:val="00D12B00"/>
    <w:rsid w:val="00D13673"/>
    <w:rsid w:val="00D17EFF"/>
    <w:rsid w:val="00D20598"/>
    <w:rsid w:val="00D22093"/>
    <w:rsid w:val="00D225D0"/>
    <w:rsid w:val="00D244B3"/>
    <w:rsid w:val="00D257EA"/>
    <w:rsid w:val="00D30643"/>
    <w:rsid w:val="00D318B9"/>
    <w:rsid w:val="00D33621"/>
    <w:rsid w:val="00D33CCC"/>
    <w:rsid w:val="00D34C8D"/>
    <w:rsid w:val="00D351E3"/>
    <w:rsid w:val="00D3563C"/>
    <w:rsid w:val="00D36A29"/>
    <w:rsid w:val="00D40069"/>
    <w:rsid w:val="00D40A2F"/>
    <w:rsid w:val="00D41D21"/>
    <w:rsid w:val="00D41F02"/>
    <w:rsid w:val="00D42130"/>
    <w:rsid w:val="00D424E2"/>
    <w:rsid w:val="00D43846"/>
    <w:rsid w:val="00D44676"/>
    <w:rsid w:val="00D4503D"/>
    <w:rsid w:val="00D4695F"/>
    <w:rsid w:val="00D47362"/>
    <w:rsid w:val="00D47DD8"/>
    <w:rsid w:val="00D502D5"/>
    <w:rsid w:val="00D52330"/>
    <w:rsid w:val="00D52D1E"/>
    <w:rsid w:val="00D5360C"/>
    <w:rsid w:val="00D53A6C"/>
    <w:rsid w:val="00D55ADA"/>
    <w:rsid w:val="00D57550"/>
    <w:rsid w:val="00D60717"/>
    <w:rsid w:val="00D6109B"/>
    <w:rsid w:val="00D6119D"/>
    <w:rsid w:val="00D61A97"/>
    <w:rsid w:val="00D61CAA"/>
    <w:rsid w:val="00D627FB"/>
    <w:rsid w:val="00D6310A"/>
    <w:rsid w:val="00D63143"/>
    <w:rsid w:val="00D636DA"/>
    <w:rsid w:val="00D64329"/>
    <w:rsid w:val="00D6494A"/>
    <w:rsid w:val="00D66557"/>
    <w:rsid w:val="00D66F42"/>
    <w:rsid w:val="00D6722C"/>
    <w:rsid w:val="00D7041F"/>
    <w:rsid w:val="00D716AF"/>
    <w:rsid w:val="00D7193E"/>
    <w:rsid w:val="00D71EC3"/>
    <w:rsid w:val="00D72FE6"/>
    <w:rsid w:val="00D732A6"/>
    <w:rsid w:val="00D748AE"/>
    <w:rsid w:val="00D750F6"/>
    <w:rsid w:val="00D77751"/>
    <w:rsid w:val="00D803B0"/>
    <w:rsid w:val="00D83363"/>
    <w:rsid w:val="00D83823"/>
    <w:rsid w:val="00D843A2"/>
    <w:rsid w:val="00D85202"/>
    <w:rsid w:val="00D854D4"/>
    <w:rsid w:val="00D85C96"/>
    <w:rsid w:val="00D86938"/>
    <w:rsid w:val="00D87215"/>
    <w:rsid w:val="00D87DA2"/>
    <w:rsid w:val="00D90D0B"/>
    <w:rsid w:val="00D9357B"/>
    <w:rsid w:val="00D93BAA"/>
    <w:rsid w:val="00D95405"/>
    <w:rsid w:val="00D95FAD"/>
    <w:rsid w:val="00DA0C28"/>
    <w:rsid w:val="00DA1538"/>
    <w:rsid w:val="00DA3619"/>
    <w:rsid w:val="00DA3DC4"/>
    <w:rsid w:val="00DA4259"/>
    <w:rsid w:val="00DA4279"/>
    <w:rsid w:val="00DA43CE"/>
    <w:rsid w:val="00DA475F"/>
    <w:rsid w:val="00DA5908"/>
    <w:rsid w:val="00DA597B"/>
    <w:rsid w:val="00DA5FFE"/>
    <w:rsid w:val="00DA6C2E"/>
    <w:rsid w:val="00DA7309"/>
    <w:rsid w:val="00DA7610"/>
    <w:rsid w:val="00DA77C2"/>
    <w:rsid w:val="00DB05AF"/>
    <w:rsid w:val="00DB09ED"/>
    <w:rsid w:val="00DB1948"/>
    <w:rsid w:val="00DB2225"/>
    <w:rsid w:val="00DB5935"/>
    <w:rsid w:val="00DB7166"/>
    <w:rsid w:val="00DB71D0"/>
    <w:rsid w:val="00DB7E7B"/>
    <w:rsid w:val="00DC163D"/>
    <w:rsid w:val="00DC353E"/>
    <w:rsid w:val="00DC3978"/>
    <w:rsid w:val="00DC3983"/>
    <w:rsid w:val="00DC4184"/>
    <w:rsid w:val="00DC44B9"/>
    <w:rsid w:val="00DC4E30"/>
    <w:rsid w:val="00DC5300"/>
    <w:rsid w:val="00DC62FD"/>
    <w:rsid w:val="00DC68F8"/>
    <w:rsid w:val="00DC69AD"/>
    <w:rsid w:val="00DD0D17"/>
    <w:rsid w:val="00DD0E75"/>
    <w:rsid w:val="00DD0EF0"/>
    <w:rsid w:val="00DD1130"/>
    <w:rsid w:val="00DD1978"/>
    <w:rsid w:val="00DD1EF8"/>
    <w:rsid w:val="00DD2300"/>
    <w:rsid w:val="00DD2BA0"/>
    <w:rsid w:val="00DD4BD7"/>
    <w:rsid w:val="00DD586C"/>
    <w:rsid w:val="00DD607A"/>
    <w:rsid w:val="00DD6602"/>
    <w:rsid w:val="00DD6AD4"/>
    <w:rsid w:val="00DD6E0F"/>
    <w:rsid w:val="00DE0140"/>
    <w:rsid w:val="00DE1DFF"/>
    <w:rsid w:val="00DE2F43"/>
    <w:rsid w:val="00DE3666"/>
    <w:rsid w:val="00DE3B04"/>
    <w:rsid w:val="00DE49EF"/>
    <w:rsid w:val="00DE49F3"/>
    <w:rsid w:val="00DE7212"/>
    <w:rsid w:val="00DE73EB"/>
    <w:rsid w:val="00DF0251"/>
    <w:rsid w:val="00DF0ED4"/>
    <w:rsid w:val="00DF1775"/>
    <w:rsid w:val="00DF3714"/>
    <w:rsid w:val="00DF38FD"/>
    <w:rsid w:val="00DF4094"/>
    <w:rsid w:val="00DF40DC"/>
    <w:rsid w:val="00DF46A8"/>
    <w:rsid w:val="00DF618A"/>
    <w:rsid w:val="00DF6273"/>
    <w:rsid w:val="00DF7B0C"/>
    <w:rsid w:val="00E00152"/>
    <w:rsid w:val="00E0094E"/>
    <w:rsid w:val="00E021C1"/>
    <w:rsid w:val="00E021FF"/>
    <w:rsid w:val="00E024F6"/>
    <w:rsid w:val="00E058AB"/>
    <w:rsid w:val="00E06AB2"/>
    <w:rsid w:val="00E077E0"/>
    <w:rsid w:val="00E07DF9"/>
    <w:rsid w:val="00E100A8"/>
    <w:rsid w:val="00E10D48"/>
    <w:rsid w:val="00E111E2"/>
    <w:rsid w:val="00E11DA7"/>
    <w:rsid w:val="00E11E8C"/>
    <w:rsid w:val="00E12D1C"/>
    <w:rsid w:val="00E12F11"/>
    <w:rsid w:val="00E134CD"/>
    <w:rsid w:val="00E14857"/>
    <w:rsid w:val="00E163EF"/>
    <w:rsid w:val="00E17362"/>
    <w:rsid w:val="00E17B43"/>
    <w:rsid w:val="00E2001D"/>
    <w:rsid w:val="00E203BA"/>
    <w:rsid w:val="00E2057E"/>
    <w:rsid w:val="00E208C6"/>
    <w:rsid w:val="00E2091F"/>
    <w:rsid w:val="00E21E01"/>
    <w:rsid w:val="00E21F25"/>
    <w:rsid w:val="00E222A3"/>
    <w:rsid w:val="00E22555"/>
    <w:rsid w:val="00E23686"/>
    <w:rsid w:val="00E23DE1"/>
    <w:rsid w:val="00E23E9F"/>
    <w:rsid w:val="00E2447B"/>
    <w:rsid w:val="00E25538"/>
    <w:rsid w:val="00E25E49"/>
    <w:rsid w:val="00E30350"/>
    <w:rsid w:val="00E31E8A"/>
    <w:rsid w:val="00E3343C"/>
    <w:rsid w:val="00E350F7"/>
    <w:rsid w:val="00E379D7"/>
    <w:rsid w:val="00E37F3F"/>
    <w:rsid w:val="00E42BC1"/>
    <w:rsid w:val="00E43021"/>
    <w:rsid w:val="00E43CCD"/>
    <w:rsid w:val="00E43FB6"/>
    <w:rsid w:val="00E448E6"/>
    <w:rsid w:val="00E4604D"/>
    <w:rsid w:val="00E46E35"/>
    <w:rsid w:val="00E470EA"/>
    <w:rsid w:val="00E5183E"/>
    <w:rsid w:val="00E54654"/>
    <w:rsid w:val="00E54B30"/>
    <w:rsid w:val="00E55DF6"/>
    <w:rsid w:val="00E574CF"/>
    <w:rsid w:val="00E60FA0"/>
    <w:rsid w:val="00E613E7"/>
    <w:rsid w:val="00E6171B"/>
    <w:rsid w:val="00E61D94"/>
    <w:rsid w:val="00E62113"/>
    <w:rsid w:val="00E62BD7"/>
    <w:rsid w:val="00E63043"/>
    <w:rsid w:val="00E6330A"/>
    <w:rsid w:val="00E63415"/>
    <w:rsid w:val="00E63FFA"/>
    <w:rsid w:val="00E64E52"/>
    <w:rsid w:val="00E65224"/>
    <w:rsid w:val="00E65DA9"/>
    <w:rsid w:val="00E662B4"/>
    <w:rsid w:val="00E663F0"/>
    <w:rsid w:val="00E66651"/>
    <w:rsid w:val="00E70208"/>
    <w:rsid w:val="00E70CB6"/>
    <w:rsid w:val="00E70DAA"/>
    <w:rsid w:val="00E70EBA"/>
    <w:rsid w:val="00E726CA"/>
    <w:rsid w:val="00E72BE8"/>
    <w:rsid w:val="00E7674D"/>
    <w:rsid w:val="00E76A7A"/>
    <w:rsid w:val="00E8057D"/>
    <w:rsid w:val="00E816DF"/>
    <w:rsid w:val="00E84443"/>
    <w:rsid w:val="00E85360"/>
    <w:rsid w:val="00E85AA1"/>
    <w:rsid w:val="00E85E87"/>
    <w:rsid w:val="00E864DE"/>
    <w:rsid w:val="00E92AB7"/>
    <w:rsid w:val="00E92E9C"/>
    <w:rsid w:val="00E94465"/>
    <w:rsid w:val="00E94BAE"/>
    <w:rsid w:val="00E94BF9"/>
    <w:rsid w:val="00E96C7C"/>
    <w:rsid w:val="00E970EC"/>
    <w:rsid w:val="00E975F5"/>
    <w:rsid w:val="00E97D11"/>
    <w:rsid w:val="00EA16F3"/>
    <w:rsid w:val="00EA3058"/>
    <w:rsid w:val="00EA34B1"/>
    <w:rsid w:val="00EA3A48"/>
    <w:rsid w:val="00EA54BE"/>
    <w:rsid w:val="00EA7053"/>
    <w:rsid w:val="00EA7BC7"/>
    <w:rsid w:val="00EB0291"/>
    <w:rsid w:val="00EB1070"/>
    <w:rsid w:val="00EB2610"/>
    <w:rsid w:val="00EB2AC8"/>
    <w:rsid w:val="00EB2B9F"/>
    <w:rsid w:val="00EB550A"/>
    <w:rsid w:val="00EB6481"/>
    <w:rsid w:val="00EB7D0B"/>
    <w:rsid w:val="00EC054A"/>
    <w:rsid w:val="00EC0A84"/>
    <w:rsid w:val="00EC113C"/>
    <w:rsid w:val="00EC15ED"/>
    <w:rsid w:val="00EC1B4A"/>
    <w:rsid w:val="00EC2CC9"/>
    <w:rsid w:val="00EC2D12"/>
    <w:rsid w:val="00EC3080"/>
    <w:rsid w:val="00EC6201"/>
    <w:rsid w:val="00EC6E04"/>
    <w:rsid w:val="00EC702B"/>
    <w:rsid w:val="00EC714A"/>
    <w:rsid w:val="00EC763C"/>
    <w:rsid w:val="00ED10F1"/>
    <w:rsid w:val="00ED1412"/>
    <w:rsid w:val="00ED6442"/>
    <w:rsid w:val="00ED644C"/>
    <w:rsid w:val="00ED7885"/>
    <w:rsid w:val="00ED78A4"/>
    <w:rsid w:val="00EE0367"/>
    <w:rsid w:val="00EE1552"/>
    <w:rsid w:val="00EE178C"/>
    <w:rsid w:val="00EE2E75"/>
    <w:rsid w:val="00EE314E"/>
    <w:rsid w:val="00EE39A3"/>
    <w:rsid w:val="00EE4384"/>
    <w:rsid w:val="00EE60BA"/>
    <w:rsid w:val="00EE6381"/>
    <w:rsid w:val="00EE71D3"/>
    <w:rsid w:val="00EF055F"/>
    <w:rsid w:val="00EF1393"/>
    <w:rsid w:val="00EF218E"/>
    <w:rsid w:val="00EF3851"/>
    <w:rsid w:val="00EF3A28"/>
    <w:rsid w:val="00EF3E8F"/>
    <w:rsid w:val="00EF4068"/>
    <w:rsid w:val="00EF435F"/>
    <w:rsid w:val="00EF5031"/>
    <w:rsid w:val="00EF666C"/>
    <w:rsid w:val="00EF6FB4"/>
    <w:rsid w:val="00EF7066"/>
    <w:rsid w:val="00EF7CAC"/>
    <w:rsid w:val="00F03139"/>
    <w:rsid w:val="00F0340E"/>
    <w:rsid w:val="00F034BC"/>
    <w:rsid w:val="00F05BBB"/>
    <w:rsid w:val="00F06375"/>
    <w:rsid w:val="00F06426"/>
    <w:rsid w:val="00F06453"/>
    <w:rsid w:val="00F079AF"/>
    <w:rsid w:val="00F10997"/>
    <w:rsid w:val="00F11C10"/>
    <w:rsid w:val="00F11E6D"/>
    <w:rsid w:val="00F12F55"/>
    <w:rsid w:val="00F14173"/>
    <w:rsid w:val="00F155CC"/>
    <w:rsid w:val="00F16038"/>
    <w:rsid w:val="00F171E0"/>
    <w:rsid w:val="00F17491"/>
    <w:rsid w:val="00F20515"/>
    <w:rsid w:val="00F20FA8"/>
    <w:rsid w:val="00F213BB"/>
    <w:rsid w:val="00F21D67"/>
    <w:rsid w:val="00F22183"/>
    <w:rsid w:val="00F248A7"/>
    <w:rsid w:val="00F25D1D"/>
    <w:rsid w:val="00F26F57"/>
    <w:rsid w:val="00F30A93"/>
    <w:rsid w:val="00F31F7E"/>
    <w:rsid w:val="00F3313D"/>
    <w:rsid w:val="00F33A8E"/>
    <w:rsid w:val="00F3429D"/>
    <w:rsid w:val="00F34F09"/>
    <w:rsid w:val="00F35C71"/>
    <w:rsid w:val="00F35D7B"/>
    <w:rsid w:val="00F37D7A"/>
    <w:rsid w:val="00F4151B"/>
    <w:rsid w:val="00F41771"/>
    <w:rsid w:val="00F41DF1"/>
    <w:rsid w:val="00F42408"/>
    <w:rsid w:val="00F434AB"/>
    <w:rsid w:val="00F436FF"/>
    <w:rsid w:val="00F46179"/>
    <w:rsid w:val="00F50131"/>
    <w:rsid w:val="00F506BC"/>
    <w:rsid w:val="00F51AD8"/>
    <w:rsid w:val="00F52D44"/>
    <w:rsid w:val="00F53554"/>
    <w:rsid w:val="00F53792"/>
    <w:rsid w:val="00F53863"/>
    <w:rsid w:val="00F56755"/>
    <w:rsid w:val="00F5678B"/>
    <w:rsid w:val="00F57E83"/>
    <w:rsid w:val="00F61004"/>
    <w:rsid w:val="00F61A25"/>
    <w:rsid w:val="00F634AD"/>
    <w:rsid w:val="00F65179"/>
    <w:rsid w:val="00F65398"/>
    <w:rsid w:val="00F6582C"/>
    <w:rsid w:val="00F66940"/>
    <w:rsid w:val="00F67028"/>
    <w:rsid w:val="00F67963"/>
    <w:rsid w:val="00F700A1"/>
    <w:rsid w:val="00F7110B"/>
    <w:rsid w:val="00F71659"/>
    <w:rsid w:val="00F72108"/>
    <w:rsid w:val="00F73A29"/>
    <w:rsid w:val="00F73BEB"/>
    <w:rsid w:val="00F74738"/>
    <w:rsid w:val="00F7474F"/>
    <w:rsid w:val="00F7518C"/>
    <w:rsid w:val="00F75C1B"/>
    <w:rsid w:val="00F76276"/>
    <w:rsid w:val="00F7759C"/>
    <w:rsid w:val="00F8039F"/>
    <w:rsid w:val="00F80C43"/>
    <w:rsid w:val="00F815ED"/>
    <w:rsid w:val="00F83B6D"/>
    <w:rsid w:val="00F84331"/>
    <w:rsid w:val="00F85C16"/>
    <w:rsid w:val="00F86126"/>
    <w:rsid w:val="00F8661E"/>
    <w:rsid w:val="00F86693"/>
    <w:rsid w:val="00F86E09"/>
    <w:rsid w:val="00F87285"/>
    <w:rsid w:val="00F90D4A"/>
    <w:rsid w:val="00F91BE5"/>
    <w:rsid w:val="00F92167"/>
    <w:rsid w:val="00F952A3"/>
    <w:rsid w:val="00F966A0"/>
    <w:rsid w:val="00F96FA9"/>
    <w:rsid w:val="00F96FFF"/>
    <w:rsid w:val="00FA2D07"/>
    <w:rsid w:val="00FA30F9"/>
    <w:rsid w:val="00FA3621"/>
    <w:rsid w:val="00FA3EB0"/>
    <w:rsid w:val="00FA40C7"/>
    <w:rsid w:val="00FA4B69"/>
    <w:rsid w:val="00FA51B0"/>
    <w:rsid w:val="00FA6060"/>
    <w:rsid w:val="00FA6F7F"/>
    <w:rsid w:val="00FB18AF"/>
    <w:rsid w:val="00FB21C4"/>
    <w:rsid w:val="00FB2B6E"/>
    <w:rsid w:val="00FB37B6"/>
    <w:rsid w:val="00FB3B3A"/>
    <w:rsid w:val="00FB4673"/>
    <w:rsid w:val="00FB498F"/>
    <w:rsid w:val="00FB5E24"/>
    <w:rsid w:val="00FB61D4"/>
    <w:rsid w:val="00FB6507"/>
    <w:rsid w:val="00FB6B68"/>
    <w:rsid w:val="00FB6DC4"/>
    <w:rsid w:val="00FC136C"/>
    <w:rsid w:val="00FC1643"/>
    <w:rsid w:val="00FC1940"/>
    <w:rsid w:val="00FC24AD"/>
    <w:rsid w:val="00FC5D74"/>
    <w:rsid w:val="00FC65A1"/>
    <w:rsid w:val="00FC6D45"/>
    <w:rsid w:val="00FC6F70"/>
    <w:rsid w:val="00FC7136"/>
    <w:rsid w:val="00FC7E53"/>
    <w:rsid w:val="00FD028A"/>
    <w:rsid w:val="00FD0553"/>
    <w:rsid w:val="00FD19E6"/>
    <w:rsid w:val="00FD2F27"/>
    <w:rsid w:val="00FD46C9"/>
    <w:rsid w:val="00FD4C02"/>
    <w:rsid w:val="00FD77F8"/>
    <w:rsid w:val="00FD7A40"/>
    <w:rsid w:val="00FE1597"/>
    <w:rsid w:val="00FE217C"/>
    <w:rsid w:val="00FE3439"/>
    <w:rsid w:val="00FE6285"/>
    <w:rsid w:val="00FE6301"/>
    <w:rsid w:val="00FE6500"/>
    <w:rsid w:val="00FE72ED"/>
    <w:rsid w:val="00FF10D8"/>
    <w:rsid w:val="00FF1CF5"/>
    <w:rsid w:val="00FF2D4B"/>
    <w:rsid w:val="00FF30D5"/>
    <w:rsid w:val="00FF3635"/>
    <w:rsid w:val="00FF38B7"/>
    <w:rsid w:val="00FF4331"/>
    <w:rsid w:val="00FF59E7"/>
    <w:rsid w:val="00FF5BF8"/>
    <w:rsid w:val="00FF5E5F"/>
    <w:rsid w:val="00FF7327"/>
    <w:rsid w:val="00FF74F5"/>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5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4"/>
    <w:pPr>
      <w:tabs>
        <w:tab w:val="center" w:pos="4680"/>
        <w:tab w:val="right" w:pos="9360"/>
      </w:tabs>
      <w:spacing w:line="240" w:lineRule="auto"/>
    </w:pPr>
  </w:style>
  <w:style w:type="character" w:customStyle="1" w:styleId="HeaderChar">
    <w:name w:val="Header Char"/>
    <w:basedOn w:val="DefaultParagraphFont"/>
    <w:link w:val="Header"/>
    <w:uiPriority w:val="99"/>
    <w:rsid w:val="00514AB4"/>
  </w:style>
  <w:style w:type="paragraph" w:styleId="Footer">
    <w:name w:val="footer"/>
    <w:basedOn w:val="Normal"/>
    <w:link w:val="FooterChar"/>
    <w:uiPriority w:val="99"/>
    <w:unhideWhenUsed/>
    <w:rsid w:val="00514AB4"/>
    <w:pPr>
      <w:tabs>
        <w:tab w:val="center" w:pos="4680"/>
        <w:tab w:val="right" w:pos="9360"/>
      </w:tabs>
      <w:spacing w:line="240" w:lineRule="auto"/>
    </w:pPr>
  </w:style>
  <w:style w:type="character" w:customStyle="1" w:styleId="FooterChar">
    <w:name w:val="Footer Char"/>
    <w:basedOn w:val="DefaultParagraphFont"/>
    <w:link w:val="Footer"/>
    <w:uiPriority w:val="99"/>
    <w:rsid w:val="00514AB4"/>
  </w:style>
  <w:style w:type="character" w:styleId="PageNumber">
    <w:name w:val="page number"/>
    <w:basedOn w:val="DefaultParagraphFont"/>
    <w:uiPriority w:val="99"/>
    <w:semiHidden/>
    <w:unhideWhenUsed/>
    <w:rsid w:val="00514AB4"/>
  </w:style>
  <w:style w:type="paragraph" w:styleId="FootnoteText">
    <w:name w:val="footnote text"/>
    <w:link w:val="FootnoteTextChar"/>
    <w:uiPriority w:val="99"/>
    <w:unhideWhenUsed/>
    <w:rsid w:val="00514AB4"/>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14AB4"/>
    <w:rPr>
      <w:rFonts w:cs="Times New Roman"/>
      <w:szCs w:val="20"/>
    </w:rPr>
  </w:style>
  <w:style w:type="paragraph" w:styleId="Title">
    <w:name w:val="Title"/>
    <w:basedOn w:val="Normal"/>
    <w:next w:val="Normal"/>
    <w:link w:val="TitleChar"/>
    <w:uiPriority w:val="10"/>
    <w:qFormat/>
    <w:rsid w:val="008C70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3C"/>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F52D44"/>
    <w:rPr>
      <w:vertAlign w:val="superscript"/>
    </w:rPr>
  </w:style>
  <w:style w:type="paragraph" w:styleId="BalloonText">
    <w:name w:val="Balloon Text"/>
    <w:basedOn w:val="Normal"/>
    <w:link w:val="BalloonTextChar"/>
    <w:uiPriority w:val="99"/>
    <w:semiHidden/>
    <w:unhideWhenUsed/>
    <w:rsid w:val="00BF2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5"/>
    <w:rPr>
      <w:rFonts w:ascii="Segoe UI" w:hAnsi="Segoe UI" w:cs="Segoe UI"/>
      <w:sz w:val="18"/>
      <w:szCs w:val="18"/>
    </w:rPr>
  </w:style>
  <w:style w:type="paragraph" w:styleId="ListParagraph">
    <w:name w:val="List Paragraph"/>
    <w:basedOn w:val="Normal"/>
    <w:uiPriority w:val="34"/>
    <w:qFormat/>
    <w:rsid w:val="008A4E4D"/>
    <w:pPr>
      <w:ind w:left="720"/>
      <w:contextualSpacing/>
    </w:pPr>
  </w:style>
  <w:style w:type="character" w:styleId="Strong">
    <w:name w:val="Strong"/>
    <w:basedOn w:val="DefaultParagraphFont"/>
    <w:uiPriority w:val="22"/>
    <w:qFormat/>
    <w:rsid w:val="004B06E2"/>
    <w:rPr>
      <w:b/>
      <w:bCs/>
    </w:rPr>
  </w:style>
  <w:style w:type="character" w:styleId="CommentReference">
    <w:name w:val="annotation reference"/>
    <w:basedOn w:val="DefaultParagraphFont"/>
    <w:uiPriority w:val="99"/>
    <w:semiHidden/>
    <w:unhideWhenUsed/>
    <w:rsid w:val="00BA3B96"/>
    <w:rPr>
      <w:sz w:val="16"/>
      <w:szCs w:val="16"/>
    </w:rPr>
  </w:style>
  <w:style w:type="paragraph" w:styleId="CommentText">
    <w:name w:val="annotation text"/>
    <w:basedOn w:val="Normal"/>
    <w:link w:val="CommentTextChar"/>
    <w:uiPriority w:val="99"/>
    <w:semiHidden/>
    <w:unhideWhenUsed/>
    <w:rsid w:val="00BA3B96"/>
    <w:pPr>
      <w:spacing w:line="240" w:lineRule="auto"/>
    </w:pPr>
    <w:rPr>
      <w:sz w:val="20"/>
      <w:szCs w:val="20"/>
    </w:rPr>
  </w:style>
  <w:style w:type="character" w:customStyle="1" w:styleId="CommentTextChar">
    <w:name w:val="Comment Text Char"/>
    <w:basedOn w:val="DefaultParagraphFont"/>
    <w:link w:val="CommentText"/>
    <w:uiPriority w:val="99"/>
    <w:semiHidden/>
    <w:rsid w:val="00BA3B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3B96"/>
    <w:rPr>
      <w:b/>
      <w:bCs/>
    </w:rPr>
  </w:style>
  <w:style w:type="character" w:customStyle="1" w:styleId="CommentSubjectChar">
    <w:name w:val="Comment Subject Char"/>
    <w:basedOn w:val="CommentTextChar"/>
    <w:link w:val="CommentSubject"/>
    <w:uiPriority w:val="99"/>
    <w:semiHidden/>
    <w:rsid w:val="00BA3B9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1863">
      <w:bodyDiv w:val="1"/>
      <w:marLeft w:val="0"/>
      <w:marRight w:val="0"/>
      <w:marTop w:val="0"/>
      <w:marBottom w:val="0"/>
      <w:divBdr>
        <w:top w:val="none" w:sz="0" w:space="0" w:color="auto"/>
        <w:left w:val="none" w:sz="0" w:space="0" w:color="auto"/>
        <w:bottom w:val="none" w:sz="0" w:space="0" w:color="auto"/>
        <w:right w:val="none" w:sz="0" w:space="0" w:color="auto"/>
      </w:divBdr>
      <w:divsChild>
        <w:div w:id="1998528298">
          <w:marLeft w:val="0"/>
          <w:marRight w:val="0"/>
          <w:marTop w:val="0"/>
          <w:marBottom w:val="0"/>
          <w:divBdr>
            <w:top w:val="none" w:sz="0" w:space="0" w:color="auto"/>
            <w:left w:val="none" w:sz="0" w:space="0" w:color="auto"/>
            <w:bottom w:val="none" w:sz="0" w:space="0" w:color="auto"/>
            <w:right w:val="none" w:sz="0" w:space="0" w:color="auto"/>
          </w:divBdr>
          <w:divsChild>
            <w:div w:id="128284493">
              <w:marLeft w:val="0"/>
              <w:marRight w:val="0"/>
              <w:marTop w:val="0"/>
              <w:marBottom w:val="0"/>
              <w:divBdr>
                <w:top w:val="none" w:sz="0" w:space="0" w:color="auto"/>
                <w:left w:val="none" w:sz="0" w:space="0" w:color="auto"/>
                <w:bottom w:val="none" w:sz="0" w:space="0" w:color="auto"/>
                <w:right w:val="none" w:sz="0" w:space="0" w:color="auto"/>
              </w:divBdr>
              <w:divsChild>
                <w:div w:id="1508204384">
                  <w:marLeft w:val="0"/>
                  <w:marRight w:val="0"/>
                  <w:marTop w:val="0"/>
                  <w:marBottom w:val="0"/>
                  <w:divBdr>
                    <w:top w:val="none" w:sz="0" w:space="0" w:color="auto"/>
                    <w:left w:val="none" w:sz="0" w:space="0" w:color="auto"/>
                    <w:bottom w:val="none" w:sz="0" w:space="0" w:color="auto"/>
                    <w:right w:val="none" w:sz="0" w:space="0" w:color="auto"/>
                  </w:divBdr>
                  <w:divsChild>
                    <w:div w:id="1038699981">
                      <w:marLeft w:val="0"/>
                      <w:marRight w:val="0"/>
                      <w:marTop w:val="0"/>
                      <w:marBottom w:val="0"/>
                      <w:divBdr>
                        <w:top w:val="none" w:sz="0" w:space="0" w:color="auto"/>
                        <w:left w:val="none" w:sz="0" w:space="0" w:color="auto"/>
                        <w:bottom w:val="none" w:sz="0" w:space="0" w:color="auto"/>
                        <w:right w:val="none" w:sz="0" w:space="0" w:color="auto"/>
                      </w:divBdr>
                      <w:divsChild>
                        <w:div w:id="958727830">
                          <w:marLeft w:val="0"/>
                          <w:marRight w:val="0"/>
                          <w:marTop w:val="0"/>
                          <w:marBottom w:val="0"/>
                          <w:divBdr>
                            <w:top w:val="none" w:sz="0" w:space="0" w:color="auto"/>
                            <w:left w:val="none" w:sz="0" w:space="0" w:color="auto"/>
                            <w:bottom w:val="none" w:sz="0" w:space="0" w:color="auto"/>
                            <w:right w:val="none" w:sz="0" w:space="0" w:color="auto"/>
                          </w:divBdr>
                          <w:divsChild>
                            <w:div w:id="192769269">
                              <w:marLeft w:val="0"/>
                              <w:marRight w:val="0"/>
                              <w:marTop w:val="0"/>
                              <w:marBottom w:val="0"/>
                              <w:divBdr>
                                <w:top w:val="none" w:sz="0" w:space="0" w:color="auto"/>
                                <w:left w:val="none" w:sz="0" w:space="0" w:color="auto"/>
                                <w:bottom w:val="none" w:sz="0" w:space="0" w:color="auto"/>
                                <w:right w:val="none" w:sz="0" w:space="0" w:color="auto"/>
                              </w:divBdr>
                              <w:divsChild>
                                <w:div w:id="1999722680">
                                  <w:marLeft w:val="0"/>
                                  <w:marRight w:val="0"/>
                                  <w:marTop w:val="0"/>
                                  <w:marBottom w:val="0"/>
                                  <w:divBdr>
                                    <w:top w:val="none" w:sz="0" w:space="0" w:color="auto"/>
                                    <w:left w:val="none" w:sz="0" w:space="0" w:color="auto"/>
                                    <w:bottom w:val="none" w:sz="0" w:space="0" w:color="auto"/>
                                    <w:right w:val="none" w:sz="0" w:space="0" w:color="auto"/>
                                  </w:divBdr>
                                </w:div>
                              </w:divsChild>
                            </w:div>
                            <w:div w:id="764226031">
                              <w:marLeft w:val="0"/>
                              <w:marRight w:val="0"/>
                              <w:marTop w:val="0"/>
                              <w:marBottom w:val="0"/>
                              <w:divBdr>
                                <w:top w:val="none" w:sz="0" w:space="0" w:color="auto"/>
                                <w:left w:val="none" w:sz="0" w:space="0" w:color="auto"/>
                                <w:bottom w:val="none" w:sz="0" w:space="0" w:color="auto"/>
                                <w:right w:val="none" w:sz="0" w:space="0" w:color="auto"/>
                              </w:divBdr>
                              <w:divsChild>
                                <w:div w:id="14149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3796">
      <w:bodyDiv w:val="1"/>
      <w:marLeft w:val="0"/>
      <w:marRight w:val="0"/>
      <w:marTop w:val="0"/>
      <w:marBottom w:val="0"/>
      <w:divBdr>
        <w:top w:val="none" w:sz="0" w:space="0" w:color="auto"/>
        <w:left w:val="none" w:sz="0" w:space="0" w:color="auto"/>
        <w:bottom w:val="none" w:sz="0" w:space="0" w:color="auto"/>
        <w:right w:val="none" w:sz="0" w:space="0" w:color="auto"/>
      </w:divBdr>
      <w:divsChild>
        <w:div w:id="417219854">
          <w:marLeft w:val="0"/>
          <w:marRight w:val="0"/>
          <w:marTop w:val="0"/>
          <w:marBottom w:val="0"/>
          <w:divBdr>
            <w:top w:val="none" w:sz="0" w:space="0" w:color="auto"/>
            <w:left w:val="none" w:sz="0" w:space="0" w:color="auto"/>
            <w:bottom w:val="none" w:sz="0" w:space="0" w:color="auto"/>
            <w:right w:val="none" w:sz="0" w:space="0" w:color="auto"/>
          </w:divBdr>
          <w:divsChild>
            <w:div w:id="252858064">
              <w:marLeft w:val="0"/>
              <w:marRight w:val="0"/>
              <w:marTop w:val="0"/>
              <w:marBottom w:val="0"/>
              <w:divBdr>
                <w:top w:val="none" w:sz="0" w:space="0" w:color="auto"/>
                <w:left w:val="none" w:sz="0" w:space="0" w:color="auto"/>
                <w:bottom w:val="none" w:sz="0" w:space="0" w:color="auto"/>
                <w:right w:val="none" w:sz="0" w:space="0" w:color="auto"/>
              </w:divBdr>
              <w:divsChild>
                <w:div w:id="46339074">
                  <w:marLeft w:val="0"/>
                  <w:marRight w:val="0"/>
                  <w:marTop w:val="0"/>
                  <w:marBottom w:val="0"/>
                  <w:divBdr>
                    <w:top w:val="none" w:sz="0" w:space="0" w:color="auto"/>
                    <w:left w:val="none" w:sz="0" w:space="0" w:color="auto"/>
                    <w:bottom w:val="none" w:sz="0" w:space="0" w:color="auto"/>
                    <w:right w:val="none" w:sz="0" w:space="0" w:color="auto"/>
                  </w:divBdr>
                  <w:divsChild>
                    <w:div w:id="131018522">
                      <w:marLeft w:val="0"/>
                      <w:marRight w:val="0"/>
                      <w:marTop w:val="0"/>
                      <w:marBottom w:val="0"/>
                      <w:divBdr>
                        <w:top w:val="none" w:sz="0" w:space="0" w:color="auto"/>
                        <w:left w:val="none" w:sz="0" w:space="0" w:color="auto"/>
                        <w:bottom w:val="none" w:sz="0" w:space="0" w:color="auto"/>
                        <w:right w:val="none" w:sz="0" w:space="0" w:color="auto"/>
                      </w:divBdr>
                      <w:divsChild>
                        <w:div w:id="921135348">
                          <w:marLeft w:val="0"/>
                          <w:marRight w:val="0"/>
                          <w:marTop w:val="0"/>
                          <w:marBottom w:val="0"/>
                          <w:divBdr>
                            <w:top w:val="none" w:sz="0" w:space="0" w:color="auto"/>
                            <w:left w:val="none" w:sz="0" w:space="0" w:color="auto"/>
                            <w:bottom w:val="none" w:sz="0" w:space="0" w:color="auto"/>
                            <w:right w:val="none" w:sz="0" w:space="0" w:color="auto"/>
                          </w:divBdr>
                          <w:divsChild>
                            <w:div w:id="5490021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D22D-7901-4EB8-BAFC-A8036D54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6699</Words>
  <Characters>38189</Characters>
  <Application>Microsoft Office Word</Application>
  <DocSecurity>0</DocSecurity>
  <Lines>318</Lines>
  <Paragraphs>89</Paragraphs>
  <ScaleCrop>false</ScaleCrop>
  <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2020-04-24T19:02:00Z</dcterms:created>
  <dcterms:modified xsi:type="dcterms:W3CDTF">2020-04-24T19:02:00Z</dcterms:modified>
</cp:coreProperties>
</file>