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C3F0" w14:textId="77777777" w:rsidR="00AA186E" w:rsidRDefault="00B46361" w:rsidP="00AA186E">
      <w:pPr>
        <w:tabs>
          <w:tab w:val="left" w:pos="1440"/>
        </w:tabs>
        <w:spacing w:after="0"/>
        <w:jc w:val="center"/>
        <w:rPr>
          <w:caps/>
          <w:sz w:val="36"/>
        </w:rPr>
      </w:pPr>
      <w:r>
        <w:rPr>
          <w:b/>
          <w:caps/>
          <w:sz w:val="36"/>
        </w:rPr>
        <w:t>IN THE SUPREME COURT OF CALIFORNIA</w:t>
      </w:r>
    </w:p>
    <w:p w14:paraId="72EDC3F1" w14:textId="77777777" w:rsidR="00AA186E" w:rsidRDefault="00AA186E" w:rsidP="00AA186E">
      <w:pPr>
        <w:tabs>
          <w:tab w:val="left" w:pos="1440"/>
        </w:tabs>
        <w:spacing w:after="0"/>
        <w:jc w:val="center"/>
        <w:rPr>
          <w:caps/>
        </w:rPr>
      </w:pPr>
    </w:p>
    <w:p w14:paraId="72EDC3F2" w14:textId="77777777" w:rsidR="00AA186E" w:rsidRDefault="00B46361" w:rsidP="00AA186E">
      <w:pPr>
        <w:tabs>
          <w:tab w:val="left" w:pos="1440"/>
          <w:tab w:val="left" w:pos="4680"/>
          <w:tab w:val="center" w:pos="7200"/>
        </w:tabs>
        <w:spacing w:after="0"/>
        <w:jc w:val="center"/>
      </w:pPr>
      <w:r>
        <w:t>In re N.R., a Person Coming Under the Juvenile Court Law.</w:t>
      </w:r>
    </w:p>
    <w:p w14:paraId="72EDC3F3" w14:textId="77777777" w:rsidR="00AA186E" w:rsidRDefault="00AA186E" w:rsidP="00AA186E">
      <w:pPr>
        <w:pBdr>
          <w:bottom w:val="single" w:sz="4" w:space="1" w:color="auto"/>
        </w:pBdr>
        <w:tabs>
          <w:tab w:val="left" w:pos="1440"/>
          <w:tab w:val="left" w:pos="4680"/>
          <w:tab w:val="center" w:pos="7200"/>
        </w:tabs>
        <w:spacing w:after="0"/>
        <w:jc w:val="center"/>
      </w:pPr>
    </w:p>
    <w:p w14:paraId="72EDC3F4" w14:textId="77777777" w:rsidR="00AA186E" w:rsidRDefault="00AA186E" w:rsidP="00AA186E">
      <w:pPr>
        <w:tabs>
          <w:tab w:val="left" w:pos="1440"/>
          <w:tab w:val="left" w:pos="4680"/>
          <w:tab w:val="center" w:pos="7200"/>
        </w:tabs>
        <w:spacing w:after="0"/>
      </w:pPr>
    </w:p>
    <w:p w14:paraId="72EDC3F5" w14:textId="77777777" w:rsidR="00AA186E" w:rsidRDefault="00B46361" w:rsidP="00AA186E">
      <w:pPr>
        <w:tabs>
          <w:tab w:val="left" w:pos="1440"/>
        </w:tabs>
        <w:spacing w:after="0"/>
        <w:jc w:val="center"/>
        <w:rPr>
          <w:caps/>
        </w:rPr>
      </w:pPr>
      <w:r>
        <w:rPr>
          <w:caps/>
        </w:rPr>
        <w:t>los angeles county department of children and family services,</w:t>
      </w:r>
    </w:p>
    <w:p w14:paraId="72EDC3F6" w14:textId="77777777" w:rsidR="00AA186E" w:rsidRPr="00043285" w:rsidRDefault="00B46361" w:rsidP="00AA186E">
      <w:pPr>
        <w:tabs>
          <w:tab w:val="left" w:pos="1440"/>
        </w:tabs>
        <w:spacing w:after="0"/>
        <w:jc w:val="center"/>
      </w:pPr>
      <w:r>
        <w:t>Plaintiff and Respondent,</w:t>
      </w:r>
    </w:p>
    <w:p w14:paraId="72EDC3F7" w14:textId="77777777" w:rsidR="00AA186E" w:rsidRPr="00043285" w:rsidRDefault="00B46361" w:rsidP="00AA186E">
      <w:pPr>
        <w:tabs>
          <w:tab w:val="left" w:pos="1440"/>
        </w:tabs>
        <w:spacing w:after="0"/>
        <w:jc w:val="center"/>
      </w:pPr>
      <w:r w:rsidRPr="00043285">
        <w:t>v.</w:t>
      </w:r>
    </w:p>
    <w:p w14:paraId="72EDC3F8" w14:textId="77777777" w:rsidR="00AA186E" w:rsidRDefault="00B46361" w:rsidP="00AA186E">
      <w:pPr>
        <w:tabs>
          <w:tab w:val="left" w:pos="1440"/>
        </w:tabs>
        <w:spacing w:after="0"/>
        <w:jc w:val="center"/>
        <w:rPr>
          <w:caps/>
        </w:rPr>
      </w:pPr>
      <w:r>
        <w:rPr>
          <w:caps/>
        </w:rPr>
        <w:t>o.r.</w:t>
      </w:r>
      <w:r w:rsidR="003A3FFF">
        <w:rPr>
          <w:caps/>
        </w:rPr>
        <w:t>,</w:t>
      </w:r>
    </w:p>
    <w:p w14:paraId="72EDC3F9" w14:textId="77777777" w:rsidR="00AA186E" w:rsidRPr="00043285" w:rsidRDefault="00B46361" w:rsidP="00AA186E">
      <w:pPr>
        <w:tabs>
          <w:tab w:val="left" w:pos="1440"/>
        </w:tabs>
        <w:spacing w:after="0"/>
        <w:jc w:val="center"/>
      </w:pPr>
      <w:r w:rsidRPr="00043285">
        <w:t>Defendant and Appellant.</w:t>
      </w:r>
    </w:p>
    <w:p w14:paraId="72EDC3FA" w14:textId="77777777" w:rsidR="00AA186E" w:rsidRDefault="00AA186E" w:rsidP="00AA186E">
      <w:pPr>
        <w:tabs>
          <w:tab w:val="left" w:pos="1440"/>
        </w:tabs>
        <w:spacing w:after="0"/>
        <w:jc w:val="center"/>
        <w:rPr>
          <w:caps/>
        </w:rPr>
      </w:pPr>
    </w:p>
    <w:p w14:paraId="72EDC3FB" w14:textId="77777777" w:rsidR="00AA186E" w:rsidRDefault="00B46361" w:rsidP="00AA186E">
      <w:pPr>
        <w:tabs>
          <w:tab w:val="left" w:pos="1440"/>
        </w:tabs>
        <w:spacing w:after="0"/>
        <w:jc w:val="center"/>
        <w:rPr>
          <w:caps/>
        </w:rPr>
      </w:pPr>
      <w:r>
        <w:rPr>
          <w:caps/>
        </w:rPr>
        <w:t>S274943</w:t>
      </w:r>
    </w:p>
    <w:p w14:paraId="72EDC3FC" w14:textId="77777777" w:rsidR="00AA186E" w:rsidRDefault="00AA186E" w:rsidP="00AA186E">
      <w:pPr>
        <w:tabs>
          <w:tab w:val="left" w:pos="1440"/>
        </w:tabs>
        <w:spacing w:after="0"/>
        <w:jc w:val="center"/>
        <w:rPr>
          <w:caps/>
        </w:rPr>
      </w:pPr>
    </w:p>
    <w:p w14:paraId="72EDC3FD" w14:textId="77777777" w:rsidR="00AA186E" w:rsidRPr="00043285" w:rsidRDefault="00B46361" w:rsidP="00AA186E">
      <w:pPr>
        <w:tabs>
          <w:tab w:val="left" w:pos="1440"/>
        </w:tabs>
        <w:spacing w:after="0"/>
        <w:jc w:val="center"/>
      </w:pPr>
      <w:r>
        <w:t>Second</w:t>
      </w:r>
      <w:r w:rsidRPr="00043285">
        <w:t xml:space="preserve"> Appellate District, Division </w:t>
      </w:r>
      <w:r>
        <w:t>Five</w:t>
      </w:r>
    </w:p>
    <w:p w14:paraId="72EDC3FE" w14:textId="77777777" w:rsidR="00AA186E" w:rsidRDefault="00B46361" w:rsidP="00AA186E">
      <w:pPr>
        <w:tabs>
          <w:tab w:val="left" w:pos="1440"/>
        </w:tabs>
        <w:spacing w:after="0"/>
        <w:jc w:val="center"/>
        <w:rPr>
          <w:caps/>
        </w:rPr>
      </w:pPr>
      <w:r>
        <w:rPr>
          <w:caps/>
        </w:rPr>
        <w:t>b312001</w:t>
      </w:r>
    </w:p>
    <w:p w14:paraId="72EDC3FF" w14:textId="77777777" w:rsidR="00AA186E" w:rsidRDefault="00AA186E" w:rsidP="00AA186E">
      <w:pPr>
        <w:tabs>
          <w:tab w:val="left" w:pos="1440"/>
        </w:tabs>
        <w:spacing w:after="0"/>
        <w:jc w:val="center"/>
        <w:rPr>
          <w:caps/>
        </w:rPr>
      </w:pPr>
    </w:p>
    <w:p w14:paraId="72EDC400" w14:textId="77777777" w:rsidR="00AA186E" w:rsidRPr="00043285" w:rsidRDefault="00B46361" w:rsidP="00AA186E">
      <w:pPr>
        <w:tabs>
          <w:tab w:val="left" w:pos="1440"/>
        </w:tabs>
        <w:spacing w:after="0"/>
        <w:jc w:val="center"/>
      </w:pPr>
      <w:r>
        <w:t>Los Angeles</w:t>
      </w:r>
      <w:r w:rsidRPr="00043285">
        <w:t xml:space="preserve"> County</w:t>
      </w:r>
      <w:r>
        <w:t xml:space="preserve"> Superior Court</w:t>
      </w:r>
    </w:p>
    <w:p w14:paraId="72EDC401" w14:textId="77777777" w:rsidR="00AA186E" w:rsidRDefault="00B46361" w:rsidP="00AA186E">
      <w:pPr>
        <w:tabs>
          <w:tab w:val="left" w:pos="1440"/>
        </w:tabs>
        <w:spacing w:after="0"/>
        <w:jc w:val="center"/>
        <w:rPr>
          <w:caps/>
        </w:rPr>
      </w:pPr>
      <w:r>
        <w:rPr>
          <w:caps/>
        </w:rPr>
        <w:t>20CCJP06523A</w:t>
      </w:r>
    </w:p>
    <w:p w14:paraId="72EDC402" w14:textId="77777777" w:rsidR="00AA186E" w:rsidRDefault="00AA186E" w:rsidP="00AA186E">
      <w:pPr>
        <w:pBdr>
          <w:bottom w:val="single" w:sz="4" w:space="1" w:color="auto"/>
        </w:pBdr>
        <w:tabs>
          <w:tab w:val="left" w:pos="1440"/>
        </w:tabs>
        <w:spacing w:after="0"/>
        <w:jc w:val="center"/>
        <w:rPr>
          <w:caps/>
        </w:rPr>
      </w:pPr>
    </w:p>
    <w:p w14:paraId="72EDC403" w14:textId="77777777" w:rsidR="00AA186E" w:rsidRDefault="00AA186E" w:rsidP="00AA186E">
      <w:pPr>
        <w:tabs>
          <w:tab w:val="left" w:pos="1440"/>
        </w:tabs>
        <w:spacing w:after="0"/>
        <w:jc w:val="center"/>
        <w:rPr>
          <w:caps/>
        </w:rPr>
      </w:pPr>
    </w:p>
    <w:p w14:paraId="72EDC404" w14:textId="77777777" w:rsidR="00AA186E" w:rsidRPr="00043285" w:rsidRDefault="00B46361" w:rsidP="00AA186E">
      <w:pPr>
        <w:tabs>
          <w:tab w:val="left" w:pos="1440"/>
        </w:tabs>
        <w:spacing w:after="0"/>
        <w:jc w:val="center"/>
      </w:pPr>
      <w:r>
        <w:t>December 14</w:t>
      </w:r>
      <w:r w:rsidRPr="00043285">
        <w:t>, 2023</w:t>
      </w:r>
    </w:p>
    <w:p w14:paraId="72EDC405" w14:textId="77777777" w:rsidR="00AA186E" w:rsidRPr="00043285" w:rsidRDefault="00AA186E" w:rsidP="00AA186E">
      <w:pPr>
        <w:tabs>
          <w:tab w:val="left" w:pos="1440"/>
        </w:tabs>
        <w:spacing w:after="0"/>
        <w:jc w:val="center"/>
      </w:pPr>
    </w:p>
    <w:p w14:paraId="72EDC406" w14:textId="77777777" w:rsidR="00AA186E" w:rsidRPr="00043285" w:rsidRDefault="00B46361" w:rsidP="00AA186E">
      <w:pPr>
        <w:tabs>
          <w:tab w:val="left" w:pos="1440"/>
        </w:tabs>
        <w:spacing w:after="0"/>
        <w:jc w:val="left"/>
      </w:pPr>
      <w:r>
        <w:t xml:space="preserve">Chief Justice Guerrero authored the opinion of the Court, in which </w:t>
      </w:r>
      <w:r w:rsidR="009C7236">
        <w:t>Justices Corrigan, Liu, Kruger, Groban, Jenkins, and Evans</w:t>
      </w:r>
      <w:r>
        <w:t xml:space="preserve"> concurred.</w:t>
      </w:r>
    </w:p>
    <w:p w14:paraId="72EDC408" w14:textId="77777777" w:rsidR="00A77C37" w:rsidRPr="00A77C37" w:rsidRDefault="00A77C37" w:rsidP="00A77C37">
      <w:pPr>
        <w:pBdr>
          <w:bottom w:val="single" w:sz="4" w:space="1" w:color="auto"/>
        </w:pBdr>
        <w:spacing w:after="0"/>
        <w:jc w:val="center"/>
        <w:rPr>
          <w:spacing w:val="100"/>
          <w:sz w:val="26"/>
          <w:szCs w:val="26"/>
        </w:rPr>
      </w:pPr>
    </w:p>
    <w:p w14:paraId="72EDC409" w14:textId="77777777" w:rsidR="00A77C37" w:rsidRPr="00A77C37" w:rsidRDefault="00A77C37" w:rsidP="00A77C37">
      <w:pPr>
        <w:pBdr>
          <w:bottom w:val="single" w:sz="4" w:space="1" w:color="auto"/>
        </w:pBdr>
        <w:jc w:val="left"/>
        <w:rPr>
          <w:spacing w:val="100"/>
        </w:rPr>
        <w:sectPr w:rsidR="00A77C37" w:rsidRPr="00A77C37" w:rsidSect="00A77C37">
          <w:headerReference w:type="default" r:id="rId8"/>
          <w:footerReference w:type="default" r:id="rId9"/>
          <w:headerReference w:type="first" r:id="rId10"/>
          <w:pgSz w:w="12240" w:h="15840"/>
          <w:pgMar w:top="1800" w:right="2160" w:bottom="1440" w:left="2160" w:header="720" w:footer="720" w:gutter="0"/>
          <w:cols w:space="720"/>
          <w:titlePg/>
          <w:docGrid w:linePitch="367"/>
        </w:sectPr>
      </w:pPr>
      <w:bookmarkStart w:id="0" w:name="Return"/>
      <w:bookmarkEnd w:id="0"/>
    </w:p>
    <w:p w14:paraId="72EDC40A" w14:textId="77777777" w:rsidR="00DF1590" w:rsidRDefault="00B46361" w:rsidP="00AA186E">
      <w:pPr>
        <w:tabs>
          <w:tab w:val="left" w:pos="1440"/>
          <w:tab w:val="left" w:pos="4680"/>
          <w:tab w:val="center" w:pos="7200"/>
        </w:tabs>
        <w:jc w:val="center"/>
      </w:pPr>
      <w:r>
        <w:lastRenderedPageBreak/>
        <w:t>In re N.R.</w:t>
      </w:r>
    </w:p>
    <w:p w14:paraId="72EDC40B" w14:textId="77777777" w:rsidR="00AA186E" w:rsidRDefault="00B46361" w:rsidP="00AA186E">
      <w:pPr>
        <w:tabs>
          <w:tab w:val="left" w:pos="1440"/>
          <w:tab w:val="left" w:pos="4680"/>
          <w:tab w:val="center" w:pos="7200"/>
        </w:tabs>
        <w:jc w:val="center"/>
      </w:pPr>
      <w:r>
        <w:t>S274943</w:t>
      </w:r>
    </w:p>
    <w:p w14:paraId="72EDC40C" w14:textId="77777777" w:rsidR="00AA186E" w:rsidRDefault="00AA186E" w:rsidP="00AA186E">
      <w:pPr>
        <w:tabs>
          <w:tab w:val="left" w:pos="1440"/>
          <w:tab w:val="left" w:pos="4680"/>
          <w:tab w:val="center" w:pos="7200"/>
        </w:tabs>
        <w:jc w:val="center"/>
      </w:pPr>
    </w:p>
    <w:p w14:paraId="72EDC40D" w14:textId="77777777" w:rsidR="00AA186E" w:rsidRDefault="00B46361" w:rsidP="00AA186E">
      <w:pPr>
        <w:tabs>
          <w:tab w:val="left" w:pos="1440"/>
          <w:tab w:val="left" w:pos="4680"/>
          <w:tab w:val="center" w:pos="7200"/>
        </w:tabs>
        <w:jc w:val="center"/>
      </w:pPr>
      <w:r>
        <w:t>Opinion of the Court by Guerrero, C. J.</w:t>
      </w:r>
    </w:p>
    <w:p w14:paraId="72EDC40E" w14:textId="77777777" w:rsidR="00AA186E" w:rsidRPr="00A77C37" w:rsidRDefault="00AA186E" w:rsidP="00AA186E">
      <w:pPr>
        <w:tabs>
          <w:tab w:val="left" w:pos="1440"/>
          <w:tab w:val="left" w:pos="4680"/>
          <w:tab w:val="center" w:pos="7200"/>
        </w:tabs>
        <w:jc w:val="center"/>
      </w:pPr>
    </w:p>
    <w:p w14:paraId="72EDC40F" w14:textId="77777777" w:rsidR="00021057" w:rsidRPr="00A77C37" w:rsidRDefault="00B46361" w:rsidP="00021057">
      <w:pPr>
        <w:ind w:firstLine="720"/>
        <w:rPr>
          <w:szCs w:val="26"/>
        </w:rPr>
      </w:pPr>
      <w:bookmarkStart w:id="1" w:name="mainstory"/>
      <w:bookmarkEnd w:id="1"/>
      <w:r w:rsidRPr="00A77C37">
        <w:rPr>
          <w:szCs w:val="26"/>
        </w:rPr>
        <w:t xml:space="preserve">We granted review in this matter to decide two related issues associated with the exercise of dependency jurisdiction by the juvenile court.  </w:t>
      </w:r>
    </w:p>
    <w:p w14:paraId="72EDC410" w14:textId="77777777" w:rsidR="00021057" w:rsidRPr="00A77C37" w:rsidRDefault="00B46361" w:rsidP="00021057">
      <w:pPr>
        <w:ind w:firstLine="720"/>
        <w:rPr>
          <w:szCs w:val="26"/>
        </w:rPr>
      </w:pPr>
      <w:r w:rsidRPr="00A77C37">
        <w:rPr>
          <w:szCs w:val="26"/>
        </w:rPr>
        <w:t>The first issue concerns the meaning of “substance abuse” as used within Welfare and Institutions Code section 30</w:t>
      </w:r>
      <w:r w:rsidRPr="00A77C37">
        <w:rPr>
          <w:szCs w:val="26"/>
        </w:rPr>
        <w:t>0, subdivision (b)(1)(D) (hereinafter section 300(b)(1)(D)).</w:t>
      </w:r>
      <w:r>
        <w:rPr>
          <w:rStyle w:val="FootnoteReference"/>
          <w:szCs w:val="26"/>
        </w:rPr>
        <w:footnoteReference w:id="2"/>
      </w:r>
      <w:r w:rsidRPr="00A77C37">
        <w:rPr>
          <w:szCs w:val="26"/>
        </w:rPr>
        <w:t xml:space="preserve">  </w:t>
      </w:r>
      <w:r>
        <w:rPr>
          <w:szCs w:val="26"/>
        </w:rPr>
        <w:t xml:space="preserve">The statutory scheme for dependency proceedings provides that jurisdiction over a child exists in various scenarios in which the </w:t>
      </w:r>
      <w:r w:rsidRPr="00A77C37">
        <w:rPr>
          <w:szCs w:val="26"/>
        </w:rPr>
        <w:t>“child has suffered, or there is a substantial risk that the ch</w:t>
      </w:r>
      <w:r w:rsidRPr="00A77C37">
        <w:rPr>
          <w:szCs w:val="26"/>
        </w:rPr>
        <w:t>ild will suffer, serious physical harm or illness</w:t>
      </w:r>
      <w:r>
        <w:rPr>
          <w:szCs w:val="26"/>
        </w:rPr>
        <w:t>.”  (§ 300, subd. (b)(1).)</w:t>
      </w:r>
      <w:r w:rsidRPr="00A77C37">
        <w:rPr>
          <w:szCs w:val="26"/>
        </w:rPr>
        <w:t xml:space="preserve"> </w:t>
      </w:r>
      <w:r>
        <w:rPr>
          <w:szCs w:val="26"/>
        </w:rPr>
        <w:t xml:space="preserve"> These circumstances include situations in which serious physical harm or illness, or a substantial risk of serious physical harm or illness, results from</w:t>
      </w:r>
      <w:r w:rsidRPr="00A77C37">
        <w:rPr>
          <w:szCs w:val="26"/>
        </w:rPr>
        <w:t xml:space="preserve"> </w:t>
      </w:r>
      <w:r>
        <w:rPr>
          <w:szCs w:val="26"/>
        </w:rPr>
        <w:t>an “</w:t>
      </w:r>
      <w:r w:rsidRPr="00A77C37">
        <w:rPr>
          <w:szCs w:val="26"/>
        </w:rPr>
        <w:t>inability of the pare</w:t>
      </w:r>
      <w:r w:rsidRPr="00A77C37">
        <w:rPr>
          <w:szCs w:val="26"/>
        </w:rPr>
        <w:t xml:space="preserve">nt or guardian to provide regular care for the child due to the parent’s or guardian’s mental illness, developmental disability, or substance abuse.”  </w:t>
      </w:r>
      <w:r>
        <w:rPr>
          <w:szCs w:val="26"/>
        </w:rPr>
        <w:t xml:space="preserve">(§ 300(b)(1)(D).)  </w:t>
      </w:r>
      <w:r w:rsidRPr="00A77C37">
        <w:rPr>
          <w:szCs w:val="26"/>
        </w:rPr>
        <w:t>We</w:t>
      </w:r>
      <w:r>
        <w:rPr>
          <w:szCs w:val="26"/>
        </w:rPr>
        <w:t xml:space="preserve"> must</w:t>
      </w:r>
      <w:r w:rsidRPr="00A77C37">
        <w:rPr>
          <w:szCs w:val="26"/>
        </w:rPr>
        <w:t xml:space="preserve"> decide here whether</w:t>
      </w:r>
      <w:r>
        <w:rPr>
          <w:szCs w:val="26"/>
        </w:rPr>
        <w:t xml:space="preserve"> substance abuse, in this context, </w:t>
      </w:r>
      <w:r w:rsidRPr="00A77C37">
        <w:rPr>
          <w:szCs w:val="26"/>
        </w:rPr>
        <w:t>requires either a diagno</w:t>
      </w:r>
      <w:r w:rsidRPr="00A77C37">
        <w:rPr>
          <w:szCs w:val="26"/>
        </w:rPr>
        <w:t xml:space="preserve">sis by a medical professional or satisfaction of the prevailing criteria for </w:t>
      </w:r>
      <w:r>
        <w:rPr>
          <w:szCs w:val="26"/>
        </w:rPr>
        <w:t>a</w:t>
      </w:r>
      <w:r w:rsidRPr="00A77C37">
        <w:rPr>
          <w:szCs w:val="26"/>
        </w:rPr>
        <w:t xml:space="preserve"> substance use disorder as specified within the Diagnostic and Statistical Manual of Mental </w:t>
      </w:r>
      <w:r w:rsidRPr="00A77C37">
        <w:rPr>
          <w:szCs w:val="26"/>
        </w:rPr>
        <w:lastRenderedPageBreak/>
        <w:t xml:space="preserve">Disorders (DSM), a </w:t>
      </w:r>
      <w:r>
        <w:rPr>
          <w:szCs w:val="26"/>
        </w:rPr>
        <w:t>text</w:t>
      </w:r>
      <w:r w:rsidRPr="00A77C37">
        <w:rPr>
          <w:szCs w:val="26"/>
        </w:rPr>
        <w:t xml:space="preserve"> developed by the American Psychiatric Association.  </w:t>
      </w:r>
    </w:p>
    <w:p w14:paraId="72EDC411" w14:textId="77777777" w:rsidR="00021057" w:rsidRDefault="00B46361" w:rsidP="00021057">
      <w:pPr>
        <w:ind w:firstLine="720"/>
        <w:rPr>
          <w:szCs w:val="26"/>
        </w:rPr>
      </w:pPr>
      <w:r>
        <w:rPr>
          <w:szCs w:val="26"/>
        </w:rPr>
        <w:t>As to thi</w:t>
      </w:r>
      <w:r>
        <w:rPr>
          <w:szCs w:val="26"/>
        </w:rPr>
        <w:t>s issue, we hold</w:t>
      </w:r>
      <w:r w:rsidRPr="00A77C37">
        <w:rPr>
          <w:szCs w:val="26"/>
        </w:rPr>
        <w:t xml:space="preserve"> that neither </w:t>
      </w:r>
      <w:r>
        <w:rPr>
          <w:szCs w:val="26"/>
        </w:rPr>
        <w:t xml:space="preserve">of these showings </w:t>
      </w:r>
      <w:r w:rsidR="0020637B">
        <w:rPr>
          <w:szCs w:val="26"/>
        </w:rPr>
        <w:t xml:space="preserve">is </w:t>
      </w:r>
      <w:r w:rsidR="004A15AC">
        <w:rPr>
          <w:szCs w:val="26"/>
        </w:rPr>
        <w:t>essential</w:t>
      </w:r>
      <w:r>
        <w:rPr>
          <w:szCs w:val="26"/>
        </w:rPr>
        <w:t xml:space="preserve"> </w:t>
      </w:r>
      <w:r w:rsidRPr="00A77C37">
        <w:rPr>
          <w:szCs w:val="26"/>
        </w:rPr>
        <w:t xml:space="preserve">under section 300(b)(1)(D).  </w:t>
      </w:r>
      <w:r>
        <w:rPr>
          <w:szCs w:val="26"/>
        </w:rPr>
        <w:t>We interpret section 300(b)(1)(D) as assigning t</w:t>
      </w:r>
      <w:r w:rsidRPr="00A77C37">
        <w:rPr>
          <w:szCs w:val="26"/>
        </w:rPr>
        <w:t>he term “substance abuse</w:t>
      </w:r>
      <w:r>
        <w:rPr>
          <w:szCs w:val="26"/>
        </w:rPr>
        <w:t>”</w:t>
      </w:r>
      <w:r w:rsidRPr="00A77C37">
        <w:rPr>
          <w:szCs w:val="26"/>
        </w:rPr>
        <w:t xml:space="preserve"> its ordinary meaning — essentially, the excessive use of drugs or alcohol</w:t>
      </w:r>
      <w:r>
        <w:rPr>
          <w:szCs w:val="26"/>
        </w:rPr>
        <w:t>.  Although a profe</w:t>
      </w:r>
      <w:r>
        <w:rPr>
          <w:szCs w:val="26"/>
        </w:rPr>
        <w:t xml:space="preserve">ssional diagnosis or satisfaction of the DSM criteria for the pertinent substance use disorder can be relevant to ascertaining the existence of substance abuse under this standard, we do not read the statute as requiring such proof.  </w:t>
      </w:r>
    </w:p>
    <w:p w14:paraId="72EDC412" w14:textId="77777777" w:rsidR="00021057" w:rsidRDefault="00B46361" w:rsidP="00021057">
      <w:pPr>
        <w:ind w:firstLine="720"/>
        <w:rPr>
          <w:szCs w:val="26"/>
        </w:rPr>
      </w:pPr>
      <w:r>
        <w:rPr>
          <w:szCs w:val="26"/>
        </w:rPr>
        <w:t xml:space="preserve">We caution, however, </w:t>
      </w:r>
      <w:r>
        <w:rPr>
          <w:szCs w:val="26"/>
        </w:rPr>
        <w:t xml:space="preserve">that for dependency jurisdiction to exist due to substance abuse pursuant to section 300(b)(1)(D), this abuse must render a parent or guardian unable to provide regular care for a child and either cause the child to suffer serious physical harm or illness </w:t>
      </w:r>
      <w:r>
        <w:rPr>
          <w:szCs w:val="26"/>
        </w:rPr>
        <w:t>or place the child at substantial risk of suffering such harm or illness.  These additional requirements function to limit the circumstances in which a parent’s or guardian’s substance abuse will support the exercise of dependency jurisdiction under this p</w:t>
      </w:r>
      <w:r>
        <w:rPr>
          <w:szCs w:val="26"/>
        </w:rPr>
        <w:t xml:space="preserve">rovision.  </w:t>
      </w:r>
    </w:p>
    <w:p w14:paraId="72EDC413" w14:textId="77777777" w:rsidR="00021057" w:rsidRPr="00A77C37" w:rsidRDefault="00B46361" w:rsidP="00021057">
      <w:pPr>
        <w:ind w:firstLine="720"/>
        <w:rPr>
          <w:szCs w:val="26"/>
        </w:rPr>
      </w:pPr>
      <w:r>
        <w:rPr>
          <w:szCs w:val="26"/>
        </w:rPr>
        <w:t>The second issue before us relates to how these additional requirements may be established.  Some courts have held that the existence of substance abuse by a parent or guardian, by itself, amounts to</w:t>
      </w:r>
      <w:r w:rsidRPr="00A77C37">
        <w:rPr>
          <w:szCs w:val="26"/>
        </w:rPr>
        <w:t xml:space="preserve"> prima facie evidence of </w:t>
      </w:r>
      <w:r>
        <w:rPr>
          <w:szCs w:val="26"/>
        </w:rPr>
        <w:t xml:space="preserve">both </w:t>
      </w:r>
      <w:r w:rsidRPr="00A77C37">
        <w:rPr>
          <w:szCs w:val="26"/>
        </w:rPr>
        <w:t>an inability to</w:t>
      </w:r>
      <w:r w:rsidRPr="00A77C37">
        <w:rPr>
          <w:szCs w:val="26"/>
        </w:rPr>
        <w:t xml:space="preserve"> provide regular care for a child and a substantial risk of serious physical harm when the child is of “tender years,” a term that is sometimes used by courts to describe young children with limited ability to care for themselves.  </w:t>
      </w:r>
      <w:r>
        <w:rPr>
          <w:szCs w:val="26"/>
        </w:rPr>
        <w:t>We reject this tender ye</w:t>
      </w:r>
      <w:r>
        <w:rPr>
          <w:szCs w:val="26"/>
        </w:rPr>
        <w:t>ars presumption as inconsistent with the Legislature’s intent, as manifested in the statutory text.  The age of a child may bear upon whether substance abuse renders a parent or guardian unable to provide that child with regular care, and whether the child</w:t>
      </w:r>
      <w:r>
        <w:rPr>
          <w:szCs w:val="26"/>
        </w:rPr>
        <w:t xml:space="preserve"> is thereby placed at substantial risk of serious physical harm or illness.  But the statutory scheme does not allow courts to treat a showing of substance abuse as always being sufficient on its own to establish these other requirements for dependency jur</w:t>
      </w:r>
      <w:r>
        <w:rPr>
          <w:szCs w:val="26"/>
        </w:rPr>
        <w:t xml:space="preserve">isdiction under section 300(b)(1)(D), even when a young child is involved.  </w:t>
      </w:r>
    </w:p>
    <w:p w14:paraId="72EDC414" w14:textId="77777777" w:rsidR="00021057" w:rsidRPr="00A77C37" w:rsidRDefault="00B46361" w:rsidP="00021057">
      <w:pPr>
        <w:ind w:firstLine="720"/>
        <w:rPr>
          <w:szCs w:val="26"/>
        </w:rPr>
      </w:pPr>
      <w:r>
        <w:rPr>
          <w:szCs w:val="26"/>
        </w:rPr>
        <w:t>Consistent with these conclusions</w:t>
      </w:r>
      <w:r w:rsidRPr="00A77C37">
        <w:rPr>
          <w:szCs w:val="26"/>
        </w:rPr>
        <w:t>, we reverse the judgment</w:t>
      </w:r>
      <w:r>
        <w:rPr>
          <w:szCs w:val="26"/>
        </w:rPr>
        <w:t xml:space="preserve"> below </w:t>
      </w:r>
      <w:r w:rsidRPr="00A77C37">
        <w:rPr>
          <w:szCs w:val="26"/>
        </w:rPr>
        <w:t>and remand this matter to the Court of Appeal for further proceedings consistent with our opinion.</w:t>
      </w:r>
    </w:p>
    <w:p w14:paraId="72EDC415" w14:textId="77777777" w:rsidR="00021057" w:rsidRPr="00A77C37" w:rsidRDefault="00B46361" w:rsidP="000E608B">
      <w:pPr>
        <w:pStyle w:val="Heading1"/>
        <w:tabs>
          <w:tab w:val="left" w:pos="360"/>
          <w:tab w:val="left" w:pos="720"/>
        </w:tabs>
      </w:pPr>
      <w:r>
        <w:t xml:space="preserve">I.  </w:t>
      </w:r>
      <w:r w:rsidRPr="00A77C37">
        <w:t>Factual and Procedural Background</w:t>
      </w:r>
    </w:p>
    <w:p w14:paraId="72EDC416" w14:textId="77777777" w:rsidR="00021057" w:rsidRPr="00A77C37" w:rsidRDefault="00B46361" w:rsidP="00021057">
      <w:pPr>
        <w:pStyle w:val="ListParagraph"/>
        <w:spacing w:after="100" w:line="400" w:lineRule="exact"/>
        <w:ind w:left="0" w:firstLine="720"/>
        <w:rPr>
          <w:rFonts w:ascii="Century Schoolbook" w:hAnsi="Century Schoolbook" w:cs="Times New Roman"/>
          <w:sz w:val="27"/>
          <w:szCs w:val="26"/>
        </w:rPr>
      </w:pPr>
      <w:r w:rsidRPr="00A77C37">
        <w:rPr>
          <w:rFonts w:ascii="Century Schoolbook" w:hAnsi="Century Schoolbook" w:cs="Times New Roman"/>
          <w:sz w:val="27"/>
          <w:szCs w:val="26"/>
        </w:rPr>
        <w:t>On November 19, 2020, police officers executed a search warrant at the residence of N.R.’s mother, S.H. (Mother).</w:t>
      </w:r>
      <w:r>
        <w:rPr>
          <w:rStyle w:val="FootnoteReference"/>
          <w:rFonts w:cs="Times New Roman"/>
          <w:szCs w:val="20"/>
        </w:rPr>
        <w:footnoteReference w:id="3"/>
      </w:r>
      <w:r w:rsidRPr="00A77C37">
        <w:rPr>
          <w:rFonts w:ascii="Century Schoolbook" w:hAnsi="Century Schoolbook" w:cs="Times New Roman"/>
          <w:sz w:val="27"/>
          <w:szCs w:val="26"/>
        </w:rPr>
        <w:t xml:space="preserve">  </w:t>
      </w:r>
      <w:r>
        <w:rPr>
          <w:rFonts w:ascii="Century Schoolbook" w:hAnsi="Century Schoolbook" w:cs="Times New Roman"/>
          <w:sz w:val="27"/>
          <w:szCs w:val="26"/>
        </w:rPr>
        <w:t xml:space="preserve">N.R. was 12 months old at the time.  </w:t>
      </w:r>
      <w:r w:rsidRPr="00A77C37">
        <w:rPr>
          <w:rFonts w:ascii="Century Schoolbook" w:hAnsi="Century Schoolbook" w:cs="Times New Roman"/>
          <w:sz w:val="27"/>
          <w:szCs w:val="26"/>
        </w:rPr>
        <w:t xml:space="preserve">Mother lived separately from N.R.’s father, appellant O.R. (Father), with the two parents sharing custody of N.R.  </w:t>
      </w:r>
    </w:p>
    <w:p w14:paraId="72EDC417" w14:textId="77777777" w:rsidR="00021057" w:rsidRPr="00A77C37" w:rsidRDefault="00B46361" w:rsidP="00021057">
      <w:pPr>
        <w:pStyle w:val="ListParagraph"/>
        <w:spacing w:after="100" w:line="400" w:lineRule="exact"/>
        <w:ind w:left="0" w:firstLine="720"/>
        <w:rPr>
          <w:rFonts w:ascii="Century Schoolbook" w:hAnsi="Century Schoolbook" w:cs="Times New Roman"/>
          <w:sz w:val="27"/>
          <w:szCs w:val="26"/>
        </w:rPr>
      </w:pPr>
      <w:r w:rsidRPr="00A77C37">
        <w:rPr>
          <w:rFonts w:ascii="Century Schoolbook" w:hAnsi="Century Schoolbook" w:cs="Times New Roman"/>
          <w:sz w:val="27"/>
          <w:szCs w:val="26"/>
        </w:rPr>
        <w:t>During the execution of the search warrant, a social worker employed by the Los Angeles County Department of Children and Family Services (t</w:t>
      </w:r>
      <w:r w:rsidRPr="00A77C37">
        <w:rPr>
          <w:rFonts w:ascii="Century Schoolbook" w:hAnsi="Century Schoolbook" w:cs="Times New Roman"/>
          <w:sz w:val="27"/>
          <w:szCs w:val="26"/>
        </w:rPr>
        <w:t>he Department) spoke with Mother and inspected the premises.  The social worker had safety concerns regarding N.R.’s living arrangements and asked Mother if N.R. could stay with Father while the investigation continued.  Mother agreed to contact Father, wh</w:t>
      </w:r>
      <w:r w:rsidRPr="00A77C37">
        <w:rPr>
          <w:rFonts w:ascii="Century Schoolbook" w:hAnsi="Century Schoolbook" w:cs="Times New Roman"/>
          <w:sz w:val="27"/>
          <w:szCs w:val="26"/>
        </w:rPr>
        <w:t xml:space="preserve">o soon arrived to pick up N.R.  </w:t>
      </w:r>
    </w:p>
    <w:p w14:paraId="72EDC418" w14:textId="77777777" w:rsidR="00021057" w:rsidRPr="00A77C37" w:rsidRDefault="00B46361" w:rsidP="00021057">
      <w:pPr>
        <w:pStyle w:val="ListParagraph"/>
        <w:spacing w:after="100" w:line="400" w:lineRule="exact"/>
        <w:ind w:left="0" w:firstLine="720"/>
        <w:rPr>
          <w:rFonts w:ascii="Century Schoolbook" w:hAnsi="Century Schoolbook" w:cs="Times New Roman"/>
          <w:sz w:val="27"/>
          <w:szCs w:val="26"/>
        </w:rPr>
      </w:pPr>
      <w:r w:rsidRPr="00A77C37">
        <w:rPr>
          <w:rFonts w:ascii="Century Schoolbook" w:hAnsi="Century Schoolbook" w:cs="Times New Roman"/>
          <w:sz w:val="27"/>
          <w:szCs w:val="26"/>
        </w:rPr>
        <w:t xml:space="preserve">The social worker accompanied Father to his apartment and toured it with him.  The social worker’s assessment of Father’s residence was generally positive.  N.R. was observed to be “clean, neat and on target </w:t>
      </w:r>
      <w:r w:rsidRPr="00060909">
        <w:rPr>
          <w:rFonts w:ascii="Century Schoolbook" w:hAnsi="Century Schoolbook" w:cs="Times New Roman"/>
          <w:sz w:val="27"/>
          <w:szCs w:val="26"/>
        </w:rPr>
        <w:t>with</w:t>
      </w:r>
      <w:r w:rsidRPr="00A77C37">
        <w:rPr>
          <w:rFonts w:ascii="Century Schoolbook" w:hAnsi="Century Schoolbook" w:cs="Times New Roman"/>
          <w:sz w:val="27"/>
          <w:szCs w:val="26"/>
        </w:rPr>
        <w:t xml:space="preserve"> all develo</w:t>
      </w:r>
      <w:r w:rsidRPr="00A77C37">
        <w:rPr>
          <w:rFonts w:ascii="Century Schoolbook" w:hAnsi="Century Schoolbook" w:cs="Times New Roman"/>
          <w:sz w:val="27"/>
          <w:szCs w:val="26"/>
        </w:rPr>
        <w:t xml:space="preserve">pmental milestones.”  In speaking with the social worker, Father denied that he </w:t>
      </w:r>
      <w:r>
        <w:rPr>
          <w:rFonts w:ascii="Century Schoolbook" w:hAnsi="Century Schoolbook" w:cs="Times New Roman"/>
          <w:sz w:val="27"/>
          <w:szCs w:val="26"/>
        </w:rPr>
        <w:t>abused substances</w:t>
      </w:r>
      <w:r w:rsidRPr="00A77C37">
        <w:rPr>
          <w:rFonts w:ascii="Century Schoolbook" w:hAnsi="Century Schoolbook" w:cs="Times New Roman"/>
          <w:sz w:val="27"/>
          <w:szCs w:val="26"/>
        </w:rPr>
        <w:t xml:space="preserve">, and </w:t>
      </w:r>
      <w:r>
        <w:rPr>
          <w:rFonts w:ascii="Century Schoolbook" w:hAnsi="Century Schoolbook" w:cs="Times New Roman"/>
          <w:sz w:val="27"/>
          <w:szCs w:val="26"/>
        </w:rPr>
        <w:t xml:space="preserve">he </w:t>
      </w:r>
      <w:r w:rsidRPr="00A77C37">
        <w:rPr>
          <w:rFonts w:ascii="Century Schoolbook" w:hAnsi="Century Schoolbook" w:cs="Times New Roman"/>
          <w:sz w:val="27"/>
          <w:szCs w:val="26"/>
        </w:rPr>
        <w:t xml:space="preserve">agreed to take a drug test. </w:t>
      </w:r>
    </w:p>
    <w:p w14:paraId="72EDC419" w14:textId="77777777" w:rsidR="00021057" w:rsidRPr="00A77C37" w:rsidRDefault="00B46361" w:rsidP="00021057">
      <w:pPr>
        <w:pStyle w:val="ListParagraph"/>
        <w:spacing w:after="100" w:line="400" w:lineRule="exact"/>
        <w:ind w:left="0" w:firstLine="720"/>
        <w:rPr>
          <w:rFonts w:ascii="Century Schoolbook" w:hAnsi="Century Schoolbook" w:cs="Times New Roman"/>
          <w:sz w:val="27"/>
          <w:szCs w:val="26"/>
        </w:rPr>
      </w:pPr>
      <w:r w:rsidRPr="00A77C37">
        <w:rPr>
          <w:rFonts w:ascii="Century Schoolbook" w:hAnsi="Century Schoolbook" w:cs="Times New Roman"/>
          <w:sz w:val="27"/>
          <w:szCs w:val="26"/>
        </w:rPr>
        <w:t>Father’s drug test, conducted that same day, came back positive for cocaine metabolite at a measured level of 1441 nanogr</w:t>
      </w:r>
      <w:r w:rsidRPr="00A77C37">
        <w:rPr>
          <w:rFonts w:ascii="Century Schoolbook" w:hAnsi="Century Schoolbook" w:cs="Times New Roman"/>
          <w:sz w:val="27"/>
          <w:szCs w:val="26"/>
        </w:rPr>
        <w:t>ams per milliliter.  The social worker went to Father’s apartment to discuss the results with him.  Father said he had been scared to reveal his cocaine use in their earlier conversation.  He admitted he had used cocaine the weekend before the positive tes</w:t>
      </w:r>
      <w:r w:rsidRPr="00A77C37">
        <w:rPr>
          <w:rFonts w:ascii="Century Schoolbook" w:hAnsi="Century Schoolbook" w:cs="Times New Roman"/>
          <w:sz w:val="27"/>
          <w:szCs w:val="26"/>
        </w:rPr>
        <w:t xml:space="preserve">t.  He said he did not know how much of the substance he had used.  Father denied that he was an active user of cocaine.  He explained that he used the cocaine to celebrate his birthday </w:t>
      </w:r>
      <w:r w:rsidR="00423208">
        <w:rPr>
          <w:rFonts w:ascii="Century Schoolbook" w:hAnsi="Century Schoolbook" w:cs="Times New Roman"/>
          <w:sz w:val="27"/>
          <w:szCs w:val="26"/>
        </w:rPr>
        <w:t>and</w:t>
      </w:r>
      <w:r w:rsidRPr="00A77C37">
        <w:rPr>
          <w:rFonts w:ascii="Century Schoolbook" w:hAnsi="Century Schoolbook" w:cs="Times New Roman"/>
          <w:sz w:val="27"/>
          <w:szCs w:val="26"/>
        </w:rPr>
        <w:t xml:space="preserve"> had not expected he would be asked to take care of N.R. soon there</w:t>
      </w:r>
      <w:r w:rsidRPr="00A77C37">
        <w:rPr>
          <w:rFonts w:ascii="Century Schoolbook" w:hAnsi="Century Schoolbook" w:cs="Times New Roman"/>
          <w:sz w:val="27"/>
          <w:szCs w:val="26"/>
        </w:rPr>
        <w:t xml:space="preserve">after, and </w:t>
      </w:r>
      <w:r w:rsidR="00423208">
        <w:rPr>
          <w:rFonts w:ascii="Century Schoolbook" w:hAnsi="Century Schoolbook" w:cs="Times New Roman"/>
          <w:sz w:val="27"/>
          <w:szCs w:val="26"/>
        </w:rPr>
        <w:t xml:space="preserve">that </w:t>
      </w:r>
      <w:r w:rsidRPr="00A77C37">
        <w:rPr>
          <w:rFonts w:ascii="Century Schoolbook" w:hAnsi="Century Schoolbook" w:cs="Times New Roman"/>
          <w:sz w:val="27"/>
          <w:szCs w:val="26"/>
        </w:rPr>
        <w:t xml:space="preserve">he had not used drugs since then. </w:t>
      </w:r>
    </w:p>
    <w:p w14:paraId="72EDC41A" w14:textId="77777777" w:rsidR="00021057" w:rsidRDefault="00B46361" w:rsidP="00021057">
      <w:pPr>
        <w:pStyle w:val="ListParagraph"/>
        <w:spacing w:after="100" w:line="400" w:lineRule="exact"/>
        <w:ind w:left="0" w:firstLine="720"/>
        <w:rPr>
          <w:rFonts w:ascii="Century Schoolbook" w:hAnsi="Century Schoolbook" w:cs="Times New Roman"/>
          <w:sz w:val="27"/>
          <w:szCs w:val="26"/>
        </w:rPr>
      </w:pPr>
      <w:r w:rsidRPr="00D0625F">
        <w:rPr>
          <w:rFonts w:ascii="Century Schoolbook" w:hAnsi="Century Schoolbook" w:cs="Times New Roman"/>
          <w:sz w:val="27"/>
          <w:szCs w:val="26"/>
        </w:rPr>
        <w:t>N.R.</w:t>
      </w:r>
      <w:r>
        <w:rPr>
          <w:rFonts w:ascii="Century Schoolbook" w:hAnsi="Century Schoolbook" w:cs="Times New Roman"/>
          <w:sz w:val="27"/>
          <w:szCs w:val="26"/>
        </w:rPr>
        <w:t xml:space="preserve"> remained in Father’s care, with no concerns beyond those described above being noted by social workers, </w:t>
      </w:r>
      <w:r w:rsidR="003F0FF0">
        <w:rPr>
          <w:rFonts w:ascii="Century Schoolbook" w:hAnsi="Century Schoolbook" w:cs="Times New Roman"/>
          <w:sz w:val="27"/>
          <w:szCs w:val="26"/>
        </w:rPr>
        <w:t>from November 19, 2020</w:t>
      </w:r>
      <w:r w:rsidR="00F14A23">
        <w:rPr>
          <w:rFonts w:ascii="Century Schoolbook" w:hAnsi="Century Schoolbook" w:cs="Times New Roman"/>
          <w:sz w:val="27"/>
          <w:szCs w:val="26"/>
        </w:rPr>
        <w:t>,</w:t>
      </w:r>
      <w:r w:rsidR="003F0FF0">
        <w:rPr>
          <w:rFonts w:ascii="Century Schoolbook" w:hAnsi="Century Schoolbook" w:cs="Times New Roman"/>
          <w:sz w:val="27"/>
          <w:szCs w:val="26"/>
        </w:rPr>
        <w:t xml:space="preserve"> </w:t>
      </w:r>
      <w:r>
        <w:rPr>
          <w:rFonts w:ascii="Century Schoolbook" w:hAnsi="Century Schoolbook" w:cs="Times New Roman"/>
          <w:sz w:val="27"/>
          <w:szCs w:val="26"/>
        </w:rPr>
        <w:t>until the execution of a</w:t>
      </w:r>
      <w:r w:rsidRPr="00D0625F">
        <w:rPr>
          <w:rFonts w:ascii="Century Schoolbook" w:hAnsi="Century Schoolbook" w:cs="Times New Roman"/>
          <w:sz w:val="27"/>
          <w:szCs w:val="26"/>
        </w:rPr>
        <w:t xml:space="preserve"> </w:t>
      </w:r>
      <w:r>
        <w:rPr>
          <w:rFonts w:ascii="Century Schoolbook" w:hAnsi="Century Schoolbook" w:cs="Times New Roman"/>
          <w:sz w:val="27"/>
          <w:szCs w:val="26"/>
        </w:rPr>
        <w:t>removal order</w:t>
      </w:r>
      <w:r w:rsidRPr="00D0625F">
        <w:rPr>
          <w:rFonts w:ascii="Century Schoolbook" w:hAnsi="Century Schoolbook" w:cs="Times New Roman"/>
          <w:sz w:val="27"/>
          <w:szCs w:val="26"/>
        </w:rPr>
        <w:t xml:space="preserve"> on December 8, 2020.  </w:t>
      </w:r>
      <w:r>
        <w:rPr>
          <w:rFonts w:ascii="Century Schoolbook" w:hAnsi="Century Schoolbook" w:cs="Times New Roman"/>
          <w:sz w:val="27"/>
          <w:szCs w:val="26"/>
        </w:rPr>
        <w:t>Pursuant to</w:t>
      </w:r>
      <w:r>
        <w:rPr>
          <w:rFonts w:ascii="Century Schoolbook" w:hAnsi="Century Schoolbook" w:cs="Times New Roman"/>
          <w:sz w:val="27"/>
          <w:szCs w:val="26"/>
        </w:rPr>
        <w:t xml:space="preserve"> this order, N.R. was placed in the care of </w:t>
      </w:r>
      <w:r w:rsidR="006C337D">
        <w:rPr>
          <w:rFonts w:ascii="Century Schoolbook" w:hAnsi="Century Schoolbook" w:cs="Times New Roman"/>
          <w:sz w:val="27"/>
          <w:szCs w:val="26"/>
        </w:rPr>
        <w:t xml:space="preserve">a </w:t>
      </w:r>
      <w:r>
        <w:rPr>
          <w:rFonts w:ascii="Century Schoolbook" w:hAnsi="Century Schoolbook" w:cs="Times New Roman"/>
          <w:sz w:val="27"/>
          <w:szCs w:val="26"/>
        </w:rPr>
        <w:t>maternal uncle</w:t>
      </w:r>
      <w:r w:rsidRPr="00D0625F">
        <w:rPr>
          <w:rFonts w:ascii="Century Schoolbook" w:hAnsi="Century Schoolbook" w:cs="Times New Roman"/>
          <w:sz w:val="27"/>
          <w:szCs w:val="26"/>
        </w:rPr>
        <w:t xml:space="preserve">.  </w:t>
      </w:r>
    </w:p>
    <w:p w14:paraId="72EDC41B" w14:textId="77777777" w:rsidR="00021057" w:rsidRPr="00A77C37" w:rsidRDefault="00B46361" w:rsidP="00021057">
      <w:pPr>
        <w:pStyle w:val="ListParagraph"/>
        <w:spacing w:after="100" w:line="400" w:lineRule="exact"/>
        <w:ind w:left="0" w:firstLine="720"/>
        <w:rPr>
          <w:rFonts w:ascii="Century Schoolbook" w:hAnsi="Century Schoolbook" w:cs="Times New Roman"/>
          <w:sz w:val="27"/>
          <w:szCs w:val="26"/>
        </w:rPr>
      </w:pPr>
      <w:r>
        <w:rPr>
          <w:rFonts w:ascii="Century Schoolbook" w:hAnsi="Century Schoolbook" w:cs="Times New Roman"/>
          <w:sz w:val="27"/>
          <w:szCs w:val="26"/>
        </w:rPr>
        <w:t>Shortly thereafter</w:t>
      </w:r>
      <w:r w:rsidRPr="00A77C37">
        <w:rPr>
          <w:rFonts w:ascii="Century Schoolbook" w:hAnsi="Century Schoolbook" w:cs="Times New Roman"/>
          <w:sz w:val="27"/>
          <w:szCs w:val="26"/>
        </w:rPr>
        <w:t xml:space="preserve">, a petition was filed in Los Angeles County Superior Court alleging that N.R. came within the dependency jurisdiction of the juvenile court.  Tracking language appearing within section 300, subdivision (b)(1), the petition alleged that N.R. had suffered, </w:t>
      </w:r>
      <w:r w:rsidRPr="00A77C37">
        <w:rPr>
          <w:rFonts w:ascii="Century Schoolbook" w:hAnsi="Century Schoolbook" w:cs="Times New Roman"/>
          <w:sz w:val="27"/>
          <w:szCs w:val="26"/>
        </w:rPr>
        <w:t xml:space="preserve">or there was a substantial risk he would suffer, serious physical harm or illness “as a result of the failure or inability of his . . . parent or legal guardian to supervise or protect [him] adequately,” “as a result of the willful or negligent failure of </w:t>
      </w:r>
      <w:r w:rsidRPr="00A77C37">
        <w:rPr>
          <w:rFonts w:ascii="Century Schoolbook" w:hAnsi="Century Schoolbook" w:cs="Times New Roman"/>
          <w:sz w:val="27"/>
          <w:szCs w:val="26"/>
        </w:rPr>
        <w:t>[his] parent or legal guardian to supervise or protect [him] adequately from the conduct of the custodian with whom [he] has been left,” and “by the inability of the parent or legal guardian to provide regular care for [him] due to the parent’s or legal gu</w:t>
      </w:r>
      <w:r w:rsidRPr="00A77C37">
        <w:rPr>
          <w:rFonts w:ascii="Century Schoolbook" w:hAnsi="Century Schoolbook" w:cs="Times New Roman"/>
          <w:sz w:val="27"/>
          <w:szCs w:val="26"/>
        </w:rPr>
        <w:t xml:space="preserve">ardian’s mental illness, developmental disability, or substance abuse.”  </w:t>
      </w:r>
    </w:p>
    <w:p w14:paraId="72EDC41C" w14:textId="77777777" w:rsidR="00021057" w:rsidRPr="00A77C37" w:rsidRDefault="00B46361" w:rsidP="00021057">
      <w:pPr>
        <w:pStyle w:val="ListParagraph"/>
        <w:spacing w:after="100" w:line="400" w:lineRule="exact"/>
        <w:ind w:left="0" w:firstLine="720"/>
        <w:rPr>
          <w:rFonts w:ascii="Century Schoolbook" w:hAnsi="Century Schoolbook" w:cs="Times New Roman"/>
          <w:sz w:val="27"/>
          <w:szCs w:val="26"/>
        </w:rPr>
      </w:pPr>
      <w:r w:rsidRPr="00A77C37">
        <w:rPr>
          <w:rFonts w:ascii="Century Schoolbook" w:hAnsi="Century Schoolbook" w:cs="Times New Roman"/>
          <w:sz w:val="27"/>
          <w:szCs w:val="26"/>
        </w:rPr>
        <w:t xml:space="preserve">The factual allegations in the petition alleged, first, that Mother had created a dangerous home environment by allowing her mother (N.R.’s maternal grandmother), </w:t>
      </w:r>
      <w:r>
        <w:rPr>
          <w:rFonts w:ascii="Century Schoolbook" w:hAnsi="Century Schoolbook" w:cs="Times New Roman"/>
          <w:sz w:val="27"/>
          <w:szCs w:val="26"/>
        </w:rPr>
        <w:t>who</w:t>
      </w:r>
      <w:r w:rsidRPr="00A77C37">
        <w:rPr>
          <w:rFonts w:ascii="Century Schoolbook" w:hAnsi="Century Schoolbook" w:cs="Times New Roman"/>
          <w:sz w:val="27"/>
          <w:szCs w:val="26"/>
        </w:rPr>
        <w:t xml:space="preserve"> alleged</w:t>
      </w:r>
      <w:r>
        <w:rPr>
          <w:rFonts w:ascii="Century Schoolbook" w:hAnsi="Century Schoolbook" w:cs="Times New Roman"/>
          <w:sz w:val="27"/>
          <w:szCs w:val="26"/>
        </w:rPr>
        <w:t>ly abuse</w:t>
      </w:r>
      <w:r>
        <w:rPr>
          <w:rFonts w:ascii="Century Schoolbook" w:hAnsi="Century Schoolbook" w:cs="Times New Roman"/>
          <w:sz w:val="27"/>
          <w:szCs w:val="26"/>
        </w:rPr>
        <w:t>d</w:t>
      </w:r>
      <w:r w:rsidRPr="00A77C37">
        <w:rPr>
          <w:rFonts w:ascii="Century Schoolbook" w:hAnsi="Century Schoolbook" w:cs="Times New Roman"/>
          <w:sz w:val="27"/>
          <w:szCs w:val="26"/>
        </w:rPr>
        <w:t xml:space="preserve"> drug</w:t>
      </w:r>
      <w:r>
        <w:rPr>
          <w:rFonts w:ascii="Century Schoolbook" w:hAnsi="Century Schoolbook" w:cs="Times New Roman"/>
          <w:sz w:val="27"/>
          <w:szCs w:val="26"/>
        </w:rPr>
        <w:t>s</w:t>
      </w:r>
      <w:r w:rsidRPr="00A77C37">
        <w:rPr>
          <w:rFonts w:ascii="Century Schoolbook" w:hAnsi="Century Schoolbook" w:cs="Times New Roman"/>
          <w:sz w:val="27"/>
          <w:szCs w:val="26"/>
        </w:rPr>
        <w:t xml:space="preserve">, to reside with </w:t>
      </w:r>
      <w:r w:rsidR="00FF7DE0">
        <w:rPr>
          <w:rFonts w:ascii="Century Schoolbook" w:hAnsi="Century Schoolbook" w:cs="Times New Roman"/>
          <w:sz w:val="27"/>
          <w:szCs w:val="26"/>
        </w:rPr>
        <w:t>Mother and N.R.</w:t>
      </w:r>
      <w:r w:rsidRPr="00A77C37">
        <w:rPr>
          <w:rFonts w:ascii="Century Schoolbook" w:hAnsi="Century Schoolbook" w:cs="Times New Roman"/>
          <w:sz w:val="27"/>
          <w:szCs w:val="26"/>
        </w:rPr>
        <w:t xml:space="preserve"> </w:t>
      </w:r>
      <w:r>
        <w:rPr>
          <w:rFonts w:ascii="Century Schoolbook" w:hAnsi="Century Schoolbook" w:cs="Times New Roman"/>
          <w:sz w:val="27"/>
          <w:szCs w:val="26"/>
        </w:rPr>
        <w:t xml:space="preserve"> According to the petition, </w:t>
      </w:r>
      <w:r w:rsidRPr="00A77C37">
        <w:rPr>
          <w:rFonts w:ascii="Century Schoolbook" w:hAnsi="Century Schoolbook" w:cs="Times New Roman"/>
          <w:sz w:val="27"/>
          <w:szCs w:val="26"/>
        </w:rPr>
        <w:t>Father failed to protect N.R. from this danger even though he knew or should have known of the grandmother’s substance abuse.  As a separate factual basis for the assertion of dependency j</w:t>
      </w:r>
      <w:r w:rsidRPr="00A77C37">
        <w:rPr>
          <w:rFonts w:ascii="Century Schoolbook" w:hAnsi="Century Schoolbook" w:cs="Times New Roman"/>
          <w:sz w:val="27"/>
          <w:szCs w:val="26"/>
        </w:rPr>
        <w:t>urisdiction, the petition alleged that Father “has a history of substance abuse and is a current abuser of cocaine,” noting Father’s positive toxicology result.  According to the petition, N.R. was “of such a young age as to require constant care and super</w:t>
      </w:r>
      <w:r w:rsidRPr="00A77C37">
        <w:rPr>
          <w:rFonts w:ascii="Century Schoolbook" w:hAnsi="Century Schoolbook" w:cs="Times New Roman"/>
          <w:sz w:val="27"/>
          <w:szCs w:val="26"/>
        </w:rPr>
        <w:t xml:space="preserve">vision and father’s substance abuse interferes with providing regular care” for him.  The petition further alleged that Mother had failed to protect N.R. from what it characterized as Father’s substance abuse. </w:t>
      </w:r>
    </w:p>
    <w:p w14:paraId="72EDC41D" w14:textId="77777777" w:rsidR="00021057" w:rsidRPr="00A77C37" w:rsidRDefault="00B46361" w:rsidP="00021057">
      <w:pPr>
        <w:pStyle w:val="ListParagraph"/>
        <w:spacing w:after="100" w:line="400" w:lineRule="exact"/>
        <w:ind w:left="0" w:firstLine="720"/>
        <w:rPr>
          <w:rFonts w:ascii="Century Schoolbook" w:hAnsi="Century Schoolbook" w:cs="Times New Roman"/>
          <w:sz w:val="27"/>
          <w:szCs w:val="26"/>
        </w:rPr>
      </w:pPr>
      <w:r w:rsidRPr="00A77C37">
        <w:rPr>
          <w:rFonts w:ascii="Century Schoolbook" w:hAnsi="Century Schoolbook" w:cs="Times New Roman"/>
          <w:sz w:val="27"/>
          <w:szCs w:val="26"/>
        </w:rPr>
        <w:t>Both parents subsequently spoke to Department</w:t>
      </w:r>
      <w:r w:rsidRPr="00A77C37">
        <w:rPr>
          <w:rFonts w:ascii="Century Schoolbook" w:hAnsi="Century Schoolbook" w:cs="Times New Roman"/>
          <w:sz w:val="27"/>
          <w:szCs w:val="26"/>
        </w:rPr>
        <w:t xml:space="preserve"> staff regarding Father’s drug use.  Mother initially said that although she had not known that Father used drugs, looking back, she realized that Father had been using cocaine from before N.R. was born until recently.  In a later interview, however, she s</w:t>
      </w:r>
      <w:r w:rsidRPr="00A77C37">
        <w:rPr>
          <w:rFonts w:ascii="Century Schoolbook" w:hAnsi="Century Schoolbook" w:cs="Times New Roman"/>
          <w:sz w:val="27"/>
          <w:szCs w:val="26"/>
        </w:rPr>
        <w:t xml:space="preserve">aid that Father used cocaine only before N.R. was born.  As for Father, he explained that he </w:t>
      </w:r>
      <w:r w:rsidR="005B3F66">
        <w:rPr>
          <w:rFonts w:ascii="Century Schoolbook" w:hAnsi="Century Schoolbook" w:cs="Times New Roman"/>
          <w:sz w:val="27"/>
          <w:szCs w:val="26"/>
        </w:rPr>
        <w:t xml:space="preserve">had </w:t>
      </w:r>
      <w:r w:rsidRPr="00A77C37">
        <w:rPr>
          <w:rFonts w:ascii="Century Schoolbook" w:hAnsi="Century Schoolbook" w:cs="Times New Roman"/>
          <w:sz w:val="27"/>
          <w:szCs w:val="26"/>
        </w:rPr>
        <w:t xml:space="preserve">celebrated </w:t>
      </w:r>
      <w:r w:rsidR="005B3F66">
        <w:rPr>
          <w:rFonts w:ascii="Century Schoolbook" w:hAnsi="Century Schoolbook" w:cs="Times New Roman"/>
          <w:sz w:val="27"/>
          <w:szCs w:val="26"/>
        </w:rPr>
        <w:t>his</w:t>
      </w:r>
      <w:r w:rsidR="005B3F66" w:rsidRPr="00A77C37">
        <w:rPr>
          <w:rFonts w:ascii="Century Schoolbook" w:hAnsi="Century Schoolbook" w:cs="Times New Roman"/>
          <w:sz w:val="27"/>
          <w:szCs w:val="26"/>
        </w:rPr>
        <w:t xml:space="preserve"> </w:t>
      </w:r>
      <w:r w:rsidRPr="00A77C37">
        <w:rPr>
          <w:rFonts w:ascii="Century Schoolbook" w:hAnsi="Century Schoolbook" w:cs="Times New Roman"/>
          <w:sz w:val="27"/>
          <w:szCs w:val="26"/>
        </w:rPr>
        <w:t>birthday by using cocaine from Thursday</w:t>
      </w:r>
      <w:r w:rsidR="005B3F66">
        <w:rPr>
          <w:rFonts w:ascii="Century Schoolbook" w:hAnsi="Century Schoolbook" w:cs="Times New Roman"/>
          <w:sz w:val="27"/>
          <w:szCs w:val="26"/>
        </w:rPr>
        <w:t>, November 12,</w:t>
      </w:r>
      <w:r w:rsidRPr="00A77C37">
        <w:rPr>
          <w:rFonts w:ascii="Century Schoolbook" w:hAnsi="Century Schoolbook" w:cs="Times New Roman"/>
          <w:sz w:val="27"/>
          <w:szCs w:val="26"/>
        </w:rPr>
        <w:t xml:space="preserve"> through Sunday, November 15.</w:t>
      </w:r>
      <w:r>
        <w:rPr>
          <w:rFonts w:ascii="Century Schoolbook" w:hAnsi="Century Schoolbook" w:cs="Times New Roman"/>
          <w:sz w:val="27"/>
          <w:szCs w:val="26"/>
        </w:rPr>
        <w:t xml:space="preserve"> </w:t>
      </w:r>
      <w:r w:rsidRPr="00A77C37">
        <w:rPr>
          <w:rFonts w:ascii="Century Schoolbook" w:hAnsi="Century Schoolbook" w:cs="Times New Roman"/>
          <w:sz w:val="27"/>
          <w:szCs w:val="26"/>
        </w:rPr>
        <w:t xml:space="preserve"> He stated, “All 4 days I used [cocaine].  Maybe it was a big</w:t>
      </w:r>
      <w:r w:rsidRPr="00A77C37">
        <w:rPr>
          <w:rFonts w:ascii="Century Schoolbook" w:hAnsi="Century Schoolbook" w:cs="Times New Roman"/>
          <w:sz w:val="27"/>
          <w:szCs w:val="26"/>
        </w:rPr>
        <w:t xml:space="preserve"> amount throughout the 4 days, that’s why it came out positive.”  Asked how much cocaine he used, he said he and his “friends would pitch in 10 dollars each to get something small and that’s it.  I don’t know how much we got.  I had alcohol too all 4 days,</w:t>
      </w:r>
      <w:r w:rsidRPr="00A77C37">
        <w:rPr>
          <w:rFonts w:ascii="Century Schoolbook" w:hAnsi="Century Schoolbook" w:cs="Times New Roman"/>
          <w:sz w:val="27"/>
          <w:szCs w:val="26"/>
        </w:rPr>
        <w:t xml:space="preserve"> maybe just 2 tall cans a day.”  Father, who was 26 years old at the time of the interview, said he was 21 or 22 when he first tried cocaine.  He </w:t>
      </w:r>
      <w:r>
        <w:rPr>
          <w:rFonts w:ascii="Century Schoolbook" w:hAnsi="Century Schoolbook" w:cs="Times New Roman"/>
          <w:sz w:val="27"/>
          <w:szCs w:val="26"/>
        </w:rPr>
        <w:t>elaborated</w:t>
      </w:r>
      <w:r w:rsidRPr="00A77C37">
        <w:rPr>
          <w:rFonts w:ascii="Century Schoolbook" w:hAnsi="Century Schoolbook" w:cs="Times New Roman"/>
          <w:sz w:val="27"/>
          <w:szCs w:val="26"/>
        </w:rPr>
        <w:t>, “I never had a problem with it, I never bought it myself, all these friends did it together.  I us</w:t>
      </w:r>
      <w:r w:rsidRPr="00A77C37">
        <w:rPr>
          <w:rFonts w:ascii="Century Schoolbook" w:hAnsi="Century Schoolbook" w:cs="Times New Roman"/>
          <w:sz w:val="27"/>
          <w:szCs w:val="26"/>
        </w:rPr>
        <w:t xml:space="preserve">ed to rave a lot, and when there were big parties, I’d do it with my friends.”  Father said that he used cocaine “once or twice every two weeks,” adding, “I don’t have an addiction, otherwise I’d be broke.” </w:t>
      </w:r>
    </w:p>
    <w:p w14:paraId="72EDC41E" w14:textId="77777777" w:rsidR="00021057" w:rsidRPr="00A77C37" w:rsidRDefault="00B46361" w:rsidP="00021057">
      <w:pPr>
        <w:pStyle w:val="ListParagraph"/>
        <w:spacing w:after="100" w:line="400" w:lineRule="exact"/>
        <w:ind w:left="0" w:firstLine="720"/>
        <w:rPr>
          <w:rFonts w:ascii="Century Schoolbook" w:hAnsi="Century Schoolbook" w:cs="Times New Roman"/>
          <w:sz w:val="27"/>
          <w:szCs w:val="26"/>
        </w:rPr>
      </w:pPr>
      <w:r w:rsidRPr="00A77C37">
        <w:rPr>
          <w:rFonts w:ascii="Century Schoolbook" w:hAnsi="Century Schoolbook" w:cs="Times New Roman"/>
          <w:sz w:val="27"/>
          <w:szCs w:val="26"/>
        </w:rPr>
        <w:t>According to Father, N.R. had overnight visits w</w:t>
      </w:r>
      <w:r w:rsidRPr="00A77C37">
        <w:rPr>
          <w:rFonts w:ascii="Century Schoolbook" w:hAnsi="Century Schoolbook" w:cs="Times New Roman"/>
          <w:sz w:val="27"/>
          <w:szCs w:val="26"/>
        </w:rPr>
        <w:t>ith him on weekends, and both parents were working well on co-parenting.</w:t>
      </w:r>
      <w:r>
        <w:rPr>
          <w:rFonts w:ascii="Century Schoolbook" w:hAnsi="Century Schoolbook" w:cs="Times New Roman"/>
          <w:sz w:val="27"/>
          <w:szCs w:val="26"/>
        </w:rPr>
        <w:t xml:space="preserve">  </w:t>
      </w:r>
      <w:r w:rsidRPr="00A77C37">
        <w:rPr>
          <w:rFonts w:ascii="Century Schoolbook" w:hAnsi="Century Schoolbook" w:cs="Times New Roman"/>
          <w:sz w:val="27"/>
          <w:szCs w:val="26"/>
        </w:rPr>
        <w:t xml:space="preserve">Father </w:t>
      </w:r>
      <w:r>
        <w:rPr>
          <w:rFonts w:ascii="Century Schoolbook" w:hAnsi="Century Schoolbook" w:cs="Times New Roman"/>
          <w:sz w:val="27"/>
          <w:szCs w:val="26"/>
        </w:rPr>
        <w:t>said</w:t>
      </w:r>
      <w:r w:rsidRPr="00A77C37">
        <w:rPr>
          <w:rFonts w:ascii="Century Schoolbook" w:hAnsi="Century Schoolbook" w:cs="Times New Roman"/>
          <w:sz w:val="27"/>
          <w:szCs w:val="26"/>
        </w:rPr>
        <w:t xml:space="preserve"> that he did not take care of N.R. when high, and he would not “party” when N.R. was at his residence.  As for the positive test result, Father said, “I’m so upset that th</w:t>
      </w:r>
      <w:r w:rsidRPr="00A77C37">
        <w:rPr>
          <w:rFonts w:ascii="Century Schoolbook" w:hAnsi="Century Schoolbook" w:cs="Times New Roman"/>
          <w:sz w:val="27"/>
          <w:szCs w:val="26"/>
        </w:rPr>
        <w:t>ey caught me!  My mom was upset too.  She was crying when I told her I tested positive.  This cocaine thing is not me!  I’m so upset!”  Father said that he formerly smoked marijuana, but no longer did so.  He also reported that he began to drink alcohol at</w:t>
      </w:r>
      <w:r w:rsidRPr="00A77C37">
        <w:rPr>
          <w:rFonts w:ascii="Century Schoolbook" w:hAnsi="Century Schoolbook" w:cs="Times New Roman"/>
          <w:sz w:val="27"/>
          <w:szCs w:val="26"/>
        </w:rPr>
        <w:t xml:space="preserve"> age 16, but</w:t>
      </w:r>
      <w:r w:rsidR="00052130">
        <w:rPr>
          <w:rFonts w:ascii="Century Schoolbook" w:hAnsi="Century Schoolbook" w:cs="Times New Roman"/>
          <w:sz w:val="27"/>
          <w:szCs w:val="26"/>
        </w:rPr>
        <w:t xml:space="preserve"> said</w:t>
      </w:r>
      <w:r w:rsidR="000A32D0">
        <w:rPr>
          <w:rFonts w:ascii="Century Schoolbook" w:hAnsi="Century Schoolbook" w:cs="Times New Roman"/>
          <w:sz w:val="27"/>
          <w:szCs w:val="26"/>
        </w:rPr>
        <w:t>,</w:t>
      </w:r>
      <w:r w:rsidRPr="00A77C37">
        <w:rPr>
          <w:rFonts w:ascii="Century Schoolbook" w:hAnsi="Century Schoolbook" w:cs="Times New Roman"/>
          <w:sz w:val="27"/>
          <w:szCs w:val="26"/>
        </w:rPr>
        <w:t xml:space="preserve"> “It was never serious, never out of control.  I still go to work and school.”</w:t>
      </w:r>
      <w:r>
        <w:rPr>
          <w:rStyle w:val="FootnoteReference"/>
          <w:rFonts w:cs="Times New Roman"/>
          <w:szCs w:val="26"/>
        </w:rPr>
        <w:footnoteReference w:id="4"/>
      </w:r>
      <w:r w:rsidRPr="00A77C37">
        <w:rPr>
          <w:rFonts w:ascii="Century Schoolbook" w:hAnsi="Century Schoolbook" w:cs="Times New Roman"/>
          <w:sz w:val="27"/>
          <w:szCs w:val="26"/>
        </w:rPr>
        <w:t xml:space="preserve"> </w:t>
      </w:r>
      <w:r>
        <w:rPr>
          <w:rFonts w:ascii="Century Schoolbook" w:hAnsi="Century Schoolbook" w:cs="Times New Roman"/>
          <w:sz w:val="27"/>
          <w:szCs w:val="26"/>
        </w:rPr>
        <w:t xml:space="preserve"> </w:t>
      </w:r>
    </w:p>
    <w:p w14:paraId="72EDC41F" w14:textId="77777777" w:rsidR="00021057" w:rsidRPr="00A77C37" w:rsidRDefault="00B46361" w:rsidP="00021057">
      <w:pPr>
        <w:pStyle w:val="ListParagraph"/>
        <w:spacing w:after="100" w:line="400" w:lineRule="exact"/>
        <w:ind w:left="0" w:firstLine="720"/>
        <w:rPr>
          <w:rFonts w:ascii="Century Schoolbook" w:hAnsi="Century Schoolbook" w:cs="Times New Roman"/>
          <w:sz w:val="27"/>
          <w:szCs w:val="26"/>
        </w:rPr>
      </w:pPr>
      <w:r>
        <w:rPr>
          <w:rFonts w:ascii="Century Schoolbook" w:hAnsi="Century Schoolbook" w:cs="Times New Roman"/>
          <w:sz w:val="27"/>
          <w:szCs w:val="26"/>
        </w:rPr>
        <w:t>A</w:t>
      </w:r>
      <w:r w:rsidRPr="00A77C37">
        <w:rPr>
          <w:rFonts w:ascii="Century Schoolbook" w:hAnsi="Century Schoolbook" w:cs="Times New Roman"/>
          <w:sz w:val="27"/>
          <w:szCs w:val="26"/>
        </w:rPr>
        <w:t xml:space="preserve"> social worker explained to Father what a Child and Family Team was, as well as its potential benefits.</w:t>
      </w:r>
      <w:r>
        <w:rPr>
          <w:rStyle w:val="FootnoteReference"/>
          <w:rFonts w:cs="Times New Roman"/>
          <w:szCs w:val="20"/>
        </w:rPr>
        <w:footnoteReference w:id="5"/>
      </w:r>
      <w:r w:rsidRPr="00A77C37">
        <w:rPr>
          <w:rFonts w:ascii="Century Schoolbook" w:hAnsi="Century Schoolbook" w:cs="Times New Roman"/>
          <w:sz w:val="27"/>
          <w:szCs w:val="26"/>
        </w:rPr>
        <w:t xml:space="preserve">  Father said that he did not want to participate in the program, explaining, “I just want the drug testing.  It’s too much.  It’s already a big deal I</w:t>
      </w:r>
      <w:r w:rsidRPr="00A77C37">
        <w:rPr>
          <w:rFonts w:ascii="Century Schoolbook" w:hAnsi="Century Schoolbook" w:cs="Times New Roman"/>
          <w:sz w:val="27"/>
          <w:szCs w:val="26"/>
        </w:rPr>
        <w:t xml:space="preserve"> have two kids.  I just want it over with.”</w:t>
      </w:r>
      <w:r>
        <w:rPr>
          <w:rStyle w:val="FootnoteReference"/>
          <w:rFonts w:cs="Times New Roman"/>
          <w:szCs w:val="26"/>
        </w:rPr>
        <w:footnoteReference w:id="6"/>
      </w:r>
      <w:r w:rsidRPr="00A77C37">
        <w:rPr>
          <w:rFonts w:ascii="Century Schoolbook" w:hAnsi="Century Schoolbook" w:cs="Times New Roman"/>
          <w:sz w:val="27"/>
          <w:szCs w:val="26"/>
        </w:rPr>
        <w:t xml:space="preserve">  Regarding this testing, between January and March 2021 Father had three negative drug tests, two missed tests, and one leaked test.  After the first missed test, Father contacted a social worker to explain tha</w:t>
      </w:r>
      <w:r w:rsidRPr="00A77C37">
        <w:rPr>
          <w:rFonts w:ascii="Century Schoolbook" w:hAnsi="Century Schoolbook" w:cs="Times New Roman"/>
          <w:sz w:val="27"/>
          <w:szCs w:val="26"/>
        </w:rPr>
        <w:t xml:space="preserve">t he had missed the test due to his work schedule.  He asked that the drug tests occur on Mondays and Fridays, a request that was denied.  The other missed test, on February 23, 2021, was on a Tuesday.  </w:t>
      </w:r>
    </w:p>
    <w:p w14:paraId="72EDC420" w14:textId="77777777" w:rsidR="00021057" w:rsidRPr="00A77C37" w:rsidRDefault="00B46361" w:rsidP="00021057">
      <w:pPr>
        <w:pStyle w:val="ListParagraph"/>
        <w:spacing w:after="100" w:line="400" w:lineRule="exact"/>
        <w:ind w:left="0" w:firstLine="720"/>
        <w:rPr>
          <w:rFonts w:ascii="Century Schoolbook" w:hAnsi="Century Schoolbook" w:cs="Times New Roman"/>
          <w:sz w:val="27"/>
          <w:szCs w:val="26"/>
        </w:rPr>
      </w:pPr>
      <w:r w:rsidRPr="00A77C37">
        <w:rPr>
          <w:rFonts w:ascii="Century Schoolbook" w:hAnsi="Century Schoolbook" w:cs="Times New Roman"/>
          <w:sz w:val="27"/>
          <w:szCs w:val="26"/>
        </w:rPr>
        <w:t>A combined jurisdiction and disposition hearing occu</w:t>
      </w:r>
      <w:r w:rsidRPr="00A77C37">
        <w:rPr>
          <w:rFonts w:ascii="Century Schoolbook" w:hAnsi="Century Schoolbook" w:cs="Times New Roman"/>
          <w:sz w:val="27"/>
          <w:szCs w:val="26"/>
        </w:rPr>
        <w:t xml:space="preserve">rred in April 2021.  After hearing argument </w:t>
      </w:r>
      <w:r>
        <w:rPr>
          <w:rFonts w:ascii="Century Schoolbook" w:hAnsi="Century Schoolbook" w:cs="Times New Roman"/>
          <w:sz w:val="27"/>
          <w:szCs w:val="26"/>
        </w:rPr>
        <w:t>from</w:t>
      </w:r>
      <w:r w:rsidRPr="00A77C37">
        <w:rPr>
          <w:rFonts w:ascii="Century Schoolbook" w:hAnsi="Century Schoolbook" w:cs="Times New Roman"/>
          <w:sz w:val="27"/>
          <w:szCs w:val="26"/>
        </w:rPr>
        <w:t xml:space="preserve"> counsel, the court dismissed the factual allegations involving conditions at Mother’s former residence</w:t>
      </w:r>
      <w:r>
        <w:rPr>
          <w:rStyle w:val="FootnoteReference"/>
          <w:rFonts w:cs="Times New Roman"/>
          <w:szCs w:val="20"/>
        </w:rPr>
        <w:footnoteReference w:id="7"/>
      </w:r>
      <w:r w:rsidRPr="005551A6">
        <w:rPr>
          <w:rFonts w:ascii="Century Schoolbook" w:hAnsi="Century Schoolbook" w:cs="Times New Roman"/>
          <w:sz w:val="27"/>
          <w:szCs w:val="26"/>
        </w:rPr>
        <w:t xml:space="preserve"> </w:t>
      </w:r>
      <w:r w:rsidRPr="00A77C37">
        <w:rPr>
          <w:rFonts w:ascii="Century Schoolbook" w:hAnsi="Century Schoolbook" w:cs="Times New Roman"/>
          <w:sz w:val="27"/>
          <w:szCs w:val="26"/>
        </w:rPr>
        <w:t xml:space="preserve">but concluded that Father’s “substantial drug abuse history” warranted findings that N.R. came within </w:t>
      </w:r>
      <w:r w:rsidRPr="00A77C37">
        <w:rPr>
          <w:rFonts w:ascii="Century Schoolbook" w:hAnsi="Century Schoolbook" w:cs="Times New Roman"/>
          <w:sz w:val="27"/>
          <w:szCs w:val="26"/>
        </w:rPr>
        <w:t xml:space="preserve">the court’s dependency jurisdiction and should be removed from Father’s care and custody.  The court interlineated the </w:t>
      </w:r>
      <w:r>
        <w:rPr>
          <w:rFonts w:ascii="Century Schoolbook" w:hAnsi="Century Schoolbook" w:cs="Times New Roman"/>
          <w:sz w:val="27"/>
          <w:szCs w:val="26"/>
        </w:rPr>
        <w:t xml:space="preserve">dependency </w:t>
      </w:r>
      <w:r w:rsidRPr="00A77C37">
        <w:rPr>
          <w:rFonts w:ascii="Century Schoolbook" w:hAnsi="Century Schoolbook" w:cs="Times New Roman"/>
          <w:sz w:val="27"/>
          <w:szCs w:val="26"/>
        </w:rPr>
        <w:t>petition’s factual allegations to describe Father as a “recent abuser of cocaine,</w:t>
      </w:r>
      <w:r>
        <w:rPr>
          <w:rFonts w:ascii="Century Schoolbook" w:hAnsi="Century Schoolbook" w:cs="Times New Roman"/>
          <w:sz w:val="27"/>
          <w:szCs w:val="26"/>
        </w:rPr>
        <w:t>”</w:t>
      </w:r>
      <w:r w:rsidRPr="00A77C37">
        <w:rPr>
          <w:rFonts w:ascii="Century Schoolbook" w:hAnsi="Century Schoolbook" w:cs="Times New Roman"/>
          <w:sz w:val="27"/>
          <w:szCs w:val="26"/>
        </w:rPr>
        <w:t xml:space="preserve"> rather than a “current” one.  N.R. was orde</w:t>
      </w:r>
      <w:r w:rsidRPr="00A77C37">
        <w:rPr>
          <w:rFonts w:ascii="Century Schoolbook" w:hAnsi="Century Schoolbook" w:cs="Times New Roman"/>
          <w:sz w:val="27"/>
          <w:szCs w:val="26"/>
        </w:rPr>
        <w:t xml:space="preserve">red home with Mother on the condition that she continue to comply with conditions specified by the court. </w:t>
      </w:r>
      <w:r>
        <w:rPr>
          <w:rFonts w:ascii="Century Schoolbook" w:hAnsi="Century Schoolbook" w:cs="Times New Roman"/>
          <w:sz w:val="27"/>
          <w:szCs w:val="26"/>
        </w:rPr>
        <w:t xml:space="preserve"> </w:t>
      </w:r>
      <w:r w:rsidRPr="00A77C37">
        <w:rPr>
          <w:rFonts w:ascii="Century Schoolbook" w:hAnsi="Century Schoolbook" w:cs="Times New Roman"/>
          <w:sz w:val="27"/>
          <w:szCs w:val="26"/>
        </w:rPr>
        <w:t xml:space="preserve">Father was given monitored visitation and ordered to participate in drug- and alcohol-related services, including random drug testing. </w:t>
      </w:r>
    </w:p>
    <w:p w14:paraId="72EDC421" w14:textId="77777777" w:rsidR="00021057" w:rsidRPr="00A77C37" w:rsidRDefault="00B46361" w:rsidP="00021057">
      <w:pPr>
        <w:ind w:firstLine="720"/>
        <w:rPr>
          <w:szCs w:val="26"/>
        </w:rPr>
      </w:pPr>
      <w:r w:rsidRPr="00A77C37">
        <w:rPr>
          <w:szCs w:val="26"/>
        </w:rPr>
        <w:t>Father appeal</w:t>
      </w:r>
      <w:r w:rsidRPr="00A77C37">
        <w:rPr>
          <w:szCs w:val="26"/>
        </w:rPr>
        <w:t>ed.  In his briefing before the Court of Appeal, Father admitted that he had used cocaine, but he argued that this use did not amount to substance abuse</w:t>
      </w:r>
      <w:r>
        <w:rPr>
          <w:szCs w:val="26"/>
        </w:rPr>
        <w:t xml:space="preserve"> that supported a jurisdictional finding</w:t>
      </w:r>
      <w:r w:rsidRPr="00A77C37">
        <w:rPr>
          <w:szCs w:val="26"/>
        </w:rPr>
        <w:t xml:space="preserve">.  Identifying a split of authority across the Courts of Appeal </w:t>
      </w:r>
      <w:r w:rsidRPr="00A77C37">
        <w:rPr>
          <w:szCs w:val="26"/>
        </w:rPr>
        <w:t>regarding the meaning of “substance abuse” as it appears in section 300</w:t>
      </w:r>
      <w:r>
        <w:rPr>
          <w:szCs w:val="26"/>
        </w:rPr>
        <w:t>, subdivision (b)</w:t>
      </w:r>
      <w:r w:rsidRPr="00A77C37">
        <w:rPr>
          <w:szCs w:val="26"/>
        </w:rPr>
        <w:t xml:space="preserve">, Father urged the court to adopt the interpretation first articulated by </w:t>
      </w:r>
      <w:r w:rsidRPr="00A77C37">
        <w:rPr>
          <w:i/>
          <w:iCs/>
          <w:szCs w:val="26"/>
        </w:rPr>
        <w:t>In re Drake M.</w:t>
      </w:r>
      <w:r w:rsidRPr="00A77C37">
        <w:rPr>
          <w:szCs w:val="26"/>
        </w:rPr>
        <w:t xml:space="preserve"> (2012) 211 Cal.App.4th 754 (</w:t>
      </w:r>
      <w:r w:rsidRPr="00A77C37">
        <w:rPr>
          <w:i/>
          <w:iCs/>
          <w:szCs w:val="26"/>
        </w:rPr>
        <w:t>Drake M.</w:t>
      </w:r>
      <w:r w:rsidRPr="00A77C37">
        <w:rPr>
          <w:szCs w:val="26"/>
        </w:rPr>
        <w:t xml:space="preserve">), disapproved on another ground in </w:t>
      </w:r>
      <w:r w:rsidRPr="00A77C37">
        <w:rPr>
          <w:i/>
          <w:iCs/>
          <w:szCs w:val="26"/>
        </w:rPr>
        <w:t>In re D</w:t>
      </w:r>
      <w:r w:rsidRPr="00A77C37">
        <w:rPr>
          <w:i/>
          <w:iCs/>
          <w:szCs w:val="26"/>
        </w:rPr>
        <w:t>.P.</w:t>
      </w:r>
      <w:r w:rsidRPr="00A77C37">
        <w:rPr>
          <w:szCs w:val="26"/>
        </w:rPr>
        <w:t xml:space="preserve"> (2023) 14 Cal.5th 266, 283.  </w:t>
      </w:r>
      <w:r w:rsidRPr="00A77C37">
        <w:rPr>
          <w:i/>
          <w:iCs/>
          <w:szCs w:val="26"/>
        </w:rPr>
        <w:t>Drake M.</w:t>
      </w:r>
      <w:r w:rsidRPr="00A77C37">
        <w:rPr>
          <w:szCs w:val="26"/>
        </w:rPr>
        <w:t>, after observing that “[d]ependency cases have varied widely in the kinds of parental actions labeled ‘substance abuse,’ ” concluded that “a workable definition is necessary to avoid any resulting inconsistencies.”</w:t>
      </w:r>
      <w:r w:rsidRPr="00A77C37">
        <w:rPr>
          <w:szCs w:val="26"/>
        </w:rPr>
        <w:t xml:space="preserve">  (</w:t>
      </w:r>
      <w:r w:rsidRPr="00A77C37">
        <w:rPr>
          <w:i/>
          <w:iCs/>
          <w:szCs w:val="26"/>
        </w:rPr>
        <w:t>Drake M.</w:t>
      </w:r>
      <w:r w:rsidRPr="00A77C37">
        <w:rPr>
          <w:szCs w:val="26"/>
        </w:rPr>
        <w:t xml:space="preserve">, at p. 765.)  The court </w:t>
      </w:r>
      <w:r>
        <w:rPr>
          <w:szCs w:val="26"/>
        </w:rPr>
        <w:t>then opined</w:t>
      </w:r>
      <w:r w:rsidRPr="00A77C37">
        <w:rPr>
          <w:szCs w:val="26"/>
        </w:rPr>
        <w:t xml:space="preserve"> “that a finding of substance abuse for purposes of section 300, subdivision (b), must be based on evidence sufficient to (1) show that the parent or guardian at issue had been diagnosed as having a current su</w:t>
      </w:r>
      <w:r w:rsidRPr="00A77C37">
        <w:rPr>
          <w:szCs w:val="26"/>
        </w:rPr>
        <w:t>bstance abuse problem by a medical professional or (2)</w:t>
      </w:r>
      <w:r w:rsidR="00B1769B">
        <w:rPr>
          <w:szCs w:val="26"/>
        </w:rPr>
        <w:t> </w:t>
      </w:r>
      <w:r w:rsidRPr="00A77C37">
        <w:rPr>
          <w:szCs w:val="26"/>
        </w:rPr>
        <w:t>establish that the parent or guardian at issue has a current substance abuse problem as defined in the” current version of the DSM at the time of that decision.  (</w:t>
      </w:r>
      <w:r w:rsidRPr="00A77C37">
        <w:rPr>
          <w:i/>
          <w:iCs/>
          <w:szCs w:val="26"/>
        </w:rPr>
        <w:t>Id</w:t>
      </w:r>
      <w:r w:rsidRPr="00A77C37">
        <w:rPr>
          <w:szCs w:val="26"/>
        </w:rPr>
        <w:t>. at p. 766.)</w:t>
      </w:r>
      <w:r>
        <w:rPr>
          <w:rStyle w:val="FootnoteReference"/>
          <w:szCs w:val="26"/>
        </w:rPr>
        <w:footnoteReference w:id="8"/>
      </w:r>
    </w:p>
    <w:p w14:paraId="72EDC422" w14:textId="77777777" w:rsidR="00021057" w:rsidRPr="00A77C37" w:rsidRDefault="00B46361" w:rsidP="00021057">
      <w:pPr>
        <w:ind w:firstLine="720"/>
        <w:rPr>
          <w:szCs w:val="26"/>
        </w:rPr>
      </w:pPr>
      <w:r w:rsidRPr="00A77C37">
        <w:rPr>
          <w:i/>
          <w:iCs/>
          <w:szCs w:val="26"/>
        </w:rPr>
        <w:t>Drake M.</w:t>
      </w:r>
      <w:r w:rsidRPr="00A77C37">
        <w:rPr>
          <w:szCs w:val="26"/>
        </w:rPr>
        <w:t xml:space="preserve"> also conclu</w:t>
      </w:r>
      <w:r w:rsidRPr="00A77C37">
        <w:rPr>
          <w:szCs w:val="26"/>
        </w:rPr>
        <w:t>ded that a finding of substance abuse under th</w:t>
      </w:r>
      <w:r>
        <w:rPr>
          <w:szCs w:val="26"/>
        </w:rPr>
        <w:t>is</w:t>
      </w:r>
      <w:r w:rsidRPr="00A77C37">
        <w:rPr>
          <w:szCs w:val="26"/>
        </w:rPr>
        <w:t xml:space="preserve"> standard constituted “prima facie evidence of the inability of a parent or guardian to provide regular care resulting in a substantial risk of physical harm”</w:t>
      </w:r>
      <w:r w:rsidR="003F0FF0">
        <w:rPr>
          <w:szCs w:val="26"/>
        </w:rPr>
        <w:t xml:space="preserve"> to a child of “</w:t>
      </w:r>
      <w:r w:rsidR="00890E69">
        <w:rPr>
          <w:szCs w:val="26"/>
        </w:rPr>
        <w:t> ‘</w:t>
      </w:r>
      <w:r w:rsidR="003F0FF0">
        <w:rPr>
          <w:szCs w:val="26"/>
        </w:rPr>
        <w:t>tender years.</w:t>
      </w:r>
      <w:r w:rsidR="00890E69">
        <w:rPr>
          <w:szCs w:val="26"/>
        </w:rPr>
        <w:t>’ </w:t>
      </w:r>
      <w:r w:rsidR="003F0FF0">
        <w:rPr>
          <w:szCs w:val="26"/>
        </w:rPr>
        <w:t>”</w:t>
      </w:r>
      <w:r w:rsidRPr="00A77C37">
        <w:rPr>
          <w:szCs w:val="26"/>
        </w:rPr>
        <w:t xml:space="preserve">  (</w:t>
      </w:r>
      <w:r w:rsidRPr="00A77C37">
        <w:rPr>
          <w:i/>
          <w:iCs/>
          <w:szCs w:val="26"/>
        </w:rPr>
        <w:t>Drake M.</w:t>
      </w:r>
      <w:r w:rsidRPr="00A77C37">
        <w:rPr>
          <w:szCs w:val="26"/>
        </w:rPr>
        <w:t xml:space="preserve">, </w:t>
      </w:r>
      <w:r w:rsidRPr="00A77C37">
        <w:rPr>
          <w:i/>
          <w:iCs/>
          <w:szCs w:val="26"/>
        </w:rPr>
        <w:t>supra</w:t>
      </w:r>
      <w:r w:rsidRPr="00A77C37">
        <w:rPr>
          <w:szCs w:val="26"/>
        </w:rPr>
        <w:t xml:space="preserve">, 211 Cal.App.4th at p. 767.)  Father’s briefing before the Court of Appeal criticized this aspect of </w:t>
      </w:r>
      <w:r w:rsidRPr="00A77C37">
        <w:rPr>
          <w:i/>
          <w:iCs/>
          <w:szCs w:val="26"/>
        </w:rPr>
        <w:t>Drake M.</w:t>
      </w:r>
      <w:r w:rsidRPr="00A77C37">
        <w:rPr>
          <w:szCs w:val="26"/>
        </w:rPr>
        <w:t xml:space="preserve">, observing that the statutory scheme nowhere on its face treats sufficient proof of substance abuse as prima facie evidence of an inability </w:t>
      </w:r>
      <w:r w:rsidRPr="00A77C37">
        <w:rPr>
          <w:szCs w:val="26"/>
        </w:rPr>
        <w:t xml:space="preserve">to provide regular care or a substantial risk of physical harm. </w:t>
      </w:r>
      <w:r>
        <w:rPr>
          <w:szCs w:val="26"/>
        </w:rPr>
        <w:t xml:space="preserve"> </w:t>
      </w:r>
      <w:r w:rsidRPr="00A77C37">
        <w:rPr>
          <w:szCs w:val="26"/>
        </w:rPr>
        <w:t xml:space="preserve">In any event, Father argued, the evidence before the juvenile court rebutted any prima facie case that might have arisen.  </w:t>
      </w:r>
    </w:p>
    <w:p w14:paraId="72EDC423" w14:textId="77777777" w:rsidR="00021057" w:rsidRPr="00A77C37" w:rsidRDefault="00B46361" w:rsidP="00021057">
      <w:pPr>
        <w:ind w:firstLine="720"/>
        <w:rPr>
          <w:szCs w:val="26"/>
        </w:rPr>
      </w:pPr>
      <w:r w:rsidRPr="00A77C37">
        <w:rPr>
          <w:szCs w:val="26"/>
        </w:rPr>
        <w:t>The Court of Appeal affirmed.  The court determined, first, that “[</w:t>
      </w:r>
      <w:r w:rsidRPr="00A77C37">
        <w:rPr>
          <w:szCs w:val="26"/>
        </w:rPr>
        <w:t>s]ubstantial evidence supports the juvenile court’s exercise of jurisdiction over very young N.R. because of Father’s abuse of cocaine.”  In so holding, the Court of Appeal did not discuss the split of authority regarding the meaning of the term “substance</w:t>
      </w:r>
      <w:r w:rsidRPr="00A77C37">
        <w:rPr>
          <w:szCs w:val="26"/>
        </w:rPr>
        <w:t xml:space="preserve"> abuse.”  In upholding the juvenile court’s assertion of jurisdiction, the court noted Father’s initial denial of drug use, the high level of cocaine metabolites recorded in his positive test result, and his admission to using cocaine once or twice every t</w:t>
      </w:r>
      <w:r w:rsidRPr="00A77C37">
        <w:rPr>
          <w:szCs w:val="26"/>
        </w:rPr>
        <w:t xml:space="preserve">wo weeks over a four- or five-year period, concluding therefrom that the record contained substantial evidence of substance abuse.  </w:t>
      </w:r>
    </w:p>
    <w:p w14:paraId="72EDC424" w14:textId="77777777" w:rsidR="00021057" w:rsidRPr="00A77C37" w:rsidRDefault="00B46361" w:rsidP="00021057">
      <w:pPr>
        <w:ind w:firstLine="720"/>
        <w:rPr>
          <w:szCs w:val="26"/>
        </w:rPr>
      </w:pPr>
      <w:r w:rsidRPr="00A77C37">
        <w:rPr>
          <w:szCs w:val="26"/>
        </w:rPr>
        <w:t>The Court of Appeal recognized that a “section 300, subdivision (b)(1) finding ‘cannot be based on substance abuse alone; j</w:t>
      </w:r>
      <w:r w:rsidRPr="00A77C37">
        <w:rPr>
          <w:szCs w:val="26"/>
        </w:rPr>
        <w:t>urisdiction [also] requires a substantial risk of harm to the child arising from the substance abuse.’ ”  But the court then invoked the tender years presumption, observing that “[w]here very young children like N.R. are concerned . . . ‘</w:t>
      </w:r>
      <w:r>
        <w:rPr>
          <w:szCs w:val="26"/>
        </w:rPr>
        <w:t> “</w:t>
      </w:r>
      <w:r w:rsidRPr="00A77C37">
        <w:rPr>
          <w:szCs w:val="26"/>
        </w:rPr>
        <w:t>the finding of s</w:t>
      </w:r>
      <w:r w:rsidRPr="00A77C37">
        <w:rPr>
          <w:szCs w:val="26"/>
        </w:rPr>
        <w:t>ubstance abuse is prima facie evidence of the inability of a parent or guardian to provide regular care resulting in a substantial risk of physical harm.</w:t>
      </w:r>
      <w:r>
        <w:rPr>
          <w:szCs w:val="26"/>
        </w:rPr>
        <w:t>” </w:t>
      </w:r>
      <w:r w:rsidRPr="00A77C37">
        <w:rPr>
          <w:szCs w:val="26"/>
        </w:rPr>
        <w:t xml:space="preserve">’ ”  The Court of Appeal determined that Father had not rebutted the prima facie showing of </w:t>
      </w:r>
      <w:r>
        <w:rPr>
          <w:szCs w:val="26"/>
        </w:rPr>
        <w:t xml:space="preserve">a </w:t>
      </w:r>
      <w:r w:rsidRPr="00A77C37">
        <w:rPr>
          <w:szCs w:val="26"/>
        </w:rPr>
        <w:t>substan</w:t>
      </w:r>
      <w:r w:rsidRPr="00A77C37">
        <w:rPr>
          <w:szCs w:val="26"/>
        </w:rPr>
        <w:t xml:space="preserve">tial risk of serious physical harm established by his substance abuse, perceiving Father’s reaction to the positive drug test and his refusal to participate in services beyond random drug testing as further evidence of such risk. </w:t>
      </w:r>
    </w:p>
    <w:p w14:paraId="72EDC425" w14:textId="77777777" w:rsidR="00021057" w:rsidRPr="00A77C37" w:rsidRDefault="00B46361" w:rsidP="00021057">
      <w:pPr>
        <w:ind w:firstLine="720"/>
        <w:rPr>
          <w:szCs w:val="26"/>
        </w:rPr>
      </w:pPr>
      <w:r w:rsidRPr="00A77C37">
        <w:rPr>
          <w:szCs w:val="26"/>
        </w:rPr>
        <w:t>Turning to the juvenile c</w:t>
      </w:r>
      <w:r w:rsidRPr="00A77C37">
        <w:rPr>
          <w:szCs w:val="26"/>
        </w:rPr>
        <w:t>ourt’s disposition order, the Court of Appeal determined that this order was supported by substantial evidence establishing “both that N.R. would be at substantial danger if returned to Father’s unsupervised care and there were no reasonable means short of</w:t>
      </w:r>
      <w:r w:rsidRPr="00A77C37">
        <w:rPr>
          <w:szCs w:val="26"/>
        </w:rPr>
        <w:t xml:space="preserve"> removal to mitigate the danger to N.R.”</w:t>
      </w:r>
      <w:r w:rsidRPr="00A77C37">
        <w:rPr>
          <w:i/>
          <w:iCs/>
          <w:szCs w:val="26"/>
        </w:rPr>
        <w:t xml:space="preserve"> </w:t>
      </w:r>
      <w:r>
        <w:rPr>
          <w:szCs w:val="26"/>
        </w:rPr>
        <w:t xml:space="preserve"> </w:t>
      </w:r>
      <w:r w:rsidRPr="00A77C37">
        <w:rPr>
          <w:szCs w:val="26"/>
        </w:rPr>
        <w:t>The court found that Father’s “behavior — especially his initial effort to conceal his drug use and his steadfast denial that his drug use was a problem — demonstrate he was unable or unwilling to substantively eng</w:t>
      </w:r>
      <w:r w:rsidRPr="00A77C37">
        <w:rPr>
          <w:szCs w:val="26"/>
        </w:rPr>
        <w:t xml:space="preserve">age with any efforts that might have prevented the need to remove N.R. from his custody so as to mitigate the substantial danger to the very young child from Father’s cocaine abuse.”  </w:t>
      </w:r>
    </w:p>
    <w:p w14:paraId="72EDC426" w14:textId="77777777" w:rsidR="00021057" w:rsidRPr="00A77C37" w:rsidRDefault="00B46361" w:rsidP="00021057">
      <w:pPr>
        <w:ind w:firstLine="720"/>
        <w:rPr>
          <w:szCs w:val="26"/>
        </w:rPr>
      </w:pPr>
      <w:r w:rsidRPr="00A77C37">
        <w:rPr>
          <w:szCs w:val="26"/>
        </w:rPr>
        <w:t>We granted review to resolve the split of authority regarding the meani</w:t>
      </w:r>
      <w:r w:rsidRPr="00A77C37">
        <w:rPr>
          <w:szCs w:val="26"/>
        </w:rPr>
        <w:t xml:space="preserve">ng of “substance abuse” as used in section 300(b)(1)(D).  Some Courts of Appeal have adopted the definition crafted in </w:t>
      </w:r>
      <w:r w:rsidRPr="00A77C37">
        <w:rPr>
          <w:i/>
          <w:iCs/>
          <w:szCs w:val="26"/>
        </w:rPr>
        <w:t>Drake M.</w:t>
      </w:r>
      <w:r w:rsidRPr="00A77C37">
        <w:rPr>
          <w:szCs w:val="26"/>
        </w:rPr>
        <w:t xml:space="preserve"> (see, e.g., </w:t>
      </w:r>
      <w:r w:rsidRPr="00A77C37">
        <w:rPr>
          <w:i/>
          <w:iCs/>
          <w:szCs w:val="26"/>
        </w:rPr>
        <w:t>In re L.C.</w:t>
      </w:r>
      <w:r w:rsidRPr="00A77C37">
        <w:rPr>
          <w:szCs w:val="26"/>
        </w:rPr>
        <w:t xml:space="preserve"> (2019) 38 Cal.App.5th 646, 652; </w:t>
      </w:r>
      <w:r w:rsidRPr="00A77C37">
        <w:rPr>
          <w:i/>
          <w:iCs/>
          <w:szCs w:val="26"/>
        </w:rPr>
        <w:t>I</w:t>
      </w:r>
      <w:r w:rsidRPr="00A77C37">
        <w:rPr>
          <w:rStyle w:val="normaltextrun"/>
          <w:i/>
          <w:iCs/>
          <w:szCs w:val="26"/>
          <w:shd w:val="clear" w:color="auto" w:fill="FFFFFF"/>
        </w:rPr>
        <w:t>n re Alexzander C.</w:t>
      </w:r>
      <w:r w:rsidRPr="00A77C37">
        <w:rPr>
          <w:rStyle w:val="normaltextrun"/>
          <w:szCs w:val="26"/>
          <w:shd w:val="clear" w:color="auto" w:fill="FFFFFF"/>
        </w:rPr>
        <w:t xml:space="preserve"> (2017) 18 Cal.App.5th 438, 447, disapproved on anothe</w:t>
      </w:r>
      <w:r w:rsidRPr="00A77C37">
        <w:rPr>
          <w:rStyle w:val="normaltextrun"/>
          <w:szCs w:val="26"/>
          <w:shd w:val="clear" w:color="auto" w:fill="FFFFFF"/>
        </w:rPr>
        <w:t xml:space="preserve">r ground in </w:t>
      </w:r>
      <w:r w:rsidRPr="00A77C37">
        <w:rPr>
          <w:rStyle w:val="normaltextrun"/>
          <w:i/>
          <w:iCs/>
          <w:szCs w:val="26"/>
          <w:shd w:val="clear" w:color="auto" w:fill="FFFFFF"/>
        </w:rPr>
        <w:t>Conservatorship of O.B.</w:t>
      </w:r>
      <w:r w:rsidRPr="00A77C37">
        <w:rPr>
          <w:rStyle w:val="normaltextrun"/>
          <w:szCs w:val="26"/>
          <w:shd w:val="clear" w:color="auto" w:fill="FFFFFF"/>
        </w:rPr>
        <w:t xml:space="preserve"> (2020) 9 Cal.5th 989, 1010, fn. 7</w:t>
      </w:r>
      <w:r w:rsidRPr="00A77C37">
        <w:rPr>
          <w:szCs w:val="26"/>
        </w:rPr>
        <w:t xml:space="preserve">), whereas others (see, e.g., </w:t>
      </w:r>
      <w:r w:rsidRPr="00A77C37">
        <w:rPr>
          <w:i/>
          <w:iCs/>
          <w:szCs w:val="26"/>
        </w:rPr>
        <w:t>In re K.B.</w:t>
      </w:r>
      <w:r w:rsidRPr="00A77C37">
        <w:rPr>
          <w:szCs w:val="26"/>
        </w:rPr>
        <w:t xml:space="preserve"> (2021) 59 Cal.App.5th 593, 601) have followed </w:t>
      </w:r>
      <w:r w:rsidRPr="00A77C37">
        <w:rPr>
          <w:i/>
          <w:iCs/>
          <w:szCs w:val="26"/>
        </w:rPr>
        <w:t>In re Christopher R.</w:t>
      </w:r>
      <w:r w:rsidRPr="00A77C37">
        <w:rPr>
          <w:szCs w:val="26"/>
        </w:rPr>
        <w:t xml:space="preserve"> (2014) 225 Cal.App.4th 1210 (</w:t>
      </w:r>
      <w:r w:rsidRPr="00A77C37">
        <w:rPr>
          <w:i/>
          <w:iCs/>
          <w:szCs w:val="26"/>
        </w:rPr>
        <w:t>Christopher R.</w:t>
      </w:r>
      <w:r w:rsidRPr="00A77C37">
        <w:rPr>
          <w:szCs w:val="26"/>
        </w:rPr>
        <w:t xml:space="preserve">), in which the court “recognize[d] </w:t>
      </w:r>
      <w:r w:rsidRPr="00A77C37">
        <w:rPr>
          <w:szCs w:val="26"/>
        </w:rPr>
        <w:t xml:space="preserve">the </w:t>
      </w:r>
      <w:r w:rsidRPr="00A77C37">
        <w:rPr>
          <w:i/>
          <w:iCs/>
          <w:szCs w:val="26"/>
        </w:rPr>
        <w:t xml:space="preserve">Drake M. </w:t>
      </w:r>
      <w:r w:rsidRPr="00A77C37">
        <w:rPr>
          <w:szCs w:val="26"/>
        </w:rPr>
        <w:t>formulation as a generally useful and workable definition of substance abuse for purposes of section 300, subdivision (b),” but refused to accept the argument that</w:t>
      </w:r>
      <w:r>
        <w:rPr>
          <w:szCs w:val="26"/>
        </w:rPr>
        <w:t xml:space="preserve"> substance abuse can be found only when </w:t>
      </w:r>
      <w:r w:rsidRPr="00A77C37">
        <w:rPr>
          <w:szCs w:val="26"/>
        </w:rPr>
        <w:t xml:space="preserve">someone </w:t>
      </w:r>
      <w:r>
        <w:rPr>
          <w:szCs w:val="26"/>
        </w:rPr>
        <w:t>“</w:t>
      </w:r>
      <w:r w:rsidRPr="00A77C37">
        <w:rPr>
          <w:szCs w:val="26"/>
        </w:rPr>
        <w:t>has been diagnosed by a medical</w:t>
      </w:r>
      <w:r w:rsidRPr="00A77C37">
        <w:rPr>
          <w:szCs w:val="26"/>
        </w:rPr>
        <w:t xml:space="preserve"> professional or </w:t>
      </w:r>
      <w:r>
        <w:rPr>
          <w:szCs w:val="26"/>
        </w:rPr>
        <w:t>. . .</w:t>
      </w:r>
      <w:r w:rsidRPr="00A77C37">
        <w:rPr>
          <w:szCs w:val="26"/>
        </w:rPr>
        <w:t xml:space="preserve"> falls within one of the specific [DSM] categories</w:t>
      </w:r>
      <w:r>
        <w:rPr>
          <w:szCs w:val="26"/>
        </w:rPr>
        <w:t>.”</w:t>
      </w:r>
      <w:r w:rsidRPr="00A77C37">
        <w:rPr>
          <w:szCs w:val="26"/>
        </w:rPr>
        <w:t xml:space="preserve">  (</w:t>
      </w:r>
      <w:r w:rsidRPr="00A77C37">
        <w:rPr>
          <w:i/>
          <w:iCs/>
          <w:szCs w:val="26"/>
        </w:rPr>
        <w:t>Christopher R.</w:t>
      </w:r>
      <w:r w:rsidRPr="00A77C37">
        <w:rPr>
          <w:szCs w:val="26"/>
        </w:rPr>
        <w:t>, at p. 1218.)  In ordering review, we also agreed to decide whether substance abuse</w:t>
      </w:r>
      <w:r>
        <w:rPr>
          <w:szCs w:val="26"/>
        </w:rPr>
        <w:t xml:space="preserve"> by a parent or guardian, when found to exist, </w:t>
      </w:r>
      <w:r w:rsidRPr="00A77C37">
        <w:rPr>
          <w:szCs w:val="26"/>
        </w:rPr>
        <w:t>should be treated as prima facie e</w:t>
      </w:r>
      <w:r w:rsidRPr="00A77C37">
        <w:rPr>
          <w:szCs w:val="26"/>
        </w:rPr>
        <w:t xml:space="preserve">vidence of an inability to provide regular care and a substantial risk of serious physical harm to a young child.  This aspect of the </w:t>
      </w:r>
      <w:r w:rsidRPr="00A77C37">
        <w:rPr>
          <w:i/>
          <w:iCs/>
          <w:szCs w:val="26"/>
        </w:rPr>
        <w:t>Drake M.</w:t>
      </w:r>
      <w:r w:rsidRPr="00A77C37">
        <w:rPr>
          <w:szCs w:val="26"/>
        </w:rPr>
        <w:t xml:space="preserve"> decision has found acceptance even among courts that have rejected its view that substance abuse requires a profe</w:t>
      </w:r>
      <w:r w:rsidRPr="00A77C37">
        <w:rPr>
          <w:szCs w:val="26"/>
        </w:rPr>
        <w:t xml:space="preserve">ssional diagnosis or satisfaction of the </w:t>
      </w:r>
      <w:r>
        <w:rPr>
          <w:szCs w:val="26"/>
        </w:rPr>
        <w:t xml:space="preserve">relevant </w:t>
      </w:r>
      <w:r w:rsidRPr="00A77C37">
        <w:rPr>
          <w:szCs w:val="26"/>
        </w:rPr>
        <w:t xml:space="preserve">DSM criteria.  (See, e.g., </w:t>
      </w:r>
      <w:r w:rsidR="00D86C91">
        <w:rPr>
          <w:i/>
          <w:iCs/>
          <w:szCs w:val="26"/>
        </w:rPr>
        <w:t>Christopher R.</w:t>
      </w:r>
      <w:r w:rsidR="00052130">
        <w:rPr>
          <w:szCs w:val="26"/>
        </w:rPr>
        <w:t>,</w:t>
      </w:r>
      <w:r w:rsidRPr="00A77C37">
        <w:rPr>
          <w:szCs w:val="26"/>
        </w:rPr>
        <w:t xml:space="preserve"> at p. 1219.)  </w:t>
      </w:r>
    </w:p>
    <w:p w14:paraId="72EDC427" w14:textId="77777777" w:rsidR="00021057" w:rsidRPr="00A77C37" w:rsidRDefault="00B46361" w:rsidP="00021057">
      <w:pPr>
        <w:pStyle w:val="Heading1"/>
        <w:tabs>
          <w:tab w:val="left" w:pos="450"/>
        </w:tabs>
      </w:pPr>
      <w:r>
        <w:t xml:space="preserve">II.  </w:t>
      </w:r>
      <w:r w:rsidRPr="00A77C37">
        <w:t>Discussion</w:t>
      </w:r>
    </w:p>
    <w:p w14:paraId="72EDC428" w14:textId="77777777" w:rsidR="00021057" w:rsidRPr="00A77C37" w:rsidRDefault="00B46361" w:rsidP="00021057">
      <w:pPr>
        <w:ind w:firstLine="720"/>
        <w:rPr>
          <w:szCs w:val="26"/>
          <w:shd w:val="clear" w:color="auto" w:fill="FFFFFF"/>
        </w:rPr>
      </w:pPr>
      <w:r w:rsidRPr="00A77C37">
        <w:rPr>
          <w:szCs w:val="26"/>
        </w:rPr>
        <w:t xml:space="preserve">Both issues before us present questions of statutory interpretation.  After </w:t>
      </w:r>
      <w:r>
        <w:rPr>
          <w:szCs w:val="26"/>
        </w:rPr>
        <w:t>reviewing</w:t>
      </w:r>
      <w:r w:rsidRPr="00A77C37">
        <w:rPr>
          <w:szCs w:val="26"/>
        </w:rPr>
        <w:t xml:space="preserve"> the juvenile dependency </w:t>
      </w:r>
      <w:r>
        <w:rPr>
          <w:szCs w:val="26"/>
        </w:rPr>
        <w:t>scheme</w:t>
      </w:r>
      <w:r w:rsidRPr="00A77C37">
        <w:rPr>
          <w:szCs w:val="26"/>
        </w:rPr>
        <w:t xml:space="preserve">, </w:t>
      </w:r>
      <w:r>
        <w:rPr>
          <w:szCs w:val="26"/>
        </w:rPr>
        <w:t>we</w:t>
      </w:r>
      <w:r w:rsidRPr="00A77C37">
        <w:rPr>
          <w:szCs w:val="26"/>
        </w:rPr>
        <w:t xml:space="preserve"> consider whether </w:t>
      </w:r>
      <w:r>
        <w:rPr>
          <w:szCs w:val="26"/>
        </w:rPr>
        <w:t>the Legislature intended for substance abuse to be recognized only upon evidence establishing either that the</w:t>
      </w:r>
      <w:r w:rsidRPr="00A77C37">
        <w:rPr>
          <w:szCs w:val="26"/>
        </w:rPr>
        <w:t xml:space="preserve"> pertinen</w:t>
      </w:r>
      <w:r w:rsidRPr="00A77C37">
        <w:rPr>
          <w:szCs w:val="26"/>
        </w:rPr>
        <w:t>t DSM criteria</w:t>
      </w:r>
      <w:r>
        <w:rPr>
          <w:szCs w:val="26"/>
        </w:rPr>
        <w:t xml:space="preserve"> have been satisfied</w:t>
      </w:r>
      <w:r w:rsidRPr="00A77C37">
        <w:rPr>
          <w:szCs w:val="26"/>
        </w:rPr>
        <w:t xml:space="preserve"> or </w:t>
      </w:r>
      <w:r>
        <w:rPr>
          <w:szCs w:val="26"/>
        </w:rPr>
        <w:t>that a parent or guardian has been</w:t>
      </w:r>
      <w:r w:rsidRPr="00A77C37">
        <w:rPr>
          <w:szCs w:val="26"/>
        </w:rPr>
        <w:t xml:space="preserve"> diagnos</w:t>
      </w:r>
      <w:r>
        <w:rPr>
          <w:szCs w:val="26"/>
        </w:rPr>
        <w:t>ed</w:t>
      </w:r>
      <w:r w:rsidRPr="00A77C37">
        <w:rPr>
          <w:szCs w:val="26"/>
        </w:rPr>
        <w:t xml:space="preserve"> </w:t>
      </w:r>
      <w:r>
        <w:rPr>
          <w:szCs w:val="26"/>
        </w:rPr>
        <w:t xml:space="preserve">with a substance use disorder </w:t>
      </w:r>
      <w:r w:rsidRPr="00A77C37">
        <w:rPr>
          <w:szCs w:val="26"/>
        </w:rPr>
        <w:t xml:space="preserve">by a </w:t>
      </w:r>
      <w:r>
        <w:rPr>
          <w:szCs w:val="26"/>
        </w:rPr>
        <w:t xml:space="preserve">qualified </w:t>
      </w:r>
      <w:r w:rsidRPr="00A77C37">
        <w:rPr>
          <w:szCs w:val="26"/>
        </w:rPr>
        <w:t xml:space="preserve">professional.  </w:t>
      </w:r>
      <w:r>
        <w:rPr>
          <w:szCs w:val="26"/>
        </w:rPr>
        <w:t>We</w:t>
      </w:r>
      <w:r w:rsidRPr="00A77C37">
        <w:rPr>
          <w:szCs w:val="26"/>
        </w:rPr>
        <w:t xml:space="preserve"> then address whether a finding of substance abuse is properly regarded as prima facie evidence of </w:t>
      </w:r>
      <w:r>
        <w:rPr>
          <w:szCs w:val="26"/>
        </w:rPr>
        <w:t>an</w:t>
      </w:r>
      <w:r w:rsidRPr="00A77C37">
        <w:rPr>
          <w:szCs w:val="26"/>
        </w:rPr>
        <w:t xml:space="preserve"> inability</w:t>
      </w:r>
      <w:r w:rsidRPr="00A77C37">
        <w:rPr>
          <w:szCs w:val="26"/>
        </w:rPr>
        <w:t xml:space="preserve"> to provide regular care to a young child and a substantial risk of serious physical harm to that child. </w:t>
      </w:r>
    </w:p>
    <w:p w14:paraId="72EDC429" w14:textId="77777777" w:rsidR="00021057" w:rsidRPr="00A77C37" w:rsidRDefault="00B46361" w:rsidP="00021057">
      <w:pPr>
        <w:pStyle w:val="Heading2"/>
        <w:numPr>
          <w:ilvl w:val="0"/>
          <w:numId w:val="37"/>
        </w:numPr>
        <w:tabs>
          <w:tab w:val="clear" w:pos="1152"/>
          <w:tab w:val="left" w:pos="1080"/>
        </w:tabs>
      </w:pPr>
      <w:r w:rsidRPr="00A77C37">
        <w:t>The Statutory Scheme for Dependency Proceedings</w:t>
      </w:r>
    </w:p>
    <w:p w14:paraId="72EDC42A" w14:textId="77777777" w:rsidR="00021057" w:rsidRPr="00A77C37" w:rsidRDefault="00B46361" w:rsidP="00021057">
      <w:pPr>
        <w:pStyle w:val="ListParagraph"/>
        <w:spacing w:after="100" w:line="400" w:lineRule="exact"/>
        <w:ind w:left="0" w:firstLine="720"/>
        <w:rPr>
          <w:rFonts w:ascii="Century Schoolbook" w:hAnsi="Century Schoolbook" w:cs="Times New Roman"/>
          <w:sz w:val="27"/>
          <w:szCs w:val="26"/>
        </w:rPr>
      </w:pPr>
      <w:r w:rsidRPr="00A77C37">
        <w:rPr>
          <w:rFonts w:ascii="Century Schoolbook" w:hAnsi="Century Schoolbook" w:cs="Times New Roman"/>
          <w:sz w:val="27"/>
          <w:szCs w:val="26"/>
        </w:rPr>
        <w:t xml:space="preserve">“The purpose of California’s dependency law is ‘to provide maximum safety and protection for </w:t>
      </w:r>
      <w:r w:rsidRPr="00A77C37">
        <w:rPr>
          <w:rFonts w:ascii="Century Schoolbook" w:hAnsi="Century Schoolbook" w:cs="Times New Roman"/>
          <w:sz w:val="27"/>
          <w:szCs w:val="26"/>
        </w:rPr>
        <w:t xml:space="preserve">children who are currently being physically, sexually, or emotionally abused, being neglected, or being exploited, and to ensure the safety, protection, and physical and emotional well-being of children who are at risk of that harm.’  (Welf. &amp; Inst. Code, </w:t>
      </w:r>
      <w:r w:rsidRPr="00A77C37">
        <w:rPr>
          <w:rFonts w:ascii="Century Schoolbook" w:hAnsi="Century Schoolbook" w:cs="Times New Roman"/>
          <w:sz w:val="27"/>
          <w:szCs w:val="26"/>
        </w:rPr>
        <w:t>§ 300.2, subd. (a).)  In its effort to achieve this overarching goal, the law balances a number of vital interests:  children’s interests in safe and stable homes; parents’ interests in raising their children; families’ shared interests in each other’s com</w:t>
      </w:r>
      <w:r w:rsidRPr="00A77C37">
        <w:rPr>
          <w:rFonts w:ascii="Century Schoolbook" w:hAnsi="Century Schoolbook" w:cs="Times New Roman"/>
          <w:sz w:val="27"/>
          <w:szCs w:val="26"/>
        </w:rPr>
        <w:t>panionship; and the state’s interest in protecting society’s most vulnerable members.”  (</w:t>
      </w:r>
      <w:r w:rsidRPr="00A77C37">
        <w:rPr>
          <w:rFonts w:ascii="Century Schoolbook" w:hAnsi="Century Schoolbook" w:cs="Times New Roman"/>
          <w:i/>
          <w:iCs/>
          <w:sz w:val="27"/>
          <w:szCs w:val="26"/>
        </w:rPr>
        <w:t>Michael G. v. Superior Court</w:t>
      </w:r>
      <w:r w:rsidRPr="00A77C37">
        <w:rPr>
          <w:rFonts w:ascii="Century Schoolbook" w:hAnsi="Century Schoolbook" w:cs="Times New Roman"/>
          <w:sz w:val="27"/>
          <w:szCs w:val="26"/>
        </w:rPr>
        <w:t xml:space="preserve"> (2023) 14 Cal.5th 609, 623–624 (</w:t>
      </w:r>
      <w:r w:rsidRPr="00A77C37">
        <w:rPr>
          <w:rFonts w:ascii="Century Schoolbook" w:hAnsi="Century Schoolbook" w:cs="Times New Roman"/>
          <w:i/>
          <w:iCs/>
          <w:sz w:val="27"/>
          <w:szCs w:val="26"/>
        </w:rPr>
        <w:t>Michael G.</w:t>
      </w:r>
      <w:r w:rsidRPr="00A77C37">
        <w:rPr>
          <w:rFonts w:ascii="Century Schoolbook" w:hAnsi="Century Schoolbook" w:cs="Times New Roman"/>
          <w:sz w:val="27"/>
          <w:szCs w:val="26"/>
        </w:rPr>
        <w:t xml:space="preserve">).)  </w:t>
      </w:r>
    </w:p>
    <w:p w14:paraId="72EDC42B" w14:textId="77777777" w:rsidR="00021057" w:rsidRPr="00A77C37" w:rsidRDefault="00B46361" w:rsidP="00021057">
      <w:pPr>
        <w:pStyle w:val="ListParagraph"/>
        <w:spacing w:after="100" w:line="400" w:lineRule="exact"/>
        <w:ind w:left="0" w:firstLine="720"/>
        <w:rPr>
          <w:rFonts w:ascii="Century Schoolbook" w:hAnsi="Century Schoolbook" w:cs="Times New Roman"/>
          <w:sz w:val="27"/>
          <w:szCs w:val="26"/>
          <w:shd w:val="clear" w:color="auto" w:fill="FFFFFF"/>
        </w:rPr>
      </w:pPr>
      <w:r w:rsidRPr="00A77C37">
        <w:rPr>
          <w:rFonts w:ascii="Century Schoolbook" w:hAnsi="Century Schoolbook" w:cs="Times New Roman"/>
          <w:sz w:val="27"/>
          <w:szCs w:val="26"/>
        </w:rPr>
        <w:t>“Dependency proceedings span up to four stages:  jurisdiction, disposition, reunification,</w:t>
      </w:r>
      <w:r w:rsidRPr="00A77C37">
        <w:rPr>
          <w:rFonts w:ascii="Century Schoolbook" w:hAnsi="Century Schoolbook" w:cs="Times New Roman"/>
          <w:sz w:val="27"/>
          <w:szCs w:val="26"/>
        </w:rPr>
        <w:t xml:space="preserve"> and permanency.  [Citations.]  At the jurisdictional stage, the juvenile court determines whether to declare a child a dependent of the court because the child is suffering, or at risk of suffering, significant harm.”  (</w:t>
      </w:r>
      <w:r w:rsidRPr="00A77C37">
        <w:rPr>
          <w:rFonts w:ascii="Century Schoolbook" w:hAnsi="Century Schoolbook" w:cs="Times New Roman"/>
          <w:i/>
          <w:iCs/>
          <w:sz w:val="27"/>
          <w:szCs w:val="26"/>
        </w:rPr>
        <w:t>Michael G.</w:t>
      </w:r>
      <w:r w:rsidRPr="00A77C37">
        <w:rPr>
          <w:rFonts w:ascii="Century Schoolbook" w:hAnsi="Century Schoolbook" w:cs="Times New Roman"/>
          <w:sz w:val="27"/>
          <w:szCs w:val="26"/>
        </w:rPr>
        <w:t xml:space="preserve">, </w:t>
      </w:r>
      <w:r w:rsidRPr="00A77C37">
        <w:rPr>
          <w:rFonts w:ascii="Century Schoolbook" w:hAnsi="Century Schoolbook" w:cs="Times New Roman"/>
          <w:i/>
          <w:iCs/>
          <w:sz w:val="27"/>
          <w:szCs w:val="26"/>
        </w:rPr>
        <w:t>supra</w:t>
      </w:r>
      <w:r w:rsidRPr="00A77C37">
        <w:rPr>
          <w:rFonts w:ascii="Century Schoolbook" w:hAnsi="Century Schoolbook" w:cs="Times New Roman"/>
          <w:sz w:val="27"/>
          <w:szCs w:val="26"/>
        </w:rPr>
        <w:t>, 14 Cal.5th at p.</w:t>
      </w:r>
      <w:r w:rsidRPr="00A77C37">
        <w:rPr>
          <w:rFonts w:ascii="Century Schoolbook" w:hAnsi="Century Schoolbook" w:cs="Times New Roman"/>
          <w:sz w:val="27"/>
          <w:szCs w:val="26"/>
        </w:rPr>
        <w:t xml:space="preserve"> 624.)  </w:t>
      </w:r>
      <w:r w:rsidRPr="00A77C37">
        <w:rPr>
          <w:rFonts w:ascii="Century Schoolbook" w:hAnsi="Century Schoolbook" w:cs="Times New Roman"/>
          <w:sz w:val="27"/>
          <w:szCs w:val="26"/>
          <w:shd w:val="clear" w:color="auto" w:fill="FFFFFF"/>
        </w:rPr>
        <w:t>“ ‘A dependency adjudication is a preliminary step that allows the juvenile court, within specified limits, to assert supervision over the endangered child’s care.’  [Citation.]  After the juvenile court takes that preliminary step, the court may i</w:t>
      </w:r>
      <w:r w:rsidRPr="00A77C37">
        <w:rPr>
          <w:rFonts w:ascii="Century Schoolbook" w:hAnsi="Century Schoolbook" w:cs="Times New Roman"/>
          <w:sz w:val="27"/>
          <w:szCs w:val="26"/>
          <w:shd w:val="clear" w:color="auto" w:fill="FFFFFF"/>
        </w:rPr>
        <w:t xml:space="preserve">mpose limitations on parental authority as necessary to protect the child.  [Citations.]  It may also order that the child be removed from a parent’s physical custody if there is clear and convincing evidence that removal is necessary to protect the child </w:t>
      </w:r>
      <w:r w:rsidRPr="00A77C37">
        <w:rPr>
          <w:rFonts w:ascii="Century Schoolbook" w:hAnsi="Century Schoolbook" w:cs="Times New Roman"/>
          <w:sz w:val="27"/>
          <w:szCs w:val="26"/>
          <w:shd w:val="clear" w:color="auto" w:fill="FFFFFF"/>
        </w:rPr>
        <w:t>from a substantial risk of harm.  [Citations.]  In some cases, a dependency adjudication may lead to termination of parental rights.”  (</w:t>
      </w:r>
      <w:r w:rsidRPr="00A77C37">
        <w:rPr>
          <w:rFonts w:ascii="Century Schoolbook" w:hAnsi="Century Schoolbook" w:cs="Times New Roman"/>
          <w:i/>
          <w:iCs/>
          <w:sz w:val="27"/>
          <w:szCs w:val="26"/>
          <w:shd w:val="clear" w:color="auto" w:fill="FFFFFF"/>
        </w:rPr>
        <w:t>In re I.C.</w:t>
      </w:r>
      <w:r w:rsidRPr="00A77C37">
        <w:rPr>
          <w:rFonts w:ascii="Century Schoolbook" w:hAnsi="Century Schoolbook" w:cs="Times New Roman"/>
          <w:sz w:val="27"/>
          <w:szCs w:val="26"/>
          <w:shd w:val="clear" w:color="auto" w:fill="FFFFFF"/>
        </w:rPr>
        <w:t xml:space="preserve"> (2018) 4 Cal.5th 869, 876 (</w:t>
      </w:r>
      <w:r w:rsidRPr="00A77C37">
        <w:rPr>
          <w:rFonts w:ascii="Century Schoolbook" w:hAnsi="Century Schoolbook" w:cs="Times New Roman"/>
          <w:i/>
          <w:iCs/>
          <w:sz w:val="27"/>
          <w:szCs w:val="26"/>
          <w:shd w:val="clear" w:color="auto" w:fill="FFFFFF"/>
        </w:rPr>
        <w:t>I.C.</w:t>
      </w:r>
      <w:r w:rsidRPr="00A77C37">
        <w:rPr>
          <w:rFonts w:ascii="Century Schoolbook" w:hAnsi="Century Schoolbook" w:cs="Times New Roman"/>
          <w:sz w:val="27"/>
          <w:szCs w:val="26"/>
          <w:shd w:val="clear" w:color="auto" w:fill="FFFFFF"/>
        </w:rPr>
        <w:t>).)</w:t>
      </w:r>
    </w:p>
    <w:p w14:paraId="72EDC42C" w14:textId="77777777" w:rsidR="00021057" w:rsidRPr="00A77C37" w:rsidRDefault="00B46361" w:rsidP="00021057">
      <w:pPr>
        <w:ind w:firstLine="720"/>
        <w:rPr>
          <w:b/>
          <w:bCs/>
          <w:szCs w:val="26"/>
          <w:shd w:val="clear" w:color="auto" w:fill="FFFFFF"/>
        </w:rPr>
      </w:pPr>
      <w:r>
        <w:rPr>
          <w:szCs w:val="26"/>
          <w:shd w:val="clear" w:color="auto" w:fill="FFFFFF"/>
        </w:rPr>
        <w:t>S</w:t>
      </w:r>
      <w:r w:rsidRPr="00A77C37">
        <w:rPr>
          <w:szCs w:val="26"/>
          <w:shd w:val="clear" w:color="auto" w:fill="FFFFFF"/>
        </w:rPr>
        <w:t xml:space="preserve">ection 300 </w:t>
      </w:r>
      <w:r>
        <w:rPr>
          <w:szCs w:val="26"/>
          <w:shd w:val="clear" w:color="auto" w:fill="FFFFFF"/>
        </w:rPr>
        <w:t>enumerates</w:t>
      </w:r>
      <w:r w:rsidRPr="00A77C37">
        <w:rPr>
          <w:szCs w:val="26"/>
          <w:shd w:val="clear" w:color="auto" w:fill="FFFFFF"/>
        </w:rPr>
        <w:t xml:space="preserve"> the </w:t>
      </w:r>
      <w:r>
        <w:rPr>
          <w:szCs w:val="26"/>
          <w:shd w:val="clear" w:color="auto" w:fill="FFFFFF"/>
        </w:rPr>
        <w:t xml:space="preserve">various ways in which a child may come </w:t>
      </w:r>
      <w:r>
        <w:rPr>
          <w:szCs w:val="26"/>
          <w:shd w:val="clear" w:color="auto" w:fill="FFFFFF"/>
        </w:rPr>
        <w:t>within the dependency jurisdiction of the juvenile court</w:t>
      </w:r>
      <w:r w:rsidRPr="00A77C37">
        <w:rPr>
          <w:szCs w:val="26"/>
          <w:shd w:val="clear" w:color="auto" w:fill="FFFFFF"/>
        </w:rPr>
        <w:t xml:space="preserve">.  </w:t>
      </w:r>
      <w:r>
        <w:rPr>
          <w:szCs w:val="26"/>
          <w:shd w:val="clear" w:color="auto" w:fill="FFFFFF"/>
        </w:rPr>
        <w:t>Our focus</w:t>
      </w:r>
      <w:r w:rsidRPr="00A77C37">
        <w:rPr>
          <w:szCs w:val="26"/>
          <w:shd w:val="clear" w:color="auto" w:fill="FFFFFF"/>
        </w:rPr>
        <w:t xml:space="preserve"> here </w:t>
      </w:r>
      <w:r>
        <w:rPr>
          <w:szCs w:val="26"/>
          <w:shd w:val="clear" w:color="auto" w:fill="FFFFFF"/>
        </w:rPr>
        <w:t>is upon</w:t>
      </w:r>
      <w:r w:rsidRPr="00A77C37">
        <w:rPr>
          <w:szCs w:val="26"/>
          <w:shd w:val="clear" w:color="auto" w:fill="FFFFFF"/>
        </w:rPr>
        <w:t xml:space="preserve"> </w:t>
      </w:r>
      <w:r>
        <w:rPr>
          <w:szCs w:val="26"/>
          <w:shd w:val="clear" w:color="auto" w:fill="FFFFFF"/>
        </w:rPr>
        <w:t xml:space="preserve">section 300, </w:t>
      </w:r>
      <w:r w:rsidRPr="00A77C37">
        <w:rPr>
          <w:szCs w:val="26"/>
          <w:shd w:val="clear" w:color="auto" w:fill="FFFFFF"/>
        </w:rPr>
        <w:t>subdivision (b)(1), which provides that a juvenile may be adjudged a dependent of the court when “</w:t>
      </w:r>
      <w:r w:rsidR="00005196">
        <w:rPr>
          <w:szCs w:val="26"/>
          <w:shd w:val="clear" w:color="auto" w:fill="FFFFFF"/>
        </w:rPr>
        <w:t>[t]</w:t>
      </w:r>
      <w:r w:rsidRPr="00A77C37">
        <w:rPr>
          <w:szCs w:val="26"/>
          <w:shd w:val="clear" w:color="auto" w:fill="FFFFFF"/>
        </w:rPr>
        <w:t>he child has suffered, or there is a substantial risk that t</w:t>
      </w:r>
      <w:r w:rsidRPr="00A77C37">
        <w:rPr>
          <w:szCs w:val="26"/>
          <w:shd w:val="clear" w:color="auto" w:fill="FFFFFF"/>
        </w:rPr>
        <w:t xml:space="preserve">he child will suffer, serious physical harm or illness, as a result of any of the following:  [¶]  (A)  The failure or inability of the child’s parent or guardian to adequately supervise or protect the child.  [¶]  (B)  The willful or negligent failure of </w:t>
      </w:r>
      <w:r w:rsidRPr="00A77C37">
        <w:rPr>
          <w:szCs w:val="26"/>
          <w:shd w:val="clear" w:color="auto" w:fill="FFFFFF"/>
        </w:rPr>
        <w:t xml:space="preserve">the child’s parent or guardian to adequately supervise or protect the child from the conduct of the custodian with whom the child has been left.  [¶]  (C) </w:t>
      </w:r>
      <w:r>
        <w:rPr>
          <w:szCs w:val="26"/>
          <w:shd w:val="clear" w:color="auto" w:fill="FFFFFF"/>
        </w:rPr>
        <w:t xml:space="preserve"> </w:t>
      </w:r>
      <w:r w:rsidRPr="00A77C37">
        <w:rPr>
          <w:szCs w:val="26"/>
          <w:shd w:val="clear" w:color="auto" w:fill="FFFFFF"/>
        </w:rPr>
        <w:t xml:space="preserve">The willful or negligent failure of the parent or guardian to provide the child with adequate food, </w:t>
      </w:r>
      <w:r w:rsidRPr="00A77C37">
        <w:rPr>
          <w:szCs w:val="26"/>
          <w:shd w:val="clear" w:color="auto" w:fill="FFFFFF"/>
        </w:rPr>
        <w:t xml:space="preserve">clothing, shelter, or medical treatment.  [¶]  (D)  The inability of the parent or guardian to provide regular care for the child due to the parent’s or guardian’s mental illness, developmental disability, </w:t>
      </w:r>
      <w:r w:rsidRPr="00A77C37">
        <w:rPr>
          <w:i/>
          <w:iCs/>
          <w:szCs w:val="26"/>
          <w:shd w:val="clear" w:color="auto" w:fill="FFFFFF"/>
        </w:rPr>
        <w:t>or substance abuse</w:t>
      </w:r>
      <w:r w:rsidRPr="00A77C37">
        <w:rPr>
          <w:szCs w:val="26"/>
          <w:shd w:val="clear" w:color="auto" w:fill="FFFFFF"/>
        </w:rPr>
        <w:t>.”  (Italics added.)  Although w</w:t>
      </w:r>
      <w:r w:rsidRPr="00A77C37">
        <w:rPr>
          <w:szCs w:val="26"/>
          <w:shd w:val="clear" w:color="auto" w:fill="FFFFFF"/>
        </w:rPr>
        <w:t xml:space="preserve">e have </w:t>
      </w:r>
      <w:r>
        <w:rPr>
          <w:szCs w:val="26"/>
          <w:shd w:val="clear" w:color="auto" w:fill="FFFFFF"/>
        </w:rPr>
        <w:t xml:space="preserve">previously </w:t>
      </w:r>
      <w:r w:rsidRPr="00A77C37">
        <w:rPr>
          <w:szCs w:val="26"/>
          <w:shd w:val="clear" w:color="auto" w:fill="FFFFFF"/>
        </w:rPr>
        <w:t>considered other aspects of section</w:t>
      </w:r>
      <w:r>
        <w:rPr>
          <w:szCs w:val="26"/>
          <w:shd w:val="clear" w:color="auto" w:fill="FFFFFF"/>
        </w:rPr>
        <w:t> </w:t>
      </w:r>
      <w:r w:rsidRPr="00A77C37">
        <w:rPr>
          <w:szCs w:val="26"/>
          <w:shd w:val="clear" w:color="auto" w:fill="FFFFFF"/>
        </w:rPr>
        <w:t xml:space="preserve">300 (see, e.g., </w:t>
      </w:r>
      <w:r w:rsidRPr="00A77C37">
        <w:rPr>
          <w:i/>
          <w:iCs/>
          <w:szCs w:val="26"/>
          <w:shd w:val="clear" w:color="auto" w:fill="FFFFFF"/>
        </w:rPr>
        <w:t>I.C.</w:t>
      </w:r>
      <w:r w:rsidRPr="00A77C37">
        <w:rPr>
          <w:szCs w:val="26"/>
          <w:shd w:val="clear" w:color="auto" w:fill="FFFFFF"/>
        </w:rPr>
        <w:t xml:space="preserve">, </w:t>
      </w:r>
      <w:r w:rsidRPr="00A77C37">
        <w:rPr>
          <w:i/>
          <w:iCs/>
          <w:szCs w:val="26"/>
          <w:shd w:val="clear" w:color="auto" w:fill="FFFFFF"/>
        </w:rPr>
        <w:t>supra</w:t>
      </w:r>
      <w:r w:rsidRPr="00A77C37">
        <w:rPr>
          <w:szCs w:val="26"/>
          <w:shd w:val="clear" w:color="auto" w:fill="FFFFFF"/>
        </w:rPr>
        <w:t xml:space="preserve">, 4 Cal.5th 869; </w:t>
      </w:r>
      <w:r w:rsidRPr="00A77C37">
        <w:rPr>
          <w:i/>
          <w:iCs/>
          <w:szCs w:val="26"/>
          <w:shd w:val="clear" w:color="auto" w:fill="FFFFFF"/>
        </w:rPr>
        <w:t xml:space="preserve">In re R.T. </w:t>
      </w:r>
      <w:r w:rsidRPr="00A77C37">
        <w:rPr>
          <w:szCs w:val="26"/>
          <w:shd w:val="clear" w:color="auto" w:fill="FFFFFF"/>
        </w:rPr>
        <w:t>(2017) 3 Cal.5th 622 (</w:t>
      </w:r>
      <w:r w:rsidRPr="00A77C37">
        <w:rPr>
          <w:i/>
          <w:iCs/>
          <w:szCs w:val="26"/>
          <w:shd w:val="clear" w:color="auto" w:fill="FFFFFF"/>
        </w:rPr>
        <w:t>R.T.</w:t>
      </w:r>
      <w:r w:rsidRPr="00A77C37">
        <w:rPr>
          <w:szCs w:val="26"/>
          <w:shd w:val="clear" w:color="auto" w:fill="FFFFFF"/>
        </w:rPr>
        <w:t xml:space="preserve">); </w:t>
      </w:r>
      <w:r w:rsidRPr="00A77C37">
        <w:rPr>
          <w:i/>
          <w:iCs/>
          <w:szCs w:val="26"/>
        </w:rPr>
        <w:t>In re I.J.</w:t>
      </w:r>
      <w:r w:rsidRPr="00A77C37">
        <w:rPr>
          <w:szCs w:val="26"/>
        </w:rPr>
        <w:t xml:space="preserve"> (2013) 56 Cal.4th 766 (</w:t>
      </w:r>
      <w:r w:rsidRPr="00A77C37">
        <w:rPr>
          <w:i/>
          <w:iCs/>
          <w:szCs w:val="26"/>
        </w:rPr>
        <w:t>I.J.</w:t>
      </w:r>
      <w:r w:rsidRPr="00A77C37">
        <w:rPr>
          <w:szCs w:val="26"/>
        </w:rPr>
        <w:t>)</w:t>
      </w:r>
      <w:r w:rsidRPr="00A77C37">
        <w:rPr>
          <w:szCs w:val="26"/>
          <w:shd w:val="clear" w:color="auto" w:fill="FFFFFF"/>
        </w:rPr>
        <w:t>), we have not previously interpreted the statute’s reference to substance abus</w:t>
      </w:r>
      <w:r w:rsidRPr="00A77C37">
        <w:rPr>
          <w:szCs w:val="26"/>
          <w:shd w:val="clear" w:color="auto" w:fill="FFFFFF"/>
        </w:rPr>
        <w:t>e.</w:t>
      </w:r>
    </w:p>
    <w:p w14:paraId="72EDC42D" w14:textId="77777777" w:rsidR="00021057" w:rsidRPr="00A77C37" w:rsidRDefault="00B46361" w:rsidP="00B1769B">
      <w:pPr>
        <w:pStyle w:val="Heading2"/>
        <w:numPr>
          <w:ilvl w:val="0"/>
          <w:numId w:val="37"/>
        </w:numPr>
        <w:tabs>
          <w:tab w:val="clear" w:pos="1152"/>
          <w:tab w:val="left" w:pos="1080"/>
        </w:tabs>
        <w:rPr>
          <w:shd w:val="clear" w:color="auto" w:fill="FFFFFF"/>
        </w:rPr>
      </w:pPr>
      <w:r w:rsidRPr="00A77C37">
        <w:t xml:space="preserve">Neither Satisfaction of the Relevant DSM Criteria nor a Professional Medical Diagnosis </w:t>
      </w:r>
      <w:r>
        <w:t>Is</w:t>
      </w:r>
      <w:r w:rsidRPr="00A77C37">
        <w:t xml:space="preserve"> Required </w:t>
      </w:r>
      <w:r w:rsidR="00316987">
        <w:t>T</w:t>
      </w:r>
      <w:r w:rsidRPr="00A77C37">
        <w:t>o Show Substance Abuse Under Section 300</w:t>
      </w:r>
    </w:p>
    <w:p w14:paraId="72EDC42E" w14:textId="77777777" w:rsidR="00021057" w:rsidRPr="00A77C37" w:rsidRDefault="00B46361" w:rsidP="00021057">
      <w:pPr>
        <w:ind w:firstLine="720"/>
      </w:pPr>
      <w:r>
        <w:rPr>
          <w:szCs w:val="26"/>
        </w:rPr>
        <w:t xml:space="preserve">The first issue we address is whether </w:t>
      </w:r>
      <w:r w:rsidRPr="00A77C37">
        <w:rPr>
          <w:szCs w:val="26"/>
        </w:rPr>
        <w:t xml:space="preserve">a </w:t>
      </w:r>
      <w:r>
        <w:rPr>
          <w:szCs w:val="26"/>
        </w:rPr>
        <w:t xml:space="preserve">juvenile court may recognize substance abuse by a parent or </w:t>
      </w:r>
      <w:r>
        <w:rPr>
          <w:szCs w:val="26"/>
        </w:rPr>
        <w:t>guardian under</w:t>
      </w:r>
      <w:r w:rsidRPr="00A77C37">
        <w:rPr>
          <w:szCs w:val="26"/>
        </w:rPr>
        <w:t xml:space="preserve"> section 300(b)(1)(D)</w:t>
      </w:r>
      <w:r>
        <w:rPr>
          <w:szCs w:val="26"/>
        </w:rPr>
        <w:t xml:space="preserve"> </w:t>
      </w:r>
      <w:r w:rsidRPr="00A77C37">
        <w:rPr>
          <w:szCs w:val="26"/>
        </w:rPr>
        <w:t>only in circumstances in which the evidence</w:t>
      </w:r>
      <w:r>
        <w:rPr>
          <w:szCs w:val="26"/>
        </w:rPr>
        <w:t xml:space="preserve"> before it</w:t>
      </w:r>
      <w:r w:rsidRPr="00A77C37">
        <w:rPr>
          <w:szCs w:val="26"/>
        </w:rPr>
        <w:t xml:space="preserve"> either (1) </w:t>
      </w:r>
      <w:r>
        <w:rPr>
          <w:szCs w:val="26"/>
        </w:rPr>
        <w:t>establishes</w:t>
      </w:r>
      <w:r w:rsidRPr="00A77C37">
        <w:rPr>
          <w:szCs w:val="26"/>
        </w:rPr>
        <w:t xml:space="preserve"> that the relevant diagnostic criteria in the </w:t>
      </w:r>
      <w:r>
        <w:rPr>
          <w:szCs w:val="26"/>
        </w:rPr>
        <w:t>current</w:t>
      </w:r>
      <w:r w:rsidRPr="00A77C37">
        <w:rPr>
          <w:szCs w:val="26"/>
        </w:rPr>
        <w:t xml:space="preserve"> edition of the DSM </w:t>
      </w:r>
      <w:r>
        <w:rPr>
          <w:szCs w:val="26"/>
        </w:rPr>
        <w:t>have been</w:t>
      </w:r>
      <w:r w:rsidRPr="00A77C37">
        <w:rPr>
          <w:szCs w:val="26"/>
        </w:rPr>
        <w:t xml:space="preserve"> satisfied,</w:t>
      </w:r>
      <w:r>
        <w:rPr>
          <w:szCs w:val="26"/>
        </w:rPr>
        <w:t xml:space="preserve"> as Father has argued before us,</w:t>
      </w:r>
      <w:r w:rsidRPr="00A77C37">
        <w:rPr>
          <w:szCs w:val="26"/>
        </w:rPr>
        <w:t xml:space="preserve"> or (2) includes a </w:t>
      </w:r>
      <w:r w:rsidRPr="00A77C37">
        <w:rPr>
          <w:szCs w:val="26"/>
        </w:rPr>
        <w:t xml:space="preserve">professional diagnosis of </w:t>
      </w:r>
      <w:r>
        <w:rPr>
          <w:szCs w:val="26"/>
        </w:rPr>
        <w:t xml:space="preserve">a current </w:t>
      </w:r>
      <w:r w:rsidRPr="00A77C37">
        <w:rPr>
          <w:szCs w:val="26"/>
        </w:rPr>
        <w:t xml:space="preserve">substance </w:t>
      </w:r>
      <w:r>
        <w:rPr>
          <w:szCs w:val="26"/>
        </w:rPr>
        <w:t xml:space="preserve">use disorder, which the </w:t>
      </w:r>
      <w:r w:rsidRPr="00C51555">
        <w:rPr>
          <w:i/>
          <w:iCs/>
          <w:szCs w:val="26"/>
        </w:rPr>
        <w:t>Drake M.</w:t>
      </w:r>
      <w:r>
        <w:rPr>
          <w:szCs w:val="26"/>
        </w:rPr>
        <w:t xml:space="preserve"> court also contemplated as an alternative method of proving the existence of substance abuse</w:t>
      </w:r>
      <w:r w:rsidRPr="00A77C37">
        <w:rPr>
          <w:szCs w:val="26"/>
        </w:rPr>
        <w:t xml:space="preserve">.  </w:t>
      </w:r>
      <w:r>
        <w:rPr>
          <w:szCs w:val="26"/>
        </w:rPr>
        <w:t>We</w:t>
      </w:r>
      <w:r w:rsidRPr="00A77C37">
        <w:rPr>
          <w:szCs w:val="26"/>
        </w:rPr>
        <w:t xml:space="preserve"> conclude that the Legislature did not </w:t>
      </w:r>
      <w:r>
        <w:rPr>
          <w:szCs w:val="26"/>
        </w:rPr>
        <w:t>impose either requirement</w:t>
      </w:r>
      <w:r w:rsidRPr="00A77C37">
        <w:rPr>
          <w:szCs w:val="26"/>
        </w:rPr>
        <w:t xml:space="preserve"> when it added </w:t>
      </w:r>
      <w:r>
        <w:rPr>
          <w:szCs w:val="26"/>
        </w:rPr>
        <w:t>t</w:t>
      </w:r>
      <w:r>
        <w:rPr>
          <w:szCs w:val="26"/>
        </w:rPr>
        <w:t>he substance abuse</w:t>
      </w:r>
      <w:r w:rsidRPr="00A77C37">
        <w:rPr>
          <w:szCs w:val="26"/>
        </w:rPr>
        <w:t xml:space="preserve"> language to section 300 in 1987 as part of a broader overhaul of the dependency scheme.  </w:t>
      </w:r>
    </w:p>
    <w:p w14:paraId="72EDC42F" w14:textId="77777777" w:rsidR="00021057" w:rsidRPr="00A77C37" w:rsidRDefault="00B46361" w:rsidP="00B1769B">
      <w:pPr>
        <w:pStyle w:val="Heading3"/>
        <w:numPr>
          <w:ilvl w:val="0"/>
          <w:numId w:val="38"/>
        </w:numPr>
        <w:tabs>
          <w:tab w:val="clear" w:pos="1584"/>
          <w:tab w:val="left" w:pos="1440"/>
        </w:tabs>
        <w:ind w:left="1440"/>
        <w:rPr>
          <w:szCs w:val="26"/>
        </w:rPr>
      </w:pPr>
      <w:r w:rsidRPr="00A77C37">
        <w:t>Statutory Language</w:t>
      </w:r>
    </w:p>
    <w:p w14:paraId="72EDC430" w14:textId="77777777" w:rsidR="00021057" w:rsidRPr="00A77C37" w:rsidRDefault="00B46361" w:rsidP="00021057">
      <w:pPr>
        <w:ind w:firstLine="720"/>
        <w:rPr>
          <w:szCs w:val="26"/>
        </w:rPr>
      </w:pPr>
      <w:r w:rsidRPr="00A77C37">
        <w:rPr>
          <w:szCs w:val="26"/>
        </w:rPr>
        <w:t>“ ‘ “When we interpret a statute, ‘[o]ur fundamental task . . . is to determine the Legislature’s intent so as to effectuate the</w:t>
      </w:r>
      <w:r w:rsidRPr="00A77C37">
        <w:rPr>
          <w:szCs w:val="26"/>
        </w:rPr>
        <w:t xml:space="preserve"> law’s purpose.  We first examine the statutory language, giving it a plain and commonsense meaning.  We do not examine that language in isolation, but in the context of the statutory framework as a whole in order to determine its scope and purpose and to </w:t>
      </w:r>
      <w:r w:rsidRPr="00A77C37">
        <w:rPr>
          <w:szCs w:val="26"/>
        </w:rPr>
        <w:t>harmonize the various parts of the enactment.  If the language is clear, courts must generally follow its plain meaning unless a literal interpretation would result in absurd consequences the Legislature did not intend.  If the statutory language permits m</w:t>
      </w:r>
      <w:r w:rsidRPr="00A77C37">
        <w:rPr>
          <w:szCs w:val="26"/>
        </w:rPr>
        <w:t>ore than one reasonable interpretation, courts may consider other aids, such as the statute’s purpose, legislative history, and public policy.’  [Citation.]  ‘Furthermore, we consider portions of a statute in the context of the entire statute and the statu</w:t>
      </w:r>
      <w:r w:rsidRPr="00A77C37">
        <w:rPr>
          <w:szCs w:val="26"/>
        </w:rPr>
        <w:t>tory scheme of which it is a part, giving significance to every word, phrase, sentence, and part of an act in pursuance of the legislative purpose.’ ” ’ ”  (</w:t>
      </w:r>
      <w:r w:rsidRPr="00A77C37">
        <w:rPr>
          <w:i/>
          <w:iCs/>
          <w:szCs w:val="26"/>
        </w:rPr>
        <w:t>Meza v. Portfolio Recovery Associates, LLC</w:t>
      </w:r>
      <w:r w:rsidRPr="00A77C37">
        <w:rPr>
          <w:szCs w:val="26"/>
        </w:rPr>
        <w:t xml:space="preserve"> (2019) 6 Cal.5th 844, 856–857 (</w:t>
      </w:r>
      <w:r w:rsidRPr="00A77C37">
        <w:rPr>
          <w:i/>
          <w:iCs/>
          <w:szCs w:val="26"/>
        </w:rPr>
        <w:t>Meza</w:t>
      </w:r>
      <w:r w:rsidRPr="00A77C37">
        <w:rPr>
          <w:szCs w:val="26"/>
        </w:rPr>
        <w:t xml:space="preserve">).) </w:t>
      </w:r>
    </w:p>
    <w:p w14:paraId="72EDC431" w14:textId="77777777" w:rsidR="00021057" w:rsidRPr="00A77C37" w:rsidRDefault="00B46361" w:rsidP="00021057">
      <w:pPr>
        <w:pStyle w:val="Heading41"/>
        <w:spacing w:after="100" w:line="400" w:lineRule="exact"/>
        <w:ind w:left="1800"/>
        <w:rPr>
          <w:rFonts w:ascii="Century Schoolbook" w:hAnsi="Century Schoolbook"/>
          <w:sz w:val="27"/>
        </w:rPr>
      </w:pPr>
      <w:r w:rsidRPr="00A77C37">
        <w:rPr>
          <w:rFonts w:ascii="Century Schoolbook" w:hAnsi="Century Schoolbook"/>
          <w:sz w:val="27"/>
        </w:rPr>
        <w:t>Applying standar</w:t>
      </w:r>
      <w:r w:rsidRPr="00A77C37">
        <w:rPr>
          <w:rFonts w:ascii="Century Schoolbook" w:hAnsi="Century Schoolbook"/>
          <w:sz w:val="27"/>
        </w:rPr>
        <w:t>d principles of statutory interpretation, “substance abuse” bears its ordinary meaning here</w:t>
      </w:r>
    </w:p>
    <w:p w14:paraId="72EDC432" w14:textId="77777777" w:rsidR="00021057" w:rsidRDefault="00B46361" w:rsidP="00021057">
      <w:pPr>
        <w:ind w:firstLine="720"/>
        <w:rPr>
          <w:szCs w:val="26"/>
        </w:rPr>
      </w:pPr>
      <w:r>
        <w:rPr>
          <w:szCs w:val="26"/>
        </w:rPr>
        <w:t>Beginning with the statutory text, we observe that neither section 300 nor any other provision within the</w:t>
      </w:r>
      <w:r w:rsidRPr="00A77C37">
        <w:rPr>
          <w:szCs w:val="26"/>
        </w:rPr>
        <w:t xml:space="preserve"> statutory scheme </w:t>
      </w:r>
      <w:r>
        <w:rPr>
          <w:szCs w:val="26"/>
        </w:rPr>
        <w:t>relating to dependency proceedings define</w:t>
      </w:r>
      <w:r>
        <w:rPr>
          <w:szCs w:val="26"/>
        </w:rPr>
        <w:t xml:space="preserve">s </w:t>
      </w:r>
      <w:r w:rsidRPr="00A77C37">
        <w:rPr>
          <w:szCs w:val="26"/>
        </w:rPr>
        <w:t>“substance abuse</w:t>
      </w:r>
      <w:r>
        <w:rPr>
          <w:szCs w:val="26"/>
        </w:rPr>
        <w:t>,</w:t>
      </w:r>
      <w:r w:rsidRPr="00A77C37">
        <w:rPr>
          <w:szCs w:val="26"/>
        </w:rPr>
        <w:t>”</w:t>
      </w:r>
      <w:r>
        <w:rPr>
          <w:szCs w:val="26"/>
        </w:rPr>
        <w:t xml:space="preserve"> although definitions are provided for other</w:t>
      </w:r>
      <w:r w:rsidRPr="00A77C37">
        <w:rPr>
          <w:szCs w:val="26"/>
        </w:rPr>
        <w:t xml:space="preserve"> </w:t>
      </w:r>
      <w:r>
        <w:rPr>
          <w:szCs w:val="26"/>
        </w:rPr>
        <w:t>terms relevant to the exercise of</w:t>
      </w:r>
      <w:r w:rsidRPr="00A77C37">
        <w:rPr>
          <w:szCs w:val="26"/>
        </w:rPr>
        <w:t xml:space="preserve"> dependency jurisdiction</w:t>
      </w:r>
      <w:r>
        <w:rPr>
          <w:szCs w:val="26"/>
        </w:rPr>
        <w:t>.  (</w:t>
      </w:r>
      <w:r w:rsidRPr="0053513F">
        <w:rPr>
          <w:szCs w:val="26"/>
        </w:rPr>
        <w:t xml:space="preserve">E.g., </w:t>
      </w:r>
      <w:r>
        <w:rPr>
          <w:szCs w:val="26"/>
        </w:rPr>
        <w:t>§ </w:t>
      </w:r>
      <w:r w:rsidRPr="0053513F">
        <w:rPr>
          <w:szCs w:val="26"/>
        </w:rPr>
        <w:t>300, subd</w:t>
      </w:r>
      <w:r w:rsidR="00316987">
        <w:rPr>
          <w:szCs w:val="26"/>
        </w:rPr>
        <w:t>s</w:t>
      </w:r>
      <w:r>
        <w:rPr>
          <w:szCs w:val="26"/>
        </w:rPr>
        <w:t>.</w:t>
      </w:r>
      <w:r w:rsidRPr="0053513F">
        <w:rPr>
          <w:szCs w:val="26"/>
        </w:rPr>
        <w:t xml:space="preserve"> (b)(4) [defining “sexually trafficked” by reference to the definition provided in Pen. Code, § 236.1 and “sexu</w:t>
      </w:r>
      <w:r w:rsidRPr="0053513F">
        <w:rPr>
          <w:szCs w:val="26"/>
        </w:rPr>
        <w:t>al acts” by reference to Pen. Code, §§ 236.1 and 11165.1]</w:t>
      </w:r>
      <w:r w:rsidR="00316987">
        <w:rPr>
          <w:szCs w:val="26"/>
        </w:rPr>
        <w:t>,</w:t>
      </w:r>
      <w:r>
        <w:rPr>
          <w:i/>
          <w:iCs/>
          <w:szCs w:val="26"/>
        </w:rPr>
        <w:t xml:space="preserve"> </w:t>
      </w:r>
      <w:r w:rsidRPr="0053513F">
        <w:rPr>
          <w:szCs w:val="26"/>
        </w:rPr>
        <w:t>(d) [explaining that the statute borrows the definition of “sexual abuse” found in Pen. Code, § 11165.1]</w:t>
      </w:r>
      <w:r w:rsidR="00316987">
        <w:rPr>
          <w:szCs w:val="26"/>
        </w:rPr>
        <w:t>,</w:t>
      </w:r>
      <w:r w:rsidRPr="0053513F">
        <w:rPr>
          <w:szCs w:val="26"/>
        </w:rPr>
        <w:t xml:space="preserve"> (e) [defining “severe physical abuse”].</w:t>
      </w:r>
      <w:r>
        <w:rPr>
          <w:szCs w:val="26"/>
        </w:rPr>
        <w:t>)</w:t>
      </w:r>
      <w:r w:rsidRPr="00A77C37">
        <w:rPr>
          <w:szCs w:val="26"/>
        </w:rPr>
        <w:t xml:space="preserve"> </w:t>
      </w:r>
      <w:r>
        <w:rPr>
          <w:szCs w:val="26"/>
        </w:rPr>
        <w:t xml:space="preserve"> </w:t>
      </w:r>
    </w:p>
    <w:p w14:paraId="72EDC433" w14:textId="77777777" w:rsidR="00021057" w:rsidRPr="00A77C37" w:rsidRDefault="00B46361" w:rsidP="00021057">
      <w:pPr>
        <w:ind w:firstLine="720"/>
        <w:rPr>
          <w:szCs w:val="26"/>
        </w:rPr>
      </w:pPr>
      <w:r w:rsidRPr="00A77C37">
        <w:rPr>
          <w:szCs w:val="26"/>
        </w:rPr>
        <w:t xml:space="preserve">The </w:t>
      </w:r>
      <w:r>
        <w:rPr>
          <w:szCs w:val="26"/>
        </w:rPr>
        <w:t xml:space="preserve">Legislature’s failure to define </w:t>
      </w:r>
      <w:r>
        <w:rPr>
          <w:szCs w:val="26"/>
        </w:rPr>
        <w:t>substance abuse</w:t>
      </w:r>
      <w:r w:rsidRPr="00A77C37">
        <w:rPr>
          <w:szCs w:val="26"/>
        </w:rPr>
        <w:t xml:space="preserve"> suggests that </w:t>
      </w:r>
      <w:r>
        <w:rPr>
          <w:szCs w:val="26"/>
        </w:rPr>
        <w:t>legislators</w:t>
      </w:r>
      <w:r w:rsidRPr="00A77C37">
        <w:rPr>
          <w:szCs w:val="26"/>
        </w:rPr>
        <w:t xml:space="preserve"> intended for </w:t>
      </w:r>
      <w:r>
        <w:rPr>
          <w:szCs w:val="26"/>
        </w:rPr>
        <w:t>this</w:t>
      </w:r>
      <w:r w:rsidRPr="00A77C37">
        <w:rPr>
          <w:szCs w:val="26"/>
        </w:rPr>
        <w:t xml:space="preserve"> ter</w:t>
      </w:r>
      <w:r>
        <w:rPr>
          <w:szCs w:val="26"/>
        </w:rPr>
        <w:t>m</w:t>
      </w:r>
      <w:r w:rsidRPr="00A77C37">
        <w:rPr>
          <w:szCs w:val="26"/>
        </w:rPr>
        <w:t xml:space="preserve"> to bear its ordinary meaning in this context.  (See </w:t>
      </w:r>
      <w:r w:rsidRPr="00A77C37">
        <w:rPr>
          <w:i/>
          <w:iCs/>
          <w:szCs w:val="26"/>
        </w:rPr>
        <w:t>Valley Circle Estates v. VTN Consolidated, Inc.</w:t>
      </w:r>
      <w:r w:rsidRPr="00A77C37">
        <w:rPr>
          <w:szCs w:val="26"/>
        </w:rPr>
        <w:t xml:space="preserve"> (1983) 33 Cal.3d 604, 608–609 [“ ‘Excepting when clearly otherwise intended or indicated, w</w:t>
      </w:r>
      <w:r w:rsidRPr="00A77C37">
        <w:rPr>
          <w:szCs w:val="26"/>
        </w:rPr>
        <w:t xml:space="preserve">ords in a statute should be given their ordinary meaning and receive a sensible construction in accord with the commonly understood meaning thereof’ ”]; </w:t>
      </w:r>
      <w:r w:rsidRPr="00A77C37">
        <w:rPr>
          <w:i/>
          <w:iCs/>
          <w:szCs w:val="26"/>
        </w:rPr>
        <w:t>County of Orange v. Santa Margarita Water Dist.</w:t>
      </w:r>
      <w:r w:rsidRPr="00A77C37">
        <w:rPr>
          <w:szCs w:val="26"/>
        </w:rPr>
        <w:t xml:space="preserve"> (1996) 44 Cal.App.4th 189, 192 [“When a statute does no</w:t>
      </w:r>
      <w:r w:rsidRPr="00A77C37">
        <w:rPr>
          <w:szCs w:val="26"/>
        </w:rPr>
        <w:t xml:space="preserve">t define its operative words, ‘courts should give to the words . . . their ordinary, everyday meaning’ ”]; cf. </w:t>
      </w:r>
      <w:r w:rsidRPr="00A77C37">
        <w:rPr>
          <w:i/>
          <w:iCs/>
          <w:szCs w:val="26"/>
        </w:rPr>
        <w:t xml:space="preserve">People ex rel. Lungren v. Superior Court </w:t>
      </w:r>
      <w:r w:rsidRPr="00A77C37">
        <w:rPr>
          <w:szCs w:val="26"/>
        </w:rPr>
        <w:t xml:space="preserve">(1996) 14 Cal.4th 294, 302 </w:t>
      </w:r>
      <w:r>
        <w:rPr>
          <w:szCs w:val="26"/>
        </w:rPr>
        <w:t>(</w:t>
      </w:r>
      <w:r w:rsidRPr="000C316F">
        <w:rPr>
          <w:i/>
          <w:iCs/>
          <w:szCs w:val="26"/>
        </w:rPr>
        <w:t>Lungren</w:t>
      </w:r>
      <w:r>
        <w:rPr>
          <w:szCs w:val="26"/>
        </w:rPr>
        <w:t xml:space="preserve">) </w:t>
      </w:r>
      <w:r w:rsidRPr="00A77C37">
        <w:rPr>
          <w:szCs w:val="26"/>
        </w:rPr>
        <w:t>[noting of text in an initiative statute</w:t>
      </w:r>
      <w:r w:rsidR="00FB7116">
        <w:rPr>
          <w:szCs w:val="26"/>
        </w:rPr>
        <w:t xml:space="preserve"> that</w:t>
      </w:r>
      <w:r w:rsidRPr="00A77C37">
        <w:rPr>
          <w:szCs w:val="26"/>
        </w:rPr>
        <w:t xml:space="preserve"> “because the term is </w:t>
      </w:r>
      <w:r w:rsidRPr="00A77C37">
        <w:rPr>
          <w:szCs w:val="26"/>
        </w:rPr>
        <w:t>not further defined, it can be assumed to refer not to any special term of art, but rather to a meaning that would be commonly understood by the electorate”].)</w:t>
      </w:r>
      <w:r>
        <w:rPr>
          <w:rStyle w:val="FootnoteReference"/>
          <w:szCs w:val="26"/>
        </w:rPr>
        <w:footnoteReference w:id="9"/>
      </w:r>
      <w:r w:rsidRPr="00A77C37">
        <w:rPr>
          <w:szCs w:val="26"/>
        </w:rPr>
        <w:t xml:space="preserve">  </w:t>
      </w:r>
    </w:p>
    <w:p w14:paraId="72EDC434" w14:textId="77777777" w:rsidR="00021057" w:rsidRDefault="00B46361" w:rsidP="00021057">
      <w:pPr>
        <w:ind w:firstLine="720"/>
        <w:rPr>
          <w:szCs w:val="26"/>
        </w:rPr>
      </w:pPr>
      <w:r w:rsidRPr="00A77C37">
        <w:rPr>
          <w:szCs w:val="26"/>
        </w:rPr>
        <w:t xml:space="preserve">In this respect, dictionaries can provide a helpful resource for ascertaining the </w:t>
      </w:r>
      <w:r>
        <w:rPr>
          <w:szCs w:val="26"/>
        </w:rPr>
        <w:t>common</w:t>
      </w:r>
      <w:r w:rsidRPr="00A77C37">
        <w:rPr>
          <w:szCs w:val="26"/>
        </w:rPr>
        <w:t xml:space="preserve"> mea</w:t>
      </w:r>
      <w:r w:rsidRPr="00A77C37">
        <w:rPr>
          <w:szCs w:val="26"/>
        </w:rPr>
        <w:t>nings attached to a word or phrase.  (</w:t>
      </w:r>
      <w:r>
        <w:rPr>
          <w:szCs w:val="26"/>
        </w:rPr>
        <w:t xml:space="preserve">See </w:t>
      </w:r>
      <w:r w:rsidRPr="00A77C37">
        <w:rPr>
          <w:i/>
          <w:iCs/>
          <w:szCs w:val="26"/>
        </w:rPr>
        <w:t>People v. Leal</w:t>
      </w:r>
      <w:r w:rsidRPr="00A77C37">
        <w:rPr>
          <w:szCs w:val="26"/>
        </w:rPr>
        <w:t xml:space="preserve"> (2004) 33 Cal.4th 999, 1009.)  The definitions of “substance abuse” appearing within dictionaries vary </w:t>
      </w:r>
      <w:r>
        <w:rPr>
          <w:szCs w:val="26"/>
        </w:rPr>
        <w:t xml:space="preserve">to some degree </w:t>
      </w:r>
      <w:r w:rsidRPr="00A77C37">
        <w:rPr>
          <w:szCs w:val="26"/>
        </w:rPr>
        <w:t>in their specificity and particulars.  (</w:t>
      </w:r>
      <w:r>
        <w:rPr>
          <w:szCs w:val="26"/>
        </w:rPr>
        <w:t>See, e</w:t>
      </w:r>
      <w:r w:rsidRPr="00A77C37">
        <w:rPr>
          <w:szCs w:val="26"/>
        </w:rPr>
        <w:t>.g., Merriam-Webster’s Collegiate D</w:t>
      </w:r>
      <w:r w:rsidRPr="00A77C37">
        <w:rPr>
          <w:szCs w:val="26"/>
        </w:rPr>
        <w:t xml:space="preserve">ict. (10th ed. 2000) p. 1170, col. 2 [defining “substance abuse” as “excessive use of a drug (as alcohol, narcotics, or cocaine): </w:t>
      </w:r>
      <w:r>
        <w:rPr>
          <w:szCs w:val="26"/>
        </w:rPr>
        <w:t xml:space="preserve"> </w:t>
      </w:r>
      <w:r w:rsidRPr="00A77C37">
        <w:rPr>
          <w:szCs w:val="26"/>
        </w:rPr>
        <w:t>use of a drug without medical justification”]; American Heritage Dict.</w:t>
      </w:r>
      <w:r w:rsidR="002D4251">
        <w:rPr>
          <w:szCs w:val="26"/>
        </w:rPr>
        <w:t xml:space="preserve"> of the English Language</w:t>
      </w:r>
      <w:r w:rsidRPr="00A77C37">
        <w:rPr>
          <w:szCs w:val="26"/>
        </w:rPr>
        <w:t xml:space="preserve"> (3d ed. 1996) p. 1791, col. 2 </w:t>
      </w:r>
      <w:r w:rsidRPr="00A77C37">
        <w:rPr>
          <w:szCs w:val="26"/>
        </w:rPr>
        <w:t xml:space="preserve">[defining “substance abuse” as “Excessive use of addictive substances, especially alcohol and narcotic drugs”]; </w:t>
      </w:r>
      <w:r w:rsidR="002D4251">
        <w:rPr>
          <w:szCs w:val="26"/>
        </w:rPr>
        <w:t xml:space="preserve">The </w:t>
      </w:r>
      <w:r w:rsidRPr="00A77C37">
        <w:t>Random House Dict. of the English Language (2d ed. 1987) p. 1897, col. 1 [</w:t>
      </w:r>
      <w:r w:rsidRPr="00A77C37">
        <w:rPr>
          <w:szCs w:val="26"/>
        </w:rPr>
        <w:t xml:space="preserve">defining “substance abuse” as </w:t>
      </w:r>
      <w:r w:rsidRPr="00A77C37">
        <w:t>“long-term, pathological use of alco</w:t>
      </w:r>
      <w:r w:rsidRPr="00A77C37">
        <w:t>hol or drugs, characterized by daily intoxication, inability to reduce consumption, and impairment in social or occupational functioning; broadly, alcohol or drug addiction”].</w:t>
      </w:r>
      <w:r w:rsidRPr="00A77C37">
        <w:rPr>
          <w:szCs w:val="26"/>
        </w:rPr>
        <w:t xml:space="preserve">)  </w:t>
      </w:r>
      <w:r>
        <w:rPr>
          <w:szCs w:val="26"/>
        </w:rPr>
        <w:t>These definitions are alike, however, in that they all</w:t>
      </w:r>
      <w:r w:rsidRPr="00A77C37">
        <w:rPr>
          <w:szCs w:val="26"/>
        </w:rPr>
        <w:t xml:space="preserve"> associate substance abu</w:t>
      </w:r>
      <w:r w:rsidRPr="00A77C37">
        <w:rPr>
          <w:szCs w:val="26"/>
        </w:rPr>
        <w:t>se with the excessive use of drugs or alcohol</w:t>
      </w:r>
      <w:r>
        <w:rPr>
          <w:szCs w:val="26"/>
        </w:rPr>
        <w:t>.  We</w:t>
      </w:r>
      <w:r w:rsidRPr="00A77C37">
        <w:rPr>
          <w:szCs w:val="26"/>
        </w:rPr>
        <w:t xml:space="preserve"> conclude that “substance abuse,” as it appears in section 300(b)(1)(D), is most plausibly understood as bearing this ordinary meaning.  (See </w:t>
      </w:r>
      <w:r w:rsidRPr="00A77C37">
        <w:rPr>
          <w:i/>
          <w:iCs/>
          <w:szCs w:val="26"/>
        </w:rPr>
        <w:t xml:space="preserve">Bernard v. Foley </w:t>
      </w:r>
      <w:r w:rsidRPr="00A77C37">
        <w:rPr>
          <w:szCs w:val="26"/>
        </w:rPr>
        <w:t>(2006) 39 Cal.4th 794, 808 [perceiving no indic</w:t>
      </w:r>
      <w:r w:rsidRPr="00A77C37">
        <w:rPr>
          <w:szCs w:val="26"/>
        </w:rPr>
        <w:t xml:space="preserve">ation within a statute “that would justify our presuming the Legislature intended a specialized or narrow usage rather than a general one”].)  </w:t>
      </w:r>
    </w:p>
    <w:p w14:paraId="72EDC435" w14:textId="77777777" w:rsidR="00021057" w:rsidRPr="00A77C37" w:rsidRDefault="00B46361" w:rsidP="00021057">
      <w:pPr>
        <w:ind w:firstLine="720"/>
        <w:rPr>
          <w:szCs w:val="26"/>
        </w:rPr>
      </w:pPr>
      <w:r>
        <w:rPr>
          <w:szCs w:val="26"/>
        </w:rPr>
        <w:t>While this commonplace understanding of substance abuse may seem broad and potentially capable of inconsistent a</w:t>
      </w:r>
      <w:r>
        <w:rPr>
          <w:szCs w:val="26"/>
        </w:rPr>
        <w:t>pplication if read in isolation,</w:t>
      </w:r>
      <w:r w:rsidRPr="00A77C37">
        <w:rPr>
          <w:szCs w:val="26"/>
        </w:rPr>
        <w:t xml:space="preserve"> nearby language within the statute clarifies the kind of excessive drug or alcohol use that section 300(b)(1)(D) is concerned with and</w:t>
      </w:r>
      <w:r>
        <w:rPr>
          <w:szCs w:val="26"/>
        </w:rPr>
        <w:t xml:space="preserve"> </w:t>
      </w:r>
      <w:r w:rsidRPr="00A77C37">
        <w:rPr>
          <w:szCs w:val="26"/>
        </w:rPr>
        <w:t xml:space="preserve">limits the circumstances in which </w:t>
      </w:r>
      <w:r>
        <w:rPr>
          <w:szCs w:val="26"/>
        </w:rPr>
        <w:t>substance</w:t>
      </w:r>
      <w:r w:rsidRPr="00A77C37">
        <w:rPr>
          <w:szCs w:val="26"/>
        </w:rPr>
        <w:t xml:space="preserve"> abuse will </w:t>
      </w:r>
      <w:r>
        <w:rPr>
          <w:szCs w:val="26"/>
        </w:rPr>
        <w:t>allow for</w:t>
      </w:r>
      <w:r w:rsidRPr="00A77C37">
        <w:rPr>
          <w:szCs w:val="26"/>
        </w:rPr>
        <w:t xml:space="preserve"> a jurisdictional findin</w:t>
      </w:r>
      <w:r w:rsidRPr="00A77C37">
        <w:rPr>
          <w:szCs w:val="26"/>
        </w:rPr>
        <w:t xml:space="preserve">g under this provision.  </w:t>
      </w:r>
      <w:r>
        <w:rPr>
          <w:szCs w:val="26"/>
        </w:rPr>
        <w:t>S</w:t>
      </w:r>
      <w:r w:rsidRPr="00A77C37">
        <w:rPr>
          <w:szCs w:val="26"/>
        </w:rPr>
        <w:t xml:space="preserve">ection 300(b)(1)(D) </w:t>
      </w:r>
      <w:r>
        <w:rPr>
          <w:szCs w:val="26"/>
        </w:rPr>
        <w:t>allows for dependency jurisdiction based on</w:t>
      </w:r>
      <w:r w:rsidRPr="00A77C37">
        <w:rPr>
          <w:szCs w:val="26"/>
        </w:rPr>
        <w:t xml:space="preserve"> substance abuse </w:t>
      </w:r>
      <w:r>
        <w:rPr>
          <w:szCs w:val="26"/>
        </w:rPr>
        <w:t>only when this abuse leads to</w:t>
      </w:r>
      <w:r w:rsidRPr="00A77C37">
        <w:rPr>
          <w:szCs w:val="26"/>
        </w:rPr>
        <w:t xml:space="preserve"> an “inability” on the part of a parent or guardian “</w:t>
      </w:r>
      <w:r w:rsidRPr="00A77C37">
        <w:rPr>
          <w:szCs w:val="26"/>
          <w:shd w:val="clear" w:color="auto" w:fill="FFFFFF"/>
        </w:rPr>
        <w:t>to provide regular care for [a] child</w:t>
      </w:r>
      <w:r>
        <w:rPr>
          <w:szCs w:val="26"/>
        </w:rPr>
        <w:t xml:space="preserve">” </w:t>
      </w:r>
      <w:r w:rsidRPr="00A77C37">
        <w:rPr>
          <w:szCs w:val="26"/>
        </w:rPr>
        <w:t>(§ 300(b)(1)</w:t>
      </w:r>
      <w:r>
        <w:rPr>
          <w:szCs w:val="26"/>
        </w:rPr>
        <w:t>(D)</w:t>
      </w:r>
      <w:r w:rsidRPr="00A77C37">
        <w:rPr>
          <w:szCs w:val="26"/>
        </w:rPr>
        <w:t>)</w:t>
      </w:r>
      <w:r>
        <w:rPr>
          <w:szCs w:val="26"/>
        </w:rPr>
        <w:t xml:space="preserve"> that causes the </w:t>
      </w:r>
      <w:r w:rsidRPr="00A77C37">
        <w:rPr>
          <w:szCs w:val="26"/>
        </w:rPr>
        <w:t xml:space="preserve">child </w:t>
      </w:r>
      <w:r>
        <w:rPr>
          <w:szCs w:val="26"/>
        </w:rPr>
        <w:t>to</w:t>
      </w:r>
      <w:r w:rsidRPr="00A77C37">
        <w:rPr>
          <w:szCs w:val="26"/>
        </w:rPr>
        <w:t xml:space="preserve"> suffer, or </w:t>
      </w:r>
      <w:r>
        <w:rPr>
          <w:szCs w:val="26"/>
        </w:rPr>
        <w:t>creates</w:t>
      </w:r>
      <w:r w:rsidRPr="00A77C37">
        <w:rPr>
          <w:szCs w:val="26"/>
        </w:rPr>
        <w:t xml:space="preserve"> </w:t>
      </w:r>
      <w:r>
        <w:rPr>
          <w:szCs w:val="26"/>
        </w:rPr>
        <w:t>“</w:t>
      </w:r>
      <w:r w:rsidRPr="00A77C37">
        <w:rPr>
          <w:szCs w:val="26"/>
        </w:rPr>
        <w:t>a substantial risk that the child will suffer, serious physical harm or illness</w:t>
      </w:r>
      <w:r>
        <w:rPr>
          <w:szCs w:val="26"/>
        </w:rPr>
        <w:t xml:space="preserve">” </w:t>
      </w:r>
      <w:r w:rsidRPr="00A77C37">
        <w:rPr>
          <w:szCs w:val="26"/>
        </w:rPr>
        <w:t>(</w:t>
      </w:r>
      <w:r>
        <w:rPr>
          <w:i/>
          <w:iCs/>
          <w:szCs w:val="26"/>
        </w:rPr>
        <w:t>i</w:t>
      </w:r>
      <w:r w:rsidRPr="00313CA1">
        <w:rPr>
          <w:i/>
          <w:iCs/>
          <w:szCs w:val="26"/>
        </w:rPr>
        <w:t>d</w:t>
      </w:r>
      <w:r>
        <w:rPr>
          <w:szCs w:val="26"/>
        </w:rPr>
        <w:t xml:space="preserve">., subd. </w:t>
      </w:r>
      <w:r w:rsidRPr="00A77C37">
        <w:rPr>
          <w:szCs w:val="26"/>
        </w:rPr>
        <w:t>(b)(1))</w:t>
      </w:r>
      <w:r>
        <w:rPr>
          <w:szCs w:val="26"/>
        </w:rPr>
        <w:t>.</w:t>
      </w:r>
      <w:r w:rsidRPr="00A77C37">
        <w:rPr>
          <w:szCs w:val="26"/>
        </w:rPr>
        <w:t xml:space="preserve">  </w:t>
      </w:r>
      <w:r>
        <w:rPr>
          <w:szCs w:val="26"/>
        </w:rPr>
        <w:t>E</w:t>
      </w:r>
      <w:r w:rsidRPr="00A77C37">
        <w:rPr>
          <w:szCs w:val="26"/>
        </w:rPr>
        <w:t>ven if a parent’s or guardian’s excessive use of drugs or alcohol has other negative manifestations, it do</w:t>
      </w:r>
      <w:r w:rsidRPr="00A77C37">
        <w:rPr>
          <w:szCs w:val="26"/>
        </w:rPr>
        <w:t xml:space="preserve">es not provide a basis for jurisdiction under section 300(b)(1)(D) unless it </w:t>
      </w:r>
      <w:r>
        <w:rPr>
          <w:szCs w:val="26"/>
        </w:rPr>
        <w:t xml:space="preserve">also has these effects.  </w:t>
      </w:r>
      <w:r w:rsidRPr="00A77C37">
        <w:rPr>
          <w:szCs w:val="26"/>
          <w:shd w:val="clear" w:color="auto" w:fill="FFFFFF"/>
        </w:rPr>
        <w:t>(</w:t>
      </w:r>
      <w:r w:rsidRPr="00FC2400">
        <w:rPr>
          <w:i/>
          <w:iCs/>
          <w:szCs w:val="26"/>
          <w:shd w:val="clear" w:color="auto" w:fill="FFFFFF"/>
        </w:rPr>
        <w:t>Ibid</w:t>
      </w:r>
      <w:r w:rsidRPr="00A77C37">
        <w:rPr>
          <w:szCs w:val="26"/>
          <w:shd w:val="clear" w:color="auto" w:fill="FFFFFF"/>
        </w:rPr>
        <w:t>.)</w:t>
      </w:r>
      <w:r>
        <w:rPr>
          <w:rStyle w:val="FootnoteReference"/>
          <w:szCs w:val="26"/>
          <w:shd w:val="clear" w:color="auto" w:fill="FFFFFF"/>
        </w:rPr>
        <w:footnoteReference w:id="10"/>
      </w:r>
      <w:r w:rsidRPr="00A77C37">
        <w:rPr>
          <w:szCs w:val="26"/>
        </w:rPr>
        <w:t xml:space="preserve">  </w:t>
      </w:r>
    </w:p>
    <w:p w14:paraId="72EDC436" w14:textId="77777777" w:rsidR="00021057" w:rsidRPr="00A77C37" w:rsidRDefault="00B46361" w:rsidP="00021057">
      <w:pPr>
        <w:pStyle w:val="Heading41"/>
        <w:spacing w:after="100" w:line="400" w:lineRule="exact"/>
        <w:ind w:left="1800"/>
        <w:rPr>
          <w:rFonts w:ascii="Century Schoolbook" w:hAnsi="Century Schoolbook"/>
          <w:sz w:val="27"/>
        </w:rPr>
      </w:pPr>
      <w:r>
        <w:rPr>
          <w:rFonts w:ascii="Century Schoolbook" w:hAnsi="Century Schoolbook"/>
          <w:sz w:val="27"/>
        </w:rPr>
        <w:t>T</w:t>
      </w:r>
      <w:r w:rsidRPr="00A77C37">
        <w:rPr>
          <w:rFonts w:ascii="Century Schoolbook" w:hAnsi="Century Schoolbook"/>
          <w:sz w:val="27"/>
        </w:rPr>
        <w:t xml:space="preserve">he statutory scheme </w:t>
      </w:r>
      <w:r>
        <w:rPr>
          <w:rFonts w:ascii="Century Schoolbook" w:hAnsi="Century Schoolbook"/>
          <w:sz w:val="27"/>
        </w:rPr>
        <w:t xml:space="preserve">does not support defendant’s argument </w:t>
      </w:r>
      <w:r w:rsidRPr="00A77C37">
        <w:rPr>
          <w:rFonts w:ascii="Century Schoolbook" w:hAnsi="Century Schoolbook"/>
          <w:sz w:val="27"/>
        </w:rPr>
        <w:t xml:space="preserve">that the </w:t>
      </w:r>
      <w:r w:rsidR="00DE5598">
        <w:rPr>
          <w:rFonts w:ascii="Century Schoolbook" w:hAnsi="Century Schoolbook"/>
          <w:sz w:val="27"/>
        </w:rPr>
        <w:t>L</w:t>
      </w:r>
      <w:r w:rsidRPr="00A77C37">
        <w:rPr>
          <w:rFonts w:ascii="Century Schoolbook" w:hAnsi="Century Schoolbook"/>
          <w:sz w:val="27"/>
        </w:rPr>
        <w:t>egislature assigned substance abuse a technical meaning linked to the DSM</w:t>
      </w:r>
    </w:p>
    <w:p w14:paraId="72EDC437" w14:textId="77777777" w:rsidR="00021057" w:rsidRDefault="00B46361" w:rsidP="00021057">
      <w:pPr>
        <w:tabs>
          <w:tab w:val="left" w:pos="7410"/>
        </w:tabs>
        <w:ind w:firstLine="720"/>
        <w:rPr>
          <w:szCs w:val="26"/>
          <w:shd w:val="clear" w:color="auto" w:fill="FFFFFF"/>
        </w:rPr>
      </w:pPr>
      <w:r w:rsidRPr="00A77C37">
        <w:rPr>
          <w:szCs w:val="26"/>
          <w:shd w:val="clear" w:color="auto" w:fill="FFFFFF"/>
        </w:rPr>
        <w:t xml:space="preserve">Father reads the statutory text differently, but his interpretation is unpersuasive.  </w:t>
      </w:r>
    </w:p>
    <w:p w14:paraId="72EDC438" w14:textId="77777777" w:rsidR="00021057" w:rsidRDefault="00B46361" w:rsidP="00021057">
      <w:pPr>
        <w:tabs>
          <w:tab w:val="left" w:pos="7410"/>
        </w:tabs>
        <w:ind w:firstLine="720"/>
        <w:rPr>
          <w:szCs w:val="26"/>
          <w:shd w:val="clear" w:color="auto" w:fill="FFFFFF"/>
        </w:rPr>
      </w:pPr>
      <w:r>
        <w:rPr>
          <w:szCs w:val="26"/>
          <w:shd w:val="clear" w:color="auto" w:fill="FFFFFF"/>
        </w:rPr>
        <w:t>Father</w:t>
      </w:r>
      <w:r w:rsidRPr="00A77C37">
        <w:rPr>
          <w:szCs w:val="26"/>
          <w:shd w:val="clear" w:color="auto" w:fill="FFFFFF"/>
        </w:rPr>
        <w:t xml:space="preserve"> asserts that “substance abuse,” as used in section 300(b)(1)(D), “is best understood by consulting the dictionary of brain disorders: </w:t>
      </w:r>
      <w:r>
        <w:rPr>
          <w:szCs w:val="26"/>
          <w:shd w:val="clear" w:color="auto" w:fill="FFFFFF"/>
        </w:rPr>
        <w:t xml:space="preserve"> </w:t>
      </w:r>
      <w:r w:rsidRPr="00A77C37">
        <w:rPr>
          <w:szCs w:val="26"/>
          <w:shd w:val="clear" w:color="auto" w:fill="FFFFFF"/>
        </w:rPr>
        <w:t xml:space="preserve">the DSM.”  </w:t>
      </w:r>
      <w:r>
        <w:rPr>
          <w:szCs w:val="26"/>
          <w:shd w:val="clear" w:color="auto" w:fill="FFFFFF"/>
        </w:rPr>
        <w:t>In essence</w:t>
      </w:r>
      <w:r w:rsidRPr="00A77C37">
        <w:rPr>
          <w:szCs w:val="26"/>
          <w:shd w:val="clear" w:color="auto" w:fill="FFFFFF"/>
        </w:rPr>
        <w:t xml:space="preserve">, he </w:t>
      </w:r>
      <w:r w:rsidRPr="00A77C37">
        <w:rPr>
          <w:szCs w:val="26"/>
          <w:shd w:val="clear" w:color="auto" w:fill="FFFFFF"/>
        </w:rPr>
        <w:t xml:space="preserve">contends that section 300(b)(1)(D) uses “substance abuse” in a technical sense that makes it appropriate to consult the DSM as an authoritative text in its field.  (See </w:t>
      </w:r>
      <w:r w:rsidRPr="00A77C37">
        <w:rPr>
          <w:i/>
          <w:iCs/>
          <w:szCs w:val="26"/>
          <w:shd w:val="clear" w:color="auto" w:fill="FFFFFF"/>
        </w:rPr>
        <w:t>In re Smith</w:t>
      </w:r>
      <w:r w:rsidRPr="00A77C37">
        <w:rPr>
          <w:szCs w:val="26"/>
          <w:shd w:val="clear" w:color="auto" w:fill="FFFFFF"/>
        </w:rPr>
        <w:t xml:space="preserve"> (1928) 88 Cal.App. 464, 467–468 [“Technical words when relating to a trade, when used in a statute or ordinance, dealing with the subject matter of such trade, are to be taken in their technical sense and will be so construed unless the context or other c</w:t>
      </w:r>
      <w:r w:rsidRPr="00A77C37">
        <w:rPr>
          <w:szCs w:val="26"/>
          <w:shd w:val="clear" w:color="auto" w:fill="FFFFFF"/>
        </w:rPr>
        <w:t xml:space="preserve">onsiderations show a contrary intent”]; </w:t>
      </w:r>
      <w:r w:rsidRPr="00A77C37">
        <w:rPr>
          <w:i/>
          <w:iCs/>
          <w:szCs w:val="26"/>
        </w:rPr>
        <w:t xml:space="preserve">Mueller v. </w:t>
      </w:r>
      <w:r>
        <w:rPr>
          <w:i/>
          <w:iCs/>
          <w:szCs w:val="26"/>
        </w:rPr>
        <w:t>Psychiatric Security Review Bd.</w:t>
      </w:r>
      <w:r w:rsidRPr="00A77C37">
        <w:rPr>
          <w:szCs w:val="26"/>
        </w:rPr>
        <w:t xml:space="preserve"> (Or. 1997) 937 P.2d 1028, 1032 [“</w:t>
      </w:r>
      <w:r w:rsidRPr="00A77C37">
        <w:rPr>
          <w:szCs w:val="26"/>
          <w:shd w:val="clear" w:color="auto" w:fill="FFFFFF"/>
        </w:rPr>
        <w:t>Because the phrase ‘personality disorder’ [under Oregon statutory law] is a term of art as to which the DSM-III was the definitive source, t</w:t>
      </w:r>
      <w:r w:rsidRPr="00A77C37">
        <w:rPr>
          <w:szCs w:val="26"/>
          <w:shd w:val="clear" w:color="auto" w:fill="FFFFFF"/>
        </w:rPr>
        <w:t xml:space="preserve">his court has referred to the DSM for guidance in cases involving individuals with mental diseases or defects”].)  </w:t>
      </w:r>
    </w:p>
    <w:p w14:paraId="72EDC439" w14:textId="77777777" w:rsidR="00021057" w:rsidRPr="00A77C37" w:rsidRDefault="00B46361" w:rsidP="00021057">
      <w:pPr>
        <w:ind w:firstLine="720"/>
        <w:rPr>
          <w:szCs w:val="26"/>
        </w:rPr>
      </w:pPr>
      <w:r>
        <w:rPr>
          <w:szCs w:val="26"/>
          <w:shd w:val="clear" w:color="auto" w:fill="FFFFFF"/>
        </w:rPr>
        <w:t xml:space="preserve">Some background information regarding the DSM is helpful in evaluating Father’s argument. </w:t>
      </w:r>
      <w:r>
        <w:rPr>
          <w:szCs w:val="26"/>
        </w:rPr>
        <w:t xml:space="preserve"> The DSM, now in its </w:t>
      </w:r>
      <w:r w:rsidRPr="00A77C37">
        <w:rPr>
          <w:szCs w:val="26"/>
        </w:rPr>
        <w:t>fifth revised edition (DSM-5-TR)</w:t>
      </w:r>
      <w:r>
        <w:rPr>
          <w:szCs w:val="26"/>
        </w:rPr>
        <w:t>,</w:t>
      </w:r>
      <w:r>
        <w:rPr>
          <w:rStyle w:val="FootnoteReference"/>
          <w:szCs w:val="26"/>
        </w:rPr>
        <w:footnoteReference w:id="11"/>
      </w:r>
      <w:r w:rsidRPr="00A77C37">
        <w:rPr>
          <w:b/>
          <w:bCs/>
          <w:szCs w:val="26"/>
        </w:rPr>
        <w:t xml:space="preserve"> </w:t>
      </w:r>
      <w:r w:rsidRPr="00A77C37">
        <w:rPr>
          <w:szCs w:val="26"/>
        </w:rPr>
        <w:t>“is a classification of mental disorders that was developed for use in clinical, educational, and research se</w:t>
      </w:r>
      <w:r w:rsidRPr="00A77C37">
        <w:rPr>
          <w:szCs w:val="26"/>
        </w:rPr>
        <w:t>ttings” (DSM-5-TR,</w:t>
      </w:r>
      <w:r>
        <w:rPr>
          <w:szCs w:val="26"/>
        </w:rPr>
        <w:t xml:space="preserve"> </w:t>
      </w:r>
      <w:r w:rsidRPr="0030438A">
        <w:rPr>
          <w:i/>
          <w:iCs/>
          <w:szCs w:val="26"/>
        </w:rPr>
        <w:t>supra</w:t>
      </w:r>
      <w:r>
        <w:rPr>
          <w:szCs w:val="26"/>
        </w:rPr>
        <w:t>,</w:t>
      </w:r>
      <w:r w:rsidRPr="00A77C37">
        <w:rPr>
          <w:szCs w:val="26"/>
        </w:rPr>
        <w:t xml:space="preserve"> at p. 23)</w:t>
      </w:r>
      <w:r>
        <w:rPr>
          <w:szCs w:val="26"/>
        </w:rPr>
        <w:t>.  The</w:t>
      </w:r>
      <w:r w:rsidRPr="00A77C37">
        <w:rPr>
          <w:szCs w:val="26"/>
        </w:rPr>
        <w:t xml:space="preserve"> </w:t>
      </w:r>
      <w:r w:rsidR="00460E8B">
        <w:rPr>
          <w:szCs w:val="26"/>
        </w:rPr>
        <w:t>“</w:t>
      </w:r>
      <w:r w:rsidRPr="00A77C37">
        <w:rPr>
          <w:szCs w:val="26"/>
        </w:rPr>
        <w:t>primary purpose</w:t>
      </w:r>
      <w:r w:rsidR="00460E8B">
        <w:rPr>
          <w:szCs w:val="26"/>
        </w:rPr>
        <w:t>”</w:t>
      </w:r>
      <w:r>
        <w:rPr>
          <w:szCs w:val="26"/>
        </w:rPr>
        <w:t xml:space="preserve"> of the DSM</w:t>
      </w:r>
      <w:r w:rsidRPr="00A77C37">
        <w:rPr>
          <w:szCs w:val="26"/>
        </w:rPr>
        <w:t xml:space="preserve"> “is to assist trained clinicians in the diagnosis of mental disorders as part of a case formulation assessment that leads to an informed treatment plan for each individual.”  (</w:t>
      </w:r>
      <w:r w:rsidRPr="00A77C37">
        <w:rPr>
          <w:i/>
          <w:iCs/>
          <w:szCs w:val="26"/>
        </w:rPr>
        <w:t>Id</w:t>
      </w:r>
      <w:r w:rsidRPr="00A77C37">
        <w:rPr>
          <w:szCs w:val="26"/>
        </w:rPr>
        <w:t>. at p.</w:t>
      </w:r>
      <w:r w:rsidRPr="00A77C37">
        <w:rPr>
          <w:szCs w:val="26"/>
        </w:rPr>
        <w:t xml:space="preserve"> 21.)  </w:t>
      </w:r>
    </w:p>
    <w:p w14:paraId="72EDC43A" w14:textId="77777777" w:rsidR="00021057" w:rsidRPr="00A77C37" w:rsidRDefault="00B46361" w:rsidP="00021057">
      <w:pPr>
        <w:ind w:firstLine="720"/>
        <w:rPr>
          <w:szCs w:val="26"/>
        </w:rPr>
      </w:pPr>
      <w:r>
        <w:rPr>
          <w:szCs w:val="26"/>
        </w:rPr>
        <w:t>T</w:t>
      </w:r>
      <w:r w:rsidRPr="00A77C37">
        <w:rPr>
          <w:szCs w:val="26"/>
        </w:rPr>
        <w:t>he DSM-5-TR and prior editions of the DSM</w:t>
      </w:r>
      <w:r>
        <w:rPr>
          <w:szCs w:val="26"/>
        </w:rPr>
        <w:t xml:space="preserve"> (including the DSM-III and the DSM-III-R, which were the most recent versions of the manual when the substance abuse language was added to § 300)</w:t>
      </w:r>
      <w:r w:rsidRPr="00A77C37">
        <w:rPr>
          <w:szCs w:val="26"/>
        </w:rPr>
        <w:t xml:space="preserve"> have identified an array of disorders involving substance u</w:t>
      </w:r>
      <w:r w:rsidRPr="00A77C37">
        <w:rPr>
          <w:szCs w:val="26"/>
        </w:rPr>
        <w:t>se and, beginning with the DSM-III, have included criteria for diagnosing these disorders.  The categorization and specific descriptions of these disorders have evolved over time.  The DSM-III-R distinguished between “Psychoactive Substance Dependence” (in</w:t>
      </w:r>
      <w:r w:rsidRPr="00A77C37">
        <w:rPr>
          <w:szCs w:val="26"/>
        </w:rPr>
        <w:t xml:space="preserve">volving the satisfaction of at least three of nine specified criteria) </w:t>
      </w:r>
      <w:r w:rsidR="00C96954" w:rsidRPr="00A77C37">
        <w:rPr>
          <w:szCs w:val="26"/>
        </w:rPr>
        <w:t xml:space="preserve">(DSM-III-R, </w:t>
      </w:r>
      <w:r w:rsidR="00C96954" w:rsidRPr="00A77C37">
        <w:rPr>
          <w:i/>
          <w:iCs/>
          <w:szCs w:val="26"/>
        </w:rPr>
        <w:t>supra</w:t>
      </w:r>
      <w:r w:rsidR="00C96954" w:rsidRPr="00A77C37">
        <w:rPr>
          <w:szCs w:val="26"/>
        </w:rPr>
        <w:t>, at p</w:t>
      </w:r>
      <w:r w:rsidR="00C96954">
        <w:rPr>
          <w:szCs w:val="26"/>
        </w:rPr>
        <w:t>. 166)</w:t>
      </w:r>
      <w:r w:rsidR="00C96954" w:rsidRPr="00A77C37">
        <w:rPr>
          <w:szCs w:val="26"/>
        </w:rPr>
        <w:t xml:space="preserve"> </w:t>
      </w:r>
      <w:r w:rsidRPr="00A77C37">
        <w:rPr>
          <w:szCs w:val="26"/>
        </w:rPr>
        <w:t>and a “residual” disorder, “Psychoactive Substance Abuse,” which would be diagnosed only if the criteria for substance dependence were not satisfied</w:t>
      </w:r>
      <w:r w:rsidR="00C96954">
        <w:rPr>
          <w:szCs w:val="26"/>
        </w:rPr>
        <w:t xml:space="preserve"> (</w:t>
      </w:r>
      <w:r w:rsidR="00C96954">
        <w:rPr>
          <w:i/>
          <w:iCs/>
          <w:szCs w:val="26"/>
        </w:rPr>
        <w:t>id</w:t>
      </w:r>
      <w:r w:rsidR="00C96954" w:rsidRPr="00B1769B">
        <w:rPr>
          <w:szCs w:val="26"/>
        </w:rPr>
        <w:t>.</w:t>
      </w:r>
      <w:r w:rsidR="00C96954">
        <w:rPr>
          <w:szCs w:val="26"/>
        </w:rPr>
        <w:t xml:space="preserve"> at p. 169)</w:t>
      </w:r>
      <w:r w:rsidRPr="00A77C37">
        <w:rPr>
          <w:szCs w:val="26"/>
        </w:rPr>
        <w:t>.  (</w:t>
      </w:r>
      <w:r w:rsidR="00C96954">
        <w:rPr>
          <w:szCs w:val="26"/>
        </w:rPr>
        <w:t xml:space="preserve">See </w:t>
      </w:r>
      <w:r w:rsidR="002C6E3B">
        <w:rPr>
          <w:i/>
          <w:iCs/>
          <w:szCs w:val="26"/>
        </w:rPr>
        <w:t>id.</w:t>
      </w:r>
      <w:r w:rsidR="002C6E3B">
        <w:rPr>
          <w:szCs w:val="26"/>
        </w:rPr>
        <w:t xml:space="preserve"> </w:t>
      </w:r>
      <w:r w:rsidRPr="00A77C37">
        <w:rPr>
          <w:szCs w:val="26"/>
        </w:rPr>
        <w:t xml:space="preserve">at pp. 165–169; see also DSM-III, </w:t>
      </w:r>
      <w:r w:rsidRPr="00A77C37">
        <w:rPr>
          <w:i/>
          <w:iCs/>
          <w:szCs w:val="26"/>
        </w:rPr>
        <w:t>supra</w:t>
      </w:r>
      <w:r w:rsidRPr="00A77C37">
        <w:rPr>
          <w:szCs w:val="26"/>
        </w:rPr>
        <w:t>, at pp. 164–165 [distinguishing between “substance abuse” and “substance dependence,” with the latter being “generally</w:t>
      </w:r>
      <w:r>
        <w:rPr>
          <w:szCs w:val="26"/>
        </w:rPr>
        <w:t> . . .</w:t>
      </w:r>
      <w:r w:rsidRPr="00A77C37">
        <w:rPr>
          <w:szCs w:val="26"/>
        </w:rPr>
        <w:t xml:space="preserve"> a more severe form of Substance Use Disorder”].)  Within the DSM-5-TR, the previously recognized categories of substance abuse and substance dependence have been replaced “with an overarching new category of substance use disorders — with the specific sub</w:t>
      </w:r>
      <w:r w:rsidRPr="00A77C37">
        <w:rPr>
          <w:szCs w:val="26"/>
        </w:rPr>
        <w:t xml:space="preserve">stance used defining the specific disorders.”  (DSM-5-TR, </w:t>
      </w:r>
      <w:r w:rsidRPr="00A77C37">
        <w:rPr>
          <w:i/>
          <w:iCs/>
          <w:szCs w:val="26"/>
        </w:rPr>
        <w:t>supra</w:t>
      </w:r>
      <w:r w:rsidRPr="00A77C37">
        <w:rPr>
          <w:szCs w:val="26"/>
        </w:rPr>
        <w:t>, at p. xxiv.)</w:t>
      </w:r>
      <w:r>
        <w:rPr>
          <w:rStyle w:val="FootnoteReference"/>
          <w:szCs w:val="26"/>
        </w:rPr>
        <w:footnoteReference w:id="12"/>
      </w:r>
      <w:r w:rsidRPr="00A77C37">
        <w:rPr>
          <w:szCs w:val="26"/>
        </w:rPr>
        <w:t xml:space="preserve">  </w:t>
      </w:r>
    </w:p>
    <w:p w14:paraId="72EDC43B" w14:textId="77777777" w:rsidR="00021057" w:rsidRPr="00AC38F4" w:rsidRDefault="00B46361" w:rsidP="00021057">
      <w:pPr>
        <w:ind w:firstLine="720"/>
        <w:rPr>
          <w:szCs w:val="26"/>
        </w:rPr>
      </w:pPr>
      <w:r w:rsidRPr="00A77C37">
        <w:rPr>
          <w:szCs w:val="26"/>
        </w:rPr>
        <w:t xml:space="preserve">According to the DSM-5-TR, </w:t>
      </w:r>
      <w:r>
        <w:rPr>
          <w:szCs w:val="26"/>
        </w:rPr>
        <w:t xml:space="preserve">which Father identifies as supplying the operative criteria at this time for ascertaining substance abuse under section 300(b)(1)(D), </w:t>
      </w:r>
      <w:r w:rsidRPr="00A77C37">
        <w:rPr>
          <w:szCs w:val="26"/>
        </w:rPr>
        <w:t>“The essentia</w:t>
      </w:r>
      <w:r w:rsidRPr="00A77C37">
        <w:rPr>
          <w:szCs w:val="26"/>
        </w:rPr>
        <w:t xml:space="preserve">l feature of a substance use disorder is a cluster of cognitive, behavioral, and physiological symptoms indicating that the individual continues using the substance despite significant substance-related problems.”  (DSM-5-TR, </w:t>
      </w:r>
      <w:r w:rsidRPr="00A77C37">
        <w:rPr>
          <w:i/>
          <w:iCs/>
          <w:szCs w:val="26"/>
        </w:rPr>
        <w:t>supra</w:t>
      </w:r>
      <w:r w:rsidRPr="00A77C37">
        <w:rPr>
          <w:szCs w:val="26"/>
        </w:rPr>
        <w:t xml:space="preserve">, at p. 544.)  </w:t>
      </w:r>
      <w:r>
        <w:rPr>
          <w:szCs w:val="26"/>
        </w:rPr>
        <w:t>Within</w:t>
      </w:r>
      <w:r w:rsidRPr="00A77C37">
        <w:rPr>
          <w:szCs w:val="26"/>
        </w:rPr>
        <w:t xml:space="preserve"> the</w:t>
      </w:r>
      <w:r w:rsidRPr="00A77C37">
        <w:rPr>
          <w:szCs w:val="26"/>
        </w:rPr>
        <w:t xml:space="preserve"> </w:t>
      </w:r>
      <w:r>
        <w:rPr>
          <w:szCs w:val="26"/>
        </w:rPr>
        <w:t xml:space="preserve">array of </w:t>
      </w:r>
      <w:r w:rsidRPr="00A77C37">
        <w:rPr>
          <w:szCs w:val="26"/>
        </w:rPr>
        <w:t>substance use disorders described by the DSM-5-TR, stimulant use disorders are characterized as “[a] pattern of amphetamine-type substance, cocaine, or other stimulant use leading to clinically significant impairment or distress, as manifested by</w:t>
      </w:r>
      <w:r w:rsidRPr="00A77C37">
        <w:rPr>
          <w:szCs w:val="26"/>
        </w:rPr>
        <w:t xml:space="preserve"> at least two” of 11 identified criteria over a 12-month period.  (</w:t>
      </w:r>
      <w:r w:rsidRPr="00A77C37">
        <w:rPr>
          <w:i/>
          <w:iCs/>
          <w:szCs w:val="26"/>
        </w:rPr>
        <w:t>Id</w:t>
      </w:r>
      <w:r w:rsidRPr="00A77C37">
        <w:rPr>
          <w:szCs w:val="26"/>
        </w:rPr>
        <w:t>. at p. 632.)</w:t>
      </w:r>
      <w:r>
        <w:rPr>
          <w:rStyle w:val="FootnoteReference"/>
          <w:szCs w:val="26"/>
        </w:rPr>
        <w:footnoteReference w:id="13"/>
      </w:r>
      <w:r w:rsidRPr="00A77C37">
        <w:rPr>
          <w:szCs w:val="26"/>
        </w:rPr>
        <w:t xml:space="preserve">  </w:t>
      </w:r>
    </w:p>
    <w:p w14:paraId="72EDC43C" w14:textId="77777777" w:rsidR="00021057" w:rsidRDefault="00B46361" w:rsidP="00021057">
      <w:pPr>
        <w:ind w:firstLine="720"/>
        <w:rPr>
          <w:szCs w:val="26"/>
        </w:rPr>
      </w:pPr>
      <w:r>
        <w:rPr>
          <w:szCs w:val="26"/>
          <w:shd w:val="clear" w:color="auto" w:fill="FFFFFF"/>
        </w:rPr>
        <w:t>Upon review of both the statutory text and the DSM, it does not appear</w:t>
      </w:r>
      <w:r w:rsidRPr="00A77C37">
        <w:rPr>
          <w:szCs w:val="26"/>
          <w:shd w:val="clear" w:color="auto" w:fill="FFFFFF"/>
        </w:rPr>
        <w:t xml:space="preserve"> that the Legislature intended for the term “substance abuse</w:t>
      </w:r>
      <w:r>
        <w:rPr>
          <w:szCs w:val="26"/>
          <w:shd w:val="clear" w:color="auto" w:fill="FFFFFF"/>
        </w:rPr>
        <w:t>,</w:t>
      </w:r>
      <w:r w:rsidRPr="00A77C37">
        <w:rPr>
          <w:szCs w:val="26"/>
          <w:shd w:val="clear" w:color="auto" w:fill="FFFFFF"/>
        </w:rPr>
        <w:t xml:space="preserve">” </w:t>
      </w:r>
      <w:r>
        <w:rPr>
          <w:szCs w:val="26"/>
          <w:shd w:val="clear" w:color="auto" w:fill="FFFFFF"/>
        </w:rPr>
        <w:t xml:space="preserve">as used in section 300(b)(1)(D), </w:t>
      </w:r>
      <w:r w:rsidRPr="00A77C37">
        <w:rPr>
          <w:szCs w:val="26"/>
          <w:shd w:val="clear" w:color="auto" w:fill="FFFFFF"/>
        </w:rPr>
        <w:t xml:space="preserve">to </w:t>
      </w:r>
      <w:r w:rsidRPr="00A77C37">
        <w:rPr>
          <w:szCs w:val="26"/>
          <w:shd w:val="clear" w:color="auto" w:fill="FFFFFF"/>
        </w:rPr>
        <w:t xml:space="preserve">bear the technical meaning that Father ascribes to it.  </w:t>
      </w:r>
      <w:r>
        <w:rPr>
          <w:szCs w:val="26"/>
        </w:rPr>
        <w:t>Neither section</w:t>
      </w:r>
      <w:r w:rsidRPr="00A77C37">
        <w:rPr>
          <w:szCs w:val="26"/>
        </w:rPr>
        <w:t> </w:t>
      </w:r>
      <w:r>
        <w:rPr>
          <w:szCs w:val="26"/>
        </w:rPr>
        <w:t>300 nor any other provision within the statutory scheme mentions the DSM.  The absence of any such references counsels against Father’s position.  It</w:t>
      </w:r>
      <w:r w:rsidRPr="00A77C37">
        <w:rPr>
          <w:szCs w:val="26"/>
        </w:rPr>
        <w:t xml:space="preserve"> would be unusual</w:t>
      </w:r>
      <w:r>
        <w:rPr>
          <w:szCs w:val="26"/>
        </w:rPr>
        <w:t xml:space="preserve"> </w:t>
      </w:r>
      <w:r w:rsidRPr="00A77C37">
        <w:rPr>
          <w:szCs w:val="26"/>
        </w:rPr>
        <w:t>for the Legislatu</w:t>
      </w:r>
      <w:r w:rsidRPr="00A77C37">
        <w:rPr>
          <w:szCs w:val="26"/>
        </w:rPr>
        <w:t xml:space="preserve">re to have delegated to a specific body such as the American Psychiatric Association the authority to define </w:t>
      </w:r>
      <w:r>
        <w:rPr>
          <w:szCs w:val="26"/>
        </w:rPr>
        <w:t xml:space="preserve">such </w:t>
      </w:r>
      <w:r w:rsidRPr="00A77C37">
        <w:rPr>
          <w:szCs w:val="26"/>
        </w:rPr>
        <w:t xml:space="preserve">a </w:t>
      </w:r>
      <w:r>
        <w:rPr>
          <w:szCs w:val="26"/>
        </w:rPr>
        <w:t xml:space="preserve">consequential </w:t>
      </w:r>
      <w:r w:rsidRPr="00A77C37">
        <w:rPr>
          <w:szCs w:val="26"/>
        </w:rPr>
        <w:t>term appearing in a statute.</w:t>
      </w:r>
      <w:r>
        <w:rPr>
          <w:szCs w:val="26"/>
        </w:rPr>
        <w:t xml:space="preserve">  Had</w:t>
      </w:r>
      <w:r w:rsidRPr="00A77C37">
        <w:rPr>
          <w:szCs w:val="26"/>
        </w:rPr>
        <w:t xml:space="preserve"> the Legislature placed such reliance upon a text developed and maintained by a nongovernment</w:t>
      </w:r>
      <w:r w:rsidRPr="00A77C37">
        <w:rPr>
          <w:szCs w:val="26"/>
        </w:rPr>
        <w:t>al entity, which could</w:t>
      </w:r>
      <w:r>
        <w:rPr>
          <w:szCs w:val="26"/>
        </w:rPr>
        <w:t xml:space="preserve"> change its terminology or</w:t>
      </w:r>
      <w:r w:rsidRPr="00A77C37">
        <w:rPr>
          <w:szCs w:val="26"/>
        </w:rPr>
        <w:t xml:space="preserve"> redefine the relevant criteria</w:t>
      </w:r>
      <w:r>
        <w:rPr>
          <w:szCs w:val="26"/>
        </w:rPr>
        <w:t xml:space="preserve"> </w:t>
      </w:r>
      <w:r w:rsidRPr="00A77C37">
        <w:rPr>
          <w:szCs w:val="26"/>
        </w:rPr>
        <w:t>in a manner wholly outside of the Legislature’s control (</w:t>
      </w:r>
      <w:r>
        <w:rPr>
          <w:szCs w:val="26"/>
        </w:rPr>
        <w:t>s</w:t>
      </w:r>
      <w:r w:rsidRPr="00A77C37">
        <w:rPr>
          <w:szCs w:val="26"/>
        </w:rPr>
        <w:t xml:space="preserve">ee </w:t>
      </w:r>
      <w:r w:rsidRPr="00A77C37">
        <w:rPr>
          <w:i/>
          <w:iCs/>
          <w:szCs w:val="26"/>
        </w:rPr>
        <w:t>Conservatorship of Roulet</w:t>
      </w:r>
      <w:r w:rsidRPr="00A77C37">
        <w:rPr>
          <w:szCs w:val="26"/>
        </w:rPr>
        <w:t xml:space="preserve"> (1979) </w:t>
      </w:r>
      <w:r w:rsidRPr="00810E34">
        <w:rPr>
          <w:szCs w:val="26"/>
        </w:rPr>
        <w:t>23 Cal.3d 219, 234, fn. 14</w:t>
      </w:r>
      <w:r w:rsidRPr="00A77C37">
        <w:rPr>
          <w:szCs w:val="26"/>
        </w:rPr>
        <w:t xml:space="preserve"> [observing that “the American Psychiatric Association f</w:t>
      </w:r>
      <w:r w:rsidRPr="00A77C37">
        <w:rPr>
          <w:szCs w:val="26"/>
        </w:rPr>
        <w:t>requently alters its definitions of what constitutes a mental disorder”]</w:t>
      </w:r>
      <w:r>
        <w:rPr>
          <w:szCs w:val="26"/>
        </w:rPr>
        <w:t>)</w:t>
      </w:r>
      <w:r w:rsidRPr="00A77C37">
        <w:rPr>
          <w:szCs w:val="26"/>
        </w:rPr>
        <w:t xml:space="preserve">, one </w:t>
      </w:r>
      <w:r>
        <w:rPr>
          <w:szCs w:val="26"/>
        </w:rPr>
        <w:t>would</w:t>
      </w:r>
      <w:r w:rsidRPr="00A77C37">
        <w:rPr>
          <w:szCs w:val="26"/>
        </w:rPr>
        <w:t xml:space="preserve"> expect to see</w:t>
      </w:r>
      <w:r>
        <w:rPr>
          <w:szCs w:val="26"/>
        </w:rPr>
        <w:t xml:space="preserve"> some acknowledgement of that delegation on the face of the statute.</w:t>
      </w:r>
      <w:r w:rsidRPr="00A77C37">
        <w:rPr>
          <w:szCs w:val="26"/>
        </w:rPr>
        <w:t xml:space="preserve"> </w:t>
      </w:r>
      <w:r>
        <w:rPr>
          <w:szCs w:val="26"/>
        </w:rPr>
        <w:t xml:space="preserve"> </w:t>
      </w:r>
      <w:r w:rsidRPr="00A77C37">
        <w:rPr>
          <w:szCs w:val="26"/>
        </w:rPr>
        <w:t>(</w:t>
      </w:r>
      <w:r>
        <w:rPr>
          <w:szCs w:val="26"/>
        </w:rPr>
        <w:t>See, e.g.,</w:t>
      </w:r>
      <w:r w:rsidRPr="00A77C37">
        <w:rPr>
          <w:szCs w:val="26"/>
        </w:rPr>
        <w:t xml:space="preserve"> Cal. Code Regs., tit. 9, former § 813</w:t>
      </w:r>
      <w:r>
        <w:rPr>
          <w:szCs w:val="26"/>
        </w:rPr>
        <w:t xml:space="preserve"> [</w:t>
      </w:r>
      <w:r w:rsidRPr="00A77C37">
        <w:rPr>
          <w:szCs w:val="26"/>
        </w:rPr>
        <w:t>specif</w:t>
      </w:r>
      <w:r>
        <w:rPr>
          <w:szCs w:val="26"/>
        </w:rPr>
        <w:t>ying</w:t>
      </w:r>
      <w:r w:rsidRPr="00A77C37">
        <w:rPr>
          <w:szCs w:val="26"/>
        </w:rPr>
        <w:t xml:space="preserve"> that the term “mental disorder,” as formerly used within the Lanterman-Petris-Short Act (§ 5000 et seq.), was “limited to those disorders listed by the American Psychiatric Association in its Diagnostic and Statistical Manual of Mental Disorders</w:t>
      </w:r>
      <w:r>
        <w:rPr>
          <w:szCs w:val="26"/>
        </w:rPr>
        <w:t>”]; c</w:t>
      </w:r>
      <w:r w:rsidRPr="00A77C37">
        <w:rPr>
          <w:szCs w:val="26"/>
        </w:rPr>
        <w:t>f. Pu</w:t>
      </w:r>
      <w:r w:rsidRPr="00A77C37">
        <w:rPr>
          <w:szCs w:val="26"/>
        </w:rPr>
        <w:t>b. Res</w:t>
      </w:r>
      <w:r w:rsidR="00B97AE3">
        <w:rPr>
          <w:szCs w:val="26"/>
        </w:rPr>
        <w:t>ources</w:t>
      </w:r>
      <w:r w:rsidRPr="00A77C37">
        <w:rPr>
          <w:szCs w:val="26"/>
        </w:rPr>
        <w:t xml:space="preserve"> Code, § 48620.2, subd. (a)(2) [referencing an American Society for Testing and Materials (ASTM) standard within a definition].</w:t>
      </w:r>
      <w:r>
        <w:rPr>
          <w:szCs w:val="26"/>
        </w:rPr>
        <w:t>)</w:t>
      </w:r>
      <w:r w:rsidRPr="00A77C37">
        <w:rPr>
          <w:szCs w:val="26"/>
        </w:rPr>
        <w:t xml:space="preserve"> </w:t>
      </w:r>
      <w:r>
        <w:rPr>
          <w:szCs w:val="26"/>
        </w:rPr>
        <w:t xml:space="preserve"> Yet n</w:t>
      </w:r>
      <w:r w:rsidRPr="00A77C37">
        <w:rPr>
          <w:szCs w:val="26"/>
        </w:rPr>
        <w:t xml:space="preserve">o </w:t>
      </w:r>
      <w:r>
        <w:rPr>
          <w:szCs w:val="26"/>
        </w:rPr>
        <w:t>such</w:t>
      </w:r>
      <w:r w:rsidRPr="00A77C37">
        <w:rPr>
          <w:szCs w:val="26"/>
        </w:rPr>
        <w:t xml:space="preserve"> explanation appears here</w:t>
      </w:r>
      <w:r>
        <w:rPr>
          <w:szCs w:val="26"/>
        </w:rPr>
        <w:t>, suggesting that the Legislature did not intend for the meaning of “substance</w:t>
      </w:r>
      <w:r>
        <w:rPr>
          <w:szCs w:val="26"/>
        </w:rPr>
        <w:t xml:space="preserve"> abuse” to hinge entirely upon the criteria articulated in the DSM</w:t>
      </w:r>
      <w:r w:rsidRPr="00A77C37">
        <w:rPr>
          <w:szCs w:val="26"/>
        </w:rPr>
        <w:t xml:space="preserve">.  </w:t>
      </w:r>
    </w:p>
    <w:p w14:paraId="72EDC43D" w14:textId="77777777" w:rsidR="00021057" w:rsidRDefault="00B46361" w:rsidP="00021057">
      <w:pPr>
        <w:ind w:firstLine="720"/>
        <w:rPr>
          <w:szCs w:val="26"/>
        </w:rPr>
      </w:pPr>
      <w:r>
        <w:rPr>
          <w:szCs w:val="26"/>
        </w:rPr>
        <w:t xml:space="preserve">Nor can we infer, based on usage at the time of section 300(b)(1)(D)’s enactment, that the Legislature regarded the term “substance abuse” as so obviously referring to the pertinent DSM </w:t>
      </w:r>
      <w:r>
        <w:rPr>
          <w:szCs w:val="26"/>
        </w:rPr>
        <w:t>criteria as to make any explanation unnecessary.  To the contrary, contemporaneously enacted statutes commonly assigned the term “substance abuse” a more</w:t>
      </w:r>
      <w:r w:rsidRPr="00A77C37">
        <w:rPr>
          <w:szCs w:val="26"/>
        </w:rPr>
        <w:t xml:space="preserve"> conventional, nontechnical </w:t>
      </w:r>
      <w:r>
        <w:rPr>
          <w:szCs w:val="26"/>
        </w:rPr>
        <w:t>meaning</w:t>
      </w:r>
      <w:r w:rsidRPr="00A77C37">
        <w:rPr>
          <w:szCs w:val="26"/>
        </w:rPr>
        <w:t>.  (See, e.g., Stats. 1987, ch. 1291, § 1, p. 4618</w:t>
      </w:r>
      <w:r w:rsidR="0006450D">
        <w:rPr>
          <w:szCs w:val="26"/>
        </w:rPr>
        <w:t>,</w:t>
      </w:r>
      <w:r w:rsidRPr="00A77C37">
        <w:rPr>
          <w:szCs w:val="26"/>
        </w:rPr>
        <w:t xml:space="preserve"> adding Ed. Code,</w:t>
      </w:r>
      <w:r w:rsidRPr="00A77C37">
        <w:rPr>
          <w:szCs w:val="26"/>
        </w:rPr>
        <w:t xml:space="preserve"> § 44049, subd. (b) </w:t>
      </w:r>
      <w:r w:rsidR="0006450D">
        <w:rPr>
          <w:szCs w:val="26"/>
        </w:rPr>
        <w:t>[</w:t>
      </w:r>
      <w:r w:rsidRPr="00A77C37">
        <w:rPr>
          <w:szCs w:val="26"/>
        </w:rPr>
        <w:t>conferring limited immunity upon school principals and their designees who inform parents of instances in which a pupil engaged in “alcohol or controlled substance abuse”]; Stats. 1987, ch. 879, § 1, p. 2778</w:t>
      </w:r>
      <w:r w:rsidR="00F06154">
        <w:rPr>
          <w:szCs w:val="26"/>
        </w:rPr>
        <w:t>,</w:t>
      </w:r>
      <w:r w:rsidRPr="00A77C37">
        <w:rPr>
          <w:szCs w:val="26"/>
        </w:rPr>
        <w:t xml:space="preserve"> adding Pen. Code, § 1203.1</w:t>
      </w:r>
      <w:r w:rsidRPr="00A77C37">
        <w:rPr>
          <w:szCs w:val="26"/>
        </w:rPr>
        <w:t xml:space="preserve">ab </w:t>
      </w:r>
      <w:r w:rsidR="00F06154">
        <w:rPr>
          <w:szCs w:val="26"/>
        </w:rPr>
        <w:t>[</w:t>
      </w:r>
      <w:r w:rsidRPr="00A77C37">
        <w:rPr>
          <w:szCs w:val="26"/>
        </w:rPr>
        <w:t>providing for “drug and substance abuse testing” of certain probationers]; Stats. 1986, ch. 1441, § 1, p. 5146</w:t>
      </w:r>
      <w:r w:rsidR="00F06154">
        <w:rPr>
          <w:szCs w:val="26"/>
        </w:rPr>
        <w:t>,</w:t>
      </w:r>
      <w:r w:rsidRPr="00A77C37">
        <w:rPr>
          <w:szCs w:val="26"/>
        </w:rPr>
        <w:t xml:space="preserve"> adding </w:t>
      </w:r>
      <w:r w:rsidR="00B97AE3">
        <w:rPr>
          <w:szCs w:val="26"/>
        </w:rPr>
        <w:t xml:space="preserve">Welf. &amp; Inst. Code, </w:t>
      </w:r>
      <w:r w:rsidRPr="00A77C37">
        <w:rPr>
          <w:szCs w:val="26"/>
        </w:rPr>
        <w:t xml:space="preserve">§ 502, subd. (a)(4) </w:t>
      </w:r>
      <w:r w:rsidR="00F06154">
        <w:rPr>
          <w:szCs w:val="26"/>
        </w:rPr>
        <w:t>[</w:t>
      </w:r>
      <w:r w:rsidRPr="00A77C37">
        <w:rPr>
          <w:szCs w:val="26"/>
        </w:rPr>
        <w:t xml:space="preserve">referencing “crimes of . . . substance abuse”].) </w:t>
      </w:r>
      <w:r>
        <w:rPr>
          <w:szCs w:val="26"/>
        </w:rPr>
        <w:t xml:space="preserve"> </w:t>
      </w:r>
    </w:p>
    <w:p w14:paraId="72EDC43E" w14:textId="77777777" w:rsidR="00021057" w:rsidRDefault="00B46361" w:rsidP="00021057">
      <w:pPr>
        <w:ind w:firstLine="720"/>
        <w:rPr>
          <w:szCs w:val="26"/>
        </w:rPr>
      </w:pPr>
      <w:r>
        <w:rPr>
          <w:szCs w:val="26"/>
        </w:rPr>
        <w:t>It is notable too that the Legislature</w:t>
      </w:r>
      <w:r w:rsidRPr="00A77C37">
        <w:rPr>
          <w:szCs w:val="26"/>
        </w:rPr>
        <w:t xml:space="preserve"> </w:t>
      </w:r>
      <w:r>
        <w:rPr>
          <w:szCs w:val="26"/>
        </w:rPr>
        <w:t>de</w:t>
      </w:r>
      <w:r>
        <w:rPr>
          <w:szCs w:val="26"/>
        </w:rPr>
        <w:t>parted from</w:t>
      </w:r>
      <w:r w:rsidRPr="00A77C37">
        <w:rPr>
          <w:szCs w:val="26"/>
        </w:rPr>
        <w:t xml:space="preserve"> the</w:t>
      </w:r>
      <w:r>
        <w:rPr>
          <w:szCs w:val="26"/>
        </w:rPr>
        <w:t xml:space="preserve"> classification scheme and terminology that the</w:t>
      </w:r>
      <w:r w:rsidRPr="00A77C37">
        <w:rPr>
          <w:szCs w:val="26"/>
        </w:rPr>
        <w:t xml:space="preserve"> DSM-III </w:t>
      </w:r>
      <w:r>
        <w:rPr>
          <w:szCs w:val="26"/>
        </w:rPr>
        <w:t xml:space="preserve">and the </w:t>
      </w:r>
      <w:r w:rsidRPr="00A77C37">
        <w:rPr>
          <w:szCs w:val="26"/>
        </w:rPr>
        <w:t>DSM-III</w:t>
      </w:r>
      <w:r>
        <w:rPr>
          <w:szCs w:val="26"/>
        </w:rPr>
        <w:t>-R</w:t>
      </w:r>
      <w:r w:rsidRPr="00A77C37">
        <w:rPr>
          <w:szCs w:val="26"/>
        </w:rPr>
        <w:t xml:space="preserve"> </w:t>
      </w:r>
      <w:r>
        <w:rPr>
          <w:szCs w:val="26"/>
        </w:rPr>
        <w:t>applied to substance use disorders.  These departures also suggest that legislators did not intend to limit findings of substance abuse to situations in which the pert</w:t>
      </w:r>
      <w:r>
        <w:rPr>
          <w:szCs w:val="26"/>
        </w:rPr>
        <w:t>inent DSM criteria had been satisfied</w:t>
      </w:r>
      <w:r w:rsidRPr="00A77C37">
        <w:rPr>
          <w:szCs w:val="26"/>
        </w:rPr>
        <w:t>.  Section 300(b)(1)(D) avoids the distinction that the</w:t>
      </w:r>
      <w:r>
        <w:rPr>
          <w:szCs w:val="26"/>
        </w:rPr>
        <w:t xml:space="preserve"> DSM-III and </w:t>
      </w:r>
      <w:r w:rsidRPr="00A77C37">
        <w:rPr>
          <w:szCs w:val="26"/>
        </w:rPr>
        <w:t>DSM-III-R drew between “</w:t>
      </w:r>
      <w:r w:rsidR="00B97AE3">
        <w:rPr>
          <w:szCs w:val="26"/>
        </w:rPr>
        <w:t>S</w:t>
      </w:r>
      <w:r w:rsidRPr="00A77C37">
        <w:rPr>
          <w:szCs w:val="26"/>
        </w:rPr>
        <w:t xml:space="preserve">ubstance </w:t>
      </w:r>
      <w:r w:rsidR="00B97AE3">
        <w:rPr>
          <w:szCs w:val="26"/>
        </w:rPr>
        <w:t>D</w:t>
      </w:r>
      <w:r w:rsidRPr="00A77C37">
        <w:rPr>
          <w:szCs w:val="26"/>
        </w:rPr>
        <w:t xml:space="preserve">ependence” </w:t>
      </w:r>
      <w:r>
        <w:rPr>
          <w:szCs w:val="26"/>
        </w:rPr>
        <w:t>and</w:t>
      </w:r>
      <w:r w:rsidRPr="00A77C37">
        <w:rPr>
          <w:szCs w:val="26"/>
        </w:rPr>
        <w:t xml:space="preserve"> “</w:t>
      </w:r>
      <w:r w:rsidR="00B97AE3">
        <w:rPr>
          <w:szCs w:val="26"/>
        </w:rPr>
        <w:t>S</w:t>
      </w:r>
      <w:r w:rsidRPr="00A77C37">
        <w:rPr>
          <w:szCs w:val="26"/>
        </w:rPr>
        <w:t xml:space="preserve">ubstance </w:t>
      </w:r>
      <w:r w:rsidR="00B97AE3">
        <w:rPr>
          <w:szCs w:val="26"/>
        </w:rPr>
        <w:t>A</w:t>
      </w:r>
      <w:r w:rsidRPr="00A77C37">
        <w:rPr>
          <w:szCs w:val="26"/>
        </w:rPr>
        <w:t xml:space="preserve">buse.”  (DSM-III-R, </w:t>
      </w:r>
      <w:r w:rsidRPr="00A77C37">
        <w:rPr>
          <w:i/>
          <w:iCs/>
          <w:szCs w:val="26"/>
        </w:rPr>
        <w:t>supra</w:t>
      </w:r>
      <w:r w:rsidRPr="00A77C37">
        <w:rPr>
          <w:szCs w:val="26"/>
        </w:rPr>
        <w:t xml:space="preserve">, at pp. 166, 169; DSM-III, </w:t>
      </w:r>
      <w:r w:rsidRPr="00A77C37">
        <w:rPr>
          <w:i/>
          <w:iCs/>
          <w:szCs w:val="26"/>
        </w:rPr>
        <w:t>supra</w:t>
      </w:r>
      <w:r w:rsidRPr="00A77C37">
        <w:rPr>
          <w:szCs w:val="26"/>
        </w:rPr>
        <w:t xml:space="preserve">, at pp. 164–165.)  </w:t>
      </w:r>
      <w:r>
        <w:rPr>
          <w:szCs w:val="26"/>
        </w:rPr>
        <w:t>In doing so</w:t>
      </w:r>
      <w:r>
        <w:rPr>
          <w:szCs w:val="26"/>
        </w:rPr>
        <w:t>,</w:t>
      </w:r>
      <w:r w:rsidRPr="00A77C37">
        <w:rPr>
          <w:szCs w:val="26"/>
        </w:rPr>
        <w:t xml:space="preserve"> </w:t>
      </w:r>
      <w:r>
        <w:rPr>
          <w:szCs w:val="26"/>
        </w:rPr>
        <w:t>the statute</w:t>
      </w:r>
      <w:r w:rsidRPr="00A77C37">
        <w:rPr>
          <w:szCs w:val="26"/>
        </w:rPr>
        <w:t xml:space="preserve"> </w:t>
      </w:r>
      <w:r>
        <w:rPr>
          <w:szCs w:val="26"/>
        </w:rPr>
        <w:t>does not explain</w:t>
      </w:r>
      <w:r w:rsidRPr="00A77C37">
        <w:rPr>
          <w:szCs w:val="26"/>
        </w:rPr>
        <w:t xml:space="preserve"> </w:t>
      </w:r>
      <w:r>
        <w:rPr>
          <w:szCs w:val="26"/>
        </w:rPr>
        <w:t>whether</w:t>
      </w:r>
      <w:r w:rsidRPr="00A77C37">
        <w:rPr>
          <w:szCs w:val="26"/>
        </w:rPr>
        <w:t xml:space="preserve"> the condition </w:t>
      </w:r>
      <w:r>
        <w:rPr>
          <w:szCs w:val="26"/>
        </w:rPr>
        <w:t>described as</w:t>
      </w:r>
      <w:r w:rsidRPr="00A77C37">
        <w:rPr>
          <w:szCs w:val="26"/>
        </w:rPr>
        <w:t xml:space="preserve"> substance </w:t>
      </w:r>
      <w:r w:rsidRPr="00702A85">
        <w:rPr>
          <w:szCs w:val="26"/>
        </w:rPr>
        <w:t>dependence</w:t>
      </w:r>
      <w:r w:rsidRPr="00A77C37">
        <w:rPr>
          <w:szCs w:val="26"/>
        </w:rPr>
        <w:t xml:space="preserve"> </w:t>
      </w:r>
      <w:r>
        <w:rPr>
          <w:szCs w:val="26"/>
        </w:rPr>
        <w:t>in those editions of</w:t>
      </w:r>
      <w:r w:rsidRPr="00A77C37">
        <w:rPr>
          <w:szCs w:val="26"/>
        </w:rPr>
        <w:t xml:space="preserve"> the DSM should be regarded as substance </w:t>
      </w:r>
      <w:r w:rsidRPr="00702A85">
        <w:rPr>
          <w:szCs w:val="26"/>
        </w:rPr>
        <w:t>abuse</w:t>
      </w:r>
      <w:r w:rsidRPr="00A77C37">
        <w:rPr>
          <w:szCs w:val="26"/>
        </w:rPr>
        <w:t xml:space="preserve"> for purposes of applying the statute.  Section 300(b)(1)(D) also departs from the DSM’s approach insof</w:t>
      </w:r>
      <w:r w:rsidRPr="00A77C37">
        <w:rPr>
          <w:szCs w:val="26"/>
        </w:rPr>
        <w:t xml:space="preserve">ar as </w:t>
      </w:r>
      <w:r>
        <w:rPr>
          <w:szCs w:val="26"/>
        </w:rPr>
        <w:t>the statute</w:t>
      </w:r>
      <w:r w:rsidRPr="00A77C37">
        <w:rPr>
          <w:szCs w:val="26"/>
        </w:rPr>
        <w:t xml:space="preserve"> distinguishes between “substance abuse” and “mental illness” (itself a term the DSM has long rejected, in favor of “mental disorder”), rather than treating the former as a subset of the latter.  Had the Legislature intended for </w:t>
      </w:r>
      <w:r>
        <w:rPr>
          <w:szCs w:val="26"/>
        </w:rPr>
        <w:t xml:space="preserve">the </w:t>
      </w:r>
      <w:r w:rsidRPr="00A77C37">
        <w:rPr>
          <w:szCs w:val="26"/>
        </w:rPr>
        <w:t>prevailing DSM criteria</w:t>
      </w:r>
      <w:r>
        <w:rPr>
          <w:szCs w:val="26"/>
        </w:rPr>
        <w:t xml:space="preserve"> to provide the sole reference point for recognizing </w:t>
      </w:r>
      <w:r w:rsidRPr="00A77C37">
        <w:rPr>
          <w:szCs w:val="26"/>
        </w:rPr>
        <w:t>substance abuse</w:t>
      </w:r>
      <w:r>
        <w:rPr>
          <w:szCs w:val="26"/>
        </w:rPr>
        <w:t xml:space="preserve"> by a parent or guardian</w:t>
      </w:r>
      <w:r w:rsidRPr="00A77C37">
        <w:rPr>
          <w:szCs w:val="26"/>
        </w:rPr>
        <w:t>, section 300 presumably would have reconciled or at least acknowledged these differences in terminology and categorization.</w:t>
      </w:r>
    </w:p>
    <w:p w14:paraId="72EDC43F" w14:textId="77777777" w:rsidR="00021057" w:rsidRPr="00A77C37" w:rsidRDefault="00B46361" w:rsidP="00021057">
      <w:pPr>
        <w:ind w:firstLine="720"/>
        <w:rPr>
          <w:szCs w:val="26"/>
          <w:shd w:val="clear" w:color="auto" w:fill="FFFFFF"/>
        </w:rPr>
      </w:pPr>
      <w:r>
        <w:rPr>
          <w:szCs w:val="27"/>
          <w:shd w:val="clear" w:color="auto" w:fill="FFFFFF"/>
        </w:rPr>
        <w:t>We therefore do not perceive in the lan</w:t>
      </w:r>
      <w:r>
        <w:rPr>
          <w:szCs w:val="27"/>
          <w:shd w:val="clear" w:color="auto" w:fill="FFFFFF"/>
        </w:rPr>
        <w:t xml:space="preserve">guage of section 300 any persuasive indication that the Legislature intended for the relevant DSM criteria to supply the exclusive definition of substance abuse.  This conclusion is not altered </w:t>
      </w:r>
      <w:r w:rsidRPr="00B666B2">
        <w:rPr>
          <w:szCs w:val="27"/>
          <w:shd w:val="clear" w:color="auto" w:fill="FFFFFF"/>
        </w:rPr>
        <w:t>by section 300(b)(</w:t>
      </w:r>
      <w:r w:rsidRPr="00A77C37">
        <w:rPr>
          <w:szCs w:val="26"/>
          <w:shd w:val="clear" w:color="auto" w:fill="FFFFFF"/>
        </w:rPr>
        <w:t>1)(D)’s grouping of substance abuse together</w:t>
      </w:r>
      <w:r w:rsidRPr="00A77C37">
        <w:rPr>
          <w:szCs w:val="26"/>
          <w:shd w:val="clear" w:color="auto" w:fill="FFFFFF"/>
        </w:rPr>
        <w:t xml:space="preserve"> with “mental illness” and “developmental disability.”  Father asserts that the Legislature would have perceived </w:t>
      </w:r>
      <w:r>
        <w:rPr>
          <w:szCs w:val="26"/>
          <w:shd w:val="clear" w:color="auto" w:fill="FFFFFF"/>
        </w:rPr>
        <w:t>all</w:t>
      </w:r>
      <w:r w:rsidRPr="00A77C37">
        <w:rPr>
          <w:szCs w:val="26"/>
          <w:shd w:val="clear" w:color="auto" w:fill="FFFFFF"/>
        </w:rPr>
        <w:t xml:space="preserve"> three</w:t>
      </w:r>
      <w:r>
        <w:rPr>
          <w:szCs w:val="26"/>
          <w:shd w:val="clear" w:color="auto" w:fill="FFFFFF"/>
        </w:rPr>
        <w:t xml:space="preserve"> of these</w:t>
      </w:r>
      <w:r w:rsidRPr="00A77C37">
        <w:rPr>
          <w:szCs w:val="26"/>
          <w:shd w:val="clear" w:color="auto" w:fill="FFFFFF"/>
        </w:rPr>
        <w:t xml:space="preserve"> </w:t>
      </w:r>
      <w:r>
        <w:rPr>
          <w:szCs w:val="26"/>
          <w:shd w:val="clear" w:color="auto" w:fill="FFFFFF"/>
        </w:rPr>
        <w:t>circumstances</w:t>
      </w:r>
      <w:r w:rsidRPr="00A77C37">
        <w:rPr>
          <w:szCs w:val="26"/>
          <w:shd w:val="clear" w:color="auto" w:fill="FFFFFF"/>
        </w:rPr>
        <w:t xml:space="preserve"> as capable of being shown only through the satisfaction of professionally developed criteria.  His position re</w:t>
      </w:r>
      <w:r w:rsidRPr="00A77C37">
        <w:rPr>
          <w:szCs w:val="26"/>
          <w:shd w:val="clear" w:color="auto" w:fill="FFFFFF"/>
        </w:rPr>
        <w:t xml:space="preserve">lies upon the </w:t>
      </w:r>
      <w:r w:rsidRPr="00A77C37">
        <w:rPr>
          <w:i/>
          <w:iCs/>
          <w:szCs w:val="26"/>
          <w:shd w:val="clear" w:color="auto" w:fill="FFFFFF"/>
        </w:rPr>
        <w:t>noscitur a sociis</w:t>
      </w:r>
      <w:r w:rsidRPr="00A77C37">
        <w:rPr>
          <w:szCs w:val="26"/>
          <w:shd w:val="clear" w:color="auto" w:fill="FFFFFF"/>
        </w:rPr>
        <w:t xml:space="preserve"> canon of statutory construction, whereby “ ‘ “[a] word of uncertain meaning may be known from its associates and its meaning ‘enlarged or restrained by reference to the object of the whole clause in which it is used.’ ” ’ ” </w:t>
      </w:r>
      <w:r w:rsidRPr="00A77C37">
        <w:rPr>
          <w:szCs w:val="26"/>
          <w:shd w:val="clear" w:color="auto" w:fill="FFFFFF"/>
        </w:rPr>
        <w:t xml:space="preserve"> (</w:t>
      </w:r>
      <w:r w:rsidRPr="00A77C37">
        <w:rPr>
          <w:i/>
          <w:iCs/>
          <w:szCs w:val="26"/>
          <w:shd w:val="clear" w:color="auto" w:fill="FFFFFF"/>
        </w:rPr>
        <w:t>People v. Hernandez</w:t>
      </w:r>
      <w:r w:rsidRPr="00A77C37">
        <w:rPr>
          <w:szCs w:val="26"/>
          <w:shd w:val="clear" w:color="auto" w:fill="FFFFFF"/>
        </w:rPr>
        <w:t xml:space="preserve"> (2017) 10 Cal.App.5th 192, 200 (</w:t>
      </w:r>
      <w:r w:rsidRPr="00A77C37">
        <w:rPr>
          <w:i/>
          <w:iCs/>
          <w:szCs w:val="26"/>
          <w:shd w:val="clear" w:color="auto" w:fill="FFFFFF"/>
        </w:rPr>
        <w:t>Hernandez</w:t>
      </w:r>
      <w:r w:rsidRPr="00A77C37">
        <w:rPr>
          <w:szCs w:val="26"/>
          <w:shd w:val="clear" w:color="auto" w:fill="FFFFFF"/>
        </w:rPr>
        <w:t xml:space="preserve">).)  </w:t>
      </w:r>
    </w:p>
    <w:p w14:paraId="72EDC440" w14:textId="77777777" w:rsidR="00021057" w:rsidRDefault="00B46361" w:rsidP="00021057">
      <w:pPr>
        <w:ind w:firstLine="720"/>
        <w:rPr>
          <w:szCs w:val="26"/>
          <w:shd w:val="clear" w:color="auto" w:fill="FFFFFF"/>
        </w:rPr>
      </w:pPr>
      <w:r w:rsidRPr="00A77C37">
        <w:rPr>
          <w:szCs w:val="26"/>
          <w:shd w:val="clear" w:color="auto" w:fill="FFFFFF"/>
        </w:rPr>
        <w:t xml:space="preserve">When applicable, the </w:t>
      </w:r>
      <w:r w:rsidRPr="00A77C37">
        <w:rPr>
          <w:i/>
          <w:iCs/>
          <w:szCs w:val="26"/>
          <w:shd w:val="clear" w:color="auto" w:fill="FFFFFF"/>
        </w:rPr>
        <w:t>noscitur a sociis</w:t>
      </w:r>
      <w:r w:rsidRPr="00A77C37">
        <w:rPr>
          <w:szCs w:val="26"/>
          <w:shd w:val="clear" w:color="auto" w:fill="FFFFFF"/>
        </w:rPr>
        <w:t xml:space="preserve"> canon favors “</w:t>
      </w:r>
      <w:r>
        <w:rPr>
          <w:szCs w:val="26"/>
          <w:shd w:val="clear" w:color="auto" w:fill="FFFFFF"/>
        </w:rPr>
        <w:t> ‘ “ ‘</w:t>
      </w:r>
      <w:r w:rsidRPr="00A77C37">
        <w:rPr>
          <w:szCs w:val="26"/>
          <w:shd w:val="clear" w:color="auto" w:fill="FFFFFF"/>
        </w:rPr>
        <w:t xml:space="preserve">a restrictive meaning of a listed item if acceptance of a more expansive meaning would make other items in the list unnecessary </w:t>
      </w:r>
      <w:r w:rsidRPr="00A77C37">
        <w:rPr>
          <w:szCs w:val="26"/>
          <w:shd w:val="clear" w:color="auto" w:fill="FFFFFF"/>
        </w:rPr>
        <w:t xml:space="preserve">or redundant, or would otherwise make the item </w:t>
      </w:r>
      <w:r w:rsidRPr="00A77C37">
        <w:rPr>
          <w:i/>
          <w:iCs/>
          <w:szCs w:val="26"/>
          <w:shd w:val="clear" w:color="auto" w:fill="FFFFFF"/>
        </w:rPr>
        <w:t>markedly dissimilar</w:t>
      </w:r>
      <w:r w:rsidRPr="00A77C37">
        <w:rPr>
          <w:szCs w:val="26"/>
          <w:shd w:val="clear" w:color="auto" w:fill="FFFFFF"/>
        </w:rPr>
        <w:t xml:space="preserve"> to the other items in the list.</w:t>
      </w:r>
      <w:r>
        <w:rPr>
          <w:szCs w:val="26"/>
          <w:shd w:val="clear" w:color="auto" w:fill="FFFFFF"/>
        </w:rPr>
        <w:t>’ ” ’ </w:t>
      </w:r>
      <w:r w:rsidRPr="00A77C37">
        <w:rPr>
          <w:szCs w:val="26"/>
          <w:shd w:val="clear" w:color="auto" w:fill="FFFFFF"/>
        </w:rPr>
        <w:t>”  (</w:t>
      </w:r>
      <w:r w:rsidRPr="00A77C37">
        <w:rPr>
          <w:i/>
          <w:iCs/>
          <w:szCs w:val="26"/>
          <w:shd w:val="clear" w:color="auto" w:fill="FFFFFF"/>
        </w:rPr>
        <w:t>Hernandez</w:t>
      </w:r>
      <w:r w:rsidRPr="00A77C37">
        <w:rPr>
          <w:szCs w:val="26"/>
          <w:shd w:val="clear" w:color="auto" w:fill="FFFFFF"/>
        </w:rPr>
        <w:t xml:space="preserve">, </w:t>
      </w:r>
      <w:r w:rsidRPr="00A77C37">
        <w:rPr>
          <w:i/>
          <w:iCs/>
          <w:szCs w:val="26"/>
          <w:shd w:val="clear" w:color="auto" w:fill="FFFFFF"/>
        </w:rPr>
        <w:t>supra</w:t>
      </w:r>
      <w:r w:rsidRPr="00A77C37">
        <w:rPr>
          <w:szCs w:val="26"/>
          <w:shd w:val="clear" w:color="auto" w:fill="FFFFFF"/>
        </w:rPr>
        <w:t xml:space="preserve">, 10 Cal.App.5th at p. 200, italics added.)  </w:t>
      </w:r>
      <w:r>
        <w:rPr>
          <w:szCs w:val="26"/>
          <w:shd w:val="clear" w:color="auto" w:fill="FFFFFF"/>
        </w:rPr>
        <w:t xml:space="preserve">There are some threshold hurdles to the application of this principle here.  It is not </w:t>
      </w:r>
      <w:r>
        <w:rPr>
          <w:szCs w:val="26"/>
          <w:shd w:val="clear" w:color="auto" w:fill="FFFFFF"/>
        </w:rPr>
        <w:t>clear</w:t>
      </w:r>
      <w:r w:rsidRPr="00A77C37">
        <w:rPr>
          <w:szCs w:val="26"/>
          <w:shd w:val="clear" w:color="auto" w:fill="FFFFFF"/>
        </w:rPr>
        <w:t xml:space="preserve"> that section 300(b)(1)(D)’s recitation of “</w:t>
      </w:r>
      <w:r w:rsidRPr="00A77C37">
        <w:rPr>
          <w:szCs w:val="26"/>
        </w:rPr>
        <w:t>mental illness, developmental disability, or substance abuse</w:t>
      </w:r>
      <w:r w:rsidRPr="00A77C37">
        <w:rPr>
          <w:szCs w:val="26"/>
          <w:shd w:val="clear" w:color="auto" w:fill="FFFFFF"/>
        </w:rPr>
        <w:t>” implicates this canon</w:t>
      </w:r>
      <w:r>
        <w:rPr>
          <w:szCs w:val="26"/>
          <w:shd w:val="clear" w:color="auto" w:fill="FFFFFF"/>
        </w:rPr>
        <w:t xml:space="preserve"> at all.  </w:t>
      </w:r>
      <w:r w:rsidRPr="00A77C37">
        <w:rPr>
          <w:szCs w:val="26"/>
          <w:shd w:val="clear" w:color="auto" w:fill="FFFFFF"/>
        </w:rPr>
        <w:t>(</w:t>
      </w:r>
      <w:r>
        <w:rPr>
          <w:szCs w:val="26"/>
          <w:shd w:val="clear" w:color="auto" w:fill="FFFFFF"/>
        </w:rPr>
        <w:t>Se</w:t>
      </w:r>
      <w:r w:rsidRPr="00A77C37">
        <w:rPr>
          <w:szCs w:val="26"/>
          <w:shd w:val="clear" w:color="auto" w:fill="FFFFFF"/>
        </w:rPr>
        <w:t xml:space="preserve">e </w:t>
      </w:r>
      <w:r w:rsidRPr="00A77C37">
        <w:rPr>
          <w:i/>
          <w:iCs/>
          <w:szCs w:val="26"/>
          <w:shd w:val="clear" w:color="auto" w:fill="FFFFFF"/>
        </w:rPr>
        <w:t xml:space="preserve">American Bankers v. National Credit Union Admin. </w:t>
      </w:r>
      <w:r w:rsidRPr="00A77C37">
        <w:rPr>
          <w:szCs w:val="26"/>
          <w:shd w:val="clear" w:color="auto" w:fill="FFFFFF"/>
        </w:rPr>
        <w:t xml:space="preserve">(D.C. Cir. 2019) 934 F.3d 649, 665 [terms in a list </w:t>
      </w:r>
      <w:r>
        <w:rPr>
          <w:szCs w:val="26"/>
          <w:shd w:val="clear" w:color="auto" w:fill="FFFFFF"/>
        </w:rPr>
        <w:t>found wi</w:t>
      </w:r>
      <w:r>
        <w:rPr>
          <w:szCs w:val="26"/>
          <w:shd w:val="clear" w:color="auto" w:fill="FFFFFF"/>
        </w:rPr>
        <w:t xml:space="preserve">thin a statute </w:t>
      </w:r>
      <w:r w:rsidRPr="00A77C37">
        <w:rPr>
          <w:szCs w:val="26"/>
          <w:shd w:val="clear" w:color="auto" w:fill="FFFFFF"/>
        </w:rPr>
        <w:t>may be treated differently when their “ ‘fit’ ” is neither tight nor self-evident]</w:t>
      </w:r>
      <w:r>
        <w:rPr>
          <w:szCs w:val="26"/>
          <w:shd w:val="clear" w:color="auto" w:fill="FFFFFF"/>
        </w:rPr>
        <w:t>.</w:t>
      </w:r>
      <w:r w:rsidRPr="00A77C37">
        <w:rPr>
          <w:szCs w:val="26"/>
          <w:shd w:val="clear" w:color="auto" w:fill="FFFFFF"/>
        </w:rPr>
        <w:t>)</w:t>
      </w:r>
      <w:r>
        <w:rPr>
          <w:szCs w:val="26"/>
          <w:shd w:val="clear" w:color="auto" w:fill="FFFFFF"/>
        </w:rPr>
        <w:t xml:space="preserve">  Moreover, the case law casts doubt on the premise, essential to Father’s argument, that </w:t>
      </w:r>
      <w:r w:rsidRPr="00A77C37">
        <w:rPr>
          <w:szCs w:val="26"/>
          <w:shd w:val="clear" w:color="auto" w:fill="FFFFFF"/>
        </w:rPr>
        <w:t xml:space="preserve">satisfaction of a specific professionally developed standard </w:t>
      </w:r>
      <w:r>
        <w:rPr>
          <w:szCs w:val="26"/>
          <w:shd w:val="clear" w:color="auto" w:fill="FFFFFF"/>
        </w:rPr>
        <w:t>analog</w:t>
      </w:r>
      <w:r>
        <w:rPr>
          <w:szCs w:val="26"/>
          <w:shd w:val="clear" w:color="auto" w:fill="FFFFFF"/>
        </w:rPr>
        <w:t>ous</w:t>
      </w:r>
      <w:r w:rsidRPr="00A77C37">
        <w:rPr>
          <w:szCs w:val="26"/>
          <w:shd w:val="clear" w:color="auto" w:fill="FFFFFF"/>
        </w:rPr>
        <w:t xml:space="preserve"> </w:t>
      </w:r>
      <w:r>
        <w:rPr>
          <w:szCs w:val="26"/>
          <w:shd w:val="clear" w:color="auto" w:fill="FFFFFF"/>
        </w:rPr>
        <w:t>to</w:t>
      </w:r>
      <w:r w:rsidRPr="00A77C37">
        <w:rPr>
          <w:szCs w:val="26"/>
          <w:shd w:val="clear" w:color="auto" w:fill="FFFFFF"/>
        </w:rPr>
        <w:t xml:space="preserve"> the DSM criteria</w:t>
      </w:r>
      <w:r w:rsidR="00020290">
        <w:rPr>
          <w:szCs w:val="26"/>
          <w:shd w:val="clear" w:color="auto" w:fill="FFFFFF"/>
        </w:rPr>
        <w:t xml:space="preserve"> for substance use disorders</w:t>
      </w:r>
      <w:r w:rsidRPr="00A77C37">
        <w:rPr>
          <w:szCs w:val="26"/>
          <w:shd w:val="clear" w:color="auto" w:fill="FFFFFF"/>
        </w:rPr>
        <w:t xml:space="preserve"> </w:t>
      </w:r>
      <w:r w:rsidRPr="002C286A">
        <w:rPr>
          <w:szCs w:val="26"/>
          <w:shd w:val="clear" w:color="auto" w:fill="FFFFFF"/>
        </w:rPr>
        <w:t>is</w:t>
      </w:r>
      <w:r w:rsidRPr="00A77C37">
        <w:rPr>
          <w:szCs w:val="26"/>
          <w:shd w:val="clear" w:color="auto" w:fill="FFFFFF"/>
        </w:rPr>
        <w:t xml:space="preserve"> required to show a mental illness or developmental disability in the dependency context.  (</w:t>
      </w:r>
      <w:r>
        <w:rPr>
          <w:szCs w:val="26"/>
          <w:shd w:val="clear" w:color="auto" w:fill="FFFFFF"/>
        </w:rPr>
        <w:t xml:space="preserve">See </w:t>
      </w:r>
      <w:r w:rsidR="00DD2528" w:rsidRPr="00DD2528">
        <w:rPr>
          <w:i/>
          <w:iCs/>
          <w:szCs w:val="26"/>
          <w:shd w:val="clear" w:color="auto" w:fill="FFFFFF"/>
        </w:rPr>
        <w:t>Laurie S</w:t>
      </w:r>
      <w:r w:rsidR="00DD2528" w:rsidRPr="00B1769B">
        <w:rPr>
          <w:i/>
          <w:shd w:val="clear" w:color="auto" w:fill="FFFFFF"/>
        </w:rPr>
        <w:t xml:space="preserve">. v. </w:t>
      </w:r>
      <w:r w:rsidR="00DD2528" w:rsidRPr="00DD2528">
        <w:rPr>
          <w:i/>
          <w:iCs/>
          <w:szCs w:val="26"/>
          <w:shd w:val="clear" w:color="auto" w:fill="FFFFFF"/>
        </w:rPr>
        <w:t xml:space="preserve">Superior Court </w:t>
      </w:r>
      <w:r w:rsidR="00DD2528">
        <w:rPr>
          <w:szCs w:val="26"/>
          <w:shd w:val="clear" w:color="auto" w:fill="FFFFFF"/>
        </w:rPr>
        <w:t>(1994) 26 Cal.App.4</w:t>
      </w:r>
      <w:r w:rsidR="00DD2528" w:rsidRPr="00DD2528">
        <w:rPr>
          <w:szCs w:val="26"/>
          <w:shd w:val="clear" w:color="auto" w:fill="FFFFFF"/>
        </w:rPr>
        <w:t>th</w:t>
      </w:r>
      <w:r w:rsidR="00DD2528">
        <w:rPr>
          <w:szCs w:val="26"/>
          <w:shd w:val="clear" w:color="auto" w:fill="FFFFFF"/>
        </w:rPr>
        <w:t xml:space="preserve"> 195, 202 (</w:t>
      </w:r>
      <w:r w:rsidR="00DD2528" w:rsidRPr="00DD2528">
        <w:rPr>
          <w:i/>
          <w:iCs/>
          <w:szCs w:val="26"/>
          <w:shd w:val="clear" w:color="auto" w:fill="FFFFFF"/>
        </w:rPr>
        <w:t>Laurie S.</w:t>
      </w:r>
      <w:r w:rsidR="00DD2528">
        <w:rPr>
          <w:szCs w:val="26"/>
          <w:shd w:val="clear" w:color="auto" w:fill="FFFFFF"/>
        </w:rPr>
        <w:t>) [</w:t>
      </w:r>
      <w:r w:rsidR="00994A68">
        <w:rPr>
          <w:szCs w:val="26"/>
          <w:shd w:val="clear" w:color="auto" w:fill="FFFFFF"/>
        </w:rPr>
        <w:t>finding expert testimony unnecessary to assess</w:t>
      </w:r>
      <w:r w:rsidR="001240D0">
        <w:rPr>
          <w:szCs w:val="26"/>
          <w:shd w:val="clear" w:color="auto" w:fill="FFFFFF"/>
        </w:rPr>
        <w:t>, at the jurisdictional stage of dependency proceedings,</w:t>
      </w:r>
      <w:r w:rsidR="00994A68">
        <w:rPr>
          <w:szCs w:val="26"/>
          <w:shd w:val="clear" w:color="auto" w:fill="FFFFFF"/>
        </w:rPr>
        <w:t xml:space="preserve"> whether a parent’s mental </w:t>
      </w:r>
      <w:r w:rsidR="001240D0">
        <w:rPr>
          <w:szCs w:val="26"/>
          <w:shd w:val="clear" w:color="auto" w:fill="FFFFFF"/>
        </w:rPr>
        <w:t>health issues</w:t>
      </w:r>
      <w:r w:rsidR="00994A68">
        <w:rPr>
          <w:szCs w:val="26"/>
          <w:shd w:val="clear" w:color="auto" w:fill="FFFFFF"/>
        </w:rPr>
        <w:t xml:space="preserve"> placed her child at substantial risk of serious physical harm</w:t>
      </w:r>
      <w:r w:rsidR="00DD2528">
        <w:rPr>
          <w:szCs w:val="26"/>
          <w:shd w:val="clear" w:color="auto" w:fill="FFFFFF"/>
        </w:rPr>
        <w:t xml:space="preserve">]; </w:t>
      </w:r>
      <w:r w:rsidRPr="00A77C37">
        <w:rPr>
          <w:i/>
          <w:iCs/>
          <w:szCs w:val="26"/>
          <w:shd w:val="clear" w:color="auto" w:fill="FFFFFF"/>
        </w:rPr>
        <w:t>In re Khalid H.</w:t>
      </w:r>
      <w:r w:rsidRPr="00A77C37">
        <w:rPr>
          <w:szCs w:val="26"/>
          <w:shd w:val="clear" w:color="auto" w:fill="FFFFFF"/>
        </w:rPr>
        <w:t xml:space="preserve"> (1992) 6</w:t>
      </w:r>
      <w:r w:rsidR="00B1769B">
        <w:rPr>
          <w:szCs w:val="26"/>
          <w:shd w:val="clear" w:color="auto" w:fill="FFFFFF"/>
        </w:rPr>
        <w:t> </w:t>
      </w:r>
      <w:r w:rsidRPr="00A77C37">
        <w:rPr>
          <w:szCs w:val="26"/>
          <w:shd w:val="clear" w:color="auto" w:fill="FFFFFF"/>
        </w:rPr>
        <w:t>Cal.App.4th 733, 736 (</w:t>
      </w:r>
      <w:r w:rsidRPr="00A77C37">
        <w:rPr>
          <w:i/>
          <w:iCs/>
          <w:szCs w:val="26"/>
          <w:shd w:val="clear" w:color="auto" w:fill="FFFFFF"/>
        </w:rPr>
        <w:t>Khalid H.</w:t>
      </w:r>
      <w:r w:rsidRPr="00A77C37">
        <w:rPr>
          <w:szCs w:val="26"/>
          <w:shd w:val="clear" w:color="auto" w:fill="FFFFFF"/>
        </w:rPr>
        <w:t>) [noting that sec</w:t>
      </w:r>
      <w:r w:rsidRPr="00A77C37">
        <w:rPr>
          <w:szCs w:val="26"/>
          <w:shd w:val="clear" w:color="auto" w:fill="FFFFFF"/>
        </w:rPr>
        <w:t xml:space="preserve">tion 300, subdivision (b)(1) “does not contain a described formal procedure to determine if a parent suffers from a mental illness,” and declining to read such a procedure into the statute].)  </w:t>
      </w:r>
    </w:p>
    <w:p w14:paraId="72EDC441" w14:textId="77777777" w:rsidR="00021057" w:rsidRDefault="00B46361" w:rsidP="00021057">
      <w:pPr>
        <w:ind w:firstLine="720"/>
        <w:rPr>
          <w:szCs w:val="26"/>
          <w:shd w:val="clear" w:color="auto" w:fill="FFFFFF"/>
        </w:rPr>
      </w:pPr>
      <w:r>
        <w:rPr>
          <w:szCs w:val="26"/>
          <w:shd w:val="clear" w:color="auto" w:fill="FFFFFF"/>
        </w:rPr>
        <w:t>But Father’s argument would fail even if we were to regard the</w:t>
      </w:r>
      <w:r>
        <w:rPr>
          <w:szCs w:val="26"/>
          <w:shd w:val="clear" w:color="auto" w:fill="FFFFFF"/>
        </w:rPr>
        <w:t xml:space="preserve"> </w:t>
      </w:r>
      <w:r w:rsidRPr="00A77C37">
        <w:rPr>
          <w:i/>
          <w:iCs/>
          <w:szCs w:val="26"/>
          <w:shd w:val="clear" w:color="auto" w:fill="FFFFFF"/>
        </w:rPr>
        <w:t>noscitur a sociis</w:t>
      </w:r>
      <w:r w:rsidRPr="00A77C37">
        <w:rPr>
          <w:szCs w:val="26"/>
          <w:shd w:val="clear" w:color="auto" w:fill="FFFFFF"/>
        </w:rPr>
        <w:t xml:space="preserve"> </w:t>
      </w:r>
      <w:r>
        <w:rPr>
          <w:szCs w:val="26"/>
          <w:shd w:val="clear" w:color="auto" w:fill="FFFFFF"/>
        </w:rPr>
        <w:t>canon as relevant and further assume for sake of argument that the Legislature intended for findings of mental illness and developmental disability under section 300(b)(1)(D) to require the satisfaction of objective criteria commonly rel</w:t>
      </w:r>
      <w:r>
        <w:rPr>
          <w:szCs w:val="26"/>
          <w:shd w:val="clear" w:color="auto" w:fill="FFFFFF"/>
        </w:rPr>
        <w:t>ied upon by professionals in the relevant field</w:t>
      </w:r>
      <w:r w:rsidR="00A53E76">
        <w:rPr>
          <w:szCs w:val="26"/>
          <w:shd w:val="clear" w:color="auto" w:fill="FFFFFF"/>
        </w:rPr>
        <w:t>s</w:t>
      </w:r>
      <w:r>
        <w:rPr>
          <w:szCs w:val="26"/>
          <w:shd w:val="clear" w:color="auto" w:fill="FFFFFF"/>
        </w:rPr>
        <w:t xml:space="preserve">.  It </w:t>
      </w:r>
      <w:r w:rsidRPr="00A77C37">
        <w:rPr>
          <w:szCs w:val="26"/>
          <w:shd w:val="clear" w:color="auto" w:fill="FFFFFF"/>
        </w:rPr>
        <w:t xml:space="preserve">would not make </w:t>
      </w:r>
      <w:r>
        <w:rPr>
          <w:szCs w:val="26"/>
          <w:shd w:val="clear" w:color="auto" w:fill="FFFFFF"/>
        </w:rPr>
        <w:t>mental illness and developmental disability on the one hand, and substance abuse on the other,</w:t>
      </w:r>
      <w:r w:rsidRPr="00A77C37">
        <w:rPr>
          <w:szCs w:val="26"/>
          <w:shd w:val="clear" w:color="auto" w:fill="FFFFFF"/>
        </w:rPr>
        <w:t xml:space="preserve"> “</w:t>
      </w:r>
      <w:r>
        <w:rPr>
          <w:szCs w:val="26"/>
          <w:shd w:val="clear" w:color="auto" w:fill="FFFFFF"/>
        </w:rPr>
        <w:t> ‘ “ ‘</w:t>
      </w:r>
      <w:r w:rsidRPr="00A77C37">
        <w:rPr>
          <w:szCs w:val="26"/>
          <w:shd w:val="clear" w:color="auto" w:fill="FFFFFF"/>
        </w:rPr>
        <w:t>markedly dissimilar</w:t>
      </w:r>
      <w:r>
        <w:rPr>
          <w:szCs w:val="26"/>
          <w:shd w:val="clear" w:color="auto" w:fill="FFFFFF"/>
        </w:rPr>
        <w:t>’ ” ’ </w:t>
      </w:r>
      <w:r w:rsidRPr="00A77C37">
        <w:rPr>
          <w:szCs w:val="26"/>
          <w:shd w:val="clear" w:color="auto" w:fill="FFFFFF"/>
        </w:rPr>
        <w:t>” (</w:t>
      </w:r>
      <w:r w:rsidRPr="00A77C37">
        <w:rPr>
          <w:i/>
          <w:iCs/>
          <w:szCs w:val="26"/>
          <w:shd w:val="clear" w:color="auto" w:fill="FFFFFF"/>
        </w:rPr>
        <w:t>Hernandez</w:t>
      </w:r>
      <w:r w:rsidRPr="00A77C37">
        <w:rPr>
          <w:szCs w:val="26"/>
          <w:shd w:val="clear" w:color="auto" w:fill="FFFFFF"/>
        </w:rPr>
        <w:t xml:space="preserve">, </w:t>
      </w:r>
      <w:r w:rsidRPr="00A77C37">
        <w:rPr>
          <w:i/>
          <w:iCs/>
          <w:szCs w:val="26"/>
          <w:shd w:val="clear" w:color="auto" w:fill="FFFFFF"/>
        </w:rPr>
        <w:t>supra</w:t>
      </w:r>
      <w:r w:rsidRPr="00A77C37">
        <w:rPr>
          <w:szCs w:val="26"/>
          <w:shd w:val="clear" w:color="auto" w:fill="FFFFFF"/>
        </w:rPr>
        <w:t xml:space="preserve">, 10 Cal.App.5th at p. 200) </w:t>
      </w:r>
      <w:r>
        <w:rPr>
          <w:szCs w:val="26"/>
          <w:shd w:val="clear" w:color="auto" w:fill="FFFFFF"/>
        </w:rPr>
        <w:t xml:space="preserve">if the same kind of showing </w:t>
      </w:r>
      <w:r w:rsidR="00985B7F">
        <w:rPr>
          <w:szCs w:val="26"/>
          <w:shd w:val="clear" w:color="auto" w:fill="FFFFFF"/>
        </w:rPr>
        <w:t>were</w:t>
      </w:r>
      <w:r>
        <w:rPr>
          <w:szCs w:val="26"/>
          <w:shd w:val="clear" w:color="auto" w:fill="FFFFFF"/>
        </w:rPr>
        <w:t xml:space="preserve"> not strictly necessary to establish substance abuse.  The Legislature could well have grouped mental illness, developmental disability, and substance abuse together as circumstances that all may </w:t>
      </w:r>
      <w:r>
        <w:rPr>
          <w:szCs w:val="26"/>
          <w:shd w:val="clear" w:color="auto" w:fill="FFFFFF"/>
        </w:rPr>
        <w:t xml:space="preserve">lead to an inability to provide a child with regular care, while at the same time appreciating that each could involve somewhat different kinds of proof.  (See </w:t>
      </w:r>
      <w:r w:rsidRPr="00FB74A7">
        <w:rPr>
          <w:i/>
          <w:iCs/>
          <w:szCs w:val="26"/>
          <w:shd w:val="clear" w:color="auto" w:fill="FFFFFF"/>
        </w:rPr>
        <w:t>Lungren</w:t>
      </w:r>
      <w:r>
        <w:rPr>
          <w:szCs w:val="26"/>
          <w:shd w:val="clear" w:color="auto" w:fill="FFFFFF"/>
        </w:rPr>
        <w:t xml:space="preserve">, </w:t>
      </w:r>
      <w:r w:rsidRPr="00FB74A7">
        <w:rPr>
          <w:i/>
          <w:iCs/>
          <w:szCs w:val="26"/>
          <w:shd w:val="clear" w:color="auto" w:fill="FFFFFF"/>
        </w:rPr>
        <w:t>supra</w:t>
      </w:r>
      <w:r>
        <w:rPr>
          <w:szCs w:val="26"/>
          <w:shd w:val="clear" w:color="auto" w:fill="FFFFFF"/>
        </w:rPr>
        <w:t xml:space="preserve">, </w:t>
      </w:r>
      <w:r w:rsidRPr="00FB74A7">
        <w:rPr>
          <w:szCs w:val="26"/>
          <w:shd w:val="clear" w:color="auto" w:fill="FFFFFF"/>
        </w:rPr>
        <w:t>14</w:t>
      </w:r>
      <w:r w:rsidR="000C316F">
        <w:rPr>
          <w:szCs w:val="26"/>
          <w:shd w:val="clear" w:color="auto" w:fill="FFFFFF"/>
        </w:rPr>
        <w:t> </w:t>
      </w:r>
      <w:r w:rsidRPr="00FB74A7">
        <w:rPr>
          <w:szCs w:val="26"/>
          <w:shd w:val="clear" w:color="auto" w:fill="FFFFFF"/>
        </w:rPr>
        <w:t xml:space="preserve">Cal.4th </w:t>
      </w:r>
      <w:r>
        <w:rPr>
          <w:szCs w:val="26"/>
          <w:shd w:val="clear" w:color="auto" w:fill="FFFFFF"/>
        </w:rPr>
        <w:t>at p.</w:t>
      </w:r>
      <w:r w:rsidRPr="00FB74A7">
        <w:rPr>
          <w:szCs w:val="26"/>
          <w:shd w:val="clear" w:color="auto" w:fill="FFFFFF"/>
        </w:rPr>
        <w:t xml:space="preserve"> 30</w:t>
      </w:r>
      <w:r>
        <w:rPr>
          <w:szCs w:val="26"/>
          <w:shd w:val="clear" w:color="auto" w:fill="FFFFFF"/>
        </w:rPr>
        <w:t xml:space="preserve">8 [rejecting an invocation of the </w:t>
      </w:r>
      <w:r w:rsidRPr="00FB74A7">
        <w:rPr>
          <w:i/>
          <w:iCs/>
          <w:szCs w:val="26"/>
          <w:shd w:val="clear" w:color="auto" w:fill="FFFFFF"/>
        </w:rPr>
        <w:t>noscitur a sociis</w:t>
      </w:r>
      <w:r>
        <w:rPr>
          <w:szCs w:val="26"/>
          <w:shd w:val="clear" w:color="auto" w:fill="FFFFFF"/>
        </w:rPr>
        <w:t xml:space="preserve"> principle</w:t>
      </w:r>
      <w:r>
        <w:rPr>
          <w:szCs w:val="26"/>
          <w:shd w:val="clear" w:color="auto" w:fill="FFFFFF"/>
        </w:rPr>
        <w:t xml:space="preserve"> because </w:t>
      </w:r>
      <w:r w:rsidRPr="00FB74A7">
        <w:rPr>
          <w:szCs w:val="26"/>
          <w:shd w:val="clear" w:color="auto" w:fill="FFFFFF"/>
        </w:rPr>
        <w:t>when</w:t>
      </w:r>
      <w:r>
        <w:rPr>
          <w:szCs w:val="26"/>
          <w:shd w:val="clear" w:color="auto" w:fill="FFFFFF"/>
        </w:rPr>
        <w:t xml:space="preserve"> viewed in light of</w:t>
      </w:r>
      <w:r w:rsidRPr="00FB74A7">
        <w:rPr>
          <w:szCs w:val="26"/>
          <w:shd w:val="clear" w:color="auto" w:fill="FFFFFF"/>
        </w:rPr>
        <w:t xml:space="preserve"> </w:t>
      </w:r>
      <w:r>
        <w:rPr>
          <w:szCs w:val="26"/>
          <w:shd w:val="clear" w:color="auto" w:fill="FFFFFF"/>
        </w:rPr>
        <w:t>the relevant statute’s broader purpose</w:t>
      </w:r>
      <w:r w:rsidRPr="00FB74A7">
        <w:rPr>
          <w:szCs w:val="26"/>
          <w:shd w:val="clear" w:color="auto" w:fill="FFFFFF"/>
        </w:rPr>
        <w:t xml:space="preserve">, </w:t>
      </w:r>
      <w:r>
        <w:rPr>
          <w:szCs w:val="26"/>
          <w:shd w:val="clear" w:color="auto" w:fill="FFFFFF"/>
        </w:rPr>
        <w:t>“</w:t>
      </w:r>
      <w:r w:rsidRPr="00FB74A7">
        <w:rPr>
          <w:szCs w:val="26"/>
          <w:shd w:val="clear" w:color="auto" w:fill="FFFFFF"/>
        </w:rPr>
        <w:t>the seeming dissimilarities between</w:t>
      </w:r>
      <w:r>
        <w:rPr>
          <w:szCs w:val="26"/>
          <w:shd w:val="clear" w:color="auto" w:fill="FFFFFF"/>
        </w:rPr>
        <w:t>” two subjects of legislation “</w:t>
      </w:r>
      <w:r w:rsidRPr="00FB74A7">
        <w:rPr>
          <w:szCs w:val="26"/>
          <w:shd w:val="clear" w:color="auto" w:fill="FFFFFF"/>
        </w:rPr>
        <w:t>become less significant than their similarities</w:t>
      </w:r>
      <w:r>
        <w:rPr>
          <w:szCs w:val="26"/>
          <w:shd w:val="clear" w:color="auto" w:fill="FFFFFF"/>
        </w:rPr>
        <w:t xml:space="preserve">”].) </w:t>
      </w:r>
      <w:r w:rsidRPr="00FB74A7">
        <w:rPr>
          <w:szCs w:val="26"/>
          <w:shd w:val="clear" w:color="auto" w:fill="FFFFFF"/>
        </w:rPr>
        <w:t xml:space="preserve"> </w:t>
      </w:r>
    </w:p>
    <w:p w14:paraId="72EDC442" w14:textId="77777777" w:rsidR="00021057" w:rsidRDefault="00B46361" w:rsidP="00021057">
      <w:pPr>
        <w:ind w:firstLine="720"/>
        <w:rPr>
          <w:szCs w:val="26"/>
          <w:shd w:val="clear" w:color="auto" w:fill="FFFFFF"/>
        </w:rPr>
      </w:pPr>
      <w:r>
        <w:rPr>
          <w:szCs w:val="26"/>
          <w:shd w:val="clear" w:color="auto" w:fill="FFFFFF"/>
        </w:rPr>
        <w:t>In short, t</w:t>
      </w:r>
      <w:r w:rsidRPr="00A77C37">
        <w:rPr>
          <w:szCs w:val="26"/>
          <w:shd w:val="clear" w:color="auto" w:fill="FFFFFF"/>
        </w:rPr>
        <w:t xml:space="preserve">he mere fact that the terms </w:t>
      </w:r>
      <w:r>
        <w:rPr>
          <w:szCs w:val="26"/>
          <w:shd w:val="clear" w:color="auto" w:fill="FFFFFF"/>
        </w:rPr>
        <w:t>“</w:t>
      </w:r>
      <w:r w:rsidRPr="00A77C37">
        <w:rPr>
          <w:szCs w:val="26"/>
          <w:shd w:val="clear" w:color="auto" w:fill="FFFFFF"/>
        </w:rPr>
        <w:t>mental illness,</w:t>
      </w:r>
      <w:r>
        <w:rPr>
          <w:szCs w:val="26"/>
          <w:shd w:val="clear" w:color="auto" w:fill="FFFFFF"/>
        </w:rPr>
        <w:t>”</w:t>
      </w:r>
      <w:r w:rsidRPr="00A77C37">
        <w:rPr>
          <w:szCs w:val="26"/>
          <w:shd w:val="clear" w:color="auto" w:fill="FFFFFF"/>
        </w:rPr>
        <w:t xml:space="preserve"> </w:t>
      </w:r>
      <w:r>
        <w:rPr>
          <w:szCs w:val="26"/>
          <w:shd w:val="clear" w:color="auto" w:fill="FFFFFF"/>
        </w:rPr>
        <w:t>“</w:t>
      </w:r>
      <w:r w:rsidRPr="00A77C37">
        <w:rPr>
          <w:szCs w:val="26"/>
          <w:shd w:val="clear" w:color="auto" w:fill="FFFFFF"/>
        </w:rPr>
        <w:t>deve</w:t>
      </w:r>
      <w:r w:rsidRPr="00A77C37">
        <w:rPr>
          <w:szCs w:val="26"/>
          <w:shd w:val="clear" w:color="auto" w:fill="FFFFFF"/>
        </w:rPr>
        <w:t>lopmental disability,</w:t>
      </w:r>
      <w:r>
        <w:rPr>
          <w:szCs w:val="26"/>
          <w:shd w:val="clear" w:color="auto" w:fill="FFFFFF"/>
        </w:rPr>
        <w:t>”</w:t>
      </w:r>
      <w:r w:rsidRPr="00A77C37">
        <w:rPr>
          <w:szCs w:val="26"/>
          <w:shd w:val="clear" w:color="auto" w:fill="FFFFFF"/>
        </w:rPr>
        <w:t xml:space="preserve"> and </w:t>
      </w:r>
      <w:r>
        <w:rPr>
          <w:szCs w:val="26"/>
          <w:shd w:val="clear" w:color="auto" w:fill="FFFFFF"/>
        </w:rPr>
        <w:t>“</w:t>
      </w:r>
      <w:r w:rsidRPr="00A77C37">
        <w:rPr>
          <w:szCs w:val="26"/>
          <w:shd w:val="clear" w:color="auto" w:fill="FFFFFF"/>
        </w:rPr>
        <w:t>substance abuse</w:t>
      </w:r>
      <w:r>
        <w:rPr>
          <w:szCs w:val="26"/>
          <w:shd w:val="clear" w:color="auto" w:fill="FFFFFF"/>
        </w:rPr>
        <w:t>”</w:t>
      </w:r>
      <w:r w:rsidRPr="00A77C37">
        <w:rPr>
          <w:szCs w:val="26"/>
          <w:shd w:val="clear" w:color="auto" w:fill="FFFFFF"/>
        </w:rPr>
        <w:t xml:space="preserve"> are in close proximity to one another within section 300(b)(1)(D) does not establish that the Legislature intended that similar </w:t>
      </w:r>
      <w:r>
        <w:rPr>
          <w:szCs w:val="26"/>
          <w:shd w:val="clear" w:color="auto" w:fill="FFFFFF"/>
        </w:rPr>
        <w:t>showings</w:t>
      </w:r>
      <w:r w:rsidRPr="00A77C37">
        <w:rPr>
          <w:szCs w:val="26"/>
          <w:shd w:val="clear" w:color="auto" w:fill="FFFFFF"/>
        </w:rPr>
        <w:t xml:space="preserve"> would be required to prove </w:t>
      </w:r>
      <w:r>
        <w:rPr>
          <w:szCs w:val="26"/>
          <w:shd w:val="clear" w:color="auto" w:fill="FFFFFF"/>
        </w:rPr>
        <w:t>them</w:t>
      </w:r>
      <w:r w:rsidRPr="00A77C37">
        <w:rPr>
          <w:szCs w:val="26"/>
          <w:shd w:val="clear" w:color="auto" w:fill="FFFFFF"/>
        </w:rPr>
        <w:t>.</w:t>
      </w:r>
    </w:p>
    <w:p w14:paraId="72EDC443" w14:textId="77777777" w:rsidR="00021057" w:rsidRDefault="00B46361" w:rsidP="00021057">
      <w:pPr>
        <w:ind w:firstLine="720"/>
        <w:rPr>
          <w:szCs w:val="26"/>
        </w:rPr>
      </w:pPr>
      <w:r>
        <w:rPr>
          <w:szCs w:val="26"/>
          <w:shd w:val="clear" w:color="auto" w:fill="FFFFFF"/>
        </w:rPr>
        <w:t xml:space="preserve">Father also argues that </w:t>
      </w:r>
      <w:r>
        <w:rPr>
          <w:szCs w:val="26"/>
          <w:shd w:val="clear" w:color="auto" w:fill="FFFFFF"/>
        </w:rPr>
        <w:t>references to substance abuse treatment programs (</w:t>
      </w:r>
      <w:r w:rsidRPr="0053513F">
        <w:rPr>
          <w:szCs w:val="26"/>
        </w:rPr>
        <w:t>§</w:t>
      </w:r>
      <w:r>
        <w:rPr>
          <w:szCs w:val="26"/>
          <w:shd w:val="clear" w:color="auto" w:fill="FFFFFF"/>
        </w:rPr>
        <w:t>§ 300.2, subd. (a),</w:t>
      </w:r>
      <w:r w:rsidRPr="0053513F">
        <w:rPr>
          <w:szCs w:val="26"/>
        </w:rPr>
        <w:t> 361.5, subd. (a)(3)(A)</w:t>
      </w:r>
      <w:r>
        <w:rPr>
          <w:szCs w:val="26"/>
          <w:shd w:val="clear" w:color="auto" w:fill="FFFFFF"/>
        </w:rPr>
        <w:t xml:space="preserve">) and substance abuse treatment facilities (e.g., </w:t>
      </w:r>
      <w:r w:rsidRPr="0053513F">
        <w:rPr>
          <w:szCs w:val="26"/>
        </w:rPr>
        <w:t>§§ 366.21, subd. (e)(1)</w:t>
      </w:r>
      <w:r>
        <w:rPr>
          <w:szCs w:val="26"/>
        </w:rPr>
        <w:t xml:space="preserve">, 366.22, subd. (a)(1)) </w:t>
      </w:r>
      <w:r>
        <w:rPr>
          <w:szCs w:val="26"/>
          <w:shd w:val="clear" w:color="auto" w:fill="FFFFFF"/>
        </w:rPr>
        <w:t>appearing elsewhere within the statutory scheme</w:t>
      </w:r>
      <w:r>
        <w:rPr>
          <w:szCs w:val="26"/>
        </w:rPr>
        <w:t xml:space="preserve"> connote a focus up</w:t>
      </w:r>
      <w:r>
        <w:rPr>
          <w:szCs w:val="26"/>
        </w:rPr>
        <w:t xml:space="preserve">on substance </w:t>
      </w:r>
      <w:r w:rsidR="003F0FF0">
        <w:rPr>
          <w:szCs w:val="26"/>
        </w:rPr>
        <w:t>use</w:t>
      </w:r>
      <w:r>
        <w:rPr>
          <w:szCs w:val="26"/>
        </w:rPr>
        <w:t xml:space="preserve"> severe enough to require</w:t>
      </w:r>
      <w:r>
        <w:rPr>
          <w:szCs w:val="26"/>
          <w:shd w:val="clear" w:color="auto" w:fill="FFFFFF"/>
        </w:rPr>
        <w:t xml:space="preserve"> treatment, and that the DSM criteria provide the appropriate framework for determining whether substance abuse exists under this standard. </w:t>
      </w:r>
      <w:r>
        <w:rPr>
          <w:szCs w:val="26"/>
        </w:rPr>
        <w:t xml:space="preserve"> </w:t>
      </w:r>
    </w:p>
    <w:p w14:paraId="72EDC444" w14:textId="77777777" w:rsidR="00021057" w:rsidRPr="00A77C37" w:rsidRDefault="00B46361" w:rsidP="00021057">
      <w:pPr>
        <w:ind w:firstLine="720"/>
        <w:rPr>
          <w:szCs w:val="26"/>
        </w:rPr>
      </w:pPr>
      <w:r w:rsidRPr="00060909">
        <w:rPr>
          <w:szCs w:val="26"/>
        </w:rPr>
        <w:t>This argument reads too much into these provisions,</w:t>
      </w:r>
      <w:r>
        <w:rPr>
          <w:szCs w:val="26"/>
        </w:rPr>
        <w:t xml:space="preserve"> which concern the sig</w:t>
      </w:r>
      <w:r>
        <w:rPr>
          <w:szCs w:val="26"/>
        </w:rPr>
        <w:t>nificance to be accorded at different stages of the dependency process to a parent</w:t>
      </w:r>
      <w:r w:rsidR="000D0046">
        <w:rPr>
          <w:szCs w:val="26"/>
        </w:rPr>
        <w:t>’s</w:t>
      </w:r>
      <w:r>
        <w:rPr>
          <w:szCs w:val="26"/>
        </w:rPr>
        <w:t xml:space="preserve"> or guardian’s enrollment in a substance abuse treatment or facility (e.g., </w:t>
      </w:r>
      <w:r w:rsidRPr="0053513F">
        <w:rPr>
          <w:szCs w:val="26"/>
        </w:rPr>
        <w:t>§</w:t>
      </w:r>
      <w:r>
        <w:rPr>
          <w:szCs w:val="26"/>
          <w:shd w:val="clear" w:color="auto" w:fill="FFFFFF"/>
        </w:rPr>
        <w:t>§ </w:t>
      </w:r>
      <w:r w:rsidRPr="0053513F">
        <w:rPr>
          <w:szCs w:val="26"/>
        </w:rPr>
        <w:t>361.5, subd. (a)(3)(A</w:t>
      </w:r>
      <w:r>
        <w:rPr>
          <w:szCs w:val="26"/>
        </w:rPr>
        <w:t xml:space="preserve">), </w:t>
      </w:r>
      <w:r w:rsidRPr="0053513F">
        <w:rPr>
          <w:szCs w:val="26"/>
        </w:rPr>
        <w:t>366.21, subd. (e)(1)</w:t>
      </w:r>
      <w:r>
        <w:rPr>
          <w:szCs w:val="26"/>
        </w:rPr>
        <w:t>, 366.22, subd. (a)(1)) or to the successful comp</w:t>
      </w:r>
      <w:r>
        <w:rPr>
          <w:szCs w:val="26"/>
        </w:rPr>
        <w:t xml:space="preserve">letion of, or failure to complete, a substance abuse treatment program (e.g., </w:t>
      </w:r>
      <w:r>
        <w:rPr>
          <w:szCs w:val="26"/>
          <w:shd w:val="clear" w:color="auto" w:fill="FFFFFF"/>
        </w:rPr>
        <w:t>§ 300.2, subd. (a)</w:t>
      </w:r>
      <w:r w:rsidR="00B97AE3">
        <w:rPr>
          <w:szCs w:val="26"/>
          <w:shd w:val="clear" w:color="auto" w:fill="FFFFFF"/>
        </w:rPr>
        <w:t>;</w:t>
      </w:r>
      <w:r>
        <w:rPr>
          <w:szCs w:val="26"/>
          <w:shd w:val="clear" w:color="auto" w:fill="FFFFFF"/>
        </w:rPr>
        <w:t xml:space="preserve"> </w:t>
      </w:r>
      <w:r w:rsidR="00B97AE3">
        <w:rPr>
          <w:szCs w:val="26"/>
          <w:shd w:val="clear" w:color="auto" w:fill="FFFFFF"/>
        </w:rPr>
        <w:t>§</w:t>
      </w:r>
      <w:r w:rsidR="007966E4">
        <w:rPr>
          <w:szCs w:val="26"/>
          <w:shd w:val="clear" w:color="auto" w:fill="FFFFFF"/>
        </w:rPr>
        <w:t> </w:t>
      </w:r>
      <w:r>
        <w:rPr>
          <w:szCs w:val="26"/>
          <w:shd w:val="clear" w:color="auto" w:fill="FFFFFF"/>
        </w:rPr>
        <w:t>364, subd. (c) [referring to a “court ordered treatment program”])</w:t>
      </w:r>
      <w:r>
        <w:rPr>
          <w:szCs w:val="26"/>
        </w:rPr>
        <w:t>.  These scattered references to treatment in varied contexts do not establish that the Le</w:t>
      </w:r>
      <w:r>
        <w:rPr>
          <w:szCs w:val="26"/>
        </w:rPr>
        <w:t xml:space="preserve">gislature regarded substance abuse as present under section 300(b)(1)(D) </w:t>
      </w:r>
      <w:r w:rsidRPr="00C77B43">
        <w:t>only</w:t>
      </w:r>
      <w:r>
        <w:rPr>
          <w:szCs w:val="26"/>
        </w:rPr>
        <w:t xml:space="preserve"> when the relevant DSM criteria for a substance use disorder have been satisfied.  The Legislature could have recognized the existence of substance abuse treatment programs and fa</w:t>
      </w:r>
      <w:r>
        <w:rPr>
          <w:szCs w:val="26"/>
        </w:rPr>
        <w:t>cilities, and further sought to explain the relationship between enrollment in a program or facility and decisions that must be made at different stages of the dependency process, without also perceiving the close connections a</w:t>
      </w:r>
      <w:r w:rsidR="00EF5B70">
        <w:rPr>
          <w:szCs w:val="26"/>
        </w:rPr>
        <w:t xml:space="preserve">mong </w:t>
      </w:r>
      <w:r>
        <w:rPr>
          <w:szCs w:val="26"/>
        </w:rPr>
        <w:t>substance abuse, treatme</w:t>
      </w:r>
      <w:r>
        <w:rPr>
          <w:szCs w:val="26"/>
        </w:rPr>
        <w:t xml:space="preserve">nt, and the DSM that Father </w:t>
      </w:r>
      <w:r w:rsidR="001240D0">
        <w:rPr>
          <w:szCs w:val="26"/>
        </w:rPr>
        <w:t>advances</w:t>
      </w:r>
      <w:r w:rsidR="00A4085C">
        <w:rPr>
          <w:szCs w:val="26"/>
        </w:rPr>
        <w:t xml:space="preserve"> in his interpretation of section 300(b)(1)(D)</w:t>
      </w:r>
      <w:r>
        <w:rPr>
          <w:szCs w:val="26"/>
        </w:rPr>
        <w:t xml:space="preserve">.  Indeed, as we have explained, the weight of evidence of legislative intent that can be gleaned from the statutory text indicates that these connections were </w:t>
      </w:r>
      <w:r w:rsidRPr="00C77B43">
        <w:rPr>
          <w:i/>
        </w:rPr>
        <w:t>not</w:t>
      </w:r>
      <w:r>
        <w:rPr>
          <w:szCs w:val="26"/>
        </w:rPr>
        <w:t xml:space="preserve"> intended</w:t>
      </w:r>
      <w:r w:rsidR="006F49A0">
        <w:rPr>
          <w:szCs w:val="26"/>
        </w:rPr>
        <w:t xml:space="preserve">.  </w:t>
      </w:r>
      <w:r w:rsidR="001142FD">
        <w:rPr>
          <w:szCs w:val="26"/>
        </w:rPr>
        <w:t>Instead,</w:t>
      </w:r>
      <w:r w:rsidR="001240D0">
        <w:rPr>
          <w:szCs w:val="26"/>
        </w:rPr>
        <w:t xml:space="preserve"> </w:t>
      </w:r>
      <w:r>
        <w:rPr>
          <w:szCs w:val="26"/>
        </w:rPr>
        <w:t xml:space="preserve">the term “substance abuse” </w:t>
      </w:r>
      <w:r w:rsidR="001142FD">
        <w:rPr>
          <w:szCs w:val="26"/>
        </w:rPr>
        <w:t xml:space="preserve">carries its ordinary meaning as used </w:t>
      </w:r>
      <w:r w:rsidR="00020290">
        <w:rPr>
          <w:szCs w:val="26"/>
        </w:rPr>
        <w:t xml:space="preserve">in </w:t>
      </w:r>
      <w:r>
        <w:rPr>
          <w:szCs w:val="26"/>
        </w:rPr>
        <w:t>section 300(b)(1)(D)</w:t>
      </w:r>
      <w:r w:rsidR="006F49A0">
        <w:rPr>
          <w:szCs w:val="26"/>
        </w:rPr>
        <w:t>, with</w:t>
      </w:r>
      <w:r w:rsidR="001240D0">
        <w:rPr>
          <w:szCs w:val="26"/>
        </w:rPr>
        <w:t xml:space="preserve"> </w:t>
      </w:r>
      <w:r w:rsidR="002A0395">
        <w:rPr>
          <w:szCs w:val="26"/>
        </w:rPr>
        <w:t>other language within the statute</w:t>
      </w:r>
      <w:r w:rsidR="001240D0">
        <w:rPr>
          <w:szCs w:val="26"/>
        </w:rPr>
        <w:t xml:space="preserve"> </w:t>
      </w:r>
      <w:r w:rsidR="006F49A0">
        <w:rPr>
          <w:szCs w:val="26"/>
        </w:rPr>
        <w:t xml:space="preserve">harmonizing this </w:t>
      </w:r>
      <w:r w:rsidR="001142FD">
        <w:rPr>
          <w:szCs w:val="26"/>
        </w:rPr>
        <w:t>definition</w:t>
      </w:r>
      <w:r w:rsidR="001240D0">
        <w:rPr>
          <w:szCs w:val="26"/>
        </w:rPr>
        <w:t xml:space="preserve"> with the overa</w:t>
      </w:r>
      <w:r w:rsidR="006F49A0">
        <w:rPr>
          <w:szCs w:val="26"/>
        </w:rPr>
        <w:t>rching</w:t>
      </w:r>
      <w:r w:rsidR="001240D0">
        <w:rPr>
          <w:szCs w:val="26"/>
        </w:rPr>
        <w:t xml:space="preserve"> goals of the dependency scheme by clarifying that</w:t>
      </w:r>
      <w:r w:rsidR="006F49A0">
        <w:rPr>
          <w:szCs w:val="26"/>
        </w:rPr>
        <w:t>, to supply grounds for dependency jurisdiction,</w:t>
      </w:r>
      <w:r w:rsidR="001240D0">
        <w:rPr>
          <w:szCs w:val="26"/>
        </w:rPr>
        <w:t xml:space="preserve"> substance abuse must make the parent or guardian unable to provide regular care for a child and lead to serious physical harm to the child, or a substantial risk of such harm</w:t>
      </w:r>
      <w:r w:rsidR="00947186">
        <w:rPr>
          <w:szCs w:val="26"/>
        </w:rPr>
        <w:t>.</w:t>
      </w:r>
      <w:r w:rsidR="00A4085C">
        <w:rPr>
          <w:szCs w:val="26"/>
        </w:rPr>
        <w:t xml:space="preserve">  </w:t>
      </w:r>
    </w:p>
    <w:p w14:paraId="72EDC445" w14:textId="77777777" w:rsidR="00021057" w:rsidRPr="00A77C37" w:rsidRDefault="00B46361" w:rsidP="00021057">
      <w:pPr>
        <w:pStyle w:val="Heading3"/>
        <w:numPr>
          <w:ilvl w:val="0"/>
          <w:numId w:val="38"/>
        </w:numPr>
        <w:tabs>
          <w:tab w:val="clear" w:pos="1584"/>
          <w:tab w:val="left" w:pos="1440"/>
        </w:tabs>
        <w:ind w:left="1440"/>
      </w:pPr>
      <w:r w:rsidRPr="00A77C37">
        <w:t xml:space="preserve">Legislative History </w:t>
      </w:r>
    </w:p>
    <w:p w14:paraId="72EDC446" w14:textId="77777777" w:rsidR="00021057" w:rsidRPr="00A77C37" w:rsidRDefault="00B46361" w:rsidP="00021057">
      <w:pPr>
        <w:ind w:firstLine="720"/>
        <w:rPr>
          <w:szCs w:val="26"/>
        </w:rPr>
      </w:pPr>
      <w:r>
        <w:rPr>
          <w:szCs w:val="26"/>
        </w:rPr>
        <w:t>Although the lack of textual support for Father’s position is compelling, we also</w:t>
      </w:r>
      <w:r w:rsidRPr="00A77C37">
        <w:rPr>
          <w:szCs w:val="26"/>
        </w:rPr>
        <w:t xml:space="preserve"> </w:t>
      </w:r>
      <w:r>
        <w:rPr>
          <w:szCs w:val="26"/>
        </w:rPr>
        <w:t>consider</w:t>
      </w:r>
      <w:r w:rsidRPr="00A77C37">
        <w:rPr>
          <w:szCs w:val="26"/>
        </w:rPr>
        <w:t xml:space="preserve"> Father’s argument that his interpretation</w:t>
      </w:r>
      <w:r>
        <w:rPr>
          <w:szCs w:val="26"/>
        </w:rPr>
        <w:t xml:space="preserve"> of section 300(b)(1)(D)</w:t>
      </w:r>
      <w:r w:rsidRPr="00A77C37">
        <w:rPr>
          <w:szCs w:val="26"/>
        </w:rPr>
        <w:t xml:space="preserve"> is grounded in the legislative history of, and purposes b</w:t>
      </w:r>
      <w:r w:rsidRPr="00A77C37">
        <w:rPr>
          <w:szCs w:val="26"/>
        </w:rPr>
        <w:t xml:space="preserve">ehind, the dependency scheme. </w:t>
      </w:r>
      <w:r>
        <w:rPr>
          <w:szCs w:val="26"/>
        </w:rPr>
        <w:t xml:space="preserve"> We conclude this contention is no more persuasive than Father’s textual arguments.  </w:t>
      </w:r>
    </w:p>
    <w:p w14:paraId="72EDC447" w14:textId="77777777" w:rsidR="00021057" w:rsidRPr="00A77C37" w:rsidRDefault="00B46361" w:rsidP="00021057">
      <w:pPr>
        <w:ind w:firstLine="720"/>
        <w:rPr>
          <w:szCs w:val="26"/>
        </w:rPr>
      </w:pPr>
      <w:r>
        <w:rPr>
          <w:szCs w:val="26"/>
        </w:rPr>
        <w:t>T</w:t>
      </w:r>
      <w:r w:rsidRPr="00A77C37">
        <w:rPr>
          <w:szCs w:val="26"/>
        </w:rPr>
        <w:t xml:space="preserve">he legislative history materials surrounding the 1987 amendments to the dependency scheme do not mention the DSM at all.  The </w:t>
      </w:r>
      <w:r>
        <w:rPr>
          <w:szCs w:val="26"/>
        </w:rPr>
        <w:t>absence</w:t>
      </w:r>
      <w:r w:rsidRPr="00A77C37">
        <w:rPr>
          <w:szCs w:val="26"/>
        </w:rPr>
        <w:t xml:space="preserve"> of an</w:t>
      </w:r>
      <w:r w:rsidRPr="00A77C37">
        <w:rPr>
          <w:szCs w:val="26"/>
        </w:rPr>
        <w:t xml:space="preserve">y such discussion </w:t>
      </w:r>
      <w:r>
        <w:rPr>
          <w:szCs w:val="26"/>
        </w:rPr>
        <w:t xml:space="preserve">provides a persuasive indication </w:t>
      </w:r>
      <w:r w:rsidRPr="00A77C37">
        <w:rPr>
          <w:szCs w:val="26"/>
        </w:rPr>
        <w:t>that the Legislature did not intend to restrict judicial findings of substance abuse to circumstances</w:t>
      </w:r>
      <w:r>
        <w:rPr>
          <w:szCs w:val="26"/>
        </w:rPr>
        <w:t xml:space="preserve"> in which the DSM criteria have been satisfied</w:t>
      </w:r>
      <w:r w:rsidRPr="00A77C37">
        <w:rPr>
          <w:szCs w:val="26"/>
        </w:rPr>
        <w:t xml:space="preserve">.  (See, e.g., </w:t>
      </w:r>
      <w:r w:rsidRPr="00A77C37">
        <w:rPr>
          <w:i/>
          <w:iCs/>
          <w:szCs w:val="26"/>
        </w:rPr>
        <w:t>Larkin v. Workers’ Comp. Appeals Bd.</w:t>
      </w:r>
      <w:r w:rsidRPr="00A77C37">
        <w:rPr>
          <w:szCs w:val="26"/>
        </w:rPr>
        <w:t xml:space="preserve"> (2015)</w:t>
      </w:r>
      <w:r w:rsidRPr="00A77C37">
        <w:rPr>
          <w:szCs w:val="26"/>
        </w:rPr>
        <w:t xml:space="preserve"> 62 Cal.4th 152, 166 [assigning significance to the absence of discussion of an issue within legislative history materials]; </w:t>
      </w:r>
      <w:r w:rsidRPr="00A77C37">
        <w:rPr>
          <w:i/>
          <w:iCs/>
          <w:szCs w:val="26"/>
        </w:rPr>
        <w:t>Jones v. Lodge at Torrey Pines Partnership</w:t>
      </w:r>
      <w:r w:rsidRPr="00A77C37">
        <w:rPr>
          <w:szCs w:val="26"/>
        </w:rPr>
        <w:t xml:space="preserve"> (2008) 42 Cal.4th 1158, 1169 [same].)  </w:t>
      </w:r>
    </w:p>
    <w:p w14:paraId="72EDC448" w14:textId="77777777" w:rsidR="00021057" w:rsidRPr="00A77C37" w:rsidRDefault="00B46361" w:rsidP="00021057">
      <w:pPr>
        <w:ind w:firstLine="720"/>
        <w:rPr>
          <w:szCs w:val="26"/>
        </w:rPr>
      </w:pPr>
      <w:r w:rsidRPr="00A77C37">
        <w:rPr>
          <w:szCs w:val="26"/>
        </w:rPr>
        <w:t xml:space="preserve">Father nonetheless argues that linking findings </w:t>
      </w:r>
      <w:r w:rsidRPr="00A77C37">
        <w:rPr>
          <w:szCs w:val="26"/>
        </w:rPr>
        <w:t>of substance abuse to the prevailing DSM criteria</w:t>
      </w:r>
      <w:r>
        <w:rPr>
          <w:szCs w:val="26"/>
        </w:rPr>
        <w:t xml:space="preserve"> for substance use disorders</w:t>
      </w:r>
      <w:r w:rsidRPr="00A77C37">
        <w:rPr>
          <w:szCs w:val="26"/>
        </w:rPr>
        <w:t xml:space="preserve"> would advance the enacting Legislature’s goals of clarifying the grounds for dependency jurisdiction (see </w:t>
      </w:r>
      <w:r w:rsidRPr="00A77C37">
        <w:rPr>
          <w:i/>
          <w:iCs/>
          <w:szCs w:val="26"/>
        </w:rPr>
        <w:t>R.T.</w:t>
      </w:r>
      <w:r w:rsidRPr="00A77C37">
        <w:rPr>
          <w:szCs w:val="26"/>
        </w:rPr>
        <w:t xml:space="preserve">, </w:t>
      </w:r>
      <w:r w:rsidRPr="00A77C37">
        <w:rPr>
          <w:i/>
          <w:iCs/>
          <w:szCs w:val="26"/>
        </w:rPr>
        <w:t>supra</w:t>
      </w:r>
      <w:r w:rsidRPr="00A77C37">
        <w:rPr>
          <w:szCs w:val="26"/>
        </w:rPr>
        <w:t xml:space="preserve">, 3 Cal.5th at p. 631) and distinguishing between substance </w:t>
      </w:r>
      <w:r w:rsidRPr="00A77C37">
        <w:rPr>
          <w:i/>
          <w:iCs/>
          <w:szCs w:val="26"/>
        </w:rPr>
        <w:t>u</w:t>
      </w:r>
      <w:r w:rsidRPr="00A77C37">
        <w:rPr>
          <w:i/>
          <w:iCs/>
          <w:szCs w:val="26"/>
        </w:rPr>
        <w:t>se</w:t>
      </w:r>
      <w:r w:rsidRPr="00A77C37">
        <w:rPr>
          <w:szCs w:val="26"/>
        </w:rPr>
        <w:t xml:space="preserve"> and substance </w:t>
      </w:r>
      <w:r w:rsidRPr="00A77C37">
        <w:rPr>
          <w:i/>
          <w:iCs/>
          <w:szCs w:val="26"/>
        </w:rPr>
        <w:t>abuse</w:t>
      </w:r>
      <w:r w:rsidRPr="00A77C37">
        <w:rPr>
          <w:szCs w:val="26"/>
        </w:rPr>
        <w:t xml:space="preserve">.  </w:t>
      </w:r>
      <w:r>
        <w:rPr>
          <w:szCs w:val="26"/>
        </w:rPr>
        <w:t>Our</w:t>
      </w:r>
      <w:r w:rsidRPr="00A77C37">
        <w:rPr>
          <w:szCs w:val="26"/>
        </w:rPr>
        <w:t xml:space="preserve"> review of the pertinent legislative history materials, </w:t>
      </w:r>
      <w:r>
        <w:rPr>
          <w:szCs w:val="26"/>
        </w:rPr>
        <w:t>set out</w:t>
      </w:r>
      <w:r w:rsidRPr="00A77C37">
        <w:rPr>
          <w:szCs w:val="26"/>
        </w:rPr>
        <w:t xml:space="preserve"> below, corroborates Father’s understanding that the Legislature had these general aims in mind when it </w:t>
      </w:r>
      <w:r>
        <w:rPr>
          <w:szCs w:val="26"/>
        </w:rPr>
        <w:t xml:space="preserve">added the substance abuse language to </w:t>
      </w:r>
      <w:r w:rsidRPr="00A77C37">
        <w:rPr>
          <w:szCs w:val="26"/>
        </w:rPr>
        <w:t xml:space="preserve">section 300 in 1987.  </w:t>
      </w:r>
      <w:r>
        <w:rPr>
          <w:szCs w:val="26"/>
        </w:rPr>
        <w:t>B</w:t>
      </w:r>
      <w:r>
        <w:rPr>
          <w:szCs w:val="26"/>
        </w:rPr>
        <w:t>ut</w:t>
      </w:r>
      <w:r w:rsidRPr="00A77C37">
        <w:rPr>
          <w:szCs w:val="26"/>
        </w:rPr>
        <w:t xml:space="preserve"> </w:t>
      </w:r>
      <w:r>
        <w:rPr>
          <w:szCs w:val="26"/>
        </w:rPr>
        <w:t>we</w:t>
      </w:r>
      <w:r w:rsidRPr="00A77C37">
        <w:rPr>
          <w:szCs w:val="26"/>
        </w:rPr>
        <w:t xml:space="preserve"> do not believe the Legislature implemented these goals by defining substance abuse in the manner Father proposes.</w:t>
      </w:r>
    </w:p>
    <w:p w14:paraId="72EDC449" w14:textId="77777777" w:rsidR="00021057" w:rsidRPr="00A77C37" w:rsidRDefault="00B46361" w:rsidP="00021057">
      <w:pPr>
        <w:ind w:firstLine="720"/>
        <w:rPr>
          <w:szCs w:val="26"/>
        </w:rPr>
      </w:pPr>
      <w:r w:rsidRPr="00A77C37">
        <w:rPr>
          <w:szCs w:val="26"/>
        </w:rPr>
        <w:t>As background, the legislation that added the substance abuse language to section 300 (Sen. Bill No. 243 (1987–1988 Reg. Sess.) (Sen</w:t>
      </w:r>
      <w:r w:rsidR="00316987">
        <w:rPr>
          <w:szCs w:val="26"/>
        </w:rPr>
        <w:t>ate</w:t>
      </w:r>
      <w:r w:rsidRPr="00A77C37">
        <w:rPr>
          <w:szCs w:val="26"/>
        </w:rPr>
        <w:t xml:space="preserve"> </w:t>
      </w:r>
      <w:r w:rsidRPr="00A77C37">
        <w:rPr>
          <w:szCs w:val="26"/>
        </w:rPr>
        <w:t xml:space="preserve">Bill No. 243)) was developed by a task force that had been charged by statute with reviewing the laws relating to child abuse reporting, dependent children, and child welfare services, and </w:t>
      </w:r>
      <w:r>
        <w:rPr>
          <w:szCs w:val="26"/>
        </w:rPr>
        <w:t xml:space="preserve">had been </w:t>
      </w:r>
      <w:r w:rsidRPr="00A77C37">
        <w:rPr>
          <w:szCs w:val="26"/>
        </w:rPr>
        <w:t>directed to “identify problem areas in the law” and recomm</w:t>
      </w:r>
      <w:r w:rsidRPr="00A77C37">
        <w:rPr>
          <w:szCs w:val="26"/>
        </w:rPr>
        <w:t>end “statutory revisions to strengthen and compliment the child welfare system in California.”  (</w:t>
      </w:r>
      <w:bookmarkStart w:id="2" w:name="_Hlk150248146"/>
      <w:r w:rsidRPr="00A95E32">
        <w:rPr>
          <w:szCs w:val="26"/>
        </w:rPr>
        <w:t>Stats. 1986, ch. 1122, § 24, p. 3995</w:t>
      </w:r>
      <w:bookmarkEnd w:id="2"/>
      <w:r w:rsidRPr="00A77C37">
        <w:rPr>
          <w:szCs w:val="26"/>
        </w:rPr>
        <w:t xml:space="preserve">.)  Among its findings, the task force determined that section 300, as it existed prior to 1987, provided “very </w:t>
      </w:r>
      <w:r w:rsidRPr="00A77C37">
        <w:rPr>
          <w:szCs w:val="26"/>
        </w:rPr>
        <w:t>little guidance to investigating and petitioning agencies, to judges, attorneys or to parents as to what actions or harms justify state intervention.  Existing law states that a child that comes within any of the following descriptions is within the jurisd</w:t>
      </w:r>
      <w:r w:rsidRPr="00A77C37">
        <w:rPr>
          <w:szCs w:val="26"/>
        </w:rPr>
        <w:t>iction of the juvenile court:  is in need of proper and effective parental care and control; is destitute; is dangerous to the public; [or] lives in a home which is an unfit place for him or her.  Because there is little legislative guidance, different age</w:t>
      </w:r>
      <w:r w:rsidRPr="00A77C37">
        <w:rPr>
          <w:szCs w:val="26"/>
        </w:rPr>
        <w:t>ncies and individuals employ different standards, and cases are inappropriately brought into the system.”  (</w:t>
      </w:r>
      <w:bookmarkStart w:id="3" w:name="_Hlk150248237"/>
      <w:r w:rsidRPr="00C903E9">
        <w:rPr>
          <w:szCs w:val="26"/>
        </w:rPr>
        <w:t>Sen. Com. on Judiciary, Analysis of Sen. Bill No. 243 (1987–1988 Reg. Sess.) as amended April 27, 1987, p. 3</w:t>
      </w:r>
      <w:bookmarkEnd w:id="3"/>
      <w:r w:rsidRPr="00A77C37">
        <w:rPr>
          <w:szCs w:val="26"/>
        </w:rPr>
        <w:t>.)  The Legislature hoped that legislati</w:t>
      </w:r>
      <w:r w:rsidRPr="00A77C37">
        <w:rPr>
          <w:szCs w:val="26"/>
        </w:rPr>
        <w:t>on developed by the task force would “more clearly define the conditions under which a child could be removed from the family home.”  (</w:t>
      </w:r>
      <w:r w:rsidRPr="00C903E9">
        <w:rPr>
          <w:i/>
          <w:iCs/>
          <w:szCs w:val="26"/>
        </w:rPr>
        <w:t>Ibid</w:t>
      </w:r>
      <w:r w:rsidRPr="00A77C37">
        <w:rPr>
          <w:szCs w:val="26"/>
        </w:rPr>
        <w:t xml:space="preserve">.; see also </w:t>
      </w:r>
      <w:r w:rsidRPr="0021765B">
        <w:rPr>
          <w:szCs w:val="26"/>
        </w:rPr>
        <w:t>Sen. Rules Com., Off. of Sen. Floor Analyses, 3d reading analysis of Sen. Bill No. 243 (1987–1988 Reg. Se</w:t>
      </w:r>
      <w:r w:rsidRPr="0021765B">
        <w:rPr>
          <w:szCs w:val="26"/>
        </w:rPr>
        <w:t>ss.) as amended Sept. 10, 1987, p. 1</w:t>
      </w:r>
      <w:r w:rsidRPr="00A77C37">
        <w:rPr>
          <w:szCs w:val="26"/>
        </w:rPr>
        <w:t xml:space="preserve"> [describing the </w:t>
      </w:r>
      <w:r>
        <w:rPr>
          <w:szCs w:val="26"/>
        </w:rPr>
        <w:t>proposed legislation</w:t>
      </w:r>
      <w:r w:rsidRPr="00A77C37">
        <w:rPr>
          <w:szCs w:val="26"/>
        </w:rPr>
        <w:t xml:space="preserve"> as “[c]learly defin</w:t>
      </w:r>
      <w:r>
        <w:rPr>
          <w:szCs w:val="26"/>
        </w:rPr>
        <w:t>[</w:t>
      </w:r>
      <w:r w:rsidRPr="00A77C37">
        <w:rPr>
          <w:szCs w:val="26"/>
        </w:rPr>
        <w:t xml:space="preserve">ing] the conditions under which a child can be removed from the family and/or the court can exercise jurisdiction”]; </w:t>
      </w:r>
      <w:r w:rsidRPr="0021765B">
        <w:rPr>
          <w:szCs w:val="26"/>
        </w:rPr>
        <w:t>Legis. Analyst, analysis of Sen. Bill No. 243</w:t>
      </w:r>
      <w:r w:rsidRPr="0021765B">
        <w:rPr>
          <w:szCs w:val="26"/>
        </w:rPr>
        <w:t xml:space="preserve"> (1987–1988 Reg. Sess.) as amended May 2</w:t>
      </w:r>
      <w:r w:rsidR="0021765B">
        <w:rPr>
          <w:szCs w:val="26"/>
        </w:rPr>
        <w:t>6</w:t>
      </w:r>
      <w:r w:rsidRPr="0021765B">
        <w:rPr>
          <w:szCs w:val="26"/>
        </w:rPr>
        <w:t>, 1987, p. 1</w:t>
      </w:r>
      <w:r w:rsidRPr="00A77C37">
        <w:rPr>
          <w:szCs w:val="26"/>
        </w:rPr>
        <w:t xml:space="preserve"> [observing that the </w:t>
      </w:r>
      <w:r>
        <w:rPr>
          <w:szCs w:val="26"/>
        </w:rPr>
        <w:t>measure</w:t>
      </w:r>
      <w:r w:rsidRPr="00A77C37">
        <w:rPr>
          <w:szCs w:val="26"/>
        </w:rPr>
        <w:t xml:space="preserve"> “</w:t>
      </w:r>
      <w:r>
        <w:rPr>
          <w:szCs w:val="26"/>
        </w:rPr>
        <w:t>[n]</w:t>
      </w:r>
      <w:r w:rsidRPr="00A77C37">
        <w:rPr>
          <w:szCs w:val="26"/>
        </w:rPr>
        <w:t>arrows the definition of abuse for purposes of dependency proceedings”]; Assem. Com. on Judiciary, Analysis of Sen. Bill No. 243 (1987–1988 Reg. Sess.) as amended Aug. 17</w:t>
      </w:r>
      <w:r w:rsidRPr="00A77C37">
        <w:rPr>
          <w:szCs w:val="26"/>
        </w:rPr>
        <w:t xml:space="preserve">, 1987, pp. 1, 3.)  </w:t>
      </w:r>
    </w:p>
    <w:p w14:paraId="72EDC44A" w14:textId="77777777" w:rsidR="00021057" w:rsidRPr="00A77C37" w:rsidRDefault="00B46361" w:rsidP="00021057">
      <w:pPr>
        <w:ind w:firstLine="720"/>
        <w:rPr>
          <w:szCs w:val="26"/>
        </w:rPr>
      </w:pPr>
      <w:r w:rsidRPr="00A77C37">
        <w:rPr>
          <w:szCs w:val="26"/>
        </w:rPr>
        <w:t xml:space="preserve">As originally introduced in the Legislature, Senate Bill No. 243 provided for dependency jurisdiction in circumstances </w:t>
      </w:r>
      <w:r>
        <w:rPr>
          <w:szCs w:val="26"/>
        </w:rPr>
        <w:t>such as</w:t>
      </w:r>
      <w:r w:rsidRPr="00A77C37">
        <w:rPr>
          <w:szCs w:val="26"/>
        </w:rPr>
        <w:t xml:space="preserve"> where “[t]he minor has suffered, or there is a substantial risk that he or she will imminently suffer, physi</w:t>
      </w:r>
      <w:r w:rsidRPr="00A77C37">
        <w:rPr>
          <w:szCs w:val="26"/>
        </w:rPr>
        <w:t>cal harm causing disfigurement, impairment of bodily functioning, protracted impairment of physical health, or other serious physical injury, as a result of .</w:t>
      </w:r>
      <w:r w:rsidRPr="00A77C37">
        <w:t xml:space="preserve"> . . </w:t>
      </w:r>
      <w:r w:rsidRPr="00A77C37">
        <w:rPr>
          <w:szCs w:val="26"/>
        </w:rPr>
        <w:t>the inability of the parent or guardian to provide regular care for the minor due to the pare</w:t>
      </w:r>
      <w:r w:rsidRPr="00A77C37">
        <w:rPr>
          <w:szCs w:val="26"/>
        </w:rPr>
        <w:t xml:space="preserve">nt or guardian’s </w:t>
      </w:r>
      <w:r w:rsidRPr="00A77C37">
        <w:rPr>
          <w:i/>
          <w:iCs/>
          <w:szCs w:val="26"/>
        </w:rPr>
        <w:t>use</w:t>
      </w:r>
      <w:r w:rsidRPr="00A77C37">
        <w:rPr>
          <w:szCs w:val="26"/>
        </w:rPr>
        <w:t xml:space="preserve"> of drugs or alcohol or mental illness or deficiency.”  (</w:t>
      </w:r>
      <w:bookmarkStart w:id="4" w:name="_Hlk150248432"/>
      <w:r w:rsidRPr="006E05D1">
        <w:rPr>
          <w:szCs w:val="26"/>
        </w:rPr>
        <w:t xml:space="preserve">Sen. Bill No. 243 </w:t>
      </w:r>
      <w:r w:rsidR="006E05D1" w:rsidRPr="0021765B">
        <w:rPr>
          <w:szCs w:val="26"/>
        </w:rPr>
        <w:t>(1987–1988 Reg. Sess.)</w:t>
      </w:r>
      <w:r w:rsidRPr="006E05D1">
        <w:rPr>
          <w:szCs w:val="26"/>
        </w:rPr>
        <w:t xml:space="preserve"> as introduced Jan. 26, 1987, § 6</w:t>
      </w:r>
      <w:bookmarkEnd w:id="4"/>
      <w:r w:rsidRPr="00A77C37">
        <w:rPr>
          <w:szCs w:val="26"/>
        </w:rPr>
        <w:t>, italics added.)  This language was amended soon after the bill’s introduction so that its last clause de</w:t>
      </w:r>
      <w:r w:rsidRPr="00A77C37">
        <w:rPr>
          <w:szCs w:val="26"/>
        </w:rPr>
        <w:t xml:space="preserve">scribed an “inability of the parent, guardian, or primary caretaker to provide regular care for the minor due to the parent’s, guardian’s, or primary caretaker’s mental illness, developmental disability, </w:t>
      </w:r>
      <w:r w:rsidRPr="00A77C37">
        <w:rPr>
          <w:i/>
          <w:iCs/>
          <w:szCs w:val="26"/>
        </w:rPr>
        <w:t>or substance abuse</w:t>
      </w:r>
      <w:r w:rsidRPr="00A77C37">
        <w:rPr>
          <w:szCs w:val="26"/>
        </w:rPr>
        <w:t>.”  (</w:t>
      </w:r>
      <w:bookmarkStart w:id="5" w:name="_Hlk150248523"/>
      <w:r w:rsidR="00A63E5F" w:rsidRPr="006E05D1">
        <w:rPr>
          <w:szCs w:val="26"/>
        </w:rPr>
        <w:t xml:space="preserve">Sen. Bill No. 243 </w:t>
      </w:r>
      <w:r w:rsidR="00A63E5F" w:rsidRPr="0021765B">
        <w:rPr>
          <w:szCs w:val="26"/>
        </w:rPr>
        <w:t>(1987–1988 Reg. Sess.)</w:t>
      </w:r>
      <w:r w:rsidRPr="00A63E5F">
        <w:rPr>
          <w:szCs w:val="26"/>
        </w:rPr>
        <w:t xml:space="preserve"> as amended Mar. 30, 1987, § 6</w:t>
      </w:r>
      <w:bookmarkEnd w:id="5"/>
      <w:r w:rsidRPr="00A77C37">
        <w:rPr>
          <w:szCs w:val="26"/>
        </w:rPr>
        <w:t>, italics added; see also Sen</w:t>
      </w:r>
      <w:r>
        <w:rPr>
          <w:szCs w:val="26"/>
        </w:rPr>
        <w:t>.</w:t>
      </w:r>
      <w:r w:rsidRPr="00A77C37">
        <w:rPr>
          <w:szCs w:val="26"/>
        </w:rPr>
        <w:t xml:space="preserve"> Bill No. 1195 Task Force, Minutes (Feb. 19–20, 1987), p. 1 [recording the task force’s approval of this change].)  This “substance abuse” terminology was eventually codified.  (Stats. </w:t>
      </w:r>
      <w:r w:rsidRPr="00A77C37">
        <w:rPr>
          <w:szCs w:val="26"/>
        </w:rPr>
        <w:t xml:space="preserve">1987, ch. 1485, § 4.5, p. 5606.)  Nothing within the legislative history materials </w:t>
      </w:r>
      <w:r>
        <w:rPr>
          <w:szCs w:val="26"/>
        </w:rPr>
        <w:t xml:space="preserve">before us </w:t>
      </w:r>
      <w:r w:rsidRPr="00A77C37">
        <w:rPr>
          <w:szCs w:val="26"/>
        </w:rPr>
        <w:t>specifically explains why the original “use of drugs or alcohol” language within the proposed legislation was replaced by</w:t>
      </w:r>
      <w:r>
        <w:rPr>
          <w:szCs w:val="26"/>
        </w:rPr>
        <w:t xml:space="preserve"> the term</w:t>
      </w:r>
      <w:r w:rsidRPr="00A77C37">
        <w:rPr>
          <w:szCs w:val="26"/>
        </w:rPr>
        <w:t xml:space="preserve"> “substance abuse,” or </w:t>
      </w:r>
      <w:r>
        <w:rPr>
          <w:szCs w:val="26"/>
        </w:rPr>
        <w:t xml:space="preserve">otherwise </w:t>
      </w:r>
      <w:r>
        <w:rPr>
          <w:szCs w:val="26"/>
        </w:rPr>
        <w:t xml:space="preserve">communicates a prevailing view regarding </w:t>
      </w:r>
      <w:r w:rsidRPr="00A77C37">
        <w:rPr>
          <w:szCs w:val="26"/>
        </w:rPr>
        <w:t>what the term “substance abuse”</w:t>
      </w:r>
      <w:r>
        <w:rPr>
          <w:szCs w:val="26"/>
        </w:rPr>
        <w:t xml:space="preserve"> </w:t>
      </w:r>
      <w:r w:rsidRPr="00A77C37">
        <w:rPr>
          <w:szCs w:val="26"/>
        </w:rPr>
        <w:t>mean</w:t>
      </w:r>
      <w:r>
        <w:rPr>
          <w:szCs w:val="26"/>
        </w:rPr>
        <w:t>t</w:t>
      </w:r>
      <w:r w:rsidRPr="00A77C37">
        <w:rPr>
          <w:szCs w:val="26"/>
        </w:rPr>
        <w:t>.</w:t>
      </w:r>
    </w:p>
    <w:p w14:paraId="72EDC44B" w14:textId="77777777" w:rsidR="00021057" w:rsidRDefault="00B46361" w:rsidP="00021057">
      <w:pPr>
        <w:ind w:firstLine="720"/>
        <w:rPr>
          <w:szCs w:val="26"/>
        </w:rPr>
      </w:pPr>
      <w:r w:rsidRPr="00A77C37">
        <w:rPr>
          <w:szCs w:val="26"/>
        </w:rPr>
        <w:t>It is apparent from these and other legislative history materials that the Legislature sought to clarify the grounds for assertion of dependency jurisdiction through the revisi</w:t>
      </w:r>
      <w:r w:rsidRPr="00A77C37">
        <w:rPr>
          <w:szCs w:val="26"/>
        </w:rPr>
        <w:t xml:space="preserve">ons to the dependency scheme that were enacted in 1987.  But it is also </w:t>
      </w:r>
      <w:r>
        <w:rPr>
          <w:szCs w:val="26"/>
        </w:rPr>
        <w:t>evident</w:t>
      </w:r>
      <w:r w:rsidRPr="00A77C37">
        <w:rPr>
          <w:szCs w:val="26"/>
        </w:rPr>
        <w:t xml:space="preserve"> that the Legislature implemented its intent in a manner that would “provide maximum protection for children who are currently being physically, sexually, or emotionally abused,</w:t>
      </w:r>
      <w:r w:rsidRPr="00A77C37">
        <w:rPr>
          <w:szCs w:val="26"/>
        </w:rPr>
        <w:t xml:space="preserve"> being neglected, or being exploited, and to protect children who are at risk of that harm,” albeit also being mindful not to “disrupt the family unnecessarily or . . . intrude inappropriately into family life.”  (</w:t>
      </w:r>
      <w:r>
        <w:rPr>
          <w:szCs w:val="26"/>
        </w:rPr>
        <w:t>Former § 300</w:t>
      </w:r>
      <w:r w:rsidR="00316987">
        <w:rPr>
          <w:szCs w:val="26"/>
        </w:rPr>
        <w:t>;</w:t>
      </w:r>
      <w:r>
        <w:rPr>
          <w:szCs w:val="26"/>
        </w:rPr>
        <w:t xml:space="preserve"> S</w:t>
      </w:r>
      <w:r w:rsidRPr="00A77C37">
        <w:rPr>
          <w:szCs w:val="26"/>
        </w:rPr>
        <w:t xml:space="preserve">tats. 1987, ch. 1485, </w:t>
      </w:r>
      <w:r w:rsidRPr="00A77C37">
        <w:rPr>
          <w:szCs w:val="26"/>
        </w:rPr>
        <w:t>§ 4.5, p.</w:t>
      </w:r>
      <w:r>
        <w:rPr>
          <w:szCs w:val="26"/>
        </w:rPr>
        <w:t> </w:t>
      </w:r>
      <w:r w:rsidRPr="00A77C37">
        <w:rPr>
          <w:szCs w:val="26"/>
        </w:rPr>
        <w:t xml:space="preserve">5608.)  Insofar as some bases for dependency jurisdiction could be precisely specified without depriving children of this protection, they were.  </w:t>
      </w:r>
      <w:r>
        <w:rPr>
          <w:szCs w:val="26"/>
        </w:rPr>
        <w:t>But as a matter of necessity, some grounds for jurisdiction had to be phrased in more general terms</w:t>
      </w:r>
      <w:r w:rsidRPr="00A77C37">
        <w:rPr>
          <w:szCs w:val="26"/>
        </w:rPr>
        <w:t>.</w:t>
      </w:r>
      <w:r w:rsidRPr="00A77C37">
        <w:rPr>
          <w:szCs w:val="26"/>
        </w:rPr>
        <w:t xml:space="preserve">  (See S</w:t>
      </w:r>
      <w:r w:rsidR="00B575C1">
        <w:rPr>
          <w:szCs w:val="26"/>
        </w:rPr>
        <w:t xml:space="preserve">en. </w:t>
      </w:r>
      <w:r w:rsidRPr="00A77C37">
        <w:rPr>
          <w:szCs w:val="26"/>
        </w:rPr>
        <w:t>B</w:t>
      </w:r>
      <w:r w:rsidR="00B575C1">
        <w:rPr>
          <w:szCs w:val="26"/>
        </w:rPr>
        <w:t>ill No.</w:t>
      </w:r>
      <w:r w:rsidRPr="00A77C37">
        <w:rPr>
          <w:szCs w:val="26"/>
        </w:rPr>
        <w:t xml:space="preserve"> 1195 Task Force, Child Abuse Reporting Laws, Juvenile Court Dependency Statutes, and Child Welfare Services (Jan. 1988) pp. 4</w:t>
      </w:r>
      <w:r w:rsidR="000002E1">
        <w:rPr>
          <w:szCs w:val="26"/>
        </w:rPr>
        <w:t>–5</w:t>
      </w:r>
      <w:r w:rsidRPr="00A77C37">
        <w:rPr>
          <w:szCs w:val="26"/>
        </w:rPr>
        <w:t xml:space="preserve"> [“The task force spent a great deal of time on the wording of each section and several legislative committe</w:t>
      </w:r>
      <w:r w:rsidRPr="00A77C37">
        <w:rPr>
          <w:szCs w:val="26"/>
        </w:rPr>
        <w:t>es reviewed the specific language in lengthy hearings</w:t>
      </w:r>
      <w:r w:rsidR="000002E1">
        <w:rPr>
          <w:szCs w:val="26"/>
        </w:rPr>
        <w:t>,</w:t>
      </w:r>
      <w:r w:rsidRPr="00A77C37">
        <w:rPr>
          <w:szCs w:val="26"/>
        </w:rPr>
        <w:t>”</w:t>
      </w:r>
      <w:r w:rsidR="007966E4">
        <w:rPr>
          <w:szCs w:val="26"/>
        </w:rPr>
        <w:t xml:space="preserve"> </w:t>
      </w:r>
      <w:r w:rsidR="000002E1">
        <w:rPr>
          <w:szCs w:val="26"/>
        </w:rPr>
        <w:t>and</w:t>
      </w:r>
      <w:r w:rsidRPr="00A77C37">
        <w:rPr>
          <w:szCs w:val="26"/>
        </w:rPr>
        <w:t xml:space="preserve"> “it is not possible to give a highly specific definition of the phrase ‘serious’ </w:t>
      </w:r>
      <w:r>
        <w:rPr>
          <w:szCs w:val="26"/>
        </w:rPr>
        <w:t xml:space="preserve">[as used in § 300] </w:t>
      </w:r>
      <w:r w:rsidRPr="00A77C37">
        <w:rPr>
          <w:szCs w:val="26"/>
        </w:rPr>
        <w:t xml:space="preserve">without being too restrictive”].)  </w:t>
      </w:r>
    </w:p>
    <w:p w14:paraId="72EDC44C" w14:textId="77777777" w:rsidR="00021057" w:rsidRPr="00A77C37" w:rsidRDefault="00B46361" w:rsidP="00021057">
      <w:pPr>
        <w:ind w:firstLine="720"/>
        <w:rPr>
          <w:szCs w:val="26"/>
        </w:rPr>
      </w:pPr>
      <w:r w:rsidRPr="00A77C37">
        <w:rPr>
          <w:szCs w:val="26"/>
        </w:rPr>
        <w:t>For instance, section 300 has since 1987 provided for the ex</w:t>
      </w:r>
      <w:r w:rsidRPr="00A77C37">
        <w:rPr>
          <w:szCs w:val="26"/>
        </w:rPr>
        <w:t>ercise of dependency jurisdiction when a child “has been subjected to an act or acts of cruelty by the parent or guardian or a member of the child’s household.</w:t>
      </w:r>
      <w:r w:rsidR="00042809">
        <w:rPr>
          <w:szCs w:val="26"/>
        </w:rPr>
        <w:t>”</w:t>
      </w:r>
      <w:r w:rsidRPr="00A77C37">
        <w:rPr>
          <w:szCs w:val="26"/>
        </w:rPr>
        <w:t xml:space="preserve">  (§ 300, subd. (</w:t>
      </w:r>
      <w:r w:rsidRPr="00031A03">
        <w:rPr>
          <w:szCs w:val="26"/>
        </w:rPr>
        <w:t>i</w:t>
      </w:r>
      <w:r w:rsidRPr="00A77C37">
        <w:rPr>
          <w:szCs w:val="26"/>
        </w:rPr>
        <w:t>); see Stats. 1987, ch. 1485, § 4.5, p. 5608.)  The Legislature did not furthe</w:t>
      </w:r>
      <w:r w:rsidRPr="00A77C37">
        <w:rPr>
          <w:szCs w:val="26"/>
        </w:rPr>
        <w:t>r define “act or acts of cruelty” (§ 300, subd. (</w:t>
      </w:r>
      <w:r w:rsidRPr="00031A03">
        <w:rPr>
          <w:szCs w:val="26"/>
        </w:rPr>
        <w:t>i</w:t>
      </w:r>
      <w:r w:rsidRPr="00A77C37">
        <w:rPr>
          <w:szCs w:val="26"/>
        </w:rPr>
        <w:t xml:space="preserve">)) due to the myriad forms such conduct may take.  Instead, what constitutes an “act or </w:t>
      </w:r>
      <w:r w:rsidRPr="00A77C37">
        <w:rPr>
          <w:szCs w:val="28"/>
        </w:rPr>
        <w:t>acts</w:t>
      </w:r>
      <w:r w:rsidRPr="00A77C37">
        <w:rPr>
          <w:szCs w:val="26"/>
        </w:rPr>
        <w:t xml:space="preserve"> of cruelty” is a “factual determination that the juvenile court makes based upon the common meaning of the phrase</w:t>
      </w:r>
      <w:r w:rsidRPr="00A77C37">
        <w:rPr>
          <w:szCs w:val="26"/>
        </w:rPr>
        <w:t xml:space="preserve"> and the totality of the child’s circumstances.”  (</w:t>
      </w:r>
      <w:r w:rsidRPr="00A77C37">
        <w:rPr>
          <w:i/>
          <w:iCs/>
          <w:szCs w:val="26"/>
        </w:rPr>
        <w:t>In re D.C.</w:t>
      </w:r>
      <w:r w:rsidRPr="00A77C37">
        <w:rPr>
          <w:szCs w:val="26"/>
        </w:rPr>
        <w:t xml:space="preserve"> (2011) 195 Cal.App.4th 1010, 1017.)  </w:t>
      </w:r>
    </w:p>
    <w:p w14:paraId="72EDC44D" w14:textId="77777777" w:rsidR="00021057" w:rsidRDefault="00B46361" w:rsidP="00021057">
      <w:pPr>
        <w:ind w:firstLine="720"/>
        <w:rPr>
          <w:szCs w:val="26"/>
          <w:shd w:val="clear" w:color="auto" w:fill="FFFFFF"/>
        </w:rPr>
      </w:pPr>
      <w:r w:rsidRPr="00AF29CA">
        <w:rPr>
          <w:szCs w:val="26"/>
        </w:rPr>
        <w:t>On balance, the available evidence of legislative intent</w:t>
      </w:r>
      <w:r w:rsidRPr="00A77C37">
        <w:rPr>
          <w:szCs w:val="26"/>
        </w:rPr>
        <w:t xml:space="preserve"> indicates the Legislature took a similar approach insofar as substance abuse was concerned, and dec</w:t>
      </w:r>
      <w:r w:rsidRPr="00A77C37">
        <w:rPr>
          <w:szCs w:val="26"/>
        </w:rPr>
        <w:t xml:space="preserve">lined to </w:t>
      </w:r>
      <w:r>
        <w:rPr>
          <w:szCs w:val="26"/>
        </w:rPr>
        <w:t>recognize</w:t>
      </w:r>
      <w:r w:rsidRPr="00A77C37">
        <w:rPr>
          <w:szCs w:val="26"/>
        </w:rPr>
        <w:t xml:space="preserve"> substance abuse </w:t>
      </w:r>
      <w:r>
        <w:rPr>
          <w:szCs w:val="26"/>
        </w:rPr>
        <w:t>only in</w:t>
      </w:r>
      <w:r w:rsidRPr="00A77C37">
        <w:rPr>
          <w:szCs w:val="26"/>
        </w:rPr>
        <w:t xml:space="preserve"> situations involving the satisfaction of DSM criteria</w:t>
      </w:r>
      <w:r>
        <w:rPr>
          <w:szCs w:val="26"/>
        </w:rPr>
        <w:t>.  Nor did it otherwise limit the ordinary meaning of substance abuse</w:t>
      </w:r>
      <w:r w:rsidRPr="00A77C37">
        <w:rPr>
          <w:szCs w:val="26"/>
        </w:rPr>
        <w:t xml:space="preserve"> when </w:t>
      </w:r>
      <w:r>
        <w:rPr>
          <w:szCs w:val="26"/>
        </w:rPr>
        <w:t>these</w:t>
      </w:r>
      <w:r w:rsidRPr="00A77C37">
        <w:rPr>
          <w:szCs w:val="26"/>
        </w:rPr>
        <w:t xml:space="preserve"> constraint</w:t>
      </w:r>
      <w:r>
        <w:rPr>
          <w:szCs w:val="26"/>
        </w:rPr>
        <w:t>s</w:t>
      </w:r>
      <w:r w:rsidRPr="00A77C37">
        <w:rPr>
          <w:szCs w:val="26"/>
        </w:rPr>
        <w:t xml:space="preserve"> might </w:t>
      </w:r>
      <w:r>
        <w:rPr>
          <w:szCs w:val="26"/>
        </w:rPr>
        <w:t>fail to capture</w:t>
      </w:r>
      <w:r w:rsidRPr="00A77C37">
        <w:rPr>
          <w:szCs w:val="26"/>
        </w:rPr>
        <w:t xml:space="preserve"> the various ways in </w:t>
      </w:r>
      <w:r>
        <w:rPr>
          <w:szCs w:val="26"/>
        </w:rPr>
        <w:t xml:space="preserve">which substance abuse </w:t>
      </w:r>
      <w:r w:rsidRPr="00A77C37">
        <w:rPr>
          <w:szCs w:val="26"/>
        </w:rPr>
        <w:t>can</w:t>
      </w:r>
      <w:r w:rsidRPr="00A77C37">
        <w:rPr>
          <w:szCs w:val="26"/>
        </w:rPr>
        <w:t xml:space="preserve"> render </w:t>
      </w:r>
      <w:r>
        <w:rPr>
          <w:szCs w:val="26"/>
        </w:rPr>
        <w:t xml:space="preserve">a parent or guardian </w:t>
      </w:r>
      <w:r w:rsidRPr="00A77C37">
        <w:rPr>
          <w:szCs w:val="26"/>
        </w:rPr>
        <w:t xml:space="preserve">unable to provide regular care for a child and place a child at substantial risk of serious physical harm or illness.  Meanwhile, the substitution of “substance abuse” for </w:t>
      </w:r>
      <w:r w:rsidR="00500C11">
        <w:rPr>
          <w:szCs w:val="26"/>
        </w:rPr>
        <w:t>“</w:t>
      </w:r>
      <w:r w:rsidRPr="00A77C37">
        <w:rPr>
          <w:szCs w:val="26"/>
        </w:rPr>
        <w:t>use</w:t>
      </w:r>
      <w:r w:rsidR="00500C11">
        <w:rPr>
          <w:szCs w:val="26"/>
        </w:rPr>
        <w:t xml:space="preserve"> of drugs or alcohol</w:t>
      </w:r>
      <w:r w:rsidRPr="00A77C37">
        <w:rPr>
          <w:szCs w:val="26"/>
        </w:rPr>
        <w:t xml:space="preserve">” </w:t>
      </w:r>
      <w:r>
        <w:rPr>
          <w:szCs w:val="26"/>
        </w:rPr>
        <w:t>during the legislative proces</w:t>
      </w:r>
      <w:r>
        <w:rPr>
          <w:szCs w:val="26"/>
        </w:rPr>
        <w:t>s</w:t>
      </w:r>
      <w:r w:rsidRPr="00A77C37">
        <w:rPr>
          <w:szCs w:val="26"/>
        </w:rPr>
        <w:t xml:space="preserve"> may have simply reflected an appreciation that, as a practical matter, only the excessive use of drugs or alcohol would lead to an “</w:t>
      </w:r>
      <w:r w:rsidRPr="00A77C37">
        <w:rPr>
          <w:szCs w:val="26"/>
          <w:shd w:val="clear" w:color="auto" w:fill="FFFFFF"/>
        </w:rPr>
        <w:t>inability of the parent or guardian to provide regular care for [a] child.”  (§ 300(b)(1)(D).)  The legislative history th</w:t>
      </w:r>
      <w:r w:rsidRPr="00A77C37">
        <w:rPr>
          <w:szCs w:val="26"/>
          <w:shd w:val="clear" w:color="auto" w:fill="FFFFFF"/>
        </w:rPr>
        <w:t xml:space="preserve">erefore does not provide significant support for Father’s interpretation of the statute.  </w:t>
      </w:r>
    </w:p>
    <w:p w14:paraId="72EDC44E" w14:textId="77777777" w:rsidR="00021057" w:rsidRPr="00A77C37" w:rsidRDefault="00B46361" w:rsidP="00323313">
      <w:pPr>
        <w:pStyle w:val="Heading3"/>
        <w:numPr>
          <w:ilvl w:val="0"/>
          <w:numId w:val="38"/>
        </w:numPr>
        <w:tabs>
          <w:tab w:val="clear" w:pos="1584"/>
          <w:tab w:val="left" w:pos="1440"/>
        </w:tabs>
        <w:ind w:left="1440"/>
      </w:pPr>
      <w:r>
        <w:t>Statutory Purpose and Public Policy</w:t>
      </w:r>
    </w:p>
    <w:p w14:paraId="72EDC44F" w14:textId="77777777" w:rsidR="00021057" w:rsidRPr="00A77C37" w:rsidRDefault="00B46361" w:rsidP="00021057">
      <w:pPr>
        <w:ind w:firstLine="720"/>
        <w:rPr>
          <w:szCs w:val="26"/>
        </w:rPr>
      </w:pPr>
      <w:r w:rsidRPr="00A77C37">
        <w:rPr>
          <w:szCs w:val="26"/>
        </w:rPr>
        <w:t>Father</w:t>
      </w:r>
      <w:r>
        <w:rPr>
          <w:szCs w:val="26"/>
        </w:rPr>
        <w:t>, supported by several amici curiae,</w:t>
      </w:r>
      <w:r w:rsidRPr="00A77C37">
        <w:rPr>
          <w:szCs w:val="26"/>
        </w:rPr>
        <w:t xml:space="preserve"> also </w:t>
      </w:r>
      <w:r>
        <w:rPr>
          <w:szCs w:val="26"/>
        </w:rPr>
        <w:t xml:space="preserve">argues that his interpretation of the statute is necessary to vindicate </w:t>
      </w:r>
      <w:r>
        <w:rPr>
          <w:szCs w:val="26"/>
        </w:rPr>
        <w:t>important policy interests that motivated the above-discussed changes to section 300</w:t>
      </w:r>
      <w:r w:rsidRPr="00A77C37">
        <w:rPr>
          <w:szCs w:val="26"/>
        </w:rPr>
        <w:t xml:space="preserve">.  Echoing the reasoning in </w:t>
      </w:r>
      <w:r w:rsidRPr="00A77C37">
        <w:rPr>
          <w:i/>
          <w:iCs/>
          <w:szCs w:val="26"/>
        </w:rPr>
        <w:t>Drake M.</w:t>
      </w:r>
      <w:r w:rsidRPr="00A77C37">
        <w:rPr>
          <w:szCs w:val="26"/>
        </w:rPr>
        <w:t xml:space="preserve">, </w:t>
      </w:r>
      <w:r w:rsidRPr="00A77C37">
        <w:rPr>
          <w:i/>
          <w:iCs/>
          <w:szCs w:val="26"/>
        </w:rPr>
        <w:t>supra</w:t>
      </w:r>
      <w:r w:rsidRPr="00A77C37">
        <w:rPr>
          <w:szCs w:val="26"/>
        </w:rPr>
        <w:t>, 211 Cal.App.4th at page 765, he asserts that the definition of substance abuse that he proposes is necessary to ensure consiste</w:t>
      </w:r>
      <w:r w:rsidRPr="00A77C37">
        <w:rPr>
          <w:szCs w:val="26"/>
        </w:rPr>
        <w:t>ncy across dependency findings and guarantee they are premised on sufficient showings of substance abuse, as opposed to mere substance use.  Father describes the alternative approach, in which substance abuse is defined by reference to conventional underst</w:t>
      </w:r>
      <w:r w:rsidRPr="00A77C37">
        <w:rPr>
          <w:szCs w:val="26"/>
        </w:rPr>
        <w:t xml:space="preserve">andings of the term, as “nothing more than ‘you’ll know it when you see it.’ ” </w:t>
      </w:r>
      <w:r>
        <w:rPr>
          <w:szCs w:val="26"/>
        </w:rPr>
        <w:t xml:space="preserve"> These policy arguments do not persuade us to adopt Father’s interpretation of the statute.</w:t>
      </w:r>
    </w:p>
    <w:p w14:paraId="72EDC450" w14:textId="77777777" w:rsidR="00021057" w:rsidRPr="00A77C37" w:rsidRDefault="00B46361" w:rsidP="00021057">
      <w:pPr>
        <w:tabs>
          <w:tab w:val="left" w:pos="7410"/>
        </w:tabs>
        <w:ind w:firstLine="720"/>
        <w:rPr>
          <w:szCs w:val="26"/>
        </w:rPr>
      </w:pPr>
      <w:r w:rsidRPr="00A77C37">
        <w:rPr>
          <w:szCs w:val="26"/>
          <w:shd w:val="clear" w:color="auto" w:fill="FFFFFF"/>
        </w:rPr>
        <w:t xml:space="preserve">At the outset, it is unclear whether Father’s proposed definition of substance abuse </w:t>
      </w:r>
      <w:r w:rsidRPr="00A77C37">
        <w:rPr>
          <w:szCs w:val="26"/>
          <w:shd w:val="clear" w:color="auto" w:fill="FFFFFF"/>
        </w:rPr>
        <w:t xml:space="preserve">would avoid the problems he perceives with assigning this term its usual meaning.  Recall again that </w:t>
      </w:r>
      <w:r>
        <w:rPr>
          <w:szCs w:val="26"/>
          <w:shd w:val="clear" w:color="auto" w:fill="FFFFFF"/>
        </w:rPr>
        <w:t xml:space="preserve">Father regards </w:t>
      </w:r>
      <w:r w:rsidRPr="00A77C37">
        <w:rPr>
          <w:szCs w:val="26"/>
          <w:shd w:val="clear" w:color="auto" w:fill="FFFFFF"/>
        </w:rPr>
        <w:t>the DSM-5-TR</w:t>
      </w:r>
      <w:r>
        <w:rPr>
          <w:szCs w:val="26"/>
          <w:shd w:val="clear" w:color="auto" w:fill="FFFFFF"/>
        </w:rPr>
        <w:t xml:space="preserve"> as the touchstone for the necessary analysis today,</w:t>
      </w:r>
      <w:r w:rsidRPr="00A77C37">
        <w:rPr>
          <w:szCs w:val="26"/>
          <w:shd w:val="clear" w:color="auto" w:fill="FFFFFF"/>
        </w:rPr>
        <w:t xml:space="preserve"> </w:t>
      </w:r>
      <w:r>
        <w:rPr>
          <w:szCs w:val="26"/>
          <w:shd w:val="clear" w:color="auto" w:fill="FFFFFF"/>
        </w:rPr>
        <w:t xml:space="preserve">under the theory that the enacting Legislature intended for the meaning of </w:t>
      </w:r>
      <w:r>
        <w:rPr>
          <w:szCs w:val="26"/>
          <w:shd w:val="clear" w:color="auto" w:fill="FFFFFF"/>
        </w:rPr>
        <w:t>substance abuse to evolve in step with developments in professional expertise.  The DSM-</w:t>
      </w:r>
      <w:r w:rsidR="006F49A0">
        <w:rPr>
          <w:szCs w:val="26"/>
          <w:shd w:val="clear" w:color="auto" w:fill="FFFFFF"/>
        </w:rPr>
        <w:t>5</w:t>
      </w:r>
      <w:r>
        <w:rPr>
          <w:szCs w:val="26"/>
          <w:shd w:val="clear" w:color="auto" w:fill="FFFFFF"/>
        </w:rPr>
        <w:t xml:space="preserve">-TR </w:t>
      </w:r>
      <w:r w:rsidRPr="00A77C37">
        <w:rPr>
          <w:szCs w:val="26"/>
          <w:shd w:val="clear" w:color="auto" w:fill="FFFFFF"/>
        </w:rPr>
        <w:t>regards a diagnosis of a stimulant use disorder as appropriate upon satisfaction of two or more out of 11 identified criteria</w:t>
      </w:r>
      <w:r>
        <w:rPr>
          <w:szCs w:val="26"/>
          <w:shd w:val="clear" w:color="auto" w:fill="FFFFFF"/>
        </w:rPr>
        <w:t xml:space="preserve">. </w:t>
      </w:r>
      <w:r w:rsidRPr="00A77C37">
        <w:rPr>
          <w:szCs w:val="26"/>
          <w:shd w:val="clear" w:color="auto" w:fill="FFFFFF"/>
        </w:rPr>
        <w:t xml:space="preserve"> </w:t>
      </w:r>
      <w:r w:rsidRPr="00A77C37">
        <w:rPr>
          <w:szCs w:val="26"/>
        </w:rPr>
        <w:t xml:space="preserve">(DSM-5-TR, </w:t>
      </w:r>
      <w:r w:rsidRPr="00A77C37">
        <w:rPr>
          <w:i/>
          <w:iCs/>
          <w:szCs w:val="26"/>
        </w:rPr>
        <w:t>supra</w:t>
      </w:r>
      <w:r w:rsidRPr="00A77C37">
        <w:rPr>
          <w:szCs w:val="26"/>
        </w:rPr>
        <w:t>, at p. 632</w:t>
      </w:r>
      <w:r>
        <w:rPr>
          <w:szCs w:val="26"/>
        </w:rPr>
        <w:t>.</w:t>
      </w:r>
      <w:r w:rsidRPr="00A77C37">
        <w:rPr>
          <w:szCs w:val="26"/>
        </w:rPr>
        <w:t>)</w:t>
      </w:r>
      <w:r w:rsidRPr="00A77C37">
        <w:rPr>
          <w:szCs w:val="26"/>
          <w:shd w:val="clear" w:color="auto" w:fill="FFFFFF"/>
        </w:rPr>
        <w:t xml:space="preserve">  Some</w:t>
      </w:r>
      <w:r w:rsidRPr="00A77C37">
        <w:rPr>
          <w:szCs w:val="26"/>
          <w:shd w:val="clear" w:color="auto" w:fill="FFFFFF"/>
        </w:rPr>
        <w:t xml:space="preserve"> of these criteria are susceptible to </w:t>
      </w:r>
      <w:r>
        <w:rPr>
          <w:szCs w:val="26"/>
          <w:shd w:val="clear" w:color="auto" w:fill="FFFFFF"/>
        </w:rPr>
        <w:t>expansive</w:t>
      </w:r>
      <w:r w:rsidRPr="00A77C37">
        <w:rPr>
          <w:szCs w:val="26"/>
          <w:shd w:val="clear" w:color="auto" w:fill="FFFFFF"/>
        </w:rPr>
        <w:t xml:space="preserve"> and potentially inconsistent application, particularly in</w:t>
      </w:r>
      <w:r>
        <w:rPr>
          <w:szCs w:val="26"/>
          <w:shd w:val="clear" w:color="auto" w:fill="FFFFFF"/>
        </w:rPr>
        <w:t xml:space="preserve"> the</w:t>
      </w:r>
      <w:r w:rsidRPr="00A77C37">
        <w:rPr>
          <w:szCs w:val="26"/>
          <w:shd w:val="clear" w:color="auto" w:fill="FFFFFF"/>
        </w:rPr>
        <w:t xml:space="preserve"> hands of untrained laypeople, e.g., “</w:t>
      </w:r>
      <w:r w:rsidR="0051614C">
        <w:rPr>
          <w:szCs w:val="26"/>
        </w:rPr>
        <w:t>[t]</w:t>
      </w:r>
      <w:r w:rsidRPr="00A77C37">
        <w:rPr>
          <w:szCs w:val="26"/>
        </w:rPr>
        <w:t>he stimulant is often taken in larger amounts or over a longer period than was intended”</w:t>
      </w:r>
      <w:r w:rsidR="005F4B67">
        <w:rPr>
          <w:szCs w:val="26"/>
        </w:rPr>
        <w:t>;</w:t>
      </w:r>
      <w:r w:rsidRPr="00A77C37">
        <w:rPr>
          <w:szCs w:val="26"/>
        </w:rPr>
        <w:t xml:space="preserve"> “</w:t>
      </w:r>
      <w:r w:rsidR="0051614C">
        <w:rPr>
          <w:szCs w:val="26"/>
        </w:rPr>
        <w:t>[t]</w:t>
      </w:r>
      <w:r w:rsidRPr="00A77C37">
        <w:rPr>
          <w:szCs w:val="26"/>
        </w:rPr>
        <w:t>here is a pe</w:t>
      </w:r>
      <w:r w:rsidRPr="00A77C37">
        <w:rPr>
          <w:szCs w:val="26"/>
        </w:rPr>
        <w:t>rsistent desire or unsuccessful efforts to cut down or control stimulant use”</w:t>
      </w:r>
      <w:r w:rsidR="005F4B67">
        <w:rPr>
          <w:szCs w:val="26"/>
        </w:rPr>
        <w:t>;</w:t>
      </w:r>
      <w:r w:rsidRPr="00A77C37">
        <w:rPr>
          <w:szCs w:val="26"/>
        </w:rPr>
        <w:t xml:space="preserve"> “</w:t>
      </w:r>
      <w:r w:rsidR="0051614C">
        <w:rPr>
          <w:szCs w:val="26"/>
        </w:rPr>
        <w:t>[a]</w:t>
      </w:r>
      <w:r w:rsidRPr="00A77C37">
        <w:rPr>
          <w:szCs w:val="26"/>
        </w:rPr>
        <w:t xml:space="preserve"> great deal of time is spent in activities necessary to obtain the stimulant, use the stimulant, or recover from its effects”</w:t>
      </w:r>
      <w:r w:rsidR="005F4B67">
        <w:rPr>
          <w:szCs w:val="26"/>
        </w:rPr>
        <w:t>;</w:t>
      </w:r>
      <w:r w:rsidRPr="00A77C37">
        <w:rPr>
          <w:szCs w:val="26"/>
        </w:rPr>
        <w:t xml:space="preserve"> and “</w:t>
      </w:r>
      <w:r w:rsidR="0051614C">
        <w:rPr>
          <w:szCs w:val="26"/>
        </w:rPr>
        <w:t>[c]</w:t>
      </w:r>
      <w:r w:rsidRPr="00A77C37">
        <w:rPr>
          <w:szCs w:val="26"/>
        </w:rPr>
        <w:t xml:space="preserve">raving, or a strong desire or urge to </w:t>
      </w:r>
      <w:r w:rsidRPr="00A77C37">
        <w:rPr>
          <w:szCs w:val="26"/>
        </w:rPr>
        <w:t>use the stimulant.”  (</w:t>
      </w:r>
      <w:r w:rsidRPr="001850EE">
        <w:rPr>
          <w:i/>
          <w:iCs/>
          <w:szCs w:val="26"/>
        </w:rPr>
        <w:t>Ibid</w:t>
      </w:r>
      <w:r w:rsidRPr="00A77C37">
        <w:rPr>
          <w:szCs w:val="26"/>
        </w:rPr>
        <w:t>.)  Connecting substance abuse under section 300(b)(1)(D) to the relevant DSM criteria is therefore not the obvious panacea that Father makes it out to be.</w:t>
      </w:r>
      <w:r>
        <w:rPr>
          <w:rStyle w:val="FootnoteReference"/>
          <w:szCs w:val="26"/>
        </w:rPr>
        <w:footnoteReference w:id="14"/>
      </w:r>
    </w:p>
    <w:p w14:paraId="72EDC451" w14:textId="77777777" w:rsidR="00021057" w:rsidRPr="00A77C37" w:rsidRDefault="00B46361" w:rsidP="00021057">
      <w:pPr>
        <w:tabs>
          <w:tab w:val="left" w:pos="7410"/>
        </w:tabs>
        <w:ind w:firstLine="720"/>
        <w:rPr>
          <w:szCs w:val="26"/>
          <w:shd w:val="clear" w:color="auto" w:fill="FFFFFF"/>
        </w:rPr>
      </w:pPr>
      <w:r w:rsidRPr="00A77C37">
        <w:rPr>
          <w:szCs w:val="26"/>
        </w:rPr>
        <w:t xml:space="preserve">Nor are </w:t>
      </w:r>
      <w:r>
        <w:rPr>
          <w:szCs w:val="26"/>
        </w:rPr>
        <w:t xml:space="preserve">the </w:t>
      </w:r>
      <w:r w:rsidRPr="00A77C37">
        <w:rPr>
          <w:szCs w:val="26"/>
        </w:rPr>
        <w:t xml:space="preserve">findings </w:t>
      </w:r>
      <w:r>
        <w:rPr>
          <w:szCs w:val="26"/>
        </w:rPr>
        <w:t xml:space="preserve">required for dependency jurisdiction under </w:t>
      </w:r>
      <w:r w:rsidRPr="00A77C37">
        <w:rPr>
          <w:szCs w:val="26"/>
        </w:rPr>
        <w:t xml:space="preserve">section 300(b)(1)(D) as elastic as Father </w:t>
      </w:r>
      <w:r>
        <w:rPr>
          <w:szCs w:val="26"/>
        </w:rPr>
        <w:t>asserts</w:t>
      </w:r>
      <w:r w:rsidRPr="00A77C37">
        <w:rPr>
          <w:szCs w:val="26"/>
        </w:rPr>
        <w:t xml:space="preserve">.  </w:t>
      </w:r>
      <w:r>
        <w:rPr>
          <w:szCs w:val="26"/>
        </w:rPr>
        <w:t xml:space="preserve">Significantly, as previously alluded to, the recognition of substance abuse by a parent or guardian </w:t>
      </w:r>
      <w:r w:rsidRPr="00A77C37">
        <w:rPr>
          <w:szCs w:val="26"/>
        </w:rPr>
        <w:t xml:space="preserve">does not </w:t>
      </w:r>
      <w:r>
        <w:rPr>
          <w:szCs w:val="26"/>
        </w:rPr>
        <w:t xml:space="preserve">by itself establish </w:t>
      </w:r>
      <w:r w:rsidRPr="00A77C37">
        <w:rPr>
          <w:szCs w:val="26"/>
        </w:rPr>
        <w:t>that the other requirements for the exercise of dependency jurisdiction und</w:t>
      </w:r>
      <w:r w:rsidRPr="00A77C37">
        <w:rPr>
          <w:szCs w:val="26"/>
        </w:rPr>
        <w:t xml:space="preserve">er </w:t>
      </w:r>
      <w:r>
        <w:rPr>
          <w:szCs w:val="26"/>
        </w:rPr>
        <w:t>section 300(b)(1)(D)</w:t>
      </w:r>
      <w:r w:rsidRPr="00A77C37">
        <w:rPr>
          <w:szCs w:val="26"/>
        </w:rPr>
        <w:t xml:space="preserve"> have been satisfied.  </w:t>
      </w:r>
      <w:r w:rsidRPr="00A77C37">
        <w:rPr>
          <w:szCs w:val="26"/>
          <w:shd w:val="clear" w:color="auto" w:fill="FFFFFF"/>
        </w:rPr>
        <w:t>Even with sufficient proof of substance abuse, the government</w:t>
      </w:r>
      <w:r>
        <w:rPr>
          <w:szCs w:val="26"/>
          <w:shd w:val="clear" w:color="auto" w:fill="FFFFFF"/>
        </w:rPr>
        <w:t xml:space="preserve"> also</w:t>
      </w:r>
      <w:r w:rsidRPr="00A77C37">
        <w:rPr>
          <w:szCs w:val="26"/>
          <w:shd w:val="clear" w:color="auto" w:fill="FFFFFF"/>
        </w:rPr>
        <w:t xml:space="preserve"> bears the burden of proving by a preponderance of the evidence (see § 355, subd. (a)) that this abuse makes the parent or guardian unable to pr</w:t>
      </w:r>
      <w:r w:rsidRPr="00A77C37">
        <w:rPr>
          <w:szCs w:val="26"/>
          <w:shd w:val="clear" w:color="auto" w:fill="FFFFFF"/>
        </w:rPr>
        <w:t xml:space="preserve">ovide regular care for a child, and that this inability has caused a child to suffer serious physical harm or illness or places the child at substantial risk of serious physical harm or illness.  </w:t>
      </w:r>
      <w:r>
        <w:rPr>
          <w:szCs w:val="26"/>
          <w:shd w:val="clear" w:color="auto" w:fill="FFFFFF"/>
        </w:rPr>
        <w:t>(</w:t>
      </w:r>
      <w:bookmarkStart w:id="6" w:name="_Hlk148433078"/>
      <w:r>
        <w:rPr>
          <w:szCs w:val="26"/>
        </w:rPr>
        <w:t xml:space="preserve">See, e.g., </w:t>
      </w:r>
      <w:r w:rsidRPr="00C3775A">
        <w:rPr>
          <w:i/>
          <w:iCs/>
          <w:szCs w:val="26"/>
        </w:rPr>
        <w:t>In re Destiny S.</w:t>
      </w:r>
      <w:r w:rsidRPr="00C3775A">
        <w:rPr>
          <w:szCs w:val="26"/>
        </w:rPr>
        <w:t xml:space="preserve"> (2012) 210 Cal.App.4th 999, 100</w:t>
      </w:r>
      <w:r w:rsidRPr="00C3775A">
        <w:rPr>
          <w:szCs w:val="26"/>
        </w:rPr>
        <w:t>3</w:t>
      </w:r>
      <w:r>
        <w:rPr>
          <w:szCs w:val="26"/>
        </w:rPr>
        <w:t xml:space="preserve"> (</w:t>
      </w:r>
      <w:r w:rsidRPr="00F20E51">
        <w:rPr>
          <w:i/>
          <w:iCs/>
          <w:szCs w:val="26"/>
        </w:rPr>
        <w:t>Destiny S.</w:t>
      </w:r>
      <w:r>
        <w:rPr>
          <w:szCs w:val="26"/>
        </w:rPr>
        <w:t xml:space="preserve">) </w:t>
      </w:r>
      <w:bookmarkEnd w:id="6"/>
      <w:r>
        <w:rPr>
          <w:szCs w:val="26"/>
        </w:rPr>
        <w:t>[jurisdiction under § 300 cannot be premised on drug use alone, without evidence of serious physical harm or illness or a substantial risk of such harm or illness].)</w:t>
      </w:r>
    </w:p>
    <w:p w14:paraId="72EDC452" w14:textId="77777777" w:rsidR="00021057" w:rsidRDefault="00B46361" w:rsidP="00021057">
      <w:pPr>
        <w:ind w:firstLine="720"/>
        <w:rPr>
          <w:szCs w:val="26"/>
        </w:rPr>
      </w:pPr>
      <w:r w:rsidRPr="00A77C37">
        <w:rPr>
          <w:szCs w:val="26"/>
        </w:rPr>
        <w:t xml:space="preserve">On this subject, although </w:t>
      </w:r>
      <w:r>
        <w:rPr>
          <w:szCs w:val="26"/>
        </w:rPr>
        <w:t>we</w:t>
      </w:r>
      <w:r w:rsidRPr="00A77C37">
        <w:rPr>
          <w:szCs w:val="26"/>
        </w:rPr>
        <w:t xml:space="preserve"> </w:t>
      </w:r>
      <w:r>
        <w:rPr>
          <w:szCs w:val="26"/>
        </w:rPr>
        <w:t>reject</w:t>
      </w:r>
      <w:r w:rsidRPr="00A77C37">
        <w:rPr>
          <w:szCs w:val="26"/>
        </w:rPr>
        <w:t xml:space="preserve"> the </w:t>
      </w:r>
      <w:r w:rsidRPr="00A77C37">
        <w:rPr>
          <w:i/>
          <w:iCs/>
          <w:szCs w:val="26"/>
        </w:rPr>
        <w:t>Drake M.</w:t>
      </w:r>
      <w:r w:rsidRPr="00A77C37">
        <w:rPr>
          <w:szCs w:val="26"/>
        </w:rPr>
        <w:t xml:space="preserve"> court</w:t>
      </w:r>
      <w:r>
        <w:rPr>
          <w:szCs w:val="26"/>
        </w:rPr>
        <w:t>’s</w:t>
      </w:r>
      <w:r w:rsidRPr="00A77C37">
        <w:rPr>
          <w:szCs w:val="26"/>
        </w:rPr>
        <w:t xml:space="preserve"> interpret</w:t>
      </w:r>
      <w:r>
        <w:rPr>
          <w:szCs w:val="26"/>
        </w:rPr>
        <w:t>ation of</w:t>
      </w:r>
      <w:r w:rsidRPr="00A77C37">
        <w:rPr>
          <w:szCs w:val="26"/>
        </w:rPr>
        <w:t xml:space="preserve"> </w:t>
      </w:r>
      <w:r w:rsidRPr="00A77C37">
        <w:rPr>
          <w:szCs w:val="26"/>
        </w:rPr>
        <w:t xml:space="preserve">the term “substance abuse,” </w:t>
      </w:r>
      <w:r>
        <w:rPr>
          <w:szCs w:val="26"/>
        </w:rPr>
        <w:t>we agree</w:t>
      </w:r>
      <w:r w:rsidRPr="00A77C37">
        <w:rPr>
          <w:szCs w:val="26"/>
        </w:rPr>
        <w:t xml:space="preserve"> with its conclusion that the facts before the juvenile court in that case did not support </w:t>
      </w:r>
      <w:r>
        <w:rPr>
          <w:szCs w:val="26"/>
        </w:rPr>
        <w:t>the exercise of dependency jurisdiction</w:t>
      </w:r>
      <w:r w:rsidRPr="00A77C37">
        <w:rPr>
          <w:szCs w:val="26"/>
        </w:rPr>
        <w:t xml:space="preserve"> </w:t>
      </w:r>
      <w:r>
        <w:rPr>
          <w:szCs w:val="26"/>
        </w:rPr>
        <w:t>due to parental substance abuse</w:t>
      </w:r>
      <w:r w:rsidRPr="00A77C37">
        <w:rPr>
          <w:szCs w:val="26"/>
        </w:rPr>
        <w:t xml:space="preserve">.  The father in </w:t>
      </w:r>
      <w:r w:rsidRPr="00A77C37">
        <w:rPr>
          <w:i/>
          <w:iCs/>
          <w:szCs w:val="26"/>
        </w:rPr>
        <w:t>Drake M.</w:t>
      </w:r>
      <w:r w:rsidRPr="00A77C37">
        <w:rPr>
          <w:szCs w:val="26"/>
        </w:rPr>
        <w:t xml:space="preserve"> used marijuana pursuant to a med</w:t>
      </w:r>
      <w:r w:rsidRPr="00A77C37">
        <w:rPr>
          <w:szCs w:val="26"/>
        </w:rPr>
        <w:t>ical recommendation four or five times a week, mostly early in the day, to ease pain in his hands and knees.  (</w:t>
      </w:r>
      <w:r w:rsidRPr="00A77C37">
        <w:rPr>
          <w:i/>
          <w:iCs/>
          <w:szCs w:val="26"/>
        </w:rPr>
        <w:t>Drake M</w:t>
      </w:r>
      <w:r w:rsidRPr="00A77C37">
        <w:rPr>
          <w:szCs w:val="26"/>
        </w:rPr>
        <w:t xml:space="preserve">., </w:t>
      </w:r>
      <w:r w:rsidRPr="00A77C37">
        <w:rPr>
          <w:i/>
          <w:iCs/>
          <w:szCs w:val="26"/>
        </w:rPr>
        <w:t>supra</w:t>
      </w:r>
      <w:r w:rsidRPr="00A77C37">
        <w:rPr>
          <w:szCs w:val="26"/>
        </w:rPr>
        <w:t xml:space="preserve">, 211 Cal.App.4th at pp. 760–761.)  He smoked the </w:t>
      </w:r>
      <w:r>
        <w:rPr>
          <w:szCs w:val="26"/>
        </w:rPr>
        <w:t>substance</w:t>
      </w:r>
      <w:r w:rsidRPr="00A77C37">
        <w:rPr>
          <w:szCs w:val="26"/>
        </w:rPr>
        <w:t xml:space="preserve"> in a detached garage, away from his young child, and otherwise kept </w:t>
      </w:r>
      <w:r>
        <w:rPr>
          <w:szCs w:val="26"/>
        </w:rPr>
        <w:t>it</w:t>
      </w:r>
      <w:r w:rsidRPr="00A77C37">
        <w:rPr>
          <w:szCs w:val="26"/>
        </w:rPr>
        <w:t xml:space="preserve"> in a locked box that the child could not access.  (</w:t>
      </w:r>
      <w:r>
        <w:rPr>
          <w:i/>
          <w:iCs/>
          <w:szCs w:val="26"/>
        </w:rPr>
        <w:t>Ibid</w:t>
      </w:r>
      <w:r w:rsidRPr="00A77C37">
        <w:rPr>
          <w:szCs w:val="26"/>
        </w:rPr>
        <w:t>.)  When the father smoked marijuana with his wife, another adult watched over their child.  (</w:t>
      </w:r>
      <w:r w:rsidRPr="00A77C37">
        <w:rPr>
          <w:i/>
          <w:iCs/>
          <w:szCs w:val="26"/>
        </w:rPr>
        <w:t>Id</w:t>
      </w:r>
      <w:r w:rsidRPr="00A77C37">
        <w:rPr>
          <w:szCs w:val="26"/>
        </w:rPr>
        <w:t>. at pp.</w:t>
      </w:r>
      <w:r>
        <w:rPr>
          <w:szCs w:val="26"/>
        </w:rPr>
        <w:t> </w:t>
      </w:r>
      <w:r w:rsidRPr="00A77C37">
        <w:rPr>
          <w:szCs w:val="26"/>
        </w:rPr>
        <w:t>758, 759.)  The father stated that at least four hours would pass between when he smoked mariju</w:t>
      </w:r>
      <w:r w:rsidRPr="00A77C37">
        <w:rPr>
          <w:szCs w:val="26"/>
        </w:rPr>
        <w:t>ana and when he saw his child after day care, and that by that time he no longer felt any problematic effects of the drug.  (</w:t>
      </w:r>
      <w:r w:rsidRPr="00A77C37">
        <w:rPr>
          <w:i/>
          <w:iCs/>
          <w:szCs w:val="26"/>
        </w:rPr>
        <w:t>Id</w:t>
      </w:r>
      <w:r w:rsidRPr="00A77C37">
        <w:rPr>
          <w:szCs w:val="26"/>
        </w:rPr>
        <w:t>. at p. 761.)  No evidence was offered before the juvenile court, in the form of expert testimony or otherwise, to establish that</w:t>
      </w:r>
      <w:r w:rsidRPr="00A77C37">
        <w:rPr>
          <w:szCs w:val="26"/>
        </w:rPr>
        <w:t xml:space="preserve"> the father would still be feeling such effects upon resuming supervision of the child (</w:t>
      </w:r>
      <w:r w:rsidRPr="00A77C37">
        <w:rPr>
          <w:i/>
          <w:iCs/>
          <w:szCs w:val="26"/>
        </w:rPr>
        <w:t>id</w:t>
      </w:r>
      <w:r w:rsidRPr="00A77C37">
        <w:rPr>
          <w:szCs w:val="26"/>
        </w:rPr>
        <w:t>. at pp.</w:t>
      </w:r>
      <w:r>
        <w:rPr>
          <w:szCs w:val="26"/>
        </w:rPr>
        <w:t> </w:t>
      </w:r>
      <w:r w:rsidRPr="00A77C37">
        <w:rPr>
          <w:szCs w:val="26"/>
        </w:rPr>
        <w:t>761, 767–768), and no other substantial issues were reported in connection with the child’s care (</w:t>
      </w:r>
      <w:r w:rsidRPr="00A77C37">
        <w:rPr>
          <w:i/>
          <w:iCs/>
          <w:szCs w:val="26"/>
        </w:rPr>
        <w:t>id</w:t>
      </w:r>
      <w:r w:rsidRPr="00A77C37">
        <w:rPr>
          <w:szCs w:val="26"/>
        </w:rPr>
        <w:t xml:space="preserve">. at p. 758).  </w:t>
      </w:r>
      <w:r>
        <w:rPr>
          <w:szCs w:val="26"/>
        </w:rPr>
        <w:t>Viewing the record as a whole, e</w:t>
      </w:r>
      <w:r w:rsidRPr="00A77C37">
        <w:rPr>
          <w:szCs w:val="26"/>
        </w:rPr>
        <w:t>ven though</w:t>
      </w:r>
      <w:r w:rsidRPr="00A77C37">
        <w:rPr>
          <w:szCs w:val="26"/>
        </w:rPr>
        <w:t xml:space="preserve"> </w:t>
      </w:r>
      <w:r w:rsidRPr="00A77C37">
        <w:rPr>
          <w:i/>
          <w:iCs/>
          <w:szCs w:val="26"/>
        </w:rPr>
        <w:t>Drake M.</w:t>
      </w:r>
      <w:r w:rsidRPr="00A77C37">
        <w:rPr>
          <w:szCs w:val="26"/>
        </w:rPr>
        <w:t xml:space="preserve">’s reasoning was flawed with respect to how it defined substance abuse, </w:t>
      </w:r>
      <w:r>
        <w:rPr>
          <w:szCs w:val="26"/>
        </w:rPr>
        <w:t>we believe that its ultimate conclusion rejecting the exercise of dependency jurisdiction under what is today section 300(b)(1)(D) was nonetheless correct</w:t>
      </w:r>
      <w:r w:rsidRPr="00A77C37">
        <w:rPr>
          <w:szCs w:val="26"/>
        </w:rPr>
        <w:t>.  (</w:t>
      </w:r>
      <w:r w:rsidRPr="00A77C37">
        <w:rPr>
          <w:i/>
          <w:iCs/>
          <w:szCs w:val="26"/>
        </w:rPr>
        <w:t>Drake M.</w:t>
      </w:r>
      <w:r w:rsidRPr="00A77C37">
        <w:rPr>
          <w:szCs w:val="26"/>
        </w:rPr>
        <w:t>, at p. 7</w:t>
      </w:r>
      <w:r w:rsidRPr="00A77C37">
        <w:rPr>
          <w:szCs w:val="26"/>
        </w:rPr>
        <w:t>68</w:t>
      </w:r>
      <w:r>
        <w:rPr>
          <w:szCs w:val="26"/>
        </w:rPr>
        <w:t>.)</w:t>
      </w:r>
      <w:r w:rsidRPr="00A77C37">
        <w:rPr>
          <w:szCs w:val="26"/>
        </w:rPr>
        <w:t xml:space="preserve">  </w:t>
      </w:r>
      <w:r>
        <w:rPr>
          <w:szCs w:val="26"/>
        </w:rPr>
        <w:t xml:space="preserve">The record before that court did not contain substantial evidence of substance abuse that made the father unable to provide regular care for his child and placed the child at substantial risk of serious physical harm or illness.  </w:t>
      </w:r>
    </w:p>
    <w:p w14:paraId="72EDC453" w14:textId="77777777" w:rsidR="00021057" w:rsidRPr="00A77C37" w:rsidRDefault="00B46361" w:rsidP="00021057">
      <w:pPr>
        <w:ind w:firstLine="720"/>
        <w:rPr>
          <w:szCs w:val="26"/>
        </w:rPr>
      </w:pPr>
      <w:r>
        <w:rPr>
          <w:szCs w:val="26"/>
        </w:rPr>
        <w:t>Meanwhile, there are substantial countervailing policy considerations that counsel against regarding the DSM criteria for substance use disorders as providing the exclusive yardsticks for assessments of substance abuse</w:t>
      </w:r>
      <w:r w:rsidR="003F0FF0">
        <w:rPr>
          <w:szCs w:val="26"/>
        </w:rPr>
        <w:t xml:space="preserve"> for purposes of section 300(b)(1)(D)</w:t>
      </w:r>
      <w:r>
        <w:rPr>
          <w:szCs w:val="26"/>
        </w:rPr>
        <w:t>.</w:t>
      </w:r>
      <w:r>
        <w:rPr>
          <w:szCs w:val="26"/>
        </w:rPr>
        <w:t xml:space="preserve">  These include the fact that</w:t>
      </w:r>
      <w:r w:rsidRPr="00A77C37">
        <w:rPr>
          <w:szCs w:val="26"/>
        </w:rPr>
        <w:t xml:space="preserve"> DSM criteria are designed for clinical application and assume the availability of information relevant to a diagnosis.  Several of the DSM-5-TR criteria for substance use disorder</w:t>
      </w:r>
      <w:r>
        <w:rPr>
          <w:szCs w:val="26"/>
        </w:rPr>
        <w:t>s</w:t>
      </w:r>
      <w:r w:rsidRPr="00A77C37">
        <w:rPr>
          <w:szCs w:val="26"/>
        </w:rPr>
        <w:t>, such as the presence of cravings, tolerance,</w:t>
      </w:r>
      <w:r w:rsidRPr="00A77C37">
        <w:rPr>
          <w:szCs w:val="26"/>
        </w:rPr>
        <w:t xml:space="preserve"> and withdrawal symptoms (</w:t>
      </w:r>
      <w:r>
        <w:rPr>
          <w:szCs w:val="26"/>
        </w:rPr>
        <w:t xml:space="preserve">e.g., </w:t>
      </w:r>
      <w:r w:rsidRPr="00A77C37">
        <w:rPr>
          <w:szCs w:val="26"/>
        </w:rPr>
        <w:t xml:space="preserve">DSM-5-TR, </w:t>
      </w:r>
      <w:r w:rsidRPr="00A77C37">
        <w:rPr>
          <w:i/>
          <w:iCs/>
          <w:szCs w:val="26"/>
        </w:rPr>
        <w:t>supra</w:t>
      </w:r>
      <w:r w:rsidRPr="00A77C37">
        <w:rPr>
          <w:szCs w:val="26"/>
        </w:rPr>
        <w:t xml:space="preserve">, at pp. 632–633), rely on information that might commonly be divulged by a patient interested in obtaining an accurate diagnosis, but may not be as readily forthcoming from a parent or guardian </w:t>
      </w:r>
      <w:r>
        <w:rPr>
          <w:szCs w:val="26"/>
        </w:rPr>
        <w:t xml:space="preserve">during </w:t>
      </w:r>
      <w:r w:rsidRPr="00A77C37">
        <w:rPr>
          <w:szCs w:val="26"/>
        </w:rPr>
        <w:t>the dep</w:t>
      </w:r>
      <w:r w:rsidRPr="00A77C37">
        <w:rPr>
          <w:szCs w:val="26"/>
        </w:rPr>
        <w:t xml:space="preserve">endency process.  </w:t>
      </w:r>
      <w:r>
        <w:rPr>
          <w:szCs w:val="26"/>
        </w:rPr>
        <w:t>Courts therefore may lack the information necessary to apply the DSM criteria in their intended manner.</w:t>
      </w:r>
    </w:p>
    <w:p w14:paraId="72EDC454" w14:textId="77777777" w:rsidR="00021057" w:rsidRPr="00A77C37" w:rsidRDefault="00B46361" w:rsidP="00021057">
      <w:pPr>
        <w:ind w:firstLine="720"/>
        <w:rPr>
          <w:szCs w:val="26"/>
        </w:rPr>
      </w:pPr>
      <w:r>
        <w:rPr>
          <w:szCs w:val="26"/>
        </w:rPr>
        <w:t>Also</w:t>
      </w:r>
      <w:r w:rsidRPr="00A77C37">
        <w:rPr>
          <w:szCs w:val="26"/>
        </w:rPr>
        <w:t>,</w:t>
      </w:r>
      <w:r>
        <w:rPr>
          <w:szCs w:val="26"/>
        </w:rPr>
        <w:t xml:space="preserve"> Father’s approach gives short shrift to the DSM’s warnings </w:t>
      </w:r>
      <w:r w:rsidRPr="00A77C37">
        <w:rPr>
          <w:szCs w:val="26"/>
        </w:rPr>
        <w:t xml:space="preserve">that its criteria should not be </w:t>
      </w:r>
      <w:r w:rsidR="006F49A0">
        <w:rPr>
          <w:szCs w:val="26"/>
        </w:rPr>
        <w:t>mechanically</w:t>
      </w:r>
      <w:r w:rsidRPr="00A77C37">
        <w:rPr>
          <w:szCs w:val="26"/>
        </w:rPr>
        <w:t xml:space="preserve"> applied by laypeople and</w:t>
      </w:r>
      <w:r w:rsidRPr="00A77C37">
        <w:rPr>
          <w:szCs w:val="26"/>
        </w:rPr>
        <w:t xml:space="preserve"> may not capture all of the considerations relevant to </w:t>
      </w:r>
      <w:r>
        <w:rPr>
          <w:szCs w:val="26"/>
        </w:rPr>
        <w:t xml:space="preserve">a </w:t>
      </w:r>
      <w:r w:rsidRPr="00A77C37">
        <w:rPr>
          <w:szCs w:val="26"/>
        </w:rPr>
        <w:t xml:space="preserve">legal </w:t>
      </w:r>
      <w:r>
        <w:rPr>
          <w:szCs w:val="26"/>
        </w:rPr>
        <w:t>question that may come before a court</w:t>
      </w:r>
      <w:r w:rsidRPr="00A77C37">
        <w:rPr>
          <w:szCs w:val="26"/>
        </w:rPr>
        <w:t xml:space="preserve">.  </w:t>
      </w:r>
      <w:r>
        <w:rPr>
          <w:szCs w:val="26"/>
        </w:rPr>
        <w:t>Cautionary statements regarding the DSM’s use have appeared in versions of the manual dating back to the DSM-III.</w:t>
      </w:r>
      <w:r>
        <w:rPr>
          <w:rStyle w:val="FootnoteReference"/>
          <w:szCs w:val="26"/>
        </w:rPr>
        <w:footnoteReference w:id="15"/>
      </w:r>
      <w:r>
        <w:rPr>
          <w:szCs w:val="26"/>
        </w:rPr>
        <w:t xml:space="preserve">  </w:t>
      </w:r>
      <w:r w:rsidRPr="0053513F">
        <w:rPr>
          <w:szCs w:val="26"/>
        </w:rPr>
        <w:t>The statement within the DSM-III-R</w:t>
      </w:r>
      <w:r>
        <w:rPr>
          <w:szCs w:val="26"/>
        </w:rPr>
        <w:t xml:space="preserve">, </w:t>
      </w:r>
      <w:r>
        <w:rPr>
          <w:szCs w:val="26"/>
        </w:rPr>
        <w:t>for example,</w:t>
      </w:r>
      <w:r w:rsidRPr="0053513F">
        <w:rPr>
          <w:szCs w:val="26"/>
        </w:rPr>
        <w:t xml:space="preserve"> advised that the proper use of the manual’s “criteria requires specialized clinical training that provides both a body of knowledge and clinical skills” and warned that the DSM-III-R’s inclusion, “for clinical and research purposes, of a diagn</w:t>
      </w:r>
      <w:r w:rsidRPr="0053513F">
        <w:rPr>
          <w:szCs w:val="26"/>
        </w:rPr>
        <w:t xml:space="preserve">ostic category such as Pathological Gambling or Pedophilia does not imply that the condition meets legal or other nonmedical criteria for what constitutes mental disease, mental disorder, or mental disability.”  (DSM-III-R, </w:t>
      </w:r>
      <w:r w:rsidRPr="000B085E">
        <w:rPr>
          <w:i/>
          <w:iCs/>
          <w:szCs w:val="26"/>
        </w:rPr>
        <w:t>supra</w:t>
      </w:r>
      <w:r>
        <w:rPr>
          <w:szCs w:val="26"/>
        </w:rPr>
        <w:t xml:space="preserve">, </w:t>
      </w:r>
      <w:r w:rsidRPr="0053513F">
        <w:rPr>
          <w:szCs w:val="26"/>
        </w:rPr>
        <w:t>at p. xxix.)</w:t>
      </w:r>
      <w:r>
        <w:rPr>
          <w:szCs w:val="26"/>
        </w:rPr>
        <w:t xml:space="preserve">  The </w:t>
      </w:r>
      <w:r w:rsidRPr="00A77C37">
        <w:rPr>
          <w:szCs w:val="26"/>
        </w:rPr>
        <w:t>stateme</w:t>
      </w:r>
      <w:r w:rsidRPr="00A77C37">
        <w:rPr>
          <w:szCs w:val="26"/>
        </w:rPr>
        <w:t>nt within the DSM-5-TR</w:t>
      </w:r>
      <w:r>
        <w:rPr>
          <w:szCs w:val="26"/>
        </w:rPr>
        <w:t xml:space="preserve"> acknowledges that</w:t>
      </w:r>
      <w:r w:rsidRPr="00A77C37">
        <w:rPr>
          <w:szCs w:val="26"/>
        </w:rPr>
        <w:t>, “Although the DSM-5 diagnostic criteria and text are primarily designed to assist clinicians in conducting clinical assessment, case formulation, and treatment planning, DSM-5 is also used as a reference for the co</w:t>
      </w:r>
      <w:r w:rsidRPr="00A77C37">
        <w:rPr>
          <w:szCs w:val="26"/>
        </w:rPr>
        <w:t>urts and attorneys in assessing the legal consequences of mental disorders.  As a result, it is important to note that the definition of mental disorder included in DSM-5 was developed to meet the needs of clinicians, public health professionals, and resea</w:t>
      </w:r>
      <w:r w:rsidRPr="00A77C37">
        <w:rPr>
          <w:szCs w:val="26"/>
        </w:rPr>
        <w:t xml:space="preserve">rch investigators rather than the technical needs of the courts and legal professionals.”  (DSM-5-TR, </w:t>
      </w:r>
      <w:r w:rsidRPr="00A77C37">
        <w:rPr>
          <w:i/>
          <w:iCs/>
          <w:szCs w:val="26"/>
        </w:rPr>
        <w:t>supra</w:t>
      </w:r>
      <w:r w:rsidRPr="00A77C37">
        <w:rPr>
          <w:szCs w:val="26"/>
        </w:rPr>
        <w:t>, at p. 29.)</w:t>
      </w:r>
      <w:r w:rsidRPr="00667B31">
        <w:rPr>
          <w:szCs w:val="26"/>
        </w:rPr>
        <w:t xml:space="preserve"> </w:t>
      </w:r>
      <w:r>
        <w:rPr>
          <w:szCs w:val="26"/>
        </w:rPr>
        <w:t xml:space="preserve"> Following additional warnings</w:t>
      </w:r>
      <w:r w:rsidRPr="00A77C37">
        <w:rPr>
          <w:szCs w:val="26"/>
        </w:rPr>
        <w:t>, the statement continues, “Use of DSM-5 to assess the presence of a mental disorder by nonclinical, nonme</w:t>
      </w:r>
      <w:r w:rsidRPr="00A77C37">
        <w:rPr>
          <w:szCs w:val="26"/>
        </w:rPr>
        <w:t>dical, or otherwise insufficiently trained individuals is not advised.”  (</w:t>
      </w:r>
      <w:r w:rsidRPr="00A77C37">
        <w:rPr>
          <w:i/>
          <w:iCs/>
          <w:szCs w:val="26"/>
        </w:rPr>
        <w:t>Ibid</w:t>
      </w:r>
      <w:r w:rsidRPr="00A77C37">
        <w:rPr>
          <w:szCs w:val="26"/>
        </w:rPr>
        <w:t>.</w:t>
      </w:r>
      <w:r>
        <w:rPr>
          <w:szCs w:val="26"/>
        </w:rPr>
        <w:t xml:space="preserve">)  Elsewhere, the DSM-5-TR warns that it should “not be applied mechanically by individuals without clinical training” and that the text’s diagnostic criteria “are not meant to </w:t>
      </w:r>
      <w:r>
        <w:rPr>
          <w:szCs w:val="26"/>
        </w:rPr>
        <w:t>be used in a rigid cookbook fashion.”  (</w:t>
      </w:r>
      <w:r w:rsidRPr="00453652">
        <w:rPr>
          <w:i/>
          <w:iCs/>
          <w:szCs w:val="26"/>
        </w:rPr>
        <w:t>Id</w:t>
      </w:r>
      <w:r>
        <w:rPr>
          <w:szCs w:val="26"/>
        </w:rPr>
        <w:t>. at p. 23.)  Yet Father’s approach runs a high risk of exactly that type of application, even assuming the best efforts of judges and others involved in the juvenile dependency process to faithfully apply the manu</w:t>
      </w:r>
      <w:r>
        <w:rPr>
          <w:szCs w:val="26"/>
        </w:rPr>
        <w:t xml:space="preserve">al. </w:t>
      </w:r>
    </w:p>
    <w:p w14:paraId="72EDC455" w14:textId="77777777" w:rsidR="00021057" w:rsidRDefault="00B46361" w:rsidP="00021057">
      <w:pPr>
        <w:ind w:firstLine="720"/>
        <w:rPr>
          <w:szCs w:val="27"/>
        </w:rPr>
      </w:pPr>
      <w:r w:rsidRPr="00A77C37">
        <w:rPr>
          <w:szCs w:val="26"/>
        </w:rPr>
        <w:t xml:space="preserve">Rote application of the DSM criteria would be particularly </w:t>
      </w:r>
      <w:r>
        <w:rPr>
          <w:szCs w:val="26"/>
        </w:rPr>
        <w:t>inappropriate</w:t>
      </w:r>
      <w:r w:rsidRPr="00A77C37">
        <w:rPr>
          <w:szCs w:val="26"/>
        </w:rPr>
        <w:t xml:space="preserve"> within a statutory scheme for dependency proceedings that is </w:t>
      </w:r>
      <w:r>
        <w:rPr>
          <w:szCs w:val="26"/>
        </w:rPr>
        <w:t>intended</w:t>
      </w:r>
      <w:r w:rsidRPr="00A77C37">
        <w:rPr>
          <w:szCs w:val="26"/>
        </w:rPr>
        <w:t xml:space="preserve"> “to provide maximum safety and protection for children who are currently being physically, sexually, or emot</w:t>
      </w:r>
      <w:r w:rsidRPr="00A77C37">
        <w:rPr>
          <w:szCs w:val="26"/>
        </w:rPr>
        <w:t>ionally abused, being neglected, or being exploited, and to ensure the safety, protection, and physical and emotional well-being of children who are at risk of that harm.”  (§ 300.2, subd. (a).)  As the Department observes in its answer brief, as a diagnos</w:t>
      </w:r>
      <w:r w:rsidRPr="00A77C37">
        <w:rPr>
          <w:szCs w:val="26"/>
        </w:rPr>
        <w:t xml:space="preserve">tic resource the DSM is not designed to “assess risk to a third party, much less a child.”  To identify one example of the </w:t>
      </w:r>
      <w:r>
        <w:rPr>
          <w:szCs w:val="26"/>
        </w:rPr>
        <w:t>disconnects</w:t>
      </w:r>
      <w:r w:rsidRPr="00A77C37">
        <w:rPr>
          <w:szCs w:val="26"/>
        </w:rPr>
        <w:t xml:space="preserve"> that exist between the DSM criteria and the statutory scheme for juvenile dependency proceedings, if a parent or guardian</w:t>
      </w:r>
      <w:r w:rsidRPr="00A77C37">
        <w:rPr>
          <w:szCs w:val="26"/>
        </w:rPr>
        <w:t xml:space="preserve"> engages in frequent stimulant use “resulting in a failure to fulfill major role obligations at work, school, or home” (DSM-5-TR, </w:t>
      </w:r>
      <w:r w:rsidRPr="00A77C37">
        <w:rPr>
          <w:i/>
          <w:iCs/>
          <w:szCs w:val="26"/>
        </w:rPr>
        <w:t>supra</w:t>
      </w:r>
      <w:r w:rsidRPr="00A77C37">
        <w:rPr>
          <w:szCs w:val="26"/>
        </w:rPr>
        <w:t>, at p. 632) that relate to the care of a child, it is unclear why another of the remaining 10 criteria for a stimulant u</w:t>
      </w:r>
      <w:r w:rsidRPr="00A77C37">
        <w:rPr>
          <w:szCs w:val="26"/>
        </w:rPr>
        <w:t xml:space="preserve">se disorder enumerated within the DSM-5-TR — with any of these criteria sufficing — would also have to be satisfied to recognize substance abuse under section 300(b)(1)(D).  And although the DSM-5-TR recognizes that a positive diagnosis may be rendered in </w:t>
      </w:r>
      <w:r w:rsidRPr="00A77C37">
        <w:rPr>
          <w:szCs w:val="26"/>
        </w:rPr>
        <w:t xml:space="preserve">some situations </w:t>
      </w:r>
      <w:r>
        <w:rPr>
          <w:szCs w:val="26"/>
        </w:rPr>
        <w:t>in which</w:t>
      </w:r>
      <w:r w:rsidRPr="00A77C37">
        <w:rPr>
          <w:szCs w:val="26"/>
        </w:rPr>
        <w:t xml:space="preserve"> fewer than the normal number of required criteria are </w:t>
      </w:r>
      <w:r>
        <w:rPr>
          <w:szCs w:val="26"/>
        </w:rPr>
        <w:t>satisfied</w:t>
      </w:r>
      <w:r w:rsidRPr="00A77C37">
        <w:rPr>
          <w:szCs w:val="26"/>
        </w:rPr>
        <w:t xml:space="preserve"> (DSM-5-TR, at p. 23), that allowance merely serves to underscore that the standard criteria-based requirements for diagnosis under the DSM do not and should not supply</w:t>
      </w:r>
      <w:r w:rsidRPr="00A77C37">
        <w:rPr>
          <w:szCs w:val="26"/>
        </w:rPr>
        <w:t xml:space="preserve"> </w:t>
      </w:r>
      <w:r>
        <w:rPr>
          <w:szCs w:val="27"/>
        </w:rPr>
        <w:t xml:space="preserve">the </w:t>
      </w:r>
      <w:r w:rsidRPr="00B666B2">
        <w:rPr>
          <w:szCs w:val="27"/>
        </w:rPr>
        <w:t>definition of substance abuse in this setting.</w:t>
      </w:r>
    </w:p>
    <w:p w14:paraId="72EDC456" w14:textId="77777777" w:rsidR="00021057" w:rsidRPr="00D97300" w:rsidRDefault="00B46361" w:rsidP="00F1273E">
      <w:pPr>
        <w:pStyle w:val="CalendarLevel3a"/>
        <w:numPr>
          <w:ilvl w:val="0"/>
          <w:numId w:val="38"/>
        </w:numPr>
        <w:ind w:left="1440"/>
      </w:pPr>
      <w:r>
        <w:t>Our</w:t>
      </w:r>
      <w:r w:rsidRPr="00D97300">
        <w:t xml:space="preserve"> Interpretation Harmonizes with Prior Case Law Construing Section 300</w:t>
      </w:r>
    </w:p>
    <w:p w14:paraId="72EDC457" w14:textId="77777777" w:rsidR="00021057" w:rsidRDefault="00B46361" w:rsidP="00021057">
      <w:pPr>
        <w:ind w:firstLine="720"/>
        <w:rPr>
          <w:szCs w:val="26"/>
          <w:shd w:val="clear" w:color="auto" w:fill="FFFFFF"/>
        </w:rPr>
      </w:pPr>
      <w:r>
        <w:rPr>
          <w:szCs w:val="26"/>
        </w:rPr>
        <w:t>Our</w:t>
      </w:r>
      <w:r w:rsidRPr="00A77C37">
        <w:rPr>
          <w:szCs w:val="26"/>
        </w:rPr>
        <w:t xml:space="preserve"> interpretation of the substance abuse language within section 300(b)(1)(D) as concerned with the excessive use of drugs or alcohol aligns with the analysis in our previous decisions that have declined to read implicit limitations into other grounds for th</w:t>
      </w:r>
      <w:r w:rsidRPr="00A77C37">
        <w:rPr>
          <w:szCs w:val="26"/>
        </w:rPr>
        <w:t xml:space="preserve">e exercise of dependency jurisdiction.  In </w:t>
      </w:r>
      <w:r w:rsidRPr="00A77C37">
        <w:rPr>
          <w:i/>
          <w:iCs/>
          <w:szCs w:val="26"/>
        </w:rPr>
        <w:t xml:space="preserve">In re Ethan C. </w:t>
      </w:r>
      <w:r w:rsidRPr="00A77C37">
        <w:rPr>
          <w:szCs w:val="26"/>
        </w:rPr>
        <w:t>(2012) 54 Cal.4th 610 (</w:t>
      </w:r>
      <w:r w:rsidRPr="00A77C37">
        <w:rPr>
          <w:i/>
          <w:iCs/>
          <w:szCs w:val="26"/>
        </w:rPr>
        <w:t>Ethan C.</w:t>
      </w:r>
      <w:r w:rsidRPr="00A77C37">
        <w:rPr>
          <w:szCs w:val="26"/>
        </w:rPr>
        <w:t>), we concluded that the Legislature intended for the word “</w:t>
      </w:r>
      <w:r w:rsidR="00961C73">
        <w:rPr>
          <w:szCs w:val="26"/>
        </w:rPr>
        <w:t> ‘</w:t>
      </w:r>
      <w:r w:rsidRPr="00A77C37">
        <w:rPr>
          <w:szCs w:val="26"/>
        </w:rPr>
        <w:t>neglect,</w:t>
      </w:r>
      <w:r w:rsidR="00961C73">
        <w:rPr>
          <w:szCs w:val="26"/>
        </w:rPr>
        <w:t>’ </w:t>
      </w:r>
      <w:r w:rsidRPr="00A77C37">
        <w:rPr>
          <w:szCs w:val="26"/>
        </w:rPr>
        <w:t>” as used in section 300, subdivision (f) to carry its “commonly understood meaning” (</w:t>
      </w:r>
      <w:r w:rsidRPr="00A77C37">
        <w:rPr>
          <w:i/>
          <w:iCs/>
          <w:szCs w:val="26"/>
        </w:rPr>
        <w:t>Ethan C.</w:t>
      </w:r>
      <w:r w:rsidRPr="00A77C37">
        <w:rPr>
          <w:szCs w:val="26"/>
        </w:rPr>
        <w:t>,</w:t>
      </w:r>
      <w:r w:rsidRPr="00A77C37">
        <w:rPr>
          <w:szCs w:val="26"/>
        </w:rPr>
        <w:t xml:space="preserve"> at p. 627), rather than describing only situations in which a parent or guardian acted with criminal negligence.  (</w:t>
      </w:r>
      <w:r w:rsidRPr="00A77C37">
        <w:rPr>
          <w:i/>
          <w:iCs/>
          <w:szCs w:val="26"/>
        </w:rPr>
        <w:t>Id</w:t>
      </w:r>
      <w:r w:rsidRPr="00A77C37">
        <w:rPr>
          <w:szCs w:val="26"/>
        </w:rPr>
        <w:t xml:space="preserve">. at pp. 627–631.)  Likewise, in </w:t>
      </w:r>
      <w:r w:rsidRPr="00A77C37">
        <w:rPr>
          <w:i/>
          <w:iCs/>
          <w:szCs w:val="26"/>
        </w:rPr>
        <w:t>I.J.</w:t>
      </w:r>
      <w:r w:rsidRPr="00A77C37">
        <w:rPr>
          <w:szCs w:val="26"/>
        </w:rPr>
        <w:t xml:space="preserve">, </w:t>
      </w:r>
      <w:r w:rsidRPr="00A77C37">
        <w:rPr>
          <w:i/>
          <w:iCs/>
          <w:szCs w:val="26"/>
        </w:rPr>
        <w:t>supra</w:t>
      </w:r>
      <w:r w:rsidRPr="00A77C37">
        <w:rPr>
          <w:szCs w:val="26"/>
        </w:rPr>
        <w:t>, 56 Cal.4th 766, we rejected the position that “</w:t>
      </w:r>
      <w:r w:rsidRPr="00A77C37">
        <w:rPr>
          <w:szCs w:val="26"/>
          <w:shd w:val="clear" w:color="auto" w:fill="FFFFFF"/>
        </w:rPr>
        <w:t>scientific authority or empirical evidence</w:t>
      </w:r>
      <w:r w:rsidRPr="00A77C37">
        <w:rPr>
          <w:szCs w:val="26"/>
        </w:rPr>
        <w:t>” w</w:t>
      </w:r>
      <w:r w:rsidRPr="00A77C37">
        <w:rPr>
          <w:szCs w:val="26"/>
        </w:rPr>
        <w:t>ere required to establish a substantial risk of harm to a father’s sons based on sustained allegations that the father had sexually abused one of his daughters.  (</w:t>
      </w:r>
      <w:r w:rsidRPr="00A77C37">
        <w:rPr>
          <w:i/>
          <w:iCs/>
          <w:szCs w:val="26"/>
        </w:rPr>
        <w:t>Id</w:t>
      </w:r>
      <w:r w:rsidRPr="00A77C37">
        <w:rPr>
          <w:szCs w:val="26"/>
        </w:rPr>
        <w:t xml:space="preserve">. at </w:t>
      </w:r>
      <w:r w:rsidR="00FB1E3B">
        <w:rPr>
          <w:szCs w:val="26"/>
        </w:rPr>
        <w:t xml:space="preserve">p. 778; see </w:t>
      </w:r>
      <w:r w:rsidR="00FB1E3B">
        <w:rPr>
          <w:i/>
          <w:iCs/>
          <w:szCs w:val="26"/>
        </w:rPr>
        <w:t>id.</w:t>
      </w:r>
      <w:r w:rsidR="00FB1E3B">
        <w:rPr>
          <w:szCs w:val="26"/>
        </w:rPr>
        <w:t xml:space="preserve"> at </w:t>
      </w:r>
      <w:r w:rsidRPr="00A77C37">
        <w:rPr>
          <w:szCs w:val="26"/>
        </w:rPr>
        <w:t>pp. 778–779.)  We held instead that “</w:t>
      </w:r>
      <w:r w:rsidRPr="00A77C37">
        <w:rPr>
          <w:szCs w:val="26"/>
          <w:shd w:val="clear" w:color="auto" w:fill="FFFFFF"/>
        </w:rPr>
        <w:t>the juvenile court is supposed</w:t>
      </w:r>
      <w:r w:rsidRPr="00A77C37">
        <w:rPr>
          <w:szCs w:val="26"/>
          <w:shd w:val="clear" w:color="auto" w:fill="FFFFFF"/>
        </w:rPr>
        <w:t xml:space="preserve"> to use its best judgment to determine whether or not the particular substantial risk exists.”  (</w:t>
      </w:r>
      <w:r w:rsidRPr="00A77C37">
        <w:rPr>
          <w:i/>
          <w:iCs/>
          <w:szCs w:val="26"/>
          <w:shd w:val="clear" w:color="auto" w:fill="FFFFFF"/>
        </w:rPr>
        <w:t>Id</w:t>
      </w:r>
      <w:r w:rsidRPr="00A77C37">
        <w:rPr>
          <w:szCs w:val="26"/>
          <w:shd w:val="clear" w:color="auto" w:fill="FFFFFF"/>
        </w:rPr>
        <w:t xml:space="preserve">. at p. 779.)  Finally, in determining that the invocation of dependency jurisdiction </w:t>
      </w:r>
      <w:r w:rsidR="00582FDD">
        <w:rPr>
          <w:szCs w:val="26"/>
          <w:shd w:val="clear" w:color="auto" w:fill="FFFFFF"/>
        </w:rPr>
        <w:t xml:space="preserve">under </w:t>
      </w:r>
      <w:r w:rsidRPr="00A77C37">
        <w:rPr>
          <w:szCs w:val="26"/>
          <w:shd w:val="clear" w:color="auto" w:fill="FFFFFF"/>
        </w:rPr>
        <w:t>section 300, subd</w:t>
      </w:r>
      <w:r w:rsidR="00582FDD">
        <w:rPr>
          <w:szCs w:val="26"/>
          <w:shd w:val="clear" w:color="auto" w:fill="FFFFFF"/>
        </w:rPr>
        <w:t>ivision</w:t>
      </w:r>
      <w:r w:rsidRPr="00A77C37">
        <w:rPr>
          <w:szCs w:val="26"/>
          <w:shd w:val="clear" w:color="auto" w:fill="FFFFFF"/>
        </w:rPr>
        <w:t xml:space="preserve"> (b)(1)(A)</w:t>
      </w:r>
      <w:r w:rsidR="00582FDD">
        <w:rPr>
          <w:szCs w:val="26"/>
          <w:shd w:val="clear" w:color="auto" w:fill="FFFFFF"/>
        </w:rPr>
        <w:t xml:space="preserve"> due to the failure or inability of a parent or guardian to adequately supervise a child</w:t>
      </w:r>
      <w:r w:rsidRPr="00A77C37">
        <w:rPr>
          <w:szCs w:val="26"/>
          <w:shd w:val="clear" w:color="auto" w:fill="FFFFFF"/>
        </w:rPr>
        <w:t xml:space="preserve"> did not require a finding of parental culpability, our decision in </w:t>
      </w:r>
      <w:r w:rsidRPr="00A77C37">
        <w:rPr>
          <w:i/>
          <w:iCs/>
          <w:szCs w:val="26"/>
          <w:shd w:val="clear" w:color="auto" w:fill="FFFFFF"/>
        </w:rPr>
        <w:t>R.T.</w:t>
      </w:r>
      <w:r w:rsidRPr="00A77C37">
        <w:rPr>
          <w:szCs w:val="26"/>
          <w:shd w:val="clear" w:color="auto" w:fill="FFFFFF"/>
        </w:rPr>
        <w:t xml:space="preserve">, </w:t>
      </w:r>
      <w:r w:rsidRPr="00A77C37">
        <w:rPr>
          <w:i/>
          <w:iCs/>
          <w:szCs w:val="26"/>
          <w:shd w:val="clear" w:color="auto" w:fill="FFFFFF"/>
        </w:rPr>
        <w:t>supra</w:t>
      </w:r>
      <w:r w:rsidRPr="00A77C37">
        <w:rPr>
          <w:szCs w:val="26"/>
          <w:shd w:val="clear" w:color="auto" w:fill="FFFFFF"/>
        </w:rPr>
        <w:t>, 3 Cal.5th 622 noted, “Because the Legislature has made parental culpability (based on either willful or negligent cond</w:t>
      </w:r>
      <w:r w:rsidRPr="00A77C37">
        <w:rPr>
          <w:szCs w:val="26"/>
          <w:shd w:val="clear" w:color="auto" w:fill="FFFFFF"/>
        </w:rPr>
        <w:t>uct) a requirement in some, but not all, grounds for asserting dependency jurisdiction under section 300, we may conclude that the omission of a culpability requirement in the first clause of section 300(b)(1) ‘was purposeful.’ ”  (</w:t>
      </w:r>
      <w:r w:rsidRPr="00A77C37">
        <w:rPr>
          <w:i/>
          <w:iCs/>
          <w:szCs w:val="26"/>
          <w:shd w:val="clear" w:color="auto" w:fill="FFFFFF"/>
        </w:rPr>
        <w:t>R.T.</w:t>
      </w:r>
      <w:r w:rsidRPr="00A77C37">
        <w:rPr>
          <w:szCs w:val="26"/>
          <w:shd w:val="clear" w:color="auto" w:fill="FFFFFF"/>
        </w:rPr>
        <w:t>, at p.</w:t>
      </w:r>
      <w:r w:rsidRPr="00A77C37">
        <w:t> </w:t>
      </w:r>
      <w:r w:rsidRPr="00A77C37">
        <w:rPr>
          <w:szCs w:val="26"/>
          <w:shd w:val="clear" w:color="auto" w:fill="FFFFFF"/>
        </w:rPr>
        <w:t>630.)  Simil</w:t>
      </w:r>
      <w:r w:rsidRPr="00A77C37">
        <w:rPr>
          <w:szCs w:val="26"/>
          <w:shd w:val="clear" w:color="auto" w:fill="FFFFFF"/>
        </w:rPr>
        <w:t xml:space="preserve">arly here, in contrast with the definitions </w:t>
      </w:r>
      <w:r>
        <w:rPr>
          <w:szCs w:val="26"/>
          <w:shd w:val="clear" w:color="auto" w:fill="FFFFFF"/>
        </w:rPr>
        <w:t xml:space="preserve">that have been </w:t>
      </w:r>
      <w:r w:rsidRPr="00A77C37">
        <w:rPr>
          <w:szCs w:val="26"/>
          <w:shd w:val="clear" w:color="auto" w:fill="FFFFFF"/>
        </w:rPr>
        <w:t xml:space="preserve">provided for other terms within the statute, there is no </w:t>
      </w:r>
      <w:r>
        <w:rPr>
          <w:szCs w:val="26"/>
          <w:shd w:val="clear" w:color="auto" w:fill="FFFFFF"/>
        </w:rPr>
        <w:t xml:space="preserve">persuasive </w:t>
      </w:r>
      <w:r w:rsidRPr="00A77C37">
        <w:rPr>
          <w:szCs w:val="26"/>
          <w:shd w:val="clear" w:color="auto" w:fill="FFFFFF"/>
        </w:rPr>
        <w:t xml:space="preserve">indication on the face of section 300 </w:t>
      </w:r>
      <w:r>
        <w:rPr>
          <w:szCs w:val="26"/>
          <w:shd w:val="clear" w:color="auto" w:fill="FFFFFF"/>
        </w:rPr>
        <w:t xml:space="preserve">or otherwise </w:t>
      </w:r>
      <w:r w:rsidRPr="00A77C37">
        <w:rPr>
          <w:szCs w:val="26"/>
          <w:shd w:val="clear" w:color="auto" w:fill="FFFFFF"/>
        </w:rPr>
        <w:t xml:space="preserve">that the Legislature intended to deviate from the ordinary understanding of the term “substance abuse.” </w:t>
      </w:r>
    </w:p>
    <w:p w14:paraId="72EDC458" w14:textId="77777777" w:rsidR="00021057" w:rsidRPr="00070728" w:rsidRDefault="00B46361" w:rsidP="00F1273E">
      <w:pPr>
        <w:pStyle w:val="CalendarLevel3a"/>
        <w:numPr>
          <w:ilvl w:val="0"/>
          <w:numId w:val="38"/>
        </w:numPr>
        <w:ind w:left="1440"/>
      </w:pPr>
      <w:r w:rsidRPr="00070728">
        <w:t xml:space="preserve">Substance Abuse Under Section 300 Does Not Require a Medical Diagnosis in Lieu of a Showing </w:t>
      </w:r>
      <w:r w:rsidR="00316987">
        <w:t>T</w:t>
      </w:r>
      <w:r w:rsidRPr="00070728">
        <w:t>hat the DSM Criteria Have Been Satisfied</w:t>
      </w:r>
    </w:p>
    <w:p w14:paraId="72EDC459" w14:textId="77777777" w:rsidR="00021057" w:rsidRDefault="00B46361" w:rsidP="00021057">
      <w:pPr>
        <w:ind w:firstLine="720"/>
        <w:rPr>
          <w:szCs w:val="26"/>
        </w:rPr>
      </w:pPr>
      <w:r w:rsidRPr="00A77C37">
        <w:rPr>
          <w:szCs w:val="26"/>
        </w:rPr>
        <w:t>Although Father’s</w:t>
      </w:r>
      <w:r w:rsidRPr="00A77C37">
        <w:rPr>
          <w:szCs w:val="26"/>
        </w:rPr>
        <w:t xml:space="preserve"> briefing concentrates on the DSM criteria,</w:t>
      </w:r>
      <w:r w:rsidRPr="00A77C37">
        <w:rPr>
          <w:i/>
          <w:iCs/>
          <w:szCs w:val="26"/>
        </w:rPr>
        <w:t xml:space="preserve"> </w:t>
      </w:r>
      <w:r w:rsidRPr="00A77C37">
        <w:rPr>
          <w:szCs w:val="26"/>
        </w:rPr>
        <w:t xml:space="preserve">he also acknowledges </w:t>
      </w:r>
      <w:r w:rsidRPr="00A77C37">
        <w:rPr>
          <w:i/>
          <w:iCs/>
          <w:szCs w:val="26"/>
        </w:rPr>
        <w:t>Drake M.</w:t>
      </w:r>
      <w:r w:rsidRPr="00A77C37">
        <w:rPr>
          <w:szCs w:val="26"/>
        </w:rPr>
        <w:t>’s position that a professional medical diagnosis of</w:t>
      </w:r>
      <w:r>
        <w:rPr>
          <w:szCs w:val="26"/>
        </w:rPr>
        <w:t xml:space="preserve"> current</w:t>
      </w:r>
      <w:r w:rsidRPr="00A77C37">
        <w:rPr>
          <w:szCs w:val="26"/>
        </w:rPr>
        <w:t xml:space="preserve"> substance abuse may suffice in lieu of a showing that these criteria have been satisfied.  (See </w:t>
      </w:r>
      <w:r w:rsidRPr="00A77C37">
        <w:rPr>
          <w:i/>
          <w:iCs/>
          <w:szCs w:val="26"/>
        </w:rPr>
        <w:t>Drake M.</w:t>
      </w:r>
      <w:r w:rsidRPr="00A77C37">
        <w:rPr>
          <w:szCs w:val="26"/>
        </w:rPr>
        <w:t xml:space="preserve">, </w:t>
      </w:r>
      <w:r w:rsidRPr="00A77C37">
        <w:rPr>
          <w:i/>
          <w:iCs/>
          <w:szCs w:val="26"/>
        </w:rPr>
        <w:t>supra</w:t>
      </w:r>
      <w:r w:rsidRPr="00A77C37">
        <w:rPr>
          <w:szCs w:val="26"/>
        </w:rPr>
        <w:t>, 211 Cal.A</w:t>
      </w:r>
      <w:r w:rsidRPr="00A77C37">
        <w:rPr>
          <w:szCs w:val="26"/>
        </w:rPr>
        <w:t xml:space="preserve">pp.4th at p. 766.)  </w:t>
      </w:r>
      <w:r>
        <w:rPr>
          <w:szCs w:val="26"/>
        </w:rPr>
        <w:t xml:space="preserve">Considerations </w:t>
      </w:r>
      <w:r w:rsidRPr="00A77C37">
        <w:rPr>
          <w:szCs w:val="26"/>
        </w:rPr>
        <w:t xml:space="preserve">similar to those discussed above also foreclose this interpretation of section 300’s substance abuse language.  </w:t>
      </w:r>
    </w:p>
    <w:p w14:paraId="72EDC45A" w14:textId="77777777" w:rsidR="00021057" w:rsidRDefault="00B46361" w:rsidP="00021057">
      <w:pPr>
        <w:ind w:firstLine="720"/>
        <w:rPr>
          <w:szCs w:val="26"/>
        </w:rPr>
      </w:pPr>
      <w:r>
        <w:rPr>
          <w:szCs w:val="26"/>
        </w:rPr>
        <w:t>Just as we assigned significance to the absence of any reference to the DSM in the statutory scheme, we beli</w:t>
      </w:r>
      <w:r>
        <w:rPr>
          <w:szCs w:val="26"/>
        </w:rPr>
        <w:t xml:space="preserve">eve that had </w:t>
      </w:r>
      <w:r w:rsidRPr="00A77C37">
        <w:rPr>
          <w:szCs w:val="26"/>
        </w:rPr>
        <w:t xml:space="preserve">the Legislature intended to require </w:t>
      </w:r>
      <w:r w:rsidR="006C337D">
        <w:rPr>
          <w:szCs w:val="26"/>
        </w:rPr>
        <w:t xml:space="preserve">a </w:t>
      </w:r>
      <w:r w:rsidRPr="00A77C37">
        <w:rPr>
          <w:szCs w:val="26"/>
        </w:rPr>
        <w:t xml:space="preserve">medical diagnosis of substance abuse, it would have said so.  </w:t>
      </w:r>
      <w:r w:rsidRPr="00A77C37">
        <w:rPr>
          <w:szCs w:val="26"/>
          <w:shd w:val="clear" w:color="auto" w:fill="FFFFFF"/>
        </w:rPr>
        <w:t xml:space="preserve">(See </w:t>
      </w:r>
      <w:r w:rsidRPr="00A77C37">
        <w:rPr>
          <w:i/>
          <w:iCs/>
          <w:szCs w:val="26"/>
          <w:shd w:val="clear" w:color="auto" w:fill="FFFFFF"/>
        </w:rPr>
        <w:t>Khalid H.</w:t>
      </w:r>
      <w:r w:rsidRPr="00A77C37">
        <w:rPr>
          <w:szCs w:val="26"/>
          <w:shd w:val="clear" w:color="auto" w:fill="FFFFFF"/>
        </w:rPr>
        <w:t xml:space="preserve">, </w:t>
      </w:r>
      <w:r w:rsidRPr="00A77C37">
        <w:rPr>
          <w:i/>
          <w:iCs/>
          <w:szCs w:val="26"/>
          <w:shd w:val="clear" w:color="auto" w:fill="FFFFFF"/>
        </w:rPr>
        <w:t>supra</w:t>
      </w:r>
      <w:r w:rsidRPr="00A77C37">
        <w:rPr>
          <w:szCs w:val="26"/>
          <w:shd w:val="clear" w:color="auto" w:fill="FFFFFF"/>
        </w:rPr>
        <w:t>, 6 Cal.App.4th at p. 736.)</w:t>
      </w:r>
      <w:r>
        <w:rPr>
          <w:szCs w:val="26"/>
          <w:shd w:val="clear" w:color="auto" w:fill="FFFFFF"/>
        </w:rPr>
        <w:t xml:space="preserve"> </w:t>
      </w:r>
      <w:r w:rsidRPr="00A77C37">
        <w:rPr>
          <w:szCs w:val="26"/>
        </w:rPr>
        <w:t xml:space="preserve"> </w:t>
      </w:r>
      <w:r>
        <w:rPr>
          <w:szCs w:val="26"/>
        </w:rPr>
        <w:t>The Legislature certainly knew how to draw such a connection.  A different</w:t>
      </w:r>
      <w:r w:rsidRPr="0053513F">
        <w:rPr>
          <w:szCs w:val="26"/>
        </w:rPr>
        <w:t xml:space="preserve"> provision within t</w:t>
      </w:r>
      <w:r w:rsidRPr="0053513F">
        <w:rPr>
          <w:szCs w:val="26"/>
        </w:rPr>
        <w:t xml:space="preserve">he statutory scheme for dependency proceedings assigns special significance to testimony from professionals.  Under section 355.1, subdivision (a), “Where the court finds, </w:t>
      </w:r>
      <w:r w:rsidRPr="0053513F">
        <w:rPr>
          <w:i/>
          <w:iCs/>
          <w:szCs w:val="26"/>
        </w:rPr>
        <w:t>based upon competent professional evidence</w:t>
      </w:r>
      <w:r w:rsidRPr="0053513F">
        <w:rPr>
          <w:szCs w:val="26"/>
        </w:rPr>
        <w:t>, that an injury, injuries, or detrimental</w:t>
      </w:r>
      <w:r w:rsidRPr="0053513F">
        <w:rPr>
          <w:szCs w:val="26"/>
        </w:rPr>
        <w:t xml:space="preserve"> condition sustained by a minor is of a nature as would ordinarily not be sustained except as the result of the unreasonable or neglectful acts or omissions of either parent, the guardian, or other person who has the care or custody of the minor, that find</w:t>
      </w:r>
      <w:r w:rsidRPr="0053513F">
        <w:rPr>
          <w:szCs w:val="26"/>
        </w:rPr>
        <w:t xml:space="preserve">ing shall be prima facie evidence that the minor is a person described by subdivision (a), (b), or (d) of Section 300.”  (Italics added.)  </w:t>
      </w:r>
    </w:p>
    <w:p w14:paraId="72EDC45B" w14:textId="77777777" w:rsidR="00021057" w:rsidRDefault="00B46361" w:rsidP="00021057">
      <w:pPr>
        <w:ind w:firstLine="720"/>
        <w:rPr>
          <w:szCs w:val="26"/>
        </w:rPr>
      </w:pPr>
      <w:r>
        <w:rPr>
          <w:szCs w:val="26"/>
        </w:rPr>
        <w:t>Other flaws with Father’s arguments regarding the DSM’s applicability also carry over to the position that substance</w:t>
      </w:r>
      <w:r>
        <w:rPr>
          <w:szCs w:val="26"/>
        </w:rPr>
        <w:t xml:space="preserve"> abuse requires a medical diagnosis.  Among these shortcomings, there is no indication within the legislative history that legislators contemplated such a close connection between a medical diagnosis and judicial recognition of substance abuse.  With good </w:t>
      </w:r>
      <w:r>
        <w:rPr>
          <w:szCs w:val="26"/>
        </w:rPr>
        <w:t>reason; i</w:t>
      </w:r>
      <w:r w:rsidRPr="00A77C37">
        <w:rPr>
          <w:szCs w:val="26"/>
        </w:rPr>
        <w:t xml:space="preserve">nformation that could be critical to a diagnosis </w:t>
      </w:r>
      <w:r>
        <w:rPr>
          <w:szCs w:val="26"/>
        </w:rPr>
        <w:t>by a medi</w:t>
      </w:r>
      <w:r w:rsidR="00582FDD">
        <w:rPr>
          <w:szCs w:val="26"/>
        </w:rPr>
        <w:t>c</w:t>
      </w:r>
      <w:r>
        <w:rPr>
          <w:szCs w:val="26"/>
        </w:rPr>
        <w:t xml:space="preserve">al professional </w:t>
      </w:r>
      <w:r w:rsidRPr="00A77C37">
        <w:rPr>
          <w:szCs w:val="26"/>
        </w:rPr>
        <w:t>may not be available at the prejurisdiction</w:t>
      </w:r>
      <w:r>
        <w:rPr>
          <w:szCs w:val="26"/>
        </w:rPr>
        <w:t>al</w:t>
      </w:r>
      <w:r w:rsidRPr="00A77C37">
        <w:rPr>
          <w:szCs w:val="26"/>
        </w:rPr>
        <w:t xml:space="preserve"> stage of a dependency proceeding, particularly given the limited powers of the court at that early stage of the dependency pro</w:t>
      </w:r>
      <w:r w:rsidRPr="00A77C37">
        <w:rPr>
          <w:szCs w:val="26"/>
        </w:rPr>
        <w:t xml:space="preserve">cess.  (See </w:t>
      </w:r>
      <w:r w:rsidRPr="00A77C37">
        <w:rPr>
          <w:i/>
          <w:iCs/>
          <w:szCs w:val="26"/>
        </w:rPr>
        <w:t>Laurie S.</w:t>
      </w:r>
      <w:r w:rsidR="00DD2528">
        <w:rPr>
          <w:szCs w:val="26"/>
        </w:rPr>
        <w:t xml:space="preserve">, </w:t>
      </w:r>
      <w:r w:rsidR="00DD2528" w:rsidRPr="00DD2528">
        <w:rPr>
          <w:i/>
          <w:iCs/>
          <w:szCs w:val="26"/>
        </w:rPr>
        <w:t>supra</w:t>
      </w:r>
      <w:r w:rsidR="00DD2528">
        <w:rPr>
          <w:szCs w:val="26"/>
        </w:rPr>
        <w:t xml:space="preserve">, </w:t>
      </w:r>
      <w:r w:rsidRPr="00A77C37">
        <w:rPr>
          <w:szCs w:val="26"/>
        </w:rPr>
        <w:t>26</w:t>
      </w:r>
      <w:r>
        <w:rPr>
          <w:szCs w:val="26"/>
        </w:rPr>
        <w:t> </w:t>
      </w:r>
      <w:r w:rsidRPr="00A77C37">
        <w:rPr>
          <w:szCs w:val="26"/>
        </w:rPr>
        <w:t xml:space="preserve">Cal.App.4th </w:t>
      </w:r>
      <w:r w:rsidR="00DD2528">
        <w:rPr>
          <w:szCs w:val="26"/>
        </w:rPr>
        <w:t>at p. </w:t>
      </w:r>
      <w:r w:rsidRPr="00A77C37">
        <w:rPr>
          <w:szCs w:val="26"/>
        </w:rPr>
        <w:t>202 [“At the pr</w:t>
      </w:r>
      <w:r>
        <w:rPr>
          <w:szCs w:val="26"/>
        </w:rPr>
        <w:t>e</w:t>
      </w:r>
      <w:r w:rsidRPr="00A77C37">
        <w:rPr>
          <w:szCs w:val="26"/>
        </w:rPr>
        <w:t xml:space="preserve">jurisdictional stage, an allegation by the Department that a parent is mentally ill or the fact of mental illness alone does not justify a psychological examination of that parent”].)  Also, the considerations </w:t>
      </w:r>
      <w:r w:rsidR="006F49A0">
        <w:rPr>
          <w:szCs w:val="26"/>
        </w:rPr>
        <w:t>that may inform</w:t>
      </w:r>
      <w:r w:rsidRPr="00A77C37">
        <w:rPr>
          <w:szCs w:val="26"/>
        </w:rPr>
        <w:t xml:space="preserve"> a medical diagnosis of substan</w:t>
      </w:r>
      <w:r w:rsidRPr="00A77C37">
        <w:rPr>
          <w:szCs w:val="26"/>
        </w:rPr>
        <w:t>ce abuse</w:t>
      </w:r>
      <w:r>
        <w:rPr>
          <w:szCs w:val="26"/>
        </w:rPr>
        <w:t xml:space="preserve"> </w:t>
      </w:r>
      <w:r w:rsidRPr="00A77C37">
        <w:rPr>
          <w:szCs w:val="26"/>
        </w:rPr>
        <w:t xml:space="preserve">may </w:t>
      </w:r>
      <w:r>
        <w:rPr>
          <w:szCs w:val="26"/>
        </w:rPr>
        <w:t>be misaligned with legislative intent</w:t>
      </w:r>
      <w:r w:rsidR="00C52B73">
        <w:rPr>
          <w:szCs w:val="26"/>
        </w:rPr>
        <w:t>, in that t</w:t>
      </w:r>
      <w:r>
        <w:rPr>
          <w:szCs w:val="26"/>
        </w:rPr>
        <w:t>he</w:t>
      </w:r>
      <w:r w:rsidR="00C52B73">
        <w:rPr>
          <w:szCs w:val="26"/>
        </w:rPr>
        <w:t>se</w:t>
      </w:r>
      <w:r w:rsidR="006F49A0">
        <w:rPr>
          <w:szCs w:val="26"/>
        </w:rPr>
        <w:t xml:space="preserve"> diagnostic criteria </w:t>
      </w:r>
      <w:r>
        <w:rPr>
          <w:szCs w:val="26"/>
        </w:rPr>
        <w:t xml:space="preserve">may </w:t>
      </w:r>
      <w:r w:rsidRPr="00A77C37">
        <w:rPr>
          <w:szCs w:val="26"/>
        </w:rPr>
        <w:t xml:space="preserve">not capture the aspects of abuse most </w:t>
      </w:r>
      <w:r w:rsidR="007966E4">
        <w:rPr>
          <w:szCs w:val="26"/>
        </w:rPr>
        <w:t>relevant</w:t>
      </w:r>
      <w:r w:rsidR="007966E4" w:rsidRPr="00A77C37">
        <w:rPr>
          <w:szCs w:val="26"/>
        </w:rPr>
        <w:t xml:space="preserve"> </w:t>
      </w:r>
      <w:r w:rsidRPr="00A77C37">
        <w:rPr>
          <w:szCs w:val="26"/>
        </w:rPr>
        <w:t>to a determination of whether a parent’s or guardian’s issues with drugs or alcohol render that person unable to provid</w:t>
      </w:r>
      <w:r w:rsidRPr="00A77C37">
        <w:rPr>
          <w:szCs w:val="26"/>
        </w:rPr>
        <w:t>e regular care for a child</w:t>
      </w:r>
      <w:r>
        <w:rPr>
          <w:szCs w:val="26"/>
        </w:rPr>
        <w:t xml:space="preserve"> and place that child at substantial risk of serious physical harm or illness</w:t>
      </w:r>
      <w:r w:rsidRPr="00A77C37">
        <w:rPr>
          <w:szCs w:val="26"/>
        </w:rPr>
        <w:t xml:space="preserve">.  </w:t>
      </w:r>
    </w:p>
    <w:p w14:paraId="72EDC45C" w14:textId="77777777" w:rsidR="00021057" w:rsidRPr="00A77C37" w:rsidRDefault="00B46361" w:rsidP="00021057">
      <w:pPr>
        <w:ind w:firstLine="720"/>
        <w:rPr>
          <w:szCs w:val="26"/>
        </w:rPr>
      </w:pPr>
      <w:r>
        <w:rPr>
          <w:szCs w:val="26"/>
        </w:rPr>
        <w:t>Consistent with the discussion above, we conclude that a professional medical diagnosis is not required, whether on its own or as an alternative to s</w:t>
      </w:r>
      <w:r>
        <w:rPr>
          <w:szCs w:val="26"/>
        </w:rPr>
        <w:t xml:space="preserve">atisfaction of the relevant DSM criteria, in order to establish the existence of substance abuse under section 300(b)(1)(D).  </w:t>
      </w:r>
    </w:p>
    <w:p w14:paraId="72EDC45D" w14:textId="77777777" w:rsidR="00021057" w:rsidRPr="00A77C37" w:rsidRDefault="00B46361" w:rsidP="00F1273E">
      <w:pPr>
        <w:pStyle w:val="CalendarLevel3a"/>
        <w:numPr>
          <w:ilvl w:val="0"/>
          <w:numId w:val="38"/>
        </w:numPr>
        <w:tabs>
          <w:tab w:val="left" w:pos="1080"/>
        </w:tabs>
        <w:spacing w:before="0" w:line="400" w:lineRule="exact"/>
        <w:ind w:left="1440"/>
        <w:jc w:val="both"/>
      </w:pPr>
      <w:r w:rsidRPr="00A77C37">
        <w:t>Due Process Considerations Do Not Justify Father’s Interpretation of Section 300</w:t>
      </w:r>
    </w:p>
    <w:p w14:paraId="72EDC45E" w14:textId="77777777" w:rsidR="00021057" w:rsidRPr="00A77C37" w:rsidRDefault="00B46361" w:rsidP="00021057">
      <w:pPr>
        <w:ind w:firstLine="720"/>
      </w:pPr>
      <w:r w:rsidRPr="00A77C37">
        <w:rPr>
          <w:szCs w:val="26"/>
        </w:rPr>
        <w:t xml:space="preserve">Finally, Father argues that unless his proposed </w:t>
      </w:r>
      <w:r w:rsidRPr="00A77C37">
        <w:rPr>
          <w:szCs w:val="26"/>
        </w:rPr>
        <w:t xml:space="preserve">definition of substance abuse is adopted, the term is so indefinite that it violates constitutional due process guarantees.  </w:t>
      </w:r>
      <w:r w:rsidRPr="00A77C37">
        <w:t xml:space="preserve">(See U.S. Const., </w:t>
      </w:r>
      <w:r>
        <w:t>5</w:t>
      </w:r>
      <w:r w:rsidRPr="00031A03">
        <w:t>th</w:t>
      </w:r>
      <w:r>
        <w:t xml:space="preserve"> &amp; 14</w:t>
      </w:r>
      <w:r w:rsidRPr="00031A03">
        <w:t>th</w:t>
      </w:r>
      <w:r>
        <w:t xml:space="preserve"> </w:t>
      </w:r>
      <w:r w:rsidRPr="00A77C37">
        <w:t>Amends</w:t>
      </w:r>
      <w:r>
        <w:t>.</w:t>
      </w:r>
      <w:r w:rsidRPr="00A77C37">
        <w:t xml:space="preserve">; Cal. Const., art. I, § 7, subd. (a).)  </w:t>
      </w:r>
    </w:p>
    <w:p w14:paraId="72EDC45F" w14:textId="77777777" w:rsidR="00021057" w:rsidRPr="00A77C37" w:rsidRDefault="00B46361" w:rsidP="00021057">
      <w:pPr>
        <w:ind w:firstLine="720"/>
      </w:pPr>
      <w:r w:rsidRPr="00A77C37">
        <w:t>“The vagueness doctrine bars enforcement of ‘</w:t>
      </w:r>
      <w:r>
        <w:t> “</w:t>
      </w:r>
      <w:r w:rsidRPr="00A77C37">
        <w:t>a stat</w:t>
      </w:r>
      <w:r w:rsidRPr="00A77C37">
        <w:t>ute which either forbids or requires the doing of an act in terms so vague that men of common intelligence must necessarily guess at its meaning and differ as to its application.” ’ ”  (</w:t>
      </w:r>
      <w:r w:rsidRPr="00A77C37">
        <w:rPr>
          <w:i/>
          <w:iCs/>
        </w:rPr>
        <w:t xml:space="preserve">In re Sheena K. </w:t>
      </w:r>
      <w:r w:rsidRPr="00A77C37">
        <w:t xml:space="preserve">(2007) 40 Cal.4th 875, 890.)  </w:t>
      </w:r>
      <w:r>
        <w:t xml:space="preserve">Yet </w:t>
      </w:r>
      <w:r w:rsidRPr="00A77C37">
        <w:t>“ ‘ “</w:t>
      </w:r>
      <w:r>
        <w:t>a</w:t>
      </w:r>
      <w:r w:rsidRPr="00A77C37">
        <w:t xml:space="preserve"> statute is no</w:t>
      </w:r>
      <w:r w:rsidRPr="00A77C37">
        <w:t>t void simply because there may be difficulty in determining whether some marginal or hypothetical act is covered by its language.</w:t>
      </w:r>
      <w:r>
        <w:t>”</w:t>
      </w:r>
      <w:r w:rsidRPr="00A77C37">
        <w:t> ’ ”  (</w:t>
      </w:r>
      <w:r w:rsidRPr="00A77C37">
        <w:rPr>
          <w:i/>
          <w:iCs/>
        </w:rPr>
        <w:t>People v. Morgan</w:t>
      </w:r>
      <w:r w:rsidRPr="00A77C37">
        <w:t xml:space="preserve"> (2007) 42 Cal.4th 593, 606.)  “ ‘[F]ew words possess the precision of mathematical symbols, most stat</w:t>
      </w:r>
      <w:r w:rsidRPr="00A77C37">
        <w:t>utes must deal with untold and unforeseen variations in factual situations, and the practical necessities of discharging the business of government inevitably limit the specificity with which legislators can spell out prohibitions.  Consequently, no more t</w:t>
      </w:r>
      <w:r w:rsidRPr="00A77C37">
        <w:t>han a reasonable degree of certainty can be demanded.  Nor is it unfair to require that one who deliberately goes perilously close to an area of proscribed conduct shall take the risk that he may cross the line.’ ”  (</w:t>
      </w:r>
      <w:r w:rsidRPr="00A77C37">
        <w:rPr>
          <w:i/>
          <w:iCs/>
        </w:rPr>
        <w:t>People ex rel. Gallo v. Acuna</w:t>
      </w:r>
      <w:r w:rsidRPr="00A77C37">
        <w:t xml:space="preserve"> (1997) 14</w:t>
      </w:r>
      <w:r w:rsidRPr="00A77C37">
        <w:t xml:space="preserve"> Cal.4th 1090, 1117, quoting </w:t>
      </w:r>
      <w:r w:rsidRPr="00A77C37">
        <w:rPr>
          <w:i/>
          <w:iCs/>
        </w:rPr>
        <w:t>Boyce Motor Lines v. United States</w:t>
      </w:r>
      <w:r w:rsidRPr="00A77C37">
        <w:t xml:space="preserve"> (1952) 342 U.S. 337, 340.)</w:t>
      </w:r>
    </w:p>
    <w:p w14:paraId="72EDC460" w14:textId="77777777" w:rsidR="00021057" w:rsidRPr="00A77C37" w:rsidRDefault="00B46361" w:rsidP="00021057">
      <w:pPr>
        <w:ind w:firstLine="720"/>
      </w:pPr>
      <w:r>
        <w:t>D</w:t>
      </w:r>
      <w:r w:rsidRPr="00A77C37">
        <w:t>ue process considerations do not compel us to adopt Father’s interpretation of section 300(b)(1)(D) or else find the statute unconstitutional.  Section 300(b)(1)(D) provides adequate notice regarding the conduct that will support a jurisdictional finding b</w:t>
      </w:r>
      <w:r w:rsidRPr="00A77C37">
        <w:t xml:space="preserve">ased on a parent’s or guardian’s substance abuse.  As </w:t>
      </w:r>
      <w:r>
        <w:t xml:space="preserve">we have </w:t>
      </w:r>
      <w:r w:rsidRPr="00A77C37">
        <w:t xml:space="preserve">explained, the statute does not premise dependency jurisdiction on substance abuse alone, but requires </w:t>
      </w:r>
      <w:r w:rsidR="003F0FF0">
        <w:t xml:space="preserve">that </w:t>
      </w:r>
      <w:r w:rsidRPr="00A77C37">
        <w:t xml:space="preserve">substance abuse, as commonly understood, makes a parent or guardian unable to provide </w:t>
      </w:r>
      <w:r w:rsidRPr="00A77C37">
        <w:t xml:space="preserve">regular care for a child and results in either serious physical harm or illness or a substantial risk of such harm or illness to the child.  </w:t>
      </w:r>
      <w:r>
        <w:t xml:space="preserve">(See, e.g., </w:t>
      </w:r>
      <w:r w:rsidRPr="00F20E51">
        <w:rPr>
          <w:i/>
          <w:iCs/>
        </w:rPr>
        <w:t>Destiny S.</w:t>
      </w:r>
      <w:r>
        <w:t xml:space="preserve">, </w:t>
      </w:r>
      <w:r w:rsidRPr="00F20E51">
        <w:rPr>
          <w:i/>
          <w:iCs/>
        </w:rPr>
        <w:t>supra</w:t>
      </w:r>
      <w:r>
        <w:t xml:space="preserve">, </w:t>
      </w:r>
      <w:r w:rsidRPr="00C3775A">
        <w:rPr>
          <w:szCs w:val="26"/>
        </w:rPr>
        <w:t xml:space="preserve">210 Cal.App.4th </w:t>
      </w:r>
      <w:r>
        <w:rPr>
          <w:szCs w:val="26"/>
        </w:rPr>
        <w:t>at p. </w:t>
      </w:r>
      <w:r w:rsidRPr="00C3775A">
        <w:rPr>
          <w:szCs w:val="26"/>
        </w:rPr>
        <w:t>1003</w:t>
      </w:r>
      <w:r>
        <w:rPr>
          <w:szCs w:val="26"/>
        </w:rPr>
        <w:t xml:space="preserve">.)  </w:t>
      </w:r>
      <w:r w:rsidRPr="00A77C37">
        <w:t xml:space="preserve">Even acknowledging the existence of borderline cases, </w:t>
      </w:r>
      <w:r w:rsidRPr="00A77C37">
        <w:t xml:space="preserve">this standard is sufficiently concrete and intelligible that it avoids due process concerns.  (See </w:t>
      </w:r>
      <w:r w:rsidRPr="00A77C37">
        <w:rPr>
          <w:i/>
          <w:iCs/>
        </w:rPr>
        <w:t>Williams v. Garcetti</w:t>
      </w:r>
      <w:r w:rsidRPr="00A77C37">
        <w:t xml:space="preserve"> (1993) 5 Cal.4th 561, 570 [rejecting a due process vagueness challenge to </w:t>
      </w:r>
      <w:r w:rsidRPr="00A92140">
        <w:t xml:space="preserve">Pen. Code, § 272 because </w:t>
      </w:r>
      <w:r w:rsidR="00A92140">
        <w:t xml:space="preserve">Welf. &amp; Inst. Code </w:t>
      </w:r>
      <w:r w:rsidRPr="00A92140">
        <w:t>“</w:t>
      </w:r>
      <w:r w:rsidR="00B134F3">
        <w:t>[§] </w:t>
      </w:r>
      <w:r w:rsidRPr="00A92140">
        <w:t>300</w:t>
      </w:r>
      <w:r w:rsidRPr="00A77C37">
        <w:t xml:space="preserve"> provides guidelines sufficiently specific to delineate the circumstances under which a child will qualify for dependent status a</w:t>
      </w:r>
      <w:r w:rsidRPr="00A77C37">
        <w:t xml:space="preserve">nd thus to define the parental duty of care and protection that would prevent the occurrence of those circumstances”]; </w:t>
      </w:r>
      <w:r w:rsidRPr="00A77C37">
        <w:rPr>
          <w:i/>
          <w:iCs/>
        </w:rPr>
        <w:t>In re Mariah T.</w:t>
      </w:r>
      <w:r w:rsidRPr="00A77C37">
        <w:t xml:space="preserve"> (2008) 159 Cal.App.4th 428, 435–438 [rejecting the argument that the phrase “</w:t>
      </w:r>
      <w:r>
        <w:t> ‘</w:t>
      </w:r>
      <w:r w:rsidRPr="00A77C37">
        <w:t>serious physical harm,</w:t>
      </w:r>
      <w:r>
        <w:t>’ </w:t>
      </w:r>
      <w:r w:rsidRPr="00A77C37">
        <w:t>” as it appears in</w:t>
      </w:r>
      <w:r w:rsidRPr="00A77C37">
        <w:t xml:space="preserve"> </w:t>
      </w:r>
      <w:r>
        <w:t>§ </w:t>
      </w:r>
      <w:r w:rsidRPr="00A77C37">
        <w:t>300, subd</w:t>
      </w:r>
      <w:r>
        <w:t>.</w:t>
      </w:r>
      <w:r w:rsidRPr="00A77C37">
        <w:t xml:space="preserve"> (a), is unconstitutionally vague]; accord, </w:t>
      </w:r>
      <w:r w:rsidRPr="00A77C37">
        <w:rPr>
          <w:i/>
          <w:iCs/>
        </w:rPr>
        <w:t>Johnson v. United States</w:t>
      </w:r>
      <w:r w:rsidRPr="00A77C37">
        <w:t xml:space="preserve"> (2015) 576 U.S. 591, 603–604 [“As a general matter, we do not doubt the constitutionality of laws that call for the application of a qualitative standard such as ‘substantial</w:t>
      </w:r>
      <w:r w:rsidRPr="00A77C37">
        <w:t xml:space="preserve"> risk’ to real-world conduct”].)</w:t>
      </w:r>
    </w:p>
    <w:p w14:paraId="72EDC461" w14:textId="77777777" w:rsidR="00021057" w:rsidRPr="00A77C37" w:rsidRDefault="00B46361" w:rsidP="00F1273E">
      <w:pPr>
        <w:pStyle w:val="Heading3"/>
        <w:numPr>
          <w:ilvl w:val="0"/>
          <w:numId w:val="38"/>
        </w:numPr>
        <w:tabs>
          <w:tab w:val="clear" w:pos="1584"/>
          <w:tab w:val="left" w:pos="1080"/>
          <w:tab w:val="left" w:pos="1440"/>
        </w:tabs>
        <w:ind w:left="1440"/>
      </w:pPr>
      <w:r w:rsidRPr="00A77C37">
        <w:t>Conclusion</w:t>
      </w:r>
    </w:p>
    <w:p w14:paraId="72EDC462" w14:textId="77777777" w:rsidR="00021057" w:rsidRDefault="00B46361" w:rsidP="00021057">
      <w:pPr>
        <w:ind w:firstLine="720"/>
      </w:pPr>
      <w:r w:rsidRPr="00A77C37">
        <w:t xml:space="preserve">For the reasons provided above, </w:t>
      </w:r>
      <w:r>
        <w:t>we</w:t>
      </w:r>
      <w:r w:rsidRPr="00A77C37">
        <w:t xml:space="preserve"> hold that </w:t>
      </w:r>
      <w:r>
        <w:t xml:space="preserve">under section 300(b)(1)(D), “substance abuse” bears its ordinary meaning of excessive use of drugs or alcohol, and that </w:t>
      </w:r>
      <w:r w:rsidRPr="00A77C37">
        <w:t>substance abuse</w:t>
      </w:r>
      <w:r>
        <w:t xml:space="preserve"> by a parent or guardian</w:t>
      </w:r>
      <w:r w:rsidRPr="00A77C37">
        <w:t xml:space="preserve"> may be </w:t>
      </w:r>
      <w:r>
        <w:t>established</w:t>
      </w:r>
      <w:r w:rsidRPr="00A77C37">
        <w:t xml:space="preserve"> without a </w:t>
      </w:r>
      <w:r>
        <w:t xml:space="preserve">professional </w:t>
      </w:r>
      <w:r w:rsidRPr="00A77C37">
        <w:t>medical diagnosis</w:t>
      </w:r>
      <w:r>
        <w:t xml:space="preserve"> of current substance abuse</w:t>
      </w:r>
      <w:r w:rsidRPr="00A77C37">
        <w:t xml:space="preserve"> or satisfaction of the pertinent DSM criteria.  </w:t>
      </w:r>
      <w:r>
        <w:t xml:space="preserve">In so holding, we recognize that a professional </w:t>
      </w:r>
      <w:r w:rsidRPr="00A77C37">
        <w:t>diagnosis</w:t>
      </w:r>
      <w:r>
        <w:t>, or</w:t>
      </w:r>
      <w:r w:rsidRPr="00A77C37">
        <w:t xml:space="preserve"> </w:t>
      </w:r>
      <w:r>
        <w:t>evidence bearing upon whether</w:t>
      </w:r>
      <w:r w:rsidRPr="00A77C37">
        <w:t xml:space="preserve"> DSM criteri</w:t>
      </w:r>
      <w:r>
        <w:t xml:space="preserve">a have been met, </w:t>
      </w:r>
      <w:r w:rsidRPr="00A77C37">
        <w:t xml:space="preserve">may </w:t>
      </w:r>
      <w:r>
        <w:t>be h</w:t>
      </w:r>
      <w:r>
        <w:t>elpful in evaluating the existence of substance abuse at the jurisdictional stage</w:t>
      </w:r>
      <w:r w:rsidRPr="00A77C37">
        <w:t xml:space="preserve"> </w:t>
      </w:r>
      <w:r>
        <w:t>of dependency proceedings or at another step in this process</w:t>
      </w:r>
      <w:r w:rsidRPr="00A77C37">
        <w:t xml:space="preserve">.  (See, e.g., </w:t>
      </w:r>
      <w:r w:rsidRPr="00A77C37">
        <w:rPr>
          <w:i/>
          <w:iCs/>
          <w:szCs w:val="26"/>
        </w:rPr>
        <w:t>Jennifer A. v. Superior Court</w:t>
      </w:r>
      <w:r w:rsidRPr="00A77C37">
        <w:rPr>
          <w:szCs w:val="26"/>
        </w:rPr>
        <w:t xml:space="preserve"> (2004) 117 Cal.App.4th 1322, 1346 [concluding that the government fai</w:t>
      </w:r>
      <w:r w:rsidRPr="00A77C37">
        <w:rPr>
          <w:szCs w:val="26"/>
        </w:rPr>
        <w:t>led to meet its burden of showing that returning children to their mother would create a substantial risk of detriment to their safety, protection, or physical or emotional well-being (see § 366.22, subd. (a)) for reasons including, but not limited to, the</w:t>
      </w:r>
      <w:r w:rsidRPr="00A77C37">
        <w:rPr>
          <w:szCs w:val="26"/>
        </w:rPr>
        <w:t xml:space="preserve"> absence of a medical diagnosis of substance abuse or proof that the mother satisfied the DSM’s description of substance abuse].)  </w:t>
      </w:r>
      <w:r>
        <w:t>Our decision today is not intended to discourage the presentation or consideration of such evidence in appropriate circumstan</w:t>
      </w:r>
      <w:r>
        <w:t>ces</w:t>
      </w:r>
      <w:r w:rsidRPr="00A77C37">
        <w:t>.</w:t>
      </w:r>
      <w:r>
        <w:rPr>
          <w:rStyle w:val="FootnoteReference"/>
        </w:rPr>
        <w:footnoteReference w:id="16"/>
      </w:r>
      <w:r w:rsidRPr="00A77C37">
        <w:t xml:space="preserve">  </w:t>
      </w:r>
    </w:p>
    <w:p w14:paraId="72EDC463" w14:textId="77777777" w:rsidR="00021057" w:rsidRDefault="00B46361" w:rsidP="00021057">
      <w:pPr>
        <w:tabs>
          <w:tab w:val="left" w:pos="7410"/>
        </w:tabs>
        <w:ind w:firstLine="720"/>
        <w:rPr>
          <w:szCs w:val="26"/>
        </w:rPr>
      </w:pPr>
      <w:r>
        <w:rPr>
          <w:szCs w:val="26"/>
        </w:rPr>
        <w:t xml:space="preserve">Our holding also recognizes the significance of a jurisdictional finding.  </w:t>
      </w:r>
      <w:r>
        <w:rPr>
          <w:szCs w:val="26"/>
          <w:shd w:val="clear" w:color="auto" w:fill="FFFFFF"/>
        </w:rPr>
        <w:t>D</w:t>
      </w:r>
      <w:r w:rsidRPr="00A77C37">
        <w:rPr>
          <w:szCs w:val="26"/>
          <w:shd w:val="clear" w:color="auto" w:fill="FFFFFF"/>
        </w:rPr>
        <w:t>ependency adjudication “allows the juvenile court, within specified limits, to assert supervision over the endangered child’s care”</w:t>
      </w:r>
      <w:r>
        <w:rPr>
          <w:szCs w:val="26"/>
          <w:shd w:val="clear" w:color="auto" w:fill="FFFFFF"/>
        </w:rPr>
        <w:t xml:space="preserve"> (</w:t>
      </w:r>
      <w:r w:rsidRPr="00A77C37">
        <w:rPr>
          <w:i/>
          <w:iCs/>
          <w:szCs w:val="26"/>
          <w:shd w:val="clear" w:color="auto" w:fill="FFFFFF"/>
        </w:rPr>
        <w:t>Ethan C.</w:t>
      </w:r>
      <w:r w:rsidRPr="00A77C37">
        <w:rPr>
          <w:szCs w:val="26"/>
          <w:shd w:val="clear" w:color="auto" w:fill="FFFFFF"/>
        </w:rPr>
        <w:t xml:space="preserve">, </w:t>
      </w:r>
      <w:r w:rsidRPr="00A77C37">
        <w:rPr>
          <w:i/>
          <w:iCs/>
          <w:szCs w:val="26"/>
          <w:shd w:val="clear" w:color="auto" w:fill="FFFFFF"/>
        </w:rPr>
        <w:t>supra</w:t>
      </w:r>
      <w:r w:rsidRPr="00A77C37">
        <w:rPr>
          <w:szCs w:val="26"/>
          <w:shd w:val="clear" w:color="auto" w:fill="FFFFFF"/>
        </w:rPr>
        <w:t xml:space="preserve">, 54 Cal.4th at </w:t>
      </w:r>
      <w:r w:rsidRPr="00A77C37">
        <w:rPr>
          <w:szCs w:val="26"/>
          <w:shd w:val="clear" w:color="auto" w:fill="FFFFFF"/>
        </w:rPr>
        <w:t>p. 617</w:t>
      </w:r>
      <w:r>
        <w:rPr>
          <w:szCs w:val="26"/>
          <w:shd w:val="clear" w:color="auto" w:fill="FFFFFF"/>
        </w:rPr>
        <w:t>),</w:t>
      </w:r>
      <w:r w:rsidRPr="00A77C37">
        <w:rPr>
          <w:szCs w:val="26"/>
          <w:shd w:val="clear" w:color="auto" w:fill="FFFFFF"/>
        </w:rPr>
        <w:t xml:space="preserve"> </w:t>
      </w:r>
      <w:r>
        <w:rPr>
          <w:szCs w:val="26"/>
          <w:shd w:val="clear" w:color="auto" w:fill="FFFFFF"/>
        </w:rPr>
        <w:t>and is therefore a weighty determination with important consequences.  Yet it is also true</w:t>
      </w:r>
      <w:r w:rsidRPr="00A77C37">
        <w:rPr>
          <w:szCs w:val="26"/>
          <w:shd w:val="clear" w:color="auto" w:fill="FFFFFF"/>
        </w:rPr>
        <w:t xml:space="preserve"> that </w:t>
      </w:r>
      <w:r>
        <w:rPr>
          <w:szCs w:val="26"/>
          <w:shd w:val="clear" w:color="auto" w:fill="FFFFFF"/>
        </w:rPr>
        <w:t xml:space="preserve">a jurisdictional finding </w:t>
      </w:r>
      <w:r w:rsidRPr="00A77C37">
        <w:rPr>
          <w:szCs w:val="26"/>
          <w:shd w:val="clear" w:color="auto" w:fill="FFFFFF"/>
        </w:rPr>
        <w:t xml:space="preserve">is </w:t>
      </w:r>
      <w:r>
        <w:rPr>
          <w:szCs w:val="26"/>
          <w:shd w:val="clear" w:color="auto" w:fill="FFFFFF"/>
        </w:rPr>
        <w:t>“</w:t>
      </w:r>
      <w:r w:rsidRPr="00A77C37">
        <w:rPr>
          <w:szCs w:val="26"/>
          <w:shd w:val="clear" w:color="auto" w:fill="FFFFFF"/>
        </w:rPr>
        <w:t>a first step, and the system includes many subsequent safeguards to ensure that parental rights and authority will be rest</w:t>
      </w:r>
      <w:r w:rsidRPr="00A77C37">
        <w:rPr>
          <w:szCs w:val="26"/>
          <w:shd w:val="clear" w:color="auto" w:fill="FFFFFF"/>
        </w:rPr>
        <w:t>ricted only to the extent necessary for the child’s safety and welfare.”  (</w:t>
      </w:r>
      <w:r>
        <w:rPr>
          <w:i/>
          <w:iCs/>
          <w:szCs w:val="26"/>
          <w:shd w:val="clear" w:color="auto" w:fill="FFFFFF"/>
        </w:rPr>
        <w:t>Ibid.</w:t>
      </w:r>
      <w:r w:rsidRPr="00A77C37">
        <w:rPr>
          <w:szCs w:val="26"/>
          <w:shd w:val="clear" w:color="auto" w:fill="FFFFFF"/>
        </w:rPr>
        <w:t xml:space="preserve">; see also </w:t>
      </w:r>
      <w:r w:rsidRPr="00A77C37">
        <w:rPr>
          <w:i/>
          <w:iCs/>
          <w:szCs w:val="26"/>
          <w:shd w:val="clear" w:color="auto" w:fill="FFFFFF"/>
        </w:rPr>
        <w:t>R.T.</w:t>
      </w:r>
      <w:r w:rsidRPr="00A77C37">
        <w:rPr>
          <w:szCs w:val="26"/>
          <w:shd w:val="clear" w:color="auto" w:fill="FFFFFF"/>
        </w:rPr>
        <w:t xml:space="preserve">, </w:t>
      </w:r>
      <w:r w:rsidRPr="00A77C37">
        <w:rPr>
          <w:i/>
          <w:iCs/>
          <w:szCs w:val="26"/>
          <w:shd w:val="clear" w:color="auto" w:fill="FFFFFF"/>
        </w:rPr>
        <w:t>supra</w:t>
      </w:r>
      <w:r w:rsidRPr="00A77C37">
        <w:rPr>
          <w:szCs w:val="26"/>
          <w:shd w:val="clear" w:color="auto" w:fill="FFFFFF"/>
        </w:rPr>
        <w:t>, 3 Cal.5th at p. 637</w:t>
      </w:r>
      <w:r>
        <w:rPr>
          <w:szCs w:val="26"/>
          <w:shd w:val="clear" w:color="auto" w:fill="FFFFFF"/>
        </w:rPr>
        <w:t xml:space="preserve">; </w:t>
      </w:r>
      <w:r w:rsidRPr="00070728">
        <w:rPr>
          <w:i/>
          <w:iCs/>
          <w:szCs w:val="26"/>
          <w:shd w:val="clear" w:color="auto" w:fill="FFFFFF"/>
        </w:rPr>
        <w:t>In re Zeth S.</w:t>
      </w:r>
      <w:r>
        <w:rPr>
          <w:szCs w:val="26"/>
          <w:shd w:val="clear" w:color="auto" w:fill="FFFFFF"/>
        </w:rPr>
        <w:t xml:space="preserve"> (2003) 31 Cal.4</w:t>
      </w:r>
      <w:r w:rsidRPr="00070728">
        <w:rPr>
          <w:szCs w:val="26"/>
          <w:shd w:val="clear" w:color="auto" w:fill="FFFFFF"/>
        </w:rPr>
        <w:t>th</w:t>
      </w:r>
      <w:r>
        <w:rPr>
          <w:szCs w:val="26"/>
          <w:shd w:val="clear" w:color="auto" w:fill="FFFFFF"/>
        </w:rPr>
        <w:t xml:space="preserve"> 396, 410–411</w:t>
      </w:r>
      <w:r w:rsidRPr="00A77C37">
        <w:rPr>
          <w:szCs w:val="26"/>
          <w:shd w:val="clear" w:color="auto" w:fill="FFFFFF"/>
        </w:rPr>
        <w:t>.)</w:t>
      </w:r>
      <w:r>
        <w:rPr>
          <w:rStyle w:val="FootnoteReference"/>
          <w:szCs w:val="26"/>
          <w:shd w:val="clear" w:color="auto" w:fill="FFFFFF"/>
        </w:rPr>
        <w:footnoteReference w:id="17"/>
      </w:r>
      <w:r>
        <w:rPr>
          <w:szCs w:val="26"/>
          <w:shd w:val="clear" w:color="auto" w:fill="FFFFFF"/>
        </w:rPr>
        <w:t xml:space="preserve">  These safeguards apply to cases involving substance abuse, just as they extend to</w:t>
      </w:r>
      <w:r>
        <w:rPr>
          <w:szCs w:val="26"/>
          <w:shd w:val="clear" w:color="auto" w:fill="FFFFFF"/>
        </w:rPr>
        <w:t xml:space="preserve"> other dependency matters.</w:t>
      </w:r>
      <w:r w:rsidRPr="00A77C37">
        <w:rPr>
          <w:szCs w:val="26"/>
        </w:rPr>
        <w:t xml:space="preserve"> </w:t>
      </w:r>
      <w:r>
        <w:rPr>
          <w:szCs w:val="26"/>
        </w:rPr>
        <w:t xml:space="preserve"> </w:t>
      </w:r>
    </w:p>
    <w:p w14:paraId="72EDC464" w14:textId="77777777" w:rsidR="00021057" w:rsidRPr="00A77C37" w:rsidRDefault="00B46361" w:rsidP="00021057">
      <w:pPr>
        <w:tabs>
          <w:tab w:val="left" w:pos="7410"/>
        </w:tabs>
        <w:ind w:firstLine="720"/>
        <w:rPr>
          <w:szCs w:val="26"/>
          <w:shd w:val="clear" w:color="auto" w:fill="FFFFFF"/>
        </w:rPr>
      </w:pPr>
      <w:r>
        <w:rPr>
          <w:szCs w:val="26"/>
        </w:rPr>
        <w:t>Furthermore, as we have emphasized, dependency jurisdiction under section 300(b)(1)(D) requires more than just the identification of substance abuse by a parent or guardian.  A court must also find that the parent or guardian i</w:t>
      </w:r>
      <w:r>
        <w:rPr>
          <w:szCs w:val="26"/>
        </w:rPr>
        <w:t>s unable to provide regular care for a child and that as a result, the child has suffered serious physical harm or illness or is at significant risk of suffering serious physical harm or illness.  The second issue presented for review, which we turn to nex</w:t>
      </w:r>
      <w:r>
        <w:rPr>
          <w:szCs w:val="26"/>
        </w:rPr>
        <w:t xml:space="preserve">t, concerns the relationship between a finding of substance abuse and these additional requirements.  </w:t>
      </w:r>
    </w:p>
    <w:p w14:paraId="72EDC465" w14:textId="77777777" w:rsidR="00021057" w:rsidRPr="00A77C37" w:rsidRDefault="00B46361" w:rsidP="00C77B43">
      <w:pPr>
        <w:pStyle w:val="Heading2"/>
        <w:numPr>
          <w:ilvl w:val="0"/>
          <w:numId w:val="37"/>
        </w:numPr>
        <w:tabs>
          <w:tab w:val="clear" w:pos="1152"/>
          <w:tab w:val="left" w:pos="1080"/>
        </w:tabs>
      </w:pPr>
      <w:r w:rsidRPr="00A77C37">
        <w:t xml:space="preserve">The Tender Years Presumption </w:t>
      </w:r>
      <w:r>
        <w:t>Conflicts</w:t>
      </w:r>
      <w:r w:rsidRPr="00A77C37">
        <w:t xml:space="preserve"> with </w:t>
      </w:r>
      <w:r>
        <w:t xml:space="preserve">Legislative Intent </w:t>
      </w:r>
      <w:r w:rsidRPr="00A77C37">
        <w:t xml:space="preserve">and </w:t>
      </w:r>
      <w:r>
        <w:t>Must</w:t>
      </w:r>
      <w:r w:rsidRPr="00A77C37">
        <w:t xml:space="preserve"> Be Rejected</w:t>
      </w:r>
    </w:p>
    <w:p w14:paraId="72EDC466" w14:textId="77777777" w:rsidR="00021057" w:rsidRPr="00A77C37" w:rsidRDefault="00B46361" w:rsidP="00021057">
      <w:pPr>
        <w:ind w:firstLine="720"/>
        <w:rPr>
          <w:szCs w:val="26"/>
        </w:rPr>
      </w:pPr>
      <w:r>
        <w:rPr>
          <w:szCs w:val="26"/>
        </w:rPr>
        <w:t>We</w:t>
      </w:r>
      <w:r w:rsidRPr="00A77C37">
        <w:rPr>
          <w:szCs w:val="26"/>
        </w:rPr>
        <w:t xml:space="preserve"> reject </w:t>
      </w:r>
      <w:r w:rsidRPr="005C5363">
        <w:rPr>
          <w:szCs w:val="26"/>
        </w:rPr>
        <w:t>the</w:t>
      </w:r>
      <w:r w:rsidRPr="00A77C37">
        <w:rPr>
          <w:szCs w:val="26"/>
        </w:rPr>
        <w:t xml:space="preserve"> </w:t>
      </w:r>
      <w:r>
        <w:rPr>
          <w:szCs w:val="26"/>
        </w:rPr>
        <w:t>position</w:t>
      </w:r>
      <w:r w:rsidRPr="00A77C37">
        <w:rPr>
          <w:szCs w:val="26"/>
        </w:rPr>
        <w:t xml:space="preserve"> that a “finding of substance abuse is prima fa</w:t>
      </w:r>
      <w:r w:rsidRPr="00A77C37">
        <w:rPr>
          <w:szCs w:val="26"/>
        </w:rPr>
        <w:t>cie evidence of the inability of a parent or guardian to provide regular care resulting in a substantial risk of physical harm”</w:t>
      </w:r>
      <w:r>
        <w:rPr>
          <w:szCs w:val="26"/>
        </w:rPr>
        <w:t xml:space="preserve"> to a child of </w:t>
      </w:r>
      <w:r w:rsidR="00DD1510">
        <w:rPr>
          <w:szCs w:val="26"/>
        </w:rPr>
        <w:t>“</w:t>
      </w:r>
      <w:r w:rsidR="00890E69">
        <w:rPr>
          <w:szCs w:val="26"/>
        </w:rPr>
        <w:t> ‘</w:t>
      </w:r>
      <w:r>
        <w:rPr>
          <w:szCs w:val="26"/>
        </w:rPr>
        <w:t>tender years.</w:t>
      </w:r>
      <w:r w:rsidR="00890E69">
        <w:rPr>
          <w:szCs w:val="26"/>
        </w:rPr>
        <w:t>’ </w:t>
      </w:r>
      <w:r w:rsidR="00DD1510">
        <w:rPr>
          <w:szCs w:val="26"/>
        </w:rPr>
        <w:t>”</w:t>
      </w:r>
      <w:r w:rsidRPr="00A77C37">
        <w:rPr>
          <w:szCs w:val="26"/>
        </w:rPr>
        <w:t xml:space="preserve">  (</w:t>
      </w:r>
      <w:r w:rsidRPr="00A77C37">
        <w:rPr>
          <w:i/>
          <w:iCs/>
          <w:szCs w:val="26"/>
        </w:rPr>
        <w:t>Drake M.</w:t>
      </w:r>
      <w:r w:rsidRPr="00A77C37">
        <w:rPr>
          <w:szCs w:val="26"/>
        </w:rPr>
        <w:t xml:space="preserve">, </w:t>
      </w:r>
      <w:r w:rsidRPr="00A77C37">
        <w:rPr>
          <w:i/>
          <w:iCs/>
          <w:szCs w:val="26"/>
        </w:rPr>
        <w:t>supra</w:t>
      </w:r>
      <w:r w:rsidRPr="00A77C37">
        <w:rPr>
          <w:szCs w:val="26"/>
        </w:rPr>
        <w:t>, 211</w:t>
      </w:r>
      <w:r w:rsidR="00582FDD">
        <w:rPr>
          <w:szCs w:val="26"/>
        </w:rPr>
        <w:t> </w:t>
      </w:r>
      <w:r w:rsidRPr="00A77C37">
        <w:rPr>
          <w:szCs w:val="26"/>
        </w:rPr>
        <w:t>Cal.App.4th at p. 767.)</w:t>
      </w:r>
      <w:r>
        <w:rPr>
          <w:rStyle w:val="FootnoteReference"/>
          <w:szCs w:val="26"/>
        </w:rPr>
        <w:footnoteReference w:id="18"/>
      </w:r>
      <w:r w:rsidRPr="00A77C37">
        <w:rPr>
          <w:szCs w:val="26"/>
        </w:rPr>
        <w:t xml:space="preserve">  Section 300</w:t>
      </w:r>
      <w:r>
        <w:rPr>
          <w:szCs w:val="26"/>
        </w:rPr>
        <w:t>, subdivision (b)(1)</w:t>
      </w:r>
      <w:r w:rsidRPr="00A77C37">
        <w:rPr>
          <w:szCs w:val="26"/>
        </w:rPr>
        <w:t xml:space="preserve"> recognizes that substance abuse </w:t>
      </w:r>
      <w:r w:rsidRPr="00A93F65">
        <w:rPr>
          <w:szCs w:val="26"/>
        </w:rPr>
        <w:t>may</w:t>
      </w:r>
      <w:r w:rsidRPr="00A77C37">
        <w:rPr>
          <w:szCs w:val="26"/>
        </w:rPr>
        <w:t xml:space="preserve"> make a parent unable to provide regular care, which in turn </w:t>
      </w:r>
      <w:r w:rsidRPr="00A93F65">
        <w:rPr>
          <w:szCs w:val="26"/>
        </w:rPr>
        <w:t>may</w:t>
      </w:r>
      <w:r w:rsidRPr="00A77C37">
        <w:rPr>
          <w:szCs w:val="26"/>
        </w:rPr>
        <w:t xml:space="preserve"> create a substantial risk of serious physical harm</w:t>
      </w:r>
      <w:r>
        <w:rPr>
          <w:szCs w:val="26"/>
        </w:rPr>
        <w:t xml:space="preserve"> or illness</w:t>
      </w:r>
      <w:r w:rsidRPr="00A77C37">
        <w:rPr>
          <w:szCs w:val="26"/>
        </w:rPr>
        <w:t xml:space="preserve">.  </w:t>
      </w:r>
      <w:r w:rsidRPr="00A77C37">
        <w:rPr>
          <w:szCs w:val="26"/>
          <w:shd w:val="clear" w:color="auto" w:fill="FFFFFF"/>
        </w:rPr>
        <w:t xml:space="preserve">But the rule articulated in </w:t>
      </w:r>
      <w:r w:rsidRPr="00A77C37">
        <w:rPr>
          <w:i/>
          <w:iCs/>
          <w:szCs w:val="26"/>
          <w:shd w:val="clear" w:color="auto" w:fill="FFFFFF"/>
        </w:rPr>
        <w:t>Drake M.</w:t>
      </w:r>
      <w:r w:rsidRPr="00A77C37">
        <w:rPr>
          <w:szCs w:val="26"/>
          <w:shd w:val="clear" w:color="auto" w:fill="FFFFFF"/>
        </w:rPr>
        <w:t xml:space="preserve"> improperly short-circuits this analysis insofar as it </w:t>
      </w:r>
      <w:r w:rsidRPr="00A77C37">
        <w:rPr>
          <w:szCs w:val="26"/>
          <w:shd w:val="clear" w:color="auto" w:fill="FFFFFF"/>
        </w:rPr>
        <w:t>regards substance abuse</w:t>
      </w:r>
      <w:r>
        <w:rPr>
          <w:szCs w:val="26"/>
          <w:shd w:val="clear" w:color="auto" w:fill="FFFFFF"/>
        </w:rPr>
        <w:t xml:space="preserve"> by a parent or guardian </w:t>
      </w:r>
      <w:r w:rsidRPr="00A77C37">
        <w:rPr>
          <w:szCs w:val="26"/>
          <w:shd w:val="clear" w:color="auto" w:fill="FFFFFF"/>
        </w:rPr>
        <w:t xml:space="preserve">as </w:t>
      </w:r>
      <w:r w:rsidRPr="00A93F65">
        <w:rPr>
          <w:szCs w:val="26"/>
          <w:shd w:val="clear" w:color="auto" w:fill="FFFFFF"/>
        </w:rPr>
        <w:t>always</w:t>
      </w:r>
      <w:r w:rsidRPr="00A77C37">
        <w:rPr>
          <w:szCs w:val="26"/>
          <w:shd w:val="clear" w:color="auto" w:fill="FFFFFF"/>
        </w:rPr>
        <w:t xml:space="preserve"> amounting to sufficient</w:t>
      </w:r>
      <w:r>
        <w:rPr>
          <w:szCs w:val="26"/>
          <w:shd w:val="clear" w:color="auto" w:fill="FFFFFF"/>
        </w:rPr>
        <w:t>, though not conclusive,</w:t>
      </w:r>
      <w:r w:rsidRPr="00A77C37">
        <w:rPr>
          <w:szCs w:val="26"/>
          <w:shd w:val="clear" w:color="auto" w:fill="FFFFFF"/>
        </w:rPr>
        <w:t xml:space="preserve"> evidence of an inability to provide regular care </w:t>
      </w:r>
      <w:r>
        <w:rPr>
          <w:szCs w:val="26"/>
          <w:shd w:val="clear" w:color="auto" w:fill="FFFFFF"/>
        </w:rPr>
        <w:t xml:space="preserve">to a young child </w:t>
      </w:r>
      <w:r w:rsidRPr="00A77C37">
        <w:rPr>
          <w:szCs w:val="26"/>
          <w:shd w:val="clear" w:color="auto" w:fill="FFFFFF"/>
        </w:rPr>
        <w:t xml:space="preserve">and a substantial risk of serious physical harm </w:t>
      </w:r>
      <w:r>
        <w:rPr>
          <w:szCs w:val="26"/>
          <w:shd w:val="clear" w:color="auto" w:fill="FFFFFF"/>
        </w:rPr>
        <w:t>to that child</w:t>
      </w:r>
      <w:r w:rsidRPr="00A77C37">
        <w:rPr>
          <w:szCs w:val="26"/>
          <w:shd w:val="clear" w:color="auto" w:fill="FFFFFF"/>
        </w:rPr>
        <w:t>.</w:t>
      </w:r>
    </w:p>
    <w:p w14:paraId="72EDC467" w14:textId="77777777" w:rsidR="00021057" w:rsidRPr="00A77C37" w:rsidRDefault="00B46361" w:rsidP="00021057">
      <w:pPr>
        <w:ind w:firstLine="720"/>
        <w:rPr>
          <w:szCs w:val="26"/>
        </w:rPr>
      </w:pPr>
      <w:r w:rsidRPr="00A77C37">
        <w:rPr>
          <w:szCs w:val="26"/>
        </w:rPr>
        <w:t>As a threshold matter</w:t>
      </w:r>
      <w:r w:rsidRPr="00A77C37">
        <w:rPr>
          <w:szCs w:val="26"/>
        </w:rPr>
        <w:t>, the parties</w:t>
      </w:r>
      <w:r>
        <w:rPr>
          <w:szCs w:val="26"/>
        </w:rPr>
        <w:t>’ briefing reflects some</w:t>
      </w:r>
      <w:r w:rsidRPr="00A77C37">
        <w:rPr>
          <w:szCs w:val="26"/>
        </w:rPr>
        <w:t xml:space="preserve"> </w:t>
      </w:r>
      <w:r>
        <w:rPr>
          <w:szCs w:val="26"/>
        </w:rPr>
        <w:t>uncertainty</w:t>
      </w:r>
      <w:r w:rsidRPr="00A77C37">
        <w:rPr>
          <w:szCs w:val="26"/>
        </w:rPr>
        <w:t xml:space="preserve"> </w:t>
      </w:r>
      <w:r>
        <w:rPr>
          <w:szCs w:val="26"/>
        </w:rPr>
        <w:t xml:space="preserve">regarding </w:t>
      </w:r>
      <w:r w:rsidRPr="00A77C37">
        <w:rPr>
          <w:szCs w:val="26"/>
        </w:rPr>
        <w:t xml:space="preserve">whether this judicially created principle amounts to an inference or a presumption.  To repeat, the relevant language in </w:t>
      </w:r>
      <w:r w:rsidRPr="00A77C37">
        <w:rPr>
          <w:i/>
          <w:iCs/>
          <w:szCs w:val="26"/>
        </w:rPr>
        <w:t>Drake M.</w:t>
      </w:r>
      <w:r w:rsidRPr="00A77C37">
        <w:rPr>
          <w:szCs w:val="26"/>
        </w:rPr>
        <w:t xml:space="preserve"> provides that a “finding of substance abuse is prima facie evidenc</w:t>
      </w:r>
      <w:r w:rsidRPr="00A77C37">
        <w:rPr>
          <w:szCs w:val="26"/>
        </w:rPr>
        <w:t>e of the inability of a parent or guardian to provide regular care resulting in a substantial risk of physical harm.”  (</w:t>
      </w:r>
      <w:r w:rsidRPr="00A77C37">
        <w:rPr>
          <w:i/>
          <w:iCs/>
          <w:szCs w:val="26"/>
        </w:rPr>
        <w:t>Drake M.</w:t>
      </w:r>
      <w:r w:rsidRPr="00A77C37">
        <w:rPr>
          <w:szCs w:val="26"/>
        </w:rPr>
        <w:t xml:space="preserve">, </w:t>
      </w:r>
      <w:r w:rsidRPr="00A77C37">
        <w:rPr>
          <w:i/>
          <w:iCs/>
          <w:szCs w:val="26"/>
        </w:rPr>
        <w:t>supra</w:t>
      </w:r>
      <w:r w:rsidRPr="00A77C37">
        <w:rPr>
          <w:szCs w:val="26"/>
        </w:rPr>
        <w:t>, 211 Cal.App.4th at p. 767.)  “A statute providing that a fact or group of facts is prima facie evidence of another fact</w:t>
      </w:r>
      <w:r w:rsidRPr="00A77C37">
        <w:rPr>
          <w:szCs w:val="26"/>
        </w:rPr>
        <w:t xml:space="preserve"> establishes a rebuttable presumption” (Evid. Code, § 602), which is a kind of “assumption of fact that the law requires to be made from another fact or group of facts found or otherwise established in the action” (</w:t>
      </w:r>
      <w:r w:rsidRPr="00A77C37">
        <w:rPr>
          <w:i/>
          <w:iCs/>
          <w:szCs w:val="26"/>
        </w:rPr>
        <w:t>id</w:t>
      </w:r>
      <w:r w:rsidRPr="00A77C37">
        <w:rPr>
          <w:szCs w:val="26"/>
        </w:rPr>
        <w:t>., § 600, subd. (a)), subject to rebutt</w:t>
      </w:r>
      <w:r w:rsidRPr="00A77C37">
        <w:rPr>
          <w:szCs w:val="26"/>
        </w:rPr>
        <w:t>al.  A “judicially created nonstatutory ‘inference,’ if it meets the test of a presumption, should be regarded as, and given the effect of, a presumption.”  (</w:t>
      </w:r>
      <w:r w:rsidRPr="0030756B">
        <w:rPr>
          <w:szCs w:val="26"/>
        </w:rPr>
        <w:t>1 Witkin, Cal. Evid. (6th ed. 202</w:t>
      </w:r>
      <w:r w:rsidR="0030756B">
        <w:rPr>
          <w:szCs w:val="26"/>
        </w:rPr>
        <w:t>3</w:t>
      </w:r>
      <w:r w:rsidRPr="0030756B">
        <w:rPr>
          <w:szCs w:val="26"/>
        </w:rPr>
        <w:t>) Burden, § 10</w:t>
      </w:r>
      <w:r w:rsidR="0030756B">
        <w:rPr>
          <w:szCs w:val="26"/>
        </w:rPr>
        <w:t>7</w:t>
      </w:r>
      <w:r w:rsidRPr="0030756B">
        <w:rPr>
          <w:szCs w:val="26"/>
        </w:rPr>
        <w:t>.</w:t>
      </w:r>
      <w:r w:rsidRPr="00A77C37">
        <w:rPr>
          <w:szCs w:val="26"/>
        </w:rPr>
        <w:t xml:space="preserve">)  </w:t>
      </w:r>
      <w:r>
        <w:rPr>
          <w:szCs w:val="26"/>
        </w:rPr>
        <w:t>It follows from the above that</w:t>
      </w:r>
      <w:r w:rsidRPr="00A77C37">
        <w:rPr>
          <w:szCs w:val="26"/>
        </w:rPr>
        <w:t xml:space="preserve">, as articulated in </w:t>
      </w:r>
      <w:r w:rsidRPr="00A77C37">
        <w:rPr>
          <w:i/>
          <w:iCs/>
          <w:szCs w:val="26"/>
        </w:rPr>
        <w:t>Drake M.</w:t>
      </w:r>
      <w:r w:rsidRPr="00A77C37">
        <w:rPr>
          <w:szCs w:val="26"/>
        </w:rPr>
        <w:t xml:space="preserve">, the tender years rule amounts to a presumption.  </w:t>
      </w:r>
    </w:p>
    <w:p w14:paraId="72EDC468" w14:textId="77777777" w:rsidR="00021057" w:rsidRPr="00A77C37" w:rsidRDefault="00B46361" w:rsidP="00021057">
      <w:pPr>
        <w:ind w:firstLine="720"/>
        <w:rPr>
          <w:szCs w:val="26"/>
        </w:rPr>
      </w:pPr>
      <w:r w:rsidRPr="00A77C37">
        <w:rPr>
          <w:szCs w:val="26"/>
        </w:rPr>
        <w:t xml:space="preserve">To </w:t>
      </w:r>
      <w:r>
        <w:rPr>
          <w:szCs w:val="26"/>
        </w:rPr>
        <w:t xml:space="preserve">assess </w:t>
      </w:r>
      <w:r w:rsidRPr="00A77C37">
        <w:rPr>
          <w:szCs w:val="26"/>
        </w:rPr>
        <w:t>this presumption, we apply the standard approach to statutory interpretation</w:t>
      </w:r>
      <w:r>
        <w:rPr>
          <w:szCs w:val="26"/>
        </w:rPr>
        <w:t xml:space="preserve"> and begin </w:t>
      </w:r>
      <w:r w:rsidRPr="00A77C37">
        <w:rPr>
          <w:szCs w:val="26"/>
        </w:rPr>
        <w:t>our review with the text of the statute.  (</w:t>
      </w:r>
      <w:r>
        <w:rPr>
          <w:szCs w:val="26"/>
        </w:rPr>
        <w:t xml:space="preserve">See </w:t>
      </w:r>
      <w:r w:rsidRPr="00A77C37">
        <w:rPr>
          <w:i/>
          <w:iCs/>
          <w:szCs w:val="26"/>
        </w:rPr>
        <w:t>Meza</w:t>
      </w:r>
      <w:r w:rsidRPr="00A77C37">
        <w:rPr>
          <w:szCs w:val="26"/>
        </w:rPr>
        <w:t xml:space="preserve">, </w:t>
      </w:r>
      <w:r w:rsidRPr="00A77C37">
        <w:rPr>
          <w:i/>
          <w:iCs/>
          <w:szCs w:val="26"/>
        </w:rPr>
        <w:t>supra</w:t>
      </w:r>
      <w:r w:rsidRPr="00A77C37">
        <w:rPr>
          <w:szCs w:val="26"/>
        </w:rPr>
        <w:t>, 6 Cal.5th at p. 856</w:t>
      </w:r>
      <w:r w:rsidRPr="00A77C37">
        <w:rPr>
          <w:szCs w:val="26"/>
        </w:rPr>
        <w:t xml:space="preserve">.)  Nothing within </w:t>
      </w:r>
      <w:r>
        <w:rPr>
          <w:szCs w:val="26"/>
        </w:rPr>
        <w:t>the statutory scheme</w:t>
      </w:r>
      <w:r w:rsidRPr="00A77C37">
        <w:rPr>
          <w:szCs w:val="26"/>
        </w:rPr>
        <w:t xml:space="preserve"> suggests that the requirements for the exercise of dependency jurisdiction </w:t>
      </w:r>
      <w:r>
        <w:rPr>
          <w:szCs w:val="26"/>
        </w:rPr>
        <w:t>under section 300(b)(1)(D) can</w:t>
      </w:r>
      <w:r w:rsidRPr="00A77C37">
        <w:rPr>
          <w:szCs w:val="26"/>
        </w:rPr>
        <w:t xml:space="preserve"> be </w:t>
      </w:r>
      <w:r>
        <w:rPr>
          <w:szCs w:val="26"/>
        </w:rPr>
        <w:t>collapsed through a tender years presumption</w:t>
      </w:r>
      <w:r w:rsidRPr="00A77C37">
        <w:rPr>
          <w:szCs w:val="26"/>
        </w:rPr>
        <w:t xml:space="preserve">.  </w:t>
      </w:r>
      <w:r>
        <w:rPr>
          <w:szCs w:val="26"/>
        </w:rPr>
        <w:t xml:space="preserve">The statute </w:t>
      </w:r>
      <w:r w:rsidRPr="00A77C37">
        <w:rPr>
          <w:szCs w:val="26"/>
        </w:rPr>
        <w:t>does not provide that a “finding of substance ab</w:t>
      </w:r>
      <w:r w:rsidRPr="00A77C37">
        <w:rPr>
          <w:szCs w:val="26"/>
        </w:rPr>
        <w:t xml:space="preserve">use is prima facie evidence of the inability of a parent or guardian to provide regular care resulting in a substantial risk of physical harm” </w:t>
      </w:r>
      <w:r>
        <w:rPr>
          <w:szCs w:val="26"/>
        </w:rPr>
        <w:t xml:space="preserve">to a young child </w:t>
      </w:r>
      <w:r w:rsidRPr="00A77C37">
        <w:rPr>
          <w:szCs w:val="26"/>
        </w:rPr>
        <w:t>(</w:t>
      </w:r>
      <w:r w:rsidRPr="00A77C37">
        <w:rPr>
          <w:i/>
          <w:iCs/>
          <w:szCs w:val="26"/>
        </w:rPr>
        <w:t>Drake M.</w:t>
      </w:r>
      <w:r w:rsidRPr="00A77C37">
        <w:rPr>
          <w:szCs w:val="26"/>
        </w:rPr>
        <w:t xml:space="preserve">, </w:t>
      </w:r>
      <w:r w:rsidRPr="00A77C37">
        <w:rPr>
          <w:i/>
          <w:iCs/>
          <w:szCs w:val="26"/>
        </w:rPr>
        <w:t>supra</w:t>
      </w:r>
      <w:r w:rsidRPr="00A77C37">
        <w:rPr>
          <w:szCs w:val="26"/>
        </w:rPr>
        <w:t xml:space="preserve">, 211 Cal.App.4th at p. 767), or anything similar.  </w:t>
      </w:r>
      <w:r>
        <w:rPr>
          <w:szCs w:val="26"/>
        </w:rPr>
        <w:t>Rather</w:t>
      </w:r>
      <w:r w:rsidRPr="00A77C37">
        <w:rPr>
          <w:szCs w:val="26"/>
        </w:rPr>
        <w:t xml:space="preserve">, </w:t>
      </w:r>
      <w:r>
        <w:rPr>
          <w:szCs w:val="26"/>
        </w:rPr>
        <w:t>the relevant statuto</w:t>
      </w:r>
      <w:r>
        <w:rPr>
          <w:szCs w:val="26"/>
        </w:rPr>
        <w:t>ry text makes it clear that</w:t>
      </w:r>
      <w:r w:rsidRPr="00A77C37">
        <w:rPr>
          <w:szCs w:val="26"/>
        </w:rPr>
        <w:t xml:space="preserve"> the government must </w:t>
      </w:r>
      <w:r>
        <w:rPr>
          <w:szCs w:val="26"/>
        </w:rPr>
        <w:t>establish, as separate elements,</w:t>
      </w:r>
      <w:r w:rsidRPr="00A77C37">
        <w:rPr>
          <w:szCs w:val="26"/>
        </w:rPr>
        <w:t xml:space="preserve"> that </w:t>
      </w:r>
      <w:r>
        <w:rPr>
          <w:szCs w:val="26"/>
        </w:rPr>
        <w:t xml:space="preserve">(1) </w:t>
      </w:r>
      <w:r w:rsidRPr="00A77C37">
        <w:rPr>
          <w:szCs w:val="26"/>
        </w:rPr>
        <w:t xml:space="preserve">substance abuse </w:t>
      </w:r>
      <w:r>
        <w:rPr>
          <w:szCs w:val="26"/>
        </w:rPr>
        <w:t xml:space="preserve">(2) </w:t>
      </w:r>
      <w:r w:rsidRPr="00A77C37">
        <w:rPr>
          <w:szCs w:val="26"/>
        </w:rPr>
        <w:t xml:space="preserve">makes a parent or guardian unable to provide regular care for a child </w:t>
      </w:r>
      <w:r w:rsidRPr="00EC57C3">
        <w:rPr>
          <w:szCs w:val="26"/>
        </w:rPr>
        <w:t>and</w:t>
      </w:r>
      <w:r w:rsidRPr="00A77C37">
        <w:rPr>
          <w:szCs w:val="26"/>
        </w:rPr>
        <w:t xml:space="preserve"> </w:t>
      </w:r>
      <w:r>
        <w:rPr>
          <w:szCs w:val="26"/>
        </w:rPr>
        <w:t>(3)</w:t>
      </w:r>
      <w:r w:rsidRPr="00A77C37">
        <w:rPr>
          <w:szCs w:val="26"/>
        </w:rPr>
        <w:t xml:space="preserve"> this inability has caused the child to suffer serious physical harm </w:t>
      </w:r>
      <w:r w:rsidRPr="00A77C37">
        <w:rPr>
          <w:szCs w:val="26"/>
        </w:rPr>
        <w:t xml:space="preserve">or illness or creates a substantial risk of such harm or illness.  </w:t>
      </w:r>
      <w:r>
        <w:rPr>
          <w:szCs w:val="26"/>
        </w:rPr>
        <w:t>Just as courts have routinely rejected the</w:t>
      </w:r>
      <w:r w:rsidRPr="00A77C37">
        <w:rPr>
          <w:szCs w:val="26"/>
        </w:rPr>
        <w:t xml:space="preserve"> equation of </w:t>
      </w:r>
      <w:r>
        <w:rPr>
          <w:szCs w:val="26"/>
        </w:rPr>
        <w:t>mental illness</w:t>
      </w:r>
      <w:r w:rsidRPr="00A77C37">
        <w:rPr>
          <w:szCs w:val="26"/>
        </w:rPr>
        <w:t xml:space="preserve"> with a </w:t>
      </w:r>
      <w:r>
        <w:rPr>
          <w:szCs w:val="26"/>
        </w:rPr>
        <w:t xml:space="preserve">significant </w:t>
      </w:r>
      <w:r w:rsidRPr="00A77C37">
        <w:rPr>
          <w:szCs w:val="26"/>
        </w:rPr>
        <w:t xml:space="preserve">risk of </w:t>
      </w:r>
      <w:r>
        <w:rPr>
          <w:szCs w:val="26"/>
        </w:rPr>
        <w:t xml:space="preserve">serious </w:t>
      </w:r>
      <w:r w:rsidRPr="00A77C37">
        <w:rPr>
          <w:szCs w:val="26"/>
        </w:rPr>
        <w:t>harm (</w:t>
      </w:r>
      <w:r>
        <w:rPr>
          <w:szCs w:val="26"/>
        </w:rPr>
        <w:t xml:space="preserve">see, e.g., </w:t>
      </w:r>
      <w:r w:rsidRPr="00A77C37">
        <w:rPr>
          <w:i/>
          <w:iCs/>
          <w:szCs w:val="26"/>
        </w:rPr>
        <w:t>In re A.G.</w:t>
      </w:r>
      <w:r w:rsidRPr="00A77C37">
        <w:rPr>
          <w:szCs w:val="26"/>
        </w:rPr>
        <w:t xml:space="preserve"> (2013) 220 Cal.App.4th 675, 684; </w:t>
      </w:r>
      <w:r w:rsidRPr="00A77C37">
        <w:rPr>
          <w:i/>
          <w:iCs/>
          <w:szCs w:val="26"/>
        </w:rPr>
        <w:t>In re Matthew S.</w:t>
      </w:r>
      <w:r w:rsidRPr="00A77C37">
        <w:rPr>
          <w:szCs w:val="26"/>
        </w:rPr>
        <w:t xml:space="preserve"> (1996)</w:t>
      </w:r>
      <w:r w:rsidRPr="00A77C37">
        <w:rPr>
          <w:szCs w:val="26"/>
        </w:rPr>
        <w:t xml:space="preserve"> 41 Cal.App.4th 1311, 1318), </w:t>
      </w:r>
      <w:r>
        <w:rPr>
          <w:szCs w:val="26"/>
        </w:rPr>
        <w:t xml:space="preserve">we find the tender years presumption adopted by </w:t>
      </w:r>
      <w:r w:rsidRPr="006771BB">
        <w:rPr>
          <w:i/>
          <w:iCs/>
          <w:szCs w:val="26"/>
        </w:rPr>
        <w:t>Drake M.</w:t>
      </w:r>
      <w:r>
        <w:rPr>
          <w:szCs w:val="26"/>
        </w:rPr>
        <w:t xml:space="preserve"> objectionable because it oversimplifies the necessary analysis</w:t>
      </w:r>
      <w:r w:rsidRPr="00A77C37">
        <w:rPr>
          <w:szCs w:val="26"/>
        </w:rPr>
        <w:t>.</w:t>
      </w:r>
      <w:r>
        <w:rPr>
          <w:szCs w:val="26"/>
        </w:rPr>
        <w:t xml:space="preserve">  </w:t>
      </w:r>
    </w:p>
    <w:p w14:paraId="72EDC469" w14:textId="77777777" w:rsidR="00021057" w:rsidRPr="00A77C37" w:rsidRDefault="00B46361" w:rsidP="00021057">
      <w:pPr>
        <w:ind w:firstLine="720"/>
        <w:rPr>
          <w:szCs w:val="26"/>
        </w:rPr>
      </w:pPr>
      <w:r w:rsidRPr="00A77C37">
        <w:rPr>
          <w:szCs w:val="26"/>
        </w:rPr>
        <w:t>Significantly, at several other junctures within the dependency scheme the Legislature has expressly ide</w:t>
      </w:r>
      <w:r w:rsidRPr="00A77C37">
        <w:rPr>
          <w:szCs w:val="26"/>
        </w:rPr>
        <w:t xml:space="preserve">ntified situations in which </w:t>
      </w:r>
      <w:r>
        <w:rPr>
          <w:szCs w:val="26"/>
        </w:rPr>
        <w:t>specific proof</w:t>
      </w:r>
      <w:r w:rsidRPr="00A77C37">
        <w:rPr>
          <w:szCs w:val="26"/>
        </w:rPr>
        <w:t xml:space="preserve"> will constitute prima facie evidence of </w:t>
      </w:r>
      <w:r>
        <w:rPr>
          <w:szCs w:val="26"/>
        </w:rPr>
        <w:t>a particular fact</w:t>
      </w:r>
      <w:r w:rsidRPr="00A77C37">
        <w:rPr>
          <w:szCs w:val="26"/>
        </w:rPr>
        <w:t xml:space="preserve">.  </w:t>
      </w:r>
      <w:r w:rsidRPr="00A77C37">
        <w:t>For example, as previously observed, section 355.1, subdivision (a) provides that certain “competent professional evidence” shall be regarded as “prima f</w:t>
      </w:r>
      <w:r w:rsidRPr="00A77C37">
        <w:t xml:space="preserve">acie evidence that the minor is a person described by subdivision (a), (b), or (d) of Section 300.”  </w:t>
      </w:r>
      <w:r>
        <w:rPr>
          <w:szCs w:val="26"/>
          <w:shd w:val="clear" w:color="auto" w:fill="FFFFFF"/>
        </w:rPr>
        <w:t>Several other examples of a particular fact being cast as prima facie evidence of another fact appear elsewhere within the statutory scheme.  (</w:t>
      </w:r>
      <w:r w:rsidRPr="00A77C37">
        <w:rPr>
          <w:szCs w:val="26"/>
          <w:shd w:val="clear" w:color="auto" w:fill="FFFFFF"/>
        </w:rPr>
        <w:t>§§ 355.1, su</w:t>
      </w:r>
      <w:r w:rsidRPr="00A77C37">
        <w:rPr>
          <w:szCs w:val="26"/>
          <w:shd w:val="clear" w:color="auto" w:fill="FFFFFF"/>
        </w:rPr>
        <w:t xml:space="preserve">bd. (d), 361, subd. (c)(1), 364, subd. (c), 366.21, subds. (e)(1), (f)(1)(B), 366.22, subd. (a)(1), 366.25, subd. (a)(1).) </w:t>
      </w:r>
      <w:r w:rsidRPr="00A77C37">
        <w:rPr>
          <w:szCs w:val="26"/>
        </w:rPr>
        <w:t xml:space="preserve"> The Legislature’s manifested ability to assign such significance to certain</w:t>
      </w:r>
      <w:r>
        <w:rPr>
          <w:szCs w:val="26"/>
        </w:rPr>
        <w:t xml:space="preserve"> facts or</w:t>
      </w:r>
      <w:r w:rsidRPr="00A77C37">
        <w:rPr>
          <w:szCs w:val="26"/>
        </w:rPr>
        <w:t xml:space="preserve"> evidence</w:t>
      </w:r>
      <w:r>
        <w:rPr>
          <w:szCs w:val="26"/>
        </w:rPr>
        <w:t xml:space="preserve"> in proving another fact</w:t>
      </w:r>
      <w:r w:rsidRPr="00A77C37">
        <w:rPr>
          <w:szCs w:val="26"/>
        </w:rPr>
        <w:t xml:space="preserve"> suggests that it did not intend for courts to </w:t>
      </w:r>
      <w:r>
        <w:rPr>
          <w:szCs w:val="26"/>
        </w:rPr>
        <w:t>presume</w:t>
      </w:r>
      <w:r w:rsidRPr="00A77C37">
        <w:rPr>
          <w:szCs w:val="26"/>
        </w:rPr>
        <w:t xml:space="preserve"> a similar relationship when not</w:t>
      </w:r>
      <w:r>
        <w:rPr>
          <w:szCs w:val="26"/>
        </w:rPr>
        <w:t xml:space="preserve"> expressly</w:t>
      </w:r>
      <w:r w:rsidRPr="00A77C37">
        <w:rPr>
          <w:szCs w:val="26"/>
        </w:rPr>
        <w:t xml:space="preserve"> provided for within the statutory </w:t>
      </w:r>
      <w:r>
        <w:rPr>
          <w:szCs w:val="26"/>
        </w:rPr>
        <w:t>text</w:t>
      </w:r>
      <w:r w:rsidRPr="00A77C37">
        <w:rPr>
          <w:szCs w:val="26"/>
        </w:rPr>
        <w:t xml:space="preserve">.  (See </w:t>
      </w:r>
      <w:r w:rsidRPr="00A77C37">
        <w:rPr>
          <w:i/>
          <w:iCs/>
          <w:szCs w:val="26"/>
        </w:rPr>
        <w:t>R.T.</w:t>
      </w:r>
      <w:r w:rsidRPr="00A77C37">
        <w:rPr>
          <w:szCs w:val="26"/>
        </w:rPr>
        <w:t xml:space="preserve">, </w:t>
      </w:r>
      <w:r w:rsidRPr="00A77C37">
        <w:rPr>
          <w:i/>
          <w:iCs/>
          <w:szCs w:val="26"/>
        </w:rPr>
        <w:t>supra</w:t>
      </w:r>
      <w:r w:rsidRPr="00A77C37">
        <w:rPr>
          <w:szCs w:val="26"/>
        </w:rPr>
        <w:t xml:space="preserve">, </w:t>
      </w:r>
      <w:r w:rsidRPr="00A77C37">
        <w:rPr>
          <w:szCs w:val="26"/>
          <w:shd w:val="clear" w:color="auto" w:fill="FFFFFF"/>
        </w:rPr>
        <w:t>3 Cal.5th at p. 630.)</w:t>
      </w:r>
    </w:p>
    <w:p w14:paraId="72EDC46A" w14:textId="77777777" w:rsidR="00021057" w:rsidRDefault="00B46361" w:rsidP="00021057">
      <w:pPr>
        <w:ind w:firstLine="720"/>
        <w:rPr>
          <w:szCs w:val="26"/>
        </w:rPr>
      </w:pPr>
      <w:r w:rsidRPr="00A77C37">
        <w:rPr>
          <w:szCs w:val="26"/>
        </w:rPr>
        <w:t>The Department asserts that the tender years presumpti</w:t>
      </w:r>
      <w:r w:rsidRPr="00A77C37">
        <w:rPr>
          <w:szCs w:val="26"/>
        </w:rPr>
        <w:t xml:space="preserve">on is a commonsense </w:t>
      </w:r>
      <w:r>
        <w:rPr>
          <w:szCs w:val="26"/>
        </w:rPr>
        <w:t>rule based on the well-understood needs of young children and</w:t>
      </w:r>
      <w:r w:rsidRPr="00A77C37">
        <w:rPr>
          <w:szCs w:val="26"/>
        </w:rPr>
        <w:t xml:space="preserve"> </w:t>
      </w:r>
      <w:r>
        <w:rPr>
          <w:szCs w:val="26"/>
        </w:rPr>
        <w:t>still</w:t>
      </w:r>
      <w:r w:rsidRPr="00A77C37">
        <w:rPr>
          <w:szCs w:val="26"/>
        </w:rPr>
        <w:t xml:space="preserve"> allows courts to fully consider all evidence</w:t>
      </w:r>
      <w:r>
        <w:rPr>
          <w:szCs w:val="26"/>
        </w:rPr>
        <w:t xml:space="preserve"> presented</w:t>
      </w:r>
      <w:r w:rsidRPr="00A77C37">
        <w:rPr>
          <w:szCs w:val="26"/>
        </w:rPr>
        <w:t xml:space="preserve"> </w:t>
      </w:r>
      <w:r>
        <w:rPr>
          <w:szCs w:val="26"/>
        </w:rPr>
        <w:t>on</w:t>
      </w:r>
      <w:r w:rsidRPr="00A77C37">
        <w:rPr>
          <w:szCs w:val="26"/>
        </w:rPr>
        <w:t xml:space="preserve"> the question of whether a parent’s or guardian’s substance abuse places a young child at substantial risk of s</w:t>
      </w:r>
      <w:r w:rsidRPr="00A77C37">
        <w:rPr>
          <w:szCs w:val="26"/>
        </w:rPr>
        <w:t xml:space="preserve">erious physical harm or illness. </w:t>
      </w:r>
      <w:r>
        <w:rPr>
          <w:szCs w:val="26"/>
        </w:rPr>
        <w:t xml:space="preserve"> </w:t>
      </w:r>
    </w:p>
    <w:p w14:paraId="72EDC46B" w14:textId="77777777" w:rsidR="00021057" w:rsidRPr="00A77C37" w:rsidRDefault="00B46361" w:rsidP="00021057">
      <w:pPr>
        <w:ind w:firstLine="720"/>
        <w:rPr>
          <w:szCs w:val="26"/>
        </w:rPr>
      </w:pPr>
      <w:r>
        <w:rPr>
          <w:szCs w:val="26"/>
        </w:rPr>
        <w:t>This argument fails to fully grapple with the fact that the fundamental problem with the tender years presumption is not that it robs courts of discretion; it is that the presumption threatens to oversimplify the analysis</w:t>
      </w:r>
      <w:r>
        <w:rPr>
          <w:szCs w:val="26"/>
        </w:rPr>
        <w:t xml:space="preserve"> required under section 300(b)(1)(D).  It is reasonable for courts to infer that very young children require a substantial degree of close supervision.  But it is inappropriate to regard a parent</w:t>
      </w:r>
      <w:r w:rsidR="000D0046">
        <w:rPr>
          <w:szCs w:val="26"/>
        </w:rPr>
        <w:t>’s</w:t>
      </w:r>
      <w:r>
        <w:rPr>
          <w:szCs w:val="26"/>
        </w:rPr>
        <w:t xml:space="preserve"> or guardian’s excessive use of alcohol or an addictive dru</w:t>
      </w:r>
      <w:r>
        <w:rPr>
          <w:szCs w:val="26"/>
        </w:rPr>
        <w:t>g as always being sufficient, by itself, to show that the parent or guardian is unable to provide regular care for a young child and that the child is therefore at substantial risk of serious physical harm.  Even granting that this presumption may be rebut</w:t>
      </w:r>
      <w:r>
        <w:rPr>
          <w:szCs w:val="26"/>
        </w:rPr>
        <w:t xml:space="preserve">ted, </w:t>
      </w:r>
      <w:r w:rsidRPr="00A77C37">
        <w:rPr>
          <w:szCs w:val="26"/>
        </w:rPr>
        <w:t xml:space="preserve">it </w:t>
      </w:r>
      <w:r>
        <w:rPr>
          <w:szCs w:val="26"/>
        </w:rPr>
        <w:t>still distorts</w:t>
      </w:r>
      <w:r w:rsidRPr="00A77C37">
        <w:rPr>
          <w:szCs w:val="26"/>
        </w:rPr>
        <w:t xml:space="preserve"> the</w:t>
      </w:r>
      <w:r>
        <w:rPr>
          <w:szCs w:val="26"/>
        </w:rPr>
        <w:t xml:space="preserve"> necessary</w:t>
      </w:r>
      <w:r w:rsidRPr="00A77C37">
        <w:rPr>
          <w:szCs w:val="26"/>
        </w:rPr>
        <w:t xml:space="preserve"> </w:t>
      </w:r>
      <w:r>
        <w:rPr>
          <w:szCs w:val="26"/>
        </w:rPr>
        <w:t xml:space="preserve">inquiry under section 300(b)(1)(D) </w:t>
      </w:r>
      <w:r w:rsidRPr="00A77C37">
        <w:rPr>
          <w:szCs w:val="26"/>
        </w:rPr>
        <w:t>by treating one</w:t>
      </w:r>
      <w:r>
        <w:rPr>
          <w:szCs w:val="26"/>
        </w:rPr>
        <w:t xml:space="preserve"> established</w:t>
      </w:r>
      <w:r w:rsidRPr="00A77C37">
        <w:rPr>
          <w:szCs w:val="26"/>
        </w:rPr>
        <w:t xml:space="preserve"> fact (</w:t>
      </w:r>
      <w:r>
        <w:rPr>
          <w:szCs w:val="26"/>
        </w:rPr>
        <w:t xml:space="preserve">a parent’s or guardian’s </w:t>
      </w:r>
      <w:r w:rsidRPr="00A77C37">
        <w:rPr>
          <w:szCs w:val="26"/>
        </w:rPr>
        <w:t xml:space="preserve">substance abuse) as always amounting to sufficient </w:t>
      </w:r>
      <w:r>
        <w:rPr>
          <w:szCs w:val="26"/>
        </w:rPr>
        <w:t>proof</w:t>
      </w:r>
      <w:r w:rsidRPr="00A77C37">
        <w:rPr>
          <w:szCs w:val="26"/>
        </w:rPr>
        <w:t xml:space="preserve"> of other facts (an inability to provide regular care and a substanti</w:t>
      </w:r>
      <w:r w:rsidRPr="00A77C37">
        <w:rPr>
          <w:szCs w:val="26"/>
        </w:rPr>
        <w:t xml:space="preserve">al risk of serious physical harm </w:t>
      </w:r>
      <w:r>
        <w:rPr>
          <w:szCs w:val="26"/>
        </w:rPr>
        <w:t>to a child of tender years</w:t>
      </w:r>
      <w:r w:rsidRPr="00A77C37">
        <w:rPr>
          <w:szCs w:val="26"/>
        </w:rPr>
        <w:t>)</w:t>
      </w:r>
      <w:r>
        <w:rPr>
          <w:szCs w:val="26"/>
        </w:rPr>
        <w:t xml:space="preserve"> without any indication that the Legislature approved of such conflation</w:t>
      </w:r>
      <w:r w:rsidRPr="00A77C37">
        <w:rPr>
          <w:szCs w:val="26"/>
        </w:rPr>
        <w:t xml:space="preserve">.  </w:t>
      </w:r>
      <w:r>
        <w:rPr>
          <w:szCs w:val="26"/>
        </w:rPr>
        <w:t>We conclude that t</w:t>
      </w:r>
      <w:r w:rsidRPr="00A77C37">
        <w:rPr>
          <w:szCs w:val="26"/>
        </w:rPr>
        <w:t xml:space="preserve">o </w:t>
      </w:r>
      <w:r>
        <w:rPr>
          <w:szCs w:val="26"/>
        </w:rPr>
        <w:t>uphold</w:t>
      </w:r>
      <w:r w:rsidRPr="00A77C37">
        <w:rPr>
          <w:szCs w:val="26"/>
        </w:rPr>
        <w:t xml:space="preserve"> the Legislature’s intent, an inability to provide regular care and a substantial risk of serio</w:t>
      </w:r>
      <w:r w:rsidRPr="00A77C37">
        <w:rPr>
          <w:szCs w:val="26"/>
        </w:rPr>
        <w:t xml:space="preserve">us physical harm or illness must be established on the facts of each case, without relying on a categorical rule providing that a “finding of substance abuse </w:t>
      </w:r>
      <w:r w:rsidRPr="00B337E8">
        <w:rPr>
          <w:szCs w:val="26"/>
        </w:rPr>
        <w:t>is</w:t>
      </w:r>
      <w:r w:rsidRPr="00A77C37">
        <w:rPr>
          <w:szCs w:val="26"/>
        </w:rPr>
        <w:t xml:space="preserve"> prima facie evidence of the inability of a parent or guardian to provide regular care resulting</w:t>
      </w:r>
      <w:r w:rsidRPr="00A77C37">
        <w:rPr>
          <w:szCs w:val="26"/>
        </w:rPr>
        <w:t xml:space="preserve"> in a substantial risk of physical harm”</w:t>
      </w:r>
      <w:r>
        <w:rPr>
          <w:szCs w:val="26"/>
        </w:rPr>
        <w:t xml:space="preserve"> to a child of </w:t>
      </w:r>
      <w:r w:rsidR="002D4251">
        <w:rPr>
          <w:szCs w:val="26"/>
        </w:rPr>
        <w:t>“</w:t>
      </w:r>
      <w:r w:rsidR="00890E69">
        <w:rPr>
          <w:szCs w:val="26"/>
        </w:rPr>
        <w:t> ‘</w:t>
      </w:r>
      <w:r>
        <w:rPr>
          <w:szCs w:val="26"/>
        </w:rPr>
        <w:t>tender years.</w:t>
      </w:r>
      <w:r w:rsidR="00890E69">
        <w:rPr>
          <w:szCs w:val="26"/>
        </w:rPr>
        <w:t>’ </w:t>
      </w:r>
      <w:r w:rsidR="002D4251">
        <w:rPr>
          <w:szCs w:val="26"/>
        </w:rPr>
        <w:t>”</w:t>
      </w:r>
      <w:r w:rsidRPr="00A77C37">
        <w:rPr>
          <w:szCs w:val="26"/>
        </w:rPr>
        <w:t xml:space="preserve">  (</w:t>
      </w:r>
      <w:r w:rsidRPr="00A77C37">
        <w:rPr>
          <w:i/>
          <w:iCs/>
          <w:szCs w:val="26"/>
        </w:rPr>
        <w:t>Drake M.</w:t>
      </w:r>
      <w:r w:rsidRPr="00A77C37">
        <w:rPr>
          <w:szCs w:val="26"/>
        </w:rPr>
        <w:t xml:space="preserve">, </w:t>
      </w:r>
      <w:r w:rsidRPr="00A77C37">
        <w:rPr>
          <w:i/>
          <w:iCs/>
          <w:szCs w:val="26"/>
        </w:rPr>
        <w:t>supra</w:t>
      </w:r>
      <w:r w:rsidRPr="00A77C37">
        <w:rPr>
          <w:szCs w:val="26"/>
        </w:rPr>
        <w:t>, 211</w:t>
      </w:r>
      <w:r w:rsidR="00C77B43">
        <w:rPr>
          <w:szCs w:val="26"/>
        </w:rPr>
        <w:t> </w:t>
      </w:r>
      <w:r w:rsidRPr="00A77C37">
        <w:rPr>
          <w:szCs w:val="26"/>
        </w:rPr>
        <w:t xml:space="preserve">Cal.App.4th at p. 767.)  </w:t>
      </w:r>
    </w:p>
    <w:p w14:paraId="72EDC46C" w14:textId="77777777" w:rsidR="00021057" w:rsidRPr="00A77C37" w:rsidRDefault="00B46361" w:rsidP="00021057">
      <w:pPr>
        <w:ind w:firstLine="720"/>
        <w:rPr>
          <w:szCs w:val="26"/>
        </w:rPr>
      </w:pPr>
      <w:r>
        <w:rPr>
          <w:szCs w:val="26"/>
        </w:rPr>
        <w:t xml:space="preserve">In this respect, the basic task before the juvenile court is similar regardless of the age of the child involved.  Substance abuse, </w:t>
      </w:r>
      <w:r>
        <w:rPr>
          <w:szCs w:val="26"/>
        </w:rPr>
        <w:t>when shown to exist, should not be regarded as automatically amounting to prima facie evidence of the other facts required for dependency jurisdiction.  Courts must undertake a further inquiry to ascertain whether the government has met its burden as to ea</w:t>
      </w:r>
      <w:r>
        <w:rPr>
          <w:szCs w:val="26"/>
        </w:rPr>
        <w:t xml:space="preserve">ch of the elements involved, without shifting the burden to a parent or guardian to rebut a presumption created by a finding of substance abuse.  (See, e.g., </w:t>
      </w:r>
      <w:r w:rsidRPr="004D2B12">
        <w:rPr>
          <w:i/>
          <w:iCs/>
          <w:szCs w:val="26"/>
        </w:rPr>
        <w:t>In re David M.</w:t>
      </w:r>
      <w:r>
        <w:rPr>
          <w:szCs w:val="26"/>
        </w:rPr>
        <w:t xml:space="preserve"> (2005) 134 Cal.App.4</w:t>
      </w:r>
      <w:r w:rsidRPr="004D2B12">
        <w:rPr>
          <w:szCs w:val="26"/>
        </w:rPr>
        <w:t>th</w:t>
      </w:r>
      <w:r>
        <w:rPr>
          <w:szCs w:val="26"/>
        </w:rPr>
        <w:t xml:space="preserve"> 822, 830, abrogated </w:t>
      </w:r>
      <w:r w:rsidRPr="00A77C37">
        <w:rPr>
          <w:szCs w:val="26"/>
        </w:rPr>
        <w:t xml:space="preserve">on another ground </w:t>
      </w:r>
      <w:r>
        <w:rPr>
          <w:szCs w:val="26"/>
        </w:rPr>
        <w:t xml:space="preserve">by </w:t>
      </w:r>
      <w:r w:rsidRPr="004D2B12">
        <w:rPr>
          <w:i/>
          <w:iCs/>
          <w:szCs w:val="26"/>
        </w:rPr>
        <w:t>R.T.</w:t>
      </w:r>
      <w:r>
        <w:rPr>
          <w:szCs w:val="26"/>
        </w:rPr>
        <w:t xml:space="preserve">, </w:t>
      </w:r>
      <w:r w:rsidRPr="004D2B12">
        <w:rPr>
          <w:i/>
          <w:iCs/>
          <w:szCs w:val="26"/>
        </w:rPr>
        <w:t>supra</w:t>
      </w:r>
      <w:r>
        <w:rPr>
          <w:szCs w:val="26"/>
        </w:rPr>
        <w:t xml:space="preserve">, 3 </w:t>
      </w:r>
      <w:r>
        <w:rPr>
          <w:szCs w:val="26"/>
        </w:rPr>
        <w:t>Cal.5</w:t>
      </w:r>
      <w:r w:rsidRPr="004D2B12">
        <w:rPr>
          <w:szCs w:val="26"/>
        </w:rPr>
        <w:t>th</w:t>
      </w:r>
      <w:r>
        <w:rPr>
          <w:szCs w:val="26"/>
        </w:rPr>
        <w:t xml:space="preserve"> at </w:t>
      </w:r>
      <w:r w:rsidR="00582FDD">
        <w:rPr>
          <w:szCs w:val="26"/>
        </w:rPr>
        <w:t>p</w:t>
      </w:r>
      <w:r>
        <w:rPr>
          <w:szCs w:val="26"/>
        </w:rPr>
        <w:t>p.</w:t>
      </w:r>
      <w:r w:rsidR="00582FDD">
        <w:rPr>
          <w:szCs w:val="26"/>
        </w:rPr>
        <w:t> 628–</w:t>
      </w:r>
      <w:r>
        <w:rPr>
          <w:szCs w:val="26"/>
        </w:rPr>
        <w:t>629 [even accepting the existence of substance abuse by a parent, the evidence before the juvenile court failed to show that this abuse led to a significant risk of serious physical harm].)</w:t>
      </w:r>
      <w:r w:rsidRPr="00A77C37">
        <w:rPr>
          <w:szCs w:val="26"/>
        </w:rPr>
        <w:t xml:space="preserve">  </w:t>
      </w:r>
      <w:r>
        <w:rPr>
          <w:szCs w:val="26"/>
        </w:rPr>
        <w:t>Courts</w:t>
      </w:r>
      <w:r w:rsidRPr="00A77C37">
        <w:rPr>
          <w:szCs w:val="26"/>
        </w:rPr>
        <w:t xml:space="preserve"> may</w:t>
      </w:r>
      <w:r>
        <w:rPr>
          <w:szCs w:val="26"/>
        </w:rPr>
        <w:t xml:space="preserve"> in appropriate circumstances</w:t>
      </w:r>
      <w:r w:rsidRPr="00A77C37">
        <w:rPr>
          <w:szCs w:val="26"/>
        </w:rPr>
        <w:t xml:space="preserve"> </w:t>
      </w:r>
      <w:r>
        <w:rPr>
          <w:szCs w:val="26"/>
        </w:rPr>
        <w:t>discer</w:t>
      </w:r>
      <w:r>
        <w:rPr>
          <w:szCs w:val="26"/>
        </w:rPr>
        <w:t>n</w:t>
      </w:r>
      <w:r w:rsidRPr="00A77C37">
        <w:rPr>
          <w:szCs w:val="26"/>
        </w:rPr>
        <w:t xml:space="preserve"> </w:t>
      </w:r>
      <w:r>
        <w:rPr>
          <w:szCs w:val="26"/>
        </w:rPr>
        <w:t xml:space="preserve">an inability to provide regular care and a substantial </w:t>
      </w:r>
      <w:r w:rsidRPr="00A77C37">
        <w:rPr>
          <w:szCs w:val="26"/>
        </w:rPr>
        <w:t>risk</w:t>
      </w:r>
      <w:r>
        <w:rPr>
          <w:szCs w:val="26"/>
        </w:rPr>
        <w:t xml:space="preserve"> of serious physical harm or illness</w:t>
      </w:r>
      <w:r w:rsidRPr="00A77C37">
        <w:rPr>
          <w:szCs w:val="26"/>
        </w:rPr>
        <w:t xml:space="preserve"> </w:t>
      </w:r>
      <w:r>
        <w:rPr>
          <w:szCs w:val="26"/>
        </w:rPr>
        <w:t>from</w:t>
      </w:r>
      <w:r w:rsidRPr="00A77C37">
        <w:rPr>
          <w:szCs w:val="26"/>
        </w:rPr>
        <w:t xml:space="preserve"> the evidence that has been introduced in a particular case</w:t>
      </w:r>
      <w:r>
        <w:rPr>
          <w:szCs w:val="26"/>
        </w:rPr>
        <w:t>, including evidence relating to substance abuse, and</w:t>
      </w:r>
      <w:r w:rsidRPr="00A77C37">
        <w:rPr>
          <w:szCs w:val="26"/>
        </w:rPr>
        <w:t xml:space="preserve"> the reasonable inferences that </w:t>
      </w:r>
      <w:r>
        <w:rPr>
          <w:szCs w:val="26"/>
        </w:rPr>
        <w:t>can</w:t>
      </w:r>
      <w:r w:rsidRPr="00A77C37">
        <w:rPr>
          <w:szCs w:val="26"/>
        </w:rPr>
        <w:t xml:space="preserve"> be dra</w:t>
      </w:r>
      <w:r w:rsidRPr="00A77C37">
        <w:rPr>
          <w:szCs w:val="26"/>
        </w:rPr>
        <w:t>wn from this evidence.</w:t>
      </w:r>
      <w:r>
        <w:rPr>
          <w:szCs w:val="26"/>
        </w:rPr>
        <w:t xml:space="preserve">  (See, e.g., </w:t>
      </w:r>
      <w:r w:rsidRPr="00CC3E1D">
        <w:rPr>
          <w:i/>
          <w:iCs/>
          <w:szCs w:val="26"/>
        </w:rPr>
        <w:t>In re L.W.</w:t>
      </w:r>
      <w:r>
        <w:rPr>
          <w:szCs w:val="26"/>
        </w:rPr>
        <w:t xml:space="preserve"> (2019) 32</w:t>
      </w:r>
      <w:r w:rsidR="00582FDD">
        <w:rPr>
          <w:szCs w:val="26"/>
        </w:rPr>
        <w:t> </w:t>
      </w:r>
      <w:r>
        <w:rPr>
          <w:szCs w:val="26"/>
        </w:rPr>
        <w:t>Cal.App.5</w:t>
      </w:r>
      <w:r w:rsidRPr="00CC3E1D">
        <w:rPr>
          <w:szCs w:val="26"/>
        </w:rPr>
        <w:t>th</w:t>
      </w:r>
      <w:r>
        <w:rPr>
          <w:szCs w:val="26"/>
        </w:rPr>
        <w:t xml:space="preserve"> 840, 848–850 [mother’s two arrests for driving under the influence, one of which led to a reckless</w:t>
      </w:r>
      <w:r w:rsidR="00582FDD">
        <w:rPr>
          <w:szCs w:val="26"/>
        </w:rPr>
        <w:t xml:space="preserve"> </w:t>
      </w:r>
      <w:r>
        <w:rPr>
          <w:szCs w:val="26"/>
        </w:rPr>
        <w:t>driving conviction, adequately established a substantial risk of serious physical harm t</w:t>
      </w:r>
      <w:r>
        <w:rPr>
          <w:szCs w:val="26"/>
        </w:rPr>
        <w:t>o her 13-year-old daughter].)  In this respect,</w:t>
      </w:r>
      <w:r w:rsidRPr="00A77C37">
        <w:rPr>
          <w:szCs w:val="26"/>
        </w:rPr>
        <w:t xml:space="preserve"> </w:t>
      </w:r>
      <w:r>
        <w:rPr>
          <w:szCs w:val="26"/>
        </w:rPr>
        <w:t>a child’s</w:t>
      </w:r>
      <w:r w:rsidRPr="00A77C37">
        <w:rPr>
          <w:szCs w:val="26"/>
        </w:rPr>
        <w:t xml:space="preserve"> youth </w:t>
      </w:r>
      <w:r>
        <w:rPr>
          <w:szCs w:val="26"/>
        </w:rPr>
        <w:t xml:space="preserve">and maturity level </w:t>
      </w:r>
      <w:r w:rsidRPr="00A77C37">
        <w:rPr>
          <w:szCs w:val="26"/>
        </w:rPr>
        <w:t>can bear upon</w:t>
      </w:r>
      <w:r>
        <w:rPr>
          <w:szCs w:val="26"/>
        </w:rPr>
        <w:t xml:space="preserve"> the</w:t>
      </w:r>
      <w:r w:rsidRPr="00A77C37">
        <w:rPr>
          <w:szCs w:val="26"/>
        </w:rPr>
        <w:t xml:space="preserve"> </w:t>
      </w:r>
      <w:r>
        <w:rPr>
          <w:szCs w:val="26"/>
        </w:rPr>
        <w:t xml:space="preserve">care that the child may require and </w:t>
      </w:r>
      <w:r w:rsidRPr="00A77C37">
        <w:rPr>
          <w:szCs w:val="26"/>
        </w:rPr>
        <w:t xml:space="preserve">whether a </w:t>
      </w:r>
      <w:r>
        <w:rPr>
          <w:szCs w:val="26"/>
        </w:rPr>
        <w:t xml:space="preserve">parent’s or guardian’s </w:t>
      </w:r>
      <w:r w:rsidRPr="00A77C37">
        <w:rPr>
          <w:szCs w:val="26"/>
        </w:rPr>
        <w:t xml:space="preserve">substance abuse </w:t>
      </w:r>
      <w:r>
        <w:rPr>
          <w:szCs w:val="26"/>
        </w:rPr>
        <w:t>places</w:t>
      </w:r>
      <w:r w:rsidRPr="00A77C37">
        <w:rPr>
          <w:szCs w:val="26"/>
        </w:rPr>
        <w:t xml:space="preserve"> </w:t>
      </w:r>
      <w:r>
        <w:rPr>
          <w:szCs w:val="26"/>
        </w:rPr>
        <w:t>the child</w:t>
      </w:r>
      <w:r w:rsidRPr="00A77C37">
        <w:rPr>
          <w:szCs w:val="26"/>
        </w:rPr>
        <w:t xml:space="preserve"> </w:t>
      </w:r>
      <w:r>
        <w:rPr>
          <w:szCs w:val="26"/>
        </w:rPr>
        <w:t>at substantial risk of serious physical harm.  Courts</w:t>
      </w:r>
      <w:r>
        <w:rPr>
          <w:szCs w:val="26"/>
        </w:rPr>
        <w:t xml:space="preserve"> can properly take these facts regarding a child into account, together with all other relevant evidence, in deciding whether the government has met its burden at the jurisdictional stage.  But courts may </w:t>
      </w:r>
      <w:r w:rsidRPr="006D3EDB">
        <w:rPr>
          <w:i/>
          <w:iCs/>
          <w:szCs w:val="26"/>
        </w:rPr>
        <w:t>not</w:t>
      </w:r>
      <w:r>
        <w:rPr>
          <w:szCs w:val="26"/>
        </w:rPr>
        <w:t xml:space="preserve"> shortcut the inquiry envisioned by the Legislat</w:t>
      </w:r>
      <w:r>
        <w:rPr>
          <w:szCs w:val="26"/>
        </w:rPr>
        <w:t xml:space="preserve">ure by </w:t>
      </w:r>
      <w:r w:rsidRPr="00A77C37">
        <w:rPr>
          <w:szCs w:val="26"/>
        </w:rPr>
        <w:t>regard</w:t>
      </w:r>
      <w:r>
        <w:rPr>
          <w:szCs w:val="26"/>
        </w:rPr>
        <w:t>ing</w:t>
      </w:r>
      <w:r w:rsidRPr="00A77C37">
        <w:rPr>
          <w:szCs w:val="26"/>
        </w:rPr>
        <w:t xml:space="preserve"> substance abuse as</w:t>
      </w:r>
      <w:r>
        <w:rPr>
          <w:szCs w:val="26"/>
        </w:rPr>
        <w:t xml:space="preserve"> </w:t>
      </w:r>
      <w:r w:rsidRPr="00A77C37">
        <w:rPr>
          <w:szCs w:val="26"/>
        </w:rPr>
        <w:t>constituting prima facie evidence of an inability to provide regular care</w:t>
      </w:r>
      <w:r>
        <w:rPr>
          <w:szCs w:val="26"/>
        </w:rPr>
        <w:t xml:space="preserve"> to a young child</w:t>
      </w:r>
      <w:r w:rsidRPr="00A77C37">
        <w:rPr>
          <w:szCs w:val="26"/>
        </w:rPr>
        <w:t xml:space="preserve"> and</w:t>
      </w:r>
      <w:r>
        <w:rPr>
          <w:szCs w:val="26"/>
        </w:rPr>
        <w:t xml:space="preserve"> a </w:t>
      </w:r>
      <w:r w:rsidRPr="00A77C37">
        <w:rPr>
          <w:szCs w:val="26"/>
        </w:rPr>
        <w:t xml:space="preserve">substantial risk </w:t>
      </w:r>
      <w:r>
        <w:rPr>
          <w:szCs w:val="26"/>
        </w:rPr>
        <w:t>of serious physical harm to that child, and then look to the parent or guardian to rebut this presumption.</w:t>
      </w:r>
    </w:p>
    <w:p w14:paraId="72EDC46D" w14:textId="77777777" w:rsidR="00021057" w:rsidRPr="00A77C37" w:rsidRDefault="00B46361" w:rsidP="00021057">
      <w:pPr>
        <w:ind w:firstLine="720"/>
        <w:rPr>
          <w:szCs w:val="26"/>
        </w:rPr>
      </w:pPr>
      <w:r w:rsidRPr="00A77C37">
        <w:rPr>
          <w:szCs w:val="26"/>
        </w:rPr>
        <w:t>For the foregoing reasons, we reject the tender years presumption and disapprove the Court of Appeal decisions that have relied upon it, along with the Court of Appeal decisions that have regarded a professional medical diagnosis or satisfaction of the re</w:t>
      </w:r>
      <w:r w:rsidRPr="00A77C37">
        <w:rPr>
          <w:szCs w:val="26"/>
        </w:rPr>
        <w:t>levant DSM criteria as necessary for a finding of substance abuse under section 300(b)(1)(D).</w:t>
      </w:r>
      <w:r>
        <w:rPr>
          <w:rStyle w:val="FootnoteReference"/>
          <w:szCs w:val="26"/>
        </w:rPr>
        <w:footnoteReference w:id="19"/>
      </w:r>
    </w:p>
    <w:p w14:paraId="72EDC46E" w14:textId="77777777" w:rsidR="00021057" w:rsidRPr="00A77C37" w:rsidRDefault="00B46361" w:rsidP="00021057">
      <w:pPr>
        <w:pStyle w:val="Heading2"/>
        <w:tabs>
          <w:tab w:val="clear" w:pos="1152"/>
          <w:tab w:val="left" w:pos="1080"/>
        </w:tabs>
        <w:ind w:left="1080" w:hanging="360"/>
        <w:rPr>
          <w:rFonts w:eastAsiaTheme="minorHAnsi"/>
          <w:bCs/>
          <w:szCs w:val="26"/>
        </w:rPr>
      </w:pPr>
      <w:r>
        <w:t>D. R</w:t>
      </w:r>
      <w:r w:rsidRPr="00A77C37">
        <w:t xml:space="preserve">emand to the Court of Appeal </w:t>
      </w:r>
    </w:p>
    <w:p w14:paraId="72EDC46F" w14:textId="77777777" w:rsidR="00255295" w:rsidRDefault="00B46361" w:rsidP="00021057">
      <w:pPr>
        <w:ind w:firstLine="720"/>
        <w:rPr>
          <w:szCs w:val="26"/>
        </w:rPr>
      </w:pPr>
      <w:r w:rsidRPr="00A77C37">
        <w:rPr>
          <w:szCs w:val="26"/>
        </w:rPr>
        <w:t xml:space="preserve">Father argues that the evidence before the juvenile court did not </w:t>
      </w:r>
      <w:r>
        <w:rPr>
          <w:szCs w:val="26"/>
        </w:rPr>
        <w:t>support</w:t>
      </w:r>
      <w:r w:rsidRPr="00A77C37">
        <w:rPr>
          <w:szCs w:val="26"/>
        </w:rPr>
        <w:t xml:space="preserve"> a jurisdictional finding based on his drug use.  The Department argues that substantial evidence supported the juvenile court’s finding.  </w:t>
      </w:r>
      <w:r>
        <w:rPr>
          <w:szCs w:val="26"/>
        </w:rPr>
        <w:t xml:space="preserve">Rather than decide this question ourselves, </w:t>
      </w:r>
      <w:r>
        <w:rPr>
          <w:szCs w:val="26"/>
        </w:rPr>
        <w:t>the better course is to remand this case to</w:t>
      </w:r>
      <w:r w:rsidRPr="00A77C37">
        <w:rPr>
          <w:szCs w:val="26"/>
        </w:rPr>
        <w:t xml:space="preserve"> allow the Court of Appeal to revisit its analysis in light of our decision.  </w:t>
      </w:r>
    </w:p>
    <w:p w14:paraId="72EDC470" w14:textId="77777777" w:rsidR="00255295" w:rsidRDefault="00B46361">
      <w:pPr>
        <w:spacing w:after="0" w:line="240" w:lineRule="auto"/>
        <w:jc w:val="left"/>
        <w:rPr>
          <w:szCs w:val="26"/>
        </w:rPr>
      </w:pPr>
      <w:r>
        <w:rPr>
          <w:szCs w:val="26"/>
        </w:rPr>
        <w:br w:type="page"/>
      </w:r>
    </w:p>
    <w:p w14:paraId="72EDC471" w14:textId="77777777" w:rsidR="00021057" w:rsidRPr="00A77C37" w:rsidRDefault="00B46361" w:rsidP="00021057">
      <w:pPr>
        <w:pStyle w:val="Heading1"/>
        <w:tabs>
          <w:tab w:val="left" w:pos="540"/>
        </w:tabs>
      </w:pPr>
      <w:r>
        <w:t xml:space="preserve">III.  </w:t>
      </w:r>
      <w:r w:rsidRPr="00A77C37">
        <w:t>Disposition</w:t>
      </w:r>
    </w:p>
    <w:p w14:paraId="72EDC472" w14:textId="77777777" w:rsidR="00021057" w:rsidRDefault="00B46361" w:rsidP="00021057">
      <w:pPr>
        <w:ind w:firstLine="720"/>
        <w:rPr>
          <w:szCs w:val="26"/>
        </w:rPr>
      </w:pPr>
      <w:r>
        <w:rPr>
          <w:szCs w:val="26"/>
        </w:rPr>
        <w:t>W</w:t>
      </w:r>
      <w:r w:rsidRPr="00A77C37">
        <w:rPr>
          <w:szCs w:val="26"/>
        </w:rPr>
        <w:t xml:space="preserve">e reverse the judgment of the Court of Appeal and remand the cause to that court for further proceedings consistent with </w:t>
      </w:r>
      <w:r>
        <w:rPr>
          <w:szCs w:val="26"/>
        </w:rPr>
        <w:t>this</w:t>
      </w:r>
      <w:r w:rsidRPr="00A77C37">
        <w:rPr>
          <w:szCs w:val="26"/>
        </w:rPr>
        <w:t xml:space="preserve"> opinion.  </w:t>
      </w:r>
    </w:p>
    <w:p w14:paraId="72EDC473" w14:textId="77777777" w:rsidR="00021057" w:rsidRPr="00A77C37" w:rsidRDefault="00021057" w:rsidP="00021057">
      <w:pPr>
        <w:ind w:firstLine="720"/>
        <w:rPr>
          <w:szCs w:val="26"/>
        </w:rPr>
      </w:pPr>
    </w:p>
    <w:p w14:paraId="72EDC474" w14:textId="77777777" w:rsidR="00021057" w:rsidRDefault="00B46361" w:rsidP="00021057">
      <w:pPr>
        <w:ind w:firstLine="5040"/>
        <w:rPr>
          <w:b/>
          <w:bCs/>
          <w:szCs w:val="26"/>
        </w:rPr>
      </w:pPr>
      <w:r w:rsidRPr="00A77C37">
        <w:rPr>
          <w:b/>
          <w:bCs/>
          <w:szCs w:val="26"/>
        </w:rPr>
        <w:t>GUERRERO, C. </w:t>
      </w:r>
      <w:r>
        <w:rPr>
          <w:b/>
          <w:bCs/>
          <w:szCs w:val="26"/>
        </w:rPr>
        <w:t>J.</w:t>
      </w:r>
    </w:p>
    <w:p w14:paraId="72EDC475" w14:textId="77777777" w:rsidR="00021057" w:rsidRDefault="00021057" w:rsidP="00021057">
      <w:pPr>
        <w:ind w:firstLine="5040"/>
        <w:rPr>
          <w:b/>
          <w:bCs/>
          <w:szCs w:val="26"/>
        </w:rPr>
      </w:pPr>
    </w:p>
    <w:p w14:paraId="72EDC476" w14:textId="77777777" w:rsidR="00021057" w:rsidRPr="00A77C37" w:rsidRDefault="00B46361" w:rsidP="00021057">
      <w:pPr>
        <w:rPr>
          <w:szCs w:val="26"/>
        </w:rPr>
      </w:pPr>
      <w:r>
        <w:rPr>
          <w:b/>
          <w:bCs/>
          <w:szCs w:val="26"/>
        </w:rPr>
        <w:t>We Concur:</w:t>
      </w:r>
    </w:p>
    <w:p w14:paraId="72EDC477" w14:textId="77777777" w:rsidR="009C7236" w:rsidRDefault="00B46361" w:rsidP="009C7236">
      <w:pPr>
        <w:spacing w:after="0" w:line="240" w:lineRule="auto"/>
        <w:rPr>
          <w:b/>
          <w:lang w:val="it-IT"/>
        </w:rPr>
      </w:pPr>
      <w:r w:rsidRPr="000413AA">
        <w:rPr>
          <w:b/>
          <w:lang w:val="it-IT"/>
        </w:rPr>
        <w:t>CORRIGAN, J.</w:t>
      </w:r>
    </w:p>
    <w:p w14:paraId="72EDC478" w14:textId="77777777" w:rsidR="009C7236" w:rsidRDefault="00B46361" w:rsidP="009C7236">
      <w:pPr>
        <w:spacing w:after="0" w:line="240" w:lineRule="auto"/>
        <w:rPr>
          <w:b/>
          <w:lang w:val="it-IT"/>
        </w:rPr>
      </w:pPr>
      <w:r>
        <w:rPr>
          <w:b/>
          <w:lang w:val="it-IT"/>
        </w:rPr>
        <w:t>LIU, J.</w:t>
      </w:r>
    </w:p>
    <w:p w14:paraId="72EDC479" w14:textId="77777777" w:rsidR="009C7236" w:rsidRPr="000413AA" w:rsidRDefault="00B46361" w:rsidP="009C7236">
      <w:pPr>
        <w:spacing w:after="0" w:line="240" w:lineRule="auto"/>
        <w:rPr>
          <w:b/>
          <w:lang w:val="it-IT"/>
        </w:rPr>
      </w:pPr>
      <w:r>
        <w:rPr>
          <w:b/>
          <w:lang w:val="it-IT"/>
        </w:rPr>
        <w:t>KRUGER, J.</w:t>
      </w:r>
    </w:p>
    <w:p w14:paraId="72EDC47A" w14:textId="77777777" w:rsidR="009C7236" w:rsidRPr="000413AA" w:rsidRDefault="00B46361" w:rsidP="009C7236">
      <w:pPr>
        <w:spacing w:after="0" w:line="240" w:lineRule="auto"/>
        <w:jc w:val="left"/>
        <w:rPr>
          <w:b/>
        </w:rPr>
      </w:pPr>
      <w:r w:rsidRPr="000413AA">
        <w:rPr>
          <w:b/>
        </w:rPr>
        <w:t>GROBAN, J.</w:t>
      </w:r>
    </w:p>
    <w:p w14:paraId="72EDC47B" w14:textId="77777777" w:rsidR="009C7236" w:rsidRPr="000413AA" w:rsidRDefault="00B46361" w:rsidP="009C7236">
      <w:pPr>
        <w:spacing w:after="0" w:line="240" w:lineRule="auto"/>
        <w:jc w:val="left"/>
        <w:rPr>
          <w:b/>
        </w:rPr>
      </w:pPr>
      <w:r w:rsidRPr="000413AA">
        <w:rPr>
          <w:b/>
        </w:rPr>
        <w:t>JENKINS, J.</w:t>
      </w:r>
    </w:p>
    <w:p w14:paraId="72EDC47C" w14:textId="77777777" w:rsidR="00813171" w:rsidRDefault="00B46361" w:rsidP="009C7236">
      <w:pPr>
        <w:spacing w:after="0" w:line="240" w:lineRule="auto"/>
        <w:jc w:val="left"/>
        <w:rPr>
          <w:b/>
        </w:rPr>
      </w:pPr>
      <w:r w:rsidRPr="000413AA">
        <w:rPr>
          <w:b/>
        </w:rPr>
        <w:t>EVANS, J.</w:t>
      </w:r>
    </w:p>
    <w:p w14:paraId="00DF6DB5" w14:textId="77777777" w:rsidR="00FF1653" w:rsidRDefault="00FF1653" w:rsidP="009C7236">
      <w:pPr>
        <w:spacing w:after="0" w:line="240" w:lineRule="auto"/>
        <w:jc w:val="left"/>
        <w:rPr>
          <w:b/>
        </w:rPr>
        <w:sectPr w:rsidR="00FF1653" w:rsidSect="00021057">
          <w:footerReference w:type="first" r:id="rId11"/>
          <w:pgSz w:w="12240" w:h="15840"/>
          <w:pgMar w:top="1800" w:right="2160" w:bottom="1440" w:left="2160" w:header="720" w:footer="720" w:gutter="0"/>
          <w:pgNumType w:start="1"/>
          <w:cols w:space="720"/>
          <w:titlePg/>
          <w:docGrid w:linePitch="367"/>
        </w:sectPr>
      </w:pPr>
    </w:p>
    <w:p w14:paraId="179C7AED" w14:textId="77777777" w:rsidR="0002754B" w:rsidRPr="0002754B" w:rsidRDefault="00B46361" w:rsidP="0002754B">
      <w:pPr>
        <w:spacing w:after="0" w:line="240" w:lineRule="auto"/>
        <w:jc w:val="left"/>
        <w:rPr>
          <w:i/>
          <w:sz w:val="24"/>
          <w:szCs w:val="24"/>
        </w:rPr>
      </w:pPr>
      <w:bookmarkStart w:id="7" w:name="_Hlk105508284"/>
      <w:r w:rsidRPr="0002754B">
        <w:rPr>
          <w:i/>
          <w:sz w:val="24"/>
          <w:szCs w:val="24"/>
        </w:rPr>
        <w:t>See next page for addresses and telephone numbers for counsel who argued in Supreme Court.</w:t>
      </w:r>
    </w:p>
    <w:p w14:paraId="6924A465" w14:textId="77777777" w:rsidR="0002754B" w:rsidRPr="0002754B" w:rsidRDefault="0002754B" w:rsidP="0002754B">
      <w:pPr>
        <w:spacing w:after="0" w:line="240" w:lineRule="auto"/>
        <w:jc w:val="left"/>
        <w:rPr>
          <w:i/>
          <w:sz w:val="24"/>
          <w:szCs w:val="24"/>
        </w:rPr>
      </w:pPr>
    </w:p>
    <w:p w14:paraId="3DC3AFC7" w14:textId="77777777" w:rsidR="0002754B" w:rsidRPr="0002754B" w:rsidRDefault="00B46361" w:rsidP="0002754B">
      <w:pPr>
        <w:spacing w:after="0" w:line="240" w:lineRule="auto"/>
        <w:jc w:val="left"/>
        <w:rPr>
          <w:bCs/>
          <w:sz w:val="24"/>
          <w:szCs w:val="24"/>
        </w:rPr>
      </w:pPr>
      <w:r w:rsidRPr="0002754B">
        <w:rPr>
          <w:b/>
          <w:sz w:val="24"/>
          <w:szCs w:val="24"/>
        </w:rPr>
        <w:t xml:space="preserve">Name of Opinion </w:t>
      </w:r>
      <w:r w:rsidRPr="0002754B">
        <w:rPr>
          <w:bCs/>
          <w:sz w:val="24"/>
          <w:szCs w:val="24"/>
        </w:rPr>
        <w:t xml:space="preserve"> In re N.R.</w:t>
      </w:r>
    </w:p>
    <w:p w14:paraId="173B2D27" w14:textId="77777777" w:rsidR="0002754B" w:rsidRPr="0002754B" w:rsidRDefault="00B46361" w:rsidP="0002754B">
      <w:pPr>
        <w:spacing w:after="0" w:line="240" w:lineRule="auto"/>
        <w:jc w:val="left"/>
        <w:rPr>
          <w:b/>
          <w:sz w:val="24"/>
          <w:szCs w:val="24"/>
        </w:rPr>
      </w:pPr>
      <w:r w:rsidRPr="0002754B">
        <w:rPr>
          <w:b/>
          <w:sz w:val="24"/>
          <w:szCs w:val="24"/>
        </w:rPr>
        <w:t xml:space="preserve">__________________________________________________________ </w:t>
      </w:r>
    </w:p>
    <w:p w14:paraId="543FEC10" w14:textId="77777777" w:rsidR="0002754B" w:rsidRPr="0002754B" w:rsidRDefault="0002754B" w:rsidP="0002754B">
      <w:pPr>
        <w:spacing w:after="0" w:line="240" w:lineRule="auto"/>
        <w:jc w:val="left"/>
        <w:rPr>
          <w:b/>
          <w:sz w:val="24"/>
          <w:szCs w:val="24"/>
        </w:rPr>
      </w:pPr>
    </w:p>
    <w:p w14:paraId="334FF2D0" w14:textId="77777777" w:rsidR="0002754B" w:rsidRPr="0002754B" w:rsidRDefault="00B46361" w:rsidP="0002754B">
      <w:pPr>
        <w:spacing w:after="0" w:line="240" w:lineRule="auto"/>
        <w:jc w:val="left"/>
        <w:rPr>
          <w:sz w:val="24"/>
          <w:szCs w:val="24"/>
        </w:rPr>
      </w:pPr>
      <w:r w:rsidRPr="0002754B">
        <w:rPr>
          <w:b/>
          <w:bCs/>
          <w:sz w:val="24"/>
          <w:szCs w:val="24"/>
          <w:u w:val="single"/>
        </w:rPr>
        <w:t>Procedural Posture</w:t>
      </w:r>
      <w:r w:rsidRPr="0002754B">
        <w:rPr>
          <w:b/>
          <w:bCs/>
          <w:sz w:val="24"/>
          <w:szCs w:val="24"/>
        </w:rPr>
        <w:t xml:space="preserve"> </w:t>
      </w:r>
      <w:r w:rsidRPr="0002754B">
        <w:rPr>
          <w:sz w:val="24"/>
          <w:szCs w:val="24"/>
        </w:rPr>
        <w:t>(see XX below)</w:t>
      </w:r>
    </w:p>
    <w:p w14:paraId="1D22D69A" w14:textId="77777777" w:rsidR="0002754B" w:rsidRPr="0002754B" w:rsidRDefault="00B46361" w:rsidP="0002754B">
      <w:pPr>
        <w:spacing w:after="0" w:line="240" w:lineRule="auto"/>
        <w:jc w:val="left"/>
        <w:rPr>
          <w:sz w:val="24"/>
          <w:szCs w:val="24"/>
        </w:rPr>
      </w:pPr>
      <w:r w:rsidRPr="0002754B">
        <w:rPr>
          <w:b/>
          <w:bCs/>
          <w:sz w:val="24"/>
          <w:szCs w:val="24"/>
        </w:rPr>
        <w:t>Original Appeal</w:t>
      </w:r>
      <w:r w:rsidRPr="0002754B">
        <w:rPr>
          <w:sz w:val="24"/>
          <w:szCs w:val="24"/>
        </w:rPr>
        <w:t xml:space="preserve"> </w:t>
      </w:r>
    </w:p>
    <w:p w14:paraId="5C8F9EE5" w14:textId="77777777" w:rsidR="0002754B" w:rsidRPr="0002754B" w:rsidRDefault="00B46361" w:rsidP="0002754B">
      <w:pPr>
        <w:spacing w:after="0" w:line="240" w:lineRule="auto"/>
        <w:jc w:val="left"/>
        <w:rPr>
          <w:b/>
          <w:bCs/>
          <w:sz w:val="24"/>
          <w:szCs w:val="24"/>
        </w:rPr>
      </w:pPr>
      <w:r w:rsidRPr="0002754B">
        <w:rPr>
          <w:b/>
          <w:bCs/>
          <w:sz w:val="24"/>
          <w:szCs w:val="24"/>
        </w:rPr>
        <w:t>Original Proceeding</w:t>
      </w:r>
    </w:p>
    <w:p w14:paraId="0CCFA5F0" w14:textId="77777777" w:rsidR="0002754B" w:rsidRPr="0002754B" w:rsidRDefault="00B46361" w:rsidP="0002754B">
      <w:pPr>
        <w:spacing w:after="0" w:line="240" w:lineRule="auto"/>
        <w:jc w:val="left"/>
        <w:rPr>
          <w:sz w:val="24"/>
          <w:szCs w:val="24"/>
        </w:rPr>
      </w:pPr>
      <w:r w:rsidRPr="0002754B">
        <w:rPr>
          <w:b/>
          <w:bCs/>
          <w:sz w:val="24"/>
          <w:szCs w:val="24"/>
        </w:rPr>
        <w:t>Review Granted</w:t>
      </w:r>
      <w:r w:rsidRPr="0002754B">
        <w:rPr>
          <w:sz w:val="24"/>
          <w:szCs w:val="24"/>
        </w:rPr>
        <w:t xml:space="preserve"> </w:t>
      </w:r>
      <w:r w:rsidRPr="0002754B">
        <w:rPr>
          <w:b/>
          <w:bCs/>
          <w:sz w:val="24"/>
          <w:szCs w:val="24"/>
        </w:rPr>
        <w:t xml:space="preserve">(published) </w:t>
      </w:r>
    </w:p>
    <w:p w14:paraId="151DAD80" w14:textId="77777777" w:rsidR="0002754B" w:rsidRPr="0002754B" w:rsidRDefault="00B46361" w:rsidP="0002754B">
      <w:pPr>
        <w:spacing w:after="0" w:line="240" w:lineRule="auto"/>
        <w:jc w:val="left"/>
        <w:rPr>
          <w:sz w:val="24"/>
          <w:szCs w:val="24"/>
        </w:rPr>
      </w:pPr>
      <w:r w:rsidRPr="0002754B">
        <w:rPr>
          <w:b/>
          <w:bCs/>
          <w:sz w:val="24"/>
          <w:szCs w:val="24"/>
        </w:rPr>
        <w:t xml:space="preserve">Review Granted (unpublished) </w:t>
      </w:r>
      <w:r w:rsidRPr="0002754B">
        <w:rPr>
          <w:sz w:val="24"/>
          <w:szCs w:val="24"/>
        </w:rPr>
        <w:t>XX NP opn. filed 4/29/22 – 2d Dist., Div. 5</w:t>
      </w:r>
    </w:p>
    <w:p w14:paraId="2E95BBA7" w14:textId="77777777" w:rsidR="0002754B" w:rsidRPr="0002754B" w:rsidRDefault="00B46361" w:rsidP="0002754B">
      <w:pPr>
        <w:spacing w:after="0" w:line="240" w:lineRule="auto"/>
        <w:jc w:val="left"/>
        <w:rPr>
          <w:b/>
          <w:bCs/>
          <w:sz w:val="24"/>
          <w:szCs w:val="24"/>
        </w:rPr>
      </w:pPr>
      <w:r w:rsidRPr="0002754B">
        <w:rPr>
          <w:b/>
          <w:bCs/>
          <w:sz w:val="24"/>
          <w:szCs w:val="24"/>
        </w:rPr>
        <w:t>Rehearing Granted</w:t>
      </w:r>
    </w:p>
    <w:p w14:paraId="414CB954" w14:textId="77777777" w:rsidR="0002754B" w:rsidRPr="0002754B" w:rsidRDefault="00B46361" w:rsidP="0002754B">
      <w:pPr>
        <w:spacing w:after="0" w:line="240" w:lineRule="auto"/>
        <w:jc w:val="left"/>
        <w:rPr>
          <w:b/>
          <w:sz w:val="24"/>
          <w:szCs w:val="24"/>
        </w:rPr>
      </w:pPr>
      <w:r w:rsidRPr="0002754B">
        <w:rPr>
          <w:b/>
          <w:sz w:val="24"/>
          <w:szCs w:val="24"/>
        </w:rPr>
        <w:t>_____</w:t>
      </w:r>
      <w:r w:rsidRPr="0002754B">
        <w:rPr>
          <w:b/>
          <w:sz w:val="24"/>
          <w:szCs w:val="24"/>
        </w:rPr>
        <w:t xml:space="preserve">_____________________________________________________ </w:t>
      </w:r>
    </w:p>
    <w:p w14:paraId="376EA62E" w14:textId="77777777" w:rsidR="0002754B" w:rsidRPr="0002754B" w:rsidRDefault="0002754B" w:rsidP="0002754B">
      <w:pPr>
        <w:spacing w:after="0" w:line="240" w:lineRule="auto"/>
        <w:jc w:val="left"/>
        <w:rPr>
          <w:b/>
          <w:sz w:val="24"/>
          <w:szCs w:val="24"/>
        </w:rPr>
      </w:pPr>
    </w:p>
    <w:p w14:paraId="2AEA044F" w14:textId="77777777" w:rsidR="0002754B" w:rsidRPr="0002754B" w:rsidRDefault="00B46361" w:rsidP="0002754B">
      <w:pPr>
        <w:spacing w:after="0" w:line="240" w:lineRule="auto"/>
        <w:jc w:val="left"/>
        <w:rPr>
          <w:bCs/>
          <w:sz w:val="24"/>
          <w:szCs w:val="24"/>
        </w:rPr>
      </w:pPr>
      <w:r w:rsidRPr="0002754B">
        <w:rPr>
          <w:b/>
          <w:sz w:val="24"/>
          <w:szCs w:val="24"/>
        </w:rPr>
        <w:t>Opinion No.</w:t>
      </w:r>
      <w:r w:rsidRPr="0002754B">
        <w:rPr>
          <w:sz w:val="24"/>
          <w:szCs w:val="24"/>
        </w:rPr>
        <w:t xml:space="preserve"> S274943</w:t>
      </w:r>
    </w:p>
    <w:p w14:paraId="6EB41D1E" w14:textId="77777777" w:rsidR="0002754B" w:rsidRPr="0002754B" w:rsidRDefault="00B46361" w:rsidP="0002754B">
      <w:pPr>
        <w:spacing w:after="0" w:line="240" w:lineRule="auto"/>
        <w:jc w:val="left"/>
        <w:rPr>
          <w:bCs/>
          <w:sz w:val="24"/>
          <w:szCs w:val="24"/>
        </w:rPr>
      </w:pPr>
      <w:r w:rsidRPr="0002754B">
        <w:rPr>
          <w:b/>
          <w:sz w:val="24"/>
          <w:szCs w:val="24"/>
        </w:rPr>
        <w:t>Date Filed:</w:t>
      </w:r>
      <w:r w:rsidRPr="0002754B">
        <w:rPr>
          <w:sz w:val="24"/>
          <w:szCs w:val="24"/>
        </w:rPr>
        <w:t xml:space="preserve">  December 14, 2023</w:t>
      </w:r>
    </w:p>
    <w:p w14:paraId="0ECE009C" w14:textId="77777777" w:rsidR="0002754B" w:rsidRPr="0002754B" w:rsidRDefault="00B46361" w:rsidP="0002754B">
      <w:pPr>
        <w:spacing w:after="0" w:line="240" w:lineRule="auto"/>
        <w:jc w:val="left"/>
        <w:rPr>
          <w:b/>
          <w:sz w:val="24"/>
          <w:szCs w:val="24"/>
        </w:rPr>
      </w:pPr>
      <w:r w:rsidRPr="0002754B">
        <w:rPr>
          <w:b/>
          <w:sz w:val="24"/>
          <w:szCs w:val="24"/>
        </w:rPr>
        <w:t xml:space="preserve">__________________________________________________________ </w:t>
      </w:r>
    </w:p>
    <w:p w14:paraId="0FFA2C21" w14:textId="77777777" w:rsidR="0002754B" w:rsidRPr="0002754B" w:rsidRDefault="0002754B" w:rsidP="0002754B">
      <w:pPr>
        <w:spacing w:after="0" w:line="240" w:lineRule="auto"/>
        <w:jc w:val="left"/>
        <w:rPr>
          <w:b/>
          <w:sz w:val="24"/>
          <w:szCs w:val="24"/>
        </w:rPr>
      </w:pPr>
    </w:p>
    <w:p w14:paraId="0B7B9E19" w14:textId="77777777" w:rsidR="0002754B" w:rsidRPr="0002754B" w:rsidRDefault="00B46361" w:rsidP="0002754B">
      <w:pPr>
        <w:spacing w:after="0" w:line="240" w:lineRule="auto"/>
        <w:jc w:val="left"/>
        <w:rPr>
          <w:bCs/>
          <w:sz w:val="24"/>
          <w:szCs w:val="24"/>
        </w:rPr>
      </w:pPr>
      <w:r w:rsidRPr="0002754B">
        <w:rPr>
          <w:b/>
          <w:sz w:val="24"/>
          <w:szCs w:val="24"/>
        </w:rPr>
        <w:t xml:space="preserve">Court:  </w:t>
      </w:r>
      <w:r w:rsidRPr="0002754B">
        <w:rPr>
          <w:bCs/>
          <w:sz w:val="24"/>
          <w:szCs w:val="24"/>
        </w:rPr>
        <w:t>Superior</w:t>
      </w:r>
      <w:r w:rsidRPr="0002754B">
        <w:rPr>
          <w:b/>
          <w:sz w:val="24"/>
          <w:szCs w:val="24"/>
        </w:rPr>
        <w:t xml:space="preserve"> </w:t>
      </w:r>
    </w:p>
    <w:p w14:paraId="206CC9B9" w14:textId="77777777" w:rsidR="0002754B" w:rsidRPr="0002754B" w:rsidRDefault="00B46361" w:rsidP="0002754B">
      <w:pPr>
        <w:spacing w:after="0" w:line="240" w:lineRule="auto"/>
        <w:jc w:val="left"/>
        <w:rPr>
          <w:bCs/>
          <w:sz w:val="24"/>
          <w:szCs w:val="24"/>
        </w:rPr>
      </w:pPr>
      <w:r w:rsidRPr="0002754B">
        <w:rPr>
          <w:b/>
          <w:sz w:val="24"/>
          <w:szCs w:val="24"/>
        </w:rPr>
        <w:t xml:space="preserve">County:  </w:t>
      </w:r>
      <w:r w:rsidRPr="0002754B">
        <w:rPr>
          <w:bCs/>
          <w:sz w:val="24"/>
          <w:szCs w:val="24"/>
        </w:rPr>
        <w:t>Los Angeles</w:t>
      </w:r>
    </w:p>
    <w:p w14:paraId="0883913B" w14:textId="77777777" w:rsidR="0002754B" w:rsidRPr="0002754B" w:rsidRDefault="00B46361" w:rsidP="0002754B">
      <w:pPr>
        <w:spacing w:after="0" w:line="240" w:lineRule="auto"/>
        <w:ind w:left="720" w:hanging="720"/>
        <w:jc w:val="left"/>
        <w:rPr>
          <w:bCs/>
          <w:sz w:val="24"/>
          <w:szCs w:val="24"/>
        </w:rPr>
      </w:pPr>
      <w:r w:rsidRPr="0002754B">
        <w:rPr>
          <w:b/>
          <w:sz w:val="24"/>
          <w:szCs w:val="24"/>
        </w:rPr>
        <w:t xml:space="preserve">Judge:  </w:t>
      </w:r>
      <w:r w:rsidRPr="0002754B">
        <w:rPr>
          <w:bCs/>
          <w:sz w:val="24"/>
          <w:szCs w:val="24"/>
        </w:rPr>
        <w:t>Martha A. Matthews</w:t>
      </w:r>
    </w:p>
    <w:p w14:paraId="3A6741CD" w14:textId="77777777" w:rsidR="0002754B" w:rsidRPr="0002754B" w:rsidRDefault="00B46361" w:rsidP="0002754B">
      <w:pPr>
        <w:spacing w:after="0" w:line="240" w:lineRule="auto"/>
        <w:jc w:val="left"/>
        <w:rPr>
          <w:b/>
          <w:sz w:val="24"/>
          <w:szCs w:val="24"/>
        </w:rPr>
      </w:pPr>
      <w:r w:rsidRPr="0002754B">
        <w:rPr>
          <w:b/>
          <w:sz w:val="24"/>
          <w:szCs w:val="24"/>
        </w:rPr>
        <w:t xml:space="preserve">__________________________________________________________  </w:t>
      </w:r>
    </w:p>
    <w:p w14:paraId="2654263F" w14:textId="77777777" w:rsidR="0002754B" w:rsidRPr="0002754B" w:rsidRDefault="0002754B" w:rsidP="0002754B">
      <w:pPr>
        <w:spacing w:after="0" w:line="240" w:lineRule="auto"/>
        <w:jc w:val="left"/>
        <w:rPr>
          <w:b/>
          <w:sz w:val="24"/>
          <w:szCs w:val="24"/>
        </w:rPr>
      </w:pPr>
    </w:p>
    <w:p w14:paraId="054C1163" w14:textId="77777777" w:rsidR="0002754B" w:rsidRPr="0002754B" w:rsidRDefault="00B46361" w:rsidP="0002754B">
      <w:pPr>
        <w:spacing w:after="0" w:line="240" w:lineRule="auto"/>
        <w:jc w:val="left"/>
        <w:rPr>
          <w:b/>
          <w:sz w:val="24"/>
          <w:szCs w:val="24"/>
        </w:rPr>
      </w:pPr>
      <w:r w:rsidRPr="0002754B">
        <w:rPr>
          <w:b/>
          <w:sz w:val="24"/>
          <w:szCs w:val="24"/>
        </w:rPr>
        <w:t>Counsel:</w:t>
      </w:r>
    </w:p>
    <w:p w14:paraId="5243B5EA" w14:textId="77777777" w:rsidR="0002754B" w:rsidRPr="0002754B" w:rsidRDefault="0002754B" w:rsidP="0002754B">
      <w:pPr>
        <w:spacing w:after="0" w:line="240" w:lineRule="auto"/>
        <w:jc w:val="left"/>
        <w:rPr>
          <w:b/>
          <w:sz w:val="24"/>
          <w:szCs w:val="24"/>
        </w:rPr>
      </w:pPr>
    </w:p>
    <w:p w14:paraId="0AA6BFA2"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Sean Angele Burleigh, under appointment by the Supreme Court, for Defendant and Appellant.</w:t>
      </w:r>
    </w:p>
    <w:p w14:paraId="3A12535D" w14:textId="77777777" w:rsidR="0002754B" w:rsidRPr="0002754B" w:rsidRDefault="0002754B" w:rsidP="0002754B">
      <w:pPr>
        <w:spacing w:after="0" w:line="240" w:lineRule="auto"/>
        <w:jc w:val="left"/>
        <w:rPr>
          <w:bCs/>
          <w:color w:val="212121"/>
          <w:sz w:val="24"/>
          <w:szCs w:val="24"/>
          <w:shd w:val="clear" w:color="auto" w:fill="FFFFFF"/>
        </w:rPr>
      </w:pPr>
    </w:p>
    <w:p w14:paraId="6C14E263"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Duke Law School, Allison E. Korn; UCLA School of Law and Alicia Virani for W. David Ball, Ba</w:t>
      </w:r>
      <w:r w:rsidRPr="0002754B">
        <w:rPr>
          <w:bCs/>
          <w:color w:val="212121"/>
          <w:sz w:val="24"/>
          <w:szCs w:val="24"/>
          <w:shd w:val="clear" w:color="auto" w:fill="FFFFFF"/>
        </w:rPr>
        <w:t>rton Child Law and Policy Center, Paul Bennett, Leo Beletsky, Taleed El-Sabawi, Matthew I. Fraidin, Stephanie K. Glaberson, Cynthia Godsoe, Crystal Grant, Josh Gupta-Kagan, Julia Hernandez, Alex Kriet, Sarah Lorr, Laura Matthews-Jolly, Jennifer D. Oliva, D</w:t>
      </w:r>
      <w:r w:rsidRPr="0002754B">
        <w:rPr>
          <w:bCs/>
          <w:color w:val="212121"/>
          <w:sz w:val="24"/>
          <w:szCs w:val="24"/>
          <w:shd w:val="clear" w:color="auto" w:fill="FFFFFF"/>
        </w:rPr>
        <w:t>orothy Roberts, Shanta Trivedi and Vivek Sankaran as Amici Curiae on behalf of Defendant and Appellant.</w:t>
      </w:r>
    </w:p>
    <w:p w14:paraId="783DD45E" w14:textId="77777777" w:rsidR="0002754B" w:rsidRPr="0002754B" w:rsidRDefault="0002754B" w:rsidP="0002754B">
      <w:pPr>
        <w:spacing w:after="0" w:line="240" w:lineRule="auto"/>
        <w:jc w:val="left"/>
        <w:rPr>
          <w:bCs/>
          <w:color w:val="212121"/>
          <w:sz w:val="24"/>
          <w:szCs w:val="24"/>
          <w:shd w:val="clear" w:color="auto" w:fill="FFFFFF"/>
        </w:rPr>
      </w:pPr>
    </w:p>
    <w:p w14:paraId="77090345"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 xml:space="preserve">Proskauer Rose, Jonathan M. Weiss, Justin B. Cohen, Michelle K. Moriarty and Bradley M. Presant for Association for Multidisciplinary </w:t>
      </w:r>
      <w:r w:rsidRPr="0002754B">
        <w:rPr>
          <w:bCs/>
          <w:color w:val="212121"/>
          <w:sz w:val="24"/>
          <w:szCs w:val="24"/>
          <w:shd w:val="clear" w:color="auto" w:fill="FFFFFF"/>
        </w:rPr>
        <w:t>Education and Research in Substance Use and Addiction and California Society of Addiction Medicine as Amici Curiae on behalf of Defendant and Appellant.</w:t>
      </w:r>
    </w:p>
    <w:p w14:paraId="2FCF6847"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Leslie A. Barry for Persons with Lived Experience in the Child Welfare System as Amici Curiae on behalf</w:t>
      </w:r>
      <w:r w:rsidRPr="0002754B">
        <w:rPr>
          <w:bCs/>
          <w:color w:val="212121"/>
          <w:sz w:val="24"/>
          <w:szCs w:val="24"/>
          <w:shd w:val="clear" w:color="auto" w:fill="FFFFFF"/>
        </w:rPr>
        <w:t xml:space="preserve"> of Defendant and Appellant.</w:t>
      </w:r>
    </w:p>
    <w:p w14:paraId="42E02929" w14:textId="77777777" w:rsidR="0002754B" w:rsidRPr="0002754B" w:rsidRDefault="0002754B" w:rsidP="0002754B">
      <w:pPr>
        <w:spacing w:after="0" w:line="240" w:lineRule="auto"/>
        <w:jc w:val="left"/>
        <w:rPr>
          <w:bCs/>
          <w:color w:val="212121"/>
          <w:sz w:val="24"/>
          <w:szCs w:val="24"/>
          <w:shd w:val="clear" w:color="auto" w:fill="FFFFFF"/>
        </w:rPr>
      </w:pPr>
    </w:p>
    <w:p w14:paraId="2C97DAAB"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Martin Schwarz, Public Defender (Orange), and Brian Okamoto, Deputy Public Defender, for California Dependency Trial Counsel and California Appellate Defense Counsel as Amici Curiae on behalf of Defendant and Appellant.</w:t>
      </w:r>
    </w:p>
    <w:p w14:paraId="58ACA49E" w14:textId="77777777" w:rsidR="0002754B" w:rsidRPr="0002754B" w:rsidRDefault="0002754B" w:rsidP="0002754B">
      <w:pPr>
        <w:spacing w:after="0" w:line="240" w:lineRule="auto"/>
        <w:jc w:val="left"/>
        <w:rPr>
          <w:bCs/>
          <w:color w:val="212121"/>
          <w:sz w:val="24"/>
          <w:szCs w:val="24"/>
          <w:shd w:val="clear" w:color="auto" w:fill="FFFFFF"/>
        </w:rPr>
      </w:pPr>
    </w:p>
    <w:p w14:paraId="72341AB6"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Minou</w:t>
      </w:r>
      <w:r w:rsidRPr="0002754B">
        <w:rPr>
          <w:bCs/>
          <w:color w:val="212121"/>
          <w:sz w:val="24"/>
          <w:szCs w:val="24"/>
          <w:shd w:val="clear" w:color="auto" w:fill="FFFFFF"/>
        </w:rPr>
        <w:t xml:space="preserve">che Kandel; Elizabeth Gill, Faride Perez-Aucar; Brenda Star Adams and Jean Strout for American Civil Liberties Union Foundation of Southern California, the American Civil Liberties Union Foundation of Northern California, the National Center for Youth Law </w:t>
      </w:r>
      <w:r w:rsidRPr="0002754B">
        <w:rPr>
          <w:bCs/>
          <w:color w:val="212121"/>
          <w:sz w:val="24"/>
          <w:szCs w:val="24"/>
          <w:shd w:val="clear" w:color="auto" w:fill="FFFFFF"/>
        </w:rPr>
        <w:t>and Children’s Rights, Inc. as Amici Curiae on behalf of Defendant and Appellant.</w:t>
      </w:r>
    </w:p>
    <w:p w14:paraId="53F1A5BD" w14:textId="77777777" w:rsidR="0002754B" w:rsidRPr="0002754B" w:rsidRDefault="0002754B" w:rsidP="0002754B">
      <w:pPr>
        <w:spacing w:after="0" w:line="240" w:lineRule="auto"/>
        <w:jc w:val="left"/>
        <w:rPr>
          <w:bCs/>
          <w:color w:val="212121"/>
          <w:sz w:val="24"/>
          <w:szCs w:val="24"/>
          <w:shd w:val="clear" w:color="auto" w:fill="FFFFFF"/>
        </w:rPr>
      </w:pPr>
    </w:p>
    <w:p w14:paraId="7870139B"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Kellen Russoniello for Drug Policy Alliance, Any Positive Change, Beyond Do No Harm Network, California Coalition for Women Prisoners, Children’s Defense Fund-California, CL</w:t>
      </w:r>
      <w:r w:rsidRPr="0002754B">
        <w:rPr>
          <w:bCs/>
          <w:color w:val="212121"/>
          <w:sz w:val="24"/>
          <w:szCs w:val="24"/>
          <w:shd w:val="clear" w:color="auto" w:fill="FFFFFF"/>
        </w:rPr>
        <w:t>ARE Matrix, Community Legal Services in East Palo Alto, Elephant Circle, Immigrant Legal Resource Center, JMACforFamilies, Law For Black Lives, Legal Action Center, Legal Momentum, Women’s Legal Defense and Education Fund, Legal Services for Prisoners with</w:t>
      </w:r>
      <w:r w:rsidRPr="0002754B">
        <w:rPr>
          <w:bCs/>
          <w:color w:val="212121"/>
          <w:sz w:val="24"/>
          <w:szCs w:val="24"/>
          <w:shd w:val="clear" w:color="auto" w:fill="FFFFFF"/>
        </w:rPr>
        <w:t xml:space="preserve"> Children, National Harm Reduction Coalition, National Health Law Program, A New Path (Parent for Addiction Treatment &amp; Healing), Pregnancy Justice, San Francisco AIDS Foundation and Sidewalk Project as Amici Curiae on behalf of Defendant and Appellant.</w:t>
      </w:r>
    </w:p>
    <w:p w14:paraId="7EAD1A3D" w14:textId="77777777" w:rsidR="0002754B" w:rsidRPr="0002754B" w:rsidRDefault="0002754B" w:rsidP="0002754B">
      <w:pPr>
        <w:spacing w:after="0" w:line="240" w:lineRule="auto"/>
        <w:jc w:val="left"/>
        <w:rPr>
          <w:bCs/>
          <w:color w:val="212121"/>
          <w:sz w:val="24"/>
          <w:szCs w:val="24"/>
          <w:shd w:val="clear" w:color="auto" w:fill="FFFFFF"/>
        </w:rPr>
      </w:pPr>
    </w:p>
    <w:p w14:paraId="51D49CF5"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T</w:t>
      </w:r>
      <w:r w:rsidRPr="0002754B">
        <w:rPr>
          <w:bCs/>
          <w:color w:val="212121"/>
          <w:sz w:val="24"/>
          <w:szCs w:val="24"/>
          <w:shd w:val="clear" w:color="auto" w:fill="FFFFFF"/>
        </w:rPr>
        <w:t>he Hill Law Firm and Tasha Alyssa Hill for Professor Alan J. Dettlaff and Professors of Social Work and Social Workers as Amici Curiae on behalf of Defendant and Appellant.</w:t>
      </w:r>
    </w:p>
    <w:p w14:paraId="64963426" w14:textId="77777777" w:rsidR="0002754B" w:rsidRPr="0002754B" w:rsidRDefault="0002754B" w:rsidP="0002754B">
      <w:pPr>
        <w:spacing w:after="0" w:line="240" w:lineRule="auto"/>
        <w:jc w:val="left"/>
        <w:rPr>
          <w:bCs/>
          <w:color w:val="212121"/>
          <w:sz w:val="24"/>
          <w:szCs w:val="24"/>
          <w:shd w:val="clear" w:color="auto" w:fill="FFFFFF"/>
        </w:rPr>
      </w:pPr>
    </w:p>
    <w:p w14:paraId="715B8B24"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Rodrigo A. Castro-Silva and Dawyn R. Harrison, County Counsel, Kim Nemoy, Assistan</w:t>
      </w:r>
      <w:r w:rsidRPr="0002754B">
        <w:rPr>
          <w:bCs/>
          <w:color w:val="212121"/>
          <w:sz w:val="24"/>
          <w:szCs w:val="24"/>
          <w:shd w:val="clear" w:color="auto" w:fill="FFFFFF"/>
        </w:rPr>
        <w:t>t County Counsel, Sarah Vesecky and David Michael Miller, Deputy County Counsel, for Plaintiff and Respondent.</w:t>
      </w:r>
    </w:p>
    <w:p w14:paraId="5FF5CF26" w14:textId="77777777" w:rsidR="0002754B" w:rsidRPr="0002754B" w:rsidRDefault="0002754B" w:rsidP="0002754B">
      <w:pPr>
        <w:spacing w:after="0" w:line="240" w:lineRule="auto"/>
        <w:jc w:val="left"/>
        <w:rPr>
          <w:bCs/>
          <w:color w:val="212121"/>
          <w:sz w:val="24"/>
          <w:szCs w:val="24"/>
          <w:shd w:val="clear" w:color="auto" w:fill="FFFFFF"/>
        </w:rPr>
      </w:pPr>
    </w:p>
    <w:p w14:paraId="7418D45F"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Jennifer Hearing; David Chiu, City Attorney (San Francisco), Kimiko Burton and Elizabeth McDonald Muniz, Deputy City Attorneys, for California S</w:t>
      </w:r>
      <w:r w:rsidRPr="0002754B">
        <w:rPr>
          <w:bCs/>
          <w:color w:val="212121"/>
          <w:sz w:val="24"/>
          <w:szCs w:val="24"/>
          <w:shd w:val="clear" w:color="auto" w:fill="FFFFFF"/>
        </w:rPr>
        <w:t>tate Association of Counties as Amicus Curiae on behalf of Plaintiff and Respondent.</w:t>
      </w:r>
      <w:r w:rsidRPr="0002754B">
        <w:rPr>
          <w:bCs/>
          <w:color w:val="212121"/>
          <w:sz w:val="24"/>
          <w:szCs w:val="24"/>
          <w:shd w:val="clear" w:color="auto" w:fill="FFFFFF"/>
        </w:rPr>
        <w:br w:type="page"/>
      </w:r>
      <w:r w:rsidRPr="0002754B">
        <w:rPr>
          <w:b/>
          <w:sz w:val="24"/>
          <w:szCs w:val="24"/>
        </w:rPr>
        <w:t>Counsel who argued in Supreme Court (not intended for publication with opinion):</w:t>
      </w:r>
    </w:p>
    <w:p w14:paraId="77982C1B" w14:textId="77777777" w:rsidR="0002754B" w:rsidRPr="0002754B" w:rsidRDefault="0002754B" w:rsidP="0002754B">
      <w:pPr>
        <w:spacing w:after="0" w:line="240" w:lineRule="auto"/>
        <w:jc w:val="left"/>
        <w:rPr>
          <w:b/>
          <w:sz w:val="24"/>
          <w:szCs w:val="24"/>
        </w:rPr>
      </w:pPr>
    </w:p>
    <w:bookmarkEnd w:id="7"/>
    <w:p w14:paraId="23E101B8"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Sean Angele Burleigh</w:t>
      </w:r>
    </w:p>
    <w:p w14:paraId="0A0BB7B4"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Attorney at Law</w:t>
      </w:r>
    </w:p>
    <w:p w14:paraId="7E932F48"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PO Box 1976</w:t>
      </w:r>
    </w:p>
    <w:p w14:paraId="6F89D484"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Cortaro, AZ 85652</w:t>
      </w:r>
    </w:p>
    <w:p w14:paraId="15AAB36F"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(415) 692-4784</w:t>
      </w:r>
    </w:p>
    <w:p w14:paraId="50B256F4" w14:textId="77777777" w:rsidR="0002754B" w:rsidRPr="0002754B" w:rsidRDefault="0002754B" w:rsidP="0002754B">
      <w:pPr>
        <w:spacing w:after="0" w:line="240" w:lineRule="auto"/>
        <w:jc w:val="left"/>
        <w:rPr>
          <w:bCs/>
          <w:color w:val="212121"/>
          <w:sz w:val="24"/>
          <w:szCs w:val="24"/>
          <w:shd w:val="clear" w:color="auto" w:fill="FFFFFF"/>
        </w:rPr>
      </w:pPr>
    </w:p>
    <w:p w14:paraId="64BEC03B"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 xml:space="preserve">David </w:t>
      </w:r>
      <w:r w:rsidRPr="0002754B">
        <w:rPr>
          <w:bCs/>
          <w:color w:val="212121"/>
          <w:sz w:val="24"/>
          <w:szCs w:val="24"/>
          <w:shd w:val="clear" w:color="auto" w:fill="FFFFFF"/>
        </w:rPr>
        <w:t>Michael Miller</w:t>
      </w:r>
    </w:p>
    <w:p w14:paraId="04E17F5D"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Deputy County Counsel</w:t>
      </w:r>
    </w:p>
    <w:p w14:paraId="59DFC3C9"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 xml:space="preserve">500 West Temple Street, Suite 648 </w:t>
      </w:r>
    </w:p>
    <w:p w14:paraId="7866EE47"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Los Angeles, California 90012</w:t>
      </w:r>
    </w:p>
    <w:p w14:paraId="1FD00817" w14:textId="77777777" w:rsidR="0002754B" w:rsidRPr="0002754B" w:rsidRDefault="00B46361" w:rsidP="0002754B">
      <w:pPr>
        <w:spacing w:after="0" w:line="240" w:lineRule="auto"/>
        <w:jc w:val="left"/>
        <w:rPr>
          <w:bCs/>
          <w:color w:val="212121"/>
          <w:sz w:val="24"/>
          <w:szCs w:val="24"/>
          <w:shd w:val="clear" w:color="auto" w:fill="FFFFFF"/>
        </w:rPr>
      </w:pPr>
      <w:r w:rsidRPr="0002754B">
        <w:rPr>
          <w:bCs/>
          <w:color w:val="212121"/>
          <w:sz w:val="24"/>
          <w:szCs w:val="24"/>
          <w:shd w:val="clear" w:color="auto" w:fill="FFFFFF"/>
        </w:rPr>
        <w:t>(213) 808-8777</w:t>
      </w:r>
    </w:p>
    <w:p w14:paraId="3D28DDB6" w14:textId="77777777" w:rsidR="00FF1653" w:rsidRPr="009C7236" w:rsidRDefault="00FF1653" w:rsidP="009C7236">
      <w:pPr>
        <w:spacing w:after="0" w:line="240" w:lineRule="auto"/>
        <w:jc w:val="left"/>
        <w:rPr>
          <w:b/>
        </w:rPr>
      </w:pPr>
    </w:p>
    <w:sectPr w:rsidR="00FF1653" w:rsidRPr="009C7236" w:rsidSect="00EC2BB8">
      <w:headerReference w:type="default" r:id="rId12"/>
      <w:footerReference w:type="default" r:id="rId13"/>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AA46" w14:textId="77777777" w:rsidR="00000000" w:rsidRDefault="00B46361">
      <w:pPr>
        <w:spacing w:after="0" w:line="240" w:lineRule="auto"/>
      </w:pPr>
      <w:r>
        <w:separator/>
      </w:r>
    </w:p>
  </w:endnote>
  <w:endnote w:type="continuationSeparator" w:id="0">
    <w:p w14:paraId="51B2BA3E" w14:textId="77777777" w:rsidR="00000000" w:rsidRDefault="00B4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553769"/>
      <w:docPartObj>
        <w:docPartGallery w:val="Page Numbers (Bottom of Page)"/>
        <w:docPartUnique/>
      </w:docPartObj>
    </w:sdtPr>
    <w:sdtEndPr>
      <w:rPr>
        <w:noProof/>
      </w:rPr>
    </w:sdtEndPr>
    <w:sdtContent>
      <w:p w14:paraId="72EDC483" w14:textId="77777777" w:rsidR="005D3E59" w:rsidRDefault="00B46361">
        <w:pPr>
          <w:pStyle w:val="Footer"/>
        </w:pPr>
        <w:r>
          <w:fldChar w:fldCharType="begin"/>
        </w:r>
        <w:r>
          <w:instrText xml:space="preserve"> PAGE   \* MERGEFORMAT </w:instrText>
        </w:r>
        <w:r>
          <w:fldChar w:fldCharType="separate"/>
        </w:r>
        <w:r>
          <w:rPr>
            <w:noProof/>
          </w:rPr>
          <w:t>2</w:t>
        </w:r>
        <w:r>
          <w:rPr>
            <w:noProof/>
          </w:rPr>
          <w:fldChar w:fldCharType="end"/>
        </w:r>
      </w:p>
    </w:sdtContent>
  </w:sdt>
  <w:p w14:paraId="72EDC484" w14:textId="77777777" w:rsidR="00DF1590" w:rsidRDefault="00DF1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520638"/>
      <w:docPartObj>
        <w:docPartGallery w:val="Page Numbers (Bottom of Page)"/>
        <w:docPartUnique/>
      </w:docPartObj>
    </w:sdtPr>
    <w:sdtEndPr>
      <w:rPr>
        <w:noProof/>
      </w:rPr>
    </w:sdtEndPr>
    <w:sdtContent>
      <w:p w14:paraId="72EDC486" w14:textId="77777777" w:rsidR="00323313" w:rsidRDefault="00B46361">
        <w:pPr>
          <w:pStyle w:val="Footer"/>
        </w:pPr>
        <w:r>
          <w:fldChar w:fldCharType="begin"/>
        </w:r>
        <w:r>
          <w:instrText xml:space="preserve"> PAGE   \* MERGEFORMAT </w:instrText>
        </w:r>
        <w:r>
          <w:fldChar w:fldCharType="separate"/>
        </w:r>
        <w:r>
          <w:rPr>
            <w:noProof/>
          </w:rPr>
          <w:t>2</w:t>
        </w:r>
        <w:r>
          <w:rPr>
            <w:noProof/>
          </w:rPr>
          <w:fldChar w:fldCharType="end"/>
        </w:r>
      </w:p>
    </w:sdtContent>
  </w:sdt>
  <w:p w14:paraId="72EDC487" w14:textId="77777777" w:rsidR="00323313" w:rsidRDefault="00323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B80C" w14:textId="77777777" w:rsidR="0002754B" w:rsidRDefault="00027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8F02" w14:textId="77777777" w:rsidR="008138E2" w:rsidRDefault="00B46361">
      <w:r>
        <w:separator/>
      </w:r>
    </w:p>
  </w:footnote>
  <w:footnote w:type="continuationSeparator" w:id="0">
    <w:p w14:paraId="730D4E85" w14:textId="77777777" w:rsidR="008138E2" w:rsidRDefault="00B46361">
      <w:pPr>
        <w:rPr>
          <w:sz w:val="22"/>
        </w:rPr>
      </w:pPr>
      <w:r>
        <w:continuationSeparator/>
      </w:r>
    </w:p>
  </w:footnote>
  <w:footnote w:type="continuationNotice" w:id="1">
    <w:p w14:paraId="32232345" w14:textId="77777777" w:rsidR="008138E2" w:rsidRDefault="008138E2">
      <w:pPr>
        <w:jc w:val="right"/>
        <w:rPr>
          <w:i/>
          <w:sz w:val="20"/>
        </w:rPr>
      </w:pPr>
    </w:p>
  </w:footnote>
  <w:footnote w:id="2">
    <w:p w14:paraId="72EDC488" w14:textId="77777777" w:rsidR="00021057" w:rsidRPr="0053513F" w:rsidRDefault="00B46361" w:rsidP="00021057">
      <w:pPr>
        <w:pStyle w:val="FootnoteText"/>
        <w:rPr>
          <w:szCs w:val="26"/>
        </w:rPr>
      </w:pPr>
      <w:r w:rsidRPr="0053513F">
        <w:rPr>
          <w:rStyle w:val="FootnoteReference"/>
          <w:szCs w:val="26"/>
        </w:rPr>
        <w:footnoteRef/>
      </w:r>
      <w:r w:rsidRPr="0053513F">
        <w:rPr>
          <w:szCs w:val="26"/>
        </w:rPr>
        <w:t xml:space="preserve"> </w:t>
      </w:r>
      <w:r w:rsidRPr="0053513F">
        <w:rPr>
          <w:szCs w:val="26"/>
        </w:rPr>
        <w:tab/>
        <w:t>All subsequent undesignated statutory references are to the Welfare and Institutions Code.</w:t>
      </w:r>
    </w:p>
  </w:footnote>
  <w:footnote w:id="3">
    <w:p w14:paraId="72EDC489" w14:textId="77777777" w:rsidR="00021057" w:rsidRPr="0053513F" w:rsidRDefault="00B46361" w:rsidP="00021057">
      <w:pPr>
        <w:pStyle w:val="FootnoteText"/>
      </w:pPr>
      <w:r w:rsidRPr="0053513F">
        <w:rPr>
          <w:rStyle w:val="FootnoteReference"/>
          <w:szCs w:val="26"/>
        </w:rPr>
        <w:footnoteRef/>
      </w:r>
      <w:r w:rsidRPr="0053513F">
        <w:rPr>
          <w:szCs w:val="26"/>
        </w:rPr>
        <w:t xml:space="preserve"> </w:t>
      </w:r>
      <w:r w:rsidRPr="0053513F">
        <w:tab/>
      </w:r>
      <w:r w:rsidRPr="0053513F">
        <w:rPr>
          <w:szCs w:val="26"/>
        </w:rPr>
        <w:t xml:space="preserve">The search was directed toward weapons and drugs believed to be in the possession of Mother’s brother and her mother’s boyfriend. </w:t>
      </w:r>
    </w:p>
  </w:footnote>
  <w:footnote w:id="4">
    <w:p w14:paraId="72EDC48A" w14:textId="77777777" w:rsidR="00021057" w:rsidRDefault="00B46361" w:rsidP="00021057">
      <w:pPr>
        <w:pStyle w:val="FootnoteText"/>
      </w:pPr>
      <w:r>
        <w:rPr>
          <w:rStyle w:val="FootnoteReference"/>
        </w:rPr>
        <w:footnoteRef/>
      </w:r>
      <w:r>
        <w:t xml:space="preserve"> </w:t>
      </w:r>
      <w:r>
        <w:tab/>
      </w:r>
      <w:r w:rsidRPr="0053513F">
        <w:rPr>
          <w:szCs w:val="26"/>
        </w:rPr>
        <w:t>Father had a barber’s license.  He had been working at a barber shop for approximately 20 hours per week until the COVID-1</w:t>
      </w:r>
      <w:r w:rsidRPr="0053513F">
        <w:rPr>
          <w:szCs w:val="26"/>
        </w:rPr>
        <w:t xml:space="preserve">9 pandemic struck, at which time he began working part-time at a warehouse.  He lived with his mother and older brother, and had no criminal record. </w:t>
      </w:r>
    </w:p>
  </w:footnote>
  <w:footnote w:id="5">
    <w:p w14:paraId="72EDC48B" w14:textId="77777777" w:rsidR="00021057" w:rsidRPr="0053513F" w:rsidRDefault="00B46361" w:rsidP="00021057">
      <w:pPr>
        <w:pStyle w:val="FootnoteText"/>
        <w:rPr>
          <w:szCs w:val="26"/>
        </w:rPr>
      </w:pPr>
      <w:r w:rsidRPr="0053513F">
        <w:rPr>
          <w:rStyle w:val="FootnoteReference"/>
          <w:szCs w:val="26"/>
        </w:rPr>
        <w:footnoteRef/>
      </w:r>
      <w:r w:rsidRPr="0053513F">
        <w:rPr>
          <w:b/>
          <w:bCs/>
          <w:szCs w:val="26"/>
        </w:rPr>
        <w:t xml:space="preserve">  </w:t>
      </w:r>
      <w:r w:rsidRPr="0053513F">
        <w:rPr>
          <w:szCs w:val="26"/>
        </w:rPr>
        <w:tab/>
        <w:t xml:space="preserve">A Child and Family Team is “a group of individuals who are convened by the placing agency and who are </w:t>
      </w:r>
      <w:r w:rsidRPr="0053513F">
        <w:rPr>
          <w:szCs w:val="26"/>
        </w:rPr>
        <w:t>engaged through a variety of team-based processes to identify the strengths and needs of the child or youth and their family, and to help achieve positive outcomes for safety, permanency, and well-being.”  (§ 16501, subd. (a)(4).)</w:t>
      </w:r>
    </w:p>
  </w:footnote>
  <w:footnote w:id="6">
    <w:p w14:paraId="72EDC48C" w14:textId="77777777" w:rsidR="00021057" w:rsidRPr="0053513F" w:rsidRDefault="00B46361" w:rsidP="00021057">
      <w:pPr>
        <w:pStyle w:val="FootnoteText"/>
      </w:pPr>
      <w:r w:rsidRPr="0053513F">
        <w:rPr>
          <w:rStyle w:val="FootnoteReference"/>
        </w:rPr>
        <w:footnoteRef/>
      </w:r>
      <w:r w:rsidRPr="0053513F">
        <w:t xml:space="preserve"> </w:t>
      </w:r>
      <w:r w:rsidRPr="0053513F">
        <w:tab/>
        <w:t>Father had another chi</w:t>
      </w:r>
      <w:r w:rsidRPr="0053513F">
        <w:t xml:space="preserve">ld from a different relationship. </w:t>
      </w:r>
    </w:p>
  </w:footnote>
  <w:footnote w:id="7">
    <w:p w14:paraId="72EDC48D" w14:textId="77777777" w:rsidR="00021057" w:rsidRPr="0053513F" w:rsidRDefault="00B46361" w:rsidP="00021057">
      <w:pPr>
        <w:pStyle w:val="FootnoteText"/>
      </w:pPr>
      <w:r w:rsidRPr="0053513F">
        <w:rPr>
          <w:rStyle w:val="FootnoteReference"/>
          <w:szCs w:val="26"/>
        </w:rPr>
        <w:footnoteRef/>
      </w:r>
      <w:r w:rsidRPr="0053513F">
        <w:rPr>
          <w:szCs w:val="26"/>
        </w:rPr>
        <w:t xml:space="preserve"> </w:t>
      </w:r>
      <w:r w:rsidRPr="0053513F">
        <w:rPr>
          <w:szCs w:val="26"/>
        </w:rPr>
        <w:tab/>
        <w:t xml:space="preserve">Mother had moved into her own apartment by the time of the hearing. </w:t>
      </w:r>
    </w:p>
  </w:footnote>
  <w:footnote w:id="8">
    <w:p w14:paraId="72EDC48E" w14:textId="77777777" w:rsidR="00021057" w:rsidRDefault="00B46361" w:rsidP="00021057">
      <w:pPr>
        <w:pStyle w:val="FootnoteText"/>
      </w:pPr>
      <w:r>
        <w:rPr>
          <w:rStyle w:val="FootnoteReference"/>
        </w:rPr>
        <w:footnoteRef/>
      </w:r>
      <w:r>
        <w:t xml:space="preserve"> </w:t>
      </w:r>
      <w:r>
        <w:tab/>
        <w:t xml:space="preserve">At the time the </w:t>
      </w:r>
      <w:r w:rsidRPr="00F6502C">
        <w:rPr>
          <w:i/>
          <w:iCs/>
        </w:rPr>
        <w:t>Drake M</w:t>
      </w:r>
      <w:r>
        <w:t>. decision was rendered</w:t>
      </w:r>
      <w:r w:rsidR="004C6FCF">
        <w:t xml:space="preserve"> in 2012</w:t>
      </w:r>
      <w:r>
        <w:t xml:space="preserve">, section 300, subdivision (b) had not yet been parsed into its current subdivisions.  (See </w:t>
      </w:r>
      <w:r>
        <w:t>Stats. 2022, ch. 832, § 1; Stats. 2014, ch. 29, § 64.)</w:t>
      </w:r>
    </w:p>
  </w:footnote>
  <w:footnote w:id="9">
    <w:p w14:paraId="72EDC48F" w14:textId="77777777" w:rsidR="00021057" w:rsidRPr="0053513F" w:rsidRDefault="00B46361" w:rsidP="00021057">
      <w:pPr>
        <w:pStyle w:val="FootnoteText"/>
      </w:pPr>
      <w:r w:rsidRPr="0053513F">
        <w:rPr>
          <w:rStyle w:val="FootnoteReference"/>
        </w:rPr>
        <w:footnoteRef/>
      </w:r>
      <w:r w:rsidRPr="0053513F">
        <w:t xml:space="preserve"> </w:t>
      </w:r>
      <w:r w:rsidRPr="0053513F">
        <w:tab/>
        <w:t xml:space="preserve">The Legislature has </w:t>
      </w:r>
      <w:r>
        <w:t>defined</w:t>
      </w:r>
      <w:r w:rsidRPr="0053513F">
        <w:t xml:space="preserve"> “substance abuse” as it appears in </w:t>
      </w:r>
      <w:r w:rsidR="0020637B">
        <w:t xml:space="preserve">a </w:t>
      </w:r>
      <w:r w:rsidRPr="0053513F">
        <w:t>different provision of the Welfare and Institutions Code.  Section 746, subdivision (b) identifies “substance abuse” as among the fac</w:t>
      </w:r>
      <w:r w:rsidRPr="0053513F">
        <w:t>tors that place a “minor at a significantly greater risk of becoming a chronic juvenile or adult offender,” and defines “substance abuse” in that context as including “any regular use of alcohol or drugs by the minor, other than experimentation.”  (</w:t>
      </w:r>
      <w:r w:rsidRPr="0053513F">
        <w:rPr>
          <w:i/>
          <w:iCs/>
        </w:rPr>
        <w:t>Id</w:t>
      </w:r>
      <w:r w:rsidRPr="0053513F">
        <w:t>., su</w:t>
      </w:r>
      <w:r w:rsidRPr="0053513F">
        <w:t>bd. (b)(3).)</w:t>
      </w:r>
    </w:p>
  </w:footnote>
  <w:footnote w:id="10">
    <w:p w14:paraId="72EDC490" w14:textId="77777777" w:rsidR="00021057" w:rsidRPr="0053513F" w:rsidRDefault="00B46361" w:rsidP="00021057">
      <w:pPr>
        <w:pStyle w:val="FootnoteText"/>
        <w:rPr>
          <w:szCs w:val="26"/>
        </w:rPr>
      </w:pPr>
      <w:r w:rsidRPr="0053513F">
        <w:rPr>
          <w:rStyle w:val="FootnoteReference"/>
          <w:szCs w:val="26"/>
        </w:rPr>
        <w:footnoteRef/>
      </w:r>
      <w:r w:rsidRPr="0053513F">
        <w:rPr>
          <w:szCs w:val="26"/>
        </w:rPr>
        <w:t xml:space="preserve"> </w:t>
      </w:r>
      <w:r w:rsidRPr="0053513F">
        <w:rPr>
          <w:szCs w:val="26"/>
        </w:rPr>
        <w:tab/>
      </w:r>
      <w:r>
        <w:rPr>
          <w:szCs w:val="26"/>
        </w:rPr>
        <w:t>I</w:t>
      </w:r>
      <w:r w:rsidRPr="0053513F">
        <w:rPr>
          <w:szCs w:val="26"/>
        </w:rPr>
        <w:t>n certain circumstances a parent</w:t>
      </w:r>
      <w:r>
        <w:rPr>
          <w:szCs w:val="26"/>
        </w:rPr>
        <w:t>’s</w:t>
      </w:r>
      <w:r w:rsidRPr="0053513F">
        <w:rPr>
          <w:szCs w:val="26"/>
        </w:rPr>
        <w:t xml:space="preserve"> or guardian’s substance-related issues may contribute to a finding that dependency jurisdiction exists for </w:t>
      </w:r>
      <w:r w:rsidRPr="00912B2A">
        <w:rPr>
          <w:szCs w:val="26"/>
        </w:rPr>
        <w:t>another</w:t>
      </w:r>
      <w:r w:rsidRPr="0053513F">
        <w:rPr>
          <w:szCs w:val="26"/>
        </w:rPr>
        <w:t xml:space="preserve"> reason, such as a “failure or inability of the child’s parent or guardian to adequately s</w:t>
      </w:r>
      <w:r w:rsidRPr="0053513F">
        <w:rPr>
          <w:szCs w:val="26"/>
        </w:rPr>
        <w:t xml:space="preserve">upervise or protect the child.”  (§ 300, subd. (b)(1)(A).)  Although this case does not require that we construe section 300, subdivision (b)(1)(A), </w:t>
      </w:r>
      <w:r>
        <w:rPr>
          <w:szCs w:val="26"/>
        </w:rPr>
        <w:t>this provision serves to show</w:t>
      </w:r>
      <w:r w:rsidRPr="0053513F">
        <w:rPr>
          <w:szCs w:val="26"/>
        </w:rPr>
        <w:t xml:space="preserve"> that an exercise of dependency jurisdiction that is in some measure premised </w:t>
      </w:r>
      <w:r w:rsidRPr="0053513F">
        <w:rPr>
          <w:szCs w:val="26"/>
        </w:rPr>
        <w:t xml:space="preserve">on a parent’s or guardian’s involvement with drugs or alcohol does not necessarily require a </w:t>
      </w:r>
      <w:r>
        <w:rPr>
          <w:szCs w:val="26"/>
        </w:rPr>
        <w:t xml:space="preserve">judicial </w:t>
      </w:r>
      <w:r w:rsidRPr="0053513F">
        <w:rPr>
          <w:szCs w:val="26"/>
        </w:rPr>
        <w:t xml:space="preserve">finding </w:t>
      </w:r>
      <w:r>
        <w:rPr>
          <w:szCs w:val="26"/>
        </w:rPr>
        <w:t>of</w:t>
      </w:r>
      <w:r w:rsidRPr="0053513F">
        <w:rPr>
          <w:szCs w:val="26"/>
        </w:rPr>
        <w:t xml:space="preserve"> substance abuse under some defined standard.</w:t>
      </w:r>
    </w:p>
  </w:footnote>
  <w:footnote w:id="11">
    <w:p w14:paraId="72EDC491" w14:textId="77777777" w:rsidR="00021057" w:rsidRPr="0053513F" w:rsidRDefault="00B46361" w:rsidP="00021057">
      <w:pPr>
        <w:pStyle w:val="FootnoteText"/>
        <w:rPr>
          <w:szCs w:val="26"/>
        </w:rPr>
      </w:pPr>
      <w:r w:rsidRPr="0053513F">
        <w:rPr>
          <w:rStyle w:val="FootnoteReference"/>
          <w:szCs w:val="26"/>
        </w:rPr>
        <w:footnoteRef/>
      </w:r>
      <w:r w:rsidRPr="0053513F">
        <w:rPr>
          <w:szCs w:val="26"/>
        </w:rPr>
        <w:t xml:space="preserve"> </w:t>
      </w:r>
      <w:r w:rsidRPr="0053513F">
        <w:rPr>
          <w:szCs w:val="26"/>
        </w:rPr>
        <w:tab/>
      </w:r>
      <w:r>
        <w:rPr>
          <w:szCs w:val="26"/>
        </w:rPr>
        <w:t>This version of the DSM was published in 2022.  (</w:t>
      </w:r>
      <w:r w:rsidRPr="0053513F">
        <w:rPr>
          <w:sz w:val="25"/>
          <w:szCs w:val="25"/>
          <w:shd w:val="clear" w:color="auto" w:fill="FFFFFF"/>
        </w:rPr>
        <w:t>Am</w:t>
      </w:r>
      <w:r>
        <w:rPr>
          <w:sz w:val="25"/>
          <w:szCs w:val="25"/>
          <w:shd w:val="clear" w:color="auto" w:fill="FFFFFF"/>
        </w:rPr>
        <w:t>.</w:t>
      </w:r>
      <w:r w:rsidRPr="0053513F">
        <w:rPr>
          <w:sz w:val="25"/>
          <w:szCs w:val="25"/>
          <w:shd w:val="clear" w:color="auto" w:fill="FFFFFF"/>
        </w:rPr>
        <w:t xml:space="preserve"> Psychiatric Assn</w:t>
      </w:r>
      <w:r>
        <w:rPr>
          <w:sz w:val="25"/>
          <w:szCs w:val="25"/>
          <w:shd w:val="clear" w:color="auto" w:fill="FFFFFF"/>
        </w:rPr>
        <w:t>.</w:t>
      </w:r>
      <w:r w:rsidRPr="0053513F">
        <w:rPr>
          <w:szCs w:val="26"/>
          <w:shd w:val="clear" w:color="auto" w:fill="FFFFFF"/>
        </w:rPr>
        <w:t xml:space="preserve">, Diagnostic and Statistical Manual of Mental Disorders (5th ed. </w:t>
      </w:r>
      <w:r w:rsidRPr="00A108C5">
        <w:rPr>
          <w:szCs w:val="26"/>
          <w:shd w:val="clear" w:color="auto" w:fill="FFFFFF"/>
        </w:rPr>
        <w:t>text rev.</w:t>
      </w:r>
      <w:r w:rsidRPr="0053513F">
        <w:rPr>
          <w:szCs w:val="26"/>
          <w:shd w:val="clear" w:color="auto" w:fill="FFFFFF"/>
        </w:rPr>
        <w:t xml:space="preserve"> 2022).</w:t>
      </w:r>
      <w:r>
        <w:rPr>
          <w:szCs w:val="26"/>
          <w:shd w:val="clear" w:color="auto" w:fill="FFFFFF"/>
        </w:rPr>
        <w:t>)</w:t>
      </w:r>
      <w:r w:rsidRPr="0053513F">
        <w:rPr>
          <w:szCs w:val="26"/>
          <w:shd w:val="clear" w:color="auto" w:fill="FFFFFF"/>
        </w:rPr>
        <w:t xml:space="preserve">  </w:t>
      </w:r>
      <w:r>
        <w:rPr>
          <w:szCs w:val="26"/>
          <w:shd w:val="clear" w:color="auto" w:fill="FFFFFF"/>
        </w:rPr>
        <w:t>The DSM was first published in 1952.  (</w:t>
      </w:r>
      <w:r w:rsidRPr="00131ED0">
        <w:rPr>
          <w:szCs w:val="27"/>
          <w:shd w:val="clear" w:color="auto" w:fill="FFFFFF"/>
        </w:rPr>
        <w:t>Am. Psychiatric Assn., Diagnostic</w:t>
      </w:r>
      <w:r w:rsidRPr="0053513F">
        <w:rPr>
          <w:szCs w:val="26"/>
          <w:shd w:val="clear" w:color="auto" w:fill="FFFFFF"/>
        </w:rPr>
        <w:t xml:space="preserve"> and Statistical Manual of Mental Disorders (1952).</w:t>
      </w:r>
      <w:r>
        <w:rPr>
          <w:szCs w:val="26"/>
          <w:shd w:val="clear" w:color="auto" w:fill="FFFFFF"/>
        </w:rPr>
        <w:t xml:space="preserve">)  </w:t>
      </w:r>
      <w:r w:rsidRPr="0053513F">
        <w:rPr>
          <w:szCs w:val="26"/>
          <w:shd w:val="clear" w:color="auto" w:fill="FFFFFF"/>
        </w:rPr>
        <w:t>A second edition was published in 1968 (</w:t>
      </w:r>
      <w:r w:rsidRPr="00131ED0">
        <w:rPr>
          <w:szCs w:val="27"/>
          <w:shd w:val="clear" w:color="auto" w:fill="FFFFFF"/>
        </w:rPr>
        <w:t>Am. Ps</w:t>
      </w:r>
      <w:r w:rsidRPr="00131ED0">
        <w:rPr>
          <w:szCs w:val="27"/>
          <w:shd w:val="clear" w:color="auto" w:fill="FFFFFF"/>
        </w:rPr>
        <w:t>ychiatric Assn., Diagnostic and Statistical Manual of Mental Disorders (2d ed. 1968)); a third edition in 1980 (Am. Psychiatric Assn., Diagnostic and Statistical Manual of Mental Disorders (3d ed. 1980) (DSM-III)); a third revised edition in 1987 (Am. Psyc</w:t>
      </w:r>
      <w:r w:rsidRPr="00131ED0">
        <w:rPr>
          <w:szCs w:val="27"/>
          <w:shd w:val="clear" w:color="auto" w:fill="FFFFFF"/>
        </w:rPr>
        <w:t xml:space="preserve">hiatric Assn., Diagnostic and Statistical Manual of Mental Disorders (3d rev. ed. 1987) (DSM-III-R)); a fourth edition in 1994 (Am. Psychiatric Assn., Diagnostic and Statistical Manual of Mental Disorders (4th ed. 1994) (DSM-IV)); a fourth revised edition </w:t>
      </w:r>
      <w:r w:rsidRPr="00131ED0">
        <w:rPr>
          <w:szCs w:val="27"/>
          <w:shd w:val="clear" w:color="auto" w:fill="FFFFFF"/>
        </w:rPr>
        <w:t>in 2000 (Am. Psychiatric Assn., Diagnostic and Statistical Manual of Mental Disorders (4th ed. text rev. 2000) (DSM-IV-TR)); and a fifth edition in 2013 (Am. Psychiatric Assn., Diagnostic and Statistical Manual of Mental Disorders (5th ed. 2013) (DSM-5)).</w:t>
      </w:r>
      <w:r w:rsidRPr="0053513F">
        <w:rPr>
          <w:szCs w:val="26"/>
          <w:shd w:val="clear" w:color="auto" w:fill="FFFFFF"/>
        </w:rPr>
        <w:t xml:space="preserve"> </w:t>
      </w:r>
    </w:p>
  </w:footnote>
  <w:footnote w:id="12">
    <w:p w14:paraId="72EDC492" w14:textId="77777777" w:rsidR="00021057" w:rsidRDefault="00B46361" w:rsidP="00021057">
      <w:pPr>
        <w:pStyle w:val="FootnoteText"/>
      </w:pPr>
      <w:r>
        <w:rPr>
          <w:rStyle w:val="FootnoteReference"/>
        </w:rPr>
        <w:footnoteRef/>
      </w:r>
      <w:r>
        <w:t xml:space="preserve"> </w:t>
      </w:r>
      <w:r>
        <w:tab/>
        <w:t xml:space="preserve">Notwithstanding the DSM’s revision of its terminology for substance use disorders, we primarily use the term “substance abuse” within this opinion to remain consistent with the language used in section 300(b)(1)(D).  </w:t>
      </w:r>
    </w:p>
  </w:footnote>
  <w:footnote w:id="13">
    <w:p w14:paraId="72EDC493" w14:textId="77777777" w:rsidR="00021057" w:rsidRPr="0053513F" w:rsidRDefault="00B46361" w:rsidP="00021057">
      <w:pPr>
        <w:pStyle w:val="FootnoteText"/>
      </w:pPr>
      <w:r w:rsidRPr="0053513F">
        <w:rPr>
          <w:rStyle w:val="FootnoteReference"/>
          <w:szCs w:val="26"/>
        </w:rPr>
        <w:footnoteRef/>
      </w:r>
      <w:r w:rsidRPr="0053513F">
        <w:rPr>
          <w:szCs w:val="26"/>
        </w:rPr>
        <w:t xml:space="preserve"> </w:t>
      </w:r>
      <w:r w:rsidRPr="0053513F">
        <w:rPr>
          <w:szCs w:val="26"/>
        </w:rPr>
        <w:tab/>
        <w:t>The DSM-5-TR criteria for a sti</w:t>
      </w:r>
      <w:r w:rsidRPr="0053513F">
        <w:rPr>
          <w:szCs w:val="26"/>
        </w:rPr>
        <w:t xml:space="preserve">mulant use disorder consist of the following: </w:t>
      </w:r>
      <w:r>
        <w:rPr>
          <w:szCs w:val="26"/>
        </w:rPr>
        <w:t xml:space="preserve"> </w:t>
      </w:r>
      <w:r w:rsidRPr="0053513F">
        <w:rPr>
          <w:szCs w:val="26"/>
        </w:rPr>
        <w:t>“The stimulant is often taken in larger amounts or over a longer period than was intended”; “There is a persistent desire or unsuccessful efforts to cut down or control stimulant use”; “A great deal of time is</w:t>
      </w:r>
      <w:r w:rsidRPr="0053513F">
        <w:rPr>
          <w:szCs w:val="26"/>
        </w:rPr>
        <w:t xml:space="preserve"> spent in activities necessary to obtain the stimulant, use the stimulant, or recover from its effects”; “Craving, or a strong desire or urge to use the stimulant”; “Recurring stimulant use resulting in a failure to fulfill major role obligations at work, </w:t>
      </w:r>
      <w:r w:rsidRPr="0053513F">
        <w:rPr>
          <w:szCs w:val="26"/>
        </w:rPr>
        <w:t>school, or home”; “Continued stimulant use despite having persistent or recurrent social or interpersonal problems caused or exacerbated by the effects of the stimulant”; “Important social, occupational, or recreational activities are given up or reduced b</w:t>
      </w:r>
      <w:r w:rsidRPr="0053513F">
        <w:rPr>
          <w:szCs w:val="26"/>
        </w:rPr>
        <w:t>ecause of stimulant use”; “Recurrent stimulant use in situations in which it is physically hazardous”; “Stimulant use is continued despite knowledge of having a persistent or recurrent physical or psychological problem that is likely to have been caused or</w:t>
      </w:r>
      <w:r w:rsidRPr="0053513F">
        <w:rPr>
          <w:szCs w:val="26"/>
        </w:rPr>
        <w:t xml:space="preserve"> exacerbated by the stimulant”; “Tolerance, as defined by either . . .</w:t>
      </w:r>
      <w:r>
        <w:rPr>
          <w:szCs w:val="26"/>
        </w:rPr>
        <w:t xml:space="preserve"> : </w:t>
      </w:r>
      <w:r w:rsidRPr="0053513F">
        <w:rPr>
          <w:szCs w:val="26"/>
        </w:rPr>
        <w:t xml:space="preserve"> [¶]</w:t>
      </w:r>
      <w:r>
        <w:rPr>
          <w:szCs w:val="26"/>
        </w:rPr>
        <w:t xml:space="preserve"> </w:t>
      </w:r>
      <w:r w:rsidRPr="0053513F">
        <w:rPr>
          <w:szCs w:val="26"/>
        </w:rPr>
        <w:t xml:space="preserve"> a.  A need for markedly increased amounts of the stimulant to achieve intoxication or desired effect.  [¶] </w:t>
      </w:r>
      <w:r>
        <w:rPr>
          <w:szCs w:val="26"/>
        </w:rPr>
        <w:t xml:space="preserve"> </w:t>
      </w:r>
      <w:r w:rsidRPr="0053513F">
        <w:rPr>
          <w:szCs w:val="26"/>
        </w:rPr>
        <w:t>b.</w:t>
      </w:r>
      <w:r>
        <w:rPr>
          <w:szCs w:val="26"/>
        </w:rPr>
        <w:t xml:space="preserve"> </w:t>
      </w:r>
      <w:r w:rsidRPr="0053513F">
        <w:rPr>
          <w:szCs w:val="26"/>
        </w:rPr>
        <w:t xml:space="preserve"> A markedly diminished effect with continued use of the same amoun</w:t>
      </w:r>
      <w:r w:rsidRPr="0053513F">
        <w:rPr>
          <w:szCs w:val="26"/>
        </w:rPr>
        <w:t>t of the stimulant”; and “Withdrawal, as manifested by either . . .</w:t>
      </w:r>
      <w:r>
        <w:rPr>
          <w:szCs w:val="26"/>
        </w:rPr>
        <w:t xml:space="preserve"> : </w:t>
      </w:r>
      <w:r w:rsidRPr="0053513F">
        <w:rPr>
          <w:szCs w:val="26"/>
        </w:rPr>
        <w:t xml:space="preserve"> [¶]</w:t>
      </w:r>
      <w:r>
        <w:rPr>
          <w:szCs w:val="26"/>
        </w:rPr>
        <w:t xml:space="preserve"> </w:t>
      </w:r>
      <w:r w:rsidRPr="0053513F">
        <w:rPr>
          <w:szCs w:val="26"/>
        </w:rPr>
        <w:t xml:space="preserve"> a.  The characteristic withdrawal syndrome for the stimulant . . . .  [¶] </w:t>
      </w:r>
      <w:r>
        <w:rPr>
          <w:szCs w:val="26"/>
        </w:rPr>
        <w:t xml:space="preserve"> </w:t>
      </w:r>
      <w:r w:rsidRPr="0053513F">
        <w:rPr>
          <w:szCs w:val="26"/>
        </w:rPr>
        <w:t>b.  The stimulant (or a closely related substance) is taken to relieve or avoid withdrawal symptoms.”  (D</w:t>
      </w:r>
      <w:r w:rsidRPr="0053513F">
        <w:rPr>
          <w:szCs w:val="26"/>
        </w:rPr>
        <w:t xml:space="preserve">SM-5-TR, </w:t>
      </w:r>
      <w:r w:rsidRPr="0053513F">
        <w:rPr>
          <w:i/>
          <w:iCs/>
          <w:szCs w:val="26"/>
        </w:rPr>
        <w:t>supra</w:t>
      </w:r>
      <w:r w:rsidRPr="0053513F">
        <w:rPr>
          <w:szCs w:val="26"/>
        </w:rPr>
        <w:t>, at pp. 632–633.)</w:t>
      </w:r>
    </w:p>
  </w:footnote>
  <w:footnote w:id="14">
    <w:p w14:paraId="72EDC494" w14:textId="77777777" w:rsidR="00021057" w:rsidRPr="0053513F" w:rsidRDefault="00B46361" w:rsidP="00021057">
      <w:pPr>
        <w:pStyle w:val="FootnoteText"/>
      </w:pPr>
      <w:r w:rsidRPr="0053513F">
        <w:rPr>
          <w:rStyle w:val="FootnoteReference"/>
        </w:rPr>
        <w:footnoteRef/>
      </w:r>
      <w:r w:rsidRPr="0053513F">
        <w:t xml:space="preserve"> </w:t>
      </w:r>
      <w:r w:rsidRPr="0053513F">
        <w:tab/>
      </w:r>
      <w:r w:rsidRPr="0053513F">
        <w:t xml:space="preserve">Father asserts that premising findings of substance abuse on satisfaction of the relevant DSM criteria would comport with prevailing best practices among social workers. </w:t>
      </w:r>
      <w:r>
        <w:t xml:space="preserve"> Whatever relevance these practices may have to the central question of legislative in</w:t>
      </w:r>
      <w:r>
        <w:t>tent, we</w:t>
      </w:r>
      <w:r w:rsidRPr="0053513F">
        <w:t xml:space="preserve"> do not perceive a</w:t>
      </w:r>
      <w:r>
        <w:t xml:space="preserve"> significant</w:t>
      </w:r>
      <w:r w:rsidRPr="0053513F">
        <w:t xml:space="preserve"> tension between standards calling for social workers to stay abreast of </w:t>
      </w:r>
      <w:r>
        <w:t xml:space="preserve">current knowledge </w:t>
      </w:r>
      <w:r w:rsidRPr="0053513F">
        <w:t xml:space="preserve">regarding substance use disorders and how </w:t>
      </w:r>
      <w:r>
        <w:t>we</w:t>
      </w:r>
      <w:r w:rsidRPr="0053513F">
        <w:t xml:space="preserve"> conclude “substance abuse” should be interpreted as it appears in section 300(b)(1</w:t>
      </w:r>
      <w:r w:rsidRPr="0053513F">
        <w:t xml:space="preserve">)(D).  </w:t>
      </w:r>
      <w:r>
        <w:t xml:space="preserve">Such knowledge may be pertinent to </w:t>
      </w:r>
      <w:r w:rsidR="003F0FF0">
        <w:t xml:space="preserve">an </w:t>
      </w:r>
      <w:r>
        <w:t>assess</w:t>
      </w:r>
      <w:r w:rsidR="003F0FF0">
        <w:t>ment of</w:t>
      </w:r>
      <w:r>
        <w:t xml:space="preserve"> what amounts to excessive use of drug</w:t>
      </w:r>
      <w:r w:rsidR="003F0FF0">
        <w:t xml:space="preserve">s </w:t>
      </w:r>
      <w:r>
        <w:t xml:space="preserve">or alcohol. </w:t>
      </w:r>
    </w:p>
  </w:footnote>
  <w:footnote w:id="15">
    <w:p w14:paraId="72EDC495" w14:textId="77777777" w:rsidR="00021057" w:rsidRPr="0053513F" w:rsidRDefault="00B46361" w:rsidP="00021057">
      <w:pPr>
        <w:pStyle w:val="FootnoteText"/>
      </w:pPr>
      <w:r w:rsidRPr="0053513F">
        <w:rPr>
          <w:rStyle w:val="FootnoteReference"/>
        </w:rPr>
        <w:footnoteRef/>
      </w:r>
      <w:r w:rsidRPr="0053513F">
        <w:t xml:space="preserve">  </w:t>
      </w:r>
      <w:r w:rsidRPr="0053513F">
        <w:tab/>
      </w:r>
      <w:r w:rsidRPr="00A77C37">
        <w:rPr>
          <w:szCs w:val="26"/>
        </w:rPr>
        <w:t xml:space="preserve">DSM-5-TR, </w:t>
      </w:r>
      <w:r w:rsidRPr="00A77C37">
        <w:rPr>
          <w:i/>
          <w:iCs/>
          <w:szCs w:val="26"/>
        </w:rPr>
        <w:t>supra</w:t>
      </w:r>
      <w:r w:rsidRPr="00A77C37">
        <w:rPr>
          <w:szCs w:val="26"/>
        </w:rPr>
        <w:t>, at p</w:t>
      </w:r>
      <w:r w:rsidR="00316987">
        <w:rPr>
          <w:szCs w:val="26"/>
        </w:rPr>
        <w:t>age</w:t>
      </w:r>
      <w:r w:rsidRPr="00A77C37">
        <w:rPr>
          <w:szCs w:val="26"/>
        </w:rPr>
        <w:t> 29</w:t>
      </w:r>
      <w:r>
        <w:rPr>
          <w:szCs w:val="26"/>
        </w:rPr>
        <w:t xml:space="preserve">; </w:t>
      </w:r>
      <w:r w:rsidRPr="0053513F">
        <w:rPr>
          <w:szCs w:val="26"/>
        </w:rPr>
        <w:t xml:space="preserve">DSM-5, </w:t>
      </w:r>
      <w:r w:rsidRPr="0053513F">
        <w:rPr>
          <w:i/>
          <w:iCs/>
          <w:szCs w:val="26"/>
        </w:rPr>
        <w:t>supra</w:t>
      </w:r>
      <w:r w:rsidRPr="0053513F">
        <w:rPr>
          <w:szCs w:val="26"/>
        </w:rPr>
        <w:t>, at p</w:t>
      </w:r>
      <w:r>
        <w:rPr>
          <w:szCs w:val="26"/>
        </w:rPr>
        <w:t>age</w:t>
      </w:r>
      <w:r w:rsidRPr="0053513F">
        <w:rPr>
          <w:szCs w:val="26"/>
        </w:rPr>
        <w:t xml:space="preserve"> 25; DSM-IV-TR, </w:t>
      </w:r>
      <w:r w:rsidRPr="0053513F">
        <w:rPr>
          <w:i/>
          <w:iCs/>
          <w:szCs w:val="26"/>
        </w:rPr>
        <w:t>supra</w:t>
      </w:r>
      <w:r w:rsidRPr="0053513F">
        <w:rPr>
          <w:szCs w:val="26"/>
        </w:rPr>
        <w:t>, at p</w:t>
      </w:r>
      <w:r>
        <w:rPr>
          <w:szCs w:val="26"/>
        </w:rPr>
        <w:t>age</w:t>
      </w:r>
      <w:r w:rsidRPr="0053513F">
        <w:rPr>
          <w:szCs w:val="26"/>
        </w:rPr>
        <w:t xml:space="preserve"> xxxvii; DSM-IV, </w:t>
      </w:r>
      <w:r w:rsidRPr="0053513F">
        <w:rPr>
          <w:i/>
          <w:iCs/>
          <w:szCs w:val="26"/>
        </w:rPr>
        <w:t>supra</w:t>
      </w:r>
      <w:r w:rsidRPr="0053513F">
        <w:rPr>
          <w:szCs w:val="26"/>
        </w:rPr>
        <w:t>, at p</w:t>
      </w:r>
      <w:r>
        <w:rPr>
          <w:szCs w:val="26"/>
        </w:rPr>
        <w:t>age</w:t>
      </w:r>
      <w:r w:rsidRPr="0053513F">
        <w:rPr>
          <w:szCs w:val="26"/>
        </w:rPr>
        <w:t xml:space="preserve"> xxvii; DSM-III-R, </w:t>
      </w:r>
      <w:r w:rsidRPr="0053513F">
        <w:rPr>
          <w:i/>
          <w:iCs/>
          <w:szCs w:val="26"/>
        </w:rPr>
        <w:t>supra</w:t>
      </w:r>
      <w:r w:rsidRPr="0053513F">
        <w:rPr>
          <w:szCs w:val="26"/>
        </w:rPr>
        <w:t>, at p</w:t>
      </w:r>
      <w:r>
        <w:rPr>
          <w:szCs w:val="26"/>
        </w:rPr>
        <w:t>age</w:t>
      </w:r>
      <w:r w:rsidRPr="0053513F">
        <w:rPr>
          <w:szCs w:val="26"/>
        </w:rPr>
        <w:t xml:space="preserve"> xxix.  </w:t>
      </w:r>
      <w:r w:rsidRPr="0053513F">
        <w:t>The statement in the DSM-III</w:t>
      </w:r>
      <w:r w:rsidR="006F49A0">
        <w:t>,</w:t>
      </w:r>
      <w:r w:rsidRPr="0053513F">
        <w:t xml:space="preserve"> </w:t>
      </w:r>
      <w:r w:rsidR="006F49A0">
        <w:t>which bore</w:t>
      </w:r>
      <w:r w:rsidRPr="0053513F">
        <w:t xml:space="preserve"> the title, “CAUTIONS,” provided in full</w:t>
      </w:r>
      <w:r w:rsidR="00162FF5">
        <w:t>:</w:t>
      </w:r>
      <w:r w:rsidRPr="0053513F">
        <w:t xml:space="preserve"> </w:t>
      </w:r>
      <w:r w:rsidR="00926910">
        <w:t xml:space="preserve"> </w:t>
      </w:r>
      <w:r w:rsidRPr="0053513F">
        <w:t xml:space="preserve">“The purpose of DSM-III is to provide clear descriptions of diagnostic categories in order to enable clinicians and investigators to diagnose, communicate about, </w:t>
      </w:r>
      <w:r w:rsidRPr="0053513F">
        <w:t>study, and treat various mental disorders.  The use of this manual for non-clinical purposes, such as determination of legal responsibility, competency or insanity, or justification for third-party payment, must be critically examined in each instance with</w:t>
      </w:r>
      <w:r w:rsidRPr="0053513F">
        <w:t xml:space="preserve">in the appropriate institutional context.”  (DSM-III, </w:t>
      </w:r>
      <w:r w:rsidRPr="0053513F">
        <w:rPr>
          <w:i/>
          <w:iCs/>
        </w:rPr>
        <w:t>supra</w:t>
      </w:r>
      <w:r w:rsidRPr="0053513F">
        <w:t>, at p. 12.)</w:t>
      </w:r>
    </w:p>
  </w:footnote>
  <w:footnote w:id="16">
    <w:p w14:paraId="72EDC496" w14:textId="77777777" w:rsidR="00021057" w:rsidRDefault="00B46361" w:rsidP="00021057">
      <w:pPr>
        <w:pStyle w:val="FootnoteText"/>
      </w:pPr>
      <w:r>
        <w:rPr>
          <w:rStyle w:val="FootnoteReference"/>
        </w:rPr>
        <w:footnoteRef/>
      </w:r>
      <w:r>
        <w:t xml:space="preserve"> </w:t>
      </w:r>
      <w:r>
        <w:tab/>
        <w:t>As a matter of course, the Legislature remains free to redefine</w:t>
      </w:r>
      <w:r w:rsidR="00B134F3">
        <w:t xml:space="preserve"> the term</w:t>
      </w:r>
      <w:r>
        <w:t xml:space="preserve"> </w:t>
      </w:r>
      <w:r w:rsidR="00937EB9">
        <w:t>“</w:t>
      </w:r>
      <w:r>
        <w:t>substance abuse</w:t>
      </w:r>
      <w:r w:rsidR="00937EB9">
        <w:t>”</w:t>
      </w:r>
      <w:r>
        <w:t xml:space="preserve"> as </w:t>
      </w:r>
      <w:r w:rsidR="00B134F3">
        <w:t>it</w:t>
      </w:r>
      <w:r>
        <w:t xml:space="preserve"> appears within section 300(b)(1)(D) if it finds Father’s arguments, or the arguments raised by amici curiae who have filed briefs in support of Father, to be compelling.  </w:t>
      </w:r>
    </w:p>
  </w:footnote>
  <w:footnote w:id="17">
    <w:p w14:paraId="72EDC497" w14:textId="77777777" w:rsidR="00021057" w:rsidRDefault="00B46361" w:rsidP="00021057">
      <w:pPr>
        <w:pStyle w:val="FootnoteText"/>
      </w:pPr>
      <w:r>
        <w:rPr>
          <w:rStyle w:val="FootnoteReference"/>
        </w:rPr>
        <w:footnoteRef/>
      </w:r>
      <w:r>
        <w:t xml:space="preserve"> </w:t>
      </w:r>
      <w:r>
        <w:tab/>
        <w:t>These safeguards “</w:t>
      </w:r>
      <w:r w:rsidRPr="0079057D">
        <w:t xml:space="preserve">include representation by counsel to assist parents at </w:t>
      </w:r>
      <w:r w:rsidRPr="0079057D">
        <w:t>every stage of the proceedings</w:t>
      </w:r>
      <w:r>
        <w:t xml:space="preserve"> [citation]</w:t>
      </w:r>
      <w:r w:rsidRPr="0079057D">
        <w:t xml:space="preserve">, notice of all hearings and rights </w:t>
      </w:r>
      <w:r>
        <w:t>[citations]</w:t>
      </w:r>
      <w:r w:rsidRPr="0079057D">
        <w:t xml:space="preserve">, clear and convincing evidence for removal from custody </w:t>
      </w:r>
      <w:r>
        <w:t>[citation]</w:t>
      </w:r>
      <w:r w:rsidRPr="0079057D">
        <w:t xml:space="preserve">, reunification services </w:t>
      </w:r>
      <w:r>
        <w:t>[citation]</w:t>
      </w:r>
      <w:r w:rsidRPr="0079057D">
        <w:t>, and review hearings at which services and progress are reviewed</w:t>
      </w:r>
      <w:r>
        <w:t>.</w:t>
      </w:r>
      <w:r>
        <w:t>”  (</w:t>
      </w:r>
      <w:r w:rsidRPr="0079057D">
        <w:rPr>
          <w:i/>
          <w:iCs/>
        </w:rPr>
        <w:t>In re Marilyn H.</w:t>
      </w:r>
      <w:r>
        <w:t xml:space="preserve"> (1993) 5 Cal.4</w:t>
      </w:r>
      <w:r w:rsidRPr="0079057D">
        <w:t>th</w:t>
      </w:r>
      <w:r>
        <w:t xml:space="preserve"> 295, 307–308.)</w:t>
      </w:r>
    </w:p>
  </w:footnote>
  <w:footnote w:id="18">
    <w:p w14:paraId="72EDC498" w14:textId="77777777" w:rsidR="00021057" w:rsidRPr="0053513F" w:rsidRDefault="00B46361" w:rsidP="00021057">
      <w:pPr>
        <w:spacing w:line="300" w:lineRule="exact"/>
      </w:pPr>
      <w:r w:rsidRPr="0053513F">
        <w:rPr>
          <w:rStyle w:val="FootnoteReference"/>
        </w:rPr>
        <w:footnoteRef/>
      </w:r>
      <w:r w:rsidRPr="0053513F">
        <w:rPr>
          <w:sz w:val="20"/>
        </w:rPr>
        <w:t xml:space="preserve"> </w:t>
      </w:r>
      <w:r w:rsidRPr="0053513F">
        <w:rPr>
          <w:sz w:val="20"/>
        </w:rPr>
        <w:tab/>
      </w:r>
      <w:r w:rsidRPr="0053513F">
        <w:rPr>
          <w:szCs w:val="26"/>
        </w:rPr>
        <w:t xml:space="preserve">The rule announced in </w:t>
      </w:r>
      <w:r w:rsidRPr="0053513F">
        <w:rPr>
          <w:i/>
          <w:iCs/>
          <w:szCs w:val="26"/>
        </w:rPr>
        <w:t>Drake M.</w:t>
      </w:r>
      <w:r w:rsidRPr="0053513F">
        <w:rPr>
          <w:szCs w:val="26"/>
        </w:rPr>
        <w:t xml:space="preserve"> expanded upon a more generic discussion appearing in </w:t>
      </w:r>
      <w:r w:rsidRPr="0053513F">
        <w:rPr>
          <w:i/>
          <w:iCs/>
          <w:szCs w:val="26"/>
        </w:rPr>
        <w:t>In re Rocco M.</w:t>
      </w:r>
      <w:r w:rsidRPr="0053513F">
        <w:rPr>
          <w:szCs w:val="26"/>
        </w:rPr>
        <w:t xml:space="preserve"> (1991) 1 Cal.App.4th 814, abrogated on another ground by </w:t>
      </w:r>
      <w:r w:rsidRPr="0053513F">
        <w:rPr>
          <w:i/>
          <w:iCs/>
          <w:szCs w:val="26"/>
        </w:rPr>
        <w:t>R.T.</w:t>
      </w:r>
      <w:r w:rsidRPr="0053513F">
        <w:rPr>
          <w:szCs w:val="26"/>
        </w:rPr>
        <w:t xml:space="preserve">, </w:t>
      </w:r>
      <w:r w:rsidRPr="0053513F">
        <w:rPr>
          <w:i/>
          <w:iCs/>
          <w:szCs w:val="26"/>
        </w:rPr>
        <w:t>supra</w:t>
      </w:r>
      <w:r w:rsidRPr="0053513F">
        <w:rPr>
          <w:szCs w:val="26"/>
        </w:rPr>
        <w:t>, 3 Cal.5th at p. 629.  That earl</w:t>
      </w:r>
      <w:r w:rsidRPr="0053513F">
        <w:rPr>
          <w:szCs w:val="26"/>
        </w:rPr>
        <w:t>ier decision had observed, “</w:t>
      </w:r>
      <w:r w:rsidRPr="0053513F">
        <w:rPr>
          <w:szCs w:val="26"/>
          <w:shd w:val="clear" w:color="auto" w:fill="FFFFFF"/>
        </w:rPr>
        <w:t xml:space="preserve">Cases finding a substantial physical danger [under section 300, subdivision (b)] tend to fall into two factual patterns.  One group involves an </w:t>
      </w:r>
      <w:r w:rsidRPr="0053513F">
        <w:rPr>
          <w:rStyle w:val="Emphasis"/>
          <w:i w:val="0"/>
          <w:iCs w:val="0"/>
          <w:szCs w:val="26"/>
          <w:bdr w:val="none" w:sz="0" w:space="0" w:color="auto" w:frame="1"/>
          <w:shd w:val="clear" w:color="auto" w:fill="FFFFFF"/>
        </w:rPr>
        <w:t>identified, specific hazard</w:t>
      </w:r>
      <w:r w:rsidRPr="0053513F">
        <w:rPr>
          <w:i/>
          <w:iCs/>
          <w:szCs w:val="26"/>
          <w:shd w:val="clear" w:color="auto" w:fill="FFFFFF"/>
        </w:rPr>
        <w:t xml:space="preserve"> </w:t>
      </w:r>
      <w:r w:rsidRPr="0053513F">
        <w:rPr>
          <w:szCs w:val="26"/>
          <w:shd w:val="clear" w:color="auto" w:fill="FFFFFF"/>
        </w:rPr>
        <w:t>in the child’s environment — typically an adult with a p</w:t>
      </w:r>
      <w:r w:rsidRPr="0053513F">
        <w:rPr>
          <w:szCs w:val="26"/>
          <w:shd w:val="clear" w:color="auto" w:fill="FFFFFF"/>
        </w:rPr>
        <w:t>roven record of abusiveness.  [Citations.]  The second group involves children of such tender years that the absence of adequate supervision and care poses an inherent risk to their physical health and safety.”  (</w:t>
      </w:r>
      <w:r w:rsidRPr="0053513F">
        <w:rPr>
          <w:i/>
          <w:iCs/>
          <w:szCs w:val="26"/>
          <w:shd w:val="clear" w:color="auto" w:fill="FFFFFF"/>
        </w:rPr>
        <w:t>In re Rocco M.</w:t>
      </w:r>
      <w:r w:rsidRPr="0053513F">
        <w:rPr>
          <w:szCs w:val="26"/>
          <w:shd w:val="clear" w:color="auto" w:fill="FFFFFF"/>
        </w:rPr>
        <w:t>, at p. 824, italics omitted.</w:t>
      </w:r>
      <w:r w:rsidRPr="0053513F">
        <w:rPr>
          <w:szCs w:val="26"/>
          <w:shd w:val="clear" w:color="auto" w:fill="FFFFFF"/>
        </w:rPr>
        <w:t xml:space="preserve">)  The </w:t>
      </w:r>
      <w:r w:rsidRPr="0053513F">
        <w:rPr>
          <w:i/>
          <w:iCs/>
          <w:szCs w:val="26"/>
          <w:shd w:val="clear" w:color="auto" w:fill="FFFFFF"/>
        </w:rPr>
        <w:t>Drake M.</w:t>
      </w:r>
      <w:r w:rsidRPr="0053513F">
        <w:rPr>
          <w:szCs w:val="26"/>
          <w:shd w:val="clear" w:color="auto" w:fill="FFFFFF"/>
        </w:rPr>
        <w:t xml:space="preserve"> court explained that “in cases involving the second group [discussed in </w:t>
      </w:r>
      <w:r w:rsidRPr="0053513F">
        <w:rPr>
          <w:i/>
          <w:iCs/>
          <w:szCs w:val="26"/>
          <w:shd w:val="clear" w:color="auto" w:fill="FFFFFF"/>
        </w:rPr>
        <w:t>In re Rocco M.</w:t>
      </w:r>
      <w:r w:rsidRPr="0053513F">
        <w:rPr>
          <w:szCs w:val="26"/>
          <w:shd w:val="clear" w:color="auto" w:fill="FFFFFF"/>
        </w:rPr>
        <w:t>], the finding of substance abuse is prima facie evidence of the inability of a parent or guardian to provide regular care resulting in a substantial risk</w:t>
      </w:r>
      <w:r w:rsidRPr="0053513F">
        <w:rPr>
          <w:szCs w:val="26"/>
          <w:shd w:val="clear" w:color="auto" w:fill="FFFFFF"/>
        </w:rPr>
        <w:t xml:space="preserve"> of physical harm.”  (</w:t>
      </w:r>
      <w:r w:rsidRPr="0053513F">
        <w:rPr>
          <w:i/>
          <w:iCs/>
          <w:szCs w:val="26"/>
          <w:shd w:val="clear" w:color="auto" w:fill="FFFFFF"/>
        </w:rPr>
        <w:t>Drake M.</w:t>
      </w:r>
      <w:r w:rsidRPr="0053513F">
        <w:rPr>
          <w:szCs w:val="26"/>
          <w:shd w:val="clear" w:color="auto" w:fill="FFFFFF"/>
        </w:rPr>
        <w:t xml:space="preserve">, </w:t>
      </w:r>
      <w:r w:rsidRPr="0053513F">
        <w:rPr>
          <w:i/>
          <w:iCs/>
          <w:szCs w:val="26"/>
          <w:shd w:val="clear" w:color="auto" w:fill="FFFFFF"/>
        </w:rPr>
        <w:t>supra</w:t>
      </w:r>
      <w:r w:rsidRPr="0053513F">
        <w:rPr>
          <w:szCs w:val="26"/>
          <w:shd w:val="clear" w:color="auto" w:fill="FFFFFF"/>
        </w:rPr>
        <w:t>, 211 Cal.App.4th at p. 767.)  Although there is no strict age cut-off after which a child is regarded as being beyond “tender years,”</w:t>
      </w:r>
      <w:r>
        <w:rPr>
          <w:szCs w:val="26"/>
          <w:shd w:val="clear" w:color="auto" w:fill="FFFFFF"/>
        </w:rPr>
        <w:t xml:space="preserve"> this presumption</w:t>
      </w:r>
      <w:r w:rsidRPr="0053513F">
        <w:rPr>
          <w:szCs w:val="26"/>
          <w:shd w:val="clear" w:color="auto" w:fill="FFFFFF"/>
        </w:rPr>
        <w:t xml:space="preserve"> has </w:t>
      </w:r>
      <w:r>
        <w:rPr>
          <w:szCs w:val="26"/>
          <w:shd w:val="clear" w:color="auto" w:fill="FFFFFF"/>
        </w:rPr>
        <w:t>generally been applied in cases involving</w:t>
      </w:r>
      <w:r w:rsidRPr="0053513F">
        <w:rPr>
          <w:szCs w:val="26"/>
          <w:shd w:val="clear" w:color="auto" w:fill="FFFFFF"/>
        </w:rPr>
        <w:t xml:space="preserve"> children of ages six </w:t>
      </w:r>
      <w:r w:rsidRPr="0053513F">
        <w:rPr>
          <w:szCs w:val="26"/>
          <w:shd w:val="clear" w:color="auto" w:fill="FFFFFF"/>
        </w:rPr>
        <w:t xml:space="preserve">or younger at the time of a jurisdiction hearing.  (See, e.g., </w:t>
      </w:r>
      <w:r w:rsidRPr="0053513F">
        <w:rPr>
          <w:i/>
          <w:iCs/>
          <w:szCs w:val="26"/>
          <w:shd w:val="clear" w:color="auto" w:fill="FFFFFF"/>
        </w:rPr>
        <w:t>Christopher R.</w:t>
      </w:r>
      <w:r w:rsidRPr="0053513F">
        <w:rPr>
          <w:szCs w:val="26"/>
          <w:shd w:val="clear" w:color="auto" w:fill="FFFFFF"/>
        </w:rPr>
        <w:t xml:space="preserve">, </w:t>
      </w:r>
      <w:r w:rsidRPr="0053513F">
        <w:rPr>
          <w:i/>
          <w:iCs/>
          <w:szCs w:val="26"/>
          <w:shd w:val="clear" w:color="auto" w:fill="FFFFFF"/>
        </w:rPr>
        <w:t>supra</w:t>
      </w:r>
      <w:r w:rsidRPr="0053513F">
        <w:rPr>
          <w:szCs w:val="26"/>
          <w:shd w:val="clear" w:color="auto" w:fill="FFFFFF"/>
        </w:rPr>
        <w:t xml:space="preserve">, </w:t>
      </w:r>
      <w:r w:rsidRPr="0053513F">
        <w:rPr>
          <w:szCs w:val="26"/>
        </w:rPr>
        <w:t>225 Cal.App.4th at p. 1219.)</w:t>
      </w:r>
    </w:p>
  </w:footnote>
  <w:footnote w:id="19">
    <w:p w14:paraId="72EDC499" w14:textId="77777777" w:rsidR="00021057" w:rsidRPr="0053513F" w:rsidRDefault="00B46361" w:rsidP="00021057">
      <w:pPr>
        <w:pStyle w:val="FootnoteText"/>
      </w:pPr>
      <w:r w:rsidRPr="0053513F">
        <w:rPr>
          <w:rStyle w:val="FootnoteReference"/>
        </w:rPr>
        <w:footnoteRef/>
      </w:r>
      <w:r w:rsidRPr="0053513F">
        <w:t xml:space="preserve"> </w:t>
      </w:r>
      <w:r w:rsidRPr="0053513F">
        <w:tab/>
      </w:r>
      <w:r>
        <w:t>W</w:t>
      </w:r>
      <w:r w:rsidRPr="0053513F">
        <w:rPr>
          <w:szCs w:val="26"/>
        </w:rPr>
        <w:t xml:space="preserve">e disapprove the following decisions insofar as each regarded a medical diagnosis of substance abuse or satisfaction of the relevant DSM criteria as necessary to a finding of substance abuse, </w:t>
      </w:r>
      <w:r>
        <w:rPr>
          <w:szCs w:val="26"/>
        </w:rPr>
        <w:t>recognized</w:t>
      </w:r>
      <w:r w:rsidRPr="0053513F">
        <w:rPr>
          <w:szCs w:val="26"/>
        </w:rPr>
        <w:t xml:space="preserve"> the tender years presumption, or both:  </w:t>
      </w:r>
      <w:r w:rsidRPr="0053513F">
        <w:rPr>
          <w:i/>
          <w:iCs/>
          <w:szCs w:val="26"/>
        </w:rPr>
        <w:t>In re L.C.</w:t>
      </w:r>
      <w:r w:rsidRPr="0053513F">
        <w:rPr>
          <w:szCs w:val="26"/>
        </w:rPr>
        <w:t xml:space="preserve">, </w:t>
      </w:r>
      <w:r w:rsidRPr="0053513F">
        <w:rPr>
          <w:i/>
          <w:iCs/>
          <w:szCs w:val="26"/>
        </w:rPr>
        <w:t>s</w:t>
      </w:r>
      <w:r w:rsidRPr="0053513F">
        <w:rPr>
          <w:i/>
          <w:iCs/>
          <w:szCs w:val="26"/>
        </w:rPr>
        <w:t>upra</w:t>
      </w:r>
      <w:r w:rsidRPr="0053513F">
        <w:rPr>
          <w:szCs w:val="26"/>
        </w:rPr>
        <w:t xml:space="preserve">, 38 Cal.App.5th 646; </w:t>
      </w:r>
      <w:r w:rsidRPr="0053513F">
        <w:rPr>
          <w:i/>
          <w:iCs/>
          <w:szCs w:val="26"/>
        </w:rPr>
        <w:t>In re Alexzander C.</w:t>
      </w:r>
      <w:r w:rsidRPr="0053513F">
        <w:rPr>
          <w:szCs w:val="26"/>
        </w:rPr>
        <w:t xml:space="preserve">, </w:t>
      </w:r>
      <w:r w:rsidRPr="0053513F">
        <w:rPr>
          <w:i/>
          <w:iCs/>
          <w:szCs w:val="26"/>
        </w:rPr>
        <w:t>supra</w:t>
      </w:r>
      <w:r w:rsidRPr="0053513F">
        <w:rPr>
          <w:szCs w:val="26"/>
        </w:rPr>
        <w:t>, 18 Cal.App.5th 438;</w:t>
      </w:r>
      <w:r>
        <w:rPr>
          <w:szCs w:val="26"/>
        </w:rPr>
        <w:t xml:space="preserve"> </w:t>
      </w:r>
      <w:r w:rsidRPr="00BD5528">
        <w:rPr>
          <w:i/>
          <w:iCs/>
          <w:szCs w:val="26"/>
        </w:rPr>
        <w:t>In re Kadence P.</w:t>
      </w:r>
      <w:r>
        <w:rPr>
          <w:szCs w:val="26"/>
        </w:rPr>
        <w:t xml:space="preserve"> (2015) 241</w:t>
      </w:r>
      <w:r w:rsidR="00582FDD">
        <w:rPr>
          <w:szCs w:val="26"/>
        </w:rPr>
        <w:t> </w:t>
      </w:r>
      <w:r>
        <w:rPr>
          <w:szCs w:val="26"/>
        </w:rPr>
        <w:t>Cal.App.4</w:t>
      </w:r>
      <w:r w:rsidRPr="00BD5528">
        <w:rPr>
          <w:szCs w:val="26"/>
        </w:rPr>
        <w:t>th</w:t>
      </w:r>
      <w:r>
        <w:rPr>
          <w:szCs w:val="26"/>
        </w:rPr>
        <w:t xml:space="preserve"> 1376;</w:t>
      </w:r>
      <w:r w:rsidRPr="0053513F">
        <w:rPr>
          <w:szCs w:val="26"/>
        </w:rPr>
        <w:t xml:space="preserve"> </w:t>
      </w:r>
      <w:r>
        <w:rPr>
          <w:i/>
          <w:iCs/>
          <w:szCs w:val="26"/>
        </w:rPr>
        <w:t xml:space="preserve">In re </w:t>
      </w:r>
      <w:r w:rsidRPr="0053513F">
        <w:rPr>
          <w:i/>
          <w:iCs/>
          <w:szCs w:val="26"/>
        </w:rPr>
        <w:t>Christopher R.</w:t>
      </w:r>
      <w:r w:rsidRPr="0053513F">
        <w:rPr>
          <w:szCs w:val="26"/>
        </w:rPr>
        <w:t xml:space="preserve">, </w:t>
      </w:r>
      <w:r w:rsidRPr="0053513F">
        <w:rPr>
          <w:i/>
          <w:iCs/>
          <w:szCs w:val="26"/>
        </w:rPr>
        <w:t>supra</w:t>
      </w:r>
      <w:r w:rsidRPr="0053513F">
        <w:rPr>
          <w:szCs w:val="26"/>
        </w:rPr>
        <w:t xml:space="preserve">, 225 Cal.App.4th 1210; and </w:t>
      </w:r>
      <w:r>
        <w:rPr>
          <w:i/>
          <w:iCs/>
          <w:szCs w:val="26"/>
        </w:rPr>
        <w:t xml:space="preserve">In re </w:t>
      </w:r>
      <w:r w:rsidRPr="0053513F">
        <w:rPr>
          <w:i/>
          <w:iCs/>
          <w:szCs w:val="26"/>
        </w:rPr>
        <w:t>Drake M.</w:t>
      </w:r>
      <w:r w:rsidRPr="0053513F">
        <w:rPr>
          <w:szCs w:val="26"/>
        </w:rPr>
        <w:t xml:space="preserve">, </w:t>
      </w:r>
      <w:r w:rsidRPr="0053513F">
        <w:rPr>
          <w:i/>
          <w:iCs/>
          <w:szCs w:val="26"/>
        </w:rPr>
        <w:t>supra</w:t>
      </w:r>
      <w:r w:rsidRPr="0053513F">
        <w:rPr>
          <w:szCs w:val="26"/>
        </w:rPr>
        <w:t xml:space="preserve">, 211 Cal.App.4th 754.  </w:t>
      </w:r>
      <w:r>
        <w:rPr>
          <w:szCs w:val="26"/>
        </w:rPr>
        <w:t>We also</w:t>
      </w:r>
      <w:r w:rsidRPr="0053513F">
        <w:rPr>
          <w:szCs w:val="26"/>
        </w:rPr>
        <w:t xml:space="preserve"> disapprove </w:t>
      </w:r>
      <w:r w:rsidRPr="0053513F">
        <w:rPr>
          <w:i/>
          <w:iCs/>
          <w:szCs w:val="26"/>
        </w:rPr>
        <w:t>In re K.B.</w:t>
      </w:r>
      <w:r w:rsidRPr="000C687A">
        <w:rPr>
          <w:szCs w:val="26"/>
        </w:rPr>
        <w:t>,</w:t>
      </w:r>
      <w:r>
        <w:rPr>
          <w:i/>
          <w:iCs/>
          <w:szCs w:val="26"/>
        </w:rPr>
        <w:t xml:space="preserve"> supra</w:t>
      </w:r>
      <w:r w:rsidRPr="000C687A">
        <w:rPr>
          <w:szCs w:val="26"/>
        </w:rPr>
        <w:t>,</w:t>
      </w:r>
      <w:r w:rsidRPr="0053513F">
        <w:rPr>
          <w:szCs w:val="26"/>
        </w:rPr>
        <w:t xml:space="preserve"> 59 Cal.App.5th 593 insofar as its assertion that “[w]hen a child is of tender age, a parent’s substance abuse </w:t>
      </w:r>
      <w:r w:rsidRPr="0053513F">
        <w:rPr>
          <w:i/>
          <w:iCs/>
          <w:szCs w:val="26"/>
        </w:rPr>
        <w:t xml:space="preserve">can be </w:t>
      </w:r>
      <w:r w:rsidRPr="0053513F">
        <w:rPr>
          <w:szCs w:val="26"/>
        </w:rPr>
        <w:t>prima facie evidence of a risk of serious physical harm or illness” (</w:t>
      </w:r>
      <w:r w:rsidRPr="0053513F">
        <w:rPr>
          <w:i/>
          <w:iCs/>
          <w:szCs w:val="26"/>
        </w:rPr>
        <w:t>id</w:t>
      </w:r>
      <w:r w:rsidRPr="0053513F">
        <w:rPr>
          <w:szCs w:val="26"/>
        </w:rPr>
        <w:t>. at p.</w:t>
      </w:r>
      <w:r w:rsidR="00582FDD">
        <w:rPr>
          <w:szCs w:val="26"/>
        </w:rPr>
        <w:t> </w:t>
      </w:r>
      <w:r w:rsidRPr="0053513F">
        <w:rPr>
          <w:szCs w:val="26"/>
        </w:rPr>
        <w:t>603, italics added) might be read as broadly relieving the</w:t>
      </w:r>
      <w:r w:rsidRPr="0053513F">
        <w:rPr>
          <w:szCs w:val="26"/>
        </w:rPr>
        <w:t xml:space="preserve"> government of its </w:t>
      </w:r>
      <w:r>
        <w:rPr>
          <w:szCs w:val="26"/>
        </w:rPr>
        <w:t xml:space="preserve">full </w:t>
      </w:r>
      <w:r w:rsidRPr="0053513F">
        <w:rPr>
          <w:szCs w:val="26"/>
        </w:rPr>
        <w:t xml:space="preserve">burden </w:t>
      </w:r>
      <w:r>
        <w:rPr>
          <w:szCs w:val="26"/>
        </w:rPr>
        <w:t>under section 300(b)(1)(D)</w:t>
      </w:r>
      <w:r w:rsidRPr="0053513F">
        <w:rPr>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C480" w14:textId="77777777" w:rsidR="00A77C37" w:rsidRDefault="00B46361">
    <w:pPr>
      <w:pStyle w:val="Header"/>
    </w:pPr>
    <w:r>
      <w:t>I</w:t>
    </w:r>
    <w:r w:rsidR="00AA186E">
      <w:t>n re</w:t>
    </w:r>
    <w:r>
      <w:t xml:space="preserve"> N.R.</w:t>
    </w:r>
  </w:p>
  <w:p w14:paraId="72EDC481" w14:textId="77777777" w:rsidR="00A77C37" w:rsidRDefault="00B46361">
    <w:pPr>
      <w:pStyle w:val="Header"/>
    </w:pPr>
    <w:r>
      <w:t>Opinion of the Court by Guerrero, C. J.</w:t>
    </w:r>
  </w:p>
  <w:p w14:paraId="72EDC482" w14:textId="77777777" w:rsidR="00A77C37" w:rsidRDefault="00A7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C485" w14:textId="77777777" w:rsidR="00E34C0B" w:rsidRPr="00E34C0B" w:rsidRDefault="00E34C0B" w:rsidP="00926910">
    <w:pPr>
      <w:pStyle w:val="Header"/>
      <w:jc w:val="right"/>
      <w:rPr>
        <w:rFonts w:ascii="Arial" w:hAnsi="Arial"/>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9DB8" w14:textId="77777777" w:rsidR="0002754B" w:rsidRDefault="00027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CE9"/>
    <w:multiLevelType w:val="hybridMultilevel"/>
    <w:tmpl w:val="7FA41460"/>
    <w:lvl w:ilvl="0" w:tplc="1A348EBA">
      <w:start w:val="1"/>
      <w:numFmt w:val="upperRoman"/>
      <w:lvlText w:val="%1."/>
      <w:lvlJc w:val="left"/>
      <w:pPr>
        <w:ind w:left="1080" w:hanging="720"/>
      </w:pPr>
      <w:rPr>
        <w:rFonts w:hint="default"/>
      </w:rPr>
    </w:lvl>
    <w:lvl w:ilvl="1" w:tplc="1D04945E" w:tentative="1">
      <w:start w:val="1"/>
      <w:numFmt w:val="lowerLetter"/>
      <w:lvlText w:val="%2."/>
      <w:lvlJc w:val="left"/>
      <w:pPr>
        <w:ind w:left="1440" w:hanging="360"/>
      </w:pPr>
    </w:lvl>
    <w:lvl w:ilvl="2" w:tplc="68A4EA3A" w:tentative="1">
      <w:start w:val="1"/>
      <w:numFmt w:val="lowerRoman"/>
      <w:lvlText w:val="%3."/>
      <w:lvlJc w:val="right"/>
      <w:pPr>
        <w:ind w:left="2160" w:hanging="180"/>
      </w:pPr>
    </w:lvl>
    <w:lvl w:ilvl="3" w:tplc="3C668944" w:tentative="1">
      <w:start w:val="1"/>
      <w:numFmt w:val="decimal"/>
      <w:lvlText w:val="%4."/>
      <w:lvlJc w:val="left"/>
      <w:pPr>
        <w:ind w:left="2880" w:hanging="360"/>
      </w:pPr>
    </w:lvl>
    <w:lvl w:ilvl="4" w:tplc="908A68B4" w:tentative="1">
      <w:start w:val="1"/>
      <w:numFmt w:val="lowerLetter"/>
      <w:lvlText w:val="%5."/>
      <w:lvlJc w:val="left"/>
      <w:pPr>
        <w:ind w:left="3600" w:hanging="360"/>
      </w:pPr>
    </w:lvl>
    <w:lvl w:ilvl="5" w:tplc="49E08418" w:tentative="1">
      <w:start w:val="1"/>
      <w:numFmt w:val="lowerRoman"/>
      <w:lvlText w:val="%6."/>
      <w:lvlJc w:val="right"/>
      <w:pPr>
        <w:ind w:left="4320" w:hanging="180"/>
      </w:pPr>
    </w:lvl>
    <w:lvl w:ilvl="6" w:tplc="1870F62A" w:tentative="1">
      <w:start w:val="1"/>
      <w:numFmt w:val="decimal"/>
      <w:lvlText w:val="%7."/>
      <w:lvlJc w:val="left"/>
      <w:pPr>
        <w:ind w:left="5040" w:hanging="360"/>
      </w:pPr>
    </w:lvl>
    <w:lvl w:ilvl="7" w:tplc="360251E6" w:tentative="1">
      <w:start w:val="1"/>
      <w:numFmt w:val="lowerLetter"/>
      <w:lvlText w:val="%8."/>
      <w:lvlJc w:val="left"/>
      <w:pPr>
        <w:ind w:left="5760" w:hanging="360"/>
      </w:pPr>
    </w:lvl>
    <w:lvl w:ilvl="8" w:tplc="3708B090" w:tentative="1">
      <w:start w:val="1"/>
      <w:numFmt w:val="lowerRoman"/>
      <w:lvlText w:val="%9."/>
      <w:lvlJc w:val="right"/>
      <w:pPr>
        <w:ind w:left="6480" w:hanging="180"/>
      </w:pPr>
    </w:lvl>
  </w:abstractNum>
  <w:abstractNum w:abstractNumId="1" w15:restartNumberingAfterBreak="0">
    <w:nsid w:val="05596306"/>
    <w:multiLevelType w:val="hybridMultilevel"/>
    <w:tmpl w:val="375C1418"/>
    <w:lvl w:ilvl="0" w:tplc="77EC1D46">
      <w:start w:val="1"/>
      <w:numFmt w:val="decimal"/>
      <w:lvlText w:val="%1."/>
      <w:lvlJc w:val="left"/>
      <w:pPr>
        <w:ind w:left="1008" w:hanging="360"/>
      </w:pPr>
      <w:rPr>
        <w:rFonts w:hint="default"/>
      </w:rPr>
    </w:lvl>
    <w:lvl w:ilvl="1" w:tplc="4C6E7EF2" w:tentative="1">
      <w:start w:val="1"/>
      <w:numFmt w:val="lowerLetter"/>
      <w:lvlText w:val="%2."/>
      <w:lvlJc w:val="left"/>
      <w:pPr>
        <w:ind w:left="1728" w:hanging="360"/>
      </w:pPr>
    </w:lvl>
    <w:lvl w:ilvl="2" w:tplc="6F047912" w:tentative="1">
      <w:start w:val="1"/>
      <w:numFmt w:val="lowerRoman"/>
      <w:lvlText w:val="%3."/>
      <w:lvlJc w:val="right"/>
      <w:pPr>
        <w:ind w:left="2448" w:hanging="180"/>
      </w:pPr>
    </w:lvl>
    <w:lvl w:ilvl="3" w:tplc="4394E2F4" w:tentative="1">
      <w:start w:val="1"/>
      <w:numFmt w:val="decimal"/>
      <w:lvlText w:val="%4."/>
      <w:lvlJc w:val="left"/>
      <w:pPr>
        <w:ind w:left="3168" w:hanging="360"/>
      </w:pPr>
    </w:lvl>
    <w:lvl w:ilvl="4" w:tplc="27A41FB6" w:tentative="1">
      <w:start w:val="1"/>
      <w:numFmt w:val="lowerLetter"/>
      <w:lvlText w:val="%5."/>
      <w:lvlJc w:val="left"/>
      <w:pPr>
        <w:ind w:left="3888" w:hanging="360"/>
      </w:pPr>
    </w:lvl>
    <w:lvl w:ilvl="5" w:tplc="0AFCB882" w:tentative="1">
      <w:start w:val="1"/>
      <w:numFmt w:val="lowerRoman"/>
      <w:lvlText w:val="%6."/>
      <w:lvlJc w:val="right"/>
      <w:pPr>
        <w:ind w:left="4608" w:hanging="180"/>
      </w:pPr>
    </w:lvl>
    <w:lvl w:ilvl="6" w:tplc="E0781DC4" w:tentative="1">
      <w:start w:val="1"/>
      <w:numFmt w:val="decimal"/>
      <w:lvlText w:val="%7."/>
      <w:lvlJc w:val="left"/>
      <w:pPr>
        <w:ind w:left="5328" w:hanging="360"/>
      </w:pPr>
    </w:lvl>
    <w:lvl w:ilvl="7" w:tplc="3804475E" w:tentative="1">
      <w:start w:val="1"/>
      <w:numFmt w:val="lowerLetter"/>
      <w:lvlText w:val="%8."/>
      <w:lvlJc w:val="left"/>
      <w:pPr>
        <w:ind w:left="6048" w:hanging="360"/>
      </w:pPr>
    </w:lvl>
    <w:lvl w:ilvl="8" w:tplc="5C0809C2" w:tentative="1">
      <w:start w:val="1"/>
      <w:numFmt w:val="lowerRoman"/>
      <w:lvlText w:val="%9."/>
      <w:lvlJc w:val="right"/>
      <w:pPr>
        <w:ind w:left="6768" w:hanging="180"/>
      </w:pPr>
    </w:lvl>
  </w:abstractNum>
  <w:abstractNum w:abstractNumId="2" w15:restartNumberingAfterBreak="0">
    <w:nsid w:val="068A7BA4"/>
    <w:multiLevelType w:val="multilevel"/>
    <w:tmpl w:val="0878446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6F64429"/>
    <w:multiLevelType w:val="hybridMultilevel"/>
    <w:tmpl w:val="36EECC28"/>
    <w:lvl w:ilvl="0" w:tplc="125A88F4">
      <w:start w:val="1"/>
      <w:numFmt w:val="upperRoman"/>
      <w:lvlText w:val="%1."/>
      <w:lvlJc w:val="left"/>
      <w:pPr>
        <w:ind w:left="1080" w:hanging="720"/>
      </w:pPr>
      <w:rPr>
        <w:rFonts w:hint="default"/>
      </w:rPr>
    </w:lvl>
    <w:lvl w:ilvl="1" w:tplc="64323ABE" w:tentative="1">
      <w:start w:val="1"/>
      <w:numFmt w:val="lowerLetter"/>
      <w:lvlText w:val="%2."/>
      <w:lvlJc w:val="left"/>
      <w:pPr>
        <w:ind w:left="1440" w:hanging="360"/>
      </w:pPr>
    </w:lvl>
    <w:lvl w:ilvl="2" w:tplc="14EC2A14" w:tentative="1">
      <w:start w:val="1"/>
      <w:numFmt w:val="lowerRoman"/>
      <w:lvlText w:val="%3."/>
      <w:lvlJc w:val="right"/>
      <w:pPr>
        <w:ind w:left="2160" w:hanging="180"/>
      </w:pPr>
    </w:lvl>
    <w:lvl w:ilvl="3" w:tplc="93221066" w:tentative="1">
      <w:start w:val="1"/>
      <w:numFmt w:val="decimal"/>
      <w:lvlText w:val="%4."/>
      <w:lvlJc w:val="left"/>
      <w:pPr>
        <w:ind w:left="2880" w:hanging="360"/>
      </w:pPr>
    </w:lvl>
    <w:lvl w:ilvl="4" w:tplc="890AEDBE" w:tentative="1">
      <w:start w:val="1"/>
      <w:numFmt w:val="lowerLetter"/>
      <w:lvlText w:val="%5."/>
      <w:lvlJc w:val="left"/>
      <w:pPr>
        <w:ind w:left="3600" w:hanging="360"/>
      </w:pPr>
    </w:lvl>
    <w:lvl w:ilvl="5" w:tplc="2820A2C0" w:tentative="1">
      <w:start w:val="1"/>
      <w:numFmt w:val="lowerRoman"/>
      <w:lvlText w:val="%6."/>
      <w:lvlJc w:val="right"/>
      <w:pPr>
        <w:ind w:left="4320" w:hanging="180"/>
      </w:pPr>
    </w:lvl>
    <w:lvl w:ilvl="6" w:tplc="1A78D9DE" w:tentative="1">
      <w:start w:val="1"/>
      <w:numFmt w:val="decimal"/>
      <w:lvlText w:val="%7."/>
      <w:lvlJc w:val="left"/>
      <w:pPr>
        <w:ind w:left="5040" w:hanging="360"/>
      </w:pPr>
    </w:lvl>
    <w:lvl w:ilvl="7" w:tplc="CAAA887A" w:tentative="1">
      <w:start w:val="1"/>
      <w:numFmt w:val="lowerLetter"/>
      <w:lvlText w:val="%8."/>
      <w:lvlJc w:val="left"/>
      <w:pPr>
        <w:ind w:left="5760" w:hanging="360"/>
      </w:pPr>
    </w:lvl>
    <w:lvl w:ilvl="8" w:tplc="452C3AB8" w:tentative="1">
      <w:start w:val="1"/>
      <w:numFmt w:val="lowerRoman"/>
      <w:lvlText w:val="%9."/>
      <w:lvlJc w:val="right"/>
      <w:pPr>
        <w:ind w:left="6480" w:hanging="180"/>
      </w:pPr>
    </w:lvl>
  </w:abstractNum>
  <w:abstractNum w:abstractNumId="4" w15:restartNumberingAfterBreak="0">
    <w:nsid w:val="094013D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0FE15028"/>
    <w:multiLevelType w:val="hybridMultilevel"/>
    <w:tmpl w:val="419E9CD4"/>
    <w:lvl w:ilvl="0" w:tplc="2D8A55FA">
      <w:start w:val="1"/>
      <w:numFmt w:val="decimal"/>
      <w:lvlText w:val="%1."/>
      <w:lvlJc w:val="left"/>
      <w:pPr>
        <w:ind w:left="1080" w:hanging="360"/>
      </w:pPr>
      <w:rPr>
        <w:rFonts w:hint="default"/>
      </w:rPr>
    </w:lvl>
    <w:lvl w:ilvl="1" w:tplc="BC5CBBFC">
      <w:start w:val="1"/>
      <w:numFmt w:val="lowerLetter"/>
      <w:lvlText w:val="%2."/>
      <w:lvlJc w:val="left"/>
      <w:pPr>
        <w:ind w:left="1800" w:hanging="360"/>
      </w:pPr>
    </w:lvl>
    <w:lvl w:ilvl="2" w:tplc="36A60378" w:tentative="1">
      <w:start w:val="1"/>
      <w:numFmt w:val="lowerRoman"/>
      <w:lvlText w:val="%3."/>
      <w:lvlJc w:val="right"/>
      <w:pPr>
        <w:ind w:left="2520" w:hanging="180"/>
      </w:pPr>
    </w:lvl>
    <w:lvl w:ilvl="3" w:tplc="6ED208B4" w:tentative="1">
      <w:start w:val="1"/>
      <w:numFmt w:val="decimal"/>
      <w:lvlText w:val="%4."/>
      <w:lvlJc w:val="left"/>
      <w:pPr>
        <w:ind w:left="3240" w:hanging="360"/>
      </w:pPr>
    </w:lvl>
    <w:lvl w:ilvl="4" w:tplc="2A9ACEA0" w:tentative="1">
      <w:start w:val="1"/>
      <w:numFmt w:val="lowerLetter"/>
      <w:lvlText w:val="%5."/>
      <w:lvlJc w:val="left"/>
      <w:pPr>
        <w:ind w:left="3960" w:hanging="360"/>
      </w:pPr>
    </w:lvl>
    <w:lvl w:ilvl="5" w:tplc="75E20210" w:tentative="1">
      <w:start w:val="1"/>
      <w:numFmt w:val="lowerRoman"/>
      <w:lvlText w:val="%6."/>
      <w:lvlJc w:val="right"/>
      <w:pPr>
        <w:ind w:left="4680" w:hanging="180"/>
      </w:pPr>
    </w:lvl>
    <w:lvl w:ilvl="6" w:tplc="5EA8A79E" w:tentative="1">
      <w:start w:val="1"/>
      <w:numFmt w:val="decimal"/>
      <w:lvlText w:val="%7."/>
      <w:lvlJc w:val="left"/>
      <w:pPr>
        <w:ind w:left="5400" w:hanging="360"/>
      </w:pPr>
    </w:lvl>
    <w:lvl w:ilvl="7" w:tplc="E7BCC594" w:tentative="1">
      <w:start w:val="1"/>
      <w:numFmt w:val="lowerLetter"/>
      <w:lvlText w:val="%8."/>
      <w:lvlJc w:val="left"/>
      <w:pPr>
        <w:ind w:left="6120" w:hanging="360"/>
      </w:pPr>
    </w:lvl>
    <w:lvl w:ilvl="8" w:tplc="56ECFBC4" w:tentative="1">
      <w:start w:val="1"/>
      <w:numFmt w:val="lowerRoman"/>
      <w:lvlText w:val="%9."/>
      <w:lvlJc w:val="right"/>
      <w:pPr>
        <w:ind w:left="6840" w:hanging="180"/>
      </w:pPr>
    </w:lvl>
  </w:abstractNum>
  <w:abstractNum w:abstractNumId="6" w15:restartNumberingAfterBreak="0">
    <w:nsid w:val="11081C15"/>
    <w:multiLevelType w:val="hybridMultilevel"/>
    <w:tmpl w:val="D0D89B8E"/>
    <w:lvl w:ilvl="0" w:tplc="E49A8662">
      <w:start w:val="1"/>
      <w:numFmt w:val="upperRoman"/>
      <w:lvlText w:val="%1."/>
      <w:lvlJc w:val="left"/>
      <w:pPr>
        <w:ind w:left="1080" w:hanging="720"/>
      </w:pPr>
      <w:rPr>
        <w:rFonts w:hint="default"/>
      </w:rPr>
    </w:lvl>
    <w:lvl w:ilvl="1" w:tplc="01662730" w:tentative="1">
      <w:start w:val="1"/>
      <w:numFmt w:val="lowerLetter"/>
      <w:lvlText w:val="%2."/>
      <w:lvlJc w:val="left"/>
      <w:pPr>
        <w:ind w:left="1440" w:hanging="360"/>
      </w:pPr>
    </w:lvl>
    <w:lvl w:ilvl="2" w:tplc="A3C683BE" w:tentative="1">
      <w:start w:val="1"/>
      <w:numFmt w:val="lowerRoman"/>
      <w:lvlText w:val="%3."/>
      <w:lvlJc w:val="right"/>
      <w:pPr>
        <w:ind w:left="2160" w:hanging="180"/>
      </w:pPr>
    </w:lvl>
    <w:lvl w:ilvl="3" w:tplc="B63E0AA4" w:tentative="1">
      <w:start w:val="1"/>
      <w:numFmt w:val="decimal"/>
      <w:lvlText w:val="%4."/>
      <w:lvlJc w:val="left"/>
      <w:pPr>
        <w:ind w:left="2880" w:hanging="360"/>
      </w:pPr>
    </w:lvl>
    <w:lvl w:ilvl="4" w:tplc="95CE99F8" w:tentative="1">
      <w:start w:val="1"/>
      <w:numFmt w:val="lowerLetter"/>
      <w:lvlText w:val="%5."/>
      <w:lvlJc w:val="left"/>
      <w:pPr>
        <w:ind w:left="3600" w:hanging="360"/>
      </w:pPr>
    </w:lvl>
    <w:lvl w:ilvl="5" w:tplc="28A8295C" w:tentative="1">
      <w:start w:val="1"/>
      <w:numFmt w:val="lowerRoman"/>
      <w:lvlText w:val="%6."/>
      <w:lvlJc w:val="right"/>
      <w:pPr>
        <w:ind w:left="4320" w:hanging="180"/>
      </w:pPr>
    </w:lvl>
    <w:lvl w:ilvl="6" w:tplc="1AC09B22" w:tentative="1">
      <w:start w:val="1"/>
      <w:numFmt w:val="decimal"/>
      <w:lvlText w:val="%7."/>
      <w:lvlJc w:val="left"/>
      <w:pPr>
        <w:ind w:left="5040" w:hanging="360"/>
      </w:pPr>
    </w:lvl>
    <w:lvl w:ilvl="7" w:tplc="DD8E50EC" w:tentative="1">
      <w:start w:val="1"/>
      <w:numFmt w:val="lowerLetter"/>
      <w:lvlText w:val="%8."/>
      <w:lvlJc w:val="left"/>
      <w:pPr>
        <w:ind w:left="5760" w:hanging="360"/>
      </w:pPr>
    </w:lvl>
    <w:lvl w:ilvl="8" w:tplc="E402D60C" w:tentative="1">
      <w:start w:val="1"/>
      <w:numFmt w:val="lowerRoman"/>
      <w:lvlText w:val="%9."/>
      <w:lvlJc w:val="right"/>
      <w:pPr>
        <w:ind w:left="6480" w:hanging="180"/>
      </w:pPr>
    </w:lvl>
  </w:abstractNum>
  <w:abstractNum w:abstractNumId="7" w15:restartNumberingAfterBreak="0">
    <w:nsid w:val="11563C2B"/>
    <w:multiLevelType w:val="hybridMultilevel"/>
    <w:tmpl w:val="809C74A6"/>
    <w:lvl w:ilvl="0" w:tplc="310AC4FE">
      <w:start w:val="1"/>
      <w:numFmt w:val="decimal"/>
      <w:lvlText w:val="%1."/>
      <w:lvlJc w:val="left"/>
      <w:pPr>
        <w:ind w:left="1530" w:hanging="360"/>
      </w:pPr>
      <w:rPr>
        <w:rFonts w:hint="default"/>
        <w:i w:val="0"/>
        <w:iCs/>
      </w:rPr>
    </w:lvl>
    <w:lvl w:ilvl="1" w:tplc="D192569A">
      <w:start w:val="1"/>
      <w:numFmt w:val="lowerLetter"/>
      <w:lvlText w:val="%2."/>
      <w:lvlJc w:val="left"/>
      <w:pPr>
        <w:ind w:left="2250" w:hanging="360"/>
      </w:pPr>
    </w:lvl>
    <w:lvl w:ilvl="2" w:tplc="BBC27FFE" w:tentative="1">
      <w:start w:val="1"/>
      <w:numFmt w:val="lowerRoman"/>
      <w:lvlText w:val="%3."/>
      <w:lvlJc w:val="right"/>
      <w:pPr>
        <w:ind w:left="2970" w:hanging="180"/>
      </w:pPr>
    </w:lvl>
    <w:lvl w:ilvl="3" w:tplc="BF5A8CF2" w:tentative="1">
      <w:start w:val="1"/>
      <w:numFmt w:val="decimal"/>
      <w:lvlText w:val="%4."/>
      <w:lvlJc w:val="left"/>
      <w:pPr>
        <w:ind w:left="3690" w:hanging="360"/>
      </w:pPr>
    </w:lvl>
    <w:lvl w:ilvl="4" w:tplc="845A09D4" w:tentative="1">
      <w:start w:val="1"/>
      <w:numFmt w:val="lowerLetter"/>
      <w:lvlText w:val="%5."/>
      <w:lvlJc w:val="left"/>
      <w:pPr>
        <w:ind w:left="4410" w:hanging="360"/>
      </w:pPr>
    </w:lvl>
    <w:lvl w:ilvl="5" w:tplc="6700D2B2" w:tentative="1">
      <w:start w:val="1"/>
      <w:numFmt w:val="lowerRoman"/>
      <w:lvlText w:val="%6."/>
      <w:lvlJc w:val="right"/>
      <w:pPr>
        <w:ind w:left="5130" w:hanging="180"/>
      </w:pPr>
    </w:lvl>
    <w:lvl w:ilvl="6" w:tplc="77100C7A" w:tentative="1">
      <w:start w:val="1"/>
      <w:numFmt w:val="decimal"/>
      <w:lvlText w:val="%7."/>
      <w:lvlJc w:val="left"/>
      <w:pPr>
        <w:ind w:left="5850" w:hanging="360"/>
      </w:pPr>
    </w:lvl>
    <w:lvl w:ilvl="7" w:tplc="0F8CAD14" w:tentative="1">
      <w:start w:val="1"/>
      <w:numFmt w:val="lowerLetter"/>
      <w:lvlText w:val="%8."/>
      <w:lvlJc w:val="left"/>
      <w:pPr>
        <w:ind w:left="6570" w:hanging="360"/>
      </w:pPr>
    </w:lvl>
    <w:lvl w:ilvl="8" w:tplc="529C97B6" w:tentative="1">
      <w:start w:val="1"/>
      <w:numFmt w:val="lowerRoman"/>
      <w:lvlText w:val="%9."/>
      <w:lvlJc w:val="right"/>
      <w:pPr>
        <w:ind w:left="7290" w:hanging="180"/>
      </w:pPr>
    </w:lvl>
  </w:abstractNum>
  <w:abstractNum w:abstractNumId="8" w15:restartNumberingAfterBreak="0">
    <w:nsid w:val="14482F5F"/>
    <w:multiLevelType w:val="hybridMultilevel"/>
    <w:tmpl w:val="915CDD2C"/>
    <w:lvl w:ilvl="0" w:tplc="D6E6BFE0">
      <w:start w:val="1"/>
      <w:numFmt w:val="decimal"/>
      <w:lvlText w:val="%1."/>
      <w:lvlJc w:val="left"/>
      <w:pPr>
        <w:ind w:left="720" w:hanging="360"/>
      </w:pPr>
      <w:rPr>
        <w:rFonts w:hint="default"/>
      </w:rPr>
    </w:lvl>
    <w:lvl w:ilvl="1" w:tplc="AEA69BDA" w:tentative="1">
      <w:start w:val="1"/>
      <w:numFmt w:val="lowerLetter"/>
      <w:lvlText w:val="%2."/>
      <w:lvlJc w:val="left"/>
      <w:pPr>
        <w:ind w:left="1440" w:hanging="360"/>
      </w:pPr>
    </w:lvl>
    <w:lvl w:ilvl="2" w:tplc="782C8A7E" w:tentative="1">
      <w:start w:val="1"/>
      <w:numFmt w:val="lowerRoman"/>
      <w:lvlText w:val="%3."/>
      <w:lvlJc w:val="right"/>
      <w:pPr>
        <w:ind w:left="2160" w:hanging="180"/>
      </w:pPr>
    </w:lvl>
    <w:lvl w:ilvl="3" w:tplc="7DEAEEF0" w:tentative="1">
      <w:start w:val="1"/>
      <w:numFmt w:val="decimal"/>
      <w:lvlText w:val="%4."/>
      <w:lvlJc w:val="left"/>
      <w:pPr>
        <w:ind w:left="2880" w:hanging="360"/>
      </w:pPr>
    </w:lvl>
    <w:lvl w:ilvl="4" w:tplc="16D8A0B0" w:tentative="1">
      <w:start w:val="1"/>
      <w:numFmt w:val="lowerLetter"/>
      <w:lvlText w:val="%5."/>
      <w:lvlJc w:val="left"/>
      <w:pPr>
        <w:ind w:left="3600" w:hanging="360"/>
      </w:pPr>
    </w:lvl>
    <w:lvl w:ilvl="5" w:tplc="F72617DE" w:tentative="1">
      <w:start w:val="1"/>
      <w:numFmt w:val="lowerRoman"/>
      <w:lvlText w:val="%6."/>
      <w:lvlJc w:val="right"/>
      <w:pPr>
        <w:ind w:left="4320" w:hanging="180"/>
      </w:pPr>
    </w:lvl>
    <w:lvl w:ilvl="6" w:tplc="F556691A" w:tentative="1">
      <w:start w:val="1"/>
      <w:numFmt w:val="decimal"/>
      <w:lvlText w:val="%7."/>
      <w:lvlJc w:val="left"/>
      <w:pPr>
        <w:ind w:left="5040" w:hanging="360"/>
      </w:pPr>
    </w:lvl>
    <w:lvl w:ilvl="7" w:tplc="9828BA04" w:tentative="1">
      <w:start w:val="1"/>
      <w:numFmt w:val="lowerLetter"/>
      <w:lvlText w:val="%8."/>
      <w:lvlJc w:val="left"/>
      <w:pPr>
        <w:ind w:left="5760" w:hanging="360"/>
      </w:pPr>
    </w:lvl>
    <w:lvl w:ilvl="8" w:tplc="D944B392" w:tentative="1">
      <w:start w:val="1"/>
      <w:numFmt w:val="lowerRoman"/>
      <w:lvlText w:val="%9."/>
      <w:lvlJc w:val="right"/>
      <w:pPr>
        <w:ind w:left="6480" w:hanging="180"/>
      </w:pPr>
    </w:lvl>
  </w:abstractNum>
  <w:abstractNum w:abstractNumId="9" w15:restartNumberingAfterBreak="0">
    <w:nsid w:val="2273469B"/>
    <w:multiLevelType w:val="hybridMultilevel"/>
    <w:tmpl w:val="9E1291B8"/>
    <w:lvl w:ilvl="0" w:tplc="01CA189E">
      <w:start w:val="1"/>
      <w:numFmt w:val="upperLetter"/>
      <w:lvlText w:val="%1."/>
      <w:lvlJc w:val="left"/>
      <w:pPr>
        <w:ind w:left="720" w:hanging="360"/>
      </w:pPr>
      <w:rPr>
        <w:rFonts w:hint="default"/>
      </w:rPr>
    </w:lvl>
    <w:lvl w:ilvl="1" w:tplc="DD5EE69A">
      <w:start w:val="1"/>
      <w:numFmt w:val="lowerLetter"/>
      <w:lvlText w:val="%2."/>
      <w:lvlJc w:val="left"/>
      <w:pPr>
        <w:ind w:left="1440" w:hanging="360"/>
      </w:pPr>
    </w:lvl>
    <w:lvl w:ilvl="2" w:tplc="5B52B9B6" w:tentative="1">
      <w:start w:val="1"/>
      <w:numFmt w:val="lowerRoman"/>
      <w:lvlText w:val="%3."/>
      <w:lvlJc w:val="right"/>
      <w:pPr>
        <w:ind w:left="2160" w:hanging="180"/>
      </w:pPr>
    </w:lvl>
    <w:lvl w:ilvl="3" w:tplc="EACAFB18" w:tentative="1">
      <w:start w:val="1"/>
      <w:numFmt w:val="decimal"/>
      <w:lvlText w:val="%4."/>
      <w:lvlJc w:val="left"/>
      <w:pPr>
        <w:ind w:left="2880" w:hanging="360"/>
      </w:pPr>
    </w:lvl>
    <w:lvl w:ilvl="4" w:tplc="4E94DFBE" w:tentative="1">
      <w:start w:val="1"/>
      <w:numFmt w:val="lowerLetter"/>
      <w:lvlText w:val="%5."/>
      <w:lvlJc w:val="left"/>
      <w:pPr>
        <w:ind w:left="3600" w:hanging="360"/>
      </w:pPr>
    </w:lvl>
    <w:lvl w:ilvl="5" w:tplc="F6F83FC0" w:tentative="1">
      <w:start w:val="1"/>
      <w:numFmt w:val="lowerRoman"/>
      <w:lvlText w:val="%6."/>
      <w:lvlJc w:val="right"/>
      <w:pPr>
        <w:ind w:left="4320" w:hanging="180"/>
      </w:pPr>
    </w:lvl>
    <w:lvl w:ilvl="6" w:tplc="3372FB28" w:tentative="1">
      <w:start w:val="1"/>
      <w:numFmt w:val="decimal"/>
      <w:lvlText w:val="%7."/>
      <w:lvlJc w:val="left"/>
      <w:pPr>
        <w:ind w:left="5040" w:hanging="360"/>
      </w:pPr>
    </w:lvl>
    <w:lvl w:ilvl="7" w:tplc="B9A6A58E" w:tentative="1">
      <w:start w:val="1"/>
      <w:numFmt w:val="lowerLetter"/>
      <w:lvlText w:val="%8."/>
      <w:lvlJc w:val="left"/>
      <w:pPr>
        <w:ind w:left="5760" w:hanging="360"/>
      </w:pPr>
    </w:lvl>
    <w:lvl w:ilvl="8" w:tplc="EB7A40D2" w:tentative="1">
      <w:start w:val="1"/>
      <w:numFmt w:val="lowerRoman"/>
      <w:lvlText w:val="%9."/>
      <w:lvlJc w:val="right"/>
      <w:pPr>
        <w:ind w:left="6480" w:hanging="180"/>
      </w:pPr>
    </w:lvl>
  </w:abstractNum>
  <w:abstractNum w:abstractNumId="10" w15:restartNumberingAfterBreak="0">
    <w:nsid w:val="266B0571"/>
    <w:multiLevelType w:val="hybridMultilevel"/>
    <w:tmpl w:val="7A5231B4"/>
    <w:lvl w:ilvl="0" w:tplc="8BACDE7E">
      <w:start w:val="1"/>
      <w:numFmt w:val="upperLetter"/>
      <w:lvlText w:val="%1."/>
      <w:lvlJc w:val="left"/>
      <w:pPr>
        <w:ind w:left="720" w:hanging="360"/>
      </w:pPr>
      <w:rPr>
        <w:rFonts w:hint="default"/>
      </w:rPr>
    </w:lvl>
    <w:lvl w:ilvl="1" w:tplc="3A94B5AE" w:tentative="1">
      <w:start w:val="1"/>
      <w:numFmt w:val="lowerLetter"/>
      <w:lvlText w:val="%2."/>
      <w:lvlJc w:val="left"/>
      <w:pPr>
        <w:ind w:left="1440" w:hanging="360"/>
      </w:pPr>
    </w:lvl>
    <w:lvl w:ilvl="2" w:tplc="5DF606C4" w:tentative="1">
      <w:start w:val="1"/>
      <w:numFmt w:val="lowerRoman"/>
      <w:lvlText w:val="%3."/>
      <w:lvlJc w:val="right"/>
      <w:pPr>
        <w:ind w:left="2160" w:hanging="180"/>
      </w:pPr>
    </w:lvl>
    <w:lvl w:ilvl="3" w:tplc="01068788" w:tentative="1">
      <w:start w:val="1"/>
      <w:numFmt w:val="decimal"/>
      <w:lvlText w:val="%4."/>
      <w:lvlJc w:val="left"/>
      <w:pPr>
        <w:ind w:left="2880" w:hanging="360"/>
      </w:pPr>
    </w:lvl>
    <w:lvl w:ilvl="4" w:tplc="F3606C3A" w:tentative="1">
      <w:start w:val="1"/>
      <w:numFmt w:val="lowerLetter"/>
      <w:lvlText w:val="%5."/>
      <w:lvlJc w:val="left"/>
      <w:pPr>
        <w:ind w:left="3600" w:hanging="360"/>
      </w:pPr>
    </w:lvl>
    <w:lvl w:ilvl="5" w:tplc="5136D830" w:tentative="1">
      <w:start w:val="1"/>
      <w:numFmt w:val="lowerRoman"/>
      <w:lvlText w:val="%6."/>
      <w:lvlJc w:val="right"/>
      <w:pPr>
        <w:ind w:left="4320" w:hanging="180"/>
      </w:pPr>
    </w:lvl>
    <w:lvl w:ilvl="6" w:tplc="5ED80120" w:tentative="1">
      <w:start w:val="1"/>
      <w:numFmt w:val="decimal"/>
      <w:lvlText w:val="%7."/>
      <w:lvlJc w:val="left"/>
      <w:pPr>
        <w:ind w:left="5040" w:hanging="360"/>
      </w:pPr>
    </w:lvl>
    <w:lvl w:ilvl="7" w:tplc="931060A4" w:tentative="1">
      <w:start w:val="1"/>
      <w:numFmt w:val="lowerLetter"/>
      <w:lvlText w:val="%8."/>
      <w:lvlJc w:val="left"/>
      <w:pPr>
        <w:ind w:left="5760" w:hanging="360"/>
      </w:pPr>
    </w:lvl>
    <w:lvl w:ilvl="8" w:tplc="F18AD310" w:tentative="1">
      <w:start w:val="1"/>
      <w:numFmt w:val="lowerRoman"/>
      <w:lvlText w:val="%9."/>
      <w:lvlJc w:val="right"/>
      <w:pPr>
        <w:ind w:left="6480" w:hanging="180"/>
      </w:pPr>
    </w:lvl>
  </w:abstractNum>
  <w:abstractNum w:abstractNumId="11" w15:restartNumberingAfterBreak="0">
    <w:nsid w:val="2C712B90"/>
    <w:multiLevelType w:val="hybridMultilevel"/>
    <w:tmpl w:val="375C1418"/>
    <w:lvl w:ilvl="0" w:tplc="07E06E16">
      <w:start w:val="1"/>
      <w:numFmt w:val="decimal"/>
      <w:lvlText w:val="%1."/>
      <w:lvlJc w:val="left"/>
      <w:pPr>
        <w:ind w:left="1008" w:hanging="360"/>
      </w:pPr>
      <w:rPr>
        <w:rFonts w:hint="default"/>
      </w:rPr>
    </w:lvl>
    <w:lvl w:ilvl="1" w:tplc="E384F3EC" w:tentative="1">
      <w:start w:val="1"/>
      <w:numFmt w:val="lowerLetter"/>
      <w:lvlText w:val="%2."/>
      <w:lvlJc w:val="left"/>
      <w:pPr>
        <w:ind w:left="1728" w:hanging="360"/>
      </w:pPr>
    </w:lvl>
    <w:lvl w:ilvl="2" w:tplc="5388D830" w:tentative="1">
      <w:start w:val="1"/>
      <w:numFmt w:val="lowerRoman"/>
      <w:lvlText w:val="%3."/>
      <w:lvlJc w:val="right"/>
      <w:pPr>
        <w:ind w:left="2448" w:hanging="180"/>
      </w:pPr>
    </w:lvl>
    <w:lvl w:ilvl="3" w:tplc="3684DA28" w:tentative="1">
      <w:start w:val="1"/>
      <w:numFmt w:val="decimal"/>
      <w:lvlText w:val="%4."/>
      <w:lvlJc w:val="left"/>
      <w:pPr>
        <w:ind w:left="3168" w:hanging="360"/>
      </w:pPr>
    </w:lvl>
    <w:lvl w:ilvl="4" w:tplc="F370B984" w:tentative="1">
      <w:start w:val="1"/>
      <w:numFmt w:val="lowerLetter"/>
      <w:lvlText w:val="%5."/>
      <w:lvlJc w:val="left"/>
      <w:pPr>
        <w:ind w:left="3888" w:hanging="360"/>
      </w:pPr>
    </w:lvl>
    <w:lvl w:ilvl="5" w:tplc="816A5044" w:tentative="1">
      <w:start w:val="1"/>
      <w:numFmt w:val="lowerRoman"/>
      <w:lvlText w:val="%6."/>
      <w:lvlJc w:val="right"/>
      <w:pPr>
        <w:ind w:left="4608" w:hanging="180"/>
      </w:pPr>
    </w:lvl>
    <w:lvl w:ilvl="6" w:tplc="B746952A" w:tentative="1">
      <w:start w:val="1"/>
      <w:numFmt w:val="decimal"/>
      <w:lvlText w:val="%7."/>
      <w:lvlJc w:val="left"/>
      <w:pPr>
        <w:ind w:left="5328" w:hanging="360"/>
      </w:pPr>
    </w:lvl>
    <w:lvl w:ilvl="7" w:tplc="F9DC1F3A" w:tentative="1">
      <w:start w:val="1"/>
      <w:numFmt w:val="lowerLetter"/>
      <w:lvlText w:val="%8."/>
      <w:lvlJc w:val="left"/>
      <w:pPr>
        <w:ind w:left="6048" w:hanging="360"/>
      </w:pPr>
    </w:lvl>
    <w:lvl w:ilvl="8" w:tplc="375059D6" w:tentative="1">
      <w:start w:val="1"/>
      <w:numFmt w:val="lowerRoman"/>
      <w:lvlText w:val="%9."/>
      <w:lvlJc w:val="right"/>
      <w:pPr>
        <w:ind w:left="6768" w:hanging="180"/>
      </w:pPr>
    </w:lvl>
  </w:abstractNum>
  <w:abstractNum w:abstractNumId="12" w15:restartNumberingAfterBreak="0">
    <w:nsid w:val="2DED0B87"/>
    <w:multiLevelType w:val="hybridMultilevel"/>
    <w:tmpl w:val="34DEBAE0"/>
    <w:lvl w:ilvl="0" w:tplc="7FBA71FC">
      <w:start w:val="1"/>
      <w:numFmt w:val="upperLetter"/>
      <w:lvlText w:val="%1."/>
      <w:lvlJc w:val="left"/>
      <w:pPr>
        <w:ind w:left="720" w:hanging="360"/>
      </w:pPr>
      <w:rPr>
        <w:rFonts w:hint="default"/>
      </w:rPr>
    </w:lvl>
    <w:lvl w:ilvl="1" w:tplc="45265372" w:tentative="1">
      <w:start w:val="1"/>
      <w:numFmt w:val="lowerLetter"/>
      <w:lvlText w:val="%2."/>
      <w:lvlJc w:val="left"/>
      <w:pPr>
        <w:ind w:left="1440" w:hanging="360"/>
      </w:pPr>
    </w:lvl>
    <w:lvl w:ilvl="2" w:tplc="A1945D18" w:tentative="1">
      <w:start w:val="1"/>
      <w:numFmt w:val="lowerRoman"/>
      <w:lvlText w:val="%3."/>
      <w:lvlJc w:val="right"/>
      <w:pPr>
        <w:ind w:left="2160" w:hanging="180"/>
      </w:pPr>
    </w:lvl>
    <w:lvl w:ilvl="3" w:tplc="F1C26856" w:tentative="1">
      <w:start w:val="1"/>
      <w:numFmt w:val="decimal"/>
      <w:lvlText w:val="%4."/>
      <w:lvlJc w:val="left"/>
      <w:pPr>
        <w:ind w:left="2880" w:hanging="360"/>
      </w:pPr>
    </w:lvl>
    <w:lvl w:ilvl="4" w:tplc="39D2AA6E" w:tentative="1">
      <w:start w:val="1"/>
      <w:numFmt w:val="lowerLetter"/>
      <w:lvlText w:val="%5."/>
      <w:lvlJc w:val="left"/>
      <w:pPr>
        <w:ind w:left="3600" w:hanging="360"/>
      </w:pPr>
    </w:lvl>
    <w:lvl w:ilvl="5" w:tplc="C9D0A698" w:tentative="1">
      <w:start w:val="1"/>
      <w:numFmt w:val="lowerRoman"/>
      <w:lvlText w:val="%6."/>
      <w:lvlJc w:val="right"/>
      <w:pPr>
        <w:ind w:left="4320" w:hanging="180"/>
      </w:pPr>
    </w:lvl>
    <w:lvl w:ilvl="6" w:tplc="B6BA6D5C" w:tentative="1">
      <w:start w:val="1"/>
      <w:numFmt w:val="decimal"/>
      <w:lvlText w:val="%7."/>
      <w:lvlJc w:val="left"/>
      <w:pPr>
        <w:ind w:left="5040" w:hanging="360"/>
      </w:pPr>
    </w:lvl>
    <w:lvl w:ilvl="7" w:tplc="D84ED59E" w:tentative="1">
      <w:start w:val="1"/>
      <w:numFmt w:val="lowerLetter"/>
      <w:lvlText w:val="%8."/>
      <w:lvlJc w:val="left"/>
      <w:pPr>
        <w:ind w:left="5760" w:hanging="360"/>
      </w:pPr>
    </w:lvl>
    <w:lvl w:ilvl="8" w:tplc="9D2E91D8" w:tentative="1">
      <w:start w:val="1"/>
      <w:numFmt w:val="lowerRoman"/>
      <w:lvlText w:val="%9."/>
      <w:lvlJc w:val="right"/>
      <w:pPr>
        <w:ind w:left="6480" w:hanging="180"/>
      </w:pPr>
    </w:lvl>
  </w:abstractNum>
  <w:abstractNum w:abstractNumId="13" w15:restartNumberingAfterBreak="0">
    <w:nsid w:val="2DED2247"/>
    <w:multiLevelType w:val="hybridMultilevel"/>
    <w:tmpl w:val="C898101E"/>
    <w:lvl w:ilvl="0" w:tplc="225EC972">
      <w:start w:val="1"/>
      <w:numFmt w:val="decimal"/>
      <w:lvlText w:val="%1."/>
      <w:lvlJc w:val="left"/>
      <w:pPr>
        <w:ind w:left="1080" w:hanging="360"/>
      </w:pPr>
      <w:rPr>
        <w:rFonts w:hint="default"/>
      </w:rPr>
    </w:lvl>
    <w:lvl w:ilvl="1" w:tplc="925A1E72" w:tentative="1">
      <w:start w:val="1"/>
      <w:numFmt w:val="lowerLetter"/>
      <w:lvlText w:val="%2."/>
      <w:lvlJc w:val="left"/>
      <w:pPr>
        <w:ind w:left="1800" w:hanging="360"/>
      </w:pPr>
    </w:lvl>
    <w:lvl w:ilvl="2" w:tplc="7116B2F0" w:tentative="1">
      <w:start w:val="1"/>
      <w:numFmt w:val="lowerRoman"/>
      <w:lvlText w:val="%3."/>
      <w:lvlJc w:val="right"/>
      <w:pPr>
        <w:ind w:left="2520" w:hanging="180"/>
      </w:pPr>
    </w:lvl>
    <w:lvl w:ilvl="3" w:tplc="4AF27A48" w:tentative="1">
      <w:start w:val="1"/>
      <w:numFmt w:val="decimal"/>
      <w:lvlText w:val="%4."/>
      <w:lvlJc w:val="left"/>
      <w:pPr>
        <w:ind w:left="3240" w:hanging="360"/>
      </w:pPr>
    </w:lvl>
    <w:lvl w:ilvl="4" w:tplc="AC3036B2" w:tentative="1">
      <w:start w:val="1"/>
      <w:numFmt w:val="lowerLetter"/>
      <w:lvlText w:val="%5."/>
      <w:lvlJc w:val="left"/>
      <w:pPr>
        <w:ind w:left="3960" w:hanging="360"/>
      </w:pPr>
    </w:lvl>
    <w:lvl w:ilvl="5" w:tplc="A224CAEE" w:tentative="1">
      <w:start w:val="1"/>
      <w:numFmt w:val="lowerRoman"/>
      <w:lvlText w:val="%6."/>
      <w:lvlJc w:val="right"/>
      <w:pPr>
        <w:ind w:left="4680" w:hanging="180"/>
      </w:pPr>
    </w:lvl>
    <w:lvl w:ilvl="6" w:tplc="BDD4E2A8" w:tentative="1">
      <w:start w:val="1"/>
      <w:numFmt w:val="decimal"/>
      <w:lvlText w:val="%7."/>
      <w:lvlJc w:val="left"/>
      <w:pPr>
        <w:ind w:left="5400" w:hanging="360"/>
      </w:pPr>
    </w:lvl>
    <w:lvl w:ilvl="7" w:tplc="F618A3AA" w:tentative="1">
      <w:start w:val="1"/>
      <w:numFmt w:val="lowerLetter"/>
      <w:lvlText w:val="%8."/>
      <w:lvlJc w:val="left"/>
      <w:pPr>
        <w:ind w:left="6120" w:hanging="360"/>
      </w:pPr>
    </w:lvl>
    <w:lvl w:ilvl="8" w:tplc="45229170" w:tentative="1">
      <w:start w:val="1"/>
      <w:numFmt w:val="lowerRoman"/>
      <w:lvlText w:val="%9."/>
      <w:lvlJc w:val="right"/>
      <w:pPr>
        <w:ind w:left="6840" w:hanging="180"/>
      </w:pPr>
    </w:lvl>
  </w:abstractNum>
  <w:abstractNum w:abstractNumId="14" w15:restartNumberingAfterBreak="0">
    <w:nsid w:val="30A13F9F"/>
    <w:multiLevelType w:val="hybridMultilevel"/>
    <w:tmpl w:val="683E8890"/>
    <w:lvl w:ilvl="0" w:tplc="047C6906">
      <w:start w:val="1"/>
      <w:numFmt w:val="upperRoman"/>
      <w:pStyle w:val="TopHeadingStyle"/>
      <w:lvlText w:val="%1."/>
      <w:lvlJc w:val="left"/>
      <w:pPr>
        <w:ind w:left="1080" w:hanging="720"/>
      </w:pPr>
      <w:rPr>
        <w:rFonts w:hint="default"/>
      </w:rPr>
    </w:lvl>
    <w:lvl w:ilvl="1" w:tplc="A7447A0A">
      <w:start w:val="1"/>
      <w:numFmt w:val="lowerLetter"/>
      <w:lvlText w:val="%2."/>
      <w:lvlJc w:val="left"/>
      <w:pPr>
        <w:ind w:left="1440" w:hanging="360"/>
      </w:pPr>
    </w:lvl>
    <w:lvl w:ilvl="2" w:tplc="3E967B96" w:tentative="1">
      <w:start w:val="1"/>
      <w:numFmt w:val="lowerRoman"/>
      <w:lvlText w:val="%3."/>
      <w:lvlJc w:val="right"/>
      <w:pPr>
        <w:ind w:left="2160" w:hanging="180"/>
      </w:pPr>
    </w:lvl>
    <w:lvl w:ilvl="3" w:tplc="BD621410" w:tentative="1">
      <w:start w:val="1"/>
      <w:numFmt w:val="decimal"/>
      <w:lvlText w:val="%4."/>
      <w:lvlJc w:val="left"/>
      <w:pPr>
        <w:ind w:left="2880" w:hanging="360"/>
      </w:pPr>
    </w:lvl>
    <w:lvl w:ilvl="4" w:tplc="EC7E6104" w:tentative="1">
      <w:start w:val="1"/>
      <w:numFmt w:val="lowerLetter"/>
      <w:lvlText w:val="%5."/>
      <w:lvlJc w:val="left"/>
      <w:pPr>
        <w:ind w:left="3600" w:hanging="360"/>
      </w:pPr>
    </w:lvl>
    <w:lvl w:ilvl="5" w:tplc="2FDED97E" w:tentative="1">
      <w:start w:val="1"/>
      <w:numFmt w:val="lowerRoman"/>
      <w:lvlText w:val="%6."/>
      <w:lvlJc w:val="right"/>
      <w:pPr>
        <w:ind w:left="4320" w:hanging="180"/>
      </w:pPr>
    </w:lvl>
    <w:lvl w:ilvl="6" w:tplc="32B23E10" w:tentative="1">
      <w:start w:val="1"/>
      <w:numFmt w:val="decimal"/>
      <w:lvlText w:val="%7."/>
      <w:lvlJc w:val="left"/>
      <w:pPr>
        <w:ind w:left="5040" w:hanging="360"/>
      </w:pPr>
    </w:lvl>
    <w:lvl w:ilvl="7" w:tplc="4AE215B8" w:tentative="1">
      <w:start w:val="1"/>
      <w:numFmt w:val="lowerLetter"/>
      <w:lvlText w:val="%8."/>
      <w:lvlJc w:val="left"/>
      <w:pPr>
        <w:ind w:left="5760" w:hanging="360"/>
      </w:pPr>
    </w:lvl>
    <w:lvl w:ilvl="8" w:tplc="762C060C" w:tentative="1">
      <w:start w:val="1"/>
      <w:numFmt w:val="lowerRoman"/>
      <w:lvlText w:val="%9."/>
      <w:lvlJc w:val="right"/>
      <w:pPr>
        <w:ind w:left="6480" w:hanging="180"/>
      </w:pPr>
    </w:lvl>
  </w:abstractNum>
  <w:abstractNum w:abstractNumId="15" w15:restartNumberingAfterBreak="0">
    <w:nsid w:val="33DA6606"/>
    <w:multiLevelType w:val="hybridMultilevel"/>
    <w:tmpl w:val="711CDFBA"/>
    <w:lvl w:ilvl="0" w:tplc="AB403C60">
      <w:start w:val="1"/>
      <w:numFmt w:val="upperLetter"/>
      <w:lvlText w:val="%1."/>
      <w:lvlJc w:val="left"/>
      <w:pPr>
        <w:ind w:left="1080" w:hanging="360"/>
      </w:pPr>
      <w:rPr>
        <w:rFonts w:hint="default"/>
      </w:rPr>
    </w:lvl>
    <w:lvl w:ilvl="1" w:tplc="B8563D7E" w:tentative="1">
      <w:start w:val="1"/>
      <w:numFmt w:val="lowerLetter"/>
      <w:lvlText w:val="%2."/>
      <w:lvlJc w:val="left"/>
      <w:pPr>
        <w:ind w:left="1800" w:hanging="360"/>
      </w:pPr>
    </w:lvl>
    <w:lvl w:ilvl="2" w:tplc="5656B598" w:tentative="1">
      <w:start w:val="1"/>
      <w:numFmt w:val="lowerRoman"/>
      <w:lvlText w:val="%3."/>
      <w:lvlJc w:val="right"/>
      <w:pPr>
        <w:ind w:left="2520" w:hanging="180"/>
      </w:pPr>
    </w:lvl>
    <w:lvl w:ilvl="3" w:tplc="3F78354E" w:tentative="1">
      <w:start w:val="1"/>
      <w:numFmt w:val="decimal"/>
      <w:lvlText w:val="%4."/>
      <w:lvlJc w:val="left"/>
      <w:pPr>
        <w:ind w:left="3240" w:hanging="360"/>
      </w:pPr>
    </w:lvl>
    <w:lvl w:ilvl="4" w:tplc="5D307B46" w:tentative="1">
      <w:start w:val="1"/>
      <w:numFmt w:val="lowerLetter"/>
      <w:lvlText w:val="%5."/>
      <w:lvlJc w:val="left"/>
      <w:pPr>
        <w:ind w:left="3960" w:hanging="360"/>
      </w:pPr>
    </w:lvl>
    <w:lvl w:ilvl="5" w:tplc="B5AC3060" w:tentative="1">
      <w:start w:val="1"/>
      <w:numFmt w:val="lowerRoman"/>
      <w:lvlText w:val="%6."/>
      <w:lvlJc w:val="right"/>
      <w:pPr>
        <w:ind w:left="4680" w:hanging="180"/>
      </w:pPr>
    </w:lvl>
    <w:lvl w:ilvl="6" w:tplc="41A00030" w:tentative="1">
      <w:start w:val="1"/>
      <w:numFmt w:val="decimal"/>
      <w:lvlText w:val="%7."/>
      <w:lvlJc w:val="left"/>
      <w:pPr>
        <w:ind w:left="5400" w:hanging="360"/>
      </w:pPr>
    </w:lvl>
    <w:lvl w:ilvl="7" w:tplc="A2F28C52" w:tentative="1">
      <w:start w:val="1"/>
      <w:numFmt w:val="lowerLetter"/>
      <w:lvlText w:val="%8."/>
      <w:lvlJc w:val="left"/>
      <w:pPr>
        <w:ind w:left="6120" w:hanging="360"/>
      </w:pPr>
    </w:lvl>
    <w:lvl w:ilvl="8" w:tplc="B268DD30" w:tentative="1">
      <w:start w:val="1"/>
      <w:numFmt w:val="lowerRoman"/>
      <w:lvlText w:val="%9."/>
      <w:lvlJc w:val="right"/>
      <w:pPr>
        <w:ind w:left="6840" w:hanging="180"/>
      </w:pPr>
    </w:lvl>
  </w:abstractNum>
  <w:abstractNum w:abstractNumId="16" w15:restartNumberingAfterBreak="0">
    <w:nsid w:val="3C316F5F"/>
    <w:multiLevelType w:val="hybridMultilevel"/>
    <w:tmpl w:val="5D38825C"/>
    <w:lvl w:ilvl="0" w:tplc="E064F140">
      <w:start w:val="1"/>
      <w:numFmt w:val="upperLetter"/>
      <w:lvlText w:val="%1."/>
      <w:lvlJc w:val="left"/>
      <w:pPr>
        <w:ind w:left="720" w:hanging="360"/>
      </w:pPr>
      <w:rPr>
        <w:rFonts w:hint="default"/>
      </w:rPr>
    </w:lvl>
    <w:lvl w:ilvl="1" w:tplc="E9EA53EA" w:tentative="1">
      <w:start w:val="1"/>
      <w:numFmt w:val="lowerLetter"/>
      <w:lvlText w:val="%2."/>
      <w:lvlJc w:val="left"/>
      <w:pPr>
        <w:ind w:left="1440" w:hanging="360"/>
      </w:pPr>
    </w:lvl>
    <w:lvl w:ilvl="2" w:tplc="B23C19CC" w:tentative="1">
      <w:start w:val="1"/>
      <w:numFmt w:val="lowerRoman"/>
      <w:lvlText w:val="%3."/>
      <w:lvlJc w:val="right"/>
      <w:pPr>
        <w:ind w:left="2160" w:hanging="180"/>
      </w:pPr>
    </w:lvl>
    <w:lvl w:ilvl="3" w:tplc="308A86A6" w:tentative="1">
      <w:start w:val="1"/>
      <w:numFmt w:val="decimal"/>
      <w:lvlText w:val="%4."/>
      <w:lvlJc w:val="left"/>
      <w:pPr>
        <w:ind w:left="2880" w:hanging="360"/>
      </w:pPr>
    </w:lvl>
    <w:lvl w:ilvl="4" w:tplc="254647E4" w:tentative="1">
      <w:start w:val="1"/>
      <w:numFmt w:val="lowerLetter"/>
      <w:lvlText w:val="%5."/>
      <w:lvlJc w:val="left"/>
      <w:pPr>
        <w:ind w:left="3600" w:hanging="360"/>
      </w:pPr>
    </w:lvl>
    <w:lvl w:ilvl="5" w:tplc="88189B4A" w:tentative="1">
      <w:start w:val="1"/>
      <w:numFmt w:val="lowerRoman"/>
      <w:lvlText w:val="%6."/>
      <w:lvlJc w:val="right"/>
      <w:pPr>
        <w:ind w:left="4320" w:hanging="180"/>
      </w:pPr>
    </w:lvl>
    <w:lvl w:ilvl="6" w:tplc="11D0DE3E" w:tentative="1">
      <w:start w:val="1"/>
      <w:numFmt w:val="decimal"/>
      <w:lvlText w:val="%7."/>
      <w:lvlJc w:val="left"/>
      <w:pPr>
        <w:ind w:left="5040" w:hanging="360"/>
      </w:pPr>
    </w:lvl>
    <w:lvl w:ilvl="7" w:tplc="B56802D6" w:tentative="1">
      <w:start w:val="1"/>
      <w:numFmt w:val="lowerLetter"/>
      <w:lvlText w:val="%8."/>
      <w:lvlJc w:val="left"/>
      <w:pPr>
        <w:ind w:left="5760" w:hanging="360"/>
      </w:pPr>
    </w:lvl>
    <w:lvl w:ilvl="8" w:tplc="485EA9E0" w:tentative="1">
      <w:start w:val="1"/>
      <w:numFmt w:val="lowerRoman"/>
      <w:lvlText w:val="%9."/>
      <w:lvlJc w:val="right"/>
      <w:pPr>
        <w:ind w:left="6480" w:hanging="180"/>
      </w:pPr>
    </w:lvl>
  </w:abstractNum>
  <w:abstractNum w:abstractNumId="17" w15:restartNumberingAfterBreak="0">
    <w:nsid w:val="3F7E7841"/>
    <w:multiLevelType w:val="hybridMultilevel"/>
    <w:tmpl w:val="B2B8CDC2"/>
    <w:lvl w:ilvl="0" w:tplc="96A23248">
      <w:start w:val="1"/>
      <w:numFmt w:val="upperRoman"/>
      <w:lvlText w:val="%1."/>
      <w:lvlJc w:val="left"/>
      <w:pPr>
        <w:ind w:left="1080" w:hanging="720"/>
      </w:pPr>
      <w:rPr>
        <w:rFonts w:hint="default"/>
      </w:rPr>
    </w:lvl>
    <w:lvl w:ilvl="1" w:tplc="73D2B560" w:tentative="1">
      <w:start w:val="1"/>
      <w:numFmt w:val="lowerLetter"/>
      <w:lvlText w:val="%2."/>
      <w:lvlJc w:val="left"/>
      <w:pPr>
        <w:ind w:left="1440" w:hanging="360"/>
      </w:pPr>
    </w:lvl>
    <w:lvl w:ilvl="2" w:tplc="DC82E25A" w:tentative="1">
      <w:start w:val="1"/>
      <w:numFmt w:val="lowerRoman"/>
      <w:lvlText w:val="%3."/>
      <w:lvlJc w:val="right"/>
      <w:pPr>
        <w:ind w:left="2160" w:hanging="180"/>
      </w:pPr>
    </w:lvl>
    <w:lvl w:ilvl="3" w:tplc="36B07BEE" w:tentative="1">
      <w:start w:val="1"/>
      <w:numFmt w:val="decimal"/>
      <w:lvlText w:val="%4."/>
      <w:lvlJc w:val="left"/>
      <w:pPr>
        <w:ind w:left="2880" w:hanging="360"/>
      </w:pPr>
    </w:lvl>
    <w:lvl w:ilvl="4" w:tplc="D12E56A8" w:tentative="1">
      <w:start w:val="1"/>
      <w:numFmt w:val="lowerLetter"/>
      <w:lvlText w:val="%5."/>
      <w:lvlJc w:val="left"/>
      <w:pPr>
        <w:ind w:left="3600" w:hanging="360"/>
      </w:pPr>
    </w:lvl>
    <w:lvl w:ilvl="5" w:tplc="0720CBEA" w:tentative="1">
      <w:start w:val="1"/>
      <w:numFmt w:val="lowerRoman"/>
      <w:lvlText w:val="%6."/>
      <w:lvlJc w:val="right"/>
      <w:pPr>
        <w:ind w:left="4320" w:hanging="180"/>
      </w:pPr>
    </w:lvl>
    <w:lvl w:ilvl="6" w:tplc="61FA1F52" w:tentative="1">
      <w:start w:val="1"/>
      <w:numFmt w:val="decimal"/>
      <w:lvlText w:val="%7."/>
      <w:lvlJc w:val="left"/>
      <w:pPr>
        <w:ind w:left="5040" w:hanging="360"/>
      </w:pPr>
    </w:lvl>
    <w:lvl w:ilvl="7" w:tplc="1408C896" w:tentative="1">
      <w:start w:val="1"/>
      <w:numFmt w:val="lowerLetter"/>
      <w:lvlText w:val="%8."/>
      <w:lvlJc w:val="left"/>
      <w:pPr>
        <w:ind w:left="5760" w:hanging="360"/>
      </w:pPr>
    </w:lvl>
    <w:lvl w:ilvl="8" w:tplc="B31E20BA" w:tentative="1">
      <w:start w:val="1"/>
      <w:numFmt w:val="lowerRoman"/>
      <w:lvlText w:val="%9."/>
      <w:lvlJc w:val="right"/>
      <w:pPr>
        <w:ind w:left="6480" w:hanging="180"/>
      </w:pPr>
    </w:lvl>
  </w:abstractNum>
  <w:abstractNum w:abstractNumId="18" w15:restartNumberingAfterBreak="0">
    <w:nsid w:val="410E653B"/>
    <w:multiLevelType w:val="hybridMultilevel"/>
    <w:tmpl w:val="09AC4A36"/>
    <w:lvl w:ilvl="0" w:tplc="CA2231EA">
      <w:start w:val="1"/>
      <w:numFmt w:val="lowerLetter"/>
      <w:pStyle w:val="Heading41"/>
      <w:lvlText w:val="%1."/>
      <w:lvlJc w:val="left"/>
      <w:pPr>
        <w:ind w:left="2160" w:hanging="360"/>
      </w:pPr>
      <w:rPr>
        <w:rFonts w:hint="default"/>
        <w:i w:val="0"/>
        <w:iCs w:val="0"/>
      </w:rPr>
    </w:lvl>
    <w:lvl w:ilvl="1" w:tplc="6DCEDE02" w:tentative="1">
      <w:start w:val="1"/>
      <w:numFmt w:val="lowerLetter"/>
      <w:lvlText w:val="%2."/>
      <w:lvlJc w:val="left"/>
      <w:pPr>
        <w:ind w:left="2880" w:hanging="360"/>
      </w:pPr>
    </w:lvl>
    <w:lvl w:ilvl="2" w:tplc="9C38A3DE" w:tentative="1">
      <w:start w:val="1"/>
      <w:numFmt w:val="lowerRoman"/>
      <w:lvlText w:val="%3."/>
      <w:lvlJc w:val="right"/>
      <w:pPr>
        <w:ind w:left="3600" w:hanging="180"/>
      </w:pPr>
    </w:lvl>
    <w:lvl w:ilvl="3" w:tplc="1FDEF232" w:tentative="1">
      <w:start w:val="1"/>
      <w:numFmt w:val="decimal"/>
      <w:lvlText w:val="%4."/>
      <w:lvlJc w:val="left"/>
      <w:pPr>
        <w:ind w:left="4320" w:hanging="360"/>
      </w:pPr>
    </w:lvl>
    <w:lvl w:ilvl="4" w:tplc="F6CA60E0" w:tentative="1">
      <w:start w:val="1"/>
      <w:numFmt w:val="lowerLetter"/>
      <w:lvlText w:val="%5."/>
      <w:lvlJc w:val="left"/>
      <w:pPr>
        <w:ind w:left="5040" w:hanging="360"/>
      </w:pPr>
    </w:lvl>
    <w:lvl w:ilvl="5" w:tplc="DC58BF62" w:tentative="1">
      <w:start w:val="1"/>
      <w:numFmt w:val="lowerRoman"/>
      <w:lvlText w:val="%6."/>
      <w:lvlJc w:val="right"/>
      <w:pPr>
        <w:ind w:left="5760" w:hanging="180"/>
      </w:pPr>
    </w:lvl>
    <w:lvl w:ilvl="6" w:tplc="AFC4652E" w:tentative="1">
      <w:start w:val="1"/>
      <w:numFmt w:val="decimal"/>
      <w:lvlText w:val="%7."/>
      <w:lvlJc w:val="left"/>
      <w:pPr>
        <w:ind w:left="6480" w:hanging="360"/>
      </w:pPr>
    </w:lvl>
    <w:lvl w:ilvl="7" w:tplc="EB82625C" w:tentative="1">
      <w:start w:val="1"/>
      <w:numFmt w:val="lowerLetter"/>
      <w:lvlText w:val="%8."/>
      <w:lvlJc w:val="left"/>
      <w:pPr>
        <w:ind w:left="7200" w:hanging="360"/>
      </w:pPr>
    </w:lvl>
    <w:lvl w:ilvl="8" w:tplc="CBBA40A8" w:tentative="1">
      <w:start w:val="1"/>
      <w:numFmt w:val="lowerRoman"/>
      <w:lvlText w:val="%9."/>
      <w:lvlJc w:val="right"/>
      <w:pPr>
        <w:ind w:left="7920" w:hanging="180"/>
      </w:pPr>
    </w:lvl>
  </w:abstractNum>
  <w:abstractNum w:abstractNumId="19" w15:restartNumberingAfterBreak="0">
    <w:nsid w:val="467F3CA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76C3559"/>
    <w:multiLevelType w:val="hybridMultilevel"/>
    <w:tmpl w:val="64D837F6"/>
    <w:lvl w:ilvl="0" w:tplc="B19E851C">
      <w:start w:val="1"/>
      <w:numFmt w:val="lowerLetter"/>
      <w:lvlText w:val="(%1)"/>
      <w:lvlJc w:val="left"/>
      <w:pPr>
        <w:ind w:left="720" w:hanging="360"/>
      </w:pPr>
      <w:rPr>
        <w:rFonts w:hint="default"/>
      </w:rPr>
    </w:lvl>
    <w:lvl w:ilvl="1" w:tplc="1B12C1E2" w:tentative="1">
      <w:start w:val="1"/>
      <w:numFmt w:val="lowerLetter"/>
      <w:lvlText w:val="%2."/>
      <w:lvlJc w:val="left"/>
      <w:pPr>
        <w:ind w:left="1440" w:hanging="360"/>
      </w:pPr>
    </w:lvl>
    <w:lvl w:ilvl="2" w:tplc="90F2FE1E" w:tentative="1">
      <w:start w:val="1"/>
      <w:numFmt w:val="lowerRoman"/>
      <w:lvlText w:val="%3."/>
      <w:lvlJc w:val="right"/>
      <w:pPr>
        <w:ind w:left="2160" w:hanging="180"/>
      </w:pPr>
    </w:lvl>
    <w:lvl w:ilvl="3" w:tplc="47307E30" w:tentative="1">
      <w:start w:val="1"/>
      <w:numFmt w:val="decimal"/>
      <w:lvlText w:val="%4."/>
      <w:lvlJc w:val="left"/>
      <w:pPr>
        <w:ind w:left="2880" w:hanging="360"/>
      </w:pPr>
    </w:lvl>
    <w:lvl w:ilvl="4" w:tplc="97620738" w:tentative="1">
      <w:start w:val="1"/>
      <w:numFmt w:val="lowerLetter"/>
      <w:lvlText w:val="%5."/>
      <w:lvlJc w:val="left"/>
      <w:pPr>
        <w:ind w:left="3600" w:hanging="360"/>
      </w:pPr>
    </w:lvl>
    <w:lvl w:ilvl="5" w:tplc="419A0568" w:tentative="1">
      <w:start w:val="1"/>
      <w:numFmt w:val="lowerRoman"/>
      <w:lvlText w:val="%6."/>
      <w:lvlJc w:val="right"/>
      <w:pPr>
        <w:ind w:left="4320" w:hanging="180"/>
      </w:pPr>
    </w:lvl>
    <w:lvl w:ilvl="6" w:tplc="B5421C08" w:tentative="1">
      <w:start w:val="1"/>
      <w:numFmt w:val="decimal"/>
      <w:lvlText w:val="%7."/>
      <w:lvlJc w:val="left"/>
      <w:pPr>
        <w:ind w:left="5040" w:hanging="360"/>
      </w:pPr>
    </w:lvl>
    <w:lvl w:ilvl="7" w:tplc="C88075A4" w:tentative="1">
      <w:start w:val="1"/>
      <w:numFmt w:val="lowerLetter"/>
      <w:lvlText w:val="%8."/>
      <w:lvlJc w:val="left"/>
      <w:pPr>
        <w:ind w:left="5760" w:hanging="360"/>
      </w:pPr>
    </w:lvl>
    <w:lvl w:ilvl="8" w:tplc="A7DE7CC8" w:tentative="1">
      <w:start w:val="1"/>
      <w:numFmt w:val="lowerRoman"/>
      <w:lvlText w:val="%9."/>
      <w:lvlJc w:val="right"/>
      <w:pPr>
        <w:ind w:left="6480" w:hanging="180"/>
      </w:pPr>
    </w:lvl>
  </w:abstractNum>
  <w:abstractNum w:abstractNumId="21" w15:restartNumberingAfterBreak="0">
    <w:nsid w:val="47F97045"/>
    <w:multiLevelType w:val="multilevel"/>
    <w:tmpl w:val="6F0A535E"/>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i w:val="0"/>
        <w:iCs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4B2D3371"/>
    <w:multiLevelType w:val="hybridMultilevel"/>
    <w:tmpl w:val="C63EB2EA"/>
    <w:lvl w:ilvl="0" w:tplc="2722B882">
      <w:start w:val="1"/>
      <w:numFmt w:val="upperLetter"/>
      <w:pStyle w:val="CalendarLevel2"/>
      <w:lvlText w:val="%1."/>
      <w:lvlJc w:val="left"/>
      <w:pPr>
        <w:ind w:left="1080" w:hanging="360"/>
      </w:pPr>
      <w:rPr>
        <w:rFonts w:hint="default"/>
      </w:rPr>
    </w:lvl>
    <w:lvl w:ilvl="1" w:tplc="CE38F150" w:tentative="1">
      <w:start w:val="1"/>
      <w:numFmt w:val="lowerLetter"/>
      <w:lvlText w:val="%2."/>
      <w:lvlJc w:val="left"/>
      <w:pPr>
        <w:ind w:left="1800" w:hanging="360"/>
      </w:pPr>
    </w:lvl>
    <w:lvl w:ilvl="2" w:tplc="176838B8" w:tentative="1">
      <w:start w:val="1"/>
      <w:numFmt w:val="lowerRoman"/>
      <w:lvlText w:val="%3."/>
      <w:lvlJc w:val="right"/>
      <w:pPr>
        <w:ind w:left="2520" w:hanging="180"/>
      </w:pPr>
    </w:lvl>
    <w:lvl w:ilvl="3" w:tplc="6F5C97AE" w:tentative="1">
      <w:start w:val="1"/>
      <w:numFmt w:val="decimal"/>
      <w:lvlText w:val="%4."/>
      <w:lvlJc w:val="left"/>
      <w:pPr>
        <w:ind w:left="3240" w:hanging="360"/>
      </w:pPr>
    </w:lvl>
    <w:lvl w:ilvl="4" w:tplc="8D30ECB8" w:tentative="1">
      <w:start w:val="1"/>
      <w:numFmt w:val="lowerLetter"/>
      <w:lvlText w:val="%5."/>
      <w:lvlJc w:val="left"/>
      <w:pPr>
        <w:ind w:left="3960" w:hanging="360"/>
      </w:pPr>
    </w:lvl>
    <w:lvl w:ilvl="5" w:tplc="D2A6E1A0" w:tentative="1">
      <w:start w:val="1"/>
      <w:numFmt w:val="lowerRoman"/>
      <w:lvlText w:val="%6."/>
      <w:lvlJc w:val="right"/>
      <w:pPr>
        <w:ind w:left="4680" w:hanging="180"/>
      </w:pPr>
    </w:lvl>
    <w:lvl w:ilvl="6" w:tplc="669A7842" w:tentative="1">
      <w:start w:val="1"/>
      <w:numFmt w:val="decimal"/>
      <w:lvlText w:val="%7."/>
      <w:lvlJc w:val="left"/>
      <w:pPr>
        <w:ind w:left="5400" w:hanging="360"/>
      </w:pPr>
    </w:lvl>
    <w:lvl w:ilvl="7" w:tplc="FAFE9A50" w:tentative="1">
      <w:start w:val="1"/>
      <w:numFmt w:val="lowerLetter"/>
      <w:lvlText w:val="%8."/>
      <w:lvlJc w:val="left"/>
      <w:pPr>
        <w:ind w:left="6120" w:hanging="360"/>
      </w:pPr>
    </w:lvl>
    <w:lvl w:ilvl="8" w:tplc="9FF27DFE" w:tentative="1">
      <w:start w:val="1"/>
      <w:numFmt w:val="lowerRoman"/>
      <w:lvlText w:val="%9."/>
      <w:lvlJc w:val="right"/>
      <w:pPr>
        <w:ind w:left="6840" w:hanging="180"/>
      </w:pPr>
    </w:lvl>
  </w:abstractNum>
  <w:abstractNum w:abstractNumId="23" w15:restartNumberingAfterBreak="0">
    <w:nsid w:val="4BF95B3A"/>
    <w:multiLevelType w:val="hybridMultilevel"/>
    <w:tmpl w:val="9D7E58EC"/>
    <w:lvl w:ilvl="0" w:tplc="7C0A2714">
      <w:start w:val="1"/>
      <w:numFmt w:val="decimal"/>
      <w:lvlText w:val="%1."/>
      <w:lvlJc w:val="left"/>
      <w:pPr>
        <w:ind w:left="720" w:hanging="360"/>
      </w:pPr>
      <w:rPr>
        <w:rFonts w:hint="default"/>
      </w:rPr>
    </w:lvl>
    <w:lvl w:ilvl="1" w:tplc="955C5508" w:tentative="1">
      <w:start w:val="1"/>
      <w:numFmt w:val="lowerLetter"/>
      <w:lvlText w:val="%2."/>
      <w:lvlJc w:val="left"/>
      <w:pPr>
        <w:ind w:left="1440" w:hanging="360"/>
      </w:pPr>
    </w:lvl>
    <w:lvl w:ilvl="2" w:tplc="97227CF0" w:tentative="1">
      <w:start w:val="1"/>
      <w:numFmt w:val="lowerRoman"/>
      <w:lvlText w:val="%3."/>
      <w:lvlJc w:val="right"/>
      <w:pPr>
        <w:ind w:left="2160" w:hanging="180"/>
      </w:pPr>
    </w:lvl>
    <w:lvl w:ilvl="3" w:tplc="A9362492" w:tentative="1">
      <w:start w:val="1"/>
      <w:numFmt w:val="decimal"/>
      <w:lvlText w:val="%4."/>
      <w:lvlJc w:val="left"/>
      <w:pPr>
        <w:ind w:left="2880" w:hanging="360"/>
      </w:pPr>
    </w:lvl>
    <w:lvl w:ilvl="4" w:tplc="73760696" w:tentative="1">
      <w:start w:val="1"/>
      <w:numFmt w:val="lowerLetter"/>
      <w:lvlText w:val="%5."/>
      <w:lvlJc w:val="left"/>
      <w:pPr>
        <w:ind w:left="3600" w:hanging="360"/>
      </w:pPr>
    </w:lvl>
    <w:lvl w:ilvl="5" w:tplc="F482AF7A" w:tentative="1">
      <w:start w:val="1"/>
      <w:numFmt w:val="lowerRoman"/>
      <w:lvlText w:val="%6."/>
      <w:lvlJc w:val="right"/>
      <w:pPr>
        <w:ind w:left="4320" w:hanging="180"/>
      </w:pPr>
    </w:lvl>
    <w:lvl w:ilvl="6" w:tplc="6B064C04" w:tentative="1">
      <w:start w:val="1"/>
      <w:numFmt w:val="decimal"/>
      <w:lvlText w:val="%7."/>
      <w:lvlJc w:val="left"/>
      <w:pPr>
        <w:ind w:left="5040" w:hanging="360"/>
      </w:pPr>
    </w:lvl>
    <w:lvl w:ilvl="7" w:tplc="9A1227CE" w:tentative="1">
      <w:start w:val="1"/>
      <w:numFmt w:val="lowerLetter"/>
      <w:lvlText w:val="%8."/>
      <w:lvlJc w:val="left"/>
      <w:pPr>
        <w:ind w:left="5760" w:hanging="360"/>
      </w:pPr>
    </w:lvl>
    <w:lvl w:ilvl="8" w:tplc="5704BC18" w:tentative="1">
      <w:start w:val="1"/>
      <w:numFmt w:val="lowerRoman"/>
      <w:lvlText w:val="%9."/>
      <w:lvlJc w:val="right"/>
      <w:pPr>
        <w:ind w:left="6480" w:hanging="180"/>
      </w:pPr>
    </w:lvl>
  </w:abstractNum>
  <w:abstractNum w:abstractNumId="24" w15:restartNumberingAfterBreak="0">
    <w:nsid w:val="4F1F149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516134ED"/>
    <w:multiLevelType w:val="multilevel"/>
    <w:tmpl w:val="5E2C4BD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i w:val="0"/>
        <w:iCs/>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5308111C"/>
    <w:multiLevelType w:val="multilevel"/>
    <w:tmpl w:val="C09E04C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556557C6"/>
    <w:multiLevelType w:val="hybridMultilevel"/>
    <w:tmpl w:val="3CF0512A"/>
    <w:lvl w:ilvl="0" w:tplc="E5462ED2">
      <w:start w:val="1"/>
      <w:numFmt w:val="upperLetter"/>
      <w:lvlText w:val="%1."/>
      <w:lvlJc w:val="left"/>
      <w:pPr>
        <w:ind w:left="2970" w:hanging="360"/>
      </w:pPr>
      <w:rPr>
        <w:rFonts w:hint="default"/>
      </w:rPr>
    </w:lvl>
    <w:lvl w:ilvl="1" w:tplc="7876B088">
      <w:start w:val="1"/>
      <w:numFmt w:val="lowerLetter"/>
      <w:lvlText w:val="%2."/>
      <w:lvlJc w:val="left"/>
      <w:pPr>
        <w:ind w:left="3690" w:hanging="360"/>
      </w:pPr>
    </w:lvl>
    <w:lvl w:ilvl="2" w:tplc="CA5014F6">
      <w:start w:val="1"/>
      <w:numFmt w:val="lowerRoman"/>
      <w:lvlText w:val="%3."/>
      <w:lvlJc w:val="right"/>
      <w:pPr>
        <w:ind w:left="4410" w:hanging="180"/>
      </w:pPr>
    </w:lvl>
    <w:lvl w:ilvl="3" w:tplc="A456F478">
      <w:start w:val="1"/>
      <w:numFmt w:val="decimal"/>
      <w:lvlText w:val="%4."/>
      <w:lvlJc w:val="left"/>
      <w:pPr>
        <w:ind w:left="5130" w:hanging="360"/>
      </w:pPr>
    </w:lvl>
    <w:lvl w:ilvl="4" w:tplc="6AE64FE2">
      <w:start w:val="1"/>
      <w:numFmt w:val="lowerLetter"/>
      <w:lvlText w:val="%5."/>
      <w:lvlJc w:val="left"/>
      <w:pPr>
        <w:ind w:left="5850" w:hanging="360"/>
      </w:pPr>
    </w:lvl>
    <w:lvl w:ilvl="5" w:tplc="F3AA4DB2" w:tentative="1">
      <w:start w:val="1"/>
      <w:numFmt w:val="lowerRoman"/>
      <w:lvlText w:val="%6."/>
      <w:lvlJc w:val="right"/>
      <w:pPr>
        <w:ind w:left="6570" w:hanging="180"/>
      </w:pPr>
    </w:lvl>
    <w:lvl w:ilvl="6" w:tplc="206E826E" w:tentative="1">
      <w:start w:val="1"/>
      <w:numFmt w:val="decimal"/>
      <w:lvlText w:val="%7."/>
      <w:lvlJc w:val="left"/>
      <w:pPr>
        <w:ind w:left="7290" w:hanging="360"/>
      </w:pPr>
    </w:lvl>
    <w:lvl w:ilvl="7" w:tplc="4C1AFFAE" w:tentative="1">
      <w:start w:val="1"/>
      <w:numFmt w:val="lowerLetter"/>
      <w:lvlText w:val="%8."/>
      <w:lvlJc w:val="left"/>
      <w:pPr>
        <w:ind w:left="8010" w:hanging="360"/>
      </w:pPr>
    </w:lvl>
    <w:lvl w:ilvl="8" w:tplc="6580473A" w:tentative="1">
      <w:start w:val="1"/>
      <w:numFmt w:val="lowerRoman"/>
      <w:lvlText w:val="%9."/>
      <w:lvlJc w:val="right"/>
      <w:pPr>
        <w:ind w:left="8730" w:hanging="180"/>
      </w:pPr>
    </w:lvl>
  </w:abstractNum>
  <w:abstractNum w:abstractNumId="28" w15:restartNumberingAfterBreak="0">
    <w:nsid w:val="57A465B0"/>
    <w:multiLevelType w:val="hybridMultilevel"/>
    <w:tmpl w:val="3CB09C54"/>
    <w:lvl w:ilvl="0" w:tplc="70DE62D2">
      <w:start w:val="1"/>
      <w:numFmt w:val="upperLetter"/>
      <w:lvlText w:val="%1."/>
      <w:lvlJc w:val="left"/>
      <w:pPr>
        <w:ind w:left="720" w:hanging="360"/>
      </w:pPr>
      <w:rPr>
        <w:rFonts w:hint="default"/>
      </w:rPr>
    </w:lvl>
    <w:lvl w:ilvl="1" w:tplc="6624D738">
      <w:start w:val="1"/>
      <w:numFmt w:val="decimal"/>
      <w:lvlText w:val="%2."/>
      <w:lvlJc w:val="left"/>
      <w:pPr>
        <w:ind w:left="1440" w:hanging="360"/>
      </w:pPr>
    </w:lvl>
    <w:lvl w:ilvl="2" w:tplc="1456AEE0">
      <w:start w:val="1"/>
      <w:numFmt w:val="lowerLetter"/>
      <w:lvlText w:val="%3."/>
      <w:lvlJc w:val="left"/>
      <w:pPr>
        <w:ind w:left="1440" w:hanging="360"/>
      </w:pPr>
    </w:lvl>
    <w:lvl w:ilvl="3" w:tplc="3DE87D9E">
      <w:start w:val="1"/>
      <w:numFmt w:val="lowerLetter"/>
      <w:lvlText w:val="%4."/>
      <w:lvlJc w:val="left"/>
      <w:pPr>
        <w:ind w:left="1440" w:hanging="360"/>
      </w:pPr>
    </w:lvl>
    <w:lvl w:ilvl="4" w:tplc="B9C8BCA2" w:tentative="1">
      <w:start w:val="1"/>
      <w:numFmt w:val="lowerLetter"/>
      <w:lvlText w:val="%5."/>
      <w:lvlJc w:val="left"/>
      <w:pPr>
        <w:ind w:left="3600" w:hanging="360"/>
      </w:pPr>
    </w:lvl>
    <w:lvl w:ilvl="5" w:tplc="2A149E20" w:tentative="1">
      <w:start w:val="1"/>
      <w:numFmt w:val="lowerRoman"/>
      <w:lvlText w:val="%6."/>
      <w:lvlJc w:val="right"/>
      <w:pPr>
        <w:ind w:left="4320" w:hanging="180"/>
      </w:pPr>
    </w:lvl>
    <w:lvl w:ilvl="6" w:tplc="A47E1224" w:tentative="1">
      <w:start w:val="1"/>
      <w:numFmt w:val="decimal"/>
      <w:lvlText w:val="%7."/>
      <w:lvlJc w:val="left"/>
      <w:pPr>
        <w:ind w:left="5040" w:hanging="360"/>
      </w:pPr>
    </w:lvl>
    <w:lvl w:ilvl="7" w:tplc="69E4E8C4" w:tentative="1">
      <w:start w:val="1"/>
      <w:numFmt w:val="lowerLetter"/>
      <w:lvlText w:val="%8."/>
      <w:lvlJc w:val="left"/>
      <w:pPr>
        <w:ind w:left="5760" w:hanging="360"/>
      </w:pPr>
    </w:lvl>
    <w:lvl w:ilvl="8" w:tplc="479A5A76" w:tentative="1">
      <w:start w:val="1"/>
      <w:numFmt w:val="lowerRoman"/>
      <w:lvlText w:val="%9."/>
      <w:lvlJc w:val="right"/>
      <w:pPr>
        <w:ind w:left="6480" w:hanging="180"/>
      </w:pPr>
    </w:lvl>
  </w:abstractNum>
  <w:abstractNum w:abstractNumId="29" w15:restartNumberingAfterBreak="0">
    <w:nsid w:val="582C680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5E9007E1"/>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61FA101D"/>
    <w:multiLevelType w:val="hybridMultilevel"/>
    <w:tmpl w:val="5B4A9808"/>
    <w:lvl w:ilvl="0" w:tplc="114C110A">
      <w:start w:val="1"/>
      <w:numFmt w:val="upperLetter"/>
      <w:lvlText w:val="%1."/>
      <w:lvlJc w:val="left"/>
      <w:pPr>
        <w:ind w:left="1080" w:hanging="360"/>
      </w:pPr>
      <w:rPr>
        <w:rFonts w:hint="default"/>
      </w:rPr>
    </w:lvl>
    <w:lvl w:ilvl="1" w:tplc="0BEA7B32" w:tentative="1">
      <w:start w:val="1"/>
      <w:numFmt w:val="lowerLetter"/>
      <w:lvlText w:val="%2."/>
      <w:lvlJc w:val="left"/>
      <w:pPr>
        <w:ind w:left="1800" w:hanging="360"/>
      </w:pPr>
    </w:lvl>
    <w:lvl w:ilvl="2" w:tplc="ABF08320" w:tentative="1">
      <w:start w:val="1"/>
      <w:numFmt w:val="lowerRoman"/>
      <w:lvlText w:val="%3."/>
      <w:lvlJc w:val="right"/>
      <w:pPr>
        <w:ind w:left="2520" w:hanging="180"/>
      </w:pPr>
    </w:lvl>
    <w:lvl w:ilvl="3" w:tplc="F28A3DF4" w:tentative="1">
      <w:start w:val="1"/>
      <w:numFmt w:val="decimal"/>
      <w:lvlText w:val="%4."/>
      <w:lvlJc w:val="left"/>
      <w:pPr>
        <w:ind w:left="3240" w:hanging="360"/>
      </w:pPr>
    </w:lvl>
    <w:lvl w:ilvl="4" w:tplc="2DB0311E" w:tentative="1">
      <w:start w:val="1"/>
      <w:numFmt w:val="lowerLetter"/>
      <w:lvlText w:val="%5."/>
      <w:lvlJc w:val="left"/>
      <w:pPr>
        <w:ind w:left="3960" w:hanging="360"/>
      </w:pPr>
    </w:lvl>
    <w:lvl w:ilvl="5" w:tplc="9212384A" w:tentative="1">
      <w:start w:val="1"/>
      <w:numFmt w:val="lowerRoman"/>
      <w:lvlText w:val="%6."/>
      <w:lvlJc w:val="right"/>
      <w:pPr>
        <w:ind w:left="4680" w:hanging="180"/>
      </w:pPr>
    </w:lvl>
    <w:lvl w:ilvl="6" w:tplc="EBD62518" w:tentative="1">
      <w:start w:val="1"/>
      <w:numFmt w:val="decimal"/>
      <w:lvlText w:val="%7."/>
      <w:lvlJc w:val="left"/>
      <w:pPr>
        <w:ind w:left="5400" w:hanging="360"/>
      </w:pPr>
    </w:lvl>
    <w:lvl w:ilvl="7" w:tplc="772668AC" w:tentative="1">
      <w:start w:val="1"/>
      <w:numFmt w:val="lowerLetter"/>
      <w:lvlText w:val="%8."/>
      <w:lvlJc w:val="left"/>
      <w:pPr>
        <w:ind w:left="6120" w:hanging="360"/>
      </w:pPr>
    </w:lvl>
    <w:lvl w:ilvl="8" w:tplc="14B84A16" w:tentative="1">
      <w:start w:val="1"/>
      <w:numFmt w:val="lowerRoman"/>
      <w:lvlText w:val="%9."/>
      <w:lvlJc w:val="right"/>
      <w:pPr>
        <w:ind w:left="6840" w:hanging="180"/>
      </w:pPr>
    </w:lvl>
  </w:abstractNum>
  <w:abstractNum w:abstractNumId="32" w15:restartNumberingAfterBreak="0">
    <w:nsid w:val="67057CF8"/>
    <w:multiLevelType w:val="hybridMultilevel"/>
    <w:tmpl w:val="44609D96"/>
    <w:lvl w:ilvl="0" w:tplc="EF1218BA">
      <w:start w:val="1"/>
      <w:numFmt w:val="upperLetter"/>
      <w:lvlText w:val="%1."/>
      <w:lvlJc w:val="left"/>
      <w:pPr>
        <w:ind w:left="720" w:hanging="360"/>
      </w:pPr>
      <w:rPr>
        <w:rFonts w:hint="default"/>
      </w:rPr>
    </w:lvl>
    <w:lvl w:ilvl="1" w:tplc="F5F09F4C" w:tentative="1">
      <w:start w:val="1"/>
      <w:numFmt w:val="lowerLetter"/>
      <w:lvlText w:val="%2."/>
      <w:lvlJc w:val="left"/>
      <w:pPr>
        <w:ind w:left="1440" w:hanging="360"/>
      </w:pPr>
    </w:lvl>
    <w:lvl w:ilvl="2" w:tplc="99606F4C" w:tentative="1">
      <w:start w:val="1"/>
      <w:numFmt w:val="lowerRoman"/>
      <w:lvlText w:val="%3."/>
      <w:lvlJc w:val="right"/>
      <w:pPr>
        <w:ind w:left="2160" w:hanging="180"/>
      </w:pPr>
    </w:lvl>
    <w:lvl w:ilvl="3" w:tplc="294CBE3C" w:tentative="1">
      <w:start w:val="1"/>
      <w:numFmt w:val="decimal"/>
      <w:lvlText w:val="%4."/>
      <w:lvlJc w:val="left"/>
      <w:pPr>
        <w:ind w:left="2880" w:hanging="360"/>
      </w:pPr>
    </w:lvl>
    <w:lvl w:ilvl="4" w:tplc="7A5828DA" w:tentative="1">
      <w:start w:val="1"/>
      <w:numFmt w:val="lowerLetter"/>
      <w:lvlText w:val="%5."/>
      <w:lvlJc w:val="left"/>
      <w:pPr>
        <w:ind w:left="3600" w:hanging="360"/>
      </w:pPr>
    </w:lvl>
    <w:lvl w:ilvl="5" w:tplc="A9C43926" w:tentative="1">
      <w:start w:val="1"/>
      <w:numFmt w:val="lowerRoman"/>
      <w:lvlText w:val="%6."/>
      <w:lvlJc w:val="right"/>
      <w:pPr>
        <w:ind w:left="4320" w:hanging="180"/>
      </w:pPr>
    </w:lvl>
    <w:lvl w:ilvl="6" w:tplc="C600A338" w:tentative="1">
      <w:start w:val="1"/>
      <w:numFmt w:val="decimal"/>
      <w:lvlText w:val="%7."/>
      <w:lvlJc w:val="left"/>
      <w:pPr>
        <w:ind w:left="5040" w:hanging="360"/>
      </w:pPr>
    </w:lvl>
    <w:lvl w:ilvl="7" w:tplc="1F8818C2" w:tentative="1">
      <w:start w:val="1"/>
      <w:numFmt w:val="lowerLetter"/>
      <w:lvlText w:val="%8."/>
      <w:lvlJc w:val="left"/>
      <w:pPr>
        <w:ind w:left="5760" w:hanging="360"/>
      </w:pPr>
    </w:lvl>
    <w:lvl w:ilvl="8" w:tplc="319E0908" w:tentative="1">
      <w:start w:val="1"/>
      <w:numFmt w:val="lowerRoman"/>
      <w:lvlText w:val="%9."/>
      <w:lvlJc w:val="right"/>
      <w:pPr>
        <w:ind w:left="6480" w:hanging="180"/>
      </w:pPr>
    </w:lvl>
  </w:abstractNum>
  <w:abstractNum w:abstractNumId="33" w15:restartNumberingAfterBreak="0">
    <w:nsid w:val="67E92F32"/>
    <w:multiLevelType w:val="hybridMultilevel"/>
    <w:tmpl w:val="3640C2D8"/>
    <w:lvl w:ilvl="0" w:tplc="CDEEAC86">
      <w:start w:val="1"/>
      <w:numFmt w:val="decimal"/>
      <w:lvlText w:val="(%1)"/>
      <w:lvlJc w:val="left"/>
      <w:pPr>
        <w:ind w:left="1080" w:hanging="360"/>
      </w:pPr>
      <w:rPr>
        <w:rFonts w:hint="default"/>
      </w:rPr>
    </w:lvl>
    <w:lvl w:ilvl="1" w:tplc="20D850C4" w:tentative="1">
      <w:start w:val="1"/>
      <w:numFmt w:val="lowerLetter"/>
      <w:lvlText w:val="%2."/>
      <w:lvlJc w:val="left"/>
      <w:pPr>
        <w:ind w:left="1800" w:hanging="360"/>
      </w:pPr>
    </w:lvl>
    <w:lvl w:ilvl="2" w:tplc="EE864502" w:tentative="1">
      <w:start w:val="1"/>
      <w:numFmt w:val="lowerRoman"/>
      <w:lvlText w:val="%3."/>
      <w:lvlJc w:val="right"/>
      <w:pPr>
        <w:ind w:left="2520" w:hanging="180"/>
      </w:pPr>
    </w:lvl>
    <w:lvl w:ilvl="3" w:tplc="C2A27A80" w:tentative="1">
      <w:start w:val="1"/>
      <w:numFmt w:val="decimal"/>
      <w:lvlText w:val="%4."/>
      <w:lvlJc w:val="left"/>
      <w:pPr>
        <w:ind w:left="3240" w:hanging="360"/>
      </w:pPr>
    </w:lvl>
    <w:lvl w:ilvl="4" w:tplc="ED80D92C" w:tentative="1">
      <w:start w:val="1"/>
      <w:numFmt w:val="lowerLetter"/>
      <w:lvlText w:val="%5."/>
      <w:lvlJc w:val="left"/>
      <w:pPr>
        <w:ind w:left="3960" w:hanging="360"/>
      </w:pPr>
    </w:lvl>
    <w:lvl w:ilvl="5" w:tplc="01BC09A0" w:tentative="1">
      <w:start w:val="1"/>
      <w:numFmt w:val="lowerRoman"/>
      <w:lvlText w:val="%6."/>
      <w:lvlJc w:val="right"/>
      <w:pPr>
        <w:ind w:left="4680" w:hanging="180"/>
      </w:pPr>
    </w:lvl>
    <w:lvl w:ilvl="6" w:tplc="9C5AD5CA" w:tentative="1">
      <w:start w:val="1"/>
      <w:numFmt w:val="decimal"/>
      <w:lvlText w:val="%7."/>
      <w:lvlJc w:val="left"/>
      <w:pPr>
        <w:ind w:left="5400" w:hanging="360"/>
      </w:pPr>
    </w:lvl>
    <w:lvl w:ilvl="7" w:tplc="41DAD134" w:tentative="1">
      <w:start w:val="1"/>
      <w:numFmt w:val="lowerLetter"/>
      <w:lvlText w:val="%8."/>
      <w:lvlJc w:val="left"/>
      <w:pPr>
        <w:ind w:left="6120" w:hanging="360"/>
      </w:pPr>
    </w:lvl>
    <w:lvl w:ilvl="8" w:tplc="412A4326" w:tentative="1">
      <w:start w:val="1"/>
      <w:numFmt w:val="lowerRoman"/>
      <w:lvlText w:val="%9."/>
      <w:lvlJc w:val="right"/>
      <w:pPr>
        <w:ind w:left="6840" w:hanging="180"/>
      </w:pPr>
    </w:lvl>
  </w:abstractNum>
  <w:abstractNum w:abstractNumId="34" w15:restartNumberingAfterBreak="0">
    <w:nsid w:val="69A2416B"/>
    <w:multiLevelType w:val="hybridMultilevel"/>
    <w:tmpl w:val="7DF4914E"/>
    <w:lvl w:ilvl="0" w:tplc="7B5C0A10">
      <w:start w:val="1"/>
      <w:numFmt w:val="upperRoman"/>
      <w:lvlText w:val="%1."/>
      <w:lvlJc w:val="left"/>
      <w:pPr>
        <w:ind w:left="1080" w:hanging="720"/>
      </w:pPr>
      <w:rPr>
        <w:rFonts w:hint="default"/>
      </w:rPr>
    </w:lvl>
    <w:lvl w:ilvl="1" w:tplc="81D405FE" w:tentative="1">
      <w:start w:val="1"/>
      <w:numFmt w:val="lowerLetter"/>
      <w:lvlText w:val="%2."/>
      <w:lvlJc w:val="left"/>
      <w:pPr>
        <w:ind w:left="1440" w:hanging="360"/>
      </w:pPr>
    </w:lvl>
    <w:lvl w:ilvl="2" w:tplc="213C8504" w:tentative="1">
      <w:start w:val="1"/>
      <w:numFmt w:val="lowerRoman"/>
      <w:lvlText w:val="%3."/>
      <w:lvlJc w:val="right"/>
      <w:pPr>
        <w:ind w:left="2160" w:hanging="180"/>
      </w:pPr>
    </w:lvl>
    <w:lvl w:ilvl="3" w:tplc="64CA12B2" w:tentative="1">
      <w:start w:val="1"/>
      <w:numFmt w:val="decimal"/>
      <w:lvlText w:val="%4."/>
      <w:lvlJc w:val="left"/>
      <w:pPr>
        <w:ind w:left="2880" w:hanging="360"/>
      </w:pPr>
    </w:lvl>
    <w:lvl w:ilvl="4" w:tplc="BA12EE8E" w:tentative="1">
      <w:start w:val="1"/>
      <w:numFmt w:val="lowerLetter"/>
      <w:lvlText w:val="%5."/>
      <w:lvlJc w:val="left"/>
      <w:pPr>
        <w:ind w:left="3600" w:hanging="360"/>
      </w:pPr>
    </w:lvl>
    <w:lvl w:ilvl="5" w:tplc="7C5C5DAC" w:tentative="1">
      <w:start w:val="1"/>
      <w:numFmt w:val="lowerRoman"/>
      <w:lvlText w:val="%6."/>
      <w:lvlJc w:val="right"/>
      <w:pPr>
        <w:ind w:left="4320" w:hanging="180"/>
      </w:pPr>
    </w:lvl>
    <w:lvl w:ilvl="6" w:tplc="E856E6D8" w:tentative="1">
      <w:start w:val="1"/>
      <w:numFmt w:val="decimal"/>
      <w:lvlText w:val="%7."/>
      <w:lvlJc w:val="left"/>
      <w:pPr>
        <w:ind w:left="5040" w:hanging="360"/>
      </w:pPr>
    </w:lvl>
    <w:lvl w:ilvl="7" w:tplc="A964F906" w:tentative="1">
      <w:start w:val="1"/>
      <w:numFmt w:val="lowerLetter"/>
      <w:lvlText w:val="%8."/>
      <w:lvlJc w:val="left"/>
      <w:pPr>
        <w:ind w:left="5760" w:hanging="360"/>
      </w:pPr>
    </w:lvl>
    <w:lvl w:ilvl="8" w:tplc="244E2DFC" w:tentative="1">
      <w:start w:val="1"/>
      <w:numFmt w:val="lowerRoman"/>
      <w:lvlText w:val="%9."/>
      <w:lvlJc w:val="right"/>
      <w:pPr>
        <w:ind w:left="6480" w:hanging="180"/>
      </w:pPr>
    </w:lvl>
  </w:abstractNum>
  <w:abstractNum w:abstractNumId="35" w15:restartNumberingAfterBreak="0">
    <w:nsid w:val="6AC4374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6" w15:restartNumberingAfterBreak="0">
    <w:nsid w:val="6AE36621"/>
    <w:multiLevelType w:val="hybridMultilevel"/>
    <w:tmpl w:val="CBB225C0"/>
    <w:lvl w:ilvl="0" w:tplc="AECE811C">
      <w:start w:val="340"/>
      <w:numFmt w:val="bullet"/>
      <w:lvlText w:val="-"/>
      <w:lvlJc w:val="left"/>
      <w:pPr>
        <w:ind w:left="720" w:hanging="360"/>
      </w:pPr>
      <w:rPr>
        <w:rFonts w:ascii="Source Sans Pro" w:eastAsiaTheme="minorHAnsi" w:hAnsi="Source Sans Pro" w:cstheme="minorBidi" w:hint="default"/>
      </w:rPr>
    </w:lvl>
    <w:lvl w:ilvl="1" w:tplc="7422A2F2" w:tentative="1">
      <w:start w:val="1"/>
      <w:numFmt w:val="bullet"/>
      <w:lvlText w:val="o"/>
      <w:lvlJc w:val="left"/>
      <w:pPr>
        <w:ind w:left="1440" w:hanging="360"/>
      </w:pPr>
      <w:rPr>
        <w:rFonts w:ascii="Courier New" w:hAnsi="Courier New" w:cs="Courier New" w:hint="default"/>
      </w:rPr>
    </w:lvl>
    <w:lvl w:ilvl="2" w:tplc="B4105254" w:tentative="1">
      <w:start w:val="1"/>
      <w:numFmt w:val="bullet"/>
      <w:lvlText w:val=""/>
      <w:lvlJc w:val="left"/>
      <w:pPr>
        <w:ind w:left="2160" w:hanging="360"/>
      </w:pPr>
      <w:rPr>
        <w:rFonts w:ascii="Wingdings" w:hAnsi="Wingdings" w:hint="default"/>
      </w:rPr>
    </w:lvl>
    <w:lvl w:ilvl="3" w:tplc="B330C0A8" w:tentative="1">
      <w:start w:val="1"/>
      <w:numFmt w:val="bullet"/>
      <w:lvlText w:val=""/>
      <w:lvlJc w:val="left"/>
      <w:pPr>
        <w:ind w:left="2880" w:hanging="360"/>
      </w:pPr>
      <w:rPr>
        <w:rFonts w:ascii="Symbol" w:hAnsi="Symbol" w:hint="default"/>
      </w:rPr>
    </w:lvl>
    <w:lvl w:ilvl="4" w:tplc="9A16DD94" w:tentative="1">
      <w:start w:val="1"/>
      <w:numFmt w:val="bullet"/>
      <w:lvlText w:val="o"/>
      <w:lvlJc w:val="left"/>
      <w:pPr>
        <w:ind w:left="3600" w:hanging="360"/>
      </w:pPr>
      <w:rPr>
        <w:rFonts w:ascii="Courier New" w:hAnsi="Courier New" w:cs="Courier New" w:hint="default"/>
      </w:rPr>
    </w:lvl>
    <w:lvl w:ilvl="5" w:tplc="31FCE1D8" w:tentative="1">
      <w:start w:val="1"/>
      <w:numFmt w:val="bullet"/>
      <w:lvlText w:val=""/>
      <w:lvlJc w:val="left"/>
      <w:pPr>
        <w:ind w:left="4320" w:hanging="360"/>
      </w:pPr>
      <w:rPr>
        <w:rFonts w:ascii="Wingdings" w:hAnsi="Wingdings" w:hint="default"/>
      </w:rPr>
    </w:lvl>
    <w:lvl w:ilvl="6" w:tplc="9F982D18" w:tentative="1">
      <w:start w:val="1"/>
      <w:numFmt w:val="bullet"/>
      <w:lvlText w:val=""/>
      <w:lvlJc w:val="left"/>
      <w:pPr>
        <w:ind w:left="5040" w:hanging="360"/>
      </w:pPr>
      <w:rPr>
        <w:rFonts w:ascii="Symbol" w:hAnsi="Symbol" w:hint="default"/>
      </w:rPr>
    </w:lvl>
    <w:lvl w:ilvl="7" w:tplc="7680A71A" w:tentative="1">
      <w:start w:val="1"/>
      <w:numFmt w:val="bullet"/>
      <w:lvlText w:val="o"/>
      <w:lvlJc w:val="left"/>
      <w:pPr>
        <w:ind w:left="5760" w:hanging="360"/>
      </w:pPr>
      <w:rPr>
        <w:rFonts w:ascii="Courier New" w:hAnsi="Courier New" w:cs="Courier New" w:hint="default"/>
      </w:rPr>
    </w:lvl>
    <w:lvl w:ilvl="8" w:tplc="11962816" w:tentative="1">
      <w:start w:val="1"/>
      <w:numFmt w:val="bullet"/>
      <w:lvlText w:val=""/>
      <w:lvlJc w:val="left"/>
      <w:pPr>
        <w:ind w:left="6480" w:hanging="360"/>
      </w:pPr>
      <w:rPr>
        <w:rFonts w:ascii="Wingdings" w:hAnsi="Wingdings" w:hint="default"/>
      </w:rPr>
    </w:lvl>
  </w:abstractNum>
  <w:abstractNum w:abstractNumId="37" w15:restartNumberingAfterBreak="0">
    <w:nsid w:val="6E7979F6"/>
    <w:multiLevelType w:val="hybridMultilevel"/>
    <w:tmpl w:val="1558487C"/>
    <w:lvl w:ilvl="0" w:tplc="0952017C">
      <w:start w:val="1"/>
      <w:numFmt w:val="decimal"/>
      <w:lvlText w:val="(%1)"/>
      <w:lvlJc w:val="left"/>
      <w:pPr>
        <w:ind w:left="408" w:hanging="360"/>
      </w:pPr>
      <w:rPr>
        <w:rFonts w:hint="default"/>
      </w:rPr>
    </w:lvl>
    <w:lvl w:ilvl="1" w:tplc="2AAA3D8A" w:tentative="1">
      <w:start w:val="1"/>
      <w:numFmt w:val="lowerLetter"/>
      <w:lvlText w:val="%2."/>
      <w:lvlJc w:val="left"/>
      <w:pPr>
        <w:ind w:left="1128" w:hanging="360"/>
      </w:pPr>
    </w:lvl>
    <w:lvl w:ilvl="2" w:tplc="5B16EC5E" w:tentative="1">
      <w:start w:val="1"/>
      <w:numFmt w:val="lowerRoman"/>
      <w:lvlText w:val="%3."/>
      <w:lvlJc w:val="right"/>
      <w:pPr>
        <w:ind w:left="1848" w:hanging="180"/>
      </w:pPr>
    </w:lvl>
    <w:lvl w:ilvl="3" w:tplc="516AD07E" w:tentative="1">
      <w:start w:val="1"/>
      <w:numFmt w:val="decimal"/>
      <w:lvlText w:val="%4."/>
      <w:lvlJc w:val="left"/>
      <w:pPr>
        <w:ind w:left="2568" w:hanging="360"/>
      </w:pPr>
    </w:lvl>
    <w:lvl w:ilvl="4" w:tplc="019E6168" w:tentative="1">
      <w:start w:val="1"/>
      <w:numFmt w:val="lowerLetter"/>
      <w:lvlText w:val="%5."/>
      <w:lvlJc w:val="left"/>
      <w:pPr>
        <w:ind w:left="3288" w:hanging="360"/>
      </w:pPr>
    </w:lvl>
    <w:lvl w:ilvl="5" w:tplc="2E6C71B8" w:tentative="1">
      <w:start w:val="1"/>
      <w:numFmt w:val="lowerRoman"/>
      <w:lvlText w:val="%6."/>
      <w:lvlJc w:val="right"/>
      <w:pPr>
        <w:ind w:left="4008" w:hanging="180"/>
      </w:pPr>
    </w:lvl>
    <w:lvl w:ilvl="6" w:tplc="30A0CAD0" w:tentative="1">
      <w:start w:val="1"/>
      <w:numFmt w:val="decimal"/>
      <w:lvlText w:val="%7."/>
      <w:lvlJc w:val="left"/>
      <w:pPr>
        <w:ind w:left="4728" w:hanging="360"/>
      </w:pPr>
    </w:lvl>
    <w:lvl w:ilvl="7" w:tplc="47329C4C" w:tentative="1">
      <w:start w:val="1"/>
      <w:numFmt w:val="lowerLetter"/>
      <w:lvlText w:val="%8."/>
      <w:lvlJc w:val="left"/>
      <w:pPr>
        <w:ind w:left="5448" w:hanging="360"/>
      </w:pPr>
    </w:lvl>
    <w:lvl w:ilvl="8" w:tplc="AD7872A6" w:tentative="1">
      <w:start w:val="1"/>
      <w:numFmt w:val="lowerRoman"/>
      <w:lvlText w:val="%9."/>
      <w:lvlJc w:val="right"/>
      <w:pPr>
        <w:ind w:left="6168" w:hanging="180"/>
      </w:pPr>
    </w:lvl>
  </w:abstractNum>
  <w:abstractNum w:abstractNumId="38" w15:restartNumberingAfterBreak="0">
    <w:nsid w:val="6F724778"/>
    <w:multiLevelType w:val="hybridMultilevel"/>
    <w:tmpl w:val="37D08136"/>
    <w:lvl w:ilvl="0" w:tplc="0E88D67E">
      <w:start w:val="1"/>
      <w:numFmt w:val="decimal"/>
      <w:pStyle w:val="CalendarLevel3"/>
      <w:lvlText w:val="%1."/>
      <w:lvlJc w:val="left"/>
      <w:pPr>
        <w:ind w:left="1080" w:hanging="360"/>
      </w:pPr>
      <w:rPr>
        <w:rFonts w:hint="default"/>
      </w:rPr>
    </w:lvl>
    <w:lvl w:ilvl="1" w:tplc="373433C2" w:tentative="1">
      <w:start w:val="1"/>
      <w:numFmt w:val="lowerLetter"/>
      <w:lvlText w:val="%2."/>
      <w:lvlJc w:val="left"/>
      <w:pPr>
        <w:ind w:left="1800" w:hanging="360"/>
      </w:pPr>
    </w:lvl>
    <w:lvl w:ilvl="2" w:tplc="1550F20A" w:tentative="1">
      <w:start w:val="1"/>
      <w:numFmt w:val="lowerRoman"/>
      <w:lvlText w:val="%3."/>
      <w:lvlJc w:val="right"/>
      <w:pPr>
        <w:ind w:left="2520" w:hanging="180"/>
      </w:pPr>
    </w:lvl>
    <w:lvl w:ilvl="3" w:tplc="2C3EA2AA" w:tentative="1">
      <w:start w:val="1"/>
      <w:numFmt w:val="decimal"/>
      <w:lvlText w:val="%4."/>
      <w:lvlJc w:val="left"/>
      <w:pPr>
        <w:ind w:left="3240" w:hanging="360"/>
      </w:pPr>
    </w:lvl>
    <w:lvl w:ilvl="4" w:tplc="05169D78" w:tentative="1">
      <w:start w:val="1"/>
      <w:numFmt w:val="lowerLetter"/>
      <w:lvlText w:val="%5."/>
      <w:lvlJc w:val="left"/>
      <w:pPr>
        <w:ind w:left="3960" w:hanging="360"/>
      </w:pPr>
    </w:lvl>
    <w:lvl w:ilvl="5" w:tplc="A934D180" w:tentative="1">
      <w:start w:val="1"/>
      <w:numFmt w:val="lowerRoman"/>
      <w:lvlText w:val="%6."/>
      <w:lvlJc w:val="right"/>
      <w:pPr>
        <w:ind w:left="4680" w:hanging="180"/>
      </w:pPr>
    </w:lvl>
    <w:lvl w:ilvl="6" w:tplc="C14274CC" w:tentative="1">
      <w:start w:val="1"/>
      <w:numFmt w:val="decimal"/>
      <w:lvlText w:val="%7."/>
      <w:lvlJc w:val="left"/>
      <w:pPr>
        <w:ind w:left="5400" w:hanging="360"/>
      </w:pPr>
    </w:lvl>
    <w:lvl w:ilvl="7" w:tplc="165C0B14" w:tentative="1">
      <w:start w:val="1"/>
      <w:numFmt w:val="lowerLetter"/>
      <w:lvlText w:val="%8."/>
      <w:lvlJc w:val="left"/>
      <w:pPr>
        <w:ind w:left="6120" w:hanging="360"/>
      </w:pPr>
    </w:lvl>
    <w:lvl w:ilvl="8" w:tplc="5F92CD14" w:tentative="1">
      <w:start w:val="1"/>
      <w:numFmt w:val="lowerRoman"/>
      <w:lvlText w:val="%9."/>
      <w:lvlJc w:val="right"/>
      <w:pPr>
        <w:ind w:left="6840" w:hanging="180"/>
      </w:pPr>
    </w:lvl>
  </w:abstractNum>
  <w:abstractNum w:abstractNumId="39" w15:restartNumberingAfterBreak="0">
    <w:nsid w:val="7C193001"/>
    <w:multiLevelType w:val="hybridMultilevel"/>
    <w:tmpl w:val="73A037AA"/>
    <w:lvl w:ilvl="0" w:tplc="6DBADB32">
      <w:start w:val="1"/>
      <w:numFmt w:val="upperLetter"/>
      <w:lvlText w:val="%1."/>
      <w:lvlJc w:val="left"/>
      <w:pPr>
        <w:ind w:left="720" w:hanging="360"/>
      </w:pPr>
      <w:rPr>
        <w:rFonts w:hint="default"/>
      </w:rPr>
    </w:lvl>
    <w:lvl w:ilvl="1" w:tplc="D0E22DB4" w:tentative="1">
      <w:start w:val="1"/>
      <w:numFmt w:val="lowerLetter"/>
      <w:lvlText w:val="%2."/>
      <w:lvlJc w:val="left"/>
      <w:pPr>
        <w:ind w:left="1440" w:hanging="360"/>
      </w:pPr>
    </w:lvl>
    <w:lvl w:ilvl="2" w:tplc="D75CA63A" w:tentative="1">
      <w:start w:val="1"/>
      <w:numFmt w:val="lowerRoman"/>
      <w:lvlText w:val="%3."/>
      <w:lvlJc w:val="right"/>
      <w:pPr>
        <w:ind w:left="2160" w:hanging="180"/>
      </w:pPr>
    </w:lvl>
    <w:lvl w:ilvl="3" w:tplc="68C23370" w:tentative="1">
      <w:start w:val="1"/>
      <w:numFmt w:val="decimal"/>
      <w:lvlText w:val="%4."/>
      <w:lvlJc w:val="left"/>
      <w:pPr>
        <w:ind w:left="2880" w:hanging="360"/>
      </w:pPr>
    </w:lvl>
    <w:lvl w:ilvl="4" w:tplc="C5944DFE" w:tentative="1">
      <w:start w:val="1"/>
      <w:numFmt w:val="lowerLetter"/>
      <w:lvlText w:val="%5."/>
      <w:lvlJc w:val="left"/>
      <w:pPr>
        <w:ind w:left="3600" w:hanging="360"/>
      </w:pPr>
    </w:lvl>
    <w:lvl w:ilvl="5" w:tplc="5AB2DF12" w:tentative="1">
      <w:start w:val="1"/>
      <w:numFmt w:val="lowerRoman"/>
      <w:lvlText w:val="%6."/>
      <w:lvlJc w:val="right"/>
      <w:pPr>
        <w:ind w:left="4320" w:hanging="180"/>
      </w:pPr>
    </w:lvl>
    <w:lvl w:ilvl="6" w:tplc="55F066E8" w:tentative="1">
      <w:start w:val="1"/>
      <w:numFmt w:val="decimal"/>
      <w:lvlText w:val="%7."/>
      <w:lvlJc w:val="left"/>
      <w:pPr>
        <w:ind w:left="5040" w:hanging="360"/>
      </w:pPr>
    </w:lvl>
    <w:lvl w:ilvl="7" w:tplc="402E9F4C" w:tentative="1">
      <w:start w:val="1"/>
      <w:numFmt w:val="lowerLetter"/>
      <w:lvlText w:val="%8."/>
      <w:lvlJc w:val="left"/>
      <w:pPr>
        <w:ind w:left="5760" w:hanging="360"/>
      </w:pPr>
    </w:lvl>
    <w:lvl w:ilvl="8" w:tplc="B4103F0A" w:tentative="1">
      <w:start w:val="1"/>
      <w:numFmt w:val="lowerRoman"/>
      <w:lvlText w:val="%9."/>
      <w:lvlJc w:val="right"/>
      <w:pPr>
        <w:ind w:left="6480" w:hanging="180"/>
      </w:pPr>
    </w:lvl>
  </w:abstractNum>
  <w:abstractNum w:abstractNumId="40" w15:restartNumberingAfterBreak="0">
    <w:nsid w:val="7EDD2ED0"/>
    <w:multiLevelType w:val="hybridMultilevel"/>
    <w:tmpl w:val="B950B0BC"/>
    <w:lvl w:ilvl="0" w:tplc="A2C035B2">
      <w:start w:val="1"/>
      <w:numFmt w:val="upperRoman"/>
      <w:lvlText w:val="%1."/>
      <w:lvlJc w:val="left"/>
      <w:pPr>
        <w:ind w:left="1080" w:hanging="720"/>
      </w:pPr>
      <w:rPr>
        <w:rFonts w:hint="default"/>
      </w:rPr>
    </w:lvl>
    <w:lvl w:ilvl="1" w:tplc="6DEC9142" w:tentative="1">
      <w:start w:val="1"/>
      <w:numFmt w:val="lowerLetter"/>
      <w:lvlText w:val="%2."/>
      <w:lvlJc w:val="left"/>
      <w:pPr>
        <w:ind w:left="1440" w:hanging="360"/>
      </w:pPr>
    </w:lvl>
    <w:lvl w:ilvl="2" w:tplc="239EAAC8" w:tentative="1">
      <w:start w:val="1"/>
      <w:numFmt w:val="lowerRoman"/>
      <w:lvlText w:val="%3."/>
      <w:lvlJc w:val="right"/>
      <w:pPr>
        <w:ind w:left="2160" w:hanging="180"/>
      </w:pPr>
    </w:lvl>
    <w:lvl w:ilvl="3" w:tplc="6A1E9976" w:tentative="1">
      <w:start w:val="1"/>
      <w:numFmt w:val="decimal"/>
      <w:lvlText w:val="%4."/>
      <w:lvlJc w:val="left"/>
      <w:pPr>
        <w:ind w:left="2880" w:hanging="360"/>
      </w:pPr>
    </w:lvl>
    <w:lvl w:ilvl="4" w:tplc="DCAA25D8" w:tentative="1">
      <w:start w:val="1"/>
      <w:numFmt w:val="lowerLetter"/>
      <w:lvlText w:val="%5."/>
      <w:lvlJc w:val="left"/>
      <w:pPr>
        <w:ind w:left="3600" w:hanging="360"/>
      </w:pPr>
    </w:lvl>
    <w:lvl w:ilvl="5" w:tplc="19843A2C" w:tentative="1">
      <w:start w:val="1"/>
      <w:numFmt w:val="lowerRoman"/>
      <w:lvlText w:val="%6."/>
      <w:lvlJc w:val="right"/>
      <w:pPr>
        <w:ind w:left="4320" w:hanging="180"/>
      </w:pPr>
    </w:lvl>
    <w:lvl w:ilvl="6" w:tplc="F48C58D4" w:tentative="1">
      <w:start w:val="1"/>
      <w:numFmt w:val="decimal"/>
      <w:lvlText w:val="%7."/>
      <w:lvlJc w:val="left"/>
      <w:pPr>
        <w:ind w:left="5040" w:hanging="360"/>
      </w:pPr>
    </w:lvl>
    <w:lvl w:ilvl="7" w:tplc="40F45FE0" w:tentative="1">
      <w:start w:val="1"/>
      <w:numFmt w:val="lowerLetter"/>
      <w:lvlText w:val="%8."/>
      <w:lvlJc w:val="left"/>
      <w:pPr>
        <w:ind w:left="5760" w:hanging="360"/>
      </w:pPr>
    </w:lvl>
    <w:lvl w:ilvl="8" w:tplc="9872D826" w:tentative="1">
      <w:start w:val="1"/>
      <w:numFmt w:val="lowerRoman"/>
      <w:lvlText w:val="%9."/>
      <w:lvlJc w:val="right"/>
      <w:pPr>
        <w:ind w:left="6480" w:hanging="180"/>
      </w:pPr>
    </w:lvl>
  </w:abstractNum>
  <w:num w:numId="1" w16cid:durableId="1073820376">
    <w:abstractNumId w:val="17"/>
  </w:num>
  <w:num w:numId="2" w16cid:durableId="1232428346">
    <w:abstractNumId w:val="34"/>
  </w:num>
  <w:num w:numId="3" w16cid:durableId="998116322">
    <w:abstractNumId w:val="27"/>
  </w:num>
  <w:num w:numId="4" w16cid:durableId="421536866">
    <w:abstractNumId w:val="8"/>
  </w:num>
  <w:num w:numId="5" w16cid:durableId="1000161919">
    <w:abstractNumId w:val="16"/>
  </w:num>
  <w:num w:numId="6" w16cid:durableId="581717267">
    <w:abstractNumId w:val="6"/>
  </w:num>
  <w:num w:numId="7" w16cid:durableId="1771392819">
    <w:abstractNumId w:val="39"/>
  </w:num>
  <w:num w:numId="8" w16cid:durableId="1812750116">
    <w:abstractNumId w:val="10"/>
  </w:num>
  <w:num w:numId="9" w16cid:durableId="997343606">
    <w:abstractNumId w:val="23"/>
  </w:num>
  <w:num w:numId="10" w16cid:durableId="1766337234">
    <w:abstractNumId w:val="37"/>
  </w:num>
  <w:num w:numId="11" w16cid:durableId="808060450">
    <w:abstractNumId w:val="36"/>
  </w:num>
  <w:num w:numId="12" w16cid:durableId="389815321">
    <w:abstractNumId w:val="13"/>
  </w:num>
  <w:num w:numId="13" w16cid:durableId="1848710674">
    <w:abstractNumId w:val="32"/>
  </w:num>
  <w:num w:numId="14" w16cid:durableId="384372473">
    <w:abstractNumId w:val="33"/>
  </w:num>
  <w:num w:numId="15" w16cid:durableId="949825358">
    <w:abstractNumId w:val="9"/>
  </w:num>
  <w:num w:numId="16" w16cid:durableId="341319979">
    <w:abstractNumId w:val="5"/>
  </w:num>
  <w:num w:numId="17" w16cid:durableId="2108966644">
    <w:abstractNumId w:val="40"/>
  </w:num>
  <w:num w:numId="18" w16cid:durableId="1004743631">
    <w:abstractNumId w:val="14"/>
  </w:num>
  <w:num w:numId="19" w16cid:durableId="931860239">
    <w:abstractNumId w:val="12"/>
  </w:num>
  <w:num w:numId="20" w16cid:durableId="99909375">
    <w:abstractNumId w:val="28"/>
  </w:num>
  <w:num w:numId="21" w16cid:durableId="1876694404">
    <w:abstractNumId w:val="31"/>
  </w:num>
  <w:num w:numId="22" w16cid:durableId="254022899">
    <w:abstractNumId w:val="22"/>
  </w:num>
  <w:num w:numId="23" w16cid:durableId="463960592">
    <w:abstractNumId w:val="20"/>
  </w:num>
  <w:num w:numId="24" w16cid:durableId="1337002798">
    <w:abstractNumId w:val="38"/>
  </w:num>
  <w:num w:numId="25" w16cid:durableId="536088332">
    <w:abstractNumId w:val="26"/>
  </w:num>
  <w:num w:numId="26" w16cid:durableId="1628466129">
    <w:abstractNumId w:val="0"/>
  </w:num>
  <w:num w:numId="27" w16cid:durableId="1069352446">
    <w:abstractNumId w:val="2"/>
  </w:num>
  <w:num w:numId="28" w16cid:durableId="210386618">
    <w:abstractNumId w:val="25"/>
  </w:num>
  <w:num w:numId="29" w16cid:durableId="1061753724">
    <w:abstractNumId w:val="29"/>
  </w:num>
  <w:num w:numId="30" w16cid:durableId="288363607">
    <w:abstractNumId w:val="19"/>
  </w:num>
  <w:num w:numId="31" w16cid:durableId="147209328">
    <w:abstractNumId w:val="24"/>
  </w:num>
  <w:num w:numId="32" w16cid:durableId="571741999">
    <w:abstractNumId w:val="4"/>
  </w:num>
  <w:num w:numId="33" w16cid:durableId="1317103163">
    <w:abstractNumId w:val="35"/>
  </w:num>
  <w:num w:numId="34" w16cid:durableId="582568667">
    <w:abstractNumId w:val="21"/>
  </w:num>
  <w:num w:numId="35" w16cid:durableId="1897276476">
    <w:abstractNumId w:val="30"/>
  </w:num>
  <w:num w:numId="36" w16cid:durableId="1263731431">
    <w:abstractNumId w:val="18"/>
  </w:num>
  <w:num w:numId="37" w16cid:durableId="672688336">
    <w:abstractNumId w:val="15"/>
  </w:num>
  <w:num w:numId="38" w16cid:durableId="1460029828">
    <w:abstractNumId w:val="7"/>
  </w:num>
  <w:num w:numId="39" w16cid:durableId="1131287958">
    <w:abstractNumId w:val="3"/>
  </w:num>
  <w:num w:numId="40" w16cid:durableId="1924683847">
    <w:abstractNumId w:val="1"/>
  </w:num>
  <w:num w:numId="41" w16cid:durableId="1158183013">
    <w:abstractNumId w:val="18"/>
    <w:lvlOverride w:ilvl="0">
      <w:startOverride w:val="1"/>
    </w:lvlOverride>
  </w:num>
  <w:num w:numId="42" w16cid:durableId="1510828760">
    <w:abstractNumId w:val="18"/>
    <w:lvlOverride w:ilvl="0">
      <w:startOverride w:val="5"/>
    </w:lvlOverride>
  </w:num>
  <w:num w:numId="43" w16cid:durableId="827331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5A"/>
    <w:rsid w:val="000002E1"/>
    <w:rsid w:val="00001558"/>
    <w:rsid w:val="00001E92"/>
    <w:rsid w:val="00002476"/>
    <w:rsid w:val="00002EDA"/>
    <w:rsid w:val="00005196"/>
    <w:rsid w:val="0000525E"/>
    <w:rsid w:val="000060EB"/>
    <w:rsid w:val="0000694C"/>
    <w:rsid w:val="000078CD"/>
    <w:rsid w:val="00007CF5"/>
    <w:rsid w:val="00007D8C"/>
    <w:rsid w:val="00010568"/>
    <w:rsid w:val="00010723"/>
    <w:rsid w:val="00010AF3"/>
    <w:rsid w:val="000114EE"/>
    <w:rsid w:val="00011797"/>
    <w:rsid w:val="00012425"/>
    <w:rsid w:val="00012FBC"/>
    <w:rsid w:val="00016557"/>
    <w:rsid w:val="00016DC7"/>
    <w:rsid w:val="0001726F"/>
    <w:rsid w:val="00020290"/>
    <w:rsid w:val="00021057"/>
    <w:rsid w:val="00021307"/>
    <w:rsid w:val="000213DF"/>
    <w:rsid w:val="00022206"/>
    <w:rsid w:val="000232B9"/>
    <w:rsid w:val="00023E74"/>
    <w:rsid w:val="00024190"/>
    <w:rsid w:val="0002754B"/>
    <w:rsid w:val="000306FC"/>
    <w:rsid w:val="0003170A"/>
    <w:rsid w:val="000317EF"/>
    <w:rsid w:val="00031A03"/>
    <w:rsid w:val="00031DAE"/>
    <w:rsid w:val="000326C0"/>
    <w:rsid w:val="00033059"/>
    <w:rsid w:val="00033615"/>
    <w:rsid w:val="00034CFA"/>
    <w:rsid w:val="00034DF4"/>
    <w:rsid w:val="0003625F"/>
    <w:rsid w:val="00040B69"/>
    <w:rsid w:val="0004106C"/>
    <w:rsid w:val="000413AA"/>
    <w:rsid w:val="000417EC"/>
    <w:rsid w:val="00042809"/>
    <w:rsid w:val="00042B66"/>
    <w:rsid w:val="00042E55"/>
    <w:rsid w:val="00043264"/>
    <w:rsid w:val="00043285"/>
    <w:rsid w:val="000434E3"/>
    <w:rsid w:val="000457CE"/>
    <w:rsid w:val="000461FA"/>
    <w:rsid w:val="00046D2B"/>
    <w:rsid w:val="00050BB2"/>
    <w:rsid w:val="00052130"/>
    <w:rsid w:val="00052AC9"/>
    <w:rsid w:val="00052C94"/>
    <w:rsid w:val="00054709"/>
    <w:rsid w:val="00054ACA"/>
    <w:rsid w:val="0005504F"/>
    <w:rsid w:val="00056F18"/>
    <w:rsid w:val="0005770D"/>
    <w:rsid w:val="00060909"/>
    <w:rsid w:val="00060A58"/>
    <w:rsid w:val="00062566"/>
    <w:rsid w:val="00062899"/>
    <w:rsid w:val="00062E7A"/>
    <w:rsid w:val="0006450D"/>
    <w:rsid w:val="00064E64"/>
    <w:rsid w:val="0006532D"/>
    <w:rsid w:val="00066416"/>
    <w:rsid w:val="00066AF1"/>
    <w:rsid w:val="00070728"/>
    <w:rsid w:val="00071660"/>
    <w:rsid w:val="00071871"/>
    <w:rsid w:val="00074BE4"/>
    <w:rsid w:val="00075115"/>
    <w:rsid w:val="00075689"/>
    <w:rsid w:val="00075BDA"/>
    <w:rsid w:val="00075EC6"/>
    <w:rsid w:val="00077946"/>
    <w:rsid w:val="000828A9"/>
    <w:rsid w:val="00083195"/>
    <w:rsid w:val="0008492E"/>
    <w:rsid w:val="00085CCF"/>
    <w:rsid w:val="00087B90"/>
    <w:rsid w:val="000918D8"/>
    <w:rsid w:val="00091E47"/>
    <w:rsid w:val="00095138"/>
    <w:rsid w:val="000968FE"/>
    <w:rsid w:val="000974CA"/>
    <w:rsid w:val="00097DAB"/>
    <w:rsid w:val="000A1D34"/>
    <w:rsid w:val="000A32D0"/>
    <w:rsid w:val="000A3E95"/>
    <w:rsid w:val="000A69F3"/>
    <w:rsid w:val="000A72AC"/>
    <w:rsid w:val="000A7C53"/>
    <w:rsid w:val="000B085E"/>
    <w:rsid w:val="000B209F"/>
    <w:rsid w:val="000B2C78"/>
    <w:rsid w:val="000B50C2"/>
    <w:rsid w:val="000B653D"/>
    <w:rsid w:val="000B65DE"/>
    <w:rsid w:val="000B6A61"/>
    <w:rsid w:val="000C0E58"/>
    <w:rsid w:val="000C1C1B"/>
    <w:rsid w:val="000C30B6"/>
    <w:rsid w:val="000C3138"/>
    <w:rsid w:val="000C316F"/>
    <w:rsid w:val="000C5888"/>
    <w:rsid w:val="000C687A"/>
    <w:rsid w:val="000D0046"/>
    <w:rsid w:val="000D0410"/>
    <w:rsid w:val="000D2830"/>
    <w:rsid w:val="000D296A"/>
    <w:rsid w:val="000D31D1"/>
    <w:rsid w:val="000D39E4"/>
    <w:rsid w:val="000D55CB"/>
    <w:rsid w:val="000D74E6"/>
    <w:rsid w:val="000D79D3"/>
    <w:rsid w:val="000D7C30"/>
    <w:rsid w:val="000E27A8"/>
    <w:rsid w:val="000E2A67"/>
    <w:rsid w:val="000E3105"/>
    <w:rsid w:val="000E3A16"/>
    <w:rsid w:val="000E4EA3"/>
    <w:rsid w:val="000E53AF"/>
    <w:rsid w:val="000E608B"/>
    <w:rsid w:val="000F1C17"/>
    <w:rsid w:val="000F3EB2"/>
    <w:rsid w:val="000F586C"/>
    <w:rsid w:val="000F5F0D"/>
    <w:rsid w:val="000F681B"/>
    <w:rsid w:val="000F7E88"/>
    <w:rsid w:val="001013F2"/>
    <w:rsid w:val="00101D66"/>
    <w:rsid w:val="0010203E"/>
    <w:rsid w:val="00103A40"/>
    <w:rsid w:val="00104134"/>
    <w:rsid w:val="00105639"/>
    <w:rsid w:val="00106512"/>
    <w:rsid w:val="001067DF"/>
    <w:rsid w:val="001074D8"/>
    <w:rsid w:val="0011139F"/>
    <w:rsid w:val="00112BD6"/>
    <w:rsid w:val="00112FE4"/>
    <w:rsid w:val="0011322F"/>
    <w:rsid w:val="001142FD"/>
    <w:rsid w:val="0011608C"/>
    <w:rsid w:val="001166FF"/>
    <w:rsid w:val="0011796A"/>
    <w:rsid w:val="00117FB5"/>
    <w:rsid w:val="00120C2B"/>
    <w:rsid w:val="00121A5A"/>
    <w:rsid w:val="00121CB7"/>
    <w:rsid w:val="001240D0"/>
    <w:rsid w:val="001275B1"/>
    <w:rsid w:val="001311CC"/>
    <w:rsid w:val="00131ED0"/>
    <w:rsid w:val="00131F0E"/>
    <w:rsid w:val="001346FD"/>
    <w:rsid w:val="001348FD"/>
    <w:rsid w:val="001352CA"/>
    <w:rsid w:val="00135A54"/>
    <w:rsid w:val="00135B40"/>
    <w:rsid w:val="00136B33"/>
    <w:rsid w:val="001373E9"/>
    <w:rsid w:val="00141531"/>
    <w:rsid w:val="00142B9F"/>
    <w:rsid w:val="00143B28"/>
    <w:rsid w:val="00145686"/>
    <w:rsid w:val="00145B59"/>
    <w:rsid w:val="00145F33"/>
    <w:rsid w:val="00146350"/>
    <w:rsid w:val="0014722E"/>
    <w:rsid w:val="00147F0C"/>
    <w:rsid w:val="001512AC"/>
    <w:rsid w:val="00151B26"/>
    <w:rsid w:val="0015391B"/>
    <w:rsid w:val="00153A52"/>
    <w:rsid w:val="00154575"/>
    <w:rsid w:val="001576C1"/>
    <w:rsid w:val="00157E9C"/>
    <w:rsid w:val="00160A3B"/>
    <w:rsid w:val="001610FD"/>
    <w:rsid w:val="00162FA7"/>
    <w:rsid w:val="00162FF5"/>
    <w:rsid w:val="00163989"/>
    <w:rsid w:val="00163B05"/>
    <w:rsid w:val="00163D03"/>
    <w:rsid w:val="00164CE9"/>
    <w:rsid w:val="001666FC"/>
    <w:rsid w:val="00166E41"/>
    <w:rsid w:val="00170E49"/>
    <w:rsid w:val="001710DD"/>
    <w:rsid w:val="00174B32"/>
    <w:rsid w:val="0018001C"/>
    <w:rsid w:val="00181086"/>
    <w:rsid w:val="001824E3"/>
    <w:rsid w:val="001828EF"/>
    <w:rsid w:val="00183AAF"/>
    <w:rsid w:val="001850EE"/>
    <w:rsid w:val="001854C3"/>
    <w:rsid w:val="0018657E"/>
    <w:rsid w:val="00186969"/>
    <w:rsid w:val="001871BA"/>
    <w:rsid w:val="001878F5"/>
    <w:rsid w:val="00190E7F"/>
    <w:rsid w:val="00193356"/>
    <w:rsid w:val="00195D47"/>
    <w:rsid w:val="00196092"/>
    <w:rsid w:val="00196BEF"/>
    <w:rsid w:val="00197622"/>
    <w:rsid w:val="00197B08"/>
    <w:rsid w:val="001A022C"/>
    <w:rsid w:val="001A1112"/>
    <w:rsid w:val="001A2748"/>
    <w:rsid w:val="001A6DF9"/>
    <w:rsid w:val="001A73BD"/>
    <w:rsid w:val="001B0740"/>
    <w:rsid w:val="001B15B5"/>
    <w:rsid w:val="001B1832"/>
    <w:rsid w:val="001B1AC6"/>
    <w:rsid w:val="001B1BF6"/>
    <w:rsid w:val="001B22C9"/>
    <w:rsid w:val="001B2B59"/>
    <w:rsid w:val="001B3B39"/>
    <w:rsid w:val="001B652E"/>
    <w:rsid w:val="001B6D24"/>
    <w:rsid w:val="001B73D2"/>
    <w:rsid w:val="001C01C1"/>
    <w:rsid w:val="001C0546"/>
    <w:rsid w:val="001C0A87"/>
    <w:rsid w:val="001C2697"/>
    <w:rsid w:val="001C2A66"/>
    <w:rsid w:val="001C3DD7"/>
    <w:rsid w:val="001C3F3E"/>
    <w:rsid w:val="001D0B4F"/>
    <w:rsid w:val="001D19AD"/>
    <w:rsid w:val="001D4229"/>
    <w:rsid w:val="001D5087"/>
    <w:rsid w:val="001D5795"/>
    <w:rsid w:val="001D5AEB"/>
    <w:rsid w:val="001D5B75"/>
    <w:rsid w:val="001D5CFB"/>
    <w:rsid w:val="001D6AEC"/>
    <w:rsid w:val="001D6BF5"/>
    <w:rsid w:val="001D7B6A"/>
    <w:rsid w:val="001E06CE"/>
    <w:rsid w:val="001E0BDE"/>
    <w:rsid w:val="001E1CBD"/>
    <w:rsid w:val="001E24E6"/>
    <w:rsid w:val="001E25B7"/>
    <w:rsid w:val="001E2BBA"/>
    <w:rsid w:val="001E2EA7"/>
    <w:rsid w:val="001E424C"/>
    <w:rsid w:val="001E4C07"/>
    <w:rsid w:val="001E581E"/>
    <w:rsid w:val="001E793D"/>
    <w:rsid w:val="001F145B"/>
    <w:rsid w:val="001F2655"/>
    <w:rsid w:val="001F3365"/>
    <w:rsid w:val="001F3891"/>
    <w:rsid w:val="001F4E51"/>
    <w:rsid w:val="001F6D8B"/>
    <w:rsid w:val="001F7A96"/>
    <w:rsid w:val="00200FF5"/>
    <w:rsid w:val="00201392"/>
    <w:rsid w:val="00201520"/>
    <w:rsid w:val="002015BC"/>
    <w:rsid w:val="00203F78"/>
    <w:rsid w:val="0020637B"/>
    <w:rsid w:val="0020724E"/>
    <w:rsid w:val="002077C5"/>
    <w:rsid w:val="00210311"/>
    <w:rsid w:val="00211190"/>
    <w:rsid w:val="0021149F"/>
    <w:rsid w:val="002114E9"/>
    <w:rsid w:val="002118CF"/>
    <w:rsid w:val="0021252D"/>
    <w:rsid w:val="00212554"/>
    <w:rsid w:val="00212A74"/>
    <w:rsid w:val="00212C3D"/>
    <w:rsid w:val="00212DD4"/>
    <w:rsid w:val="00213439"/>
    <w:rsid w:val="0021346E"/>
    <w:rsid w:val="00213DBE"/>
    <w:rsid w:val="00214252"/>
    <w:rsid w:val="00215BF1"/>
    <w:rsid w:val="00216771"/>
    <w:rsid w:val="0021765B"/>
    <w:rsid w:val="0021775A"/>
    <w:rsid w:val="00217CA3"/>
    <w:rsid w:val="00220441"/>
    <w:rsid w:val="00222423"/>
    <w:rsid w:val="00222A4D"/>
    <w:rsid w:val="00223914"/>
    <w:rsid w:val="00224058"/>
    <w:rsid w:val="00224345"/>
    <w:rsid w:val="0022491F"/>
    <w:rsid w:val="00224D7C"/>
    <w:rsid w:val="0022556C"/>
    <w:rsid w:val="00225CAD"/>
    <w:rsid w:val="0023044A"/>
    <w:rsid w:val="00230FB5"/>
    <w:rsid w:val="00231624"/>
    <w:rsid w:val="00232361"/>
    <w:rsid w:val="00233CC9"/>
    <w:rsid w:val="00235CD3"/>
    <w:rsid w:val="00235CEA"/>
    <w:rsid w:val="002361FC"/>
    <w:rsid w:val="00237F7E"/>
    <w:rsid w:val="002400B7"/>
    <w:rsid w:val="002401D1"/>
    <w:rsid w:val="00241554"/>
    <w:rsid w:val="00242654"/>
    <w:rsid w:val="002437CD"/>
    <w:rsid w:val="002437D9"/>
    <w:rsid w:val="00246494"/>
    <w:rsid w:val="00246716"/>
    <w:rsid w:val="00247077"/>
    <w:rsid w:val="00250433"/>
    <w:rsid w:val="0025408C"/>
    <w:rsid w:val="00255295"/>
    <w:rsid w:val="00260557"/>
    <w:rsid w:val="00262422"/>
    <w:rsid w:val="00264862"/>
    <w:rsid w:val="00266352"/>
    <w:rsid w:val="00266455"/>
    <w:rsid w:val="00267E1D"/>
    <w:rsid w:val="002700C5"/>
    <w:rsid w:val="0027068F"/>
    <w:rsid w:val="00271AFA"/>
    <w:rsid w:val="00271B45"/>
    <w:rsid w:val="00271B95"/>
    <w:rsid w:val="00271C5C"/>
    <w:rsid w:val="00271D9D"/>
    <w:rsid w:val="00271F93"/>
    <w:rsid w:val="00274209"/>
    <w:rsid w:val="00275457"/>
    <w:rsid w:val="0027601D"/>
    <w:rsid w:val="00276570"/>
    <w:rsid w:val="00276E14"/>
    <w:rsid w:val="00277309"/>
    <w:rsid w:val="00281A32"/>
    <w:rsid w:val="00282433"/>
    <w:rsid w:val="00286759"/>
    <w:rsid w:val="00291EF2"/>
    <w:rsid w:val="00293B14"/>
    <w:rsid w:val="0029480C"/>
    <w:rsid w:val="002969B1"/>
    <w:rsid w:val="00296F9A"/>
    <w:rsid w:val="002A0395"/>
    <w:rsid w:val="002A0D9C"/>
    <w:rsid w:val="002A15F5"/>
    <w:rsid w:val="002A1ABA"/>
    <w:rsid w:val="002A1E24"/>
    <w:rsid w:val="002A1EA7"/>
    <w:rsid w:val="002A1F61"/>
    <w:rsid w:val="002A2A8F"/>
    <w:rsid w:val="002A51D9"/>
    <w:rsid w:val="002A5C47"/>
    <w:rsid w:val="002B0A9E"/>
    <w:rsid w:val="002B153A"/>
    <w:rsid w:val="002B2378"/>
    <w:rsid w:val="002B3B98"/>
    <w:rsid w:val="002C1085"/>
    <w:rsid w:val="002C1B72"/>
    <w:rsid w:val="002C286A"/>
    <w:rsid w:val="002C2D32"/>
    <w:rsid w:val="002C2F51"/>
    <w:rsid w:val="002C49F7"/>
    <w:rsid w:val="002C696F"/>
    <w:rsid w:val="002C6E3B"/>
    <w:rsid w:val="002C7B15"/>
    <w:rsid w:val="002D14F1"/>
    <w:rsid w:val="002D1721"/>
    <w:rsid w:val="002D1F3F"/>
    <w:rsid w:val="002D3C05"/>
    <w:rsid w:val="002D3E52"/>
    <w:rsid w:val="002D4251"/>
    <w:rsid w:val="002E0D99"/>
    <w:rsid w:val="002E0FC0"/>
    <w:rsid w:val="002E1A9C"/>
    <w:rsid w:val="002E21DA"/>
    <w:rsid w:val="002E3DFF"/>
    <w:rsid w:val="002E6762"/>
    <w:rsid w:val="002E69CE"/>
    <w:rsid w:val="002E69F6"/>
    <w:rsid w:val="002E7F6D"/>
    <w:rsid w:val="002F0B76"/>
    <w:rsid w:val="002F3B56"/>
    <w:rsid w:val="002F4432"/>
    <w:rsid w:val="002F56D6"/>
    <w:rsid w:val="002F5AAF"/>
    <w:rsid w:val="002F6161"/>
    <w:rsid w:val="00301550"/>
    <w:rsid w:val="0030165C"/>
    <w:rsid w:val="00302CB8"/>
    <w:rsid w:val="00303A97"/>
    <w:rsid w:val="0030438A"/>
    <w:rsid w:val="00304B94"/>
    <w:rsid w:val="00304DA7"/>
    <w:rsid w:val="00306B3F"/>
    <w:rsid w:val="0030756B"/>
    <w:rsid w:val="00310805"/>
    <w:rsid w:val="00310A6D"/>
    <w:rsid w:val="00312557"/>
    <w:rsid w:val="00312DB2"/>
    <w:rsid w:val="00313CA1"/>
    <w:rsid w:val="00314793"/>
    <w:rsid w:val="00316987"/>
    <w:rsid w:val="00320355"/>
    <w:rsid w:val="003204DE"/>
    <w:rsid w:val="00321B4E"/>
    <w:rsid w:val="00323313"/>
    <w:rsid w:val="00324FA4"/>
    <w:rsid w:val="00325E19"/>
    <w:rsid w:val="00325ECE"/>
    <w:rsid w:val="00327A9F"/>
    <w:rsid w:val="00327BB4"/>
    <w:rsid w:val="00327D21"/>
    <w:rsid w:val="00330775"/>
    <w:rsid w:val="00330802"/>
    <w:rsid w:val="00330AD6"/>
    <w:rsid w:val="00331EC2"/>
    <w:rsid w:val="00331FDE"/>
    <w:rsid w:val="00333985"/>
    <w:rsid w:val="003348E2"/>
    <w:rsid w:val="0034005F"/>
    <w:rsid w:val="003420F1"/>
    <w:rsid w:val="00342FA0"/>
    <w:rsid w:val="0034438E"/>
    <w:rsid w:val="00344652"/>
    <w:rsid w:val="00344C2F"/>
    <w:rsid w:val="00346806"/>
    <w:rsid w:val="003501E1"/>
    <w:rsid w:val="0035050F"/>
    <w:rsid w:val="00350C48"/>
    <w:rsid w:val="00351583"/>
    <w:rsid w:val="0035159E"/>
    <w:rsid w:val="00353C71"/>
    <w:rsid w:val="00354CA4"/>
    <w:rsid w:val="00360652"/>
    <w:rsid w:val="003614CC"/>
    <w:rsid w:val="00362074"/>
    <w:rsid w:val="003629C6"/>
    <w:rsid w:val="003633CF"/>
    <w:rsid w:val="00365CC9"/>
    <w:rsid w:val="00366226"/>
    <w:rsid w:val="00366687"/>
    <w:rsid w:val="00373779"/>
    <w:rsid w:val="00374153"/>
    <w:rsid w:val="003746B6"/>
    <w:rsid w:val="003747B8"/>
    <w:rsid w:val="003754E8"/>
    <w:rsid w:val="00375B58"/>
    <w:rsid w:val="0037623A"/>
    <w:rsid w:val="00380637"/>
    <w:rsid w:val="003811AC"/>
    <w:rsid w:val="003816DB"/>
    <w:rsid w:val="003821D9"/>
    <w:rsid w:val="0038275F"/>
    <w:rsid w:val="00384EF4"/>
    <w:rsid w:val="003870B7"/>
    <w:rsid w:val="003877E5"/>
    <w:rsid w:val="003877E6"/>
    <w:rsid w:val="00387C8B"/>
    <w:rsid w:val="00387EAD"/>
    <w:rsid w:val="0039071A"/>
    <w:rsid w:val="00393796"/>
    <w:rsid w:val="00394E6A"/>
    <w:rsid w:val="003A0BE2"/>
    <w:rsid w:val="003A0DCB"/>
    <w:rsid w:val="003A31A8"/>
    <w:rsid w:val="003A34D0"/>
    <w:rsid w:val="003A36F6"/>
    <w:rsid w:val="003A3FFF"/>
    <w:rsid w:val="003A6FA6"/>
    <w:rsid w:val="003A7F41"/>
    <w:rsid w:val="003B0B3E"/>
    <w:rsid w:val="003B1218"/>
    <w:rsid w:val="003B1BE8"/>
    <w:rsid w:val="003B2105"/>
    <w:rsid w:val="003B2B75"/>
    <w:rsid w:val="003B4260"/>
    <w:rsid w:val="003B49EE"/>
    <w:rsid w:val="003B4C87"/>
    <w:rsid w:val="003B58B4"/>
    <w:rsid w:val="003B6083"/>
    <w:rsid w:val="003B7B37"/>
    <w:rsid w:val="003C0B23"/>
    <w:rsid w:val="003C1267"/>
    <w:rsid w:val="003C34A6"/>
    <w:rsid w:val="003C4009"/>
    <w:rsid w:val="003C6505"/>
    <w:rsid w:val="003D1321"/>
    <w:rsid w:val="003D3153"/>
    <w:rsid w:val="003D3486"/>
    <w:rsid w:val="003D4BE4"/>
    <w:rsid w:val="003D4FCD"/>
    <w:rsid w:val="003D51BA"/>
    <w:rsid w:val="003D56D2"/>
    <w:rsid w:val="003D69D2"/>
    <w:rsid w:val="003D6DDD"/>
    <w:rsid w:val="003D7FC1"/>
    <w:rsid w:val="003E10F0"/>
    <w:rsid w:val="003E2B3C"/>
    <w:rsid w:val="003E35BB"/>
    <w:rsid w:val="003E4791"/>
    <w:rsid w:val="003E4EB3"/>
    <w:rsid w:val="003E505F"/>
    <w:rsid w:val="003E5A33"/>
    <w:rsid w:val="003E7806"/>
    <w:rsid w:val="003F0140"/>
    <w:rsid w:val="003F0FF0"/>
    <w:rsid w:val="003F1AF6"/>
    <w:rsid w:val="003F1BC7"/>
    <w:rsid w:val="003F5487"/>
    <w:rsid w:val="003F5E90"/>
    <w:rsid w:val="003F64C7"/>
    <w:rsid w:val="003F7AA2"/>
    <w:rsid w:val="003F7F02"/>
    <w:rsid w:val="00400AEC"/>
    <w:rsid w:val="00402732"/>
    <w:rsid w:val="00402CE8"/>
    <w:rsid w:val="00403871"/>
    <w:rsid w:val="00405B94"/>
    <w:rsid w:val="004065EE"/>
    <w:rsid w:val="00407A71"/>
    <w:rsid w:val="00410163"/>
    <w:rsid w:val="00410C7C"/>
    <w:rsid w:val="00411498"/>
    <w:rsid w:val="004114D7"/>
    <w:rsid w:val="004123E6"/>
    <w:rsid w:val="00413128"/>
    <w:rsid w:val="00413331"/>
    <w:rsid w:val="0041369C"/>
    <w:rsid w:val="004153CB"/>
    <w:rsid w:val="004158DC"/>
    <w:rsid w:val="004162CD"/>
    <w:rsid w:val="00420F9A"/>
    <w:rsid w:val="00422948"/>
    <w:rsid w:val="00423208"/>
    <w:rsid w:val="00423AB3"/>
    <w:rsid w:val="004243D1"/>
    <w:rsid w:val="0042468A"/>
    <w:rsid w:val="00424901"/>
    <w:rsid w:val="00425A64"/>
    <w:rsid w:val="00425C20"/>
    <w:rsid w:val="00426F96"/>
    <w:rsid w:val="0043038B"/>
    <w:rsid w:val="004307E5"/>
    <w:rsid w:val="0043239D"/>
    <w:rsid w:val="00433F60"/>
    <w:rsid w:val="0043482E"/>
    <w:rsid w:val="00435E0B"/>
    <w:rsid w:val="00435F63"/>
    <w:rsid w:val="004372EC"/>
    <w:rsid w:val="0044223A"/>
    <w:rsid w:val="00442EA8"/>
    <w:rsid w:val="00443079"/>
    <w:rsid w:val="00444CF3"/>
    <w:rsid w:val="00444F6F"/>
    <w:rsid w:val="00445151"/>
    <w:rsid w:val="00445866"/>
    <w:rsid w:val="0044622A"/>
    <w:rsid w:val="00446F2A"/>
    <w:rsid w:val="00447971"/>
    <w:rsid w:val="00450127"/>
    <w:rsid w:val="00450883"/>
    <w:rsid w:val="00451EB9"/>
    <w:rsid w:val="00452096"/>
    <w:rsid w:val="00452C94"/>
    <w:rsid w:val="00453652"/>
    <w:rsid w:val="00454514"/>
    <w:rsid w:val="00454CC6"/>
    <w:rsid w:val="00454ECE"/>
    <w:rsid w:val="0045503D"/>
    <w:rsid w:val="00460218"/>
    <w:rsid w:val="0046047B"/>
    <w:rsid w:val="00460E8B"/>
    <w:rsid w:val="00460FCD"/>
    <w:rsid w:val="004613DA"/>
    <w:rsid w:val="0046227C"/>
    <w:rsid w:val="00463F4E"/>
    <w:rsid w:val="00464FED"/>
    <w:rsid w:val="00465C53"/>
    <w:rsid w:val="00466721"/>
    <w:rsid w:val="00466CA4"/>
    <w:rsid w:val="00467082"/>
    <w:rsid w:val="00467CBD"/>
    <w:rsid w:val="0047157B"/>
    <w:rsid w:val="00472557"/>
    <w:rsid w:val="004727FE"/>
    <w:rsid w:val="00472902"/>
    <w:rsid w:val="004736D7"/>
    <w:rsid w:val="00473E06"/>
    <w:rsid w:val="00474336"/>
    <w:rsid w:val="0048301D"/>
    <w:rsid w:val="00484A07"/>
    <w:rsid w:val="004860FD"/>
    <w:rsid w:val="00486B9B"/>
    <w:rsid w:val="0048723E"/>
    <w:rsid w:val="004900D7"/>
    <w:rsid w:val="004901BA"/>
    <w:rsid w:val="00490310"/>
    <w:rsid w:val="00491619"/>
    <w:rsid w:val="00491EA8"/>
    <w:rsid w:val="00492562"/>
    <w:rsid w:val="00494339"/>
    <w:rsid w:val="00495203"/>
    <w:rsid w:val="0049520C"/>
    <w:rsid w:val="00495226"/>
    <w:rsid w:val="0049569D"/>
    <w:rsid w:val="00497704"/>
    <w:rsid w:val="004A0E58"/>
    <w:rsid w:val="004A13A4"/>
    <w:rsid w:val="004A15AC"/>
    <w:rsid w:val="004A224A"/>
    <w:rsid w:val="004A29AD"/>
    <w:rsid w:val="004A49CF"/>
    <w:rsid w:val="004A6EA5"/>
    <w:rsid w:val="004A73EE"/>
    <w:rsid w:val="004B00E6"/>
    <w:rsid w:val="004B10C4"/>
    <w:rsid w:val="004B1382"/>
    <w:rsid w:val="004B1FDC"/>
    <w:rsid w:val="004B2AD1"/>
    <w:rsid w:val="004B3F06"/>
    <w:rsid w:val="004B463A"/>
    <w:rsid w:val="004B4772"/>
    <w:rsid w:val="004B736A"/>
    <w:rsid w:val="004C00BB"/>
    <w:rsid w:val="004C0120"/>
    <w:rsid w:val="004C0E31"/>
    <w:rsid w:val="004C24E4"/>
    <w:rsid w:val="004C3010"/>
    <w:rsid w:val="004C557E"/>
    <w:rsid w:val="004C6412"/>
    <w:rsid w:val="004C6FCF"/>
    <w:rsid w:val="004C7D40"/>
    <w:rsid w:val="004D2B12"/>
    <w:rsid w:val="004D61A4"/>
    <w:rsid w:val="004D7973"/>
    <w:rsid w:val="004D7BF8"/>
    <w:rsid w:val="004E05CF"/>
    <w:rsid w:val="004E12C4"/>
    <w:rsid w:val="004E270B"/>
    <w:rsid w:val="004F149D"/>
    <w:rsid w:val="004F1AF9"/>
    <w:rsid w:val="004F3133"/>
    <w:rsid w:val="004F4124"/>
    <w:rsid w:val="004F412A"/>
    <w:rsid w:val="004F7B85"/>
    <w:rsid w:val="004F7EB7"/>
    <w:rsid w:val="00500C11"/>
    <w:rsid w:val="00500CF5"/>
    <w:rsid w:val="00502AB4"/>
    <w:rsid w:val="00502DBA"/>
    <w:rsid w:val="0050395E"/>
    <w:rsid w:val="0050507D"/>
    <w:rsid w:val="00506898"/>
    <w:rsid w:val="0050698E"/>
    <w:rsid w:val="00506D8C"/>
    <w:rsid w:val="00507726"/>
    <w:rsid w:val="005104E9"/>
    <w:rsid w:val="00510BDC"/>
    <w:rsid w:val="00511099"/>
    <w:rsid w:val="00511F96"/>
    <w:rsid w:val="005127BC"/>
    <w:rsid w:val="00515123"/>
    <w:rsid w:val="00515C02"/>
    <w:rsid w:val="0051614C"/>
    <w:rsid w:val="00517500"/>
    <w:rsid w:val="00517612"/>
    <w:rsid w:val="0051773A"/>
    <w:rsid w:val="0051782B"/>
    <w:rsid w:val="00523D45"/>
    <w:rsid w:val="00524B21"/>
    <w:rsid w:val="00525E87"/>
    <w:rsid w:val="0052665A"/>
    <w:rsid w:val="005268EA"/>
    <w:rsid w:val="00527512"/>
    <w:rsid w:val="00527D15"/>
    <w:rsid w:val="00530620"/>
    <w:rsid w:val="005312E3"/>
    <w:rsid w:val="0053168C"/>
    <w:rsid w:val="00532136"/>
    <w:rsid w:val="0053513F"/>
    <w:rsid w:val="0053568F"/>
    <w:rsid w:val="005358B0"/>
    <w:rsid w:val="00536371"/>
    <w:rsid w:val="00536F3F"/>
    <w:rsid w:val="00540278"/>
    <w:rsid w:val="00542715"/>
    <w:rsid w:val="0054413F"/>
    <w:rsid w:val="0054529E"/>
    <w:rsid w:val="00545393"/>
    <w:rsid w:val="00551E71"/>
    <w:rsid w:val="00553DE7"/>
    <w:rsid w:val="00554ACD"/>
    <w:rsid w:val="005550EF"/>
    <w:rsid w:val="005551A6"/>
    <w:rsid w:val="00555F30"/>
    <w:rsid w:val="0055614D"/>
    <w:rsid w:val="00556889"/>
    <w:rsid w:val="00556917"/>
    <w:rsid w:val="00557E8F"/>
    <w:rsid w:val="00561BE4"/>
    <w:rsid w:val="00561E4D"/>
    <w:rsid w:val="0056243B"/>
    <w:rsid w:val="00562680"/>
    <w:rsid w:val="00562B91"/>
    <w:rsid w:val="005633DB"/>
    <w:rsid w:val="00563CA1"/>
    <w:rsid w:val="00563E79"/>
    <w:rsid w:val="00563EAD"/>
    <w:rsid w:val="00564544"/>
    <w:rsid w:val="0056481B"/>
    <w:rsid w:val="0056484A"/>
    <w:rsid w:val="005677FD"/>
    <w:rsid w:val="00567C13"/>
    <w:rsid w:val="00567F00"/>
    <w:rsid w:val="005705FA"/>
    <w:rsid w:val="00570DDB"/>
    <w:rsid w:val="0057112D"/>
    <w:rsid w:val="00571670"/>
    <w:rsid w:val="00573D26"/>
    <w:rsid w:val="005744B3"/>
    <w:rsid w:val="005753FD"/>
    <w:rsid w:val="00575FE0"/>
    <w:rsid w:val="0057737C"/>
    <w:rsid w:val="00580155"/>
    <w:rsid w:val="00581C22"/>
    <w:rsid w:val="00581C90"/>
    <w:rsid w:val="00582C36"/>
    <w:rsid w:val="00582CFA"/>
    <w:rsid w:val="00582FDD"/>
    <w:rsid w:val="005834DA"/>
    <w:rsid w:val="00583CAB"/>
    <w:rsid w:val="00583F01"/>
    <w:rsid w:val="005856D0"/>
    <w:rsid w:val="005858B1"/>
    <w:rsid w:val="00590577"/>
    <w:rsid w:val="00591817"/>
    <w:rsid w:val="00592335"/>
    <w:rsid w:val="00592E73"/>
    <w:rsid w:val="00596F8C"/>
    <w:rsid w:val="00597AF5"/>
    <w:rsid w:val="005A0499"/>
    <w:rsid w:val="005A2CC8"/>
    <w:rsid w:val="005A4207"/>
    <w:rsid w:val="005A68E4"/>
    <w:rsid w:val="005A75B1"/>
    <w:rsid w:val="005B00D3"/>
    <w:rsid w:val="005B19C0"/>
    <w:rsid w:val="005B3F66"/>
    <w:rsid w:val="005B40C8"/>
    <w:rsid w:val="005B6502"/>
    <w:rsid w:val="005B7261"/>
    <w:rsid w:val="005C0140"/>
    <w:rsid w:val="005C0199"/>
    <w:rsid w:val="005C0849"/>
    <w:rsid w:val="005C1063"/>
    <w:rsid w:val="005C1FCE"/>
    <w:rsid w:val="005C2813"/>
    <w:rsid w:val="005C5363"/>
    <w:rsid w:val="005C57C2"/>
    <w:rsid w:val="005C5957"/>
    <w:rsid w:val="005D0BA4"/>
    <w:rsid w:val="005D0CA7"/>
    <w:rsid w:val="005D1621"/>
    <w:rsid w:val="005D2649"/>
    <w:rsid w:val="005D2C5A"/>
    <w:rsid w:val="005D3141"/>
    <w:rsid w:val="005D3E59"/>
    <w:rsid w:val="005E047F"/>
    <w:rsid w:val="005E100C"/>
    <w:rsid w:val="005E201A"/>
    <w:rsid w:val="005E2C78"/>
    <w:rsid w:val="005E2F39"/>
    <w:rsid w:val="005E37AA"/>
    <w:rsid w:val="005E4875"/>
    <w:rsid w:val="005E56CD"/>
    <w:rsid w:val="005E6410"/>
    <w:rsid w:val="005E6855"/>
    <w:rsid w:val="005E754F"/>
    <w:rsid w:val="005E7C94"/>
    <w:rsid w:val="005F3E02"/>
    <w:rsid w:val="005F485F"/>
    <w:rsid w:val="005F4B67"/>
    <w:rsid w:val="005F615E"/>
    <w:rsid w:val="005F6958"/>
    <w:rsid w:val="005F6A51"/>
    <w:rsid w:val="00600014"/>
    <w:rsid w:val="0060014A"/>
    <w:rsid w:val="0060018F"/>
    <w:rsid w:val="006018C9"/>
    <w:rsid w:val="00601960"/>
    <w:rsid w:val="0060216A"/>
    <w:rsid w:val="006033B4"/>
    <w:rsid w:val="00604577"/>
    <w:rsid w:val="00604684"/>
    <w:rsid w:val="00604A32"/>
    <w:rsid w:val="00604F91"/>
    <w:rsid w:val="006057A4"/>
    <w:rsid w:val="0060730E"/>
    <w:rsid w:val="00610B13"/>
    <w:rsid w:val="00612E0E"/>
    <w:rsid w:val="00613862"/>
    <w:rsid w:val="00615529"/>
    <w:rsid w:val="00615748"/>
    <w:rsid w:val="0061590F"/>
    <w:rsid w:val="00617F75"/>
    <w:rsid w:val="006224EE"/>
    <w:rsid w:val="006231D2"/>
    <w:rsid w:val="006233E6"/>
    <w:rsid w:val="0062588E"/>
    <w:rsid w:val="006259EC"/>
    <w:rsid w:val="00626C51"/>
    <w:rsid w:val="00630544"/>
    <w:rsid w:val="00630635"/>
    <w:rsid w:val="00631845"/>
    <w:rsid w:val="00632411"/>
    <w:rsid w:val="00632F99"/>
    <w:rsid w:val="00636217"/>
    <w:rsid w:val="00636410"/>
    <w:rsid w:val="006364BC"/>
    <w:rsid w:val="00636588"/>
    <w:rsid w:val="006404EF"/>
    <w:rsid w:val="006414B7"/>
    <w:rsid w:val="00641C8E"/>
    <w:rsid w:val="00643715"/>
    <w:rsid w:val="0064418A"/>
    <w:rsid w:val="006450E9"/>
    <w:rsid w:val="0064693C"/>
    <w:rsid w:val="006501EF"/>
    <w:rsid w:val="00650E82"/>
    <w:rsid w:val="00651855"/>
    <w:rsid w:val="00651AD2"/>
    <w:rsid w:val="00652A17"/>
    <w:rsid w:val="00652C99"/>
    <w:rsid w:val="0065316B"/>
    <w:rsid w:val="00654027"/>
    <w:rsid w:val="00654FD9"/>
    <w:rsid w:val="006556DD"/>
    <w:rsid w:val="00655E68"/>
    <w:rsid w:val="00656D46"/>
    <w:rsid w:val="00661C31"/>
    <w:rsid w:val="00663757"/>
    <w:rsid w:val="0066516C"/>
    <w:rsid w:val="0066634A"/>
    <w:rsid w:val="00666BFB"/>
    <w:rsid w:val="00667498"/>
    <w:rsid w:val="0066782D"/>
    <w:rsid w:val="00667B31"/>
    <w:rsid w:val="006701C6"/>
    <w:rsid w:val="00670365"/>
    <w:rsid w:val="00670B94"/>
    <w:rsid w:val="006717E1"/>
    <w:rsid w:val="006719A8"/>
    <w:rsid w:val="00671ADB"/>
    <w:rsid w:val="00672792"/>
    <w:rsid w:val="006736EB"/>
    <w:rsid w:val="00674536"/>
    <w:rsid w:val="006771BB"/>
    <w:rsid w:val="00677B0B"/>
    <w:rsid w:val="006802B0"/>
    <w:rsid w:val="006804A4"/>
    <w:rsid w:val="006810F9"/>
    <w:rsid w:val="00681249"/>
    <w:rsid w:val="00681475"/>
    <w:rsid w:val="006821A8"/>
    <w:rsid w:val="0068338A"/>
    <w:rsid w:val="00684807"/>
    <w:rsid w:val="0068489D"/>
    <w:rsid w:val="00686673"/>
    <w:rsid w:val="00690F98"/>
    <w:rsid w:val="006917B9"/>
    <w:rsid w:val="006933F7"/>
    <w:rsid w:val="00694121"/>
    <w:rsid w:val="00694C21"/>
    <w:rsid w:val="00696592"/>
    <w:rsid w:val="00696D50"/>
    <w:rsid w:val="00697B83"/>
    <w:rsid w:val="006A0117"/>
    <w:rsid w:val="006A0CCA"/>
    <w:rsid w:val="006A1814"/>
    <w:rsid w:val="006A2E55"/>
    <w:rsid w:val="006A48D6"/>
    <w:rsid w:val="006A62F1"/>
    <w:rsid w:val="006B21A4"/>
    <w:rsid w:val="006B26AA"/>
    <w:rsid w:val="006B30AB"/>
    <w:rsid w:val="006B4FED"/>
    <w:rsid w:val="006B62AD"/>
    <w:rsid w:val="006B79F4"/>
    <w:rsid w:val="006B7C2C"/>
    <w:rsid w:val="006B7FA1"/>
    <w:rsid w:val="006C337D"/>
    <w:rsid w:val="006C47DE"/>
    <w:rsid w:val="006D0417"/>
    <w:rsid w:val="006D05B4"/>
    <w:rsid w:val="006D05B9"/>
    <w:rsid w:val="006D199E"/>
    <w:rsid w:val="006D3423"/>
    <w:rsid w:val="006D398C"/>
    <w:rsid w:val="006D3EDB"/>
    <w:rsid w:val="006D4F18"/>
    <w:rsid w:val="006D69B7"/>
    <w:rsid w:val="006E05D1"/>
    <w:rsid w:val="006E1276"/>
    <w:rsid w:val="006E1567"/>
    <w:rsid w:val="006E2283"/>
    <w:rsid w:val="006E4582"/>
    <w:rsid w:val="006E492F"/>
    <w:rsid w:val="006E4C3E"/>
    <w:rsid w:val="006E5094"/>
    <w:rsid w:val="006E7B56"/>
    <w:rsid w:val="006E7DDE"/>
    <w:rsid w:val="006F203F"/>
    <w:rsid w:val="006F20B8"/>
    <w:rsid w:val="006F43BC"/>
    <w:rsid w:val="006F49A0"/>
    <w:rsid w:val="006F5C16"/>
    <w:rsid w:val="006F5F86"/>
    <w:rsid w:val="006F6443"/>
    <w:rsid w:val="006F6C0C"/>
    <w:rsid w:val="0070037C"/>
    <w:rsid w:val="00701231"/>
    <w:rsid w:val="00702A85"/>
    <w:rsid w:val="00705035"/>
    <w:rsid w:val="00705B06"/>
    <w:rsid w:val="00705DF1"/>
    <w:rsid w:val="007077A4"/>
    <w:rsid w:val="00713890"/>
    <w:rsid w:val="0071486A"/>
    <w:rsid w:val="007156E5"/>
    <w:rsid w:val="00716D4E"/>
    <w:rsid w:val="00716DA4"/>
    <w:rsid w:val="007173D2"/>
    <w:rsid w:val="00717579"/>
    <w:rsid w:val="0072031D"/>
    <w:rsid w:val="00720508"/>
    <w:rsid w:val="00720FDB"/>
    <w:rsid w:val="00722231"/>
    <w:rsid w:val="007239D9"/>
    <w:rsid w:val="0072430F"/>
    <w:rsid w:val="007247A9"/>
    <w:rsid w:val="007249A6"/>
    <w:rsid w:val="00725580"/>
    <w:rsid w:val="0072664D"/>
    <w:rsid w:val="00727F07"/>
    <w:rsid w:val="00731EBA"/>
    <w:rsid w:val="00732696"/>
    <w:rsid w:val="007338F2"/>
    <w:rsid w:val="007368C1"/>
    <w:rsid w:val="00737649"/>
    <w:rsid w:val="00742D76"/>
    <w:rsid w:val="007447D6"/>
    <w:rsid w:val="00746A34"/>
    <w:rsid w:val="007506D5"/>
    <w:rsid w:val="00750A3D"/>
    <w:rsid w:val="00751253"/>
    <w:rsid w:val="00751EF4"/>
    <w:rsid w:val="00752F92"/>
    <w:rsid w:val="007537BB"/>
    <w:rsid w:val="007545C3"/>
    <w:rsid w:val="00755CDC"/>
    <w:rsid w:val="0075667E"/>
    <w:rsid w:val="00757E79"/>
    <w:rsid w:val="00757EFE"/>
    <w:rsid w:val="00760FCE"/>
    <w:rsid w:val="00761E42"/>
    <w:rsid w:val="0076270C"/>
    <w:rsid w:val="0076430B"/>
    <w:rsid w:val="007648A8"/>
    <w:rsid w:val="00766B57"/>
    <w:rsid w:val="00766EC5"/>
    <w:rsid w:val="00767AC1"/>
    <w:rsid w:val="00767EA0"/>
    <w:rsid w:val="00770034"/>
    <w:rsid w:val="00770457"/>
    <w:rsid w:val="00770975"/>
    <w:rsid w:val="00771BCF"/>
    <w:rsid w:val="0077338A"/>
    <w:rsid w:val="007744BB"/>
    <w:rsid w:val="00774F93"/>
    <w:rsid w:val="00776E6E"/>
    <w:rsid w:val="007779A6"/>
    <w:rsid w:val="007817D0"/>
    <w:rsid w:val="0078344E"/>
    <w:rsid w:val="007862AB"/>
    <w:rsid w:val="007863D3"/>
    <w:rsid w:val="00786E39"/>
    <w:rsid w:val="0079057D"/>
    <w:rsid w:val="007908C9"/>
    <w:rsid w:val="00790933"/>
    <w:rsid w:val="0079112F"/>
    <w:rsid w:val="007925AB"/>
    <w:rsid w:val="00792BC4"/>
    <w:rsid w:val="00792EDB"/>
    <w:rsid w:val="00793555"/>
    <w:rsid w:val="00795652"/>
    <w:rsid w:val="007966E4"/>
    <w:rsid w:val="00796934"/>
    <w:rsid w:val="007971D7"/>
    <w:rsid w:val="007A1224"/>
    <w:rsid w:val="007A1967"/>
    <w:rsid w:val="007A1AE0"/>
    <w:rsid w:val="007A3931"/>
    <w:rsid w:val="007A402F"/>
    <w:rsid w:val="007A5194"/>
    <w:rsid w:val="007A6A92"/>
    <w:rsid w:val="007A7672"/>
    <w:rsid w:val="007B0B06"/>
    <w:rsid w:val="007B0BD4"/>
    <w:rsid w:val="007B21B5"/>
    <w:rsid w:val="007B2634"/>
    <w:rsid w:val="007B2A30"/>
    <w:rsid w:val="007B3372"/>
    <w:rsid w:val="007B3E4C"/>
    <w:rsid w:val="007B43E4"/>
    <w:rsid w:val="007B4F02"/>
    <w:rsid w:val="007B4F69"/>
    <w:rsid w:val="007B6A60"/>
    <w:rsid w:val="007C166D"/>
    <w:rsid w:val="007C29AF"/>
    <w:rsid w:val="007C4650"/>
    <w:rsid w:val="007C6CF0"/>
    <w:rsid w:val="007D156B"/>
    <w:rsid w:val="007D185A"/>
    <w:rsid w:val="007D292B"/>
    <w:rsid w:val="007D3415"/>
    <w:rsid w:val="007D45FB"/>
    <w:rsid w:val="007D4C1D"/>
    <w:rsid w:val="007D7E7D"/>
    <w:rsid w:val="007E0DD7"/>
    <w:rsid w:val="007E1896"/>
    <w:rsid w:val="007E18DD"/>
    <w:rsid w:val="007E33F7"/>
    <w:rsid w:val="007E38C9"/>
    <w:rsid w:val="007E48E2"/>
    <w:rsid w:val="007E4C9A"/>
    <w:rsid w:val="007E4EB0"/>
    <w:rsid w:val="007E553D"/>
    <w:rsid w:val="007E6181"/>
    <w:rsid w:val="007E7B92"/>
    <w:rsid w:val="007F0296"/>
    <w:rsid w:val="007F1407"/>
    <w:rsid w:val="007F14C4"/>
    <w:rsid w:val="007F2217"/>
    <w:rsid w:val="007F2DBA"/>
    <w:rsid w:val="007F2EF2"/>
    <w:rsid w:val="007F4E28"/>
    <w:rsid w:val="007F579A"/>
    <w:rsid w:val="007F61A5"/>
    <w:rsid w:val="007F653C"/>
    <w:rsid w:val="007F6E4F"/>
    <w:rsid w:val="007F70E2"/>
    <w:rsid w:val="007F7542"/>
    <w:rsid w:val="007F7DEE"/>
    <w:rsid w:val="007F7FFA"/>
    <w:rsid w:val="00800EF5"/>
    <w:rsid w:val="00801258"/>
    <w:rsid w:val="008039FA"/>
    <w:rsid w:val="00803A69"/>
    <w:rsid w:val="00804B9E"/>
    <w:rsid w:val="00804DC7"/>
    <w:rsid w:val="00805BE3"/>
    <w:rsid w:val="00810E34"/>
    <w:rsid w:val="008115AC"/>
    <w:rsid w:val="00811AED"/>
    <w:rsid w:val="00813171"/>
    <w:rsid w:val="0081355E"/>
    <w:rsid w:val="0081363A"/>
    <w:rsid w:val="008138E2"/>
    <w:rsid w:val="00814074"/>
    <w:rsid w:val="00822CD8"/>
    <w:rsid w:val="00824412"/>
    <w:rsid w:val="00824E9C"/>
    <w:rsid w:val="00825ADE"/>
    <w:rsid w:val="00826A3B"/>
    <w:rsid w:val="00830222"/>
    <w:rsid w:val="008315CF"/>
    <w:rsid w:val="0083274E"/>
    <w:rsid w:val="00832EAD"/>
    <w:rsid w:val="0083529D"/>
    <w:rsid w:val="008357FB"/>
    <w:rsid w:val="0083665D"/>
    <w:rsid w:val="00837989"/>
    <w:rsid w:val="00841788"/>
    <w:rsid w:val="00843455"/>
    <w:rsid w:val="008450D1"/>
    <w:rsid w:val="008458E6"/>
    <w:rsid w:val="0084663C"/>
    <w:rsid w:val="0085334F"/>
    <w:rsid w:val="00853467"/>
    <w:rsid w:val="008543A5"/>
    <w:rsid w:val="00856FDA"/>
    <w:rsid w:val="00860B7C"/>
    <w:rsid w:val="00860C64"/>
    <w:rsid w:val="008613DD"/>
    <w:rsid w:val="008614BF"/>
    <w:rsid w:val="00861523"/>
    <w:rsid w:val="0086165D"/>
    <w:rsid w:val="00863016"/>
    <w:rsid w:val="0086385F"/>
    <w:rsid w:val="00863B99"/>
    <w:rsid w:val="00863C03"/>
    <w:rsid w:val="00863E61"/>
    <w:rsid w:val="00863FC1"/>
    <w:rsid w:val="00867026"/>
    <w:rsid w:val="00871703"/>
    <w:rsid w:val="00873252"/>
    <w:rsid w:val="0087363B"/>
    <w:rsid w:val="0087390F"/>
    <w:rsid w:val="0087498B"/>
    <w:rsid w:val="00875E22"/>
    <w:rsid w:val="00876828"/>
    <w:rsid w:val="008812F9"/>
    <w:rsid w:val="00884073"/>
    <w:rsid w:val="008840F6"/>
    <w:rsid w:val="00884E60"/>
    <w:rsid w:val="0088533A"/>
    <w:rsid w:val="00885C73"/>
    <w:rsid w:val="0088695E"/>
    <w:rsid w:val="00887779"/>
    <w:rsid w:val="0089024E"/>
    <w:rsid w:val="00890E69"/>
    <w:rsid w:val="00890FC8"/>
    <w:rsid w:val="008919FE"/>
    <w:rsid w:val="00891B3B"/>
    <w:rsid w:val="00891B80"/>
    <w:rsid w:val="00893E99"/>
    <w:rsid w:val="008942F1"/>
    <w:rsid w:val="00896CE4"/>
    <w:rsid w:val="00897322"/>
    <w:rsid w:val="008A1BB9"/>
    <w:rsid w:val="008A2746"/>
    <w:rsid w:val="008A4970"/>
    <w:rsid w:val="008A6464"/>
    <w:rsid w:val="008B0316"/>
    <w:rsid w:val="008B0C26"/>
    <w:rsid w:val="008B3CF2"/>
    <w:rsid w:val="008B42BA"/>
    <w:rsid w:val="008B5BBF"/>
    <w:rsid w:val="008B6068"/>
    <w:rsid w:val="008B6CA2"/>
    <w:rsid w:val="008B6CAE"/>
    <w:rsid w:val="008B717D"/>
    <w:rsid w:val="008B7F48"/>
    <w:rsid w:val="008C011B"/>
    <w:rsid w:val="008C063C"/>
    <w:rsid w:val="008C082A"/>
    <w:rsid w:val="008C1023"/>
    <w:rsid w:val="008C352A"/>
    <w:rsid w:val="008C385B"/>
    <w:rsid w:val="008C5E6A"/>
    <w:rsid w:val="008C69D0"/>
    <w:rsid w:val="008C6E96"/>
    <w:rsid w:val="008D0215"/>
    <w:rsid w:val="008D0501"/>
    <w:rsid w:val="008D1762"/>
    <w:rsid w:val="008D29EB"/>
    <w:rsid w:val="008D2EEF"/>
    <w:rsid w:val="008D344E"/>
    <w:rsid w:val="008D4E64"/>
    <w:rsid w:val="008D6E92"/>
    <w:rsid w:val="008D7368"/>
    <w:rsid w:val="008D7E59"/>
    <w:rsid w:val="008E0456"/>
    <w:rsid w:val="008E05E2"/>
    <w:rsid w:val="008E08CC"/>
    <w:rsid w:val="008E221B"/>
    <w:rsid w:val="008E46A2"/>
    <w:rsid w:val="008F16E5"/>
    <w:rsid w:val="008F3A10"/>
    <w:rsid w:val="008F418F"/>
    <w:rsid w:val="008F6623"/>
    <w:rsid w:val="008F68AF"/>
    <w:rsid w:val="008F6E7C"/>
    <w:rsid w:val="008F7E19"/>
    <w:rsid w:val="00901345"/>
    <w:rsid w:val="00903690"/>
    <w:rsid w:val="00903B0B"/>
    <w:rsid w:val="00906571"/>
    <w:rsid w:val="00906E94"/>
    <w:rsid w:val="00907568"/>
    <w:rsid w:val="00911D2F"/>
    <w:rsid w:val="0091235F"/>
    <w:rsid w:val="009123F0"/>
    <w:rsid w:val="00912B2A"/>
    <w:rsid w:val="0091542A"/>
    <w:rsid w:val="00916341"/>
    <w:rsid w:val="009215DC"/>
    <w:rsid w:val="00922506"/>
    <w:rsid w:val="00922589"/>
    <w:rsid w:val="00924469"/>
    <w:rsid w:val="009249E0"/>
    <w:rsid w:val="00926910"/>
    <w:rsid w:val="009275B5"/>
    <w:rsid w:val="0093045C"/>
    <w:rsid w:val="0093164A"/>
    <w:rsid w:val="00932D3B"/>
    <w:rsid w:val="0093410D"/>
    <w:rsid w:val="00934341"/>
    <w:rsid w:val="00935736"/>
    <w:rsid w:val="00935E83"/>
    <w:rsid w:val="00936831"/>
    <w:rsid w:val="00937EB9"/>
    <w:rsid w:val="009426D6"/>
    <w:rsid w:val="0094392F"/>
    <w:rsid w:val="009458B3"/>
    <w:rsid w:val="00945C63"/>
    <w:rsid w:val="00946872"/>
    <w:rsid w:val="00947186"/>
    <w:rsid w:val="00947E1C"/>
    <w:rsid w:val="00947FF9"/>
    <w:rsid w:val="00950E1B"/>
    <w:rsid w:val="00951EB3"/>
    <w:rsid w:val="0095240C"/>
    <w:rsid w:val="0095252F"/>
    <w:rsid w:val="00952A7B"/>
    <w:rsid w:val="00952AA1"/>
    <w:rsid w:val="0095305C"/>
    <w:rsid w:val="0095381A"/>
    <w:rsid w:val="00954C5B"/>
    <w:rsid w:val="00956156"/>
    <w:rsid w:val="009567EC"/>
    <w:rsid w:val="00957A94"/>
    <w:rsid w:val="0096059D"/>
    <w:rsid w:val="00960D34"/>
    <w:rsid w:val="00961C73"/>
    <w:rsid w:val="00961F60"/>
    <w:rsid w:val="009621B4"/>
    <w:rsid w:val="00962254"/>
    <w:rsid w:val="00964AC0"/>
    <w:rsid w:val="00965CE0"/>
    <w:rsid w:val="00965D71"/>
    <w:rsid w:val="0096639B"/>
    <w:rsid w:val="009665C5"/>
    <w:rsid w:val="0097043F"/>
    <w:rsid w:val="0097115F"/>
    <w:rsid w:val="0097264B"/>
    <w:rsid w:val="00972F0C"/>
    <w:rsid w:val="009734C6"/>
    <w:rsid w:val="009738B4"/>
    <w:rsid w:val="009755BA"/>
    <w:rsid w:val="00975E47"/>
    <w:rsid w:val="00976158"/>
    <w:rsid w:val="00981C95"/>
    <w:rsid w:val="0098525A"/>
    <w:rsid w:val="00985759"/>
    <w:rsid w:val="00985B7F"/>
    <w:rsid w:val="00986E71"/>
    <w:rsid w:val="009910AB"/>
    <w:rsid w:val="009912D1"/>
    <w:rsid w:val="00991B6F"/>
    <w:rsid w:val="009921BA"/>
    <w:rsid w:val="00992C46"/>
    <w:rsid w:val="00992E96"/>
    <w:rsid w:val="00993665"/>
    <w:rsid w:val="009947EB"/>
    <w:rsid w:val="00994A68"/>
    <w:rsid w:val="00995A67"/>
    <w:rsid w:val="0099644B"/>
    <w:rsid w:val="0099744B"/>
    <w:rsid w:val="009A0B91"/>
    <w:rsid w:val="009A363A"/>
    <w:rsid w:val="009A376F"/>
    <w:rsid w:val="009B16DF"/>
    <w:rsid w:val="009B254B"/>
    <w:rsid w:val="009B2F5D"/>
    <w:rsid w:val="009B34A3"/>
    <w:rsid w:val="009B40F5"/>
    <w:rsid w:val="009B52D1"/>
    <w:rsid w:val="009B5474"/>
    <w:rsid w:val="009B610E"/>
    <w:rsid w:val="009B66BF"/>
    <w:rsid w:val="009C287D"/>
    <w:rsid w:val="009C2A48"/>
    <w:rsid w:val="009C2A4E"/>
    <w:rsid w:val="009C2A57"/>
    <w:rsid w:val="009C4AD1"/>
    <w:rsid w:val="009C65AE"/>
    <w:rsid w:val="009C7236"/>
    <w:rsid w:val="009C7F22"/>
    <w:rsid w:val="009D05EB"/>
    <w:rsid w:val="009D196B"/>
    <w:rsid w:val="009D217C"/>
    <w:rsid w:val="009D5410"/>
    <w:rsid w:val="009D5EEC"/>
    <w:rsid w:val="009D6008"/>
    <w:rsid w:val="009D6B38"/>
    <w:rsid w:val="009E0BB8"/>
    <w:rsid w:val="009E14B3"/>
    <w:rsid w:val="009E28DA"/>
    <w:rsid w:val="009E2A80"/>
    <w:rsid w:val="009E4C55"/>
    <w:rsid w:val="009F034F"/>
    <w:rsid w:val="009F03F4"/>
    <w:rsid w:val="009F1E9B"/>
    <w:rsid w:val="009F28F0"/>
    <w:rsid w:val="009F5150"/>
    <w:rsid w:val="009F6B89"/>
    <w:rsid w:val="009F7787"/>
    <w:rsid w:val="009F7D46"/>
    <w:rsid w:val="009F7DFA"/>
    <w:rsid w:val="00A03F3A"/>
    <w:rsid w:val="00A04EAB"/>
    <w:rsid w:val="00A053B6"/>
    <w:rsid w:val="00A06161"/>
    <w:rsid w:val="00A0623B"/>
    <w:rsid w:val="00A06666"/>
    <w:rsid w:val="00A0716D"/>
    <w:rsid w:val="00A108C5"/>
    <w:rsid w:val="00A12152"/>
    <w:rsid w:val="00A1379A"/>
    <w:rsid w:val="00A13D24"/>
    <w:rsid w:val="00A14516"/>
    <w:rsid w:val="00A14846"/>
    <w:rsid w:val="00A15689"/>
    <w:rsid w:val="00A16E54"/>
    <w:rsid w:val="00A16F2A"/>
    <w:rsid w:val="00A209D6"/>
    <w:rsid w:val="00A21F43"/>
    <w:rsid w:val="00A23B88"/>
    <w:rsid w:val="00A23C4B"/>
    <w:rsid w:val="00A2536B"/>
    <w:rsid w:val="00A25B9B"/>
    <w:rsid w:val="00A26E21"/>
    <w:rsid w:val="00A27431"/>
    <w:rsid w:val="00A27762"/>
    <w:rsid w:val="00A31CD2"/>
    <w:rsid w:val="00A31ED6"/>
    <w:rsid w:val="00A32611"/>
    <w:rsid w:val="00A3330D"/>
    <w:rsid w:val="00A34EE8"/>
    <w:rsid w:val="00A35F60"/>
    <w:rsid w:val="00A36490"/>
    <w:rsid w:val="00A4085C"/>
    <w:rsid w:val="00A41654"/>
    <w:rsid w:val="00A45E30"/>
    <w:rsid w:val="00A47DA1"/>
    <w:rsid w:val="00A53E76"/>
    <w:rsid w:val="00A56771"/>
    <w:rsid w:val="00A56EC3"/>
    <w:rsid w:val="00A578CA"/>
    <w:rsid w:val="00A60173"/>
    <w:rsid w:val="00A61EFD"/>
    <w:rsid w:val="00A6364D"/>
    <w:rsid w:val="00A63E5F"/>
    <w:rsid w:val="00A64079"/>
    <w:rsid w:val="00A6580B"/>
    <w:rsid w:val="00A66C61"/>
    <w:rsid w:val="00A671B3"/>
    <w:rsid w:val="00A70439"/>
    <w:rsid w:val="00A70DE5"/>
    <w:rsid w:val="00A71261"/>
    <w:rsid w:val="00A71B03"/>
    <w:rsid w:val="00A7214A"/>
    <w:rsid w:val="00A72751"/>
    <w:rsid w:val="00A748B2"/>
    <w:rsid w:val="00A75368"/>
    <w:rsid w:val="00A753C8"/>
    <w:rsid w:val="00A77C37"/>
    <w:rsid w:val="00A84D10"/>
    <w:rsid w:val="00A85192"/>
    <w:rsid w:val="00A853C3"/>
    <w:rsid w:val="00A85AC2"/>
    <w:rsid w:val="00A86268"/>
    <w:rsid w:val="00A86C7A"/>
    <w:rsid w:val="00A86D36"/>
    <w:rsid w:val="00A90E03"/>
    <w:rsid w:val="00A92140"/>
    <w:rsid w:val="00A93F65"/>
    <w:rsid w:val="00A94788"/>
    <w:rsid w:val="00A94A77"/>
    <w:rsid w:val="00A94D7B"/>
    <w:rsid w:val="00A95E32"/>
    <w:rsid w:val="00A960AA"/>
    <w:rsid w:val="00A9636B"/>
    <w:rsid w:val="00AA11CC"/>
    <w:rsid w:val="00AA12A3"/>
    <w:rsid w:val="00AA186E"/>
    <w:rsid w:val="00AA1ECB"/>
    <w:rsid w:val="00AA2A89"/>
    <w:rsid w:val="00AA3824"/>
    <w:rsid w:val="00AA3936"/>
    <w:rsid w:val="00AA3B55"/>
    <w:rsid w:val="00AA43D4"/>
    <w:rsid w:val="00AA4454"/>
    <w:rsid w:val="00AA4F67"/>
    <w:rsid w:val="00AA6788"/>
    <w:rsid w:val="00AA74D0"/>
    <w:rsid w:val="00AB0612"/>
    <w:rsid w:val="00AB188A"/>
    <w:rsid w:val="00AB27A8"/>
    <w:rsid w:val="00AB2ACA"/>
    <w:rsid w:val="00AB33CB"/>
    <w:rsid w:val="00AB416D"/>
    <w:rsid w:val="00AB4259"/>
    <w:rsid w:val="00AB58FC"/>
    <w:rsid w:val="00AB63FF"/>
    <w:rsid w:val="00AC01E0"/>
    <w:rsid w:val="00AC22A0"/>
    <w:rsid w:val="00AC28F8"/>
    <w:rsid w:val="00AC2F14"/>
    <w:rsid w:val="00AC38F4"/>
    <w:rsid w:val="00AC4886"/>
    <w:rsid w:val="00AC490F"/>
    <w:rsid w:val="00AC4AF6"/>
    <w:rsid w:val="00AC59F6"/>
    <w:rsid w:val="00AC6D45"/>
    <w:rsid w:val="00AC7215"/>
    <w:rsid w:val="00AD21E0"/>
    <w:rsid w:val="00AD23BD"/>
    <w:rsid w:val="00AD4414"/>
    <w:rsid w:val="00AD5004"/>
    <w:rsid w:val="00AD6F4C"/>
    <w:rsid w:val="00AE02B1"/>
    <w:rsid w:val="00AE071D"/>
    <w:rsid w:val="00AE0B2E"/>
    <w:rsid w:val="00AE2B01"/>
    <w:rsid w:val="00AE4190"/>
    <w:rsid w:val="00AE4909"/>
    <w:rsid w:val="00AE5B20"/>
    <w:rsid w:val="00AE633F"/>
    <w:rsid w:val="00AF1275"/>
    <w:rsid w:val="00AF18E8"/>
    <w:rsid w:val="00AF2077"/>
    <w:rsid w:val="00AF29CA"/>
    <w:rsid w:val="00AF2C51"/>
    <w:rsid w:val="00AF4993"/>
    <w:rsid w:val="00AF6246"/>
    <w:rsid w:val="00AF65FE"/>
    <w:rsid w:val="00AF6784"/>
    <w:rsid w:val="00B01156"/>
    <w:rsid w:val="00B02AA9"/>
    <w:rsid w:val="00B03F18"/>
    <w:rsid w:val="00B0454E"/>
    <w:rsid w:val="00B04B13"/>
    <w:rsid w:val="00B05A8A"/>
    <w:rsid w:val="00B134F3"/>
    <w:rsid w:val="00B14074"/>
    <w:rsid w:val="00B1415C"/>
    <w:rsid w:val="00B16845"/>
    <w:rsid w:val="00B16BE2"/>
    <w:rsid w:val="00B1769B"/>
    <w:rsid w:val="00B2011C"/>
    <w:rsid w:val="00B21919"/>
    <w:rsid w:val="00B22C02"/>
    <w:rsid w:val="00B2305C"/>
    <w:rsid w:val="00B2336A"/>
    <w:rsid w:val="00B2358E"/>
    <w:rsid w:val="00B237E1"/>
    <w:rsid w:val="00B23C3B"/>
    <w:rsid w:val="00B241DD"/>
    <w:rsid w:val="00B2435C"/>
    <w:rsid w:val="00B2439D"/>
    <w:rsid w:val="00B24931"/>
    <w:rsid w:val="00B24A87"/>
    <w:rsid w:val="00B25D39"/>
    <w:rsid w:val="00B27B61"/>
    <w:rsid w:val="00B27D53"/>
    <w:rsid w:val="00B317DF"/>
    <w:rsid w:val="00B31881"/>
    <w:rsid w:val="00B32C47"/>
    <w:rsid w:val="00B337E8"/>
    <w:rsid w:val="00B33803"/>
    <w:rsid w:val="00B355E4"/>
    <w:rsid w:val="00B37717"/>
    <w:rsid w:val="00B37EBB"/>
    <w:rsid w:val="00B400B0"/>
    <w:rsid w:val="00B4114E"/>
    <w:rsid w:val="00B41F44"/>
    <w:rsid w:val="00B43764"/>
    <w:rsid w:val="00B43CD2"/>
    <w:rsid w:val="00B44334"/>
    <w:rsid w:val="00B45438"/>
    <w:rsid w:val="00B45F1A"/>
    <w:rsid w:val="00B46361"/>
    <w:rsid w:val="00B47867"/>
    <w:rsid w:val="00B47B49"/>
    <w:rsid w:val="00B5250A"/>
    <w:rsid w:val="00B53198"/>
    <w:rsid w:val="00B544C9"/>
    <w:rsid w:val="00B5486F"/>
    <w:rsid w:val="00B575C1"/>
    <w:rsid w:val="00B57AA6"/>
    <w:rsid w:val="00B603B6"/>
    <w:rsid w:val="00B60C5D"/>
    <w:rsid w:val="00B621CA"/>
    <w:rsid w:val="00B63AB4"/>
    <w:rsid w:val="00B65A04"/>
    <w:rsid w:val="00B65A9E"/>
    <w:rsid w:val="00B65C19"/>
    <w:rsid w:val="00B666B2"/>
    <w:rsid w:val="00B676C2"/>
    <w:rsid w:val="00B679B8"/>
    <w:rsid w:val="00B70956"/>
    <w:rsid w:val="00B72983"/>
    <w:rsid w:val="00B75054"/>
    <w:rsid w:val="00B75C66"/>
    <w:rsid w:val="00B75DD0"/>
    <w:rsid w:val="00B7706B"/>
    <w:rsid w:val="00B800F8"/>
    <w:rsid w:val="00B8037C"/>
    <w:rsid w:val="00B80FDA"/>
    <w:rsid w:val="00B81B2D"/>
    <w:rsid w:val="00B82773"/>
    <w:rsid w:val="00B82E53"/>
    <w:rsid w:val="00B834CC"/>
    <w:rsid w:val="00B83513"/>
    <w:rsid w:val="00B83909"/>
    <w:rsid w:val="00B84FA3"/>
    <w:rsid w:val="00B86C6B"/>
    <w:rsid w:val="00B87B6E"/>
    <w:rsid w:val="00B87FEA"/>
    <w:rsid w:val="00B90899"/>
    <w:rsid w:val="00B91755"/>
    <w:rsid w:val="00B919AE"/>
    <w:rsid w:val="00B91DC9"/>
    <w:rsid w:val="00B92633"/>
    <w:rsid w:val="00B94E52"/>
    <w:rsid w:val="00B94FFF"/>
    <w:rsid w:val="00B9542C"/>
    <w:rsid w:val="00B95EEB"/>
    <w:rsid w:val="00B97AE3"/>
    <w:rsid w:val="00BA0414"/>
    <w:rsid w:val="00BA0B45"/>
    <w:rsid w:val="00BA0F30"/>
    <w:rsid w:val="00BA0FB0"/>
    <w:rsid w:val="00BA26BD"/>
    <w:rsid w:val="00BA30D6"/>
    <w:rsid w:val="00BA48EA"/>
    <w:rsid w:val="00BA4AC3"/>
    <w:rsid w:val="00BA4C63"/>
    <w:rsid w:val="00BA6312"/>
    <w:rsid w:val="00BA74B7"/>
    <w:rsid w:val="00BA7AA8"/>
    <w:rsid w:val="00BB07DE"/>
    <w:rsid w:val="00BB10B8"/>
    <w:rsid w:val="00BB18B5"/>
    <w:rsid w:val="00BB341F"/>
    <w:rsid w:val="00BB361F"/>
    <w:rsid w:val="00BB3F04"/>
    <w:rsid w:val="00BB42DD"/>
    <w:rsid w:val="00BB4490"/>
    <w:rsid w:val="00BB4F26"/>
    <w:rsid w:val="00BB5691"/>
    <w:rsid w:val="00BB5A43"/>
    <w:rsid w:val="00BC01E8"/>
    <w:rsid w:val="00BC13F7"/>
    <w:rsid w:val="00BC18EB"/>
    <w:rsid w:val="00BC3D26"/>
    <w:rsid w:val="00BC472B"/>
    <w:rsid w:val="00BD0312"/>
    <w:rsid w:val="00BD2849"/>
    <w:rsid w:val="00BD5528"/>
    <w:rsid w:val="00BD7AE0"/>
    <w:rsid w:val="00BE0325"/>
    <w:rsid w:val="00BE147C"/>
    <w:rsid w:val="00BE225B"/>
    <w:rsid w:val="00BE31F1"/>
    <w:rsid w:val="00BE3AE0"/>
    <w:rsid w:val="00BE40F3"/>
    <w:rsid w:val="00BE42D0"/>
    <w:rsid w:val="00BE5785"/>
    <w:rsid w:val="00BE5E35"/>
    <w:rsid w:val="00BF1453"/>
    <w:rsid w:val="00BF1D93"/>
    <w:rsid w:val="00BF31DA"/>
    <w:rsid w:val="00BF5E63"/>
    <w:rsid w:val="00BF6171"/>
    <w:rsid w:val="00BF6619"/>
    <w:rsid w:val="00BF6D80"/>
    <w:rsid w:val="00C00633"/>
    <w:rsid w:val="00C00730"/>
    <w:rsid w:val="00C01F9D"/>
    <w:rsid w:val="00C04189"/>
    <w:rsid w:val="00C04CFD"/>
    <w:rsid w:val="00C05984"/>
    <w:rsid w:val="00C075E7"/>
    <w:rsid w:val="00C07B42"/>
    <w:rsid w:val="00C10CF2"/>
    <w:rsid w:val="00C123FA"/>
    <w:rsid w:val="00C12D78"/>
    <w:rsid w:val="00C1319A"/>
    <w:rsid w:val="00C1445C"/>
    <w:rsid w:val="00C153A9"/>
    <w:rsid w:val="00C15FCF"/>
    <w:rsid w:val="00C1624B"/>
    <w:rsid w:val="00C16288"/>
    <w:rsid w:val="00C16AEA"/>
    <w:rsid w:val="00C17B12"/>
    <w:rsid w:val="00C17F27"/>
    <w:rsid w:val="00C21B44"/>
    <w:rsid w:val="00C21F5C"/>
    <w:rsid w:val="00C229D0"/>
    <w:rsid w:val="00C23D3B"/>
    <w:rsid w:val="00C24364"/>
    <w:rsid w:val="00C25A0F"/>
    <w:rsid w:val="00C25CE4"/>
    <w:rsid w:val="00C26844"/>
    <w:rsid w:val="00C27E01"/>
    <w:rsid w:val="00C30545"/>
    <w:rsid w:val="00C31586"/>
    <w:rsid w:val="00C323AD"/>
    <w:rsid w:val="00C32C2F"/>
    <w:rsid w:val="00C32E12"/>
    <w:rsid w:val="00C341BF"/>
    <w:rsid w:val="00C34C29"/>
    <w:rsid w:val="00C358ED"/>
    <w:rsid w:val="00C36B1B"/>
    <w:rsid w:val="00C3775A"/>
    <w:rsid w:val="00C40B30"/>
    <w:rsid w:val="00C41307"/>
    <w:rsid w:val="00C41CAC"/>
    <w:rsid w:val="00C448C2"/>
    <w:rsid w:val="00C44FDB"/>
    <w:rsid w:val="00C45FC4"/>
    <w:rsid w:val="00C4702C"/>
    <w:rsid w:val="00C47AD1"/>
    <w:rsid w:val="00C5018F"/>
    <w:rsid w:val="00C5037D"/>
    <w:rsid w:val="00C51555"/>
    <w:rsid w:val="00C52531"/>
    <w:rsid w:val="00C52738"/>
    <w:rsid w:val="00C527BB"/>
    <w:rsid w:val="00C52B73"/>
    <w:rsid w:val="00C54192"/>
    <w:rsid w:val="00C54AED"/>
    <w:rsid w:val="00C54F08"/>
    <w:rsid w:val="00C55B96"/>
    <w:rsid w:val="00C56B03"/>
    <w:rsid w:val="00C576EB"/>
    <w:rsid w:val="00C64F2B"/>
    <w:rsid w:val="00C665E9"/>
    <w:rsid w:val="00C66645"/>
    <w:rsid w:val="00C678AF"/>
    <w:rsid w:val="00C71E9B"/>
    <w:rsid w:val="00C73A8B"/>
    <w:rsid w:val="00C73D07"/>
    <w:rsid w:val="00C73E20"/>
    <w:rsid w:val="00C743F8"/>
    <w:rsid w:val="00C75FD1"/>
    <w:rsid w:val="00C763D7"/>
    <w:rsid w:val="00C7660D"/>
    <w:rsid w:val="00C76BDE"/>
    <w:rsid w:val="00C77B43"/>
    <w:rsid w:val="00C804AE"/>
    <w:rsid w:val="00C81971"/>
    <w:rsid w:val="00C81E16"/>
    <w:rsid w:val="00C821E3"/>
    <w:rsid w:val="00C82D70"/>
    <w:rsid w:val="00C83361"/>
    <w:rsid w:val="00C84179"/>
    <w:rsid w:val="00C8451B"/>
    <w:rsid w:val="00C86641"/>
    <w:rsid w:val="00C903E9"/>
    <w:rsid w:val="00C916FC"/>
    <w:rsid w:val="00C93F9A"/>
    <w:rsid w:val="00C943C6"/>
    <w:rsid w:val="00C95ADE"/>
    <w:rsid w:val="00C96954"/>
    <w:rsid w:val="00C96C74"/>
    <w:rsid w:val="00C96DC9"/>
    <w:rsid w:val="00C97FC0"/>
    <w:rsid w:val="00CA10C7"/>
    <w:rsid w:val="00CA1183"/>
    <w:rsid w:val="00CA4580"/>
    <w:rsid w:val="00CA6462"/>
    <w:rsid w:val="00CA65F6"/>
    <w:rsid w:val="00CA6B44"/>
    <w:rsid w:val="00CB4248"/>
    <w:rsid w:val="00CB42A0"/>
    <w:rsid w:val="00CB4513"/>
    <w:rsid w:val="00CB6A5C"/>
    <w:rsid w:val="00CC093B"/>
    <w:rsid w:val="00CC1557"/>
    <w:rsid w:val="00CC1BCB"/>
    <w:rsid w:val="00CC3E1D"/>
    <w:rsid w:val="00CC6109"/>
    <w:rsid w:val="00CC6F24"/>
    <w:rsid w:val="00CC7E92"/>
    <w:rsid w:val="00CD1C15"/>
    <w:rsid w:val="00CD2000"/>
    <w:rsid w:val="00CD2555"/>
    <w:rsid w:val="00CD3B4C"/>
    <w:rsid w:val="00CD56DD"/>
    <w:rsid w:val="00CD59BA"/>
    <w:rsid w:val="00CE009B"/>
    <w:rsid w:val="00CE0CA8"/>
    <w:rsid w:val="00CE23B8"/>
    <w:rsid w:val="00CE37E4"/>
    <w:rsid w:val="00CE4C64"/>
    <w:rsid w:val="00CE4DBA"/>
    <w:rsid w:val="00CE5ACF"/>
    <w:rsid w:val="00CE64AB"/>
    <w:rsid w:val="00CE7A9A"/>
    <w:rsid w:val="00CF199C"/>
    <w:rsid w:val="00CF24ED"/>
    <w:rsid w:val="00CF27D1"/>
    <w:rsid w:val="00CF54FF"/>
    <w:rsid w:val="00CF55C7"/>
    <w:rsid w:val="00CF5D44"/>
    <w:rsid w:val="00CF64C5"/>
    <w:rsid w:val="00CF6A30"/>
    <w:rsid w:val="00CF7B3C"/>
    <w:rsid w:val="00D00A50"/>
    <w:rsid w:val="00D02248"/>
    <w:rsid w:val="00D024B4"/>
    <w:rsid w:val="00D03A28"/>
    <w:rsid w:val="00D0503E"/>
    <w:rsid w:val="00D0625F"/>
    <w:rsid w:val="00D06D27"/>
    <w:rsid w:val="00D07857"/>
    <w:rsid w:val="00D10C27"/>
    <w:rsid w:val="00D10C5B"/>
    <w:rsid w:val="00D116EB"/>
    <w:rsid w:val="00D15681"/>
    <w:rsid w:val="00D174F3"/>
    <w:rsid w:val="00D210CB"/>
    <w:rsid w:val="00D21EB0"/>
    <w:rsid w:val="00D2271E"/>
    <w:rsid w:val="00D22DAB"/>
    <w:rsid w:val="00D2379F"/>
    <w:rsid w:val="00D241C8"/>
    <w:rsid w:val="00D25840"/>
    <w:rsid w:val="00D25891"/>
    <w:rsid w:val="00D26F50"/>
    <w:rsid w:val="00D31079"/>
    <w:rsid w:val="00D312C0"/>
    <w:rsid w:val="00D319BC"/>
    <w:rsid w:val="00D33541"/>
    <w:rsid w:val="00D34458"/>
    <w:rsid w:val="00D37F4D"/>
    <w:rsid w:val="00D40CA5"/>
    <w:rsid w:val="00D42F57"/>
    <w:rsid w:val="00D44BF9"/>
    <w:rsid w:val="00D45680"/>
    <w:rsid w:val="00D46B89"/>
    <w:rsid w:val="00D47727"/>
    <w:rsid w:val="00D47CA1"/>
    <w:rsid w:val="00D5105F"/>
    <w:rsid w:val="00D51522"/>
    <w:rsid w:val="00D51E87"/>
    <w:rsid w:val="00D52506"/>
    <w:rsid w:val="00D52812"/>
    <w:rsid w:val="00D539DF"/>
    <w:rsid w:val="00D57273"/>
    <w:rsid w:val="00D57278"/>
    <w:rsid w:val="00D57D17"/>
    <w:rsid w:val="00D6051A"/>
    <w:rsid w:val="00D626DE"/>
    <w:rsid w:val="00D6353B"/>
    <w:rsid w:val="00D64123"/>
    <w:rsid w:val="00D645DF"/>
    <w:rsid w:val="00D65976"/>
    <w:rsid w:val="00D65E12"/>
    <w:rsid w:val="00D6620F"/>
    <w:rsid w:val="00D662C6"/>
    <w:rsid w:val="00D67BE5"/>
    <w:rsid w:val="00D70022"/>
    <w:rsid w:val="00D71C70"/>
    <w:rsid w:val="00D7356B"/>
    <w:rsid w:val="00D73B94"/>
    <w:rsid w:val="00D73C48"/>
    <w:rsid w:val="00D7489F"/>
    <w:rsid w:val="00D748F1"/>
    <w:rsid w:val="00D77957"/>
    <w:rsid w:val="00D815AF"/>
    <w:rsid w:val="00D81B10"/>
    <w:rsid w:val="00D825F2"/>
    <w:rsid w:val="00D839E9"/>
    <w:rsid w:val="00D84782"/>
    <w:rsid w:val="00D85D74"/>
    <w:rsid w:val="00D86C91"/>
    <w:rsid w:val="00D873BA"/>
    <w:rsid w:val="00D87F0B"/>
    <w:rsid w:val="00D90621"/>
    <w:rsid w:val="00D91BE8"/>
    <w:rsid w:val="00D91F06"/>
    <w:rsid w:val="00D9204C"/>
    <w:rsid w:val="00D925D5"/>
    <w:rsid w:val="00D928DF"/>
    <w:rsid w:val="00D971C4"/>
    <w:rsid w:val="00D971FC"/>
    <w:rsid w:val="00D97300"/>
    <w:rsid w:val="00DA0EDA"/>
    <w:rsid w:val="00DA1878"/>
    <w:rsid w:val="00DA1BFC"/>
    <w:rsid w:val="00DA1C0C"/>
    <w:rsid w:val="00DA273C"/>
    <w:rsid w:val="00DA40F5"/>
    <w:rsid w:val="00DA5028"/>
    <w:rsid w:val="00DA61A2"/>
    <w:rsid w:val="00DA6D0B"/>
    <w:rsid w:val="00DA7593"/>
    <w:rsid w:val="00DB1810"/>
    <w:rsid w:val="00DB28C7"/>
    <w:rsid w:val="00DB2B13"/>
    <w:rsid w:val="00DB35E7"/>
    <w:rsid w:val="00DB391A"/>
    <w:rsid w:val="00DB3A2C"/>
    <w:rsid w:val="00DB3BA1"/>
    <w:rsid w:val="00DB41FE"/>
    <w:rsid w:val="00DB5BA5"/>
    <w:rsid w:val="00DB6FA0"/>
    <w:rsid w:val="00DC2DB0"/>
    <w:rsid w:val="00DC35C3"/>
    <w:rsid w:val="00DC42A0"/>
    <w:rsid w:val="00DC4753"/>
    <w:rsid w:val="00DC4B98"/>
    <w:rsid w:val="00DC4E1B"/>
    <w:rsid w:val="00DC6E4F"/>
    <w:rsid w:val="00DC700A"/>
    <w:rsid w:val="00DC7CE9"/>
    <w:rsid w:val="00DD048F"/>
    <w:rsid w:val="00DD0D36"/>
    <w:rsid w:val="00DD1510"/>
    <w:rsid w:val="00DD154A"/>
    <w:rsid w:val="00DD202A"/>
    <w:rsid w:val="00DD2202"/>
    <w:rsid w:val="00DD2528"/>
    <w:rsid w:val="00DD3E9D"/>
    <w:rsid w:val="00DD55D4"/>
    <w:rsid w:val="00DD72D9"/>
    <w:rsid w:val="00DD7DA7"/>
    <w:rsid w:val="00DD7DCF"/>
    <w:rsid w:val="00DE0800"/>
    <w:rsid w:val="00DE1C01"/>
    <w:rsid w:val="00DE2F00"/>
    <w:rsid w:val="00DE33AC"/>
    <w:rsid w:val="00DE34D1"/>
    <w:rsid w:val="00DE40DF"/>
    <w:rsid w:val="00DE41D1"/>
    <w:rsid w:val="00DE4BAE"/>
    <w:rsid w:val="00DE5598"/>
    <w:rsid w:val="00DE56F4"/>
    <w:rsid w:val="00DE6C2F"/>
    <w:rsid w:val="00DE7201"/>
    <w:rsid w:val="00DF02C4"/>
    <w:rsid w:val="00DF1590"/>
    <w:rsid w:val="00DF2CA7"/>
    <w:rsid w:val="00DF2E10"/>
    <w:rsid w:val="00DF7E0A"/>
    <w:rsid w:val="00DF7FB4"/>
    <w:rsid w:val="00E007A6"/>
    <w:rsid w:val="00E00C63"/>
    <w:rsid w:val="00E036AC"/>
    <w:rsid w:val="00E037CB"/>
    <w:rsid w:val="00E038C0"/>
    <w:rsid w:val="00E03FD6"/>
    <w:rsid w:val="00E04FCD"/>
    <w:rsid w:val="00E051A0"/>
    <w:rsid w:val="00E061A6"/>
    <w:rsid w:val="00E06348"/>
    <w:rsid w:val="00E0789D"/>
    <w:rsid w:val="00E07A09"/>
    <w:rsid w:val="00E10330"/>
    <w:rsid w:val="00E10694"/>
    <w:rsid w:val="00E10F63"/>
    <w:rsid w:val="00E1377F"/>
    <w:rsid w:val="00E137A7"/>
    <w:rsid w:val="00E164B9"/>
    <w:rsid w:val="00E22FBE"/>
    <w:rsid w:val="00E23707"/>
    <w:rsid w:val="00E2688F"/>
    <w:rsid w:val="00E2726B"/>
    <w:rsid w:val="00E32967"/>
    <w:rsid w:val="00E33606"/>
    <w:rsid w:val="00E34348"/>
    <w:rsid w:val="00E34A82"/>
    <w:rsid w:val="00E34C0B"/>
    <w:rsid w:val="00E36D82"/>
    <w:rsid w:val="00E36FFA"/>
    <w:rsid w:val="00E3702D"/>
    <w:rsid w:val="00E37282"/>
    <w:rsid w:val="00E40568"/>
    <w:rsid w:val="00E408EE"/>
    <w:rsid w:val="00E4138D"/>
    <w:rsid w:val="00E41804"/>
    <w:rsid w:val="00E42564"/>
    <w:rsid w:val="00E4391E"/>
    <w:rsid w:val="00E4419A"/>
    <w:rsid w:val="00E463FB"/>
    <w:rsid w:val="00E46F02"/>
    <w:rsid w:val="00E46F29"/>
    <w:rsid w:val="00E50322"/>
    <w:rsid w:val="00E505F9"/>
    <w:rsid w:val="00E5073D"/>
    <w:rsid w:val="00E530C7"/>
    <w:rsid w:val="00E531B4"/>
    <w:rsid w:val="00E53DD7"/>
    <w:rsid w:val="00E5407B"/>
    <w:rsid w:val="00E54B5A"/>
    <w:rsid w:val="00E54E5A"/>
    <w:rsid w:val="00E575D7"/>
    <w:rsid w:val="00E61C8C"/>
    <w:rsid w:val="00E62FB2"/>
    <w:rsid w:val="00E63837"/>
    <w:rsid w:val="00E639F7"/>
    <w:rsid w:val="00E63EC5"/>
    <w:rsid w:val="00E63F43"/>
    <w:rsid w:val="00E64CBD"/>
    <w:rsid w:val="00E70DD1"/>
    <w:rsid w:val="00E713A8"/>
    <w:rsid w:val="00E71E5A"/>
    <w:rsid w:val="00E74C1E"/>
    <w:rsid w:val="00E757BD"/>
    <w:rsid w:val="00E75DBD"/>
    <w:rsid w:val="00E77663"/>
    <w:rsid w:val="00E8139F"/>
    <w:rsid w:val="00E81A43"/>
    <w:rsid w:val="00E85E89"/>
    <w:rsid w:val="00E87FB4"/>
    <w:rsid w:val="00E90C1A"/>
    <w:rsid w:val="00E94BA7"/>
    <w:rsid w:val="00E94F80"/>
    <w:rsid w:val="00E94FAE"/>
    <w:rsid w:val="00E968EF"/>
    <w:rsid w:val="00E96FED"/>
    <w:rsid w:val="00EA02F3"/>
    <w:rsid w:val="00EA13D5"/>
    <w:rsid w:val="00EA19D6"/>
    <w:rsid w:val="00EA2A85"/>
    <w:rsid w:val="00EA604A"/>
    <w:rsid w:val="00EA6D8C"/>
    <w:rsid w:val="00EB06E8"/>
    <w:rsid w:val="00EB43D5"/>
    <w:rsid w:val="00EB4792"/>
    <w:rsid w:val="00EB7993"/>
    <w:rsid w:val="00EC0A6B"/>
    <w:rsid w:val="00EC0EBB"/>
    <w:rsid w:val="00EC289E"/>
    <w:rsid w:val="00EC4393"/>
    <w:rsid w:val="00EC4DEF"/>
    <w:rsid w:val="00EC57C3"/>
    <w:rsid w:val="00EC7504"/>
    <w:rsid w:val="00ED013B"/>
    <w:rsid w:val="00ED0425"/>
    <w:rsid w:val="00ED0E5B"/>
    <w:rsid w:val="00ED2388"/>
    <w:rsid w:val="00ED4EA0"/>
    <w:rsid w:val="00ED55C8"/>
    <w:rsid w:val="00ED59C9"/>
    <w:rsid w:val="00ED670B"/>
    <w:rsid w:val="00ED702B"/>
    <w:rsid w:val="00EE0875"/>
    <w:rsid w:val="00EE4D5B"/>
    <w:rsid w:val="00EE5F8A"/>
    <w:rsid w:val="00EF1214"/>
    <w:rsid w:val="00EF12BF"/>
    <w:rsid w:val="00EF1309"/>
    <w:rsid w:val="00EF1F82"/>
    <w:rsid w:val="00EF3570"/>
    <w:rsid w:val="00EF4DC7"/>
    <w:rsid w:val="00EF5287"/>
    <w:rsid w:val="00EF5B70"/>
    <w:rsid w:val="00EF6E7F"/>
    <w:rsid w:val="00EF76EC"/>
    <w:rsid w:val="00EF7C57"/>
    <w:rsid w:val="00F012AE"/>
    <w:rsid w:val="00F01A77"/>
    <w:rsid w:val="00F03DA6"/>
    <w:rsid w:val="00F04292"/>
    <w:rsid w:val="00F052C5"/>
    <w:rsid w:val="00F06154"/>
    <w:rsid w:val="00F07B65"/>
    <w:rsid w:val="00F10DAF"/>
    <w:rsid w:val="00F11552"/>
    <w:rsid w:val="00F11DE1"/>
    <w:rsid w:val="00F1273E"/>
    <w:rsid w:val="00F12CDF"/>
    <w:rsid w:val="00F136CA"/>
    <w:rsid w:val="00F14755"/>
    <w:rsid w:val="00F14A23"/>
    <w:rsid w:val="00F1518B"/>
    <w:rsid w:val="00F17090"/>
    <w:rsid w:val="00F20725"/>
    <w:rsid w:val="00F20E51"/>
    <w:rsid w:val="00F23601"/>
    <w:rsid w:val="00F25572"/>
    <w:rsid w:val="00F259CC"/>
    <w:rsid w:val="00F271DA"/>
    <w:rsid w:val="00F27FC3"/>
    <w:rsid w:val="00F30960"/>
    <w:rsid w:val="00F3132D"/>
    <w:rsid w:val="00F3237D"/>
    <w:rsid w:val="00F3279E"/>
    <w:rsid w:val="00F32A32"/>
    <w:rsid w:val="00F3607D"/>
    <w:rsid w:val="00F3634C"/>
    <w:rsid w:val="00F40CBA"/>
    <w:rsid w:val="00F41387"/>
    <w:rsid w:val="00F4289D"/>
    <w:rsid w:val="00F44F38"/>
    <w:rsid w:val="00F45631"/>
    <w:rsid w:val="00F4599D"/>
    <w:rsid w:val="00F47CA7"/>
    <w:rsid w:val="00F50984"/>
    <w:rsid w:val="00F50A63"/>
    <w:rsid w:val="00F5282E"/>
    <w:rsid w:val="00F52C70"/>
    <w:rsid w:val="00F5430C"/>
    <w:rsid w:val="00F54CAD"/>
    <w:rsid w:val="00F54E73"/>
    <w:rsid w:val="00F550C0"/>
    <w:rsid w:val="00F55E9F"/>
    <w:rsid w:val="00F56500"/>
    <w:rsid w:val="00F57531"/>
    <w:rsid w:val="00F57A80"/>
    <w:rsid w:val="00F6502C"/>
    <w:rsid w:val="00F66927"/>
    <w:rsid w:val="00F677C2"/>
    <w:rsid w:val="00F67D1C"/>
    <w:rsid w:val="00F70D0E"/>
    <w:rsid w:val="00F710F8"/>
    <w:rsid w:val="00F7270C"/>
    <w:rsid w:val="00F737D2"/>
    <w:rsid w:val="00F766D6"/>
    <w:rsid w:val="00F8077E"/>
    <w:rsid w:val="00F82D2A"/>
    <w:rsid w:val="00F832D7"/>
    <w:rsid w:val="00F8350C"/>
    <w:rsid w:val="00F83E51"/>
    <w:rsid w:val="00F84D28"/>
    <w:rsid w:val="00F86E06"/>
    <w:rsid w:val="00F90F94"/>
    <w:rsid w:val="00F93BB4"/>
    <w:rsid w:val="00F94039"/>
    <w:rsid w:val="00F95CDC"/>
    <w:rsid w:val="00F968F0"/>
    <w:rsid w:val="00F96C4A"/>
    <w:rsid w:val="00FA059D"/>
    <w:rsid w:val="00FA0658"/>
    <w:rsid w:val="00FA2999"/>
    <w:rsid w:val="00FA3F01"/>
    <w:rsid w:val="00FA477C"/>
    <w:rsid w:val="00FA6162"/>
    <w:rsid w:val="00FA6477"/>
    <w:rsid w:val="00FA769C"/>
    <w:rsid w:val="00FB02C0"/>
    <w:rsid w:val="00FB0521"/>
    <w:rsid w:val="00FB12D9"/>
    <w:rsid w:val="00FB1414"/>
    <w:rsid w:val="00FB149D"/>
    <w:rsid w:val="00FB1E3B"/>
    <w:rsid w:val="00FB361E"/>
    <w:rsid w:val="00FB378B"/>
    <w:rsid w:val="00FB390A"/>
    <w:rsid w:val="00FB418F"/>
    <w:rsid w:val="00FB430D"/>
    <w:rsid w:val="00FB7116"/>
    <w:rsid w:val="00FB74A7"/>
    <w:rsid w:val="00FB785B"/>
    <w:rsid w:val="00FC058C"/>
    <w:rsid w:val="00FC0D10"/>
    <w:rsid w:val="00FC1CDB"/>
    <w:rsid w:val="00FC21D5"/>
    <w:rsid w:val="00FC2400"/>
    <w:rsid w:val="00FC2B07"/>
    <w:rsid w:val="00FC5877"/>
    <w:rsid w:val="00FC5CED"/>
    <w:rsid w:val="00FC6B6D"/>
    <w:rsid w:val="00FC6CD2"/>
    <w:rsid w:val="00FC6CE7"/>
    <w:rsid w:val="00FC7E0F"/>
    <w:rsid w:val="00FD18F5"/>
    <w:rsid w:val="00FD1FE3"/>
    <w:rsid w:val="00FD29B4"/>
    <w:rsid w:val="00FD34AB"/>
    <w:rsid w:val="00FD3EDB"/>
    <w:rsid w:val="00FD59A1"/>
    <w:rsid w:val="00FD6E89"/>
    <w:rsid w:val="00FD70EB"/>
    <w:rsid w:val="00FE1F3A"/>
    <w:rsid w:val="00FE2FAA"/>
    <w:rsid w:val="00FE3C69"/>
    <w:rsid w:val="00FE3E0A"/>
    <w:rsid w:val="00FE4AA4"/>
    <w:rsid w:val="00FE53EA"/>
    <w:rsid w:val="00FE5B2F"/>
    <w:rsid w:val="00FF0C07"/>
    <w:rsid w:val="00FF0EFB"/>
    <w:rsid w:val="00FF1653"/>
    <w:rsid w:val="00FF1C5C"/>
    <w:rsid w:val="00FF3126"/>
    <w:rsid w:val="00FF3731"/>
    <w:rsid w:val="00FF49E6"/>
    <w:rsid w:val="00FF4A3B"/>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C37"/>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A77C37"/>
    <w:pPr>
      <w:keepNext/>
      <w:spacing w:before="140" w:line="240" w:lineRule="atLeast"/>
      <w:jc w:val="center"/>
      <w:outlineLvl w:val="0"/>
    </w:pPr>
    <w:rPr>
      <w:b/>
      <w:smallCaps/>
    </w:rPr>
  </w:style>
  <w:style w:type="paragraph" w:styleId="Heading2">
    <w:name w:val="heading 2"/>
    <w:basedOn w:val="Normal"/>
    <w:next w:val="Normal"/>
    <w:link w:val="Heading2Char"/>
    <w:qFormat/>
    <w:rsid w:val="00A77C37"/>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A77C37"/>
    <w:pPr>
      <w:keepNext/>
      <w:tabs>
        <w:tab w:val="left" w:pos="1584"/>
      </w:tabs>
      <w:spacing w:before="140" w:line="240" w:lineRule="atLeast"/>
      <w:ind w:left="1584" w:hanging="432"/>
      <w:jc w:val="left"/>
      <w:outlineLvl w:val="2"/>
    </w:pPr>
    <w:rPr>
      <w:i/>
    </w:rPr>
  </w:style>
  <w:style w:type="paragraph" w:styleId="Heading4">
    <w:name w:val="heading 4"/>
    <w:basedOn w:val="Normal"/>
    <w:rsid w:val="00A77C37"/>
    <w:pPr>
      <w:keepNext/>
      <w:tabs>
        <w:tab w:val="left" w:pos="2016"/>
      </w:tabs>
      <w:spacing w:before="140" w:line="240" w:lineRule="atLeast"/>
      <w:ind w:left="2016" w:hanging="432"/>
      <w:jc w:val="left"/>
      <w:outlineLvl w:val="3"/>
    </w:pPr>
    <w:rPr>
      <w:i/>
    </w:rPr>
  </w:style>
  <w:style w:type="paragraph" w:styleId="Heading5">
    <w:name w:val="heading 5"/>
    <w:basedOn w:val="Normal"/>
    <w:rsid w:val="00A77C37"/>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DA273C"/>
    <w:pPr>
      <w:keepNext/>
      <w:keepLines/>
      <w:numPr>
        <w:ilvl w:val="5"/>
        <w:numId w:val="2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273C"/>
    <w:pPr>
      <w:keepNext/>
      <w:keepLines/>
      <w:numPr>
        <w:ilvl w:val="6"/>
        <w:numId w:val="2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A273C"/>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273C"/>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77C37"/>
    <w:pPr>
      <w:ind w:left="720"/>
    </w:pPr>
  </w:style>
  <w:style w:type="paragraph" w:styleId="Footer">
    <w:name w:val="footer"/>
    <w:basedOn w:val="Normal"/>
    <w:link w:val="FooterChar"/>
    <w:qFormat/>
    <w:rsid w:val="00A77C37"/>
    <w:pPr>
      <w:tabs>
        <w:tab w:val="center" w:pos="3960"/>
        <w:tab w:val="right" w:pos="10080"/>
      </w:tabs>
      <w:spacing w:after="0" w:line="240" w:lineRule="auto"/>
      <w:jc w:val="center"/>
    </w:pPr>
    <w:rPr>
      <w:sz w:val="22"/>
    </w:rPr>
  </w:style>
  <w:style w:type="paragraph" w:styleId="Header">
    <w:name w:val="header"/>
    <w:basedOn w:val="Normal"/>
    <w:link w:val="HeaderChar"/>
    <w:qFormat/>
    <w:rsid w:val="00A77C37"/>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A77C37"/>
    <w:rPr>
      <w:rFonts w:ascii="Century Schoolbook" w:hAnsi="Century Schoolbook"/>
      <w:b/>
      <w:i w:val="0"/>
      <w:position w:val="4"/>
      <w:sz w:val="27"/>
      <w:vertAlign w:val="superscript"/>
    </w:rPr>
  </w:style>
  <w:style w:type="paragraph" w:styleId="FootnoteText">
    <w:name w:val="footnote text"/>
    <w:basedOn w:val="Normal"/>
    <w:link w:val="FootnoteTextChar"/>
    <w:rsid w:val="00A77C37"/>
    <w:pPr>
      <w:spacing w:line="300" w:lineRule="exact"/>
    </w:pPr>
  </w:style>
  <w:style w:type="paragraph" w:customStyle="1" w:styleId="Title1">
    <w:name w:val="Title1"/>
    <w:basedOn w:val="Normal"/>
    <w:rsid w:val="00A77C37"/>
    <w:pPr>
      <w:tabs>
        <w:tab w:val="left" w:pos="5760"/>
        <w:tab w:val="left" w:pos="6480"/>
      </w:tabs>
      <w:spacing w:line="240" w:lineRule="atLeast"/>
    </w:pPr>
  </w:style>
  <w:style w:type="paragraph" w:customStyle="1" w:styleId="Recommend">
    <w:name w:val="Recommend"/>
    <w:basedOn w:val="Normal"/>
    <w:rsid w:val="00A77C37"/>
  </w:style>
  <w:style w:type="paragraph" w:customStyle="1" w:styleId="Summary">
    <w:name w:val="Summary"/>
    <w:basedOn w:val="Normal"/>
    <w:rsid w:val="00A77C37"/>
    <w:pPr>
      <w:ind w:left="2160" w:hanging="2160"/>
    </w:pPr>
  </w:style>
  <w:style w:type="paragraph" w:customStyle="1" w:styleId="Text">
    <w:name w:val="Text"/>
    <w:basedOn w:val="Normal"/>
    <w:rsid w:val="00A77C37"/>
    <w:pPr>
      <w:tabs>
        <w:tab w:val="left" w:pos="720"/>
        <w:tab w:val="left" w:pos="1440"/>
        <w:tab w:val="left" w:pos="2160"/>
        <w:tab w:val="center" w:pos="4320"/>
      </w:tabs>
      <w:spacing w:line="480" w:lineRule="atLeast"/>
      <w:ind w:firstLine="540"/>
    </w:pPr>
  </w:style>
  <w:style w:type="paragraph" w:styleId="Date">
    <w:name w:val="Date"/>
    <w:basedOn w:val="Normal"/>
    <w:semiHidden/>
    <w:rsid w:val="00A77C37"/>
    <w:pPr>
      <w:jc w:val="right"/>
    </w:pPr>
  </w:style>
  <w:style w:type="character" w:styleId="PageNumber">
    <w:name w:val="page number"/>
    <w:basedOn w:val="DefaultParagraphFont"/>
    <w:semiHidden/>
    <w:rsid w:val="00A77C37"/>
  </w:style>
  <w:style w:type="paragraph" w:customStyle="1" w:styleId="subject">
    <w:name w:val="subject"/>
    <w:basedOn w:val="Normal"/>
    <w:rsid w:val="00A77C37"/>
    <w:pPr>
      <w:tabs>
        <w:tab w:val="left" w:pos="1008"/>
      </w:tabs>
      <w:ind w:left="990" w:hanging="990"/>
    </w:pPr>
    <w:rPr>
      <w:b/>
    </w:rPr>
  </w:style>
  <w:style w:type="paragraph" w:customStyle="1" w:styleId="Titles">
    <w:name w:val="Titles"/>
    <w:basedOn w:val="Normal"/>
    <w:rsid w:val="00A77C37"/>
    <w:pPr>
      <w:tabs>
        <w:tab w:val="left" w:pos="2160"/>
      </w:tabs>
      <w:ind w:left="2160" w:hanging="2160"/>
    </w:pPr>
    <w:rPr>
      <w:b/>
    </w:rPr>
  </w:style>
  <w:style w:type="paragraph" w:styleId="TOAHeading">
    <w:name w:val="toa heading"/>
    <w:basedOn w:val="Normal"/>
    <w:next w:val="Normal"/>
    <w:semiHidden/>
    <w:rsid w:val="00A77C37"/>
    <w:pPr>
      <w:spacing w:before="120"/>
    </w:pPr>
    <w:rPr>
      <w:b/>
    </w:rPr>
  </w:style>
  <w:style w:type="paragraph" w:styleId="TOC1">
    <w:name w:val="toc 1"/>
    <w:basedOn w:val="Normal"/>
    <w:next w:val="Normal"/>
    <w:autoRedefine/>
    <w:semiHidden/>
    <w:rsid w:val="00A77C37"/>
  </w:style>
  <w:style w:type="paragraph" w:styleId="TOC2">
    <w:name w:val="toc 2"/>
    <w:basedOn w:val="Normal"/>
    <w:next w:val="Normal"/>
    <w:autoRedefine/>
    <w:semiHidden/>
    <w:rsid w:val="00A77C37"/>
    <w:pPr>
      <w:ind w:left="259"/>
    </w:pPr>
  </w:style>
  <w:style w:type="paragraph" w:styleId="TOC3">
    <w:name w:val="toc 3"/>
    <w:basedOn w:val="Normal"/>
    <w:next w:val="Normal"/>
    <w:autoRedefine/>
    <w:semiHidden/>
    <w:rsid w:val="00A77C37"/>
    <w:pPr>
      <w:ind w:left="520"/>
    </w:pPr>
  </w:style>
  <w:style w:type="paragraph" w:styleId="TOC4">
    <w:name w:val="toc 4"/>
    <w:basedOn w:val="Normal"/>
    <w:next w:val="Normal"/>
    <w:autoRedefine/>
    <w:semiHidden/>
    <w:rsid w:val="00A77C37"/>
    <w:pPr>
      <w:ind w:left="780"/>
    </w:pPr>
  </w:style>
  <w:style w:type="paragraph" w:styleId="TOC5">
    <w:name w:val="toc 5"/>
    <w:basedOn w:val="Normal"/>
    <w:next w:val="Normal"/>
    <w:autoRedefine/>
    <w:semiHidden/>
    <w:rsid w:val="00A77C37"/>
    <w:pPr>
      <w:ind w:left="1040"/>
    </w:pPr>
  </w:style>
  <w:style w:type="paragraph" w:styleId="TOC6">
    <w:name w:val="toc 6"/>
    <w:basedOn w:val="Normal"/>
    <w:next w:val="Normal"/>
    <w:autoRedefine/>
    <w:semiHidden/>
    <w:rsid w:val="00A77C37"/>
    <w:pPr>
      <w:ind w:left="1300"/>
    </w:pPr>
  </w:style>
  <w:style w:type="paragraph" w:styleId="TOC7">
    <w:name w:val="toc 7"/>
    <w:basedOn w:val="Normal"/>
    <w:next w:val="Normal"/>
    <w:autoRedefine/>
    <w:semiHidden/>
    <w:rsid w:val="00A77C37"/>
    <w:pPr>
      <w:ind w:left="1560"/>
    </w:pPr>
  </w:style>
  <w:style w:type="paragraph" w:styleId="TOC8">
    <w:name w:val="toc 8"/>
    <w:basedOn w:val="Normal"/>
    <w:next w:val="Normal"/>
    <w:autoRedefine/>
    <w:semiHidden/>
    <w:rsid w:val="00A77C37"/>
    <w:pPr>
      <w:ind w:left="1820"/>
    </w:pPr>
  </w:style>
  <w:style w:type="paragraph" w:styleId="TOC9">
    <w:name w:val="toc 9"/>
    <w:basedOn w:val="Normal"/>
    <w:next w:val="Normal"/>
    <w:autoRedefine/>
    <w:semiHidden/>
    <w:rsid w:val="00A77C37"/>
    <w:pPr>
      <w:ind w:left="2080"/>
    </w:pPr>
  </w:style>
  <w:style w:type="paragraph" w:customStyle="1" w:styleId="Contents">
    <w:name w:val="Contents"/>
    <w:basedOn w:val="Normal"/>
    <w:rsid w:val="00A77C37"/>
    <w:pPr>
      <w:jc w:val="center"/>
    </w:pPr>
    <w:rPr>
      <w:b/>
      <w:spacing w:val="100"/>
    </w:rPr>
  </w:style>
  <w:style w:type="character" w:customStyle="1" w:styleId="cosearchterm">
    <w:name w:val="co_searchterm"/>
    <w:basedOn w:val="DefaultParagraphFont"/>
    <w:rsid w:val="0052665A"/>
  </w:style>
  <w:style w:type="character" w:styleId="Hyperlink">
    <w:name w:val="Hyperlink"/>
    <w:basedOn w:val="DefaultParagraphFont"/>
    <w:uiPriority w:val="99"/>
    <w:semiHidden/>
    <w:unhideWhenUsed/>
    <w:rsid w:val="0052665A"/>
    <w:rPr>
      <w:color w:val="0000FF"/>
      <w:u w:val="single"/>
    </w:rPr>
  </w:style>
  <w:style w:type="character" w:styleId="Emphasis">
    <w:name w:val="Emphasis"/>
    <w:basedOn w:val="DefaultParagraphFont"/>
    <w:uiPriority w:val="20"/>
    <w:qFormat/>
    <w:rsid w:val="0052665A"/>
    <w:rPr>
      <w:i/>
      <w:iCs/>
    </w:rPr>
  </w:style>
  <w:style w:type="character" w:customStyle="1" w:styleId="costarpage">
    <w:name w:val="co_starpage"/>
    <w:basedOn w:val="DefaultParagraphFont"/>
    <w:rsid w:val="0052665A"/>
  </w:style>
  <w:style w:type="paragraph" w:styleId="ListParagraph">
    <w:name w:val="List Paragraph"/>
    <w:basedOn w:val="Normal"/>
    <w:link w:val="ListParagraphChar"/>
    <w:uiPriority w:val="34"/>
    <w:qFormat/>
    <w:rsid w:val="0052665A"/>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52665A"/>
    <w:rPr>
      <w:rFonts w:ascii="Century Schoolbook" w:hAnsi="Century Schoolbook"/>
      <w:b/>
      <w:smallCaps/>
      <w:sz w:val="27"/>
    </w:rPr>
  </w:style>
  <w:style w:type="character" w:customStyle="1" w:styleId="Heading3Char">
    <w:name w:val="Heading 3 Char"/>
    <w:basedOn w:val="DefaultParagraphFont"/>
    <w:link w:val="Heading3"/>
    <w:rsid w:val="0052665A"/>
    <w:rPr>
      <w:rFonts w:ascii="Century Schoolbook" w:hAnsi="Century Schoolbook"/>
      <w:i/>
      <w:sz w:val="27"/>
    </w:rPr>
  </w:style>
  <w:style w:type="character" w:customStyle="1" w:styleId="FootnoteTextChar">
    <w:name w:val="Footnote Text Char"/>
    <w:basedOn w:val="DefaultParagraphFont"/>
    <w:link w:val="FootnoteText"/>
    <w:rsid w:val="0052665A"/>
    <w:rPr>
      <w:rFonts w:ascii="Century Schoolbook" w:hAnsi="Century Schoolbook"/>
      <w:sz w:val="27"/>
    </w:rPr>
  </w:style>
  <w:style w:type="character" w:customStyle="1" w:styleId="Heading2Char">
    <w:name w:val="Heading 2 Char"/>
    <w:basedOn w:val="DefaultParagraphFont"/>
    <w:link w:val="Heading2"/>
    <w:rsid w:val="0052665A"/>
    <w:rPr>
      <w:rFonts w:ascii="Century Schoolbook" w:hAnsi="Century Schoolbook"/>
      <w:b/>
      <w:sz w:val="27"/>
    </w:rPr>
  </w:style>
  <w:style w:type="character" w:customStyle="1" w:styleId="copinpointicon">
    <w:name w:val="co_pinpointicon"/>
    <w:basedOn w:val="DefaultParagraphFont"/>
    <w:rsid w:val="0052665A"/>
  </w:style>
  <w:style w:type="character" w:customStyle="1" w:styleId="coinlinekeyciteflag">
    <w:name w:val="co_inlinekeyciteflag"/>
    <w:basedOn w:val="DefaultParagraphFont"/>
    <w:rsid w:val="0052665A"/>
  </w:style>
  <w:style w:type="character" w:customStyle="1" w:styleId="cosmallcaps">
    <w:name w:val="co_smallcaps"/>
    <w:basedOn w:val="DefaultParagraphFont"/>
    <w:rsid w:val="0052665A"/>
  </w:style>
  <w:style w:type="character" w:customStyle="1" w:styleId="HeaderChar">
    <w:name w:val="Header Char"/>
    <w:basedOn w:val="DefaultParagraphFont"/>
    <w:link w:val="Header"/>
    <w:rsid w:val="0052665A"/>
    <w:rPr>
      <w:rFonts w:ascii="Century Schoolbook" w:hAnsi="Century Schoolbook"/>
      <w:sz w:val="22"/>
    </w:rPr>
  </w:style>
  <w:style w:type="character" w:customStyle="1" w:styleId="FooterChar">
    <w:name w:val="Footer Char"/>
    <w:basedOn w:val="DefaultParagraphFont"/>
    <w:link w:val="Footer"/>
    <w:rsid w:val="0052665A"/>
    <w:rPr>
      <w:rFonts w:ascii="Century Schoolbook" w:hAnsi="Century Schoolbook"/>
      <w:sz w:val="22"/>
    </w:rPr>
  </w:style>
  <w:style w:type="character" w:styleId="Strong">
    <w:name w:val="Strong"/>
    <w:basedOn w:val="DefaultParagraphFont"/>
    <w:uiPriority w:val="22"/>
    <w:qFormat/>
    <w:rsid w:val="0052665A"/>
    <w:rPr>
      <w:b/>
      <w:bCs/>
    </w:rPr>
  </w:style>
  <w:style w:type="character" w:styleId="PlaceholderText">
    <w:name w:val="Placeholder Text"/>
    <w:basedOn w:val="DefaultParagraphFont"/>
    <w:uiPriority w:val="99"/>
    <w:semiHidden/>
    <w:rsid w:val="0052665A"/>
    <w:rPr>
      <w:color w:val="808080"/>
    </w:rPr>
  </w:style>
  <w:style w:type="character" w:styleId="CommentReference">
    <w:name w:val="annotation reference"/>
    <w:basedOn w:val="DefaultParagraphFont"/>
    <w:uiPriority w:val="99"/>
    <w:semiHidden/>
    <w:unhideWhenUsed/>
    <w:rsid w:val="007A1AE0"/>
    <w:rPr>
      <w:sz w:val="16"/>
      <w:szCs w:val="16"/>
    </w:rPr>
  </w:style>
  <w:style w:type="paragraph" w:styleId="CommentText">
    <w:name w:val="annotation text"/>
    <w:basedOn w:val="Normal"/>
    <w:link w:val="CommentTextChar"/>
    <w:uiPriority w:val="99"/>
    <w:unhideWhenUsed/>
    <w:rsid w:val="007A1AE0"/>
    <w:rPr>
      <w:sz w:val="20"/>
    </w:rPr>
  </w:style>
  <w:style w:type="character" w:customStyle="1" w:styleId="CommentTextChar">
    <w:name w:val="Comment Text Char"/>
    <w:basedOn w:val="DefaultParagraphFont"/>
    <w:link w:val="CommentText"/>
    <w:uiPriority w:val="99"/>
    <w:rsid w:val="007A1AE0"/>
  </w:style>
  <w:style w:type="paragraph" w:styleId="CommentSubject">
    <w:name w:val="annotation subject"/>
    <w:basedOn w:val="CommentText"/>
    <w:next w:val="CommentText"/>
    <w:link w:val="CommentSubjectChar"/>
    <w:uiPriority w:val="99"/>
    <w:semiHidden/>
    <w:unhideWhenUsed/>
    <w:rsid w:val="007A1AE0"/>
    <w:rPr>
      <w:b/>
      <w:bCs/>
    </w:rPr>
  </w:style>
  <w:style w:type="character" w:customStyle="1" w:styleId="CommentSubjectChar">
    <w:name w:val="Comment Subject Char"/>
    <w:basedOn w:val="CommentTextChar"/>
    <w:link w:val="CommentSubject"/>
    <w:uiPriority w:val="99"/>
    <w:semiHidden/>
    <w:rsid w:val="007A1AE0"/>
    <w:rPr>
      <w:b/>
      <w:bCs/>
    </w:rPr>
  </w:style>
  <w:style w:type="paragraph" w:styleId="Revision">
    <w:name w:val="Revision"/>
    <w:hidden/>
    <w:uiPriority w:val="99"/>
    <w:semiHidden/>
    <w:rsid w:val="00054709"/>
    <w:rPr>
      <w:sz w:val="26"/>
    </w:rPr>
  </w:style>
  <w:style w:type="paragraph" w:styleId="NormalWeb">
    <w:name w:val="Normal (Web)"/>
    <w:basedOn w:val="Normal"/>
    <w:uiPriority w:val="99"/>
    <w:semiHidden/>
    <w:unhideWhenUsed/>
    <w:rsid w:val="00394E6A"/>
    <w:pPr>
      <w:spacing w:before="100" w:beforeAutospacing="1" w:afterAutospacing="1"/>
    </w:pPr>
    <w:rPr>
      <w:sz w:val="24"/>
      <w:szCs w:val="24"/>
    </w:rPr>
  </w:style>
  <w:style w:type="character" w:customStyle="1" w:styleId="normaltextrun">
    <w:name w:val="normaltextrun"/>
    <w:basedOn w:val="DefaultParagraphFont"/>
    <w:rsid w:val="00394E6A"/>
  </w:style>
  <w:style w:type="paragraph" w:customStyle="1" w:styleId="TopHeadingStyle">
    <w:name w:val="Top Heading Style"/>
    <w:basedOn w:val="ListParagraph"/>
    <w:link w:val="TopHeadingStyleChar"/>
    <w:qFormat/>
    <w:rsid w:val="002C1B72"/>
    <w:pPr>
      <w:numPr>
        <w:numId w:val="18"/>
      </w:numPr>
      <w:spacing w:line="480" w:lineRule="exact"/>
      <w:ind w:left="0" w:firstLine="0"/>
      <w:jc w:val="center"/>
    </w:pPr>
    <w:rPr>
      <w:rFonts w:ascii="Times New Roman Bold" w:hAnsi="Times New Roman Bold" w:cs="Times New Roman"/>
      <w:b/>
      <w:bCs/>
      <w:smallCaps/>
      <w:color w:val="333333"/>
      <w:sz w:val="26"/>
      <w:szCs w:val="26"/>
    </w:rPr>
  </w:style>
  <w:style w:type="character" w:customStyle="1" w:styleId="ListParagraphChar">
    <w:name w:val="List Paragraph Char"/>
    <w:basedOn w:val="DefaultParagraphFont"/>
    <w:link w:val="ListParagraph"/>
    <w:uiPriority w:val="34"/>
    <w:rsid w:val="002C1B72"/>
    <w:rPr>
      <w:rFonts w:asciiTheme="minorHAnsi" w:eastAsiaTheme="minorHAnsi" w:hAnsiTheme="minorHAnsi" w:cstheme="minorBidi"/>
      <w:sz w:val="22"/>
      <w:szCs w:val="22"/>
    </w:rPr>
  </w:style>
  <w:style w:type="character" w:customStyle="1" w:styleId="TopHeadingStyleChar">
    <w:name w:val="Top Heading Style Char"/>
    <w:basedOn w:val="ListParagraphChar"/>
    <w:link w:val="TopHeadingStyle"/>
    <w:rsid w:val="002C1B72"/>
    <w:rPr>
      <w:rFonts w:ascii="Times New Roman Bold" w:eastAsiaTheme="minorHAnsi" w:hAnsi="Times New Roman Bold" w:cstheme="minorBidi"/>
      <w:b/>
      <w:bCs/>
      <w:smallCaps/>
      <w:color w:val="333333"/>
      <w:sz w:val="26"/>
      <w:szCs w:val="26"/>
    </w:rPr>
  </w:style>
  <w:style w:type="paragraph" w:customStyle="1" w:styleId="CalendarLevelOne">
    <w:name w:val="Calendar Level One"/>
    <w:basedOn w:val="TopHeadingStyle"/>
    <w:link w:val="CalendarLevelOneChar"/>
    <w:qFormat/>
    <w:rsid w:val="002C1B72"/>
    <w:pPr>
      <w:numPr>
        <w:numId w:val="0"/>
      </w:numPr>
      <w:tabs>
        <w:tab w:val="left" w:pos="270"/>
      </w:tabs>
    </w:pPr>
  </w:style>
  <w:style w:type="character" w:customStyle="1" w:styleId="CalendarLevelOneChar">
    <w:name w:val="Calendar Level One Char"/>
    <w:basedOn w:val="TopHeadingStyleChar"/>
    <w:link w:val="CalendarLevelOne"/>
    <w:rsid w:val="002C1B72"/>
    <w:rPr>
      <w:rFonts w:ascii="Times New Roman Bold" w:eastAsiaTheme="minorHAnsi" w:hAnsi="Times New Roman Bold" w:cstheme="minorBidi"/>
      <w:b/>
      <w:bCs/>
      <w:smallCaps/>
      <w:color w:val="333333"/>
      <w:sz w:val="26"/>
      <w:szCs w:val="26"/>
    </w:rPr>
  </w:style>
  <w:style w:type="paragraph" w:customStyle="1" w:styleId="CalendarLevel2">
    <w:name w:val="Calendar Level 2"/>
    <w:basedOn w:val="ListParagraph"/>
    <w:link w:val="CalendarLevel2Char"/>
    <w:qFormat/>
    <w:rsid w:val="00DA273C"/>
    <w:pPr>
      <w:numPr>
        <w:numId w:val="22"/>
      </w:numPr>
      <w:spacing w:after="0"/>
    </w:pPr>
    <w:rPr>
      <w:rFonts w:ascii="Times New Roman" w:hAnsi="Times New Roman" w:cs="Times New Roman"/>
      <w:b/>
      <w:bCs/>
      <w:sz w:val="26"/>
      <w:szCs w:val="26"/>
    </w:rPr>
  </w:style>
  <w:style w:type="character" w:customStyle="1" w:styleId="CalendarLevel2Char">
    <w:name w:val="Calendar Level 2 Char"/>
    <w:basedOn w:val="ListParagraphChar"/>
    <w:link w:val="CalendarLevel2"/>
    <w:rsid w:val="00DA273C"/>
    <w:rPr>
      <w:rFonts w:asciiTheme="minorHAnsi" w:eastAsiaTheme="minorHAnsi" w:hAnsiTheme="minorHAnsi" w:cstheme="minorBidi"/>
      <w:b/>
      <w:bCs/>
      <w:sz w:val="26"/>
      <w:szCs w:val="26"/>
    </w:rPr>
  </w:style>
  <w:style w:type="character" w:customStyle="1" w:styleId="Heading6Char">
    <w:name w:val="Heading 6 Char"/>
    <w:basedOn w:val="DefaultParagraphFont"/>
    <w:link w:val="Heading6"/>
    <w:uiPriority w:val="9"/>
    <w:semiHidden/>
    <w:rsid w:val="00DA273C"/>
    <w:rPr>
      <w:rFonts w:asciiTheme="majorHAnsi" w:eastAsiaTheme="majorEastAsia" w:hAnsiTheme="majorHAnsi" w:cstheme="majorBidi"/>
      <w:color w:val="243F60" w:themeColor="accent1" w:themeShade="7F"/>
      <w:sz w:val="26"/>
    </w:rPr>
  </w:style>
  <w:style w:type="character" w:customStyle="1" w:styleId="Heading7Char">
    <w:name w:val="Heading 7 Char"/>
    <w:basedOn w:val="DefaultParagraphFont"/>
    <w:link w:val="Heading7"/>
    <w:uiPriority w:val="9"/>
    <w:semiHidden/>
    <w:rsid w:val="00DA273C"/>
    <w:rPr>
      <w:rFonts w:asciiTheme="majorHAnsi" w:eastAsiaTheme="majorEastAsia" w:hAnsiTheme="majorHAnsi" w:cstheme="majorBidi"/>
      <w:i/>
      <w:iCs/>
      <w:color w:val="243F60" w:themeColor="accent1" w:themeShade="7F"/>
      <w:sz w:val="26"/>
    </w:rPr>
  </w:style>
  <w:style w:type="character" w:customStyle="1" w:styleId="Heading8Char">
    <w:name w:val="Heading 8 Char"/>
    <w:basedOn w:val="DefaultParagraphFont"/>
    <w:link w:val="Heading8"/>
    <w:uiPriority w:val="9"/>
    <w:semiHidden/>
    <w:rsid w:val="00DA27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273C"/>
    <w:rPr>
      <w:rFonts w:asciiTheme="majorHAnsi" w:eastAsiaTheme="majorEastAsia" w:hAnsiTheme="majorHAnsi" w:cstheme="majorBidi"/>
      <w:i/>
      <w:iCs/>
      <w:color w:val="272727" w:themeColor="text1" w:themeTint="D8"/>
      <w:sz w:val="21"/>
      <w:szCs w:val="21"/>
    </w:rPr>
  </w:style>
  <w:style w:type="paragraph" w:customStyle="1" w:styleId="CalendarLevel3">
    <w:name w:val="Calendar Level 3"/>
    <w:basedOn w:val="ListParagraph"/>
    <w:link w:val="CalendarLevel3Char"/>
    <w:qFormat/>
    <w:rsid w:val="00DA273C"/>
    <w:pPr>
      <w:numPr>
        <w:numId w:val="24"/>
      </w:numPr>
      <w:spacing w:after="0" w:line="480" w:lineRule="exact"/>
      <w:ind w:left="1440"/>
    </w:pPr>
    <w:rPr>
      <w:rFonts w:ascii="Times New Roman" w:hAnsi="Times New Roman" w:cs="Times New Roman"/>
      <w:i/>
      <w:iCs/>
      <w:sz w:val="26"/>
      <w:szCs w:val="26"/>
    </w:rPr>
  </w:style>
  <w:style w:type="character" w:customStyle="1" w:styleId="CalendarLevel3Char">
    <w:name w:val="Calendar Level 3 Char"/>
    <w:basedOn w:val="ListParagraphChar"/>
    <w:link w:val="CalendarLevel3"/>
    <w:rsid w:val="00DA273C"/>
    <w:rPr>
      <w:rFonts w:asciiTheme="minorHAnsi" w:eastAsiaTheme="minorHAnsi" w:hAnsiTheme="minorHAnsi" w:cstheme="minorBidi"/>
      <w:i/>
      <w:iCs/>
      <w:sz w:val="26"/>
      <w:szCs w:val="26"/>
    </w:rPr>
  </w:style>
  <w:style w:type="paragraph" w:customStyle="1" w:styleId="CalendarLevel3a">
    <w:name w:val="Calendar Level 3a"/>
    <w:basedOn w:val="Heading3"/>
    <w:link w:val="CalendarLevel3aChar"/>
    <w:qFormat/>
    <w:rsid w:val="00DA273C"/>
    <w:pPr>
      <w:tabs>
        <w:tab w:val="clear" w:pos="1584"/>
        <w:tab w:val="left" w:pos="1440"/>
      </w:tabs>
      <w:ind w:left="1080"/>
    </w:pPr>
  </w:style>
  <w:style w:type="character" w:customStyle="1" w:styleId="CalendarLevel3aChar">
    <w:name w:val="Calendar Level 3a Char"/>
    <w:basedOn w:val="Heading3Char"/>
    <w:link w:val="CalendarLevel3a"/>
    <w:rsid w:val="00DA273C"/>
    <w:rPr>
      <w:rFonts w:ascii="Century Schoolbook" w:hAnsi="Century Schoolbook"/>
      <w:i/>
      <w:sz w:val="26"/>
    </w:rPr>
  </w:style>
  <w:style w:type="paragraph" w:customStyle="1" w:styleId="Heading41">
    <w:name w:val="Heading 41"/>
    <w:basedOn w:val="ListParagraph"/>
    <w:link w:val="Heading41Char"/>
    <w:qFormat/>
    <w:rsid w:val="006717E1"/>
    <w:pPr>
      <w:keepNext/>
      <w:keepLines/>
      <w:numPr>
        <w:numId w:val="36"/>
      </w:numPr>
      <w:tabs>
        <w:tab w:val="left" w:pos="1800"/>
      </w:tabs>
      <w:spacing w:before="160" w:after="0" w:line="240" w:lineRule="auto"/>
    </w:pPr>
    <w:rPr>
      <w:rFonts w:ascii="Times New Roman" w:hAnsi="Times New Roman" w:cs="Times New Roman"/>
      <w:i/>
      <w:iCs/>
      <w:sz w:val="26"/>
      <w:szCs w:val="26"/>
    </w:rPr>
  </w:style>
  <w:style w:type="character" w:customStyle="1" w:styleId="Heading41Char">
    <w:name w:val="Heading 41 Char"/>
    <w:basedOn w:val="ListParagraphChar"/>
    <w:link w:val="Heading41"/>
    <w:rsid w:val="006717E1"/>
    <w:rPr>
      <w:rFonts w:asciiTheme="minorHAnsi" w:eastAsiaTheme="minorHAnsi" w:hAnsiTheme="minorHAnsi" w:cstheme="minorBidi"/>
      <w:i/>
      <w:iCs/>
      <w:sz w:val="26"/>
      <w:szCs w:val="26"/>
    </w:rPr>
  </w:style>
  <w:style w:type="paragraph" w:styleId="BodyText">
    <w:name w:val="Body Text"/>
    <w:basedOn w:val="Normal"/>
    <w:link w:val="BodyTextChar"/>
    <w:qFormat/>
    <w:rsid w:val="00A77C37"/>
  </w:style>
  <w:style w:type="character" w:customStyle="1" w:styleId="BodyTextChar">
    <w:name w:val="Body Text Char"/>
    <w:basedOn w:val="DefaultParagraphFont"/>
    <w:link w:val="BodyText"/>
    <w:rsid w:val="00A77C37"/>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73347-3448-4383-ACAB-648516A7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13184</Words>
  <Characters>70224</Characters>
  <Application>Microsoft Office Word</Application>
  <DocSecurity>0</DocSecurity>
  <Lines>1474</Lines>
  <Paragraphs>162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2023-12-14T16:58:00Z</dcterms:created>
  <dcterms:modified xsi:type="dcterms:W3CDTF">2023-12-14T16:58:00Z</dcterms:modified>
  <cp:category/>
</cp:coreProperties>
</file>