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572F57" w:rsidP="00587AF4" w14:paraId="0832D25E" w14:textId="77777777">
      <w:pPr>
        <w:spacing w:after="0"/>
        <w:jc w:val="center"/>
        <w:rPr>
          <w:sz w:val="36"/>
        </w:rPr>
      </w:pPr>
      <w:r>
        <w:rPr>
          <w:b/>
          <w:sz w:val="36"/>
        </w:rPr>
        <w:t>IN THE SUPREME COURT OF CALIFORNIA</w:t>
      </w:r>
    </w:p>
    <w:p w:rsidR="00572F57" w:rsidP="00227782" w14:paraId="120E02A2" w14:textId="77777777">
      <w:pPr>
        <w:spacing w:after="0"/>
        <w:jc w:val="center"/>
      </w:pPr>
    </w:p>
    <w:p w:rsidR="00572F57" w:rsidP="00572F57" w14:paraId="6E1FDD72" w14:textId="7B6816F6">
      <w:pPr>
        <w:spacing w:after="0"/>
        <w:jc w:val="center"/>
      </w:pPr>
      <w:bookmarkStart w:id="0" w:name="plaintiff"/>
      <w:bookmarkEnd w:id="0"/>
      <w:r>
        <w:t>COUNTY OF SANTA CLARA</w:t>
      </w:r>
      <w:r w:rsidR="000C5FA4">
        <w:t>,</w:t>
      </w:r>
    </w:p>
    <w:p w:rsidR="00572F57" w:rsidP="001226E1" w14:paraId="792B78C9" w14:textId="3EC5E296">
      <w:pPr>
        <w:spacing w:after="0"/>
        <w:jc w:val="center"/>
      </w:pPr>
      <w:bookmarkStart w:id="1" w:name="LD"/>
      <w:bookmarkEnd w:id="1"/>
      <w:r>
        <w:t>Petitioner</w:t>
      </w:r>
      <w:r w:rsidR="000C5FA4">
        <w:t>,</w:t>
      </w:r>
    </w:p>
    <w:p w:rsidR="00572F57" w:rsidP="001226E1" w14:paraId="75876477" w14:textId="41D565AF">
      <w:pPr>
        <w:spacing w:after="0"/>
        <w:jc w:val="center"/>
      </w:pPr>
      <w:r>
        <w:t>v.</w:t>
      </w:r>
    </w:p>
    <w:p w:rsidR="00572F57" w:rsidP="00572F57" w14:paraId="68B62DB5" w14:textId="37207FAF">
      <w:pPr>
        <w:spacing w:after="0"/>
        <w:jc w:val="center"/>
      </w:pPr>
      <w:bookmarkStart w:id="2" w:name="appealnum"/>
      <w:bookmarkEnd w:id="2"/>
      <w:r>
        <w:t xml:space="preserve">THE </w:t>
      </w:r>
      <w:r>
        <w:t>SUPERIOR COURT OF SANTA CLARA</w:t>
      </w:r>
      <w:r w:rsidR="000C5FA4">
        <w:t>,</w:t>
      </w:r>
      <w:r>
        <w:t xml:space="preserve"> </w:t>
      </w:r>
    </w:p>
    <w:p w:rsidR="00572F57" w:rsidP="001226E1" w14:paraId="7C2DE643" w14:textId="76A88A18">
      <w:pPr>
        <w:spacing w:after="120"/>
        <w:jc w:val="center"/>
      </w:pPr>
      <w:bookmarkStart w:id="3" w:name="defendant"/>
      <w:bookmarkStart w:id="4" w:name="county"/>
      <w:bookmarkStart w:id="5" w:name="VD"/>
      <w:bookmarkEnd w:id="3"/>
      <w:bookmarkEnd w:id="4"/>
      <w:bookmarkEnd w:id="5"/>
      <w:r>
        <w:t>Respondent;</w:t>
      </w:r>
      <w:bookmarkStart w:id="6" w:name="supernum"/>
      <w:bookmarkEnd w:id="6"/>
    </w:p>
    <w:p w:rsidR="00CE01B9" w:rsidP="001226E1" w14:paraId="3FAC9CAE" w14:textId="1B06895F">
      <w:pPr>
        <w:spacing w:after="0"/>
        <w:jc w:val="center"/>
      </w:pPr>
      <w:r>
        <w:t>DOCTORS MEDICAL CENTER OF MODESTO</w:t>
      </w:r>
      <w:r w:rsidR="00932CF8">
        <w:t>, INC.</w:t>
      </w:r>
      <w:r w:rsidR="003C6D9B">
        <w:t>,</w:t>
      </w:r>
      <w:r>
        <w:t xml:space="preserve"> et al.</w:t>
      </w:r>
      <w:r w:rsidR="000C5FA4">
        <w:t>,</w:t>
      </w:r>
    </w:p>
    <w:p w:rsidR="00CE01B9" w:rsidP="001226E1" w14:paraId="77CC7F52" w14:textId="38F40135">
      <w:pPr>
        <w:spacing w:after="0"/>
        <w:jc w:val="center"/>
      </w:pPr>
      <w:r>
        <w:t>Real Parties in Interest.</w:t>
      </w:r>
    </w:p>
    <w:p w:rsidR="00572F57" w:rsidP="00572F57" w14:paraId="58A91747" w14:textId="1C992B20">
      <w:pPr>
        <w:spacing w:after="0"/>
        <w:jc w:val="center"/>
      </w:pPr>
      <w:bookmarkStart w:id="7" w:name="justice"/>
      <w:bookmarkEnd w:id="7"/>
    </w:p>
    <w:p w:rsidR="00572F57" w:rsidP="001226E1" w14:paraId="28FE075F" w14:textId="77777777">
      <w:pPr>
        <w:spacing w:after="0"/>
        <w:jc w:val="center"/>
      </w:pPr>
      <w:r>
        <w:t>S274927</w:t>
      </w:r>
    </w:p>
    <w:p w:rsidR="00572F57" w:rsidP="00572F57" w14:paraId="67C085D2" w14:textId="77777777">
      <w:pPr>
        <w:spacing w:after="0"/>
        <w:jc w:val="center"/>
      </w:pPr>
    </w:p>
    <w:p w:rsidR="00572F57" w:rsidP="00572F57" w14:paraId="1E03FC64" w14:textId="77777777">
      <w:pPr>
        <w:spacing w:after="0"/>
        <w:jc w:val="center"/>
      </w:pPr>
      <w:r>
        <w:t>Sixth Appellate District</w:t>
      </w:r>
    </w:p>
    <w:p w:rsidR="00572F57" w:rsidP="001226E1" w14:paraId="0B0BDE8D" w14:textId="77777777">
      <w:pPr>
        <w:spacing w:after="0"/>
        <w:jc w:val="center"/>
      </w:pPr>
      <w:r>
        <w:t>H048486</w:t>
      </w:r>
    </w:p>
    <w:p w:rsidR="00572F57" w:rsidP="00572F57" w14:paraId="0BBC86BD" w14:textId="77777777">
      <w:pPr>
        <w:spacing w:after="0"/>
        <w:jc w:val="center"/>
      </w:pPr>
    </w:p>
    <w:p w:rsidR="00572F57" w:rsidP="00572F57" w14:paraId="3A832E14" w14:textId="4235FC60">
      <w:pPr>
        <w:spacing w:after="0"/>
        <w:jc w:val="center"/>
      </w:pPr>
      <w:r>
        <w:t>Santa Clara County Superior Court</w:t>
      </w:r>
    </w:p>
    <w:p w:rsidR="00572F57" w:rsidP="00572F57" w14:paraId="3F4F2284" w14:textId="6DC1C8B9">
      <w:pPr>
        <w:pBdr>
          <w:bottom w:val="single" w:sz="4" w:space="1" w:color="auto"/>
        </w:pBdr>
        <w:spacing w:after="0"/>
        <w:jc w:val="center"/>
      </w:pPr>
      <w:r>
        <w:t>19CV349757</w:t>
      </w:r>
    </w:p>
    <w:p w:rsidR="00D5152F" w:rsidP="00572F57" w14:paraId="3E3E4456" w14:textId="77777777">
      <w:pPr>
        <w:pBdr>
          <w:bottom w:val="single" w:sz="4" w:space="1" w:color="auto"/>
        </w:pBdr>
        <w:spacing w:after="0"/>
        <w:jc w:val="center"/>
      </w:pPr>
    </w:p>
    <w:p w:rsidR="00572F57" w:rsidP="00572F57" w14:paraId="65CE0508" w14:textId="77777777">
      <w:pPr>
        <w:spacing w:after="0"/>
        <w:jc w:val="center"/>
      </w:pPr>
    </w:p>
    <w:p w:rsidR="00572F57" w:rsidP="00572F57" w14:paraId="2C1B47D0" w14:textId="63E34479">
      <w:pPr>
        <w:spacing w:after="0"/>
        <w:jc w:val="center"/>
      </w:pPr>
      <w:r>
        <w:t>July 10</w:t>
      </w:r>
      <w:r>
        <w:t>, 2023</w:t>
      </w:r>
    </w:p>
    <w:p w:rsidR="00572F57" w:rsidP="00572F57" w14:paraId="3D6C3698" w14:textId="77777777">
      <w:pPr>
        <w:spacing w:after="0"/>
        <w:jc w:val="center"/>
      </w:pPr>
    </w:p>
    <w:p w:rsidR="00572F57" w:rsidP="00572F57" w14:paraId="2989EAD0" w14:textId="753C449E">
      <w:pPr>
        <w:spacing w:after="0"/>
        <w:jc w:val="left"/>
      </w:pPr>
      <w:r>
        <w:t xml:space="preserve">Chief Justice Guerrero authored the opinion of the Court, in which </w:t>
      </w:r>
      <w:r w:rsidR="008B03FB">
        <w:t>Justices Corrigan</w:t>
      </w:r>
      <w:r w:rsidR="00200A04">
        <w:t>, Liu, Kruger, Groban, Jenkins, and Evans</w:t>
      </w:r>
      <w:r>
        <w:t xml:space="preserve"> concurred.</w:t>
      </w:r>
    </w:p>
    <w:p w:rsidR="00572F57" w:rsidP="00572F57" w14:paraId="039E7D3D" w14:textId="77777777">
      <w:pPr>
        <w:pBdr>
          <w:bottom w:val="single" w:sz="4" w:space="1" w:color="auto"/>
        </w:pBdr>
        <w:spacing w:after="0"/>
        <w:jc w:val="left"/>
      </w:pPr>
    </w:p>
    <w:p w:rsidR="00572F57" w:rsidRPr="00572F57" w:rsidP="00572F57" w14:paraId="11C5FF0D" w14:textId="2B01EAEE">
      <w:pPr>
        <w:pBdr>
          <w:bottom w:val="single" w:sz="4" w:space="1" w:color="auto"/>
        </w:pBdr>
        <w:jc w:val="left"/>
        <w:sectPr w:rsidSect="00572F57">
          <w:headerReference w:type="default" r:id="rId6"/>
          <w:footerReference w:type="default" r:id="rId7"/>
          <w:pgSz w:w="12240" w:h="15840"/>
          <w:pgMar w:top="1800" w:right="2160" w:bottom="1440" w:left="2160" w:header="720" w:footer="720" w:gutter="0"/>
          <w:cols w:space="720"/>
          <w:titlePg/>
          <w:docGrid w:linePitch="367"/>
        </w:sectPr>
      </w:pPr>
      <w:bookmarkStart w:id="8" w:name="Return"/>
      <w:bookmarkEnd w:id="8"/>
    </w:p>
    <w:p w:rsidR="00572F57" w:rsidRPr="00201BE7" w:rsidP="00572F57" w14:paraId="3EBF36C3" w14:textId="36AF4E1C">
      <w:pPr>
        <w:tabs>
          <w:tab w:val="left" w:pos="1440"/>
        </w:tabs>
        <w:spacing w:before="240"/>
        <w:jc w:val="center"/>
        <w:rPr>
          <w:bCs/>
          <w:caps/>
        </w:rPr>
      </w:pPr>
      <w:r w:rsidRPr="00201BE7">
        <w:rPr>
          <w:bCs/>
          <w:caps/>
        </w:rPr>
        <w:t xml:space="preserve">COUNTY OF SANTA CLARA </w:t>
      </w:r>
      <w:r w:rsidR="004B1BF8">
        <w:rPr>
          <w:bCs/>
        </w:rPr>
        <w:t>v</w:t>
      </w:r>
      <w:r w:rsidRPr="00201BE7">
        <w:rPr>
          <w:bCs/>
          <w:caps/>
        </w:rPr>
        <w:t>. SUPERIOR COURT</w:t>
      </w:r>
    </w:p>
    <w:p w:rsidR="00572F57" w:rsidRPr="00201BE7" w:rsidP="00572F57" w14:paraId="7C8335B7" w14:textId="77777777">
      <w:pPr>
        <w:tabs>
          <w:tab w:val="left" w:pos="1440"/>
        </w:tabs>
        <w:spacing w:before="240"/>
        <w:jc w:val="center"/>
        <w:rPr>
          <w:bCs/>
          <w:caps/>
        </w:rPr>
      </w:pPr>
      <w:r w:rsidRPr="00201BE7">
        <w:rPr>
          <w:bCs/>
          <w:caps/>
        </w:rPr>
        <w:t>S274927</w:t>
      </w:r>
    </w:p>
    <w:p w:rsidR="00572F57" w:rsidP="00572F57" w14:paraId="2462EB91" w14:textId="77777777">
      <w:pPr>
        <w:tabs>
          <w:tab w:val="left" w:pos="1440"/>
        </w:tabs>
        <w:spacing w:before="240"/>
        <w:jc w:val="center"/>
        <w:rPr>
          <w:b/>
          <w:caps/>
        </w:rPr>
      </w:pPr>
    </w:p>
    <w:p w:rsidR="00572F57" w:rsidRPr="00201BE7" w:rsidP="00572F57" w14:paraId="1BF0B71D" w14:textId="444B8A9D">
      <w:pPr>
        <w:tabs>
          <w:tab w:val="left" w:pos="1440"/>
        </w:tabs>
        <w:spacing w:before="240"/>
        <w:jc w:val="center"/>
        <w:rPr>
          <w:bCs/>
          <w:caps/>
        </w:rPr>
      </w:pPr>
      <w:r w:rsidRPr="00201BE7">
        <w:rPr>
          <w:bCs/>
        </w:rPr>
        <w:t xml:space="preserve">Opinion </w:t>
      </w:r>
      <w:r>
        <w:rPr>
          <w:bCs/>
        </w:rPr>
        <w:t>o</w:t>
      </w:r>
      <w:r w:rsidRPr="00201BE7">
        <w:rPr>
          <w:bCs/>
        </w:rPr>
        <w:t xml:space="preserve">f </w:t>
      </w:r>
      <w:r>
        <w:rPr>
          <w:bCs/>
        </w:rPr>
        <w:t>th</w:t>
      </w:r>
      <w:r w:rsidRPr="00201BE7">
        <w:rPr>
          <w:bCs/>
        </w:rPr>
        <w:t xml:space="preserve">e Court </w:t>
      </w:r>
      <w:r>
        <w:rPr>
          <w:bCs/>
        </w:rPr>
        <w:t>b</w:t>
      </w:r>
      <w:r w:rsidRPr="00201BE7">
        <w:rPr>
          <w:bCs/>
        </w:rPr>
        <w:t>y Guerrero</w:t>
      </w:r>
      <w:r w:rsidRPr="001226E1">
        <w:t>, C.</w:t>
      </w:r>
      <w:r w:rsidRPr="00201BE7">
        <w:rPr>
          <w:bCs/>
        </w:rPr>
        <w:t> </w:t>
      </w:r>
      <w:r w:rsidRPr="001226E1">
        <w:t>J.</w:t>
      </w:r>
    </w:p>
    <w:p w:rsidR="00201BE7" w:rsidP="00227782" w14:paraId="5144A469" w14:textId="77777777">
      <w:pPr>
        <w:tabs>
          <w:tab w:val="left" w:pos="1440"/>
        </w:tabs>
        <w:spacing w:before="240"/>
        <w:jc w:val="center"/>
        <w:rPr>
          <w:b/>
          <w:caps/>
        </w:rPr>
      </w:pPr>
    </w:p>
    <w:p w:rsidR="0025184C" w:rsidRPr="00572F57" w:rsidP="00227782" w14:paraId="1CBD4E75" w14:textId="5630B71F">
      <w:pPr>
        <w:tabs>
          <w:tab w:val="left" w:pos="1440"/>
        </w:tabs>
        <w:ind w:firstLine="720"/>
      </w:pPr>
      <w:r w:rsidRPr="00572F57">
        <w:t>H</w:t>
      </w:r>
      <w:r w:rsidRPr="00572F57" w:rsidR="00DB7D9D">
        <w:t xml:space="preserve">ospitals and other medical providers </w:t>
      </w:r>
      <w:r w:rsidRPr="00572F57" w:rsidR="008B2D23">
        <w:t xml:space="preserve">are </w:t>
      </w:r>
      <w:r w:rsidRPr="00572F57" w:rsidR="00412817">
        <w:t>required by law to provide emergency medical services</w:t>
      </w:r>
      <w:r w:rsidRPr="00572F57" w:rsidR="00430D7D">
        <w:t xml:space="preserve"> without regard to the patient’s insurance status or ability to pay</w:t>
      </w:r>
      <w:r w:rsidRPr="00572F57" w:rsidR="006E52CA">
        <w:t>.  (</w:t>
      </w:r>
      <w:r w:rsidRPr="00572F57" w:rsidR="005F4D8E">
        <w:t>42 U.S.C. § 1395dd</w:t>
      </w:r>
      <w:r w:rsidRPr="00572F57" w:rsidR="00573C5E">
        <w:t>(</w:t>
      </w:r>
      <w:r w:rsidRPr="00572F57" w:rsidR="005E3A7B">
        <w:t>b</w:t>
      </w:r>
      <w:r w:rsidRPr="00572F57" w:rsidR="00573C5E">
        <w:t>)</w:t>
      </w:r>
      <w:r w:rsidR="003C6D9B">
        <w:t xml:space="preserve"> &amp;</w:t>
      </w:r>
      <w:r w:rsidRPr="00572F57" w:rsidR="00222C50">
        <w:t xml:space="preserve"> (h)</w:t>
      </w:r>
      <w:r w:rsidRPr="00572F57" w:rsidR="00AC05E8">
        <w:t xml:space="preserve">; </w:t>
      </w:r>
      <w:r w:rsidRPr="00572F57" w:rsidR="006E52CA">
        <w:t>Health &amp; Saf. Code, § 1317, subds. (a) &amp; (b).)</w:t>
      </w:r>
      <w:r w:rsidRPr="00572F57" w:rsidR="00E06B17">
        <w:t xml:space="preserve">  </w:t>
      </w:r>
      <w:r w:rsidRPr="00572F57" w:rsidR="00494274">
        <w:t>If</w:t>
      </w:r>
      <w:r w:rsidRPr="00572F57" w:rsidR="00875855">
        <w:t xml:space="preserve"> the patient is </w:t>
      </w:r>
      <w:r w:rsidRPr="00572F57" w:rsidR="00494274">
        <w:t>enrolled in</w:t>
      </w:r>
      <w:r w:rsidRPr="00572F57" w:rsidR="00875855">
        <w:t xml:space="preserve"> a health care service plan, </w:t>
      </w:r>
      <w:r w:rsidRPr="00572F57" w:rsidR="007B60A1">
        <w:t xml:space="preserve">by statute the </w:t>
      </w:r>
      <w:r w:rsidRPr="00572F57" w:rsidR="00875855">
        <w:t xml:space="preserve">plan </w:t>
      </w:r>
      <w:r w:rsidRPr="00572F57" w:rsidR="007B60A1">
        <w:t>must</w:t>
      </w:r>
      <w:r w:rsidRPr="00572F57" w:rsidR="006F3DE8">
        <w:t xml:space="preserve"> </w:t>
      </w:r>
      <w:r w:rsidRPr="00572F57" w:rsidR="00875855">
        <w:t xml:space="preserve">reimburse the </w:t>
      </w:r>
      <w:r w:rsidRPr="00572F57" w:rsidR="00F15787">
        <w:t>medical provider</w:t>
      </w:r>
      <w:r w:rsidRPr="00572F57" w:rsidR="00875855">
        <w:t xml:space="preserve"> for</w:t>
      </w:r>
      <w:r w:rsidRPr="00572F57" w:rsidR="0083352D">
        <w:t xml:space="preserve"> </w:t>
      </w:r>
      <w:r w:rsidRPr="00572F57" w:rsidR="00D278C1">
        <w:t xml:space="preserve">providing </w:t>
      </w:r>
      <w:r w:rsidRPr="00572F57" w:rsidR="00464B79">
        <w:t xml:space="preserve">such </w:t>
      </w:r>
      <w:r w:rsidRPr="00572F57" w:rsidR="009852C6">
        <w:t>emergency</w:t>
      </w:r>
      <w:r w:rsidRPr="00572F57" w:rsidR="00464B79">
        <w:t xml:space="preserve"> care</w:t>
      </w:r>
      <w:r w:rsidRPr="00572F57" w:rsidR="00276520">
        <w:t xml:space="preserve"> under the Knox</w:t>
      </w:r>
      <w:r w:rsidR="003C6D9B">
        <w:t>-</w:t>
      </w:r>
      <w:r w:rsidRPr="00572F57" w:rsidR="00276520">
        <w:t>Keene Health Care Service Plan Act of 1975</w:t>
      </w:r>
      <w:r w:rsidRPr="00572F57" w:rsidR="0083352D">
        <w:t>.</w:t>
      </w:r>
      <w:r w:rsidRPr="00572F57" w:rsidR="00167682">
        <w:t xml:space="preserve">  (Health &amp; Saf. Code, § 1340 et seq.; here</w:t>
      </w:r>
      <w:r w:rsidRPr="00572F57" w:rsidR="000B6EC8">
        <w:t>in</w:t>
      </w:r>
      <w:r w:rsidRPr="00572F57" w:rsidR="00167682">
        <w:t xml:space="preserve">after </w:t>
      </w:r>
      <w:r w:rsidR="003C6D9B">
        <w:t>Knox-Keene</w:t>
      </w:r>
      <w:r w:rsidRPr="00572F57" w:rsidR="00167682">
        <w:t xml:space="preserve"> Act; </w:t>
      </w:r>
      <w:r w:rsidRPr="00572F57" w:rsidR="00167682">
        <w:rPr>
          <w:i/>
          <w:iCs/>
        </w:rPr>
        <w:t>id.</w:t>
      </w:r>
      <w:r w:rsidRPr="00572F57" w:rsidR="00167682">
        <w:t xml:space="preserve">, § 1371.4, subd. (b).)  </w:t>
      </w:r>
      <w:r w:rsidRPr="00572F57" w:rsidR="00EE6EFE">
        <w:t xml:space="preserve">If the plan </w:t>
      </w:r>
      <w:r w:rsidRPr="00572F57" w:rsidR="00EE5BF9">
        <w:t>does not have a contract with the medical provider</w:t>
      </w:r>
      <w:r w:rsidRPr="00572F57" w:rsidR="0032062E">
        <w:t xml:space="preserve"> addressing the reimbursement rate</w:t>
      </w:r>
      <w:r w:rsidRPr="00572F57" w:rsidR="003E1464">
        <w:t xml:space="preserve">, the plan must pay </w:t>
      </w:r>
      <w:r w:rsidRPr="00572F57" w:rsidR="00EE5BF9">
        <w:t xml:space="preserve">the </w:t>
      </w:r>
      <w:r w:rsidR="004B1BF8">
        <w:t xml:space="preserve">provider </w:t>
      </w:r>
      <w:r w:rsidR="00210AD5">
        <w:t xml:space="preserve">the </w:t>
      </w:r>
      <w:r w:rsidRPr="00572F57" w:rsidR="00EE5BF9">
        <w:t>“reasonable and customary value”</w:t>
      </w:r>
      <w:r w:rsidRPr="00572F57" w:rsidR="002E6351">
        <w:t xml:space="preserve"> </w:t>
      </w:r>
      <w:r w:rsidR="004B1BF8">
        <w:t>of</w:t>
      </w:r>
      <w:r w:rsidRPr="00572F57" w:rsidR="002E6351">
        <w:t xml:space="preserve"> the emergency care provided</w:t>
      </w:r>
      <w:r w:rsidRPr="00572F57" w:rsidR="003E1464">
        <w:t xml:space="preserve">.  </w:t>
      </w:r>
      <w:r w:rsidRPr="00572F57" w:rsidR="002E6351">
        <w:t>(Cal. Code Regs., tit. 28, § 1300.71, subd. (a)(3)(B).)</w:t>
      </w:r>
      <w:r w:rsidRPr="00572F57" w:rsidR="00D1294B">
        <w:t xml:space="preserve">  </w:t>
      </w:r>
      <w:r w:rsidRPr="00572F57" w:rsidR="003D5A7F">
        <w:t xml:space="preserve">If the </w:t>
      </w:r>
      <w:r w:rsidRPr="00572F57" w:rsidR="005558B4">
        <w:t xml:space="preserve">plan </w:t>
      </w:r>
      <w:r w:rsidRPr="00572F57" w:rsidR="00FC4C8F">
        <w:t>fails to</w:t>
      </w:r>
      <w:r w:rsidRPr="00572F57" w:rsidR="005558B4">
        <w:t xml:space="preserve"> </w:t>
      </w:r>
      <w:r w:rsidRPr="00572F57" w:rsidR="008F34D2">
        <w:t>pay</w:t>
      </w:r>
      <w:r w:rsidRPr="00572F57" w:rsidR="005558B4">
        <w:t xml:space="preserve"> </w:t>
      </w:r>
      <w:r w:rsidRPr="00572F57" w:rsidR="00437FB5">
        <w:t xml:space="preserve">the </w:t>
      </w:r>
      <w:r w:rsidRPr="00572F57" w:rsidR="00B10BBE">
        <w:t>reasonable and customary value</w:t>
      </w:r>
      <w:r w:rsidRPr="00572F57" w:rsidR="005558B4">
        <w:t xml:space="preserve"> </w:t>
      </w:r>
      <w:r w:rsidR="0067061C">
        <w:t>of</w:t>
      </w:r>
      <w:r w:rsidRPr="00572F57" w:rsidR="005558B4">
        <w:t xml:space="preserve"> such services, the medical provider may </w:t>
      </w:r>
      <w:r w:rsidRPr="00572F57" w:rsidR="00C008BB">
        <w:t xml:space="preserve">sue the plan directly </w:t>
      </w:r>
      <w:r w:rsidRPr="00572F57" w:rsidR="00F95A90">
        <w:t>for reimbursement</w:t>
      </w:r>
      <w:r w:rsidRPr="00572F57" w:rsidR="001D55A2">
        <w:t xml:space="preserve"> under a quantum meruit theory</w:t>
      </w:r>
      <w:r w:rsidRPr="00572F57" w:rsidR="00C81AAE">
        <w:t>.</w:t>
      </w:r>
      <w:r w:rsidRPr="00572F57" w:rsidR="00B40869">
        <w:t xml:space="preserve">  (</w:t>
      </w:r>
      <w:r w:rsidRPr="00572F57" w:rsidR="002B22D3">
        <w:rPr>
          <w:i/>
          <w:iCs/>
        </w:rPr>
        <w:t>Prospect Medical Group, Inc. v. Northridge Emergency</w:t>
      </w:r>
      <w:r w:rsidRPr="00572F57" w:rsidR="000526B7">
        <w:rPr>
          <w:i/>
          <w:iCs/>
        </w:rPr>
        <w:t xml:space="preserve"> Medical Group</w:t>
      </w:r>
      <w:r w:rsidRPr="00572F57" w:rsidR="002B22D3">
        <w:rPr>
          <w:i/>
          <w:iCs/>
        </w:rPr>
        <w:t xml:space="preserve"> </w:t>
      </w:r>
      <w:r w:rsidRPr="00572F57" w:rsidR="002B22D3">
        <w:t>(2009) 45 Cal.4th 497, 50</w:t>
      </w:r>
      <w:r w:rsidRPr="00572F57" w:rsidR="000526B7">
        <w:t>6</w:t>
      </w:r>
      <w:r w:rsidRPr="00572F57" w:rsidR="00FB5777">
        <w:t xml:space="preserve"> (</w:t>
      </w:r>
      <w:r w:rsidRPr="00572F57" w:rsidR="00FB5777">
        <w:rPr>
          <w:i/>
          <w:iCs/>
        </w:rPr>
        <w:t>Prospect Medical Group</w:t>
      </w:r>
      <w:r w:rsidRPr="00572F57" w:rsidR="00FB5777">
        <w:t>)</w:t>
      </w:r>
      <w:r w:rsidRPr="00572F57" w:rsidR="000526B7">
        <w:t xml:space="preserve">; </w:t>
      </w:r>
      <w:r w:rsidRPr="00572F57" w:rsidR="000526B7">
        <w:rPr>
          <w:i/>
          <w:iCs/>
        </w:rPr>
        <w:t>Bell v.</w:t>
      </w:r>
      <w:r w:rsidRPr="00572F57" w:rsidR="00F95A90">
        <w:rPr>
          <w:i/>
          <w:iCs/>
        </w:rPr>
        <w:t xml:space="preserve"> Blue Cross of California </w:t>
      </w:r>
      <w:r w:rsidRPr="00572F57" w:rsidR="00F95A90">
        <w:t>(2005) 131 Cal.App.4th 211, 216–217</w:t>
      </w:r>
      <w:r w:rsidRPr="00572F57" w:rsidR="00FB5777">
        <w:t xml:space="preserve"> (</w:t>
      </w:r>
      <w:r w:rsidRPr="00572F57" w:rsidR="00FB5777">
        <w:rPr>
          <w:i/>
          <w:iCs/>
        </w:rPr>
        <w:t>Bell</w:t>
      </w:r>
      <w:r w:rsidRPr="00572F57" w:rsidR="00FB5777">
        <w:t>)</w:t>
      </w:r>
      <w:r w:rsidRPr="00572F57" w:rsidR="00F95A90">
        <w:t>.)</w:t>
      </w:r>
      <w:r w:rsidRPr="00572F57" w:rsidR="005F70E3">
        <w:t xml:space="preserve">  </w:t>
      </w:r>
    </w:p>
    <w:p w:rsidR="009C2923" w:rsidRPr="00572F57" w:rsidP="00227782" w14:paraId="461C0E05" w14:textId="78D5D776">
      <w:pPr>
        <w:tabs>
          <w:tab w:val="left" w:pos="1440"/>
        </w:tabs>
        <w:ind w:firstLine="720"/>
      </w:pPr>
      <w:r w:rsidRPr="00572F57">
        <w:t xml:space="preserve">We granted review to decide </w:t>
      </w:r>
      <w:r w:rsidRPr="00572F57" w:rsidR="00F736AD">
        <w:t xml:space="preserve">whether </w:t>
      </w:r>
      <w:r w:rsidRPr="00572F57" w:rsidR="00724D23">
        <w:t xml:space="preserve">a </w:t>
      </w:r>
      <w:r w:rsidRPr="00572F57" w:rsidR="00FB5777">
        <w:t xml:space="preserve">similar </w:t>
      </w:r>
      <w:r w:rsidRPr="00572F57" w:rsidR="00724D23">
        <w:t>claim for</w:t>
      </w:r>
      <w:r w:rsidRPr="00572F57" w:rsidR="00F736AD">
        <w:t xml:space="preserve"> reimbursement </w:t>
      </w:r>
      <w:r w:rsidRPr="00572F57" w:rsidR="00724D23">
        <w:t>of emergency medical services</w:t>
      </w:r>
      <w:r w:rsidR="00C340A3">
        <w:t xml:space="preserve"> </w:t>
      </w:r>
      <w:r w:rsidRPr="00572F57" w:rsidR="00724D23">
        <w:t xml:space="preserve">may be maintained against a </w:t>
      </w:r>
      <w:r w:rsidRPr="00572F57" w:rsidR="00437BD1">
        <w:t xml:space="preserve">health care </w:t>
      </w:r>
      <w:r w:rsidRPr="00572F57" w:rsidR="00D1294B">
        <w:t xml:space="preserve">service plan </w:t>
      </w:r>
      <w:r w:rsidRPr="00572F57" w:rsidR="00C30DC2">
        <w:t xml:space="preserve">when </w:t>
      </w:r>
      <w:r w:rsidRPr="00572F57" w:rsidR="007509DC">
        <w:t>the plan</w:t>
      </w:r>
      <w:r w:rsidRPr="00572F57" w:rsidR="005F396E">
        <w:t xml:space="preserve"> is operated by </w:t>
      </w:r>
      <w:r w:rsidRPr="00572F57" w:rsidR="00562596">
        <w:t>a public entity</w:t>
      </w:r>
      <w:r w:rsidRPr="00572F57" w:rsidR="00FB5777">
        <w:t>, or whether</w:t>
      </w:r>
      <w:r w:rsidRPr="00572F57" w:rsidR="00A266AF">
        <w:t xml:space="preserve"> the Government Claims </w:t>
      </w:r>
      <w:r w:rsidRPr="00572F57" w:rsidR="00A266AF">
        <w:t xml:space="preserve">Act (Gov. Code, § 810 et seq.) </w:t>
      </w:r>
      <w:r w:rsidRPr="00572F57" w:rsidR="00E228E4">
        <w:t>immunize</w:t>
      </w:r>
      <w:r w:rsidRPr="00572F57" w:rsidR="00FB5777">
        <w:t xml:space="preserve">s </w:t>
      </w:r>
      <w:r w:rsidRPr="00572F57" w:rsidR="003A015E">
        <w:t xml:space="preserve">a </w:t>
      </w:r>
      <w:r w:rsidRPr="00572F57" w:rsidR="00E228E4">
        <w:t>public entit</w:t>
      </w:r>
      <w:r w:rsidRPr="00572F57" w:rsidR="003A015E">
        <w:t>y</w:t>
      </w:r>
      <w:r w:rsidRPr="00572F57" w:rsidR="00E228E4">
        <w:t xml:space="preserve"> </w:t>
      </w:r>
      <w:r w:rsidRPr="00572F57" w:rsidR="00FB5777">
        <w:t>from such a claim.</w:t>
      </w:r>
    </w:p>
    <w:p w:rsidR="00370976" w:rsidRPr="00572F57" w:rsidP="00227782" w14:paraId="239BA9E8" w14:textId="3F9BAFD2">
      <w:pPr>
        <w:tabs>
          <w:tab w:val="left" w:pos="1440"/>
        </w:tabs>
        <w:ind w:firstLine="720"/>
      </w:pPr>
      <w:r w:rsidRPr="00572F57">
        <w:t xml:space="preserve">In this case, </w:t>
      </w:r>
      <w:r w:rsidRPr="00572F57" w:rsidR="00F7008E">
        <w:t>Doctors Medical Center of Modesto, Inc.</w:t>
      </w:r>
      <w:r w:rsidR="00DA3D00">
        <w:t>,</w:t>
      </w:r>
      <w:r w:rsidRPr="00572F57" w:rsidR="00F7008E">
        <w:t xml:space="preserve"> and Doctors Hospital </w:t>
      </w:r>
      <w:r w:rsidRPr="00572F57" w:rsidR="00A30E52">
        <w:t>of Manteca, Inc.</w:t>
      </w:r>
      <w:r w:rsidR="00DA3D00">
        <w:t>,</w:t>
      </w:r>
      <w:r w:rsidRPr="00572F57" w:rsidR="00A30E52">
        <w:t xml:space="preserve"> (collectively, </w:t>
      </w:r>
      <w:r w:rsidRPr="00572F57" w:rsidR="002D1AD9">
        <w:t xml:space="preserve">the </w:t>
      </w:r>
      <w:r w:rsidRPr="00572F57" w:rsidR="00A30E52">
        <w:t>Hospitals)</w:t>
      </w:r>
      <w:r w:rsidRPr="00572F57" w:rsidR="00072404">
        <w:t xml:space="preserve"> provided emergency medical services to </w:t>
      </w:r>
      <w:r w:rsidRPr="00572F57" w:rsidR="00FA145E">
        <w:t>three individuals enrolled in a health care service plan operated by the County of Santa Clara (</w:t>
      </w:r>
      <w:r w:rsidRPr="00572F57" w:rsidR="002D1AD9">
        <w:t xml:space="preserve">the </w:t>
      </w:r>
      <w:r w:rsidRPr="00572F57" w:rsidR="00FA145E">
        <w:t xml:space="preserve">County).  </w:t>
      </w:r>
      <w:r w:rsidRPr="00572F57" w:rsidR="006C17A2">
        <w:t xml:space="preserve">The </w:t>
      </w:r>
      <w:r w:rsidRPr="00572F57" w:rsidR="00FA145E">
        <w:t xml:space="preserve">Hospitals </w:t>
      </w:r>
      <w:r w:rsidRPr="00572F57" w:rsidR="0014377D">
        <w:t xml:space="preserve">submitted reimbursement claims </w:t>
      </w:r>
      <w:r w:rsidRPr="00572F57" w:rsidR="007A7F52">
        <w:t xml:space="preserve">to </w:t>
      </w:r>
      <w:r w:rsidRPr="00572F57" w:rsidR="002D1AD9">
        <w:t xml:space="preserve">the </w:t>
      </w:r>
      <w:r w:rsidRPr="00572F57" w:rsidR="007A7F52">
        <w:t>County</w:t>
      </w:r>
      <w:r w:rsidRPr="00572F57" w:rsidR="00FA145E">
        <w:t>, but</w:t>
      </w:r>
      <w:r w:rsidRPr="00572F57" w:rsidR="007A7F52">
        <w:t xml:space="preserve"> </w:t>
      </w:r>
      <w:r w:rsidRPr="00572F57" w:rsidR="002D1AD9">
        <w:t xml:space="preserve">the </w:t>
      </w:r>
      <w:r w:rsidRPr="00572F57" w:rsidR="007A7F52">
        <w:t xml:space="preserve">County </w:t>
      </w:r>
      <w:r w:rsidRPr="00572F57" w:rsidR="00B61EE0">
        <w:t xml:space="preserve">paid only a portion of </w:t>
      </w:r>
      <w:r w:rsidRPr="00572F57" w:rsidR="007A7F52">
        <w:t xml:space="preserve">the claimed </w:t>
      </w:r>
      <w:r w:rsidRPr="00572F57" w:rsidR="003E2B9C">
        <w:t>amounts</w:t>
      </w:r>
      <w:r w:rsidRPr="00572F57" w:rsidR="00FA145E">
        <w:t xml:space="preserve">. </w:t>
      </w:r>
      <w:r w:rsidRPr="00572F57" w:rsidR="003E2B9C">
        <w:t xml:space="preserve"> </w:t>
      </w:r>
      <w:r w:rsidRPr="00572F57" w:rsidR="006C17A2">
        <w:t xml:space="preserve">The </w:t>
      </w:r>
      <w:r w:rsidRPr="00572F57" w:rsidR="003E2B9C">
        <w:t xml:space="preserve">Hospitals sued </w:t>
      </w:r>
      <w:r w:rsidRPr="00572F57" w:rsidR="002D1AD9">
        <w:t xml:space="preserve">the </w:t>
      </w:r>
      <w:r w:rsidRPr="00572F57" w:rsidR="003E2B9C">
        <w:t xml:space="preserve">County for the </w:t>
      </w:r>
      <w:r w:rsidRPr="00572F57" w:rsidR="0022764E">
        <w:t>remaining</w:t>
      </w:r>
      <w:r w:rsidRPr="00572F57" w:rsidR="003E2B9C">
        <w:t xml:space="preserve"> amounts </w:t>
      </w:r>
      <w:r w:rsidRPr="00572F57" w:rsidR="002D28BA">
        <w:t xml:space="preserve">based on the </w:t>
      </w:r>
      <w:r w:rsidR="003C6D9B">
        <w:t>Knox-Keene</w:t>
      </w:r>
      <w:r w:rsidRPr="00572F57" w:rsidR="002D28BA">
        <w:t xml:space="preserve"> Act’s reimbursement provision</w:t>
      </w:r>
      <w:r w:rsidRPr="00572F57" w:rsidR="003E2B9C">
        <w:t>.</w:t>
      </w:r>
      <w:r w:rsidRPr="00572F57" w:rsidR="00FA145E">
        <w:t xml:space="preserve">  </w:t>
      </w:r>
      <w:r w:rsidRPr="00572F57" w:rsidR="00422773">
        <w:t xml:space="preserve">The trial court found that the Hospitals could state a quantum meruit </w:t>
      </w:r>
      <w:r w:rsidRPr="00572F57" w:rsidR="007E62A3">
        <w:t xml:space="preserve">claim </w:t>
      </w:r>
      <w:r w:rsidRPr="00572F57" w:rsidR="00422773">
        <w:t xml:space="preserve">against the County.  </w:t>
      </w:r>
      <w:r w:rsidRPr="00572F57" w:rsidR="00692FD4">
        <w:t>On petition for writ of mandate, t</w:t>
      </w:r>
      <w:r w:rsidRPr="00572F57" w:rsidR="00FA145E">
        <w:t xml:space="preserve">he </w:t>
      </w:r>
      <w:r w:rsidRPr="00572F57" w:rsidR="0065627D">
        <w:t xml:space="preserve">Court of Appeal </w:t>
      </w:r>
      <w:r w:rsidRPr="00572F57" w:rsidR="00CE703D">
        <w:t xml:space="preserve">disagreed, holding </w:t>
      </w:r>
      <w:r w:rsidRPr="00572F57" w:rsidR="002D28BA">
        <w:t>that the</w:t>
      </w:r>
      <w:r w:rsidRPr="00572F57" w:rsidR="00290E44">
        <w:t xml:space="preserve"> County is immune from suit under the</w:t>
      </w:r>
      <w:r w:rsidRPr="00572F57" w:rsidR="002D28BA">
        <w:t xml:space="preserve"> Government Claims Act </w:t>
      </w:r>
      <w:r w:rsidRPr="00572F57" w:rsidR="00290E44">
        <w:t xml:space="preserve">and </w:t>
      </w:r>
      <w:r w:rsidRPr="00572F57" w:rsidR="00FB5777">
        <w:t xml:space="preserve">that </w:t>
      </w:r>
      <w:r w:rsidRPr="00572F57" w:rsidR="00290E44">
        <w:t>no exception to immunity applies</w:t>
      </w:r>
      <w:r w:rsidRPr="00572F57" w:rsidR="00BB2092">
        <w:t>.</w:t>
      </w:r>
      <w:r w:rsidRPr="00572F57" w:rsidR="003E2B9C">
        <w:t xml:space="preserve">  </w:t>
      </w:r>
    </w:p>
    <w:p w:rsidR="007976D5" w:rsidRPr="00572F57" w:rsidP="00227782" w14:paraId="04AFA762" w14:textId="510BE3B5">
      <w:pPr>
        <w:tabs>
          <w:tab w:val="left" w:pos="1440"/>
        </w:tabs>
        <w:ind w:firstLine="720"/>
      </w:pPr>
      <w:r>
        <w:t>We conclude</w:t>
      </w:r>
      <w:r w:rsidRPr="00572F57" w:rsidR="00BB1712">
        <w:t xml:space="preserve"> </w:t>
      </w:r>
      <w:r w:rsidRPr="00572F57" w:rsidR="00E13EFC">
        <w:t xml:space="preserve">that the </w:t>
      </w:r>
      <w:r w:rsidR="00D21B30">
        <w:t xml:space="preserve">Government Claims Act does not </w:t>
      </w:r>
      <w:r w:rsidR="005B0DF7">
        <w:t>bar</w:t>
      </w:r>
      <w:r w:rsidR="00D21B30">
        <w:t xml:space="preserve"> the </w:t>
      </w:r>
      <w:r w:rsidRPr="00572F57" w:rsidR="00E13EFC">
        <w:t>Hospitals’ action against the County.  The immunity provisions of the</w:t>
      </w:r>
      <w:r w:rsidRPr="00572F57" w:rsidR="00D554BC">
        <w:t xml:space="preserve"> Government Cla</w:t>
      </w:r>
      <w:r w:rsidR="00ED16AD">
        <w:t>i</w:t>
      </w:r>
      <w:r w:rsidRPr="00572F57" w:rsidR="00D554BC">
        <w:t>ms Act are directed toward tort claims</w:t>
      </w:r>
      <w:r w:rsidR="009F78BA">
        <w:t xml:space="preserve">; they do not </w:t>
      </w:r>
      <w:r w:rsidR="003702AD">
        <w:t>foreclose liability based on contract or the right to obtain relief other than money or damages</w:t>
      </w:r>
      <w:r w:rsidRPr="00572F57" w:rsidR="00D554BC">
        <w:t xml:space="preserve">.  </w:t>
      </w:r>
      <w:r w:rsidR="003702AD">
        <w:t>(Gov. Code, § 814</w:t>
      </w:r>
      <w:r w:rsidR="0059777B">
        <w:t xml:space="preserve">.)  </w:t>
      </w:r>
      <w:r w:rsidRPr="00572F57" w:rsidR="00D554BC">
        <w:t>The Hospitals have not alleged a conventional common law tort claim</w:t>
      </w:r>
      <w:r w:rsidR="003B14B4">
        <w:t xml:space="preserve"> seek</w:t>
      </w:r>
      <w:r w:rsidR="0090496B">
        <w:t>ing</w:t>
      </w:r>
      <w:r w:rsidR="003B14B4">
        <w:t xml:space="preserve"> money damages</w:t>
      </w:r>
      <w:r w:rsidRPr="00572F57" w:rsidR="00D554BC">
        <w:t xml:space="preserve">.  </w:t>
      </w:r>
      <w:r w:rsidR="00540D5E">
        <w:t xml:space="preserve">Instead, they </w:t>
      </w:r>
      <w:r w:rsidR="00B46D4F">
        <w:t>have alleged a</w:t>
      </w:r>
      <w:r w:rsidR="00777797">
        <w:t>n implied-in-law contract</w:t>
      </w:r>
      <w:r w:rsidR="00DD3897">
        <w:t xml:space="preserve"> </w:t>
      </w:r>
      <w:r w:rsidR="00B46D4F">
        <w:t xml:space="preserve">claim </w:t>
      </w:r>
      <w:r w:rsidR="0057323B">
        <w:t>based</w:t>
      </w:r>
      <w:r w:rsidR="00B46D4F">
        <w:t xml:space="preserve"> on </w:t>
      </w:r>
      <w:r w:rsidR="00FD04B6">
        <w:t>the reimbursement</w:t>
      </w:r>
      <w:r w:rsidR="00AF0E99">
        <w:t xml:space="preserve"> provision of the</w:t>
      </w:r>
      <w:r w:rsidR="00B46D4F">
        <w:t xml:space="preserve"> </w:t>
      </w:r>
      <w:r w:rsidR="003C6D9B">
        <w:t>Knox-Keene</w:t>
      </w:r>
      <w:r w:rsidR="00B46D4F">
        <w:t xml:space="preserve"> </w:t>
      </w:r>
      <w:r w:rsidR="00AF0E99">
        <w:t>Act</w:t>
      </w:r>
      <w:r w:rsidR="00B46D4F">
        <w:t>, and seek</w:t>
      </w:r>
      <w:r w:rsidR="00104311">
        <w:t xml:space="preserve"> only to compel the County to </w:t>
      </w:r>
      <w:r w:rsidR="00641783">
        <w:t>comply with</w:t>
      </w:r>
      <w:r w:rsidR="00EF26A3">
        <w:t xml:space="preserve"> its statutory duty.  </w:t>
      </w:r>
      <w:r w:rsidR="00DB4FC4">
        <w:t>Accordingly</w:t>
      </w:r>
      <w:r w:rsidR="00FE629A">
        <w:t xml:space="preserve">, the </w:t>
      </w:r>
      <w:r w:rsidR="00050471">
        <w:t xml:space="preserve">County is not immune from suit under the circumstances and the </w:t>
      </w:r>
      <w:r w:rsidR="00FE629A">
        <w:t>Hospitals’ claim may proceed.</w:t>
      </w:r>
    </w:p>
    <w:p w:rsidR="000F1FDB" w:rsidRPr="00572F57" w:rsidP="00572F57" w14:paraId="79986331" w14:textId="3A105F8D">
      <w:pPr>
        <w:pStyle w:val="Heading1"/>
      </w:pPr>
      <w:r w:rsidRPr="00572F57">
        <w:t xml:space="preserve">I.  </w:t>
      </w:r>
      <w:r w:rsidRPr="00572F57" w:rsidR="001D6191">
        <w:t>Factual and Procedural Background</w:t>
      </w:r>
    </w:p>
    <w:p w:rsidR="001D6191" w:rsidRPr="00572F57" w:rsidP="007752D0" w14:paraId="01E0D202" w14:textId="28F48FB4">
      <w:pPr>
        <w:tabs>
          <w:tab w:val="left" w:pos="1440"/>
        </w:tabs>
        <w:ind w:firstLine="720"/>
      </w:pPr>
      <w:r w:rsidRPr="00572F57">
        <w:t xml:space="preserve">The County operates a health care service plan </w:t>
      </w:r>
      <w:r w:rsidRPr="00572F57" w:rsidR="00131A2F">
        <w:t xml:space="preserve">called Valley Health Plan, which is licensed and regulated by the Department of Managed Health Care (DMHC) under the </w:t>
      </w:r>
      <w:r w:rsidR="003C6D9B">
        <w:t>Knox-Keene</w:t>
      </w:r>
      <w:r w:rsidRPr="00572F57" w:rsidR="00131A2F">
        <w:t xml:space="preserve"> </w:t>
      </w:r>
      <w:r w:rsidRPr="00572F57" w:rsidR="00DA4821">
        <w:t>Act</w:t>
      </w:r>
      <w:r w:rsidRPr="00572F57" w:rsidR="00131A2F">
        <w:t xml:space="preserve">.  (Health &amp; Saf. Code, </w:t>
      </w:r>
      <w:r w:rsidRPr="00572F57" w:rsidR="00E4539F">
        <w:t>§§ </w:t>
      </w:r>
      <w:r w:rsidRPr="00572F57" w:rsidR="00296B73">
        <w:t xml:space="preserve">1341, </w:t>
      </w:r>
      <w:r w:rsidRPr="00572F57" w:rsidR="00955B61">
        <w:t>1345, subd</w:t>
      </w:r>
      <w:r w:rsidRPr="00572F57" w:rsidR="00BD128B">
        <w:t>s</w:t>
      </w:r>
      <w:r w:rsidRPr="00572F57" w:rsidR="00955B61">
        <w:t>.</w:t>
      </w:r>
      <w:r w:rsidRPr="00572F57" w:rsidR="00B61EE0">
        <w:t> </w:t>
      </w:r>
      <w:r w:rsidRPr="00572F57" w:rsidR="00955B61">
        <w:t>(f)(1)</w:t>
      </w:r>
      <w:r w:rsidRPr="00572F57" w:rsidR="00BD128B">
        <w:t xml:space="preserve"> &amp; (j), </w:t>
      </w:r>
      <w:r w:rsidRPr="00572F57" w:rsidR="00E4539F">
        <w:t>1</w:t>
      </w:r>
      <w:r w:rsidRPr="00572F57" w:rsidR="00955B61">
        <w:t>349.)</w:t>
      </w:r>
      <w:r w:rsidRPr="00572F57" w:rsidR="00990024">
        <w:t xml:space="preserve"> </w:t>
      </w:r>
      <w:r w:rsidRPr="00572F57" w:rsidR="00590AA6">
        <w:t xml:space="preserve"> </w:t>
      </w:r>
      <w:r w:rsidRPr="00572F57" w:rsidR="005623D7">
        <w:t xml:space="preserve">The </w:t>
      </w:r>
      <w:r w:rsidR="003C6D9B">
        <w:t>Knox-Keene</w:t>
      </w:r>
      <w:r w:rsidRPr="00572F57" w:rsidR="00FE188A">
        <w:t xml:space="preserve"> </w:t>
      </w:r>
      <w:r w:rsidRPr="00572F57" w:rsidR="00230BC7">
        <w:t>Act appl</w:t>
      </w:r>
      <w:r w:rsidRPr="00572F57" w:rsidR="00025FB6">
        <w:t xml:space="preserve">ies </w:t>
      </w:r>
      <w:r w:rsidRPr="00572F57" w:rsidR="00230BC7">
        <w:t>to private and public entities that operate health care service plans.  (</w:t>
      </w:r>
      <w:r w:rsidRPr="00572F57" w:rsidR="00136A05">
        <w:rPr>
          <w:i/>
          <w:iCs/>
        </w:rPr>
        <w:t>Id</w:t>
      </w:r>
      <w:r w:rsidRPr="00572F57" w:rsidR="00136A05">
        <w:t>.</w:t>
      </w:r>
      <w:r w:rsidRPr="00572F57" w:rsidR="00230BC7">
        <w:t xml:space="preserve">, § 1399.5.)  </w:t>
      </w:r>
      <w:r w:rsidRPr="00572F57" w:rsidR="00EC3D46">
        <w:t>The Hospitals are licensed acute</w:t>
      </w:r>
      <w:r w:rsidR="00DA3D00">
        <w:t xml:space="preserve"> </w:t>
      </w:r>
      <w:r w:rsidRPr="00572F57" w:rsidR="00EC3D46">
        <w:t xml:space="preserve">care hospitals in the Central Valley.  </w:t>
      </w:r>
      <w:r w:rsidRPr="00572F57" w:rsidR="003F07E4">
        <w:t xml:space="preserve">The </w:t>
      </w:r>
      <w:r w:rsidRPr="00572F57" w:rsidR="00850AB1">
        <w:t>Hospitals do</w:t>
      </w:r>
      <w:r w:rsidRPr="00572F57" w:rsidR="00011DD0">
        <w:t xml:space="preserve"> not have a </w:t>
      </w:r>
      <w:r w:rsidRPr="00572F57" w:rsidR="00570970">
        <w:t xml:space="preserve">contract </w:t>
      </w:r>
      <w:r w:rsidRPr="00572F57" w:rsidR="00142A29">
        <w:t xml:space="preserve">with the </w:t>
      </w:r>
      <w:r w:rsidRPr="00572F57" w:rsidR="00850AB1">
        <w:t xml:space="preserve">County </w:t>
      </w:r>
      <w:r w:rsidRPr="00572F57" w:rsidR="00142A29">
        <w:t>governing the rates payable for</w:t>
      </w:r>
      <w:r w:rsidRPr="00572F57" w:rsidR="003F07E4">
        <w:t xml:space="preserve"> </w:t>
      </w:r>
      <w:r w:rsidRPr="00572F57" w:rsidR="001C1A77">
        <w:t xml:space="preserve">medical services </w:t>
      </w:r>
      <w:r w:rsidRPr="00572F57" w:rsidR="00850AB1">
        <w:t>provid</w:t>
      </w:r>
      <w:r w:rsidRPr="00572F57" w:rsidR="001929A3">
        <w:t>e</w:t>
      </w:r>
      <w:r w:rsidRPr="00572F57" w:rsidR="00850AB1">
        <w:t>d</w:t>
      </w:r>
      <w:r w:rsidRPr="00572F57" w:rsidR="001C1A77">
        <w:t xml:space="preserve"> to </w:t>
      </w:r>
      <w:r w:rsidRPr="00572F57" w:rsidR="003F07E4">
        <w:t xml:space="preserve">Valley Health Plan enrollees.  </w:t>
      </w:r>
    </w:p>
    <w:p w:rsidR="005D3C6F" w:rsidRPr="00572F57" w:rsidP="007752D0" w14:paraId="508E0F56" w14:textId="0266E39B">
      <w:pPr>
        <w:tabs>
          <w:tab w:val="left" w:pos="1440"/>
        </w:tabs>
        <w:ind w:firstLine="720"/>
      </w:pPr>
      <w:r w:rsidRPr="00572F57">
        <w:t xml:space="preserve">As previously </w:t>
      </w:r>
      <w:r w:rsidRPr="00572F57" w:rsidR="00FB5777">
        <w:t>explained</w:t>
      </w:r>
      <w:r w:rsidRPr="00572F57">
        <w:t>, state and federal law</w:t>
      </w:r>
      <w:r w:rsidR="00416992">
        <w:t>s</w:t>
      </w:r>
      <w:r w:rsidRPr="00572F57">
        <w:t xml:space="preserve"> require h</w:t>
      </w:r>
      <w:r w:rsidRPr="00572F57" w:rsidR="003304B2">
        <w:t xml:space="preserve">ospitals and other medical providers to provide emergency medical services </w:t>
      </w:r>
      <w:r w:rsidRPr="00572F57">
        <w:t>regardless of</w:t>
      </w:r>
      <w:r w:rsidRPr="00572F57" w:rsidR="003304B2">
        <w:t xml:space="preserve"> the patient’s insurance status or ability to pay.  (42 U.S.C. § 1395dd(</w:t>
      </w:r>
      <w:r w:rsidRPr="00572F57">
        <w:t>b</w:t>
      </w:r>
      <w:r w:rsidRPr="00572F57" w:rsidR="003304B2">
        <w:t>)</w:t>
      </w:r>
      <w:r w:rsidR="00DA3D00">
        <w:t xml:space="preserve"> </w:t>
      </w:r>
      <w:r w:rsidR="00182661">
        <w:t>&amp;</w:t>
      </w:r>
      <w:r w:rsidRPr="00572F57">
        <w:t xml:space="preserve"> (h)</w:t>
      </w:r>
      <w:r w:rsidRPr="00572F57" w:rsidR="003304B2">
        <w:t xml:space="preserve">; Health &amp; Saf. Code, § 1317, subds. (a) &amp; (b).)  If the patient is enrolled in a health care service plan, </w:t>
      </w:r>
      <w:r w:rsidRPr="00572F57" w:rsidR="00882852">
        <w:t xml:space="preserve">the </w:t>
      </w:r>
      <w:r w:rsidR="003C6D9B">
        <w:t>Knox-Keene</w:t>
      </w:r>
      <w:r w:rsidRPr="00572F57" w:rsidR="00882852">
        <w:t xml:space="preserve"> Act requires </w:t>
      </w:r>
      <w:r w:rsidRPr="00572F57" w:rsidR="003304B2">
        <w:t xml:space="preserve">the plan </w:t>
      </w:r>
      <w:r w:rsidRPr="00572F57" w:rsidR="00882852">
        <w:t>to</w:t>
      </w:r>
      <w:r w:rsidRPr="00572F57" w:rsidR="003304B2">
        <w:t xml:space="preserve"> reimburse the medical provider for providing such emergency care.  (Health &amp; Saf. Code, § 1371.4, subd.</w:t>
      </w:r>
      <w:r w:rsidRPr="00572F57" w:rsidR="00B61EE0">
        <w:t> </w:t>
      </w:r>
      <w:r w:rsidRPr="00572F57" w:rsidR="003304B2">
        <w:t xml:space="preserve">(b).)  If </w:t>
      </w:r>
      <w:r w:rsidRPr="00572F57">
        <w:t>no contract exists between the</w:t>
      </w:r>
      <w:r w:rsidRPr="00572F57" w:rsidR="003304B2">
        <w:t xml:space="preserve"> plan </w:t>
      </w:r>
      <w:r w:rsidRPr="00572F57">
        <w:t>and</w:t>
      </w:r>
      <w:r w:rsidRPr="00572F57" w:rsidR="003304B2">
        <w:t xml:space="preserve"> medical provider, the plan must pay the “reasonable and customary value” </w:t>
      </w:r>
      <w:r w:rsidR="0067061C">
        <w:t>of</w:t>
      </w:r>
      <w:r w:rsidRPr="00572F57" w:rsidR="003304B2">
        <w:t xml:space="preserve"> the emergency care provided.  (Cal. Code Regs., tit. 28, § 1300.71, subd. (a)(3)(B).)  </w:t>
      </w:r>
    </w:p>
    <w:p w:rsidR="000F6E1E" w:rsidRPr="00572F57" w:rsidP="007752D0" w14:paraId="3466831B" w14:textId="28CC2F5F">
      <w:pPr>
        <w:tabs>
          <w:tab w:val="left" w:pos="1440"/>
        </w:tabs>
        <w:ind w:firstLine="720"/>
      </w:pPr>
      <w:r w:rsidRPr="00572F57">
        <w:t>In 2016 and 2017, the Hospitals provided emergency medical services to three patients enrolled in</w:t>
      </w:r>
      <w:r w:rsidRPr="00572F57" w:rsidR="007B60A1">
        <w:t xml:space="preserve"> </w:t>
      </w:r>
      <w:r w:rsidRPr="00572F57">
        <w:t xml:space="preserve">Valley Health Plan.  </w:t>
      </w:r>
      <w:r w:rsidRPr="00572F57" w:rsidR="00455286">
        <w:t xml:space="preserve">The Hospitals submitted </w:t>
      </w:r>
      <w:r w:rsidRPr="00572F57" w:rsidR="00C40D9B">
        <w:t xml:space="preserve">to the County </w:t>
      </w:r>
      <w:r w:rsidRPr="00572F57" w:rsidR="00215598">
        <w:t>claims for</w:t>
      </w:r>
      <w:r w:rsidRPr="00572F57" w:rsidR="00455286">
        <w:t xml:space="preserve"> reimbursement </w:t>
      </w:r>
      <w:r w:rsidRPr="00572F57" w:rsidR="00772148">
        <w:t xml:space="preserve">totaling approximately $144,000 </w:t>
      </w:r>
      <w:r w:rsidRPr="00572F57" w:rsidR="00455286">
        <w:t xml:space="preserve">for the services </w:t>
      </w:r>
      <w:r w:rsidRPr="00572F57" w:rsidR="00215598">
        <w:t>provided</w:t>
      </w:r>
      <w:r w:rsidRPr="00572F57" w:rsidR="00F07C36">
        <w:t xml:space="preserve">.  The </w:t>
      </w:r>
      <w:r w:rsidRPr="00572F57" w:rsidR="002608F4">
        <w:t xml:space="preserve">County paid the Hospitals approximately $28,500.  </w:t>
      </w:r>
      <w:r w:rsidRPr="00572F57" w:rsidR="00ED53FE">
        <w:t xml:space="preserve">The Hospitals </w:t>
      </w:r>
      <w:r w:rsidR="00771162">
        <w:t>challenged the reimburseme</w:t>
      </w:r>
      <w:r w:rsidR="00E13DF2">
        <w:t>nt decisions by submitting written administrative appeals</w:t>
      </w:r>
      <w:r w:rsidRPr="00572F57" w:rsidR="002B718B">
        <w:t xml:space="preserve">, </w:t>
      </w:r>
      <w:r w:rsidRPr="00572F57" w:rsidR="009A21EF">
        <w:t>which the</w:t>
      </w:r>
      <w:r w:rsidRPr="00572F57">
        <w:t xml:space="preserve"> County denied.  </w:t>
      </w:r>
    </w:p>
    <w:p w:rsidR="00FA0639" w:rsidRPr="00572F57" w:rsidP="007752D0" w14:paraId="51A09CD2" w14:textId="56AD4537">
      <w:pPr>
        <w:tabs>
          <w:tab w:val="left" w:pos="1440"/>
        </w:tabs>
        <w:ind w:firstLine="720"/>
      </w:pPr>
      <w:r w:rsidRPr="00572F57">
        <w:t xml:space="preserve">The Hospitals </w:t>
      </w:r>
      <w:r w:rsidRPr="00572F57" w:rsidR="001F7CAA">
        <w:t xml:space="preserve">then </w:t>
      </w:r>
      <w:r w:rsidRPr="00572F57" w:rsidR="00A01312">
        <w:t>sued</w:t>
      </w:r>
      <w:r w:rsidRPr="00572F57" w:rsidR="00EA473D">
        <w:t xml:space="preserve"> the County</w:t>
      </w:r>
      <w:r w:rsidRPr="00572F57" w:rsidR="00C126B3">
        <w:t xml:space="preserve">, </w:t>
      </w:r>
      <w:r w:rsidR="00FD04B6">
        <w:t>alleg</w:t>
      </w:r>
      <w:r w:rsidRPr="00572F57" w:rsidR="00C126B3">
        <w:t xml:space="preserve">ing they </w:t>
      </w:r>
      <w:r w:rsidRPr="00572F57" w:rsidR="00874B10">
        <w:t>a</w:t>
      </w:r>
      <w:r w:rsidRPr="00572F57" w:rsidR="00C126B3">
        <w:t xml:space="preserve">re entitled to </w:t>
      </w:r>
      <w:r w:rsidRPr="00572F57" w:rsidR="00303343">
        <w:t>the entire amount claimed</w:t>
      </w:r>
      <w:r w:rsidRPr="00572F57" w:rsidR="00EA473D">
        <w:t xml:space="preserve"> for the </w:t>
      </w:r>
      <w:r w:rsidRPr="00572F57" w:rsidR="003A386F">
        <w:t xml:space="preserve">emergency services provided to the three patients enrolled in Valley Health Plan.  </w:t>
      </w:r>
      <w:r w:rsidRPr="00572F57">
        <w:t>The Hospitals</w:t>
      </w:r>
      <w:r w:rsidRPr="00572F57" w:rsidR="00B61EE0">
        <w:t xml:space="preserve">’ operative complaint </w:t>
      </w:r>
      <w:r w:rsidRPr="00572F57" w:rsidR="004B06E6">
        <w:t>alleg</w:t>
      </w:r>
      <w:r w:rsidRPr="00572F57" w:rsidR="00B61EE0">
        <w:t>e</w:t>
      </w:r>
      <w:r w:rsidRPr="00572F57" w:rsidR="00FB6488">
        <w:t>d</w:t>
      </w:r>
      <w:r w:rsidRPr="00572F57" w:rsidR="004B06E6">
        <w:t xml:space="preserve"> a single cause of action for breach of implied contract.  </w:t>
      </w:r>
      <w:r w:rsidRPr="00572F57" w:rsidR="00FB6488">
        <w:t>I</w:t>
      </w:r>
      <w:r w:rsidRPr="00572F57" w:rsidR="00B61EE0">
        <w:t>n that complaint, t</w:t>
      </w:r>
      <w:r w:rsidRPr="00572F57" w:rsidR="008D0959">
        <w:t xml:space="preserve">he </w:t>
      </w:r>
      <w:r w:rsidRPr="00572F57" w:rsidR="00B61EE0">
        <w:t xml:space="preserve">Hospitals alleged </w:t>
      </w:r>
      <w:r w:rsidRPr="00572F57" w:rsidR="008D0959">
        <w:t xml:space="preserve">that </w:t>
      </w:r>
      <w:r w:rsidRPr="00572F57" w:rsidR="0092162E">
        <w:t xml:space="preserve">the </w:t>
      </w:r>
      <w:r w:rsidR="003C6D9B">
        <w:t>Knox-Keene</w:t>
      </w:r>
      <w:r w:rsidRPr="00572F57" w:rsidR="00FE188A">
        <w:t xml:space="preserve"> </w:t>
      </w:r>
      <w:r w:rsidRPr="00572F57" w:rsidR="0092162E">
        <w:t>Act impose</w:t>
      </w:r>
      <w:r w:rsidRPr="00572F57" w:rsidR="00874B10">
        <w:t xml:space="preserve">s </w:t>
      </w:r>
      <w:r w:rsidRPr="00572F57" w:rsidR="0092162E">
        <w:t>a mandatory duty on health care service plans to reimburse noncontracted providers for emergency medical services</w:t>
      </w:r>
      <w:r w:rsidRPr="00572F57" w:rsidR="009C5BC5">
        <w:t xml:space="preserve"> </w:t>
      </w:r>
      <w:r w:rsidRPr="00572F57" w:rsidR="00E67600">
        <w:t xml:space="preserve">and that, pursuant to the Act, the Hospitals </w:t>
      </w:r>
      <w:r w:rsidRPr="00572F57" w:rsidR="00874B10">
        <w:t>a</w:t>
      </w:r>
      <w:r w:rsidRPr="00572F57" w:rsidR="00E67600">
        <w:t xml:space="preserve">re entitled to reimbursement at a reasonable and customary rate for the </w:t>
      </w:r>
      <w:r w:rsidRPr="00572F57" w:rsidR="00E707DE">
        <w:t xml:space="preserve">services provided to the patients enrolled in Valley Health Plan.  </w:t>
      </w:r>
      <w:r w:rsidRPr="00572F57" w:rsidR="003F3788">
        <w:t xml:space="preserve">The </w:t>
      </w:r>
      <w:r w:rsidRPr="00572F57" w:rsidR="00B61EE0">
        <w:t xml:space="preserve">Hospitals further </w:t>
      </w:r>
      <w:r w:rsidRPr="00572F57" w:rsidR="000C0A9A">
        <w:t xml:space="preserve">alleged that the </w:t>
      </w:r>
      <w:r w:rsidR="003C6D9B">
        <w:t>Knox-Keene</w:t>
      </w:r>
      <w:r w:rsidRPr="00572F57" w:rsidR="00FE188A">
        <w:t xml:space="preserve"> </w:t>
      </w:r>
      <w:r w:rsidRPr="00572F57" w:rsidR="000C0A9A">
        <w:t xml:space="preserve">Act and </w:t>
      </w:r>
      <w:r w:rsidRPr="00572F57" w:rsidR="002A712E">
        <w:t xml:space="preserve">the </w:t>
      </w:r>
      <w:r w:rsidRPr="00572F57" w:rsidR="00D60AFE">
        <w:t xml:space="preserve">DMHC’s </w:t>
      </w:r>
      <w:r w:rsidRPr="00572F57" w:rsidR="000C0A9A">
        <w:t>implementing regulations g</w:t>
      </w:r>
      <w:r w:rsidRPr="00572F57" w:rsidR="00FB6488">
        <w:t>a</w:t>
      </w:r>
      <w:r w:rsidRPr="00572F57" w:rsidR="000C0A9A">
        <w:t>ve rise to implied-in-law agreements between the Hospitals and the County</w:t>
      </w:r>
      <w:r w:rsidRPr="00572F57" w:rsidR="00E83074">
        <w:t>,</w:t>
      </w:r>
      <w:r w:rsidRPr="00572F57" w:rsidR="000C0A9A">
        <w:t xml:space="preserve"> obligating the County to pay</w:t>
      </w:r>
      <w:r w:rsidRPr="00572F57" w:rsidR="00BB2CAD">
        <w:t xml:space="preserve"> for the emergency care provided by the Hospitals at a reasonable and customary rate.  </w:t>
      </w:r>
      <w:r w:rsidR="00C715B8">
        <w:t xml:space="preserve">The Hospitals maintained the reasonable and customary rate for the services provided to Valley Health Plan’s enrollees was the $144,000 claimed by the Hospitals, rather than the $28,500 reimbursed by the County. </w:t>
      </w:r>
      <w:r w:rsidR="003C4FEA">
        <w:t xml:space="preserve"> </w:t>
      </w:r>
      <w:r w:rsidRPr="00572F57" w:rsidR="00B61EE0">
        <w:t xml:space="preserve">They also </w:t>
      </w:r>
      <w:r w:rsidRPr="00572F57" w:rsidR="00D60AFE">
        <w:t xml:space="preserve">alleged that the County’s </w:t>
      </w:r>
      <w:r w:rsidRPr="00572F57" w:rsidR="00055D3A">
        <w:t xml:space="preserve">conduct, including its partial reimbursement for care provided by the Hospitals, </w:t>
      </w:r>
      <w:r w:rsidRPr="00572F57" w:rsidR="00BE1BF5">
        <w:t>g</w:t>
      </w:r>
      <w:r w:rsidRPr="00572F57" w:rsidR="00FB6488">
        <w:t>a</w:t>
      </w:r>
      <w:r w:rsidRPr="00572F57" w:rsidR="00BE1BF5">
        <w:t xml:space="preserve">ve rise to implied-in-fact agreements between the Hospitals and the County.  </w:t>
      </w:r>
    </w:p>
    <w:p w:rsidR="0075561C" w:rsidRPr="00572F57" w:rsidP="007752D0" w14:paraId="23457C28" w14:textId="1DA255B7">
      <w:pPr>
        <w:tabs>
          <w:tab w:val="left" w:pos="1440"/>
        </w:tabs>
        <w:ind w:firstLine="720"/>
      </w:pPr>
      <w:r w:rsidRPr="00572F57">
        <w:t>Th</w:t>
      </w:r>
      <w:r w:rsidRPr="00572F57">
        <w:t>e County demurred</w:t>
      </w:r>
      <w:r w:rsidRPr="00572F57" w:rsidR="00EB20A5">
        <w:t xml:space="preserve">, asserting that </w:t>
      </w:r>
      <w:r w:rsidRPr="00572F57" w:rsidR="004A0C56">
        <w:t xml:space="preserve">the Hospitals’ </w:t>
      </w:r>
      <w:r w:rsidRPr="00572F57" w:rsidR="00EA4521">
        <w:t xml:space="preserve">implied contract claim </w:t>
      </w:r>
      <w:r w:rsidRPr="00572F57" w:rsidR="000430ED">
        <w:t>i</w:t>
      </w:r>
      <w:r w:rsidRPr="00572F57" w:rsidR="000128F6">
        <w:t xml:space="preserve">s </w:t>
      </w:r>
      <w:r w:rsidRPr="00572F57" w:rsidR="00EA4521">
        <w:t xml:space="preserve">based on a </w:t>
      </w:r>
      <w:r w:rsidRPr="00572F57" w:rsidR="004A0C56">
        <w:t>q</w:t>
      </w:r>
      <w:r w:rsidRPr="00572F57" w:rsidR="008A549A">
        <w:t xml:space="preserve">uantum meruit theory </w:t>
      </w:r>
      <w:r w:rsidRPr="00572F57" w:rsidR="00FD0BBD">
        <w:t>that c</w:t>
      </w:r>
      <w:r w:rsidRPr="00572F57" w:rsidR="000430ED">
        <w:t>an</w:t>
      </w:r>
      <w:r w:rsidRPr="00572F57" w:rsidR="00FD0BBD">
        <w:t>not</w:t>
      </w:r>
      <w:r w:rsidRPr="00572F57" w:rsidR="008A549A">
        <w:t xml:space="preserve"> be maintained against </w:t>
      </w:r>
      <w:r w:rsidRPr="00572F57" w:rsidR="00FD0BBD">
        <w:t>the County</w:t>
      </w:r>
      <w:r w:rsidRPr="00572F57" w:rsidR="008A549A">
        <w:t xml:space="preserve"> as a public entity.  </w:t>
      </w:r>
      <w:r w:rsidRPr="00572F57">
        <w:t>T</w:t>
      </w:r>
      <w:r w:rsidRPr="00572F57" w:rsidR="003F630C">
        <w:t>he trial court overruled the demurrer</w:t>
      </w:r>
      <w:r w:rsidRPr="00572F57" w:rsidR="00F16200">
        <w:t xml:space="preserve">.  </w:t>
      </w:r>
      <w:r w:rsidRPr="00572F57" w:rsidR="00875450">
        <w:t xml:space="preserve">It </w:t>
      </w:r>
      <w:r w:rsidRPr="00572F57" w:rsidR="00415903">
        <w:t>found th</w:t>
      </w:r>
      <w:r w:rsidRPr="00572F57" w:rsidR="00426C95">
        <w:t xml:space="preserve">at </w:t>
      </w:r>
      <w:r w:rsidRPr="00572F57" w:rsidR="00A63AD6">
        <w:t xml:space="preserve">the Hospitals had stated facts sufficient to </w:t>
      </w:r>
      <w:r w:rsidRPr="00572F57" w:rsidR="00997028">
        <w:t xml:space="preserve">constitute a cause of action, “whether fashioned as a cause of action for breach of an implied in fact contract or one for quantum meruit.”  </w:t>
      </w:r>
      <w:r w:rsidRPr="00572F57" w:rsidR="00A20696">
        <w:t xml:space="preserve">The court </w:t>
      </w:r>
      <w:r w:rsidRPr="00572F57" w:rsidR="005E2D33">
        <w:t>resolv</w:t>
      </w:r>
      <w:r w:rsidRPr="00572F57" w:rsidR="0050682B">
        <w:t>ed</w:t>
      </w:r>
      <w:r w:rsidRPr="00572F57" w:rsidR="00894F81">
        <w:t xml:space="preserve"> that </w:t>
      </w:r>
      <w:r w:rsidRPr="00572F57" w:rsidR="00426C95">
        <w:t>“the public policy to promote the delivery and the quality of health and medical care to the people of the State of California</w:t>
      </w:r>
      <w:r w:rsidRPr="00572F57" w:rsidR="001E3C7C">
        <w:t xml:space="preserve"> outweighs the policy to limit common law, or implied contract claims against public entities.”  </w:t>
      </w:r>
      <w:r w:rsidRPr="00572F57" w:rsidR="00A20696">
        <w:t xml:space="preserve">It </w:t>
      </w:r>
      <w:r w:rsidRPr="00572F57" w:rsidR="00FB6E13">
        <w:t>further determined</w:t>
      </w:r>
      <w:r w:rsidRPr="00572F57" w:rsidR="006F4489">
        <w:t xml:space="preserve"> that in entering </w:t>
      </w:r>
      <w:r w:rsidRPr="00572F57" w:rsidR="00772810">
        <w:t>the</w:t>
      </w:r>
      <w:r w:rsidRPr="00572F57" w:rsidR="006F4489">
        <w:t xml:space="preserve"> regulated health care plan market, the County “cannot expect to rely on a public policy regarding contracts as to</w:t>
      </w:r>
      <w:r w:rsidRPr="00572F57" w:rsidR="00772810">
        <w:t xml:space="preserve"> </w:t>
      </w:r>
      <w:r w:rsidRPr="00572F57" w:rsidR="006F4489">
        <w:t>public entities so that it can be exempted from those regulations.”</w:t>
      </w:r>
      <w:r w:rsidRPr="00572F57" w:rsidR="00772810">
        <w:t xml:space="preserve">  </w:t>
      </w:r>
    </w:p>
    <w:p w:rsidR="00A20696" w:rsidRPr="00572F57" w:rsidP="007752D0" w14:paraId="5DF5A305" w14:textId="0FAB801E">
      <w:pPr>
        <w:tabs>
          <w:tab w:val="left" w:pos="1440"/>
        </w:tabs>
        <w:ind w:firstLine="720"/>
      </w:pPr>
      <w:r w:rsidRPr="00572F57">
        <w:t xml:space="preserve">The County </w:t>
      </w:r>
      <w:r w:rsidR="00800C77">
        <w:t>sought review through a petition for writ of mandate, and the Court of Appeal granted relief</w:t>
      </w:r>
      <w:r w:rsidRPr="00572F57" w:rsidR="004201D3">
        <w:t>.</w:t>
      </w:r>
      <w:r w:rsidRPr="00572F57" w:rsidR="009D6A91">
        <w:t xml:space="preserve">  (</w:t>
      </w:r>
      <w:r w:rsidRPr="00572F57" w:rsidR="009D6A91">
        <w:rPr>
          <w:i/>
          <w:iCs/>
        </w:rPr>
        <w:t>County of Santa Clara v. Superior Court</w:t>
      </w:r>
      <w:r w:rsidRPr="00572F57" w:rsidR="009D6A91">
        <w:t xml:space="preserve"> (2022) 77 Cal.App.5th 1018</w:t>
      </w:r>
      <w:r w:rsidRPr="00572F57" w:rsidR="00E52B12">
        <w:t xml:space="preserve"> (</w:t>
      </w:r>
      <w:r w:rsidRPr="00572F57" w:rsidR="00E52B12">
        <w:rPr>
          <w:i/>
          <w:iCs/>
        </w:rPr>
        <w:t>Santa Clara</w:t>
      </w:r>
      <w:r w:rsidRPr="00572F57" w:rsidR="00E52B12">
        <w:t xml:space="preserve">).)  </w:t>
      </w:r>
      <w:r w:rsidRPr="00572F57" w:rsidR="002B7B7B">
        <w:t xml:space="preserve">The Court of Appeal </w:t>
      </w:r>
      <w:r w:rsidRPr="00572F57" w:rsidR="004408EF">
        <w:t xml:space="preserve">concluded </w:t>
      </w:r>
      <w:r w:rsidRPr="00572F57" w:rsidR="002A61A9">
        <w:t xml:space="preserve">that </w:t>
      </w:r>
      <w:r w:rsidRPr="00572F57" w:rsidR="0069653C">
        <w:t>the Government Claims Act immunize</w:t>
      </w:r>
      <w:r w:rsidR="00A66278">
        <w:t>d</w:t>
      </w:r>
      <w:r w:rsidRPr="00572F57" w:rsidR="0069653C">
        <w:t xml:space="preserve"> </w:t>
      </w:r>
      <w:r w:rsidRPr="00572F57" w:rsidR="002A61A9">
        <w:t>the County from</w:t>
      </w:r>
      <w:r w:rsidRPr="00572F57" w:rsidR="0069653C">
        <w:t xml:space="preserve"> </w:t>
      </w:r>
      <w:r w:rsidRPr="00572F57" w:rsidR="002A61A9">
        <w:t xml:space="preserve">the Hospitals’ </w:t>
      </w:r>
      <w:r w:rsidRPr="00572F57" w:rsidR="00BB0D67">
        <w:t>implied-in-law contract</w:t>
      </w:r>
      <w:r w:rsidRPr="00572F57" w:rsidR="008475D2">
        <w:t xml:space="preserve"> claim</w:t>
      </w:r>
      <w:r w:rsidRPr="00572F57" w:rsidR="004872A5">
        <w:t>.  (</w:t>
      </w:r>
      <w:r w:rsidR="00D92698">
        <w:rPr>
          <w:i/>
          <w:iCs/>
        </w:rPr>
        <w:t>Santa Clara</w:t>
      </w:r>
      <w:r w:rsidR="00D92698">
        <w:t>,</w:t>
      </w:r>
      <w:r w:rsidRPr="00572F57" w:rsidR="004872A5">
        <w:t xml:space="preserve"> at pp.</w:t>
      </w:r>
      <w:r w:rsidR="003C4FEA">
        <w:t> </w:t>
      </w:r>
      <w:r w:rsidRPr="00572F57" w:rsidR="004872A5">
        <w:t xml:space="preserve">1024–1025.) </w:t>
      </w:r>
      <w:r w:rsidRPr="00572F57" w:rsidR="002B7B7B">
        <w:t xml:space="preserve"> </w:t>
      </w:r>
      <w:r w:rsidRPr="00572F57" w:rsidR="00A451A4">
        <w:t>The court</w:t>
      </w:r>
      <w:r w:rsidRPr="00572F57" w:rsidR="00BA0004">
        <w:t xml:space="preserve"> </w:t>
      </w:r>
      <w:r w:rsidRPr="00572F57" w:rsidR="005951A5">
        <w:t xml:space="preserve">first </w:t>
      </w:r>
      <w:r w:rsidRPr="00572F57" w:rsidR="00BF6123">
        <w:t>construed</w:t>
      </w:r>
      <w:r w:rsidRPr="00572F57" w:rsidR="004408EF">
        <w:t xml:space="preserve"> the </w:t>
      </w:r>
      <w:r w:rsidRPr="00572F57" w:rsidR="00BF6123">
        <w:t>Hospitals’ claim as seeking relief under a</w:t>
      </w:r>
      <w:r w:rsidRPr="00572F57" w:rsidR="00A451A4">
        <w:t xml:space="preserve"> quantum meruit</w:t>
      </w:r>
      <w:r w:rsidRPr="00572F57" w:rsidR="00BF6123">
        <w:t xml:space="preserve"> theory</w:t>
      </w:r>
      <w:r w:rsidRPr="00572F57" w:rsidR="00170DC0">
        <w:t xml:space="preserve">.  </w:t>
      </w:r>
      <w:r w:rsidRPr="00572F57" w:rsidR="008344CD">
        <w:t>(</w:t>
      </w:r>
      <w:r w:rsidRPr="00572F57" w:rsidR="008344CD">
        <w:rPr>
          <w:i/>
          <w:iCs/>
        </w:rPr>
        <w:t>Ibid</w:t>
      </w:r>
      <w:r w:rsidRPr="00572F57" w:rsidR="008344CD">
        <w:t>.)</w:t>
      </w:r>
      <w:r w:rsidRPr="00572F57" w:rsidR="00FB6488">
        <w:t xml:space="preserve">  </w:t>
      </w:r>
      <w:r w:rsidRPr="00572F57" w:rsidR="00353FB5">
        <w:t xml:space="preserve">In </w:t>
      </w:r>
      <w:r w:rsidRPr="00572F57" w:rsidR="008344CD">
        <w:t>the court’s view, this theory</w:t>
      </w:r>
      <w:r w:rsidRPr="00572F57" w:rsidR="00BF6123">
        <w:t xml:space="preserve"> was foreclosed </w:t>
      </w:r>
      <w:r w:rsidRPr="00572F57" w:rsidR="00584203">
        <w:t>by</w:t>
      </w:r>
      <w:r w:rsidRPr="00572F57" w:rsidR="00BA0004">
        <w:t xml:space="preserve"> </w:t>
      </w:r>
      <w:r w:rsidRPr="00572F57" w:rsidR="008344CD">
        <w:t xml:space="preserve">the immunity conferred by </w:t>
      </w:r>
      <w:r w:rsidRPr="00572F57" w:rsidR="00BA0004">
        <w:t>Government Code section 815</w:t>
      </w:r>
      <w:r w:rsidRPr="00572F57" w:rsidR="00DB5734">
        <w:t xml:space="preserve">, which provides </w:t>
      </w:r>
      <w:r w:rsidRPr="00572F57" w:rsidR="00353FB5">
        <w:t xml:space="preserve">generally </w:t>
      </w:r>
      <w:r w:rsidRPr="00572F57" w:rsidR="00DB5734">
        <w:t xml:space="preserve">that a public entity is not liable for </w:t>
      </w:r>
      <w:r w:rsidRPr="00572F57" w:rsidR="00D55031">
        <w:t>an injury except as otherwise provided by statute</w:t>
      </w:r>
      <w:r w:rsidRPr="00572F57" w:rsidR="00A451A4">
        <w:t xml:space="preserve">. </w:t>
      </w:r>
      <w:r w:rsidRPr="00572F57" w:rsidR="00823E42">
        <w:t xml:space="preserve"> (</w:t>
      </w:r>
      <w:r w:rsidRPr="00572F57" w:rsidR="00823E42">
        <w:rPr>
          <w:i/>
          <w:iCs/>
        </w:rPr>
        <w:t>Santa Clara</w:t>
      </w:r>
      <w:r w:rsidRPr="00572F57" w:rsidR="00823E42">
        <w:t>, at pp.</w:t>
      </w:r>
      <w:r w:rsidR="003C4FEA">
        <w:t> </w:t>
      </w:r>
      <w:r w:rsidRPr="00572F57" w:rsidR="00823E42">
        <w:t xml:space="preserve">1028–1029.) </w:t>
      </w:r>
      <w:r w:rsidRPr="00572F57" w:rsidR="00A451A4">
        <w:t xml:space="preserve"> </w:t>
      </w:r>
      <w:r w:rsidRPr="00572F57" w:rsidR="00F23536">
        <w:t xml:space="preserve">The Court of Appeal </w:t>
      </w:r>
      <w:r w:rsidRPr="00572F57" w:rsidR="00A451A4">
        <w:t xml:space="preserve">held that </w:t>
      </w:r>
      <w:r w:rsidRPr="00572F57" w:rsidR="00353FB5">
        <w:t xml:space="preserve">Government Code section 815.6’s </w:t>
      </w:r>
      <w:r w:rsidRPr="00572F57" w:rsidR="00BA0004">
        <w:t>mandatory</w:t>
      </w:r>
      <w:r w:rsidRPr="00572F57" w:rsidR="00503403">
        <w:t xml:space="preserve"> </w:t>
      </w:r>
      <w:r w:rsidRPr="00572F57" w:rsidR="00BA0004">
        <w:t xml:space="preserve">duty exception </w:t>
      </w:r>
      <w:r w:rsidRPr="00572F57" w:rsidR="00F23536">
        <w:t>to the general rule of immunity</w:t>
      </w:r>
      <w:r w:rsidRPr="00572F57" w:rsidR="00353FB5">
        <w:t xml:space="preserve"> </w:t>
      </w:r>
      <w:r w:rsidRPr="00572F57" w:rsidR="00AA5139">
        <w:t xml:space="preserve">did </w:t>
      </w:r>
      <w:r w:rsidRPr="00572F57" w:rsidR="00BA0004">
        <w:t>not apply</w:t>
      </w:r>
      <w:r w:rsidRPr="00572F57" w:rsidR="00080CBA">
        <w:t xml:space="preserve"> because the County </w:t>
      </w:r>
      <w:r w:rsidRPr="00572F57" w:rsidR="0084179B">
        <w:t xml:space="preserve">retains </w:t>
      </w:r>
      <w:r w:rsidRPr="00572F57" w:rsidR="00080CBA">
        <w:t>discretion in determining the reasonable and customary value of the Hospitals’ services</w:t>
      </w:r>
      <w:r w:rsidRPr="00572F57" w:rsidR="00B45768">
        <w:t xml:space="preserve"> to </w:t>
      </w:r>
      <w:r w:rsidRPr="00572F57" w:rsidR="0084179B">
        <w:t xml:space="preserve">Valley Health Plan </w:t>
      </w:r>
      <w:r w:rsidRPr="00572F57" w:rsidR="00B45768">
        <w:t>enrollees</w:t>
      </w:r>
      <w:r w:rsidRPr="00572F57" w:rsidR="00BA0004">
        <w:t>.  (</w:t>
      </w:r>
      <w:r w:rsidRPr="00572F57" w:rsidR="00BA0004">
        <w:rPr>
          <w:i/>
          <w:iCs/>
        </w:rPr>
        <w:t>Santa Clara</w:t>
      </w:r>
      <w:r w:rsidRPr="00572F57" w:rsidR="00BA0004">
        <w:t>, at pp.</w:t>
      </w:r>
      <w:r w:rsidR="003C4FEA">
        <w:t> </w:t>
      </w:r>
      <w:r w:rsidRPr="00572F57" w:rsidR="00BE4B1C">
        <w:t>102</w:t>
      </w:r>
      <w:r w:rsidRPr="00572F57" w:rsidR="00823E42">
        <w:t>9</w:t>
      </w:r>
      <w:r w:rsidRPr="00572F57" w:rsidR="00BE4B1C">
        <w:t>–103</w:t>
      </w:r>
      <w:r w:rsidRPr="00572F57" w:rsidR="00971D97">
        <w:t>2</w:t>
      </w:r>
      <w:r w:rsidRPr="00572F57" w:rsidR="00BE4B1C">
        <w:t>.)</w:t>
      </w:r>
      <w:r w:rsidRPr="00572F57" w:rsidR="00B00BEE">
        <w:t xml:space="preserve">  Having also concluded that the Hospitals </w:t>
      </w:r>
      <w:r w:rsidR="003E1E9D">
        <w:t>could not</w:t>
      </w:r>
      <w:r w:rsidRPr="00572F57" w:rsidR="003E1E9D">
        <w:t xml:space="preserve"> </w:t>
      </w:r>
      <w:r w:rsidRPr="00572F57" w:rsidR="00B00BEE">
        <w:t>state a claim for breach of an implied-in-fact contract</w:t>
      </w:r>
      <w:r w:rsidRPr="00572F57" w:rsidR="00010735">
        <w:t xml:space="preserve"> (</w:t>
      </w:r>
      <w:r w:rsidRPr="00572F57" w:rsidR="00010735">
        <w:rPr>
          <w:i/>
          <w:iCs/>
        </w:rPr>
        <w:t>id</w:t>
      </w:r>
      <w:r w:rsidRPr="00572F57" w:rsidR="00010735">
        <w:t>. at p</w:t>
      </w:r>
      <w:r w:rsidRPr="00572F57" w:rsidR="008832FC">
        <w:t>p</w:t>
      </w:r>
      <w:r w:rsidRPr="00572F57" w:rsidR="00010735">
        <w:t>.</w:t>
      </w:r>
      <w:r w:rsidR="003C4FEA">
        <w:t> </w:t>
      </w:r>
      <w:r w:rsidRPr="00572F57" w:rsidR="008832FC">
        <w:t>1033–1034)</w:t>
      </w:r>
      <w:r w:rsidRPr="00572F57" w:rsidR="00B00BEE">
        <w:t xml:space="preserve">, the </w:t>
      </w:r>
      <w:r w:rsidRPr="00572F57" w:rsidR="00010735">
        <w:t xml:space="preserve">appellate court issued a peremptory writ directing the trial court to </w:t>
      </w:r>
      <w:r w:rsidRPr="00572F57" w:rsidR="008832FC">
        <w:t>vacate its order overruling the County’s demurrer and to enter a new order sustaining the demurrer without leave to amend (</w:t>
      </w:r>
      <w:r w:rsidRPr="00572F57" w:rsidR="008832FC">
        <w:rPr>
          <w:i/>
          <w:iCs/>
        </w:rPr>
        <w:t>id</w:t>
      </w:r>
      <w:r w:rsidRPr="00572F57" w:rsidR="008832FC">
        <w:t>. at pp.</w:t>
      </w:r>
      <w:r w:rsidR="0037161A">
        <w:t> </w:t>
      </w:r>
      <w:r w:rsidRPr="00572F57" w:rsidR="008832FC">
        <w:t xml:space="preserve">1035–1036).  </w:t>
      </w:r>
    </w:p>
    <w:p w:rsidR="0012799D" w:rsidRPr="00572F57" w:rsidP="007752D0" w14:paraId="080473AE" w14:textId="48CB97A2">
      <w:pPr>
        <w:tabs>
          <w:tab w:val="left" w:pos="1440"/>
        </w:tabs>
        <w:ind w:firstLine="720"/>
      </w:pPr>
      <w:r w:rsidRPr="00572F57">
        <w:t xml:space="preserve">The Court of Appeal </w:t>
      </w:r>
      <w:r w:rsidRPr="00572F57" w:rsidR="005334A5">
        <w:t>acknowledged that under its</w:t>
      </w:r>
      <w:r w:rsidRPr="00572F57" w:rsidR="00F356E1">
        <w:t xml:space="preserve"> interpretation of the relevant statutes</w:t>
      </w:r>
      <w:r w:rsidRPr="00572F57" w:rsidR="005334A5">
        <w:t>,</w:t>
      </w:r>
      <w:r w:rsidRPr="00572F57" w:rsidR="00F356E1">
        <w:t xml:space="preserve"> </w:t>
      </w:r>
      <w:r w:rsidRPr="00572F57" w:rsidR="005334A5">
        <w:t>“</w:t>
      </w:r>
      <w:r w:rsidRPr="00572F57" w:rsidR="00F356E1">
        <w:t>a provider has greater remedies against a private health</w:t>
      </w:r>
      <w:r w:rsidRPr="00572F57" w:rsidR="0084179B">
        <w:t xml:space="preserve"> </w:t>
      </w:r>
      <w:r w:rsidRPr="00572F57" w:rsidR="00F356E1">
        <w:t xml:space="preserve">care </w:t>
      </w:r>
      <w:r w:rsidRPr="00572F57" w:rsidR="0084179B">
        <w:t xml:space="preserve">service </w:t>
      </w:r>
      <w:r w:rsidRPr="00572F57" w:rsidR="00F356E1">
        <w:t>plan tha</w:t>
      </w:r>
      <w:r w:rsidRPr="00572F57" w:rsidR="00A221A0">
        <w:t>n</w:t>
      </w:r>
      <w:r w:rsidRPr="00572F57" w:rsidR="00F356E1">
        <w:t xml:space="preserve"> it does against a public entity health care service plan.</w:t>
      </w:r>
      <w:r w:rsidRPr="00572F57" w:rsidR="002B74FA">
        <w:t>”  (</w:t>
      </w:r>
      <w:r w:rsidRPr="00572F57" w:rsidR="002B74FA">
        <w:rPr>
          <w:i/>
          <w:iCs/>
        </w:rPr>
        <w:t>Santa Clara</w:t>
      </w:r>
      <w:r w:rsidRPr="00572F57" w:rsidR="002B74FA">
        <w:t xml:space="preserve">, </w:t>
      </w:r>
      <w:r w:rsidRPr="00572F57" w:rsidR="002B74FA">
        <w:rPr>
          <w:i/>
          <w:iCs/>
        </w:rPr>
        <w:t>supra</w:t>
      </w:r>
      <w:r w:rsidRPr="00572F57" w:rsidR="002B74FA">
        <w:t>, 77 Cal.App.5th at p. 1032.)</w:t>
      </w:r>
      <w:r w:rsidRPr="00572F57" w:rsidR="00FB6488">
        <w:t xml:space="preserve">  </w:t>
      </w:r>
      <w:r w:rsidRPr="00572F57" w:rsidR="001079D7">
        <w:t>The</w:t>
      </w:r>
      <w:r w:rsidRPr="00572F57" w:rsidR="00693262">
        <w:t xml:space="preserve"> court viewed that result </w:t>
      </w:r>
      <w:r w:rsidRPr="00572F57" w:rsidR="00C36276">
        <w:t>as being</w:t>
      </w:r>
      <w:r w:rsidRPr="00572F57" w:rsidR="00693262">
        <w:t xml:space="preserve"> “</w:t>
      </w:r>
      <w:r w:rsidRPr="00572F57" w:rsidR="00423077">
        <w:t>driven by the Legislature broadly immunizing public entities f</w:t>
      </w:r>
      <w:r w:rsidRPr="00572F57" w:rsidR="00C36276">
        <w:t>ro</w:t>
      </w:r>
      <w:r w:rsidRPr="00572F57" w:rsidR="00423077">
        <w:t xml:space="preserve">m common law claims and electing not to abrogate that immunity in the context presented here.”  </w:t>
      </w:r>
      <w:r w:rsidRPr="00572F57" w:rsidR="00C36276">
        <w:t>(</w:t>
      </w:r>
      <w:r w:rsidRPr="00572F57" w:rsidR="00C36276">
        <w:rPr>
          <w:i/>
          <w:iCs/>
        </w:rPr>
        <w:t>Id</w:t>
      </w:r>
      <w:r w:rsidRPr="00572F57" w:rsidR="00C36276">
        <w:t>.</w:t>
      </w:r>
      <w:r w:rsidR="00FC030E">
        <w:rPr>
          <w:i/>
          <w:iCs/>
        </w:rPr>
        <w:t xml:space="preserve"> </w:t>
      </w:r>
      <w:r w:rsidR="00FC030E">
        <w:t>at p. 1032, fn. omitted.</w:t>
      </w:r>
      <w:r w:rsidRPr="00572F57" w:rsidR="00C36276">
        <w:t>)</w:t>
      </w:r>
      <w:r w:rsidRPr="00572F57">
        <w:t xml:space="preserve"> </w:t>
      </w:r>
      <w:r w:rsidRPr="00572F57" w:rsidR="00A221A0">
        <w:t xml:space="preserve"> </w:t>
      </w:r>
    </w:p>
    <w:p w:rsidR="00F5106B" w:rsidRPr="00572F57" w:rsidP="007752D0" w14:paraId="074214E1" w14:textId="09EB0035">
      <w:pPr>
        <w:tabs>
          <w:tab w:val="left" w:pos="1440"/>
        </w:tabs>
        <w:ind w:firstLine="720"/>
      </w:pPr>
      <w:r w:rsidRPr="00572F57">
        <w:t xml:space="preserve">We granted the Hospitals’ petition for review. </w:t>
      </w:r>
      <w:r w:rsidR="003C4FEA">
        <w:t xml:space="preserve"> </w:t>
      </w:r>
    </w:p>
    <w:p w:rsidR="001D6191" w:rsidRPr="00572F57" w:rsidP="00572F57" w14:paraId="5A5626A8" w14:textId="365CDE1D">
      <w:pPr>
        <w:pStyle w:val="Heading1"/>
      </w:pPr>
      <w:r w:rsidRPr="00572F57">
        <w:t xml:space="preserve">II.  </w:t>
      </w:r>
      <w:r w:rsidRPr="00572F57">
        <w:t>Discussion</w:t>
      </w:r>
    </w:p>
    <w:p w:rsidR="00626974" w:rsidRPr="00572F57" w:rsidP="00572F57" w14:paraId="36EB6460" w14:textId="5A30915E">
      <w:pPr>
        <w:pStyle w:val="Heading2"/>
        <w:numPr>
          <w:ilvl w:val="0"/>
          <w:numId w:val="8"/>
        </w:numPr>
      </w:pPr>
      <w:r w:rsidRPr="00572F57">
        <w:t>Standard of Review</w:t>
      </w:r>
      <w:r w:rsidRPr="00572F57" w:rsidR="00033995">
        <w:t xml:space="preserve"> </w:t>
      </w:r>
    </w:p>
    <w:p w:rsidR="001C238E" w:rsidRPr="00572F57" w:rsidP="003C4FEA" w14:paraId="23C1DF32" w14:textId="652EF57B">
      <w:pPr>
        <w:ind w:firstLine="720"/>
      </w:pPr>
      <w:r w:rsidRPr="00572F57">
        <w:t>W</w:t>
      </w:r>
      <w:r w:rsidRPr="00572F57">
        <w:t>hen the Court of Appeal grants a writ petition challenging the trial court’s order overruling a demurrer and directs it to sustain the demurrer</w:t>
      </w:r>
      <w:r w:rsidRPr="00572F57">
        <w:t xml:space="preserve">, </w:t>
      </w:r>
      <w:r w:rsidRPr="00572F57" w:rsidR="001C277B">
        <w:t>“</w:t>
      </w:r>
      <w:r w:rsidRPr="00572F57">
        <w:t>the ordinary standards of demurrer review still apply</w:t>
      </w:r>
      <w:r w:rsidRPr="00572F57">
        <w:t>.</w:t>
      </w:r>
      <w:r w:rsidRPr="00572F57" w:rsidR="001C277B">
        <w:t>”</w:t>
      </w:r>
      <w:r w:rsidRPr="00572F57">
        <w:t xml:space="preserve">  (</w:t>
      </w:r>
      <w:r w:rsidRPr="00572F57">
        <w:rPr>
          <w:i/>
          <w:iCs/>
        </w:rPr>
        <w:t>City of Stockton v. Superior Court</w:t>
      </w:r>
      <w:r w:rsidRPr="00572F57">
        <w:t xml:space="preserve"> (2007) 42 Cal.4th 730, 747 (</w:t>
      </w:r>
      <w:r w:rsidRPr="00572F57">
        <w:rPr>
          <w:i/>
          <w:iCs/>
        </w:rPr>
        <w:t>City of Stockton</w:t>
      </w:r>
      <w:r w:rsidRPr="00572F57">
        <w:t xml:space="preserve">).)  </w:t>
      </w:r>
      <w:r w:rsidRPr="00572F57" w:rsidR="005E2C63">
        <w:t xml:space="preserve">“We give the complaint a reasonable interpretation, reading it as a whole and its parts in their context.  [Citation.]  Further, we treat the demurrer as admitting all material facts properly pleaded, but do not assume the truth of contentions, deductions or conclusions of law.  [Citations.]  When a demurrer is sustained, we determine whether the complaint states facts sufficient to constitute a cause of action.  [Citation.]  And when it is sustained without leave to amend, we decide whether there is a reasonable possibility that the defect can be cured by amendment: </w:t>
      </w:r>
      <w:r w:rsidRPr="00572F57" w:rsidR="00A221A0">
        <w:t xml:space="preserve"> </w:t>
      </w:r>
      <w:r w:rsidRPr="00572F57" w:rsidR="005E2C63">
        <w:t xml:space="preserve">if it can be, the </w:t>
      </w:r>
      <w:r w:rsidRPr="00572F57" w:rsidR="003B4B16">
        <w:t>trial court</w:t>
      </w:r>
      <w:r w:rsidRPr="00572F57" w:rsidR="005E2C63">
        <w:t xml:space="preserve"> has abused its discretion and we reverse.”</w:t>
      </w:r>
      <w:r w:rsidRPr="00572F57">
        <w:t xml:space="preserve"> </w:t>
      </w:r>
      <w:r w:rsidRPr="00572F57" w:rsidR="00775157">
        <w:t xml:space="preserve"> (</w:t>
      </w:r>
      <w:r w:rsidRPr="00572F57" w:rsidR="00775157">
        <w:rPr>
          <w:i/>
          <w:iCs/>
        </w:rPr>
        <w:t>City of Dinuba v. County of Tulare</w:t>
      </w:r>
      <w:r w:rsidRPr="00572F57" w:rsidR="00775157">
        <w:t xml:space="preserve"> (2007) 41 Cal.4th</w:t>
      </w:r>
      <w:r w:rsidRPr="00572F57" w:rsidR="00775157">
        <w:rPr>
          <w:vertAlign w:val="superscript"/>
        </w:rPr>
        <w:t xml:space="preserve"> </w:t>
      </w:r>
      <w:r w:rsidRPr="00572F57" w:rsidR="00775157">
        <w:t>859, 865 (</w:t>
      </w:r>
      <w:r w:rsidRPr="00572F57" w:rsidR="00775157">
        <w:rPr>
          <w:i/>
          <w:iCs/>
        </w:rPr>
        <w:t>City of Dinuba</w:t>
      </w:r>
      <w:r w:rsidRPr="00572F57" w:rsidR="00775157">
        <w:t>)</w:t>
      </w:r>
      <w:r w:rsidRPr="00572F57" w:rsidR="003C70F3">
        <w:t xml:space="preserve">; </w:t>
      </w:r>
      <w:r w:rsidR="001C6B6B">
        <w:t xml:space="preserve">see also </w:t>
      </w:r>
      <w:r w:rsidRPr="00572F57" w:rsidR="003C70F3">
        <w:rPr>
          <w:i/>
          <w:iCs/>
        </w:rPr>
        <w:t>Aubry v. Tri-City Hospital Dist.</w:t>
      </w:r>
      <w:r w:rsidRPr="00572F57" w:rsidR="003C70F3">
        <w:t xml:space="preserve"> (</w:t>
      </w:r>
      <w:r w:rsidRPr="00572F57" w:rsidR="00DF2B1E">
        <w:t>1992) 2</w:t>
      </w:r>
      <w:r w:rsidR="0037161A">
        <w:t> </w:t>
      </w:r>
      <w:r w:rsidRPr="00572F57" w:rsidR="00DF2B1E">
        <w:t>Cal.4th 962, 966–967</w:t>
      </w:r>
      <w:r w:rsidRPr="00572F57" w:rsidR="00775157">
        <w:t>.)</w:t>
      </w:r>
    </w:p>
    <w:p w:rsidR="003E6923" w:rsidRPr="00572F57" w:rsidP="00572F57" w14:paraId="23D5A8E6" w14:textId="32001C57">
      <w:pPr>
        <w:pStyle w:val="Heading2"/>
        <w:numPr>
          <w:ilvl w:val="0"/>
          <w:numId w:val="8"/>
        </w:numPr>
      </w:pPr>
      <w:r w:rsidRPr="00572F57">
        <w:t xml:space="preserve">The </w:t>
      </w:r>
      <w:r w:rsidR="003C6D9B">
        <w:t>Knox-Keene</w:t>
      </w:r>
      <w:r w:rsidRPr="00572F57">
        <w:t xml:space="preserve"> Act and </w:t>
      </w:r>
      <w:r w:rsidRPr="00572F57" w:rsidR="00526962">
        <w:t>I</w:t>
      </w:r>
      <w:r w:rsidRPr="00572F57">
        <w:t xml:space="preserve">mplementing </w:t>
      </w:r>
      <w:r w:rsidRPr="00572F57" w:rsidR="00526962">
        <w:t>R</w:t>
      </w:r>
      <w:r w:rsidRPr="00572F57">
        <w:t>egulations</w:t>
      </w:r>
    </w:p>
    <w:p w:rsidR="003E6923" w:rsidRPr="00572F57" w:rsidP="006C21F1" w14:paraId="5ED836B7" w14:textId="59BF7420">
      <w:pPr>
        <w:ind w:firstLine="720"/>
      </w:pPr>
      <w:r w:rsidRPr="00572F57">
        <w:t xml:space="preserve">“ ‘The </w:t>
      </w:r>
      <w:r w:rsidR="003C6D9B">
        <w:t>Knox-Keene</w:t>
      </w:r>
      <w:r w:rsidRPr="00572F57">
        <w:t xml:space="preserve"> Act is a comprehensive system of licensing and regulation under the jurisdiction of </w:t>
      </w:r>
      <w:r w:rsidRPr="00572F57" w:rsidR="000F5D55">
        <w:t>the Department of Managed Health Care</w:t>
      </w:r>
      <w:r w:rsidRPr="00572F57">
        <w:t>.’ ”  (</w:t>
      </w:r>
      <w:r w:rsidRPr="00572F57">
        <w:rPr>
          <w:i/>
          <w:iCs/>
        </w:rPr>
        <w:t>Prospect Medical Group</w:t>
      </w:r>
      <w:r w:rsidRPr="00572F57">
        <w:t>,</w:t>
      </w:r>
      <w:r w:rsidRPr="00572F57">
        <w:rPr>
          <w:i/>
          <w:iCs/>
        </w:rPr>
        <w:t xml:space="preserve"> </w:t>
      </w:r>
      <w:r w:rsidRPr="00572F57" w:rsidR="00FB5777">
        <w:rPr>
          <w:i/>
          <w:iCs/>
        </w:rPr>
        <w:t>supra</w:t>
      </w:r>
      <w:r w:rsidRPr="00572F57" w:rsidR="00FB5777">
        <w:t xml:space="preserve">, </w:t>
      </w:r>
      <w:r w:rsidRPr="00572F57">
        <w:t xml:space="preserve">45 Cal.4th </w:t>
      </w:r>
      <w:r w:rsidRPr="00572F57" w:rsidR="00FB5777">
        <w:t xml:space="preserve">at p. </w:t>
      </w:r>
      <w:r w:rsidRPr="00572F57" w:rsidR="00C269EC">
        <w:t xml:space="preserve">504.)  </w:t>
      </w:r>
      <w:r w:rsidRPr="00572F57" w:rsidR="00AC3400">
        <w:t xml:space="preserve">The </w:t>
      </w:r>
      <w:r w:rsidR="003C6D9B">
        <w:t>Knox-Keene</w:t>
      </w:r>
      <w:r w:rsidRPr="00572F57" w:rsidR="00FE188A">
        <w:t xml:space="preserve"> </w:t>
      </w:r>
      <w:r w:rsidRPr="00572F57" w:rsidR="00AC3400">
        <w:t xml:space="preserve">Act requires </w:t>
      </w:r>
      <w:r w:rsidRPr="00572F57" w:rsidR="00F97BA9">
        <w:t>every</w:t>
      </w:r>
      <w:r w:rsidRPr="00572F57" w:rsidR="00AC3400">
        <w:t xml:space="preserve"> health care service plan to be licensed by</w:t>
      </w:r>
      <w:r w:rsidRPr="00572F57" w:rsidR="003032CB">
        <w:t xml:space="preserve"> the</w:t>
      </w:r>
      <w:r w:rsidRPr="00572F57" w:rsidR="00AC3400">
        <w:t xml:space="preserve"> </w:t>
      </w:r>
      <w:r w:rsidRPr="00572F57" w:rsidR="009954AF">
        <w:t>DMHC</w:t>
      </w:r>
      <w:r w:rsidRPr="00572F57" w:rsidR="00AC3400">
        <w:t>.  (</w:t>
      </w:r>
      <w:r w:rsidRPr="00572F57" w:rsidR="00B728FA">
        <w:t>Health &amp; Saf. Code,</w:t>
      </w:r>
      <w:r w:rsidRPr="00572F57" w:rsidR="00AC3400">
        <w:t xml:space="preserve"> § 1349.)  </w:t>
      </w:r>
      <w:r w:rsidRPr="00572F57" w:rsidR="00A51107">
        <w:t>By its terms</w:t>
      </w:r>
      <w:r w:rsidRPr="00572F57" w:rsidR="0085045E">
        <w:t>,</w:t>
      </w:r>
      <w:r w:rsidRPr="00572F57" w:rsidR="00B550E4">
        <w:t xml:space="preserve"> </w:t>
      </w:r>
      <w:r w:rsidRPr="00572F57" w:rsidR="00A51107">
        <w:t xml:space="preserve">the </w:t>
      </w:r>
      <w:r w:rsidR="003C6D9B">
        <w:t>Knox-Keene</w:t>
      </w:r>
      <w:r w:rsidRPr="00572F57" w:rsidR="00FE188A">
        <w:t xml:space="preserve"> </w:t>
      </w:r>
      <w:r w:rsidRPr="00572F57" w:rsidR="00A51107">
        <w:t xml:space="preserve">Act applies </w:t>
      </w:r>
      <w:r w:rsidRPr="00572F57" w:rsidR="00853084">
        <w:t>to “any private or public entity</w:t>
      </w:r>
      <w:r w:rsidRPr="00572F57" w:rsidR="00AD5C50">
        <w:t xml:space="preserve">” operating a </w:t>
      </w:r>
      <w:r w:rsidRPr="00572F57" w:rsidR="001476EE">
        <w:t xml:space="preserve">licensed </w:t>
      </w:r>
      <w:r w:rsidRPr="00572F57" w:rsidR="00AD5C50">
        <w:t>health care service plan</w:t>
      </w:r>
      <w:r w:rsidRPr="00572F57" w:rsidR="00C4716C">
        <w:t>, subject to narrow exceptions not relevant here</w:t>
      </w:r>
      <w:r w:rsidRPr="00572F57" w:rsidR="00B550E4">
        <w:t>.  (</w:t>
      </w:r>
      <w:r w:rsidRPr="00572F57" w:rsidR="00236060">
        <w:rPr>
          <w:i/>
          <w:iCs/>
        </w:rPr>
        <w:t>Id</w:t>
      </w:r>
      <w:r w:rsidRPr="00572F57" w:rsidR="00236060">
        <w:t>.</w:t>
      </w:r>
      <w:r w:rsidRPr="00572F57" w:rsidR="00B550E4">
        <w:t xml:space="preserve">, § 1399.5; see </w:t>
      </w:r>
      <w:r w:rsidRPr="00572F57" w:rsidR="00B550E4">
        <w:rPr>
          <w:i/>
          <w:iCs/>
        </w:rPr>
        <w:t>id</w:t>
      </w:r>
      <w:r w:rsidRPr="00572F57" w:rsidR="00B550E4">
        <w:t>., § 1345, subd</w:t>
      </w:r>
      <w:r w:rsidRPr="00572F57" w:rsidR="00FA0C99">
        <w:t>s</w:t>
      </w:r>
      <w:r w:rsidRPr="00572F57" w:rsidR="00B550E4">
        <w:t xml:space="preserve">. </w:t>
      </w:r>
      <w:r w:rsidRPr="00572F57" w:rsidR="00FA0C99">
        <w:t>(f)</w:t>
      </w:r>
      <w:r w:rsidRPr="00572F57" w:rsidR="001476EE">
        <w:t>(1)</w:t>
      </w:r>
      <w:r w:rsidRPr="00572F57" w:rsidR="00FA0C99">
        <w:t xml:space="preserve">, </w:t>
      </w:r>
      <w:r w:rsidRPr="00572F57" w:rsidR="00B550E4">
        <w:t>(j)</w:t>
      </w:r>
      <w:r w:rsidRPr="00572F57" w:rsidR="00C02E7A">
        <w:t>.)</w:t>
      </w:r>
      <w:r w:rsidRPr="00572F57" w:rsidR="004C608B">
        <w:t xml:space="preserve">  </w:t>
      </w:r>
      <w:r w:rsidRPr="00572F57" w:rsidR="00FD00A4">
        <w:t xml:space="preserve">The </w:t>
      </w:r>
      <w:r w:rsidRPr="00572F57" w:rsidR="005F5A7E">
        <w:t xml:space="preserve">County-operated </w:t>
      </w:r>
      <w:r w:rsidRPr="00572F57" w:rsidR="00FD00A4">
        <w:t>Valley Health Plan</w:t>
      </w:r>
      <w:r w:rsidRPr="00572F57" w:rsidR="005F5A7E">
        <w:t xml:space="preserve"> is a </w:t>
      </w:r>
      <w:r w:rsidR="00143DC7">
        <w:t xml:space="preserve">licensed </w:t>
      </w:r>
      <w:r w:rsidRPr="00572F57" w:rsidR="005F5A7E">
        <w:t>health care service plan.</w:t>
      </w:r>
    </w:p>
    <w:p w:rsidR="007C30B7" w:rsidRPr="00572F57" w:rsidP="006C21F1" w14:paraId="5E77D231" w14:textId="0DE55CC2">
      <w:pPr>
        <w:ind w:firstLine="720"/>
      </w:pPr>
      <w:r w:rsidRPr="00572F57">
        <w:t xml:space="preserve">The purpose of the </w:t>
      </w:r>
      <w:r w:rsidR="003C6D9B">
        <w:t>Knox-Keene</w:t>
      </w:r>
      <w:r w:rsidRPr="00572F57">
        <w:t xml:space="preserve"> Act is “to promote the delivery and the quality of health and medical care to the people of the State of California who enroll in, or subscribe for the services rendered by, a health care service plan or specialized health care service plan.”  (Health &amp; Saf. Code, §</w:t>
      </w:r>
      <w:r w:rsidR="006B1463">
        <w:t> </w:t>
      </w:r>
      <w:r w:rsidRPr="00572F57">
        <w:t>1342.)  “The Legislature sought to accomplish this purpose by, among other things, (1)</w:t>
      </w:r>
      <w:r w:rsidRPr="00572F57" w:rsidR="00884A56">
        <w:t> </w:t>
      </w:r>
      <w:r w:rsidRPr="00572F57">
        <w:t>‘transferring the financial risk of health care from patients to providers’ in order to ‘[h]elp . . . ensure the best possible health care for the public at the lowest possible cost,’ (2)</w:t>
      </w:r>
      <w:r w:rsidRPr="00572F57" w:rsidR="00884A56">
        <w:t> </w:t>
      </w:r>
      <w:r w:rsidRPr="00572F57">
        <w:t>imposing ‘proper regulatory procedures’ in order to ‘[e]nsur[e] the financial stability’ of the system, and (3)</w:t>
      </w:r>
      <w:r w:rsidRPr="00572F57" w:rsidR="00884A56">
        <w:t> </w:t>
      </w:r>
      <w:r w:rsidRPr="00572F57">
        <w:t>establishing a system that ensures health care service plan ‘subscribers and enrollees receive available and accessible health and medical services rendered in a manner providing continuity of care.’</w:t>
      </w:r>
      <w:r w:rsidRPr="00572F57" w:rsidR="007526C0">
        <w:t> </w:t>
      </w:r>
      <w:r w:rsidRPr="00572F57">
        <w:t>”</w:t>
      </w:r>
      <w:r>
        <w:rPr>
          <w:rStyle w:val="FootnoteReference"/>
        </w:rPr>
        <w:footnoteReference w:id="3"/>
      </w:r>
      <w:r w:rsidRPr="00572F57">
        <w:t xml:space="preserve">  (</w:t>
      </w:r>
      <w:r w:rsidRPr="00572F57" w:rsidR="00050319">
        <w:rPr>
          <w:i/>
          <w:iCs/>
        </w:rPr>
        <w:t>Centinela Freeman Emergency Medical Associates v. Health Net of California, Inc</w:t>
      </w:r>
      <w:r w:rsidRPr="00572F57" w:rsidR="00050319">
        <w:t xml:space="preserve">. (2016) 1 Cal.5th 994, </w:t>
      </w:r>
      <w:r w:rsidRPr="00572F57">
        <w:t>1005</w:t>
      </w:r>
      <w:r w:rsidRPr="00572F57" w:rsidR="00050319">
        <w:t xml:space="preserve"> (</w:t>
      </w:r>
      <w:r w:rsidRPr="00572F57" w:rsidR="00050319">
        <w:rPr>
          <w:i/>
          <w:iCs/>
        </w:rPr>
        <w:t>Centinela</w:t>
      </w:r>
      <w:r w:rsidRPr="00572F57" w:rsidR="00050319">
        <w:t>)</w:t>
      </w:r>
      <w:r w:rsidR="001C6B6B">
        <w:t>, quoting Gov. Code, § 1342, subds. (d), (f), &amp; (g)</w:t>
      </w:r>
      <w:r w:rsidRPr="00572F57">
        <w:t xml:space="preserve">.)  </w:t>
      </w:r>
    </w:p>
    <w:p w:rsidR="00DD38E5" w:rsidRPr="00572F57" w:rsidP="006C21F1" w14:paraId="73B2754B" w14:textId="3243872B">
      <w:pPr>
        <w:ind w:firstLine="720"/>
      </w:pPr>
      <w:r w:rsidRPr="00572F57">
        <w:t xml:space="preserve">In 1994, the Legislature </w:t>
      </w:r>
      <w:r w:rsidRPr="00572F57" w:rsidR="008B6D1D">
        <w:t xml:space="preserve">amended the </w:t>
      </w:r>
      <w:r w:rsidR="003C6D9B">
        <w:t>Knox-Keene</w:t>
      </w:r>
      <w:r w:rsidRPr="00572F57" w:rsidR="00FE188A">
        <w:t xml:space="preserve"> </w:t>
      </w:r>
      <w:r w:rsidRPr="00572F57" w:rsidR="008B6D1D">
        <w:t xml:space="preserve">Act </w:t>
      </w:r>
      <w:r w:rsidRPr="00572F57" w:rsidR="005C4FE0">
        <w:t xml:space="preserve">to </w:t>
      </w:r>
      <w:r w:rsidRPr="00572F57" w:rsidR="00D61C44">
        <w:t xml:space="preserve">require </w:t>
      </w:r>
      <w:r w:rsidRPr="00572F57" w:rsidR="004E2418">
        <w:t>health care service plan</w:t>
      </w:r>
      <w:r w:rsidRPr="00572F57" w:rsidR="003A4E33">
        <w:t>s</w:t>
      </w:r>
      <w:r w:rsidRPr="00572F57" w:rsidR="004E2418">
        <w:t xml:space="preserve"> to </w:t>
      </w:r>
      <w:r w:rsidRPr="00572F57" w:rsidR="003A4E33">
        <w:t>“reimburse providers for emergency services and care provided to its enrollees, until the care results in stabilization of the enrollee.”</w:t>
      </w:r>
      <w:r w:rsidRPr="00572F57" w:rsidR="00F944F1">
        <w:t xml:space="preserve"> </w:t>
      </w:r>
      <w:r w:rsidRPr="00572F57" w:rsidR="00443813">
        <w:t xml:space="preserve"> </w:t>
      </w:r>
      <w:r w:rsidRPr="00572F57" w:rsidR="00A25E1F">
        <w:t>(</w:t>
      </w:r>
      <w:r w:rsidRPr="00572F57" w:rsidR="003A4E33">
        <w:t>Health &amp; Saf. Code, § 1371.4, subd. (b)</w:t>
      </w:r>
      <w:r w:rsidR="00DF4E8C">
        <w:t xml:space="preserve">, added by </w:t>
      </w:r>
      <w:r w:rsidRPr="00572F57" w:rsidR="00A25E1F">
        <w:t>Stats. 1994, ch. 614</w:t>
      </w:r>
      <w:r w:rsidR="00DF4E8C">
        <w:t>, § </w:t>
      </w:r>
      <w:r w:rsidR="005C0723">
        <w:t>4</w:t>
      </w:r>
      <w:r w:rsidRPr="00572F57" w:rsidR="00A25E1F">
        <w:t>.</w:t>
      </w:r>
      <w:r w:rsidRPr="00572F57" w:rsidR="003A4E33">
        <w:t xml:space="preserve">)  </w:t>
      </w:r>
      <w:r w:rsidRPr="00572F57" w:rsidR="00353FB5">
        <w:t xml:space="preserve">According to one legislative analysis, the </w:t>
      </w:r>
      <w:r w:rsidRPr="00572F57" w:rsidR="00802735">
        <w:t>purpose of Health and Safety Code section</w:t>
      </w:r>
      <w:r w:rsidRPr="00572F57" w:rsidR="00D61C44">
        <w:t> </w:t>
      </w:r>
      <w:r w:rsidRPr="00572F57" w:rsidR="00802735">
        <w:t xml:space="preserve">1371.4 </w:t>
      </w:r>
      <w:r w:rsidRPr="00572F57" w:rsidR="00314D30">
        <w:t>i</w:t>
      </w:r>
      <w:r w:rsidRPr="00572F57" w:rsidR="00802735">
        <w:t xml:space="preserve">s to eliminate “incentives for carriers to deny care </w:t>
      </w:r>
      <w:r w:rsidRPr="00572F57" w:rsidR="00007D2F">
        <w:t xml:space="preserve">to patients </w:t>
      </w:r>
      <w:r w:rsidRPr="00572F57" w:rsidR="00802735">
        <w:t>and reduce payments to physicians.”  (S</w:t>
      </w:r>
      <w:r w:rsidRPr="00572F57" w:rsidR="00353FB5">
        <w:t>en</w:t>
      </w:r>
      <w:r w:rsidRPr="00572F57" w:rsidR="00802735">
        <w:t>. Rules Com., Off</w:t>
      </w:r>
      <w:r w:rsidRPr="00572F57" w:rsidR="00CE371D">
        <w:t>.</w:t>
      </w:r>
      <w:r w:rsidRPr="00572F57" w:rsidR="00802735">
        <w:t xml:space="preserve"> of S</w:t>
      </w:r>
      <w:r w:rsidRPr="00572F57" w:rsidR="007E24E7">
        <w:t>en</w:t>
      </w:r>
      <w:r w:rsidRPr="00572F57" w:rsidR="00802735">
        <w:t>. Floor Analyses, Analysis of Sen</w:t>
      </w:r>
      <w:r w:rsidRPr="00572F57" w:rsidR="00177673">
        <w:t>.</w:t>
      </w:r>
      <w:r w:rsidRPr="00572F57" w:rsidR="00802735">
        <w:t xml:space="preserve"> Bill No. 1832 (1993–1994 Reg. Sess.) as amended May</w:t>
      </w:r>
      <w:r w:rsidR="006B1463">
        <w:t> </w:t>
      </w:r>
      <w:r w:rsidR="000A43C6">
        <w:t>4</w:t>
      </w:r>
      <w:r w:rsidRPr="00572F57" w:rsidR="00802735">
        <w:t>, 1994</w:t>
      </w:r>
      <w:r w:rsidRPr="00572F57" w:rsidR="007E24E7">
        <w:t>, p.</w:t>
      </w:r>
      <w:r w:rsidR="006B1463">
        <w:t> </w:t>
      </w:r>
      <w:r w:rsidRPr="00572F57" w:rsidR="00007516">
        <w:t>3</w:t>
      </w:r>
      <w:r w:rsidRPr="00572F57" w:rsidR="00802735">
        <w:t xml:space="preserve">.) </w:t>
      </w:r>
      <w:r w:rsidRPr="00572F57" w:rsidR="00C574F7">
        <w:t xml:space="preserve"> </w:t>
      </w:r>
      <w:r w:rsidR="009B09FE">
        <w:t xml:space="preserve">As the County acknowledges, </w:t>
      </w:r>
      <w:r w:rsidR="00CC36A9">
        <w:t xml:space="preserve">the </w:t>
      </w:r>
      <w:r w:rsidR="003C6D9B">
        <w:t>Knox-Keene</w:t>
      </w:r>
      <w:r w:rsidR="00CC36A9">
        <w:t xml:space="preserve"> Act imposes a duty on </w:t>
      </w:r>
      <w:r w:rsidR="005317C3">
        <w:t xml:space="preserve">health care service plans to reimburse medical providers for </w:t>
      </w:r>
      <w:r w:rsidR="00F054E2">
        <w:t xml:space="preserve">the reasonable and customary value of the </w:t>
      </w:r>
      <w:r w:rsidR="00CC36A9">
        <w:t>emergency service and care provided.</w:t>
      </w:r>
    </w:p>
    <w:p w:rsidR="00274BFF" w:rsidRPr="00572F57" w:rsidP="006C21F1" w14:paraId="6089CD50" w14:textId="63C7F4D2">
      <w:pPr>
        <w:ind w:firstLine="720"/>
      </w:pPr>
      <w:r w:rsidRPr="00572F57">
        <w:t xml:space="preserve">The </w:t>
      </w:r>
      <w:r w:rsidR="003C6D9B">
        <w:t>Knox-Keene</w:t>
      </w:r>
      <w:r w:rsidRPr="00572F57">
        <w:t xml:space="preserve"> Act assigns a significant implementation role to the DMHC.  </w:t>
      </w:r>
      <w:r w:rsidRPr="00572F57" w:rsidR="00D70CFF">
        <w:t>“</w:t>
      </w:r>
      <w:r w:rsidRPr="00572F57" w:rsidR="00F71FF4">
        <w:t xml:space="preserve">The </w:t>
      </w:r>
      <w:r w:rsidRPr="00572F57" w:rsidR="00D70CFF">
        <w:t>[</w:t>
      </w:r>
      <w:r w:rsidRPr="00572F57" w:rsidR="009954AF">
        <w:t>DMHC</w:t>
      </w:r>
      <w:r w:rsidRPr="00572F57" w:rsidR="00D70CFF">
        <w:t>]</w:t>
      </w:r>
      <w:r w:rsidRPr="00572F57" w:rsidR="00DC3035">
        <w:t xml:space="preserve"> is charged with the administration and enforcement of the laws relating to health care service plans.</w:t>
      </w:r>
      <w:r w:rsidRPr="00572F57" w:rsidR="00DA10B6">
        <w:t xml:space="preserve">  </w:t>
      </w:r>
      <w:r w:rsidRPr="00572F57" w:rsidR="00314D30">
        <w:t>[Citation.]</w:t>
      </w:r>
      <w:r w:rsidRPr="00572F57" w:rsidR="00DA10B6">
        <w:t xml:space="preserve">  To carry out its duties, </w:t>
      </w:r>
      <w:r w:rsidRPr="00572F57" w:rsidR="00482DBF">
        <w:t>the</w:t>
      </w:r>
      <w:r w:rsidRPr="00572F57" w:rsidR="00DA10B6">
        <w:t xml:space="preserve"> DMHC is authorized to promulgate regulations.</w:t>
      </w:r>
      <w:r w:rsidRPr="00572F57" w:rsidR="00BF4070">
        <w:t>”  (</w:t>
      </w:r>
      <w:r w:rsidRPr="00572F57" w:rsidR="00BF4070">
        <w:rPr>
          <w:i/>
          <w:iCs/>
        </w:rPr>
        <w:t>Children’s Hospital Central California v. Blue Cross of California</w:t>
      </w:r>
      <w:r w:rsidRPr="00572F57" w:rsidR="00BF4070">
        <w:t xml:space="preserve"> (2014) 2</w:t>
      </w:r>
      <w:r w:rsidRPr="00572F57" w:rsidR="00C50CA0">
        <w:t>2</w:t>
      </w:r>
      <w:r w:rsidRPr="00572F57" w:rsidR="00BF4070">
        <w:t>6</w:t>
      </w:r>
      <w:r w:rsidR="005C7CB8">
        <w:t> </w:t>
      </w:r>
      <w:r w:rsidRPr="00572F57" w:rsidR="00BF4070">
        <w:t>Cal.App.4th 1260, 1271</w:t>
      </w:r>
      <w:r w:rsidRPr="00572F57" w:rsidR="00D70CFF">
        <w:t xml:space="preserve"> (</w:t>
      </w:r>
      <w:r w:rsidRPr="00572F57" w:rsidR="00D70CFF">
        <w:rPr>
          <w:i/>
          <w:iCs/>
        </w:rPr>
        <w:t>Children’s Hospital</w:t>
      </w:r>
      <w:r w:rsidRPr="00572F57" w:rsidR="00D70CFF">
        <w:t>)</w:t>
      </w:r>
      <w:r w:rsidRPr="00572F57" w:rsidR="00DA10B6">
        <w:t>.)</w:t>
      </w:r>
      <w:r w:rsidRPr="00572F57" w:rsidR="00DC3035">
        <w:t xml:space="preserve">  </w:t>
      </w:r>
    </w:p>
    <w:p w:rsidR="00FE4559" w:rsidRPr="00572F57" w:rsidP="006C21F1" w14:paraId="060411D8" w14:textId="4787D366">
      <w:pPr>
        <w:ind w:firstLine="720"/>
      </w:pPr>
      <w:r w:rsidRPr="00572F57">
        <w:t xml:space="preserve">Following the Legislature’s enactment of </w:t>
      </w:r>
      <w:r w:rsidRPr="00572F57" w:rsidR="00B166A9">
        <w:t xml:space="preserve">Health and Safety Code </w:t>
      </w:r>
      <w:r w:rsidRPr="00572F57">
        <w:t>section</w:t>
      </w:r>
      <w:r w:rsidRPr="00572F57" w:rsidR="002229C9">
        <w:t> </w:t>
      </w:r>
      <w:r w:rsidRPr="00572F57">
        <w:t xml:space="preserve">1371.4, </w:t>
      </w:r>
      <w:r w:rsidRPr="00572F57" w:rsidR="00870527">
        <w:t xml:space="preserve">the </w:t>
      </w:r>
      <w:r w:rsidRPr="00572F57">
        <w:t xml:space="preserve">DMHC </w:t>
      </w:r>
      <w:r w:rsidRPr="00572F57" w:rsidR="00EB3234">
        <w:t>promulgated</w:t>
      </w:r>
      <w:r w:rsidRPr="00572F57" w:rsidR="00B604CC">
        <w:t xml:space="preserve"> </w:t>
      </w:r>
      <w:r w:rsidRPr="00572F57">
        <w:t>s</w:t>
      </w:r>
      <w:r w:rsidRPr="00572F57" w:rsidR="00EB274F">
        <w:t>ection</w:t>
      </w:r>
      <w:r w:rsidR="003F0514">
        <w:t> </w:t>
      </w:r>
      <w:r w:rsidRPr="00572F57" w:rsidR="00EB274F">
        <w:t>1300.71 of title 28 of the California Code of Regulations</w:t>
      </w:r>
      <w:r w:rsidRPr="00572F57" w:rsidR="00551C37">
        <w:t xml:space="preserve"> </w:t>
      </w:r>
      <w:r w:rsidRPr="00572F57" w:rsidR="00EB274F">
        <w:t>(</w:t>
      </w:r>
      <w:r w:rsidRPr="00572F57" w:rsidR="004703CE">
        <w:t>here</w:t>
      </w:r>
      <w:r w:rsidRPr="00572F57" w:rsidR="000B6EC8">
        <w:t>in</w:t>
      </w:r>
      <w:r w:rsidRPr="00572F57" w:rsidR="004703CE">
        <w:t xml:space="preserve">after </w:t>
      </w:r>
      <w:r w:rsidRPr="00572F57" w:rsidR="00D073FD">
        <w:t>R</w:t>
      </w:r>
      <w:r w:rsidRPr="00572F57" w:rsidR="00EB274F">
        <w:t>egulation 1300.71)</w:t>
      </w:r>
      <w:r w:rsidR="00723C24">
        <w:t>.</w:t>
      </w:r>
      <w:r w:rsidRPr="00572F57" w:rsidR="004703CE">
        <w:t xml:space="preserve"> </w:t>
      </w:r>
      <w:r w:rsidRPr="00572F57" w:rsidR="00551C37">
        <w:t xml:space="preserve"> </w:t>
      </w:r>
      <w:r w:rsidRPr="00572F57" w:rsidR="007F17FB">
        <w:t>Regulation 1300.71</w:t>
      </w:r>
      <w:r w:rsidRPr="00572F57" w:rsidR="00FC1D01">
        <w:t xml:space="preserve"> </w:t>
      </w:r>
      <w:r w:rsidRPr="00572F57" w:rsidR="005A782E">
        <w:t>sets forth</w:t>
      </w:r>
      <w:r w:rsidRPr="00572F57" w:rsidR="006514EB">
        <w:t xml:space="preserve"> the </w:t>
      </w:r>
      <w:r w:rsidRPr="00572F57" w:rsidR="005A782E">
        <w:t>reimbursement</w:t>
      </w:r>
      <w:r w:rsidRPr="00572F57" w:rsidR="007E24E7">
        <w:t xml:space="preserve"> standards</w:t>
      </w:r>
      <w:r w:rsidRPr="00572F57" w:rsidR="005A782E">
        <w:t xml:space="preserve"> for contracting and noncontracting </w:t>
      </w:r>
      <w:r w:rsidR="007E15B6">
        <w:t xml:space="preserve">emergency medical </w:t>
      </w:r>
      <w:r w:rsidRPr="00572F57" w:rsidR="005A782E">
        <w:t xml:space="preserve">providers.  </w:t>
      </w:r>
      <w:r w:rsidRPr="00572F57">
        <w:t>“The amount of reimbursement depends upon whether the hospital and plan already have a contract in place</w:t>
      </w:r>
      <w:r w:rsidRPr="00572F57" w:rsidR="004E41DE">
        <w:t> </w:t>
      </w:r>
      <w:r w:rsidRPr="00572F57">
        <w:t>.</w:t>
      </w:r>
      <w:r w:rsidRPr="00572F57" w:rsidR="004E41DE">
        <w:t> . . .</w:t>
      </w:r>
      <w:r w:rsidRPr="00572F57">
        <w:t>”  (</w:t>
      </w:r>
      <w:r w:rsidRPr="00572F57">
        <w:rPr>
          <w:i/>
          <w:iCs/>
        </w:rPr>
        <w:t xml:space="preserve">Long Beach Memorial Medical Center v. Kaiser Foundation Health Plan, Inc. </w:t>
      </w:r>
      <w:r w:rsidRPr="00572F57">
        <w:t>(2021) 71</w:t>
      </w:r>
      <w:r w:rsidR="003F0514">
        <w:t> </w:t>
      </w:r>
      <w:r w:rsidRPr="00572F57">
        <w:t>Cal.App</w:t>
      </w:r>
      <w:r w:rsidRPr="00572F57" w:rsidR="00AF6D0A">
        <w:t>.</w:t>
      </w:r>
      <w:r w:rsidRPr="00572F57">
        <w:t>5th 323, 329 (</w:t>
      </w:r>
      <w:r w:rsidRPr="00572F57">
        <w:rPr>
          <w:i/>
          <w:iCs/>
        </w:rPr>
        <w:t>Long Beach Memorial</w:t>
      </w:r>
      <w:r w:rsidRPr="00572F57">
        <w:t xml:space="preserve">).)  </w:t>
      </w:r>
      <w:r w:rsidRPr="00572F57" w:rsidR="0030313B">
        <w:t>If the hospital and plan already have a contract, the plan must pay the “agreed upon” contractual rate.  (Regulation 1300.71</w:t>
      </w:r>
      <w:r w:rsidR="006E32E5">
        <w:t>, subd.</w:t>
      </w:r>
      <w:r w:rsidR="003F0514">
        <w:t> </w:t>
      </w:r>
      <w:r w:rsidRPr="00572F57" w:rsidR="0030313B">
        <w:t xml:space="preserve">(a)(3)(A); </w:t>
      </w:r>
      <w:r w:rsidR="00723C24">
        <w:t xml:space="preserve">see also </w:t>
      </w:r>
      <w:r w:rsidRPr="00572F57" w:rsidR="0030313B">
        <w:rPr>
          <w:i/>
          <w:iCs/>
        </w:rPr>
        <w:t>Long Beach Memorial</w:t>
      </w:r>
      <w:r w:rsidRPr="00572F57" w:rsidR="0030313B">
        <w:t>, at p.</w:t>
      </w:r>
      <w:r w:rsidR="003F0514">
        <w:t> </w:t>
      </w:r>
      <w:r w:rsidRPr="00572F57" w:rsidR="0030313B">
        <w:t>329.)</w:t>
      </w:r>
      <w:r w:rsidRPr="00572F57" w:rsidR="00D61C44">
        <w:t xml:space="preserve">  </w:t>
      </w:r>
      <w:r w:rsidRPr="00572F57" w:rsidR="0030313B">
        <w:t xml:space="preserve">If the hospital and plan </w:t>
      </w:r>
      <w:r w:rsidRPr="00572F57" w:rsidR="00F766E3">
        <w:t xml:space="preserve">have not entered into a contract, the plan must pay the “reasonable and customary value for the </w:t>
      </w:r>
      <w:r w:rsidR="005F2E98">
        <w:t xml:space="preserve">[emergency] </w:t>
      </w:r>
      <w:r w:rsidRPr="00572F57" w:rsidR="00F766E3">
        <w:t>health care services rendered.”  (Regulation 1300.71</w:t>
      </w:r>
      <w:r w:rsidR="006E32E5">
        <w:t>, subd.</w:t>
      </w:r>
      <w:r w:rsidR="003F0514">
        <w:t> </w:t>
      </w:r>
      <w:r w:rsidRPr="00572F57" w:rsidR="00F766E3">
        <w:t xml:space="preserve">(a)(3)(B); </w:t>
      </w:r>
      <w:r w:rsidR="00723C24">
        <w:t xml:space="preserve">see also </w:t>
      </w:r>
      <w:r w:rsidRPr="00572F57" w:rsidR="00F766E3">
        <w:rPr>
          <w:i/>
          <w:iCs/>
        </w:rPr>
        <w:t>Long Beach Memorial</w:t>
      </w:r>
      <w:r w:rsidRPr="00572F57" w:rsidR="00F766E3">
        <w:t>, at p.</w:t>
      </w:r>
      <w:r w:rsidR="003F0514">
        <w:t> </w:t>
      </w:r>
      <w:r w:rsidRPr="00572F57" w:rsidR="00F766E3">
        <w:t>329.)</w:t>
      </w:r>
      <w:r w:rsidRPr="00572F57" w:rsidR="00D61C44">
        <w:t xml:space="preserve">  </w:t>
      </w:r>
    </w:p>
    <w:p w:rsidR="003B152D" w:rsidRPr="00572F57" w:rsidP="006C21F1" w14:paraId="2EFB4EC1" w14:textId="43EC217D">
      <w:pPr>
        <w:ind w:firstLine="720"/>
      </w:pPr>
      <w:r w:rsidRPr="00572F57">
        <w:t>Regulation 1300.71</w:t>
      </w:r>
      <w:r w:rsidRPr="00572F57" w:rsidR="0076057B">
        <w:t xml:space="preserve">, subdivision </w:t>
      </w:r>
      <w:r w:rsidRPr="00572F57">
        <w:t>(a)(3)(B)</w:t>
      </w:r>
      <w:r w:rsidRPr="00572F57" w:rsidR="00CA525A">
        <w:t xml:space="preserve"> </w:t>
      </w:r>
      <w:r w:rsidRPr="00572F57" w:rsidR="00FE0391">
        <w:t>specifies that the “reasonable and customary value for th</w:t>
      </w:r>
      <w:r w:rsidRPr="00572F57" w:rsidR="00375166">
        <w:t xml:space="preserve">e health care services” </w:t>
      </w:r>
      <w:r w:rsidR="005F2E98">
        <w:t xml:space="preserve">provided by a noncontracted emergency medical provider </w:t>
      </w:r>
      <w:r w:rsidRPr="00572F57" w:rsidR="00375166">
        <w:t xml:space="preserve">must be </w:t>
      </w:r>
      <w:r w:rsidRPr="00572F57" w:rsidR="00CA525A">
        <w:t>“</w:t>
      </w:r>
      <w:r w:rsidRPr="00572F57" w:rsidR="007A7160">
        <w:t>based upon statistically credible information that is updated at least annually and takes into consideration:</w:t>
      </w:r>
      <w:r w:rsidRPr="00572F57" w:rsidR="002229C9">
        <w:t xml:space="preserve"> </w:t>
      </w:r>
      <w:r w:rsidRPr="00572F57" w:rsidR="007A7160">
        <w:t xml:space="preserve"> (i)</w:t>
      </w:r>
      <w:r w:rsidR="003F0514">
        <w:t> </w:t>
      </w:r>
      <w:r w:rsidRPr="00572F57" w:rsidR="007A7160">
        <w:t>the provider’s training, qualifications, and length of time in practice; (ii)</w:t>
      </w:r>
      <w:r w:rsidR="003F0514">
        <w:t> </w:t>
      </w:r>
      <w:r w:rsidRPr="00572F57" w:rsidR="007A7160">
        <w:t>the nature of the services provided; (iii)</w:t>
      </w:r>
      <w:r w:rsidR="003F0514">
        <w:t> </w:t>
      </w:r>
      <w:r w:rsidRPr="00572F57" w:rsidR="007A7160">
        <w:t>the fees usually charged by the provider; (iv)</w:t>
      </w:r>
      <w:r w:rsidR="003F0514">
        <w:t> </w:t>
      </w:r>
      <w:r w:rsidRPr="00572F57" w:rsidR="007A7160">
        <w:t>prevailing provider rates charged in the general geographic area in which the services were rendered; (v)</w:t>
      </w:r>
      <w:r w:rsidR="003F0514">
        <w:t> </w:t>
      </w:r>
      <w:r w:rsidRPr="00572F57" w:rsidR="007A7160">
        <w:t>other aspects of the economics of the medical provider’s practice that are relevant; and (vi)</w:t>
      </w:r>
      <w:r w:rsidR="003F0514">
        <w:t> </w:t>
      </w:r>
      <w:r w:rsidRPr="00572F57" w:rsidR="007A7160">
        <w:t>any unusual circumstances in th</w:t>
      </w:r>
      <w:r w:rsidRPr="00572F57" w:rsidR="003D4EC1">
        <w:t xml:space="preserve">e </w:t>
      </w:r>
      <w:r w:rsidRPr="00572F57" w:rsidR="007A7160">
        <w:t>case.</w:t>
      </w:r>
      <w:r w:rsidRPr="00572F57" w:rsidR="00826CA2">
        <w:t>”</w:t>
      </w:r>
      <w:r>
        <w:rPr>
          <w:rStyle w:val="FootnoteReference"/>
        </w:rPr>
        <w:footnoteReference w:id="4"/>
      </w:r>
      <w:r w:rsidRPr="00572F57" w:rsidR="007E55ED">
        <w:t xml:space="preserve">  </w:t>
      </w:r>
    </w:p>
    <w:p w:rsidR="00F73BC2" w:rsidP="006C21F1" w14:paraId="77C75E3F" w14:textId="206CC5EA">
      <w:pPr>
        <w:ind w:firstLine="720"/>
      </w:pPr>
      <w:r w:rsidRPr="00572F57">
        <w:t xml:space="preserve">These factors provide a framework for reimbursement, but do not necessarily resolve every dispute regarding the proper amount of payment.  </w:t>
      </w:r>
      <w:r w:rsidRPr="00572F57" w:rsidR="00B764CD">
        <w:t>“In the final statement of reasons for [Regulation 1300.71</w:t>
      </w:r>
      <w:r w:rsidRPr="00572F57" w:rsidR="00B27B0D">
        <w:t>]</w:t>
      </w:r>
      <w:r w:rsidRPr="00572F57" w:rsidR="00B764CD">
        <w:t xml:space="preserve">, the DMHC explained that the intent was to establish a methodology for determining the reasonable value of health care services by noncontracted providers but that the criteria specified do not dictate a specific payment rate. </w:t>
      </w:r>
      <w:r w:rsidRPr="00572F57" w:rsidR="00DA315B">
        <w:t xml:space="preserve"> </w:t>
      </w:r>
      <w:r w:rsidRPr="00572F57" w:rsidR="00B764CD">
        <w:t xml:space="preserve">Rather, the payor is required to calculate the appropriate reimbursement based on statistically credible information that takes the </w:t>
      </w:r>
      <w:r w:rsidRPr="00572F57">
        <w:t xml:space="preserve">[specified] </w:t>
      </w:r>
      <w:r w:rsidRPr="00572F57" w:rsidR="00B764CD">
        <w:t xml:space="preserve">factors into consideration. </w:t>
      </w:r>
      <w:r w:rsidRPr="00572F57" w:rsidR="00DA315B">
        <w:t xml:space="preserve"> </w:t>
      </w:r>
      <w:r w:rsidRPr="00572F57" w:rsidR="00B764CD">
        <w:t xml:space="preserve">If a payor fulfills its claims payment obligation using these criteria, the DMHC will consider the payor compliant with Health and Safety Code sections 1371 and 1371.35, i.e., the reimbursement of the claim will be deemed timely. </w:t>
      </w:r>
      <w:r w:rsidRPr="00572F57" w:rsidR="00DA315B">
        <w:t xml:space="preserve"> ‘</w:t>
      </w:r>
      <w:r w:rsidRPr="00572F57" w:rsidR="00B764CD">
        <w:t xml:space="preserve">However, the definition is not a substitute for traditional forums for contract dispute resolution. </w:t>
      </w:r>
      <w:r w:rsidRPr="00572F57" w:rsidR="00DA315B">
        <w:t xml:space="preserve"> </w:t>
      </w:r>
      <w:r w:rsidRPr="00572F57" w:rsidR="00B764CD">
        <w:t>If a provider disputes the payor’s calculation of the fair and reasonable value of the health care services he has rendered, the provider is free to seek resolution of that dispute in a court of law or through any other available civil remedy.</w:t>
      </w:r>
      <w:r w:rsidRPr="00572F57" w:rsidR="00DA315B">
        <w:t xml:space="preserve">’ ” </w:t>
      </w:r>
      <w:r w:rsidRPr="00572F57" w:rsidR="00CB1054">
        <w:t xml:space="preserve"> (</w:t>
      </w:r>
      <w:r w:rsidRPr="00572F57" w:rsidR="00CB1054">
        <w:rPr>
          <w:i/>
          <w:iCs/>
        </w:rPr>
        <w:t>Children’s Hospital</w:t>
      </w:r>
      <w:r w:rsidRPr="00572F57" w:rsidR="00CB1054">
        <w:t xml:space="preserve">, </w:t>
      </w:r>
      <w:r w:rsidRPr="00572F57" w:rsidR="00CB1054">
        <w:rPr>
          <w:i/>
          <w:iCs/>
        </w:rPr>
        <w:t>supra</w:t>
      </w:r>
      <w:r w:rsidRPr="00572F57" w:rsidR="00CB1054">
        <w:t>, 226</w:t>
      </w:r>
      <w:r w:rsidR="006C4BFD">
        <w:t> </w:t>
      </w:r>
      <w:r w:rsidRPr="00572F57" w:rsidR="00CB1054">
        <w:t xml:space="preserve">Cal.App.4th </w:t>
      </w:r>
      <w:r w:rsidRPr="00572F57" w:rsidR="008C74C9">
        <w:t xml:space="preserve">at </w:t>
      </w:r>
      <w:r w:rsidRPr="00572F57" w:rsidR="00CB1054">
        <w:t>p.</w:t>
      </w:r>
      <w:r w:rsidR="006C4BFD">
        <w:t> </w:t>
      </w:r>
      <w:r w:rsidRPr="00572F57" w:rsidR="00CB1054">
        <w:t>1273.)</w:t>
      </w:r>
      <w:r w:rsidR="002E03DD">
        <w:t xml:space="preserve">  </w:t>
      </w:r>
    </w:p>
    <w:p w:rsidR="00B16DA2" w:rsidRPr="00572F57" w:rsidP="002E5B20" w14:paraId="2B7FA54C" w14:textId="58D4DEA8">
      <w:pPr>
        <w:ind w:firstLine="720"/>
      </w:pPr>
      <w:r w:rsidRPr="00572F57">
        <w:t xml:space="preserve">In this respect, </w:t>
      </w:r>
      <w:r w:rsidRPr="00572F57">
        <w:rPr>
          <w:i/>
          <w:iCs/>
        </w:rPr>
        <w:t xml:space="preserve">Children’s Hospital </w:t>
      </w:r>
      <w:r w:rsidRPr="00572F57">
        <w:t>further explained</w:t>
      </w:r>
      <w:r>
        <w:t xml:space="preserve"> that </w:t>
      </w:r>
      <w:r w:rsidRPr="00572F57">
        <w:t>in adopting Regulation 1300.71</w:t>
      </w:r>
      <w:r>
        <w:t>, subdivision</w:t>
      </w:r>
      <w:r w:rsidR="008C3419">
        <w:t> </w:t>
      </w:r>
      <w:r w:rsidRPr="00572F57">
        <w:t xml:space="preserve">(a)(3)(B), </w:t>
      </w:r>
      <w:r>
        <w:t>“</w:t>
      </w:r>
      <w:r w:rsidRPr="00572F57">
        <w:t>the DMHC intended that reasonable value be based on the concept of quantum meruit and that value disputes be resolved by the courts.</w:t>
      </w:r>
      <w:r w:rsidR="004271B5">
        <w:t xml:space="preserve">  In fact, </w:t>
      </w:r>
      <w:r w:rsidRPr="00572F57" w:rsidR="004271B5">
        <w:t xml:space="preserve">the DMHC has acknowledged that, unlike the courts, it ‘ “lacks the authority to set specific reimbursement rates under theories of </w:t>
      </w:r>
      <w:r w:rsidRPr="009945E0" w:rsidR="004271B5">
        <w:rPr>
          <w:i/>
        </w:rPr>
        <w:t>quantum meruit</w:t>
      </w:r>
      <w:r w:rsidRPr="00572F57" w:rsidR="004271B5">
        <w:t xml:space="preserve"> and the jurisdiction to enforce a reimbursement determination on both the provider and the health plan.” ’ ”  </w:t>
      </w:r>
      <w:r w:rsidR="008C3419">
        <w:t>(</w:t>
      </w:r>
      <w:r w:rsidRPr="00572F57" w:rsidR="004271B5">
        <w:rPr>
          <w:i/>
          <w:iCs/>
        </w:rPr>
        <w:t>Children’s Hospital</w:t>
      </w:r>
      <w:r w:rsidRPr="00572F57" w:rsidR="004271B5">
        <w:t xml:space="preserve">, </w:t>
      </w:r>
      <w:r w:rsidRPr="00572F57" w:rsidR="004271B5">
        <w:rPr>
          <w:i/>
          <w:iCs/>
        </w:rPr>
        <w:t>supra</w:t>
      </w:r>
      <w:r w:rsidRPr="00572F57" w:rsidR="004271B5">
        <w:t>, 226</w:t>
      </w:r>
      <w:r w:rsidR="008C3419">
        <w:t> </w:t>
      </w:r>
      <w:r w:rsidRPr="00572F57" w:rsidR="004271B5">
        <w:t>Cal.App.4th at p.</w:t>
      </w:r>
      <w:r w:rsidR="008C3419">
        <w:t> </w:t>
      </w:r>
      <w:r w:rsidRPr="00572F57" w:rsidR="004271B5">
        <w:t>1273.)</w:t>
      </w:r>
      <w:r w:rsidR="009E3BD7">
        <w:t xml:space="preserve">  </w:t>
      </w:r>
      <w:r w:rsidR="008540C5">
        <w:t xml:space="preserve">In a letter brief filed in </w:t>
      </w:r>
      <w:r w:rsidR="008540C5">
        <w:rPr>
          <w:i/>
          <w:iCs/>
        </w:rPr>
        <w:t>Bell</w:t>
      </w:r>
      <w:r w:rsidR="008540C5">
        <w:t>,</w:t>
      </w:r>
      <w:r w:rsidR="008540C5">
        <w:rPr>
          <w:i/>
          <w:iCs/>
        </w:rPr>
        <w:t xml:space="preserve"> </w:t>
      </w:r>
      <w:r w:rsidR="008540C5">
        <w:t>t</w:t>
      </w:r>
      <w:r w:rsidR="00A46E68">
        <w:t>he DMHC</w:t>
      </w:r>
      <w:r w:rsidR="0079348F">
        <w:t xml:space="preserve"> </w:t>
      </w:r>
      <w:r w:rsidR="003446C9">
        <w:t xml:space="preserve">elaborated on the limits of its </w:t>
      </w:r>
      <w:r w:rsidR="00CB3C99">
        <w:t>authority.</w:t>
      </w:r>
      <w:r>
        <w:rPr>
          <w:rStyle w:val="FootnoteReference"/>
        </w:rPr>
        <w:footnoteReference w:id="5"/>
      </w:r>
      <w:r w:rsidR="00CB3C99">
        <w:t xml:space="preserve">  It explained</w:t>
      </w:r>
      <w:r w:rsidR="008540C5">
        <w:t xml:space="preserve"> that although </w:t>
      </w:r>
      <w:r w:rsidR="00096281">
        <w:t>it</w:t>
      </w:r>
      <w:r w:rsidR="00862D6B">
        <w:t xml:space="preserve"> may direct a health care service plan to modify its reimbursement methodology if it finds a demonstrable and unjust payment pattern (Health &amp; Saf. Code, § 1371.37; Regulation 1300.71), </w:t>
      </w:r>
      <w:r w:rsidR="00AA0B2F">
        <w:t>“</w:t>
      </w:r>
      <w:r w:rsidR="00420BEE">
        <w:t>this authority is not equivalent to rendering a judicial determination between two parties disputing over what constitutes the reasonable and customary value of a specific physician’s services</w:t>
      </w:r>
      <w:r w:rsidR="00EA15E1">
        <w:t>.  [¶</w:t>
      </w:r>
      <w:r w:rsidR="009A5235">
        <w:t>] . . .</w:t>
      </w:r>
      <w:r w:rsidR="00805A1B">
        <w:t> </w:t>
      </w:r>
      <w:r w:rsidR="009A5235">
        <w:t>[</w:t>
      </w:r>
      <w:r w:rsidR="00EA15E1">
        <w:t xml:space="preserve">¶] </w:t>
      </w:r>
      <w:r w:rsidR="00393E74">
        <w:t>. . .</w:t>
      </w:r>
      <w:r w:rsidR="00EA15E1">
        <w:t xml:space="preserve"> [T]</w:t>
      </w:r>
      <w:r w:rsidR="00916DAF">
        <w:t xml:space="preserve">he </w:t>
      </w:r>
      <w:r w:rsidR="003C6D9B">
        <w:t>Knox-Keene</w:t>
      </w:r>
      <w:r w:rsidR="00916DAF">
        <w:t xml:space="preserve"> Act does not authorize the </w:t>
      </w:r>
      <w:r w:rsidR="00A9726C">
        <w:t xml:space="preserve">[DMHC] </w:t>
      </w:r>
      <w:r w:rsidR="00916DAF">
        <w:t>to set specific reimbursement levels or to exercise jurisdiction over providers by adjudicating individual payment disputes that arise between providers and health plans.</w:t>
      </w:r>
      <w:r w:rsidR="00CD647E">
        <w:t xml:space="preserve">  Should the </w:t>
      </w:r>
      <w:r w:rsidR="00A9726C">
        <w:t>[DMHC]</w:t>
      </w:r>
      <w:r w:rsidR="00CD647E">
        <w:t xml:space="preserve"> attempt to adjudicate such claims, its decisions would not be binding upon the individual providers or upon health plans that contest the </w:t>
      </w:r>
      <w:r w:rsidR="00A9726C">
        <w:t>[DMHC]’s</w:t>
      </w:r>
      <w:r w:rsidR="00CD647E">
        <w:t xml:space="preserve"> authority to set reimbursement rates.</w:t>
      </w:r>
      <w:r w:rsidR="00916DAF">
        <w:t>”</w:t>
      </w:r>
      <w:r w:rsidR="00420BEE">
        <w:t xml:space="preserve">  </w:t>
      </w:r>
    </w:p>
    <w:p w:rsidR="00C26D02" w:rsidRPr="00572F57" w:rsidP="001226E1" w14:paraId="10D7B9E5" w14:textId="246A5465">
      <w:pPr>
        <w:ind w:firstLine="720"/>
      </w:pPr>
      <w:r w:rsidRPr="00572F57">
        <w:t xml:space="preserve">Thus, as this </w:t>
      </w:r>
      <w:r w:rsidR="00706CF2">
        <w:t xml:space="preserve">court </w:t>
      </w:r>
      <w:r w:rsidRPr="00572F57">
        <w:t>and other</w:t>
      </w:r>
      <w:r w:rsidR="00706CF2">
        <w:t>s</w:t>
      </w:r>
      <w:r w:rsidRPr="00572F57">
        <w:t xml:space="preserve"> have previously observed, the </w:t>
      </w:r>
      <w:r w:rsidR="003C6D9B">
        <w:t>Knox-Keene</w:t>
      </w:r>
      <w:r w:rsidRPr="00572F57" w:rsidR="00CD4DD4">
        <w:t xml:space="preserve"> Act’s </w:t>
      </w:r>
      <w:r w:rsidRPr="00572F57">
        <w:t xml:space="preserve">statutory and regulatory scheme contemplates that private actions under a quantum meruit theory may be used to recoup </w:t>
      </w:r>
      <w:r w:rsidRPr="00572F57" w:rsidR="00CD4DD4">
        <w:t xml:space="preserve">appropriate </w:t>
      </w:r>
      <w:r w:rsidRPr="00572F57">
        <w:t>reimbursement for services rendered.</w:t>
      </w:r>
      <w:r>
        <w:rPr>
          <w:rStyle w:val="FootnoteReference"/>
        </w:rPr>
        <w:footnoteReference w:id="6"/>
      </w:r>
      <w:r w:rsidR="00200344">
        <w:t xml:space="preserve"> </w:t>
      </w:r>
      <w:r w:rsidR="00006D27">
        <w:t xml:space="preserve"> </w:t>
      </w:r>
      <w:r w:rsidRPr="00572F57">
        <w:t xml:space="preserve">(E.g., </w:t>
      </w:r>
      <w:r w:rsidRPr="00572F57">
        <w:rPr>
          <w:i/>
          <w:iCs/>
        </w:rPr>
        <w:t>Prospect Medical Group</w:t>
      </w:r>
      <w:r w:rsidRPr="00572F57">
        <w:t xml:space="preserve">, </w:t>
      </w:r>
      <w:r w:rsidRPr="00572F57">
        <w:rPr>
          <w:i/>
          <w:iCs/>
        </w:rPr>
        <w:t>supra</w:t>
      </w:r>
      <w:r w:rsidRPr="00572F57">
        <w:t>, 45</w:t>
      </w:r>
      <w:r w:rsidRPr="00572F57" w:rsidR="002229C9">
        <w:t> </w:t>
      </w:r>
      <w:r w:rsidRPr="00572F57">
        <w:t>Cal.4th at pp.</w:t>
      </w:r>
      <w:r w:rsidR="00200344">
        <w:t> </w:t>
      </w:r>
      <w:r w:rsidRPr="00572F57">
        <w:t xml:space="preserve">505–507; </w:t>
      </w:r>
      <w:r w:rsidRPr="00572F57">
        <w:rPr>
          <w:i/>
          <w:iCs/>
        </w:rPr>
        <w:t>Long Beach Memorial</w:t>
      </w:r>
      <w:r w:rsidRPr="00572F57">
        <w:t xml:space="preserve">, </w:t>
      </w:r>
      <w:r w:rsidRPr="00572F57">
        <w:rPr>
          <w:i/>
          <w:iCs/>
        </w:rPr>
        <w:t>supra</w:t>
      </w:r>
      <w:r w:rsidRPr="00572F57">
        <w:t>, 71</w:t>
      </w:r>
      <w:r w:rsidR="0074703B">
        <w:t> </w:t>
      </w:r>
      <w:r w:rsidRPr="00572F57">
        <w:t>Cal.App.5th at p.</w:t>
      </w:r>
      <w:r w:rsidRPr="00572F57" w:rsidR="000E7BE9">
        <w:t> </w:t>
      </w:r>
      <w:r w:rsidRPr="00572F57">
        <w:t>329;</w:t>
      </w:r>
      <w:r w:rsidRPr="00572F57">
        <w:rPr>
          <w:i/>
          <w:iCs/>
        </w:rPr>
        <w:t xml:space="preserve"> Bell</w:t>
      </w:r>
      <w:r w:rsidRPr="00572F57">
        <w:t xml:space="preserve">, </w:t>
      </w:r>
      <w:r w:rsidRPr="00572F57">
        <w:rPr>
          <w:i/>
          <w:iCs/>
        </w:rPr>
        <w:t>supra</w:t>
      </w:r>
      <w:r w:rsidRPr="00572F57">
        <w:t>, 131</w:t>
      </w:r>
      <w:r w:rsidR="00200344">
        <w:t> </w:t>
      </w:r>
      <w:r w:rsidRPr="00572F57">
        <w:t>Cal.App.4th at pp.</w:t>
      </w:r>
      <w:r w:rsidR="00200344">
        <w:t> </w:t>
      </w:r>
      <w:r w:rsidRPr="00572F57">
        <w:t xml:space="preserve">216–217; </w:t>
      </w:r>
      <w:r w:rsidRPr="00572F57">
        <w:rPr>
          <w:i/>
          <w:iCs/>
        </w:rPr>
        <w:t>California Emergency Physicians Medical Group v. PacifiCare of California</w:t>
      </w:r>
      <w:r w:rsidRPr="00572F57">
        <w:t xml:space="preserve"> (2003) 111</w:t>
      </w:r>
      <w:r w:rsidR="00200344">
        <w:t> </w:t>
      </w:r>
      <w:r w:rsidRPr="00572F57">
        <w:t>Cal.App.4th 1127, 1134 (</w:t>
      </w:r>
      <w:r w:rsidRPr="00572F57">
        <w:rPr>
          <w:i/>
          <w:iCs/>
        </w:rPr>
        <w:t>California Emergency Physicians</w:t>
      </w:r>
      <w:r w:rsidR="00200344">
        <w:t>)</w:t>
      </w:r>
      <w:r w:rsidR="009E3B43">
        <w:t>; Health &amp; Saf. Code, § 1371.37, subd. (f) [</w:t>
      </w:r>
      <w:r w:rsidR="00055DD8">
        <w:t>specifying that the DMHC’s imposition of sanctions</w:t>
      </w:r>
      <w:r w:rsidR="00820267">
        <w:t xml:space="preserve"> for unfair payment </w:t>
      </w:r>
      <w:r w:rsidRPr="003174E3" w:rsidR="00820267">
        <w:rPr>
          <w:szCs w:val="27"/>
        </w:rPr>
        <w:t>patterns “</w:t>
      </w:r>
      <w:r w:rsidRPr="00231AB7" w:rsidR="009E3B43">
        <w:rPr>
          <w:rStyle w:val="Emphasis"/>
          <w:i w:val="0"/>
          <w:iCs w:val="0"/>
          <w:color w:val="3D3D3D"/>
          <w:szCs w:val="27"/>
          <w:bdr w:val="none" w:sz="0" w:space="0" w:color="auto" w:frame="1"/>
          <w:shd w:val="clear" w:color="auto" w:fill="FFFFFF"/>
        </w:rPr>
        <w:t>shall not preclude, suspend, affect, or impact any other duty, right, responsibility, or obligation under a statute or under a contract between a health care service plan and a provider</w:t>
      </w:r>
      <w:r w:rsidR="003174E3">
        <w:rPr>
          <w:iCs/>
          <w:color w:val="3D3D3D"/>
          <w:szCs w:val="27"/>
          <w:shd w:val="clear" w:color="auto" w:fill="FFFFFF"/>
        </w:rPr>
        <w:t>”</w:t>
      </w:r>
      <w:r w:rsidR="003174E3">
        <w:rPr>
          <w:color w:val="3D3D3D"/>
          <w:szCs w:val="27"/>
          <w:shd w:val="clear" w:color="auto" w:fill="FFFFFF"/>
        </w:rPr>
        <w:t>]</w:t>
      </w:r>
      <w:r w:rsidRPr="003174E3">
        <w:rPr>
          <w:szCs w:val="27"/>
        </w:rPr>
        <w:t>.)</w:t>
      </w:r>
      <w:r w:rsidRPr="00572F57" w:rsidR="00D61C44">
        <w:t xml:space="preserve">  </w:t>
      </w:r>
      <w:r w:rsidRPr="00572F57">
        <w:t>With</w:t>
      </w:r>
      <w:r w:rsidRPr="00572F57" w:rsidR="00AC613E">
        <w:t xml:space="preserve"> </w:t>
      </w:r>
      <w:r w:rsidRPr="00572F57">
        <w:t>this</w:t>
      </w:r>
      <w:r w:rsidRPr="00572F57">
        <w:t xml:space="preserve"> statutory </w:t>
      </w:r>
      <w:r w:rsidRPr="00572F57" w:rsidR="00AC613E">
        <w:t xml:space="preserve">and regulatory scheme </w:t>
      </w:r>
      <w:r w:rsidRPr="00572F57">
        <w:t>in mind</w:t>
      </w:r>
      <w:r w:rsidRPr="00572F57" w:rsidR="00AC613E">
        <w:t xml:space="preserve">, </w:t>
      </w:r>
      <w:r w:rsidR="007B2E84">
        <w:t>we</w:t>
      </w:r>
      <w:r w:rsidRPr="00572F57" w:rsidR="007B2E84">
        <w:t xml:space="preserve"> </w:t>
      </w:r>
      <w:r w:rsidRPr="00572F57" w:rsidR="00473C90">
        <w:t xml:space="preserve">next </w:t>
      </w:r>
      <w:r w:rsidRPr="00572F57" w:rsidR="007E27E3">
        <w:t>consider the scope of governmental immunity under the Government Claims Act and whether</w:t>
      </w:r>
      <w:r w:rsidRPr="00572F57" w:rsidR="00575104">
        <w:t xml:space="preserve"> it bars</w:t>
      </w:r>
      <w:r w:rsidRPr="00572F57" w:rsidR="007E27E3">
        <w:t xml:space="preserve"> the Hospitals</w:t>
      </w:r>
      <w:r w:rsidRPr="00572F57" w:rsidR="00575104">
        <w:t xml:space="preserve">’ </w:t>
      </w:r>
      <w:r w:rsidRPr="00572F57" w:rsidR="004D20AF">
        <w:t>implied-in-law contract</w:t>
      </w:r>
      <w:r w:rsidRPr="00572F57" w:rsidR="00575104">
        <w:t xml:space="preserve"> claim</w:t>
      </w:r>
      <w:r w:rsidRPr="00572F57" w:rsidR="004D20AF">
        <w:t xml:space="preserve"> based on</w:t>
      </w:r>
      <w:r w:rsidRPr="00572F57" w:rsidR="00B15D86">
        <w:t xml:space="preserve"> section</w:t>
      </w:r>
      <w:r w:rsidR="00200344">
        <w:t> </w:t>
      </w:r>
      <w:r w:rsidRPr="00572F57" w:rsidR="00B15D86">
        <w:t xml:space="preserve">1371.4 of the </w:t>
      </w:r>
      <w:r w:rsidR="003C6D9B">
        <w:t>Knox-Keene</w:t>
      </w:r>
      <w:r w:rsidRPr="00572F57" w:rsidR="00B15D86">
        <w:t xml:space="preserve"> Act</w:t>
      </w:r>
      <w:r w:rsidRPr="00572F57" w:rsidR="007E27E3">
        <w:t>.</w:t>
      </w:r>
    </w:p>
    <w:p w:rsidR="00577BD8" w:rsidRPr="00572F57" w:rsidP="00572F57" w14:paraId="5F8989E8" w14:textId="23A4D8DA">
      <w:pPr>
        <w:pStyle w:val="Heading2"/>
        <w:numPr>
          <w:ilvl w:val="0"/>
          <w:numId w:val="8"/>
        </w:numPr>
      </w:pPr>
      <w:r w:rsidRPr="00572F57">
        <w:t xml:space="preserve">The </w:t>
      </w:r>
      <w:r w:rsidRPr="00572F57" w:rsidR="00E65224">
        <w:t xml:space="preserve">Government </w:t>
      </w:r>
      <w:r w:rsidRPr="00572F57" w:rsidR="004F09F6">
        <w:t>Claims Act</w:t>
      </w:r>
      <w:r w:rsidRPr="00572F57" w:rsidR="00C57C3C">
        <w:t xml:space="preserve"> </w:t>
      </w:r>
      <w:r w:rsidRPr="00572F57" w:rsidR="007C06AF">
        <w:t xml:space="preserve">Does Not </w:t>
      </w:r>
      <w:r w:rsidRPr="00572F57" w:rsidR="00C57C3C">
        <w:t xml:space="preserve">Bar the Hospitals’ </w:t>
      </w:r>
      <w:r w:rsidRPr="00572F57" w:rsidR="00315585">
        <w:t>Implied-In-Law Contract Cause of Action</w:t>
      </w:r>
      <w:r w:rsidRPr="00572F57" w:rsidR="00C57C3C">
        <w:t xml:space="preserve"> Based </w:t>
      </w:r>
      <w:r w:rsidRPr="00572F57" w:rsidR="00BF6123">
        <w:t>o</w:t>
      </w:r>
      <w:r w:rsidRPr="00572F57" w:rsidR="00C57C3C">
        <w:t xml:space="preserve">n </w:t>
      </w:r>
      <w:r w:rsidRPr="00572F57" w:rsidR="00315585">
        <w:t>t</w:t>
      </w:r>
      <w:r w:rsidRPr="00572F57" w:rsidR="00C57C3C">
        <w:t xml:space="preserve">he </w:t>
      </w:r>
      <w:r w:rsidR="003C6D9B">
        <w:t>Knox-Keene</w:t>
      </w:r>
      <w:r w:rsidRPr="00572F57" w:rsidR="00C57C3C">
        <w:t xml:space="preserve"> Act</w:t>
      </w:r>
    </w:p>
    <w:p w:rsidR="00C03305" w:rsidRPr="00572F57" w:rsidP="00200344" w14:paraId="2B4800CC" w14:textId="48B92483">
      <w:pPr>
        <w:tabs>
          <w:tab w:val="left" w:pos="1440"/>
        </w:tabs>
        <w:ind w:firstLine="720"/>
      </w:pPr>
      <w:r w:rsidRPr="00572F57">
        <w:t>Government Code section 815 sets forth the general rule of immunity for public entities</w:t>
      </w:r>
      <w:r w:rsidRPr="00572F57" w:rsidR="00C43D94">
        <w:t xml:space="preserve"> under the Government Claims Act</w:t>
      </w:r>
      <w:r w:rsidRPr="00572F57">
        <w:t xml:space="preserve">.  </w:t>
      </w:r>
      <w:r w:rsidRPr="00572F57" w:rsidR="00A10CDA">
        <w:t>Government Code s</w:t>
      </w:r>
      <w:r w:rsidRPr="00572F57" w:rsidR="00C43D94">
        <w:t xml:space="preserve">ection 815 </w:t>
      </w:r>
      <w:r w:rsidRPr="00572F57" w:rsidR="00CD56C0">
        <w:t>provides</w:t>
      </w:r>
      <w:r w:rsidR="00D37060">
        <w:t xml:space="preserve"> that</w:t>
      </w:r>
      <w:r w:rsidRPr="00572F57">
        <w:t xml:space="preserve"> “</w:t>
      </w:r>
      <w:r w:rsidR="00D37060">
        <w:t>[e]</w:t>
      </w:r>
      <w:r w:rsidRPr="00572F57">
        <w:t>xcept as otherwise provided by statute</w:t>
      </w:r>
      <w:r w:rsidR="001349EF">
        <w:t>”</w:t>
      </w:r>
      <w:r w:rsidRPr="00572F57">
        <w:t xml:space="preserve"> </w:t>
      </w:r>
      <w:r w:rsidR="001349EF">
        <w:t xml:space="preserve">“[a] </w:t>
      </w:r>
      <w:r w:rsidRPr="00572F57">
        <w:t>public entity is not liable for an injury, whether such injury arises out of an act or omission of the public entity or any</w:t>
      </w:r>
      <w:r w:rsidRPr="00572F57" w:rsidR="005C1093">
        <w:t xml:space="preserve"> other</w:t>
      </w:r>
      <w:r w:rsidRPr="00572F57">
        <w:t xml:space="preserve"> person.”  </w:t>
      </w:r>
      <w:r w:rsidRPr="00572F57" w:rsidR="00C773B6">
        <w:t>However, another provision within the Government Claims Act, Government Code s</w:t>
      </w:r>
      <w:r w:rsidRPr="00572F57" w:rsidR="00AD46B4">
        <w:t>ection 814</w:t>
      </w:r>
      <w:r w:rsidRPr="00572F57" w:rsidR="00C773B6">
        <w:t>,</w:t>
      </w:r>
      <w:r w:rsidRPr="00572F57" w:rsidR="00AD46B4">
        <w:t xml:space="preserve"> </w:t>
      </w:r>
      <w:r w:rsidRPr="00572F57" w:rsidR="00CD56C0">
        <w:t>makes clear</w:t>
      </w:r>
      <w:r w:rsidRPr="00572F57" w:rsidR="00C773B6">
        <w:t xml:space="preserve"> </w:t>
      </w:r>
      <w:r w:rsidRPr="00572F57" w:rsidR="00AD46B4">
        <w:t xml:space="preserve">that “[n]othing in this part affects liability based on contract or the right to obtain relief other than money or damages against a public entity or public employee.”  </w:t>
      </w:r>
    </w:p>
    <w:p w:rsidR="00D650CC" w:rsidRPr="00572F57" w:rsidP="00200344" w14:paraId="71D292A1" w14:textId="591C09AF">
      <w:pPr>
        <w:ind w:firstLine="720"/>
      </w:pPr>
      <w:r w:rsidRPr="00572F57">
        <w:t>The legislative committee comments to Government Code section</w:t>
      </w:r>
      <w:r w:rsidR="00200344">
        <w:t> </w:t>
      </w:r>
      <w:r w:rsidRPr="00572F57">
        <w:t xml:space="preserve">815 explain that “[t]his section abolishes all common law or judicially declared forms of liability for public entities, except for such liability as may be required by the state or federal constitution, e.g., inverse condemnation.  In the absence of a constitutional requirement, public entities may be held liable only if a statute (not including a charter provision, ordinance or regulation) is found declaring them to be liable.”  (Legis. Com. </w:t>
      </w:r>
      <w:r w:rsidRPr="00572F57" w:rsidR="005C1093">
        <w:t>c</w:t>
      </w:r>
      <w:r w:rsidRPr="00572F57">
        <w:t>om</w:t>
      </w:r>
      <w:r w:rsidRPr="00572F57" w:rsidR="00FD484E">
        <w:t>.</w:t>
      </w:r>
      <w:r w:rsidRPr="00572F57">
        <w:t>, 32 pt. 1</w:t>
      </w:r>
      <w:r w:rsidRPr="00572F57" w:rsidR="00E93AC3">
        <w:t>,</w:t>
      </w:r>
      <w:r w:rsidRPr="00572F57">
        <w:t xml:space="preserve"> West’s Ann. Gov. Code (2012 ed.) foll. § 815, p</w:t>
      </w:r>
      <w:r w:rsidR="00CC3758">
        <w:t>p</w:t>
      </w:r>
      <w:r w:rsidRPr="00572F57">
        <w:t>.</w:t>
      </w:r>
      <w:r w:rsidR="00200344">
        <w:t> </w:t>
      </w:r>
      <w:r w:rsidRPr="00572F57">
        <w:t>215</w:t>
      </w:r>
      <w:r w:rsidR="00CC3758">
        <w:t>–216</w:t>
      </w:r>
      <w:r w:rsidRPr="00572F57">
        <w:t xml:space="preserve">.)  The comments also </w:t>
      </w:r>
      <w:r w:rsidRPr="00572F57" w:rsidR="006260D8">
        <w:t>state</w:t>
      </w:r>
      <w:r w:rsidRPr="00572F57" w:rsidR="00555458">
        <w:t>:  “B</w:t>
      </w:r>
      <w:r w:rsidRPr="00572F57">
        <w:t>ecause of the limitations contained in Section</w:t>
      </w:r>
      <w:r w:rsidR="00200344">
        <w:t> </w:t>
      </w:r>
      <w:r w:rsidRPr="00572F57">
        <w:t xml:space="preserve">814, which declares that this part does not affect liability arising out of contract or the right to obtain specific relief against public entities and employees, the practical effect of this section is to eliminate any common law governmental liability for damages arising out of torts. </w:t>
      </w:r>
      <w:r w:rsidRPr="00572F57" w:rsidR="00284443">
        <w:t xml:space="preserve"> </w:t>
      </w:r>
      <w:r w:rsidRPr="00572F57">
        <w:t>The use of the word ‘tort’ has been avoided, however, to prevent the imposition of liability by the courts by reclassifying the act causing the injury.”  (</w:t>
      </w:r>
      <w:r w:rsidRPr="00572F57">
        <w:rPr>
          <w:i/>
          <w:iCs/>
        </w:rPr>
        <w:t>Id</w:t>
      </w:r>
      <w:r w:rsidRPr="00200344">
        <w:t>.</w:t>
      </w:r>
      <w:r w:rsidRPr="00572F57" w:rsidR="005C1093">
        <w:t xml:space="preserve"> at p</w:t>
      </w:r>
      <w:r w:rsidRPr="00572F57" w:rsidR="00134EBA">
        <w:t>. 216</w:t>
      </w:r>
      <w:r w:rsidRPr="00572F57" w:rsidR="00173000">
        <w:t>.</w:t>
      </w:r>
      <w:r w:rsidRPr="00572F57">
        <w:t>)</w:t>
      </w:r>
      <w:r w:rsidR="008B7D9C">
        <w:t xml:space="preserve">  </w:t>
      </w:r>
      <w:r w:rsidR="00D128A2">
        <w:t>Likewise, t</w:t>
      </w:r>
      <w:r w:rsidRPr="00572F57" w:rsidR="008B7D9C">
        <w:t>he legislative committee comments to Government Code section</w:t>
      </w:r>
      <w:r w:rsidR="00200344">
        <w:t> </w:t>
      </w:r>
      <w:r w:rsidRPr="00572F57" w:rsidR="008B7D9C">
        <w:t>81</w:t>
      </w:r>
      <w:r w:rsidR="008B7D9C">
        <w:t xml:space="preserve">4 </w:t>
      </w:r>
      <w:r w:rsidR="00D128A2">
        <w:t xml:space="preserve">declare </w:t>
      </w:r>
      <w:r w:rsidR="00A93B32">
        <w:t>that “[t]</w:t>
      </w:r>
      <w:r w:rsidRPr="00A93B32" w:rsidR="00A93B32">
        <w:t xml:space="preserve">he various provisions of this part determine only whether a public entity or public employee is liable for money or damages. </w:t>
      </w:r>
      <w:r w:rsidR="00A93B32">
        <w:t xml:space="preserve"> </w:t>
      </w:r>
      <w:r w:rsidRPr="00A93B32" w:rsidR="00A93B32">
        <w:t>These provisions do not create any right to any other type of relief, nor do they have any effect on any other type of relief that may be available against a public entity or public employee</w:t>
      </w:r>
      <w:r w:rsidR="009543E8">
        <w:t>.”  (</w:t>
      </w:r>
      <w:r w:rsidRPr="00572F57" w:rsidR="009543E8">
        <w:t>Legis.</w:t>
      </w:r>
      <w:r w:rsidRPr="00200344" w:rsidR="009543E8">
        <w:t xml:space="preserve"> Com.</w:t>
      </w:r>
      <w:r w:rsidRPr="00572F57" w:rsidR="009543E8">
        <w:t xml:space="preserve"> com., 32 pt. 1, West’s Ann. Gov. Code (2012 ed.) foll. § 81</w:t>
      </w:r>
      <w:r w:rsidR="009543E8">
        <w:t>4</w:t>
      </w:r>
      <w:r w:rsidRPr="00572F57" w:rsidR="009543E8">
        <w:t>, p.</w:t>
      </w:r>
      <w:r w:rsidR="00200344">
        <w:t> </w:t>
      </w:r>
      <w:r w:rsidR="0088614F">
        <w:t>208</w:t>
      </w:r>
      <w:r w:rsidRPr="00572F57" w:rsidR="009543E8">
        <w:t xml:space="preserve">.)  </w:t>
      </w:r>
    </w:p>
    <w:p w:rsidR="00287AC3" w:rsidRPr="00572F57" w:rsidP="00200344" w14:paraId="6A0123FE" w14:textId="1C9B560A">
      <w:pPr>
        <w:tabs>
          <w:tab w:val="left" w:pos="1440"/>
        </w:tabs>
        <w:ind w:firstLine="720"/>
      </w:pPr>
      <w:r w:rsidRPr="00572F57">
        <w:t>The County argues that the</w:t>
      </w:r>
      <w:r w:rsidRPr="00572F57" w:rsidR="00C773B6">
        <w:t xml:space="preserve"> immunity conferred under Government Code section 815 extends to the Hospitals</w:t>
      </w:r>
      <w:r w:rsidRPr="00572F57" w:rsidR="00E93AC3">
        <w:t>’</w:t>
      </w:r>
      <w:r w:rsidRPr="00572F57" w:rsidR="00C773B6">
        <w:t xml:space="preserve"> quantum meruit claim.  </w:t>
      </w:r>
      <w:r w:rsidR="00295DB2">
        <w:t xml:space="preserve">The County </w:t>
      </w:r>
      <w:r w:rsidRPr="00572F57" w:rsidR="00C773B6">
        <w:t>takes the position that</w:t>
      </w:r>
      <w:r w:rsidRPr="00572F57">
        <w:t xml:space="preserve"> </w:t>
      </w:r>
      <w:r w:rsidRPr="00572F57" w:rsidR="00C06E4C">
        <w:t xml:space="preserve">the </w:t>
      </w:r>
      <w:r w:rsidRPr="00572F57">
        <w:t xml:space="preserve">Government Claims Act’s immunity provisions apply broadly to all “non-contractual” claims for money or damages, and </w:t>
      </w:r>
      <w:r w:rsidR="0096516A">
        <w:t xml:space="preserve">it </w:t>
      </w:r>
      <w:r w:rsidRPr="00572F57">
        <w:t xml:space="preserve">maintains that the Hospitals’ </w:t>
      </w:r>
      <w:r w:rsidRPr="00572F57" w:rsidR="00DB090C">
        <w:t>quantum meruit</w:t>
      </w:r>
      <w:r w:rsidRPr="00572F57">
        <w:t xml:space="preserve"> claim </w:t>
      </w:r>
      <w:r w:rsidRPr="00572F57" w:rsidR="00DB090C">
        <w:t>does not sound in contract.</w:t>
      </w:r>
      <w:r w:rsidRPr="00572F57">
        <w:t xml:space="preserve">  </w:t>
      </w:r>
      <w:r w:rsidRPr="00572F57" w:rsidR="00C773B6">
        <w:t xml:space="preserve">The Hospitals counter that the Government Claims Act applies only to torts, and thus </w:t>
      </w:r>
      <w:r w:rsidR="00295DB2">
        <w:t xml:space="preserve">it </w:t>
      </w:r>
      <w:r w:rsidRPr="00572F57" w:rsidR="00C773B6">
        <w:t>does not bar their cause of action involving what they characterize as an implied-in-law contract.</w:t>
      </w:r>
      <w:r w:rsidR="00901775">
        <w:t xml:space="preserve">  They also maintain that their </w:t>
      </w:r>
      <w:r w:rsidR="00A86007">
        <w:t xml:space="preserve">claim </w:t>
      </w:r>
      <w:r w:rsidR="00901775">
        <w:t>for reimbursement</w:t>
      </w:r>
      <w:r w:rsidR="00EA6F57">
        <w:t>, as mandated by statute,</w:t>
      </w:r>
      <w:r w:rsidR="00901775">
        <w:t xml:space="preserve"> is not a claim for “money or damages” under Government </w:t>
      </w:r>
      <w:r w:rsidR="00706CF2">
        <w:t xml:space="preserve">Code </w:t>
      </w:r>
      <w:r w:rsidR="00901775">
        <w:t>section</w:t>
      </w:r>
      <w:r w:rsidR="00073E21">
        <w:t> </w:t>
      </w:r>
      <w:r w:rsidR="00901775">
        <w:t>814.</w:t>
      </w:r>
      <w:r>
        <w:rPr>
          <w:rStyle w:val="FootnoteReference"/>
        </w:rPr>
        <w:footnoteReference w:id="7"/>
      </w:r>
      <w:r w:rsidRPr="00572F57" w:rsidR="00C773B6">
        <w:t xml:space="preserve">  </w:t>
      </w:r>
    </w:p>
    <w:p w:rsidR="00754CF4" w:rsidRPr="00572F57" w:rsidP="00200344" w14:paraId="2AD0974B" w14:textId="456F1558">
      <w:pPr>
        <w:tabs>
          <w:tab w:val="left" w:pos="1440"/>
          <w:tab w:val="left" w:pos="5490"/>
        </w:tabs>
        <w:ind w:firstLine="720"/>
      </w:pPr>
      <w:r w:rsidRPr="00572F57">
        <w:t>The impetus for the Government Claims Act and its general aims are well</w:t>
      </w:r>
      <w:r w:rsidR="00295DB2">
        <w:t xml:space="preserve"> </w:t>
      </w:r>
      <w:r w:rsidRPr="00572F57">
        <w:t xml:space="preserve">understood. </w:t>
      </w:r>
      <w:r w:rsidRPr="00572F57" w:rsidR="00AF45E7">
        <w:t xml:space="preserve"> </w:t>
      </w:r>
      <w:r w:rsidRPr="00572F57">
        <w:t>I</w:t>
      </w:r>
      <w:r w:rsidRPr="00572F57" w:rsidR="00AF45E7">
        <w:t>n</w:t>
      </w:r>
      <w:r w:rsidRPr="00572F57" w:rsidR="00365E63">
        <w:t xml:space="preserve"> </w:t>
      </w:r>
      <w:r w:rsidRPr="00572F57" w:rsidR="004E43BB">
        <w:rPr>
          <w:i/>
          <w:iCs/>
        </w:rPr>
        <w:t>Quigley v. Garden Valley Fire Protection Dist.</w:t>
      </w:r>
      <w:r w:rsidRPr="00572F57" w:rsidR="009B7E29">
        <w:rPr>
          <w:i/>
          <w:iCs/>
        </w:rPr>
        <w:t xml:space="preserve"> </w:t>
      </w:r>
      <w:r w:rsidRPr="00572F57" w:rsidR="004E43BB">
        <w:t>(2019) 7 Cal.5th 798, 803</w:t>
      </w:r>
      <w:r w:rsidRPr="00572F57" w:rsidR="00AF45E7">
        <w:t xml:space="preserve"> (</w:t>
      </w:r>
      <w:r w:rsidRPr="00572F57" w:rsidR="00AF45E7">
        <w:rPr>
          <w:i/>
          <w:iCs/>
        </w:rPr>
        <w:t>Quigley</w:t>
      </w:r>
      <w:r w:rsidRPr="00572F57">
        <w:rPr>
          <w:szCs w:val="18"/>
        </w:rPr>
        <w:t>)</w:t>
      </w:r>
      <w:r w:rsidRPr="00572F57" w:rsidR="002A65B6">
        <w:rPr>
          <w:szCs w:val="18"/>
        </w:rPr>
        <w:t>,</w:t>
      </w:r>
      <w:r w:rsidRPr="00572F57" w:rsidR="003676C4">
        <w:t xml:space="preserve"> </w:t>
      </w:r>
      <w:r w:rsidRPr="00572F57" w:rsidR="00042239">
        <w:t xml:space="preserve">we </w:t>
      </w:r>
      <w:r w:rsidRPr="00572F57" w:rsidR="00E1723D">
        <w:t>recounted</w:t>
      </w:r>
      <w:r w:rsidRPr="00572F57">
        <w:t xml:space="preserve"> that</w:t>
      </w:r>
      <w:r w:rsidRPr="00572F57" w:rsidR="00AF45E7">
        <w:t xml:space="preserve"> </w:t>
      </w:r>
      <w:r w:rsidRPr="00572F57" w:rsidR="007C3CCB">
        <w:t>“</w:t>
      </w:r>
      <w:r w:rsidRPr="00572F57">
        <w:t xml:space="preserve">[f]or </w:t>
      </w:r>
      <w:r w:rsidRPr="00572F57" w:rsidR="003676C4">
        <w:t xml:space="preserve">many decades before the Act, tort liability for public entity defendants was barred by a common law rule of governmental immunity. </w:t>
      </w:r>
      <w:r w:rsidRPr="00572F57" w:rsidR="00A443D1">
        <w:t xml:space="preserve"> </w:t>
      </w:r>
      <w:r w:rsidRPr="00572F57" w:rsidR="003676C4">
        <w:t xml:space="preserve">Over time, however, the common law rule became </w:t>
      </w:r>
      <w:r w:rsidRPr="00572F57" w:rsidR="00A443D1">
        <w:t>‘</w:t>
      </w:r>
      <w:r w:rsidRPr="00572F57" w:rsidR="003676C4">
        <w:t>riddled with exceptions,</w:t>
      </w:r>
      <w:r w:rsidRPr="00572F57" w:rsidR="00A443D1">
        <w:t>’</w:t>
      </w:r>
      <w:r w:rsidRPr="00572F57" w:rsidR="003676C4">
        <w:t xml:space="preserve"> both legislative and judge made, and in 1961 this court abolished the rule altogether. </w:t>
      </w:r>
      <w:r w:rsidRPr="00572F57" w:rsidR="00A443D1">
        <w:t xml:space="preserve"> </w:t>
      </w:r>
      <w:r w:rsidRPr="00572F57" w:rsidR="003676C4">
        <w:t>(</w:t>
      </w:r>
      <w:r w:rsidRPr="00572F57" w:rsidR="003676C4">
        <w:rPr>
          <w:i/>
          <w:iCs/>
        </w:rPr>
        <w:t>Muskopf v. Corning Hospital Dist.</w:t>
      </w:r>
      <w:r w:rsidRPr="00572F57" w:rsidR="003676C4">
        <w:t xml:space="preserve"> (1961) 55</w:t>
      </w:r>
      <w:r w:rsidRPr="00572F57" w:rsidR="00031347">
        <w:t> </w:t>
      </w:r>
      <w:r w:rsidRPr="00572F57" w:rsidR="003676C4">
        <w:t>Cal.2d 211, 216 (</w:t>
      </w:r>
      <w:r w:rsidRPr="00572F57" w:rsidR="003676C4">
        <w:rPr>
          <w:i/>
          <w:iCs/>
        </w:rPr>
        <w:t>Muskopf</w:t>
      </w:r>
      <w:r w:rsidRPr="00572F57" w:rsidR="003676C4">
        <w:t xml:space="preserve">).) </w:t>
      </w:r>
      <w:r w:rsidRPr="00572F57" w:rsidR="00A443D1">
        <w:t xml:space="preserve"> </w:t>
      </w:r>
      <w:r w:rsidRPr="00572F57" w:rsidR="003676C4">
        <w:t xml:space="preserve">In response to </w:t>
      </w:r>
      <w:r w:rsidRPr="00572F57" w:rsidR="003676C4">
        <w:rPr>
          <w:i/>
          <w:iCs/>
        </w:rPr>
        <w:t>Muskopf</w:t>
      </w:r>
      <w:r w:rsidRPr="00572F57" w:rsidR="003676C4">
        <w:t xml:space="preserve">, the Legislature temporarily suspended the decision’s effect </w:t>
      </w:r>
      <w:r w:rsidRPr="00572F57" w:rsidR="00A443D1">
        <w:t xml:space="preserve">[citation] </w:t>
      </w:r>
      <w:r w:rsidRPr="00572F57" w:rsidR="003676C4">
        <w:t xml:space="preserve">and directed the California Law Revision Commission to complete a study of the issue it had begun some years earlier </w:t>
      </w:r>
      <w:r w:rsidRPr="00572F57" w:rsidR="00A443D1">
        <w:t>[citations]</w:t>
      </w:r>
      <w:r w:rsidRPr="00572F57" w:rsidR="003676C4">
        <w:t xml:space="preserve">. </w:t>
      </w:r>
      <w:r w:rsidRPr="00572F57" w:rsidR="00A443D1">
        <w:t xml:space="preserve"> </w:t>
      </w:r>
      <w:r w:rsidRPr="00572F57" w:rsidR="003676C4">
        <w:t xml:space="preserve">The end product of the commission’s study was a series of recommendations </w:t>
      </w:r>
      <w:r w:rsidRPr="00572F57" w:rsidR="00A443D1">
        <w:t>[citation]</w:t>
      </w:r>
      <w:r w:rsidRPr="00572F57" w:rsidR="003676C4">
        <w:t xml:space="preserve">, on which the Legislature relied in enacting the </w:t>
      </w:r>
      <w:r w:rsidRPr="00572F57" w:rsidR="00183734">
        <w:t>[Government Claims Act]</w:t>
      </w:r>
      <w:r w:rsidRPr="00572F57" w:rsidR="003676C4">
        <w:t>.</w:t>
      </w:r>
      <w:r w:rsidRPr="00572F57" w:rsidR="00AF45E7">
        <w:t>”  (</w:t>
      </w:r>
      <w:r w:rsidR="00295DB2">
        <w:rPr>
          <w:i/>
          <w:iCs/>
        </w:rPr>
        <w:t>Quigley</w:t>
      </w:r>
      <w:r w:rsidR="00295DB2">
        <w:t xml:space="preserve">, at p. 803, </w:t>
      </w:r>
      <w:r w:rsidRPr="00295DB2" w:rsidR="00295DB2">
        <w:t>fn.</w:t>
      </w:r>
      <w:r w:rsidR="00F65DA9">
        <w:t> </w:t>
      </w:r>
      <w:r w:rsidRPr="00295DB2" w:rsidR="00295DB2">
        <w:t>omitted.</w:t>
      </w:r>
      <w:r w:rsidRPr="00572F57" w:rsidR="009B7E29">
        <w:t>)</w:t>
      </w:r>
      <w:r w:rsidRPr="00572F57" w:rsidR="006E3035">
        <w:t xml:space="preserve">  “The basic architecture of the [Government Claims Act] is encapsulated in Government Code section</w:t>
      </w:r>
      <w:r w:rsidR="00073E21">
        <w:t> </w:t>
      </w:r>
      <w:r w:rsidRPr="00572F57" w:rsidR="006E3035">
        <w:t>815.  Subdivision (a) of that section makes clear that under the [Act], there is no such thing as common law tort liability for public entities; a public entity is not liable for an injury ‘[e]xcept as otherwise provided by statute.’ ”  (</w:t>
      </w:r>
      <w:r w:rsidRPr="00572F57" w:rsidR="009E179D">
        <w:rPr>
          <w:i/>
          <w:iCs/>
        </w:rPr>
        <w:t>I</w:t>
      </w:r>
      <w:r w:rsidRPr="00572F57" w:rsidR="00B35D0E">
        <w:rPr>
          <w:i/>
          <w:iCs/>
        </w:rPr>
        <w:t>bi</w:t>
      </w:r>
      <w:r w:rsidRPr="00572F57" w:rsidR="009E179D">
        <w:rPr>
          <w:i/>
          <w:iCs/>
        </w:rPr>
        <w:t>d</w:t>
      </w:r>
      <w:r w:rsidRPr="00572F57" w:rsidR="009E179D">
        <w:t>.</w:t>
      </w:r>
      <w:r w:rsidRPr="00572F57" w:rsidR="006E3035">
        <w:t>)</w:t>
      </w:r>
      <w:r w:rsidRPr="00572F57">
        <w:t xml:space="preserve">  </w:t>
      </w:r>
    </w:p>
    <w:p w:rsidR="00EC7A2A" w:rsidRPr="00572F57" w:rsidP="00200344" w14:paraId="10D1A3D2" w14:textId="7D09DA22">
      <w:pPr>
        <w:tabs>
          <w:tab w:val="left" w:pos="1440"/>
        </w:tabs>
        <w:ind w:firstLine="720"/>
      </w:pPr>
      <w:r w:rsidRPr="00572F57">
        <w:t xml:space="preserve">This </w:t>
      </w:r>
      <w:r w:rsidRPr="00572F57" w:rsidR="00CD4DD4">
        <w:t>history</w:t>
      </w:r>
      <w:r w:rsidRPr="00572F57">
        <w:t xml:space="preserve"> has informed our repeated characterization of the </w:t>
      </w:r>
      <w:r w:rsidRPr="00572F57" w:rsidR="00FD504F">
        <w:t xml:space="preserve">Government Claims </w:t>
      </w:r>
      <w:r w:rsidRPr="00572F57">
        <w:t xml:space="preserve">Act as concerned with </w:t>
      </w:r>
      <w:r w:rsidR="008137D9">
        <w:t xml:space="preserve">common law </w:t>
      </w:r>
      <w:r w:rsidRPr="00572F57">
        <w:rPr>
          <w:i/>
          <w:iCs/>
        </w:rPr>
        <w:t>torts</w:t>
      </w:r>
      <w:r w:rsidRPr="00572F57">
        <w:t>, as opposed to different claims.</w:t>
      </w:r>
      <w:r>
        <w:rPr>
          <w:rStyle w:val="FootnoteReference"/>
        </w:rPr>
        <w:footnoteReference w:id="8"/>
      </w:r>
      <w:r w:rsidRPr="00572F57">
        <w:t xml:space="preserve"> </w:t>
      </w:r>
      <w:r w:rsidRPr="00572F57" w:rsidR="00F26327">
        <w:t xml:space="preserve"> </w:t>
      </w:r>
      <w:r w:rsidRPr="00572F57">
        <w:t>T</w:t>
      </w:r>
      <w:r w:rsidRPr="00572F57" w:rsidR="005F5EAC">
        <w:t xml:space="preserve">he </w:t>
      </w:r>
      <w:r w:rsidRPr="00572F57" w:rsidR="00183734">
        <w:t xml:space="preserve">Government Claims </w:t>
      </w:r>
      <w:r w:rsidRPr="00572F57" w:rsidR="005C7DD6">
        <w:t>Act</w:t>
      </w:r>
      <w:r w:rsidRPr="00572F57">
        <w:t>, we have said,</w:t>
      </w:r>
      <w:r w:rsidRPr="00572F57" w:rsidR="005C7DD6">
        <w:t xml:space="preserve"> </w:t>
      </w:r>
      <w:r w:rsidRPr="00572F57" w:rsidR="00DA74E7">
        <w:t>was designed to</w:t>
      </w:r>
      <w:r w:rsidRPr="00572F57" w:rsidR="00223087">
        <w:t xml:space="preserve"> </w:t>
      </w:r>
      <w:r w:rsidRPr="00572F57" w:rsidR="00F314AA">
        <w:t>“govern</w:t>
      </w:r>
      <w:r w:rsidRPr="00572F57" w:rsidR="005325BE">
        <w:t>[] . . . </w:t>
      </w:r>
      <w:r w:rsidRPr="00572F57" w:rsidR="00F314AA">
        <w:t xml:space="preserve">liabilities and immunities of public entities and public employees for </w:t>
      </w:r>
      <w:r w:rsidRPr="00572F57" w:rsidR="00F314AA">
        <w:rPr>
          <w:i/>
          <w:iCs/>
        </w:rPr>
        <w:t>torts</w:t>
      </w:r>
      <w:r w:rsidRPr="00572F57" w:rsidR="00F314AA">
        <w:t>.”  (</w:t>
      </w:r>
      <w:r w:rsidRPr="00572F57" w:rsidR="00183734">
        <w:rPr>
          <w:i/>
          <w:iCs/>
        </w:rPr>
        <w:t>Quigley</w:t>
      </w:r>
      <w:r w:rsidRPr="00572F57" w:rsidR="00183734">
        <w:t xml:space="preserve">, </w:t>
      </w:r>
      <w:r w:rsidRPr="00572F57" w:rsidR="00183734">
        <w:rPr>
          <w:i/>
          <w:iCs/>
        </w:rPr>
        <w:t>supra</w:t>
      </w:r>
      <w:r w:rsidRPr="00572F57" w:rsidR="00183734">
        <w:t>, 7</w:t>
      </w:r>
      <w:r w:rsidRPr="00572F57" w:rsidR="00FD504F">
        <w:t> </w:t>
      </w:r>
      <w:r w:rsidRPr="00572F57" w:rsidR="00183734">
        <w:t>Cal.5th at p.</w:t>
      </w:r>
      <w:r w:rsidRPr="00572F57" w:rsidR="00F86860">
        <w:t> </w:t>
      </w:r>
      <w:r w:rsidRPr="00572F57" w:rsidR="00183734">
        <w:t>803</w:t>
      </w:r>
      <w:r w:rsidRPr="00572F57" w:rsidR="00F314AA">
        <w:t>, italics added</w:t>
      </w:r>
      <w:r w:rsidRPr="00572F57">
        <w:t xml:space="preserve">; see also </w:t>
      </w:r>
      <w:r w:rsidRPr="00572F57">
        <w:rPr>
          <w:i/>
          <w:iCs/>
        </w:rPr>
        <w:t>Kizer v. County of San Mateo</w:t>
      </w:r>
      <w:r w:rsidRPr="00572F57">
        <w:t xml:space="preserve"> (1991) 53</w:t>
      </w:r>
      <w:r w:rsidRPr="00572F57" w:rsidR="00D42EE8">
        <w:t> </w:t>
      </w:r>
      <w:r w:rsidRPr="00572F57">
        <w:t>Cal.3d 139, 145 (</w:t>
      </w:r>
      <w:r w:rsidRPr="00572F57">
        <w:rPr>
          <w:i/>
          <w:iCs/>
        </w:rPr>
        <w:t>Kizer</w:t>
      </w:r>
      <w:r w:rsidRPr="00572F57">
        <w:t>) [explaining that the Government Claims Act “is a comprehensive statutory scheme that sets for</w:t>
      </w:r>
      <w:r w:rsidRPr="00572F57" w:rsidR="00F86860">
        <w:t>th</w:t>
      </w:r>
      <w:r w:rsidRPr="00572F57">
        <w:t xml:space="preserve"> the liabilities and immunities of public entities and public employees for </w:t>
      </w:r>
      <w:r w:rsidRPr="00572F57">
        <w:rPr>
          <w:i/>
          <w:iCs/>
        </w:rPr>
        <w:t>torts</w:t>
      </w:r>
      <w:r w:rsidRPr="00572F57">
        <w:t>”]</w:t>
      </w:r>
      <w:r w:rsidR="00CE10AB">
        <w:t xml:space="preserve">, overruled </w:t>
      </w:r>
      <w:r w:rsidR="00020097">
        <w:t>on another ground in</w:t>
      </w:r>
      <w:r w:rsidR="00CE10AB">
        <w:t xml:space="preserve"> </w:t>
      </w:r>
      <w:r w:rsidR="00CE10AB">
        <w:rPr>
          <w:i/>
          <w:iCs/>
        </w:rPr>
        <w:t xml:space="preserve">Los Angeles Unified School District v. Superior Court </w:t>
      </w:r>
      <w:r w:rsidR="00CE10AB">
        <w:t xml:space="preserve">(2023) </w:t>
      </w:r>
      <w:r w:rsidR="007E0035">
        <w:t>14</w:t>
      </w:r>
      <w:r w:rsidR="00F658D3">
        <w:t> </w:t>
      </w:r>
      <w:r w:rsidR="00CE10AB">
        <w:t xml:space="preserve">Cal.5th </w:t>
      </w:r>
      <w:r w:rsidR="00F658D3">
        <w:t>758</w:t>
      </w:r>
      <w:r w:rsidRPr="00572F57" w:rsidR="00F658D3">
        <w:t xml:space="preserve">.)  </w:t>
      </w:r>
    </w:p>
    <w:p w:rsidR="00FC2878" w:rsidRPr="00805E5C" w:rsidP="00200344" w14:paraId="291DFE71" w14:textId="6CA6E960">
      <w:pPr>
        <w:tabs>
          <w:tab w:val="left" w:pos="1440"/>
        </w:tabs>
        <w:ind w:firstLine="720"/>
      </w:pPr>
      <w:r w:rsidRPr="00572F57">
        <w:t xml:space="preserve">In </w:t>
      </w:r>
      <w:r w:rsidRPr="00572F57">
        <w:rPr>
          <w:i/>
          <w:iCs/>
        </w:rPr>
        <w:t>Kizer</w:t>
      </w:r>
      <w:r w:rsidRPr="00572F57">
        <w:t xml:space="preserve">, </w:t>
      </w:r>
      <w:r w:rsidRPr="00572F57">
        <w:rPr>
          <w:i/>
          <w:iCs/>
        </w:rPr>
        <w:t>supra</w:t>
      </w:r>
      <w:r w:rsidRPr="00572F57">
        <w:t xml:space="preserve">, 53 Cal.3d 139, we rejected an expansive interpretation of the </w:t>
      </w:r>
      <w:r w:rsidR="00A47E21">
        <w:t>Tort</w:t>
      </w:r>
      <w:r w:rsidRPr="00572F57" w:rsidR="00A47E21">
        <w:t xml:space="preserve"> </w:t>
      </w:r>
      <w:r w:rsidRPr="00572F57">
        <w:t>Claims Act</w:t>
      </w:r>
      <w:r w:rsidR="00A47E21">
        <w:t xml:space="preserve">, as </w:t>
      </w:r>
      <w:r w:rsidR="00055C61">
        <w:t>the statute</w:t>
      </w:r>
      <w:r w:rsidR="00A47E21">
        <w:t xml:space="preserve"> was then called,</w:t>
      </w:r>
      <w:r w:rsidR="00C3150F">
        <w:t xml:space="preserve"> </w:t>
      </w:r>
      <w:r w:rsidRPr="00572F57">
        <w:t xml:space="preserve">similar to the one advanced by the County in this case.  The defendant in </w:t>
      </w:r>
      <w:r w:rsidRPr="00572F57">
        <w:rPr>
          <w:i/>
          <w:iCs/>
        </w:rPr>
        <w:t>Kizer</w:t>
      </w:r>
      <w:r w:rsidRPr="00572F57">
        <w:t>, also a county</w:t>
      </w:r>
      <w:r>
        <w:t>, was licensed to operate a long-term health care facility but failed to comply with the statutory scheme regulating such facilities.  (</w:t>
      </w:r>
      <w:r w:rsidR="00022631">
        <w:rPr>
          <w:i/>
          <w:iCs/>
        </w:rPr>
        <w:t>Kizer</w:t>
      </w:r>
      <w:r w:rsidR="00022631">
        <w:t>,</w:t>
      </w:r>
      <w:r>
        <w:t xml:space="preserve"> at pp.</w:t>
      </w:r>
      <w:r w:rsidR="00372C33">
        <w:t> </w:t>
      </w:r>
      <w:r>
        <w:t>141–144.)</w:t>
      </w:r>
      <w:r w:rsidRPr="00572F57">
        <w:t xml:space="preserve"> </w:t>
      </w:r>
      <w:r>
        <w:t xml:space="preserve"> The county </w:t>
      </w:r>
      <w:r w:rsidRPr="00572F57">
        <w:t xml:space="preserve">asserted that the Act shielded it from </w:t>
      </w:r>
      <w:r>
        <w:t xml:space="preserve">statutory </w:t>
      </w:r>
      <w:r w:rsidRPr="00572F57">
        <w:t>penalties sought by the state.  (</w:t>
      </w:r>
      <w:r w:rsidR="00022631">
        <w:rPr>
          <w:i/>
          <w:iCs/>
        </w:rPr>
        <w:t>Kizer</w:t>
      </w:r>
      <w:r w:rsidR="00022631">
        <w:t>,</w:t>
      </w:r>
      <w:r w:rsidRPr="00572F57">
        <w:t xml:space="preserve"> at p.</w:t>
      </w:r>
      <w:r w:rsidR="00372C33">
        <w:t> </w:t>
      </w:r>
      <w:r w:rsidRPr="00572F57">
        <w:t>144.)  We held otherwise, explaining:  “The County argues that the Legislature intended to cover a wider range of liabilities than torts.  The County points to the comment to Government Code section</w:t>
      </w:r>
      <w:r w:rsidR="00372C33">
        <w:t> </w:t>
      </w:r>
      <w:r w:rsidRPr="00572F57">
        <w:t xml:space="preserve">815, emphasizing this passage:  ‘the use of the word “tort” has been avoided . . . to prevent the imposition of liability by the courts by reclassifying the act causing the injury.’  The comment, however, also states that ‘the practical effect of this section is to eliminate any common law governmental liability for damages arising out of torts.’  [Citation.]  Moreover, the introductory comment to the Tort Claims Act as a whole states that ‘a statute should be enacted providing that public entities are not liable for torts unless they are declared to be liable by an enactment.’  [Citation.]  Clearly, the emphasis of the Tort Claims Act is on </w:t>
      </w:r>
      <w:r w:rsidRPr="00572F57">
        <w:rPr>
          <w:i/>
          <w:iCs/>
        </w:rPr>
        <w:t>torts</w:t>
      </w:r>
      <w:r w:rsidRPr="00572F57">
        <w:t>.”  (</w:t>
      </w:r>
      <w:r w:rsidR="0005607B">
        <w:rPr>
          <w:i/>
          <w:iCs/>
        </w:rPr>
        <w:t>Kizer</w:t>
      </w:r>
      <w:r w:rsidR="0005607B">
        <w:t>,</w:t>
      </w:r>
      <w:r w:rsidRPr="00572F57">
        <w:t xml:space="preserve"> at p.</w:t>
      </w:r>
      <w:r w:rsidR="00372C33">
        <w:t> </w:t>
      </w:r>
      <w:r w:rsidRPr="00572F57">
        <w:t>145, fn.</w:t>
      </w:r>
      <w:r w:rsidR="00372C33">
        <w:t> </w:t>
      </w:r>
      <w:r w:rsidRPr="00572F57">
        <w:t>4.)</w:t>
      </w:r>
      <w:r>
        <w:t xml:space="preserve">  Read against the background of general tort law, we concluded that the Act was intended to limit the state’s “exposure to liability for actual compensatory damages in tort cases.”  (</w:t>
      </w:r>
      <w:r w:rsidR="002F038E">
        <w:rPr>
          <w:i/>
          <w:iCs/>
        </w:rPr>
        <w:t>Kizer</w:t>
      </w:r>
      <w:r w:rsidR="002F038E">
        <w:t>,</w:t>
      </w:r>
      <w:r>
        <w:t xml:space="preserve"> at p.</w:t>
      </w:r>
      <w:r w:rsidR="00372C33">
        <w:t> </w:t>
      </w:r>
      <w:r>
        <w:t>146.)</w:t>
      </w:r>
      <w:r w:rsidR="00372C33">
        <w:t xml:space="preserve"> </w:t>
      </w:r>
      <w:r w:rsidRPr="00805E5C">
        <w:t xml:space="preserve"> </w:t>
      </w:r>
    </w:p>
    <w:p w:rsidR="000C11F9" w:rsidRPr="00C607E3" w:rsidP="00200344" w14:paraId="06A303F6" w14:textId="79A5D2B5">
      <w:pPr>
        <w:tabs>
          <w:tab w:val="left" w:pos="1440"/>
        </w:tabs>
        <w:ind w:firstLine="720"/>
      </w:pPr>
      <w:r w:rsidRPr="00805E5C">
        <w:t xml:space="preserve">More recently, in </w:t>
      </w:r>
      <w:r w:rsidRPr="00805E5C">
        <w:rPr>
          <w:i/>
          <w:iCs/>
        </w:rPr>
        <w:t>City of Dinuba</w:t>
      </w:r>
      <w:r w:rsidRPr="00805E5C">
        <w:t xml:space="preserve">, </w:t>
      </w:r>
      <w:r w:rsidRPr="00805E5C">
        <w:rPr>
          <w:i/>
          <w:iCs/>
        </w:rPr>
        <w:t>supra</w:t>
      </w:r>
      <w:r w:rsidRPr="00805E5C">
        <w:t>,</w:t>
      </w:r>
      <w:r w:rsidRPr="00805E5C">
        <w:rPr>
          <w:i/>
          <w:iCs/>
        </w:rPr>
        <w:t xml:space="preserve"> </w:t>
      </w:r>
      <w:r w:rsidRPr="00805E5C">
        <w:t xml:space="preserve">41 Cal.4th 859, we rejected the County of Tulare’s claim that the Government Claims Act immunized it from an action to recover misallocated tax revenue, which the county was obligated </w:t>
      </w:r>
      <w:r w:rsidRPr="00805E5C" w:rsidR="00640A0E">
        <w:t xml:space="preserve">by statute </w:t>
      </w:r>
      <w:r w:rsidRPr="00805E5C">
        <w:t>to allocate and distribute.</w:t>
      </w:r>
      <w:r w:rsidRPr="00805E5C">
        <w:rPr>
          <w:i/>
          <w:iCs/>
        </w:rPr>
        <w:t xml:space="preserve">  </w:t>
      </w:r>
      <w:r w:rsidRPr="00572F57" w:rsidR="000B2548">
        <w:t>(</w:t>
      </w:r>
      <w:r w:rsidR="00AF77CD">
        <w:rPr>
          <w:i/>
          <w:iCs/>
        </w:rPr>
        <w:t>City of Dinuba</w:t>
      </w:r>
      <w:r w:rsidR="00AF77CD">
        <w:t>,</w:t>
      </w:r>
      <w:r w:rsidRPr="00572F57" w:rsidR="000B2548">
        <w:t xml:space="preserve"> at pp. 865–868.)  We held that th</w:t>
      </w:r>
      <w:r w:rsidR="00043401">
        <w:t>e</w:t>
      </w:r>
      <w:r w:rsidRPr="00572F57" w:rsidR="000B2548">
        <w:t xml:space="preserve"> </w:t>
      </w:r>
      <w:r w:rsidR="000B2548">
        <w:t xml:space="preserve">Government Claims Act did not foreclose the </w:t>
      </w:r>
      <w:r w:rsidRPr="00572F57" w:rsidR="000B2548">
        <w:t xml:space="preserve">plaintiffs’ </w:t>
      </w:r>
      <w:r w:rsidR="000B2548">
        <w:t xml:space="preserve">claim for reimbursement, both because the injury alleged did not </w:t>
      </w:r>
      <w:r w:rsidRPr="00622831" w:rsidR="000B2548">
        <w:t>come within the Act’s definition of “</w:t>
      </w:r>
      <w:r w:rsidR="00850056">
        <w:t> ‘</w:t>
      </w:r>
      <w:r w:rsidRPr="00622831" w:rsidR="000B2548">
        <w:t>injury</w:t>
      </w:r>
      <w:r w:rsidR="00850056">
        <w:t>’ </w:t>
      </w:r>
      <w:r w:rsidRPr="00622831" w:rsidR="000B2548">
        <w:t>”</w:t>
      </w:r>
      <w:r w:rsidR="000B2548">
        <w:t xml:space="preserve"> (</w:t>
      </w:r>
      <w:r w:rsidR="00B6640C">
        <w:rPr>
          <w:i/>
          <w:iCs/>
        </w:rPr>
        <w:t>City of Dinuba</w:t>
      </w:r>
      <w:r w:rsidR="00B6640C">
        <w:t>,</w:t>
      </w:r>
      <w:r w:rsidR="000B2548">
        <w:t xml:space="preserve"> at p. 867, citing </w:t>
      </w:r>
      <w:r w:rsidR="00E37548">
        <w:t xml:space="preserve">Gov. Code, </w:t>
      </w:r>
      <w:r w:rsidR="000B2548">
        <w:t xml:space="preserve">§ 810.8), and because the plaintiffs </w:t>
      </w:r>
      <w:r w:rsidR="00043401">
        <w:t xml:space="preserve">were </w:t>
      </w:r>
      <w:r w:rsidR="000B2548">
        <w:t>not seek</w:t>
      </w:r>
      <w:r w:rsidR="00043401">
        <w:t>ing</w:t>
      </w:r>
      <w:r w:rsidR="000B2548">
        <w:t xml:space="preserve"> money damages (</w:t>
      </w:r>
      <w:r w:rsidR="003F516E">
        <w:rPr>
          <w:i/>
          <w:iCs/>
        </w:rPr>
        <w:t>City of Dinuba</w:t>
      </w:r>
      <w:r w:rsidR="003F516E">
        <w:t>,</w:t>
      </w:r>
      <w:r w:rsidR="000B2548">
        <w:t xml:space="preserve"> at p. 867).  Regarding the latter ground, we explained: </w:t>
      </w:r>
      <w:r w:rsidR="00372C33">
        <w:t xml:space="preserve"> </w:t>
      </w:r>
      <w:r w:rsidRPr="00572F57" w:rsidR="000B2548">
        <w:t>“</w:t>
      </w:r>
      <w:r w:rsidR="000B2548">
        <w:t>[T]</w:t>
      </w:r>
      <w:r w:rsidRPr="00572F57" w:rsidR="000B2548">
        <w:t xml:space="preserve">he immunity provisions of the Act are only concerned with shielding public entities from having to pay money damages for </w:t>
      </w:r>
      <w:r w:rsidRPr="004209EA" w:rsidR="000B2548">
        <w:t>torts</w:t>
      </w:r>
      <w:r w:rsidRPr="00572F57" w:rsidR="000B2548">
        <w:t>.  [Citation.]  Section</w:t>
      </w:r>
      <w:r w:rsidR="004209EA">
        <w:t> </w:t>
      </w:r>
      <w:r w:rsidRPr="00572F57" w:rsidR="000B2548">
        <w:t>814 explicitly provides that liability based on contract or the right to obtain relief other than money damages is unaffected by the Act.</w:t>
      </w:r>
      <w:r w:rsidR="000B2548">
        <w:t xml:space="preserve">  Plaintiffs </w:t>
      </w:r>
      <w:r w:rsidRPr="00572F57" w:rsidR="000B2548">
        <w:t>do not seek damages; they seek only to compel defendants to perform their express statutory duty.  While compliance with the duty may result in the payment of money, that is distinct from seeking damages.”  (</w:t>
      </w:r>
      <w:r w:rsidRPr="00572F57" w:rsidR="000B2548">
        <w:rPr>
          <w:i/>
          <w:iCs/>
        </w:rPr>
        <w:t>Ibid</w:t>
      </w:r>
      <w:r w:rsidRPr="00572F57" w:rsidR="000B2548">
        <w:t>.)</w:t>
      </w:r>
      <w:r w:rsidR="000B2548">
        <w:t xml:space="preserve">  Having also determined that “mandamus provides an appropriate remedy for defendants’ failure to comply with their statutory duty” (</w:t>
      </w:r>
      <w:r w:rsidR="000B2548">
        <w:rPr>
          <w:i/>
          <w:iCs/>
        </w:rPr>
        <w:t>id</w:t>
      </w:r>
      <w:r w:rsidRPr="004209EA" w:rsidR="000B2548">
        <w:t>.</w:t>
      </w:r>
      <w:r w:rsidR="000B2548">
        <w:t xml:space="preserve"> at p.</w:t>
      </w:r>
      <w:r w:rsidR="004209EA">
        <w:t> </w:t>
      </w:r>
      <w:r w:rsidR="000B2548">
        <w:t>868), we declined to resolve “whether plaintiffs could have maintained claims for quasi-contract or constructive trust had mandamus not been available” (</w:t>
      </w:r>
      <w:r w:rsidR="000B2548">
        <w:rPr>
          <w:i/>
          <w:iCs/>
        </w:rPr>
        <w:t>id</w:t>
      </w:r>
      <w:r w:rsidRPr="004209EA" w:rsidR="000B2548">
        <w:t>.</w:t>
      </w:r>
      <w:r w:rsidR="000B2548">
        <w:t xml:space="preserve"> at p.</w:t>
      </w:r>
      <w:r w:rsidR="004209EA">
        <w:t> </w:t>
      </w:r>
      <w:r w:rsidR="00DB4515">
        <w:t>870</w:t>
      </w:r>
      <w:r w:rsidR="000B2548">
        <w:t>).</w:t>
      </w:r>
    </w:p>
    <w:p w:rsidR="003A5323" w:rsidRPr="00572F57" w:rsidP="00200344" w14:paraId="61FAE104" w14:textId="76B46CD4">
      <w:pPr>
        <w:tabs>
          <w:tab w:val="left" w:pos="1440"/>
        </w:tabs>
        <w:ind w:firstLine="720"/>
      </w:pPr>
      <w:r w:rsidRPr="00572F57">
        <w:t xml:space="preserve">The Courts of Appeal have likewise recognized that the </w:t>
      </w:r>
      <w:r w:rsidRPr="00572F57" w:rsidR="001B0221">
        <w:t xml:space="preserve">Government Claims Act’s immunity and liability provisions are </w:t>
      </w:r>
      <w:r w:rsidRPr="00572F57" w:rsidR="00374774">
        <w:t>aimed at</w:t>
      </w:r>
      <w:r w:rsidRPr="00572F57" w:rsidR="001B0221">
        <w:t xml:space="preserve"> </w:t>
      </w:r>
      <w:r w:rsidRPr="00572F57" w:rsidR="006B79DC">
        <w:t xml:space="preserve">common law </w:t>
      </w:r>
      <w:r w:rsidRPr="00572F57" w:rsidR="001B0221">
        <w:t>tort claims</w:t>
      </w:r>
      <w:r w:rsidR="00385E8D">
        <w:t xml:space="preserve"> </w:t>
      </w:r>
      <w:r w:rsidR="0057651D">
        <w:t>for</w:t>
      </w:r>
      <w:r w:rsidR="00385E8D">
        <w:t xml:space="preserve"> money damages</w:t>
      </w:r>
      <w:r w:rsidRPr="00572F57" w:rsidR="00B27BBE">
        <w:t xml:space="preserve">.  </w:t>
      </w:r>
      <w:r w:rsidRPr="00572F57" w:rsidR="006B79DC">
        <w:t>(</w:t>
      </w:r>
      <w:r w:rsidRPr="00572F57" w:rsidR="00860501">
        <w:t>See, e</w:t>
      </w:r>
      <w:r w:rsidRPr="00572F57" w:rsidR="009A6197">
        <w:t xml:space="preserve">.g., </w:t>
      </w:r>
      <w:r w:rsidRPr="00572F57" w:rsidR="000C47BB">
        <w:rPr>
          <w:i/>
          <w:iCs/>
        </w:rPr>
        <w:t xml:space="preserve">Schooler v. State of California </w:t>
      </w:r>
      <w:r w:rsidRPr="00572F57" w:rsidR="000C47BB">
        <w:t>(2000) 85 Cal.App.4th 1004, 1013 [“Courts have determined that under section</w:t>
      </w:r>
      <w:r w:rsidR="000C47BB">
        <w:t> </w:t>
      </w:r>
      <w:r w:rsidRPr="00572F57" w:rsidR="000C47BB">
        <w:t>814, Government Code immunities extend only to tort actions that seek money damages”]</w:t>
      </w:r>
      <w:r w:rsidR="000C47BB">
        <w:t xml:space="preserve">; </w:t>
      </w:r>
      <w:r w:rsidRPr="00572F57" w:rsidR="0032413C">
        <w:rPr>
          <w:i/>
          <w:iCs/>
        </w:rPr>
        <w:t xml:space="preserve">Cavey v. Tualla </w:t>
      </w:r>
      <w:r w:rsidRPr="00572F57" w:rsidR="0032413C">
        <w:t>(2021) 69</w:t>
      </w:r>
      <w:r w:rsidR="004209EA">
        <w:t> </w:t>
      </w:r>
      <w:r w:rsidRPr="00572F57" w:rsidR="0032413C">
        <w:t>Cal.App.5th 310, 326</w:t>
      </w:r>
      <w:r w:rsidR="00EC72E1">
        <w:t xml:space="preserve"> [</w:t>
      </w:r>
      <w:r w:rsidR="007279DF">
        <w:t>“The Government Claims Act was enacted in 1963 to provide a comprehensive statutory scheme governing the liabilities and immunities of public entities and public employees for torts”]</w:t>
      </w:r>
      <w:r w:rsidRPr="00572F57" w:rsidR="0032413C">
        <w:t xml:space="preserve">; </w:t>
      </w:r>
      <w:r w:rsidRPr="00572F57" w:rsidR="0032413C">
        <w:rPr>
          <w:i/>
          <w:iCs/>
        </w:rPr>
        <w:t xml:space="preserve">Nealy v. County of Orange </w:t>
      </w:r>
      <w:r w:rsidRPr="00572F57" w:rsidR="0032413C">
        <w:t>(2020) 54</w:t>
      </w:r>
      <w:r w:rsidR="004209EA">
        <w:t> </w:t>
      </w:r>
      <w:r w:rsidRPr="00572F57" w:rsidR="0032413C">
        <w:t>Cal.App.5th 594, 601</w:t>
      </w:r>
      <w:r w:rsidR="00733C71">
        <w:t xml:space="preserve"> [same]</w:t>
      </w:r>
      <w:r w:rsidRPr="00572F57" w:rsidR="009A6197">
        <w:t xml:space="preserve">.)  </w:t>
      </w:r>
      <w:r w:rsidRPr="00572F57" w:rsidR="00CD4DD4">
        <w:t xml:space="preserve">In </w:t>
      </w:r>
      <w:r w:rsidR="00B7782B">
        <w:t>various</w:t>
      </w:r>
      <w:r w:rsidRPr="00572F57" w:rsidR="00B7782B">
        <w:t xml:space="preserve"> </w:t>
      </w:r>
      <w:r w:rsidRPr="00572F57" w:rsidR="00CD4DD4">
        <w:t xml:space="preserve">circumstances, the </w:t>
      </w:r>
      <w:r w:rsidRPr="00572F57" w:rsidR="008F1B17">
        <w:t>appellate courts</w:t>
      </w:r>
      <w:r w:rsidRPr="00572F57" w:rsidR="00B27BBE">
        <w:t xml:space="preserve"> have construed </w:t>
      </w:r>
      <w:r w:rsidRPr="00572F57" w:rsidR="00BE78F6">
        <w:t xml:space="preserve">equitable </w:t>
      </w:r>
      <w:r w:rsidRPr="00572F57" w:rsidR="00B27BBE">
        <w:t xml:space="preserve">claims for </w:t>
      </w:r>
      <w:r w:rsidRPr="00572F57" w:rsidR="00306F76">
        <w:t>payment</w:t>
      </w:r>
      <w:r w:rsidRPr="00572F57" w:rsidR="00BE78F6">
        <w:t xml:space="preserve"> </w:t>
      </w:r>
      <w:r w:rsidR="00B7782B">
        <w:t>related to statutory obligations</w:t>
      </w:r>
      <w:r w:rsidRPr="00572F57" w:rsidR="00306F76">
        <w:t xml:space="preserve"> </w:t>
      </w:r>
      <w:r w:rsidRPr="00572F57" w:rsidR="00BE78F6">
        <w:t xml:space="preserve">as </w:t>
      </w:r>
      <w:r w:rsidRPr="00572F57" w:rsidR="008F1B17">
        <w:t xml:space="preserve">not </w:t>
      </w:r>
      <w:r w:rsidRPr="00572F57" w:rsidR="00BE78F6">
        <w:t xml:space="preserve">being </w:t>
      </w:r>
      <w:r w:rsidRPr="00572F57" w:rsidR="008F1B17">
        <w:t>subject to</w:t>
      </w:r>
      <w:r w:rsidRPr="00572F57" w:rsidR="007F0877">
        <w:t xml:space="preserve"> the Government Claims Act.</w:t>
      </w:r>
      <w:r w:rsidRPr="00572F57" w:rsidR="001F7BAA">
        <w:t xml:space="preserve">  (</w:t>
      </w:r>
      <w:r w:rsidRPr="00572F57" w:rsidR="00542D1B">
        <w:t>See, e</w:t>
      </w:r>
      <w:r w:rsidRPr="00572F57" w:rsidR="008F1B17">
        <w:t xml:space="preserve">.g., </w:t>
      </w:r>
      <w:bookmarkStart w:id="9" w:name="_Hlk128816851"/>
      <w:r w:rsidRPr="00572F57" w:rsidR="00BE78F6">
        <w:rPr>
          <w:i/>
          <w:iCs/>
        </w:rPr>
        <w:t>Piccinini v. California Emergency Management Agency</w:t>
      </w:r>
      <w:r w:rsidRPr="00572F57" w:rsidR="00BE78F6">
        <w:t xml:space="preserve"> (2014) 226</w:t>
      </w:r>
      <w:r w:rsidRPr="00572F57" w:rsidR="007C474C">
        <w:t> </w:t>
      </w:r>
      <w:r w:rsidRPr="00572F57" w:rsidR="00BE78F6">
        <w:t xml:space="preserve">Cal.App.4th 685, 689 [promissory estoppel theory against state agency allowed to proceed where statute expresses a legislative policy in favor of allowing cause of action]; </w:t>
      </w:r>
      <w:r w:rsidRPr="00572F57" w:rsidR="001F7BAA">
        <w:rPr>
          <w:i/>
          <w:iCs/>
        </w:rPr>
        <w:t>Utility Audit Co., Inc. v. City of Los Angeles</w:t>
      </w:r>
      <w:r w:rsidRPr="00572F57" w:rsidR="001F7BAA">
        <w:t xml:space="preserve"> (2003) 112</w:t>
      </w:r>
      <w:r w:rsidRPr="00572F57" w:rsidR="00CE64F4">
        <w:t> </w:t>
      </w:r>
      <w:r w:rsidRPr="00572F57" w:rsidR="001F7BAA">
        <w:t>Cal.App.4th 950, 95</w:t>
      </w:r>
      <w:r w:rsidRPr="00572F57" w:rsidR="003B4F61">
        <w:t>8</w:t>
      </w:r>
      <w:r w:rsidRPr="00572F57" w:rsidR="00250F82">
        <w:t xml:space="preserve"> (</w:t>
      </w:r>
      <w:r w:rsidRPr="00572F57" w:rsidR="00250F82">
        <w:rPr>
          <w:i/>
          <w:iCs/>
        </w:rPr>
        <w:t>Utility Audit</w:t>
      </w:r>
      <w:r w:rsidRPr="00572F57" w:rsidR="00250F82">
        <w:t>)</w:t>
      </w:r>
      <w:r w:rsidRPr="00572F57" w:rsidR="00BE78F6">
        <w:t xml:space="preserve"> [common count seeking refund of overcharges, based on statute, sounded in contract and was not prohibited by the Government Claims Act]; </w:t>
      </w:r>
      <w:r w:rsidRPr="00572F57" w:rsidR="00BE78F6">
        <w:rPr>
          <w:i/>
          <w:iCs/>
        </w:rPr>
        <w:t xml:space="preserve">Gonzales v. State of California </w:t>
      </w:r>
      <w:r w:rsidRPr="00572F57" w:rsidR="00BE78F6">
        <w:t>(1977) 68</w:t>
      </w:r>
      <w:r w:rsidR="005A3645">
        <w:t> </w:t>
      </w:r>
      <w:r w:rsidRPr="00572F57" w:rsidR="00BE78F6">
        <w:t>Cal.App.3d 621, 628</w:t>
      </w:r>
      <w:r w:rsidRPr="00572F57" w:rsidR="00DC57DC">
        <w:t xml:space="preserve"> </w:t>
      </w:r>
      <w:r w:rsidRPr="00572F57" w:rsidR="00BE78F6">
        <w:t>[</w:t>
      </w:r>
      <w:bookmarkEnd w:id="9"/>
      <w:r w:rsidRPr="00572F57" w:rsidR="00BE78F6">
        <w:t xml:space="preserve">cause of action for breach of an implied contract under an unjust enrichment theory </w:t>
      </w:r>
      <w:r w:rsidR="00E960AA">
        <w:t>supported by</w:t>
      </w:r>
      <w:r w:rsidRPr="00572F57" w:rsidR="00BE78F6">
        <w:t xml:space="preserve"> statute allowed to </w:t>
      </w:r>
      <w:r w:rsidRPr="00572F57" w:rsidR="00E7712F">
        <w:t xml:space="preserve">go forward </w:t>
      </w:r>
      <w:r w:rsidRPr="00572F57" w:rsidR="00BE78F6">
        <w:t xml:space="preserve">against state </w:t>
      </w:r>
      <w:r w:rsidRPr="00572F57" w:rsidR="00603CF7">
        <w:t>as</w:t>
      </w:r>
      <w:r w:rsidRPr="00572F57" w:rsidR="00BE78F6">
        <w:t xml:space="preserve"> not subject to Government Claims Act]; see also </w:t>
      </w:r>
      <w:r w:rsidRPr="00572F57" w:rsidR="00BE78F6">
        <w:rPr>
          <w:i/>
          <w:iCs/>
        </w:rPr>
        <w:t>Kajima/Ray Wilson v. Los Angeles County Metro</w:t>
      </w:r>
      <w:r w:rsidRPr="00572F57" w:rsidR="00DA1AFD">
        <w:rPr>
          <w:i/>
          <w:iCs/>
        </w:rPr>
        <w:t>politan</w:t>
      </w:r>
      <w:r w:rsidRPr="00572F57" w:rsidR="00BE78F6">
        <w:rPr>
          <w:i/>
          <w:iCs/>
        </w:rPr>
        <w:t xml:space="preserve"> Trans</w:t>
      </w:r>
      <w:r w:rsidRPr="00572F57" w:rsidR="00DA1AFD">
        <w:rPr>
          <w:i/>
          <w:iCs/>
        </w:rPr>
        <w:t>portation</w:t>
      </w:r>
      <w:r w:rsidRPr="00572F57" w:rsidR="00BE78F6">
        <w:rPr>
          <w:i/>
          <w:iCs/>
        </w:rPr>
        <w:t xml:space="preserve"> Auth</w:t>
      </w:r>
      <w:r w:rsidRPr="00572F57" w:rsidR="00DA1AFD">
        <w:rPr>
          <w:i/>
          <w:iCs/>
        </w:rPr>
        <w:t>ority</w:t>
      </w:r>
      <w:r w:rsidRPr="00572F57" w:rsidR="00BE78F6">
        <w:t xml:space="preserve"> (2000) 23</w:t>
      </w:r>
      <w:r w:rsidR="004209EA">
        <w:t> </w:t>
      </w:r>
      <w:r w:rsidRPr="00572F57" w:rsidR="00BE78F6">
        <w:t xml:space="preserve">Cal.4th 305, 315 [lowest bidding contractor could recover bid preparation costs against a public entity for the misaward of a public contract under a theory of promissory estoppel; court could use “promissory estoppel primarily to further certain public policies by creating a damages remedy for a public entity’s statutory violation”].)  </w:t>
      </w:r>
    </w:p>
    <w:p w:rsidR="00916F35" w:rsidRPr="00572F57" w:rsidP="00200344" w14:paraId="5362A9AE" w14:textId="27B41CBB">
      <w:pPr>
        <w:tabs>
          <w:tab w:val="left" w:pos="1440"/>
        </w:tabs>
        <w:ind w:firstLine="720"/>
      </w:pPr>
      <w:r w:rsidRPr="00572F57">
        <w:t xml:space="preserve">In short, our case law and well-reasoned holdings from the Courts of Appeal confirm that the Government Claims Act is concerned with </w:t>
      </w:r>
      <w:r w:rsidR="00A325F8">
        <w:t xml:space="preserve">shielding public entities </w:t>
      </w:r>
      <w:r w:rsidR="00E57219">
        <w:t xml:space="preserve">from </w:t>
      </w:r>
      <w:r w:rsidRPr="00572F57">
        <w:t>tort</w:t>
      </w:r>
      <w:r w:rsidR="00E57219">
        <w:t xml:space="preserve"> claims seeking money damage</w:t>
      </w:r>
      <w:r w:rsidRPr="00572F57">
        <w:t xml:space="preserve">s, and not with every conceivable claim that might be pressed against a public entity.  </w:t>
      </w:r>
    </w:p>
    <w:p w:rsidR="008E3DEE" w:rsidRPr="00572F57" w:rsidP="00200344" w14:paraId="6AD99F51" w14:textId="7129C071">
      <w:pPr>
        <w:tabs>
          <w:tab w:val="left" w:pos="1440"/>
        </w:tabs>
        <w:ind w:firstLine="720"/>
      </w:pPr>
      <w:r w:rsidRPr="00572F57">
        <w:t>Notwithstanding this authority</w:t>
      </w:r>
      <w:r w:rsidRPr="00572F57" w:rsidR="00EA0454">
        <w:t xml:space="preserve"> </w:t>
      </w:r>
      <w:r w:rsidRPr="00572F57">
        <w:t xml:space="preserve">demonstrating </w:t>
      </w:r>
      <w:r w:rsidRPr="00572F57" w:rsidR="00EA0454">
        <w:t xml:space="preserve">that the </w:t>
      </w:r>
      <w:r w:rsidRPr="00572F57" w:rsidR="00C537B2">
        <w:t xml:space="preserve">Legislature was primarily focused on common law tort claims when it enacted the </w:t>
      </w:r>
      <w:r w:rsidRPr="00572F57" w:rsidR="00EA0454">
        <w:t>Act’s immunity and liability provisions</w:t>
      </w:r>
      <w:r w:rsidRPr="00572F57">
        <w:t>,</w:t>
      </w:r>
      <w:r w:rsidRPr="00572F57" w:rsidR="00D921D4">
        <w:t xml:space="preserve"> </w:t>
      </w:r>
      <w:r w:rsidRPr="00572F57">
        <w:t>t</w:t>
      </w:r>
      <w:r w:rsidRPr="00572F57">
        <w:t>he County maintains that</w:t>
      </w:r>
      <w:r w:rsidRPr="00572F57" w:rsidR="00511C46">
        <w:t xml:space="preserve"> </w:t>
      </w:r>
      <w:r w:rsidRPr="00572F57" w:rsidR="00C06E4C">
        <w:t xml:space="preserve">the </w:t>
      </w:r>
      <w:r w:rsidRPr="00572F57" w:rsidR="00511C46">
        <w:t>Government Claims Act forecloses</w:t>
      </w:r>
      <w:r w:rsidRPr="00572F57">
        <w:t xml:space="preserve"> the Hospitals’ </w:t>
      </w:r>
      <w:r w:rsidRPr="00572F57" w:rsidR="00416C54">
        <w:t>quantum meruit cause of action</w:t>
      </w:r>
      <w:r w:rsidRPr="00572F57">
        <w:t xml:space="preserve">.  The County argues, first, that the Hospitals’ compliance with the Government Claims Act’s claims presentation requirements establishes that they seek money or damages covered by the Act’s immunity provisions.  </w:t>
      </w:r>
      <w:r w:rsidR="007B2E84">
        <w:t>W</w:t>
      </w:r>
      <w:r w:rsidRPr="00572F57">
        <w:t>e reject this argument.  As noted</w:t>
      </w:r>
      <w:r w:rsidRPr="00572F57" w:rsidR="00416C54">
        <w:t xml:space="preserve"> in footnote </w:t>
      </w:r>
      <w:r w:rsidR="00333310">
        <w:t>6</w:t>
      </w:r>
      <w:r w:rsidRPr="00572F57" w:rsidR="00416C54">
        <w:t xml:space="preserve">, </w:t>
      </w:r>
      <w:r w:rsidRPr="00572F57" w:rsidR="00416C54">
        <w:rPr>
          <w:i/>
          <w:iCs/>
        </w:rPr>
        <w:t>ante</w:t>
      </w:r>
      <w:r w:rsidRPr="00572F57" w:rsidR="00416C54">
        <w:t xml:space="preserve">, </w:t>
      </w:r>
      <w:r w:rsidRPr="00572F57">
        <w:t>the claims presentation requirements of the Government Claims Act are broader in scope than the Act’s public entity immunity or liability provisions.  (</w:t>
      </w:r>
      <w:r w:rsidRPr="00572F57">
        <w:rPr>
          <w:i/>
          <w:iCs/>
        </w:rPr>
        <w:t>City of Stockton</w:t>
      </w:r>
      <w:r w:rsidRPr="00572F57">
        <w:t xml:space="preserve">, </w:t>
      </w:r>
      <w:r w:rsidRPr="00572F57">
        <w:rPr>
          <w:i/>
          <w:iCs/>
        </w:rPr>
        <w:t>supra</w:t>
      </w:r>
      <w:r w:rsidRPr="00572F57">
        <w:t xml:space="preserve">, 42 Cal.4th </w:t>
      </w:r>
      <w:r w:rsidRPr="00572F57" w:rsidR="00C76D2D">
        <w:t>at p</w:t>
      </w:r>
      <w:r w:rsidRPr="00572F57" w:rsidR="00986292">
        <w:t>p</w:t>
      </w:r>
      <w:r w:rsidRPr="00572F57" w:rsidR="00C76D2D">
        <w:t>.</w:t>
      </w:r>
      <w:r w:rsidRPr="00572F57" w:rsidR="007E220D">
        <w:t> </w:t>
      </w:r>
      <w:r w:rsidRPr="00572F57" w:rsidR="00986292">
        <w:t xml:space="preserve">738, </w:t>
      </w:r>
      <w:r w:rsidRPr="00572F57">
        <w:t>741</w:t>
      </w:r>
      <w:r w:rsidRPr="00572F57" w:rsidR="00986292">
        <w:t xml:space="preserve"> [a public entity is not immune from liability on its contracts, but the claims presentation requirements nonetheless apply to such contract actions]</w:t>
      </w:r>
      <w:r w:rsidRPr="00572F57" w:rsidR="00E42E60">
        <w:t xml:space="preserve">; see </w:t>
      </w:r>
      <w:r w:rsidRPr="00572F57" w:rsidR="00E42E60">
        <w:rPr>
          <w:i/>
          <w:iCs/>
        </w:rPr>
        <w:t>Hart v.</w:t>
      </w:r>
      <w:r w:rsidRPr="00572F57" w:rsidR="009F5AF9">
        <w:rPr>
          <w:i/>
          <w:iCs/>
        </w:rPr>
        <w:t xml:space="preserve"> County of</w:t>
      </w:r>
      <w:r w:rsidRPr="00572F57" w:rsidR="00E42E60">
        <w:rPr>
          <w:i/>
          <w:iCs/>
        </w:rPr>
        <w:t xml:space="preserve"> Alameda</w:t>
      </w:r>
      <w:r w:rsidRPr="00572F57" w:rsidR="00E42E60">
        <w:t xml:space="preserve"> (1999) 76 Cal.App.4th 766, 779 [“the Legislature intended the claims presentation statutes to broadly apply to ‘ “ ‘all forms of monetary demands</w:t>
      </w:r>
      <w:r w:rsidRPr="00572F57" w:rsidR="0008085A">
        <w:t> </w:t>
      </w:r>
      <w:r w:rsidRPr="00572F57" w:rsidR="00E42E60">
        <w:t>.</w:t>
      </w:r>
      <w:r w:rsidRPr="00572F57" w:rsidR="0008085A">
        <w:t> </w:t>
      </w:r>
      <w:r w:rsidRPr="00572F57" w:rsidR="00E42E60">
        <w:t>.</w:t>
      </w:r>
      <w:r w:rsidRPr="00572F57" w:rsidR="0008085A">
        <w:t> </w:t>
      </w:r>
      <w:r w:rsidRPr="00572F57" w:rsidR="00E42E60">
        <w:t>.</w:t>
      </w:r>
      <w:r w:rsidRPr="00572F57" w:rsidR="0008085A">
        <w:t> </w:t>
      </w:r>
      <w:r w:rsidRPr="00572F57" w:rsidR="00E42E60">
        <w:t>,’ ” ’ and the earlier conclusion that the Claims Act was limited to tort claims was based on the government </w:t>
      </w:r>
      <w:r w:rsidRPr="00572F57" w:rsidR="00E42E60">
        <w:rPr>
          <w:i/>
          <w:iCs/>
        </w:rPr>
        <w:t>immunity</w:t>
      </w:r>
      <w:r w:rsidRPr="00572F57" w:rsidR="00E42E60">
        <w:t> statutes, which contain different statutory language”]</w:t>
      </w:r>
      <w:r w:rsidRPr="00572F57" w:rsidR="00986292">
        <w:t>.</w:t>
      </w:r>
      <w:r w:rsidRPr="00572F57">
        <w:t>)</w:t>
      </w:r>
      <w:r>
        <w:rPr>
          <w:rStyle w:val="FootnoteReference"/>
        </w:rPr>
        <w:footnoteReference w:id="9"/>
      </w:r>
      <w:r w:rsidRPr="00572F57">
        <w:t xml:space="preserve">  </w:t>
      </w:r>
      <w:r w:rsidR="00043401">
        <w:t>T</w:t>
      </w:r>
      <w:r w:rsidR="00D74D04">
        <w:t xml:space="preserve">he Hospitals’ </w:t>
      </w:r>
      <w:r w:rsidR="00942C46">
        <w:t xml:space="preserve">mere </w:t>
      </w:r>
      <w:r w:rsidR="00F70B64">
        <w:t>compliance</w:t>
      </w:r>
      <w:r w:rsidR="00D74D04">
        <w:t xml:space="preserve"> with</w:t>
      </w:r>
      <w:r w:rsidR="00942C46">
        <w:t xml:space="preserve"> the Act’s</w:t>
      </w:r>
      <w:r w:rsidR="00D74D04">
        <w:t xml:space="preserve"> </w:t>
      </w:r>
      <w:r w:rsidR="00F70B64">
        <w:t>c</w:t>
      </w:r>
      <w:r w:rsidR="005D04E7">
        <w:t>laim</w:t>
      </w:r>
      <w:r w:rsidR="00DF690B">
        <w:t>s</w:t>
      </w:r>
      <w:r w:rsidR="005D04E7">
        <w:t xml:space="preserve"> presentation</w:t>
      </w:r>
      <w:r w:rsidR="00D74D04">
        <w:t xml:space="preserve"> requirements does not </w:t>
      </w:r>
      <w:r w:rsidR="001D68CF">
        <w:t>control or determine the nature of their action</w:t>
      </w:r>
      <w:r w:rsidR="00737375">
        <w:t>.</w:t>
      </w:r>
    </w:p>
    <w:p w:rsidR="00BC0BBD" w:rsidRPr="00572F57" w:rsidP="00200344" w14:paraId="2D5A0DA5" w14:textId="2E97F7D4">
      <w:pPr>
        <w:tabs>
          <w:tab w:val="left" w:pos="1440"/>
        </w:tabs>
        <w:ind w:firstLine="720"/>
      </w:pPr>
      <w:r w:rsidRPr="00572F57">
        <w:t xml:space="preserve">The County also argues that the Government Claims Act’s immunity provisions apply </w:t>
      </w:r>
      <w:r w:rsidRPr="00572F57" w:rsidR="00500751">
        <w:t>broadly to any</w:t>
      </w:r>
      <w:r w:rsidRPr="00572F57" w:rsidR="00916F35">
        <w:t xml:space="preserve"> common</w:t>
      </w:r>
      <w:r w:rsidRPr="00572F57" w:rsidR="0055143B">
        <w:t xml:space="preserve"> </w:t>
      </w:r>
      <w:r w:rsidRPr="00572F57" w:rsidR="00916F35">
        <w:t>law</w:t>
      </w:r>
      <w:r w:rsidRPr="00572F57" w:rsidR="00500751">
        <w:t xml:space="preserve"> claim, other than a</w:t>
      </w:r>
      <w:r w:rsidRPr="00572F57" w:rsidR="00EC7A2A">
        <w:t xml:space="preserve"> claim alleging an</w:t>
      </w:r>
      <w:r w:rsidRPr="00572F57" w:rsidR="00500751">
        <w:t xml:space="preserve"> express contract, seeking “money or damages”</w:t>
      </w:r>
      <w:r w:rsidRPr="00572F57" w:rsidR="00D815EF">
        <w:t xml:space="preserve"> </w:t>
      </w:r>
      <w:r w:rsidRPr="00572F57" w:rsidR="00636764">
        <w:t>(Gov. Code, § 814</w:t>
      </w:r>
      <w:r w:rsidRPr="00572F57" w:rsidR="008C7584">
        <w:t>)</w:t>
      </w:r>
      <w:r w:rsidR="003008BC">
        <w:t>.</w:t>
      </w:r>
      <w:r w:rsidRPr="00572F57" w:rsidR="008C7584">
        <w:t xml:space="preserve">  It asserts that “</w:t>
      </w:r>
      <w:r w:rsidRPr="00572F57">
        <w:t xml:space="preserve">to the extent the Legislature considered the existence of a quantum meruit claim brought against </w:t>
      </w:r>
      <w:r w:rsidRPr="00572F57" w:rsidR="009E02C0">
        <w:t>[a public entity]</w:t>
      </w:r>
      <w:r w:rsidRPr="00572F57">
        <w:t xml:space="preserve"> when drafting the</w:t>
      </w:r>
      <w:r w:rsidRPr="00572F57" w:rsidR="00463D9F">
        <w:t xml:space="preserve"> Government Claims Act, it would have understood such a claim as a non</w:t>
      </w:r>
      <w:r w:rsidRPr="00572F57" w:rsidR="009F5AF9">
        <w:t>-</w:t>
      </w:r>
      <w:r w:rsidRPr="00572F57" w:rsidR="00463D9F">
        <w:t>contractual action for money or damages, and thus a ‘tort.’ ”</w:t>
      </w:r>
      <w:r w:rsidRPr="00572F57" w:rsidR="00114C57">
        <w:t xml:space="preserve">  </w:t>
      </w:r>
      <w:r w:rsidRPr="00572F57" w:rsidR="00782E8E">
        <w:t>Yet</w:t>
      </w:r>
      <w:r w:rsidR="003008BC">
        <w:t>,</w:t>
      </w:r>
      <w:r w:rsidRPr="00572F57" w:rsidR="00782E8E">
        <w:t xml:space="preserve"> even </w:t>
      </w:r>
      <w:r w:rsidRPr="00572F57" w:rsidR="00EC7A2A">
        <w:t xml:space="preserve">if </w:t>
      </w:r>
      <w:r w:rsidRPr="00572F57" w:rsidR="00D815EF">
        <w:t xml:space="preserve">we </w:t>
      </w:r>
      <w:r w:rsidRPr="00572F57" w:rsidR="00EC7A2A">
        <w:t xml:space="preserve">were to assume </w:t>
      </w:r>
      <w:r w:rsidRPr="00572F57" w:rsidR="007C4E90">
        <w:t xml:space="preserve">that the Government Claims Act’s immunity provisions </w:t>
      </w:r>
      <w:r w:rsidRPr="00572F57" w:rsidR="00EC7A2A">
        <w:t>might apply to some claims</w:t>
      </w:r>
      <w:r w:rsidRPr="00572F57" w:rsidR="0038444A">
        <w:t xml:space="preserve"> that </w:t>
      </w:r>
      <w:r w:rsidRPr="00572F57" w:rsidR="004F20DE">
        <w:t>are not</w:t>
      </w:r>
      <w:r w:rsidRPr="00572F57" w:rsidR="00D815EF">
        <w:t xml:space="preserve"> obviously </w:t>
      </w:r>
      <w:r w:rsidRPr="00572F57" w:rsidR="004F20DE">
        <w:t>tortious</w:t>
      </w:r>
      <w:r w:rsidRPr="00572F57" w:rsidR="00D815EF">
        <w:t xml:space="preserve"> in nature</w:t>
      </w:r>
      <w:r w:rsidRPr="00572F57" w:rsidR="004F20DE">
        <w:t xml:space="preserve">, </w:t>
      </w:r>
      <w:r w:rsidR="001D1EED">
        <w:t xml:space="preserve">the contours of which we need not </w:t>
      </w:r>
      <w:r w:rsidR="00354705">
        <w:t>delve into here</w:t>
      </w:r>
      <w:r w:rsidR="001D1EED">
        <w:t xml:space="preserve">, </w:t>
      </w:r>
      <w:r w:rsidR="007B2E84">
        <w:t xml:space="preserve">we </w:t>
      </w:r>
      <w:r w:rsidR="00602768">
        <w:t xml:space="preserve">are confident that </w:t>
      </w:r>
      <w:r w:rsidR="00354705">
        <w:t>the Act</w:t>
      </w:r>
      <w:r w:rsidR="00D06714">
        <w:t xml:space="preserve"> does not immunize the County from </w:t>
      </w:r>
      <w:r w:rsidRPr="00572F57" w:rsidR="004F20DE">
        <w:t>the Hospitals’ quantum meruit claim</w:t>
      </w:r>
      <w:r w:rsidR="00E36E35">
        <w:t xml:space="preserve"> to enforce a statutory duty of </w:t>
      </w:r>
      <w:r w:rsidR="00B82CAB">
        <w:t>reimbursement</w:t>
      </w:r>
      <w:r w:rsidRPr="00572F57" w:rsidR="004F20DE">
        <w:t>.</w:t>
      </w:r>
      <w:r w:rsidRPr="00572F57" w:rsidR="007E7C58">
        <w:t xml:space="preserve">  </w:t>
      </w:r>
    </w:p>
    <w:p w:rsidR="00B92FB4" w:rsidRPr="00572F57" w:rsidP="00200344" w14:paraId="0319BE3D" w14:textId="59529AD1">
      <w:pPr>
        <w:tabs>
          <w:tab w:val="left" w:pos="1440"/>
        </w:tabs>
        <w:ind w:firstLine="720"/>
      </w:pPr>
      <w:r w:rsidRPr="00572F57">
        <w:t>“Quantum meruit refers to the well-established principle that ‘the law implies a promise to pay for services performed under circumstances disclosing that they were not gratuitously rendered.’  [Citation.]  To recover in quantum meruit, a party need not prove the existence of a contract [citations], but it must show the circumstances were such that ‘the services were rendered under some understanding or expectation of both parties that compensation therefor was to be made.’ ”  (</w:t>
      </w:r>
      <w:r w:rsidRPr="00572F57">
        <w:rPr>
          <w:i/>
          <w:iCs/>
        </w:rPr>
        <w:t>Huskinson &amp; Brown v. Wolf</w:t>
      </w:r>
      <w:r w:rsidRPr="00572F57">
        <w:t xml:space="preserve"> (2004) 32</w:t>
      </w:r>
      <w:r w:rsidR="004209EA">
        <w:t> </w:t>
      </w:r>
      <w:r w:rsidRPr="00572F57">
        <w:t>Cal.4th 453, 458</w:t>
      </w:r>
      <w:r w:rsidRPr="00572F57" w:rsidR="001B1667">
        <w:t xml:space="preserve"> (</w:t>
      </w:r>
      <w:r w:rsidRPr="00572F57" w:rsidR="001B1667">
        <w:rPr>
          <w:i/>
          <w:iCs/>
        </w:rPr>
        <w:t>Huskinson &amp; Brown</w:t>
      </w:r>
      <w:r w:rsidRPr="00572F57" w:rsidR="001B1667">
        <w:t>)</w:t>
      </w:r>
      <w:r w:rsidRPr="00572F57">
        <w:t>.)  The doctrine manifests “ ‘ “a general principle, underlying various legal doctrines and remedies, that one person should not be permitted unjustly to enrich himself at the expense of another, but should be required to make restitution of or for property or benefits received, retained, or appropriated, where it is just and equitable that such restitution be made, where such action involves no violation or frustration of law or opposition to public policy, either directly or indirectly.” ’ ”  (</w:t>
      </w:r>
      <w:r w:rsidRPr="00572F57">
        <w:rPr>
          <w:i/>
          <w:iCs/>
        </w:rPr>
        <w:t>Dinosaur Development, Inc. v. White</w:t>
      </w:r>
      <w:r w:rsidRPr="00572F57">
        <w:t xml:space="preserve"> (1989) 216</w:t>
      </w:r>
      <w:r w:rsidR="00882930">
        <w:t> </w:t>
      </w:r>
      <w:r w:rsidRPr="00572F57">
        <w:t xml:space="preserve">Cal.App.3d 1310, 1315; see Rest., Restitution, §§ 113, </w:t>
      </w:r>
      <w:r w:rsidRPr="00572F57">
        <w:rPr>
          <w:caps/>
        </w:rPr>
        <w:t xml:space="preserve">114.)  </w:t>
      </w:r>
      <w:r w:rsidRPr="00572F57" w:rsidR="00C57A2E">
        <w:t>“In interpreting statutes dealing with claims ‘arising upon contract’ to cover quasi-contractual obligations, the term ‘quasi-contract’ is sometimes applied to statutory obligations that cannot be accurately classified as strictly contractual or subject to tort liability</w:t>
      </w:r>
      <w:r w:rsidRPr="00572F57" w:rsidR="00D36A25">
        <w:t>.</w:t>
      </w:r>
      <w:r w:rsidRPr="00572F57" w:rsidR="00C57A2E">
        <w:t>”</w:t>
      </w:r>
      <w:r w:rsidRPr="00572F57" w:rsidR="00D36A25">
        <w:t xml:space="preserve">  (</w:t>
      </w:r>
      <w:r w:rsidR="00A672BA">
        <w:t xml:space="preserve">1 </w:t>
      </w:r>
      <w:r w:rsidRPr="00572F57" w:rsidR="00D36A25">
        <w:t>Witkin</w:t>
      </w:r>
      <w:r w:rsidR="00A672BA">
        <w:t>,</w:t>
      </w:r>
      <w:r w:rsidRPr="00572F57" w:rsidR="00D36A25">
        <w:t xml:space="preserve"> Summary of </w:t>
      </w:r>
      <w:r w:rsidR="008C55F1">
        <w:t xml:space="preserve">Cal. </w:t>
      </w:r>
      <w:r w:rsidRPr="00572F57" w:rsidR="00D36A25">
        <w:t>Law (11th ed. 2017)</w:t>
      </w:r>
      <w:r w:rsidR="008C55F1">
        <w:t xml:space="preserve"> Contracts</w:t>
      </w:r>
      <w:r w:rsidRPr="00572F57" w:rsidR="00D36A25">
        <w:t>, § </w:t>
      </w:r>
      <w:r w:rsidRPr="00572F57" w:rsidR="00CD0AC5">
        <w:t>104</w:t>
      </w:r>
      <w:r w:rsidR="008C55F1">
        <w:t>, pp.</w:t>
      </w:r>
      <w:r w:rsidR="004209EA">
        <w:t> </w:t>
      </w:r>
      <w:r w:rsidR="008C55F1">
        <w:t>148–149</w:t>
      </w:r>
      <w:r w:rsidRPr="00572F57" w:rsidR="00D36A25">
        <w:t>.)</w:t>
      </w:r>
    </w:p>
    <w:p w:rsidR="00885FFB" w:rsidRPr="00572F57" w:rsidP="007D47FA" w14:paraId="226D1468" w14:textId="5FBF7B1F">
      <w:pPr>
        <w:tabs>
          <w:tab w:val="left" w:pos="1440"/>
        </w:tabs>
        <w:ind w:firstLine="720"/>
      </w:pPr>
      <w:r w:rsidRPr="00572F57">
        <w:t>In this respect, the Court of Appeal below applied a rubric whereby “[w]hether an action sounds in contract or tort for purposes of governmental immunity ‘</w:t>
      </w:r>
      <w:r w:rsidRPr="00572F57" w:rsidR="005A51BA">
        <w:t> </w:t>
      </w:r>
      <w:r w:rsidRPr="00572F57">
        <w:t>“</w:t>
      </w:r>
      <w:r w:rsidR="00D23CA3">
        <w:t> ‘</w:t>
      </w:r>
      <w:r w:rsidRPr="00572F57">
        <w:t>depends upon the nature of the right sued upon, not the form of the pleading or relief demanded.  If based on breach of promise it is contractual; if based on breach of a noncontractual duty it is tortious.</w:t>
      </w:r>
      <w:r w:rsidR="00D23CA3">
        <w:t>’ </w:t>
      </w:r>
      <w:r w:rsidRPr="00572F57">
        <w:t>”</w:t>
      </w:r>
      <w:r w:rsidRPr="00572F57" w:rsidR="005A51BA">
        <w:t> </w:t>
      </w:r>
      <w:r w:rsidRPr="00572F57">
        <w:t>’</w:t>
      </w:r>
      <w:r w:rsidRPr="00572F57" w:rsidR="005A51BA">
        <w:t> </w:t>
      </w:r>
      <w:r w:rsidRPr="00572F57">
        <w:t>”  (</w:t>
      </w:r>
      <w:r w:rsidRPr="00572F57">
        <w:rPr>
          <w:i/>
          <w:iCs/>
        </w:rPr>
        <w:t>Santa Clara</w:t>
      </w:r>
      <w:r w:rsidRPr="00572F57">
        <w:t xml:space="preserve">, </w:t>
      </w:r>
      <w:r w:rsidRPr="00572F57">
        <w:rPr>
          <w:i/>
          <w:iCs/>
        </w:rPr>
        <w:t>supra</w:t>
      </w:r>
      <w:r w:rsidRPr="00572F57">
        <w:t>, 77</w:t>
      </w:r>
      <w:r w:rsidRPr="00572F57" w:rsidR="005A51BA">
        <w:t> </w:t>
      </w:r>
      <w:r w:rsidRPr="00572F57">
        <w:t>Cal.App.5th at p.</w:t>
      </w:r>
      <w:r w:rsidRPr="00572F57" w:rsidR="005A51BA">
        <w:t> </w:t>
      </w:r>
      <w:r w:rsidRPr="00572F57">
        <w:t xml:space="preserve">1033, quoting </w:t>
      </w:r>
      <w:r w:rsidRPr="00572F57">
        <w:rPr>
          <w:i/>
          <w:iCs/>
        </w:rPr>
        <w:t>Roe v. State of California</w:t>
      </w:r>
      <w:r w:rsidRPr="00572F57">
        <w:t xml:space="preserve"> (2001) 94</w:t>
      </w:r>
      <w:r w:rsidRPr="00572F57" w:rsidR="003D2724">
        <w:t> </w:t>
      </w:r>
      <w:r w:rsidRPr="00572F57">
        <w:t xml:space="preserve">Cal.App.4th 64, 69.)  Although this distinguishing principle may be useful in other contexts, </w:t>
      </w:r>
      <w:r w:rsidR="007B2E84">
        <w:t xml:space="preserve">we </w:t>
      </w:r>
      <w:r w:rsidRPr="00572F57">
        <w:t>regard it as unhelpful in ascertaining the nature of the Hospitals’ quantum meruit claim, which is premised on a theory of a promise implied in law (</w:t>
      </w:r>
      <w:r w:rsidR="0039521A">
        <w:t>s</w:t>
      </w:r>
      <w:r w:rsidRPr="00572F57">
        <w:t xml:space="preserve">ee </w:t>
      </w:r>
      <w:r w:rsidRPr="00572F57">
        <w:rPr>
          <w:i/>
          <w:iCs/>
        </w:rPr>
        <w:t>Huskinson &amp; Brown</w:t>
      </w:r>
      <w:r w:rsidRPr="00572F57">
        <w:t xml:space="preserve">, </w:t>
      </w:r>
      <w:r w:rsidRPr="00572F57">
        <w:rPr>
          <w:i/>
          <w:iCs/>
        </w:rPr>
        <w:t>supra</w:t>
      </w:r>
      <w:r w:rsidRPr="00572F57">
        <w:t>, 32</w:t>
      </w:r>
      <w:r w:rsidR="00F9102E">
        <w:t> </w:t>
      </w:r>
      <w:r w:rsidRPr="00572F57">
        <w:t>Cal.4th at p.</w:t>
      </w:r>
      <w:r w:rsidRPr="00572F57" w:rsidR="005A51BA">
        <w:t> </w:t>
      </w:r>
      <w:r w:rsidRPr="00572F57">
        <w:t>458)</w:t>
      </w:r>
      <w:r w:rsidR="007C0A21">
        <w:t>, and, more specifically, on a reimbursement duty imposed by statute.</w:t>
      </w:r>
      <w:r w:rsidRPr="00572F57">
        <w:t xml:space="preserve">  </w:t>
      </w:r>
      <w:r w:rsidR="007B2E84">
        <w:t>I</w:t>
      </w:r>
      <w:r w:rsidRPr="00572F57">
        <w:t>nstead</w:t>
      </w:r>
      <w:r w:rsidR="00AF6B63">
        <w:t xml:space="preserve">, </w:t>
      </w:r>
      <w:r w:rsidR="00FE632E">
        <w:t xml:space="preserve">we draw support from </w:t>
      </w:r>
      <w:r w:rsidR="00DF0CD0">
        <w:t xml:space="preserve">our decisions in </w:t>
      </w:r>
      <w:r w:rsidR="00DF0CD0">
        <w:rPr>
          <w:i/>
          <w:iCs/>
        </w:rPr>
        <w:t>City of Dinuba</w:t>
      </w:r>
      <w:r w:rsidR="00B537BA">
        <w:t xml:space="preserve"> and </w:t>
      </w:r>
      <w:r w:rsidR="00B537BA">
        <w:rPr>
          <w:i/>
          <w:iCs/>
        </w:rPr>
        <w:t>Kizer</w:t>
      </w:r>
      <w:r w:rsidR="00695462">
        <w:t>, which share sufficient commonalities with this matter</w:t>
      </w:r>
      <w:r w:rsidR="000872E7">
        <w:t xml:space="preserve"> </w:t>
      </w:r>
      <w:r w:rsidR="006B13C4">
        <w:t xml:space="preserve">to </w:t>
      </w:r>
      <w:r w:rsidR="000872E7">
        <w:t xml:space="preserve">lead us to </w:t>
      </w:r>
      <w:r w:rsidR="006B13C4">
        <w:t>conclude</w:t>
      </w:r>
      <w:r w:rsidR="00CE1EE6">
        <w:t xml:space="preserve"> that the </w:t>
      </w:r>
      <w:r w:rsidR="0030631D">
        <w:t xml:space="preserve">Government Claims Act does not </w:t>
      </w:r>
      <w:r w:rsidR="000872E7">
        <w:t>immunize the County from</w:t>
      </w:r>
      <w:r w:rsidR="0030631D">
        <w:t xml:space="preserve"> the </w:t>
      </w:r>
      <w:r w:rsidR="00CE1EE6">
        <w:t xml:space="preserve">Hospitals’ </w:t>
      </w:r>
      <w:r w:rsidR="0030631D">
        <w:t>action</w:t>
      </w:r>
      <w:r w:rsidRPr="00572F57">
        <w:t xml:space="preserve">.  </w:t>
      </w:r>
    </w:p>
    <w:p w:rsidR="00B27531" w:rsidP="000B2548" w14:paraId="6087A8F2" w14:textId="1C8CCBAF">
      <w:pPr>
        <w:tabs>
          <w:tab w:val="left" w:pos="1440"/>
        </w:tabs>
        <w:ind w:firstLine="720"/>
      </w:pPr>
      <w:r>
        <w:t>I</w:t>
      </w:r>
      <w:r w:rsidR="00BF5482">
        <w:t xml:space="preserve">n </w:t>
      </w:r>
      <w:r w:rsidR="00BF5482">
        <w:rPr>
          <w:i/>
          <w:iCs/>
        </w:rPr>
        <w:t>City of Dinuba</w:t>
      </w:r>
      <w:r>
        <w:t xml:space="preserve">, the plaintiffs </w:t>
      </w:r>
      <w:r w:rsidR="002E53F4">
        <w:t xml:space="preserve">sought </w:t>
      </w:r>
      <w:r w:rsidR="0045556E">
        <w:t xml:space="preserve">to recover misallocated tax revenue, </w:t>
      </w:r>
      <w:r w:rsidR="00501A8E">
        <w:t>which</w:t>
      </w:r>
      <w:r w:rsidR="0045556E">
        <w:t xml:space="preserve"> the defendant county was obligated by statute to distribute</w:t>
      </w:r>
      <w:r w:rsidR="00501A8E">
        <w:t xml:space="preserve"> to the plaintiffs</w:t>
      </w:r>
      <w:r w:rsidR="0045556E">
        <w:t>.  (</w:t>
      </w:r>
      <w:r w:rsidR="0045556E">
        <w:rPr>
          <w:i/>
          <w:iCs/>
        </w:rPr>
        <w:t>City of Dinuba</w:t>
      </w:r>
      <w:r w:rsidR="0045556E">
        <w:t xml:space="preserve">, </w:t>
      </w:r>
      <w:r w:rsidR="0045556E">
        <w:rPr>
          <w:i/>
          <w:iCs/>
        </w:rPr>
        <w:t>supra</w:t>
      </w:r>
      <w:r w:rsidR="0045556E">
        <w:t>, 41 Cal.4th at p.</w:t>
      </w:r>
      <w:r w:rsidR="00F80277">
        <w:t> </w:t>
      </w:r>
      <w:r w:rsidR="00551776">
        <w:t xml:space="preserve">863.)  </w:t>
      </w:r>
      <w:r w:rsidR="00B84FF0">
        <w:t>We held that the Government Claims Act’s immunity provision</w:t>
      </w:r>
      <w:r w:rsidR="0028067A">
        <w:t>s</w:t>
      </w:r>
      <w:r w:rsidR="00B84FF0">
        <w:t xml:space="preserve"> did not apply to the plaintiffs’ action, in part because </w:t>
      </w:r>
      <w:r w:rsidR="00374BE6">
        <w:t xml:space="preserve">we determined that the plaintiffs did not seek money damages.  </w:t>
      </w:r>
      <w:r w:rsidR="002E191A">
        <w:t>(</w:t>
      </w:r>
      <w:r w:rsidR="00B9521A">
        <w:rPr>
          <w:i/>
          <w:iCs/>
        </w:rPr>
        <w:t>City of Dinuba</w:t>
      </w:r>
      <w:r w:rsidR="00B9521A">
        <w:t>,</w:t>
      </w:r>
      <w:r w:rsidR="002E191A">
        <w:t xml:space="preserve"> at p.</w:t>
      </w:r>
      <w:r w:rsidR="00F80277">
        <w:t> </w:t>
      </w:r>
      <w:r w:rsidR="002E191A">
        <w:t xml:space="preserve">867, citing </w:t>
      </w:r>
      <w:r w:rsidR="00C43C5D">
        <w:t xml:space="preserve">Gov. Code, </w:t>
      </w:r>
      <w:r w:rsidR="002E191A">
        <w:t>§ 814</w:t>
      </w:r>
      <w:r w:rsidR="00A3116D">
        <w:t xml:space="preserve">.)  </w:t>
      </w:r>
      <w:r w:rsidR="005024CC">
        <w:t>We concluded that the plaintiffs instead sought</w:t>
      </w:r>
      <w:r w:rsidRPr="00F9186B" w:rsidR="005024CC">
        <w:t xml:space="preserve"> </w:t>
      </w:r>
      <w:r w:rsidR="005024CC">
        <w:t>“</w:t>
      </w:r>
      <w:r w:rsidRPr="00F9186B" w:rsidR="005024CC">
        <w:t xml:space="preserve">only to compel defendants to perform their express statutory duty. </w:t>
      </w:r>
      <w:r w:rsidR="005024CC">
        <w:t xml:space="preserve"> </w:t>
      </w:r>
      <w:r w:rsidRPr="00F9186B" w:rsidR="005024CC">
        <w:t>While compliance with the duty may result in the payment of money, that is distinct from seeking damages</w:t>
      </w:r>
      <w:r w:rsidR="005024CC">
        <w:t>.”</w:t>
      </w:r>
      <w:r w:rsidR="00B84FF0">
        <w:t xml:space="preserve">  </w:t>
      </w:r>
      <w:r w:rsidRPr="00572F57" w:rsidR="00B84FF0">
        <w:t>(</w:t>
      </w:r>
      <w:r w:rsidR="009013FD">
        <w:rPr>
          <w:i/>
          <w:iCs/>
        </w:rPr>
        <w:t>City of Dinuba</w:t>
      </w:r>
      <w:r w:rsidR="009013FD">
        <w:t>,</w:t>
      </w:r>
      <w:r w:rsidR="009E15A0">
        <w:t xml:space="preserve"> </w:t>
      </w:r>
      <w:r w:rsidR="0074183B">
        <w:t>at p. 867</w:t>
      </w:r>
      <w:r w:rsidRPr="00F80277" w:rsidR="00A3116D">
        <w:t>.</w:t>
      </w:r>
      <w:r w:rsidR="00A3116D">
        <w:t xml:space="preserve">) </w:t>
      </w:r>
      <w:r w:rsidR="00F80277">
        <w:t xml:space="preserve"> </w:t>
      </w:r>
    </w:p>
    <w:p w:rsidR="009C5BCA" w:rsidP="000B2548" w14:paraId="35B894D2" w14:textId="46BEF86C">
      <w:pPr>
        <w:tabs>
          <w:tab w:val="left" w:pos="1440"/>
        </w:tabs>
        <w:ind w:firstLine="720"/>
      </w:pPr>
      <w:r>
        <w:t>Here</w:t>
      </w:r>
      <w:r w:rsidR="00FD2274">
        <w:t xml:space="preserve"> too</w:t>
      </w:r>
      <w:r>
        <w:t>,</w:t>
      </w:r>
      <w:r w:rsidR="00A3116D">
        <w:rPr>
          <w:i/>
          <w:iCs/>
        </w:rPr>
        <w:t xml:space="preserve"> </w:t>
      </w:r>
      <w:r w:rsidRPr="00572F57" w:rsidR="00FD2274">
        <w:t xml:space="preserve">the Hospitals </w:t>
      </w:r>
      <w:r w:rsidR="00FD2274">
        <w:t>do not seek money damages.  They</w:t>
      </w:r>
      <w:r w:rsidRPr="00572F57" w:rsidR="00FD2274">
        <w:t xml:space="preserve"> seek to compel the County to </w:t>
      </w:r>
      <w:r w:rsidR="00FD2274">
        <w:t xml:space="preserve">comply with its mandatory duty under the </w:t>
      </w:r>
      <w:r w:rsidR="003C6D9B">
        <w:t>Knox-Keene</w:t>
      </w:r>
      <w:r w:rsidR="00FD2274">
        <w:t xml:space="preserve"> Act and its implementing regulations to </w:t>
      </w:r>
      <w:r w:rsidRPr="00572F57" w:rsidR="00FD2274">
        <w:t xml:space="preserve">reimburse </w:t>
      </w:r>
      <w:r w:rsidR="00FD2274">
        <w:t>the Hospitals</w:t>
      </w:r>
      <w:r w:rsidRPr="00572F57" w:rsidR="00FD2274">
        <w:t xml:space="preserve"> for </w:t>
      </w:r>
      <w:r w:rsidR="00FD2274">
        <w:t xml:space="preserve">the reasonable and customary value of their </w:t>
      </w:r>
      <w:r w:rsidRPr="00572F57" w:rsidR="00FD2274">
        <w:t>emergency services and care.</w:t>
      </w:r>
      <w:r w:rsidR="00FD2274">
        <w:t xml:space="preserve">  Although </w:t>
      </w:r>
      <w:r w:rsidR="006F64A5">
        <w:t xml:space="preserve">some differences exist between the claims in </w:t>
      </w:r>
      <w:r w:rsidR="006F64A5">
        <w:rPr>
          <w:i/>
          <w:iCs/>
        </w:rPr>
        <w:t xml:space="preserve">City of Dinuba </w:t>
      </w:r>
      <w:r w:rsidR="006F64A5">
        <w:t>and this matter, t</w:t>
      </w:r>
      <w:r w:rsidR="000762C9">
        <w:t xml:space="preserve">he nature of the right sued upon — </w:t>
      </w:r>
      <w:r w:rsidR="007F68C9">
        <w:t xml:space="preserve">the </w:t>
      </w:r>
      <w:r w:rsidR="00501A8E">
        <w:t>statutory right to receive funds</w:t>
      </w:r>
      <w:r w:rsidR="00F80277">
        <w:t> </w:t>
      </w:r>
      <w:r w:rsidR="00F6339B">
        <w:t xml:space="preserve">— is </w:t>
      </w:r>
      <w:r w:rsidR="00501A8E">
        <w:t>analogous</w:t>
      </w:r>
      <w:r w:rsidR="004401FD">
        <w:t>.</w:t>
      </w:r>
      <w:r w:rsidRPr="00572F57">
        <w:t xml:space="preserve">  </w:t>
      </w:r>
      <w:r w:rsidR="004D68D4">
        <w:t xml:space="preserve">As we noted in </w:t>
      </w:r>
      <w:r w:rsidR="004D68D4">
        <w:rPr>
          <w:i/>
          <w:iCs/>
        </w:rPr>
        <w:t>City of Dinuba</w:t>
      </w:r>
      <w:r w:rsidR="004D68D4">
        <w:t>, “</w:t>
      </w:r>
      <w:r w:rsidR="0074183B">
        <w:t>S</w:t>
      </w:r>
      <w:r w:rsidR="004D68D4">
        <w:t>ection</w:t>
      </w:r>
      <w:r w:rsidR="00F80277">
        <w:t> </w:t>
      </w:r>
      <w:r w:rsidR="004D68D4">
        <w:t>814 explicitly provides that liability based on contract or the right to obtain relief other than money damages is unaffected by the Act.”</w:t>
      </w:r>
      <w:r w:rsidR="00001CFE">
        <w:t xml:space="preserve">  (</w:t>
      </w:r>
      <w:r w:rsidR="00001CFE">
        <w:rPr>
          <w:i/>
          <w:iCs/>
        </w:rPr>
        <w:t>City of Dinuba</w:t>
      </w:r>
      <w:r w:rsidR="00001CFE">
        <w:t xml:space="preserve">, </w:t>
      </w:r>
      <w:r w:rsidR="00001CFE">
        <w:rPr>
          <w:i/>
          <w:iCs/>
        </w:rPr>
        <w:t>supra</w:t>
      </w:r>
      <w:r w:rsidR="00001CFE">
        <w:t>, 41</w:t>
      </w:r>
      <w:r w:rsidR="00F80277">
        <w:t> </w:t>
      </w:r>
      <w:r w:rsidR="00001CFE">
        <w:t>Cal.4th at p.</w:t>
      </w:r>
      <w:r w:rsidR="00F80277">
        <w:t> </w:t>
      </w:r>
      <w:r w:rsidR="00001CFE">
        <w:t>867.)</w:t>
      </w:r>
      <w:r w:rsidR="00FD4739">
        <w:t xml:space="preserve">  This provision applies with equal force here.</w:t>
      </w:r>
      <w:r w:rsidR="00411A46">
        <w:t xml:space="preserve">  (S</w:t>
      </w:r>
      <w:r w:rsidR="00194E2A">
        <w:t xml:space="preserve">ee </w:t>
      </w:r>
      <w:r w:rsidR="00194E2A">
        <w:rPr>
          <w:i/>
          <w:iCs/>
        </w:rPr>
        <w:t>Kizer</w:t>
      </w:r>
      <w:r w:rsidR="00194E2A">
        <w:t xml:space="preserve">, </w:t>
      </w:r>
      <w:r w:rsidR="00194E2A">
        <w:rPr>
          <w:i/>
          <w:iCs/>
        </w:rPr>
        <w:t>supra</w:t>
      </w:r>
      <w:r w:rsidR="00194E2A">
        <w:t>, 53</w:t>
      </w:r>
      <w:r w:rsidR="00F80277">
        <w:t> </w:t>
      </w:r>
      <w:r w:rsidR="00194E2A">
        <w:t>Cal.3d at p.</w:t>
      </w:r>
      <w:r w:rsidR="00F80277">
        <w:t> </w:t>
      </w:r>
      <w:r w:rsidR="00194E2A">
        <w:t>146 [Government Claims Act</w:t>
      </w:r>
      <w:r w:rsidR="00194E2A">
        <w:rPr>
          <w:i/>
          <w:iCs/>
        </w:rPr>
        <w:t xml:space="preserve"> </w:t>
      </w:r>
      <w:r w:rsidR="00194E2A">
        <w:t xml:space="preserve">was intended to limit government “exposure to liability for actual compensatory damages in tort cases”]; </w:t>
      </w:r>
      <w:r w:rsidRPr="00572F57">
        <w:rPr>
          <w:i/>
          <w:iCs/>
        </w:rPr>
        <w:t>Utility Audit</w:t>
      </w:r>
      <w:r w:rsidRPr="00572F57">
        <w:t xml:space="preserve">, </w:t>
      </w:r>
      <w:r w:rsidRPr="00572F57">
        <w:rPr>
          <w:i/>
          <w:iCs/>
        </w:rPr>
        <w:t>supra</w:t>
      </w:r>
      <w:r w:rsidRPr="00572F57">
        <w:t>, 112</w:t>
      </w:r>
      <w:r w:rsidR="00F80277">
        <w:t> </w:t>
      </w:r>
      <w:r w:rsidRPr="00572F57">
        <w:t>Cal.App.4th at p.</w:t>
      </w:r>
      <w:r>
        <w:t> </w:t>
      </w:r>
      <w:r w:rsidRPr="00572F57">
        <w:t>958 [“A claim for refund of overcharges, without more, appears to be based upon breach of a contractual duty”]</w:t>
      </w:r>
      <w:r w:rsidR="00F33A52">
        <w:t xml:space="preserve">; see also </w:t>
      </w:r>
      <w:r w:rsidR="00F33A52">
        <w:rPr>
          <w:i/>
          <w:iCs/>
        </w:rPr>
        <w:t>Bowen v. Massachusetts</w:t>
      </w:r>
      <w:r w:rsidR="00F33A52">
        <w:t xml:space="preserve"> (1988) 487</w:t>
      </w:r>
      <w:r w:rsidR="00F80277">
        <w:t> </w:t>
      </w:r>
      <w:r w:rsidR="00F33A52">
        <w:t>U.S. 879, 893</w:t>
      </w:r>
      <w:r w:rsidR="003B5C75">
        <w:t xml:space="preserve"> </w:t>
      </w:r>
      <w:r w:rsidR="0051159A">
        <w:t xml:space="preserve">[action for </w:t>
      </w:r>
      <w:r w:rsidR="00AB527C">
        <w:t xml:space="preserve">reimbursement of </w:t>
      </w:r>
      <w:r w:rsidR="0029324D">
        <w:t>withheld Medicaid payments</w:t>
      </w:r>
      <w:r w:rsidR="00F57B57">
        <w:t xml:space="preserve"> </w:t>
      </w:r>
      <w:r w:rsidR="006D72B9">
        <w:t xml:space="preserve">federal agency was statutorily obligated to provide </w:t>
      </w:r>
      <w:r w:rsidR="00286F76">
        <w:t>is not an action for “</w:t>
      </w:r>
      <w:r w:rsidR="00820DA1">
        <w:t> ‘</w:t>
      </w:r>
      <w:r w:rsidR="00286F76">
        <w:t>money damages</w:t>
      </w:r>
      <w:r w:rsidR="00820DA1">
        <w:t>’</w:t>
      </w:r>
      <w:r w:rsidR="00821C46">
        <w:t xml:space="preserve"> as</w:t>
      </w:r>
      <w:r w:rsidR="00827A09">
        <w:t xml:space="preserve"> that term is used in the </w:t>
      </w:r>
      <w:r w:rsidR="00820DA1">
        <w:t>[</w:t>
      </w:r>
      <w:r w:rsidR="00827A09">
        <w:t>Administrative Procedure Act</w:t>
      </w:r>
      <w:r w:rsidR="00820DA1">
        <w:t>]”</w:t>
      </w:r>
      <w:r w:rsidR="00286F76">
        <w:t>]</w:t>
      </w:r>
      <w:r w:rsidRPr="00572F57">
        <w:t>.)</w:t>
      </w:r>
      <w:r>
        <w:rPr>
          <w:rStyle w:val="FootnoteReference"/>
        </w:rPr>
        <w:footnoteReference w:id="10"/>
      </w:r>
      <w:r w:rsidRPr="00572F57">
        <w:t xml:space="preserve">  </w:t>
      </w:r>
    </w:p>
    <w:p w:rsidR="00995A43" w:rsidP="000B2548" w14:paraId="07FD39E2" w14:textId="1F76A32F">
      <w:pPr>
        <w:tabs>
          <w:tab w:val="left" w:pos="1440"/>
        </w:tabs>
        <w:ind w:firstLine="720"/>
      </w:pPr>
      <w:r>
        <w:t xml:space="preserve">Certain aspects of our </w:t>
      </w:r>
      <w:r w:rsidR="001E44A9">
        <w:t>decision</w:t>
      </w:r>
      <w:r>
        <w:t xml:space="preserve"> in </w:t>
      </w:r>
      <w:r>
        <w:rPr>
          <w:i/>
          <w:iCs/>
        </w:rPr>
        <w:t>Kizer</w:t>
      </w:r>
      <w:r>
        <w:t xml:space="preserve"> are also on point.</w:t>
      </w:r>
      <w:r w:rsidR="0065740C">
        <w:t xml:space="preserve">  </w:t>
      </w:r>
      <w:r>
        <w:t xml:space="preserve">In determining that the state’s enforcement action in </w:t>
      </w:r>
      <w:r>
        <w:rPr>
          <w:i/>
          <w:iCs/>
        </w:rPr>
        <w:t xml:space="preserve">Kizer </w:t>
      </w:r>
      <w:r>
        <w:t xml:space="preserve">did not fall within the purview of the Government Claims Act’s immunity provisions, we first emphasized that this particular action “lies outside the perimeters of a tort action and therefore does not readily </w:t>
      </w:r>
      <w:r w:rsidR="0065740C">
        <w:t xml:space="preserve">lend </w:t>
      </w:r>
      <w:r>
        <w:t>itself to a liability analysis based on tort principles.”</w:t>
      </w:r>
      <w:r w:rsidRPr="009F3FE0">
        <w:t xml:space="preserve"> </w:t>
      </w:r>
      <w:r>
        <w:t xml:space="preserve"> (</w:t>
      </w:r>
      <w:r w:rsidRPr="00572F57">
        <w:rPr>
          <w:i/>
          <w:iCs/>
        </w:rPr>
        <w:t>Kizer</w:t>
      </w:r>
      <w:r w:rsidRPr="00572F57">
        <w:t xml:space="preserve">, </w:t>
      </w:r>
      <w:r w:rsidRPr="00572F57">
        <w:rPr>
          <w:i/>
          <w:iCs/>
        </w:rPr>
        <w:t>supra</w:t>
      </w:r>
      <w:r w:rsidRPr="00572F57">
        <w:t>, 53</w:t>
      </w:r>
      <w:r w:rsidR="0065740C">
        <w:t> </w:t>
      </w:r>
      <w:r w:rsidRPr="00572F57">
        <w:t xml:space="preserve">Cal.3d </w:t>
      </w:r>
      <w:r>
        <w:t>at p.</w:t>
      </w:r>
      <w:r w:rsidR="0065740C">
        <w:t> </w:t>
      </w:r>
      <w:r>
        <w:t>146.)</w:t>
      </w:r>
      <w:r w:rsidR="00A619A1">
        <w:t xml:space="preserve"> </w:t>
      </w:r>
      <w:r>
        <w:t xml:space="preserve"> Based on the detailed statutory scheme regulating long-term health care facilities, we concluded that “[g]</w:t>
      </w:r>
      <w:r w:rsidRPr="009F3FE0">
        <w:t xml:space="preserve">ranting immunity to public entities from the </w:t>
      </w:r>
      <w:r>
        <w:t xml:space="preserve">[statutory] </w:t>
      </w:r>
      <w:r w:rsidRPr="009F3FE0">
        <w:t>penalties would be contrary to the intent of the Legislature to provide a citation system for the imposition of prompt and effective civil sanctions against long-term health care facilities in violation of the laws and regulations of this state.</w:t>
      </w:r>
      <w:r>
        <w:t>”  (</w:t>
      </w:r>
      <w:r>
        <w:rPr>
          <w:i/>
          <w:iCs/>
        </w:rPr>
        <w:t>Ibid</w:t>
      </w:r>
      <w:r w:rsidRPr="0065740C">
        <w:t>.</w:t>
      </w:r>
      <w:r>
        <w:t xml:space="preserve">) </w:t>
      </w:r>
      <w:r w:rsidRPr="00572F57">
        <w:t xml:space="preserve"> </w:t>
      </w:r>
      <w:r>
        <w:t>We also emphasized that “</w:t>
      </w:r>
      <w:r w:rsidRPr="00AB0C31">
        <w:t>nothing in the statutory scheme</w:t>
      </w:r>
      <w:r>
        <w:t xml:space="preserve"> . . . </w:t>
      </w:r>
      <w:r w:rsidRPr="00AB0C31">
        <w:t>suggests that state and other government health facilities should be treated differently than private facilities</w:t>
      </w:r>
      <w:r>
        <w:t>” (</w:t>
      </w:r>
      <w:r>
        <w:rPr>
          <w:i/>
          <w:iCs/>
        </w:rPr>
        <w:t>id</w:t>
      </w:r>
      <w:r w:rsidRPr="00627D17">
        <w:t>.</w:t>
      </w:r>
      <w:r w:rsidRPr="00627D17">
        <w:rPr>
          <w:iCs/>
        </w:rPr>
        <w:t xml:space="preserve"> </w:t>
      </w:r>
      <w:r>
        <w:t>at p.</w:t>
      </w:r>
      <w:r w:rsidR="0065740C">
        <w:t> </w:t>
      </w:r>
      <w:r>
        <w:t xml:space="preserve">148), and </w:t>
      </w:r>
      <w:r w:rsidR="00220BDD">
        <w:t xml:space="preserve">we </w:t>
      </w:r>
      <w:r>
        <w:t>perceived “ ‘no significant public policy reason to exempt a state licensed health-care facility from liability for penalties under the [Act] simply because it is operated by a public rather than a private entity’ ” (</w:t>
      </w:r>
      <w:r>
        <w:rPr>
          <w:i/>
          <w:iCs/>
        </w:rPr>
        <w:t>ibid</w:t>
      </w:r>
      <w:r w:rsidRPr="001B682A">
        <w:t>.</w:t>
      </w:r>
      <w:r>
        <w:t xml:space="preserve">).  </w:t>
      </w:r>
    </w:p>
    <w:p w:rsidR="000024C8" w:rsidRPr="00627D17" w:rsidP="002642BC" w14:paraId="7347D6B6" w14:textId="22CA2971">
      <w:pPr>
        <w:tabs>
          <w:tab w:val="left" w:pos="1440"/>
        </w:tabs>
        <w:ind w:firstLine="720"/>
        <w:rPr>
          <w:i/>
        </w:rPr>
      </w:pPr>
      <w:r>
        <w:t xml:space="preserve">Like the defendant in </w:t>
      </w:r>
      <w:r>
        <w:rPr>
          <w:i/>
          <w:iCs/>
        </w:rPr>
        <w:t>Kizer</w:t>
      </w:r>
      <w:r>
        <w:t xml:space="preserve">, the County is subject to the terms of the </w:t>
      </w:r>
      <w:r w:rsidR="003C6D9B">
        <w:t>Knox-Keene</w:t>
      </w:r>
      <w:r>
        <w:t xml:space="preserve"> Act, a </w:t>
      </w:r>
      <w:r w:rsidR="00CE043A">
        <w:t xml:space="preserve">detailed </w:t>
      </w:r>
      <w:r>
        <w:t xml:space="preserve">regulatory scheme, because it chose to enter the health care plan market and operate a licensed health care service plan. </w:t>
      </w:r>
      <w:r w:rsidRPr="00627D17">
        <w:rPr>
          <w:iCs/>
        </w:rPr>
        <w:t xml:space="preserve"> </w:t>
      </w:r>
      <w:r w:rsidRPr="00572F57">
        <w:t xml:space="preserve">As has been discussed, the </w:t>
      </w:r>
      <w:r w:rsidR="003C6D9B">
        <w:t>Knox-Keene</w:t>
      </w:r>
      <w:r w:rsidRPr="00572F57">
        <w:t xml:space="preserve"> Act applies to “any private or public entity” operating a licensed health care service plan, subject to narrow exceptions</w:t>
      </w:r>
      <w:r>
        <w:t xml:space="preserve"> not applicable here</w:t>
      </w:r>
      <w:r w:rsidRPr="00572F57">
        <w:t xml:space="preserve">.  (Health &amp; Saf. Code, § 1399.5; see </w:t>
      </w:r>
      <w:r w:rsidRPr="00572F57">
        <w:rPr>
          <w:i/>
          <w:iCs/>
        </w:rPr>
        <w:t>id</w:t>
      </w:r>
      <w:r w:rsidRPr="00572F57">
        <w:t>., § 1345, subds. (f)(1), (j).)  The statutory and regulatory scheme explicitly provides for mandatory reimbursement (</w:t>
      </w:r>
      <w:r w:rsidRPr="00572F57">
        <w:rPr>
          <w:i/>
          <w:iCs/>
        </w:rPr>
        <w:t>id</w:t>
      </w:r>
      <w:r w:rsidRPr="00572F57">
        <w:t xml:space="preserve">., § 1371.4, subd. (b); </w:t>
      </w:r>
      <w:r w:rsidRPr="00572F57">
        <w:rPr>
          <w:i/>
          <w:iCs/>
        </w:rPr>
        <w:t>Centinela</w:t>
      </w:r>
      <w:r w:rsidRPr="00572F57">
        <w:t xml:space="preserve">, </w:t>
      </w:r>
      <w:r w:rsidRPr="00572F57">
        <w:rPr>
          <w:i/>
          <w:iCs/>
        </w:rPr>
        <w:t>supra</w:t>
      </w:r>
      <w:r w:rsidRPr="00572F57">
        <w:t>,</w:t>
      </w:r>
      <w:r w:rsidRPr="00572F57">
        <w:rPr>
          <w:i/>
          <w:iCs/>
        </w:rPr>
        <w:t xml:space="preserve"> </w:t>
      </w:r>
      <w:r w:rsidRPr="00572F57">
        <w:t>1</w:t>
      </w:r>
      <w:r w:rsidR="009E15A0">
        <w:t> </w:t>
      </w:r>
      <w:r w:rsidRPr="00572F57">
        <w:t>Cal.5th at p. 1001;</w:t>
      </w:r>
      <w:r w:rsidRPr="00572F57">
        <w:rPr>
          <w:i/>
          <w:iCs/>
        </w:rPr>
        <w:t xml:space="preserve"> Prospect Medical Group</w:t>
      </w:r>
      <w:r w:rsidRPr="00572F57">
        <w:t xml:space="preserve">, </w:t>
      </w:r>
      <w:r w:rsidRPr="00572F57">
        <w:rPr>
          <w:i/>
          <w:iCs/>
        </w:rPr>
        <w:t>supra</w:t>
      </w:r>
      <w:r w:rsidRPr="00572F57">
        <w:t>, 45</w:t>
      </w:r>
      <w:r w:rsidR="002642BC">
        <w:t> </w:t>
      </w:r>
      <w:r w:rsidRPr="00572F57">
        <w:t>Cal.4th at pp.</w:t>
      </w:r>
      <w:r w:rsidR="002642BC">
        <w:t> </w:t>
      </w:r>
      <w:r w:rsidRPr="00572F57">
        <w:t xml:space="preserve">501, 504, 507; </w:t>
      </w:r>
      <w:r w:rsidRPr="00572F57">
        <w:rPr>
          <w:i/>
          <w:iCs/>
        </w:rPr>
        <w:t>Long Beach Memorial</w:t>
      </w:r>
      <w:r w:rsidRPr="00572F57">
        <w:t xml:space="preserve">, </w:t>
      </w:r>
      <w:r w:rsidRPr="00572F57">
        <w:rPr>
          <w:i/>
          <w:iCs/>
        </w:rPr>
        <w:t>supra</w:t>
      </w:r>
      <w:r w:rsidRPr="00572F57">
        <w:t>,</w:t>
      </w:r>
      <w:r w:rsidRPr="00572F57">
        <w:rPr>
          <w:i/>
          <w:iCs/>
        </w:rPr>
        <w:t xml:space="preserve"> </w:t>
      </w:r>
      <w:r w:rsidRPr="00572F57">
        <w:t xml:space="preserve">71 Cal.App.5th at p. 329; </w:t>
      </w:r>
      <w:r w:rsidRPr="00572F57">
        <w:rPr>
          <w:i/>
          <w:iCs/>
        </w:rPr>
        <w:t>Bell</w:t>
      </w:r>
      <w:r w:rsidRPr="00572F57">
        <w:t xml:space="preserve">, </w:t>
      </w:r>
      <w:r w:rsidRPr="00572F57">
        <w:rPr>
          <w:i/>
          <w:iCs/>
        </w:rPr>
        <w:t>supra</w:t>
      </w:r>
      <w:r w:rsidRPr="00572F57">
        <w:t xml:space="preserve">, 131 Cal.App.4th at p. 216; </w:t>
      </w:r>
      <w:r w:rsidRPr="00572F57">
        <w:rPr>
          <w:i/>
          <w:iCs/>
        </w:rPr>
        <w:t>California Emergency Physicians</w:t>
      </w:r>
      <w:r w:rsidRPr="00572F57">
        <w:t xml:space="preserve">, </w:t>
      </w:r>
      <w:r w:rsidRPr="00572F57">
        <w:rPr>
          <w:i/>
          <w:iCs/>
        </w:rPr>
        <w:t>supra</w:t>
      </w:r>
      <w:r w:rsidRPr="00572F57">
        <w:t>, 111</w:t>
      </w:r>
      <w:r>
        <w:t> </w:t>
      </w:r>
      <w:r w:rsidRPr="00572F57">
        <w:t>Cal.App.4th at p.</w:t>
      </w:r>
      <w:r w:rsidR="002642BC">
        <w:t> </w:t>
      </w:r>
      <w:r w:rsidRPr="00572F57">
        <w:t xml:space="preserve">1131) and specifies, in general but comprehensive terms, how to calculate that reimbursement amount (Regulation 1300.71).  </w:t>
      </w:r>
      <w:r w:rsidR="00CE3CA6">
        <w:t xml:space="preserve">(See </w:t>
      </w:r>
      <w:r w:rsidR="00CE3CA6">
        <w:rPr>
          <w:i/>
          <w:iCs/>
        </w:rPr>
        <w:t>Long Beach Memorial</w:t>
      </w:r>
      <w:r w:rsidR="00CE3CA6">
        <w:t xml:space="preserve">, at p. 338 </w:t>
      </w:r>
      <w:r w:rsidR="00437308">
        <w:t>[“</w:t>
      </w:r>
      <w:r w:rsidRPr="00437308" w:rsidR="00437308">
        <w:t xml:space="preserve">The underlying duty to repay </w:t>
      </w:r>
      <w:r w:rsidR="001E4FED">
        <w:t xml:space="preserve">[emergency medical services] </w:t>
      </w:r>
      <w:r w:rsidRPr="00437308" w:rsidR="00437308">
        <w:t xml:space="preserve">is established by the </w:t>
      </w:r>
      <w:r w:rsidR="003C6D9B">
        <w:t>Knox-Keene</w:t>
      </w:r>
      <w:r w:rsidRPr="00437308" w:rsidR="00437308">
        <w:t xml:space="preserve"> Act,</w:t>
      </w:r>
      <w:r w:rsidR="00E134C0">
        <w:t xml:space="preserve"> . . . </w:t>
      </w:r>
      <w:r w:rsidRPr="00437308" w:rsidR="00437308">
        <w:t>while the amount of repayment is governed either by contract (when the parties have a preexisting contract) or by the quasi-contractual remedy of quantum meruit (when they do not)</w:t>
      </w:r>
      <w:r w:rsidR="00E134C0">
        <w:t>”].)</w:t>
      </w:r>
      <w:r w:rsidR="004B59B3">
        <w:t xml:space="preserve">  </w:t>
      </w:r>
    </w:p>
    <w:p w:rsidR="001E44A9" w:rsidP="00C31430" w14:paraId="1E413DDB" w14:textId="0F00048F">
      <w:pPr>
        <w:tabs>
          <w:tab w:val="left" w:pos="1440"/>
        </w:tabs>
        <w:ind w:firstLine="720"/>
      </w:pPr>
      <w:r>
        <w:t xml:space="preserve">As in </w:t>
      </w:r>
      <w:r>
        <w:rPr>
          <w:i/>
          <w:iCs/>
        </w:rPr>
        <w:t>Kizer</w:t>
      </w:r>
      <w:r>
        <w:t>,</w:t>
      </w:r>
      <w:r>
        <w:rPr>
          <w:i/>
          <w:iCs/>
        </w:rPr>
        <w:t xml:space="preserve"> </w:t>
      </w:r>
      <w:r>
        <w:t>w</w:t>
      </w:r>
      <w:r>
        <w:t>e</w:t>
      </w:r>
      <w:r>
        <w:rPr>
          <w:i/>
          <w:iCs/>
        </w:rPr>
        <w:t xml:space="preserve"> </w:t>
      </w:r>
      <w:r>
        <w:t>see “</w:t>
      </w:r>
      <w:r w:rsidRPr="00AB0C31">
        <w:t xml:space="preserve">nothing in the statutory scheme that suggests that state and other government health </w:t>
      </w:r>
      <w:r>
        <w:t xml:space="preserve">[care service plans] </w:t>
      </w:r>
      <w:r w:rsidRPr="00AB0C31">
        <w:t xml:space="preserve">should be treated differently than private </w:t>
      </w:r>
      <w:r>
        <w:t xml:space="preserve">[health plans],” nor </w:t>
      </w:r>
      <w:r w:rsidR="000024C8">
        <w:t xml:space="preserve">do we </w:t>
      </w:r>
      <w:r>
        <w:t>perceive any “ ‘significant public policy reason to exempt a state licensed [health care service plan] from liability . . . under the [</w:t>
      </w:r>
      <w:r w:rsidR="003C6D9B">
        <w:t>Knox-Keene</w:t>
      </w:r>
      <w:r w:rsidR="00A528BB">
        <w:t>]</w:t>
      </w:r>
      <w:r>
        <w:t xml:space="preserve"> Act simply because it is operated by a public rather than a private entity</w:t>
      </w:r>
      <w:r w:rsidR="00AF2DAF">
        <w:t> </w:t>
      </w:r>
      <w:r>
        <w:t>.</w:t>
      </w:r>
      <w:r w:rsidR="00AF2DAF">
        <w:t> . . .</w:t>
      </w:r>
      <w:r>
        <w:t>”  (</w:t>
      </w:r>
      <w:r w:rsidRPr="00572F57">
        <w:rPr>
          <w:i/>
          <w:iCs/>
        </w:rPr>
        <w:t>Kizer</w:t>
      </w:r>
      <w:r w:rsidRPr="00572F57">
        <w:t xml:space="preserve">, </w:t>
      </w:r>
      <w:r w:rsidRPr="00572F57">
        <w:rPr>
          <w:i/>
          <w:iCs/>
        </w:rPr>
        <w:t>supra</w:t>
      </w:r>
      <w:r w:rsidRPr="00572F57">
        <w:t>, 53</w:t>
      </w:r>
      <w:r w:rsidR="004B59B3">
        <w:t> </w:t>
      </w:r>
      <w:r w:rsidRPr="00572F57">
        <w:t xml:space="preserve">Cal.3d </w:t>
      </w:r>
      <w:r>
        <w:t>at p.</w:t>
      </w:r>
      <w:r w:rsidR="004B59B3">
        <w:t> </w:t>
      </w:r>
      <w:r>
        <w:t xml:space="preserve">148.)  To the contrary, </w:t>
      </w:r>
      <w:r w:rsidRPr="00572F57">
        <w:t xml:space="preserve">disallowing such a claim against the County would undermine an important purpose of the </w:t>
      </w:r>
      <w:r w:rsidR="003C6D9B">
        <w:t>Knox-Keene</w:t>
      </w:r>
      <w:r w:rsidRPr="00572F57">
        <w:t xml:space="preserve"> Act, as we and others have interpreted it.  </w:t>
      </w:r>
      <w:r w:rsidR="00C31430">
        <w:t xml:space="preserve">As the DMHC, appearing as amicus curiae in </w:t>
      </w:r>
      <w:r w:rsidR="00C31430">
        <w:rPr>
          <w:i/>
          <w:iCs/>
        </w:rPr>
        <w:t>Bell</w:t>
      </w:r>
      <w:r w:rsidR="00C31430">
        <w:t>, emphasized, “</w:t>
      </w:r>
      <w:r w:rsidR="00986D13">
        <w:t> ‘</w:t>
      </w:r>
      <w:r w:rsidR="00970AC7">
        <w:t>T</w:t>
      </w:r>
      <w:r w:rsidRPr="00572F57">
        <w:t>he prompt and appropriate reimbursement of emergency providers ensures the continued financial viability of California’s health care delivery system. . . .  [D]enying emergency providers judicial recourse to challenge the fairness of a health plan’s reimbursement determination[] allows a health plan to systematically underpay California’s safety-net providers . . . .’ ”  (</w:t>
      </w:r>
      <w:r w:rsidRPr="00572F57">
        <w:rPr>
          <w:i/>
          <w:iCs/>
        </w:rPr>
        <w:t>Bell</w:t>
      </w:r>
      <w:r w:rsidRPr="00572F57">
        <w:t xml:space="preserve">, </w:t>
      </w:r>
      <w:r w:rsidRPr="00572F57">
        <w:rPr>
          <w:i/>
          <w:iCs/>
        </w:rPr>
        <w:t>supra</w:t>
      </w:r>
      <w:r w:rsidRPr="00572F57">
        <w:t>, 131</w:t>
      </w:r>
      <w:r>
        <w:t> </w:t>
      </w:r>
      <w:r w:rsidRPr="00572F57">
        <w:t>Cal.App.4th at p.</w:t>
      </w:r>
      <w:r w:rsidR="002F702B">
        <w:t> </w:t>
      </w:r>
      <w:r w:rsidRPr="00572F57">
        <w:t>218</w:t>
      </w:r>
      <w:r>
        <w:t>.)</w:t>
      </w:r>
      <w:r w:rsidRPr="00572F57">
        <w:t xml:space="preserve"> </w:t>
      </w:r>
      <w:r>
        <w:t xml:space="preserve"> </w:t>
      </w:r>
      <w:r w:rsidRPr="00572F57">
        <w:t xml:space="preserve">The </w:t>
      </w:r>
      <w:r>
        <w:t xml:space="preserve">Legislature’s </w:t>
      </w:r>
      <w:r w:rsidRPr="00572F57">
        <w:t>purpose</w:t>
      </w:r>
      <w:r>
        <w:t xml:space="preserve"> in enacting section</w:t>
      </w:r>
      <w:r w:rsidR="002F702B">
        <w:t> </w:t>
      </w:r>
      <w:r>
        <w:t xml:space="preserve">1371.4 of the </w:t>
      </w:r>
      <w:r w:rsidR="003C6D9B">
        <w:t>Knox-Keene</w:t>
      </w:r>
      <w:r>
        <w:t xml:space="preserve"> Act</w:t>
      </w:r>
      <w:r w:rsidRPr="00572F57">
        <w:t xml:space="preserve"> would be ill-served by a rule immunizing public entities</w:t>
      </w:r>
      <w:r w:rsidR="00D21391">
        <w:t xml:space="preserve"> that operate licensed health care service plans from emergency services reimbursement claims, thus reintroducing the very risk of systematic underpayment the Legislature sought to eliminate</w:t>
      </w:r>
      <w:r w:rsidRPr="00572F57">
        <w:t>.</w:t>
      </w:r>
      <w:r>
        <w:rPr>
          <w:rStyle w:val="FootnoteReference"/>
        </w:rPr>
        <w:footnoteReference w:id="11"/>
      </w:r>
    </w:p>
    <w:p w:rsidR="00B81D1F" w:rsidP="00E56728" w14:paraId="6770ED06" w14:textId="3108C2C4">
      <w:pPr>
        <w:tabs>
          <w:tab w:val="left" w:pos="1440"/>
        </w:tabs>
        <w:ind w:firstLine="720"/>
      </w:pPr>
      <w:r>
        <w:t xml:space="preserve">Moreover, and as noted </w:t>
      </w:r>
      <w:r>
        <w:rPr>
          <w:i/>
          <w:iCs/>
        </w:rPr>
        <w:t>ante</w:t>
      </w:r>
      <w:r>
        <w:t>,</w:t>
      </w:r>
      <w:r>
        <w:rPr>
          <w:i/>
          <w:iCs/>
        </w:rPr>
        <w:t xml:space="preserve"> </w:t>
      </w:r>
      <w:r>
        <w:t>t</w:t>
      </w:r>
      <w:r w:rsidRPr="00572F57">
        <w:t xml:space="preserve">he DMHC “ ‘lacks the authority to set specific reimbursement rates under theories of </w:t>
      </w:r>
      <w:r w:rsidRPr="00572F57">
        <w:rPr>
          <w:i/>
          <w:iCs/>
        </w:rPr>
        <w:t>quantum meruit</w:t>
      </w:r>
      <w:r w:rsidRPr="00572F57">
        <w:t xml:space="preserve"> and the jurisdiction to enforce a reimbursement determination on both the provider and the health plan.  Because the [DMHC] cannot provide an adequate forum, health care providers must be allowed to maintain a cause of action in court to resolve individual claims-payment disputes over the reasonable value of their services.’ ”  (</w:t>
      </w:r>
      <w:r w:rsidR="003D42E4">
        <w:rPr>
          <w:i/>
          <w:iCs/>
        </w:rPr>
        <w:t>Bell</w:t>
      </w:r>
      <w:r w:rsidR="003D42E4">
        <w:t xml:space="preserve">, </w:t>
      </w:r>
      <w:r w:rsidR="003D42E4">
        <w:rPr>
          <w:i/>
          <w:iCs/>
        </w:rPr>
        <w:t>supra</w:t>
      </w:r>
      <w:r w:rsidR="003D42E4">
        <w:t>, 131</w:t>
      </w:r>
      <w:r w:rsidR="006C205F">
        <w:t> </w:t>
      </w:r>
      <w:r w:rsidR="003D42E4">
        <w:t>Cal.App.4th at p.</w:t>
      </w:r>
      <w:r w:rsidR="006C205F">
        <w:t> </w:t>
      </w:r>
      <w:r w:rsidR="003D42E4">
        <w:t>218</w:t>
      </w:r>
      <w:r w:rsidRPr="00572F57">
        <w:t xml:space="preserve">.)  </w:t>
      </w:r>
      <w:r w:rsidR="002C4D2C">
        <w:t xml:space="preserve">Under the County’s </w:t>
      </w:r>
      <w:r w:rsidR="008A4687">
        <w:t>interpretation</w:t>
      </w:r>
      <w:r w:rsidR="00985B2E">
        <w:t xml:space="preserve"> of the Government Claims Act</w:t>
      </w:r>
      <w:r w:rsidR="00EF3927">
        <w:t>,</w:t>
      </w:r>
      <w:r w:rsidR="002C4D2C">
        <w:t xml:space="preserve"> </w:t>
      </w:r>
      <w:r w:rsidR="00EF3927">
        <w:t xml:space="preserve">emergency medical providers </w:t>
      </w:r>
      <w:r w:rsidR="00767C88">
        <w:t xml:space="preserve">without a contract in place with a health care service plan </w:t>
      </w:r>
      <w:r w:rsidR="00EF3927">
        <w:t>could resolve</w:t>
      </w:r>
      <w:r w:rsidR="002C4D2C">
        <w:t xml:space="preserve"> individual disputes</w:t>
      </w:r>
      <w:r w:rsidR="002E4735">
        <w:t xml:space="preserve"> </w:t>
      </w:r>
      <w:r w:rsidR="00EF3927">
        <w:t xml:space="preserve">over </w:t>
      </w:r>
      <w:r w:rsidR="008A4687">
        <w:t>reimbursement</w:t>
      </w:r>
      <w:r w:rsidR="00EF3927">
        <w:t xml:space="preserve"> only if that plan </w:t>
      </w:r>
      <w:r w:rsidR="00985B2E">
        <w:t xml:space="preserve">were </w:t>
      </w:r>
      <w:r w:rsidR="002E4735">
        <w:t xml:space="preserve">operated by a </w:t>
      </w:r>
      <w:r w:rsidR="00EF3927">
        <w:t>private, rather than public, entity</w:t>
      </w:r>
      <w:r w:rsidR="00791594">
        <w:t xml:space="preserve">. </w:t>
      </w:r>
      <w:r w:rsidR="002E4735">
        <w:t xml:space="preserve"> </w:t>
      </w:r>
      <w:r w:rsidR="00A3749F">
        <w:t>Again</w:t>
      </w:r>
      <w:r w:rsidR="00EF3927">
        <w:t xml:space="preserve">, we </w:t>
      </w:r>
      <w:r w:rsidR="008D6AFF">
        <w:t>find this proposed two-tier system</w:t>
      </w:r>
      <w:r w:rsidR="00791594">
        <w:t xml:space="preserve"> </w:t>
      </w:r>
      <w:r w:rsidR="00075E61">
        <w:t>“contradicts the very public policy that the Legislature sought to implement</w:t>
      </w:r>
      <w:r w:rsidR="008E2B92">
        <w:t xml:space="preserve">” with the reimbursement provision of the </w:t>
      </w:r>
      <w:r w:rsidR="003C6D9B">
        <w:t>Knox-Keene</w:t>
      </w:r>
      <w:r w:rsidR="008E2B92">
        <w:t xml:space="preserve"> Act</w:t>
      </w:r>
      <w:r w:rsidRPr="00B6702C" w:rsidR="00801D3E">
        <w:t>.</w:t>
      </w:r>
      <w:r>
        <w:rPr>
          <w:rStyle w:val="FootnoteReference"/>
        </w:rPr>
        <w:footnoteReference w:id="12"/>
      </w:r>
      <w:r w:rsidR="008D6AFF">
        <w:t xml:space="preserve">  (</w:t>
      </w:r>
      <w:r w:rsidR="008D6AFF">
        <w:rPr>
          <w:i/>
          <w:iCs/>
        </w:rPr>
        <w:t>Kizer</w:t>
      </w:r>
      <w:r w:rsidR="008D6AFF">
        <w:t xml:space="preserve">, </w:t>
      </w:r>
      <w:r w:rsidR="008D6AFF">
        <w:rPr>
          <w:i/>
          <w:iCs/>
        </w:rPr>
        <w:t>supra</w:t>
      </w:r>
      <w:r w:rsidR="008D6AFF">
        <w:t>, 53</w:t>
      </w:r>
      <w:r w:rsidR="006B24A1">
        <w:t> </w:t>
      </w:r>
      <w:r w:rsidR="008D6AFF">
        <w:t>Cal.3d at p.</w:t>
      </w:r>
      <w:r w:rsidR="006B24A1">
        <w:t> </w:t>
      </w:r>
      <w:r w:rsidR="008D6AFF">
        <w:t>148.)</w:t>
      </w:r>
    </w:p>
    <w:p w:rsidR="00B537BA" w:rsidRPr="00572F57" w:rsidP="000B2548" w14:paraId="3B0C582B" w14:textId="216C0706">
      <w:pPr>
        <w:tabs>
          <w:tab w:val="left" w:pos="1440"/>
        </w:tabs>
        <w:ind w:firstLine="720"/>
      </w:pPr>
      <w:r>
        <w:t>We</w:t>
      </w:r>
      <w:r w:rsidRPr="00572F57">
        <w:t xml:space="preserve"> conclude from the foregoing that allowing the Hospitals to proceed with their quantum meruit claim</w:t>
      </w:r>
      <w:r w:rsidR="00936107">
        <w:t xml:space="preserve"> premised on</w:t>
      </w:r>
      <w:r w:rsidR="00EB0D30">
        <w:t xml:space="preserve"> </w:t>
      </w:r>
      <w:r w:rsidR="00936107">
        <w:t xml:space="preserve">the County’s statutory obligation of reimbursement </w:t>
      </w:r>
      <w:r w:rsidRPr="00572F57">
        <w:t>violates neither the letter nor the spirit of the Government Claims Act.</w:t>
      </w:r>
      <w:r>
        <w:t xml:space="preserve">  </w:t>
      </w:r>
      <w:r w:rsidR="00F94C49">
        <w:t xml:space="preserve">It also furthers </w:t>
      </w:r>
      <w:r w:rsidR="00572EF8">
        <w:t xml:space="preserve">a fundamental purpose of the </w:t>
      </w:r>
      <w:r w:rsidR="003C6D9B">
        <w:t>Knox-Keene</w:t>
      </w:r>
      <w:r w:rsidR="00572EF8">
        <w:t xml:space="preserve"> Act, </w:t>
      </w:r>
      <w:r w:rsidR="008B2AD3">
        <w:t xml:space="preserve">protecting the continued </w:t>
      </w:r>
      <w:r w:rsidR="00572EF8">
        <w:t xml:space="preserve">financial </w:t>
      </w:r>
      <w:r w:rsidR="008B2AD3">
        <w:t>viability of California’s health care delivery system</w:t>
      </w:r>
      <w:r w:rsidR="00572EF8">
        <w:t xml:space="preserve">, by </w:t>
      </w:r>
      <w:r w:rsidR="00D74B4B">
        <w:t xml:space="preserve">ensuring that </w:t>
      </w:r>
      <w:r w:rsidR="000C0DBD">
        <w:t xml:space="preserve">all </w:t>
      </w:r>
      <w:r w:rsidRPr="00622831" w:rsidR="008B2AD3">
        <w:t>emergency medical providers have an adequate remedy</w:t>
      </w:r>
      <w:r w:rsidR="001B59CB">
        <w:t xml:space="preserve"> if there are disputes over payment</w:t>
      </w:r>
      <w:r w:rsidR="000C0DBD">
        <w:t xml:space="preserve">, either </w:t>
      </w:r>
      <w:r w:rsidR="001B59CB">
        <w:t xml:space="preserve">by </w:t>
      </w:r>
      <w:r w:rsidR="00974592">
        <w:t>alleging</w:t>
      </w:r>
      <w:r w:rsidR="000C0DBD">
        <w:t xml:space="preserve"> breach of contract</w:t>
      </w:r>
      <w:r w:rsidR="00974592">
        <w:t xml:space="preserve"> (</w:t>
      </w:r>
      <w:r w:rsidR="004219A7">
        <w:t>if there is a contract between the provider and health care plan</w:t>
      </w:r>
      <w:r w:rsidR="00974592">
        <w:t>)</w:t>
      </w:r>
      <w:r w:rsidR="004219A7">
        <w:t xml:space="preserve">, or </w:t>
      </w:r>
      <w:r w:rsidR="001B59CB">
        <w:t xml:space="preserve">by </w:t>
      </w:r>
      <w:r w:rsidR="00974592">
        <w:t xml:space="preserve">raising </w:t>
      </w:r>
      <w:r w:rsidR="001B59CB">
        <w:t xml:space="preserve">a </w:t>
      </w:r>
      <w:r w:rsidR="004219A7">
        <w:t>quantum meruit</w:t>
      </w:r>
      <w:r w:rsidRPr="00622831" w:rsidR="008B2AD3">
        <w:t xml:space="preserve"> </w:t>
      </w:r>
      <w:r w:rsidR="00974592">
        <w:t xml:space="preserve">claim </w:t>
      </w:r>
      <w:r w:rsidR="00DA0DE2">
        <w:t xml:space="preserve">based on the </w:t>
      </w:r>
      <w:r w:rsidR="003C6D9B">
        <w:t>Knox-Keene</w:t>
      </w:r>
      <w:r w:rsidR="00DA0DE2">
        <w:t xml:space="preserve"> Act’s reimbursement </w:t>
      </w:r>
      <w:r w:rsidR="006C2BFC">
        <w:t>obligation</w:t>
      </w:r>
      <w:r w:rsidR="00974592">
        <w:t xml:space="preserve"> (if there </w:t>
      </w:r>
      <w:r w:rsidR="006651B8">
        <w:t xml:space="preserve">is </w:t>
      </w:r>
      <w:r w:rsidR="00974592">
        <w:t>no contract in place)</w:t>
      </w:r>
      <w:r w:rsidR="00BE7962">
        <w:t>.</w:t>
      </w:r>
    </w:p>
    <w:p w:rsidR="00A41B2A" w:rsidP="000B2548" w14:paraId="08D84AD7" w14:textId="5F46C139">
      <w:pPr>
        <w:tabs>
          <w:tab w:val="left" w:pos="1440"/>
        </w:tabs>
        <w:ind w:firstLine="720"/>
      </w:pPr>
      <w:r w:rsidRPr="00572F57">
        <w:t xml:space="preserve">In arguing that the Government Claims Act’s immunity provisions </w:t>
      </w:r>
      <w:r w:rsidR="00B63B73">
        <w:t xml:space="preserve">extend to </w:t>
      </w:r>
      <w:r w:rsidRPr="00572F57">
        <w:t xml:space="preserve">quantum meruit claims, the </w:t>
      </w:r>
      <w:r w:rsidRPr="00572F57" w:rsidR="00FD367D">
        <w:t>County cites</w:t>
      </w:r>
      <w:r w:rsidRPr="00572F57" w:rsidR="00AC71E9">
        <w:t xml:space="preserve"> </w:t>
      </w:r>
      <w:r w:rsidRPr="00572F57" w:rsidR="00A01080">
        <w:t xml:space="preserve">three </w:t>
      </w:r>
      <w:r w:rsidRPr="00572F57" w:rsidR="00D35A54">
        <w:t>decisions</w:t>
      </w:r>
      <w:r w:rsidRPr="00572F57" w:rsidR="007F56B1">
        <w:t xml:space="preserve"> </w:t>
      </w:r>
      <w:r w:rsidRPr="00572F57" w:rsidR="00825664">
        <w:t xml:space="preserve">by this court </w:t>
      </w:r>
      <w:r w:rsidRPr="00572F57" w:rsidR="007F56B1">
        <w:t>predating the Act</w:t>
      </w:r>
      <w:r w:rsidRPr="00572F57" w:rsidR="00D35A54">
        <w:t xml:space="preserve"> in which </w:t>
      </w:r>
      <w:r w:rsidRPr="00572F57" w:rsidR="00825664">
        <w:t>we</w:t>
      </w:r>
      <w:r w:rsidRPr="00572F57" w:rsidR="00D35A54">
        <w:t xml:space="preserve"> discussed the </w:t>
      </w:r>
      <w:r>
        <w:t>availability</w:t>
      </w:r>
      <w:r w:rsidRPr="00572F57" w:rsidR="007F56B1">
        <w:t xml:space="preserve"> </w:t>
      </w:r>
      <w:r w:rsidRPr="00572F57" w:rsidR="00D35A54">
        <w:t xml:space="preserve">of </w:t>
      </w:r>
      <w:r w:rsidRPr="00572F57" w:rsidR="007E704F">
        <w:t>quantum m</w:t>
      </w:r>
      <w:r w:rsidRPr="00572F57" w:rsidR="007F56B1">
        <w:t xml:space="preserve">eruit </w:t>
      </w:r>
      <w:r>
        <w:t>claims against</w:t>
      </w:r>
      <w:r w:rsidRPr="00572F57" w:rsidR="00D35A54">
        <w:t xml:space="preserve"> government entities:  </w:t>
      </w:r>
      <w:r w:rsidRPr="00572F57" w:rsidR="00AC71E9">
        <w:rPr>
          <w:i/>
          <w:iCs/>
        </w:rPr>
        <w:t xml:space="preserve">Miller v. McKinnon </w:t>
      </w:r>
      <w:r w:rsidRPr="00572F57" w:rsidR="00AC71E9">
        <w:t>(1942) 20</w:t>
      </w:r>
      <w:r w:rsidR="006651B8">
        <w:t> </w:t>
      </w:r>
      <w:r w:rsidRPr="00572F57" w:rsidR="00AC71E9">
        <w:t>Cal.2d 83</w:t>
      </w:r>
      <w:r w:rsidRPr="00572F57" w:rsidR="009114D4">
        <w:t xml:space="preserve"> (</w:t>
      </w:r>
      <w:r w:rsidRPr="00572F57" w:rsidR="009114D4">
        <w:rPr>
          <w:i/>
          <w:iCs/>
        </w:rPr>
        <w:t>Miller</w:t>
      </w:r>
      <w:r w:rsidRPr="00572F57" w:rsidR="009114D4">
        <w:t>)</w:t>
      </w:r>
      <w:r w:rsidRPr="00572F57" w:rsidR="00D35A54">
        <w:t xml:space="preserve">, </w:t>
      </w:r>
      <w:r w:rsidRPr="00572F57" w:rsidR="00D35A54">
        <w:rPr>
          <w:i/>
          <w:iCs/>
        </w:rPr>
        <w:t xml:space="preserve">Los Angeles Dredging Co. v. Long Beach </w:t>
      </w:r>
      <w:r w:rsidRPr="00572F57" w:rsidR="00D35A54">
        <w:t>(</w:t>
      </w:r>
      <w:r w:rsidRPr="00572F57" w:rsidR="00963E89">
        <w:t>1930</w:t>
      </w:r>
      <w:r w:rsidRPr="00572F57" w:rsidR="00D35A54">
        <w:t>) 210</w:t>
      </w:r>
      <w:r w:rsidR="006651B8">
        <w:t> </w:t>
      </w:r>
      <w:r w:rsidRPr="00572F57" w:rsidR="00D35A54">
        <w:t>Cal. 348</w:t>
      </w:r>
      <w:r w:rsidR="004C42C9">
        <w:t xml:space="preserve"> (</w:t>
      </w:r>
      <w:r w:rsidR="004C42C9">
        <w:rPr>
          <w:i/>
          <w:iCs/>
        </w:rPr>
        <w:t>Los Angeles Dredging Co.</w:t>
      </w:r>
      <w:r w:rsidR="004C42C9">
        <w:t>)</w:t>
      </w:r>
      <w:r w:rsidRPr="00572F57" w:rsidR="00D35A54">
        <w:t xml:space="preserve">, </w:t>
      </w:r>
      <w:r w:rsidRPr="00572F57" w:rsidR="007E704F">
        <w:t xml:space="preserve">and </w:t>
      </w:r>
      <w:r w:rsidRPr="00572F57" w:rsidR="007E704F">
        <w:rPr>
          <w:i/>
          <w:iCs/>
        </w:rPr>
        <w:t xml:space="preserve">Zottman v. San Francisco </w:t>
      </w:r>
      <w:r w:rsidRPr="00572F57" w:rsidR="007E704F">
        <w:t>(1862) 20</w:t>
      </w:r>
      <w:r w:rsidR="006651B8">
        <w:t> </w:t>
      </w:r>
      <w:r w:rsidRPr="00572F57" w:rsidR="007E704F">
        <w:t>Cal. 96</w:t>
      </w:r>
      <w:r w:rsidR="004C42C9">
        <w:t xml:space="preserve"> (</w:t>
      </w:r>
      <w:r w:rsidR="004C42C9">
        <w:rPr>
          <w:i/>
          <w:iCs/>
        </w:rPr>
        <w:t>Zottman</w:t>
      </w:r>
      <w:r w:rsidR="004C42C9">
        <w:t>)</w:t>
      </w:r>
      <w:r w:rsidRPr="00572F57" w:rsidR="007231B6">
        <w:t xml:space="preserve">.  </w:t>
      </w:r>
      <w:r w:rsidRPr="00572F57" w:rsidR="00C907D1">
        <w:t>The County asserts that these decisions convey a general hostility to</w:t>
      </w:r>
      <w:r w:rsidR="006651B8">
        <w:t>ward</w:t>
      </w:r>
      <w:r w:rsidRPr="00572F57" w:rsidR="00C907D1">
        <w:t xml:space="preserve"> quantum meruit claims against the government that was </w:t>
      </w:r>
      <w:r w:rsidRPr="00572F57" w:rsidR="00825664">
        <w:t xml:space="preserve">then </w:t>
      </w:r>
      <w:r w:rsidR="00C57D3C">
        <w:t>maintained</w:t>
      </w:r>
      <w:r w:rsidRPr="00572F57" w:rsidR="00C57D3C">
        <w:t xml:space="preserve"> </w:t>
      </w:r>
      <w:r w:rsidRPr="00572F57" w:rsidR="00C907D1">
        <w:t xml:space="preserve">under the Act.  </w:t>
      </w:r>
    </w:p>
    <w:p w:rsidR="001C2A33" w:rsidRPr="00572F57" w:rsidP="006651B8" w14:paraId="2E12B104" w14:textId="6EADA42D">
      <w:pPr>
        <w:tabs>
          <w:tab w:val="left" w:pos="1440"/>
        </w:tabs>
        <w:ind w:firstLine="720"/>
      </w:pPr>
      <w:r>
        <w:t xml:space="preserve">We </w:t>
      </w:r>
      <w:r w:rsidRPr="00572F57" w:rsidR="00C907D1">
        <w:t xml:space="preserve">draw a more limited rule from these cases.  </w:t>
      </w:r>
      <w:r w:rsidRPr="00572F57" w:rsidR="001E370D">
        <w:t>Each of these</w:t>
      </w:r>
      <w:r w:rsidRPr="00572F57" w:rsidR="001F5174">
        <w:t xml:space="preserve"> decisions involve</w:t>
      </w:r>
      <w:r w:rsidRPr="00572F57" w:rsidR="001E370D">
        <w:t>d</w:t>
      </w:r>
      <w:r w:rsidRPr="00572F57" w:rsidR="001F5174">
        <w:t xml:space="preserve"> </w:t>
      </w:r>
      <w:r w:rsidRPr="00572F57" w:rsidR="001E370D">
        <w:t xml:space="preserve">express </w:t>
      </w:r>
      <w:r w:rsidRPr="00572F57" w:rsidR="001F5174">
        <w:t>contracts entered into by public entities</w:t>
      </w:r>
      <w:r w:rsidRPr="00572F57" w:rsidR="00A25006">
        <w:t xml:space="preserve"> that were </w:t>
      </w:r>
      <w:r w:rsidRPr="00572F57" w:rsidR="000C3DCA">
        <w:t>found</w:t>
      </w:r>
      <w:r w:rsidRPr="00572F57" w:rsidR="001E370D">
        <w:t xml:space="preserve"> to be void and unenforceable because they </w:t>
      </w:r>
      <w:r w:rsidRPr="00572F57" w:rsidR="009879A0">
        <w:t xml:space="preserve">were </w:t>
      </w:r>
      <w:r w:rsidRPr="00572F57" w:rsidR="000C3DCA">
        <w:t>made in violation of a statut</w:t>
      </w:r>
      <w:r w:rsidRPr="00572F57" w:rsidR="00E87406">
        <w:t>e</w:t>
      </w:r>
      <w:r w:rsidRPr="00572F57" w:rsidR="000C3DCA">
        <w:t xml:space="preserve"> or </w:t>
      </w:r>
      <w:r w:rsidRPr="00572F57" w:rsidR="00B30A48">
        <w:t>municipal charter.</w:t>
      </w:r>
      <w:r w:rsidRPr="00572F57" w:rsidR="00842261">
        <w:rPr>
          <w:i/>
          <w:iCs/>
        </w:rPr>
        <w:t xml:space="preserve">  </w:t>
      </w:r>
      <w:r w:rsidRPr="00572F57" w:rsidR="00B30A48">
        <w:t>(</w:t>
      </w:r>
      <w:r w:rsidRPr="00572F57" w:rsidR="00AB1009">
        <w:rPr>
          <w:i/>
          <w:iCs/>
        </w:rPr>
        <w:t>Miller</w:t>
      </w:r>
      <w:r w:rsidRPr="00572F57" w:rsidR="00EB3AAB">
        <w:t xml:space="preserve">, </w:t>
      </w:r>
      <w:r w:rsidRPr="004C42C9" w:rsidR="004C42C9">
        <w:rPr>
          <w:i/>
          <w:iCs/>
        </w:rPr>
        <w:t>supra</w:t>
      </w:r>
      <w:r w:rsidR="004C42C9">
        <w:t xml:space="preserve">, </w:t>
      </w:r>
      <w:r w:rsidRPr="00572F57" w:rsidR="004C42C9">
        <w:t>20</w:t>
      </w:r>
      <w:r w:rsidR="006651B8">
        <w:t> </w:t>
      </w:r>
      <w:r w:rsidRPr="00572F57" w:rsidR="004C42C9">
        <w:t xml:space="preserve">Cal.2d </w:t>
      </w:r>
      <w:r w:rsidRPr="004C42C9" w:rsidR="00B30A48">
        <w:t>at</w:t>
      </w:r>
      <w:r w:rsidRPr="00572F57" w:rsidR="00B30A48">
        <w:t xml:space="preserve"> p.</w:t>
      </w:r>
      <w:r w:rsidR="006651B8">
        <w:t> </w:t>
      </w:r>
      <w:r w:rsidRPr="00572F57" w:rsidR="00102590">
        <w:t>86 [</w:t>
      </w:r>
      <w:r w:rsidRPr="00572F57" w:rsidR="008816A2">
        <w:t>contract between county and contractor held</w:t>
      </w:r>
      <w:r w:rsidRPr="00572F57" w:rsidR="00102590">
        <w:t xml:space="preserve"> illegal </w:t>
      </w:r>
      <w:r w:rsidRPr="00572F57" w:rsidR="008816A2">
        <w:t>because it did not</w:t>
      </w:r>
      <w:r w:rsidRPr="00572F57" w:rsidR="001358BC">
        <w:t xml:space="preserve"> comply with </w:t>
      </w:r>
      <w:r w:rsidRPr="00572F57" w:rsidR="007D1099">
        <w:t>statute requiring public age</w:t>
      </w:r>
      <w:r w:rsidRPr="00572F57" w:rsidR="007C6518">
        <w:t xml:space="preserve">ncies to </w:t>
      </w:r>
      <w:r w:rsidRPr="00572F57" w:rsidR="00185F80">
        <w:t>let</w:t>
      </w:r>
      <w:r w:rsidRPr="00572F57" w:rsidR="00EB3AAB">
        <w:t xml:space="preserve"> </w:t>
      </w:r>
      <w:r w:rsidRPr="00572F57" w:rsidR="007C6518">
        <w:t>competitive bidding</w:t>
      </w:r>
      <w:r w:rsidRPr="00572F57" w:rsidR="00EB3AAB">
        <w:t xml:space="preserve"> before entering into certain contracts</w:t>
      </w:r>
      <w:r w:rsidRPr="00572F57" w:rsidR="00185F80">
        <w:t xml:space="preserve">]; </w:t>
      </w:r>
      <w:r w:rsidRPr="00572F57" w:rsidR="00185F80">
        <w:rPr>
          <w:i/>
          <w:iCs/>
        </w:rPr>
        <w:t>Los Angeles Dredging Co.</w:t>
      </w:r>
      <w:r w:rsidRPr="00572F57" w:rsidR="00185F80">
        <w:t xml:space="preserve">, </w:t>
      </w:r>
      <w:r w:rsidRPr="00A22716" w:rsidR="00A22716">
        <w:rPr>
          <w:i/>
          <w:iCs/>
        </w:rPr>
        <w:t>supra</w:t>
      </w:r>
      <w:r w:rsidR="00A22716">
        <w:t xml:space="preserve">, </w:t>
      </w:r>
      <w:r w:rsidRPr="00572F57" w:rsidR="00A22716">
        <w:t>210</w:t>
      </w:r>
      <w:r w:rsidR="006651B8">
        <w:t> </w:t>
      </w:r>
      <w:r w:rsidRPr="00572F57" w:rsidR="00A22716">
        <w:t xml:space="preserve">Cal. </w:t>
      </w:r>
      <w:r w:rsidRPr="00572F57" w:rsidR="00185F80">
        <w:t>at p.</w:t>
      </w:r>
      <w:r w:rsidR="006651B8">
        <w:t> </w:t>
      </w:r>
      <w:r w:rsidRPr="00572F57" w:rsidR="0030304D">
        <w:t xml:space="preserve">354 [contract </w:t>
      </w:r>
      <w:r w:rsidRPr="00572F57" w:rsidR="0094107E">
        <w:t xml:space="preserve">entered into </w:t>
      </w:r>
      <w:r w:rsidRPr="00572F57" w:rsidR="00E24346">
        <w:t xml:space="preserve">by city </w:t>
      </w:r>
      <w:r w:rsidRPr="00572F57" w:rsidR="0094107E">
        <w:t xml:space="preserve">without letting of bids rendered void because it violated city charter]; </w:t>
      </w:r>
      <w:r w:rsidRPr="00572F57" w:rsidR="0094107E">
        <w:rPr>
          <w:i/>
          <w:iCs/>
        </w:rPr>
        <w:t>Zottman</w:t>
      </w:r>
      <w:r w:rsidRPr="00572F57" w:rsidR="0094107E">
        <w:t xml:space="preserve">, </w:t>
      </w:r>
      <w:r w:rsidRPr="00A22716" w:rsidR="00A22716">
        <w:rPr>
          <w:i/>
          <w:iCs/>
        </w:rPr>
        <w:t>supra</w:t>
      </w:r>
      <w:r w:rsidR="00A22716">
        <w:t xml:space="preserve">, </w:t>
      </w:r>
      <w:r w:rsidRPr="00572F57" w:rsidR="00A22716">
        <w:t>20</w:t>
      </w:r>
      <w:r w:rsidR="006651B8">
        <w:t> </w:t>
      </w:r>
      <w:r w:rsidRPr="00572F57" w:rsidR="00A22716">
        <w:t xml:space="preserve">Cal. </w:t>
      </w:r>
      <w:r w:rsidRPr="00572F57" w:rsidR="0094107E">
        <w:t xml:space="preserve">at </w:t>
      </w:r>
      <w:r w:rsidRPr="00572F57" w:rsidR="00173000">
        <w:t>p</w:t>
      </w:r>
      <w:r w:rsidRPr="00572F57" w:rsidR="0094107E">
        <w:t>p.</w:t>
      </w:r>
      <w:r w:rsidR="006651B8">
        <w:t> </w:t>
      </w:r>
      <w:r w:rsidRPr="00572F57" w:rsidR="00173000">
        <w:t xml:space="preserve">102–103 </w:t>
      </w:r>
      <w:r w:rsidRPr="00572F57" w:rsidR="0014337B">
        <w:t>[</w:t>
      </w:r>
      <w:r w:rsidRPr="00572F57" w:rsidR="00E24346">
        <w:t>same].)</w:t>
      </w:r>
      <w:r w:rsidRPr="00572F57" w:rsidR="005A0E1F">
        <w:t xml:space="preserve">  </w:t>
      </w:r>
      <w:r w:rsidRPr="00572F57" w:rsidR="00B7378D">
        <w:t>It was in this cont</w:t>
      </w:r>
      <w:r w:rsidRPr="00572F57" w:rsidR="00B51EA4">
        <w:t xml:space="preserve">ext, </w:t>
      </w:r>
      <w:r w:rsidR="003057A2">
        <w:t xml:space="preserve">of </w:t>
      </w:r>
      <w:r w:rsidRPr="00572F57" w:rsidR="00B51EA4">
        <w:t xml:space="preserve">considering </w:t>
      </w:r>
      <w:r w:rsidRPr="00572F57" w:rsidR="006D627F">
        <w:t>contracts</w:t>
      </w:r>
      <w:r w:rsidRPr="00572F57" w:rsidR="00B51EA4">
        <w:t xml:space="preserve"> </w:t>
      </w:r>
      <w:r w:rsidRPr="00572F57" w:rsidR="00326B4F">
        <w:t xml:space="preserve">entered into by </w:t>
      </w:r>
      <w:r w:rsidRPr="00572F57" w:rsidR="006D627F">
        <w:t>public entities</w:t>
      </w:r>
      <w:r w:rsidRPr="00572F57" w:rsidR="00326B4F">
        <w:t xml:space="preserve"> </w:t>
      </w:r>
      <w:r w:rsidRPr="00572F57" w:rsidR="006D627F">
        <w:t xml:space="preserve">in a manner not authorized by statute or charter, that we </w:t>
      </w:r>
      <w:r w:rsidRPr="00572F57" w:rsidR="00E5591E">
        <w:t>stated:  “ ‘</w:t>
      </w:r>
      <w:r w:rsidRPr="00572F57">
        <w:t>[C]</w:t>
      </w:r>
      <w:r w:rsidRPr="00572F57" w:rsidR="00544BA5">
        <w:t xml:space="preserve">ontracts wholly beyond the powers of a municipality are void.  They cannot be ratified; no estoppel to deny their validity can be invoked against the municipality; and ordinarily no recovery in </w:t>
      </w:r>
      <w:r w:rsidRPr="006651B8" w:rsidR="00544BA5">
        <w:rPr>
          <w:i/>
        </w:rPr>
        <w:t>quasi</w:t>
      </w:r>
      <w:r w:rsidRPr="00572F57" w:rsidR="00544BA5">
        <w:t xml:space="preserve"> contract can be had for work performed under them.</w:t>
      </w:r>
      <w:r w:rsidRPr="00572F57" w:rsidR="009F1836">
        <w:t xml:space="preserve">  </w:t>
      </w:r>
      <w:r w:rsidRPr="00572F57" w:rsidR="00173000">
        <w:t>It is also settled that the mode of contracting, as prescribed by the municipal charter, is the measure of the power to contract; and a contract made in disregard of the prescribed mode is unenforceable.</w:t>
      </w:r>
      <w:r w:rsidRPr="00572F57" w:rsidR="00EA70F4">
        <w:t>’</w:t>
      </w:r>
      <w:r w:rsidRPr="00572F57" w:rsidR="00173000">
        <w:t xml:space="preserve">  </w:t>
      </w:r>
      <w:r w:rsidRPr="00572F57" w:rsidR="009F1836">
        <w:t>[Citations.]  And even though the person with whom the contract was made has supplied labor and materials in the performance of the contract and the public agency has received the benefits thereof, he has no right of act</w:t>
      </w:r>
      <w:r w:rsidRPr="00572F57" w:rsidR="001E4D2D">
        <w:t>i</w:t>
      </w:r>
      <w:r w:rsidRPr="00572F57" w:rsidR="009F1836">
        <w:t>on to recover in quantum meruit the reasonable value thereof.</w:t>
      </w:r>
      <w:r w:rsidRPr="00572F57" w:rsidR="001E4D2D">
        <w:t>”</w:t>
      </w:r>
      <w:r w:rsidRPr="00572F57" w:rsidR="00544BA5">
        <w:t xml:space="preserve">  </w:t>
      </w:r>
      <w:r w:rsidRPr="00572F57" w:rsidR="001E4D2D">
        <w:t>(</w:t>
      </w:r>
      <w:r w:rsidRPr="00572F57" w:rsidR="001E4D2D">
        <w:rPr>
          <w:i/>
          <w:iCs/>
        </w:rPr>
        <w:t>Miller</w:t>
      </w:r>
      <w:r w:rsidRPr="00572F57" w:rsidR="001E4D2D">
        <w:t>, at p.</w:t>
      </w:r>
      <w:r w:rsidRPr="00572F57">
        <w:t> </w:t>
      </w:r>
      <w:r w:rsidRPr="00572F57" w:rsidR="001E4D2D">
        <w:t xml:space="preserve">88, quoting </w:t>
      </w:r>
      <w:r w:rsidRPr="00572F57" w:rsidR="001E4D2D">
        <w:rPr>
          <w:i/>
          <w:iCs/>
        </w:rPr>
        <w:t>Los Angeles Dredging Co.</w:t>
      </w:r>
      <w:r w:rsidRPr="00572F57" w:rsidR="001E4D2D">
        <w:t xml:space="preserve">, at </w:t>
      </w:r>
      <w:r w:rsidRPr="00572F57" w:rsidR="00537A20">
        <w:t>p.</w:t>
      </w:r>
      <w:r w:rsidR="006651B8">
        <w:t> </w:t>
      </w:r>
      <w:r w:rsidRPr="00572F57" w:rsidR="00537A20">
        <w:t>353.)</w:t>
      </w:r>
      <w:r w:rsidRPr="00572F57" w:rsidR="00317903">
        <w:t xml:space="preserve">  </w:t>
      </w:r>
    </w:p>
    <w:p w:rsidR="00C4074D" w:rsidRPr="00572F57" w:rsidP="006651B8" w14:paraId="5EE01675" w14:textId="231A188C">
      <w:pPr>
        <w:tabs>
          <w:tab w:val="left" w:pos="1440"/>
        </w:tabs>
        <w:ind w:firstLine="720"/>
      </w:pPr>
      <w:r w:rsidRPr="00572F57">
        <w:t>Read together</w:t>
      </w:r>
      <w:r w:rsidR="000B7A7D">
        <w:t xml:space="preserve"> and as relevant here</w:t>
      </w:r>
      <w:r w:rsidRPr="00572F57" w:rsidR="00953C2E">
        <w:t xml:space="preserve">, </w:t>
      </w:r>
      <w:r w:rsidRPr="00572F57" w:rsidR="00477E88">
        <w:rPr>
          <w:i/>
          <w:iCs/>
        </w:rPr>
        <w:t>Miller</w:t>
      </w:r>
      <w:r w:rsidRPr="00572F57" w:rsidR="00477E88">
        <w:t xml:space="preserve">, </w:t>
      </w:r>
      <w:r w:rsidRPr="00572F57" w:rsidR="00477E88">
        <w:rPr>
          <w:i/>
          <w:iCs/>
        </w:rPr>
        <w:t>Los Angeles Dredging</w:t>
      </w:r>
      <w:r w:rsidRPr="00572F57" w:rsidR="009258BD">
        <w:rPr>
          <w:i/>
          <w:iCs/>
        </w:rPr>
        <w:t xml:space="preserve"> Co.</w:t>
      </w:r>
      <w:r w:rsidRPr="00572F57" w:rsidR="00477E88">
        <w:t xml:space="preserve">, and </w:t>
      </w:r>
      <w:r w:rsidRPr="00572F57" w:rsidR="00477E88">
        <w:rPr>
          <w:i/>
          <w:iCs/>
        </w:rPr>
        <w:t>Zottman</w:t>
      </w:r>
      <w:r w:rsidRPr="00572F57" w:rsidR="00477E88">
        <w:t xml:space="preserve"> stand for the</w:t>
      </w:r>
      <w:r w:rsidRPr="00572F57" w:rsidR="00C907D1">
        <w:t xml:space="preserve"> narrow </w:t>
      </w:r>
      <w:r w:rsidRPr="00572F57" w:rsidR="00477E88">
        <w:t xml:space="preserve">principle that </w:t>
      </w:r>
      <w:r w:rsidRPr="00572F57" w:rsidR="00937F40">
        <w:t xml:space="preserve">if </w:t>
      </w:r>
      <w:r w:rsidRPr="00572F57" w:rsidR="00636592">
        <w:t xml:space="preserve">a </w:t>
      </w:r>
      <w:r w:rsidRPr="00572F57" w:rsidR="000675AA">
        <w:t xml:space="preserve">contractor </w:t>
      </w:r>
      <w:r w:rsidRPr="00572F57" w:rsidR="003E4B79">
        <w:t>enter</w:t>
      </w:r>
      <w:r w:rsidRPr="00572F57" w:rsidR="00937F40">
        <w:t>s</w:t>
      </w:r>
      <w:r w:rsidRPr="00572F57" w:rsidR="003E4B79">
        <w:t xml:space="preserve"> into a</w:t>
      </w:r>
      <w:r w:rsidRPr="00572F57" w:rsidR="00937F40">
        <w:t>n express</w:t>
      </w:r>
      <w:r w:rsidRPr="00572F57" w:rsidR="003E4B79">
        <w:t xml:space="preserve"> contract with a </w:t>
      </w:r>
      <w:r w:rsidRPr="00572F57" w:rsidR="00636592">
        <w:t xml:space="preserve">public </w:t>
      </w:r>
      <w:r w:rsidRPr="00572F57" w:rsidR="003E4B79">
        <w:t xml:space="preserve">entity, </w:t>
      </w:r>
      <w:r w:rsidRPr="00572F57" w:rsidR="001A4721">
        <w:t xml:space="preserve">and the contract is later found to be in violation of </w:t>
      </w:r>
      <w:r w:rsidRPr="00572F57" w:rsidR="0051010F">
        <w:t xml:space="preserve">an applicable statute or charter and therefore </w:t>
      </w:r>
      <w:r w:rsidRPr="00572F57" w:rsidR="00A96B91">
        <w:t xml:space="preserve">deemed </w:t>
      </w:r>
      <w:r w:rsidRPr="00572F57" w:rsidR="0051010F">
        <w:t xml:space="preserve">void, the contractor </w:t>
      </w:r>
      <w:r w:rsidRPr="00572F57" w:rsidR="000208AB">
        <w:t xml:space="preserve">has no right to recover </w:t>
      </w:r>
      <w:r w:rsidRPr="00572F57" w:rsidR="001449D4">
        <w:t xml:space="preserve">the reasonable value of services in quantum meruit.  </w:t>
      </w:r>
      <w:r w:rsidRPr="00572F57" w:rsidR="00CE3EDF">
        <w:t>The</w:t>
      </w:r>
      <w:r w:rsidRPr="00572F57" w:rsidR="00FB58E7">
        <w:t>se decisions</w:t>
      </w:r>
      <w:r w:rsidRPr="00572F57" w:rsidR="00CE3EDF">
        <w:t xml:space="preserve"> are </w:t>
      </w:r>
      <w:r w:rsidRPr="00572F57" w:rsidR="00CC509D">
        <w:t>readily</w:t>
      </w:r>
      <w:r w:rsidRPr="00572F57" w:rsidR="00CE3EDF">
        <w:t xml:space="preserve"> distinguishable</w:t>
      </w:r>
      <w:r w:rsidRPr="00572F57" w:rsidR="00FB58E7">
        <w:t xml:space="preserve"> from</w:t>
      </w:r>
      <w:r w:rsidRPr="00572F57" w:rsidR="00CE3EDF">
        <w:t xml:space="preserve"> </w:t>
      </w:r>
      <w:r w:rsidRPr="00572F57" w:rsidR="000208AB">
        <w:t>the Hospitals’ quantum meruit claim against the County</w:t>
      </w:r>
      <w:r w:rsidRPr="00572F57" w:rsidR="00AD05F0">
        <w:t xml:space="preserve">, which </w:t>
      </w:r>
      <w:r w:rsidRPr="00572F57" w:rsidR="00A575EC">
        <w:t xml:space="preserve">concerns no express contract and </w:t>
      </w:r>
      <w:r w:rsidRPr="00572F57" w:rsidR="00AD05F0">
        <w:t xml:space="preserve">is </w:t>
      </w:r>
      <w:r w:rsidRPr="00572F57" w:rsidR="00A575EC">
        <w:t xml:space="preserve">instead based </w:t>
      </w:r>
      <w:r w:rsidRPr="00572F57" w:rsidR="00AD05F0">
        <w:t xml:space="preserve">on </w:t>
      </w:r>
      <w:r w:rsidRPr="00572F57" w:rsidR="00A575EC">
        <w:t xml:space="preserve">a </w:t>
      </w:r>
      <w:r w:rsidRPr="00572F57" w:rsidR="000B7A7D">
        <w:t>statutorily</w:t>
      </w:r>
      <w:r w:rsidR="000B7A7D">
        <w:t xml:space="preserve"> mandated</w:t>
      </w:r>
      <w:r w:rsidRPr="00572F57" w:rsidR="00A575EC">
        <w:t xml:space="preserve"> </w:t>
      </w:r>
      <w:r w:rsidRPr="00572F57" w:rsidR="002677CB">
        <w:t>reimbursement</w:t>
      </w:r>
      <w:r w:rsidRPr="00572F57" w:rsidR="00AD05F0">
        <w:t xml:space="preserve"> </w:t>
      </w:r>
      <w:r w:rsidRPr="00572F57" w:rsidR="002677CB">
        <w:t>provision</w:t>
      </w:r>
      <w:r w:rsidRPr="00572F57" w:rsidR="000208AB">
        <w:t xml:space="preserve">.  </w:t>
      </w:r>
      <w:r w:rsidR="00AF6B63">
        <w:t>We are</w:t>
      </w:r>
      <w:r w:rsidRPr="00572F57" w:rsidR="002677CB">
        <w:t xml:space="preserve"> </w:t>
      </w:r>
      <w:r w:rsidRPr="00572F57" w:rsidR="00C907D1">
        <w:t>doubtful</w:t>
      </w:r>
      <w:r w:rsidRPr="00572F57" w:rsidR="002677CB">
        <w:t xml:space="preserve"> that</w:t>
      </w:r>
      <w:r w:rsidRPr="00572F57" w:rsidR="004069DE">
        <w:t xml:space="preserve"> the Legislature </w:t>
      </w:r>
      <w:r w:rsidRPr="00572F57" w:rsidR="002D1351">
        <w:t xml:space="preserve">understood </w:t>
      </w:r>
      <w:r w:rsidRPr="00572F57" w:rsidR="00C907D1">
        <w:t xml:space="preserve">these decisions </w:t>
      </w:r>
      <w:r w:rsidRPr="00572F57" w:rsidR="009124DD">
        <w:t xml:space="preserve">to </w:t>
      </w:r>
      <w:r w:rsidRPr="00572F57" w:rsidR="009364BE">
        <w:t>mean that a quantum meruit claim</w:t>
      </w:r>
      <w:r w:rsidRPr="00572F57" w:rsidR="00301CE0">
        <w:t xml:space="preserve"> </w:t>
      </w:r>
      <w:r w:rsidRPr="00572F57" w:rsidR="0063654A">
        <w:t xml:space="preserve">for payment </w:t>
      </w:r>
      <w:r w:rsidRPr="00572F57" w:rsidR="0063654A">
        <w:rPr>
          <w:i/>
          <w:iCs/>
        </w:rPr>
        <w:t>required by statute</w:t>
      </w:r>
      <w:r w:rsidRPr="00572F57" w:rsidR="008B6B65">
        <w:rPr>
          <w:i/>
          <w:iCs/>
        </w:rPr>
        <w:t xml:space="preserve"> </w:t>
      </w:r>
      <w:r w:rsidRPr="00572F57" w:rsidR="008B6B65">
        <w:t xml:space="preserve">and otherwise </w:t>
      </w:r>
      <w:r w:rsidRPr="00572F57" w:rsidR="000476BA">
        <w:t>resembling the claim pursued</w:t>
      </w:r>
      <w:r w:rsidRPr="00572F57" w:rsidR="008B6B65">
        <w:t xml:space="preserve"> here</w:t>
      </w:r>
      <w:r w:rsidRPr="00572F57" w:rsidR="00301CE0">
        <w:t xml:space="preserve"> is “a non-contractual action for money or damages, and thus a ‘tort</w:t>
      </w:r>
      <w:r w:rsidRPr="00572F57" w:rsidR="00F86D14">
        <w:t>,</w:t>
      </w:r>
      <w:r w:rsidRPr="00572F57" w:rsidR="00301CE0">
        <w:t>’ ”</w:t>
      </w:r>
      <w:r w:rsidRPr="00572F57" w:rsidR="00F86D14">
        <w:t xml:space="preserve"> as the County asserts it must have.</w:t>
      </w:r>
      <w:r>
        <w:rPr>
          <w:rStyle w:val="FootnoteReference"/>
        </w:rPr>
        <w:footnoteReference w:id="13"/>
      </w:r>
      <w:r w:rsidRPr="00572F57" w:rsidR="00986C4D">
        <w:t xml:space="preserve"> </w:t>
      </w:r>
      <w:r w:rsidRPr="00572F57" w:rsidR="000245EF">
        <w:t xml:space="preserve"> </w:t>
      </w:r>
    </w:p>
    <w:p w:rsidR="00670BF3" w:rsidRPr="00572F57" w:rsidP="006651B8" w14:paraId="210712AB" w14:textId="3A6ED07F">
      <w:pPr>
        <w:ind w:firstLine="720"/>
      </w:pPr>
      <w:r w:rsidRPr="00572F57">
        <w:t xml:space="preserve">Although </w:t>
      </w:r>
      <w:r w:rsidRPr="00572F57" w:rsidR="00F329CA">
        <w:t>other</w:t>
      </w:r>
      <w:r w:rsidRPr="00572F57" w:rsidR="002003E0">
        <w:t xml:space="preserve"> </w:t>
      </w:r>
      <w:r w:rsidRPr="00572F57" w:rsidR="00826FDF">
        <w:t xml:space="preserve">Court of Appeal decisions have </w:t>
      </w:r>
      <w:r w:rsidRPr="00572F57" w:rsidR="00462FCD">
        <w:t>broadly</w:t>
      </w:r>
      <w:r w:rsidRPr="00572F57" w:rsidR="0063654A">
        <w:t xml:space="preserve"> held</w:t>
      </w:r>
      <w:r w:rsidRPr="00572F57" w:rsidR="00462FCD">
        <w:t xml:space="preserve"> that quantum meruit claims may not proceed against public entities</w:t>
      </w:r>
      <w:r w:rsidRPr="00572F57" w:rsidR="00296951">
        <w:t xml:space="preserve">, </w:t>
      </w:r>
      <w:r w:rsidR="00913D15">
        <w:t xml:space="preserve">those decisions contain thin analyses </w:t>
      </w:r>
      <w:r w:rsidRPr="00572F57" w:rsidR="00BF1079">
        <w:t xml:space="preserve">and </w:t>
      </w:r>
      <w:r w:rsidR="00913D15">
        <w:t xml:space="preserve">are </w:t>
      </w:r>
      <w:r w:rsidRPr="00572F57" w:rsidR="00BF1079">
        <w:t>distinguishable</w:t>
      </w:r>
      <w:r w:rsidR="00E41B6E">
        <w:t xml:space="preserve"> on their facts</w:t>
      </w:r>
      <w:r w:rsidRPr="00572F57" w:rsidR="00E422C4">
        <w:t xml:space="preserve">.  </w:t>
      </w:r>
      <w:r w:rsidRPr="00572F57" w:rsidR="008B6B65">
        <w:t>It has been said</w:t>
      </w:r>
      <w:r w:rsidRPr="00572F57" w:rsidR="00E705B5">
        <w:t>, for example,</w:t>
      </w:r>
      <w:r w:rsidRPr="00572F57" w:rsidR="008B6B65">
        <w:t xml:space="preserve"> that </w:t>
      </w:r>
      <w:r w:rsidRPr="00572F57">
        <w:t>“</w:t>
      </w:r>
      <w:r w:rsidR="002D7B97">
        <w:t>[a]</w:t>
      </w:r>
      <w:r w:rsidRPr="00572F57">
        <w:t>s a general rule, a public entity cannot be sued on an implied-in-law or quasi-contract theory, because such a theory is based on quantum meruit or restitution considerations which are outweighed by the need to protect and limit a public entity</w:t>
      </w:r>
      <w:r w:rsidRPr="00572F57" w:rsidR="00AC38EA">
        <w:t>’</w:t>
      </w:r>
      <w:r w:rsidRPr="00572F57">
        <w:t>s contractual obligations.”  (</w:t>
      </w:r>
      <w:r w:rsidRPr="00572F57" w:rsidR="008B6B65">
        <w:rPr>
          <w:i/>
          <w:iCs/>
        </w:rPr>
        <w:t xml:space="preserve">Lundeen Coatings Corp. v. Department of Water &amp; Power </w:t>
      </w:r>
      <w:r w:rsidRPr="00572F57" w:rsidR="008B6B65">
        <w:t>(1991) 232</w:t>
      </w:r>
      <w:r w:rsidR="006651B8">
        <w:t> </w:t>
      </w:r>
      <w:r w:rsidRPr="00572F57" w:rsidR="008B6B65">
        <w:t xml:space="preserve">Cal.App.3d 816, </w:t>
      </w:r>
      <w:r w:rsidRPr="00572F57">
        <w:t>831, fn.</w:t>
      </w:r>
      <w:r w:rsidR="006651B8">
        <w:t> </w:t>
      </w:r>
      <w:r w:rsidRPr="00572F57">
        <w:t>9</w:t>
      </w:r>
      <w:r w:rsidRPr="00572F57" w:rsidR="008B6B65">
        <w:t xml:space="preserve">; see also </w:t>
      </w:r>
      <w:r w:rsidRPr="00572F57" w:rsidR="008B6B65">
        <w:rPr>
          <w:i/>
          <w:iCs/>
        </w:rPr>
        <w:t>Janis</w:t>
      </w:r>
      <w:r w:rsidR="00F60BA0">
        <w:rPr>
          <w:i/>
          <w:iCs/>
        </w:rPr>
        <w:t xml:space="preserve"> v. California State Lottery Com. </w:t>
      </w:r>
      <w:r w:rsidR="00F60BA0">
        <w:t>(1998)</w:t>
      </w:r>
      <w:r w:rsidR="00A477EB">
        <w:t xml:space="preserve"> </w:t>
      </w:r>
      <w:r w:rsidRPr="00572F57" w:rsidR="008B6B65">
        <w:t>68</w:t>
      </w:r>
      <w:r w:rsidR="006651B8">
        <w:t> </w:t>
      </w:r>
      <w:r w:rsidRPr="00572F57" w:rsidR="008B6B65">
        <w:t xml:space="preserve">Cal.App.4th </w:t>
      </w:r>
      <w:r w:rsidR="00A477EB">
        <w:t xml:space="preserve">824, </w:t>
      </w:r>
      <w:r w:rsidRPr="00572F57" w:rsidR="008B6B65">
        <w:t xml:space="preserve">830; </w:t>
      </w:r>
      <w:r w:rsidRPr="00572F57" w:rsidR="008B6B65">
        <w:rPr>
          <w:i/>
          <w:iCs/>
        </w:rPr>
        <w:t xml:space="preserve">Los Angeles Equestrian Center, Inc. v. City of Los Angeles </w:t>
      </w:r>
      <w:r w:rsidRPr="00572F57" w:rsidR="008B6B65">
        <w:t>(1993) 17</w:t>
      </w:r>
      <w:r w:rsidR="006651B8">
        <w:t> </w:t>
      </w:r>
      <w:r w:rsidRPr="00572F57" w:rsidR="008B6B65">
        <w:t>Cal.App.4th 432, 448–449</w:t>
      </w:r>
      <w:r w:rsidRPr="00572F57">
        <w:t xml:space="preserve">.)  </w:t>
      </w:r>
      <w:r w:rsidRPr="00572F57" w:rsidR="00B631D7">
        <w:t xml:space="preserve">But </w:t>
      </w:r>
      <w:r w:rsidRPr="00572F57" w:rsidR="008B6B65">
        <w:t xml:space="preserve">these cases either directly or indirectly rely on </w:t>
      </w:r>
      <w:r w:rsidRPr="00572F57" w:rsidR="008B6B65">
        <w:rPr>
          <w:i/>
          <w:iCs/>
        </w:rPr>
        <w:t>Miller</w:t>
      </w:r>
      <w:r w:rsidRPr="00572F57" w:rsidR="008B6B65">
        <w:t xml:space="preserve">, </w:t>
      </w:r>
      <w:r w:rsidRPr="00572F57" w:rsidR="008B6B65">
        <w:rPr>
          <w:i/>
          <w:iCs/>
        </w:rPr>
        <w:t>supra</w:t>
      </w:r>
      <w:r w:rsidRPr="00572F57" w:rsidR="008B6B65">
        <w:t>, 20</w:t>
      </w:r>
      <w:r w:rsidR="006651B8">
        <w:t> </w:t>
      </w:r>
      <w:r w:rsidRPr="00572F57" w:rsidR="008B6B65">
        <w:t>Cal.2d 83 for this principle, and</w:t>
      </w:r>
      <w:r w:rsidRPr="00572F57" w:rsidR="0080630D">
        <w:t xml:space="preserve"> </w:t>
      </w:r>
      <w:r w:rsidRPr="00572F57" w:rsidR="008B6B65">
        <w:t>a</w:t>
      </w:r>
      <w:r w:rsidRPr="00572F57" w:rsidR="0080630D">
        <w:t xml:space="preserve">s </w:t>
      </w:r>
      <w:r w:rsidRPr="00572F57" w:rsidR="008B6B65">
        <w:t>has been explained</w:t>
      </w:r>
      <w:r w:rsidRPr="00572F57" w:rsidR="0080630D">
        <w:t xml:space="preserve">, </w:t>
      </w:r>
      <w:r w:rsidRPr="00572F57" w:rsidR="0080630D">
        <w:rPr>
          <w:i/>
          <w:iCs/>
        </w:rPr>
        <w:t xml:space="preserve">Miller </w:t>
      </w:r>
      <w:r w:rsidRPr="00572F57" w:rsidR="00B631D7">
        <w:t xml:space="preserve">does </w:t>
      </w:r>
      <w:r w:rsidRPr="00572F57" w:rsidR="0080630D">
        <w:t>not stand for such a broad proposition.</w:t>
      </w:r>
      <w:r w:rsidR="00D95547">
        <w:t xml:space="preserve">  And even this principle is explicitly premised on “the need to protect and limit a public entity’s contractual obligations” (</w:t>
      </w:r>
      <w:r w:rsidR="00D95547">
        <w:rPr>
          <w:i/>
          <w:iCs/>
        </w:rPr>
        <w:t>Lundeen</w:t>
      </w:r>
      <w:r w:rsidR="00D95547">
        <w:t>, at p.</w:t>
      </w:r>
      <w:r w:rsidR="006651B8">
        <w:t> </w:t>
      </w:r>
      <w:r w:rsidR="00D95547">
        <w:t>831, fn.</w:t>
      </w:r>
      <w:r w:rsidR="006651B8">
        <w:t> </w:t>
      </w:r>
      <w:r w:rsidR="00D95547">
        <w:t>9), which is not a consideration for all quantum meruit claims</w:t>
      </w:r>
      <w:r w:rsidR="006651B8">
        <w:t> </w:t>
      </w:r>
      <w:r w:rsidR="00D95547">
        <w:t>— the instant claim against the County being just one example</w:t>
      </w:r>
      <w:r w:rsidR="00B45889">
        <w:t xml:space="preserve">, since it is based on the County’s statutory </w:t>
      </w:r>
      <w:r w:rsidR="006D191B">
        <w:t>duty, not its contractual obligation</w:t>
      </w:r>
      <w:r w:rsidR="00D95547">
        <w:t>.</w:t>
      </w:r>
    </w:p>
    <w:p w:rsidR="00415CDC" w:rsidP="006651B8" w14:paraId="74C9D328" w14:textId="5BB183BF">
      <w:pPr>
        <w:tabs>
          <w:tab w:val="left" w:pos="1440"/>
        </w:tabs>
        <w:ind w:firstLine="720"/>
      </w:pPr>
      <w:r>
        <w:t xml:space="preserve">In concluding that Government Code section 815 bars a quantum meruit action, the Court of Appeal </w:t>
      </w:r>
      <w:r w:rsidR="006C5482">
        <w:t xml:space="preserve">below </w:t>
      </w:r>
      <w:r>
        <w:t xml:space="preserve">relied </w:t>
      </w:r>
      <w:r w:rsidR="00E26950">
        <w:t xml:space="preserve">primarily </w:t>
      </w:r>
      <w:r>
        <w:t>on</w:t>
      </w:r>
      <w:r w:rsidRPr="00572F57" w:rsidR="00792764">
        <w:t xml:space="preserve"> </w:t>
      </w:r>
      <w:r w:rsidRPr="00572F57" w:rsidR="00792764">
        <w:rPr>
          <w:i/>
          <w:iCs/>
        </w:rPr>
        <w:t>Sheppard v. North Orange County Regional Occupational Program</w:t>
      </w:r>
      <w:r w:rsidRPr="00572F57" w:rsidR="00792764">
        <w:t xml:space="preserve"> (2010) 191 Cal.App.4th 289</w:t>
      </w:r>
      <w:r>
        <w:t>.</w:t>
      </w:r>
      <w:r w:rsidRPr="00572F57" w:rsidR="00792764">
        <w:t xml:space="preserve">  (</w:t>
      </w:r>
      <w:r w:rsidR="00785C98">
        <w:t xml:space="preserve">See </w:t>
      </w:r>
      <w:r w:rsidRPr="00572F57" w:rsidR="00792764">
        <w:rPr>
          <w:i/>
          <w:iCs/>
        </w:rPr>
        <w:t>Santa Clara</w:t>
      </w:r>
      <w:r w:rsidRPr="00572F57" w:rsidR="00792764">
        <w:t xml:space="preserve">, </w:t>
      </w:r>
      <w:r w:rsidRPr="00572F57" w:rsidR="00792764">
        <w:rPr>
          <w:i/>
          <w:iCs/>
        </w:rPr>
        <w:t>supra</w:t>
      </w:r>
      <w:r w:rsidRPr="00572F57" w:rsidR="00792764">
        <w:t>, 77</w:t>
      </w:r>
      <w:r w:rsidRPr="00572F57" w:rsidR="00191246">
        <w:t> </w:t>
      </w:r>
      <w:r w:rsidRPr="00572F57" w:rsidR="00792764">
        <w:t>Cal.App.5th at p.</w:t>
      </w:r>
      <w:r w:rsidR="006651B8">
        <w:t> </w:t>
      </w:r>
      <w:r w:rsidRPr="00572F57" w:rsidR="00792764">
        <w:t xml:space="preserve">1028.) </w:t>
      </w:r>
      <w:r w:rsidRPr="00572F57" w:rsidR="00FC6276">
        <w:t xml:space="preserve"> </w:t>
      </w:r>
      <w:r>
        <w:t>T</w:t>
      </w:r>
      <w:r w:rsidRPr="00572F57">
        <w:t>he</w:t>
      </w:r>
      <w:r w:rsidRPr="00572F57">
        <w:rPr>
          <w:i/>
          <w:iCs/>
        </w:rPr>
        <w:t xml:space="preserve"> </w:t>
      </w:r>
      <w:r w:rsidRPr="00572F57" w:rsidR="00623EA3">
        <w:t>plaintiff</w:t>
      </w:r>
      <w:r>
        <w:t xml:space="preserve"> in </w:t>
      </w:r>
      <w:r>
        <w:rPr>
          <w:i/>
          <w:iCs/>
        </w:rPr>
        <w:t>Sheppard</w:t>
      </w:r>
      <w:r w:rsidRPr="00572F57" w:rsidR="00623EA3">
        <w:t>, a part-time public school instructor, sought reimbursement from a public agency for his unpaid time spent preparing for teaching.  (</w:t>
      </w:r>
      <w:r w:rsidRPr="00572F57" w:rsidR="007B4625">
        <w:rPr>
          <w:i/>
          <w:iCs/>
        </w:rPr>
        <w:t>Sheppard</w:t>
      </w:r>
      <w:r w:rsidRPr="00572F57" w:rsidR="007B4625">
        <w:t>,</w:t>
      </w:r>
      <w:r w:rsidRPr="00572F57" w:rsidR="00DE4BE6">
        <w:t xml:space="preserve"> </w:t>
      </w:r>
      <w:r w:rsidRPr="00572F57" w:rsidR="00623EA3">
        <w:t xml:space="preserve">at </w:t>
      </w:r>
      <w:r w:rsidRPr="00572F57" w:rsidR="00B52AE0">
        <w:t>p</w:t>
      </w:r>
      <w:r w:rsidRPr="00572F57" w:rsidR="00623EA3">
        <w:t>p.</w:t>
      </w:r>
      <w:r w:rsidR="005F1535">
        <w:t> </w:t>
      </w:r>
      <w:r w:rsidRPr="00572F57" w:rsidR="003167CB">
        <w:t>293–</w:t>
      </w:r>
      <w:r w:rsidRPr="00572F57" w:rsidR="00623EA3">
        <w:t xml:space="preserve">294.)  </w:t>
      </w:r>
      <w:r w:rsidRPr="00572F57" w:rsidR="0005049C">
        <w:t>Notably, an</w:t>
      </w:r>
      <w:r w:rsidRPr="00572F57" w:rsidR="00601448">
        <w:t xml:space="preserve"> express contract existed between the plaintiff and the agency.  </w:t>
      </w:r>
      <w:r w:rsidRPr="00572F57" w:rsidR="0005049C">
        <w:t>(</w:t>
      </w:r>
      <w:r w:rsidRPr="00572F57" w:rsidR="0005049C">
        <w:rPr>
          <w:i/>
          <w:iCs/>
        </w:rPr>
        <w:t>Id</w:t>
      </w:r>
      <w:r w:rsidRPr="00572F57" w:rsidR="0005049C">
        <w:t>.</w:t>
      </w:r>
      <w:r w:rsidRPr="00572F57" w:rsidR="00412D94">
        <w:t xml:space="preserve"> </w:t>
      </w:r>
      <w:r w:rsidRPr="00572F57" w:rsidR="0005049C">
        <w:t>at p</w:t>
      </w:r>
      <w:r w:rsidRPr="00572F57" w:rsidR="00DF718D">
        <w:t>p</w:t>
      </w:r>
      <w:r w:rsidRPr="00572F57" w:rsidR="0005049C">
        <w:t>.</w:t>
      </w:r>
      <w:r w:rsidR="00627D17">
        <w:t> </w:t>
      </w:r>
      <w:r w:rsidRPr="00572F57" w:rsidR="0005049C">
        <w:t xml:space="preserve">295, </w:t>
      </w:r>
      <w:r w:rsidRPr="00572F57" w:rsidR="00DF718D">
        <w:t>314</w:t>
      </w:r>
      <w:r w:rsidRPr="00572F57" w:rsidR="0030032D">
        <w:t>.)  The plaintiff’s complaint alleged causes of action for violation of the minimum wage law, breach of contract, and quantum meruit.  (</w:t>
      </w:r>
      <w:r w:rsidRPr="00572F57" w:rsidR="0030032D">
        <w:rPr>
          <w:i/>
          <w:iCs/>
        </w:rPr>
        <w:t>Id</w:t>
      </w:r>
      <w:r w:rsidRPr="00572F57" w:rsidR="0030032D">
        <w:t>. at p.</w:t>
      </w:r>
      <w:r w:rsidR="005F1535">
        <w:t> </w:t>
      </w:r>
      <w:r w:rsidRPr="00572F57" w:rsidR="0030032D">
        <w:t xml:space="preserve">294.)  </w:t>
      </w:r>
      <w:r w:rsidRPr="00572F57" w:rsidR="00623EA3">
        <w:t xml:space="preserve">The </w:t>
      </w:r>
      <w:r w:rsidR="007B62A8">
        <w:t>appellate court</w:t>
      </w:r>
      <w:r w:rsidRPr="00572F57" w:rsidR="00623EA3">
        <w:t xml:space="preserve"> held </w:t>
      </w:r>
      <w:r w:rsidRPr="00572F57" w:rsidR="009A5279">
        <w:t>that the trial court erred when it sustained the agency’s demurrer to the breach of contract claim</w:t>
      </w:r>
      <w:r w:rsidRPr="00572F57" w:rsidR="00517B41">
        <w:t xml:space="preserve"> (</w:t>
      </w:r>
      <w:r w:rsidRPr="00572F57" w:rsidR="00517B41">
        <w:rPr>
          <w:i/>
          <w:iCs/>
        </w:rPr>
        <w:t>id</w:t>
      </w:r>
      <w:r w:rsidRPr="00572F57" w:rsidR="00517B41">
        <w:t xml:space="preserve">. at p. </w:t>
      </w:r>
      <w:r w:rsidRPr="00572F57" w:rsidR="00CD38CC">
        <w:t>313)</w:t>
      </w:r>
      <w:r w:rsidRPr="00572F57" w:rsidR="009A5279">
        <w:t xml:space="preserve">, </w:t>
      </w:r>
      <w:r w:rsidRPr="00572F57" w:rsidR="00517B41">
        <w:t>but</w:t>
      </w:r>
      <w:r w:rsidRPr="00572F57" w:rsidR="00623EA3">
        <w:t xml:space="preserve"> </w:t>
      </w:r>
      <w:r w:rsidRPr="00572F57" w:rsidR="00CD38CC">
        <w:t xml:space="preserve">that </w:t>
      </w:r>
      <w:r w:rsidRPr="00572F57" w:rsidR="001F1D36">
        <w:t xml:space="preserve">it properly sustained </w:t>
      </w:r>
      <w:r w:rsidRPr="00572F57" w:rsidR="00623EA3">
        <w:t>the demurrer to the plaintiff’s quantum meruit claim because “such a claim cannot be asserted against a public entity</w:t>
      </w:r>
      <w:r w:rsidRPr="00572F57" w:rsidR="00B24F45">
        <w:t>”</w:t>
      </w:r>
      <w:r w:rsidRPr="00572F57" w:rsidR="00623EA3">
        <w:t xml:space="preserve"> (</w:t>
      </w:r>
      <w:r w:rsidRPr="00572F57" w:rsidR="00F754BE">
        <w:rPr>
          <w:i/>
          <w:iCs/>
        </w:rPr>
        <w:t>i</w:t>
      </w:r>
      <w:r w:rsidRPr="00572F57" w:rsidR="00623EA3">
        <w:rPr>
          <w:i/>
          <w:iCs/>
        </w:rPr>
        <w:t>d</w:t>
      </w:r>
      <w:r w:rsidRPr="00572F57" w:rsidR="00623EA3">
        <w:t>.</w:t>
      </w:r>
      <w:r w:rsidRPr="00572F57" w:rsidR="00F754BE">
        <w:t xml:space="preserve"> at p.</w:t>
      </w:r>
      <w:r w:rsidR="00627D17">
        <w:t> </w:t>
      </w:r>
      <w:r w:rsidRPr="00572F57" w:rsidR="00F754BE">
        <w:t>314</w:t>
      </w:r>
      <w:r w:rsidRPr="00572F57" w:rsidR="00623EA3">
        <w:t>)</w:t>
      </w:r>
      <w:r w:rsidRPr="00572F57" w:rsidR="00F754BE">
        <w:t>.</w:t>
      </w:r>
      <w:r w:rsidRPr="00572F57" w:rsidR="00623EA3">
        <w:t xml:space="preserve">  </w:t>
      </w:r>
      <w:r w:rsidRPr="00572F57" w:rsidR="00B752FC">
        <w:rPr>
          <w:i/>
          <w:iCs/>
        </w:rPr>
        <w:t xml:space="preserve">Sheppard </w:t>
      </w:r>
      <w:r w:rsidRPr="00572F57" w:rsidR="00470EFF">
        <w:t xml:space="preserve">cited </w:t>
      </w:r>
      <w:r w:rsidRPr="00572F57" w:rsidR="00C51BB0">
        <w:t>Government Code section</w:t>
      </w:r>
      <w:r w:rsidR="00627D17">
        <w:t> </w:t>
      </w:r>
      <w:r w:rsidRPr="00572F57" w:rsidR="00C51BB0">
        <w:t xml:space="preserve">815 and the </w:t>
      </w:r>
      <w:r w:rsidRPr="00572F57" w:rsidR="00623EA3">
        <w:t xml:space="preserve">Legislative Committee Comment </w:t>
      </w:r>
      <w:r w:rsidRPr="00572F57" w:rsidR="00C51BB0">
        <w:t>accompanying that section</w:t>
      </w:r>
      <w:r w:rsidRPr="00572F57" w:rsidR="00623EA3">
        <w:t>, which states that this section “ ‘</w:t>
      </w:r>
      <w:r w:rsidRPr="00572F57" w:rsidR="00623EA3">
        <w:rPr>
          <w:i/>
          <w:iCs/>
        </w:rPr>
        <w:t>abolishes all common law or judicially declared forms of liability for public entities</w:t>
      </w:r>
      <w:r w:rsidRPr="00572F57" w:rsidR="00623EA3">
        <w:t>, except for such liability as may be required by the state or federal constitution.’ ”  (</w:t>
      </w:r>
      <w:r w:rsidRPr="00572F57" w:rsidR="00623EA3">
        <w:rPr>
          <w:i/>
          <w:iCs/>
        </w:rPr>
        <w:t>Sheppard</w:t>
      </w:r>
      <w:r w:rsidRPr="00572F57" w:rsidR="00623EA3">
        <w:t>, at p.</w:t>
      </w:r>
      <w:r w:rsidR="00627D17">
        <w:t> </w:t>
      </w:r>
      <w:r w:rsidRPr="00572F57" w:rsidR="00623EA3">
        <w:t xml:space="preserve">314.)  The </w:t>
      </w:r>
      <w:r w:rsidRPr="00572F57" w:rsidR="00A93F75">
        <w:rPr>
          <w:i/>
          <w:iCs/>
        </w:rPr>
        <w:t xml:space="preserve">Sheppard </w:t>
      </w:r>
      <w:r w:rsidRPr="00572F57" w:rsidR="00623EA3">
        <w:t xml:space="preserve">court </w:t>
      </w:r>
      <w:r w:rsidRPr="00572F57" w:rsidR="00C73611">
        <w:t xml:space="preserve">also determined </w:t>
      </w:r>
      <w:r w:rsidRPr="00572F57" w:rsidR="00623EA3">
        <w:t>that the plaintiff’s quantum meruit claim failed on the additional ground that such recovery is unavailable when the parties have an actual agreement covering compensation.  (</w:t>
      </w:r>
      <w:r w:rsidRPr="00572F57" w:rsidR="00623EA3">
        <w:rPr>
          <w:i/>
          <w:iCs/>
        </w:rPr>
        <w:t>Ibid</w:t>
      </w:r>
      <w:r w:rsidRPr="00572F57" w:rsidR="00623EA3">
        <w:t>.)</w:t>
      </w:r>
      <w:r w:rsidRPr="00572F57" w:rsidR="00647DC2">
        <w:t xml:space="preserve">  </w:t>
      </w:r>
    </w:p>
    <w:p w:rsidR="00E335CD" w:rsidRPr="00572F57" w:rsidP="006651B8" w14:paraId="14E09A81" w14:textId="203A39D8">
      <w:pPr>
        <w:tabs>
          <w:tab w:val="left" w:pos="1440"/>
        </w:tabs>
        <w:ind w:firstLine="720"/>
      </w:pPr>
      <w:r w:rsidRPr="00572F57">
        <w:t>W</w:t>
      </w:r>
      <w:r w:rsidRPr="00572F57" w:rsidR="00377285">
        <w:t xml:space="preserve">ithout calling the result </w:t>
      </w:r>
      <w:r w:rsidRPr="00572F57" w:rsidR="00B6713D">
        <w:t xml:space="preserve">in </w:t>
      </w:r>
      <w:r w:rsidRPr="00572F57" w:rsidR="00B6713D">
        <w:rPr>
          <w:i/>
          <w:iCs/>
        </w:rPr>
        <w:t>Sheppard</w:t>
      </w:r>
      <w:r w:rsidRPr="00572F57" w:rsidR="00F329CA">
        <w:t xml:space="preserve"> </w:t>
      </w:r>
      <w:r w:rsidRPr="00572F57" w:rsidR="00377285">
        <w:t>into question,</w:t>
      </w:r>
      <w:r w:rsidR="00F568B9">
        <w:t xml:space="preserve"> to the extent it relied on the Government Claims Act,</w:t>
      </w:r>
      <w:r w:rsidRPr="00572F57" w:rsidR="00377285">
        <w:t xml:space="preserve"> its analysis</w:t>
      </w:r>
      <w:r w:rsidRPr="00572F57" w:rsidR="00F329CA">
        <w:t xml:space="preserve"> failed to </w:t>
      </w:r>
      <w:r w:rsidRPr="00572F57" w:rsidR="00377285">
        <w:t xml:space="preserve">undertake a careful review of the claim before it, comparable to our inquiries in </w:t>
      </w:r>
      <w:r w:rsidRPr="00572F57" w:rsidR="00377285">
        <w:rPr>
          <w:i/>
          <w:iCs/>
        </w:rPr>
        <w:t>City of Dinuba</w:t>
      </w:r>
      <w:r w:rsidRPr="00572F57" w:rsidR="00377285">
        <w:t xml:space="preserve">, </w:t>
      </w:r>
      <w:r w:rsidRPr="00572F57" w:rsidR="00377285">
        <w:rPr>
          <w:i/>
          <w:iCs/>
        </w:rPr>
        <w:t>supra</w:t>
      </w:r>
      <w:r w:rsidRPr="00572F57" w:rsidR="00377285">
        <w:t>,</w:t>
      </w:r>
      <w:r w:rsidRPr="00572F57" w:rsidR="00377285">
        <w:rPr>
          <w:i/>
          <w:iCs/>
        </w:rPr>
        <w:t xml:space="preserve"> </w:t>
      </w:r>
      <w:r w:rsidRPr="00572F57" w:rsidR="00377285">
        <w:t>41</w:t>
      </w:r>
      <w:r w:rsidR="005F1535">
        <w:t> </w:t>
      </w:r>
      <w:r w:rsidRPr="00572F57" w:rsidR="00377285">
        <w:t xml:space="preserve">Cal.4th 859 and </w:t>
      </w:r>
      <w:r w:rsidRPr="00572F57" w:rsidR="00377285">
        <w:rPr>
          <w:i/>
          <w:iCs/>
        </w:rPr>
        <w:t>Kizer</w:t>
      </w:r>
      <w:r w:rsidRPr="00572F57" w:rsidR="00377285">
        <w:t xml:space="preserve">, </w:t>
      </w:r>
      <w:r w:rsidRPr="00572F57" w:rsidR="00377285">
        <w:rPr>
          <w:i/>
          <w:iCs/>
        </w:rPr>
        <w:t>supra</w:t>
      </w:r>
      <w:r w:rsidRPr="00572F57" w:rsidR="00377285">
        <w:t>, 53</w:t>
      </w:r>
      <w:r w:rsidR="00627D17">
        <w:t> </w:t>
      </w:r>
      <w:r w:rsidRPr="00572F57" w:rsidR="00377285">
        <w:t>Cal.3d 1</w:t>
      </w:r>
      <w:r w:rsidRPr="00572F57" w:rsidR="00E50F28">
        <w:t>39</w:t>
      </w:r>
      <w:r w:rsidRPr="00572F57" w:rsidR="00377285">
        <w:t xml:space="preserve">, before determining whether </w:t>
      </w:r>
      <w:r w:rsidR="00E35137">
        <w:t>such</w:t>
      </w:r>
      <w:r w:rsidRPr="00572F57" w:rsidR="007930C0">
        <w:t xml:space="preserve"> </w:t>
      </w:r>
      <w:r w:rsidRPr="00572F57" w:rsidR="00377285">
        <w:t xml:space="preserve">claim fell within or outside the </w:t>
      </w:r>
      <w:r w:rsidR="00693DDA">
        <w:t xml:space="preserve">purview of the </w:t>
      </w:r>
      <w:r w:rsidRPr="00572F57" w:rsidR="00AC402E">
        <w:t xml:space="preserve">Government Claims </w:t>
      </w:r>
      <w:r w:rsidRPr="00572F57" w:rsidR="00377285">
        <w:t xml:space="preserve">Act’s </w:t>
      </w:r>
      <w:r w:rsidR="00693DDA">
        <w:t>immunity provisions</w:t>
      </w:r>
      <w:r w:rsidRPr="00572F57" w:rsidR="000F4B8D">
        <w:t>.</w:t>
      </w:r>
      <w:r w:rsidRPr="00572F57" w:rsidR="00377285">
        <w:t xml:space="preserve"> </w:t>
      </w:r>
      <w:r w:rsidRPr="00572F57" w:rsidR="000F4B8D">
        <w:t xml:space="preserve"> </w:t>
      </w:r>
      <w:r w:rsidR="00D676CD">
        <w:t xml:space="preserve">To the extent it held that a quantum meruit claim against the public agency was unavailable more generally, </w:t>
      </w:r>
      <w:r w:rsidR="00D676CD">
        <w:rPr>
          <w:i/>
          <w:iCs/>
        </w:rPr>
        <w:t>Sheppard</w:t>
      </w:r>
      <w:r w:rsidR="00D676CD">
        <w:t xml:space="preserve"> is plainly distinguishable because an express contract existed between the parties.</w:t>
      </w:r>
    </w:p>
    <w:p w:rsidR="005D4C13" w:rsidP="006651B8" w14:paraId="37CD6D4B" w14:textId="1048B58A">
      <w:pPr>
        <w:tabs>
          <w:tab w:val="left" w:pos="1440"/>
        </w:tabs>
        <w:ind w:firstLine="720"/>
      </w:pPr>
      <w:r w:rsidRPr="00572F57">
        <w:t>To summarize</w:t>
      </w:r>
      <w:r w:rsidRPr="00572F57" w:rsidR="000A3D21">
        <w:t xml:space="preserve">, </w:t>
      </w:r>
      <w:r w:rsidR="002F577E">
        <w:t>we are</w:t>
      </w:r>
      <w:r w:rsidRPr="00572F57" w:rsidR="0010369B">
        <w:t xml:space="preserve"> </w:t>
      </w:r>
      <w:r w:rsidRPr="00572F57" w:rsidR="003F1A48">
        <w:t>not persuaded</w:t>
      </w:r>
      <w:r w:rsidRPr="00572F57" w:rsidR="00D26763">
        <w:t xml:space="preserve"> that</w:t>
      </w:r>
      <w:r w:rsidRPr="00572F57" w:rsidR="000A3D21">
        <w:t xml:space="preserve"> the Legislature intended to </w:t>
      </w:r>
      <w:r w:rsidRPr="00572F57" w:rsidR="00B6713D">
        <w:t>foreclose</w:t>
      </w:r>
      <w:r w:rsidRPr="00572F57" w:rsidR="000A3D21">
        <w:t xml:space="preserve"> </w:t>
      </w:r>
      <w:r w:rsidRPr="00572F57" w:rsidR="0010369B">
        <w:t>all quantum meruit claims</w:t>
      </w:r>
      <w:r w:rsidRPr="00572F57" w:rsidR="00233B43">
        <w:t xml:space="preserve"> </w:t>
      </w:r>
      <w:r w:rsidRPr="00572F57" w:rsidR="00B6713D">
        <w:t xml:space="preserve">against public entities </w:t>
      </w:r>
      <w:r w:rsidRPr="00572F57" w:rsidR="000A3D21">
        <w:t xml:space="preserve">when it </w:t>
      </w:r>
      <w:r w:rsidRPr="00572F57" w:rsidR="003F1A48">
        <w:t>drafted</w:t>
      </w:r>
      <w:r w:rsidRPr="00572F57" w:rsidR="000A3D21">
        <w:t xml:space="preserve"> the Government Claims Act’s immunity and liability provisions</w:t>
      </w:r>
      <w:r w:rsidR="009C5FD9">
        <w:t>, and certainly not the claim at issue in this case</w:t>
      </w:r>
      <w:r w:rsidRPr="00572F57" w:rsidR="00437990">
        <w:t>.</w:t>
      </w:r>
    </w:p>
    <w:p w:rsidR="009F213C" w:rsidRPr="00572F57" w:rsidP="000B2548" w14:paraId="03E2B832" w14:textId="75F92EEE">
      <w:pPr>
        <w:tabs>
          <w:tab w:val="left" w:pos="1440"/>
        </w:tabs>
        <w:ind w:firstLine="720"/>
      </w:pPr>
      <w:r>
        <w:t>In light of our holding that</w:t>
      </w:r>
      <w:r w:rsidRPr="00572F57" w:rsidR="00874A92">
        <w:t xml:space="preserve"> </w:t>
      </w:r>
      <w:r w:rsidR="00A01735">
        <w:t xml:space="preserve">the Government Claims Act does not immunize </w:t>
      </w:r>
      <w:r w:rsidR="00E7263A">
        <w:t xml:space="preserve">the County from </w:t>
      </w:r>
      <w:r w:rsidR="00697668">
        <w:t xml:space="preserve">the Hospitals’ </w:t>
      </w:r>
      <w:r w:rsidR="00EF5F0F">
        <w:t xml:space="preserve">action </w:t>
      </w:r>
      <w:r w:rsidR="00874A92">
        <w:t xml:space="preserve">for </w:t>
      </w:r>
      <w:r w:rsidR="00697668">
        <w:t xml:space="preserve">reimbursement </w:t>
      </w:r>
      <w:r w:rsidR="001E3505">
        <w:t>as mandated by</w:t>
      </w:r>
      <w:r w:rsidR="00A01735">
        <w:t xml:space="preserve"> </w:t>
      </w:r>
      <w:r w:rsidRPr="00572F57" w:rsidR="00874A92">
        <w:t xml:space="preserve">section 1371.4 of the </w:t>
      </w:r>
      <w:r w:rsidR="003C6D9B">
        <w:t>Knox-Keene</w:t>
      </w:r>
      <w:r w:rsidRPr="00572F57" w:rsidR="00874A92">
        <w:t xml:space="preserve"> Act</w:t>
      </w:r>
      <w:r w:rsidR="00A01735">
        <w:t>, we need not address the Hospitals’ alternative argument that</w:t>
      </w:r>
      <w:r>
        <w:t xml:space="preserve"> the</w:t>
      </w:r>
      <w:r w:rsidR="00A01735">
        <w:t xml:space="preserve"> </w:t>
      </w:r>
      <w:r w:rsidRPr="00572F57" w:rsidR="00874A92">
        <w:t>mandatory duty</w:t>
      </w:r>
      <w:r>
        <w:t xml:space="preserve"> exception to governmental immunity</w:t>
      </w:r>
      <w:r w:rsidRPr="00572F57" w:rsidR="00874A92">
        <w:t xml:space="preserve"> under Government Code section 815.6</w:t>
      </w:r>
      <w:r>
        <w:t xml:space="preserve"> </w:t>
      </w:r>
      <w:r w:rsidR="00890177">
        <w:t xml:space="preserve">also </w:t>
      </w:r>
      <w:r>
        <w:t>applies</w:t>
      </w:r>
      <w:r w:rsidRPr="00572F57" w:rsidR="00874A92">
        <w:t>.</w:t>
      </w:r>
    </w:p>
    <w:p w:rsidR="00E65224" w:rsidRPr="00572F57" w:rsidP="00BE4365" w14:paraId="2C235B13" w14:textId="68E1AB98">
      <w:pPr>
        <w:pStyle w:val="Heading1"/>
        <w:keepLines/>
      </w:pPr>
      <w:r w:rsidRPr="00572F57">
        <w:t>III.  Disposition</w:t>
      </w:r>
    </w:p>
    <w:p w:rsidR="00E65224" w:rsidRPr="00572F57" w:rsidP="00BE4365" w14:paraId="6AFEEDC5" w14:textId="6D90104B">
      <w:pPr>
        <w:keepNext/>
        <w:keepLines/>
        <w:tabs>
          <w:tab w:val="left" w:pos="1440"/>
        </w:tabs>
        <w:ind w:firstLine="720"/>
      </w:pPr>
      <w:r>
        <w:t>W</w:t>
      </w:r>
      <w:r w:rsidRPr="00572F57" w:rsidR="00E15022">
        <w:t>e reverse the judgment of the Court of Appeal and remand the matter for further proceedings consistent with this opinion.</w:t>
      </w:r>
    </w:p>
    <w:p w:rsidR="00916F35" w:rsidRPr="00572F57" w:rsidP="00627D17" w14:paraId="6177020D" w14:textId="77777777">
      <w:pPr>
        <w:tabs>
          <w:tab w:val="left" w:pos="1440"/>
        </w:tabs>
        <w:ind w:firstLine="720"/>
      </w:pPr>
    </w:p>
    <w:p w:rsidR="000C62B5" w:rsidP="00627D17" w14:paraId="4F144246" w14:textId="0F14F470">
      <w:pPr>
        <w:tabs>
          <w:tab w:val="left" w:pos="1440"/>
          <w:tab w:val="left" w:pos="5760"/>
        </w:tabs>
        <w:jc w:val="right"/>
        <w:rPr>
          <w:b/>
          <w:bCs/>
        </w:rPr>
      </w:pPr>
      <w:r w:rsidRPr="00572F57">
        <w:rPr>
          <w:b/>
          <w:bCs/>
        </w:rPr>
        <w:t>GUERRERO, C. J.</w:t>
      </w:r>
      <w:bookmarkStart w:id="10" w:name="mainstory"/>
      <w:bookmarkEnd w:id="10"/>
    </w:p>
    <w:p w:rsidR="009420BD" w:rsidP="00627D17" w14:paraId="31F214C6" w14:textId="77777777">
      <w:pPr>
        <w:tabs>
          <w:tab w:val="left" w:pos="1440"/>
          <w:tab w:val="left" w:pos="5760"/>
        </w:tabs>
        <w:jc w:val="right"/>
        <w:rPr>
          <w:b/>
          <w:bCs/>
        </w:rPr>
      </w:pPr>
    </w:p>
    <w:p w:rsidR="009420BD" w:rsidRPr="005420DC" w:rsidP="009420BD" w14:paraId="460B81C8" w14:textId="77777777">
      <w:pPr>
        <w:tabs>
          <w:tab w:val="left" w:pos="1440"/>
        </w:tabs>
        <w:rPr>
          <w:b/>
          <w:bCs/>
        </w:rPr>
      </w:pPr>
      <w:r w:rsidRPr="00435A0E">
        <w:rPr>
          <w:b/>
          <w:bCs/>
        </w:rPr>
        <w:t>We Concur:</w:t>
      </w:r>
    </w:p>
    <w:p w:rsidR="005934C2" w:rsidRPr="00077BAA" w:rsidP="005934C2" w14:paraId="23C92AFF" w14:textId="77777777">
      <w:pPr>
        <w:spacing w:after="0" w:line="240" w:lineRule="auto"/>
        <w:rPr>
          <w:b/>
          <w:lang w:val="it-IT"/>
        </w:rPr>
      </w:pPr>
      <w:r w:rsidRPr="00077BAA">
        <w:rPr>
          <w:b/>
          <w:lang w:val="it-IT"/>
        </w:rPr>
        <w:t>CORRIGAN, J.</w:t>
      </w:r>
    </w:p>
    <w:p w:rsidR="005934C2" w:rsidP="005934C2" w14:paraId="778331CE" w14:textId="77777777">
      <w:pPr>
        <w:spacing w:after="0" w:line="240" w:lineRule="auto"/>
        <w:jc w:val="left"/>
        <w:rPr>
          <w:b/>
        </w:rPr>
      </w:pPr>
      <w:r>
        <w:rPr>
          <w:b/>
        </w:rPr>
        <w:t>LIU</w:t>
      </w:r>
      <w:r w:rsidRPr="00077BAA">
        <w:rPr>
          <w:b/>
        </w:rPr>
        <w:t>, J.</w:t>
      </w:r>
    </w:p>
    <w:p w:rsidR="005934C2" w:rsidRPr="00077BAA" w:rsidP="005934C2" w14:paraId="7F1A9C60" w14:textId="77777777">
      <w:pPr>
        <w:spacing w:after="0" w:line="240" w:lineRule="auto"/>
        <w:jc w:val="left"/>
        <w:rPr>
          <w:b/>
        </w:rPr>
      </w:pPr>
      <w:r>
        <w:rPr>
          <w:b/>
        </w:rPr>
        <w:t>KRUGER, J.</w:t>
      </w:r>
    </w:p>
    <w:p w:rsidR="005934C2" w:rsidRPr="00077BAA" w:rsidP="005934C2" w14:paraId="3AEE087C" w14:textId="77777777">
      <w:pPr>
        <w:spacing w:after="0" w:line="240" w:lineRule="auto"/>
        <w:jc w:val="left"/>
        <w:rPr>
          <w:b/>
          <w:lang w:val="it-IT"/>
        </w:rPr>
      </w:pPr>
      <w:r>
        <w:rPr>
          <w:b/>
          <w:lang w:val="it-IT"/>
        </w:rPr>
        <w:t>GROBAN, J.</w:t>
      </w:r>
    </w:p>
    <w:p w:rsidR="005934C2" w:rsidP="005934C2" w14:paraId="58C84F64" w14:textId="77777777">
      <w:pPr>
        <w:spacing w:after="0" w:line="240" w:lineRule="auto"/>
        <w:jc w:val="left"/>
        <w:rPr>
          <w:b/>
        </w:rPr>
      </w:pPr>
      <w:r w:rsidRPr="00077BAA">
        <w:rPr>
          <w:b/>
        </w:rPr>
        <w:t>JENKINS, J.</w:t>
      </w:r>
    </w:p>
    <w:p w:rsidR="005934C2" w:rsidP="005934C2" w14:paraId="179AA112" w14:textId="77777777">
      <w:pPr>
        <w:spacing w:after="0" w:line="240" w:lineRule="auto"/>
        <w:jc w:val="left"/>
        <w:rPr>
          <w:b/>
        </w:rPr>
      </w:pPr>
      <w:r>
        <w:rPr>
          <w:b/>
        </w:rPr>
        <w:t>EVANS, J.</w:t>
      </w:r>
    </w:p>
    <w:p w:rsidR="002C0793" w:rsidP="009420BD" w14:paraId="636F214B" w14:textId="77777777">
      <w:pPr>
        <w:tabs>
          <w:tab w:val="left" w:pos="1440"/>
          <w:tab w:val="left" w:pos="5760"/>
        </w:tabs>
        <w:sectPr w:rsidSect="00227782">
          <w:footerReference w:type="first" r:id="rId8"/>
          <w:pgSz w:w="12240" w:h="15840"/>
          <w:pgMar w:top="1800" w:right="2160" w:bottom="1440" w:left="2160" w:header="720" w:footer="720" w:gutter="0"/>
          <w:pgNumType w:start="1"/>
          <w:cols w:space="720"/>
          <w:titlePg/>
          <w:docGrid w:linePitch="367"/>
        </w:sectPr>
      </w:pPr>
    </w:p>
    <w:p w:rsidR="00E12C33" w:rsidRPr="00E12C33" w:rsidP="00E12C33" w14:paraId="602A321D" w14:textId="77777777">
      <w:pPr>
        <w:spacing w:after="0" w:line="240" w:lineRule="auto"/>
        <w:jc w:val="left"/>
        <w:rPr>
          <w:i/>
          <w:sz w:val="24"/>
          <w:szCs w:val="24"/>
        </w:rPr>
      </w:pPr>
      <w:r w:rsidRPr="00E12C33">
        <w:rPr>
          <w:i/>
          <w:sz w:val="24"/>
          <w:szCs w:val="24"/>
        </w:rPr>
        <w:t>See next page for addresses and telephone numbers for counsel who argued in Supreme Court.</w:t>
      </w:r>
    </w:p>
    <w:p w:rsidR="00E12C33" w:rsidRPr="00E12C33" w:rsidP="00E12C33" w14:paraId="4DD179BF" w14:textId="77777777">
      <w:pPr>
        <w:spacing w:after="0" w:line="240" w:lineRule="auto"/>
        <w:jc w:val="left"/>
        <w:rPr>
          <w:i/>
          <w:sz w:val="24"/>
          <w:szCs w:val="24"/>
        </w:rPr>
      </w:pPr>
    </w:p>
    <w:p w:rsidR="00E12C33" w:rsidRPr="00E12C33" w:rsidP="00E12C33" w14:paraId="78386DD9" w14:textId="77777777">
      <w:pPr>
        <w:spacing w:after="0" w:line="240" w:lineRule="auto"/>
        <w:jc w:val="left"/>
        <w:rPr>
          <w:bCs/>
          <w:sz w:val="24"/>
          <w:szCs w:val="24"/>
        </w:rPr>
      </w:pPr>
      <w:r w:rsidRPr="00E12C33">
        <w:rPr>
          <w:b/>
          <w:sz w:val="24"/>
          <w:szCs w:val="24"/>
        </w:rPr>
        <w:t xml:space="preserve">Name of Opinion  </w:t>
      </w:r>
      <w:r w:rsidRPr="00E12C33">
        <w:rPr>
          <w:bCs/>
          <w:sz w:val="24"/>
          <w:szCs w:val="24"/>
        </w:rPr>
        <w:t>County of Santa Clara v. Superior Court</w:t>
      </w:r>
    </w:p>
    <w:p w:rsidR="00E12C33" w:rsidRPr="00E12C33" w:rsidP="00E12C33" w14:paraId="27DB1964" w14:textId="77777777">
      <w:pPr>
        <w:spacing w:after="0" w:line="240" w:lineRule="auto"/>
        <w:jc w:val="left"/>
        <w:rPr>
          <w:b/>
          <w:sz w:val="24"/>
          <w:szCs w:val="24"/>
        </w:rPr>
      </w:pPr>
      <w:r w:rsidRPr="00E12C33">
        <w:rPr>
          <w:b/>
          <w:sz w:val="24"/>
          <w:szCs w:val="24"/>
        </w:rPr>
        <w:t xml:space="preserve">__________________________________________________________ </w:t>
      </w:r>
    </w:p>
    <w:p w:rsidR="00E12C33" w:rsidRPr="00E12C33" w:rsidP="00E12C33" w14:paraId="1B69D909" w14:textId="77777777">
      <w:pPr>
        <w:spacing w:after="0" w:line="240" w:lineRule="auto"/>
        <w:jc w:val="left"/>
        <w:rPr>
          <w:b/>
          <w:sz w:val="24"/>
          <w:szCs w:val="24"/>
        </w:rPr>
      </w:pPr>
    </w:p>
    <w:p w:rsidR="00E12C33" w:rsidRPr="00E12C33" w:rsidP="00E12C33" w14:paraId="46B80197" w14:textId="77777777">
      <w:pPr>
        <w:spacing w:after="0" w:line="240" w:lineRule="auto"/>
        <w:jc w:val="left"/>
        <w:rPr>
          <w:sz w:val="24"/>
          <w:szCs w:val="24"/>
        </w:rPr>
      </w:pPr>
      <w:r w:rsidRPr="00E12C33">
        <w:rPr>
          <w:b/>
          <w:bCs/>
          <w:sz w:val="24"/>
          <w:szCs w:val="24"/>
          <w:u w:val="single"/>
        </w:rPr>
        <w:t>Procedural Posture</w:t>
      </w:r>
      <w:r w:rsidRPr="00E12C33">
        <w:rPr>
          <w:b/>
          <w:bCs/>
          <w:sz w:val="24"/>
          <w:szCs w:val="24"/>
        </w:rPr>
        <w:t xml:space="preserve"> </w:t>
      </w:r>
      <w:r w:rsidRPr="00E12C33">
        <w:rPr>
          <w:sz w:val="24"/>
          <w:szCs w:val="24"/>
        </w:rPr>
        <w:t>(see XX below)</w:t>
      </w:r>
    </w:p>
    <w:p w:rsidR="00E12C33" w:rsidRPr="00E12C33" w:rsidP="00E12C33" w14:paraId="1C21D719" w14:textId="77777777">
      <w:pPr>
        <w:spacing w:after="0" w:line="240" w:lineRule="auto"/>
        <w:jc w:val="left"/>
        <w:rPr>
          <w:sz w:val="24"/>
          <w:szCs w:val="24"/>
        </w:rPr>
      </w:pPr>
      <w:r w:rsidRPr="00E12C33">
        <w:rPr>
          <w:b/>
          <w:bCs/>
          <w:sz w:val="24"/>
          <w:szCs w:val="24"/>
        </w:rPr>
        <w:t>Original Appeal</w:t>
      </w:r>
      <w:r w:rsidRPr="00E12C33">
        <w:rPr>
          <w:sz w:val="24"/>
          <w:szCs w:val="24"/>
        </w:rPr>
        <w:t xml:space="preserve"> </w:t>
      </w:r>
    </w:p>
    <w:p w:rsidR="00E12C33" w:rsidRPr="00E12C33" w:rsidP="00E12C33" w14:paraId="59459A5F" w14:textId="77777777">
      <w:pPr>
        <w:spacing w:after="0" w:line="240" w:lineRule="auto"/>
        <w:jc w:val="left"/>
        <w:rPr>
          <w:b/>
          <w:bCs/>
          <w:sz w:val="24"/>
          <w:szCs w:val="24"/>
        </w:rPr>
      </w:pPr>
      <w:r w:rsidRPr="00E12C33">
        <w:rPr>
          <w:b/>
          <w:bCs/>
          <w:sz w:val="24"/>
          <w:szCs w:val="24"/>
        </w:rPr>
        <w:t>Original Proceeding</w:t>
      </w:r>
    </w:p>
    <w:p w:rsidR="00E12C33" w:rsidRPr="00E12C33" w:rsidP="00E12C33" w14:paraId="5E400281" w14:textId="77777777">
      <w:pPr>
        <w:spacing w:after="0" w:line="240" w:lineRule="auto"/>
        <w:jc w:val="left"/>
        <w:rPr>
          <w:sz w:val="24"/>
          <w:szCs w:val="24"/>
        </w:rPr>
      </w:pPr>
      <w:r w:rsidRPr="00E12C33">
        <w:rPr>
          <w:b/>
          <w:bCs/>
          <w:sz w:val="24"/>
          <w:szCs w:val="24"/>
        </w:rPr>
        <w:t>Review Granted</w:t>
      </w:r>
      <w:r w:rsidRPr="00E12C33">
        <w:rPr>
          <w:sz w:val="24"/>
          <w:szCs w:val="24"/>
        </w:rPr>
        <w:t xml:space="preserve"> </w:t>
      </w:r>
      <w:r w:rsidRPr="00E12C33">
        <w:rPr>
          <w:b/>
          <w:bCs/>
          <w:sz w:val="24"/>
          <w:szCs w:val="24"/>
        </w:rPr>
        <w:t xml:space="preserve">(published) </w:t>
      </w:r>
      <w:r w:rsidRPr="00E12C33">
        <w:rPr>
          <w:sz w:val="24"/>
          <w:szCs w:val="24"/>
        </w:rPr>
        <w:t>XX 77 Cal.App.5th 1018</w:t>
      </w:r>
    </w:p>
    <w:p w:rsidR="00E12C33" w:rsidRPr="00E12C33" w:rsidP="00E12C33" w14:paraId="58AD0074" w14:textId="77777777">
      <w:pPr>
        <w:spacing w:after="0" w:line="240" w:lineRule="auto"/>
        <w:jc w:val="left"/>
        <w:rPr>
          <w:sz w:val="24"/>
          <w:szCs w:val="24"/>
        </w:rPr>
      </w:pPr>
      <w:r w:rsidRPr="00E12C33">
        <w:rPr>
          <w:b/>
          <w:bCs/>
          <w:sz w:val="24"/>
          <w:szCs w:val="24"/>
        </w:rPr>
        <w:t xml:space="preserve">Review Granted (unpublished) </w:t>
      </w:r>
    </w:p>
    <w:p w:rsidR="00E12C33" w:rsidRPr="00E12C33" w:rsidP="00E12C33" w14:paraId="7FF74A10" w14:textId="77777777">
      <w:pPr>
        <w:spacing w:after="0" w:line="240" w:lineRule="auto"/>
        <w:jc w:val="left"/>
        <w:rPr>
          <w:b/>
          <w:bCs/>
          <w:sz w:val="24"/>
          <w:szCs w:val="24"/>
        </w:rPr>
      </w:pPr>
      <w:r w:rsidRPr="00E12C33">
        <w:rPr>
          <w:b/>
          <w:bCs/>
          <w:sz w:val="24"/>
          <w:szCs w:val="24"/>
        </w:rPr>
        <w:t>Rehearing Granted</w:t>
      </w:r>
    </w:p>
    <w:p w:rsidR="00E12C33" w:rsidRPr="00E12C33" w:rsidP="00E12C33" w14:paraId="4CE1458B" w14:textId="77777777">
      <w:pPr>
        <w:spacing w:after="0" w:line="240" w:lineRule="auto"/>
        <w:jc w:val="left"/>
        <w:rPr>
          <w:b/>
          <w:sz w:val="24"/>
          <w:szCs w:val="24"/>
        </w:rPr>
      </w:pPr>
      <w:r w:rsidRPr="00E12C33">
        <w:rPr>
          <w:b/>
          <w:sz w:val="24"/>
          <w:szCs w:val="24"/>
        </w:rPr>
        <w:t xml:space="preserve">__________________________________________________________ </w:t>
      </w:r>
    </w:p>
    <w:p w:rsidR="00E12C33" w:rsidRPr="00E12C33" w:rsidP="00E12C33" w14:paraId="7935B78A" w14:textId="77777777">
      <w:pPr>
        <w:spacing w:after="0" w:line="240" w:lineRule="auto"/>
        <w:jc w:val="left"/>
        <w:rPr>
          <w:b/>
          <w:sz w:val="24"/>
          <w:szCs w:val="24"/>
        </w:rPr>
      </w:pPr>
    </w:p>
    <w:p w:rsidR="00E12C33" w:rsidRPr="00E12C33" w:rsidP="00E12C33" w14:paraId="1CCF255E" w14:textId="77777777">
      <w:pPr>
        <w:spacing w:after="0" w:line="240" w:lineRule="auto"/>
        <w:jc w:val="left"/>
        <w:rPr>
          <w:bCs/>
          <w:sz w:val="24"/>
          <w:szCs w:val="24"/>
        </w:rPr>
      </w:pPr>
      <w:r w:rsidRPr="00E12C33">
        <w:rPr>
          <w:b/>
          <w:sz w:val="24"/>
          <w:szCs w:val="24"/>
        </w:rPr>
        <w:t>Opinion No.</w:t>
      </w:r>
      <w:r w:rsidRPr="00E12C33">
        <w:rPr>
          <w:sz w:val="24"/>
          <w:szCs w:val="24"/>
        </w:rPr>
        <w:t xml:space="preserve"> S274927</w:t>
      </w:r>
    </w:p>
    <w:p w:rsidR="00E12C33" w:rsidRPr="00E12C33" w:rsidP="00E12C33" w14:paraId="51D940EB" w14:textId="77777777">
      <w:pPr>
        <w:spacing w:after="0" w:line="240" w:lineRule="auto"/>
        <w:jc w:val="left"/>
        <w:rPr>
          <w:bCs/>
          <w:sz w:val="24"/>
          <w:szCs w:val="24"/>
        </w:rPr>
      </w:pPr>
      <w:r w:rsidRPr="00E12C33">
        <w:rPr>
          <w:b/>
          <w:sz w:val="24"/>
          <w:szCs w:val="24"/>
        </w:rPr>
        <w:t>Date Filed:</w:t>
      </w:r>
      <w:r w:rsidRPr="00E12C33">
        <w:rPr>
          <w:sz w:val="24"/>
          <w:szCs w:val="24"/>
        </w:rPr>
        <w:t xml:space="preserve">  July 10, 2023</w:t>
      </w:r>
    </w:p>
    <w:p w:rsidR="00E12C33" w:rsidRPr="00E12C33" w:rsidP="00E12C33" w14:paraId="169C52F0" w14:textId="77777777">
      <w:pPr>
        <w:spacing w:after="0" w:line="240" w:lineRule="auto"/>
        <w:jc w:val="left"/>
        <w:rPr>
          <w:b/>
          <w:sz w:val="24"/>
          <w:szCs w:val="24"/>
        </w:rPr>
      </w:pPr>
      <w:r w:rsidRPr="00E12C33">
        <w:rPr>
          <w:b/>
          <w:sz w:val="24"/>
          <w:szCs w:val="24"/>
        </w:rPr>
        <w:t xml:space="preserve">__________________________________________________________ </w:t>
      </w:r>
    </w:p>
    <w:p w:rsidR="00E12C33" w:rsidRPr="00E12C33" w:rsidP="00E12C33" w14:paraId="06267352" w14:textId="77777777">
      <w:pPr>
        <w:spacing w:after="0" w:line="240" w:lineRule="auto"/>
        <w:jc w:val="left"/>
        <w:rPr>
          <w:b/>
          <w:sz w:val="24"/>
          <w:szCs w:val="24"/>
        </w:rPr>
      </w:pPr>
    </w:p>
    <w:p w:rsidR="00E12C33" w:rsidRPr="00E12C33" w:rsidP="00E12C33" w14:paraId="0C22B1C3" w14:textId="77777777">
      <w:pPr>
        <w:spacing w:after="0" w:line="240" w:lineRule="auto"/>
        <w:jc w:val="left"/>
        <w:rPr>
          <w:bCs/>
          <w:sz w:val="24"/>
          <w:szCs w:val="24"/>
        </w:rPr>
      </w:pPr>
      <w:r w:rsidRPr="00E12C33">
        <w:rPr>
          <w:b/>
          <w:sz w:val="24"/>
          <w:szCs w:val="24"/>
        </w:rPr>
        <w:t xml:space="preserve">Court:  </w:t>
      </w:r>
      <w:r w:rsidRPr="00E12C33">
        <w:rPr>
          <w:bCs/>
          <w:sz w:val="24"/>
          <w:szCs w:val="24"/>
        </w:rPr>
        <w:t>Superior</w:t>
      </w:r>
      <w:r w:rsidRPr="00E12C33">
        <w:rPr>
          <w:b/>
          <w:sz w:val="24"/>
          <w:szCs w:val="24"/>
        </w:rPr>
        <w:t xml:space="preserve"> </w:t>
      </w:r>
    </w:p>
    <w:p w:rsidR="00E12C33" w:rsidRPr="00E12C33" w:rsidP="00E12C33" w14:paraId="2A0A3652" w14:textId="77777777">
      <w:pPr>
        <w:spacing w:after="0" w:line="240" w:lineRule="auto"/>
        <w:jc w:val="left"/>
        <w:rPr>
          <w:bCs/>
          <w:sz w:val="24"/>
          <w:szCs w:val="24"/>
        </w:rPr>
      </w:pPr>
      <w:r w:rsidRPr="00E12C33">
        <w:rPr>
          <w:b/>
          <w:sz w:val="24"/>
          <w:szCs w:val="24"/>
        </w:rPr>
        <w:t xml:space="preserve">County:  </w:t>
      </w:r>
      <w:r w:rsidRPr="00E12C33">
        <w:rPr>
          <w:bCs/>
          <w:sz w:val="24"/>
          <w:szCs w:val="24"/>
        </w:rPr>
        <w:t>Santa Clara</w:t>
      </w:r>
    </w:p>
    <w:p w:rsidR="00E12C33" w:rsidRPr="00E12C33" w:rsidP="00E12C33" w14:paraId="64D2AF45" w14:textId="77777777">
      <w:pPr>
        <w:spacing w:after="0" w:line="240" w:lineRule="auto"/>
        <w:ind w:left="720" w:hanging="720"/>
        <w:jc w:val="left"/>
        <w:rPr>
          <w:bCs/>
          <w:sz w:val="24"/>
          <w:szCs w:val="24"/>
        </w:rPr>
      </w:pPr>
      <w:r w:rsidRPr="00E12C33">
        <w:rPr>
          <w:b/>
          <w:sz w:val="24"/>
          <w:szCs w:val="24"/>
        </w:rPr>
        <w:t xml:space="preserve">Judge: </w:t>
      </w:r>
      <w:r w:rsidRPr="00E12C33">
        <w:rPr>
          <w:bCs/>
          <w:sz w:val="24"/>
          <w:szCs w:val="24"/>
        </w:rPr>
        <w:t xml:space="preserve"> Maureen A. Folan</w:t>
      </w:r>
    </w:p>
    <w:p w:rsidR="00E12C33" w:rsidRPr="00E12C33" w:rsidP="00E12C33" w14:paraId="019ACED9" w14:textId="77777777">
      <w:pPr>
        <w:spacing w:after="0" w:line="240" w:lineRule="auto"/>
        <w:jc w:val="left"/>
        <w:rPr>
          <w:b/>
          <w:sz w:val="24"/>
          <w:szCs w:val="24"/>
        </w:rPr>
      </w:pPr>
      <w:r w:rsidRPr="00E12C33">
        <w:rPr>
          <w:b/>
          <w:sz w:val="24"/>
          <w:szCs w:val="24"/>
        </w:rPr>
        <w:t xml:space="preserve">__________________________________________________________  </w:t>
      </w:r>
    </w:p>
    <w:p w:rsidR="00E12C33" w:rsidRPr="00E12C33" w:rsidP="00E12C33" w14:paraId="2AFE1A13" w14:textId="77777777">
      <w:pPr>
        <w:spacing w:after="0" w:line="240" w:lineRule="auto"/>
        <w:jc w:val="left"/>
        <w:rPr>
          <w:b/>
          <w:sz w:val="24"/>
          <w:szCs w:val="24"/>
        </w:rPr>
      </w:pPr>
    </w:p>
    <w:p w:rsidR="00E12C33" w:rsidRPr="00E12C33" w:rsidP="00E12C33" w14:paraId="713B0A11" w14:textId="77777777">
      <w:pPr>
        <w:spacing w:after="0" w:line="240" w:lineRule="auto"/>
        <w:jc w:val="left"/>
        <w:rPr>
          <w:b/>
          <w:sz w:val="24"/>
          <w:szCs w:val="24"/>
        </w:rPr>
      </w:pPr>
      <w:r w:rsidRPr="00E12C33">
        <w:rPr>
          <w:b/>
          <w:sz w:val="24"/>
          <w:szCs w:val="24"/>
        </w:rPr>
        <w:t>Counsel:</w:t>
      </w:r>
    </w:p>
    <w:p w:rsidR="00E12C33" w:rsidRPr="00E12C33" w:rsidP="00E12C33" w14:paraId="00FE183E" w14:textId="77777777">
      <w:pPr>
        <w:spacing w:after="0" w:line="240" w:lineRule="auto"/>
        <w:jc w:val="left"/>
        <w:rPr>
          <w:b/>
          <w:sz w:val="24"/>
          <w:szCs w:val="24"/>
        </w:rPr>
      </w:pPr>
    </w:p>
    <w:p w:rsidR="00E12C33" w:rsidRPr="00E12C33" w:rsidP="00E12C33" w14:paraId="2EF4A72A" w14:textId="77777777">
      <w:pPr>
        <w:spacing w:after="0" w:line="240" w:lineRule="auto"/>
        <w:jc w:val="left"/>
        <w:rPr>
          <w:color w:val="212121"/>
          <w:sz w:val="24"/>
          <w:szCs w:val="24"/>
          <w:shd w:val="clear" w:color="auto" w:fill="FFFFFF"/>
        </w:rPr>
      </w:pPr>
      <w:r w:rsidRPr="00E12C33">
        <w:rPr>
          <w:color w:val="212121"/>
          <w:sz w:val="24"/>
          <w:szCs w:val="24"/>
          <w:shd w:val="clear" w:color="auto" w:fill="FFFFFF"/>
        </w:rPr>
        <w:t>James R. Williams, County Counsel, Douglas M. Press, Assistant County Counsel, Melissa R. Kiniyalocts, Susan P. Greenberg, David P. McDonough and Hannah M. Begley, Deputy County Counsel, for Petitioner.</w:t>
      </w:r>
    </w:p>
    <w:p w:rsidR="00E12C33" w:rsidRPr="00E12C33" w:rsidP="00E12C33" w14:paraId="7ABDC947" w14:textId="77777777">
      <w:pPr>
        <w:spacing w:after="0" w:line="240" w:lineRule="auto"/>
        <w:jc w:val="left"/>
        <w:rPr>
          <w:color w:val="212121"/>
          <w:sz w:val="24"/>
          <w:szCs w:val="24"/>
          <w:shd w:val="clear" w:color="auto" w:fill="FFFFFF"/>
        </w:rPr>
      </w:pPr>
    </w:p>
    <w:p w:rsidR="00E12C33" w:rsidRPr="00E12C33" w:rsidP="00E12C33" w14:paraId="5DDF9806" w14:textId="77777777">
      <w:pPr>
        <w:spacing w:after="0" w:line="240" w:lineRule="auto"/>
        <w:jc w:val="left"/>
        <w:rPr>
          <w:color w:val="212121"/>
          <w:sz w:val="24"/>
          <w:szCs w:val="24"/>
          <w:shd w:val="clear" w:color="auto" w:fill="FFFFFF"/>
        </w:rPr>
      </w:pPr>
      <w:r w:rsidRPr="00E12C33">
        <w:rPr>
          <w:color w:val="212121"/>
          <w:sz w:val="24"/>
          <w:szCs w:val="24"/>
          <w:shd w:val="clear" w:color="auto" w:fill="FFFFFF"/>
        </w:rPr>
        <w:t>Aurelia M. Razo, Deputy County Counsel (San Diego); and Jennifer B. Henning for California State Association of Counties as Amicus Curiae on behalf of Petitioner.</w:t>
      </w:r>
    </w:p>
    <w:p w:rsidR="00E12C33" w:rsidRPr="00E12C33" w:rsidP="00E12C33" w14:paraId="65D7FDB6" w14:textId="77777777">
      <w:pPr>
        <w:spacing w:after="0" w:line="240" w:lineRule="auto"/>
        <w:jc w:val="left"/>
        <w:rPr>
          <w:color w:val="212121"/>
          <w:sz w:val="24"/>
          <w:szCs w:val="24"/>
          <w:shd w:val="clear" w:color="auto" w:fill="FFFFFF"/>
        </w:rPr>
      </w:pPr>
    </w:p>
    <w:p w:rsidR="00E12C33" w:rsidRPr="00E12C33" w:rsidP="00E12C33" w14:paraId="2A2D1FA9" w14:textId="77777777">
      <w:pPr>
        <w:spacing w:after="0" w:line="240" w:lineRule="auto"/>
        <w:jc w:val="left"/>
        <w:rPr>
          <w:color w:val="212121"/>
          <w:sz w:val="24"/>
          <w:szCs w:val="24"/>
          <w:shd w:val="clear" w:color="auto" w:fill="FFFFFF"/>
        </w:rPr>
      </w:pPr>
      <w:r w:rsidRPr="00E12C33">
        <w:rPr>
          <w:color w:val="212121"/>
          <w:sz w:val="24"/>
          <w:szCs w:val="24"/>
          <w:shd w:val="clear" w:color="auto" w:fill="FFFFFF"/>
        </w:rPr>
        <w:t>Olson Remcho, Margaret R. Prinzing and Ilan Zur for National Health Economics and Policy Scholars as Amici Curiae on behalf of Petitioner.</w:t>
      </w:r>
    </w:p>
    <w:p w:rsidR="00E12C33" w:rsidRPr="00E12C33" w:rsidP="00E12C33" w14:paraId="2024697E" w14:textId="77777777">
      <w:pPr>
        <w:spacing w:after="0" w:line="240" w:lineRule="auto"/>
        <w:jc w:val="left"/>
        <w:rPr>
          <w:color w:val="212121"/>
          <w:sz w:val="24"/>
          <w:szCs w:val="24"/>
          <w:shd w:val="clear" w:color="auto" w:fill="FFFFFF"/>
        </w:rPr>
      </w:pPr>
    </w:p>
    <w:p w:rsidR="00E12C33" w:rsidRPr="00E12C33" w:rsidP="00E12C33" w14:paraId="2FEFCB1C" w14:textId="77777777">
      <w:pPr>
        <w:spacing w:after="0" w:line="240" w:lineRule="auto"/>
        <w:jc w:val="left"/>
        <w:rPr>
          <w:color w:val="212121"/>
          <w:sz w:val="24"/>
          <w:szCs w:val="24"/>
          <w:shd w:val="clear" w:color="auto" w:fill="FFFFFF"/>
        </w:rPr>
      </w:pPr>
      <w:r w:rsidRPr="00E12C33">
        <w:rPr>
          <w:color w:val="212121"/>
          <w:sz w:val="24"/>
          <w:szCs w:val="24"/>
          <w:shd w:val="clear" w:color="auto" w:fill="FFFFFF"/>
        </w:rPr>
        <w:t xml:space="preserve">Daponde Simpson Rowe, Michael J. Daponde and Darcy L. Muilenburg for Local Health Plans of California as Amicus Curiae on behalf of Petitioner. </w:t>
      </w:r>
    </w:p>
    <w:p w:rsidR="00E12C33" w:rsidRPr="00E12C33" w:rsidP="00E12C33" w14:paraId="1D4FBDD3" w14:textId="77777777">
      <w:pPr>
        <w:spacing w:after="0" w:line="240" w:lineRule="auto"/>
        <w:jc w:val="left"/>
        <w:rPr>
          <w:color w:val="212121"/>
          <w:sz w:val="24"/>
          <w:szCs w:val="24"/>
          <w:shd w:val="clear" w:color="auto" w:fill="FFFFFF"/>
        </w:rPr>
      </w:pPr>
    </w:p>
    <w:p w:rsidR="00E12C33" w:rsidRPr="00E12C33" w:rsidP="00E12C33" w14:paraId="17321A87" w14:textId="77777777">
      <w:pPr>
        <w:spacing w:after="0" w:line="240" w:lineRule="auto"/>
        <w:jc w:val="left"/>
        <w:rPr>
          <w:color w:val="212121"/>
          <w:sz w:val="24"/>
          <w:szCs w:val="24"/>
          <w:shd w:val="clear" w:color="auto" w:fill="FFFFFF"/>
        </w:rPr>
      </w:pPr>
      <w:r w:rsidRPr="00E12C33">
        <w:rPr>
          <w:color w:val="212121"/>
          <w:sz w:val="24"/>
          <w:szCs w:val="24"/>
          <w:shd w:val="clear" w:color="auto" w:fill="FFFFFF"/>
        </w:rPr>
        <w:t>No appearance for Respondent.</w:t>
      </w:r>
    </w:p>
    <w:p w:rsidR="00E12C33" w:rsidRPr="00E12C33" w:rsidP="00E12C33" w14:paraId="78305C78" w14:textId="77777777">
      <w:pPr>
        <w:spacing w:after="0" w:line="240" w:lineRule="auto"/>
        <w:jc w:val="left"/>
        <w:rPr>
          <w:color w:val="212121"/>
          <w:sz w:val="24"/>
          <w:szCs w:val="24"/>
          <w:shd w:val="clear" w:color="auto" w:fill="FFFFFF"/>
        </w:rPr>
      </w:pPr>
    </w:p>
    <w:p w:rsidR="00E12C33" w:rsidRPr="00E12C33" w:rsidP="00E12C33" w14:paraId="725866F8" w14:textId="77777777">
      <w:pPr>
        <w:spacing w:after="0" w:line="240" w:lineRule="auto"/>
        <w:jc w:val="left"/>
        <w:rPr>
          <w:color w:val="212121"/>
          <w:sz w:val="24"/>
          <w:szCs w:val="24"/>
          <w:shd w:val="clear" w:color="auto" w:fill="FFFFFF"/>
        </w:rPr>
      </w:pPr>
      <w:r w:rsidRPr="00E12C33">
        <w:rPr>
          <w:color w:val="212121"/>
          <w:sz w:val="24"/>
          <w:szCs w:val="24"/>
          <w:shd w:val="clear" w:color="auto" w:fill="FFFFFF"/>
        </w:rPr>
        <w:t xml:space="preserve">Helton Law Group, Edward Stumpp, Mikaela Grace Cox, Casey E. Mitchnick, Faatima Seedat; Horvitz &amp; Levy, Mitchell C. Tilner, Peder K. Batalden and Beth J. Jay for Real Parties in Interest. </w:t>
      </w:r>
    </w:p>
    <w:p w:rsidR="00E12C33" w:rsidRPr="00E12C33" w:rsidP="00E12C33" w14:paraId="44733034" w14:textId="77777777">
      <w:pPr>
        <w:spacing w:after="0" w:line="240" w:lineRule="auto"/>
        <w:jc w:val="left"/>
        <w:rPr>
          <w:color w:val="212121"/>
          <w:sz w:val="24"/>
          <w:szCs w:val="24"/>
          <w:shd w:val="clear" w:color="auto" w:fill="FFFFFF"/>
        </w:rPr>
      </w:pPr>
    </w:p>
    <w:p w:rsidR="00E12C33" w:rsidRPr="00E12C33" w:rsidP="00E12C33" w14:paraId="120D1B54" w14:textId="77777777">
      <w:pPr>
        <w:spacing w:after="0" w:line="240" w:lineRule="auto"/>
        <w:jc w:val="left"/>
        <w:rPr>
          <w:color w:val="212121"/>
          <w:sz w:val="24"/>
          <w:szCs w:val="24"/>
          <w:shd w:val="clear" w:color="auto" w:fill="FFFFFF"/>
        </w:rPr>
      </w:pPr>
      <w:r w:rsidRPr="00E12C33">
        <w:rPr>
          <w:color w:val="212121"/>
          <w:sz w:val="24"/>
          <w:szCs w:val="24"/>
          <w:shd w:val="clear" w:color="auto" w:fill="FFFFFF"/>
        </w:rPr>
        <w:t>Athene Law, Long X. Do, Felicia Y. Sze, Eric D. Chan; King &amp; Spalding, Glenn Solomon, Paul R. Johnson and Jonathan Shin for the California Medical Association and the California Hospital Association as Amici Curiae on behalf of Real Parties in Interest.</w:t>
      </w:r>
    </w:p>
    <w:p w:rsidR="00E12C33" w:rsidRPr="00E12C33" w:rsidP="00E12C33" w14:paraId="1BDE103A" w14:textId="77777777">
      <w:pPr>
        <w:spacing w:after="0" w:line="240" w:lineRule="auto"/>
        <w:jc w:val="left"/>
        <w:rPr>
          <w:color w:val="212121"/>
          <w:sz w:val="24"/>
          <w:szCs w:val="24"/>
          <w:shd w:val="clear" w:color="auto" w:fill="FFFFFF"/>
        </w:rPr>
      </w:pPr>
    </w:p>
    <w:p w:rsidR="00E12C33" w:rsidRPr="00E12C33" w:rsidP="00E12C33" w14:paraId="31214914" w14:textId="77777777">
      <w:pPr>
        <w:spacing w:after="0" w:line="240" w:lineRule="auto"/>
        <w:jc w:val="left"/>
        <w:rPr>
          <w:color w:val="212121"/>
          <w:sz w:val="24"/>
          <w:szCs w:val="24"/>
          <w:shd w:val="clear" w:color="auto" w:fill="FFFFFF"/>
        </w:rPr>
      </w:pPr>
      <w:r w:rsidRPr="00E12C33">
        <w:rPr>
          <w:color w:val="212121"/>
          <w:sz w:val="24"/>
          <w:szCs w:val="24"/>
          <w:shd w:val="clear" w:color="auto" w:fill="FFFFFF"/>
        </w:rPr>
        <w:t>King &amp; Spalding, Glenn Solomon, Paul R. Johnson and Jonathan Shin for San Jose Healthcare System, L.P., and Good Samaritan Hospital, L.P., as Amici Curiae on behalf of Real Parties in Interest.</w:t>
      </w:r>
      <w:r w:rsidRPr="00E12C33">
        <w:rPr>
          <w:color w:val="212121"/>
          <w:sz w:val="24"/>
          <w:szCs w:val="24"/>
          <w:shd w:val="clear" w:color="auto" w:fill="FFFFFF"/>
        </w:rPr>
        <w:br w:type="page"/>
      </w:r>
      <w:r w:rsidRPr="00E12C33">
        <w:rPr>
          <w:b/>
          <w:sz w:val="24"/>
          <w:szCs w:val="24"/>
        </w:rPr>
        <w:t>Counsel who argued in Supreme Court (not intended for publication with opinion):</w:t>
      </w:r>
    </w:p>
    <w:p w:rsidR="00E12C33" w:rsidRPr="00E12C33" w:rsidP="00E12C33" w14:paraId="64FD4D18" w14:textId="77777777">
      <w:pPr>
        <w:spacing w:after="0" w:line="240" w:lineRule="auto"/>
        <w:jc w:val="left"/>
        <w:rPr>
          <w:sz w:val="24"/>
          <w:szCs w:val="24"/>
        </w:rPr>
      </w:pPr>
    </w:p>
    <w:p w:rsidR="00E12C33" w:rsidRPr="00E12C33" w:rsidP="00E12C33" w14:paraId="648380D6" w14:textId="77777777">
      <w:pPr>
        <w:spacing w:after="0" w:line="240" w:lineRule="auto"/>
        <w:jc w:val="left"/>
        <w:rPr>
          <w:color w:val="212121"/>
          <w:sz w:val="24"/>
          <w:szCs w:val="24"/>
          <w:shd w:val="clear" w:color="auto" w:fill="FFFFFF"/>
        </w:rPr>
      </w:pPr>
      <w:r w:rsidRPr="00E12C33">
        <w:rPr>
          <w:color w:val="212121"/>
          <w:sz w:val="24"/>
          <w:szCs w:val="24"/>
          <w:shd w:val="clear" w:color="auto" w:fill="FFFFFF"/>
        </w:rPr>
        <w:t>Susan P. Greenberg</w:t>
      </w:r>
    </w:p>
    <w:p w:rsidR="00E12C33" w:rsidRPr="00E12C33" w:rsidP="00E12C33" w14:paraId="23F279E5" w14:textId="77777777">
      <w:pPr>
        <w:spacing w:after="0" w:line="240" w:lineRule="auto"/>
        <w:jc w:val="left"/>
        <w:rPr>
          <w:color w:val="212121"/>
          <w:sz w:val="24"/>
          <w:szCs w:val="24"/>
          <w:shd w:val="clear" w:color="auto" w:fill="FFFFFF"/>
        </w:rPr>
      </w:pPr>
      <w:r w:rsidRPr="00E12C33">
        <w:rPr>
          <w:color w:val="212121"/>
          <w:sz w:val="24"/>
          <w:szCs w:val="24"/>
          <w:shd w:val="clear" w:color="auto" w:fill="FFFFFF"/>
        </w:rPr>
        <w:t>Deputy County Counsel</w:t>
      </w:r>
    </w:p>
    <w:p w:rsidR="00E12C33" w:rsidRPr="00E12C33" w:rsidP="00E12C33" w14:paraId="283B0C1A" w14:textId="77777777">
      <w:pPr>
        <w:spacing w:after="0" w:line="240" w:lineRule="auto"/>
        <w:jc w:val="left"/>
        <w:rPr>
          <w:color w:val="212121"/>
          <w:sz w:val="24"/>
          <w:szCs w:val="24"/>
          <w:shd w:val="clear" w:color="auto" w:fill="FFFFFF"/>
        </w:rPr>
      </w:pPr>
      <w:r w:rsidRPr="00E12C33">
        <w:rPr>
          <w:color w:val="212121"/>
          <w:sz w:val="24"/>
          <w:szCs w:val="24"/>
          <w:shd w:val="clear" w:color="auto" w:fill="FFFFFF"/>
        </w:rPr>
        <w:t>70 West Hedding Street, East Wing, 9th Floor</w:t>
      </w:r>
    </w:p>
    <w:p w:rsidR="00E12C33" w:rsidRPr="00E12C33" w:rsidP="00E12C33" w14:paraId="7C4C06FA" w14:textId="77777777">
      <w:pPr>
        <w:spacing w:after="0" w:line="240" w:lineRule="auto"/>
        <w:jc w:val="left"/>
        <w:rPr>
          <w:color w:val="212121"/>
          <w:sz w:val="24"/>
          <w:szCs w:val="24"/>
          <w:shd w:val="clear" w:color="auto" w:fill="FFFFFF"/>
        </w:rPr>
      </w:pPr>
      <w:r w:rsidRPr="00E12C33">
        <w:rPr>
          <w:color w:val="212121"/>
          <w:sz w:val="24"/>
          <w:szCs w:val="24"/>
          <w:shd w:val="clear" w:color="auto" w:fill="FFFFFF"/>
        </w:rPr>
        <w:t>San Jose, CA 95110</w:t>
      </w:r>
    </w:p>
    <w:p w:rsidR="00E12C33" w:rsidRPr="00E12C33" w:rsidP="00E12C33" w14:paraId="0BB4943E" w14:textId="77777777">
      <w:pPr>
        <w:spacing w:after="0" w:line="240" w:lineRule="auto"/>
        <w:jc w:val="left"/>
        <w:rPr>
          <w:color w:val="212121"/>
          <w:sz w:val="24"/>
          <w:szCs w:val="24"/>
          <w:shd w:val="clear" w:color="auto" w:fill="FFFFFF"/>
        </w:rPr>
      </w:pPr>
      <w:r w:rsidRPr="00E12C33">
        <w:rPr>
          <w:color w:val="212121"/>
          <w:sz w:val="24"/>
          <w:szCs w:val="24"/>
          <w:shd w:val="clear" w:color="auto" w:fill="FFFFFF"/>
        </w:rPr>
        <w:t>(408) 299-5900</w:t>
      </w:r>
    </w:p>
    <w:p w:rsidR="00E12C33" w:rsidRPr="00E12C33" w:rsidP="00E12C33" w14:paraId="29A7C5E6" w14:textId="77777777">
      <w:pPr>
        <w:spacing w:after="0" w:line="240" w:lineRule="auto"/>
        <w:jc w:val="left"/>
        <w:rPr>
          <w:color w:val="212121"/>
          <w:sz w:val="24"/>
          <w:szCs w:val="24"/>
          <w:shd w:val="clear" w:color="auto" w:fill="FFFFFF"/>
        </w:rPr>
      </w:pPr>
    </w:p>
    <w:p w:rsidR="00E12C33" w:rsidRPr="00E12C33" w:rsidP="00E12C33" w14:paraId="245FC4F3" w14:textId="77777777">
      <w:pPr>
        <w:spacing w:after="0" w:line="240" w:lineRule="auto"/>
        <w:jc w:val="left"/>
        <w:rPr>
          <w:color w:val="212121"/>
          <w:sz w:val="24"/>
          <w:szCs w:val="24"/>
          <w:shd w:val="clear" w:color="auto" w:fill="FFFFFF"/>
        </w:rPr>
      </w:pPr>
      <w:r w:rsidRPr="00E12C33">
        <w:rPr>
          <w:color w:val="212121"/>
          <w:sz w:val="24"/>
          <w:szCs w:val="24"/>
          <w:shd w:val="clear" w:color="auto" w:fill="FFFFFF"/>
        </w:rPr>
        <w:t>Mitchell C. Tilmer</w:t>
      </w:r>
    </w:p>
    <w:p w:rsidR="00E12C33" w:rsidRPr="00E12C33" w:rsidP="00E12C33" w14:paraId="09136131" w14:textId="77777777">
      <w:pPr>
        <w:spacing w:after="0" w:line="240" w:lineRule="auto"/>
        <w:jc w:val="left"/>
        <w:rPr>
          <w:color w:val="212121"/>
          <w:sz w:val="24"/>
          <w:szCs w:val="24"/>
          <w:shd w:val="clear" w:color="auto" w:fill="FFFFFF"/>
        </w:rPr>
      </w:pPr>
      <w:r w:rsidRPr="00E12C33">
        <w:rPr>
          <w:color w:val="212121"/>
          <w:sz w:val="24"/>
          <w:szCs w:val="24"/>
          <w:shd w:val="clear" w:color="auto" w:fill="FFFFFF"/>
        </w:rPr>
        <w:t>Horvitz &amp; Levy LLP</w:t>
      </w:r>
    </w:p>
    <w:p w:rsidR="00E12C33" w:rsidRPr="00E12C33" w:rsidP="00E12C33" w14:paraId="47845025" w14:textId="77777777">
      <w:pPr>
        <w:spacing w:after="0" w:line="240" w:lineRule="auto"/>
        <w:jc w:val="left"/>
        <w:rPr>
          <w:color w:val="212121"/>
          <w:sz w:val="24"/>
          <w:szCs w:val="24"/>
          <w:shd w:val="clear" w:color="auto" w:fill="FFFFFF"/>
        </w:rPr>
      </w:pPr>
      <w:r w:rsidRPr="00E12C33">
        <w:rPr>
          <w:color w:val="212121"/>
          <w:sz w:val="24"/>
          <w:szCs w:val="24"/>
          <w:shd w:val="clear" w:color="auto" w:fill="FFFFFF"/>
        </w:rPr>
        <w:t>3601 West Olive Avenue, 8th Floor</w:t>
      </w:r>
    </w:p>
    <w:p w:rsidR="00E12C33" w:rsidRPr="00E12C33" w:rsidP="00E12C33" w14:paraId="3A036FE3" w14:textId="77777777">
      <w:pPr>
        <w:spacing w:after="0" w:line="240" w:lineRule="auto"/>
        <w:jc w:val="left"/>
        <w:rPr>
          <w:color w:val="212121"/>
          <w:sz w:val="24"/>
          <w:szCs w:val="24"/>
          <w:shd w:val="clear" w:color="auto" w:fill="FFFFFF"/>
        </w:rPr>
      </w:pPr>
      <w:r w:rsidRPr="00E12C33">
        <w:rPr>
          <w:color w:val="212121"/>
          <w:sz w:val="24"/>
          <w:szCs w:val="24"/>
          <w:shd w:val="clear" w:color="auto" w:fill="FFFFFF"/>
        </w:rPr>
        <w:t>Burbank, CA 91505-4681</w:t>
      </w:r>
    </w:p>
    <w:p w:rsidR="00E12C33" w:rsidRPr="00E12C33" w:rsidP="00E12C33" w14:paraId="30E82624" w14:textId="77777777">
      <w:pPr>
        <w:spacing w:after="0" w:line="240" w:lineRule="auto"/>
        <w:jc w:val="left"/>
        <w:rPr>
          <w:sz w:val="24"/>
          <w:szCs w:val="24"/>
        </w:rPr>
      </w:pPr>
      <w:r w:rsidRPr="00E12C33">
        <w:rPr>
          <w:color w:val="212121"/>
          <w:sz w:val="24"/>
          <w:szCs w:val="24"/>
          <w:shd w:val="clear" w:color="auto" w:fill="FFFFFF"/>
        </w:rPr>
        <w:t>(818) 995-0800</w:t>
      </w:r>
    </w:p>
    <w:p w:rsidR="009420BD" w:rsidRPr="00572F57" w:rsidP="009420BD" w14:paraId="2FA95A00" w14:textId="77777777">
      <w:pPr>
        <w:tabs>
          <w:tab w:val="left" w:pos="1440"/>
          <w:tab w:val="left" w:pos="5760"/>
        </w:tabs>
      </w:pPr>
    </w:p>
    <w:sectPr w:rsidSect="00EC2BB8">
      <w:headerReference w:type="even" r:id="rId9"/>
      <w:headerReference w:type="default" r:id="rId10"/>
      <w:footerReference w:type="even" r:id="rId11"/>
      <w:footerReference w:type="default" r:id="rId12"/>
      <w:headerReference w:type="first" r:id="rId13"/>
      <w:footerReference w:type="first" r:id="rId14"/>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3785" w14:paraId="73919F13" w14:textId="77777777">
    <w:pPr>
      <w:pStyle w:val="Footer"/>
    </w:pPr>
    <w:r>
      <w:fldChar w:fldCharType="begin"/>
    </w:r>
    <w:r>
      <w:instrText>PAGE</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2F57" w14:paraId="496168DE" w14:textId="77777777">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22FB" w14:paraId="5605F128"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22FB" w14:paraId="7913A542"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22FB" w14:paraId="7571342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A5093" w14:paraId="6EE1FE73" w14:textId="77777777">
      <w:r>
        <w:separator/>
      </w:r>
    </w:p>
  </w:footnote>
  <w:footnote w:type="continuationSeparator" w:id="1">
    <w:p w:rsidR="00FA5093" w14:paraId="5AACFA1A" w14:textId="77777777">
      <w:pPr>
        <w:rPr>
          <w:sz w:val="22"/>
        </w:rPr>
      </w:pPr>
      <w:r w:rsidRPr="00627D17">
        <w:continuationSeparator/>
      </w:r>
    </w:p>
  </w:footnote>
  <w:footnote w:type="continuationNotice" w:id="2">
    <w:p w:rsidR="00FA5093" w14:paraId="59456B0D" w14:textId="77777777">
      <w:pPr>
        <w:jc w:val="right"/>
        <w:rPr>
          <w:i/>
          <w:sz w:val="20"/>
        </w:rPr>
      </w:pPr>
    </w:p>
  </w:footnote>
  <w:footnote w:id="3">
    <w:p w:rsidR="00A32CF0" w:rsidP="003F0514" w14:paraId="3E4C73DB" w14:textId="176DD8DE">
      <w:pPr>
        <w:pStyle w:val="FootnoteText"/>
      </w:pPr>
      <w:r>
        <w:rPr>
          <w:rStyle w:val="FootnoteReference"/>
        </w:rPr>
        <w:footnoteRef/>
      </w:r>
      <w:r>
        <w:t xml:space="preserve"> </w:t>
      </w:r>
      <w:r>
        <w:tab/>
      </w:r>
      <w:r w:rsidRPr="00F70982">
        <w:t xml:space="preserve">In furtherance of its intent “to ensure that the citizens of this state receive high-quality health care coverage in the most efficient and cost-effective manner possible,” </w:t>
      </w:r>
      <w:r w:rsidR="00353FB5">
        <w:t xml:space="preserve">in enacting the </w:t>
      </w:r>
      <w:r w:rsidR="00AC71F5">
        <w:t>Knox-Keene</w:t>
      </w:r>
      <w:r w:rsidR="00353FB5">
        <w:t xml:space="preserve"> Act </w:t>
      </w:r>
      <w:r w:rsidRPr="00F70982">
        <w:t>the Legislature also</w:t>
      </w:r>
      <w:r w:rsidR="00353FB5">
        <w:t xml:space="preserve"> found and declared</w:t>
      </w:r>
      <w:r w:rsidRPr="00F70982">
        <w:t xml:space="preserve"> </w:t>
      </w:r>
      <w:r>
        <w:t>“</w:t>
      </w:r>
      <w:r w:rsidRPr="00F70982">
        <w:t xml:space="preserve">that it is in the public interest </w:t>
      </w:r>
      <w:r>
        <w:t xml:space="preserve">to </w:t>
      </w:r>
      <w:r w:rsidRPr="00F70982">
        <w:t xml:space="preserve">promote various </w:t>
      </w:r>
      <w:r>
        <w:t>t</w:t>
      </w:r>
      <w:r w:rsidRPr="00F70982">
        <w:t>ypes of contracts between public or private payers of health care coverage, and institutional or professional providers of health care services.”</w:t>
      </w:r>
      <w:r>
        <w:t xml:space="preserve">  (Health &amp; Saf. Code, § 1342.6.)</w:t>
      </w:r>
    </w:p>
  </w:footnote>
  <w:footnote w:id="4">
    <w:p w:rsidR="007E24E7" w:rsidP="006C4BFD" w14:paraId="51A59A66" w14:textId="14DB47A6">
      <w:pPr>
        <w:spacing w:line="300" w:lineRule="exact"/>
      </w:pPr>
      <w:r w:rsidRPr="00805E5C">
        <w:rPr>
          <w:rStyle w:val="FootnoteReference"/>
        </w:rPr>
        <w:footnoteRef/>
      </w:r>
      <w:r w:rsidRPr="00805E5C">
        <w:t xml:space="preserve"> </w:t>
      </w:r>
      <w:r w:rsidRPr="00805E5C">
        <w:tab/>
        <w:t xml:space="preserve">“In defining ‘reasonable and customary value,’ the DMHC incorporated language from </w:t>
      </w:r>
      <w:r w:rsidRPr="00805E5C">
        <w:rPr>
          <w:i/>
          <w:iCs/>
        </w:rPr>
        <w:t>Gould v. Workers’ Comp. Appeals Bd.</w:t>
      </w:r>
      <w:r w:rsidRPr="00805E5C">
        <w:t xml:space="preserve"> (1992) 4 Cal.App.4th 1059.”  (</w:t>
      </w:r>
      <w:r w:rsidRPr="00805E5C">
        <w:rPr>
          <w:i/>
          <w:iCs/>
        </w:rPr>
        <w:t>Children’s Hospital</w:t>
      </w:r>
      <w:r w:rsidRPr="00805E5C">
        <w:t xml:space="preserve">, </w:t>
      </w:r>
      <w:r w:rsidRPr="00805E5C">
        <w:rPr>
          <w:i/>
          <w:iCs/>
        </w:rPr>
        <w:t>supra</w:t>
      </w:r>
      <w:r w:rsidRPr="00805E5C">
        <w:t>, 226</w:t>
      </w:r>
      <w:r w:rsidR="006C4BFD">
        <w:t> </w:t>
      </w:r>
      <w:r w:rsidRPr="00805E5C">
        <w:t>Cal.App.4th at p.</w:t>
      </w:r>
      <w:r w:rsidR="006C4BFD">
        <w:t> </w:t>
      </w:r>
      <w:r w:rsidRPr="00805E5C">
        <w:t xml:space="preserve">1272.)  In </w:t>
      </w:r>
      <w:r w:rsidRPr="00805E5C">
        <w:rPr>
          <w:i/>
          <w:iCs/>
        </w:rPr>
        <w:t>Gould</w:t>
      </w:r>
      <w:r w:rsidRPr="00805E5C">
        <w:t>, the Court of Appeal held that in deciding whether a medical provider’s fees for treating employment-related injuries was reasonable, the Workers’ Compensation Appeals Board “may consider evidence regarding the medical provider’s training, qualifications, and length of time in practice; the nature of the services provided; the fees usually charged by the medical provider; the fees usually charged in the general geographical area in which the services were rendered; other aspects of the economics of the medical provider’s practice that are relevant; and any unusual circumstances in the case.”  (</w:t>
      </w:r>
      <w:r w:rsidRPr="00805E5C">
        <w:rPr>
          <w:i/>
          <w:iCs/>
        </w:rPr>
        <w:t>Gould</w:t>
      </w:r>
      <w:r w:rsidRPr="00805E5C">
        <w:t>, at p.</w:t>
      </w:r>
      <w:r w:rsidR="006C4BFD">
        <w:t> </w:t>
      </w:r>
      <w:r w:rsidRPr="00805E5C">
        <w:t>1071</w:t>
      </w:r>
      <w:r w:rsidR="00723C24">
        <w:t>, fn. omitted</w:t>
      </w:r>
      <w:r w:rsidRPr="00805E5C">
        <w:t>.)</w:t>
      </w:r>
    </w:p>
  </w:footnote>
  <w:footnote w:id="5">
    <w:p w:rsidR="00033C6C" w:rsidRPr="00277842" w14:paraId="610D201E" w14:textId="4399117C">
      <w:pPr>
        <w:pStyle w:val="FootnoteText"/>
      </w:pPr>
      <w:r>
        <w:rPr>
          <w:rStyle w:val="FootnoteReference"/>
        </w:rPr>
        <w:footnoteRef/>
      </w:r>
      <w:r>
        <w:t xml:space="preserve"> </w:t>
      </w:r>
      <w:r>
        <w:tab/>
        <w:t xml:space="preserve">Prior to oral argument, we </w:t>
      </w:r>
      <w:r w:rsidR="00550C4E">
        <w:t xml:space="preserve">granted Santa Clara’s request to take judicial notice of the DMHC’s </w:t>
      </w:r>
      <w:r w:rsidR="0014194A">
        <w:t xml:space="preserve">amicus </w:t>
      </w:r>
      <w:r w:rsidR="00550C4E">
        <w:t xml:space="preserve">letter brief filed </w:t>
      </w:r>
      <w:r w:rsidR="00AC2104">
        <w:t xml:space="preserve">in </w:t>
      </w:r>
      <w:r w:rsidR="00550C4E">
        <w:t xml:space="preserve">the Court of Appeal in </w:t>
      </w:r>
      <w:r w:rsidR="00550C4E">
        <w:rPr>
          <w:i/>
          <w:iCs/>
        </w:rPr>
        <w:t>Bell</w:t>
      </w:r>
      <w:r w:rsidR="00277842">
        <w:t xml:space="preserve">, </w:t>
      </w:r>
      <w:r w:rsidR="00277842">
        <w:rPr>
          <w:i/>
          <w:iCs/>
        </w:rPr>
        <w:t>supra</w:t>
      </w:r>
      <w:r w:rsidR="00277842">
        <w:t xml:space="preserve">, </w:t>
      </w:r>
      <w:r w:rsidRPr="00572F57" w:rsidR="00277842">
        <w:t>131 Cal.App.4th 211</w:t>
      </w:r>
      <w:r w:rsidR="00277842">
        <w:t>.</w:t>
      </w:r>
    </w:p>
  </w:footnote>
  <w:footnote w:id="6">
    <w:p w:rsidR="005E7803" w:rsidRPr="00C42496" w14:paraId="5B531EB8" w14:textId="57EBBF61">
      <w:pPr>
        <w:pStyle w:val="FootnoteText"/>
      </w:pPr>
      <w:r>
        <w:rPr>
          <w:rStyle w:val="FootnoteReference"/>
        </w:rPr>
        <w:footnoteRef/>
      </w:r>
      <w:r>
        <w:t xml:space="preserve"> </w:t>
      </w:r>
      <w:r>
        <w:tab/>
      </w:r>
      <w:r w:rsidR="0070112E">
        <w:t>Although we</w:t>
      </w:r>
      <w:r w:rsidR="00AB2930">
        <w:t xml:space="preserve"> assume </w:t>
      </w:r>
      <w:r w:rsidR="0070112E">
        <w:t xml:space="preserve">for purposes of this case </w:t>
      </w:r>
      <w:r w:rsidR="00AB2930">
        <w:t>that</w:t>
      </w:r>
      <w:r w:rsidR="00007697">
        <w:t xml:space="preserve"> the </w:t>
      </w:r>
      <w:r w:rsidR="00AC71F5">
        <w:t>Knox-Keene</w:t>
      </w:r>
      <w:r w:rsidR="00007697">
        <w:t xml:space="preserve"> Act does not </w:t>
      </w:r>
      <w:r w:rsidR="00AB2BA3">
        <w:t>create</w:t>
      </w:r>
      <w:r w:rsidR="00007697">
        <w:t xml:space="preserve"> a private right of action</w:t>
      </w:r>
      <w:r w:rsidR="006B018F">
        <w:t xml:space="preserve"> for</w:t>
      </w:r>
      <w:r w:rsidR="00FE3052">
        <w:t xml:space="preserve"> violation</w:t>
      </w:r>
      <w:r w:rsidR="00C96587">
        <w:t>s</w:t>
      </w:r>
      <w:r w:rsidR="00FE3052">
        <w:t xml:space="preserve"> of its provisions</w:t>
      </w:r>
      <w:r w:rsidR="00536794">
        <w:t xml:space="preserve">, </w:t>
      </w:r>
      <w:r w:rsidR="00C96587">
        <w:t>we</w:t>
      </w:r>
      <w:r w:rsidR="002712B5">
        <w:t xml:space="preserve"> </w:t>
      </w:r>
      <w:r w:rsidR="00FE3052">
        <w:t xml:space="preserve">reaffirm that </w:t>
      </w:r>
      <w:r w:rsidR="00474DE6">
        <w:t>the absence of a private right of action</w:t>
      </w:r>
      <w:r w:rsidR="00C96587">
        <w:t xml:space="preserve"> </w:t>
      </w:r>
      <w:r w:rsidR="00536794">
        <w:t>does not foreclose the availability of other remedies</w:t>
      </w:r>
      <w:r w:rsidR="00F15E6A">
        <w:t>, such as an action for quantum meruit</w:t>
      </w:r>
      <w:r w:rsidR="003172DE">
        <w:t>,</w:t>
      </w:r>
      <w:r w:rsidR="00201A0E">
        <w:t xml:space="preserve"> brought by </w:t>
      </w:r>
      <w:r w:rsidR="007946FC">
        <w:t>medical providers</w:t>
      </w:r>
      <w:r w:rsidR="007600FA">
        <w:t xml:space="preserve">.  (See </w:t>
      </w:r>
      <w:r w:rsidR="00FE3052">
        <w:rPr>
          <w:i/>
          <w:iCs/>
        </w:rPr>
        <w:t>Lu v. Hawaiian Gardens Casino, Inc.</w:t>
      </w:r>
      <w:r w:rsidR="00FE3052">
        <w:t xml:space="preserve"> (2010) 50 Cal.4th 592, 603</w:t>
      </w:r>
      <w:r w:rsidR="008174DE">
        <w:t xml:space="preserve"> [determination that statute </w:t>
      </w:r>
      <w:r w:rsidR="009618DF">
        <w:t>“</w:t>
      </w:r>
      <w:r w:rsidR="008174DE">
        <w:t xml:space="preserve">does not provide </w:t>
      </w:r>
      <w:r w:rsidR="009618DF">
        <w:t xml:space="preserve">a </w:t>
      </w:r>
      <w:r w:rsidR="008174DE">
        <w:t>private cause of action does not necessarily foreclose the availability of other remedies”]</w:t>
      </w:r>
      <w:r w:rsidR="00FE3052">
        <w:t xml:space="preserve">; </w:t>
      </w:r>
      <w:r w:rsidR="00C42496">
        <w:rPr>
          <w:i/>
          <w:iCs/>
        </w:rPr>
        <w:t>Coast Plaza Doctors Hospital v. UHP Healthcare</w:t>
      </w:r>
      <w:r w:rsidR="00C42496">
        <w:t xml:space="preserve"> (2002) 105 Cal.App.4th 693</w:t>
      </w:r>
      <w:r w:rsidR="00267190">
        <w:t xml:space="preserve">, </w:t>
      </w:r>
      <w:r w:rsidR="00201A0E">
        <w:t xml:space="preserve">706 </w:t>
      </w:r>
      <w:r w:rsidR="00DD4C2B">
        <w:t>[concluding</w:t>
      </w:r>
      <w:r w:rsidRPr="00DD4C2B" w:rsidR="00DD4C2B">
        <w:t xml:space="preserve"> that the </w:t>
      </w:r>
      <w:r w:rsidR="00DD4C2B">
        <w:t>DMHC</w:t>
      </w:r>
      <w:r w:rsidRPr="00DD4C2B" w:rsidR="00DD4C2B">
        <w:t xml:space="preserve"> does not have exclusive jurisdiction</w:t>
      </w:r>
      <w:r w:rsidR="00DD4C2B">
        <w:t xml:space="preserve"> to enforce the </w:t>
      </w:r>
      <w:r w:rsidR="00AC71F5">
        <w:t>Knox-Keene</w:t>
      </w:r>
      <w:r w:rsidR="00DD4C2B">
        <w:t xml:space="preserve"> Act</w:t>
      </w:r>
      <w:r w:rsidRPr="00DD4C2B" w:rsidR="00DD4C2B">
        <w:t xml:space="preserve">, and that </w:t>
      </w:r>
      <w:r w:rsidR="00663832">
        <w:t xml:space="preserve">medical providers may bring </w:t>
      </w:r>
      <w:r w:rsidRPr="00DD4C2B" w:rsidR="00DD4C2B">
        <w:t>common law and other statutory causes of action</w:t>
      </w:r>
      <w:r w:rsidR="00B36888">
        <w:t xml:space="preserve">]; </w:t>
      </w:r>
      <w:r w:rsidR="00201A0E">
        <w:t xml:space="preserve">see </w:t>
      </w:r>
      <w:r w:rsidR="00201A0E">
        <w:rPr>
          <w:i/>
          <w:iCs/>
        </w:rPr>
        <w:t>id</w:t>
      </w:r>
      <w:r w:rsidRPr="00200344" w:rsidR="00201A0E">
        <w:t>.</w:t>
      </w:r>
      <w:r w:rsidR="00201A0E">
        <w:t xml:space="preserve"> at p.</w:t>
      </w:r>
      <w:r w:rsidR="00200344">
        <w:t> </w:t>
      </w:r>
      <w:r w:rsidR="0017352E">
        <w:t xml:space="preserve">707 [“The </w:t>
      </w:r>
      <w:r w:rsidR="00AC71F5">
        <w:t>Knox-Keene</w:t>
      </w:r>
      <w:r w:rsidRPr="0017352E" w:rsidR="0017352E">
        <w:t xml:space="preserve"> Act itself contemplates that a provider may have a cause of action under a statutory or common law theory</w:t>
      </w:r>
      <w:r w:rsidR="008D23B2">
        <w:t>”].)</w:t>
      </w:r>
      <w:r w:rsidR="00B45671">
        <w:t xml:space="preserve"> </w:t>
      </w:r>
    </w:p>
  </w:footnote>
  <w:footnote w:id="7">
    <w:p w:rsidR="00C773B6" w:rsidP="00572F57" w14:paraId="2E735547" w14:textId="061489A8">
      <w:pPr>
        <w:pStyle w:val="FootnoteText"/>
      </w:pPr>
      <w:r w:rsidRPr="00805E5C">
        <w:rPr>
          <w:rStyle w:val="FootnoteReference"/>
        </w:rPr>
        <w:footnoteRef/>
      </w:r>
      <w:r w:rsidRPr="00805E5C">
        <w:t xml:space="preserve"> </w:t>
      </w:r>
      <w:r w:rsidRPr="00805E5C">
        <w:tab/>
        <w:t>The County urges us to not consider various arguments made by the Hospitals regarding the limited nature of the Government Claims Act because they did not raise these specific contentions below.  The County cites California Rules of Court, rule 8.500(c)(1), which provides that “[a]s a policy matter, on petition for review the Supreme Court normally</w:t>
      </w:r>
      <w:r w:rsidR="00134EBA">
        <w:t xml:space="preserve"> will not</w:t>
      </w:r>
      <w:r w:rsidRPr="00805E5C">
        <w:t xml:space="preserve"> consider an issue that the petitioner failed to timely raise in the Court of Appeal.”  However, the Hospitals included these arguments in their petition for review, and we “may decide any issues that are raised or fairly included in the petition or answer.”  (</w:t>
      </w:r>
      <w:r w:rsidRPr="00805E5C">
        <w:rPr>
          <w:i/>
          <w:iCs/>
        </w:rPr>
        <w:t>Id</w:t>
      </w:r>
      <w:r w:rsidRPr="00805E5C">
        <w:t>., rule 8.516(b)(1).)  Moreover, “</w:t>
      </w:r>
      <w:r w:rsidR="00720A37">
        <w:t>[i]</w:t>
      </w:r>
      <w:r w:rsidRPr="00805E5C">
        <w:t>n a number of cases, this court has decided issues raised for the first time before us, where those issues were pure questions of law, not turning upon disputed facts, and were pertinent to a proper disposition of the cause or involved matters of particular public importance.”  (</w:t>
      </w:r>
      <w:r w:rsidRPr="00805E5C">
        <w:rPr>
          <w:i/>
          <w:iCs/>
        </w:rPr>
        <w:t xml:space="preserve">People v. Superior Court </w:t>
      </w:r>
      <w:r w:rsidRPr="009727C8">
        <w:t>(</w:t>
      </w:r>
      <w:r w:rsidRPr="00805E5C">
        <w:rPr>
          <w:i/>
          <w:iCs/>
        </w:rPr>
        <w:t>Ghilotti</w:t>
      </w:r>
      <w:r w:rsidRPr="009727C8">
        <w:t>)</w:t>
      </w:r>
      <w:r w:rsidRPr="00805E5C">
        <w:rPr>
          <w:i/>
          <w:iCs/>
        </w:rPr>
        <w:t xml:space="preserve"> </w:t>
      </w:r>
      <w:r w:rsidRPr="00805E5C">
        <w:t>(2002) 27</w:t>
      </w:r>
      <w:r w:rsidR="00073E21">
        <w:t> </w:t>
      </w:r>
      <w:r w:rsidRPr="00805E5C">
        <w:t>Cal.4th 888, 901, fn.</w:t>
      </w:r>
      <w:r w:rsidR="00073E21">
        <w:t> </w:t>
      </w:r>
      <w:r w:rsidRPr="00805E5C">
        <w:t xml:space="preserve">5; </w:t>
      </w:r>
      <w:r w:rsidRPr="00805E5C" w:rsidR="00DD1245">
        <w:t xml:space="preserve">see also </w:t>
      </w:r>
      <w:r w:rsidRPr="00805E5C">
        <w:rPr>
          <w:i/>
          <w:iCs/>
        </w:rPr>
        <w:t>Today’s Fresh Start, Inc. v. Los Angeles County Office of Education</w:t>
      </w:r>
      <w:r w:rsidRPr="00805E5C">
        <w:t xml:space="preserve"> (2013) 57</w:t>
      </w:r>
      <w:r w:rsidR="00073E21">
        <w:t> </w:t>
      </w:r>
      <w:r w:rsidRPr="00805E5C">
        <w:t>Cal.4th 197, 215 [“we have discretion to consider on appeal purely legal issues raised in a petition for review or answer”].)  Assuming that the Hospitals did not specifically raise these arguments in the courts below, we exercise our discretion to address them.</w:t>
      </w:r>
    </w:p>
  </w:footnote>
  <w:footnote w:id="8">
    <w:p w:rsidR="00B82A25" w:rsidP="00B82A25" w14:paraId="6EDD4030" w14:textId="77777777">
      <w:pPr>
        <w:pStyle w:val="FootnoteText"/>
      </w:pPr>
      <w:r>
        <w:rPr>
          <w:rStyle w:val="FootnoteReference"/>
        </w:rPr>
        <w:footnoteRef/>
      </w:r>
      <w:r>
        <w:tab/>
        <w:t>Indeed, when first enacted, and for decades afterward, “the statute was known as the Tort Claims Act.”  (</w:t>
      </w:r>
      <w:r>
        <w:rPr>
          <w:i/>
          <w:iCs/>
        </w:rPr>
        <w:t>Quigley</w:t>
      </w:r>
      <w:r>
        <w:t xml:space="preserve">, </w:t>
      </w:r>
      <w:r>
        <w:rPr>
          <w:i/>
          <w:iCs/>
        </w:rPr>
        <w:t>supra</w:t>
      </w:r>
      <w:r>
        <w:t>, 7 Cal.5</w:t>
      </w:r>
      <w:r w:rsidRPr="00B80E42">
        <w:t>th</w:t>
      </w:r>
      <w:r>
        <w:t xml:space="preserve"> at p. 803, fn. 1.)  In 2012, the Legislature renamed the statute the Government Claims Act (Stats. 2012, ch. 759), a title that accounts for the fact that its claims presentation requirements, included in part 3 of the Act, sweep more broadly than do part 2’s provisions regarding public entity liability and immunity.  (</w:t>
      </w:r>
      <w:r>
        <w:rPr>
          <w:i/>
          <w:iCs/>
        </w:rPr>
        <w:t>Quigley</w:t>
      </w:r>
      <w:r>
        <w:t>, at p. 803, fn. 1; see</w:t>
      </w:r>
      <w:r>
        <w:rPr>
          <w:i/>
          <w:iCs/>
        </w:rPr>
        <w:t xml:space="preserve"> City of Stockton</w:t>
      </w:r>
      <w:r w:rsidRPr="009727C8">
        <w:t>,</w:t>
      </w:r>
      <w:r>
        <w:rPr>
          <w:i/>
          <w:iCs/>
        </w:rPr>
        <w:t xml:space="preserve"> supra</w:t>
      </w:r>
      <w:r>
        <w:t>, 42 Cal.4</w:t>
      </w:r>
      <w:r w:rsidRPr="00B80E42">
        <w:t>th</w:t>
      </w:r>
      <w:r>
        <w:t xml:space="preserve"> at pp. 740–742.)  </w:t>
      </w:r>
    </w:p>
  </w:footnote>
  <w:footnote w:id="9">
    <w:p w:rsidR="008E3DEE" w:rsidP="004209EA" w14:paraId="39C1E2F5" w14:textId="2EA755A8">
      <w:pPr>
        <w:pStyle w:val="FootnoteText"/>
      </w:pPr>
      <w:r w:rsidRPr="00805E5C">
        <w:rPr>
          <w:rStyle w:val="FootnoteReference"/>
        </w:rPr>
        <w:footnoteRef/>
      </w:r>
      <w:r w:rsidRPr="00805E5C">
        <w:t xml:space="preserve"> </w:t>
      </w:r>
      <w:r w:rsidRPr="00805E5C">
        <w:tab/>
        <w:t xml:space="preserve">The County’s reliance on </w:t>
      </w:r>
      <w:r w:rsidRPr="00805E5C">
        <w:rPr>
          <w:i/>
          <w:iCs/>
        </w:rPr>
        <w:t>Canova v. Trustees of Imperial Irrigation Dist. Employee Pension Plan</w:t>
      </w:r>
      <w:r w:rsidRPr="00805E5C">
        <w:t xml:space="preserve"> (2007) 150 Cal.App.4th 1487, 1493, is equally unpersuasive because that case also concerns the Government Claims Act’s claim</w:t>
      </w:r>
      <w:r w:rsidR="00DF690B">
        <w:t>s</w:t>
      </w:r>
      <w:r w:rsidRPr="00805E5C">
        <w:t xml:space="preserve"> presentation requirements, and not its immunity and liability provisions.</w:t>
      </w:r>
    </w:p>
  </w:footnote>
  <w:footnote w:id="10">
    <w:p w:rsidR="000B7A7D" w:rsidP="000B7A7D" w14:paraId="64370D05" w14:textId="4689F9EF">
      <w:pPr>
        <w:pStyle w:val="FootnoteText"/>
      </w:pPr>
      <w:r>
        <w:rPr>
          <w:rStyle w:val="FootnoteReference"/>
        </w:rPr>
        <w:footnoteRef/>
      </w:r>
      <w:r>
        <w:t xml:space="preserve"> </w:t>
      </w:r>
      <w:r>
        <w:tab/>
        <w:t xml:space="preserve">As previously noted, in </w:t>
      </w:r>
      <w:r w:rsidRPr="00A91C71">
        <w:rPr>
          <w:i/>
          <w:iCs/>
        </w:rPr>
        <w:t>City of Dinuba</w:t>
      </w:r>
      <w:r>
        <w:t xml:space="preserve">, </w:t>
      </w:r>
      <w:r w:rsidRPr="00A91C71">
        <w:rPr>
          <w:i/>
          <w:iCs/>
        </w:rPr>
        <w:t>supra</w:t>
      </w:r>
      <w:r>
        <w:t>, 41 Cal.4th at p</w:t>
      </w:r>
      <w:r w:rsidR="00F50432">
        <w:t>age</w:t>
      </w:r>
      <w:r>
        <w:t xml:space="preserve"> 868, we concluded that </w:t>
      </w:r>
      <w:r w:rsidR="005F71A6">
        <w:t xml:space="preserve">the </w:t>
      </w:r>
      <w:r>
        <w:t xml:space="preserve">defendants’ failure to comply with their statutory duty gave rise to mandamus relief.  </w:t>
      </w:r>
      <w:r w:rsidRPr="000B7A7D">
        <w:t xml:space="preserve">The fact that an additional form of mandamus relief was appropriate in </w:t>
      </w:r>
      <w:r w:rsidRPr="000B7A7D">
        <w:rPr>
          <w:i/>
          <w:iCs/>
        </w:rPr>
        <w:t>City of Dinuba</w:t>
      </w:r>
      <w:r w:rsidRPr="000B7A7D">
        <w:t xml:space="preserve"> does not alter our view regarding the nature of the underlying claims in this case.  As in </w:t>
      </w:r>
      <w:r w:rsidRPr="000B7A7D">
        <w:rPr>
          <w:i/>
          <w:iCs/>
        </w:rPr>
        <w:t>City of Dinuba</w:t>
      </w:r>
      <w:r w:rsidRPr="000B7A7D">
        <w:t>, we are persuaded that the action in this case seeks relief other than money damages.</w:t>
      </w:r>
    </w:p>
  </w:footnote>
  <w:footnote w:id="11">
    <w:p w:rsidR="001E44A9" w:rsidP="001E44A9" w14:paraId="57AFCD76" w14:textId="6CD6E5F5">
      <w:pPr>
        <w:pStyle w:val="FootnoteText"/>
      </w:pPr>
      <w:r>
        <w:rPr>
          <w:rStyle w:val="FootnoteReference"/>
        </w:rPr>
        <w:footnoteRef/>
      </w:r>
      <w:r>
        <w:t xml:space="preserve"> </w:t>
      </w:r>
      <w:r>
        <w:tab/>
        <w:t>Indeed, more than a decade after the Legislature enacted the Knox</w:t>
      </w:r>
      <w:r w:rsidR="00082D20">
        <w:t>-</w:t>
      </w:r>
      <w:r>
        <w:t xml:space="preserve">Keene Act’s reimbursement provision, </w:t>
      </w:r>
      <w:r w:rsidR="00863D05">
        <w:t xml:space="preserve">former </w:t>
      </w:r>
      <w:r>
        <w:t xml:space="preserve">Governor Arnold Schwarzenegger issued an executive order reaffirming the public policy in favor of requiring all health care service plans to reimburse emergency medical providers at the reasonable and customary value.  (Governor’s Exec. Order No. S-13-06 (July 25, 2006).)  </w:t>
      </w:r>
    </w:p>
  </w:footnote>
  <w:footnote w:id="12">
    <w:p w:rsidR="00874201" w14:paraId="641915E6" w14:textId="44507A96">
      <w:pPr>
        <w:pStyle w:val="FootnoteText"/>
      </w:pPr>
      <w:r>
        <w:rPr>
          <w:rStyle w:val="FootnoteReference"/>
        </w:rPr>
        <w:footnoteRef/>
      </w:r>
      <w:r>
        <w:t xml:space="preserve"> </w:t>
      </w:r>
      <w:r>
        <w:tab/>
      </w:r>
      <w:r w:rsidR="002362F6">
        <w:t>Given the DMHC’s express acknowledgment that it cannot set specific reimbursement levels or adjudicate individual payment disputes between health plans and emergency physicians</w:t>
      </w:r>
      <w:r w:rsidR="001845A2">
        <w:t>, w</w:t>
      </w:r>
      <w:r>
        <w:t xml:space="preserve">e </w:t>
      </w:r>
      <w:r w:rsidR="001845A2">
        <w:t xml:space="preserve">also </w:t>
      </w:r>
      <w:r>
        <w:t xml:space="preserve">reject the County’s argument that a quantum meruit action is unnecessary because the </w:t>
      </w:r>
      <w:r w:rsidR="00AC71F5">
        <w:t>Knox-Keene</w:t>
      </w:r>
      <w:r>
        <w:t xml:space="preserve"> Act provides adequate alternative mechanisms for resolving reimbursement disputes</w:t>
      </w:r>
      <w:r w:rsidR="001845A2">
        <w:t>.</w:t>
      </w:r>
    </w:p>
  </w:footnote>
  <w:footnote w:id="13">
    <w:p w:rsidR="008B6B65" w:rsidP="006651B8" w14:paraId="18520483" w14:textId="60FAEE55">
      <w:pPr>
        <w:pStyle w:val="FootnoteText"/>
      </w:pPr>
      <w:r>
        <w:rPr>
          <w:rStyle w:val="FootnoteReference"/>
        </w:rPr>
        <w:footnoteRef/>
      </w:r>
      <w:r w:rsidR="004F4BB7">
        <w:tab/>
      </w:r>
      <w:r>
        <w:t xml:space="preserve">Indeed, </w:t>
      </w:r>
      <w:r w:rsidRPr="00805E5C">
        <w:t>several other states allowed</w:t>
      </w:r>
      <w:r>
        <w:t xml:space="preserve"> quasi-contractual claims to proceed against public entities under appropriate circumstances at the time the Legislature enacted the Government Claims Act.  (</w:t>
      </w:r>
      <w:r w:rsidR="000D13EA">
        <w:t>See, e</w:t>
      </w:r>
      <w:r>
        <w:t xml:space="preserve">.g., </w:t>
      </w:r>
      <w:r>
        <w:rPr>
          <w:i/>
          <w:iCs/>
        </w:rPr>
        <w:t>Hailey v. King County</w:t>
      </w:r>
      <w:r>
        <w:t xml:space="preserve"> (Wash. 1944) 149 P.2d 823, 825 [“the doctrine of implied contract has been applied with respect to municipal corporations under circumstances where ‘equity and good conscience’ have seemed to require it”]; </w:t>
      </w:r>
      <w:r w:rsidRPr="00EA70F4">
        <w:t>Annot</w:t>
      </w:r>
      <w:r w:rsidR="009258BD">
        <w:t>.</w:t>
      </w:r>
      <w:r w:rsidRPr="00EA70F4">
        <w:t>,</w:t>
      </w:r>
      <w:r w:rsidRPr="006651B8">
        <w:t xml:space="preserve"> Liability of </w:t>
      </w:r>
      <w:r w:rsidR="0026587E">
        <w:t>M</w:t>
      </w:r>
      <w:r w:rsidRPr="006651B8" w:rsidR="0026587E">
        <w:t xml:space="preserve">unicipality </w:t>
      </w:r>
      <w:r w:rsidRPr="006651B8">
        <w:t xml:space="preserve">or </w:t>
      </w:r>
      <w:r w:rsidR="0026587E">
        <w:t>O</w:t>
      </w:r>
      <w:r w:rsidRPr="006651B8">
        <w:t xml:space="preserve">ther </w:t>
      </w:r>
      <w:r w:rsidR="0026587E">
        <w:t>G</w:t>
      </w:r>
      <w:r w:rsidRPr="006651B8">
        <w:t xml:space="preserve">overnmental </w:t>
      </w:r>
      <w:r w:rsidR="0026587E">
        <w:t>B</w:t>
      </w:r>
      <w:r w:rsidRPr="006651B8" w:rsidR="0026587E">
        <w:t xml:space="preserve">ody </w:t>
      </w:r>
      <w:r w:rsidRPr="006651B8">
        <w:t xml:space="preserve">on </w:t>
      </w:r>
      <w:r w:rsidR="0026587E">
        <w:t>I</w:t>
      </w:r>
      <w:r w:rsidRPr="006651B8">
        <w:t xml:space="preserve">mplied or </w:t>
      </w:r>
      <w:r w:rsidR="0026587E">
        <w:t>Q</w:t>
      </w:r>
      <w:r w:rsidRPr="006651B8">
        <w:t xml:space="preserve">uasi </w:t>
      </w:r>
      <w:r w:rsidR="0026587E">
        <w:t>C</w:t>
      </w:r>
      <w:r w:rsidRPr="006651B8" w:rsidR="0026587E">
        <w:t xml:space="preserve">ontract </w:t>
      </w:r>
      <w:r w:rsidRPr="006651B8">
        <w:t xml:space="preserve">for </w:t>
      </w:r>
      <w:r w:rsidR="0026587E">
        <w:t>V</w:t>
      </w:r>
      <w:r w:rsidRPr="006651B8" w:rsidR="0026587E">
        <w:t xml:space="preserve">alue </w:t>
      </w:r>
      <w:r w:rsidRPr="006651B8">
        <w:t xml:space="preserve">of </w:t>
      </w:r>
      <w:r w:rsidR="0026587E">
        <w:t>P</w:t>
      </w:r>
      <w:r w:rsidRPr="006651B8" w:rsidR="0026587E">
        <w:t xml:space="preserve">roperty </w:t>
      </w:r>
      <w:r w:rsidRPr="006651B8">
        <w:t xml:space="preserve">or </w:t>
      </w:r>
      <w:r w:rsidR="0026587E">
        <w:t>W</w:t>
      </w:r>
      <w:r w:rsidRPr="006651B8" w:rsidR="0026587E">
        <w:t>ork</w:t>
      </w:r>
      <w:r w:rsidR="0026587E">
        <w:t xml:space="preserve"> </w:t>
      </w:r>
      <w:r w:rsidR="00B52AE0">
        <w:t>(1945)</w:t>
      </w:r>
      <w:r>
        <w:t xml:space="preserve"> 154 A.L.R. 356</w:t>
      </w:r>
      <w:r w:rsidR="0008085A">
        <w:t>, 357</w:t>
      </w:r>
      <w:r>
        <w:t xml:space="preserve"> [“</w:t>
      </w:r>
      <w:r w:rsidRPr="00773DCD">
        <w:t>the rule is well settled in most jurisdictions that a municipality or other political subdivision may become obligated upon implied or quasi contract to pay the reasonable value of benefits accepted or appropriated by it as to which it has the general power to contract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2F57" w14:paraId="3CB0787E" w14:textId="53C5DDB2">
    <w:pPr>
      <w:pStyle w:val="Header"/>
    </w:pPr>
    <w:r>
      <w:t>COUNTY OF SANTA CLARA v. SUPERIOR COURT</w:t>
    </w:r>
  </w:p>
  <w:p w:rsidR="00572F57" w14:paraId="23BA6623" w14:textId="127EAB85">
    <w:pPr>
      <w:pStyle w:val="Header"/>
    </w:pPr>
    <w:r>
      <w:t>Opinion of the Court by G</w:t>
    </w:r>
    <w:r w:rsidR="001613EA">
      <w:t>uerrero</w:t>
    </w:r>
    <w:r>
      <w:t>, C. J.</w:t>
    </w:r>
  </w:p>
  <w:p w:rsidR="00572F57" w14:paraId="63A9F8A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22FB" w14:paraId="550C024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22FB" w14:paraId="111A73EA"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22FB" w14:paraId="04B0B51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551D7A"/>
    <w:multiLevelType w:val="hybridMultilevel"/>
    <w:tmpl w:val="06B25B20"/>
    <w:lvl w:ilvl="0">
      <w:start w:val="1"/>
      <w:numFmt w:val="upperLetter"/>
      <w:lvlText w:val="%1."/>
      <w:lvlJc w:val="left"/>
      <w:pPr>
        <w:ind w:left="1140" w:hanging="360"/>
      </w:pPr>
      <w:rPr>
        <w:rFonts w:hint="default"/>
      </w:rPr>
    </w:lvl>
    <w:lvl w:ilvl="1" w:tentative="1">
      <w:start w:val="1"/>
      <w:numFmt w:val="lowerLetter"/>
      <w:lvlText w:val="%2."/>
      <w:lvlJc w:val="left"/>
      <w:pPr>
        <w:ind w:left="1860" w:hanging="360"/>
      </w:pPr>
    </w:lvl>
    <w:lvl w:ilvl="2" w:tentative="1">
      <w:start w:val="1"/>
      <w:numFmt w:val="lowerRoman"/>
      <w:lvlText w:val="%3."/>
      <w:lvlJc w:val="right"/>
      <w:pPr>
        <w:ind w:left="2580" w:hanging="180"/>
      </w:pPr>
    </w:lvl>
    <w:lvl w:ilvl="3" w:tentative="1">
      <w:start w:val="1"/>
      <w:numFmt w:val="decimal"/>
      <w:lvlText w:val="%4."/>
      <w:lvlJc w:val="left"/>
      <w:pPr>
        <w:ind w:left="3300" w:hanging="360"/>
      </w:pPr>
    </w:lvl>
    <w:lvl w:ilvl="4" w:tentative="1">
      <w:start w:val="1"/>
      <w:numFmt w:val="lowerLetter"/>
      <w:lvlText w:val="%5."/>
      <w:lvlJc w:val="left"/>
      <w:pPr>
        <w:ind w:left="4020" w:hanging="360"/>
      </w:pPr>
    </w:lvl>
    <w:lvl w:ilvl="5" w:tentative="1">
      <w:start w:val="1"/>
      <w:numFmt w:val="lowerRoman"/>
      <w:lvlText w:val="%6."/>
      <w:lvlJc w:val="right"/>
      <w:pPr>
        <w:ind w:left="4740" w:hanging="180"/>
      </w:pPr>
    </w:lvl>
    <w:lvl w:ilvl="6" w:tentative="1">
      <w:start w:val="1"/>
      <w:numFmt w:val="decimal"/>
      <w:lvlText w:val="%7."/>
      <w:lvlJc w:val="left"/>
      <w:pPr>
        <w:ind w:left="5460" w:hanging="360"/>
      </w:pPr>
    </w:lvl>
    <w:lvl w:ilvl="7" w:tentative="1">
      <w:start w:val="1"/>
      <w:numFmt w:val="lowerLetter"/>
      <w:lvlText w:val="%8."/>
      <w:lvlJc w:val="left"/>
      <w:pPr>
        <w:ind w:left="6180" w:hanging="360"/>
      </w:pPr>
    </w:lvl>
    <w:lvl w:ilvl="8" w:tentative="1">
      <w:start w:val="1"/>
      <w:numFmt w:val="lowerRoman"/>
      <w:lvlText w:val="%9."/>
      <w:lvlJc w:val="right"/>
      <w:pPr>
        <w:ind w:left="6900" w:hanging="180"/>
      </w:pPr>
    </w:lvl>
  </w:abstractNum>
  <w:abstractNum w:abstractNumId="1">
    <w:nsid w:val="096C26DF"/>
    <w:multiLevelType w:val="hybridMultilevel"/>
    <w:tmpl w:val="3BC2CDF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FDA5BB9"/>
    <w:multiLevelType w:val="hybridMultilevel"/>
    <w:tmpl w:val="6824C13E"/>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3">
    <w:nsid w:val="22362162"/>
    <w:multiLevelType w:val="hybridMultilevel"/>
    <w:tmpl w:val="114E2D1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242675E7"/>
    <w:multiLevelType w:val="hybridMultilevel"/>
    <w:tmpl w:val="D68EC086"/>
    <w:lvl w:ilvl="0">
      <w:start w:val="5"/>
      <w:numFmt w:val="upperLetter"/>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75ED44BE"/>
    <w:multiLevelType w:val="hybridMultilevel"/>
    <w:tmpl w:val="22E2C09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76335532"/>
    <w:multiLevelType w:val="hybridMultilevel"/>
    <w:tmpl w:val="C8A0271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783E4618"/>
    <w:multiLevelType w:val="hybridMultilevel"/>
    <w:tmpl w:val="1AD6E3C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7F611087"/>
    <w:multiLevelType w:val="hybridMultilevel"/>
    <w:tmpl w:val="6ACC76A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FDB"/>
    <w:rsid w:val="0000003D"/>
    <w:rsid w:val="0000055A"/>
    <w:rsid w:val="00000DC0"/>
    <w:rsid w:val="00000E08"/>
    <w:rsid w:val="00001CFE"/>
    <w:rsid w:val="000023F0"/>
    <w:rsid w:val="000024C8"/>
    <w:rsid w:val="000027E2"/>
    <w:rsid w:val="00003CA3"/>
    <w:rsid w:val="00004373"/>
    <w:rsid w:val="0000474A"/>
    <w:rsid w:val="00004773"/>
    <w:rsid w:val="00004840"/>
    <w:rsid w:val="00004BE7"/>
    <w:rsid w:val="000061D3"/>
    <w:rsid w:val="000062AA"/>
    <w:rsid w:val="00006D27"/>
    <w:rsid w:val="00007055"/>
    <w:rsid w:val="00007516"/>
    <w:rsid w:val="00007697"/>
    <w:rsid w:val="00007C36"/>
    <w:rsid w:val="00007D2F"/>
    <w:rsid w:val="00007F08"/>
    <w:rsid w:val="00007FF8"/>
    <w:rsid w:val="00010654"/>
    <w:rsid w:val="00010735"/>
    <w:rsid w:val="00010F76"/>
    <w:rsid w:val="0001129D"/>
    <w:rsid w:val="0001154B"/>
    <w:rsid w:val="00011DD0"/>
    <w:rsid w:val="00012087"/>
    <w:rsid w:val="0001218D"/>
    <w:rsid w:val="000128F6"/>
    <w:rsid w:val="0001299B"/>
    <w:rsid w:val="00012AC8"/>
    <w:rsid w:val="000132A6"/>
    <w:rsid w:val="00013385"/>
    <w:rsid w:val="0001481D"/>
    <w:rsid w:val="00014E2A"/>
    <w:rsid w:val="0001583F"/>
    <w:rsid w:val="000162A9"/>
    <w:rsid w:val="00016621"/>
    <w:rsid w:val="000167CF"/>
    <w:rsid w:val="000169D9"/>
    <w:rsid w:val="0001799A"/>
    <w:rsid w:val="00017F51"/>
    <w:rsid w:val="00020097"/>
    <w:rsid w:val="00020180"/>
    <w:rsid w:val="000208AB"/>
    <w:rsid w:val="00020C6E"/>
    <w:rsid w:val="00020CE6"/>
    <w:rsid w:val="00021161"/>
    <w:rsid w:val="000211BA"/>
    <w:rsid w:val="00021AB9"/>
    <w:rsid w:val="00021C7D"/>
    <w:rsid w:val="00021FE9"/>
    <w:rsid w:val="00022631"/>
    <w:rsid w:val="00023284"/>
    <w:rsid w:val="000235B6"/>
    <w:rsid w:val="000245EF"/>
    <w:rsid w:val="00024872"/>
    <w:rsid w:val="00024968"/>
    <w:rsid w:val="00024F4F"/>
    <w:rsid w:val="000251A6"/>
    <w:rsid w:val="00025F18"/>
    <w:rsid w:val="00025FB6"/>
    <w:rsid w:val="00025FC0"/>
    <w:rsid w:val="000260EC"/>
    <w:rsid w:val="00026267"/>
    <w:rsid w:val="0002659D"/>
    <w:rsid w:val="000265E4"/>
    <w:rsid w:val="00027958"/>
    <w:rsid w:val="00030B44"/>
    <w:rsid w:val="00030BEB"/>
    <w:rsid w:val="00031347"/>
    <w:rsid w:val="0003171C"/>
    <w:rsid w:val="0003172B"/>
    <w:rsid w:val="00031A51"/>
    <w:rsid w:val="00031DAC"/>
    <w:rsid w:val="00033995"/>
    <w:rsid w:val="00033A6F"/>
    <w:rsid w:val="00033C6C"/>
    <w:rsid w:val="0003433F"/>
    <w:rsid w:val="0003435D"/>
    <w:rsid w:val="000349E8"/>
    <w:rsid w:val="000350B0"/>
    <w:rsid w:val="00035DA0"/>
    <w:rsid w:val="000361F3"/>
    <w:rsid w:val="00037D09"/>
    <w:rsid w:val="00040356"/>
    <w:rsid w:val="0004036B"/>
    <w:rsid w:val="00041EB4"/>
    <w:rsid w:val="00042239"/>
    <w:rsid w:val="000430ED"/>
    <w:rsid w:val="000431B7"/>
    <w:rsid w:val="00043348"/>
    <w:rsid w:val="00043401"/>
    <w:rsid w:val="00043A7E"/>
    <w:rsid w:val="00044D96"/>
    <w:rsid w:val="00044E39"/>
    <w:rsid w:val="00045639"/>
    <w:rsid w:val="0004576E"/>
    <w:rsid w:val="0004577B"/>
    <w:rsid w:val="00045A0A"/>
    <w:rsid w:val="00046452"/>
    <w:rsid w:val="000468D9"/>
    <w:rsid w:val="000476BA"/>
    <w:rsid w:val="00047C53"/>
    <w:rsid w:val="00047CF1"/>
    <w:rsid w:val="00050287"/>
    <w:rsid w:val="00050319"/>
    <w:rsid w:val="00050471"/>
    <w:rsid w:val="0005049C"/>
    <w:rsid w:val="000511B6"/>
    <w:rsid w:val="0005196C"/>
    <w:rsid w:val="00051CCA"/>
    <w:rsid w:val="00052627"/>
    <w:rsid w:val="000526B7"/>
    <w:rsid w:val="000531AD"/>
    <w:rsid w:val="00055C61"/>
    <w:rsid w:val="00055D3A"/>
    <w:rsid w:val="00055DD8"/>
    <w:rsid w:val="0005607B"/>
    <w:rsid w:val="000560A7"/>
    <w:rsid w:val="00056100"/>
    <w:rsid w:val="000561B4"/>
    <w:rsid w:val="0005639D"/>
    <w:rsid w:val="0005676C"/>
    <w:rsid w:val="000576FB"/>
    <w:rsid w:val="00057E05"/>
    <w:rsid w:val="00057FA8"/>
    <w:rsid w:val="00060309"/>
    <w:rsid w:val="000607EC"/>
    <w:rsid w:val="00061174"/>
    <w:rsid w:val="00061B58"/>
    <w:rsid w:val="00061B61"/>
    <w:rsid w:val="000628D0"/>
    <w:rsid w:val="00062A5B"/>
    <w:rsid w:val="00062F2C"/>
    <w:rsid w:val="000637AF"/>
    <w:rsid w:val="0006432D"/>
    <w:rsid w:val="000647D4"/>
    <w:rsid w:val="0006518E"/>
    <w:rsid w:val="00065243"/>
    <w:rsid w:val="00065A24"/>
    <w:rsid w:val="0006607E"/>
    <w:rsid w:val="000662B5"/>
    <w:rsid w:val="00066DAA"/>
    <w:rsid w:val="000675AA"/>
    <w:rsid w:val="000677EE"/>
    <w:rsid w:val="000706D1"/>
    <w:rsid w:val="000707DA"/>
    <w:rsid w:val="000709E6"/>
    <w:rsid w:val="000715F3"/>
    <w:rsid w:val="0007233F"/>
    <w:rsid w:val="00072404"/>
    <w:rsid w:val="000733EF"/>
    <w:rsid w:val="00073E21"/>
    <w:rsid w:val="0007459D"/>
    <w:rsid w:val="000747B4"/>
    <w:rsid w:val="00074B85"/>
    <w:rsid w:val="00075AC9"/>
    <w:rsid w:val="00075B05"/>
    <w:rsid w:val="00075E61"/>
    <w:rsid w:val="00075EC9"/>
    <w:rsid w:val="00076162"/>
    <w:rsid w:val="000762C9"/>
    <w:rsid w:val="0007716A"/>
    <w:rsid w:val="000772F1"/>
    <w:rsid w:val="00077336"/>
    <w:rsid w:val="00077BAA"/>
    <w:rsid w:val="00080112"/>
    <w:rsid w:val="000803F7"/>
    <w:rsid w:val="000804CF"/>
    <w:rsid w:val="0008085A"/>
    <w:rsid w:val="00080CBA"/>
    <w:rsid w:val="00081335"/>
    <w:rsid w:val="00082B40"/>
    <w:rsid w:val="00082D20"/>
    <w:rsid w:val="00083240"/>
    <w:rsid w:val="00083399"/>
    <w:rsid w:val="00083534"/>
    <w:rsid w:val="00083912"/>
    <w:rsid w:val="0008398F"/>
    <w:rsid w:val="00084172"/>
    <w:rsid w:val="000845EE"/>
    <w:rsid w:val="00084609"/>
    <w:rsid w:val="00084C2E"/>
    <w:rsid w:val="0008631C"/>
    <w:rsid w:val="00086478"/>
    <w:rsid w:val="00086876"/>
    <w:rsid w:val="00086896"/>
    <w:rsid w:val="00086F52"/>
    <w:rsid w:val="000872E7"/>
    <w:rsid w:val="00087698"/>
    <w:rsid w:val="0009005E"/>
    <w:rsid w:val="00090975"/>
    <w:rsid w:val="00090C34"/>
    <w:rsid w:val="00090CA9"/>
    <w:rsid w:val="00091B91"/>
    <w:rsid w:val="00091E76"/>
    <w:rsid w:val="00092AD5"/>
    <w:rsid w:val="00092F58"/>
    <w:rsid w:val="0009506A"/>
    <w:rsid w:val="00095599"/>
    <w:rsid w:val="00095AB2"/>
    <w:rsid w:val="00096281"/>
    <w:rsid w:val="000965CD"/>
    <w:rsid w:val="0009724B"/>
    <w:rsid w:val="0009726F"/>
    <w:rsid w:val="0009784B"/>
    <w:rsid w:val="000A05F3"/>
    <w:rsid w:val="000A1546"/>
    <w:rsid w:val="000A17B1"/>
    <w:rsid w:val="000A2882"/>
    <w:rsid w:val="000A3D21"/>
    <w:rsid w:val="000A3E16"/>
    <w:rsid w:val="000A43C6"/>
    <w:rsid w:val="000A484A"/>
    <w:rsid w:val="000A4AB6"/>
    <w:rsid w:val="000A4F01"/>
    <w:rsid w:val="000A5466"/>
    <w:rsid w:val="000A5AA8"/>
    <w:rsid w:val="000A61BA"/>
    <w:rsid w:val="000A6487"/>
    <w:rsid w:val="000A7DD1"/>
    <w:rsid w:val="000A7EF6"/>
    <w:rsid w:val="000B0F72"/>
    <w:rsid w:val="000B1165"/>
    <w:rsid w:val="000B1E6F"/>
    <w:rsid w:val="000B1EFA"/>
    <w:rsid w:val="000B221F"/>
    <w:rsid w:val="000B2548"/>
    <w:rsid w:val="000B3025"/>
    <w:rsid w:val="000B3638"/>
    <w:rsid w:val="000B3E92"/>
    <w:rsid w:val="000B4DC6"/>
    <w:rsid w:val="000B4F10"/>
    <w:rsid w:val="000B506C"/>
    <w:rsid w:val="000B594D"/>
    <w:rsid w:val="000B6580"/>
    <w:rsid w:val="000B6D11"/>
    <w:rsid w:val="000B6E83"/>
    <w:rsid w:val="000B6EC8"/>
    <w:rsid w:val="000B7820"/>
    <w:rsid w:val="000B7A7D"/>
    <w:rsid w:val="000C0A9A"/>
    <w:rsid w:val="000C0DBD"/>
    <w:rsid w:val="000C11F9"/>
    <w:rsid w:val="000C12E5"/>
    <w:rsid w:val="000C17BA"/>
    <w:rsid w:val="000C2CC4"/>
    <w:rsid w:val="000C2D07"/>
    <w:rsid w:val="000C31EF"/>
    <w:rsid w:val="000C3300"/>
    <w:rsid w:val="000C386B"/>
    <w:rsid w:val="000C3DCA"/>
    <w:rsid w:val="000C47BB"/>
    <w:rsid w:val="000C49F2"/>
    <w:rsid w:val="000C5FA4"/>
    <w:rsid w:val="000C600E"/>
    <w:rsid w:val="000C62B5"/>
    <w:rsid w:val="000C6375"/>
    <w:rsid w:val="000C637D"/>
    <w:rsid w:val="000C6BA0"/>
    <w:rsid w:val="000C7BF7"/>
    <w:rsid w:val="000D06BC"/>
    <w:rsid w:val="000D08D4"/>
    <w:rsid w:val="000D0B4E"/>
    <w:rsid w:val="000D1138"/>
    <w:rsid w:val="000D13EA"/>
    <w:rsid w:val="000D19FD"/>
    <w:rsid w:val="000D1F84"/>
    <w:rsid w:val="000D2307"/>
    <w:rsid w:val="000D2A31"/>
    <w:rsid w:val="000D3527"/>
    <w:rsid w:val="000D37FC"/>
    <w:rsid w:val="000D4236"/>
    <w:rsid w:val="000D5D87"/>
    <w:rsid w:val="000D63FE"/>
    <w:rsid w:val="000D7428"/>
    <w:rsid w:val="000D7E2C"/>
    <w:rsid w:val="000E0102"/>
    <w:rsid w:val="000E0405"/>
    <w:rsid w:val="000E0E03"/>
    <w:rsid w:val="000E1826"/>
    <w:rsid w:val="000E1BE2"/>
    <w:rsid w:val="000E2620"/>
    <w:rsid w:val="000E316C"/>
    <w:rsid w:val="000E333D"/>
    <w:rsid w:val="000E3D23"/>
    <w:rsid w:val="000E4056"/>
    <w:rsid w:val="000E4818"/>
    <w:rsid w:val="000E5C3C"/>
    <w:rsid w:val="000E63B7"/>
    <w:rsid w:val="000E73A1"/>
    <w:rsid w:val="000E7971"/>
    <w:rsid w:val="000E7BE9"/>
    <w:rsid w:val="000E7F0A"/>
    <w:rsid w:val="000E7F63"/>
    <w:rsid w:val="000F1C44"/>
    <w:rsid w:val="000F1FDB"/>
    <w:rsid w:val="000F2032"/>
    <w:rsid w:val="000F2167"/>
    <w:rsid w:val="000F28C1"/>
    <w:rsid w:val="000F4B8D"/>
    <w:rsid w:val="000F5D55"/>
    <w:rsid w:val="000F6E1E"/>
    <w:rsid w:val="000F7E9D"/>
    <w:rsid w:val="000F7FCB"/>
    <w:rsid w:val="001002E6"/>
    <w:rsid w:val="00100521"/>
    <w:rsid w:val="0010075B"/>
    <w:rsid w:val="00100E20"/>
    <w:rsid w:val="00101882"/>
    <w:rsid w:val="00102590"/>
    <w:rsid w:val="0010369B"/>
    <w:rsid w:val="00104311"/>
    <w:rsid w:val="00104A8B"/>
    <w:rsid w:val="00104F77"/>
    <w:rsid w:val="001060C5"/>
    <w:rsid w:val="00106341"/>
    <w:rsid w:val="001066F5"/>
    <w:rsid w:val="00107277"/>
    <w:rsid w:val="00107347"/>
    <w:rsid w:val="0010778B"/>
    <w:rsid w:val="001079D7"/>
    <w:rsid w:val="00110272"/>
    <w:rsid w:val="00111245"/>
    <w:rsid w:val="00111E2C"/>
    <w:rsid w:val="001128D5"/>
    <w:rsid w:val="0011326F"/>
    <w:rsid w:val="001139A3"/>
    <w:rsid w:val="001143A5"/>
    <w:rsid w:val="00114B9C"/>
    <w:rsid w:val="00114C57"/>
    <w:rsid w:val="00115611"/>
    <w:rsid w:val="00115C9C"/>
    <w:rsid w:val="00116B61"/>
    <w:rsid w:val="001171F7"/>
    <w:rsid w:val="0012174C"/>
    <w:rsid w:val="00122296"/>
    <w:rsid w:val="001226E1"/>
    <w:rsid w:val="0012277E"/>
    <w:rsid w:val="00122819"/>
    <w:rsid w:val="00122CE5"/>
    <w:rsid w:val="001238C0"/>
    <w:rsid w:val="0012442F"/>
    <w:rsid w:val="00125963"/>
    <w:rsid w:val="001260BA"/>
    <w:rsid w:val="001262E3"/>
    <w:rsid w:val="00126CE1"/>
    <w:rsid w:val="0012726A"/>
    <w:rsid w:val="0012799D"/>
    <w:rsid w:val="00130F5F"/>
    <w:rsid w:val="00130FB9"/>
    <w:rsid w:val="00131749"/>
    <w:rsid w:val="00131A2F"/>
    <w:rsid w:val="0013244C"/>
    <w:rsid w:val="001326AF"/>
    <w:rsid w:val="0013457C"/>
    <w:rsid w:val="001348F8"/>
    <w:rsid w:val="001349EF"/>
    <w:rsid w:val="00134CD4"/>
    <w:rsid w:val="00134DA9"/>
    <w:rsid w:val="00134EBA"/>
    <w:rsid w:val="001358BC"/>
    <w:rsid w:val="001364E6"/>
    <w:rsid w:val="00136572"/>
    <w:rsid w:val="0013660A"/>
    <w:rsid w:val="00136A02"/>
    <w:rsid w:val="00136A05"/>
    <w:rsid w:val="00140132"/>
    <w:rsid w:val="0014014C"/>
    <w:rsid w:val="0014194A"/>
    <w:rsid w:val="00141E36"/>
    <w:rsid w:val="0014213E"/>
    <w:rsid w:val="001426EB"/>
    <w:rsid w:val="0014272D"/>
    <w:rsid w:val="00142A29"/>
    <w:rsid w:val="00142B77"/>
    <w:rsid w:val="0014337B"/>
    <w:rsid w:val="001434AB"/>
    <w:rsid w:val="00143552"/>
    <w:rsid w:val="0014377D"/>
    <w:rsid w:val="00143973"/>
    <w:rsid w:val="00143B3C"/>
    <w:rsid w:val="00143BC9"/>
    <w:rsid w:val="00143DC7"/>
    <w:rsid w:val="001445BD"/>
    <w:rsid w:val="001449D4"/>
    <w:rsid w:val="001451E3"/>
    <w:rsid w:val="0014706E"/>
    <w:rsid w:val="0014760E"/>
    <w:rsid w:val="001476EE"/>
    <w:rsid w:val="00147825"/>
    <w:rsid w:val="001507C0"/>
    <w:rsid w:val="00150FB6"/>
    <w:rsid w:val="001514E7"/>
    <w:rsid w:val="0015156E"/>
    <w:rsid w:val="001522A9"/>
    <w:rsid w:val="0015376F"/>
    <w:rsid w:val="00153AB2"/>
    <w:rsid w:val="00154A74"/>
    <w:rsid w:val="00155150"/>
    <w:rsid w:val="00155A48"/>
    <w:rsid w:val="00157A63"/>
    <w:rsid w:val="001613EA"/>
    <w:rsid w:val="00161C45"/>
    <w:rsid w:val="00162F57"/>
    <w:rsid w:val="00163A55"/>
    <w:rsid w:val="00163B8E"/>
    <w:rsid w:val="00163C4E"/>
    <w:rsid w:val="00163E80"/>
    <w:rsid w:val="0016498E"/>
    <w:rsid w:val="001649EA"/>
    <w:rsid w:val="0016547A"/>
    <w:rsid w:val="0016556B"/>
    <w:rsid w:val="001657F4"/>
    <w:rsid w:val="00165881"/>
    <w:rsid w:val="001668A6"/>
    <w:rsid w:val="001675C9"/>
    <w:rsid w:val="00167682"/>
    <w:rsid w:val="00167770"/>
    <w:rsid w:val="00167E28"/>
    <w:rsid w:val="0017024B"/>
    <w:rsid w:val="0017085C"/>
    <w:rsid w:val="00170ADA"/>
    <w:rsid w:val="00170D6A"/>
    <w:rsid w:val="00170DC0"/>
    <w:rsid w:val="0017103F"/>
    <w:rsid w:val="001710C7"/>
    <w:rsid w:val="00171418"/>
    <w:rsid w:val="0017295D"/>
    <w:rsid w:val="00172A32"/>
    <w:rsid w:val="00172A90"/>
    <w:rsid w:val="00173000"/>
    <w:rsid w:val="0017352E"/>
    <w:rsid w:val="00173CE0"/>
    <w:rsid w:val="00174D0A"/>
    <w:rsid w:val="00175152"/>
    <w:rsid w:val="001754EA"/>
    <w:rsid w:val="00176EEE"/>
    <w:rsid w:val="00177673"/>
    <w:rsid w:val="0018006A"/>
    <w:rsid w:val="00180F36"/>
    <w:rsid w:val="001810AF"/>
    <w:rsid w:val="001816EF"/>
    <w:rsid w:val="00181716"/>
    <w:rsid w:val="00181F92"/>
    <w:rsid w:val="00182661"/>
    <w:rsid w:val="001828E1"/>
    <w:rsid w:val="0018306C"/>
    <w:rsid w:val="00183734"/>
    <w:rsid w:val="001837AD"/>
    <w:rsid w:val="00183EB8"/>
    <w:rsid w:val="001845A2"/>
    <w:rsid w:val="001848E9"/>
    <w:rsid w:val="00184CC0"/>
    <w:rsid w:val="0018575E"/>
    <w:rsid w:val="00185A6F"/>
    <w:rsid w:val="00185F80"/>
    <w:rsid w:val="00186036"/>
    <w:rsid w:val="00186AD8"/>
    <w:rsid w:val="00186B4F"/>
    <w:rsid w:val="00186D90"/>
    <w:rsid w:val="00187986"/>
    <w:rsid w:val="001879D9"/>
    <w:rsid w:val="00187B82"/>
    <w:rsid w:val="0019071E"/>
    <w:rsid w:val="00190785"/>
    <w:rsid w:val="00190D43"/>
    <w:rsid w:val="00191246"/>
    <w:rsid w:val="00191FCD"/>
    <w:rsid w:val="001929A3"/>
    <w:rsid w:val="0019387B"/>
    <w:rsid w:val="0019394B"/>
    <w:rsid w:val="00193D8D"/>
    <w:rsid w:val="00193E70"/>
    <w:rsid w:val="0019463F"/>
    <w:rsid w:val="00194B90"/>
    <w:rsid w:val="00194E2A"/>
    <w:rsid w:val="0019606C"/>
    <w:rsid w:val="001963B9"/>
    <w:rsid w:val="00196504"/>
    <w:rsid w:val="00197070"/>
    <w:rsid w:val="001973BD"/>
    <w:rsid w:val="00197FF0"/>
    <w:rsid w:val="001A00AA"/>
    <w:rsid w:val="001A0325"/>
    <w:rsid w:val="001A0DFB"/>
    <w:rsid w:val="001A0F08"/>
    <w:rsid w:val="001A0F7D"/>
    <w:rsid w:val="001A1AFC"/>
    <w:rsid w:val="001A22F8"/>
    <w:rsid w:val="001A2369"/>
    <w:rsid w:val="001A2C09"/>
    <w:rsid w:val="001A3596"/>
    <w:rsid w:val="001A41BE"/>
    <w:rsid w:val="001A4721"/>
    <w:rsid w:val="001A5EDD"/>
    <w:rsid w:val="001A703E"/>
    <w:rsid w:val="001A7310"/>
    <w:rsid w:val="001B0221"/>
    <w:rsid w:val="001B027F"/>
    <w:rsid w:val="001B1667"/>
    <w:rsid w:val="001B17E3"/>
    <w:rsid w:val="001B1C4D"/>
    <w:rsid w:val="001B1E2D"/>
    <w:rsid w:val="001B23D7"/>
    <w:rsid w:val="001B2B0B"/>
    <w:rsid w:val="001B2B73"/>
    <w:rsid w:val="001B2E81"/>
    <w:rsid w:val="001B2F7A"/>
    <w:rsid w:val="001B356C"/>
    <w:rsid w:val="001B35D4"/>
    <w:rsid w:val="001B38FC"/>
    <w:rsid w:val="001B39B6"/>
    <w:rsid w:val="001B3DAF"/>
    <w:rsid w:val="001B44B3"/>
    <w:rsid w:val="001B59C1"/>
    <w:rsid w:val="001B59CB"/>
    <w:rsid w:val="001B682A"/>
    <w:rsid w:val="001B6989"/>
    <w:rsid w:val="001B6EA4"/>
    <w:rsid w:val="001B6EB1"/>
    <w:rsid w:val="001C0273"/>
    <w:rsid w:val="001C03AF"/>
    <w:rsid w:val="001C07F1"/>
    <w:rsid w:val="001C183F"/>
    <w:rsid w:val="001C187B"/>
    <w:rsid w:val="001C1A77"/>
    <w:rsid w:val="001C20D7"/>
    <w:rsid w:val="001C238E"/>
    <w:rsid w:val="001C277B"/>
    <w:rsid w:val="001C2A33"/>
    <w:rsid w:val="001C30BE"/>
    <w:rsid w:val="001C3411"/>
    <w:rsid w:val="001C471A"/>
    <w:rsid w:val="001C4965"/>
    <w:rsid w:val="001C52A1"/>
    <w:rsid w:val="001C574C"/>
    <w:rsid w:val="001C5CB8"/>
    <w:rsid w:val="001C5D7F"/>
    <w:rsid w:val="001C6B6B"/>
    <w:rsid w:val="001C7FA0"/>
    <w:rsid w:val="001C7FF6"/>
    <w:rsid w:val="001D1150"/>
    <w:rsid w:val="001D1525"/>
    <w:rsid w:val="001D1894"/>
    <w:rsid w:val="001D1EED"/>
    <w:rsid w:val="001D2537"/>
    <w:rsid w:val="001D253A"/>
    <w:rsid w:val="001D357A"/>
    <w:rsid w:val="001D3CDF"/>
    <w:rsid w:val="001D3D0E"/>
    <w:rsid w:val="001D434E"/>
    <w:rsid w:val="001D495C"/>
    <w:rsid w:val="001D523B"/>
    <w:rsid w:val="001D5434"/>
    <w:rsid w:val="001D55A2"/>
    <w:rsid w:val="001D57AC"/>
    <w:rsid w:val="001D6191"/>
    <w:rsid w:val="001D68CF"/>
    <w:rsid w:val="001D6EA6"/>
    <w:rsid w:val="001D77D0"/>
    <w:rsid w:val="001D7990"/>
    <w:rsid w:val="001D7A68"/>
    <w:rsid w:val="001E00A6"/>
    <w:rsid w:val="001E029F"/>
    <w:rsid w:val="001E072B"/>
    <w:rsid w:val="001E1B3C"/>
    <w:rsid w:val="001E1DED"/>
    <w:rsid w:val="001E3505"/>
    <w:rsid w:val="001E370D"/>
    <w:rsid w:val="001E3A62"/>
    <w:rsid w:val="001E3C7C"/>
    <w:rsid w:val="001E44A9"/>
    <w:rsid w:val="001E4921"/>
    <w:rsid w:val="001E4D2D"/>
    <w:rsid w:val="001E4FED"/>
    <w:rsid w:val="001E551B"/>
    <w:rsid w:val="001E63BF"/>
    <w:rsid w:val="001E69F9"/>
    <w:rsid w:val="001E6EBC"/>
    <w:rsid w:val="001E71A5"/>
    <w:rsid w:val="001E7CD3"/>
    <w:rsid w:val="001F0827"/>
    <w:rsid w:val="001F1BF7"/>
    <w:rsid w:val="001F1D36"/>
    <w:rsid w:val="001F2A6E"/>
    <w:rsid w:val="001F2E20"/>
    <w:rsid w:val="001F3619"/>
    <w:rsid w:val="001F3DB3"/>
    <w:rsid w:val="001F45AD"/>
    <w:rsid w:val="001F464B"/>
    <w:rsid w:val="001F4758"/>
    <w:rsid w:val="001F5174"/>
    <w:rsid w:val="001F55C4"/>
    <w:rsid w:val="001F5A3A"/>
    <w:rsid w:val="001F5EF5"/>
    <w:rsid w:val="001F61EC"/>
    <w:rsid w:val="001F63CE"/>
    <w:rsid w:val="001F6BAC"/>
    <w:rsid w:val="001F7BAA"/>
    <w:rsid w:val="001F7CAA"/>
    <w:rsid w:val="00200344"/>
    <w:rsid w:val="002003E0"/>
    <w:rsid w:val="00200A04"/>
    <w:rsid w:val="00200D2C"/>
    <w:rsid w:val="002014F5"/>
    <w:rsid w:val="0020174C"/>
    <w:rsid w:val="00201A0E"/>
    <w:rsid w:val="00201BD2"/>
    <w:rsid w:val="00201BE7"/>
    <w:rsid w:val="00201D2D"/>
    <w:rsid w:val="00201FAE"/>
    <w:rsid w:val="002021AF"/>
    <w:rsid w:val="00202D5D"/>
    <w:rsid w:val="00202F7A"/>
    <w:rsid w:val="002033BE"/>
    <w:rsid w:val="00203B15"/>
    <w:rsid w:val="00203F4A"/>
    <w:rsid w:val="00204FEA"/>
    <w:rsid w:val="00205545"/>
    <w:rsid w:val="002055D1"/>
    <w:rsid w:val="00205601"/>
    <w:rsid w:val="002065B0"/>
    <w:rsid w:val="002066F3"/>
    <w:rsid w:val="00206729"/>
    <w:rsid w:val="00206CAB"/>
    <w:rsid w:val="0021076A"/>
    <w:rsid w:val="002107BB"/>
    <w:rsid w:val="00210883"/>
    <w:rsid w:val="00210AD5"/>
    <w:rsid w:val="00210BB5"/>
    <w:rsid w:val="00210D90"/>
    <w:rsid w:val="00211282"/>
    <w:rsid w:val="00211F9B"/>
    <w:rsid w:val="00212463"/>
    <w:rsid w:val="00212511"/>
    <w:rsid w:val="00212DF6"/>
    <w:rsid w:val="002138DC"/>
    <w:rsid w:val="00213EA7"/>
    <w:rsid w:val="00215598"/>
    <w:rsid w:val="00215D06"/>
    <w:rsid w:val="00215DCB"/>
    <w:rsid w:val="00215E20"/>
    <w:rsid w:val="0021615C"/>
    <w:rsid w:val="00216262"/>
    <w:rsid w:val="002166D2"/>
    <w:rsid w:val="002170A7"/>
    <w:rsid w:val="00217472"/>
    <w:rsid w:val="00220BDD"/>
    <w:rsid w:val="00221675"/>
    <w:rsid w:val="002229C9"/>
    <w:rsid w:val="00222A23"/>
    <w:rsid w:val="00222C50"/>
    <w:rsid w:val="00223087"/>
    <w:rsid w:val="00224666"/>
    <w:rsid w:val="0022470C"/>
    <w:rsid w:val="0022480D"/>
    <w:rsid w:val="00224A21"/>
    <w:rsid w:val="00224EA6"/>
    <w:rsid w:val="0022521B"/>
    <w:rsid w:val="00225246"/>
    <w:rsid w:val="00225D03"/>
    <w:rsid w:val="0022622C"/>
    <w:rsid w:val="00226420"/>
    <w:rsid w:val="002266D2"/>
    <w:rsid w:val="00226AD4"/>
    <w:rsid w:val="0022764E"/>
    <w:rsid w:val="00227782"/>
    <w:rsid w:val="00227B3D"/>
    <w:rsid w:val="00230BC7"/>
    <w:rsid w:val="00230F75"/>
    <w:rsid w:val="0023115E"/>
    <w:rsid w:val="0023146D"/>
    <w:rsid w:val="00231AB7"/>
    <w:rsid w:val="00231BC2"/>
    <w:rsid w:val="00233121"/>
    <w:rsid w:val="00233552"/>
    <w:rsid w:val="002338C3"/>
    <w:rsid w:val="00233957"/>
    <w:rsid w:val="00233B43"/>
    <w:rsid w:val="00234806"/>
    <w:rsid w:val="002351B2"/>
    <w:rsid w:val="00235531"/>
    <w:rsid w:val="00236060"/>
    <w:rsid w:val="002362F6"/>
    <w:rsid w:val="00236548"/>
    <w:rsid w:val="00236C21"/>
    <w:rsid w:val="00237238"/>
    <w:rsid w:val="00237268"/>
    <w:rsid w:val="002375E7"/>
    <w:rsid w:val="00237973"/>
    <w:rsid w:val="002406FF"/>
    <w:rsid w:val="0024119B"/>
    <w:rsid w:val="002416C6"/>
    <w:rsid w:val="00242ABB"/>
    <w:rsid w:val="00242CFC"/>
    <w:rsid w:val="002435E9"/>
    <w:rsid w:val="00243951"/>
    <w:rsid w:val="002442DF"/>
    <w:rsid w:val="00244DB0"/>
    <w:rsid w:val="00244DB8"/>
    <w:rsid w:val="00244F42"/>
    <w:rsid w:val="00245D37"/>
    <w:rsid w:val="002463F8"/>
    <w:rsid w:val="002469AB"/>
    <w:rsid w:val="00246B18"/>
    <w:rsid w:val="0024785F"/>
    <w:rsid w:val="00247BE6"/>
    <w:rsid w:val="00247C89"/>
    <w:rsid w:val="00247F54"/>
    <w:rsid w:val="00250412"/>
    <w:rsid w:val="00250F82"/>
    <w:rsid w:val="00250FB6"/>
    <w:rsid w:val="0025184C"/>
    <w:rsid w:val="002523B8"/>
    <w:rsid w:val="00252752"/>
    <w:rsid w:val="00252890"/>
    <w:rsid w:val="0025335C"/>
    <w:rsid w:val="00253A1C"/>
    <w:rsid w:val="00253F7E"/>
    <w:rsid w:val="00254723"/>
    <w:rsid w:val="00254A14"/>
    <w:rsid w:val="00254EAF"/>
    <w:rsid w:val="002557DA"/>
    <w:rsid w:val="002558A5"/>
    <w:rsid w:val="00256714"/>
    <w:rsid w:val="00256BC8"/>
    <w:rsid w:val="00257743"/>
    <w:rsid w:val="00257BC3"/>
    <w:rsid w:val="00257C62"/>
    <w:rsid w:val="002608F4"/>
    <w:rsid w:val="002619E1"/>
    <w:rsid w:val="00261D16"/>
    <w:rsid w:val="0026225C"/>
    <w:rsid w:val="00262D8D"/>
    <w:rsid w:val="00263695"/>
    <w:rsid w:val="002642BC"/>
    <w:rsid w:val="00264581"/>
    <w:rsid w:val="0026587E"/>
    <w:rsid w:val="00265B5B"/>
    <w:rsid w:val="0026607E"/>
    <w:rsid w:val="00267190"/>
    <w:rsid w:val="0026759E"/>
    <w:rsid w:val="002677CB"/>
    <w:rsid w:val="00270D9D"/>
    <w:rsid w:val="002712B5"/>
    <w:rsid w:val="00271642"/>
    <w:rsid w:val="002717F8"/>
    <w:rsid w:val="002741B6"/>
    <w:rsid w:val="002744E0"/>
    <w:rsid w:val="0027455C"/>
    <w:rsid w:val="00274BFF"/>
    <w:rsid w:val="00275504"/>
    <w:rsid w:val="002759D5"/>
    <w:rsid w:val="0027647F"/>
    <w:rsid w:val="00276520"/>
    <w:rsid w:val="002774B1"/>
    <w:rsid w:val="00277842"/>
    <w:rsid w:val="00280028"/>
    <w:rsid w:val="0028014C"/>
    <w:rsid w:val="0028067A"/>
    <w:rsid w:val="002809E6"/>
    <w:rsid w:val="00281016"/>
    <w:rsid w:val="0028255D"/>
    <w:rsid w:val="002829FE"/>
    <w:rsid w:val="00282C67"/>
    <w:rsid w:val="00282E2A"/>
    <w:rsid w:val="00283D6B"/>
    <w:rsid w:val="00283E4A"/>
    <w:rsid w:val="00284443"/>
    <w:rsid w:val="00284D46"/>
    <w:rsid w:val="00285631"/>
    <w:rsid w:val="002858C4"/>
    <w:rsid w:val="00286BB4"/>
    <w:rsid w:val="00286F76"/>
    <w:rsid w:val="00287AC3"/>
    <w:rsid w:val="0029055E"/>
    <w:rsid w:val="0029058D"/>
    <w:rsid w:val="00290923"/>
    <w:rsid w:val="00290B10"/>
    <w:rsid w:val="00290E44"/>
    <w:rsid w:val="00290EF0"/>
    <w:rsid w:val="00290FC6"/>
    <w:rsid w:val="00292C61"/>
    <w:rsid w:val="0029324D"/>
    <w:rsid w:val="00293AD4"/>
    <w:rsid w:val="00293E6D"/>
    <w:rsid w:val="00294640"/>
    <w:rsid w:val="00294D8E"/>
    <w:rsid w:val="00294EAC"/>
    <w:rsid w:val="00295DB2"/>
    <w:rsid w:val="002968EF"/>
    <w:rsid w:val="00296951"/>
    <w:rsid w:val="00296B73"/>
    <w:rsid w:val="002971B6"/>
    <w:rsid w:val="00297639"/>
    <w:rsid w:val="002A1C08"/>
    <w:rsid w:val="002A2251"/>
    <w:rsid w:val="002A2850"/>
    <w:rsid w:val="002A2CAA"/>
    <w:rsid w:val="002A2DC2"/>
    <w:rsid w:val="002A31F6"/>
    <w:rsid w:val="002A5A3F"/>
    <w:rsid w:val="002A61A9"/>
    <w:rsid w:val="002A61E0"/>
    <w:rsid w:val="002A65B6"/>
    <w:rsid w:val="002A6763"/>
    <w:rsid w:val="002A67A0"/>
    <w:rsid w:val="002A6927"/>
    <w:rsid w:val="002A6AEF"/>
    <w:rsid w:val="002A6ECA"/>
    <w:rsid w:val="002A7049"/>
    <w:rsid w:val="002A712E"/>
    <w:rsid w:val="002A784B"/>
    <w:rsid w:val="002A7E70"/>
    <w:rsid w:val="002A7F44"/>
    <w:rsid w:val="002B1214"/>
    <w:rsid w:val="002B13A7"/>
    <w:rsid w:val="002B22D3"/>
    <w:rsid w:val="002B2599"/>
    <w:rsid w:val="002B3897"/>
    <w:rsid w:val="002B3B72"/>
    <w:rsid w:val="002B3F42"/>
    <w:rsid w:val="002B3FA1"/>
    <w:rsid w:val="002B427A"/>
    <w:rsid w:val="002B4370"/>
    <w:rsid w:val="002B4442"/>
    <w:rsid w:val="002B44C3"/>
    <w:rsid w:val="002B480D"/>
    <w:rsid w:val="002B5755"/>
    <w:rsid w:val="002B61FA"/>
    <w:rsid w:val="002B673F"/>
    <w:rsid w:val="002B6858"/>
    <w:rsid w:val="002B6EC9"/>
    <w:rsid w:val="002B718B"/>
    <w:rsid w:val="002B74FA"/>
    <w:rsid w:val="002B78AB"/>
    <w:rsid w:val="002B7B7B"/>
    <w:rsid w:val="002C0793"/>
    <w:rsid w:val="002C0FB2"/>
    <w:rsid w:val="002C1947"/>
    <w:rsid w:val="002C1C92"/>
    <w:rsid w:val="002C1E42"/>
    <w:rsid w:val="002C267B"/>
    <w:rsid w:val="002C2942"/>
    <w:rsid w:val="002C4705"/>
    <w:rsid w:val="002C480E"/>
    <w:rsid w:val="002C4A17"/>
    <w:rsid w:val="002C4D2C"/>
    <w:rsid w:val="002C5556"/>
    <w:rsid w:val="002C56B1"/>
    <w:rsid w:val="002C6C83"/>
    <w:rsid w:val="002C7A78"/>
    <w:rsid w:val="002C7CFF"/>
    <w:rsid w:val="002D0A48"/>
    <w:rsid w:val="002D125B"/>
    <w:rsid w:val="002D1351"/>
    <w:rsid w:val="002D1AD9"/>
    <w:rsid w:val="002D2087"/>
    <w:rsid w:val="002D2890"/>
    <w:rsid w:val="002D28BA"/>
    <w:rsid w:val="002D2F30"/>
    <w:rsid w:val="002D43FE"/>
    <w:rsid w:val="002D45A1"/>
    <w:rsid w:val="002D57B7"/>
    <w:rsid w:val="002D5C52"/>
    <w:rsid w:val="002D6C5F"/>
    <w:rsid w:val="002D729A"/>
    <w:rsid w:val="002D7B2E"/>
    <w:rsid w:val="002D7B7F"/>
    <w:rsid w:val="002D7B97"/>
    <w:rsid w:val="002E03AD"/>
    <w:rsid w:val="002E03DD"/>
    <w:rsid w:val="002E07D9"/>
    <w:rsid w:val="002E0EDD"/>
    <w:rsid w:val="002E0FED"/>
    <w:rsid w:val="002E191A"/>
    <w:rsid w:val="002E195C"/>
    <w:rsid w:val="002E261B"/>
    <w:rsid w:val="002E2B1A"/>
    <w:rsid w:val="002E2C71"/>
    <w:rsid w:val="002E4735"/>
    <w:rsid w:val="002E48AF"/>
    <w:rsid w:val="002E4945"/>
    <w:rsid w:val="002E4BE1"/>
    <w:rsid w:val="002E4EA1"/>
    <w:rsid w:val="002E51FB"/>
    <w:rsid w:val="002E53F4"/>
    <w:rsid w:val="002E5B20"/>
    <w:rsid w:val="002E6351"/>
    <w:rsid w:val="002E6EF9"/>
    <w:rsid w:val="002E6FC4"/>
    <w:rsid w:val="002F038E"/>
    <w:rsid w:val="002F048F"/>
    <w:rsid w:val="002F064D"/>
    <w:rsid w:val="002F096F"/>
    <w:rsid w:val="002F0F62"/>
    <w:rsid w:val="002F1C29"/>
    <w:rsid w:val="002F2B76"/>
    <w:rsid w:val="002F31F9"/>
    <w:rsid w:val="002F45DB"/>
    <w:rsid w:val="002F47AC"/>
    <w:rsid w:val="002F55AF"/>
    <w:rsid w:val="002F577E"/>
    <w:rsid w:val="002F5F01"/>
    <w:rsid w:val="002F640D"/>
    <w:rsid w:val="002F702B"/>
    <w:rsid w:val="002F72B1"/>
    <w:rsid w:val="002F781B"/>
    <w:rsid w:val="002F7B62"/>
    <w:rsid w:val="002F7E02"/>
    <w:rsid w:val="0030027E"/>
    <w:rsid w:val="0030032D"/>
    <w:rsid w:val="0030059D"/>
    <w:rsid w:val="0030061D"/>
    <w:rsid w:val="003008BC"/>
    <w:rsid w:val="00301102"/>
    <w:rsid w:val="003014C9"/>
    <w:rsid w:val="00301CE0"/>
    <w:rsid w:val="00302BB9"/>
    <w:rsid w:val="00302E55"/>
    <w:rsid w:val="00302EEE"/>
    <w:rsid w:val="0030304D"/>
    <w:rsid w:val="0030313B"/>
    <w:rsid w:val="003032CB"/>
    <w:rsid w:val="00303343"/>
    <w:rsid w:val="00303F60"/>
    <w:rsid w:val="00304F1D"/>
    <w:rsid w:val="003057A2"/>
    <w:rsid w:val="00305924"/>
    <w:rsid w:val="0030631D"/>
    <w:rsid w:val="00306B22"/>
    <w:rsid w:val="00306F76"/>
    <w:rsid w:val="00306FAB"/>
    <w:rsid w:val="003078F3"/>
    <w:rsid w:val="00307D83"/>
    <w:rsid w:val="00307E0D"/>
    <w:rsid w:val="00311846"/>
    <w:rsid w:val="0031191A"/>
    <w:rsid w:val="00312461"/>
    <w:rsid w:val="0031250B"/>
    <w:rsid w:val="00312B6C"/>
    <w:rsid w:val="0031312E"/>
    <w:rsid w:val="00313352"/>
    <w:rsid w:val="00314D30"/>
    <w:rsid w:val="00315477"/>
    <w:rsid w:val="00315585"/>
    <w:rsid w:val="003161D5"/>
    <w:rsid w:val="003167CB"/>
    <w:rsid w:val="00316C63"/>
    <w:rsid w:val="00316DCC"/>
    <w:rsid w:val="00316FE9"/>
    <w:rsid w:val="003172DE"/>
    <w:rsid w:val="003174E3"/>
    <w:rsid w:val="00317903"/>
    <w:rsid w:val="003179B2"/>
    <w:rsid w:val="0032062E"/>
    <w:rsid w:val="00322094"/>
    <w:rsid w:val="00322748"/>
    <w:rsid w:val="00322A64"/>
    <w:rsid w:val="00322EAF"/>
    <w:rsid w:val="003233FF"/>
    <w:rsid w:val="003235B4"/>
    <w:rsid w:val="0032413C"/>
    <w:rsid w:val="00324161"/>
    <w:rsid w:val="00324354"/>
    <w:rsid w:val="00324A32"/>
    <w:rsid w:val="00324E3D"/>
    <w:rsid w:val="003266EC"/>
    <w:rsid w:val="003268D4"/>
    <w:rsid w:val="003269F9"/>
    <w:rsid w:val="00326B4F"/>
    <w:rsid w:val="003304B2"/>
    <w:rsid w:val="00330A3C"/>
    <w:rsid w:val="00330E15"/>
    <w:rsid w:val="0033251E"/>
    <w:rsid w:val="00332B95"/>
    <w:rsid w:val="00333310"/>
    <w:rsid w:val="00333762"/>
    <w:rsid w:val="003339E2"/>
    <w:rsid w:val="00333DA5"/>
    <w:rsid w:val="00334B79"/>
    <w:rsid w:val="00334BD5"/>
    <w:rsid w:val="003353C7"/>
    <w:rsid w:val="0033544D"/>
    <w:rsid w:val="003358E2"/>
    <w:rsid w:val="00336028"/>
    <w:rsid w:val="00336DDE"/>
    <w:rsid w:val="00337BAA"/>
    <w:rsid w:val="003400CE"/>
    <w:rsid w:val="00340453"/>
    <w:rsid w:val="00340C80"/>
    <w:rsid w:val="00341FE4"/>
    <w:rsid w:val="003427EA"/>
    <w:rsid w:val="00342CEC"/>
    <w:rsid w:val="00343579"/>
    <w:rsid w:val="00344179"/>
    <w:rsid w:val="003446C9"/>
    <w:rsid w:val="00344CC1"/>
    <w:rsid w:val="00344FC6"/>
    <w:rsid w:val="003457EF"/>
    <w:rsid w:val="003465CC"/>
    <w:rsid w:val="00347CD7"/>
    <w:rsid w:val="003504A0"/>
    <w:rsid w:val="003511CC"/>
    <w:rsid w:val="00351CCE"/>
    <w:rsid w:val="0035207D"/>
    <w:rsid w:val="00352751"/>
    <w:rsid w:val="003528D8"/>
    <w:rsid w:val="00353BD9"/>
    <w:rsid w:val="00353D5C"/>
    <w:rsid w:val="00353FB5"/>
    <w:rsid w:val="00354040"/>
    <w:rsid w:val="00354705"/>
    <w:rsid w:val="00356B54"/>
    <w:rsid w:val="003571E3"/>
    <w:rsid w:val="00360987"/>
    <w:rsid w:val="00361432"/>
    <w:rsid w:val="003616FE"/>
    <w:rsid w:val="0036302D"/>
    <w:rsid w:val="003632F3"/>
    <w:rsid w:val="00363CD7"/>
    <w:rsid w:val="003648C8"/>
    <w:rsid w:val="00364EAE"/>
    <w:rsid w:val="0036523C"/>
    <w:rsid w:val="0036593D"/>
    <w:rsid w:val="00365C02"/>
    <w:rsid w:val="00365E63"/>
    <w:rsid w:val="00366442"/>
    <w:rsid w:val="00366944"/>
    <w:rsid w:val="00366A4E"/>
    <w:rsid w:val="00366FD0"/>
    <w:rsid w:val="003676C4"/>
    <w:rsid w:val="00367D4E"/>
    <w:rsid w:val="003702AD"/>
    <w:rsid w:val="00370785"/>
    <w:rsid w:val="00370976"/>
    <w:rsid w:val="00370C79"/>
    <w:rsid w:val="0037161A"/>
    <w:rsid w:val="0037191F"/>
    <w:rsid w:val="00372C1D"/>
    <w:rsid w:val="00372C33"/>
    <w:rsid w:val="00372C5C"/>
    <w:rsid w:val="00372F6C"/>
    <w:rsid w:val="00373537"/>
    <w:rsid w:val="003738C2"/>
    <w:rsid w:val="00373A60"/>
    <w:rsid w:val="00373E51"/>
    <w:rsid w:val="00374774"/>
    <w:rsid w:val="00374B28"/>
    <w:rsid w:val="00374BE6"/>
    <w:rsid w:val="00375166"/>
    <w:rsid w:val="00376EDA"/>
    <w:rsid w:val="00377285"/>
    <w:rsid w:val="0037730D"/>
    <w:rsid w:val="00377AE7"/>
    <w:rsid w:val="003807F1"/>
    <w:rsid w:val="0038264F"/>
    <w:rsid w:val="003826EA"/>
    <w:rsid w:val="00382CA8"/>
    <w:rsid w:val="003834EB"/>
    <w:rsid w:val="00383B50"/>
    <w:rsid w:val="00384358"/>
    <w:rsid w:val="00384413"/>
    <w:rsid w:val="0038444A"/>
    <w:rsid w:val="00384BD0"/>
    <w:rsid w:val="00385B81"/>
    <w:rsid w:val="00385E8D"/>
    <w:rsid w:val="0038626B"/>
    <w:rsid w:val="0038656F"/>
    <w:rsid w:val="00386B31"/>
    <w:rsid w:val="00386CBF"/>
    <w:rsid w:val="0038724F"/>
    <w:rsid w:val="00390BFA"/>
    <w:rsid w:val="0039124B"/>
    <w:rsid w:val="003918ED"/>
    <w:rsid w:val="00392BC6"/>
    <w:rsid w:val="0039318A"/>
    <w:rsid w:val="00393708"/>
    <w:rsid w:val="00393B57"/>
    <w:rsid w:val="00393E74"/>
    <w:rsid w:val="003942DD"/>
    <w:rsid w:val="00394732"/>
    <w:rsid w:val="003950FA"/>
    <w:rsid w:val="0039521A"/>
    <w:rsid w:val="0039617C"/>
    <w:rsid w:val="003972B8"/>
    <w:rsid w:val="003972E5"/>
    <w:rsid w:val="003A015E"/>
    <w:rsid w:val="003A07A5"/>
    <w:rsid w:val="003A0DEB"/>
    <w:rsid w:val="003A1879"/>
    <w:rsid w:val="003A1B64"/>
    <w:rsid w:val="003A1C58"/>
    <w:rsid w:val="003A3272"/>
    <w:rsid w:val="003A386F"/>
    <w:rsid w:val="003A38ED"/>
    <w:rsid w:val="003A4B52"/>
    <w:rsid w:val="003A4E33"/>
    <w:rsid w:val="003A5323"/>
    <w:rsid w:val="003A5889"/>
    <w:rsid w:val="003A6391"/>
    <w:rsid w:val="003A68F8"/>
    <w:rsid w:val="003A6E92"/>
    <w:rsid w:val="003A6FC9"/>
    <w:rsid w:val="003A70E0"/>
    <w:rsid w:val="003A78C7"/>
    <w:rsid w:val="003B0012"/>
    <w:rsid w:val="003B048F"/>
    <w:rsid w:val="003B056F"/>
    <w:rsid w:val="003B148F"/>
    <w:rsid w:val="003B14B4"/>
    <w:rsid w:val="003B152D"/>
    <w:rsid w:val="003B1ACB"/>
    <w:rsid w:val="003B1CB3"/>
    <w:rsid w:val="003B24A5"/>
    <w:rsid w:val="003B274B"/>
    <w:rsid w:val="003B4B16"/>
    <w:rsid w:val="003B4DB4"/>
    <w:rsid w:val="003B4F61"/>
    <w:rsid w:val="003B5C75"/>
    <w:rsid w:val="003B5FD9"/>
    <w:rsid w:val="003B60F5"/>
    <w:rsid w:val="003B674E"/>
    <w:rsid w:val="003B6B16"/>
    <w:rsid w:val="003B7609"/>
    <w:rsid w:val="003C11A3"/>
    <w:rsid w:val="003C1705"/>
    <w:rsid w:val="003C2AC8"/>
    <w:rsid w:val="003C2C4A"/>
    <w:rsid w:val="003C31FD"/>
    <w:rsid w:val="003C33FC"/>
    <w:rsid w:val="003C3FAC"/>
    <w:rsid w:val="003C49B0"/>
    <w:rsid w:val="003C4AB7"/>
    <w:rsid w:val="003C4C12"/>
    <w:rsid w:val="003C4FEA"/>
    <w:rsid w:val="003C599E"/>
    <w:rsid w:val="003C5F9E"/>
    <w:rsid w:val="003C6BB6"/>
    <w:rsid w:val="003C6D9B"/>
    <w:rsid w:val="003C70F3"/>
    <w:rsid w:val="003D0020"/>
    <w:rsid w:val="003D0BF3"/>
    <w:rsid w:val="003D10F4"/>
    <w:rsid w:val="003D1B91"/>
    <w:rsid w:val="003D1B93"/>
    <w:rsid w:val="003D1D78"/>
    <w:rsid w:val="003D2724"/>
    <w:rsid w:val="003D3588"/>
    <w:rsid w:val="003D3EB3"/>
    <w:rsid w:val="003D42E4"/>
    <w:rsid w:val="003D42EC"/>
    <w:rsid w:val="003D4AFD"/>
    <w:rsid w:val="003D4EC1"/>
    <w:rsid w:val="003D54FB"/>
    <w:rsid w:val="003D5A7F"/>
    <w:rsid w:val="003D5D95"/>
    <w:rsid w:val="003D667A"/>
    <w:rsid w:val="003E0318"/>
    <w:rsid w:val="003E0CF0"/>
    <w:rsid w:val="003E1464"/>
    <w:rsid w:val="003E14B0"/>
    <w:rsid w:val="003E1A4A"/>
    <w:rsid w:val="003E1C3A"/>
    <w:rsid w:val="003E1DC4"/>
    <w:rsid w:val="003E1E83"/>
    <w:rsid w:val="003E1E9D"/>
    <w:rsid w:val="003E235B"/>
    <w:rsid w:val="003E2B9C"/>
    <w:rsid w:val="003E2C09"/>
    <w:rsid w:val="003E339E"/>
    <w:rsid w:val="003E34E1"/>
    <w:rsid w:val="003E3844"/>
    <w:rsid w:val="003E3CA6"/>
    <w:rsid w:val="003E4055"/>
    <w:rsid w:val="003E44A0"/>
    <w:rsid w:val="003E4747"/>
    <w:rsid w:val="003E4943"/>
    <w:rsid w:val="003E4B79"/>
    <w:rsid w:val="003E4F39"/>
    <w:rsid w:val="003E5179"/>
    <w:rsid w:val="003E5426"/>
    <w:rsid w:val="003E6923"/>
    <w:rsid w:val="003E6E75"/>
    <w:rsid w:val="003E7B13"/>
    <w:rsid w:val="003F0514"/>
    <w:rsid w:val="003F07E4"/>
    <w:rsid w:val="003F0A35"/>
    <w:rsid w:val="003F0B11"/>
    <w:rsid w:val="003F0D62"/>
    <w:rsid w:val="003F1A48"/>
    <w:rsid w:val="003F2B73"/>
    <w:rsid w:val="003F3788"/>
    <w:rsid w:val="003F3D71"/>
    <w:rsid w:val="003F3E64"/>
    <w:rsid w:val="003F432B"/>
    <w:rsid w:val="003F516E"/>
    <w:rsid w:val="003F56F9"/>
    <w:rsid w:val="003F5AE4"/>
    <w:rsid w:val="003F630C"/>
    <w:rsid w:val="003F653D"/>
    <w:rsid w:val="003F6B8A"/>
    <w:rsid w:val="003F700E"/>
    <w:rsid w:val="003F7092"/>
    <w:rsid w:val="00400A4C"/>
    <w:rsid w:val="00400D32"/>
    <w:rsid w:val="0040134A"/>
    <w:rsid w:val="004014AA"/>
    <w:rsid w:val="004016DD"/>
    <w:rsid w:val="00401E94"/>
    <w:rsid w:val="00401FE6"/>
    <w:rsid w:val="00402006"/>
    <w:rsid w:val="00402AF4"/>
    <w:rsid w:val="00402F03"/>
    <w:rsid w:val="00403ADF"/>
    <w:rsid w:val="00404569"/>
    <w:rsid w:val="00404A0F"/>
    <w:rsid w:val="0040549F"/>
    <w:rsid w:val="00405508"/>
    <w:rsid w:val="0040597D"/>
    <w:rsid w:val="004069DE"/>
    <w:rsid w:val="00406CAF"/>
    <w:rsid w:val="00407953"/>
    <w:rsid w:val="00407973"/>
    <w:rsid w:val="00407A8B"/>
    <w:rsid w:val="00410180"/>
    <w:rsid w:val="0041060B"/>
    <w:rsid w:val="0041081B"/>
    <w:rsid w:val="004109A0"/>
    <w:rsid w:val="004112DD"/>
    <w:rsid w:val="00411A46"/>
    <w:rsid w:val="00411B36"/>
    <w:rsid w:val="00412191"/>
    <w:rsid w:val="00412817"/>
    <w:rsid w:val="00412D94"/>
    <w:rsid w:val="00413488"/>
    <w:rsid w:val="00414D41"/>
    <w:rsid w:val="004155C7"/>
    <w:rsid w:val="00415629"/>
    <w:rsid w:val="00415806"/>
    <w:rsid w:val="0041587E"/>
    <w:rsid w:val="00415903"/>
    <w:rsid w:val="004159EA"/>
    <w:rsid w:val="00415BBD"/>
    <w:rsid w:val="00415CDC"/>
    <w:rsid w:val="00415F95"/>
    <w:rsid w:val="00416372"/>
    <w:rsid w:val="00416782"/>
    <w:rsid w:val="00416992"/>
    <w:rsid w:val="00416C54"/>
    <w:rsid w:val="00417458"/>
    <w:rsid w:val="004201D3"/>
    <w:rsid w:val="004209EA"/>
    <w:rsid w:val="00420BEE"/>
    <w:rsid w:val="004219A7"/>
    <w:rsid w:val="00421B2F"/>
    <w:rsid w:val="00422773"/>
    <w:rsid w:val="00422A7F"/>
    <w:rsid w:val="00423077"/>
    <w:rsid w:val="00423548"/>
    <w:rsid w:val="004245A8"/>
    <w:rsid w:val="0042590B"/>
    <w:rsid w:val="00426513"/>
    <w:rsid w:val="00426811"/>
    <w:rsid w:val="00426C95"/>
    <w:rsid w:val="004271B5"/>
    <w:rsid w:val="00427F52"/>
    <w:rsid w:val="00430D7D"/>
    <w:rsid w:val="00430F5F"/>
    <w:rsid w:val="00432A38"/>
    <w:rsid w:val="0043303C"/>
    <w:rsid w:val="00433187"/>
    <w:rsid w:val="004335FB"/>
    <w:rsid w:val="00433619"/>
    <w:rsid w:val="004339D1"/>
    <w:rsid w:val="00433E33"/>
    <w:rsid w:val="00435876"/>
    <w:rsid w:val="00435A0E"/>
    <w:rsid w:val="00436F34"/>
    <w:rsid w:val="004370D4"/>
    <w:rsid w:val="00437130"/>
    <w:rsid w:val="00437308"/>
    <w:rsid w:val="004377F7"/>
    <w:rsid w:val="00437990"/>
    <w:rsid w:val="00437BD1"/>
    <w:rsid w:val="00437FB5"/>
    <w:rsid w:val="004401FD"/>
    <w:rsid w:val="004406AF"/>
    <w:rsid w:val="004408EF"/>
    <w:rsid w:val="00440964"/>
    <w:rsid w:val="00441972"/>
    <w:rsid w:val="004428C1"/>
    <w:rsid w:val="00443813"/>
    <w:rsid w:val="00443AA0"/>
    <w:rsid w:val="00447127"/>
    <w:rsid w:val="004472C9"/>
    <w:rsid w:val="0044757C"/>
    <w:rsid w:val="0044760A"/>
    <w:rsid w:val="00447A96"/>
    <w:rsid w:val="0045048C"/>
    <w:rsid w:val="0045071E"/>
    <w:rsid w:val="00450906"/>
    <w:rsid w:val="0045091F"/>
    <w:rsid w:val="00450BE2"/>
    <w:rsid w:val="0045124B"/>
    <w:rsid w:val="0045173E"/>
    <w:rsid w:val="004524D8"/>
    <w:rsid w:val="00452606"/>
    <w:rsid w:val="00452CB2"/>
    <w:rsid w:val="00452E24"/>
    <w:rsid w:val="00452F45"/>
    <w:rsid w:val="0045302C"/>
    <w:rsid w:val="00454218"/>
    <w:rsid w:val="0045493B"/>
    <w:rsid w:val="004549AB"/>
    <w:rsid w:val="00455286"/>
    <w:rsid w:val="004552F7"/>
    <w:rsid w:val="0045536C"/>
    <w:rsid w:val="0045556E"/>
    <w:rsid w:val="00455D74"/>
    <w:rsid w:val="00455E2F"/>
    <w:rsid w:val="00456DC2"/>
    <w:rsid w:val="00456F98"/>
    <w:rsid w:val="00457099"/>
    <w:rsid w:val="00457BB0"/>
    <w:rsid w:val="0046004B"/>
    <w:rsid w:val="004605AC"/>
    <w:rsid w:val="0046167E"/>
    <w:rsid w:val="00461B0D"/>
    <w:rsid w:val="00462FCD"/>
    <w:rsid w:val="00463762"/>
    <w:rsid w:val="00463A41"/>
    <w:rsid w:val="00463D9F"/>
    <w:rsid w:val="004644C9"/>
    <w:rsid w:val="00464943"/>
    <w:rsid w:val="004649D7"/>
    <w:rsid w:val="00464B79"/>
    <w:rsid w:val="00464D50"/>
    <w:rsid w:val="00465B72"/>
    <w:rsid w:val="004665C9"/>
    <w:rsid w:val="0046666B"/>
    <w:rsid w:val="00466F11"/>
    <w:rsid w:val="00467E0F"/>
    <w:rsid w:val="004703CE"/>
    <w:rsid w:val="00470772"/>
    <w:rsid w:val="00470BF8"/>
    <w:rsid w:val="00470EFF"/>
    <w:rsid w:val="0047237F"/>
    <w:rsid w:val="004723BD"/>
    <w:rsid w:val="00472F73"/>
    <w:rsid w:val="00473915"/>
    <w:rsid w:val="00473A63"/>
    <w:rsid w:val="00473C1A"/>
    <w:rsid w:val="00473C90"/>
    <w:rsid w:val="00473CF0"/>
    <w:rsid w:val="00474DE6"/>
    <w:rsid w:val="00476C83"/>
    <w:rsid w:val="00477251"/>
    <w:rsid w:val="00477E88"/>
    <w:rsid w:val="0048089B"/>
    <w:rsid w:val="004808E7"/>
    <w:rsid w:val="00480D6D"/>
    <w:rsid w:val="00482DBF"/>
    <w:rsid w:val="00482E3E"/>
    <w:rsid w:val="00484751"/>
    <w:rsid w:val="00484D1E"/>
    <w:rsid w:val="0048540A"/>
    <w:rsid w:val="004855CF"/>
    <w:rsid w:val="00485EDA"/>
    <w:rsid w:val="00486C0B"/>
    <w:rsid w:val="00486D95"/>
    <w:rsid w:val="004872A5"/>
    <w:rsid w:val="00490E89"/>
    <w:rsid w:val="0049143D"/>
    <w:rsid w:val="00493EB4"/>
    <w:rsid w:val="0049409E"/>
    <w:rsid w:val="00494274"/>
    <w:rsid w:val="00494464"/>
    <w:rsid w:val="00494A0F"/>
    <w:rsid w:val="00495224"/>
    <w:rsid w:val="00495C14"/>
    <w:rsid w:val="00495EA4"/>
    <w:rsid w:val="00497248"/>
    <w:rsid w:val="0049765F"/>
    <w:rsid w:val="00497D6D"/>
    <w:rsid w:val="004A0251"/>
    <w:rsid w:val="004A062E"/>
    <w:rsid w:val="004A0687"/>
    <w:rsid w:val="004A0C56"/>
    <w:rsid w:val="004A1BA5"/>
    <w:rsid w:val="004A2C5A"/>
    <w:rsid w:val="004A2DFA"/>
    <w:rsid w:val="004A3AF8"/>
    <w:rsid w:val="004A3D46"/>
    <w:rsid w:val="004A5962"/>
    <w:rsid w:val="004A5E36"/>
    <w:rsid w:val="004A6521"/>
    <w:rsid w:val="004A7952"/>
    <w:rsid w:val="004A7AA2"/>
    <w:rsid w:val="004B06E6"/>
    <w:rsid w:val="004B0D1D"/>
    <w:rsid w:val="004B0DCE"/>
    <w:rsid w:val="004B167C"/>
    <w:rsid w:val="004B1685"/>
    <w:rsid w:val="004B1AF4"/>
    <w:rsid w:val="004B1BF8"/>
    <w:rsid w:val="004B204E"/>
    <w:rsid w:val="004B2389"/>
    <w:rsid w:val="004B244C"/>
    <w:rsid w:val="004B24E2"/>
    <w:rsid w:val="004B25F6"/>
    <w:rsid w:val="004B27C0"/>
    <w:rsid w:val="004B2879"/>
    <w:rsid w:val="004B3B18"/>
    <w:rsid w:val="004B4169"/>
    <w:rsid w:val="004B4262"/>
    <w:rsid w:val="004B574E"/>
    <w:rsid w:val="004B59B3"/>
    <w:rsid w:val="004B5CE9"/>
    <w:rsid w:val="004B6347"/>
    <w:rsid w:val="004B6492"/>
    <w:rsid w:val="004C0116"/>
    <w:rsid w:val="004C068C"/>
    <w:rsid w:val="004C0BF8"/>
    <w:rsid w:val="004C0F97"/>
    <w:rsid w:val="004C1956"/>
    <w:rsid w:val="004C2241"/>
    <w:rsid w:val="004C2458"/>
    <w:rsid w:val="004C42C9"/>
    <w:rsid w:val="004C44C4"/>
    <w:rsid w:val="004C4EBD"/>
    <w:rsid w:val="004C52B7"/>
    <w:rsid w:val="004C5F23"/>
    <w:rsid w:val="004C608B"/>
    <w:rsid w:val="004C7C9C"/>
    <w:rsid w:val="004D0A68"/>
    <w:rsid w:val="004D1F90"/>
    <w:rsid w:val="004D20AF"/>
    <w:rsid w:val="004D2B4F"/>
    <w:rsid w:val="004D4533"/>
    <w:rsid w:val="004D4E89"/>
    <w:rsid w:val="004D5A8D"/>
    <w:rsid w:val="004D6582"/>
    <w:rsid w:val="004D68D4"/>
    <w:rsid w:val="004D6E0C"/>
    <w:rsid w:val="004E0D59"/>
    <w:rsid w:val="004E0E8C"/>
    <w:rsid w:val="004E1FBC"/>
    <w:rsid w:val="004E2418"/>
    <w:rsid w:val="004E29BE"/>
    <w:rsid w:val="004E2B1F"/>
    <w:rsid w:val="004E3B0D"/>
    <w:rsid w:val="004E3F7A"/>
    <w:rsid w:val="004E41DE"/>
    <w:rsid w:val="004E438E"/>
    <w:rsid w:val="004E43BB"/>
    <w:rsid w:val="004E552C"/>
    <w:rsid w:val="004E5ADD"/>
    <w:rsid w:val="004E60C5"/>
    <w:rsid w:val="004E6247"/>
    <w:rsid w:val="004E75CA"/>
    <w:rsid w:val="004E794E"/>
    <w:rsid w:val="004F09F6"/>
    <w:rsid w:val="004F0A13"/>
    <w:rsid w:val="004F12C4"/>
    <w:rsid w:val="004F20DE"/>
    <w:rsid w:val="004F2277"/>
    <w:rsid w:val="004F2929"/>
    <w:rsid w:val="004F31A4"/>
    <w:rsid w:val="004F42E5"/>
    <w:rsid w:val="004F433C"/>
    <w:rsid w:val="004F469B"/>
    <w:rsid w:val="004F48D3"/>
    <w:rsid w:val="004F4BB7"/>
    <w:rsid w:val="004F5220"/>
    <w:rsid w:val="004F587F"/>
    <w:rsid w:val="004F676C"/>
    <w:rsid w:val="004F6AEA"/>
    <w:rsid w:val="004F6B82"/>
    <w:rsid w:val="004F74EF"/>
    <w:rsid w:val="004F7F4C"/>
    <w:rsid w:val="005001B7"/>
    <w:rsid w:val="0050039B"/>
    <w:rsid w:val="00500751"/>
    <w:rsid w:val="00500C84"/>
    <w:rsid w:val="00501531"/>
    <w:rsid w:val="005019A1"/>
    <w:rsid w:val="005019C8"/>
    <w:rsid w:val="00501A8E"/>
    <w:rsid w:val="0050224D"/>
    <w:rsid w:val="005024CC"/>
    <w:rsid w:val="005026D6"/>
    <w:rsid w:val="005028DE"/>
    <w:rsid w:val="00503403"/>
    <w:rsid w:val="0050483E"/>
    <w:rsid w:val="00505FC8"/>
    <w:rsid w:val="00506815"/>
    <w:rsid w:val="00506825"/>
    <w:rsid w:val="0050682B"/>
    <w:rsid w:val="00506ADB"/>
    <w:rsid w:val="0050700E"/>
    <w:rsid w:val="0051010F"/>
    <w:rsid w:val="005104E4"/>
    <w:rsid w:val="00510C20"/>
    <w:rsid w:val="0051159A"/>
    <w:rsid w:val="00511C46"/>
    <w:rsid w:val="00513BEF"/>
    <w:rsid w:val="005143CD"/>
    <w:rsid w:val="005147FD"/>
    <w:rsid w:val="00514860"/>
    <w:rsid w:val="00515684"/>
    <w:rsid w:val="00515EE9"/>
    <w:rsid w:val="005173AA"/>
    <w:rsid w:val="00517B41"/>
    <w:rsid w:val="0052066F"/>
    <w:rsid w:val="00520E41"/>
    <w:rsid w:val="00520EAD"/>
    <w:rsid w:val="00520F32"/>
    <w:rsid w:val="00521AE5"/>
    <w:rsid w:val="005224E1"/>
    <w:rsid w:val="00523123"/>
    <w:rsid w:val="00523AFD"/>
    <w:rsid w:val="005242DD"/>
    <w:rsid w:val="0052514B"/>
    <w:rsid w:val="00525295"/>
    <w:rsid w:val="005254DD"/>
    <w:rsid w:val="0052577C"/>
    <w:rsid w:val="00525DE0"/>
    <w:rsid w:val="00525F43"/>
    <w:rsid w:val="00526219"/>
    <w:rsid w:val="00526962"/>
    <w:rsid w:val="00530E94"/>
    <w:rsid w:val="005313B1"/>
    <w:rsid w:val="005317C3"/>
    <w:rsid w:val="00531E46"/>
    <w:rsid w:val="005325BE"/>
    <w:rsid w:val="00532D99"/>
    <w:rsid w:val="005334A5"/>
    <w:rsid w:val="0053352F"/>
    <w:rsid w:val="00534614"/>
    <w:rsid w:val="0053678C"/>
    <w:rsid w:val="00536794"/>
    <w:rsid w:val="00536D73"/>
    <w:rsid w:val="005373DF"/>
    <w:rsid w:val="005379AC"/>
    <w:rsid w:val="00537A20"/>
    <w:rsid w:val="00537F53"/>
    <w:rsid w:val="0054020C"/>
    <w:rsid w:val="00540D5E"/>
    <w:rsid w:val="00540E6B"/>
    <w:rsid w:val="00541F6B"/>
    <w:rsid w:val="005420DC"/>
    <w:rsid w:val="005421AE"/>
    <w:rsid w:val="005422EE"/>
    <w:rsid w:val="005428ED"/>
    <w:rsid w:val="00542D1B"/>
    <w:rsid w:val="00543B8E"/>
    <w:rsid w:val="00543DB3"/>
    <w:rsid w:val="00543F35"/>
    <w:rsid w:val="00544507"/>
    <w:rsid w:val="00544BA5"/>
    <w:rsid w:val="005455E4"/>
    <w:rsid w:val="00545BA6"/>
    <w:rsid w:val="005464B6"/>
    <w:rsid w:val="005469C6"/>
    <w:rsid w:val="00550052"/>
    <w:rsid w:val="00550160"/>
    <w:rsid w:val="00550C4E"/>
    <w:rsid w:val="00550F75"/>
    <w:rsid w:val="0055143B"/>
    <w:rsid w:val="00551776"/>
    <w:rsid w:val="00551C37"/>
    <w:rsid w:val="00551DD7"/>
    <w:rsid w:val="0055256F"/>
    <w:rsid w:val="00552F47"/>
    <w:rsid w:val="00553093"/>
    <w:rsid w:val="0055357E"/>
    <w:rsid w:val="00554868"/>
    <w:rsid w:val="00554AAB"/>
    <w:rsid w:val="005550A8"/>
    <w:rsid w:val="00555458"/>
    <w:rsid w:val="005557C7"/>
    <w:rsid w:val="005558B4"/>
    <w:rsid w:val="00555E6E"/>
    <w:rsid w:val="00556404"/>
    <w:rsid w:val="00557EB9"/>
    <w:rsid w:val="005603F9"/>
    <w:rsid w:val="005608A8"/>
    <w:rsid w:val="00560EA8"/>
    <w:rsid w:val="005611E0"/>
    <w:rsid w:val="005620D8"/>
    <w:rsid w:val="005623D7"/>
    <w:rsid w:val="00562596"/>
    <w:rsid w:val="005633B0"/>
    <w:rsid w:val="005640A7"/>
    <w:rsid w:val="00565016"/>
    <w:rsid w:val="0056614D"/>
    <w:rsid w:val="0056791B"/>
    <w:rsid w:val="00570970"/>
    <w:rsid w:val="005712D0"/>
    <w:rsid w:val="005723B4"/>
    <w:rsid w:val="00572EF8"/>
    <w:rsid w:val="00572F57"/>
    <w:rsid w:val="0057323B"/>
    <w:rsid w:val="005738B4"/>
    <w:rsid w:val="00573C5E"/>
    <w:rsid w:val="00574985"/>
    <w:rsid w:val="00574C37"/>
    <w:rsid w:val="00574C50"/>
    <w:rsid w:val="00575104"/>
    <w:rsid w:val="00575705"/>
    <w:rsid w:val="005758B7"/>
    <w:rsid w:val="00575964"/>
    <w:rsid w:val="005760E2"/>
    <w:rsid w:val="0057620B"/>
    <w:rsid w:val="0057640E"/>
    <w:rsid w:val="0057651D"/>
    <w:rsid w:val="00576E66"/>
    <w:rsid w:val="00577887"/>
    <w:rsid w:val="00577BD8"/>
    <w:rsid w:val="00580D91"/>
    <w:rsid w:val="00581DA1"/>
    <w:rsid w:val="005822FB"/>
    <w:rsid w:val="00583098"/>
    <w:rsid w:val="00583ED4"/>
    <w:rsid w:val="00583F0B"/>
    <w:rsid w:val="005840AA"/>
    <w:rsid w:val="00584203"/>
    <w:rsid w:val="00585286"/>
    <w:rsid w:val="005853EC"/>
    <w:rsid w:val="00585AA4"/>
    <w:rsid w:val="005866A8"/>
    <w:rsid w:val="00586A48"/>
    <w:rsid w:val="00586BEB"/>
    <w:rsid w:val="00586CA2"/>
    <w:rsid w:val="00587AF4"/>
    <w:rsid w:val="00590AA6"/>
    <w:rsid w:val="00590BFF"/>
    <w:rsid w:val="0059197C"/>
    <w:rsid w:val="005920FC"/>
    <w:rsid w:val="005925F0"/>
    <w:rsid w:val="005934C2"/>
    <w:rsid w:val="0059369C"/>
    <w:rsid w:val="00594BF7"/>
    <w:rsid w:val="005951A5"/>
    <w:rsid w:val="0059652F"/>
    <w:rsid w:val="0059777B"/>
    <w:rsid w:val="00597892"/>
    <w:rsid w:val="005A08C4"/>
    <w:rsid w:val="005A0E1F"/>
    <w:rsid w:val="005A0FB8"/>
    <w:rsid w:val="005A1912"/>
    <w:rsid w:val="005A30BC"/>
    <w:rsid w:val="005A3645"/>
    <w:rsid w:val="005A39EB"/>
    <w:rsid w:val="005A3BB7"/>
    <w:rsid w:val="005A44F9"/>
    <w:rsid w:val="005A4649"/>
    <w:rsid w:val="005A4E1B"/>
    <w:rsid w:val="005A51BA"/>
    <w:rsid w:val="005A568C"/>
    <w:rsid w:val="005A57BD"/>
    <w:rsid w:val="005A5D4D"/>
    <w:rsid w:val="005A60BE"/>
    <w:rsid w:val="005A623C"/>
    <w:rsid w:val="005A68B1"/>
    <w:rsid w:val="005A69D2"/>
    <w:rsid w:val="005A6E18"/>
    <w:rsid w:val="005A7562"/>
    <w:rsid w:val="005A782E"/>
    <w:rsid w:val="005A7BCE"/>
    <w:rsid w:val="005B047D"/>
    <w:rsid w:val="005B0DF7"/>
    <w:rsid w:val="005B17F8"/>
    <w:rsid w:val="005B1CA1"/>
    <w:rsid w:val="005B26D3"/>
    <w:rsid w:val="005B3B1D"/>
    <w:rsid w:val="005B40C8"/>
    <w:rsid w:val="005B4C26"/>
    <w:rsid w:val="005B4C98"/>
    <w:rsid w:val="005B543D"/>
    <w:rsid w:val="005B5737"/>
    <w:rsid w:val="005B6004"/>
    <w:rsid w:val="005B714A"/>
    <w:rsid w:val="005B72B7"/>
    <w:rsid w:val="005B7A20"/>
    <w:rsid w:val="005B7E0E"/>
    <w:rsid w:val="005B7EFB"/>
    <w:rsid w:val="005C00E5"/>
    <w:rsid w:val="005C010F"/>
    <w:rsid w:val="005C0723"/>
    <w:rsid w:val="005C0CB9"/>
    <w:rsid w:val="005C1093"/>
    <w:rsid w:val="005C14CB"/>
    <w:rsid w:val="005C1A4C"/>
    <w:rsid w:val="005C248B"/>
    <w:rsid w:val="005C2C22"/>
    <w:rsid w:val="005C2D1A"/>
    <w:rsid w:val="005C3130"/>
    <w:rsid w:val="005C3296"/>
    <w:rsid w:val="005C405C"/>
    <w:rsid w:val="005C4FE0"/>
    <w:rsid w:val="005C5036"/>
    <w:rsid w:val="005C521C"/>
    <w:rsid w:val="005C5573"/>
    <w:rsid w:val="005C576C"/>
    <w:rsid w:val="005C5905"/>
    <w:rsid w:val="005C5C50"/>
    <w:rsid w:val="005C6442"/>
    <w:rsid w:val="005C6716"/>
    <w:rsid w:val="005C7219"/>
    <w:rsid w:val="005C74DC"/>
    <w:rsid w:val="005C7550"/>
    <w:rsid w:val="005C768E"/>
    <w:rsid w:val="005C7699"/>
    <w:rsid w:val="005C789B"/>
    <w:rsid w:val="005C793F"/>
    <w:rsid w:val="005C7BC4"/>
    <w:rsid w:val="005C7CB8"/>
    <w:rsid w:val="005C7DD6"/>
    <w:rsid w:val="005C7FA0"/>
    <w:rsid w:val="005D0177"/>
    <w:rsid w:val="005D04E7"/>
    <w:rsid w:val="005D13E0"/>
    <w:rsid w:val="005D3C6F"/>
    <w:rsid w:val="005D42A6"/>
    <w:rsid w:val="005D46D0"/>
    <w:rsid w:val="005D4911"/>
    <w:rsid w:val="005D4C13"/>
    <w:rsid w:val="005D4FD1"/>
    <w:rsid w:val="005D67B0"/>
    <w:rsid w:val="005D7C27"/>
    <w:rsid w:val="005E113F"/>
    <w:rsid w:val="005E136C"/>
    <w:rsid w:val="005E18F8"/>
    <w:rsid w:val="005E23F2"/>
    <w:rsid w:val="005E2C63"/>
    <w:rsid w:val="005E2D33"/>
    <w:rsid w:val="005E3624"/>
    <w:rsid w:val="005E3A7B"/>
    <w:rsid w:val="005E44B8"/>
    <w:rsid w:val="005E4A11"/>
    <w:rsid w:val="005E4AF3"/>
    <w:rsid w:val="005E4F05"/>
    <w:rsid w:val="005E51AE"/>
    <w:rsid w:val="005E602B"/>
    <w:rsid w:val="005E727B"/>
    <w:rsid w:val="005E74A1"/>
    <w:rsid w:val="005E763F"/>
    <w:rsid w:val="005E7803"/>
    <w:rsid w:val="005E7F93"/>
    <w:rsid w:val="005F02F0"/>
    <w:rsid w:val="005F06B9"/>
    <w:rsid w:val="005F08F9"/>
    <w:rsid w:val="005F1535"/>
    <w:rsid w:val="005F194E"/>
    <w:rsid w:val="005F1F81"/>
    <w:rsid w:val="005F2E98"/>
    <w:rsid w:val="005F396E"/>
    <w:rsid w:val="005F4D8E"/>
    <w:rsid w:val="005F5606"/>
    <w:rsid w:val="005F5A7E"/>
    <w:rsid w:val="005F5EAC"/>
    <w:rsid w:val="005F5EC6"/>
    <w:rsid w:val="005F69A8"/>
    <w:rsid w:val="005F70E3"/>
    <w:rsid w:val="005F71A6"/>
    <w:rsid w:val="005F7362"/>
    <w:rsid w:val="005F750A"/>
    <w:rsid w:val="00600AC2"/>
    <w:rsid w:val="00601448"/>
    <w:rsid w:val="00601500"/>
    <w:rsid w:val="0060169E"/>
    <w:rsid w:val="00601B7F"/>
    <w:rsid w:val="00602768"/>
    <w:rsid w:val="006029AA"/>
    <w:rsid w:val="00602C40"/>
    <w:rsid w:val="00603CF7"/>
    <w:rsid w:val="00603F6C"/>
    <w:rsid w:val="00604163"/>
    <w:rsid w:val="0060484B"/>
    <w:rsid w:val="0060525F"/>
    <w:rsid w:val="006056DF"/>
    <w:rsid w:val="006059BB"/>
    <w:rsid w:val="0060612F"/>
    <w:rsid w:val="00606571"/>
    <w:rsid w:val="00607140"/>
    <w:rsid w:val="006077A7"/>
    <w:rsid w:val="00610EA1"/>
    <w:rsid w:val="00611A14"/>
    <w:rsid w:val="00612517"/>
    <w:rsid w:val="0061283C"/>
    <w:rsid w:val="00612953"/>
    <w:rsid w:val="00612CAB"/>
    <w:rsid w:val="006134C5"/>
    <w:rsid w:val="006135C5"/>
    <w:rsid w:val="00614895"/>
    <w:rsid w:val="006170C3"/>
    <w:rsid w:val="0061795B"/>
    <w:rsid w:val="00617C96"/>
    <w:rsid w:val="00617FBE"/>
    <w:rsid w:val="006218B4"/>
    <w:rsid w:val="00622533"/>
    <w:rsid w:val="00622819"/>
    <w:rsid w:val="00622831"/>
    <w:rsid w:val="00622FE4"/>
    <w:rsid w:val="00623D6C"/>
    <w:rsid w:val="00623EA3"/>
    <w:rsid w:val="006245A3"/>
    <w:rsid w:val="00624888"/>
    <w:rsid w:val="00625ABD"/>
    <w:rsid w:val="006260D8"/>
    <w:rsid w:val="00626974"/>
    <w:rsid w:val="00626D87"/>
    <w:rsid w:val="00627414"/>
    <w:rsid w:val="00627D17"/>
    <w:rsid w:val="00631580"/>
    <w:rsid w:val="00631A24"/>
    <w:rsid w:val="00632B4A"/>
    <w:rsid w:val="00632E77"/>
    <w:rsid w:val="006332CB"/>
    <w:rsid w:val="00633410"/>
    <w:rsid w:val="00634A83"/>
    <w:rsid w:val="00634C19"/>
    <w:rsid w:val="00634E04"/>
    <w:rsid w:val="00635204"/>
    <w:rsid w:val="00635852"/>
    <w:rsid w:val="00635E87"/>
    <w:rsid w:val="0063616A"/>
    <w:rsid w:val="0063654A"/>
    <w:rsid w:val="00636590"/>
    <w:rsid w:val="00636592"/>
    <w:rsid w:val="00636764"/>
    <w:rsid w:val="0063691C"/>
    <w:rsid w:val="006370E1"/>
    <w:rsid w:val="006378EF"/>
    <w:rsid w:val="00637E22"/>
    <w:rsid w:val="00640559"/>
    <w:rsid w:val="00640A0E"/>
    <w:rsid w:val="0064133E"/>
    <w:rsid w:val="00641783"/>
    <w:rsid w:val="00642C8E"/>
    <w:rsid w:val="00642D02"/>
    <w:rsid w:val="00643A9D"/>
    <w:rsid w:val="00643C2E"/>
    <w:rsid w:val="00643DB2"/>
    <w:rsid w:val="006443E8"/>
    <w:rsid w:val="00644E91"/>
    <w:rsid w:val="0064516B"/>
    <w:rsid w:val="006453B9"/>
    <w:rsid w:val="0064659C"/>
    <w:rsid w:val="006466C9"/>
    <w:rsid w:val="00647DC2"/>
    <w:rsid w:val="00650D4B"/>
    <w:rsid w:val="00650F3F"/>
    <w:rsid w:val="006514EB"/>
    <w:rsid w:val="00651996"/>
    <w:rsid w:val="006524C2"/>
    <w:rsid w:val="00652A9F"/>
    <w:rsid w:val="006533AA"/>
    <w:rsid w:val="00653C6A"/>
    <w:rsid w:val="006540B3"/>
    <w:rsid w:val="00654969"/>
    <w:rsid w:val="00654ABE"/>
    <w:rsid w:val="006555FF"/>
    <w:rsid w:val="0065582E"/>
    <w:rsid w:val="00655A6D"/>
    <w:rsid w:val="006561CC"/>
    <w:rsid w:val="0065627D"/>
    <w:rsid w:val="00656C6D"/>
    <w:rsid w:val="00656E59"/>
    <w:rsid w:val="00656ECB"/>
    <w:rsid w:val="0065740C"/>
    <w:rsid w:val="00657CD0"/>
    <w:rsid w:val="00660647"/>
    <w:rsid w:val="006607E4"/>
    <w:rsid w:val="00660A95"/>
    <w:rsid w:val="00660B9E"/>
    <w:rsid w:val="00660BDB"/>
    <w:rsid w:val="00661C69"/>
    <w:rsid w:val="006626CB"/>
    <w:rsid w:val="00662885"/>
    <w:rsid w:val="00662FC1"/>
    <w:rsid w:val="00663439"/>
    <w:rsid w:val="00663832"/>
    <w:rsid w:val="00664507"/>
    <w:rsid w:val="006650AB"/>
    <w:rsid w:val="006651B8"/>
    <w:rsid w:val="0066585C"/>
    <w:rsid w:val="00665B6B"/>
    <w:rsid w:val="00666166"/>
    <w:rsid w:val="00666C52"/>
    <w:rsid w:val="006674F6"/>
    <w:rsid w:val="0066790B"/>
    <w:rsid w:val="0067061C"/>
    <w:rsid w:val="00670BF3"/>
    <w:rsid w:val="006718E7"/>
    <w:rsid w:val="00671EBF"/>
    <w:rsid w:val="006726DD"/>
    <w:rsid w:val="00672ED0"/>
    <w:rsid w:val="00672F21"/>
    <w:rsid w:val="006732BE"/>
    <w:rsid w:val="00673F08"/>
    <w:rsid w:val="006740B8"/>
    <w:rsid w:val="006758A8"/>
    <w:rsid w:val="00675EF9"/>
    <w:rsid w:val="00675F1A"/>
    <w:rsid w:val="006771B6"/>
    <w:rsid w:val="00677A49"/>
    <w:rsid w:val="0068003D"/>
    <w:rsid w:val="00681502"/>
    <w:rsid w:val="00681CE2"/>
    <w:rsid w:val="00682401"/>
    <w:rsid w:val="00683918"/>
    <w:rsid w:val="00683D69"/>
    <w:rsid w:val="0068429A"/>
    <w:rsid w:val="006865DA"/>
    <w:rsid w:val="006900F9"/>
    <w:rsid w:val="0069109A"/>
    <w:rsid w:val="00691338"/>
    <w:rsid w:val="0069163B"/>
    <w:rsid w:val="00692D70"/>
    <w:rsid w:val="00692FD4"/>
    <w:rsid w:val="00693262"/>
    <w:rsid w:val="00693791"/>
    <w:rsid w:val="006937D2"/>
    <w:rsid w:val="00693A89"/>
    <w:rsid w:val="00693DDA"/>
    <w:rsid w:val="00693E0C"/>
    <w:rsid w:val="006940FE"/>
    <w:rsid w:val="00694193"/>
    <w:rsid w:val="00694335"/>
    <w:rsid w:val="0069474A"/>
    <w:rsid w:val="006953B2"/>
    <w:rsid w:val="00695462"/>
    <w:rsid w:val="006957AD"/>
    <w:rsid w:val="0069653C"/>
    <w:rsid w:val="00696989"/>
    <w:rsid w:val="006969A1"/>
    <w:rsid w:val="00696B86"/>
    <w:rsid w:val="00697668"/>
    <w:rsid w:val="0069766A"/>
    <w:rsid w:val="006A05E7"/>
    <w:rsid w:val="006A07D6"/>
    <w:rsid w:val="006A0D55"/>
    <w:rsid w:val="006A1730"/>
    <w:rsid w:val="006A26EF"/>
    <w:rsid w:val="006A2916"/>
    <w:rsid w:val="006A2A88"/>
    <w:rsid w:val="006A3228"/>
    <w:rsid w:val="006A3556"/>
    <w:rsid w:val="006A3657"/>
    <w:rsid w:val="006A3785"/>
    <w:rsid w:val="006A4407"/>
    <w:rsid w:val="006A4F55"/>
    <w:rsid w:val="006A5D29"/>
    <w:rsid w:val="006A74D4"/>
    <w:rsid w:val="006A75E2"/>
    <w:rsid w:val="006A7B66"/>
    <w:rsid w:val="006B018F"/>
    <w:rsid w:val="006B0654"/>
    <w:rsid w:val="006B1072"/>
    <w:rsid w:val="006B13C4"/>
    <w:rsid w:val="006B1463"/>
    <w:rsid w:val="006B1A31"/>
    <w:rsid w:val="006B1AB0"/>
    <w:rsid w:val="006B24A1"/>
    <w:rsid w:val="006B2CF1"/>
    <w:rsid w:val="006B3B12"/>
    <w:rsid w:val="006B4502"/>
    <w:rsid w:val="006B4EC9"/>
    <w:rsid w:val="006B670C"/>
    <w:rsid w:val="006B6957"/>
    <w:rsid w:val="006B76E6"/>
    <w:rsid w:val="006B79DC"/>
    <w:rsid w:val="006C0138"/>
    <w:rsid w:val="006C17A2"/>
    <w:rsid w:val="006C205F"/>
    <w:rsid w:val="006C21F1"/>
    <w:rsid w:val="006C2464"/>
    <w:rsid w:val="006C251D"/>
    <w:rsid w:val="006C2BFC"/>
    <w:rsid w:val="006C2DE6"/>
    <w:rsid w:val="006C4BFD"/>
    <w:rsid w:val="006C5482"/>
    <w:rsid w:val="006C63D3"/>
    <w:rsid w:val="006C65E7"/>
    <w:rsid w:val="006C70FB"/>
    <w:rsid w:val="006D05FB"/>
    <w:rsid w:val="006D0F80"/>
    <w:rsid w:val="006D191B"/>
    <w:rsid w:val="006D38A9"/>
    <w:rsid w:val="006D3D2E"/>
    <w:rsid w:val="006D3F16"/>
    <w:rsid w:val="006D4677"/>
    <w:rsid w:val="006D4F2E"/>
    <w:rsid w:val="006D627F"/>
    <w:rsid w:val="006D72B9"/>
    <w:rsid w:val="006D75F4"/>
    <w:rsid w:val="006D77A6"/>
    <w:rsid w:val="006D7DDB"/>
    <w:rsid w:val="006E0655"/>
    <w:rsid w:val="006E1793"/>
    <w:rsid w:val="006E2D36"/>
    <w:rsid w:val="006E3035"/>
    <w:rsid w:val="006E32E5"/>
    <w:rsid w:val="006E3FFB"/>
    <w:rsid w:val="006E4211"/>
    <w:rsid w:val="006E481B"/>
    <w:rsid w:val="006E4F5F"/>
    <w:rsid w:val="006E52CA"/>
    <w:rsid w:val="006E53AE"/>
    <w:rsid w:val="006E5846"/>
    <w:rsid w:val="006E58CE"/>
    <w:rsid w:val="006E69F6"/>
    <w:rsid w:val="006E7A15"/>
    <w:rsid w:val="006F0354"/>
    <w:rsid w:val="006F08F5"/>
    <w:rsid w:val="006F0CEB"/>
    <w:rsid w:val="006F1583"/>
    <w:rsid w:val="006F1634"/>
    <w:rsid w:val="006F1853"/>
    <w:rsid w:val="006F2002"/>
    <w:rsid w:val="006F20D1"/>
    <w:rsid w:val="006F3291"/>
    <w:rsid w:val="006F3DE8"/>
    <w:rsid w:val="006F3FA7"/>
    <w:rsid w:val="006F43D8"/>
    <w:rsid w:val="006F4489"/>
    <w:rsid w:val="006F45C9"/>
    <w:rsid w:val="006F51B7"/>
    <w:rsid w:val="006F64A5"/>
    <w:rsid w:val="006F78A9"/>
    <w:rsid w:val="006F7915"/>
    <w:rsid w:val="006F7CF5"/>
    <w:rsid w:val="006F7DA7"/>
    <w:rsid w:val="00700024"/>
    <w:rsid w:val="00700F8B"/>
    <w:rsid w:val="0070112E"/>
    <w:rsid w:val="007016F2"/>
    <w:rsid w:val="00701D19"/>
    <w:rsid w:val="007029DA"/>
    <w:rsid w:val="00702AD4"/>
    <w:rsid w:val="007044B0"/>
    <w:rsid w:val="00704631"/>
    <w:rsid w:val="00704B3A"/>
    <w:rsid w:val="00704EA2"/>
    <w:rsid w:val="0070519B"/>
    <w:rsid w:val="00706270"/>
    <w:rsid w:val="007065F5"/>
    <w:rsid w:val="00706A37"/>
    <w:rsid w:val="00706CF2"/>
    <w:rsid w:val="00707F31"/>
    <w:rsid w:val="007101F5"/>
    <w:rsid w:val="00710224"/>
    <w:rsid w:val="007104E8"/>
    <w:rsid w:val="00712DA4"/>
    <w:rsid w:val="00713062"/>
    <w:rsid w:val="00713CC5"/>
    <w:rsid w:val="0071481F"/>
    <w:rsid w:val="00714D8E"/>
    <w:rsid w:val="007162CB"/>
    <w:rsid w:val="00716F24"/>
    <w:rsid w:val="00716F6D"/>
    <w:rsid w:val="0071719C"/>
    <w:rsid w:val="0071775B"/>
    <w:rsid w:val="00717E4E"/>
    <w:rsid w:val="0072017F"/>
    <w:rsid w:val="00720A37"/>
    <w:rsid w:val="00720A84"/>
    <w:rsid w:val="00720F22"/>
    <w:rsid w:val="00721484"/>
    <w:rsid w:val="00721FDE"/>
    <w:rsid w:val="00722985"/>
    <w:rsid w:val="007231B6"/>
    <w:rsid w:val="00723283"/>
    <w:rsid w:val="007237C1"/>
    <w:rsid w:val="00723C24"/>
    <w:rsid w:val="00723F20"/>
    <w:rsid w:val="00724340"/>
    <w:rsid w:val="00724D23"/>
    <w:rsid w:val="007261B6"/>
    <w:rsid w:val="007262A9"/>
    <w:rsid w:val="007269D4"/>
    <w:rsid w:val="007270DC"/>
    <w:rsid w:val="007273D2"/>
    <w:rsid w:val="007279DF"/>
    <w:rsid w:val="00727EA4"/>
    <w:rsid w:val="00730614"/>
    <w:rsid w:val="007310D3"/>
    <w:rsid w:val="00731324"/>
    <w:rsid w:val="00731601"/>
    <w:rsid w:val="007323F1"/>
    <w:rsid w:val="00732732"/>
    <w:rsid w:val="00733628"/>
    <w:rsid w:val="0073389A"/>
    <w:rsid w:val="00733C71"/>
    <w:rsid w:val="00734E02"/>
    <w:rsid w:val="00735741"/>
    <w:rsid w:val="00735C78"/>
    <w:rsid w:val="00735E60"/>
    <w:rsid w:val="00736976"/>
    <w:rsid w:val="00737375"/>
    <w:rsid w:val="007378E2"/>
    <w:rsid w:val="00740241"/>
    <w:rsid w:val="0074028A"/>
    <w:rsid w:val="007403B6"/>
    <w:rsid w:val="00741286"/>
    <w:rsid w:val="0074183B"/>
    <w:rsid w:val="007426BF"/>
    <w:rsid w:val="00742E61"/>
    <w:rsid w:val="007431BE"/>
    <w:rsid w:val="00743853"/>
    <w:rsid w:val="00743B7A"/>
    <w:rsid w:val="007440B1"/>
    <w:rsid w:val="007441E4"/>
    <w:rsid w:val="0074479E"/>
    <w:rsid w:val="00744EC3"/>
    <w:rsid w:val="00746199"/>
    <w:rsid w:val="00746319"/>
    <w:rsid w:val="00746499"/>
    <w:rsid w:val="00746B32"/>
    <w:rsid w:val="0074703B"/>
    <w:rsid w:val="007470A2"/>
    <w:rsid w:val="007505F7"/>
    <w:rsid w:val="007509DC"/>
    <w:rsid w:val="007526C0"/>
    <w:rsid w:val="007528DC"/>
    <w:rsid w:val="00752C33"/>
    <w:rsid w:val="0075468D"/>
    <w:rsid w:val="00754CF4"/>
    <w:rsid w:val="00754DFC"/>
    <w:rsid w:val="00755088"/>
    <w:rsid w:val="0075561C"/>
    <w:rsid w:val="00755BDC"/>
    <w:rsid w:val="00756CAA"/>
    <w:rsid w:val="00756F8D"/>
    <w:rsid w:val="0075724B"/>
    <w:rsid w:val="00757BA5"/>
    <w:rsid w:val="00757C14"/>
    <w:rsid w:val="007600FA"/>
    <w:rsid w:val="0076057B"/>
    <w:rsid w:val="007605D0"/>
    <w:rsid w:val="00760DEF"/>
    <w:rsid w:val="00761B50"/>
    <w:rsid w:val="00761B72"/>
    <w:rsid w:val="00763D14"/>
    <w:rsid w:val="00764D7C"/>
    <w:rsid w:val="00764F95"/>
    <w:rsid w:val="00765148"/>
    <w:rsid w:val="00765563"/>
    <w:rsid w:val="007664F5"/>
    <w:rsid w:val="00767A43"/>
    <w:rsid w:val="00767A53"/>
    <w:rsid w:val="00767C88"/>
    <w:rsid w:val="00771162"/>
    <w:rsid w:val="00772148"/>
    <w:rsid w:val="00772810"/>
    <w:rsid w:val="00772AF1"/>
    <w:rsid w:val="00772DAF"/>
    <w:rsid w:val="007731BA"/>
    <w:rsid w:val="00773C77"/>
    <w:rsid w:val="00773DCD"/>
    <w:rsid w:val="00773DEF"/>
    <w:rsid w:val="007742E5"/>
    <w:rsid w:val="00774CE2"/>
    <w:rsid w:val="00774EEA"/>
    <w:rsid w:val="007750C2"/>
    <w:rsid w:val="00775157"/>
    <w:rsid w:val="007752D0"/>
    <w:rsid w:val="007757FD"/>
    <w:rsid w:val="00775E99"/>
    <w:rsid w:val="00777026"/>
    <w:rsid w:val="007775D3"/>
    <w:rsid w:val="00777797"/>
    <w:rsid w:val="0078004F"/>
    <w:rsid w:val="00780184"/>
    <w:rsid w:val="007802B1"/>
    <w:rsid w:val="007808AA"/>
    <w:rsid w:val="00780FC6"/>
    <w:rsid w:val="00781160"/>
    <w:rsid w:val="00782E8E"/>
    <w:rsid w:val="00783562"/>
    <w:rsid w:val="007835C7"/>
    <w:rsid w:val="00783681"/>
    <w:rsid w:val="00783E27"/>
    <w:rsid w:val="00785575"/>
    <w:rsid w:val="0078598D"/>
    <w:rsid w:val="00785C98"/>
    <w:rsid w:val="00786137"/>
    <w:rsid w:val="007874A7"/>
    <w:rsid w:val="00787AAA"/>
    <w:rsid w:val="00787BF2"/>
    <w:rsid w:val="00787E8F"/>
    <w:rsid w:val="00790559"/>
    <w:rsid w:val="00790582"/>
    <w:rsid w:val="00790A2D"/>
    <w:rsid w:val="00791288"/>
    <w:rsid w:val="00791594"/>
    <w:rsid w:val="00791DA7"/>
    <w:rsid w:val="00792764"/>
    <w:rsid w:val="00792779"/>
    <w:rsid w:val="00792836"/>
    <w:rsid w:val="00792E86"/>
    <w:rsid w:val="007930C0"/>
    <w:rsid w:val="0079322C"/>
    <w:rsid w:val="0079348F"/>
    <w:rsid w:val="007946FC"/>
    <w:rsid w:val="007947C7"/>
    <w:rsid w:val="00794FAC"/>
    <w:rsid w:val="00795428"/>
    <w:rsid w:val="00795F1C"/>
    <w:rsid w:val="007961A4"/>
    <w:rsid w:val="00796B25"/>
    <w:rsid w:val="007976D5"/>
    <w:rsid w:val="00797A56"/>
    <w:rsid w:val="00797F43"/>
    <w:rsid w:val="007A05C4"/>
    <w:rsid w:val="007A14A4"/>
    <w:rsid w:val="007A1BE5"/>
    <w:rsid w:val="007A26C7"/>
    <w:rsid w:val="007A3455"/>
    <w:rsid w:val="007A39C3"/>
    <w:rsid w:val="007A3C38"/>
    <w:rsid w:val="007A43AD"/>
    <w:rsid w:val="007A4920"/>
    <w:rsid w:val="007A53B3"/>
    <w:rsid w:val="007A5FD3"/>
    <w:rsid w:val="007A6B79"/>
    <w:rsid w:val="007A6E91"/>
    <w:rsid w:val="007A7160"/>
    <w:rsid w:val="007A785C"/>
    <w:rsid w:val="007A7F52"/>
    <w:rsid w:val="007A7FEF"/>
    <w:rsid w:val="007B0572"/>
    <w:rsid w:val="007B22C2"/>
    <w:rsid w:val="007B2E84"/>
    <w:rsid w:val="007B2F79"/>
    <w:rsid w:val="007B3830"/>
    <w:rsid w:val="007B40E9"/>
    <w:rsid w:val="007B4625"/>
    <w:rsid w:val="007B53DD"/>
    <w:rsid w:val="007B5A94"/>
    <w:rsid w:val="007B60A1"/>
    <w:rsid w:val="007B62A8"/>
    <w:rsid w:val="007C00D2"/>
    <w:rsid w:val="007C03AA"/>
    <w:rsid w:val="007C06AF"/>
    <w:rsid w:val="007C0A21"/>
    <w:rsid w:val="007C2124"/>
    <w:rsid w:val="007C2457"/>
    <w:rsid w:val="007C267A"/>
    <w:rsid w:val="007C2A95"/>
    <w:rsid w:val="007C2B01"/>
    <w:rsid w:val="007C2EB5"/>
    <w:rsid w:val="007C30B7"/>
    <w:rsid w:val="007C3CCB"/>
    <w:rsid w:val="007C3FBB"/>
    <w:rsid w:val="007C474C"/>
    <w:rsid w:val="007C4E90"/>
    <w:rsid w:val="007C5118"/>
    <w:rsid w:val="007C6478"/>
    <w:rsid w:val="007C6518"/>
    <w:rsid w:val="007C67EF"/>
    <w:rsid w:val="007C6844"/>
    <w:rsid w:val="007C6894"/>
    <w:rsid w:val="007C6FEC"/>
    <w:rsid w:val="007C7579"/>
    <w:rsid w:val="007D014B"/>
    <w:rsid w:val="007D06AE"/>
    <w:rsid w:val="007D1099"/>
    <w:rsid w:val="007D1864"/>
    <w:rsid w:val="007D1A17"/>
    <w:rsid w:val="007D31FB"/>
    <w:rsid w:val="007D3C2C"/>
    <w:rsid w:val="007D3E66"/>
    <w:rsid w:val="007D4333"/>
    <w:rsid w:val="007D4546"/>
    <w:rsid w:val="007D47FA"/>
    <w:rsid w:val="007D532C"/>
    <w:rsid w:val="007D6E6F"/>
    <w:rsid w:val="007D7079"/>
    <w:rsid w:val="007D7C74"/>
    <w:rsid w:val="007D7EB8"/>
    <w:rsid w:val="007E0035"/>
    <w:rsid w:val="007E0A2D"/>
    <w:rsid w:val="007E0F93"/>
    <w:rsid w:val="007E15B6"/>
    <w:rsid w:val="007E15E3"/>
    <w:rsid w:val="007E15E8"/>
    <w:rsid w:val="007E220D"/>
    <w:rsid w:val="007E24E7"/>
    <w:rsid w:val="007E2509"/>
    <w:rsid w:val="007E27E3"/>
    <w:rsid w:val="007E35B4"/>
    <w:rsid w:val="007E3FC2"/>
    <w:rsid w:val="007E4587"/>
    <w:rsid w:val="007E4B23"/>
    <w:rsid w:val="007E4BA1"/>
    <w:rsid w:val="007E55ED"/>
    <w:rsid w:val="007E62A3"/>
    <w:rsid w:val="007E649E"/>
    <w:rsid w:val="007E6EEF"/>
    <w:rsid w:val="007E704F"/>
    <w:rsid w:val="007E7861"/>
    <w:rsid w:val="007E78A2"/>
    <w:rsid w:val="007E79CE"/>
    <w:rsid w:val="007E7C58"/>
    <w:rsid w:val="007E7F54"/>
    <w:rsid w:val="007F00BC"/>
    <w:rsid w:val="007F0234"/>
    <w:rsid w:val="007F0877"/>
    <w:rsid w:val="007F0E54"/>
    <w:rsid w:val="007F0FB2"/>
    <w:rsid w:val="007F1562"/>
    <w:rsid w:val="007F17FB"/>
    <w:rsid w:val="007F1BBF"/>
    <w:rsid w:val="007F2572"/>
    <w:rsid w:val="007F3311"/>
    <w:rsid w:val="007F3C96"/>
    <w:rsid w:val="007F47A7"/>
    <w:rsid w:val="007F4908"/>
    <w:rsid w:val="007F56B1"/>
    <w:rsid w:val="007F58A3"/>
    <w:rsid w:val="007F59D8"/>
    <w:rsid w:val="007F681E"/>
    <w:rsid w:val="007F68C9"/>
    <w:rsid w:val="007F6B4D"/>
    <w:rsid w:val="00800C75"/>
    <w:rsid w:val="00800C77"/>
    <w:rsid w:val="00801196"/>
    <w:rsid w:val="00801238"/>
    <w:rsid w:val="00801800"/>
    <w:rsid w:val="00801D3E"/>
    <w:rsid w:val="00802549"/>
    <w:rsid w:val="00802735"/>
    <w:rsid w:val="008027A7"/>
    <w:rsid w:val="008034FA"/>
    <w:rsid w:val="0080360B"/>
    <w:rsid w:val="00803880"/>
    <w:rsid w:val="0080567C"/>
    <w:rsid w:val="00805921"/>
    <w:rsid w:val="00805A1B"/>
    <w:rsid w:val="00805E5C"/>
    <w:rsid w:val="0080630D"/>
    <w:rsid w:val="008100BC"/>
    <w:rsid w:val="008100F0"/>
    <w:rsid w:val="00810717"/>
    <w:rsid w:val="00810E49"/>
    <w:rsid w:val="00810F5A"/>
    <w:rsid w:val="00810F78"/>
    <w:rsid w:val="00811797"/>
    <w:rsid w:val="008118AC"/>
    <w:rsid w:val="008119C6"/>
    <w:rsid w:val="00812299"/>
    <w:rsid w:val="008137D9"/>
    <w:rsid w:val="008148DC"/>
    <w:rsid w:val="0081746C"/>
    <w:rsid w:val="008174DE"/>
    <w:rsid w:val="008175B0"/>
    <w:rsid w:val="00820267"/>
    <w:rsid w:val="00820387"/>
    <w:rsid w:val="00820B52"/>
    <w:rsid w:val="00820DA1"/>
    <w:rsid w:val="00821515"/>
    <w:rsid w:val="00821C46"/>
    <w:rsid w:val="00822355"/>
    <w:rsid w:val="008223CF"/>
    <w:rsid w:val="00822439"/>
    <w:rsid w:val="00823D49"/>
    <w:rsid w:val="00823E42"/>
    <w:rsid w:val="008241F5"/>
    <w:rsid w:val="0082451B"/>
    <w:rsid w:val="0082479A"/>
    <w:rsid w:val="008251B0"/>
    <w:rsid w:val="00825664"/>
    <w:rsid w:val="008257B6"/>
    <w:rsid w:val="00825AC3"/>
    <w:rsid w:val="00825F8F"/>
    <w:rsid w:val="00826C4D"/>
    <w:rsid w:val="00826CA2"/>
    <w:rsid w:val="00826FDF"/>
    <w:rsid w:val="008271F7"/>
    <w:rsid w:val="00827714"/>
    <w:rsid w:val="00827A09"/>
    <w:rsid w:val="00827C76"/>
    <w:rsid w:val="008313FC"/>
    <w:rsid w:val="00831445"/>
    <w:rsid w:val="00832612"/>
    <w:rsid w:val="0083352D"/>
    <w:rsid w:val="00833726"/>
    <w:rsid w:val="008343B0"/>
    <w:rsid w:val="008344CD"/>
    <w:rsid w:val="0083492F"/>
    <w:rsid w:val="00835835"/>
    <w:rsid w:val="00835BB4"/>
    <w:rsid w:val="0083602E"/>
    <w:rsid w:val="00836E4F"/>
    <w:rsid w:val="00836E53"/>
    <w:rsid w:val="00837E51"/>
    <w:rsid w:val="0084137D"/>
    <w:rsid w:val="0084179B"/>
    <w:rsid w:val="008418C9"/>
    <w:rsid w:val="0084197F"/>
    <w:rsid w:val="00842261"/>
    <w:rsid w:val="00842777"/>
    <w:rsid w:val="00843FF2"/>
    <w:rsid w:val="00844387"/>
    <w:rsid w:val="008444E1"/>
    <w:rsid w:val="00845115"/>
    <w:rsid w:val="008475D2"/>
    <w:rsid w:val="008479CC"/>
    <w:rsid w:val="00850056"/>
    <w:rsid w:val="0085045E"/>
    <w:rsid w:val="00850A67"/>
    <w:rsid w:val="00850AB1"/>
    <w:rsid w:val="00851B6D"/>
    <w:rsid w:val="008520E5"/>
    <w:rsid w:val="00852B5E"/>
    <w:rsid w:val="00852CC0"/>
    <w:rsid w:val="00853084"/>
    <w:rsid w:val="008535F0"/>
    <w:rsid w:val="00853A96"/>
    <w:rsid w:val="00853C10"/>
    <w:rsid w:val="008540C5"/>
    <w:rsid w:val="008547AE"/>
    <w:rsid w:val="00854A4C"/>
    <w:rsid w:val="00855067"/>
    <w:rsid w:val="00856481"/>
    <w:rsid w:val="008568CE"/>
    <w:rsid w:val="00856A7B"/>
    <w:rsid w:val="00856DCD"/>
    <w:rsid w:val="008600D7"/>
    <w:rsid w:val="00860501"/>
    <w:rsid w:val="00860711"/>
    <w:rsid w:val="00861185"/>
    <w:rsid w:val="00861AB5"/>
    <w:rsid w:val="00862472"/>
    <w:rsid w:val="00862744"/>
    <w:rsid w:val="0086276F"/>
    <w:rsid w:val="0086286C"/>
    <w:rsid w:val="00862A26"/>
    <w:rsid w:val="00862D6B"/>
    <w:rsid w:val="00862E31"/>
    <w:rsid w:val="00862E3A"/>
    <w:rsid w:val="00863244"/>
    <w:rsid w:val="00863CFA"/>
    <w:rsid w:val="00863D05"/>
    <w:rsid w:val="008644CD"/>
    <w:rsid w:val="008646AA"/>
    <w:rsid w:val="00864C29"/>
    <w:rsid w:val="0086563F"/>
    <w:rsid w:val="008658E5"/>
    <w:rsid w:val="00865CFC"/>
    <w:rsid w:val="0086603B"/>
    <w:rsid w:val="00866A30"/>
    <w:rsid w:val="008676EC"/>
    <w:rsid w:val="00870527"/>
    <w:rsid w:val="00871327"/>
    <w:rsid w:val="00871877"/>
    <w:rsid w:val="008718A2"/>
    <w:rsid w:val="00871E58"/>
    <w:rsid w:val="00872265"/>
    <w:rsid w:val="00872432"/>
    <w:rsid w:val="00872B8E"/>
    <w:rsid w:val="00873E9E"/>
    <w:rsid w:val="00874201"/>
    <w:rsid w:val="0087497D"/>
    <w:rsid w:val="00874A92"/>
    <w:rsid w:val="00874B10"/>
    <w:rsid w:val="00874BD5"/>
    <w:rsid w:val="00874CEB"/>
    <w:rsid w:val="00875450"/>
    <w:rsid w:val="00875855"/>
    <w:rsid w:val="00876023"/>
    <w:rsid w:val="00876052"/>
    <w:rsid w:val="00877343"/>
    <w:rsid w:val="00880F5E"/>
    <w:rsid w:val="008816A2"/>
    <w:rsid w:val="00881CD3"/>
    <w:rsid w:val="00881E4D"/>
    <w:rsid w:val="00882852"/>
    <w:rsid w:val="00882930"/>
    <w:rsid w:val="00882B0F"/>
    <w:rsid w:val="00882B36"/>
    <w:rsid w:val="00882FCB"/>
    <w:rsid w:val="00883152"/>
    <w:rsid w:val="008832FC"/>
    <w:rsid w:val="0088336F"/>
    <w:rsid w:val="00883EA3"/>
    <w:rsid w:val="00883F0B"/>
    <w:rsid w:val="0088465A"/>
    <w:rsid w:val="00884A56"/>
    <w:rsid w:val="008852DD"/>
    <w:rsid w:val="008857F0"/>
    <w:rsid w:val="00885A09"/>
    <w:rsid w:val="00885FFB"/>
    <w:rsid w:val="0088614F"/>
    <w:rsid w:val="00886337"/>
    <w:rsid w:val="00886745"/>
    <w:rsid w:val="00886C02"/>
    <w:rsid w:val="00886FB1"/>
    <w:rsid w:val="00887666"/>
    <w:rsid w:val="00887CF0"/>
    <w:rsid w:val="00890177"/>
    <w:rsid w:val="00890DE2"/>
    <w:rsid w:val="00890E3E"/>
    <w:rsid w:val="00890E3F"/>
    <w:rsid w:val="0089121A"/>
    <w:rsid w:val="00891DCF"/>
    <w:rsid w:val="00891E41"/>
    <w:rsid w:val="008925C0"/>
    <w:rsid w:val="008935E4"/>
    <w:rsid w:val="00893A1E"/>
    <w:rsid w:val="00893F28"/>
    <w:rsid w:val="00894F81"/>
    <w:rsid w:val="00895048"/>
    <w:rsid w:val="008953E8"/>
    <w:rsid w:val="00897559"/>
    <w:rsid w:val="008978A0"/>
    <w:rsid w:val="008A0810"/>
    <w:rsid w:val="008A099E"/>
    <w:rsid w:val="008A17D4"/>
    <w:rsid w:val="008A17EA"/>
    <w:rsid w:val="008A1EC5"/>
    <w:rsid w:val="008A1F58"/>
    <w:rsid w:val="008A3077"/>
    <w:rsid w:val="008A3A28"/>
    <w:rsid w:val="008A3C80"/>
    <w:rsid w:val="008A3ED4"/>
    <w:rsid w:val="008A4687"/>
    <w:rsid w:val="008A549A"/>
    <w:rsid w:val="008A6064"/>
    <w:rsid w:val="008A6293"/>
    <w:rsid w:val="008A7822"/>
    <w:rsid w:val="008B03FB"/>
    <w:rsid w:val="008B1637"/>
    <w:rsid w:val="008B1DF0"/>
    <w:rsid w:val="008B1E29"/>
    <w:rsid w:val="008B243A"/>
    <w:rsid w:val="008B2AD3"/>
    <w:rsid w:val="008B2D23"/>
    <w:rsid w:val="008B513A"/>
    <w:rsid w:val="008B51F0"/>
    <w:rsid w:val="008B56E8"/>
    <w:rsid w:val="008B6137"/>
    <w:rsid w:val="008B6692"/>
    <w:rsid w:val="008B6B65"/>
    <w:rsid w:val="008B6D1D"/>
    <w:rsid w:val="008B6D4D"/>
    <w:rsid w:val="008B74F1"/>
    <w:rsid w:val="008B7A7A"/>
    <w:rsid w:val="008B7B08"/>
    <w:rsid w:val="008B7D9C"/>
    <w:rsid w:val="008C05B2"/>
    <w:rsid w:val="008C0FD9"/>
    <w:rsid w:val="008C1023"/>
    <w:rsid w:val="008C3419"/>
    <w:rsid w:val="008C3D2C"/>
    <w:rsid w:val="008C41FE"/>
    <w:rsid w:val="008C4208"/>
    <w:rsid w:val="008C4310"/>
    <w:rsid w:val="008C4464"/>
    <w:rsid w:val="008C4758"/>
    <w:rsid w:val="008C51B8"/>
    <w:rsid w:val="008C55F1"/>
    <w:rsid w:val="008C5E53"/>
    <w:rsid w:val="008C62BA"/>
    <w:rsid w:val="008C6340"/>
    <w:rsid w:val="008C6597"/>
    <w:rsid w:val="008C6C70"/>
    <w:rsid w:val="008C74C9"/>
    <w:rsid w:val="008C7584"/>
    <w:rsid w:val="008D015A"/>
    <w:rsid w:val="008D0959"/>
    <w:rsid w:val="008D0EC9"/>
    <w:rsid w:val="008D170F"/>
    <w:rsid w:val="008D1EE1"/>
    <w:rsid w:val="008D2072"/>
    <w:rsid w:val="008D23B2"/>
    <w:rsid w:val="008D3A3E"/>
    <w:rsid w:val="008D3FA2"/>
    <w:rsid w:val="008D40B3"/>
    <w:rsid w:val="008D5E5E"/>
    <w:rsid w:val="008D61F0"/>
    <w:rsid w:val="008D699B"/>
    <w:rsid w:val="008D6AFF"/>
    <w:rsid w:val="008D72C8"/>
    <w:rsid w:val="008E0228"/>
    <w:rsid w:val="008E153E"/>
    <w:rsid w:val="008E179F"/>
    <w:rsid w:val="008E1E7E"/>
    <w:rsid w:val="008E2B92"/>
    <w:rsid w:val="008E3DEE"/>
    <w:rsid w:val="008E47B0"/>
    <w:rsid w:val="008E4832"/>
    <w:rsid w:val="008E4945"/>
    <w:rsid w:val="008E5001"/>
    <w:rsid w:val="008E58EA"/>
    <w:rsid w:val="008E73E6"/>
    <w:rsid w:val="008E7782"/>
    <w:rsid w:val="008E7A1E"/>
    <w:rsid w:val="008E7B64"/>
    <w:rsid w:val="008E7D67"/>
    <w:rsid w:val="008F067F"/>
    <w:rsid w:val="008F06A7"/>
    <w:rsid w:val="008F14B0"/>
    <w:rsid w:val="008F19D7"/>
    <w:rsid w:val="008F1B17"/>
    <w:rsid w:val="008F209F"/>
    <w:rsid w:val="008F250C"/>
    <w:rsid w:val="008F27BC"/>
    <w:rsid w:val="008F3481"/>
    <w:rsid w:val="008F34D2"/>
    <w:rsid w:val="008F387E"/>
    <w:rsid w:val="008F4046"/>
    <w:rsid w:val="008F4140"/>
    <w:rsid w:val="008F4664"/>
    <w:rsid w:val="008F48F2"/>
    <w:rsid w:val="008F4A26"/>
    <w:rsid w:val="008F523F"/>
    <w:rsid w:val="008F5601"/>
    <w:rsid w:val="008F56B8"/>
    <w:rsid w:val="008F5724"/>
    <w:rsid w:val="008F6A59"/>
    <w:rsid w:val="008F719D"/>
    <w:rsid w:val="008F7A89"/>
    <w:rsid w:val="0090014B"/>
    <w:rsid w:val="009013FD"/>
    <w:rsid w:val="00901775"/>
    <w:rsid w:val="0090212F"/>
    <w:rsid w:val="00902990"/>
    <w:rsid w:val="0090379E"/>
    <w:rsid w:val="0090496B"/>
    <w:rsid w:val="00904995"/>
    <w:rsid w:val="00904A49"/>
    <w:rsid w:val="00904C42"/>
    <w:rsid w:val="009051AB"/>
    <w:rsid w:val="00905D28"/>
    <w:rsid w:val="00905E86"/>
    <w:rsid w:val="00906542"/>
    <w:rsid w:val="009068FA"/>
    <w:rsid w:val="009073BC"/>
    <w:rsid w:val="00907E00"/>
    <w:rsid w:val="009102C6"/>
    <w:rsid w:val="0091093E"/>
    <w:rsid w:val="009109B5"/>
    <w:rsid w:val="00910CEA"/>
    <w:rsid w:val="009113D6"/>
    <w:rsid w:val="009114D4"/>
    <w:rsid w:val="00911F0A"/>
    <w:rsid w:val="009124DD"/>
    <w:rsid w:val="00912707"/>
    <w:rsid w:val="00913728"/>
    <w:rsid w:val="00913998"/>
    <w:rsid w:val="00913C58"/>
    <w:rsid w:val="00913D15"/>
    <w:rsid w:val="009153D2"/>
    <w:rsid w:val="00915EAD"/>
    <w:rsid w:val="009164BD"/>
    <w:rsid w:val="00916C40"/>
    <w:rsid w:val="00916DAF"/>
    <w:rsid w:val="00916F35"/>
    <w:rsid w:val="00916F64"/>
    <w:rsid w:val="009170E5"/>
    <w:rsid w:val="009175D2"/>
    <w:rsid w:val="00917D9E"/>
    <w:rsid w:val="0092061A"/>
    <w:rsid w:val="009207FB"/>
    <w:rsid w:val="0092087D"/>
    <w:rsid w:val="00920B71"/>
    <w:rsid w:val="00920CED"/>
    <w:rsid w:val="0092111F"/>
    <w:rsid w:val="0092162E"/>
    <w:rsid w:val="0092220D"/>
    <w:rsid w:val="00922970"/>
    <w:rsid w:val="00924172"/>
    <w:rsid w:val="009246F6"/>
    <w:rsid w:val="0092493E"/>
    <w:rsid w:val="00925092"/>
    <w:rsid w:val="009251F8"/>
    <w:rsid w:val="009258BD"/>
    <w:rsid w:val="0092645E"/>
    <w:rsid w:val="00926702"/>
    <w:rsid w:val="0092728D"/>
    <w:rsid w:val="00930ACB"/>
    <w:rsid w:val="00931C98"/>
    <w:rsid w:val="009326A3"/>
    <w:rsid w:val="00932CF8"/>
    <w:rsid w:val="009330F1"/>
    <w:rsid w:val="0093343F"/>
    <w:rsid w:val="00933923"/>
    <w:rsid w:val="009355D9"/>
    <w:rsid w:val="00935DD4"/>
    <w:rsid w:val="00936107"/>
    <w:rsid w:val="009364BE"/>
    <w:rsid w:val="00936941"/>
    <w:rsid w:val="00936DF1"/>
    <w:rsid w:val="00936E52"/>
    <w:rsid w:val="00936ED9"/>
    <w:rsid w:val="00936FEF"/>
    <w:rsid w:val="00937811"/>
    <w:rsid w:val="00937F40"/>
    <w:rsid w:val="009406DA"/>
    <w:rsid w:val="0094077B"/>
    <w:rsid w:val="00941061"/>
    <w:rsid w:val="0094107E"/>
    <w:rsid w:val="00941352"/>
    <w:rsid w:val="00941396"/>
    <w:rsid w:val="009420BD"/>
    <w:rsid w:val="00942C46"/>
    <w:rsid w:val="0094563F"/>
    <w:rsid w:val="009459F6"/>
    <w:rsid w:val="009475A8"/>
    <w:rsid w:val="00947683"/>
    <w:rsid w:val="00947811"/>
    <w:rsid w:val="00947D82"/>
    <w:rsid w:val="009500A8"/>
    <w:rsid w:val="00950411"/>
    <w:rsid w:val="00950796"/>
    <w:rsid w:val="00951017"/>
    <w:rsid w:val="00952AA0"/>
    <w:rsid w:val="00952E2F"/>
    <w:rsid w:val="00952E50"/>
    <w:rsid w:val="00953C2E"/>
    <w:rsid w:val="009543E8"/>
    <w:rsid w:val="009547AA"/>
    <w:rsid w:val="00954AF7"/>
    <w:rsid w:val="009553E5"/>
    <w:rsid w:val="00955590"/>
    <w:rsid w:val="009555EA"/>
    <w:rsid w:val="00955AE9"/>
    <w:rsid w:val="00955B3D"/>
    <w:rsid w:val="00955B61"/>
    <w:rsid w:val="00955D56"/>
    <w:rsid w:val="0095745D"/>
    <w:rsid w:val="00957757"/>
    <w:rsid w:val="00960156"/>
    <w:rsid w:val="009602F9"/>
    <w:rsid w:val="00960C7A"/>
    <w:rsid w:val="00961195"/>
    <w:rsid w:val="009613FC"/>
    <w:rsid w:val="00961773"/>
    <w:rsid w:val="0096189A"/>
    <w:rsid w:val="009618DF"/>
    <w:rsid w:val="00961FF9"/>
    <w:rsid w:val="00962732"/>
    <w:rsid w:val="00963A16"/>
    <w:rsid w:val="00963E89"/>
    <w:rsid w:val="0096516A"/>
    <w:rsid w:val="009652DF"/>
    <w:rsid w:val="009655B4"/>
    <w:rsid w:val="00965667"/>
    <w:rsid w:val="009656F4"/>
    <w:rsid w:val="0096573E"/>
    <w:rsid w:val="009662A8"/>
    <w:rsid w:val="00966699"/>
    <w:rsid w:val="00967438"/>
    <w:rsid w:val="00967488"/>
    <w:rsid w:val="009704FA"/>
    <w:rsid w:val="0097088A"/>
    <w:rsid w:val="00970AC7"/>
    <w:rsid w:val="0097132B"/>
    <w:rsid w:val="009713B8"/>
    <w:rsid w:val="009716B5"/>
    <w:rsid w:val="00971D97"/>
    <w:rsid w:val="009727C8"/>
    <w:rsid w:val="00972948"/>
    <w:rsid w:val="00972D5F"/>
    <w:rsid w:val="00973EE7"/>
    <w:rsid w:val="00974592"/>
    <w:rsid w:val="00975715"/>
    <w:rsid w:val="0097592D"/>
    <w:rsid w:val="00977BF0"/>
    <w:rsid w:val="009801DF"/>
    <w:rsid w:val="00980FC5"/>
    <w:rsid w:val="00981BB9"/>
    <w:rsid w:val="00982E67"/>
    <w:rsid w:val="0098420A"/>
    <w:rsid w:val="009852C6"/>
    <w:rsid w:val="00985603"/>
    <w:rsid w:val="00985B2E"/>
    <w:rsid w:val="00985B35"/>
    <w:rsid w:val="00986283"/>
    <w:rsid w:val="00986292"/>
    <w:rsid w:val="009866F2"/>
    <w:rsid w:val="00986C4D"/>
    <w:rsid w:val="00986D13"/>
    <w:rsid w:val="0098701D"/>
    <w:rsid w:val="0098733A"/>
    <w:rsid w:val="009879A0"/>
    <w:rsid w:val="00990024"/>
    <w:rsid w:val="0099058D"/>
    <w:rsid w:val="00990A89"/>
    <w:rsid w:val="0099118B"/>
    <w:rsid w:val="00992490"/>
    <w:rsid w:val="00994453"/>
    <w:rsid w:val="009945E0"/>
    <w:rsid w:val="0099475A"/>
    <w:rsid w:val="00994C1D"/>
    <w:rsid w:val="0099506E"/>
    <w:rsid w:val="009954AF"/>
    <w:rsid w:val="009959F7"/>
    <w:rsid w:val="00995A43"/>
    <w:rsid w:val="00995FCC"/>
    <w:rsid w:val="0099632F"/>
    <w:rsid w:val="00996ABD"/>
    <w:rsid w:val="00997028"/>
    <w:rsid w:val="00997BEC"/>
    <w:rsid w:val="009A04C9"/>
    <w:rsid w:val="009A0F1A"/>
    <w:rsid w:val="009A118E"/>
    <w:rsid w:val="009A15FD"/>
    <w:rsid w:val="009A1C36"/>
    <w:rsid w:val="009A21EF"/>
    <w:rsid w:val="009A2AFF"/>
    <w:rsid w:val="009A2C8F"/>
    <w:rsid w:val="009A2F1F"/>
    <w:rsid w:val="009A33A0"/>
    <w:rsid w:val="009A3D4F"/>
    <w:rsid w:val="009A4E39"/>
    <w:rsid w:val="009A4E4A"/>
    <w:rsid w:val="009A5235"/>
    <w:rsid w:val="009A5279"/>
    <w:rsid w:val="009A6197"/>
    <w:rsid w:val="009A64E7"/>
    <w:rsid w:val="009A68C7"/>
    <w:rsid w:val="009A6D22"/>
    <w:rsid w:val="009A7111"/>
    <w:rsid w:val="009B0167"/>
    <w:rsid w:val="009B07E0"/>
    <w:rsid w:val="009B09FE"/>
    <w:rsid w:val="009B1339"/>
    <w:rsid w:val="009B15D4"/>
    <w:rsid w:val="009B1A31"/>
    <w:rsid w:val="009B3747"/>
    <w:rsid w:val="009B3990"/>
    <w:rsid w:val="009B3AE8"/>
    <w:rsid w:val="009B4015"/>
    <w:rsid w:val="009B51AA"/>
    <w:rsid w:val="009B54B4"/>
    <w:rsid w:val="009B5CA5"/>
    <w:rsid w:val="009B5CAC"/>
    <w:rsid w:val="009B5FEC"/>
    <w:rsid w:val="009B6128"/>
    <w:rsid w:val="009B6160"/>
    <w:rsid w:val="009B61C5"/>
    <w:rsid w:val="009B65AB"/>
    <w:rsid w:val="009B6626"/>
    <w:rsid w:val="009B6C92"/>
    <w:rsid w:val="009B7E29"/>
    <w:rsid w:val="009C0FF6"/>
    <w:rsid w:val="009C230D"/>
    <w:rsid w:val="009C28D0"/>
    <w:rsid w:val="009C2923"/>
    <w:rsid w:val="009C3A86"/>
    <w:rsid w:val="009C3A8B"/>
    <w:rsid w:val="009C3DEA"/>
    <w:rsid w:val="009C429D"/>
    <w:rsid w:val="009C4AE9"/>
    <w:rsid w:val="009C56E9"/>
    <w:rsid w:val="009C5909"/>
    <w:rsid w:val="009C5BC5"/>
    <w:rsid w:val="009C5BCA"/>
    <w:rsid w:val="009C5E12"/>
    <w:rsid w:val="009C5F8D"/>
    <w:rsid w:val="009C5FD9"/>
    <w:rsid w:val="009C6060"/>
    <w:rsid w:val="009C77FA"/>
    <w:rsid w:val="009C7ED9"/>
    <w:rsid w:val="009D01B8"/>
    <w:rsid w:val="009D092E"/>
    <w:rsid w:val="009D0E56"/>
    <w:rsid w:val="009D125F"/>
    <w:rsid w:val="009D22BC"/>
    <w:rsid w:val="009D2A72"/>
    <w:rsid w:val="009D35D0"/>
    <w:rsid w:val="009D3FE5"/>
    <w:rsid w:val="009D4DA0"/>
    <w:rsid w:val="009D4E99"/>
    <w:rsid w:val="009D5437"/>
    <w:rsid w:val="009D5878"/>
    <w:rsid w:val="009D6A91"/>
    <w:rsid w:val="009D6E85"/>
    <w:rsid w:val="009D77A7"/>
    <w:rsid w:val="009D7BEB"/>
    <w:rsid w:val="009D7C88"/>
    <w:rsid w:val="009E011A"/>
    <w:rsid w:val="009E02C0"/>
    <w:rsid w:val="009E04D8"/>
    <w:rsid w:val="009E1302"/>
    <w:rsid w:val="009E15A0"/>
    <w:rsid w:val="009E179D"/>
    <w:rsid w:val="009E228D"/>
    <w:rsid w:val="009E24D7"/>
    <w:rsid w:val="009E261D"/>
    <w:rsid w:val="009E298B"/>
    <w:rsid w:val="009E3133"/>
    <w:rsid w:val="009E388A"/>
    <w:rsid w:val="009E3B43"/>
    <w:rsid w:val="009E3BD7"/>
    <w:rsid w:val="009E3ED6"/>
    <w:rsid w:val="009E459E"/>
    <w:rsid w:val="009E4CC8"/>
    <w:rsid w:val="009E567E"/>
    <w:rsid w:val="009E58DE"/>
    <w:rsid w:val="009E64B0"/>
    <w:rsid w:val="009E64B6"/>
    <w:rsid w:val="009E667B"/>
    <w:rsid w:val="009E75E8"/>
    <w:rsid w:val="009E78AD"/>
    <w:rsid w:val="009F0646"/>
    <w:rsid w:val="009F0C4A"/>
    <w:rsid w:val="009F1836"/>
    <w:rsid w:val="009F1DE1"/>
    <w:rsid w:val="009F213C"/>
    <w:rsid w:val="009F26E2"/>
    <w:rsid w:val="009F2C3B"/>
    <w:rsid w:val="009F2EAB"/>
    <w:rsid w:val="009F312F"/>
    <w:rsid w:val="009F3AEB"/>
    <w:rsid w:val="009F3BF1"/>
    <w:rsid w:val="009F3FE0"/>
    <w:rsid w:val="009F478A"/>
    <w:rsid w:val="009F4F5E"/>
    <w:rsid w:val="009F556A"/>
    <w:rsid w:val="009F5AF9"/>
    <w:rsid w:val="009F5C7B"/>
    <w:rsid w:val="009F5D36"/>
    <w:rsid w:val="009F5EC6"/>
    <w:rsid w:val="009F650F"/>
    <w:rsid w:val="009F704E"/>
    <w:rsid w:val="009F78BA"/>
    <w:rsid w:val="00A0000D"/>
    <w:rsid w:val="00A0018B"/>
    <w:rsid w:val="00A00542"/>
    <w:rsid w:val="00A01080"/>
    <w:rsid w:val="00A01312"/>
    <w:rsid w:val="00A01369"/>
    <w:rsid w:val="00A01565"/>
    <w:rsid w:val="00A0156F"/>
    <w:rsid w:val="00A01735"/>
    <w:rsid w:val="00A01C43"/>
    <w:rsid w:val="00A01FC1"/>
    <w:rsid w:val="00A022B6"/>
    <w:rsid w:val="00A02D38"/>
    <w:rsid w:val="00A02FDF"/>
    <w:rsid w:val="00A031CE"/>
    <w:rsid w:val="00A035B0"/>
    <w:rsid w:val="00A03A7C"/>
    <w:rsid w:val="00A047A0"/>
    <w:rsid w:val="00A05781"/>
    <w:rsid w:val="00A06BAD"/>
    <w:rsid w:val="00A10565"/>
    <w:rsid w:val="00A10CDA"/>
    <w:rsid w:val="00A128DE"/>
    <w:rsid w:val="00A132C5"/>
    <w:rsid w:val="00A1340D"/>
    <w:rsid w:val="00A13C61"/>
    <w:rsid w:val="00A13CC8"/>
    <w:rsid w:val="00A13D64"/>
    <w:rsid w:val="00A13F60"/>
    <w:rsid w:val="00A146B3"/>
    <w:rsid w:val="00A14B75"/>
    <w:rsid w:val="00A151D3"/>
    <w:rsid w:val="00A16581"/>
    <w:rsid w:val="00A16799"/>
    <w:rsid w:val="00A16A51"/>
    <w:rsid w:val="00A177B0"/>
    <w:rsid w:val="00A17804"/>
    <w:rsid w:val="00A17ADA"/>
    <w:rsid w:val="00A20696"/>
    <w:rsid w:val="00A208BD"/>
    <w:rsid w:val="00A20B2E"/>
    <w:rsid w:val="00A20B72"/>
    <w:rsid w:val="00A21C49"/>
    <w:rsid w:val="00A21CD6"/>
    <w:rsid w:val="00A221A0"/>
    <w:rsid w:val="00A22612"/>
    <w:rsid w:val="00A22716"/>
    <w:rsid w:val="00A22DE7"/>
    <w:rsid w:val="00A23202"/>
    <w:rsid w:val="00A239F7"/>
    <w:rsid w:val="00A242DF"/>
    <w:rsid w:val="00A24381"/>
    <w:rsid w:val="00A24980"/>
    <w:rsid w:val="00A25006"/>
    <w:rsid w:val="00A2558A"/>
    <w:rsid w:val="00A25E1F"/>
    <w:rsid w:val="00A26278"/>
    <w:rsid w:val="00A263EB"/>
    <w:rsid w:val="00A266AF"/>
    <w:rsid w:val="00A27DFE"/>
    <w:rsid w:val="00A3043D"/>
    <w:rsid w:val="00A30C8F"/>
    <w:rsid w:val="00A30CE3"/>
    <w:rsid w:val="00A30E52"/>
    <w:rsid w:val="00A3116D"/>
    <w:rsid w:val="00A315B5"/>
    <w:rsid w:val="00A318A8"/>
    <w:rsid w:val="00A31D39"/>
    <w:rsid w:val="00A325F8"/>
    <w:rsid w:val="00A327B8"/>
    <w:rsid w:val="00A32944"/>
    <w:rsid w:val="00A32CF0"/>
    <w:rsid w:val="00A340E1"/>
    <w:rsid w:val="00A34CAC"/>
    <w:rsid w:val="00A34DDC"/>
    <w:rsid w:val="00A3519E"/>
    <w:rsid w:val="00A35E4C"/>
    <w:rsid w:val="00A36827"/>
    <w:rsid w:val="00A36F25"/>
    <w:rsid w:val="00A3749F"/>
    <w:rsid w:val="00A37A10"/>
    <w:rsid w:val="00A37C6E"/>
    <w:rsid w:val="00A40A4C"/>
    <w:rsid w:val="00A40E5F"/>
    <w:rsid w:val="00A41B2A"/>
    <w:rsid w:val="00A42602"/>
    <w:rsid w:val="00A42EF0"/>
    <w:rsid w:val="00A4308B"/>
    <w:rsid w:val="00A43C59"/>
    <w:rsid w:val="00A43F28"/>
    <w:rsid w:val="00A44284"/>
    <w:rsid w:val="00A443D1"/>
    <w:rsid w:val="00A446EF"/>
    <w:rsid w:val="00A451A4"/>
    <w:rsid w:val="00A4672B"/>
    <w:rsid w:val="00A46E68"/>
    <w:rsid w:val="00A477EB"/>
    <w:rsid w:val="00A47E21"/>
    <w:rsid w:val="00A51107"/>
    <w:rsid w:val="00A516B1"/>
    <w:rsid w:val="00A51D58"/>
    <w:rsid w:val="00A5213F"/>
    <w:rsid w:val="00A528BB"/>
    <w:rsid w:val="00A54C6D"/>
    <w:rsid w:val="00A551E3"/>
    <w:rsid w:val="00A55DF6"/>
    <w:rsid w:val="00A56316"/>
    <w:rsid w:val="00A566FF"/>
    <w:rsid w:val="00A56B47"/>
    <w:rsid w:val="00A575EC"/>
    <w:rsid w:val="00A60708"/>
    <w:rsid w:val="00A60AF2"/>
    <w:rsid w:val="00A6188D"/>
    <w:rsid w:val="00A619A1"/>
    <w:rsid w:val="00A61B38"/>
    <w:rsid w:val="00A63AD6"/>
    <w:rsid w:val="00A64525"/>
    <w:rsid w:val="00A65237"/>
    <w:rsid w:val="00A653AF"/>
    <w:rsid w:val="00A66278"/>
    <w:rsid w:val="00A668F0"/>
    <w:rsid w:val="00A672BA"/>
    <w:rsid w:val="00A67E1E"/>
    <w:rsid w:val="00A71363"/>
    <w:rsid w:val="00A71F4B"/>
    <w:rsid w:val="00A721F2"/>
    <w:rsid w:val="00A728F1"/>
    <w:rsid w:val="00A729B2"/>
    <w:rsid w:val="00A73075"/>
    <w:rsid w:val="00A73210"/>
    <w:rsid w:val="00A73906"/>
    <w:rsid w:val="00A73C0E"/>
    <w:rsid w:val="00A7400A"/>
    <w:rsid w:val="00A749EB"/>
    <w:rsid w:val="00A74FFA"/>
    <w:rsid w:val="00A75442"/>
    <w:rsid w:val="00A7559D"/>
    <w:rsid w:val="00A756D9"/>
    <w:rsid w:val="00A7619D"/>
    <w:rsid w:val="00A767E8"/>
    <w:rsid w:val="00A80447"/>
    <w:rsid w:val="00A80F0B"/>
    <w:rsid w:val="00A82AAA"/>
    <w:rsid w:val="00A831BB"/>
    <w:rsid w:val="00A83216"/>
    <w:rsid w:val="00A8325E"/>
    <w:rsid w:val="00A83E4B"/>
    <w:rsid w:val="00A84030"/>
    <w:rsid w:val="00A84C0A"/>
    <w:rsid w:val="00A85283"/>
    <w:rsid w:val="00A85D8D"/>
    <w:rsid w:val="00A86007"/>
    <w:rsid w:val="00A8652F"/>
    <w:rsid w:val="00A865CE"/>
    <w:rsid w:val="00A87DDF"/>
    <w:rsid w:val="00A90E0A"/>
    <w:rsid w:val="00A9108D"/>
    <w:rsid w:val="00A91C71"/>
    <w:rsid w:val="00A925BB"/>
    <w:rsid w:val="00A927F2"/>
    <w:rsid w:val="00A92C39"/>
    <w:rsid w:val="00A9351B"/>
    <w:rsid w:val="00A93B32"/>
    <w:rsid w:val="00A93F75"/>
    <w:rsid w:val="00A95392"/>
    <w:rsid w:val="00A955F2"/>
    <w:rsid w:val="00A95D52"/>
    <w:rsid w:val="00A96323"/>
    <w:rsid w:val="00A96B91"/>
    <w:rsid w:val="00A9726C"/>
    <w:rsid w:val="00A97ED0"/>
    <w:rsid w:val="00AA0715"/>
    <w:rsid w:val="00AA0B2F"/>
    <w:rsid w:val="00AA0F85"/>
    <w:rsid w:val="00AA1821"/>
    <w:rsid w:val="00AA186A"/>
    <w:rsid w:val="00AA1C4B"/>
    <w:rsid w:val="00AA2867"/>
    <w:rsid w:val="00AA2C0E"/>
    <w:rsid w:val="00AA3659"/>
    <w:rsid w:val="00AA37CB"/>
    <w:rsid w:val="00AA3806"/>
    <w:rsid w:val="00AA4545"/>
    <w:rsid w:val="00AA5139"/>
    <w:rsid w:val="00AA70DC"/>
    <w:rsid w:val="00AA75E5"/>
    <w:rsid w:val="00AA78A4"/>
    <w:rsid w:val="00AA79E9"/>
    <w:rsid w:val="00AA7EBF"/>
    <w:rsid w:val="00AB0845"/>
    <w:rsid w:val="00AB0C31"/>
    <w:rsid w:val="00AB1009"/>
    <w:rsid w:val="00AB200C"/>
    <w:rsid w:val="00AB2930"/>
    <w:rsid w:val="00AB2BA3"/>
    <w:rsid w:val="00AB527C"/>
    <w:rsid w:val="00AB5C83"/>
    <w:rsid w:val="00AB7D01"/>
    <w:rsid w:val="00AC0304"/>
    <w:rsid w:val="00AC05E8"/>
    <w:rsid w:val="00AC079C"/>
    <w:rsid w:val="00AC08C0"/>
    <w:rsid w:val="00AC1544"/>
    <w:rsid w:val="00AC1830"/>
    <w:rsid w:val="00AC198F"/>
    <w:rsid w:val="00AC1AF1"/>
    <w:rsid w:val="00AC20BF"/>
    <w:rsid w:val="00AC2104"/>
    <w:rsid w:val="00AC2890"/>
    <w:rsid w:val="00AC2D20"/>
    <w:rsid w:val="00AC2EF2"/>
    <w:rsid w:val="00AC3400"/>
    <w:rsid w:val="00AC38EA"/>
    <w:rsid w:val="00AC3F16"/>
    <w:rsid w:val="00AC402E"/>
    <w:rsid w:val="00AC57C2"/>
    <w:rsid w:val="00AC599E"/>
    <w:rsid w:val="00AC613E"/>
    <w:rsid w:val="00AC6C91"/>
    <w:rsid w:val="00AC71E9"/>
    <w:rsid w:val="00AC71F5"/>
    <w:rsid w:val="00AC72D4"/>
    <w:rsid w:val="00AC769C"/>
    <w:rsid w:val="00AC7A7B"/>
    <w:rsid w:val="00AC7B3A"/>
    <w:rsid w:val="00AD05F0"/>
    <w:rsid w:val="00AD08A4"/>
    <w:rsid w:val="00AD16AD"/>
    <w:rsid w:val="00AD22F4"/>
    <w:rsid w:val="00AD2B49"/>
    <w:rsid w:val="00AD2DD9"/>
    <w:rsid w:val="00AD3CA3"/>
    <w:rsid w:val="00AD46B4"/>
    <w:rsid w:val="00AD5C50"/>
    <w:rsid w:val="00AD61CB"/>
    <w:rsid w:val="00AD6565"/>
    <w:rsid w:val="00AD674F"/>
    <w:rsid w:val="00AD6AC6"/>
    <w:rsid w:val="00AD6B71"/>
    <w:rsid w:val="00AD7FB6"/>
    <w:rsid w:val="00AE0198"/>
    <w:rsid w:val="00AE0420"/>
    <w:rsid w:val="00AE263D"/>
    <w:rsid w:val="00AE2970"/>
    <w:rsid w:val="00AE3B16"/>
    <w:rsid w:val="00AE3FBB"/>
    <w:rsid w:val="00AE40AB"/>
    <w:rsid w:val="00AE40AE"/>
    <w:rsid w:val="00AE594A"/>
    <w:rsid w:val="00AE652E"/>
    <w:rsid w:val="00AE657F"/>
    <w:rsid w:val="00AE6A0A"/>
    <w:rsid w:val="00AE748E"/>
    <w:rsid w:val="00AE77DC"/>
    <w:rsid w:val="00AE7E26"/>
    <w:rsid w:val="00AF044D"/>
    <w:rsid w:val="00AF0E99"/>
    <w:rsid w:val="00AF1BA4"/>
    <w:rsid w:val="00AF1BA6"/>
    <w:rsid w:val="00AF299D"/>
    <w:rsid w:val="00AF2DAF"/>
    <w:rsid w:val="00AF36E4"/>
    <w:rsid w:val="00AF3807"/>
    <w:rsid w:val="00AF45E7"/>
    <w:rsid w:val="00AF4665"/>
    <w:rsid w:val="00AF47FF"/>
    <w:rsid w:val="00AF4EF9"/>
    <w:rsid w:val="00AF540C"/>
    <w:rsid w:val="00AF5F3F"/>
    <w:rsid w:val="00AF6B63"/>
    <w:rsid w:val="00AF6C57"/>
    <w:rsid w:val="00AF6CC2"/>
    <w:rsid w:val="00AF6D0A"/>
    <w:rsid w:val="00AF6FBD"/>
    <w:rsid w:val="00AF77C1"/>
    <w:rsid w:val="00AF77CD"/>
    <w:rsid w:val="00AF7A1E"/>
    <w:rsid w:val="00AF7B23"/>
    <w:rsid w:val="00AF7C7D"/>
    <w:rsid w:val="00B00264"/>
    <w:rsid w:val="00B002A1"/>
    <w:rsid w:val="00B00BEE"/>
    <w:rsid w:val="00B01AE5"/>
    <w:rsid w:val="00B01D61"/>
    <w:rsid w:val="00B01E92"/>
    <w:rsid w:val="00B01FA6"/>
    <w:rsid w:val="00B02F16"/>
    <w:rsid w:val="00B03531"/>
    <w:rsid w:val="00B03952"/>
    <w:rsid w:val="00B05513"/>
    <w:rsid w:val="00B05DA3"/>
    <w:rsid w:val="00B07366"/>
    <w:rsid w:val="00B10B02"/>
    <w:rsid w:val="00B10BBE"/>
    <w:rsid w:val="00B10CA8"/>
    <w:rsid w:val="00B11942"/>
    <w:rsid w:val="00B11D3C"/>
    <w:rsid w:val="00B12013"/>
    <w:rsid w:val="00B129A9"/>
    <w:rsid w:val="00B13CC2"/>
    <w:rsid w:val="00B13D2B"/>
    <w:rsid w:val="00B1574C"/>
    <w:rsid w:val="00B15D86"/>
    <w:rsid w:val="00B1660A"/>
    <w:rsid w:val="00B166A9"/>
    <w:rsid w:val="00B16DA2"/>
    <w:rsid w:val="00B1753A"/>
    <w:rsid w:val="00B17DDA"/>
    <w:rsid w:val="00B17E2F"/>
    <w:rsid w:val="00B20383"/>
    <w:rsid w:val="00B21D0F"/>
    <w:rsid w:val="00B22720"/>
    <w:rsid w:val="00B22D26"/>
    <w:rsid w:val="00B22D3D"/>
    <w:rsid w:val="00B23529"/>
    <w:rsid w:val="00B23D80"/>
    <w:rsid w:val="00B24C2B"/>
    <w:rsid w:val="00B24CD0"/>
    <w:rsid w:val="00B24F45"/>
    <w:rsid w:val="00B27504"/>
    <w:rsid w:val="00B27531"/>
    <w:rsid w:val="00B2779B"/>
    <w:rsid w:val="00B277DE"/>
    <w:rsid w:val="00B27B0D"/>
    <w:rsid w:val="00B27B14"/>
    <w:rsid w:val="00B27BBE"/>
    <w:rsid w:val="00B27C36"/>
    <w:rsid w:val="00B27C86"/>
    <w:rsid w:val="00B3022D"/>
    <w:rsid w:val="00B3068D"/>
    <w:rsid w:val="00B30A48"/>
    <w:rsid w:val="00B31886"/>
    <w:rsid w:val="00B31A45"/>
    <w:rsid w:val="00B3226B"/>
    <w:rsid w:val="00B3226F"/>
    <w:rsid w:val="00B329A9"/>
    <w:rsid w:val="00B33395"/>
    <w:rsid w:val="00B338A0"/>
    <w:rsid w:val="00B33915"/>
    <w:rsid w:val="00B33D8E"/>
    <w:rsid w:val="00B3443C"/>
    <w:rsid w:val="00B34A1D"/>
    <w:rsid w:val="00B34C1E"/>
    <w:rsid w:val="00B34CCB"/>
    <w:rsid w:val="00B356DC"/>
    <w:rsid w:val="00B35A55"/>
    <w:rsid w:val="00B35D0E"/>
    <w:rsid w:val="00B35EE3"/>
    <w:rsid w:val="00B36413"/>
    <w:rsid w:val="00B36888"/>
    <w:rsid w:val="00B36A71"/>
    <w:rsid w:val="00B3715A"/>
    <w:rsid w:val="00B3778B"/>
    <w:rsid w:val="00B40869"/>
    <w:rsid w:val="00B410A2"/>
    <w:rsid w:val="00B41CF8"/>
    <w:rsid w:val="00B4243C"/>
    <w:rsid w:val="00B43895"/>
    <w:rsid w:val="00B43FBD"/>
    <w:rsid w:val="00B4501B"/>
    <w:rsid w:val="00B45378"/>
    <w:rsid w:val="00B454B4"/>
    <w:rsid w:val="00B45671"/>
    <w:rsid w:val="00B45768"/>
    <w:rsid w:val="00B45889"/>
    <w:rsid w:val="00B45895"/>
    <w:rsid w:val="00B45DC2"/>
    <w:rsid w:val="00B46688"/>
    <w:rsid w:val="00B46CAD"/>
    <w:rsid w:val="00B46D4F"/>
    <w:rsid w:val="00B46D83"/>
    <w:rsid w:val="00B46F38"/>
    <w:rsid w:val="00B47FDB"/>
    <w:rsid w:val="00B50097"/>
    <w:rsid w:val="00B50284"/>
    <w:rsid w:val="00B50D84"/>
    <w:rsid w:val="00B5129F"/>
    <w:rsid w:val="00B51AEF"/>
    <w:rsid w:val="00B51AF0"/>
    <w:rsid w:val="00B51D1D"/>
    <w:rsid w:val="00B51EA4"/>
    <w:rsid w:val="00B5266C"/>
    <w:rsid w:val="00B52AE0"/>
    <w:rsid w:val="00B52C03"/>
    <w:rsid w:val="00B53261"/>
    <w:rsid w:val="00B537BA"/>
    <w:rsid w:val="00B53C8D"/>
    <w:rsid w:val="00B53FEF"/>
    <w:rsid w:val="00B5494A"/>
    <w:rsid w:val="00B55050"/>
    <w:rsid w:val="00B550E4"/>
    <w:rsid w:val="00B55485"/>
    <w:rsid w:val="00B55563"/>
    <w:rsid w:val="00B55E10"/>
    <w:rsid w:val="00B60233"/>
    <w:rsid w:val="00B60376"/>
    <w:rsid w:val="00B604CC"/>
    <w:rsid w:val="00B616C9"/>
    <w:rsid w:val="00B61EE0"/>
    <w:rsid w:val="00B6265B"/>
    <w:rsid w:val="00B626E4"/>
    <w:rsid w:val="00B627B0"/>
    <w:rsid w:val="00B62B4C"/>
    <w:rsid w:val="00B62F56"/>
    <w:rsid w:val="00B631D7"/>
    <w:rsid w:val="00B63212"/>
    <w:rsid w:val="00B63236"/>
    <w:rsid w:val="00B63278"/>
    <w:rsid w:val="00B63B73"/>
    <w:rsid w:val="00B63D15"/>
    <w:rsid w:val="00B644D9"/>
    <w:rsid w:val="00B652EB"/>
    <w:rsid w:val="00B659B6"/>
    <w:rsid w:val="00B65B82"/>
    <w:rsid w:val="00B66214"/>
    <w:rsid w:val="00B6640C"/>
    <w:rsid w:val="00B66AF8"/>
    <w:rsid w:val="00B66FCE"/>
    <w:rsid w:val="00B6702C"/>
    <w:rsid w:val="00B6713D"/>
    <w:rsid w:val="00B67A85"/>
    <w:rsid w:val="00B709EC"/>
    <w:rsid w:val="00B71776"/>
    <w:rsid w:val="00B718A0"/>
    <w:rsid w:val="00B728FA"/>
    <w:rsid w:val="00B72C3A"/>
    <w:rsid w:val="00B7378D"/>
    <w:rsid w:val="00B74A49"/>
    <w:rsid w:val="00B74B42"/>
    <w:rsid w:val="00B74D69"/>
    <w:rsid w:val="00B752FC"/>
    <w:rsid w:val="00B764CD"/>
    <w:rsid w:val="00B76500"/>
    <w:rsid w:val="00B76C5E"/>
    <w:rsid w:val="00B7782B"/>
    <w:rsid w:val="00B8048B"/>
    <w:rsid w:val="00B80A8D"/>
    <w:rsid w:val="00B80E42"/>
    <w:rsid w:val="00B81451"/>
    <w:rsid w:val="00B814FB"/>
    <w:rsid w:val="00B81BAA"/>
    <w:rsid w:val="00B81D1F"/>
    <w:rsid w:val="00B82A25"/>
    <w:rsid w:val="00B82A79"/>
    <w:rsid w:val="00B82BB2"/>
    <w:rsid w:val="00B82CAB"/>
    <w:rsid w:val="00B82E23"/>
    <w:rsid w:val="00B8352B"/>
    <w:rsid w:val="00B83BB9"/>
    <w:rsid w:val="00B83D98"/>
    <w:rsid w:val="00B84001"/>
    <w:rsid w:val="00B846E1"/>
    <w:rsid w:val="00B84E22"/>
    <w:rsid w:val="00B84FF0"/>
    <w:rsid w:val="00B85903"/>
    <w:rsid w:val="00B85E8B"/>
    <w:rsid w:val="00B86312"/>
    <w:rsid w:val="00B863D2"/>
    <w:rsid w:val="00B8657C"/>
    <w:rsid w:val="00B865F6"/>
    <w:rsid w:val="00B86D4B"/>
    <w:rsid w:val="00B86EEC"/>
    <w:rsid w:val="00B871D7"/>
    <w:rsid w:val="00B91104"/>
    <w:rsid w:val="00B91E7D"/>
    <w:rsid w:val="00B92D7D"/>
    <w:rsid w:val="00B92FB4"/>
    <w:rsid w:val="00B9359A"/>
    <w:rsid w:val="00B93A62"/>
    <w:rsid w:val="00B94146"/>
    <w:rsid w:val="00B9415B"/>
    <w:rsid w:val="00B94C09"/>
    <w:rsid w:val="00B9521A"/>
    <w:rsid w:val="00B953D5"/>
    <w:rsid w:val="00B95D91"/>
    <w:rsid w:val="00B960AC"/>
    <w:rsid w:val="00B965FC"/>
    <w:rsid w:val="00B9667B"/>
    <w:rsid w:val="00B973D1"/>
    <w:rsid w:val="00B977F2"/>
    <w:rsid w:val="00BA0004"/>
    <w:rsid w:val="00BA04E2"/>
    <w:rsid w:val="00BA26CF"/>
    <w:rsid w:val="00BA2A4E"/>
    <w:rsid w:val="00BA2B97"/>
    <w:rsid w:val="00BA34AA"/>
    <w:rsid w:val="00BA35D9"/>
    <w:rsid w:val="00BA3C80"/>
    <w:rsid w:val="00BA6A5A"/>
    <w:rsid w:val="00BA6D22"/>
    <w:rsid w:val="00BA719D"/>
    <w:rsid w:val="00BB0D67"/>
    <w:rsid w:val="00BB1712"/>
    <w:rsid w:val="00BB2092"/>
    <w:rsid w:val="00BB2528"/>
    <w:rsid w:val="00BB26B8"/>
    <w:rsid w:val="00BB2CAD"/>
    <w:rsid w:val="00BB369D"/>
    <w:rsid w:val="00BB3F8E"/>
    <w:rsid w:val="00BB4444"/>
    <w:rsid w:val="00BB6A39"/>
    <w:rsid w:val="00BB6AC5"/>
    <w:rsid w:val="00BB7333"/>
    <w:rsid w:val="00BB7B4D"/>
    <w:rsid w:val="00BC00FD"/>
    <w:rsid w:val="00BC0BBD"/>
    <w:rsid w:val="00BC198A"/>
    <w:rsid w:val="00BC19CB"/>
    <w:rsid w:val="00BC3014"/>
    <w:rsid w:val="00BC3085"/>
    <w:rsid w:val="00BC3FC5"/>
    <w:rsid w:val="00BC5A36"/>
    <w:rsid w:val="00BC6809"/>
    <w:rsid w:val="00BC6A33"/>
    <w:rsid w:val="00BC7B6C"/>
    <w:rsid w:val="00BC7C89"/>
    <w:rsid w:val="00BD0835"/>
    <w:rsid w:val="00BD128B"/>
    <w:rsid w:val="00BD130F"/>
    <w:rsid w:val="00BD196B"/>
    <w:rsid w:val="00BD1CCE"/>
    <w:rsid w:val="00BD1FA8"/>
    <w:rsid w:val="00BD21A4"/>
    <w:rsid w:val="00BD3072"/>
    <w:rsid w:val="00BD4295"/>
    <w:rsid w:val="00BD4A30"/>
    <w:rsid w:val="00BD520F"/>
    <w:rsid w:val="00BD6434"/>
    <w:rsid w:val="00BD6C7D"/>
    <w:rsid w:val="00BD7317"/>
    <w:rsid w:val="00BD75E4"/>
    <w:rsid w:val="00BD7653"/>
    <w:rsid w:val="00BE0097"/>
    <w:rsid w:val="00BE0941"/>
    <w:rsid w:val="00BE14BC"/>
    <w:rsid w:val="00BE1BF5"/>
    <w:rsid w:val="00BE2E72"/>
    <w:rsid w:val="00BE2FE9"/>
    <w:rsid w:val="00BE3A16"/>
    <w:rsid w:val="00BE4365"/>
    <w:rsid w:val="00BE4424"/>
    <w:rsid w:val="00BE4B1C"/>
    <w:rsid w:val="00BE5C15"/>
    <w:rsid w:val="00BE6EEE"/>
    <w:rsid w:val="00BE78F6"/>
    <w:rsid w:val="00BE7962"/>
    <w:rsid w:val="00BF061E"/>
    <w:rsid w:val="00BF0BD4"/>
    <w:rsid w:val="00BF1079"/>
    <w:rsid w:val="00BF1723"/>
    <w:rsid w:val="00BF1C0A"/>
    <w:rsid w:val="00BF22A1"/>
    <w:rsid w:val="00BF3D11"/>
    <w:rsid w:val="00BF3D68"/>
    <w:rsid w:val="00BF4043"/>
    <w:rsid w:val="00BF4070"/>
    <w:rsid w:val="00BF49B2"/>
    <w:rsid w:val="00BF5482"/>
    <w:rsid w:val="00BF5712"/>
    <w:rsid w:val="00BF6123"/>
    <w:rsid w:val="00BF6297"/>
    <w:rsid w:val="00BF6FF4"/>
    <w:rsid w:val="00BF7224"/>
    <w:rsid w:val="00BF7422"/>
    <w:rsid w:val="00BF7C46"/>
    <w:rsid w:val="00BF7DA2"/>
    <w:rsid w:val="00BF7EC7"/>
    <w:rsid w:val="00C008BB"/>
    <w:rsid w:val="00C02058"/>
    <w:rsid w:val="00C0225C"/>
    <w:rsid w:val="00C02B43"/>
    <w:rsid w:val="00C02BCB"/>
    <w:rsid w:val="00C02CF0"/>
    <w:rsid w:val="00C02E7A"/>
    <w:rsid w:val="00C02F22"/>
    <w:rsid w:val="00C031EE"/>
    <w:rsid w:val="00C03305"/>
    <w:rsid w:val="00C0374C"/>
    <w:rsid w:val="00C0417F"/>
    <w:rsid w:val="00C06591"/>
    <w:rsid w:val="00C06E4C"/>
    <w:rsid w:val="00C06E55"/>
    <w:rsid w:val="00C06FF3"/>
    <w:rsid w:val="00C07208"/>
    <w:rsid w:val="00C102F0"/>
    <w:rsid w:val="00C107A4"/>
    <w:rsid w:val="00C10E8E"/>
    <w:rsid w:val="00C10EA6"/>
    <w:rsid w:val="00C11726"/>
    <w:rsid w:val="00C1269E"/>
    <w:rsid w:val="00C126B3"/>
    <w:rsid w:val="00C126F7"/>
    <w:rsid w:val="00C12D04"/>
    <w:rsid w:val="00C13464"/>
    <w:rsid w:val="00C134AC"/>
    <w:rsid w:val="00C135C1"/>
    <w:rsid w:val="00C13636"/>
    <w:rsid w:val="00C14493"/>
    <w:rsid w:val="00C145AE"/>
    <w:rsid w:val="00C16055"/>
    <w:rsid w:val="00C168EC"/>
    <w:rsid w:val="00C16B2E"/>
    <w:rsid w:val="00C16DB0"/>
    <w:rsid w:val="00C17867"/>
    <w:rsid w:val="00C21679"/>
    <w:rsid w:val="00C2212F"/>
    <w:rsid w:val="00C22D68"/>
    <w:rsid w:val="00C23664"/>
    <w:rsid w:val="00C23B7B"/>
    <w:rsid w:val="00C240FC"/>
    <w:rsid w:val="00C2420F"/>
    <w:rsid w:val="00C24781"/>
    <w:rsid w:val="00C25E85"/>
    <w:rsid w:val="00C25F3A"/>
    <w:rsid w:val="00C260F5"/>
    <w:rsid w:val="00C2627B"/>
    <w:rsid w:val="00C263A0"/>
    <w:rsid w:val="00C269EC"/>
    <w:rsid w:val="00C26D02"/>
    <w:rsid w:val="00C27015"/>
    <w:rsid w:val="00C278B2"/>
    <w:rsid w:val="00C30625"/>
    <w:rsid w:val="00C306BD"/>
    <w:rsid w:val="00C30772"/>
    <w:rsid w:val="00C30DC2"/>
    <w:rsid w:val="00C31430"/>
    <w:rsid w:val="00C3150F"/>
    <w:rsid w:val="00C323B0"/>
    <w:rsid w:val="00C324DD"/>
    <w:rsid w:val="00C32EB5"/>
    <w:rsid w:val="00C33755"/>
    <w:rsid w:val="00C337F4"/>
    <w:rsid w:val="00C338E2"/>
    <w:rsid w:val="00C33C1A"/>
    <w:rsid w:val="00C33EB1"/>
    <w:rsid w:val="00C340A3"/>
    <w:rsid w:val="00C34453"/>
    <w:rsid w:val="00C34633"/>
    <w:rsid w:val="00C34B04"/>
    <w:rsid w:val="00C34E9B"/>
    <w:rsid w:val="00C34FB1"/>
    <w:rsid w:val="00C35D5A"/>
    <w:rsid w:val="00C36276"/>
    <w:rsid w:val="00C36D87"/>
    <w:rsid w:val="00C372F8"/>
    <w:rsid w:val="00C37A27"/>
    <w:rsid w:val="00C401DA"/>
    <w:rsid w:val="00C40633"/>
    <w:rsid w:val="00C4074D"/>
    <w:rsid w:val="00C40D9B"/>
    <w:rsid w:val="00C40FE9"/>
    <w:rsid w:val="00C419F9"/>
    <w:rsid w:val="00C42496"/>
    <w:rsid w:val="00C42C56"/>
    <w:rsid w:val="00C43C5D"/>
    <w:rsid w:val="00C43D94"/>
    <w:rsid w:val="00C461DA"/>
    <w:rsid w:val="00C4636B"/>
    <w:rsid w:val="00C46738"/>
    <w:rsid w:val="00C46F9A"/>
    <w:rsid w:val="00C4716C"/>
    <w:rsid w:val="00C472EA"/>
    <w:rsid w:val="00C475D4"/>
    <w:rsid w:val="00C47B3A"/>
    <w:rsid w:val="00C5049F"/>
    <w:rsid w:val="00C508AC"/>
    <w:rsid w:val="00C50CA0"/>
    <w:rsid w:val="00C5128C"/>
    <w:rsid w:val="00C51BB0"/>
    <w:rsid w:val="00C51C1F"/>
    <w:rsid w:val="00C51F07"/>
    <w:rsid w:val="00C522B7"/>
    <w:rsid w:val="00C52B32"/>
    <w:rsid w:val="00C52D3E"/>
    <w:rsid w:val="00C53168"/>
    <w:rsid w:val="00C531AF"/>
    <w:rsid w:val="00C537B2"/>
    <w:rsid w:val="00C543FA"/>
    <w:rsid w:val="00C5447B"/>
    <w:rsid w:val="00C5573D"/>
    <w:rsid w:val="00C5682D"/>
    <w:rsid w:val="00C574F7"/>
    <w:rsid w:val="00C57577"/>
    <w:rsid w:val="00C57727"/>
    <w:rsid w:val="00C57A2E"/>
    <w:rsid w:val="00C57C3C"/>
    <w:rsid w:val="00C57D3C"/>
    <w:rsid w:val="00C60760"/>
    <w:rsid w:val="00C607E3"/>
    <w:rsid w:val="00C60B94"/>
    <w:rsid w:val="00C60EAB"/>
    <w:rsid w:val="00C615D2"/>
    <w:rsid w:val="00C61934"/>
    <w:rsid w:val="00C6288E"/>
    <w:rsid w:val="00C62F7F"/>
    <w:rsid w:val="00C637A3"/>
    <w:rsid w:val="00C6474C"/>
    <w:rsid w:val="00C650AF"/>
    <w:rsid w:val="00C65518"/>
    <w:rsid w:val="00C660D9"/>
    <w:rsid w:val="00C663F6"/>
    <w:rsid w:val="00C664C2"/>
    <w:rsid w:val="00C67298"/>
    <w:rsid w:val="00C6737B"/>
    <w:rsid w:val="00C674BE"/>
    <w:rsid w:val="00C7111E"/>
    <w:rsid w:val="00C715B8"/>
    <w:rsid w:val="00C71D01"/>
    <w:rsid w:val="00C73507"/>
    <w:rsid w:val="00C73611"/>
    <w:rsid w:val="00C73BEA"/>
    <w:rsid w:val="00C744E5"/>
    <w:rsid w:val="00C74652"/>
    <w:rsid w:val="00C7525E"/>
    <w:rsid w:val="00C75B80"/>
    <w:rsid w:val="00C76D2D"/>
    <w:rsid w:val="00C773B6"/>
    <w:rsid w:val="00C775B5"/>
    <w:rsid w:val="00C77743"/>
    <w:rsid w:val="00C80D19"/>
    <w:rsid w:val="00C80EEF"/>
    <w:rsid w:val="00C81AAE"/>
    <w:rsid w:val="00C81ED5"/>
    <w:rsid w:val="00C81F38"/>
    <w:rsid w:val="00C829A3"/>
    <w:rsid w:val="00C82C99"/>
    <w:rsid w:val="00C84524"/>
    <w:rsid w:val="00C84786"/>
    <w:rsid w:val="00C84A6B"/>
    <w:rsid w:val="00C84F9E"/>
    <w:rsid w:val="00C851A6"/>
    <w:rsid w:val="00C85685"/>
    <w:rsid w:val="00C86D5F"/>
    <w:rsid w:val="00C87596"/>
    <w:rsid w:val="00C87F5D"/>
    <w:rsid w:val="00C907D1"/>
    <w:rsid w:val="00C90877"/>
    <w:rsid w:val="00C910D1"/>
    <w:rsid w:val="00C9110E"/>
    <w:rsid w:val="00C9157B"/>
    <w:rsid w:val="00C91814"/>
    <w:rsid w:val="00C91AB2"/>
    <w:rsid w:val="00C91BBE"/>
    <w:rsid w:val="00C91E3E"/>
    <w:rsid w:val="00C92027"/>
    <w:rsid w:val="00C92385"/>
    <w:rsid w:val="00C936DB"/>
    <w:rsid w:val="00C93C6C"/>
    <w:rsid w:val="00C9429D"/>
    <w:rsid w:val="00C961B6"/>
    <w:rsid w:val="00C96587"/>
    <w:rsid w:val="00C96E18"/>
    <w:rsid w:val="00C9747A"/>
    <w:rsid w:val="00C9777B"/>
    <w:rsid w:val="00CA03E1"/>
    <w:rsid w:val="00CA0974"/>
    <w:rsid w:val="00CA0E33"/>
    <w:rsid w:val="00CA0EFB"/>
    <w:rsid w:val="00CA2330"/>
    <w:rsid w:val="00CA2D46"/>
    <w:rsid w:val="00CA3CB5"/>
    <w:rsid w:val="00CA525A"/>
    <w:rsid w:val="00CA5C8C"/>
    <w:rsid w:val="00CA6167"/>
    <w:rsid w:val="00CA6875"/>
    <w:rsid w:val="00CA734B"/>
    <w:rsid w:val="00CA74F9"/>
    <w:rsid w:val="00CB0557"/>
    <w:rsid w:val="00CB09DF"/>
    <w:rsid w:val="00CB1041"/>
    <w:rsid w:val="00CB1054"/>
    <w:rsid w:val="00CB1919"/>
    <w:rsid w:val="00CB22D8"/>
    <w:rsid w:val="00CB2315"/>
    <w:rsid w:val="00CB3638"/>
    <w:rsid w:val="00CB3C99"/>
    <w:rsid w:val="00CB434D"/>
    <w:rsid w:val="00CB45CE"/>
    <w:rsid w:val="00CB4ABB"/>
    <w:rsid w:val="00CB68FB"/>
    <w:rsid w:val="00CB6A63"/>
    <w:rsid w:val="00CB6E74"/>
    <w:rsid w:val="00CB73B5"/>
    <w:rsid w:val="00CB74C5"/>
    <w:rsid w:val="00CC02ED"/>
    <w:rsid w:val="00CC0395"/>
    <w:rsid w:val="00CC05D5"/>
    <w:rsid w:val="00CC131D"/>
    <w:rsid w:val="00CC179E"/>
    <w:rsid w:val="00CC227B"/>
    <w:rsid w:val="00CC23DB"/>
    <w:rsid w:val="00CC23E1"/>
    <w:rsid w:val="00CC2519"/>
    <w:rsid w:val="00CC294A"/>
    <w:rsid w:val="00CC2AC6"/>
    <w:rsid w:val="00CC2FE5"/>
    <w:rsid w:val="00CC36A9"/>
    <w:rsid w:val="00CC3758"/>
    <w:rsid w:val="00CC479B"/>
    <w:rsid w:val="00CC47D2"/>
    <w:rsid w:val="00CC4A3F"/>
    <w:rsid w:val="00CC4EC4"/>
    <w:rsid w:val="00CC509D"/>
    <w:rsid w:val="00CC5468"/>
    <w:rsid w:val="00CC7F76"/>
    <w:rsid w:val="00CD0AC5"/>
    <w:rsid w:val="00CD10C3"/>
    <w:rsid w:val="00CD226C"/>
    <w:rsid w:val="00CD38CC"/>
    <w:rsid w:val="00CD3DE8"/>
    <w:rsid w:val="00CD4318"/>
    <w:rsid w:val="00CD4DD4"/>
    <w:rsid w:val="00CD56C0"/>
    <w:rsid w:val="00CD647E"/>
    <w:rsid w:val="00CD6727"/>
    <w:rsid w:val="00CD6BBF"/>
    <w:rsid w:val="00CD6E61"/>
    <w:rsid w:val="00CD77EA"/>
    <w:rsid w:val="00CD7F37"/>
    <w:rsid w:val="00CE01B9"/>
    <w:rsid w:val="00CE043A"/>
    <w:rsid w:val="00CE0920"/>
    <w:rsid w:val="00CE0D95"/>
    <w:rsid w:val="00CE10AB"/>
    <w:rsid w:val="00CE180B"/>
    <w:rsid w:val="00CE1CD7"/>
    <w:rsid w:val="00CE1EBE"/>
    <w:rsid w:val="00CE1EE6"/>
    <w:rsid w:val="00CE28E8"/>
    <w:rsid w:val="00CE371D"/>
    <w:rsid w:val="00CE3A29"/>
    <w:rsid w:val="00CE3CA6"/>
    <w:rsid w:val="00CE3EDF"/>
    <w:rsid w:val="00CE4380"/>
    <w:rsid w:val="00CE4E50"/>
    <w:rsid w:val="00CE55B2"/>
    <w:rsid w:val="00CE6060"/>
    <w:rsid w:val="00CE62CF"/>
    <w:rsid w:val="00CE64F4"/>
    <w:rsid w:val="00CE6A94"/>
    <w:rsid w:val="00CE6B87"/>
    <w:rsid w:val="00CE703D"/>
    <w:rsid w:val="00CE741B"/>
    <w:rsid w:val="00CF1C13"/>
    <w:rsid w:val="00CF28AB"/>
    <w:rsid w:val="00CF2C0D"/>
    <w:rsid w:val="00CF3351"/>
    <w:rsid w:val="00CF3DAF"/>
    <w:rsid w:val="00CF3FBF"/>
    <w:rsid w:val="00CF4F44"/>
    <w:rsid w:val="00CF5336"/>
    <w:rsid w:val="00CF5BD6"/>
    <w:rsid w:val="00CF61E3"/>
    <w:rsid w:val="00D01734"/>
    <w:rsid w:val="00D01BA4"/>
    <w:rsid w:val="00D01DBE"/>
    <w:rsid w:val="00D02183"/>
    <w:rsid w:val="00D022DB"/>
    <w:rsid w:val="00D02561"/>
    <w:rsid w:val="00D03192"/>
    <w:rsid w:val="00D033F0"/>
    <w:rsid w:val="00D038EF"/>
    <w:rsid w:val="00D03D7D"/>
    <w:rsid w:val="00D041D8"/>
    <w:rsid w:val="00D04E95"/>
    <w:rsid w:val="00D0500F"/>
    <w:rsid w:val="00D05238"/>
    <w:rsid w:val="00D06482"/>
    <w:rsid w:val="00D064B9"/>
    <w:rsid w:val="00D06714"/>
    <w:rsid w:val="00D073FD"/>
    <w:rsid w:val="00D10695"/>
    <w:rsid w:val="00D1087B"/>
    <w:rsid w:val="00D1136F"/>
    <w:rsid w:val="00D1150D"/>
    <w:rsid w:val="00D11628"/>
    <w:rsid w:val="00D118CB"/>
    <w:rsid w:val="00D119CB"/>
    <w:rsid w:val="00D128A2"/>
    <w:rsid w:val="00D1294B"/>
    <w:rsid w:val="00D152E1"/>
    <w:rsid w:val="00D1588C"/>
    <w:rsid w:val="00D16695"/>
    <w:rsid w:val="00D16822"/>
    <w:rsid w:val="00D1692E"/>
    <w:rsid w:val="00D16BEA"/>
    <w:rsid w:val="00D16D4C"/>
    <w:rsid w:val="00D170EB"/>
    <w:rsid w:val="00D17EA2"/>
    <w:rsid w:val="00D20B8F"/>
    <w:rsid w:val="00D21391"/>
    <w:rsid w:val="00D21B30"/>
    <w:rsid w:val="00D22BD5"/>
    <w:rsid w:val="00D23CA3"/>
    <w:rsid w:val="00D24219"/>
    <w:rsid w:val="00D24263"/>
    <w:rsid w:val="00D24505"/>
    <w:rsid w:val="00D245D2"/>
    <w:rsid w:val="00D24A99"/>
    <w:rsid w:val="00D2506E"/>
    <w:rsid w:val="00D258B6"/>
    <w:rsid w:val="00D25D59"/>
    <w:rsid w:val="00D263EF"/>
    <w:rsid w:val="00D26763"/>
    <w:rsid w:val="00D274D5"/>
    <w:rsid w:val="00D278C1"/>
    <w:rsid w:val="00D309CF"/>
    <w:rsid w:val="00D30E11"/>
    <w:rsid w:val="00D31EC9"/>
    <w:rsid w:val="00D32EEB"/>
    <w:rsid w:val="00D32FBF"/>
    <w:rsid w:val="00D3388B"/>
    <w:rsid w:val="00D33C9E"/>
    <w:rsid w:val="00D33F66"/>
    <w:rsid w:val="00D341A8"/>
    <w:rsid w:val="00D341D4"/>
    <w:rsid w:val="00D3457C"/>
    <w:rsid w:val="00D34E72"/>
    <w:rsid w:val="00D35A54"/>
    <w:rsid w:val="00D36586"/>
    <w:rsid w:val="00D36699"/>
    <w:rsid w:val="00D36A25"/>
    <w:rsid w:val="00D36A2C"/>
    <w:rsid w:val="00D37060"/>
    <w:rsid w:val="00D37C8E"/>
    <w:rsid w:val="00D406B3"/>
    <w:rsid w:val="00D40CC8"/>
    <w:rsid w:val="00D41247"/>
    <w:rsid w:val="00D41BD8"/>
    <w:rsid w:val="00D42409"/>
    <w:rsid w:val="00D42A6B"/>
    <w:rsid w:val="00D42ACE"/>
    <w:rsid w:val="00D42EE8"/>
    <w:rsid w:val="00D43A1F"/>
    <w:rsid w:val="00D445D6"/>
    <w:rsid w:val="00D4512E"/>
    <w:rsid w:val="00D458FD"/>
    <w:rsid w:val="00D46205"/>
    <w:rsid w:val="00D463DF"/>
    <w:rsid w:val="00D46861"/>
    <w:rsid w:val="00D4766C"/>
    <w:rsid w:val="00D477AE"/>
    <w:rsid w:val="00D47972"/>
    <w:rsid w:val="00D47DA7"/>
    <w:rsid w:val="00D500DA"/>
    <w:rsid w:val="00D5071B"/>
    <w:rsid w:val="00D5152F"/>
    <w:rsid w:val="00D518D3"/>
    <w:rsid w:val="00D55031"/>
    <w:rsid w:val="00D554BC"/>
    <w:rsid w:val="00D559EE"/>
    <w:rsid w:val="00D5605F"/>
    <w:rsid w:val="00D56111"/>
    <w:rsid w:val="00D561B8"/>
    <w:rsid w:val="00D56D48"/>
    <w:rsid w:val="00D5751F"/>
    <w:rsid w:val="00D576DA"/>
    <w:rsid w:val="00D60AFE"/>
    <w:rsid w:val="00D61255"/>
    <w:rsid w:val="00D61C44"/>
    <w:rsid w:val="00D62488"/>
    <w:rsid w:val="00D627E1"/>
    <w:rsid w:val="00D62F9D"/>
    <w:rsid w:val="00D6372A"/>
    <w:rsid w:val="00D646D5"/>
    <w:rsid w:val="00D64920"/>
    <w:rsid w:val="00D64AA6"/>
    <w:rsid w:val="00D650CC"/>
    <w:rsid w:val="00D657F7"/>
    <w:rsid w:val="00D65D04"/>
    <w:rsid w:val="00D662CC"/>
    <w:rsid w:val="00D666F7"/>
    <w:rsid w:val="00D6728B"/>
    <w:rsid w:val="00D676CD"/>
    <w:rsid w:val="00D676D0"/>
    <w:rsid w:val="00D701F2"/>
    <w:rsid w:val="00D702B4"/>
    <w:rsid w:val="00D70AF0"/>
    <w:rsid w:val="00D70CFF"/>
    <w:rsid w:val="00D71253"/>
    <w:rsid w:val="00D7126C"/>
    <w:rsid w:val="00D713A2"/>
    <w:rsid w:val="00D71608"/>
    <w:rsid w:val="00D718D8"/>
    <w:rsid w:val="00D71A47"/>
    <w:rsid w:val="00D71AA5"/>
    <w:rsid w:val="00D71BE2"/>
    <w:rsid w:val="00D72D31"/>
    <w:rsid w:val="00D730C3"/>
    <w:rsid w:val="00D73185"/>
    <w:rsid w:val="00D73355"/>
    <w:rsid w:val="00D73527"/>
    <w:rsid w:val="00D748F7"/>
    <w:rsid w:val="00D74B4B"/>
    <w:rsid w:val="00D74C8C"/>
    <w:rsid w:val="00D74D04"/>
    <w:rsid w:val="00D750CB"/>
    <w:rsid w:val="00D75870"/>
    <w:rsid w:val="00D76580"/>
    <w:rsid w:val="00D76721"/>
    <w:rsid w:val="00D76FFD"/>
    <w:rsid w:val="00D7704C"/>
    <w:rsid w:val="00D77A35"/>
    <w:rsid w:val="00D77E7C"/>
    <w:rsid w:val="00D802C2"/>
    <w:rsid w:val="00D8068A"/>
    <w:rsid w:val="00D80906"/>
    <w:rsid w:val="00D80C51"/>
    <w:rsid w:val="00D815EF"/>
    <w:rsid w:val="00D81DF4"/>
    <w:rsid w:val="00D820CA"/>
    <w:rsid w:val="00D82525"/>
    <w:rsid w:val="00D82996"/>
    <w:rsid w:val="00D830B5"/>
    <w:rsid w:val="00D831A7"/>
    <w:rsid w:val="00D831F2"/>
    <w:rsid w:val="00D842D1"/>
    <w:rsid w:val="00D84644"/>
    <w:rsid w:val="00D84CC3"/>
    <w:rsid w:val="00D869BE"/>
    <w:rsid w:val="00D86BF9"/>
    <w:rsid w:val="00D8751F"/>
    <w:rsid w:val="00D87D59"/>
    <w:rsid w:val="00D91C07"/>
    <w:rsid w:val="00D921D4"/>
    <w:rsid w:val="00D92510"/>
    <w:rsid w:val="00D92698"/>
    <w:rsid w:val="00D93D78"/>
    <w:rsid w:val="00D94171"/>
    <w:rsid w:val="00D9501A"/>
    <w:rsid w:val="00D9508B"/>
    <w:rsid w:val="00D95547"/>
    <w:rsid w:val="00D95A90"/>
    <w:rsid w:val="00D96269"/>
    <w:rsid w:val="00D97CFE"/>
    <w:rsid w:val="00D97FD7"/>
    <w:rsid w:val="00DA011B"/>
    <w:rsid w:val="00DA0DE2"/>
    <w:rsid w:val="00DA0EEE"/>
    <w:rsid w:val="00DA10B6"/>
    <w:rsid w:val="00DA14BB"/>
    <w:rsid w:val="00DA1787"/>
    <w:rsid w:val="00DA1AFD"/>
    <w:rsid w:val="00DA1B5C"/>
    <w:rsid w:val="00DA1BC4"/>
    <w:rsid w:val="00DA1F24"/>
    <w:rsid w:val="00DA315B"/>
    <w:rsid w:val="00DA3271"/>
    <w:rsid w:val="00DA3446"/>
    <w:rsid w:val="00DA3B5D"/>
    <w:rsid w:val="00DA3D00"/>
    <w:rsid w:val="00DA4821"/>
    <w:rsid w:val="00DA62A4"/>
    <w:rsid w:val="00DA6D31"/>
    <w:rsid w:val="00DA725F"/>
    <w:rsid w:val="00DA7270"/>
    <w:rsid w:val="00DA74E7"/>
    <w:rsid w:val="00DA78BE"/>
    <w:rsid w:val="00DA78E7"/>
    <w:rsid w:val="00DA7E5E"/>
    <w:rsid w:val="00DA7F31"/>
    <w:rsid w:val="00DB05AE"/>
    <w:rsid w:val="00DB061F"/>
    <w:rsid w:val="00DB090C"/>
    <w:rsid w:val="00DB1615"/>
    <w:rsid w:val="00DB17F5"/>
    <w:rsid w:val="00DB1A83"/>
    <w:rsid w:val="00DB1FB8"/>
    <w:rsid w:val="00DB2B0C"/>
    <w:rsid w:val="00DB33F1"/>
    <w:rsid w:val="00DB4384"/>
    <w:rsid w:val="00DB4515"/>
    <w:rsid w:val="00DB4D99"/>
    <w:rsid w:val="00DB4FC4"/>
    <w:rsid w:val="00DB52BB"/>
    <w:rsid w:val="00DB5734"/>
    <w:rsid w:val="00DB5B7B"/>
    <w:rsid w:val="00DB6B0A"/>
    <w:rsid w:val="00DB6F26"/>
    <w:rsid w:val="00DB752C"/>
    <w:rsid w:val="00DB7D9D"/>
    <w:rsid w:val="00DC0898"/>
    <w:rsid w:val="00DC0C46"/>
    <w:rsid w:val="00DC0D7C"/>
    <w:rsid w:val="00DC1443"/>
    <w:rsid w:val="00DC182D"/>
    <w:rsid w:val="00DC2888"/>
    <w:rsid w:val="00DC2891"/>
    <w:rsid w:val="00DC3035"/>
    <w:rsid w:val="00DC4946"/>
    <w:rsid w:val="00DC571F"/>
    <w:rsid w:val="00DC57DC"/>
    <w:rsid w:val="00DC690A"/>
    <w:rsid w:val="00DC6EF9"/>
    <w:rsid w:val="00DC7E9D"/>
    <w:rsid w:val="00DC7ED4"/>
    <w:rsid w:val="00DD01D0"/>
    <w:rsid w:val="00DD0767"/>
    <w:rsid w:val="00DD0E50"/>
    <w:rsid w:val="00DD0EA7"/>
    <w:rsid w:val="00DD1245"/>
    <w:rsid w:val="00DD13FA"/>
    <w:rsid w:val="00DD1759"/>
    <w:rsid w:val="00DD17E0"/>
    <w:rsid w:val="00DD1915"/>
    <w:rsid w:val="00DD1BC1"/>
    <w:rsid w:val="00DD2BB0"/>
    <w:rsid w:val="00DD2E0E"/>
    <w:rsid w:val="00DD3161"/>
    <w:rsid w:val="00DD3693"/>
    <w:rsid w:val="00DD37C0"/>
    <w:rsid w:val="00DD3897"/>
    <w:rsid w:val="00DD38E5"/>
    <w:rsid w:val="00DD4C2B"/>
    <w:rsid w:val="00DD54EA"/>
    <w:rsid w:val="00DD622B"/>
    <w:rsid w:val="00DD64FA"/>
    <w:rsid w:val="00DD7474"/>
    <w:rsid w:val="00DD7C70"/>
    <w:rsid w:val="00DD7E71"/>
    <w:rsid w:val="00DE0C48"/>
    <w:rsid w:val="00DE2360"/>
    <w:rsid w:val="00DE4BE6"/>
    <w:rsid w:val="00DE560C"/>
    <w:rsid w:val="00DE5A4D"/>
    <w:rsid w:val="00DE64BF"/>
    <w:rsid w:val="00DE6697"/>
    <w:rsid w:val="00DE68FB"/>
    <w:rsid w:val="00DE70EB"/>
    <w:rsid w:val="00DE75D9"/>
    <w:rsid w:val="00DE7B12"/>
    <w:rsid w:val="00DF05E0"/>
    <w:rsid w:val="00DF0639"/>
    <w:rsid w:val="00DF0BFB"/>
    <w:rsid w:val="00DF0CD0"/>
    <w:rsid w:val="00DF0CE5"/>
    <w:rsid w:val="00DF188E"/>
    <w:rsid w:val="00DF1C39"/>
    <w:rsid w:val="00DF2169"/>
    <w:rsid w:val="00DF21EE"/>
    <w:rsid w:val="00DF2B1E"/>
    <w:rsid w:val="00DF3C4F"/>
    <w:rsid w:val="00DF3ED2"/>
    <w:rsid w:val="00DF444D"/>
    <w:rsid w:val="00DF466A"/>
    <w:rsid w:val="00DF4719"/>
    <w:rsid w:val="00DF4E8C"/>
    <w:rsid w:val="00DF67DF"/>
    <w:rsid w:val="00DF690B"/>
    <w:rsid w:val="00DF6B58"/>
    <w:rsid w:val="00DF6F82"/>
    <w:rsid w:val="00DF718D"/>
    <w:rsid w:val="00DF721C"/>
    <w:rsid w:val="00DF72D9"/>
    <w:rsid w:val="00DF76B4"/>
    <w:rsid w:val="00DF79BC"/>
    <w:rsid w:val="00E00019"/>
    <w:rsid w:val="00E00457"/>
    <w:rsid w:val="00E01220"/>
    <w:rsid w:val="00E0146A"/>
    <w:rsid w:val="00E0196D"/>
    <w:rsid w:val="00E01F08"/>
    <w:rsid w:val="00E02650"/>
    <w:rsid w:val="00E029CC"/>
    <w:rsid w:val="00E03088"/>
    <w:rsid w:val="00E034BE"/>
    <w:rsid w:val="00E038C0"/>
    <w:rsid w:val="00E03D5D"/>
    <w:rsid w:val="00E04429"/>
    <w:rsid w:val="00E055B0"/>
    <w:rsid w:val="00E05877"/>
    <w:rsid w:val="00E05954"/>
    <w:rsid w:val="00E06088"/>
    <w:rsid w:val="00E0612D"/>
    <w:rsid w:val="00E06B17"/>
    <w:rsid w:val="00E06BF4"/>
    <w:rsid w:val="00E10105"/>
    <w:rsid w:val="00E104CA"/>
    <w:rsid w:val="00E10F64"/>
    <w:rsid w:val="00E1160F"/>
    <w:rsid w:val="00E11E4E"/>
    <w:rsid w:val="00E120E1"/>
    <w:rsid w:val="00E126AF"/>
    <w:rsid w:val="00E126F1"/>
    <w:rsid w:val="00E12C33"/>
    <w:rsid w:val="00E134C0"/>
    <w:rsid w:val="00E13DF2"/>
    <w:rsid w:val="00E13EFC"/>
    <w:rsid w:val="00E14AE2"/>
    <w:rsid w:val="00E15022"/>
    <w:rsid w:val="00E16E94"/>
    <w:rsid w:val="00E1723D"/>
    <w:rsid w:val="00E17885"/>
    <w:rsid w:val="00E17BFA"/>
    <w:rsid w:val="00E202F9"/>
    <w:rsid w:val="00E20558"/>
    <w:rsid w:val="00E208EB"/>
    <w:rsid w:val="00E2099E"/>
    <w:rsid w:val="00E20A53"/>
    <w:rsid w:val="00E20CC2"/>
    <w:rsid w:val="00E2147C"/>
    <w:rsid w:val="00E22521"/>
    <w:rsid w:val="00E225E0"/>
    <w:rsid w:val="00E227F6"/>
    <w:rsid w:val="00E228E4"/>
    <w:rsid w:val="00E24346"/>
    <w:rsid w:val="00E247E7"/>
    <w:rsid w:val="00E24D51"/>
    <w:rsid w:val="00E26950"/>
    <w:rsid w:val="00E27FC7"/>
    <w:rsid w:val="00E306C6"/>
    <w:rsid w:val="00E308F3"/>
    <w:rsid w:val="00E30B03"/>
    <w:rsid w:val="00E311C6"/>
    <w:rsid w:val="00E311F8"/>
    <w:rsid w:val="00E315AD"/>
    <w:rsid w:val="00E3255E"/>
    <w:rsid w:val="00E32B9A"/>
    <w:rsid w:val="00E32CE7"/>
    <w:rsid w:val="00E32E3B"/>
    <w:rsid w:val="00E333D8"/>
    <w:rsid w:val="00E333FF"/>
    <w:rsid w:val="00E335CD"/>
    <w:rsid w:val="00E33CA0"/>
    <w:rsid w:val="00E33F90"/>
    <w:rsid w:val="00E34D45"/>
    <w:rsid w:val="00E35137"/>
    <w:rsid w:val="00E35EEA"/>
    <w:rsid w:val="00E35F0D"/>
    <w:rsid w:val="00E36380"/>
    <w:rsid w:val="00E368D1"/>
    <w:rsid w:val="00E36AC6"/>
    <w:rsid w:val="00E36E35"/>
    <w:rsid w:val="00E37548"/>
    <w:rsid w:val="00E377E7"/>
    <w:rsid w:val="00E37991"/>
    <w:rsid w:val="00E37F56"/>
    <w:rsid w:val="00E41832"/>
    <w:rsid w:val="00E41B6E"/>
    <w:rsid w:val="00E41E20"/>
    <w:rsid w:val="00E41E3B"/>
    <w:rsid w:val="00E422C4"/>
    <w:rsid w:val="00E429D1"/>
    <w:rsid w:val="00E42B86"/>
    <w:rsid w:val="00E42E60"/>
    <w:rsid w:val="00E438EA"/>
    <w:rsid w:val="00E43BA4"/>
    <w:rsid w:val="00E44112"/>
    <w:rsid w:val="00E447FE"/>
    <w:rsid w:val="00E449C2"/>
    <w:rsid w:val="00E44A9B"/>
    <w:rsid w:val="00E44ED6"/>
    <w:rsid w:val="00E4539F"/>
    <w:rsid w:val="00E4585D"/>
    <w:rsid w:val="00E4678F"/>
    <w:rsid w:val="00E47664"/>
    <w:rsid w:val="00E47ABD"/>
    <w:rsid w:val="00E47D2A"/>
    <w:rsid w:val="00E47F6F"/>
    <w:rsid w:val="00E50687"/>
    <w:rsid w:val="00E50A05"/>
    <w:rsid w:val="00E50A9E"/>
    <w:rsid w:val="00E50F28"/>
    <w:rsid w:val="00E5123D"/>
    <w:rsid w:val="00E51426"/>
    <w:rsid w:val="00E5169E"/>
    <w:rsid w:val="00E52238"/>
    <w:rsid w:val="00E52AFC"/>
    <w:rsid w:val="00E52B12"/>
    <w:rsid w:val="00E53FFE"/>
    <w:rsid w:val="00E5591E"/>
    <w:rsid w:val="00E56728"/>
    <w:rsid w:val="00E57219"/>
    <w:rsid w:val="00E611F6"/>
    <w:rsid w:val="00E612D2"/>
    <w:rsid w:val="00E61388"/>
    <w:rsid w:val="00E6394C"/>
    <w:rsid w:val="00E640BD"/>
    <w:rsid w:val="00E64915"/>
    <w:rsid w:val="00E64FD2"/>
    <w:rsid w:val="00E650CB"/>
    <w:rsid w:val="00E650E6"/>
    <w:rsid w:val="00E65224"/>
    <w:rsid w:val="00E656FB"/>
    <w:rsid w:val="00E659DD"/>
    <w:rsid w:val="00E65B77"/>
    <w:rsid w:val="00E65F11"/>
    <w:rsid w:val="00E660D2"/>
    <w:rsid w:val="00E673AC"/>
    <w:rsid w:val="00E67600"/>
    <w:rsid w:val="00E67BD2"/>
    <w:rsid w:val="00E67ED7"/>
    <w:rsid w:val="00E705B5"/>
    <w:rsid w:val="00E706BB"/>
    <w:rsid w:val="00E707DE"/>
    <w:rsid w:val="00E70D96"/>
    <w:rsid w:val="00E7263A"/>
    <w:rsid w:val="00E7289A"/>
    <w:rsid w:val="00E72D57"/>
    <w:rsid w:val="00E73BC0"/>
    <w:rsid w:val="00E7487D"/>
    <w:rsid w:val="00E748FD"/>
    <w:rsid w:val="00E74DAD"/>
    <w:rsid w:val="00E74FB3"/>
    <w:rsid w:val="00E75667"/>
    <w:rsid w:val="00E766DD"/>
    <w:rsid w:val="00E7712F"/>
    <w:rsid w:val="00E80365"/>
    <w:rsid w:val="00E80F6F"/>
    <w:rsid w:val="00E818D7"/>
    <w:rsid w:val="00E819E0"/>
    <w:rsid w:val="00E83074"/>
    <w:rsid w:val="00E83148"/>
    <w:rsid w:val="00E839E0"/>
    <w:rsid w:val="00E83F67"/>
    <w:rsid w:val="00E86B3C"/>
    <w:rsid w:val="00E86EF7"/>
    <w:rsid w:val="00E87406"/>
    <w:rsid w:val="00E87575"/>
    <w:rsid w:val="00E87B5F"/>
    <w:rsid w:val="00E9040E"/>
    <w:rsid w:val="00E90B41"/>
    <w:rsid w:val="00E91529"/>
    <w:rsid w:val="00E91BC8"/>
    <w:rsid w:val="00E91E4F"/>
    <w:rsid w:val="00E9299F"/>
    <w:rsid w:val="00E92C9E"/>
    <w:rsid w:val="00E9344B"/>
    <w:rsid w:val="00E93742"/>
    <w:rsid w:val="00E9377C"/>
    <w:rsid w:val="00E93AC3"/>
    <w:rsid w:val="00E94176"/>
    <w:rsid w:val="00E94920"/>
    <w:rsid w:val="00E94E48"/>
    <w:rsid w:val="00E95AA2"/>
    <w:rsid w:val="00E95B9D"/>
    <w:rsid w:val="00E95FA5"/>
    <w:rsid w:val="00E960AA"/>
    <w:rsid w:val="00E9779A"/>
    <w:rsid w:val="00EA0118"/>
    <w:rsid w:val="00EA0163"/>
    <w:rsid w:val="00EA01FE"/>
    <w:rsid w:val="00EA0454"/>
    <w:rsid w:val="00EA0F0F"/>
    <w:rsid w:val="00EA15E1"/>
    <w:rsid w:val="00EA26DA"/>
    <w:rsid w:val="00EA2BC7"/>
    <w:rsid w:val="00EA3D49"/>
    <w:rsid w:val="00EA42F7"/>
    <w:rsid w:val="00EA4521"/>
    <w:rsid w:val="00EA473D"/>
    <w:rsid w:val="00EA5103"/>
    <w:rsid w:val="00EA5917"/>
    <w:rsid w:val="00EA592B"/>
    <w:rsid w:val="00EA5B89"/>
    <w:rsid w:val="00EA6BE5"/>
    <w:rsid w:val="00EA6F57"/>
    <w:rsid w:val="00EA6FC8"/>
    <w:rsid w:val="00EA70F4"/>
    <w:rsid w:val="00EA73CC"/>
    <w:rsid w:val="00EA7D78"/>
    <w:rsid w:val="00EB00C1"/>
    <w:rsid w:val="00EB048D"/>
    <w:rsid w:val="00EB0660"/>
    <w:rsid w:val="00EB0D30"/>
    <w:rsid w:val="00EB103F"/>
    <w:rsid w:val="00EB12E5"/>
    <w:rsid w:val="00EB1A25"/>
    <w:rsid w:val="00EB1F1C"/>
    <w:rsid w:val="00EB20A5"/>
    <w:rsid w:val="00EB2502"/>
    <w:rsid w:val="00EB274F"/>
    <w:rsid w:val="00EB290D"/>
    <w:rsid w:val="00EB3234"/>
    <w:rsid w:val="00EB384A"/>
    <w:rsid w:val="00EB3AAB"/>
    <w:rsid w:val="00EB4924"/>
    <w:rsid w:val="00EB4C9F"/>
    <w:rsid w:val="00EB4E2B"/>
    <w:rsid w:val="00EB5385"/>
    <w:rsid w:val="00EB5700"/>
    <w:rsid w:val="00EB633F"/>
    <w:rsid w:val="00EB6B8C"/>
    <w:rsid w:val="00EB7147"/>
    <w:rsid w:val="00EB75A9"/>
    <w:rsid w:val="00EB7D88"/>
    <w:rsid w:val="00EC008C"/>
    <w:rsid w:val="00EC025A"/>
    <w:rsid w:val="00EC0285"/>
    <w:rsid w:val="00EC0573"/>
    <w:rsid w:val="00EC05E2"/>
    <w:rsid w:val="00EC0978"/>
    <w:rsid w:val="00EC0BE0"/>
    <w:rsid w:val="00EC0BEB"/>
    <w:rsid w:val="00EC0D64"/>
    <w:rsid w:val="00EC1F0C"/>
    <w:rsid w:val="00EC2575"/>
    <w:rsid w:val="00EC2927"/>
    <w:rsid w:val="00EC3D46"/>
    <w:rsid w:val="00EC406A"/>
    <w:rsid w:val="00EC5059"/>
    <w:rsid w:val="00EC5411"/>
    <w:rsid w:val="00EC5538"/>
    <w:rsid w:val="00EC58B3"/>
    <w:rsid w:val="00EC6839"/>
    <w:rsid w:val="00EC685E"/>
    <w:rsid w:val="00EC6AF6"/>
    <w:rsid w:val="00EC72E1"/>
    <w:rsid w:val="00EC74FB"/>
    <w:rsid w:val="00EC7A2A"/>
    <w:rsid w:val="00EC7DF8"/>
    <w:rsid w:val="00ED021A"/>
    <w:rsid w:val="00ED09C9"/>
    <w:rsid w:val="00ED0C1C"/>
    <w:rsid w:val="00ED1649"/>
    <w:rsid w:val="00ED16AD"/>
    <w:rsid w:val="00ED1E08"/>
    <w:rsid w:val="00ED2260"/>
    <w:rsid w:val="00ED26FD"/>
    <w:rsid w:val="00ED4329"/>
    <w:rsid w:val="00ED5043"/>
    <w:rsid w:val="00ED53FE"/>
    <w:rsid w:val="00ED5D6E"/>
    <w:rsid w:val="00ED6B65"/>
    <w:rsid w:val="00ED7163"/>
    <w:rsid w:val="00EE159A"/>
    <w:rsid w:val="00EE1CDC"/>
    <w:rsid w:val="00EE1FDD"/>
    <w:rsid w:val="00EE2187"/>
    <w:rsid w:val="00EE26BA"/>
    <w:rsid w:val="00EE28F4"/>
    <w:rsid w:val="00EE2DD3"/>
    <w:rsid w:val="00EE3459"/>
    <w:rsid w:val="00EE3F13"/>
    <w:rsid w:val="00EE443F"/>
    <w:rsid w:val="00EE4F65"/>
    <w:rsid w:val="00EE5BF9"/>
    <w:rsid w:val="00EE5D40"/>
    <w:rsid w:val="00EE61E8"/>
    <w:rsid w:val="00EE6D8B"/>
    <w:rsid w:val="00EE6EFE"/>
    <w:rsid w:val="00EE71CE"/>
    <w:rsid w:val="00EE747C"/>
    <w:rsid w:val="00EE78CA"/>
    <w:rsid w:val="00EE7991"/>
    <w:rsid w:val="00EF26A3"/>
    <w:rsid w:val="00EF344C"/>
    <w:rsid w:val="00EF391E"/>
    <w:rsid w:val="00EF3927"/>
    <w:rsid w:val="00EF3B4E"/>
    <w:rsid w:val="00EF430D"/>
    <w:rsid w:val="00EF5057"/>
    <w:rsid w:val="00EF57CB"/>
    <w:rsid w:val="00EF5F0F"/>
    <w:rsid w:val="00EF5FB4"/>
    <w:rsid w:val="00EF67DF"/>
    <w:rsid w:val="00EF72C0"/>
    <w:rsid w:val="00EF7572"/>
    <w:rsid w:val="00EF79D0"/>
    <w:rsid w:val="00F00345"/>
    <w:rsid w:val="00F02941"/>
    <w:rsid w:val="00F02CF3"/>
    <w:rsid w:val="00F0302F"/>
    <w:rsid w:val="00F0304E"/>
    <w:rsid w:val="00F030E4"/>
    <w:rsid w:val="00F03BAF"/>
    <w:rsid w:val="00F047B5"/>
    <w:rsid w:val="00F04897"/>
    <w:rsid w:val="00F04B2B"/>
    <w:rsid w:val="00F04F36"/>
    <w:rsid w:val="00F05428"/>
    <w:rsid w:val="00F054E2"/>
    <w:rsid w:val="00F05A02"/>
    <w:rsid w:val="00F06118"/>
    <w:rsid w:val="00F0619D"/>
    <w:rsid w:val="00F068D8"/>
    <w:rsid w:val="00F07C36"/>
    <w:rsid w:val="00F10957"/>
    <w:rsid w:val="00F10EB6"/>
    <w:rsid w:val="00F110BE"/>
    <w:rsid w:val="00F11792"/>
    <w:rsid w:val="00F12A02"/>
    <w:rsid w:val="00F132C6"/>
    <w:rsid w:val="00F13A35"/>
    <w:rsid w:val="00F13AE0"/>
    <w:rsid w:val="00F13C33"/>
    <w:rsid w:val="00F14CA9"/>
    <w:rsid w:val="00F1513F"/>
    <w:rsid w:val="00F1532B"/>
    <w:rsid w:val="00F15787"/>
    <w:rsid w:val="00F15E6A"/>
    <w:rsid w:val="00F16200"/>
    <w:rsid w:val="00F16314"/>
    <w:rsid w:val="00F16A21"/>
    <w:rsid w:val="00F17016"/>
    <w:rsid w:val="00F20326"/>
    <w:rsid w:val="00F2088E"/>
    <w:rsid w:val="00F20FF2"/>
    <w:rsid w:val="00F21F6D"/>
    <w:rsid w:val="00F21F82"/>
    <w:rsid w:val="00F2259B"/>
    <w:rsid w:val="00F23536"/>
    <w:rsid w:val="00F23761"/>
    <w:rsid w:val="00F23962"/>
    <w:rsid w:val="00F24001"/>
    <w:rsid w:val="00F24535"/>
    <w:rsid w:val="00F2496E"/>
    <w:rsid w:val="00F2545D"/>
    <w:rsid w:val="00F25660"/>
    <w:rsid w:val="00F26327"/>
    <w:rsid w:val="00F26518"/>
    <w:rsid w:val="00F26B2F"/>
    <w:rsid w:val="00F27D67"/>
    <w:rsid w:val="00F27E35"/>
    <w:rsid w:val="00F30E07"/>
    <w:rsid w:val="00F3120D"/>
    <w:rsid w:val="00F314AA"/>
    <w:rsid w:val="00F32851"/>
    <w:rsid w:val="00F329CA"/>
    <w:rsid w:val="00F32C61"/>
    <w:rsid w:val="00F33906"/>
    <w:rsid w:val="00F33A52"/>
    <w:rsid w:val="00F356E1"/>
    <w:rsid w:val="00F35A85"/>
    <w:rsid w:val="00F35F02"/>
    <w:rsid w:val="00F3609D"/>
    <w:rsid w:val="00F3676A"/>
    <w:rsid w:val="00F37A89"/>
    <w:rsid w:val="00F41102"/>
    <w:rsid w:val="00F41847"/>
    <w:rsid w:val="00F41D47"/>
    <w:rsid w:val="00F41DF4"/>
    <w:rsid w:val="00F42658"/>
    <w:rsid w:val="00F441B3"/>
    <w:rsid w:val="00F448C5"/>
    <w:rsid w:val="00F4491F"/>
    <w:rsid w:val="00F4551F"/>
    <w:rsid w:val="00F45EE3"/>
    <w:rsid w:val="00F46255"/>
    <w:rsid w:val="00F47087"/>
    <w:rsid w:val="00F474DB"/>
    <w:rsid w:val="00F47C3E"/>
    <w:rsid w:val="00F47CF2"/>
    <w:rsid w:val="00F502CA"/>
    <w:rsid w:val="00F50432"/>
    <w:rsid w:val="00F50A67"/>
    <w:rsid w:val="00F51050"/>
    <w:rsid w:val="00F5106B"/>
    <w:rsid w:val="00F5261D"/>
    <w:rsid w:val="00F5278F"/>
    <w:rsid w:val="00F52B1F"/>
    <w:rsid w:val="00F52F9A"/>
    <w:rsid w:val="00F54442"/>
    <w:rsid w:val="00F55399"/>
    <w:rsid w:val="00F55853"/>
    <w:rsid w:val="00F564A4"/>
    <w:rsid w:val="00F56862"/>
    <w:rsid w:val="00F568B9"/>
    <w:rsid w:val="00F568CB"/>
    <w:rsid w:val="00F57487"/>
    <w:rsid w:val="00F57B57"/>
    <w:rsid w:val="00F60BA0"/>
    <w:rsid w:val="00F60C76"/>
    <w:rsid w:val="00F61431"/>
    <w:rsid w:val="00F61BEC"/>
    <w:rsid w:val="00F61E24"/>
    <w:rsid w:val="00F62B2D"/>
    <w:rsid w:val="00F62FBB"/>
    <w:rsid w:val="00F6339B"/>
    <w:rsid w:val="00F63E68"/>
    <w:rsid w:val="00F63FD9"/>
    <w:rsid w:val="00F646B9"/>
    <w:rsid w:val="00F64764"/>
    <w:rsid w:val="00F64ABA"/>
    <w:rsid w:val="00F658D3"/>
    <w:rsid w:val="00F65AE4"/>
    <w:rsid w:val="00F65B0A"/>
    <w:rsid w:val="00F65DA9"/>
    <w:rsid w:val="00F65E09"/>
    <w:rsid w:val="00F65E8C"/>
    <w:rsid w:val="00F6620F"/>
    <w:rsid w:val="00F67871"/>
    <w:rsid w:val="00F67B05"/>
    <w:rsid w:val="00F67CC2"/>
    <w:rsid w:val="00F67D1D"/>
    <w:rsid w:val="00F7008E"/>
    <w:rsid w:val="00F7018E"/>
    <w:rsid w:val="00F70982"/>
    <w:rsid w:val="00F70B64"/>
    <w:rsid w:val="00F70DA2"/>
    <w:rsid w:val="00F71693"/>
    <w:rsid w:val="00F71FF4"/>
    <w:rsid w:val="00F72C00"/>
    <w:rsid w:val="00F72D46"/>
    <w:rsid w:val="00F73021"/>
    <w:rsid w:val="00F736AD"/>
    <w:rsid w:val="00F73BC2"/>
    <w:rsid w:val="00F7427D"/>
    <w:rsid w:val="00F74E03"/>
    <w:rsid w:val="00F7538D"/>
    <w:rsid w:val="00F754BE"/>
    <w:rsid w:val="00F7572B"/>
    <w:rsid w:val="00F75B4A"/>
    <w:rsid w:val="00F75F56"/>
    <w:rsid w:val="00F760FE"/>
    <w:rsid w:val="00F7613A"/>
    <w:rsid w:val="00F766E3"/>
    <w:rsid w:val="00F77451"/>
    <w:rsid w:val="00F775E4"/>
    <w:rsid w:val="00F80156"/>
    <w:rsid w:val="00F80277"/>
    <w:rsid w:val="00F80A74"/>
    <w:rsid w:val="00F80DBA"/>
    <w:rsid w:val="00F80FD8"/>
    <w:rsid w:val="00F8185D"/>
    <w:rsid w:val="00F819A8"/>
    <w:rsid w:val="00F81DE0"/>
    <w:rsid w:val="00F822D5"/>
    <w:rsid w:val="00F82405"/>
    <w:rsid w:val="00F82527"/>
    <w:rsid w:val="00F82B80"/>
    <w:rsid w:val="00F8336E"/>
    <w:rsid w:val="00F83521"/>
    <w:rsid w:val="00F839FB"/>
    <w:rsid w:val="00F856FD"/>
    <w:rsid w:val="00F85E4A"/>
    <w:rsid w:val="00F85EA2"/>
    <w:rsid w:val="00F86860"/>
    <w:rsid w:val="00F86993"/>
    <w:rsid w:val="00F869D6"/>
    <w:rsid w:val="00F86D14"/>
    <w:rsid w:val="00F9102E"/>
    <w:rsid w:val="00F9186B"/>
    <w:rsid w:val="00F91E20"/>
    <w:rsid w:val="00F928C9"/>
    <w:rsid w:val="00F9290F"/>
    <w:rsid w:val="00F929BA"/>
    <w:rsid w:val="00F92D26"/>
    <w:rsid w:val="00F93017"/>
    <w:rsid w:val="00F938F5"/>
    <w:rsid w:val="00F944F1"/>
    <w:rsid w:val="00F94C49"/>
    <w:rsid w:val="00F955C7"/>
    <w:rsid w:val="00F95902"/>
    <w:rsid w:val="00F95A47"/>
    <w:rsid w:val="00F95A90"/>
    <w:rsid w:val="00F97219"/>
    <w:rsid w:val="00F9735D"/>
    <w:rsid w:val="00F9742F"/>
    <w:rsid w:val="00F97BA9"/>
    <w:rsid w:val="00FA0639"/>
    <w:rsid w:val="00FA0801"/>
    <w:rsid w:val="00FA09C5"/>
    <w:rsid w:val="00FA0C99"/>
    <w:rsid w:val="00FA145E"/>
    <w:rsid w:val="00FA1698"/>
    <w:rsid w:val="00FA273C"/>
    <w:rsid w:val="00FA2952"/>
    <w:rsid w:val="00FA3CAE"/>
    <w:rsid w:val="00FA4D12"/>
    <w:rsid w:val="00FA5093"/>
    <w:rsid w:val="00FA5B7F"/>
    <w:rsid w:val="00FA634D"/>
    <w:rsid w:val="00FA6809"/>
    <w:rsid w:val="00FA6B29"/>
    <w:rsid w:val="00FA6D60"/>
    <w:rsid w:val="00FA6ED0"/>
    <w:rsid w:val="00FA7223"/>
    <w:rsid w:val="00FA78FB"/>
    <w:rsid w:val="00FB0275"/>
    <w:rsid w:val="00FB1BAD"/>
    <w:rsid w:val="00FB1F70"/>
    <w:rsid w:val="00FB1FDB"/>
    <w:rsid w:val="00FB2265"/>
    <w:rsid w:val="00FB2AB3"/>
    <w:rsid w:val="00FB33C5"/>
    <w:rsid w:val="00FB4359"/>
    <w:rsid w:val="00FB4916"/>
    <w:rsid w:val="00FB4ACD"/>
    <w:rsid w:val="00FB4BEE"/>
    <w:rsid w:val="00FB4C96"/>
    <w:rsid w:val="00FB5155"/>
    <w:rsid w:val="00FB5242"/>
    <w:rsid w:val="00FB5777"/>
    <w:rsid w:val="00FB58E7"/>
    <w:rsid w:val="00FB5ED4"/>
    <w:rsid w:val="00FB614A"/>
    <w:rsid w:val="00FB6488"/>
    <w:rsid w:val="00FB6B54"/>
    <w:rsid w:val="00FB6E13"/>
    <w:rsid w:val="00FB73E2"/>
    <w:rsid w:val="00FB760A"/>
    <w:rsid w:val="00FC0007"/>
    <w:rsid w:val="00FC030E"/>
    <w:rsid w:val="00FC086B"/>
    <w:rsid w:val="00FC092E"/>
    <w:rsid w:val="00FC1300"/>
    <w:rsid w:val="00FC1726"/>
    <w:rsid w:val="00FC177B"/>
    <w:rsid w:val="00FC1874"/>
    <w:rsid w:val="00FC1D01"/>
    <w:rsid w:val="00FC2788"/>
    <w:rsid w:val="00FC2878"/>
    <w:rsid w:val="00FC345D"/>
    <w:rsid w:val="00FC390B"/>
    <w:rsid w:val="00FC474B"/>
    <w:rsid w:val="00FC4C8F"/>
    <w:rsid w:val="00FC4FB2"/>
    <w:rsid w:val="00FC5541"/>
    <w:rsid w:val="00FC6276"/>
    <w:rsid w:val="00FC647C"/>
    <w:rsid w:val="00FC6EB7"/>
    <w:rsid w:val="00FC7030"/>
    <w:rsid w:val="00FC7295"/>
    <w:rsid w:val="00FC7388"/>
    <w:rsid w:val="00FC7D8E"/>
    <w:rsid w:val="00FD00A4"/>
    <w:rsid w:val="00FD04B6"/>
    <w:rsid w:val="00FD0BBD"/>
    <w:rsid w:val="00FD109B"/>
    <w:rsid w:val="00FD2019"/>
    <w:rsid w:val="00FD2274"/>
    <w:rsid w:val="00FD3255"/>
    <w:rsid w:val="00FD32B2"/>
    <w:rsid w:val="00FD3532"/>
    <w:rsid w:val="00FD367D"/>
    <w:rsid w:val="00FD4739"/>
    <w:rsid w:val="00FD484E"/>
    <w:rsid w:val="00FD504F"/>
    <w:rsid w:val="00FD5366"/>
    <w:rsid w:val="00FD538B"/>
    <w:rsid w:val="00FD5C7D"/>
    <w:rsid w:val="00FD6548"/>
    <w:rsid w:val="00FD6E3E"/>
    <w:rsid w:val="00FD702E"/>
    <w:rsid w:val="00FD70D9"/>
    <w:rsid w:val="00FE01E6"/>
    <w:rsid w:val="00FE0391"/>
    <w:rsid w:val="00FE042D"/>
    <w:rsid w:val="00FE046B"/>
    <w:rsid w:val="00FE122D"/>
    <w:rsid w:val="00FE1541"/>
    <w:rsid w:val="00FE188A"/>
    <w:rsid w:val="00FE1FC9"/>
    <w:rsid w:val="00FE28BD"/>
    <w:rsid w:val="00FE3052"/>
    <w:rsid w:val="00FE4559"/>
    <w:rsid w:val="00FE49B2"/>
    <w:rsid w:val="00FE5ADA"/>
    <w:rsid w:val="00FE629A"/>
    <w:rsid w:val="00FE632E"/>
    <w:rsid w:val="00FE6AF1"/>
    <w:rsid w:val="00FE7230"/>
    <w:rsid w:val="00FE7268"/>
    <w:rsid w:val="00FE75EA"/>
    <w:rsid w:val="00FE775E"/>
    <w:rsid w:val="00FF1CBC"/>
    <w:rsid w:val="00FF1FFC"/>
    <w:rsid w:val="00FF34A7"/>
    <w:rsid w:val="00FF361E"/>
    <w:rsid w:val="00FF3773"/>
    <w:rsid w:val="00FF3FC3"/>
    <w:rsid w:val="00FF4799"/>
    <w:rsid w:val="00FF4820"/>
    <w:rsid w:val="00FF4F7D"/>
    <w:rsid w:val="00FF6C3F"/>
    <w:rsid w:val="00FF6C95"/>
    <w:rsid w:val="00FF7F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AF4"/>
    <w:pPr>
      <w:spacing w:after="100" w:line="400" w:lineRule="exact"/>
      <w:jc w:val="both"/>
    </w:pPr>
    <w:rPr>
      <w:rFonts w:ascii="Century Schoolbook" w:hAnsi="Century Schoolbook"/>
      <w:sz w:val="27"/>
    </w:rPr>
  </w:style>
  <w:style w:type="paragraph" w:styleId="Heading1">
    <w:name w:val="heading 1"/>
    <w:basedOn w:val="Normal"/>
    <w:next w:val="Normal"/>
    <w:qFormat/>
    <w:rsid w:val="00587AF4"/>
    <w:pPr>
      <w:keepNext/>
      <w:spacing w:before="140" w:line="240" w:lineRule="atLeast"/>
      <w:jc w:val="center"/>
      <w:outlineLvl w:val="0"/>
    </w:pPr>
    <w:rPr>
      <w:b/>
      <w:smallCaps/>
    </w:rPr>
  </w:style>
  <w:style w:type="paragraph" w:styleId="Heading2">
    <w:name w:val="heading 2"/>
    <w:basedOn w:val="Normal"/>
    <w:next w:val="Normal"/>
    <w:qFormat/>
    <w:rsid w:val="00587AF4"/>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587AF4"/>
    <w:pPr>
      <w:keepNext/>
      <w:tabs>
        <w:tab w:val="left" w:pos="1584"/>
      </w:tabs>
      <w:spacing w:before="140" w:line="240" w:lineRule="atLeast"/>
      <w:ind w:left="1584" w:hanging="432"/>
      <w:jc w:val="left"/>
      <w:outlineLvl w:val="2"/>
    </w:pPr>
    <w:rPr>
      <w:i/>
    </w:rPr>
  </w:style>
  <w:style w:type="paragraph" w:styleId="Heading4">
    <w:name w:val="heading 4"/>
    <w:basedOn w:val="Normal"/>
    <w:qFormat/>
    <w:rsid w:val="00587AF4"/>
    <w:pPr>
      <w:keepNext/>
      <w:tabs>
        <w:tab w:val="left" w:pos="2016"/>
      </w:tabs>
      <w:spacing w:before="140" w:line="240" w:lineRule="atLeast"/>
      <w:ind w:left="2016" w:hanging="432"/>
      <w:jc w:val="left"/>
      <w:outlineLvl w:val="3"/>
    </w:pPr>
    <w:rPr>
      <w:i/>
    </w:rPr>
  </w:style>
  <w:style w:type="paragraph" w:styleId="Heading5">
    <w:name w:val="heading 5"/>
    <w:basedOn w:val="Normal"/>
    <w:qFormat/>
    <w:rsid w:val="00587AF4"/>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572F57"/>
    <w:pPr>
      <w:ind w:left="720"/>
    </w:pPr>
  </w:style>
  <w:style w:type="paragraph" w:styleId="Footer">
    <w:name w:val="footer"/>
    <w:basedOn w:val="Normal"/>
    <w:qFormat/>
    <w:rsid w:val="00587AF4"/>
    <w:pPr>
      <w:tabs>
        <w:tab w:val="center" w:pos="3960"/>
        <w:tab w:val="right" w:pos="10080"/>
      </w:tabs>
      <w:spacing w:after="0" w:line="240" w:lineRule="auto"/>
      <w:jc w:val="center"/>
    </w:pPr>
    <w:rPr>
      <w:sz w:val="22"/>
    </w:rPr>
  </w:style>
  <w:style w:type="paragraph" w:styleId="Header">
    <w:name w:val="header"/>
    <w:basedOn w:val="Normal"/>
    <w:qFormat/>
    <w:rsid w:val="00587AF4"/>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587AF4"/>
    <w:rPr>
      <w:rFonts w:ascii="Century Schoolbook" w:hAnsi="Century Schoolbook"/>
      <w:b/>
      <w:i w:val="0"/>
      <w:position w:val="4"/>
      <w:sz w:val="27"/>
      <w:vertAlign w:val="superscript"/>
    </w:rPr>
  </w:style>
  <w:style w:type="paragraph" w:styleId="FootnoteText">
    <w:name w:val="footnote text"/>
    <w:basedOn w:val="Normal"/>
    <w:link w:val="FootnoteTextChar"/>
    <w:rsid w:val="00587AF4"/>
    <w:pPr>
      <w:spacing w:line="300" w:lineRule="exact"/>
    </w:pPr>
  </w:style>
  <w:style w:type="paragraph" w:customStyle="1" w:styleId="Title1">
    <w:name w:val="Title1"/>
    <w:basedOn w:val="Normal"/>
    <w:rsid w:val="00572F57"/>
    <w:pPr>
      <w:tabs>
        <w:tab w:val="left" w:pos="5760"/>
        <w:tab w:val="left" w:pos="6480"/>
      </w:tabs>
      <w:spacing w:line="240" w:lineRule="atLeast"/>
    </w:pPr>
  </w:style>
  <w:style w:type="paragraph" w:customStyle="1" w:styleId="Recommend">
    <w:name w:val="Recommend"/>
    <w:basedOn w:val="Normal"/>
    <w:rsid w:val="00572F57"/>
  </w:style>
  <w:style w:type="paragraph" w:customStyle="1" w:styleId="Summary">
    <w:name w:val="Summary"/>
    <w:basedOn w:val="Normal"/>
    <w:rsid w:val="00572F57"/>
    <w:pPr>
      <w:ind w:left="2160" w:hanging="2160"/>
    </w:pPr>
  </w:style>
  <w:style w:type="paragraph" w:customStyle="1" w:styleId="Text">
    <w:name w:val="Text"/>
    <w:basedOn w:val="Normal"/>
    <w:rsid w:val="00572F57"/>
    <w:pPr>
      <w:tabs>
        <w:tab w:val="left" w:pos="720"/>
        <w:tab w:val="left" w:pos="1440"/>
        <w:tab w:val="left" w:pos="2160"/>
        <w:tab w:val="center" w:pos="4320"/>
      </w:tabs>
      <w:spacing w:line="480" w:lineRule="atLeast"/>
      <w:ind w:firstLine="540"/>
    </w:pPr>
  </w:style>
  <w:style w:type="paragraph" w:styleId="Date">
    <w:name w:val="Date"/>
    <w:basedOn w:val="Normal"/>
    <w:semiHidden/>
    <w:rsid w:val="00572F57"/>
    <w:pPr>
      <w:jc w:val="right"/>
    </w:pPr>
  </w:style>
  <w:style w:type="character" w:styleId="PageNumber">
    <w:name w:val="page number"/>
    <w:basedOn w:val="DefaultParagraphFont"/>
    <w:semiHidden/>
    <w:rsid w:val="00572F57"/>
  </w:style>
  <w:style w:type="paragraph" w:customStyle="1" w:styleId="subject">
    <w:name w:val="subject"/>
    <w:basedOn w:val="Normal"/>
    <w:rsid w:val="00572F57"/>
    <w:pPr>
      <w:tabs>
        <w:tab w:val="left" w:pos="1008"/>
      </w:tabs>
      <w:ind w:left="990" w:hanging="990"/>
    </w:pPr>
    <w:rPr>
      <w:b/>
    </w:rPr>
  </w:style>
  <w:style w:type="paragraph" w:customStyle="1" w:styleId="Titles">
    <w:name w:val="Titles"/>
    <w:basedOn w:val="Normal"/>
    <w:rsid w:val="00572F57"/>
    <w:pPr>
      <w:tabs>
        <w:tab w:val="left" w:pos="2160"/>
      </w:tabs>
      <w:ind w:left="2160" w:hanging="2160"/>
    </w:pPr>
    <w:rPr>
      <w:b/>
    </w:rPr>
  </w:style>
  <w:style w:type="paragraph" w:styleId="TOAHeading">
    <w:name w:val="toa heading"/>
    <w:basedOn w:val="Normal"/>
    <w:next w:val="Normal"/>
    <w:semiHidden/>
    <w:rsid w:val="00572F57"/>
    <w:pPr>
      <w:spacing w:before="120"/>
    </w:pPr>
    <w:rPr>
      <w:b/>
    </w:rPr>
  </w:style>
  <w:style w:type="paragraph" w:styleId="TOC1">
    <w:name w:val="toc 1"/>
    <w:basedOn w:val="Normal"/>
    <w:next w:val="Normal"/>
    <w:autoRedefine/>
    <w:semiHidden/>
    <w:rsid w:val="00572F57"/>
  </w:style>
  <w:style w:type="paragraph" w:styleId="TOC2">
    <w:name w:val="toc 2"/>
    <w:basedOn w:val="Normal"/>
    <w:next w:val="Normal"/>
    <w:autoRedefine/>
    <w:semiHidden/>
    <w:rsid w:val="00572F57"/>
    <w:pPr>
      <w:ind w:left="259"/>
    </w:pPr>
  </w:style>
  <w:style w:type="paragraph" w:styleId="TOC3">
    <w:name w:val="toc 3"/>
    <w:basedOn w:val="Normal"/>
    <w:next w:val="Normal"/>
    <w:autoRedefine/>
    <w:semiHidden/>
    <w:rsid w:val="00572F57"/>
    <w:pPr>
      <w:ind w:left="520"/>
    </w:pPr>
  </w:style>
  <w:style w:type="paragraph" w:styleId="TOC4">
    <w:name w:val="toc 4"/>
    <w:basedOn w:val="Normal"/>
    <w:next w:val="Normal"/>
    <w:autoRedefine/>
    <w:semiHidden/>
    <w:rsid w:val="00572F57"/>
    <w:pPr>
      <w:ind w:left="780"/>
    </w:pPr>
  </w:style>
  <w:style w:type="paragraph" w:styleId="TOC5">
    <w:name w:val="toc 5"/>
    <w:basedOn w:val="Normal"/>
    <w:next w:val="Normal"/>
    <w:autoRedefine/>
    <w:semiHidden/>
    <w:rsid w:val="00572F57"/>
    <w:pPr>
      <w:ind w:left="1040"/>
    </w:pPr>
  </w:style>
  <w:style w:type="paragraph" w:styleId="TOC6">
    <w:name w:val="toc 6"/>
    <w:basedOn w:val="Normal"/>
    <w:next w:val="Normal"/>
    <w:autoRedefine/>
    <w:semiHidden/>
    <w:rsid w:val="00572F57"/>
    <w:pPr>
      <w:ind w:left="1300"/>
    </w:pPr>
  </w:style>
  <w:style w:type="paragraph" w:styleId="TOC7">
    <w:name w:val="toc 7"/>
    <w:basedOn w:val="Normal"/>
    <w:next w:val="Normal"/>
    <w:autoRedefine/>
    <w:semiHidden/>
    <w:rsid w:val="00572F57"/>
    <w:pPr>
      <w:ind w:left="1560"/>
    </w:pPr>
  </w:style>
  <w:style w:type="paragraph" w:styleId="TOC8">
    <w:name w:val="toc 8"/>
    <w:basedOn w:val="Normal"/>
    <w:next w:val="Normal"/>
    <w:autoRedefine/>
    <w:semiHidden/>
    <w:rsid w:val="00572F57"/>
    <w:pPr>
      <w:ind w:left="1820"/>
    </w:pPr>
  </w:style>
  <w:style w:type="paragraph" w:styleId="TOC9">
    <w:name w:val="toc 9"/>
    <w:basedOn w:val="Normal"/>
    <w:next w:val="Normal"/>
    <w:autoRedefine/>
    <w:semiHidden/>
    <w:rsid w:val="00572F57"/>
    <w:pPr>
      <w:ind w:left="2080"/>
    </w:pPr>
  </w:style>
  <w:style w:type="paragraph" w:customStyle="1" w:styleId="Contents">
    <w:name w:val="Contents"/>
    <w:basedOn w:val="Normal"/>
    <w:rsid w:val="00572F57"/>
    <w:pPr>
      <w:jc w:val="center"/>
    </w:pPr>
    <w:rPr>
      <w:b/>
      <w:spacing w:val="100"/>
    </w:rPr>
  </w:style>
  <w:style w:type="paragraph" w:styleId="ListParagraph">
    <w:name w:val="List Paragraph"/>
    <w:basedOn w:val="Normal"/>
    <w:uiPriority w:val="34"/>
    <w:qFormat/>
    <w:rsid w:val="00E65224"/>
    <w:pPr>
      <w:ind w:left="720"/>
      <w:contextualSpacing/>
    </w:pPr>
  </w:style>
  <w:style w:type="character" w:styleId="Hyperlink">
    <w:name w:val="Hyperlink"/>
    <w:basedOn w:val="DefaultParagraphFont"/>
    <w:uiPriority w:val="99"/>
    <w:unhideWhenUsed/>
    <w:rsid w:val="00DF6F82"/>
    <w:rPr>
      <w:color w:val="0000FF"/>
      <w:u w:val="single"/>
    </w:rPr>
  </w:style>
  <w:style w:type="character" w:styleId="Emphasis">
    <w:name w:val="Emphasis"/>
    <w:basedOn w:val="DefaultParagraphFont"/>
    <w:uiPriority w:val="20"/>
    <w:qFormat/>
    <w:rsid w:val="00DF6F82"/>
    <w:rPr>
      <w:i/>
      <w:iCs/>
    </w:rPr>
  </w:style>
  <w:style w:type="character" w:customStyle="1" w:styleId="costarpage">
    <w:name w:val="co_starpage"/>
    <w:basedOn w:val="DefaultParagraphFont"/>
    <w:rsid w:val="00443AA0"/>
  </w:style>
  <w:style w:type="paragraph" w:styleId="Revision">
    <w:name w:val="Revision"/>
    <w:hidden/>
    <w:uiPriority w:val="99"/>
    <w:semiHidden/>
    <w:rsid w:val="00BF4043"/>
    <w:rPr>
      <w:sz w:val="26"/>
    </w:rPr>
  </w:style>
  <w:style w:type="character" w:styleId="CommentReference">
    <w:name w:val="annotation reference"/>
    <w:basedOn w:val="DefaultParagraphFont"/>
    <w:uiPriority w:val="99"/>
    <w:semiHidden/>
    <w:unhideWhenUsed/>
    <w:rsid w:val="00D71BE2"/>
    <w:rPr>
      <w:sz w:val="16"/>
      <w:szCs w:val="16"/>
    </w:rPr>
  </w:style>
  <w:style w:type="paragraph" w:styleId="CommentText">
    <w:name w:val="annotation text"/>
    <w:basedOn w:val="Normal"/>
    <w:link w:val="CommentTextChar"/>
    <w:uiPriority w:val="99"/>
    <w:unhideWhenUsed/>
    <w:rsid w:val="00D71BE2"/>
    <w:rPr>
      <w:sz w:val="20"/>
    </w:rPr>
  </w:style>
  <w:style w:type="character" w:customStyle="1" w:styleId="CommentTextChar">
    <w:name w:val="Comment Text Char"/>
    <w:basedOn w:val="DefaultParagraphFont"/>
    <w:link w:val="CommentText"/>
    <w:uiPriority w:val="99"/>
    <w:rsid w:val="00D71BE2"/>
  </w:style>
  <w:style w:type="paragraph" w:styleId="CommentSubject">
    <w:name w:val="annotation subject"/>
    <w:basedOn w:val="CommentText"/>
    <w:next w:val="CommentText"/>
    <w:link w:val="CommentSubjectChar"/>
    <w:uiPriority w:val="99"/>
    <w:semiHidden/>
    <w:unhideWhenUsed/>
    <w:rsid w:val="00D71BE2"/>
    <w:rPr>
      <w:b/>
      <w:bCs/>
    </w:rPr>
  </w:style>
  <w:style w:type="character" w:customStyle="1" w:styleId="CommentSubjectChar">
    <w:name w:val="Comment Subject Char"/>
    <w:basedOn w:val="CommentTextChar"/>
    <w:link w:val="CommentSubject"/>
    <w:uiPriority w:val="99"/>
    <w:semiHidden/>
    <w:rsid w:val="00D71BE2"/>
    <w:rPr>
      <w:b/>
      <w:bCs/>
    </w:rPr>
  </w:style>
  <w:style w:type="character" w:customStyle="1" w:styleId="FootnoteTextChar">
    <w:name w:val="Footnote Text Char"/>
    <w:basedOn w:val="DefaultParagraphFont"/>
    <w:link w:val="FootnoteText"/>
    <w:rsid w:val="008E3DEE"/>
    <w:rPr>
      <w:rFonts w:ascii="Century Schoolbook" w:hAnsi="Century Schoolbook"/>
      <w:sz w:val="27"/>
    </w:rPr>
  </w:style>
  <w:style w:type="character" w:customStyle="1" w:styleId="UnresolvedMention">
    <w:name w:val="Unresolved Mention"/>
    <w:basedOn w:val="DefaultParagraphFont"/>
    <w:uiPriority w:val="99"/>
    <w:semiHidden/>
    <w:unhideWhenUsed/>
    <w:rsid w:val="00845115"/>
    <w:rPr>
      <w:color w:val="605E5C"/>
      <w:shd w:val="clear" w:color="auto" w:fill="E1DFDD"/>
    </w:rPr>
  </w:style>
  <w:style w:type="character" w:customStyle="1" w:styleId="sssh">
    <w:name w:val="ss_sh"/>
    <w:basedOn w:val="DefaultParagraphFont"/>
    <w:rsid w:val="00107277"/>
  </w:style>
  <w:style w:type="paragraph" w:styleId="BodyText">
    <w:name w:val="Body Text"/>
    <w:basedOn w:val="Normal"/>
    <w:link w:val="BodyTextChar"/>
    <w:qFormat/>
    <w:rsid w:val="00572F57"/>
  </w:style>
  <w:style w:type="character" w:customStyle="1" w:styleId="BodyTextChar">
    <w:name w:val="Body Text Char"/>
    <w:basedOn w:val="DefaultParagraphFont"/>
    <w:link w:val="BodyText"/>
    <w:rsid w:val="00572F57"/>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header" Target="header4.xml" /><Relationship Id="rId14" Type="http://schemas.openxmlformats.org/officeDocument/2006/relationships/footer" Target="footer5.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C47D5-7B48-4B63-ABB6-37CE68C67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7777</Words>
  <Characters>44330</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2023-07-10T16:59:10Z</dcterms:created>
  <dcterms:modified xsi:type="dcterms:W3CDTF">2023-07-10T16:59:10Z</dcterms:modified>
</cp:coreProperties>
</file>