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F1266" w:rsidP="000040BD" w14:paraId="4E9312F9" w14:textId="77777777">
      <w:pPr>
        <w:tabs>
          <w:tab w:val="left" w:pos="1440"/>
        </w:tabs>
        <w:spacing w:after="0"/>
        <w:jc w:val="center"/>
        <w:rPr>
          <w:caps/>
          <w:sz w:val="36"/>
        </w:rPr>
      </w:pPr>
      <w:bookmarkStart w:id="0" w:name="MarkDocLoc"/>
      <w:bookmarkEnd w:id="0"/>
      <w:r>
        <w:rPr>
          <w:b/>
          <w:caps/>
          <w:sz w:val="36"/>
        </w:rPr>
        <w:t>IN THE SUPREME COURT OF CALIFORNIA</w:t>
      </w:r>
    </w:p>
    <w:p w:rsidR="008F1266" w:rsidP="000040BD" w14:paraId="4E9312FA" w14:textId="77777777">
      <w:pPr>
        <w:tabs>
          <w:tab w:val="left" w:pos="1440"/>
        </w:tabs>
        <w:spacing w:after="0"/>
        <w:jc w:val="center"/>
        <w:rPr>
          <w:caps/>
        </w:rPr>
      </w:pPr>
    </w:p>
    <w:p w:rsidR="008F1266" w:rsidP="000040BD" w14:paraId="4E9312FB" w14:textId="77777777">
      <w:pPr>
        <w:tabs>
          <w:tab w:val="left" w:pos="1440"/>
        </w:tabs>
        <w:spacing w:after="0"/>
        <w:jc w:val="center"/>
        <w:rPr>
          <w:caps/>
        </w:rPr>
      </w:pPr>
      <w:r>
        <w:rPr>
          <w:caps/>
        </w:rPr>
        <w:t>CIRO CAMACHO,</w:t>
      </w:r>
    </w:p>
    <w:p w:rsidR="008F1266" w:rsidP="000040BD" w14:paraId="4E9312FC" w14:textId="77777777">
      <w:pPr>
        <w:tabs>
          <w:tab w:val="left" w:pos="1440"/>
        </w:tabs>
        <w:spacing w:after="0"/>
        <w:jc w:val="center"/>
        <w:rPr>
          <w:caps/>
        </w:rPr>
      </w:pPr>
      <w:r w:rsidRPr="000040BD">
        <w:t>Petitioner</w:t>
      </w:r>
      <w:r>
        <w:rPr>
          <w:caps/>
        </w:rPr>
        <w:t>,</w:t>
      </w:r>
    </w:p>
    <w:p w:rsidR="008F1266" w:rsidRPr="005F008A" w:rsidP="000040BD" w14:paraId="4E9312FD" w14:textId="77777777">
      <w:pPr>
        <w:tabs>
          <w:tab w:val="left" w:pos="1440"/>
        </w:tabs>
        <w:spacing w:after="0"/>
        <w:jc w:val="center"/>
      </w:pPr>
      <w:r w:rsidRPr="005F008A">
        <w:t>v.</w:t>
      </w:r>
    </w:p>
    <w:p w:rsidR="008F1266" w:rsidP="000040BD" w14:paraId="4E9312FE" w14:textId="77777777">
      <w:pPr>
        <w:tabs>
          <w:tab w:val="left" w:pos="1440"/>
        </w:tabs>
        <w:spacing w:after="0"/>
        <w:jc w:val="center"/>
        <w:rPr>
          <w:caps/>
        </w:rPr>
      </w:pPr>
      <w:r>
        <w:rPr>
          <w:caps/>
        </w:rPr>
        <w:t xml:space="preserve">THE SUPERIOR COURT OF MERCED </w:t>
      </w:r>
      <w:r w:rsidR="005F008A">
        <w:rPr>
          <w:caps/>
        </w:rPr>
        <w:t>COUNTY,</w:t>
      </w:r>
    </w:p>
    <w:p w:rsidR="008F1266" w:rsidP="000040BD" w14:paraId="4E9312FF" w14:textId="77777777">
      <w:pPr>
        <w:tabs>
          <w:tab w:val="left" w:pos="1440"/>
        </w:tabs>
        <w:spacing w:after="0"/>
        <w:jc w:val="center"/>
        <w:rPr>
          <w:caps/>
        </w:rPr>
      </w:pPr>
      <w:r w:rsidRPr="000040BD">
        <w:t>Respondent</w:t>
      </w:r>
      <w:r>
        <w:rPr>
          <w:caps/>
        </w:rPr>
        <w:t>;</w:t>
      </w:r>
    </w:p>
    <w:p w:rsidR="000040BD" w:rsidP="000040BD" w14:paraId="4E931300" w14:textId="77777777">
      <w:pPr>
        <w:tabs>
          <w:tab w:val="left" w:pos="1440"/>
        </w:tabs>
        <w:spacing w:after="0"/>
        <w:jc w:val="center"/>
        <w:rPr>
          <w:caps/>
        </w:rPr>
      </w:pPr>
      <w:r>
        <w:rPr>
          <w:caps/>
        </w:rPr>
        <w:t>THE PEOPLE,</w:t>
      </w:r>
    </w:p>
    <w:p w:rsidR="000040BD" w:rsidRPr="000040BD" w:rsidP="000040BD" w14:paraId="4E931301" w14:textId="3701E6F9">
      <w:pPr>
        <w:tabs>
          <w:tab w:val="left" w:pos="1440"/>
        </w:tabs>
        <w:spacing w:after="0"/>
        <w:jc w:val="center"/>
      </w:pPr>
      <w:r w:rsidRPr="000040BD">
        <w:t>R</w:t>
      </w:r>
      <w:r w:rsidR="005F008A">
        <w:t>eal Part</w:t>
      </w:r>
      <w:r w:rsidR="00A44F17">
        <w:t>y</w:t>
      </w:r>
      <w:r w:rsidR="005F008A">
        <w:t xml:space="preserve"> in Interest</w:t>
      </w:r>
      <w:r w:rsidRPr="000040BD">
        <w:t>.</w:t>
      </w:r>
    </w:p>
    <w:p w:rsidR="008F1266" w:rsidP="000040BD" w14:paraId="4E931302" w14:textId="77777777">
      <w:pPr>
        <w:tabs>
          <w:tab w:val="left" w:pos="1440"/>
        </w:tabs>
        <w:spacing w:after="0"/>
        <w:jc w:val="center"/>
        <w:rPr>
          <w:caps/>
        </w:rPr>
      </w:pPr>
    </w:p>
    <w:p w:rsidR="008F1266" w:rsidP="000040BD" w14:paraId="4E931303" w14:textId="77777777">
      <w:pPr>
        <w:tabs>
          <w:tab w:val="left" w:pos="1440"/>
        </w:tabs>
        <w:spacing w:after="0"/>
        <w:jc w:val="center"/>
        <w:rPr>
          <w:caps/>
        </w:rPr>
      </w:pPr>
      <w:r>
        <w:rPr>
          <w:caps/>
        </w:rPr>
        <w:t>S273391</w:t>
      </w:r>
    </w:p>
    <w:p w:rsidR="008F1266" w:rsidP="000040BD" w14:paraId="4E931304" w14:textId="77777777">
      <w:pPr>
        <w:tabs>
          <w:tab w:val="left" w:pos="1440"/>
        </w:tabs>
        <w:spacing w:after="0"/>
        <w:jc w:val="center"/>
        <w:rPr>
          <w:caps/>
        </w:rPr>
      </w:pPr>
    </w:p>
    <w:p w:rsidR="000040BD" w:rsidRPr="005F008A" w:rsidP="000040BD" w14:paraId="4E931305" w14:textId="77777777">
      <w:pPr>
        <w:tabs>
          <w:tab w:val="left" w:pos="1440"/>
        </w:tabs>
        <w:spacing w:after="0"/>
        <w:jc w:val="center"/>
      </w:pPr>
      <w:r>
        <w:t>Fi</w:t>
      </w:r>
      <w:r w:rsidRPr="005F008A">
        <w:t xml:space="preserve">fth </w:t>
      </w:r>
      <w:r>
        <w:t>A</w:t>
      </w:r>
      <w:r w:rsidRPr="005F008A">
        <w:t xml:space="preserve">ppellate </w:t>
      </w:r>
      <w:r>
        <w:t>D</w:t>
      </w:r>
      <w:r w:rsidRPr="005F008A">
        <w:t>istrict</w:t>
      </w:r>
    </w:p>
    <w:p w:rsidR="000040BD" w:rsidP="000040BD" w14:paraId="4E931306" w14:textId="77777777">
      <w:pPr>
        <w:tabs>
          <w:tab w:val="left" w:pos="1440"/>
        </w:tabs>
        <w:spacing w:after="0"/>
        <w:jc w:val="center"/>
        <w:rPr>
          <w:caps/>
        </w:rPr>
      </w:pPr>
      <w:r>
        <w:rPr>
          <w:caps/>
        </w:rPr>
        <w:t>f08</w:t>
      </w:r>
      <w:r w:rsidR="005F008A">
        <w:rPr>
          <w:caps/>
        </w:rPr>
        <w:t>2798</w:t>
      </w:r>
    </w:p>
    <w:p w:rsidR="005F008A" w:rsidP="000040BD" w14:paraId="4E931307" w14:textId="77777777">
      <w:pPr>
        <w:tabs>
          <w:tab w:val="left" w:pos="1440"/>
        </w:tabs>
        <w:spacing w:after="0"/>
        <w:jc w:val="center"/>
        <w:rPr>
          <w:caps/>
        </w:rPr>
      </w:pPr>
    </w:p>
    <w:p w:rsidR="008F1266" w:rsidRPr="005F008A" w:rsidP="000040BD" w14:paraId="4E931308" w14:textId="77777777">
      <w:pPr>
        <w:tabs>
          <w:tab w:val="left" w:pos="1440"/>
        </w:tabs>
        <w:spacing w:after="0"/>
        <w:jc w:val="center"/>
      </w:pPr>
      <w:r w:rsidRPr="005F008A">
        <w:t>Merced County</w:t>
      </w:r>
      <w:r w:rsidRPr="005F008A" w:rsidR="005F008A">
        <w:t xml:space="preserve"> </w:t>
      </w:r>
      <w:r w:rsidR="005F008A">
        <w:t>Superior Court</w:t>
      </w:r>
    </w:p>
    <w:p w:rsidR="008F1266" w:rsidP="000040BD" w14:paraId="4E931309" w14:textId="77777777">
      <w:pPr>
        <w:tabs>
          <w:tab w:val="left" w:pos="1440"/>
        </w:tabs>
        <w:spacing w:after="0"/>
        <w:jc w:val="center"/>
        <w:rPr>
          <w:caps/>
        </w:rPr>
      </w:pPr>
      <w:r>
        <w:rPr>
          <w:caps/>
        </w:rPr>
        <w:t>146207</w:t>
      </w:r>
    </w:p>
    <w:p w:rsidR="008F1266" w:rsidP="005F008A" w14:paraId="4E93130A" w14:textId="77777777">
      <w:pPr>
        <w:pBdr>
          <w:bottom w:val="single" w:sz="4" w:space="1" w:color="auto"/>
        </w:pBdr>
        <w:tabs>
          <w:tab w:val="left" w:pos="1440"/>
        </w:tabs>
        <w:spacing w:after="0"/>
        <w:jc w:val="center"/>
        <w:rPr>
          <w:caps/>
        </w:rPr>
      </w:pPr>
    </w:p>
    <w:p w:rsidR="008F1266" w:rsidP="005F008A" w14:paraId="4E93130B" w14:textId="77777777">
      <w:pPr>
        <w:tabs>
          <w:tab w:val="left" w:pos="1440"/>
        </w:tabs>
        <w:spacing w:after="0"/>
        <w:jc w:val="center"/>
        <w:rPr>
          <w:caps/>
        </w:rPr>
      </w:pPr>
    </w:p>
    <w:p w:rsidR="008F1266" w:rsidP="005F008A" w14:paraId="4E93130C" w14:textId="77777777">
      <w:pPr>
        <w:tabs>
          <w:tab w:val="left" w:pos="1440"/>
        </w:tabs>
        <w:spacing w:after="0"/>
        <w:jc w:val="center"/>
        <w:rPr>
          <w:caps/>
        </w:rPr>
      </w:pPr>
      <w:r>
        <w:t xml:space="preserve">August </w:t>
      </w:r>
      <w:r w:rsidR="00DC64A5">
        <w:t>31</w:t>
      </w:r>
      <w:r w:rsidR="005F008A">
        <w:rPr>
          <w:caps/>
        </w:rPr>
        <w:t>,</w:t>
      </w:r>
      <w:r>
        <w:rPr>
          <w:caps/>
        </w:rPr>
        <w:t xml:space="preserve"> 2023</w:t>
      </w:r>
    </w:p>
    <w:p w:rsidR="008F1266" w:rsidP="005F008A" w14:paraId="4E93130D" w14:textId="77777777">
      <w:pPr>
        <w:tabs>
          <w:tab w:val="left" w:pos="1440"/>
        </w:tabs>
        <w:spacing w:after="0"/>
        <w:jc w:val="center"/>
        <w:rPr>
          <w:caps/>
        </w:rPr>
      </w:pPr>
    </w:p>
    <w:p w:rsidR="008F1266" w:rsidRPr="005F008A" w:rsidP="005F008A" w14:paraId="4E93130E" w14:textId="77777777">
      <w:pPr>
        <w:tabs>
          <w:tab w:val="left" w:pos="1440"/>
        </w:tabs>
        <w:spacing w:after="0"/>
        <w:jc w:val="left"/>
      </w:pPr>
      <w:r w:rsidRPr="005F008A">
        <w:t xml:space="preserve">Justice Kruger authored the opinion of the Court, in which </w:t>
      </w:r>
      <w:r w:rsidR="007015EF">
        <w:t>Chief Justice Guerrero and Justices Corrigan, Liu, Groban, Jenkins, and Evans</w:t>
      </w:r>
      <w:r w:rsidRPr="005F008A">
        <w:t xml:space="preserve"> concurred.</w:t>
      </w:r>
    </w:p>
    <w:p w:rsidR="008F1266" w:rsidRPr="005F008A" w:rsidP="005F008A" w14:paraId="4E931310" w14:textId="77777777">
      <w:pPr>
        <w:pBdr>
          <w:bottom w:val="single" w:sz="4" w:space="1" w:color="auto"/>
        </w:pBdr>
        <w:tabs>
          <w:tab w:val="left" w:pos="1440"/>
        </w:tabs>
        <w:spacing w:line="480" w:lineRule="atLeast"/>
        <w:jc w:val="left"/>
        <w:rPr>
          <w:caps/>
        </w:rPr>
      </w:pPr>
      <w:bookmarkStart w:id="1" w:name="Return"/>
      <w:bookmarkEnd w:id="1"/>
    </w:p>
    <w:p w:rsidR="008F1266" w:rsidP="004B6AAB" w14:paraId="4E931311" w14:textId="77777777">
      <w:pPr>
        <w:tabs>
          <w:tab w:val="left" w:pos="1440"/>
        </w:tabs>
        <w:spacing w:line="480" w:lineRule="atLeast"/>
        <w:jc w:val="center"/>
        <w:rPr>
          <w:b/>
          <w:caps/>
        </w:rPr>
        <w:sectPr w:rsidSect="005F008A">
          <w:headerReference w:type="default" r:id="rId6"/>
          <w:footerReference w:type="default" r:id="rId7"/>
          <w:pgSz w:w="12240" w:h="15840"/>
          <w:pgMar w:top="1800" w:right="2160" w:bottom="1440" w:left="2160" w:header="720" w:footer="720" w:gutter="0"/>
          <w:cols w:space="720"/>
          <w:titlePg/>
          <w:docGrid w:linePitch="367"/>
        </w:sectPr>
      </w:pPr>
    </w:p>
    <w:p w:rsidR="008F1266" w:rsidRPr="00CA7C41" w:rsidP="008F1266" w14:paraId="4E931312" w14:textId="77777777">
      <w:pPr>
        <w:tabs>
          <w:tab w:val="left" w:pos="1440"/>
        </w:tabs>
        <w:jc w:val="center"/>
        <w:rPr>
          <w:bCs/>
          <w:caps/>
        </w:rPr>
      </w:pPr>
      <w:r w:rsidRPr="00CA7C41">
        <w:rPr>
          <w:bCs/>
          <w:caps/>
        </w:rPr>
        <w:t>CAMACHO</w:t>
      </w:r>
      <w:r w:rsidRPr="00CA7C41" w:rsidR="000040BD">
        <w:rPr>
          <w:bCs/>
          <w:caps/>
        </w:rPr>
        <w:t xml:space="preserve"> </w:t>
      </w:r>
      <w:r w:rsidRPr="00CA7C41" w:rsidR="000040BD">
        <w:rPr>
          <w:bCs/>
        </w:rPr>
        <w:t>v.</w:t>
      </w:r>
      <w:r w:rsidRPr="00CA7C41">
        <w:rPr>
          <w:bCs/>
          <w:caps/>
        </w:rPr>
        <w:t xml:space="preserve"> SUPERIOR COURT</w:t>
      </w:r>
    </w:p>
    <w:p w:rsidR="008F1266" w:rsidRPr="00CA7C41" w:rsidP="008F1266" w14:paraId="4E931313" w14:textId="77777777">
      <w:pPr>
        <w:tabs>
          <w:tab w:val="left" w:pos="1440"/>
        </w:tabs>
        <w:jc w:val="center"/>
        <w:rPr>
          <w:bCs/>
          <w:caps/>
        </w:rPr>
      </w:pPr>
      <w:r w:rsidRPr="00CA7C41">
        <w:rPr>
          <w:bCs/>
          <w:caps/>
        </w:rPr>
        <w:t>S273391</w:t>
      </w:r>
    </w:p>
    <w:p w:rsidR="008F1266" w:rsidRPr="00CA7C41" w:rsidP="008F1266" w14:paraId="4E931314" w14:textId="77777777">
      <w:pPr>
        <w:tabs>
          <w:tab w:val="left" w:pos="1440"/>
        </w:tabs>
        <w:jc w:val="center"/>
        <w:rPr>
          <w:bCs/>
          <w:caps/>
        </w:rPr>
      </w:pPr>
    </w:p>
    <w:p w:rsidR="008F1266" w:rsidRPr="00CA7C41" w:rsidP="008F1266" w14:paraId="4E931315" w14:textId="77777777">
      <w:pPr>
        <w:tabs>
          <w:tab w:val="left" w:pos="1440"/>
        </w:tabs>
        <w:jc w:val="center"/>
        <w:rPr>
          <w:bCs/>
        </w:rPr>
      </w:pPr>
      <w:r w:rsidRPr="00CA7C41">
        <w:rPr>
          <w:bCs/>
        </w:rPr>
        <w:t xml:space="preserve">Opinion of the Court by </w:t>
      </w:r>
      <w:r w:rsidRPr="00CA7C41" w:rsidR="000040BD">
        <w:rPr>
          <w:bCs/>
        </w:rPr>
        <w:t>Kruger, J.</w:t>
      </w:r>
    </w:p>
    <w:p w:rsidR="003F0C66" w:rsidP="00F22CA0" w14:paraId="4E931316" w14:textId="77777777">
      <w:bookmarkStart w:id="2" w:name="justice"/>
      <w:bookmarkEnd w:id="2"/>
    </w:p>
    <w:p w:rsidR="00D97938" w:rsidP="00773B43" w14:paraId="4E931317" w14:textId="77777777">
      <w:pPr>
        <w:ind w:firstLine="720"/>
      </w:pPr>
      <w:r>
        <w:t xml:space="preserve">The Sexually Violent Predator Act </w:t>
      </w:r>
      <w:r w:rsidRPr="008F1266">
        <w:t>(SVP Act</w:t>
      </w:r>
      <w:r>
        <w:t>;</w:t>
      </w:r>
      <w:r w:rsidRPr="008F1266">
        <w:t xml:space="preserve"> Welf. &amp; Inst. Code, § 6600 et seq.)</w:t>
      </w:r>
      <w:r>
        <w:t xml:space="preserve"> </w:t>
      </w:r>
      <w:r w:rsidR="00CA7AAE">
        <w:t xml:space="preserve">authorizes the </w:t>
      </w:r>
      <w:r w:rsidR="00F81188">
        <w:t xml:space="preserve">involuntary </w:t>
      </w:r>
      <w:r w:rsidR="00314B89">
        <w:t>commitment</w:t>
      </w:r>
      <w:r w:rsidR="00A72B76">
        <w:t xml:space="preserve"> </w:t>
      </w:r>
      <w:r w:rsidR="00CA7AAE">
        <w:t xml:space="preserve">of </w:t>
      </w:r>
      <w:r w:rsidRPr="008F1266" w:rsidR="003A6A61">
        <w:t xml:space="preserve">certain </w:t>
      </w:r>
      <w:r w:rsidR="003A6A61">
        <w:t xml:space="preserve">convicted </w:t>
      </w:r>
      <w:r w:rsidRPr="008F1266" w:rsidR="003A6A61">
        <w:t>sex offenders</w:t>
      </w:r>
      <w:r w:rsidR="009914EF">
        <w:t> </w:t>
      </w:r>
      <w:r w:rsidR="00391A83">
        <w:t xml:space="preserve">— </w:t>
      </w:r>
      <w:r w:rsidR="00CA1F1A">
        <w:t>termed</w:t>
      </w:r>
      <w:r w:rsidR="00391A83">
        <w:t xml:space="preserve"> </w:t>
      </w:r>
      <w:r w:rsidR="00697CCE">
        <w:t>“</w:t>
      </w:r>
      <w:r w:rsidR="00391A83">
        <w:t>sexually violent predators,</w:t>
      </w:r>
      <w:r w:rsidR="00697CCE">
        <w:t>”</w:t>
      </w:r>
      <w:r w:rsidR="00391A83">
        <w:t xml:space="preserve"> or SVPs</w:t>
      </w:r>
      <w:r w:rsidR="009914EF">
        <w:t> </w:t>
      </w:r>
      <w:r w:rsidR="00391A83">
        <w:t xml:space="preserve">— </w:t>
      </w:r>
      <w:r w:rsidR="0056485F">
        <w:t>who are</w:t>
      </w:r>
      <w:r w:rsidR="003A6A61">
        <w:t xml:space="preserve"> found</w:t>
      </w:r>
      <w:r w:rsidR="00D56F57">
        <w:t xml:space="preserve"> </w:t>
      </w:r>
      <w:r w:rsidR="003A6A61">
        <w:t>to have mental disorders that make them likely to reoffend after release from prison.</w:t>
      </w:r>
      <w:r>
        <w:t xml:space="preserve">  This case concerns delays in holding trial on a petition for SVP commitment. </w:t>
      </w:r>
    </w:p>
    <w:p w:rsidR="00595FC4" w:rsidRPr="008F1266" w:rsidP="00773B43" w14:paraId="4E931318" w14:textId="77777777">
      <w:pPr>
        <w:ind w:firstLine="720"/>
      </w:pPr>
      <w:r w:rsidRPr="008F1266">
        <w:t xml:space="preserve">Petitioner Ciro Camacho was </w:t>
      </w:r>
      <w:r w:rsidR="00E61B2F">
        <w:t xml:space="preserve">first </w:t>
      </w:r>
      <w:r w:rsidRPr="008F1266">
        <w:t xml:space="preserve">determined to be an </w:t>
      </w:r>
      <w:r w:rsidR="004450B4">
        <w:t xml:space="preserve">SVP </w:t>
      </w:r>
      <w:r w:rsidRPr="008F1266">
        <w:t xml:space="preserve">at a 2005 trial and </w:t>
      </w:r>
      <w:r w:rsidR="00D0300F">
        <w:t xml:space="preserve">was </w:t>
      </w:r>
      <w:r w:rsidRPr="008F1266">
        <w:t xml:space="preserve">committed </w:t>
      </w:r>
      <w:r w:rsidR="00DA739F">
        <w:t xml:space="preserve">to the state hospital </w:t>
      </w:r>
      <w:r w:rsidRPr="008F1266">
        <w:t xml:space="preserve">for a two-year term under the version of the statute then in force.  The </w:t>
      </w:r>
      <w:r w:rsidR="005F7DBC">
        <w:t xml:space="preserve">next </w:t>
      </w:r>
      <w:r w:rsidRPr="008F1266">
        <w:t xml:space="preserve">year, </w:t>
      </w:r>
      <w:r w:rsidR="0034010D">
        <w:t xml:space="preserve">the statute was amended to provide for indefinite commitment </w:t>
      </w:r>
      <w:r w:rsidR="0089719E">
        <w:t>instead of</w:t>
      </w:r>
      <w:r w:rsidR="0034010D">
        <w:t xml:space="preserve"> renewable two-year terms. </w:t>
      </w:r>
      <w:r w:rsidR="00354BF8">
        <w:t xml:space="preserve"> In 2007, before Camacho’s two-year term ended, </w:t>
      </w:r>
      <w:r w:rsidR="0034010D">
        <w:t xml:space="preserve">the state </w:t>
      </w:r>
      <w:r w:rsidRPr="008F1266">
        <w:t xml:space="preserve">filed a </w:t>
      </w:r>
      <w:r w:rsidR="00354BF8">
        <w:t xml:space="preserve">recommitment </w:t>
      </w:r>
      <w:r w:rsidRPr="008F1266">
        <w:t xml:space="preserve">petition </w:t>
      </w:r>
      <w:r w:rsidR="00354BF8">
        <w:t xml:space="preserve">seeking </w:t>
      </w:r>
      <w:r w:rsidR="00E61ADB">
        <w:t xml:space="preserve">indefinite </w:t>
      </w:r>
      <w:r w:rsidR="004814C0">
        <w:t>commitment</w:t>
      </w:r>
      <w:r w:rsidR="00E61ADB">
        <w:t xml:space="preserve"> </w:t>
      </w:r>
      <w:r w:rsidR="005F7DBC">
        <w:t>under the new version of the statute</w:t>
      </w:r>
      <w:r w:rsidR="0024029A">
        <w:t>.</w:t>
      </w:r>
      <w:r w:rsidR="00E61ADB">
        <w:t xml:space="preserve">  </w:t>
      </w:r>
      <w:r w:rsidR="00A24642">
        <w:t xml:space="preserve">Since then, the defense has repeatedly requested or agreed to continuances of the trial date, with the result that the </w:t>
      </w:r>
      <w:r w:rsidR="00773B43">
        <w:t xml:space="preserve">trial on the recommitment petition has yet </w:t>
      </w:r>
      <w:r w:rsidR="00A24642">
        <w:t xml:space="preserve">to </w:t>
      </w:r>
      <w:r w:rsidR="00773B43">
        <w:t>occur</w:t>
      </w:r>
      <w:r w:rsidR="00A24642">
        <w:t>.</w:t>
      </w:r>
      <w:r w:rsidR="00133628">
        <w:t xml:space="preserve">  </w:t>
      </w:r>
      <w:r w:rsidR="00773B43">
        <w:t>Camacho now argues that th</w:t>
      </w:r>
      <w:r w:rsidR="00760474">
        <w:t>e</w:t>
      </w:r>
      <w:r w:rsidR="00773B43">
        <w:t xml:space="preserve"> extended pretrial delay violates </w:t>
      </w:r>
      <w:r w:rsidR="00E103B6">
        <w:t xml:space="preserve">his </w:t>
      </w:r>
      <w:r w:rsidR="009008E0">
        <w:t>constitutional</w:t>
      </w:r>
      <w:r w:rsidR="00E103B6">
        <w:t xml:space="preserve"> rights.</w:t>
      </w:r>
      <w:r w:rsidR="00FE5EDC">
        <w:t xml:space="preserve">  </w:t>
      </w:r>
    </w:p>
    <w:p w:rsidR="003D31C2" w:rsidP="003006CB" w14:paraId="4E931319" w14:textId="77777777">
      <w:pPr>
        <w:ind w:firstLine="720"/>
      </w:pPr>
      <w:r>
        <w:t xml:space="preserve">Although the Courts of Appeal have </w:t>
      </w:r>
      <w:r w:rsidR="00BF4D5F">
        <w:t xml:space="preserve">previously </w:t>
      </w:r>
      <w:r>
        <w:t xml:space="preserve">addressed similar claims, this case marks the first time this court has considered </w:t>
      </w:r>
      <w:r w:rsidR="00BF4D5F">
        <w:t xml:space="preserve">the constitutional framework for evaluating the timeliness of </w:t>
      </w:r>
      <w:r>
        <w:t>SVP trial</w:t>
      </w:r>
      <w:r w:rsidR="00BF4D5F">
        <w:t>s</w:t>
      </w:r>
      <w:r>
        <w:t xml:space="preserve">.  </w:t>
      </w:r>
      <w:r w:rsidR="00F747CF">
        <w:t xml:space="preserve">We now hold that </w:t>
      </w:r>
      <w:r w:rsidR="00AA2CD1">
        <w:t xml:space="preserve">persons facing SVP </w:t>
      </w:r>
      <w:r w:rsidR="00E47DD4">
        <w:t>commitment</w:t>
      </w:r>
      <w:r w:rsidR="00773B43">
        <w:t xml:space="preserve"> </w:t>
      </w:r>
      <w:r w:rsidR="00354BF8">
        <w:t xml:space="preserve">have </w:t>
      </w:r>
      <w:r w:rsidR="00AA2CD1">
        <w:t xml:space="preserve">a due process right to a timely </w:t>
      </w:r>
      <w:r w:rsidR="00B70435">
        <w:t>trial</w:t>
      </w:r>
      <w:r w:rsidR="00AA2CD1">
        <w:t>.</w:t>
      </w:r>
      <w:r w:rsidR="00153D9F">
        <w:t xml:space="preserve">  But </w:t>
      </w:r>
      <w:r w:rsidR="00B95EAA">
        <w:t xml:space="preserve">as is true in other contexts, </w:t>
      </w:r>
      <w:r w:rsidR="00153D9F">
        <w:t xml:space="preserve">whether </w:t>
      </w:r>
      <w:r w:rsidRPr="008F1266" w:rsidR="00E429A9">
        <w:t>pretrial delay</w:t>
      </w:r>
      <w:r w:rsidRPr="008F1266" w:rsidR="00CA1E89">
        <w:t xml:space="preserve"> violates </w:t>
      </w:r>
      <w:r w:rsidR="00354BF8">
        <w:t xml:space="preserve">that right </w:t>
      </w:r>
      <w:r w:rsidRPr="008F1266" w:rsidR="00E429A9">
        <w:t>depend</w:t>
      </w:r>
      <w:r w:rsidR="0078655F">
        <w:t>s</w:t>
      </w:r>
      <w:r w:rsidRPr="008F1266" w:rsidR="00E429A9">
        <w:t xml:space="preserve"> </w:t>
      </w:r>
      <w:r w:rsidR="00B95EAA">
        <w:t xml:space="preserve">in the first instance </w:t>
      </w:r>
      <w:r w:rsidRPr="008F1266" w:rsidR="00587ED2">
        <w:t xml:space="preserve">on the reasons </w:t>
      </w:r>
      <w:r w:rsidRPr="008F1266" w:rsidR="00E429A9">
        <w:t>for the delay.</w:t>
      </w:r>
      <w:r w:rsidR="00C87894">
        <w:t xml:space="preserve">  </w:t>
      </w:r>
      <w:r w:rsidR="008B340A">
        <w:t>(</w:t>
      </w:r>
      <w:r w:rsidR="0012602D">
        <w:rPr>
          <w:i/>
          <w:iCs/>
        </w:rPr>
        <w:t>Barker v. Wingo</w:t>
      </w:r>
      <w:r w:rsidR="0012602D">
        <w:t xml:space="preserve"> (1972) 407 U.S. 514, 531.) </w:t>
      </w:r>
      <w:r w:rsidR="003A194B">
        <w:t xml:space="preserve"> </w:t>
      </w:r>
      <w:r w:rsidR="00773B43">
        <w:t>Here</w:t>
      </w:r>
      <w:r w:rsidR="006F1E25">
        <w:t>, w</w:t>
      </w:r>
      <w:r w:rsidR="001A5CA5">
        <w:t>hile</w:t>
      </w:r>
      <w:r w:rsidRPr="008F1266" w:rsidR="007B5D3D">
        <w:t xml:space="preserve"> the </w:t>
      </w:r>
      <w:r w:rsidR="001974A5">
        <w:t xml:space="preserve">decade-plus </w:t>
      </w:r>
      <w:r w:rsidRPr="008F1266" w:rsidR="00E45D39">
        <w:t xml:space="preserve">delay </w:t>
      </w:r>
      <w:r w:rsidRPr="008F1266" w:rsidR="00A0175D">
        <w:t xml:space="preserve">in holding </w:t>
      </w:r>
      <w:r w:rsidR="00773B43">
        <w:t xml:space="preserve">Camacho’s </w:t>
      </w:r>
      <w:r w:rsidRPr="008F1266" w:rsidR="00A0175D">
        <w:t xml:space="preserve">recommitment trial </w:t>
      </w:r>
      <w:r w:rsidRPr="008F1266" w:rsidR="007B5D3D">
        <w:t xml:space="preserve">is extraordinarily lengthy, </w:t>
      </w:r>
      <w:r w:rsidRPr="008F1266" w:rsidR="00F8628D">
        <w:t xml:space="preserve">the </w:t>
      </w:r>
      <w:r w:rsidR="00164788">
        <w:t xml:space="preserve">available </w:t>
      </w:r>
      <w:r w:rsidRPr="008F1266" w:rsidR="00F8628D">
        <w:t xml:space="preserve">record </w:t>
      </w:r>
      <w:r w:rsidR="001B55A4">
        <w:t xml:space="preserve">shows that </w:t>
      </w:r>
      <w:r w:rsidRPr="008F1266" w:rsidR="00302D74">
        <w:t xml:space="preserve">responsibility for the delay lies primarily with </w:t>
      </w:r>
      <w:r>
        <w:t>the defense</w:t>
      </w:r>
      <w:r w:rsidR="00354BF8">
        <w:t>,</w:t>
      </w:r>
      <w:r>
        <w:t xml:space="preserve"> </w:t>
      </w:r>
      <w:r w:rsidR="008C6A77">
        <w:t xml:space="preserve">which </w:t>
      </w:r>
      <w:r w:rsidR="001F11B0">
        <w:t xml:space="preserve">either sought or agreed to the </w:t>
      </w:r>
      <w:r w:rsidR="00773B43">
        <w:t>continuances that led to the delay</w:t>
      </w:r>
      <w:r w:rsidRPr="008F1266" w:rsidR="00302D74">
        <w:t>.</w:t>
      </w:r>
      <w:r w:rsidR="00354BF8">
        <w:t xml:space="preserve">  </w:t>
      </w:r>
      <w:r>
        <w:t xml:space="preserve">While </w:t>
      </w:r>
      <w:r w:rsidR="0017613F">
        <w:t>many</w:t>
      </w:r>
      <w:r>
        <w:t xml:space="preserve"> of the continuance </w:t>
      </w:r>
      <w:r w:rsidR="002D3639">
        <w:t xml:space="preserve">requests </w:t>
      </w:r>
      <w:r>
        <w:t xml:space="preserve">were </w:t>
      </w:r>
      <w:r w:rsidR="002D3639">
        <w:t xml:space="preserve">made </w:t>
      </w:r>
      <w:r>
        <w:t>by</w:t>
      </w:r>
      <w:r w:rsidR="00354BF8">
        <w:t xml:space="preserve"> </w:t>
      </w:r>
      <w:r w:rsidR="008C6A77">
        <w:t xml:space="preserve">Camacho’s </w:t>
      </w:r>
      <w:r>
        <w:t xml:space="preserve">counsel </w:t>
      </w:r>
      <w:r w:rsidR="002D3639">
        <w:t xml:space="preserve">when Camacho was not </w:t>
      </w:r>
      <w:r w:rsidR="008C6A77">
        <w:t xml:space="preserve">personally </w:t>
      </w:r>
      <w:r w:rsidR="002D3639">
        <w:t>present in court</w:t>
      </w:r>
      <w:r>
        <w:t>, the ordinary rule is that delays sought by counsel are attributable to their clients</w:t>
      </w:r>
      <w:r w:rsidR="0012602D">
        <w:t xml:space="preserve"> (</w:t>
      </w:r>
      <w:r w:rsidRPr="00383D03" w:rsidR="0012602D">
        <w:rPr>
          <w:i/>
          <w:iCs/>
        </w:rPr>
        <w:t xml:space="preserve">Vermont v. Brillon </w:t>
      </w:r>
      <w:r w:rsidRPr="00383D03" w:rsidR="0012602D">
        <w:t>(2009) 556 U.S. 81</w:t>
      </w:r>
      <w:r w:rsidR="0012602D">
        <w:t>, 85</w:t>
      </w:r>
      <w:r w:rsidRPr="00221290" w:rsidR="0012602D">
        <w:t>)</w:t>
      </w:r>
      <w:r>
        <w:t xml:space="preserve">, and </w:t>
      </w:r>
      <w:r w:rsidR="007D5848">
        <w:t xml:space="preserve">the record reveals no </w:t>
      </w:r>
      <w:r>
        <w:t xml:space="preserve">basis </w:t>
      </w:r>
      <w:r w:rsidR="00336C8B">
        <w:t xml:space="preserve">to </w:t>
      </w:r>
      <w:r>
        <w:t>depart from that rule in this case.</w:t>
      </w:r>
      <w:r w:rsidR="002D3639">
        <w:t xml:space="preserve">  Camacho therefore has not established that the </w:t>
      </w:r>
      <w:r w:rsidR="00336C8B">
        <w:t xml:space="preserve">pretrial </w:t>
      </w:r>
      <w:r w:rsidR="002D3639">
        <w:t>delay</w:t>
      </w:r>
      <w:r w:rsidR="00336C8B">
        <w:t xml:space="preserve"> in this case</w:t>
      </w:r>
      <w:r w:rsidR="002D3639">
        <w:t xml:space="preserve"> </w:t>
      </w:r>
      <w:r w:rsidR="00732E0D">
        <w:t>resulted in a violation of his due process rights.</w:t>
      </w:r>
    </w:p>
    <w:p w:rsidR="009F069A" w:rsidRPr="008F1266" w:rsidP="000E1303" w14:paraId="4E93131A" w14:textId="77777777">
      <w:pPr>
        <w:ind w:firstLine="720"/>
      </w:pPr>
      <w:r w:rsidRPr="008F1266">
        <w:t xml:space="preserve">Although </w:t>
      </w:r>
      <w:r w:rsidRPr="008F1266" w:rsidR="00035364">
        <w:t>we</w:t>
      </w:r>
      <w:r w:rsidRPr="008F1266" w:rsidR="00054C93">
        <w:t xml:space="preserve"> </w:t>
      </w:r>
      <w:r w:rsidRPr="008F1266" w:rsidR="00173C45">
        <w:t xml:space="preserve">find </w:t>
      </w:r>
      <w:r w:rsidRPr="008F1266">
        <w:t>no</w:t>
      </w:r>
      <w:r w:rsidRPr="008F1266" w:rsidR="00173C45">
        <w:t xml:space="preserve"> </w:t>
      </w:r>
      <w:r w:rsidR="000B6455">
        <w:t xml:space="preserve">due process </w:t>
      </w:r>
      <w:r w:rsidRPr="008F1266" w:rsidR="00173C45">
        <w:t>violation in th</w:t>
      </w:r>
      <w:r w:rsidRPr="008F1266" w:rsidR="00EE52CE">
        <w:t>e</w:t>
      </w:r>
      <w:r w:rsidRPr="008F1266" w:rsidR="00173C45">
        <w:t xml:space="preserve"> case</w:t>
      </w:r>
      <w:r w:rsidRPr="008F1266" w:rsidR="00EE52CE">
        <w:t xml:space="preserve"> before us</w:t>
      </w:r>
      <w:r w:rsidRPr="008F1266" w:rsidR="00173C45">
        <w:t>,</w:t>
      </w:r>
      <w:r w:rsidR="00D8764F">
        <w:t xml:space="preserve"> </w:t>
      </w:r>
      <w:r w:rsidR="00935D6A">
        <w:t xml:space="preserve">we </w:t>
      </w:r>
      <w:r w:rsidR="00FD707C">
        <w:t>underscore</w:t>
      </w:r>
      <w:r w:rsidRPr="008F1266" w:rsidR="00404379">
        <w:t xml:space="preserve"> </w:t>
      </w:r>
      <w:r w:rsidRPr="008F1266" w:rsidR="0044172D">
        <w:t>th</w:t>
      </w:r>
      <w:r w:rsidRPr="008F1266" w:rsidR="00F33A03">
        <w:t xml:space="preserve">e </w:t>
      </w:r>
      <w:r w:rsidR="00DE4D71">
        <w:t xml:space="preserve">vital </w:t>
      </w:r>
      <w:r w:rsidR="001F71FE">
        <w:t xml:space="preserve">role of trial courts in </w:t>
      </w:r>
      <w:r w:rsidRPr="008F1266" w:rsidR="00571358">
        <w:t xml:space="preserve">safeguarding </w:t>
      </w:r>
      <w:r w:rsidRPr="008F1266" w:rsidR="009F1998">
        <w:t xml:space="preserve">the </w:t>
      </w:r>
      <w:r w:rsidR="0066499D">
        <w:t xml:space="preserve">timely trial </w:t>
      </w:r>
      <w:r w:rsidRPr="008F1266" w:rsidR="009F1998">
        <w:t>right of alleged SVPs</w:t>
      </w:r>
      <w:r w:rsidR="00EC15D7">
        <w:t xml:space="preserve">. </w:t>
      </w:r>
      <w:r w:rsidR="00394718">
        <w:t xml:space="preserve"> </w:t>
      </w:r>
      <w:r w:rsidR="00755442">
        <w:t>I</w:t>
      </w:r>
      <w:r w:rsidR="00A569D9">
        <w:t xml:space="preserve">nvoluntary commitment </w:t>
      </w:r>
      <w:r w:rsidR="00B108C9">
        <w:t xml:space="preserve">entails </w:t>
      </w:r>
      <w:r w:rsidR="00A569D9">
        <w:t>“a massive curtailment of liberty</w:t>
      </w:r>
      <w:r w:rsidR="000E1303">
        <w:t>.</w:t>
      </w:r>
      <w:r w:rsidR="00A569D9">
        <w:t>”</w:t>
      </w:r>
      <w:r w:rsidR="000E1303">
        <w:t xml:space="preserve">  </w:t>
      </w:r>
      <w:r w:rsidR="00BE72CB">
        <w:t>(</w:t>
      </w:r>
      <w:r w:rsidR="00BE72CB">
        <w:rPr>
          <w:i/>
          <w:iCs/>
        </w:rPr>
        <w:t>Humphrey v. Cady</w:t>
      </w:r>
      <w:r w:rsidR="00BE72CB">
        <w:t xml:space="preserve"> (1972) 405 U.S. 504, 509</w:t>
      </w:r>
      <w:r w:rsidR="000E1303">
        <w:t xml:space="preserve">.)  </w:t>
      </w:r>
      <w:r w:rsidR="003B3D1E">
        <w:t xml:space="preserve">In </w:t>
      </w:r>
      <w:r w:rsidR="001D50B2">
        <w:t xml:space="preserve">the context of </w:t>
      </w:r>
      <w:r w:rsidR="003B3D1E">
        <w:t>SVP proceedings</w:t>
      </w:r>
      <w:r w:rsidR="00820712">
        <w:t xml:space="preserve">, </w:t>
      </w:r>
      <w:r w:rsidR="00264012">
        <w:t xml:space="preserve">the deprivation </w:t>
      </w:r>
      <w:r w:rsidR="003B3D1E">
        <w:t xml:space="preserve">of liberty </w:t>
      </w:r>
      <w:r w:rsidR="000E1303">
        <w:t xml:space="preserve">begins </w:t>
      </w:r>
      <w:r w:rsidR="003A3177">
        <w:t xml:space="preserve">when </w:t>
      </w:r>
      <w:r w:rsidR="00BE72CB">
        <w:t xml:space="preserve">a court finds probable cause to hold an </w:t>
      </w:r>
      <w:r w:rsidR="00087AF9">
        <w:t xml:space="preserve">alleged SVP in </w:t>
      </w:r>
      <w:r w:rsidR="007E5AF5">
        <w:t xml:space="preserve">state </w:t>
      </w:r>
      <w:r w:rsidR="001848CA">
        <w:t xml:space="preserve">custody </w:t>
      </w:r>
      <w:r w:rsidR="00E60B44">
        <w:t xml:space="preserve">pending </w:t>
      </w:r>
      <w:r w:rsidR="00BE72CB">
        <w:t>trial</w:t>
      </w:r>
      <w:r w:rsidR="0015484E">
        <w:t xml:space="preserve">.  </w:t>
      </w:r>
      <w:r w:rsidR="00BB5472">
        <w:t xml:space="preserve">In making determinations that will affect </w:t>
      </w:r>
      <w:r w:rsidR="00FD2262">
        <w:t>when trial is held</w:t>
      </w:r>
      <w:r w:rsidR="00BB5472">
        <w:t>, t</w:t>
      </w:r>
      <w:r w:rsidR="00F63902">
        <w:t xml:space="preserve">he </w:t>
      </w:r>
      <w:r w:rsidR="00820712">
        <w:t xml:space="preserve">trial </w:t>
      </w:r>
      <w:r w:rsidR="00F63902">
        <w:t xml:space="preserve">court must </w:t>
      </w:r>
      <w:r w:rsidR="00F53099">
        <w:t>take due account</w:t>
      </w:r>
      <w:r w:rsidR="00476506">
        <w:t xml:space="preserve"> of</w:t>
      </w:r>
      <w:r w:rsidR="00F53099">
        <w:t xml:space="preserve"> </w:t>
      </w:r>
      <w:r w:rsidR="005843F7">
        <w:t xml:space="preserve">the </w:t>
      </w:r>
      <w:r w:rsidR="00F63902">
        <w:t xml:space="preserve">individual’s </w:t>
      </w:r>
      <w:r w:rsidR="002F1053">
        <w:t>interests in prompt adjudication</w:t>
      </w:r>
      <w:r w:rsidR="00A10A3E">
        <w:t xml:space="preserve"> </w:t>
      </w:r>
      <w:r w:rsidR="0031594A">
        <w:t>and</w:t>
      </w:r>
      <w:r w:rsidR="0023651D">
        <w:t xml:space="preserve"> </w:t>
      </w:r>
      <w:r w:rsidR="00476506">
        <w:t xml:space="preserve">take decisive steps </w:t>
      </w:r>
      <w:r w:rsidR="00BE5530">
        <w:t xml:space="preserve">to guard </w:t>
      </w:r>
      <w:r w:rsidR="00476506">
        <w:t xml:space="preserve">against </w:t>
      </w:r>
      <w:r w:rsidRPr="008F1266" w:rsidR="00662900">
        <w:rPr>
          <w:bCs/>
          <w:szCs w:val="26"/>
        </w:rPr>
        <w:t>unjustified delay.</w:t>
      </w:r>
    </w:p>
    <w:p w:rsidR="00AE4A2E" w:rsidRPr="008F1266" w:rsidP="00301C3B" w14:paraId="4E93131B" w14:textId="77777777">
      <w:pPr>
        <w:tabs>
          <w:tab w:val="left" w:pos="1440"/>
        </w:tabs>
        <w:jc w:val="center"/>
        <w:rPr>
          <w:b/>
          <w:bCs/>
        </w:rPr>
      </w:pPr>
      <w:r w:rsidRPr="008F1266">
        <w:rPr>
          <w:b/>
          <w:bCs/>
        </w:rPr>
        <w:t>I.</w:t>
      </w:r>
    </w:p>
    <w:p w:rsidR="003F6D9B" w:rsidRPr="008F1266" w:rsidP="00301C3B" w14:paraId="4E93131C" w14:textId="77777777">
      <w:pPr>
        <w:tabs>
          <w:tab w:val="left" w:pos="1440"/>
        </w:tabs>
        <w:jc w:val="center"/>
        <w:rPr>
          <w:b/>
          <w:bCs/>
        </w:rPr>
      </w:pPr>
      <w:r w:rsidRPr="008F1266">
        <w:rPr>
          <w:b/>
          <w:bCs/>
        </w:rPr>
        <w:t>A.</w:t>
      </w:r>
    </w:p>
    <w:p w:rsidR="003B2B9E" w:rsidP="00697CCE" w14:paraId="4E93131D" w14:textId="77777777">
      <w:pPr>
        <w:tabs>
          <w:tab w:val="left" w:pos="1440"/>
        </w:tabs>
        <w:ind w:firstLine="720"/>
      </w:pPr>
      <w:bookmarkStart w:id="3" w:name="_Hlk139551300"/>
      <w:r>
        <w:t>The Legislature first enacted the SVP Act in 1995</w:t>
      </w:r>
      <w:r w:rsidR="00A54A84">
        <w:t xml:space="preserve">, expressing </w:t>
      </w:r>
      <w:r w:rsidR="005D4E39">
        <w:t xml:space="preserve">concerns about </w:t>
      </w:r>
      <w:bookmarkEnd w:id="3"/>
      <w:r w:rsidRPr="008F1266" w:rsidR="009053D8">
        <w:t xml:space="preserve">“a select group of criminal offenders who are extremely dangerous as the result of mental impairment, and who are likely to continue committing acts of sexual violence even after they have been punished </w:t>
      </w:r>
      <w:r w:rsidRPr="008F1266" w:rsidR="00FA46F9">
        <w:t>for such crimes.”  (</w:t>
      </w:r>
      <w:r w:rsidRPr="008F1266" w:rsidR="00FA46F9">
        <w:rPr>
          <w:i/>
          <w:iCs/>
        </w:rPr>
        <w:t>Hubbart v. Superior Court</w:t>
      </w:r>
      <w:r w:rsidRPr="008F1266" w:rsidR="00FA46F9">
        <w:t xml:space="preserve"> (1999) 19 Cal.4th 1138, 1144</w:t>
      </w:r>
      <w:r w:rsidR="00AA38B5">
        <w:t xml:space="preserve"> (</w:t>
      </w:r>
      <w:r w:rsidR="00AA38B5">
        <w:rPr>
          <w:i/>
          <w:iCs/>
        </w:rPr>
        <w:t>Hubbart</w:t>
      </w:r>
      <w:r w:rsidR="00AA38B5">
        <w:t>)</w:t>
      </w:r>
      <w:r w:rsidRPr="008F1266" w:rsidR="00FA46F9">
        <w:t>.)</w:t>
      </w:r>
      <w:r>
        <w:t xml:space="preserve">  </w:t>
      </w:r>
      <w:r w:rsidR="00A54A84">
        <w:t xml:space="preserve">In </w:t>
      </w:r>
      <w:r w:rsidR="001C747D">
        <w:t xml:space="preserve">its findings and declarations for </w:t>
      </w:r>
      <w:r w:rsidR="00A54A84">
        <w:t xml:space="preserve">the </w:t>
      </w:r>
      <w:r w:rsidR="0075174F">
        <w:t xml:space="preserve">SVP </w:t>
      </w:r>
      <w:r w:rsidR="00A54A84">
        <w:t xml:space="preserve">Act, the Legislature </w:t>
      </w:r>
      <w:r w:rsidR="00716CC6">
        <w:t xml:space="preserve">described its </w:t>
      </w:r>
      <w:r w:rsidR="00A54A84">
        <w:t xml:space="preserve">intent </w:t>
      </w:r>
      <w:r>
        <w:t xml:space="preserve">to </w:t>
      </w:r>
      <w:r w:rsidR="00671B29">
        <w:t>“identify these individuals prior to the expiration of their terms of imprisonment” and</w:t>
      </w:r>
      <w:r w:rsidR="00F11046">
        <w:t xml:space="preserve">, if they are “found to be likely to commit acts of sexually violent </w:t>
      </w:r>
      <w:r w:rsidR="00FE15A5">
        <w:t xml:space="preserve">criminal </w:t>
      </w:r>
      <w:r w:rsidR="00F11046">
        <w:t xml:space="preserve">behavior beyond a reasonable doubt,” </w:t>
      </w:r>
      <w:r w:rsidR="00846561">
        <w:t xml:space="preserve">to </w:t>
      </w:r>
      <w:r w:rsidR="00F11046">
        <w:t>ensure that they “be confined and treated until such time that it can be determined that they no longer present a threat to society.”  (</w:t>
      </w:r>
      <w:r w:rsidR="00AA38B5">
        <w:t>Stats. 1995, ch. 763, §</w:t>
      </w:r>
      <w:r w:rsidR="009914EF">
        <w:t> </w:t>
      </w:r>
      <w:r w:rsidR="00AA38B5">
        <w:t>1, p.</w:t>
      </w:r>
      <w:r w:rsidR="009914EF">
        <w:t> </w:t>
      </w:r>
      <w:r w:rsidR="00AA38B5">
        <w:t xml:space="preserve">5921.) </w:t>
      </w:r>
    </w:p>
    <w:p w:rsidR="00A94B48" w:rsidRPr="008F1266" w:rsidP="00697CCE" w14:paraId="4E93131E" w14:textId="77777777">
      <w:pPr>
        <w:tabs>
          <w:tab w:val="left" w:pos="1440"/>
        </w:tabs>
        <w:ind w:firstLine="720"/>
      </w:pPr>
      <w:r>
        <w:t xml:space="preserve">To be committed as an SVP, an individual must meet </w:t>
      </w:r>
      <w:r w:rsidR="00C4055E">
        <w:t xml:space="preserve">the </w:t>
      </w:r>
      <w:r w:rsidR="0075174F">
        <w:t xml:space="preserve">SVP </w:t>
      </w:r>
      <w:r w:rsidR="00C4055E">
        <w:t>Act’s definition of the term “</w:t>
      </w:r>
      <w:r w:rsidR="00FE15A5">
        <w:t> ‘[</w:t>
      </w:r>
      <w:r w:rsidR="00C4055E">
        <w:t>s</w:t>
      </w:r>
      <w:r w:rsidR="00F05140">
        <w:t>]</w:t>
      </w:r>
      <w:r w:rsidR="00C4055E">
        <w:t>exually violent predator</w:t>
      </w:r>
      <w:r w:rsidR="00FE15A5">
        <w:t>’ </w:t>
      </w:r>
      <w:r w:rsidR="00C4055E">
        <w:t>”:</w:t>
      </w:r>
      <w:r w:rsidR="009914EF">
        <w:t xml:space="preserve"> </w:t>
      </w:r>
      <w:r w:rsidR="00C4055E">
        <w:t xml:space="preserve"> “</w:t>
      </w:r>
      <w:r w:rsidR="001C747D">
        <w:t>[A]</w:t>
      </w:r>
      <w:r w:rsidRPr="008F1266">
        <w:t xml:space="preserve"> person who has been convicted of a sexually violent offense against one or more victims and who has a diagnosed mental disorder that makes the person a danger to the health and safety of others in that it is likely that he or she will engage in sexually violent criminal behavior.”  (Welf. &amp; Inst. Code, </w:t>
      </w:r>
      <w:r w:rsidRPr="008F1266" w:rsidR="008005EF">
        <w:t>§ </w:t>
      </w:r>
      <w:r w:rsidRPr="008F1266">
        <w:t>6600, subd. (a)(1)</w:t>
      </w:r>
      <w:r w:rsidR="00AC7FB4">
        <w:t xml:space="preserve">; see </w:t>
      </w:r>
      <w:r w:rsidR="00AC7FB4">
        <w:rPr>
          <w:i/>
          <w:iCs/>
        </w:rPr>
        <w:t>id</w:t>
      </w:r>
      <w:r w:rsidR="00AC7FB4">
        <w:t>., subd. (b) [defining “</w:t>
      </w:r>
      <w:r w:rsidR="00FE15A5">
        <w:t> ‘[</w:t>
      </w:r>
      <w:r w:rsidR="00AC7FB4">
        <w:t>s</w:t>
      </w:r>
      <w:r w:rsidR="00FE15A5">
        <w:t>]</w:t>
      </w:r>
      <w:r w:rsidR="00AC7FB4">
        <w:t>exually violent offense</w:t>
      </w:r>
      <w:r w:rsidR="00FE15A5">
        <w:t>’ </w:t>
      </w:r>
      <w:r w:rsidR="00AC7FB4">
        <w:t>” to include certain enumerated crimes “when committed by force, violence, duress, menace, fear of immediate and unlawful bodily injury on the victim or another person, or threatening to retaliate in the future against the victim or any other person”].</w:t>
      </w:r>
      <w:r w:rsidRPr="008F1266">
        <w:t>)</w:t>
      </w:r>
      <w:r>
        <w:rPr>
          <w:rStyle w:val="FootnoteReference"/>
        </w:rPr>
        <w:footnoteReference w:id="3"/>
      </w:r>
    </w:p>
    <w:p w:rsidR="00D26F88" w:rsidRPr="008F1266" w:rsidP="009A34E3" w14:paraId="4E93131F" w14:textId="77777777">
      <w:pPr>
        <w:tabs>
          <w:tab w:val="left" w:pos="1440"/>
        </w:tabs>
        <w:ind w:firstLine="720"/>
      </w:pPr>
      <w:r>
        <w:t xml:space="preserve">The </w:t>
      </w:r>
      <w:r w:rsidR="00732301">
        <w:t xml:space="preserve">statute sets forth extensive administrative and judicial procedures </w:t>
      </w:r>
      <w:r>
        <w:t xml:space="preserve">for determining whether </w:t>
      </w:r>
      <w:r w:rsidR="00860718">
        <w:t xml:space="preserve">an individual </w:t>
      </w:r>
      <w:r w:rsidR="00C17B82">
        <w:t xml:space="preserve">is properly classified as an </w:t>
      </w:r>
      <w:r w:rsidR="00860718">
        <w:t>SVP</w:t>
      </w:r>
      <w:r w:rsidR="00732301">
        <w:t xml:space="preserve">.  The process </w:t>
      </w:r>
      <w:r w:rsidR="00860718">
        <w:t xml:space="preserve">typically begins while the individual is still serving a prison sentence for a sexually violent </w:t>
      </w:r>
      <w:r w:rsidR="00046524">
        <w:t>offense</w:t>
      </w:r>
      <w:r w:rsidR="00860718">
        <w:t xml:space="preserve">.  </w:t>
      </w:r>
      <w:r w:rsidR="00820712">
        <w:t>At least six months</w:t>
      </w:r>
      <w:r w:rsidRPr="008F1266" w:rsidR="00F46A62">
        <w:t xml:space="preserve"> before the </w:t>
      </w:r>
      <w:r w:rsidRPr="008F1266" w:rsidR="00350F24">
        <w:t xml:space="preserve">individual’s scheduled </w:t>
      </w:r>
      <w:r w:rsidRPr="008F1266" w:rsidR="00F46A62">
        <w:t xml:space="preserve">release date, </w:t>
      </w:r>
      <w:r w:rsidRPr="008F1266">
        <w:t xml:space="preserve">the Department of Corrections and Rehabilitation </w:t>
      </w:r>
      <w:r w:rsidR="00C17B82">
        <w:t>conducts an initial screening</w:t>
      </w:r>
      <w:r w:rsidR="00F530F4">
        <w:t xml:space="preserve"> </w:t>
      </w:r>
      <w:r w:rsidR="00820712">
        <w:t xml:space="preserve">of individuals who have committed a qualifying offense, </w:t>
      </w:r>
      <w:r w:rsidR="00F530F4">
        <w:t>using a standard</w:t>
      </w:r>
      <w:r w:rsidR="00820712">
        <w:t>ized</w:t>
      </w:r>
      <w:r w:rsidR="00F530F4">
        <w:t xml:space="preserve"> </w:t>
      </w:r>
      <w:r w:rsidR="00820712">
        <w:t>screening instrument to review the individual’s “social, criminal, and institutional history</w:t>
      </w:r>
      <w:r w:rsidR="00056846">
        <w:t>.</w:t>
      </w:r>
      <w:r w:rsidR="00820712">
        <w:t>”</w:t>
      </w:r>
      <w:r w:rsidR="00056846">
        <w:t xml:space="preserve">  </w:t>
      </w:r>
      <w:r w:rsidR="00820712">
        <w:t xml:space="preserve">(Welf. &amp; Inst. Code, </w:t>
      </w:r>
      <w:r w:rsidRPr="008F1266" w:rsidR="00820712">
        <w:t>§ 6601</w:t>
      </w:r>
      <w:r w:rsidR="00820712">
        <w:t xml:space="preserve">, subd. (b).)  If the initial screening indicates that the person is likely to be an SVP, the individual is referred </w:t>
      </w:r>
      <w:r w:rsidRPr="008F1266">
        <w:t xml:space="preserve">to the </w:t>
      </w:r>
      <w:r w:rsidR="0075174F">
        <w:t>California</w:t>
      </w:r>
      <w:r w:rsidRPr="008F1266" w:rsidR="0075174F">
        <w:t xml:space="preserve"> </w:t>
      </w:r>
      <w:r w:rsidRPr="008F1266">
        <w:t>Department of State Hospitals</w:t>
      </w:r>
      <w:r w:rsidRPr="008F1266" w:rsidR="00C1237D">
        <w:t xml:space="preserve"> </w:t>
      </w:r>
      <w:r w:rsidR="009A34E3">
        <w:t xml:space="preserve">(Department) </w:t>
      </w:r>
      <w:r w:rsidRPr="008F1266" w:rsidR="00C1237D">
        <w:t xml:space="preserve">for </w:t>
      </w:r>
      <w:r w:rsidR="009A34E3">
        <w:t xml:space="preserve">a full </w:t>
      </w:r>
      <w:r w:rsidRPr="008F1266" w:rsidR="00C1237D">
        <w:t>evaluation</w:t>
      </w:r>
      <w:r w:rsidRPr="008F1266">
        <w:t>.  (</w:t>
      </w:r>
      <w:r w:rsidR="00820712">
        <w:rPr>
          <w:i/>
          <w:iCs/>
        </w:rPr>
        <w:t>Id.</w:t>
      </w:r>
      <w:r w:rsidRPr="008F1266">
        <w:t>, subd</w:t>
      </w:r>
      <w:r w:rsidR="00890612">
        <w:t>s</w:t>
      </w:r>
      <w:r w:rsidRPr="008F1266">
        <w:t>. (a)(1)</w:t>
      </w:r>
      <w:r w:rsidR="00FE15A5">
        <w:t>,</w:t>
      </w:r>
      <w:r w:rsidRPr="008F1266" w:rsidR="00F33AC9">
        <w:t xml:space="preserve"> (2)</w:t>
      </w:r>
      <w:r w:rsidR="00890612">
        <w:t>, (b)</w:t>
      </w:r>
      <w:r w:rsidRPr="008F1266">
        <w:t xml:space="preserve">.)  The </w:t>
      </w:r>
      <w:r w:rsidRPr="008F1266" w:rsidR="006F7369">
        <w:t xml:space="preserve">Department designates two </w:t>
      </w:r>
      <w:r w:rsidRPr="008F1266" w:rsidR="00BB1310">
        <w:t xml:space="preserve">mental health evaluators, who must be </w:t>
      </w:r>
      <w:r w:rsidRPr="008F1266">
        <w:t>practicing psychiatrists or psychologist</w:t>
      </w:r>
      <w:r w:rsidRPr="008F1266" w:rsidR="006F7369">
        <w:t>s</w:t>
      </w:r>
      <w:r w:rsidR="00820712">
        <w:t xml:space="preserve"> and </w:t>
      </w:r>
      <w:r w:rsidR="003C092A">
        <w:t xml:space="preserve">must </w:t>
      </w:r>
      <w:r w:rsidR="00820712">
        <w:t>use the Department’s standardized assessment protocol</w:t>
      </w:r>
      <w:r w:rsidRPr="008F1266">
        <w:t>.  (</w:t>
      </w:r>
      <w:r w:rsidR="00820712">
        <w:rPr>
          <w:i/>
          <w:iCs/>
        </w:rPr>
        <w:t>Id</w:t>
      </w:r>
      <w:r w:rsidR="00820712">
        <w:t>.</w:t>
      </w:r>
      <w:r w:rsidRPr="008F1266">
        <w:t>, subd</w:t>
      </w:r>
      <w:r w:rsidRPr="008F1266" w:rsidR="00F33AC9">
        <w:t>s</w:t>
      </w:r>
      <w:r w:rsidRPr="008F1266">
        <w:t>. (c)</w:t>
      </w:r>
      <w:r w:rsidRPr="008F1266" w:rsidR="00F33AC9">
        <w:t>, (d)</w:t>
      </w:r>
      <w:r w:rsidRPr="008F1266">
        <w:t xml:space="preserve">.)  If both </w:t>
      </w:r>
      <w:r w:rsidRPr="008F1266" w:rsidR="00111CCE">
        <w:t xml:space="preserve">mental health </w:t>
      </w:r>
      <w:r w:rsidRPr="008F1266">
        <w:t xml:space="preserve">evaluators agree the person meets the </w:t>
      </w:r>
      <w:r w:rsidRPr="008F1266" w:rsidR="007F2424">
        <w:t xml:space="preserve">statutory </w:t>
      </w:r>
      <w:r w:rsidRPr="008F1266">
        <w:t>definition of a</w:t>
      </w:r>
      <w:r w:rsidRPr="008F1266" w:rsidR="007F2424">
        <w:t xml:space="preserve">n SVP, </w:t>
      </w:r>
      <w:r w:rsidRPr="008F1266">
        <w:t>then the Director of State Hospitals asks the state to file a petition for commitment.  (</w:t>
      </w:r>
      <w:r w:rsidRPr="008F1266">
        <w:rPr>
          <w:i/>
          <w:iCs/>
        </w:rPr>
        <w:t>Id</w:t>
      </w:r>
      <w:r w:rsidRPr="008F1266">
        <w:t xml:space="preserve">., subd. (d).)  If the evaluators reach different </w:t>
      </w:r>
      <w:r w:rsidR="00F15F31">
        <w:t>conclusions</w:t>
      </w:r>
      <w:r w:rsidRPr="008F1266">
        <w:t>, then two new evaluations are performed by independent mental health professionals.  (</w:t>
      </w:r>
      <w:r w:rsidRPr="008F1266">
        <w:rPr>
          <w:i/>
          <w:iCs/>
        </w:rPr>
        <w:t>Id</w:t>
      </w:r>
      <w:r w:rsidRPr="008F1266">
        <w:t>., subd. (e).)  A petition for commitment may be filed only if the two new evaluators concur that the person meets the criteria for commitment.  (</w:t>
      </w:r>
      <w:r w:rsidRPr="008F1266">
        <w:rPr>
          <w:i/>
          <w:iCs/>
        </w:rPr>
        <w:t>Id</w:t>
      </w:r>
      <w:r w:rsidRPr="008F1266">
        <w:t xml:space="preserve">., subd. (f).) </w:t>
      </w:r>
    </w:p>
    <w:p w:rsidR="004A6936" w:rsidRPr="008F1266" w:rsidP="00B94636" w14:paraId="4E931320" w14:textId="77777777">
      <w:pPr>
        <w:tabs>
          <w:tab w:val="left" w:pos="1440"/>
        </w:tabs>
        <w:ind w:firstLine="720"/>
      </w:pPr>
      <w:r w:rsidRPr="008F1266">
        <w:t>Once the Director of State Hospitals has forwarded the</w:t>
      </w:r>
      <w:r w:rsidRPr="008F1266" w:rsidR="00FB582B">
        <w:t xml:space="preserve"> evaluat</w:t>
      </w:r>
      <w:r w:rsidRPr="008F1266" w:rsidR="0055782F">
        <w:t>ors’</w:t>
      </w:r>
      <w:r w:rsidRPr="008F1266">
        <w:t xml:space="preserve"> reports to the appropriate district attorney, the district attorney may</w:t>
      </w:r>
      <w:r w:rsidRPr="008F1266" w:rsidR="008005EF">
        <w:t> </w:t>
      </w:r>
      <w:r w:rsidRPr="008F1266">
        <w:t>file a petition for commitment.  (Welf. &amp; Inst. Code</w:t>
      </w:r>
      <w:r w:rsidRPr="008F1266" w:rsidR="006E0044">
        <w:t xml:space="preserve">, </w:t>
      </w:r>
      <w:r w:rsidRPr="008F1266">
        <w:t>§</w:t>
      </w:r>
      <w:r w:rsidRPr="008F1266" w:rsidR="008005EF">
        <w:t> </w:t>
      </w:r>
      <w:r w:rsidRPr="008F1266">
        <w:t xml:space="preserve">6601, subd. </w:t>
      </w:r>
      <w:r w:rsidR="0079029B">
        <w:t>(h)</w:t>
      </w:r>
      <w:r w:rsidRPr="008F1266">
        <w:t>(</w:t>
      </w:r>
      <w:r w:rsidR="0079029B">
        <w:t>1</w:t>
      </w:r>
      <w:r w:rsidRPr="008F1266">
        <w:t xml:space="preserve">).)  </w:t>
      </w:r>
      <w:r w:rsidR="00056846">
        <w:t>T</w:t>
      </w:r>
      <w:r w:rsidR="00104874">
        <w:t>he</w:t>
      </w:r>
      <w:r w:rsidRPr="008F1266">
        <w:t xml:space="preserve"> trial court </w:t>
      </w:r>
      <w:r w:rsidR="00056846">
        <w:t xml:space="preserve">then reviews </w:t>
      </w:r>
      <w:r w:rsidRPr="008F1266">
        <w:t xml:space="preserve">the petition </w:t>
      </w:r>
      <w:r w:rsidR="00056846">
        <w:t xml:space="preserve">to determine whether it </w:t>
      </w:r>
      <w:r w:rsidRPr="008F1266">
        <w:t>“contains sufficient facts that, if true, would constitute probable cause” that the person meets the definition of a</w:t>
      </w:r>
      <w:r w:rsidRPr="008F1266" w:rsidR="0035490D">
        <w:t>n</w:t>
      </w:r>
      <w:r w:rsidRPr="008F1266">
        <w:t xml:space="preserve"> </w:t>
      </w:r>
      <w:r w:rsidRPr="008F1266" w:rsidR="0035490D">
        <w:t>SVP</w:t>
      </w:r>
      <w:r w:rsidRPr="008F1266">
        <w:t>.  (</w:t>
      </w:r>
      <w:r w:rsidRPr="008F1266">
        <w:rPr>
          <w:i/>
          <w:iCs/>
        </w:rPr>
        <w:t>Id</w:t>
      </w:r>
      <w:r w:rsidRPr="008F1266">
        <w:t>., §</w:t>
      </w:r>
      <w:r w:rsidRPr="008F1266" w:rsidR="008005EF">
        <w:t> </w:t>
      </w:r>
      <w:r w:rsidRPr="008F1266">
        <w:t xml:space="preserve">6601.5.)  </w:t>
      </w:r>
      <w:r w:rsidR="00B94636">
        <w:t xml:space="preserve">If the court answers that question in the affirmative, </w:t>
      </w:r>
      <w:r w:rsidR="00B522B5">
        <w:t xml:space="preserve">the court </w:t>
      </w:r>
      <w:r w:rsidR="00B94636">
        <w:t xml:space="preserve">then must hold a probable cause hearing within 10 days, absent good cause for extending </w:t>
      </w:r>
      <w:r w:rsidR="00B522B5">
        <w:t xml:space="preserve">the </w:t>
      </w:r>
      <w:r w:rsidR="00B94636">
        <w:t xml:space="preserve">time period.  </w:t>
      </w:r>
      <w:r w:rsidRPr="008F1266" w:rsidR="00B94636">
        <w:t>(</w:t>
      </w:r>
      <w:r w:rsidRPr="008F1266" w:rsidR="00B94636">
        <w:rPr>
          <w:i/>
          <w:iCs/>
        </w:rPr>
        <w:t>Id</w:t>
      </w:r>
      <w:r w:rsidRPr="008F1266" w:rsidR="00B94636">
        <w:t>., §§ 6601.5, 6602, subd. (b).)</w:t>
      </w:r>
      <w:r w:rsidR="00B94636">
        <w:t xml:space="preserve">  In the meantime, the person must be detained in a secure facility.  (</w:t>
      </w:r>
      <w:r w:rsidR="00B94636">
        <w:rPr>
          <w:i/>
          <w:iCs/>
        </w:rPr>
        <w:t>Id.</w:t>
      </w:r>
      <w:r w:rsidR="00B94636">
        <w:t>, §</w:t>
      </w:r>
      <w:r w:rsidR="009914EF">
        <w:t> </w:t>
      </w:r>
      <w:r w:rsidR="00B94636">
        <w:t>6601.5.)</w:t>
      </w:r>
      <w:r w:rsidRPr="008F1266">
        <w:t xml:space="preserve"> </w:t>
      </w:r>
      <w:r w:rsidR="003C092A">
        <w:t xml:space="preserve"> </w:t>
      </w:r>
      <w:r w:rsidRPr="008F1266">
        <w:t>If</w:t>
      </w:r>
      <w:r w:rsidRPr="008F1266" w:rsidR="00474EFA">
        <w:t>, after a hearing,</w:t>
      </w:r>
      <w:r w:rsidRPr="008F1266">
        <w:t xml:space="preserve"> the court finds probable cause to believe the individual is an SVP, the person is detained at the state hospital </w:t>
      </w:r>
      <w:r w:rsidR="00685836">
        <w:t xml:space="preserve">pending </w:t>
      </w:r>
      <w:r w:rsidRPr="008F1266">
        <w:t>trial.  (</w:t>
      </w:r>
      <w:r w:rsidRPr="008F1266" w:rsidR="008005EF">
        <w:rPr>
          <w:i/>
          <w:iCs/>
        </w:rPr>
        <w:t>Id.</w:t>
      </w:r>
      <w:r w:rsidRPr="008F1266" w:rsidR="008005EF">
        <w:t>,</w:t>
      </w:r>
      <w:r w:rsidRPr="008F1266">
        <w:t xml:space="preserve"> §</w:t>
      </w:r>
      <w:r w:rsidRPr="008F1266" w:rsidR="008005EF">
        <w:t> </w:t>
      </w:r>
      <w:r w:rsidRPr="008F1266">
        <w:t>6602.5, subd. (a).)</w:t>
      </w:r>
    </w:p>
    <w:p w:rsidR="00D26F88" w:rsidRPr="008F1266" w:rsidP="00FE15A5" w14:paraId="4E931321" w14:textId="77777777">
      <w:pPr>
        <w:tabs>
          <w:tab w:val="left" w:pos="1440"/>
        </w:tabs>
        <w:ind w:firstLine="720"/>
      </w:pPr>
      <w:r>
        <w:t xml:space="preserve">The statute </w:t>
      </w:r>
      <w:r w:rsidR="001C747D">
        <w:t xml:space="preserve">does not </w:t>
      </w:r>
      <w:r>
        <w:t>specif</w:t>
      </w:r>
      <w:r w:rsidR="001C747D">
        <w:t>y</w:t>
      </w:r>
      <w:r>
        <w:t xml:space="preserve"> </w:t>
      </w:r>
      <w:r w:rsidR="001C747D">
        <w:t>a</w:t>
      </w:r>
      <w:r>
        <w:t xml:space="preserve"> fixed deadline by which trial must occur.  It does, however, lay out a number of procedural protections for the conduct of trial</w:t>
      </w:r>
      <w:r w:rsidR="007A493A">
        <w:t>, including the right to a jury</w:t>
      </w:r>
      <w:r w:rsidR="00F15F31">
        <w:t xml:space="preserve"> and</w:t>
      </w:r>
      <w:r w:rsidR="007A493A">
        <w:t xml:space="preserve"> to the assistance of counsel and relevant experts.  </w:t>
      </w:r>
      <w:r w:rsidRPr="008F1266" w:rsidR="007A493A">
        <w:t>(Welf. &amp; Inst. Code, § 6603, subd. (a).)</w:t>
      </w:r>
      <w:r w:rsidR="007A493A">
        <w:t xml:space="preserve">  </w:t>
      </w:r>
      <w:r w:rsidR="00F15F31">
        <w:t>At trial, t</w:t>
      </w:r>
      <w:r w:rsidR="007A493A">
        <w:t>he state bears the burden of proving beyond a reasonable doubt that the person is an SVP.</w:t>
      </w:r>
      <w:r w:rsidRPr="008F1266">
        <w:t xml:space="preserve"> </w:t>
      </w:r>
      <w:r w:rsidR="00DA16C4">
        <w:t xml:space="preserve"> </w:t>
      </w:r>
      <w:r w:rsidRPr="008F1266">
        <w:t>(</w:t>
      </w:r>
      <w:r w:rsidR="007A493A">
        <w:rPr>
          <w:i/>
          <w:iCs/>
        </w:rPr>
        <w:t>Id.</w:t>
      </w:r>
      <w:r w:rsidRPr="008F1266" w:rsidR="008005EF">
        <w:t>,</w:t>
      </w:r>
      <w:r w:rsidRPr="008F1266" w:rsidR="0035490D">
        <w:t xml:space="preserve"> </w:t>
      </w:r>
      <w:r w:rsidRPr="008F1266">
        <w:t>§</w:t>
      </w:r>
      <w:r w:rsidRPr="008F1266" w:rsidR="008005EF">
        <w:t> </w:t>
      </w:r>
      <w:r w:rsidRPr="008F1266">
        <w:t xml:space="preserve">6604.)  </w:t>
      </w:r>
      <w:r w:rsidR="007A493A">
        <w:t>Specifically, t</w:t>
      </w:r>
      <w:r w:rsidRPr="008F1266">
        <w:t xml:space="preserve">he state must prove </w:t>
      </w:r>
      <w:r w:rsidRPr="008F1266" w:rsidR="0035490D">
        <w:t xml:space="preserve">four </w:t>
      </w:r>
      <w:r w:rsidRPr="008F1266" w:rsidR="00D828F5">
        <w:t>conditions are met</w:t>
      </w:r>
      <w:r w:rsidRPr="008F1266">
        <w:t xml:space="preserve">: </w:t>
      </w:r>
      <w:r w:rsidRPr="008F1266" w:rsidR="008005EF">
        <w:t xml:space="preserve"> </w:t>
      </w:r>
      <w:r w:rsidRPr="008F1266" w:rsidR="0035490D">
        <w:t xml:space="preserve">“(1) </w:t>
      </w:r>
      <w:r w:rsidRPr="008F1266">
        <w:t>the person</w:t>
      </w:r>
      <w:r w:rsidRPr="008F1266" w:rsidR="0035490D">
        <w:t xml:space="preserve"> has previously been convicted of at least one qualifying ‘sexually violent offense’ </w:t>
      </w:r>
      <w:r w:rsidRPr="008F1266" w:rsidR="00F33AC9">
        <w:t xml:space="preserve">listed in </w:t>
      </w:r>
      <w:r w:rsidR="003C092A">
        <w:t xml:space="preserve">[Welfare and Institutions Code] </w:t>
      </w:r>
      <w:r w:rsidRPr="008F1266" w:rsidR="0006206C">
        <w:t>s</w:t>
      </w:r>
      <w:r w:rsidRPr="008F1266" w:rsidR="00F33AC9">
        <w:t xml:space="preserve">ection 6600, subdivision (b) </w:t>
      </w:r>
      <w:r w:rsidRPr="008F1266" w:rsidR="0035490D">
        <w:t xml:space="preserve">[citation]; (2) the person has ‘a diagnosed mental disorder that makes the person a danger to the health and safety of others’ [citation]; (3) the </w:t>
      </w:r>
      <w:r w:rsidRPr="008F1266" w:rsidR="00F33AC9">
        <w:t xml:space="preserve">mental </w:t>
      </w:r>
      <w:r w:rsidRPr="008F1266" w:rsidR="0035490D">
        <w:t>disorder makes it likely the person will engage in future acts of sexually violent criminal behavior if released from custody [citation]; and (4) those acts will be predatory in nature.”  (</w:t>
      </w:r>
      <w:r w:rsidRPr="008F1266" w:rsidR="0035490D">
        <w:rPr>
          <w:i/>
          <w:iCs/>
        </w:rPr>
        <w:t>Walker</w:t>
      </w:r>
      <w:r w:rsidR="00FE15A5">
        <w:rPr>
          <w:i/>
          <w:iCs/>
        </w:rPr>
        <w:t xml:space="preserve"> v. Superior Court </w:t>
      </w:r>
      <w:r w:rsidR="00FE15A5">
        <w:t>(2021) 12 Cal.5th 177</w:t>
      </w:r>
      <w:r w:rsidRPr="008F1266" w:rsidR="0035490D">
        <w:t>,</w:t>
      </w:r>
      <w:r w:rsidR="00FE15A5">
        <w:t xml:space="preserve"> </w:t>
      </w:r>
      <w:r w:rsidRPr="008F1266" w:rsidR="0035490D">
        <w:t>190</w:t>
      </w:r>
      <w:r w:rsidR="00FE15A5">
        <w:t xml:space="preserve"> (</w:t>
      </w:r>
      <w:r w:rsidRPr="00FE15A5" w:rsidR="00FE15A5">
        <w:rPr>
          <w:i/>
          <w:iCs/>
        </w:rPr>
        <w:t>Walker</w:t>
      </w:r>
      <w:r w:rsidR="00FE15A5">
        <w:t>)</w:t>
      </w:r>
      <w:r w:rsidRPr="008F1266" w:rsidR="0035490D">
        <w:t>.)</w:t>
      </w:r>
      <w:r w:rsidRPr="008F1266" w:rsidR="006C7B0D">
        <w:t xml:space="preserve">  </w:t>
      </w:r>
      <w:r w:rsidR="00F15F31">
        <w:t xml:space="preserve">The state must prove </w:t>
      </w:r>
      <w:r w:rsidRPr="008F1266" w:rsidR="00953D54">
        <w:t xml:space="preserve">these conditions </w:t>
      </w:r>
      <w:r w:rsidR="00F15F31">
        <w:t xml:space="preserve">exist at </w:t>
      </w:r>
      <w:r w:rsidRPr="008F1266" w:rsidR="00953D54">
        <w:t xml:space="preserve">the time of trial:  </w:t>
      </w:r>
      <w:r w:rsidR="003121B0">
        <w:t xml:space="preserve">A person is subject to SVP commitment only if the person is </w:t>
      </w:r>
      <w:r w:rsidRPr="008F1266" w:rsidR="00953D54">
        <w:t xml:space="preserve">found to have a current diagnosed </w:t>
      </w:r>
      <w:r w:rsidRPr="008F1266" w:rsidR="00F33AC9">
        <w:t>mental</w:t>
      </w:r>
      <w:r w:rsidRPr="008F1266" w:rsidR="00953D54">
        <w:t xml:space="preserve"> disorder </w:t>
      </w:r>
      <w:r w:rsidR="003121B0">
        <w:t xml:space="preserve">and to pose </w:t>
      </w:r>
      <w:r w:rsidRPr="008F1266" w:rsidR="00953D54">
        <w:t>a current risk to public safety</w:t>
      </w:r>
      <w:r w:rsidRPr="008F1266" w:rsidR="005C165E">
        <w:t>.  (</w:t>
      </w:r>
      <w:r w:rsidRPr="008F1266" w:rsidR="00034C4C">
        <w:rPr>
          <w:i/>
          <w:iCs/>
        </w:rPr>
        <w:t>Hubbart</w:t>
      </w:r>
      <w:r w:rsidRPr="008F1266" w:rsidR="00034C4C">
        <w:t xml:space="preserve">, </w:t>
      </w:r>
      <w:r w:rsidRPr="008F1266" w:rsidR="00034C4C">
        <w:rPr>
          <w:i/>
          <w:iCs/>
        </w:rPr>
        <w:t>supra</w:t>
      </w:r>
      <w:r w:rsidRPr="008F1266" w:rsidR="00034C4C">
        <w:t>, 19 Cal.4th at p.</w:t>
      </w:r>
      <w:r w:rsidRPr="008F1266" w:rsidR="008005EF">
        <w:t> </w:t>
      </w:r>
      <w:r w:rsidRPr="008F1266" w:rsidR="00266178">
        <w:t>1162.)</w:t>
      </w:r>
    </w:p>
    <w:p w:rsidR="00F45A93" w:rsidP="00F45A93" w14:paraId="4E931322" w14:textId="77777777">
      <w:pPr>
        <w:tabs>
          <w:tab w:val="left" w:pos="720"/>
        </w:tabs>
      </w:pPr>
      <w:r>
        <w:tab/>
      </w:r>
      <w:r w:rsidRPr="008F1266" w:rsidR="00395686">
        <w:t>If</w:t>
      </w:r>
      <w:r w:rsidRPr="008F1266" w:rsidR="007E438E">
        <w:t xml:space="preserve"> </w:t>
      </w:r>
      <w:r w:rsidRPr="008F1266" w:rsidR="00395686">
        <w:t xml:space="preserve">the individual is found </w:t>
      </w:r>
      <w:r w:rsidRPr="008F1266" w:rsidR="007E438E">
        <w:t xml:space="preserve">at trial </w:t>
      </w:r>
      <w:r w:rsidRPr="008F1266" w:rsidR="00395686">
        <w:t xml:space="preserve">to be an SVP, the court </w:t>
      </w:r>
      <w:r w:rsidR="00F9086D">
        <w:t xml:space="preserve">then </w:t>
      </w:r>
      <w:r w:rsidRPr="008F1266" w:rsidR="00395686">
        <w:t xml:space="preserve">issues an order of commitment. </w:t>
      </w:r>
      <w:r w:rsidR="003A194B">
        <w:t xml:space="preserve"> </w:t>
      </w:r>
      <w:r w:rsidRPr="008F1266" w:rsidR="00395686">
        <w:t>(</w:t>
      </w:r>
      <w:r w:rsidRPr="008F1266" w:rsidR="000D70B5">
        <w:t>Welf. &amp; Inst. Code, §</w:t>
      </w:r>
      <w:r w:rsidRPr="008F1266" w:rsidR="008005EF">
        <w:t> </w:t>
      </w:r>
      <w:r w:rsidRPr="008F1266" w:rsidR="000D70B5">
        <w:t>6604</w:t>
      </w:r>
      <w:r w:rsidRPr="008F1266" w:rsidR="0088520A">
        <w:t xml:space="preserve">; </w:t>
      </w:r>
      <w:r w:rsidRPr="008F1266" w:rsidR="008005EF">
        <w:rPr>
          <w:i/>
          <w:iCs/>
        </w:rPr>
        <w:t>i</w:t>
      </w:r>
      <w:r w:rsidRPr="008F1266" w:rsidR="0088520A">
        <w:rPr>
          <w:i/>
          <w:iCs/>
        </w:rPr>
        <w:t>d</w:t>
      </w:r>
      <w:r w:rsidRPr="008F1266" w:rsidR="0088520A">
        <w:t>., §</w:t>
      </w:r>
      <w:r w:rsidRPr="008F1266" w:rsidR="008005EF">
        <w:t> </w:t>
      </w:r>
      <w:r w:rsidRPr="008F1266" w:rsidR="0088520A">
        <w:t>6604.1, subd. (a)</w:t>
      </w:r>
      <w:r w:rsidRPr="008F1266" w:rsidR="00395686">
        <w:t xml:space="preserve">.)  </w:t>
      </w:r>
      <w:r w:rsidRPr="008F1266" w:rsidR="00332505">
        <w:t xml:space="preserve">As initially enacted, the SVP Act provided for </w:t>
      </w:r>
      <w:r w:rsidRPr="008F1266" w:rsidR="00DC7562">
        <w:t xml:space="preserve">renewable </w:t>
      </w:r>
      <w:r w:rsidRPr="008F1266" w:rsidR="00332505">
        <w:t xml:space="preserve">two-year </w:t>
      </w:r>
      <w:r w:rsidRPr="008F1266" w:rsidR="00963036">
        <w:t xml:space="preserve">commitment </w:t>
      </w:r>
      <w:r w:rsidRPr="008F1266" w:rsidR="00332505">
        <w:t xml:space="preserve">terms.  </w:t>
      </w:r>
      <w:r w:rsidRPr="008F1266" w:rsidR="006143BE">
        <w:t>(</w:t>
      </w:r>
      <w:r w:rsidRPr="008F1266" w:rsidR="006143BE">
        <w:rPr>
          <w:i/>
          <w:iCs/>
        </w:rPr>
        <w:t>People v. McKee</w:t>
      </w:r>
      <w:r w:rsidRPr="008F1266" w:rsidR="006143BE">
        <w:t xml:space="preserve"> (2010) 47 Cal.4th 1172, 1183</w:t>
      </w:r>
      <w:r w:rsidRPr="008F1266" w:rsidR="00271608">
        <w:t xml:space="preserve"> (</w:t>
      </w:r>
      <w:r w:rsidRPr="008F1266" w:rsidR="00271608">
        <w:rPr>
          <w:i/>
          <w:iCs/>
        </w:rPr>
        <w:t>McKee</w:t>
      </w:r>
      <w:r w:rsidRPr="008F1266" w:rsidR="00271608">
        <w:t>)</w:t>
      </w:r>
      <w:r w:rsidRPr="008F1266" w:rsidR="008C01DB">
        <w:t xml:space="preserve">, citing former </w:t>
      </w:r>
      <w:r w:rsidRPr="008F1266" w:rsidR="00271608">
        <w:t>Welf. &amp; Inst. Code</w:t>
      </w:r>
      <w:r w:rsidRPr="008F1266" w:rsidR="008005EF">
        <w:t>,</w:t>
      </w:r>
      <w:r w:rsidRPr="008F1266" w:rsidR="00271608">
        <w:t xml:space="preserve"> §</w:t>
      </w:r>
      <w:r w:rsidRPr="008F1266" w:rsidR="008005EF">
        <w:t> </w:t>
      </w:r>
      <w:r w:rsidRPr="008F1266" w:rsidR="00271608">
        <w:t>6604</w:t>
      </w:r>
      <w:r w:rsidRPr="008F1266" w:rsidR="006143BE">
        <w:t>.)  In 2006, however, voters passed Proposition 83 (Gen. Elec.</w:t>
      </w:r>
      <w:r w:rsidR="00B95C9C">
        <w:t>,</w:t>
      </w:r>
      <w:r w:rsidRPr="008F1266" w:rsidR="006143BE">
        <w:t xml:space="preserve"> Nov. 7, 2006</w:t>
      </w:r>
      <w:r w:rsidRPr="008F1266" w:rsidR="008D6329">
        <w:t>)</w:t>
      </w:r>
      <w:r w:rsidRPr="008F1266" w:rsidR="006143BE">
        <w:t xml:space="preserve">, which replaced </w:t>
      </w:r>
      <w:r w:rsidRPr="008F1266" w:rsidR="00A74F37">
        <w:t xml:space="preserve">these </w:t>
      </w:r>
      <w:r w:rsidRPr="008F1266" w:rsidR="00271608">
        <w:t xml:space="preserve">renewable </w:t>
      </w:r>
      <w:r w:rsidRPr="008F1266" w:rsidR="006143BE">
        <w:t xml:space="preserve">two-year terms with </w:t>
      </w:r>
      <w:bookmarkStart w:id="4" w:name="_Hlk129690617"/>
      <w:r w:rsidRPr="008F1266" w:rsidR="006143BE">
        <w:t xml:space="preserve">an indefinite commitment from which the individual can be released if </w:t>
      </w:r>
      <w:r w:rsidR="008C3FD3">
        <w:t xml:space="preserve">it is shown that </w:t>
      </w:r>
      <w:r w:rsidR="003E2E9D">
        <w:t>the individual no longer qualifies as an SVP.</w:t>
      </w:r>
      <w:r w:rsidR="007327BF">
        <w:t xml:space="preserve"> </w:t>
      </w:r>
      <w:r w:rsidR="00DA16C4">
        <w:t xml:space="preserve"> </w:t>
      </w:r>
      <w:r w:rsidRPr="008F1266" w:rsidR="006143BE">
        <w:t>(</w:t>
      </w:r>
      <w:r w:rsidR="003E2E9D">
        <w:t xml:space="preserve">See </w:t>
      </w:r>
      <w:r w:rsidRPr="008F1266" w:rsidR="00271608">
        <w:rPr>
          <w:i/>
          <w:iCs/>
        </w:rPr>
        <w:t>McKee</w:t>
      </w:r>
      <w:r w:rsidRPr="008F1266" w:rsidR="00271608">
        <w:t xml:space="preserve">, </w:t>
      </w:r>
      <w:r w:rsidRPr="008F1266" w:rsidR="006143BE">
        <w:t>at p.</w:t>
      </w:r>
      <w:r w:rsidRPr="008F1266" w:rsidR="008005EF">
        <w:t> </w:t>
      </w:r>
      <w:r w:rsidRPr="008F1266" w:rsidR="006143BE">
        <w:t>118</w:t>
      </w:r>
      <w:r w:rsidRPr="008F1266" w:rsidR="00F33AC9">
        <w:t>4</w:t>
      </w:r>
      <w:bookmarkEnd w:id="4"/>
      <w:r w:rsidRPr="008F1266" w:rsidR="006143BE">
        <w:t xml:space="preserve">; see </w:t>
      </w:r>
      <w:r w:rsidR="00E31683">
        <w:t xml:space="preserve">also </w:t>
      </w:r>
      <w:r w:rsidRPr="008F1266" w:rsidR="00A76446">
        <w:t>W</w:t>
      </w:r>
      <w:r w:rsidRPr="008F1266" w:rsidR="00D26F88">
        <w:t>elf. &amp; Inst. Code</w:t>
      </w:r>
      <w:r w:rsidRPr="008F1266" w:rsidR="009E739F">
        <w:t>,</w:t>
      </w:r>
      <w:r w:rsidRPr="008F1266" w:rsidR="00D26F88">
        <w:t xml:space="preserve"> §</w:t>
      </w:r>
      <w:r w:rsidRPr="008F1266" w:rsidR="008005EF">
        <w:t> </w:t>
      </w:r>
      <w:r w:rsidRPr="008F1266" w:rsidR="00D26F88">
        <w:t>6604.1, subd. (a)</w:t>
      </w:r>
      <w:r w:rsidRPr="008F1266" w:rsidR="006143BE">
        <w:t>.)</w:t>
      </w:r>
      <w:r>
        <w:t xml:space="preserve">  </w:t>
      </w:r>
      <w:r w:rsidR="00E40635">
        <w:t>Under this system, a</w:t>
      </w:r>
      <w:r w:rsidR="00857898">
        <w:t xml:space="preserve"> person who is committed as an SVP must be reexamined annually </w:t>
      </w:r>
      <w:r w:rsidR="0044790B">
        <w:t xml:space="preserve">by a qualified mental health professional </w:t>
      </w:r>
      <w:r w:rsidR="00857898">
        <w:t xml:space="preserve">to determine whether commitment is still appropriate.  </w:t>
      </w:r>
      <w:r w:rsidRPr="008F1266" w:rsidR="00D26F88">
        <w:t>(</w:t>
      </w:r>
      <w:r w:rsidR="0044790B">
        <w:t>Welf. &amp; Inst. Code</w:t>
      </w:r>
      <w:r w:rsidRPr="008F1266" w:rsidR="00D26F88">
        <w:t>, §</w:t>
      </w:r>
      <w:r w:rsidRPr="008F1266" w:rsidR="008005EF">
        <w:t> </w:t>
      </w:r>
      <w:r w:rsidRPr="008F1266" w:rsidR="00D26F88">
        <w:t>6604.9, subd</w:t>
      </w:r>
      <w:r w:rsidRPr="008F1266" w:rsidR="002035A4">
        <w:t>s</w:t>
      </w:r>
      <w:r w:rsidRPr="008F1266" w:rsidR="00D26F88">
        <w:t xml:space="preserve">. (a), </w:t>
      </w:r>
      <w:r w:rsidRPr="008F1266" w:rsidR="002035A4">
        <w:t xml:space="preserve">(b), </w:t>
      </w:r>
      <w:r w:rsidRPr="008F1266" w:rsidR="00D26F88">
        <w:t>added by Stats. 2013, ch. 182, § 1</w:t>
      </w:r>
      <w:r w:rsidRPr="008F1266" w:rsidR="00F33AC9">
        <w:t>, p. 2256</w:t>
      </w:r>
      <w:r w:rsidRPr="008F1266" w:rsidR="00D26F88">
        <w:t xml:space="preserve">.) </w:t>
      </w:r>
      <w:r w:rsidR="0044790B">
        <w:t xml:space="preserve"> Depending on the results of the evaluation, the report may recommend unconditional discharge, conditional release</w:t>
      </w:r>
      <w:r w:rsidR="00950783">
        <w:t xml:space="preserve"> with outpatient supervision and treatment in the community</w:t>
      </w:r>
      <w:r w:rsidR="0044790B">
        <w:t>, or continued commitment</w:t>
      </w:r>
      <w:r w:rsidR="00950783">
        <w:t xml:space="preserve"> at the state hospital</w:t>
      </w:r>
      <w:r w:rsidR="0044790B">
        <w:t>.</w:t>
      </w:r>
      <w:r>
        <w:t xml:space="preserve">  The person then may file a petition for release and, depending on the circumstances, may be entitled to a hearing</w:t>
      </w:r>
      <w:r w:rsidR="006F0894">
        <w:t xml:space="preserve"> at which the</w:t>
      </w:r>
      <w:r w:rsidR="00DE3654">
        <w:t xml:space="preserve"> person has a </w:t>
      </w:r>
      <w:r w:rsidR="006F0894">
        <w:t xml:space="preserve">right to </w:t>
      </w:r>
      <w:r>
        <w:t>appointed counsel and experts.  (</w:t>
      </w:r>
      <w:r w:rsidR="00FE15A5">
        <w:t>Welf. &amp; Inst. Code</w:t>
      </w:r>
      <w:r>
        <w:t xml:space="preserve">, </w:t>
      </w:r>
      <w:r w:rsidRPr="008F1266" w:rsidR="003C092A">
        <w:t>§</w:t>
      </w:r>
      <w:r w:rsidR="009914EF">
        <w:t> </w:t>
      </w:r>
      <w:r w:rsidR="003C092A">
        <w:t xml:space="preserve">6605, subd. </w:t>
      </w:r>
      <w:r w:rsidR="00F74EB2">
        <w:t>(a)</w:t>
      </w:r>
      <w:r w:rsidR="003C092A">
        <w:t xml:space="preserve">(3); </w:t>
      </w:r>
      <w:r w:rsidRPr="00316B33" w:rsidR="00316B33">
        <w:rPr>
          <w:i/>
          <w:iCs/>
        </w:rPr>
        <w:t>id.</w:t>
      </w:r>
      <w:r w:rsidR="00316B33">
        <w:t xml:space="preserve">, </w:t>
      </w:r>
      <w:r w:rsidRPr="008F1266" w:rsidR="003C092A">
        <w:t>§</w:t>
      </w:r>
      <w:r w:rsidR="009914EF">
        <w:t> </w:t>
      </w:r>
      <w:r w:rsidR="003C092A">
        <w:t>6608, subds. (a), (g)</w:t>
      </w:r>
      <w:r>
        <w:t xml:space="preserve">.)  </w:t>
      </w:r>
    </w:p>
    <w:p w:rsidR="0044790B" w:rsidP="005717E0" w14:paraId="4E931323" w14:textId="77777777">
      <w:pPr>
        <w:tabs>
          <w:tab w:val="left" w:pos="720"/>
        </w:tabs>
      </w:pPr>
      <w:r>
        <w:tab/>
      </w:r>
      <w:r w:rsidR="00E40635">
        <w:t xml:space="preserve">If the annual report concludes the person is no longer an SVP, the </w:t>
      </w:r>
      <w:r w:rsidR="003C092A">
        <w:t xml:space="preserve">Director of State Hospitals must authorize the committed </w:t>
      </w:r>
      <w:r w:rsidR="00E40635">
        <w:t xml:space="preserve">person </w:t>
      </w:r>
      <w:r w:rsidR="003C092A">
        <w:t xml:space="preserve">to </w:t>
      </w:r>
      <w:r>
        <w:t xml:space="preserve">petition for unconditional discharge.  (Welf. &amp; Inst. Code, </w:t>
      </w:r>
      <w:r w:rsidRPr="008F1266">
        <w:t>§ 6604.9</w:t>
      </w:r>
      <w:r>
        <w:t xml:space="preserve">, subd. (d).)  </w:t>
      </w:r>
      <w:r w:rsidR="005717E0">
        <w:t xml:space="preserve">After making an initial probable cause determination </w:t>
      </w:r>
      <w:r w:rsidR="007A3BA1">
        <w:t>on the petition</w:t>
      </w:r>
      <w:r w:rsidR="005717E0">
        <w:t xml:space="preserve">, the court </w:t>
      </w:r>
      <w:r w:rsidRPr="008F1266">
        <w:t>holds a hearing — or, at the individual’s request, a jury trial — at which</w:t>
      </w:r>
      <w:r w:rsidR="0020297E">
        <w:t xml:space="preserve"> </w:t>
      </w:r>
      <w:r w:rsidRPr="008F1266">
        <w:t>the state bears the burden to prove beyond a reasonable doubt that the individual continues to meet the criteria for commitment as an SVP.  (</w:t>
      </w:r>
      <w:r w:rsidRPr="008F1266">
        <w:rPr>
          <w:i/>
          <w:iCs/>
        </w:rPr>
        <w:t>Id</w:t>
      </w:r>
      <w:r w:rsidRPr="008F1266">
        <w:t xml:space="preserve">., </w:t>
      </w:r>
      <w:r w:rsidR="00F74EB2">
        <w:t xml:space="preserve">§ 6605, </w:t>
      </w:r>
      <w:r w:rsidRPr="008F1266">
        <w:t>subd. (a)(2), (3).)</w:t>
      </w:r>
      <w:r>
        <w:t xml:space="preserve">  </w:t>
      </w:r>
    </w:p>
    <w:p w:rsidR="00D26F88" w:rsidRPr="008F1266" w:rsidP="003C092A" w14:paraId="4E931324" w14:textId="77777777">
      <w:pPr>
        <w:tabs>
          <w:tab w:val="left" w:pos="720"/>
        </w:tabs>
      </w:pPr>
      <w:r>
        <w:tab/>
      </w:r>
      <w:r w:rsidR="00CF703B">
        <w:t xml:space="preserve">A person may petition for conditional release whether or not the annual report recommends that course (Welf. &amp; Inst. Code, </w:t>
      </w:r>
      <w:r w:rsidRPr="008F1266" w:rsidR="00CF703B">
        <w:t>§</w:t>
      </w:r>
      <w:r w:rsidR="009914EF">
        <w:t> </w:t>
      </w:r>
      <w:r w:rsidR="00CF703B">
        <w:t>6608, subd. (a)), but</w:t>
      </w:r>
      <w:r w:rsidR="001928EE">
        <w:t xml:space="preserve"> the recommendation determines how the petition will be handled</w:t>
      </w:r>
      <w:r w:rsidR="00CF703B">
        <w:t xml:space="preserve">.  </w:t>
      </w:r>
      <w:r w:rsidR="00950783">
        <w:t xml:space="preserve">If the </w:t>
      </w:r>
      <w:r>
        <w:t xml:space="preserve">annual report </w:t>
      </w:r>
      <w:r w:rsidR="00950783">
        <w:t xml:space="preserve">recommends conditional release, </w:t>
      </w:r>
      <w:r w:rsidRPr="008F1266">
        <w:t xml:space="preserve">then the state must show by a preponderance of the evidence </w:t>
      </w:r>
      <w:r w:rsidR="001928EE">
        <w:t xml:space="preserve">at a release hearing </w:t>
      </w:r>
      <w:r w:rsidRPr="008F1266">
        <w:t>that the individual is not, in fact, suitable for release.  (</w:t>
      </w:r>
      <w:r w:rsidRPr="008F1266">
        <w:rPr>
          <w:i/>
          <w:iCs/>
        </w:rPr>
        <w:t>Id</w:t>
      </w:r>
      <w:r w:rsidRPr="008F1266">
        <w:t xml:space="preserve">., § 6604.9, subd. (d); see </w:t>
      </w:r>
      <w:r w:rsidRPr="008F1266">
        <w:rPr>
          <w:i/>
          <w:iCs/>
        </w:rPr>
        <w:t>id</w:t>
      </w:r>
      <w:r w:rsidRPr="008F1266">
        <w:t>., § 6608, subd. (k).)</w:t>
      </w:r>
      <w:r>
        <w:t xml:space="preserve">  </w:t>
      </w:r>
      <w:r w:rsidR="00950783">
        <w:t>I</w:t>
      </w:r>
      <w:r>
        <w:t>f</w:t>
      </w:r>
      <w:r w:rsidR="00950783">
        <w:t xml:space="preserve">, on the other hand, </w:t>
      </w:r>
      <w:r>
        <w:t>the annual report recommends continued commitment,</w:t>
      </w:r>
      <w:r w:rsidR="00950783">
        <w:t xml:space="preserve"> the court </w:t>
      </w:r>
      <w:r w:rsidR="0091632D">
        <w:t xml:space="preserve">screens the petition for frivolousness </w:t>
      </w:r>
      <w:r w:rsidR="00950783">
        <w:t>before holding a hearing</w:t>
      </w:r>
      <w:r w:rsidR="001928EE">
        <w:t xml:space="preserve"> </w:t>
      </w:r>
      <w:r w:rsidR="00950783">
        <w:t>(</w:t>
      </w:r>
      <w:r w:rsidR="001928EE">
        <w:rPr>
          <w:i/>
          <w:iCs/>
        </w:rPr>
        <w:t>i</w:t>
      </w:r>
      <w:r w:rsidR="00950783">
        <w:rPr>
          <w:i/>
          <w:iCs/>
        </w:rPr>
        <w:t>d</w:t>
      </w:r>
      <w:r w:rsidR="00950783">
        <w:t xml:space="preserve">., </w:t>
      </w:r>
      <w:r w:rsidRPr="008F1266" w:rsidR="00950783">
        <w:t>§ 6608</w:t>
      </w:r>
      <w:r w:rsidR="00950783">
        <w:t>, subd. (a))</w:t>
      </w:r>
      <w:r w:rsidR="001928EE">
        <w:t xml:space="preserve">, and at that hearing the individual </w:t>
      </w:r>
      <w:r w:rsidRPr="008F1266">
        <w:t>bears the burden to show by a preponderance of the evidence that conditional release is appropriate</w:t>
      </w:r>
      <w:r w:rsidR="00950783">
        <w:t>.</w:t>
      </w:r>
      <w:r w:rsidRPr="008F1266">
        <w:t xml:space="preserve"> </w:t>
      </w:r>
      <w:r w:rsidR="00950783">
        <w:t xml:space="preserve"> </w:t>
      </w:r>
      <w:r w:rsidRPr="008F1266">
        <w:t>(</w:t>
      </w:r>
      <w:r w:rsidR="00950783">
        <w:rPr>
          <w:i/>
          <w:iCs/>
        </w:rPr>
        <w:t>I</w:t>
      </w:r>
      <w:r w:rsidRPr="008F1266">
        <w:rPr>
          <w:i/>
          <w:iCs/>
        </w:rPr>
        <w:t>d</w:t>
      </w:r>
      <w:r w:rsidRPr="008F1266">
        <w:t>., subd. (k)</w:t>
      </w:r>
      <w:r w:rsidR="00DA16C4">
        <w:t>.</w:t>
      </w:r>
      <w:r w:rsidRPr="008F1266">
        <w:t>)</w:t>
      </w:r>
      <w:r w:rsidR="00207A6E">
        <w:t xml:space="preserve">  </w:t>
      </w:r>
      <w:r w:rsidR="00586C9B">
        <w:t xml:space="preserve">After one year on conditional release, the individual may petition for </w:t>
      </w:r>
      <w:r w:rsidR="00950783">
        <w:t>unconditional discharge</w:t>
      </w:r>
      <w:r w:rsidR="00EF737E">
        <w:t xml:space="preserve"> from </w:t>
      </w:r>
      <w:r w:rsidR="00DF6BD0">
        <w:t xml:space="preserve">SVP </w:t>
      </w:r>
      <w:r w:rsidR="00EF737E">
        <w:t>commitment</w:t>
      </w:r>
      <w:r w:rsidRPr="008F1266" w:rsidR="00950783">
        <w:t>.  (</w:t>
      </w:r>
      <w:r w:rsidRPr="008F1266" w:rsidR="00950783">
        <w:rPr>
          <w:i/>
        </w:rPr>
        <w:t>Id.</w:t>
      </w:r>
      <w:r w:rsidRPr="008F1266" w:rsidR="00950783">
        <w:t>, subd. (m).)</w:t>
      </w:r>
    </w:p>
    <w:p w:rsidR="00D26F88" w:rsidRPr="008F1266" w:rsidP="00301C3B" w14:paraId="4E931325" w14:textId="77777777">
      <w:pPr>
        <w:tabs>
          <w:tab w:val="left" w:pos="1440"/>
        </w:tabs>
        <w:jc w:val="center"/>
        <w:rPr>
          <w:b/>
          <w:bCs/>
        </w:rPr>
      </w:pPr>
      <w:r w:rsidRPr="008F1266">
        <w:rPr>
          <w:b/>
          <w:bCs/>
        </w:rPr>
        <w:t>B</w:t>
      </w:r>
      <w:r w:rsidRPr="008F1266" w:rsidR="00375E98">
        <w:rPr>
          <w:b/>
          <w:bCs/>
        </w:rPr>
        <w:t>.</w:t>
      </w:r>
    </w:p>
    <w:p w:rsidR="00124206" w:rsidRPr="008F1266" w:rsidP="00301C3B" w14:paraId="4E931326" w14:textId="77777777">
      <w:pPr>
        <w:tabs>
          <w:tab w:val="left" w:pos="720"/>
        </w:tabs>
      </w:pPr>
      <w:r w:rsidRPr="008F1266">
        <w:tab/>
      </w:r>
      <w:r w:rsidRPr="008F1266" w:rsidR="00E60054">
        <w:t xml:space="preserve">In 1993, </w:t>
      </w:r>
      <w:r w:rsidRPr="008F1266" w:rsidR="008B1F84">
        <w:t>Ciro Camacho plead</w:t>
      </w:r>
      <w:r w:rsidRPr="008F1266" w:rsidR="00CC3294">
        <w:t>ed</w:t>
      </w:r>
      <w:r w:rsidRPr="008F1266" w:rsidR="008B1F84">
        <w:t xml:space="preserve"> guilty to one count of continuous sexual abuse of a child </w:t>
      </w:r>
      <w:r w:rsidR="00A637BE">
        <w:t>in violation of</w:t>
      </w:r>
      <w:r w:rsidRPr="008F1266" w:rsidR="00A637BE">
        <w:t xml:space="preserve"> </w:t>
      </w:r>
      <w:r w:rsidRPr="008F1266" w:rsidR="008B1F84">
        <w:t xml:space="preserve">Penal Code </w:t>
      </w:r>
      <w:r w:rsidRPr="008F1266" w:rsidR="00AB5C1B">
        <w:t>section</w:t>
      </w:r>
      <w:r w:rsidRPr="008F1266" w:rsidR="008B1F84">
        <w:t xml:space="preserve"> 288.5 and two counts of lewd acts on a child under 14 years old </w:t>
      </w:r>
      <w:r w:rsidR="00A637BE">
        <w:t xml:space="preserve">in violation of </w:t>
      </w:r>
      <w:r w:rsidRPr="008F1266" w:rsidR="008B1F84">
        <w:t xml:space="preserve">Penal Code </w:t>
      </w:r>
      <w:r w:rsidRPr="008F1266" w:rsidR="00802A97">
        <w:t>section</w:t>
      </w:r>
      <w:r w:rsidRPr="008F1266" w:rsidR="008B1F84">
        <w:t xml:space="preserve"> 288, </w:t>
      </w:r>
      <w:r w:rsidRPr="008F1266" w:rsidR="00F4054D">
        <w:t>subd</w:t>
      </w:r>
      <w:r w:rsidRPr="008F1266" w:rsidR="00802A97">
        <w:t>ivision</w:t>
      </w:r>
      <w:r w:rsidRPr="008F1266" w:rsidR="008B1F84">
        <w:t xml:space="preserve"> (a).  </w:t>
      </w:r>
      <w:r w:rsidR="00C02886">
        <w:t xml:space="preserve">He was </w:t>
      </w:r>
      <w:r w:rsidRPr="008F1266" w:rsidR="008B1F84">
        <w:t xml:space="preserve">sentenced to 14 years in prison. </w:t>
      </w:r>
      <w:r w:rsidRPr="008F1266" w:rsidR="00991891">
        <w:t xml:space="preserve"> </w:t>
      </w:r>
    </w:p>
    <w:p w:rsidR="00797FB8" w:rsidP="00301C3B" w14:paraId="4E931327" w14:textId="77777777">
      <w:pPr>
        <w:tabs>
          <w:tab w:val="left" w:pos="720"/>
        </w:tabs>
      </w:pPr>
      <w:r w:rsidRPr="008F1266">
        <w:tab/>
      </w:r>
      <w:r w:rsidRPr="008F1266" w:rsidR="00661566">
        <w:t xml:space="preserve">In August </w:t>
      </w:r>
      <w:r w:rsidRPr="008F1266" w:rsidR="008B1F84">
        <w:t>2002, while Camacho was still serving his sentence, the state filed a petition to commit him as a</w:t>
      </w:r>
      <w:r w:rsidRPr="008F1266" w:rsidR="00684304">
        <w:t>n SVP</w:t>
      </w:r>
      <w:r w:rsidRPr="008F1266" w:rsidR="008B1F84">
        <w:t xml:space="preserve">. </w:t>
      </w:r>
      <w:r w:rsidRPr="008F1266" w:rsidR="00F1392F">
        <w:t xml:space="preserve"> </w:t>
      </w:r>
      <w:r w:rsidRPr="008F1266">
        <w:t xml:space="preserve">Two doctors </w:t>
      </w:r>
      <w:r w:rsidR="00C02886">
        <w:t xml:space="preserve">had </w:t>
      </w:r>
      <w:r w:rsidRPr="008F1266">
        <w:t xml:space="preserve">evaluated Camacho and concluded he met the statutory criteria for </w:t>
      </w:r>
      <w:r w:rsidR="00C02886">
        <w:t>SVP commitment</w:t>
      </w:r>
      <w:r w:rsidR="00F452DA">
        <w:t xml:space="preserve">.  </w:t>
      </w:r>
      <w:r w:rsidRPr="008F1266" w:rsidR="00A35BBD">
        <w:t>Camacho waived his right to a jury trial</w:t>
      </w:r>
      <w:r w:rsidR="00B95C9C">
        <w:t>,</w:t>
      </w:r>
      <w:r w:rsidRPr="008F1266" w:rsidR="00A35BBD">
        <w:t xml:space="preserve"> and the trial court held </w:t>
      </w:r>
      <w:r w:rsidRPr="008F1266" w:rsidR="00953CE6">
        <w:t>a bench trial in January 2005</w:t>
      </w:r>
      <w:r w:rsidRPr="008F1266" w:rsidR="00570CA5">
        <w:t xml:space="preserve">.  </w:t>
      </w:r>
      <w:r w:rsidRPr="008F1266" w:rsidR="00953CE6">
        <w:t xml:space="preserve">The court ordered </w:t>
      </w:r>
      <w:r w:rsidRPr="008F1266" w:rsidR="00BD2893">
        <w:t xml:space="preserve">Camacho </w:t>
      </w:r>
      <w:r w:rsidRPr="008F1266" w:rsidR="00953CE6">
        <w:t>committed to the state hospital for a two-year term</w:t>
      </w:r>
      <w:r w:rsidRPr="008F1266" w:rsidR="00E21551">
        <w:t xml:space="preserve"> under the version of the </w:t>
      </w:r>
      <w:r w:rsidR="0075174F">
        <w:t xml:space="preserve">SVP </w:t>
      </w:r>
      <w:r w:rsidRPr="008F1266" w:rsidR="00684304">
        <w:t xml:space="preserve">Act </w:t>
      </w:r>
      <w:r w:rsidRPr="008F1266" w:rsidR="005A1D14">
        <w:t xml:space="preserve">then in </w:t>
      </w:r>
      <w:r w:rsidR="00FB541B">
        <w:t>effect</w:t>
      </w:r>
      <w:r w:rsidRPr="008F1266" w:rsidR="005A1D14">
        <w:t>.</w:t>
      </w:r>
      <w:r w:rsidRPr="008F1266" w:rsidR="00563BC9">
        <w:t xml:space="preserve">  </w:t>
      </w:r>
    </w:p>
    <w:p w:rsidR="00532D7B" w:rsidP="00301C3B" w14:paraId="4E931328" w14:textId="77777777">
      <w:pPr>
        <w:tabs>
          <w:tab w:val="left" w:pos="720"/>
        </w:tabs>
      </w:pPr>
      <w:r>
        <w:tab/>
      </w:r>
      <w:r w:rsidRPr="008F1266" w:rsidR="007E21EF">
        <w:t xml:space="preserve">The following year, Proposition 83 replaced the system of </w:t>
      </w:r>
      <w:r w:rsidR="00950783">
        <w:t xml:space="preserve">renewable </w:t>
      </w:r>
      <w:r w:rsidRPr="008F1266" w:rsidR="007E21EF">
        <w:t>two-year terms with the current system of indefinite commitments</w:t>
      </w:r>
      <w:r w:rsidR="00FF0C64">
        <w:t xml:space="preserve"> subject to annual reevaluations</w:t>
      </w:r>
      <w:r w:rsidRPr="008F1266" w:rsidR="007E21EF">
        <w:t xml:space="preserve">.  </w:t>
      </w:r>
      <w:r w:rsidRPr="008F1266" w:rsidR="00F46EC6">
        <w:t>(</w:t>
      </w:r>
      <w:r w:rsidR="00FF0C64">
        <w:t xml:space="preserve">See </w:t>
      </w:r>
      <w:r w:rsidRPr="008F1266" w:rsidR="00F46EC6">
        <w:rPr>
          <w:i/>
          <w:iCs/>
        </w:rPr>
        <w:t>McKee</w:t>
      </w:r>
      <w:r w:rsidRPr="008F1266" w:rsidR="007E21EF">
        <w:t xml:space="preserve">, </w:t>
      </w:r>
      <w:r w:rsidRPr="008F1266" w:rsidR="007E21EF">
        <w:rPr>
          <w:i/>
          <w:iCs/>
        </w:rPr>
        <w:t>supra</w:t>
      </w:r>
      <w:r w:rsidRPr="008F1266" w:rsidR="007E21EF">
        <w:t xml:space="preserve">, </w:t>
      </w:r>
      <w:r w:rsidRPr="008F1266" w:rsidR="00F46EC6">
        <w:t xml:space="preserve">47 Cal.4th </w:t>
      </w:r>
      <w:r w:rsidRPr="008F1266" w:rsidR="007E21EF">
        <w:t xml:space="preserve">at </w:t>
      </w:r>
      <w:r w:rsidRPr="008F1266" w:rsidR="00311314">
        <w:t>p</w:t>
      </w:r>
      <w:r w:rsidRPr="008F1266" w:rsidR="007E21EF">
        <w:t>p.</w:t>
      </w:r>
      <w:r w:rsidRPr="008F1266" w:rsidR="008005EF">
        <w:t> </w:t>
      </w:r>
      <w:r w:rsidRPr="008F1266" w:rsidR="00F46EC6">
        <w:t>1183</w:t>
      </w:r>
      <w:r w:rsidRPr="008F1266" w:rsidR="00311314">
        <w:t>–1184</w:t>
      </w:r>
      <w:r w:rsidRPr="008F1266" w:rsidR="00F46EC6">
        <w:t>.)</w:t>
      </w:r>
      <w:r w:rsidRPr="008F1266" w:rsidR="00E23FF0">
        <w:t xml:space="preserve">  </w:t>
      </w:r>
      <w:r w:rsidRPr="008F1266" w:rsidR="00C754F4">
        <w:t xml:space="preserve">On December 18, 2006, </w:t>
      </w:r>
      <w:r w:rsidRPr="008F1266" w:rsidR="00E711CC">
        <w:t>before Camacho’s two</w:t>
      </w:r>
      <w:r w:rsidRPr="008F1266" w:rsidR="00D15252">
        <w:t>-</w:t>
      </w:r>
      <w:r w:rsidRPr="008F1266" w:rsidR="00E711CC">
        <w:t>year</w:t>
      </w:r>
      <w:r w:rsidRPr="008F1266" w:rsidR="001A037F">
        <w:t xml:space="preserve"> </w:t>
      </w:r>
      <w:r w:rsidRPr="008F1266" w:rsidR="00E711CC">
        <w:t xml:space="preserve">term expired, </w:t>
      </w:r>
      <w:r w:rsidRPr="008F1266" w:rsidR="00C754F4">
        <w:t>t</w:t>
      </w:r>
      <w:r w:rsidRPr="008F1266" w:rsidR="00E23FF0">
        <w:t xml:space="preserve">he state filed a petition to </w:t>
      </w:r>
      <w:r w:rsidRPr="008F1266" w:rsidR="00E71AE9">
        <w:t xml:space="preserve">recommit </w:t>
      </w:r>
      <w:r w:rsidRPr="008F1266" w:rsidR="00E23FF0">
        <w:t>Camacho</w:t>
      </w:r>
      <w:r w:rsidRPr="008F1266" w:rsidR="00E71AE9">
        <w:t xml:space="preserve"> to an indefinite term</w:t>
      </w:r>
      <w:r w:rsidRPr="008F1266" w:rsidR="00E23FF0">
        <w:t>.</w:t>
      </w:r>
      <w:r w:rsidRPr="008F1266" w:rsidR="00661781">
        <w:t xml:space="preserve">  </w:t>
      </w:r>
      <w:r w:rsidRPr="008F1266" w:rsidR="008B1FB3">
        <w:t xml:space="preserve">On February 8, 2007, </w:t>
      </w:r>
      <w:r w:rsidRPr="008F1266" w:rsidR="00C24B57">
        <w:t>Camacho waived the probable cause hearing on the recommitment petition.</w:t>
      </w:r>
      <w:r w:rsidRPr="008F1266" w:rsidR="001A0F48">
        <w:t xml:space="preserve">  </w:t>
      </w:r>
      <w:r>
        <w:t>The trial on that petition has yet to occur.</w:t>
      </w:r>
      <w:r w:rsidR="00E053CB">
        <w:t xml:space="preserve">  </w:t>
      </w:r>
      <w:r w:rsidR="00950783">
        <w:t>Camacho now challenges that delay as violating his due process right to a timely trial.</w:t>
      </w:r>
    </w:p>
    <w:p w:rsidR="00F662D1" w:rsidRPr="008F1266" w:rsidP="00301C3B" w14:paraId="4E931329" w14:textId="77777777">
      <w:pPr>
        <w:tabs>
          <w:tab w:val="left" w:pos="720"/>
        </w:tabs>
      </w:pPr>
      <w:r>
        <w:tab/>
      </w:r>
      <w:r w:rsidR="00E053CB">
        <w:t xml:space="preserve">In </w:t>
      </w:r>
      <w:r w:rsidR="00BD2B1F">
        <w:t xml:space="preserve">the years since 2007, </w:t>
      </w:r>
      <w:r w:rsidR="00150958">
        <w:t xml:space="preserve">Camacho’s </w:t>
      </w:r>
      <w:r w:rsidRPr="008F1266" w:rsidR="00EE526A">
        <w:t xml:space="preserve">case has appeared on the trial court docket </w:t>
      </w:r>
      <w:r w:rsidRPr="008F1266" w:rsidR="004F2679">
        <w:t xml:space="preserve">and </w:t>
      </w:r>
      <w:r w:rsidRPr="008F1266" w:rsidR="00EE526A">
        <w:t xml:space="preserve">been continued more than </w:t>
      </w:r>
      <w:r w:rsidRPr="008F1266" w:rsidR="00C01738">
        <w:t>200 times</w:t>
      </w:r>
      <w:r w:rsidR="00150958">
        <w:t xml:space="preserve"> without trial</w:t>
      </w:r>
      <w:r w:rsidRPr="008F1266" w:rsidR="00E23FF0">
        <w:t>.</w:t>
      </w:r>
      <w:r w:rsidR="00150958">
        <w:t xml:space="preserve">  </w:t>
      </w:r>
      <w:r w:rsidRPr="008F1266" w:rsidR="003A6FA8">
        <w:t xml:space="preserve">Although the record of the proceedings is limited, the </w:t>
      </w:r>
      <w:r w:rsidRPr="008F1266" w:rsidR="005B3AC5">
        <w:t xml:space="preserve">parties have stipulated to the relevant </w:t>
      </w:r>
      <w:r w:rsidR="00950783">
        <w:t xml:space="preserve">procedural </w:t>
      </w:r>
      <w:r w:rsidRPr="008F1266" w:rsidR="005B3AC5">
        <w:t>history</w:t>
      </w:r>
      <w:r w:rsidR="00950783">
        <w:t xml:space="preserve"> and the accuracy of the available record</w:t>
      </w:r>
      <w:r w:rsidRPr="008F1266" w:rsidR="005B3AC5">
        <w:t>.</w:t>
      </w:r>
      <w:r w:rsidR="00950783">
        <w:t xml:space="preserve">  Because Camacho’s due process claim requires careful review of the relevant facts, we discuss </w:t>
      </w:r>
      <w:r w:rsidR="00A673D3">
        <w:t>th</w:t>
      </w:r>
      <w:r w:rsidR="0089719E">
        <w:t>is</w:t>
      </w:r>
      <w:r w:rsidR="00A673D3">
        <w:t xml:space="preserve"> history in some detail</w:t>
      </w:r>
      <w:r w:rsidR="0089719E">
        <w:t xml:space="preserve"> below</w:t>
      </w:r>
      <w:r w:rsidR="00A673D3">
        <w:t>.</w:t>
      </w:r>
      <w:r w:rsidRPr="008F1266" w:rsidR="005B3AC5">
        <w:t xml:space="preserve">  </w:t>
      </w:r>
    </w:p>
    <w:p w:rsidR="00217A0B" w:rsidRPr="008F1266" w:rsidP="00301C3B" w14:paraId="4E93132A" w14:textId="77777777">
      <w:pPr>
        <w:tabs>
          <w:tab w:val="left" w:pos="1440"/>
        </w:tabs>
        <w:ind w:firstLine="720"/>
      </w:pPr>
      <w:r w:rsidRPr="008F1266">
        <w:t>After waiving the probable cause hearing</w:t>
      </w:r>
      <w:r w:rsidR="00A673D3">
        <w:t xml:space="preserve"> on the 2006 petition for recommitment</w:t>
      </w:r>
      <w:r w:rsidRPr="008F1266">
        <w:t>, Camacho entered a general time waiver on March 29, 2007</w:t>
      </w:r>
      <w:r w:rsidRPr="008F1266" w:rsidR="00A74F37">
        <w:t xml:space="preserve">, when he was personally present in court.  He was then </w:t>
      </w:r>
      <w:r w:rsidRPr="008F1266">
        <w:t>transported</w:t>
      </w:r>
      <w:r w:rsidRPr="008F1266" w:rsidR="00510CFB">
        <w:t xml:space="preserve"> from the county jail</w:t>
      </w:r>
      <w:r w:rsidRPr="008F1266">
        <w:t xml:space="preserve"> to the state hospital.</w:t>
      </w:r>
    </w:p>
    <w:p w:rsidR="00797FB8" w:rsidP="00301C3B" w14:paraId="4E93132B" w14:textId="77777777">
      <w:pPr>
        <w:tabs>
          <w:tab w:val="left" w:pos="1440"/>
        </w:tabs>
        <w:ind w:firstLine="720"/>
      </w:pPr>
      <w:r w:rsidRPr="008F1266">
        <w:t xml:space="preserve">On July 25, 2008, the Public Defender declared a conflict.  The court assigned </w:t>
      </w:r>
      <w:r w:rsidRPr="008F1266" w:rsidR="0005645D">
        <w:t>A</w:t>
      </w:r>
      <w:r w:rsidRPr="008F1266">
        <w:t>ttorney William Davis as replacement defense counsel.</w:t>
      </w:r>
      <w:r w:rsidRPr="008F1266" w:rsidR="00C4539F">
        <w:t xml:space="preserve">  Davis </w:t>
      </w:r>
      <w:r w:rsidRPr="008F1266" w:rsidR="006D5A42">
        <w:t xml:space="preserve">would </w:t>
      </w:r>
      <w:r w:rsidRPr="008F1266" w:rsidR="00C4539F">
        <w:t>serve as</w:t>
      </w:r>
      <w:r w:rsidRPr="008F1266" w:rsidR="00D23537">
        <w:t xml:space="preserve"> Camacho’s</w:t>
      </w:r>
      <w:r w:rsidRPr="008F1266" w:rsidR="00C4539F">
        <w:t xml:space="preserve"> defense counsel for the next decade, until 2018. </w:t>
      </w:r>
      <w:r w:rsidRPr="008F1266">
        <w:t xml:space="preserve">  </w:t>
      </w:r>
    </w:p>
    <w:p w:rsidR="006D6BD9" w:rsidRPr="008F1266" w:rsidP="00301C3B" w14:paraId="4E93132C" w14:textId="77777777">
      <w:pPr>
        <w:tabs>
          <w:tab w:val="left" w:pos="1440"/>
        </w:tabs>
        <w:ind w:firstLine="720"/>
      </w:pPr>
      <w:r w:rsidRPr="008F1266">
        <w:t>Two</w:t>
      </w:r>
      <w:r w:rsidRPr="008F1266" w:rsidR="00E864A0">
        <w:t xml:space="preserve"> updated doctors’ reports became available</w:t>
      </w:r>
      <w:r w:rsidRPr="008F1266">
        <w:t xml:space="preserve"> in August 2008</w:t>
      </w:r>
      <w:r w:rsidRPr="008F1266" w:rsidR="004E377D">
        <w:t xml:space="preserve">, both concluding </w:t>
      </w:r>
      <w:r w:rsidRPr="008F1266" w:rsidR="00ED0EC5">
        <w:t xml:space="preserve">that </w:t>
      </w:r>
      <w:r w:rsidRPr="008F1266" w:rsidR="004E377D">
        <w:t xml:space="preserve">Camacho </w:t>
      </w:r>
      <w:r w:rsidRPr="008F1266" w:rsidR="00ED0EC5">
        <w:t>me</w:t>
      </w:r>
      <w:r w:rsidRPr="008F1266" w:rsidR="004E377D">
        <w:t>t the criteria for commitment</w:t>
      </w:r>
      <w:r w:rsidRPr="008F1266" w:rsidR="00E864A0">
        <w:t xml:space="preserve">.  </w:t>
      </w:r>
      <w:r w:rsidRPr="008F1266" w:rsidR="00915137">
        <w:t>The court held 1</w:t>
      </w:r>
      <w:r w:rsidRPr="008F1266" w:rsidR="00262BA5">
        <w:t>6</w:t>
      </w:r>
      <w:r w:rsidRPr="008F1266" w:rsidR="00915137">
        <w:t xml:space="preserve"> additional hearings in 2008</w:t>
      </w:r>
      <w:r w:rsidRPr="008F1266" w:rsidR="00755433">
        <w:t>,</w:t>
      </w:r>
      <w:r w:rsidR="003C092A">
        <w:t xml:space="preserve"> </w:t>
      </w:r>
      <w:r w:rsidRPr="008F1266" w:rsidR="00915137">
        <w:t>but</w:t>
      </w:r>
      <w:r w:rsidRPr="008F1266" w:rsidR="00093277">
        <w:t xml:space="preserve"> the court</w:t>
      </w:r>
      <w:r w:rsidRPr="008F1266" w:rsidR="00915137">
        <w:t xml:space="preserve"> did not set a trial date.</w:t>
      </w:r>
    </w:p>
    <w:p w:rsidR="00D23537" w:rsidRPr="008F1266" w:rsidP="00301C3B" w14:paraId="4E93132D" w14:textId="77777777">
      <w:pPr>
        <w:tabs>
          <w:tab w:val="left" w:pos="1440"/>
        </w:tabs>
        <w:ind w:firstLine="720"/>
      </w:pPr>
      <w:r w:rsidRPr="008F1266">
        <w:t xml:space="preserve">In 2009, Camacho’s case appeared on the court docket 16 times.  Camacho was present for </w:t>
      </w:r>
      <w:r w:rsidRPr="008F1266" w:rsidR="00262BA5">
        <w:t>10</w:t>
      </w:r>
      <w:r w:rsidRPr="008F1266">
        <w:t xml:space="preserve"> of these hearings.  </w:t>
      </w:r>
      <w:r w:rsidRPr="008F1266" w:rsidR="005A5A1C">
        <w:t>That year, t</w:t>
      </w:r>
      <w:r w:rsidRPr="008F1266" w:rsidR="00262BA5">
        <w:t>wo</w:t>
      </w:r>
      <w:r w:rsidRPr="008F1266" w:rsidR="005A5A1C">
        <w:t xml:space="preserve"> trial dates were set and later continued, with no record</w:t>
      </w:r>
      <w:r w:rsidRPr="008F1266">
        <w:t xml:space="preserve"> of the reason for these continuances.</w:t>
      </w:r>
      <w:r w:rsidRPr="008F1266" w:rsidR="00217A0B">
        <w:t xml:space="preserve">  </w:t>
      </w:r>
      <w:r w:rsidRPr="008F1266">
        <w:t xml:space="preserve">Camacho appeared in court </w:t>
      </w:r>
      <w:r w:rsidRPr="008F1266" w:rsidR="005A5A1C">
        <w:t>for</w:t>
      </w:r>
      <w:r w:rsidRPr="008F1266">
        <w:t xml:space="preserve"> a</w:t>
      </w:r>
      <w:r w:rsidRPr="008F1266" w:rsidR="005A5A1C">
        <w:t>nother</w:t>
      </w:r>
      <w:r w:rsidRPr="008F1266">
        <w:t xml:space="preserve"> trial setting conference on March 11, 2010.</w:t>
      </w:r>
      <w:r w:rsidRPr="008F1266" w:rsidR="005A5A1C">
        <w:t xml:space="preserve">  </w:t>
      </w:r>
      <w:r w:rsidRPr="008F1266" w:rsidR="009A7F2D">
        <w:t>N</w:t>
      </w:r>
      <w:r w:rsidRPr="008F1266" w:rsidR="005A5A1C">
        <w:t>o</w:t>
      </w:r>
      <w:r w:rsidRPr="008F1266" w:rsidR="00BD2893">
        <w:t xml:space="preserve"> </w:t>
      </w:r>
      <w:r w:rsidRPr="008F1266" w:rsidR="005A5A1C">
        <w:t xml:space="preserve">trial date </w:t>
      </w:r>
      <w:r w:rsidRPr="008F1266" w:rsidR="009A7F2D">
        <w:t xml:space="preserve">was </w:t>
      </w:r>
      <w:r w:rsidRPr="008F1266" w:rsidR="005A5A1C">
        <w:t xml:space="preserve">set. </w:t>
      </w:r>
    </w:p>
    <w:p w:rsidR="004013B2" w:rsidRPr="008F1266" w:rsidP="00301C3B" w14:paraId="4E93132E" w14:textId="77777777">
      <w:pPr>
        <w:tabs>
          <w:tab w:val="left" w:pos="1440"/>
        </w:tabs>
        <w:ind w:firstLine="720"/>
      </w:pPr>
      <w:r>
        <w:t xml:space="preserve">Between </w:t>
      </w:r>
      <w:r w:rsidRPr="008F1266" w:rsidR="00E803F8">
        <w:t>March 11, 2010</w:t>
      </w:r>
      <w:r w:rsidRPr="008F1266" w:rsidR="00F03A4C">
        <w:t>,</w:t>
      </w:r>
      <w:r w:rsidRPr="008F1266" w:rsidR="00E803F8">
        <w:t xml:space="preserve"> </w:t>
      </w:r>
      <w:r>
        <w:t xml:space="preserve">and </w:t>
      </w:r>
      <w:r w:rsidRPr="008F1266" w:rsidR="00E803F8">
        <w:t xml:space="preserve">July 5, 2018, </w:t>
      </w:r>
      <w:r w:rsidRPr="008F1266" w:rsidR="0007617C">
        <w:t xml:space="preserve">Camacho’s </w:t>
      </w:r>
      <w:r w:rsidRPr="008F1266" w:rsidR="00E803F8">
        <w:t>case appeared on the trial court docket</w:t>
      </w:r>
      <w:r w:rsidRPr="008F1266" w:rsidR="008C47BD">
        <w:t xml:space="preserve"> </w:t>
      </w:r>
      <w:r w:rsidRPr="008F1266" w:rsidR="00E803F8">
        <w:t>102 times</w:t>
      </w:r>
      <w:r w:rsidRPr="008F1266" w:rsidR="003A25A0">
        <w:t xml:space="preserve">.  </w:t>
      </w:r>
      <w:r w:rsidRPr="008F1266" w:rsidR="00F066EC">
        <w:t xml:space="preserve">Camacho was not </w:t>
      </w:r>
      <w:r w:rsidRPr="008F1266" w:rsidR="00BD2893">
        <w:t xml:space="preserve">personally </w:t>
      </w:r>
      <w:r w:rsidRPr="008F1266" w:rsidR="00F066EC">
        <w:t xml:space="preserve">present at </w:t>
      </w:r>
      <w:r w:rsidRPr="008F1266" w:rsidR="00CC3294">
        <w:t xml:space="preserve">any of the </w:t>
      </w:r>
      <w:r w:rsidRPr="008F1266" w:rsidR="00F066EC">
        <w:t>hearing</w:t>
      </w:r>
      <w:r w:rsidRPr="008F1266" w:rsidR="00CC3294">
        <w:t>s</w:t>
      </w:r>
      <w:r w:rsidRPr="008F1266" w:rsidR="001D479D">
        <w:t xml:space="preserve"> held during that eight-year period</w:t>
      </w:r>
      <w:r w:rsidRPr="008F1266" w:rsidR="00F066EC">
        <w:t>.</w:t>
      </w:r>
    </w:p>
    <w:p w:rsidR="00D048F6" w:rsidRPr="008F1266" w:rsidP="00301C3B" w14:paraId="4E93132F" w14:textId="77777777">
      <w:pPr>
        <w:tabs>
          <w:tab w:val="left" w:pos="1440"/>
        </w:tabs>
        <w:ind w:firstLine="720"/>
      </w:pPr>
      <w:r w:rsidRPr="008F1266">
        <w:t xml:space="preserve">In 2010, doctors again concluded that Camacho </w:t>
      </w:r>
      <w:r w:rsidRPr="008F1266" w:rsidR="0085207F">
        <w:t>met</w:t>
      </w:r>
      <w:r w:rsidRPr="008F1266">
        <w:t xml:space="preserve"> the criteria for commitment as a</w:t>
      </w:r>
      <w:r w:rsidR="00A673D3">
        <w:t>n SVP</w:t>
      </w:r>
      <w:r w:rsidRPr="008F1266">
        <w:t xml:space="preserve">.  The court did not set any additional trial dates in 2010.  The minute orders from 2010 </w:t>
      </w:r>
      <w:r w:rsidRPr="008F1266" w:rsidR="00262BA5">
        <w:t xml:space="preserve">generally </w:t>
      </w:r>
      <w:r w:rsidRPr="008F1266" w:rsidR="00055FA4">
        <w:t>state</w:t>
      </w:r>
      <w:r w:rsidRPr="008F1266">
        <w:t xml:space="preserve"> “time waived</w:t>
      </w:r>
      <w:r w:rsidRPr="008F1266" w:rsidR="00BD2893">
        <w:t>.</w:t>
      </w:r>
      <w:r w:rsidRPr="008F1266">
        <w:t xml:space="preserve">”  </w:t>
      </w:r>
    </w:p>
    <w:p w:rsidR="004700DD" w:rsidRPr="008F1266" w:rsidP="00301C3B" w14:paraId="4E931330" w14:textId="77777777">
      <w:pPr>
        <w:tabs>
          <w:tab w:val="left" w:pos="1440"/>
        </w:tabs>
        <w:ind w:firstLine="720"/>
      </w:pPr>
      <w:r w:rsidRPr="008F1266">
        <w:t xml:space="preserve">In 2011, </w:t>
      </w:r>
      <w:r w:rsidRPr="008F1266" w:rsidR="00407AD0">
        <w:t>the court held 1</w:t>
      </w:r>
      <w:r w:rsidRPr="008F1266" w:rsidR="00C51799">
        <w:t>5</w:t>
      </w:r>
      <w:r w:rsidRPr="008F1266" w:rsidR="00407AD0">
        <w:t xml:space="preserve"> hearings.</w:t>
      </w:r>
      <w:r w:rsidRPr="008F1266" w:rsidR="00A40E14">
        <w:t xml:space="preserve"> </w:t>
      </w:r>
      <w:r w:rsidRPr="008F1266" w:rsidR="0030487F">
        <w:t xml:space="preserve"> </w:t>
      </w:r>
      <w:r w:rsidRPr="008F1266" w:rsidR="00A40E14">
        <w:t xml:space="preserve">On April 14, 2011, the court noted that Davis was “still </w:t>
      </w:r>
      <w:r w:rsidRPr="008F1266" w:rsidR="002646DD">
        <w:t>[a]</w:t>
      </w:r>
      <w:r w:rsidRPr="008F1266" w:rsidR="00A40E14">
        <w:t xml:space="preserve">waiting confirmation of experts” and a general time waiver was in effect.  </w:t>
      </w:r>
      <w:r w:rsidRPr="008F1266" w:rsidR="0085207F">
        <w:t xml:space="preserve">No trial date was set in </w:t>
      </w:r>
      <w:r w:rsidRPr="008F1266" w:rsidR="00285C76">
        <w:t>2011.</w:t>
      </w:r>
      <w:r w:rsidR="003C092A">
        <w:t xml:space="preserve">  </w:t>
      </w:r>
      <w:r w:rsidRPr="008F1266">
        <w:t>From 201</w:t>
      </w:r>
      <w:r w:rsidR="00A673D3">
        <w:t xml:space="preserve">2 </w:t>
      </w:r>
      <w:r w:rsidRPr="008F1266">
        <w:t xml:space="preserve">to 2015, the court regularly called Camacho’s case and set hearings, but the record shows no reason for the repeated continuances. </w:t>
      </w:r>
    </w:p>
    <w:p w:rsidR="00636122" w:rsidRPr="008F1266" w:rsidP="00301C3B" w14:paraId="4E931331" w14:textId="77777777">
      <w:pPr>
        <w:tabs>
          <w:tab w:val="left" w:pos="1440"/>
        </w:tabs>
        <w:ind w:firstLine="720"/>
      </w:pPr>
      <w:r w:rsidRPr="008F1266">
        <w:t xml:space="preserve">In 2015, </w:t>
      </w:r>
      <w:r w:rsidRPr="008F1266" w:rsidR="009B3FC8">
        <w:t>four new doctors’ reports were prepared.</w:t>
      </w:r>
      <w:r w:rsidRPr="008F1266" w:rsidR="00D20496">
        <w:t xml:space="preserve">  </w:t>
      </w:r>
      <w:r w:rsidRPr="008F1266">
        <w:t>O</w:t>
      </w:r>
      <w:r w:rsidRPr="008F1266" w:rsidR="00470951">
        <w:t>ne</w:t>
      </w:r>
      <w:r w:rsidRPr="008F1266" w:rsidR="002A4CEE">
        <w:t xml:space="preserve"> of these reports concluded</w:t>
      </w:r>
      <w:r w:rsidRPr="008F1266" w:rsidR="000B52F2">
        <w:t> </w:t>
      </w:r>
      <w:r w:rsidRPr="008F1266" w:rsidR="00CE394A">
        <w:t>— for the first time</w:t>
      </w:r>
      <w:r w:rsidRPr="008F1266" w:rsidR="000B52F2">
        <w:t> </w:t>
      </w:r>
      <w:r w:rsidRPr="008F1266" w:rsidR="00CE394A">
        <w:t xml:space="preserve">— </w:t>
      </w:r>
      <w:r w:rsidRPr="008F1266" w:rsidR="002A4CEE">
        <w:t>that Camacho no longer met the criteria for commitment.</w:t>
      </w:r>
      <w:r w:rsidR="00111413">
        <w:t xml:space="preserve">  </w:t>
      </w:r>
      <w:r w:rsidRPr="008F1266" w:rsidR="002A4CEE">
        <w:t>The other three reports</w:t>
      </w:r>
      <w:r w:rsidRPr="008F1266" w:rsidR="00262E60">
        <w:t xml:space="preserve">, by contrast, </w:t>
      </w:r>
      <w:r w:rsidRPr="008F1266" w:rsidR="00BD7EB4">
        <w:t xml:space="preserve">concluded </w:t>
      </w:r>
      <w:r w:rsidRPr="008F1266" w:rsidR="008902D0">
        <w:t xml:space="preserve">that </w:t>
      </w:r>
      <w:r w:rsidRPr="008F1266" w:rsidR="00464901">
        <w:t>Camacho continue</w:t>
      </w:r>
      <w:r w:rsidRPr="008F1266" w:rsidR="002C5ADF">
        <w:t>d</w:t>
      </w:r>
      <w:r w:rsidRPr="008F1266" w:rsidR="00464901">
        <w:t xml:space="preserve"> to meet the </w:t>
      </w:r>
      <w:r w:rsidRPr="008F1266" w:rsidR="008902D0">
        <w:t xml:space="preserve">SVP </w:t>
      </w:r>
      <w:r w:rsidRPr="008F1266" w:rsidR="00464901">
        <w:t>criteria</w:t>
      </w:r>
      <w:r w:rsidRPr="008F1266" w:rsidR="008D71FB">
        <w:t>.</w:t>
      </w:r>
    </w:p>
    <w:p w:rsidR="00845102" w:rsidRPr="008F1266" w:rsidP="00301C3B" w14:paraId="4E931332" w14:textId="77777777">
      <w:pPr>
        <w:tabs>
          <w:tab w:val="left" w:pos="1440"/>
        </w:tabs>
        <w:ind w:firstLine="720"/>
      </w:pPr>
      <w:r w:rsidRPr="008F1266">
        <w:t>Despite th</w:t>
      </w:r>
      <w:r w:rsidRPr="008F1266" w:rsidR="002646DD">
        <w:t>is</w:t>
      </w:r>
      <w:r w:rsidRPr="008F1266" w:rsidR="00FD6303">
        <w:t xml:space="preserve"> development</w:t>
      </w:r>
      <w:r w:rsidRPr="008F1266">
        <w:t xml:space="preserve">, 2016 continued in much the same </w:t>
      </w:r>
      <w:r w:rsidRPr="008F1266" w:rsidR="002756FE">
        <w:t>vein</w:t>
      </w:r>
      <w:r w:rsidRPr="008F1266">
        <w:t xml:space="preserve"> as the preceding five years.  The court held eight hearings </w:t>
      </w:r>
      <w:r w:rsidRPr="008F1266" w:rsidR="00195485">
        <w:t>that year</w:t>
      </w:r>
      <w:r w:rsidR="003C092A">
        <w:t xml:space="preserve"> without setting a trial date. </w:t>
      </w:r>
    </w:p>
    <w:p w:rsidR="00973C33" w:rsidRPr="008F1266" w:rsidP="00301C3B" w14:paraId="4E931333" w14:textId="77777777">
      <w:pPr>
        <w:tabs>
          <w:tab w:val="left" w:pos="1440"/>
        </w:tabs>
        <w:ind w:firstLine="720"/>
      </w:pPr>
      <w:r w:rsidRPr="008F1266">
        <w:t xml:space="preserve">In 2017, Camacho’s case appeared on the court docket </w:t>
      </w:r>
      <w:r w:rsidRPr="008F1266" w:rsidR="002646DD">
        <w:t>10</w:t>
      </w:r>
      <w:r w:rsidRPr="008F1266">
        <w:t xml:space="preserve"> times</w:t>
      </w:r>
      <w:r w:rsidR="003C092A">
        <w:t xml:space="preserve">, again with no trial date set and multiple continuances granted at </w:t>
      </w:r>
      <w:r w:rsidR="007A3BA1">
        <w:t xml:space="preserve">Davis’s </w:t>
      </w:r>
      <w:r w:rsidR="003C092A">
        <w:t>request</w:t>
      </w:r>
      <w:r w:rsidRPr="008F1266">
        <w:t xml:space="preserve">.  On March 22, 2018, the court called the case for a regular hearing.  According to the reporter’s transcript (one of the few available in this case), Davis </w:t>
      </w:r>
      <w:r w:rsidRPr="008F1266" w:rsidR="00BE3312">
        <w:t>informed the court Camacho</w:t>
      </w:r>
      <w:r w:rsidRPr="008F1266">
        <w:t xml:space="preserve"> was “at the hospital at Coalinga by his own choice.”  </w:t>
      </w:r>
      <w:r w:rsidRPr="008F1266" w:rsidR="007C7312">
        <w:t xml:space="preserve">The District Attorney and Davis </w:t>
      </w:r>
      <w:r w:rsidRPr="008F1266" w:rsidR="00D24460">
        <w:t>told</w:t>
      </w:r>
      <w:r w:rsidRPr="008F1266" w:rsidR="007C7312">
        <w:t xml:space="preserve"> the court they were mutually requesting a continuance, with Davis explaining “[t]here have been some statewide developments in these kinds of cases </w:t>
      </w:r>
      <w:r w:rsidRPr="008F1266" w:rsidR="0055203C">
        <w:t>that [the prosecutor] and I have looked at</w:t>
      </w:r>
      <w:r w:rsidRPr="008F1266" w:rsidR="00510232">
        <w:t>.”</w:t>
      </w:r>
      <w:r w:rsidRPr="008F1266" w:rsidR="007C7312">
        <w:t xml:space="preserve">  </w:t>
      </w:r>
    </w:p>
    <w:p w:rsidR="008B352D" w:rsidRPr="008F1266" w:rsidP="00301C3B" w14:paraId="4E931334" w14:textId="77777777">
      <w:pPr>
        <w:tabs>
          <w:tab w:val="left" w:pos="1440"/>
        </w:tabs>
        <w:ind w:firstLine="720"/>
      </w:pPr>
      <w:r w:rsidRPr="008F1266">
        <w:t>T</w:t>
      </w:r>
      <w:r w:rsidRPr="008F1266" w:rsidR="001B6BC9">
        <w:t xml:space="preserve">he court held an </w:t>
      </w:r>
      <w:r w:rsidRPr="008F1266" w:rsidR="00192BA1">
        <w:t>in</w:t>
      </w:r>
      <w:r w:rsidRPr="008F1266" w:rsidR="00420175">
        <w:t xml:space="preserve"> </w:t>
      </w:r>
      <w:r w:rsidRPr="008F1266" w:rsidR="00192BA1">
        <w:t>camera</w:t>
      </w:r>
      <w:r w:rsidRPr="008F1266" w:rsidR="001B6BC9">
        <w:t xml:space="preserve"> hearing on May 17, 2018</w:t>
      </w:r>
      <w:r w:rsidRPr="008F1266">
        <w:t xml:space="preserve">.  </w:t>
      </w:r>
      <w:r w:rsidRPr="008F1266" w:rsidR="00036B5A">
        <w:t xml:space="preserve">Davis </w:t>
      </w:r>
      <w:r w:rsidRPr="008F1266" w:rsidR="00185C8F">
        <w:t xml:space="preserve">waived Camacho’s presence for that </w:t>
      </w:r>
      <w:r w:rsidR="005D2535">
        <w:t>hearing</w:t>
      </w:r>
      <w:r w:rsidR="003C092A">
        <w:t xml:space="preserve"> and the court continued the case to June 21 to allow counsel to secure Camacho’s appearance by video conference</w:t>
      </w:r>
      <w:r w:rsidRPr="008F1266" w:rsidR="00185C8F">
        <w:t>.</w:t>
      </w:r>
      <w:r w:rsidRPr="008F1266" w:rsidR="00036B5A">
        <w:t xml:space="preserve">  </w:t>
      </w:r>
      <w:r w:rsidRPr="008F1266" w:rsidR="00012664">
        <w:t>Camacho did not appear on June 21,</w:t>
      </w:r>
      <w:r w:rsidRPr="008F1266" w:rsidR="00985B66">
        <w:t xml:space="preserve"> however,</w:t>
      </w:r>
      <w:r w:rsidRPr="008F1266" w:rsidR="00012664">
        <w:t xml:space="preserve"> and Davis waived his presence “for today’s hearing.”  </w:t>
      </w:r>
    </w:p>
    <w:p w:rsidR="00420175" w:rsidRPr="008F1266" w:rsidP="00301C3B" w14:paraId="4E931335" w14:textId="77777777">
      <w:pPr>
        <w:tabs>
          <w:tab w:val="left" w:pos="1440"/>
        </w:tabs>
        <w:ind w:firstLine="720"/>
      </w:pPr>
      <w:r w:rsidRPr="008F1266">
        <w:t>On July 5, 2018, the court held another in camera hearing</w:t>
      </w:r>
      <w:r w:rsidRPr="008F1266" w:rsidR="004B6EC6">
        <w:t xml:space="preserve">.  This time, </w:t>
      </w:r>
      <w:r w:rsidRPr="008F1266">
        <w:t xml:space="preserve">Camacho </w:t>
      </w:r>
      <w:r w:rsidRPr="008F1266" w:rsidR="00FA035A">
        <w:t>was present by</w:t>
      </w:r>
      <w:r w:rsidRPr="008F1266">
        <w:t xml:space="preserve"> video.  </w:t>
      </w:r>
      <w:r w:rsidRPr="008F1266" w:rsidR="00A52113">
        <w:t>The prosecutor did not appear</w:t>
      </w:r>
      <w:r w:rsidRPr="008F1266">
        <w:t xml:space="preserve">.  At the hearing, Davis told Camacho that he had “placed calls” to three </w:t>
      </w:r>
      <w:r w:rsidRPr="008F1266" w:rsidR="007376A0">
        <w:t>“</w:t>
      </w:r>
      <w:r w:rsidRPr="008F1266">
        <w:t>psychologists or psychiatrists</w:t>
      </w:r>
      <w:r w:rsidRPr="008F1266" w:rsidR="007376A0">
        <w:t xml:space="preserve"> .</w:t>
      </w:r>
      <w:r w:rsidRPr="008F1266" w:rsidR="000B52F2">
        <w:t> </w:t>
      </w:r>
      <w:r w:rsidRPr="008F1266" w:rsidR="007376A0">
        <w:t>.</w:t>
      </w:r>
      <w:r w:rsidRPr="008F1266" w:rsidR="000B52F2">
        <w:t> </w:t>
      </w:r>
      <w:r w:rsidRPr="008F1266" w:rsidR="007376A0">
        <w:t xml:space="preserve">. </w:t>
      </w:r>
      <w:r w:rsidRPr="008F1266">
        <w:t xml:space="preserve">well qualified to assist us in this case.”  </w:t>
      </w:r>
      <w:r w:rsidRPr="008F1266" w:rsidR="0074084B">
        <w:t>Camacho responded, “All right.”  Camacho then asked</w:t>
      </w:r>
      <w:r w:rsidRPr="008F1266" w:rsidR="00EF030D">
        <w:t xml:space="preserve"> if he should send Davis letters that staff members at the hospital wanted to write “in [his] behalf.”</w:t>
      </w:r>
      <w:r w:rsidRPr="008F1266" w:rsidR="0074084B">
        <w:t xml:space="preserve">  Davis said to “[g]o ahead” and asked if Camacho had his address.  Camacho confirmed he did.  </w:t>
      </w:r>
      <w:r w:rsidRPr="008F1266" w:rsidR="00561B2E">
        <w:t xml:space="preserve">The court then concluded, “All right. </w:t>
      </w:r>
      <w:r w:rsidR="00195E0C">
        <w:t xml:space="preserve"> </w:t>
      </w:r>
      <w:r w:rsidRPr="008F1266" w:rsidR="00561B2E">
        <w:t>I’ll find good cause to continue this to the 1</w:t>
      </w:r>
      <w:r w:rsidRPr="008F1266" w:rsidR="00097463">
        <w:t>6th</w:t>
      </w:r>
      <w:r w:rsidRPr="008F1266" w:rsidR="00561B2E">
        <w:t xml:space="preserve">?”  </w:t>
      </w:r>
      <w:r w:rsidRPr="008F1266" w:rsidR="00A42744">
        <w:t xml:space="preserve">And Davis confirmed, “Yes.” </w:t>
      </w:r>
    </w:p>
    <w:p w:rsidR="00973C33" w:rsidRPr="008F1266" w:rsidP="00301C3B" w14:paraId="4E931336" w14:textId="77777777">
      <w:pPr>
        <w:tabs>
          <w:tab w:val="left" w:pos="1440"/>
        </w:tabs>
        <w:ind w:firstLine="720"/>
      </w:pPr>
      <w:r w:rsidRPr="008F1266">
        <w:t>On September 20, 2018, the court held a</w:t>
      </w:r>
      <w:r w:rsidR="00A673D3">
        <w:t>nother</w:t>
      </w:r>
      <w:r w:rsidRPr="008F1266">
        <w:t xml:space="preserve"> hearing</w:t>
      </w:r>
      <w:r w:rsidR="00A673D3">
        <w:t>.</w:t>
      </w:r>
      <w:r w:rsidRPr="008F1266">
        <w:t xml:space="preserve">  Camacho was not present.  Davis made “an oral motion to continue the matter” and the </w:t>
      </w:r>
      <w:r w:rsidRPr="008F1266" w:rsidR="007F6379">
        <w:t xml:space="preserve">prosecutor </w:t>
      </w:r>
      <w:r w:rsidRPr="008F1266">
        <w:t>objected</w:t>
      </w:r>
      <w:r w:rsidRPr="008F1266" w:rsidR="000B52F2">
        <w:t> </w:t>
      </w:r>
      <w:r w:rsidRPr="008F1266">
        <w:t xml:space="preserve">— the first </w:t>
      </w:r>
      <w:r w:rsidRPr="008F1266" w:rsidR="002646DD">
        <w:t xml:space="preserve">recorded </w:t>
      </w:r>
      <w:r w:rsidRPr="008F1266">
        <w:t xml:space="preserve">objection to a continuance in the history of the case.  The court overruled the objection and </w:t>
      </w:r>
      <w:r w:rsidR="00A673D3">
        <w:t>scheduled</w:t>
      </w:r>
      <w:r w:rsidRPr="008F1266">
        <w:t xml:space="preserve"> a trial setting conference in October.</w:t>
      </w:r>
    </w:p>
    <w:p w:rsidR="0059554D" w:rsidRPr="008F1266" w:rsidP="00301C3B" w14:paraId="4E931337" w14:textId="77777777">
      <w:pPr>
        <w:tabs>
          <w:tab w:val="left" w:pos="1440"/>
        </w:tabs>
        <w:ind w:firstLine="720"/>
      </w:pPr>
      <w:r w:rsidRPr="008F1266">
        <w:t xml:space="preserve">The parties met again on October 4, 2018, </w:t>
      </w:r>
      <w:r w:rsidRPr="008F1266" w:rsidR="00E83A0C">
        <w:t xml:space="preserve">with Camacho </w:t>
      </w:r>
      <w:r w:rsidRPr="008F1266" w:rsidR="00973C33">
        <w:t>present</w:t>
      </w:r>
      <w:r w:rsidRPr="008F1266" w:rsidR="00E83A0C">
        <w:t xml:space="preserve"> </w:t>
      </w:r>
      <w:r w:rsidRPr="008F1266" w:rsidR="008F0DCC">
        <w:t>by</w:t>
      </w:r>
      <w:r w:rsidRPr="008F1266" w:rsidR="00E83A0C">
        <w:t xml:space="preserve"> video</w:t>
      </w:r>
      <w:r w:rsidRPr="008F1266" w:rsidR="008F0DCC">
        <w:t xml:space="preserve"> conference</w:t>
      </w:r>
      <w:r w:rsidRPr="008F1266" w:rsidR="00E83A0C">
        <w:t xml:space="preserve">.  </w:t>
      </w:r>
      <w:r w:rsidRPr="008F1266" w:rsidR="007D73D9">
        <w:t xml:space="preserve">The parties </w:t>
      </w:r>
      <w:r w:rsidRPr="008F1266" w:rsidR="007F6379">
        <w:t>discussed</w:t>
      </w:r>
      <w:r w:rsidRPr="008F1266" w:rsidR="007D73D9">
        <w:t xml:space="preserve"> setting a trial date.  Davis noted that Camacho “need[ed] to have additional evaluations” because the last doctors’ reports were from 2015.</w:t>
      </w:r>
      <w:r w:rsidRPr="008F1266" w:rsidR="00066885">
        <w:t xml:space="preserve">  </w:t>
      </w:r>
      <w:r w:rsidR="002F77B4">
        <w:t xml:space="preserve">Davis suggested March 5 for a jury trial.  The prosecutor noted he had another trial on that date, but stated he was “available several weeks before that.  And we are looking forward to moving this case forward to conclusion.”  </w:t>
      </w:r>
      <w:r w:rsidRPr="008F1266" w:rsidR="008D0F27">
        <w:t xml:space="preserve">Davis </w:t>
      </w:r>
      <w:r w:rsidR="002F77B4">
        <w:t xml:space="preserve">then </w:t>
      </w:r>
      <w:r w:rsidRPr="008F1266" w:rsidR="007B1F73">
        <w:t>suggested</w:t>
      </w:r>
      <w:r w:rsidRPr="008F1266" w:rsidR="008D0F27">
        <w:t xml:space="preserve"> April </w:t>
      </w:r>
      <w:r w:rsidRPr="008F1266" w:rsidR="007B1F73">
        <w:t>for trial</w:t>
      </w:r>
      <w:r w:rsidRPr="008F1266" w:rsidR="008D0F27">
        <w:t>, and the prosecutor stated, “just for the record, I can do this significantly earlier</w:t>
      </w:r>
      <w:r w:rsidR="00726EEF">
        <w:t>,”</w:t>
      </w:r>
      <w:r w:rsidRPr="008F1266" w:rsidR="008D0F27">
        <w:t xml:space="preserve"> and </w:t>
      </w:r>
      <w:r w:rsidR="00726EEF">
        <w:t>“</w:t>
      </w:r>
      <w:r w:rsidRPr="008F1266" w:rsidR="008D0F27">
        <w:t xml:space="preserve">I’m not trying to delay the trial.”  Davis said he understood but </w:t>
      </w:r>
      <w:r w:rsidRPr="008F1266" w:rsidR="00E02B5B">
        <w:t xml:space="preserve">that </w:t>
      </w:r>
      <w:r w:rsidRPr="008F1266" w:rsidR="008D0F27">
        <w:t>because of his preparation</w:t>
      </w:r>
      <w:r w:rsidRPr="008F1266" w:rsidR="004048B4">
        <w:t>,</w:t>
      </w:r>
      <w:r w:rsidRPr="008F1266" w:rsidR="008D0F27">
        <w:t xml:space="preserve"> April was best.  The court set a trial date for April 2</w:t>
      </w:r>
      <w:r w:rsidRPr="008F1266" w:rsidR="00D82158">
        <w:t xml:space="preserve"> and ordered monthly pretrial hearings.</w:t>
      </w:r>
      <w:r w:rsidRPr="008F1266" w:rsidR="008D0F27">
        <w:t xml:space="preserve">  </w:t>
      </w:r>
    </w:p>
    <w:p w:rsidR="00F538C0" w:rsidRPr="008F1266" w:rsidP="00301C3B" w14:paraId="4E931338" w14:textId="77777777">
      <w:pPr>
        <w:tabs>
          <w:tab w:val="left" w:pos="1440"/>
        </w:tabs>
        <w:ind w:firstLine="720"/>
      </w:pPr>
      <w:r w:rsidRPr="008F1266">
        <w:t>After the date was set, the prosecutor said that since Camacho was present</w:t>
      </w:r>
      <w:r w:rsidR="00726EEF">
        <w:t>,</w:t>
      </w:r>
      <w:r w:rsidRPr="008F1266">
        <w:t xml:space="preserve"> he wanted to “clear up a few things.”  </w:t>
      </w:r>
      <w:r w:rsidRPr="008F1266" w:rsidR="004048B4">
        <w:t>The prosecutor</w:t>
      </w:r>
      <w:r w:rsidRPr="008F1266">
        <w:t xml:space="preserve"> continued, “First off, the </w:t>
      </w:r>
      <w:r w:rsidRPr="008F1266" w:rsidR="00311314">
        <w:t>[</w:t>
      </w:r>
      <w:r w:rsidRPr="008F1266">
        <w:t>d</w:t>
      </w:r>
      <w:r w:rsidRPr="008F1266" w:rsidR="00311314">
        <w:t>]</w:t>
      </w:r>
      <w:r w:rsidRPr="008F1266">
        <w:t>efendant does have a right to a speedy trial in this matter within a reasonable time</w:t>
      </w:r>
      <w:r w:rsidRPr="008F1266" w:rsidR="00F751FD">
        <w:t xml:space="preserve"> </w:t>
      </w:r>
      <w:r w:rsidRPr="008F1266">
        <w:t>period</w:t>
      </w:r>
      <w:r w:rsidRPr="008F1266" w:rsidR="00C72152">
        <w:t>.</w:t>
      </w:r>
      <w:r w:rsidRPr="008F1266" w:rsidR="00311314">
        <w:t xml:space="preserve">  [¶] . . . [¶] </w:t>
      </w:r>
      <w:r w:rsidR="000058EE">
        <w:t xml:space="preserve"> </w:t>
      </w:r>
      <w:r w:rsidR="00FE15A5">
        <w:t xml:space="preserve">. . . </w:t>
      </w:r>
      <w:r w:rsidRPr="008F1266">
        <w:t xml:space="preserve"> However, my understanding is the [d]efendant, having these rights in mind, is consenting to this date in April because he feels it’s in his best interests.”  Davis responded that he had not “had a chance to discuss all of the things that </w:t>
      </w:r>
      <w:r w:rsidRPr="008F1266" w:rsidR="00C7291A">
        <w:t xml:space="preserve">[he] </w:t>
      </w:r>
      <w:r w:rsidRPr="008F1266">
        <w:t>need</w:t>
      </w:r>
      <w:r w:rsidRPr="008F1266" w:rsidR="00C7291A">
        <w:t>[ed]</w:t>
      </w:r>
      <w:r w:rsidRPr="008F1266">
        <w:t xml:space="preserve"> to discuss with [Camacho]” and asked the court to order that Camacho be permitted to give Davis a phone call the next week to “go over all the issues necessary.”  The court asked if Camacho had heard everything and addressed Camacho directly as he summarized that the parties would reconvene two weeks later, so that “Mr. Davis can talk to you in more detail about what he’s planning to do regarding your defense.  And at that time you can decide if you want to ask for a speedy trial or if you’re agreeable to putting it out longer, which is what has happened so far. </w:t>
      </w:r>
      <w:r w:rsidRPr="008F1266" w:rsidR="00311314">
        <w:t xml:space="preserve"> [¶]  </w:t>
      </w:r>
      <w:r w:rsidRPr="008F1266">
        <w:t xml:space="preserve">But so far you’re okay with everything?”  Camacho </w:t>
      </w:r>
      <w:r w:rsidRPr="008F1266" w:rsidR="00C7291A">
        <w:t>replied, “Yes</w:t>
      </w:r>
      <w:r w:rsidRPr="008F1266">
        <w:t>.</w:t>
      </w:r>
      <w:r w:rsidRPr="008F1266" w:rsidR="00C7291A">
        <w:t>”</w:t>
      </w:r>
    </w:p>
    <w:p w:rsidR="004271F7" w:rsidRPr="008F1266" w:rsidP="00301C3B" w14:paraId="4E931339" w14:textId="77777777">
      <w:pPr>
        <w:tabs>
          <w:tab w:val="left" w:pos="1440"/>
        </w:tabs>
        <w:ind w:firstLine="720"/>
      </w:pPr>
      <w:r w:rsidRPr="008F1266">
        <w:t>The court called Camacho’s case again two weeks later</w:t>
      </w:r>
      <w:r w:rsidRPr="008F1266" w:rsidR="006123B5">
        <w:t>, on October 18, 2018.</w:t>
      </w:r>
      <w:r w:rsidRPr="008F1266">
        <w:t xml:space="preserve">  </w:t>
      </w:r>
      <w:r w:rsidRPr="008F1266" w:rsidR="006D6E49">
        <w:t xml:space="preserve">Davis began the hearing by stating that Camacho </w:t>
      </w:r>
      <w:r w:rsidRPr="008F1266" w:rsidR="0059554D">
        <w:t>“</w:t>
      </w:r>
      <w:r w:rsidRPr="008F1266" w:rsidR="006D6E49">
        <w:t>doesn’t want to waive any more time</w:t>
      </w:r>
      <w:r w:rsidRPr="008F1266" w:rsidR="00F60276">
        <w:t>.</w:t>
      </w:r>
      <w:r w:rsidRPr="008F1266" w:rsidR="006D6E49">
        <w:t>”</w:t>
      </w:r>
      <w:r w:rsidRPr="008F1266" w:rsidR="00A55374">
        <w:t xml:space="preserve"> </w:t>
      </w:r>
      <w:r w:rsidRPr="008F1266" w:rsidR="00B22414">
        <w:t xml:space="preserve"> </w:t>
      </w:r>
      <w:r w:rsidRPr="008F1266" w:rsidR="00A55374">
        <w:t>Davis</w:t>
      </w:r>
      <w:r w:rsidRPr="008F1266" w:rsidR="00B22414">
        <w:t xml:space="preserve"> </w:t>
      </w:r>
      <w:r w:rsidRPr="008F1266" w:rsidR="00A05EBD">
        <w:t xml:space="preserve">referred to the Court of Appeal’s then-recent decision in </w:t>
      </w:r>
      <w:r w:rsidRPr="008F1266" w:rsidR="00A05EBD">
        <w:rPr>
          <w:i/>
          <w:iCs/>
        </w:rPr>
        <w:t xml:space="preserve">People v. Superior Court (Vasquez) </w:t>
      </w:r>
      <w:r w:rsidRPr="008F1266" w:rsidR="00A05EBD">
        <w:t>(2018) 27 Cal.App.5th 36</w:t>
      </w:r>
      <w:r w:rsidR="00996767">
        <w:t xml:space="preserve"> </w:t>
      </w:r>
      <w:r w:rsidRPr="008F1266" w:rsidR="00A05EBD">
        <w:t>(</w:t>
      </w:r>
      <w:r w:rsidRPr="008F1266" w:rsidR="00A05EBD">
        <w:rPr>
          <w:i/>
          <w:iCs/>
        </w:rPr>
        <w:t>Vasquez</w:t>
      </w:r>
      <w:r w:rsidRPr="008F1266" w:rsidR="00A05EBD">
        <w:t xml:space="preserve">), which upheld </w:t>
      </w:r>
      <w:r w:rsidRPr="008F1266" w:rsidR="003E7889">
        <w:t xml:space="preserve">the trial court’s determination that a </w:t>
      </w:r>
      <w:r w:rsidRPr="008F1266" w:rsidR="00311314">
        <w:t>17</w:t>
      </w:r>
      <w:r w:rsidRPr="008F1266" w:rsidR="003E7889">
        <w:t>-year delay in holding an SVP trial violated due process</w:t>
      </w:r>
      <w:r w:rsidR="00A673D3">
        <w:t xml:space="preserve"> because </w:t>
      </w:r>
      <w:r w:rsidRPr="008F1266" w:rsidR="00A6344F">
        <w:t xml:space="preserve">the delay had been caused by a </w:t>
      </w:r>
      <w:r w:rsidRPr="008F1266" w:rsidR="003E7889">
        <w:t>“</w:t>
      </w:r>
      <w:r w:rsidRPr="008F1266" w:rsidR="00F53169">
        <w:t> ‘ “</w:t>
      </w:r>
      <w:r w:rsidRPr="008F1266" w:rsidR="003E7889">
        <w:t>breakdown in the public defender system</w:t>
      </w:r>
      <w:r w:rsidRPr="008F1266" w:rsidR="00A6344F">
        <w:t>.</w:t>
      </w:r>
      <w:r w:rsidRPr="008F1266" w:rsidR="00F53169">
        <w:t>” ’ </w:t>
      </w:r>
      <w:r w:rsidRPr="008F1266" w:rsidR="003E7889">
        <w:t xml:space="preserve">” </w:t>
      </w:r>
      <w:r w:rsidRPr="008F1266" w:rsidR="009C7C8F">
        <w:t xml:space="preserve"> </w:t>
      </w:r>
      <w:r w:rsidR="00996767">
        <w:t>(</w:t>
      </w:r>
      <w:r w:rsidRPr="00913BFF" w:rsidR="00913BFF">
        <w:rPr>
          <w:i/>
          <w:iCs/>
        </w:rPr>
        <w:t>Id.</w:t>
      </w:r>
      <w:r w:rsidR="00996767">
        <w:t xml:space="preserve"> at p.</w:t>
      </w:r>
      <w:r w:rsidR="00195E0C">
        <w:t> </w:t>
      </w:r>
      <w:r w:rsidR="00996767">
        <w:t xml:space="preserve">41.)  </w:t>
      </w:r>
      <w:r w:rsidRPr="00996767" w:rsidR="00B22414">
        <w:t>The</w:t>
      </w:r>
      <w:r w:rsidRPr="008F1266" w:rsidR="00B22414">
        <w:t xml:space="preserve"> prosecutor responded </w:t>
      </w:r>
      <w:r w:rsidRPr="008F1266" w:rsidR="007D21F6">
        <w:t>he</w:t>
      </w:r>
      <w:r w:rsidRPr="008F1266" w:rsidR="00B22414">
        <w:t xml:space="preserve"> would not object to “resetting the trial within 60 days of toda</w:t>
      </w:r>
      <w:r w:rsidRPr="008F1266" w:rsidR="00AF37EB">
        <w:t>y</w:t>
      </w:r>
      <w:r w:rsidRPr="008F1266" w:rsidR="00F60276">
        <w:t>.</w:t>
      </w:r>
      <w:r w:rsidRPr="008F1266" w:rsidR="00AF37EB">
        <w:t xml:space="preserve">” </w:t>
      </w:r>
    </w:p>
    <w:p w:rsidR="00A32CFF" w:rsidRPr="008F1266" w:rsidP="00301C3B" w14:paraId="4E93133A" w14:textId="77777777">
      <w:pPr>
        <w:tabs>
          <w:tab w:val="left" w:pos="1440"/>
        </w:tabs>
        <w:ind w:firstLine="720"/>
      </w:pPr>
      <w:r w:rsidRPr="008F1266">
        <w:t xml:space="preserve">Camacho reiterated that he wanted “to apply this </w:t>
      </w:r>
      <w:r w:rsidRPr="008F1266">
        <w:rPr>
          <w:i/>
          <w:iCs/>
        </w:rPr>
        <w:t xml:space="preserve">Vasquez </w:t>
      </w:r>
      <w:r w:rsidRPr="008F1266">
        <w:t>case.”</w:t>
      </w:r>
      <w:r w:rsidRPr="008F1266" w:rsidR="00BE0606">
        <w:t xml:space="preserve">  </w:t>
      </w:r>
      <w:r w:rsidRPr="008F1266" w:rsidR="00030301">
        <w:t xml:space="preserve">Davis stated he was “assuming that means he wants another attorney,” and Camacho confirmed.  </w:t>
      </w:r>
      <w:r w:rsidRPr="008F1266" w:rsidR="00857052">
        <w:t>Davis noted, “</w:t>
      </w:r>
      <w:r w:rsidRPr="008F1266" w:rsidR="00857052">
        <w:rPr>
          <w:i/>
          <w:iCs/>
        </w:rPr>
        <w:t xml:space="preserve">Vasquez </w:t>
      </w:r>
      <w:r w:rsidRPr="008F1266" w:rsidR="00857052">
        <w:t>does create some interesting issues</w:t>
      </w:r>
      <w:r w:rsidRPr="008F1266" w:rsidR="00B23D1F">
        <w:t xml:space="preserve"> </w:t>
      </w:r>
      <w:r w:rsidRPr="008F1266" w:rsidR="00864050">
        <w:t>. . </w:t>
      </w:r>
      <w:r w:rsidRPr="008F1266" w:rsidR="00B23D1F">
        <w:t xml:space="preserve">. </w:t>
      </w:r>
      <w:r w:rsidRPr="008F1266" w:rsidR="00857052">
        <w:t xml:space="preserve">part of the problem is that there is a systemic logistical problem </w:t>
      </w:r>
      <w:r w:rsidRPr="008F1266" w:rsidR="006C4193">
        <w:t>.</w:t>
      </w:r>
      <w:r w:rsidRPr="008F1266" w:rsidR="00B23D1F">
        <w:t> </w:t>
      </w:r>
      <w:r w:rsidRPr="008F1266" w:rsidR="006C4193">
        <w:t>.</w:t>
      </w:r>
      <w:r w:rsidRPr="008F1266" w:rsidR="00B23D1F">
        <w:t> </w:t>
      </w:r>
      <w:r w:rsidRPr="008F1266" w:rsidR="006C4193">
        <w:t xml:space="preserve">. </w:t>
      </w:r>
      <w:r w:rsidRPr="008F1266" w:rsidR="00857052">
        <w:t xml:space="preserve">everybody that has one of these petitions pending is held at Coalinga, which is a hundred miles from anywhere.  Literally, anywhere else in the state.” </w:t>
      </w:r>
    </w:p>
    <w:p w:rsidR="00F538C0" w:rsidRPr="008F1266" w:rsidP="00301C3B" w14:paraId="4E93133B" w14:textId="77777777">
      <w:pPr>
        <w:tabs>
          <w:tab w:val="left" w:pos="1440"/>
        </w:tabs>
        <w:ind w:firstLine="720"/>
      </w:pPr>
      <w:r w:rsidRPr="008F1266">
        <w:t xml:space="preserve">Davis </w:t>
      </w:r>
      <w:r w:rsidRPr="008F1266" w:rsidR="00864050">
        <w:t xml:space="preserve">stated </w:t>
      </w:r>
      <w:r w:rsidRPr="008F1266">
        <w:t>that “another issue” was that Camacho was “not sure that he wants to be brought to the county jail.”  The prosecutor again suggested that they set trial within 60 days.  The court said it sounded like it was Camacho’s “desire to have a speedy trial in the matter” and they could set trial within 60 days and “come back in two weeks for a readiness conference.”</w:t>
      </w:r>
      <w:r w:rsidR="002F77B4">
        <w:t xml:space="preserve">  </w:t>
      </w:r>
      <w:r w:rsidRPr="002F77B4" w:rsidR="002F77B4">
        <w:t>Davis asked Camacho, “Do you want to be here in Merced County?”  Camacho responded, “No.  No.  [¶]  .</w:t>
      </w:r>
      <w:r w:rsidR="00195E0C">
        <w:t> </w:t>
      </w:r>
      <w:r w:rsidRPr="002F77B4" w:rsidR="002F77B4">
        <w:t>.</w:t>
      </w:r>
      <w:r w:rsidR="00195E0C">
        <w:t> </w:t>
      </w:r>
      <w:r w:rsidR="00A542E9">
        <w:t>.</w:t>
      </w:r>
      <w:r w:rsidRPr="002F77B4" w:rsidR="002F77B4">
        <w:t xml:space="preserve">  [¶]  I want to stay here in Coalinga.  [¶] .</w:t>
      </w:r>
      <w:r w:rsidR="00195E0C">
        <w:t> </w:t>
      </w:r>
      <w:r w:rsidRPr="002F77B4" w:rsidR="002F77B4">
        <w:t>.</w:t>
      </w:r>
      <w:r w:rsidR="00195E0C">
        <w:t> </w:t>
      </w:r>
      <w:r w:rsidRPr="002F77B4" w:rsidR="002F77B4">
        <w:t>.  [¶]  .</w:t>
      </w:r>
      <w:r w:rsidR="00195E0C">
        <w:t> </w:t>
      </w:r>
      <w:r w:rsidRPr="002F77B4" w:rsidR="002F77B4">
        <w:t>.</w:t>
      </w:r>
      <w:r w:rsidR="00195E0C">
        <w:t> </w:t>
      </w:r>
      <w:r w:rsidRPr="002F77B4" w:rsidR="002F77B4">
        <w:t>.  I mean, how long is the trial going to be?  If it’s gonna be a while, then, yeah, I’ll go to the county [jail].  But if it’s just gonna be a ready conference, then send me back.”  Davis and Camacho ultimately agreed to decide about transportation later and keep the April trial date.</w:t>
      </w:r>
      <w:r w:rsidR="002F77B4">
        <w:t xml:space="preserve">  </w:t>
      </w:r>
      <w:r w:rsidRPr="008F1266" w:rsidR="00A32CFF">
        <w:t>The</w:t>
      </w:r>
      <w:r w:rsidRPr="008F1266" w:rsidR="0038606E">
        <w:t xml:space="preserve"> prosecutor</w:t>
      </w:r>
      <w:r w:rsidRPr="008F1266" w:rsidR="00A32CFF">
        <w:t xml:space="preserve"> then</w:t>
      </w:r>
      <w:r w:rsidRPr="008F1266" w:rsidR="0038606E">
        <w:t xml:space="preserve"> reiterated that since “the defendant is requesting a speedy trial” he had no objection to “advancing [trial] to December 1</w:t>
      </w:r>
      <w:r w:rsidRPr="008F1266" w:rsidR="000163D4">
        <w:t xml:space="preserve">1th </w:t>
      </w:r>
      <w:r w:rsidRPr="008F1266" w:rsidR="0038606E">
        <w:t xml:space="preserve">which is within 60 days of today.”  </w:t>
      </w:r>
      <w:r w:rsidRPr="008F1266" w:rsidR="00D12A7E">
        <w:t>The court set trial for December 11</w:t>
      </w:r>
      <w:r w:rsidRPr="008F1266" w:rsidR="009C42F1">
        <w:t>.</w:t>
      </w:r>
      <w:r w:rsidRPr="008F1266" w:rsidR="00D12A7E">
        <w:t xml:space="preserve"> </w:t>
      </w:r>
    </w:p>
    <w:p w:rsidR="003C44DA" w:rsidRPr="008F1266" w:rsidP="00301C3B" w14:paraId="4E93133C" w14:textId="77777777">
      <w:pPr>
        <w:tabs>
          <w:tab w:val="left" w:pos="1440"/>
        </w:tabs>
        <w:ind w:firstLine="720"/>
      </w:pPr>
      <w:r w:rsidRPr="008F1266">
        <w:t>On November 6, 2018, the court held a readiness conference that began with Davis informing the court that Camacho wanted to “go ahead and make an oral motion .</w:t>
      </w:r>
      <w:r w:rsidRPr="008F1266" w:rsidR="00B23D1F">
        <w:t> </w:t>
      </w:r>
      <w:r w:rsidRPr="008F1266">
        <w:t>.</w:t>
      </w:r>
      <w:r w:rsidRPr="008F1266" w:rsidR="00B23D1F">
        <w:t> </w:t>
      </w:r>
      <w:r w:rsidRPr="008F1266">
        <w:t xml:space="preserve">. to dismiss for a lack of prosecution.”  The court agreed with Davis’s recommendation to refer the motion to a different </w:t>
      </w:r>
      <w:r w:rsidRPr="008F1266" w:rsidR="00A80C64">
        <w:t>law firm</w:t>
      </w:r>
      <w:r w:rsidRPr="008F1266" w:rsidR="00C55F75">
        <w:t xml:space="preserve">, </w:t>
      </w:r>
      <w:r w:rsidRPr="008F1266" w:rsidR="00A80C64">
        <w:t>Fitzgerald, Alvarez &amp;</w:t>
      </w:r>
      <w:r w:rsidRPr="008F1266">
        <w:t xml:space="preserve"> Ciummo</w:t>
      </w:r>
      <w:r w:rsidRPr="008F1266" w:rsidR="00C55F75">
        <w:t>, in order</w:t>
      </w:r>
      <w:r w:rsidRPr="008F1266" w:rsidR="00A80C64">
        <w:t xml:space="preserve"> </w:t>
      </w:r>
      <w:r w:rsidRPr="008F1266">
        <w:t>“to look into Mr.</w:t>
      </w:r>
      <w:r w:rsidR="009914EF">
        <w:t> </w:t>
      </w:r>
      <w:r w:rsidRPr="008F1266">
        <w:t xml:space="preserve">Camacho’s claims pursuant to the </w:t>
      </w:r>
      <w:r w:rsidRPr="008F1266">
        <w:rPr>
          <w:i/>
          <w:iCs/>
        </w:rPr>
        <w:t xml:space="preserve">Vasquez </w:t>
      </w:r>
      <w:r w:rsidRPr="008F1266">
        <w:t>case</w:t>
      </w:r>
      <w:r w:rsidRPr="008F1266" w:rsidR="000746A2">
        <w:t xml:space="preserve">.”  </w:t>
      </w:r>
    </w:p>
    <w:p w:rsidR="00BE1A39" w:rsidRPr="008F1266" w:rsidP="00301C3B" w14:paraId="4E93133D" w14:textId="77777777">
      <w:pPr>
        <w:tabs>
          <w:tab w:val="left" w:pos="1440"/>
        </w:tabs>
        <w:ind w:firstLine="720"/>
      </w:pPr>
      <w:r w:rsidRPr="008F1266">
        <w:t xml:space="preserve">On November 29, 2018, Davis declared a conflict and was relieved by the court.  </w:t>
      </w:r>
      <w:r w:rsidRPr="008F1266" w:rsidR="00226130">
        <w:t xml:space="preserve">Fitzgerald, Alvarez &amp; Ciummo </w:t>
      </w:r>
      <w:r w:rsidRPr="008F1266">
        <w:t>became Camacho’s</w:t>
      </w:r>
      <w:r w:rsidRPr="008F1266" w:rsidR="00AF71F3">
        <w:t xml:space="preserve"> </w:t>
      </w:r>
      <w:r w:rsidRPr="008F1266">
        <w:t>defense counsel</w:t>
      </w:r>
      <w:r w:rsidRPr="008F1266" w:rsidR="00AF71F3">
        <w:t xml:space="preserve"> for all purposes</w:t>
      </w:r>
      <w:r w:rsidRPr="008F1266">
        <w:t xml:space="preserve">.  </w:t>
      </w:r>
    </w:p>
    <w:p w:rsidR="006F7CE0" w:rsidRPr="008F1266" w:rsidP="00301C3B" w14:paraId="4E93133E" w14:textId="77777777">
      <w:pPr>
        <w:tabs>
          <w:tab w:val="left" w:pos="720"/>
        </w:tabs>
        <w:ind w:firstLine="720"/>
      </w:pPr>
      <w:r w:rsidRPr="008F1266">
        <w:t>On March 11, 2021, Camacho filed a motion to dismiss</w:t>
      </w:r>
      <w:r w:rsidRPr="008F1266" w:rsidR="00A92DC5">
        <w:t xml:space="preserve"> the </w:t>
      </w:r>
      <w:r w:rsidRPr="008F1266" w:rsidR="004270D5">
        <w:t xml:space="preserve">2006 </w:t>
      </w:r>
      <w:r w:rsidRPr="008F1266" w:rsidR="00A92DC5">
        <w:t>petition to extend commitment</w:t>
      </w:r>
      <w:r w:rsidRPr="008F1266" w:rsidR="00646D13">
        <w:t xml:space="preserve">, claiming </w:t>
      </w:r>
      <w:r w:rsidRPr="008F1266" w:rsidR="00A92DC5">
        <w:t>his right to due process had been violated “due to the excessive delay in bringing his matter to trial</w:t>
      </w:r>
      <w:r w:rsidRPr="008F1266" w:rsidR="00395249">
        <w:t>.”</w:t>
      </w:r>
      <w:r w:rsidRPr="008F1266">
        <w:t xml:space="preserve"> </w:t>
      </w:r>
      <w:r w:rsidR="009914EF">
        <w:t xml:space="preserve"> </w:t>
      </w:r>
      <w:r w:rsidRPr="008F1266" w:rsidR="002D6313">
        <w:t>T</w:t>
      </w:r>
      <w:r w:rsidRPr="008F1266" w:rsidR="00F17A66">
        <w:t>he trial court denied the motion to dismiss</w:t>
      </w:r>
      <w:r w:rsidRPr="008F1266" w:rsidR="009C7C8F">
        <w:t xml:space="preserve">, describing the </w:t>
      </w:r>
      <w:r w:rsidR="00A673D3">
        <w:t xml:space="preserve">pretrial delay </w:t>
      </w:r>
      <w:r w:rsidRPr="008F1266" w:rsidR="009C7C8F">
        <w:t>as “troubling</w:t>
      </w:r>
      <w:r w:rsidRPr="008F1266" w:rsidR="00F53169">
        <w:t>,</w:t>
      </w:r>
      <w:r w:rsidRPr="008F1266" w:rsidR="009C7C8F">
        <w:t>” but finding that “most of that [delay] is attributable to Mr.</w:t>
      </w:r>
      <w:r w:rsidRPr="008F1266" w:rsidR="00B23D1F">
        <w:t> </w:t>
      </w:r>
      <w:r w:rsidRPr="008F1266" w:rsidR="009C7C8F">
        <w:t>Camacho or his counsel</w:t>
      </w:r>
      <w:r w:rsidRPr="008F1266" w:rsidR="00FF3C45">
        <w:t>.</w:t>
      </w:r>
      <w:r w:rsidRPr="008F1266" w:rsidR="009C7C8F">
        <w:t>”</w:t>
      </w:r>
      <w:r w:rsidRPr="008F1266" w:rsidR="00FF3C45">
        <w:t xml:space="preserve">  </w:t>
      </w:r>
      <w:r w:rsidRPr="008F1266" w:rsidR="0085374C">
        <w:t xml:space="preserve">Camacho </w:t>
      </w:r>
      <w:r w:rsidRPr="008F1266" w:rsidR="002D6313">
        <w:t xml:space="preserve">then </w:t>
      </w:r>
      <w:r w:rsidRPr="008F1266" w:rsidR="0085374C">
        <w:t>filed a</w:t>
      </w:r>
      <w:r w:rsidR="00996767">
        <w:t>n original</w:t>
      </w:r>
      <w:r w:rsidRPr="008F1266" w:rsidR="0085374C">
        <w:t xml:space="preserve"> petition for a writ of mandate in the Court of Appeal.</w:t>
      </w:r>
      <w:r w:rsidRPr="008F1266" w:rsidR="00711D5D">
        <w:t xml:space="preserve">  </w:t>
      </w:r>
    </w:p>
    <w:p w:rsidR="009A5085" w:rsidP="00996767" w14:paraId="4E93133F" w14:textId="77777777">
      <w:pPr>
        <w:tabs>
          <w:tab w:val="left" w:pos="1440"/>
        </w:tabs>
        <w:ind w:firstLine="720"/>
      </w:pPr>
      <w:r w:rsidRPr="008F1266">
        <w:t>T</w:t>
      </w:r>
      <w:r w:rsidRPr="008F1266" w:rsidR="006F7CE0">
        <w:t>he Court of Appeal denied Camacho</w:t>
      </w:r>
      <w:r w:rsidRPr="008F1266" w:rsidR="0033390B">
        <w:t>’s</w:t>
      </w:r>
      <w:r w:rsidRPr="008F1266">
        <w:t xml:space="preserve"> writ</w:t>
      </w:r>
      <w:r w:rsidRPr="008F1266" w:rsidR="0033390B">
        <w:t xml:space="preserve"> </w:t>
      </w:r>
      <w:r w:rsidRPr="008F1266">
        <w:t>petition in an unpublished opinio</w:t>
      </w:r>
      <w:r w:rsidRPr="008F1266" w:rsidR="00364DDC">
        <w:t>n,</w:t>
      </w:r>
      <w:r w:rsidRPr="008F1266" w:rsidR="008E4DAA">
        <w:t xml:space="preserve"> finding that although “ ‘substantial delays weigh in </w:t>
      </w:r>
      <w:r w:rsidRPr="008F1266" w:rsidR="007E43D0">
        <w:t>[</w:t>
      </w:r>
      <w:r w:rsidRPr="008F1266" w:rsidR="008E4DAA">
        <w:t>Camacho</w:t>
      </w:r>
      <w:r w:rsidRPr="008F1266" w:rsidR="007E43D0">
        <w:t>]</w:t>
      </w:r>
      <w:r w:rsidRPr="008F1266" w:rsidR="008E4DAA">
        <w:t>’s favor’</w:t>
      </w:r>
      <w:r w:rsidR="00913BFF">
        <w:t xml:space="preserve"> . . .  </w:t>
      </w:r>
      <w:r w:rsidRPr="008F1266" w:rsidR="007E43D0">
        <w:t xml:space="preserve">[¶]  . . .  [¶] </w:t>
      </w:r>
      <w:r w:rsidRPr="008F1266" w:rsidR="00E32609">
        <w:t xml:space="preserve"> </w:t>
      </w:r>
      <w:r w:rsidRPr="008F1266" w:rsidR="008E4DAA">
        <w:t>. . .</w:t>
      </w:r>
      <w:r w:rsidRPr="008F1266" w:rsidR="007E43D0">
        <w:t xml:space="preserve"> </w:t>
      </w:r>
      <w:r w:rsidRPr="008F1266" w:rsidR="008E4DAA">
        <w:t>the record shows the delay was at Camacho’s request or agreement</w:t>
      </w:r>
      <w:r w:rsidRPr="008F1266" w:rsidR="00C24406">
        <w:t>,</w:t>
      </w:r>
      <w:r w:rsidRPr="008F1266" w:rsidR="008E4DAA">
        <w:t>”</w:t>
      </w:r>
      <w:r w:rsidRPr="008F1266" w:rsidR="00C24406">
        <w:t xml:space="preserve"> such that his right to due process was not violated.</w:t>
      </w:r>
      <w:r w:rsidRPr="008F1266" w:rsidR="00914979">
        <w:t xml:space="preserve">  </w:t>
      </w:r>
      <w:r w:rsidRPr="008F1266" w:rsidR="008E4DAA">
        <w:t xml:space="preserve">The court </w:t>
      </w:r>
      <w:r w:rsidRPr="008F1266" w:rsidR="00A578FB">
        <w:t xml:space="preserve">explained </w:t>
      </w:r>
      <w:r w:rsidRPr="008F1266" w:rsidR="008E4DAA">
        <w:t>that “[u]p to October 18, 2018, Camacho waived time repeatedly and requested or acquiesced to the numerous continuances, either in person or through his attorney.”</w:t>
      </w:r>
      <w:r w:rsidRPr="008F1266" w:rsidR="00A41BD3">
        <w:t xml:space="preserve"> </w:t>
      </w:r>
      <w:r w:rsidR="007327BF">
        <w:t xml:space="preserve"> </w:t>
      </w:r>
      <w:r w:rsidRPr="008F1266" w:rsidR="0088664B">
        <w:t>A</w:t>
      </w:r>
      <w:r w:rsidRPr="008F1266" w:rsidR="00E372BC">
        <w:t xml:space="preserve">lthough the </w:t>
      </w:r>
      <w:r w:rsidRPr="008F1266" w:rsidR="00663B4E">
        <w:t xml:space="preserve">continuance </w:t>
      </w:r>
      <w:r w:rsidRPr="008F1266" w:rsidR="00E372BC">
        <w:t>requests were made by counsel</w:t>
      </w:r>
      <w:r w:rsidR="003C092A">
        <w:t xml:space="preserve"> without Camacho present</w:t>
      </w:r>
      <w:r w:rsidRPr="008F1266" w:rsidR="00E372BC">
        <w:t xml:space="preserve">, the </w:t>
      </w:r>
      <w:r w:rsidRPr="008F1266" w:rsidR="00711B59">
        <w:t>court cited the “</w:t>
      </w:r>
      <w:r w:rsidRPr="008F1266" w:rsidR="007E43D0">
        <w:t> ‘</w:t>
      </w:r>
      <w:r w:rsidRPr="008F1266" w:rsidR="00711B59">
        <w:t>general rule</w:t>
      </w:r>
      <w:r w:rsidRPr="008F1266" w:rsidR="007E43D0">
        <w:t>’ </w:t>
      </w:r>
      <w:r w:rsidRPr="008F1266" w:rsidR="00711B59">
        <w:t>” that “</w:t>
      </w:r>
      <w:r w:rsidRPr="008F1266" w:rsidR="00B23D1F">
        <w:t> </w:t>
      </w:r>
      <w:r w:rsidRPr="008F1266" w:rsidR="00711B59">
        <w:t>‘</w:t>
      </w:r>
      <w:r w:rsidRPr="008F1266" w:rsidR="007E43D0">
        <w:t> “</w:t>
      </w:r>
      <w:r w:rsidRPr="008F1266" w:rsidR="00711B59">
        <w:t>delays caused by defense counsel are properly attributed to the defendant, even where counsel is assigned.</w:t>
      </w:r>
      <w:r w:rsidRPr="008F1266" w:rsidR="007E43D0">
        <w:t>” </w:t>
      </w:r>
      <w:r w:rsidRPr="008F1266" w:rsidR="00711B59">
        <w:t>’</w:t>
      </w:r>
      <w:r w:rsidRPr="008F1266" w:rsidR="00B23D1F">
        <w:t> </w:t>
      </w:r>
      <w:r w:rsidRPr="008F1266" w:rsidR="00711B59">
        <w:t xml:space="preserve">”  </w:t>
      </w:r>
      <w:r w:rsidRPr="008F1266" w:rsidR="00422470">
        <w:t xml:space="preserve">The court further opined </w:t>
      </w:r>
      <w:r w:rsidRPr="008F1266" w:rsidR="00567614">
        <w:t>that while the length of Camacho’s pretrial incarceration “</w:t>
      </w:r>
      <w:r w:rsidRPr="008F1266" w:rsidR="00B23D1F">
        <w:t> </w:t>
      </w:r>
      <w:r w:rsidRPr="008F1266" w:rsidR="00567614">
        <w:t>‘constitutes some degree of prejudice,’</w:t>
      </w:r>
      <w:r w:rsidRPr="008F1266" w:rsidR="00B23D1F">
        <w:t> </w:t>
      </w:r>
      <w:r w:rsidRPr="008F1266" w:rsidR="00567614">
        <w:t xml:space="preserve">” </w:t>
      </w:r>
      <w:r w:rsidRPr="008F1266" w:rsidR="00422470">
        <w:t>the delay had not prejudiced Camacho</w:t>
      </w:r>
      <w:r w:rsidRPr="008F1266" w:rsidR="009469E1">
        <w:t>’s defense</w:t>
      </w:r>
      <w:r w:rsidRPr="008F1266" w:rsidR="00422470">
        <w:t>, reasoning that “the passage of time improved Camacho’s prospects:</w:t>
      </w:r>
      <w:r w:rsidRPr="008F1266" w:rsidR="007E43D0">
        <w:t xml:space="preserve"> </w:t>
      </w:r>
      <w:r w:rsidRPr="008F1266" w:rsidR="00422470">
        <w:t xml:space="preserve"> </w:t>
      </w:r>
      <w:r w:rsidR="00A54F34">
        <w:t>t</w:t>
      </w:r>
      <w:r w:rsidRPr="008F1266" w:rsidR="00422470">
        <w:t>he first medical evaluation opining that he no longer satisfied [</w:t>
      </w:r>
      <w:r w:rsidRPr="008F1266" w:rsidR="00145346">
        <w:t xml:space="preserve">the </w:t>
      </w:r>
      <w:r w:rsidRPr="008F1266" w:rsidR="00422470">
        <w:t xml:space="preserve">criteria for commitment] was prepared” in 2015.  </w:t>
      </w:r>
    </w:p>
    <w:p w:rsidR="00EF2E39" w:rsidRPr="008F1266" w:rsidP="00301C3B" w14:paraId="4E931340" w14:textId="77777777">
      <w:pPr>
        <w:tabs>
          <w:tab w:val="left" w:pos="1440"/>
        </w:tabs>
        <w:jc w:val="center"/>
        <w:rPr>
          <w:b/>
          <w:bCs/>
          <w:szCs w:val="26"/>
        </w:rPr>
      </w:pPr>
      <w:r w:rsidRPr="008F1266">
        <w:rPr>
          <w:b/>
          <w:bCs/>
          <w:szCs w:val="26"/>
        </w:rPr>
        <w:t>II.</w:t>
      </w:r>
    </w:p>
    <w:p w:rsidR="00A266CC" w:rsidRPr="008F1266" w:rsidP="00301C3B" w14:paraId="4E931341" w14:textId="77777777">
      <w:pPr>
        <w:tabs>
          <w:tab w:val="left" w:pos="1440"/>
        </w:tabs>
        <w:ind w:firstLine="720"/>
        <w:rPr>
          <w:szCs w:val="26"/>
        </w:rPr>
      </w:pPr>
      <w:r w:rsidRPr="008F1266">
        <w:t xml:space="preserve">The issue </w:t>
      </w:r>
      <w:r w:rsidR="00B8133E">
        <w:t xml:space="preserve">of SVP trial delays </w:t>
      </w:r>
      <w:r w:rsidRPr="008F1266">
        <w:t xml:space="preserve">is not new.  </w:t>
      </w:r>
      <w:r w:rsidRPr="008F1266" w:rsidR="008D677D">
        <w:t>Nearly 20 years ago, courts began to raise concerns that</w:t>
      </w:r>
      <w:r w:rsidRPr="008F1266" w:rsidR="000E63CA">
        <w:t xml:space="preserve"> </w:t>
      </w:r>
      <w:r w:rsidRPr="008F1266" w:rsidR="008D677D">
        <w:t xml:space="preserve">significant pretrial delays </w:t>
      </w:r>
      <w:r w:rsidRPr="008F1266" w:rsidR="000E63CA">
        <w:t xml:space="preserve">in SVP cases </w:t>
      </w:r>
      <w:r w:rsidRPr="008F1266" w:rsidR="008D677D">
        <w:t>“can and do occur.”  (</w:t>
      </w:r>
      <w:r w:rsidRPr="008F1266" w:rsidR="008D677D">
        <w:rPr>
          <w:i/>
          <w:iCs/>
        </w:rPr>
        <w:t>Litmon</w:t>
      </w:r>
      <w:r w:rsidRPr="008F1266" w:rsidR="008D677D">
        <w:t xml:space="preserve"> </w:t>
      </w:r>
      <w:r w:rsidRPr="008F1266" w:rsidR="002C6C0E">
        <w:rPr>
          <w:i/>
          <w:iCs/>
        </w:rPr>
        <w:t xml:space="preserve">v. Superior Court </w:t>
      </w:r>
      <w:r w:rsidRPr="008F1266" w:rsidR="002C6C0E">
        <w:t>(2</w:t>
      </w:r>
      <w:r w:rsidRPr="008F1266" w:rsidR="008D677D">
        <w:t>004) 123 Cal.App.4th 1156, 1170 (</w:t>
      </w:r>
      <w:r w:rsidRPr="008F1266" w:rsidR="008D677D">
        <w:rPr>
          <w:i/>
          <w:iCs/>
        </w:rPr>
        <w:t>Litmon</w:t>
      </w:r>
      <w:r w:rsidRPr="008F1266" w:rsidR="008D677D">
        <w:t xml:space="preserve">); see </w:t>
      </w:r>
      <w:r w:rsidRPr="008F1266" w:rsidR="008D677D">
        <w:rPr>
          <w:i/>
          <w:iCs/>
        </w:rPr>
        <w:t>Orozco v. Superior Court</w:t>
      </w:r>
      <w:r w:rsidRPr="008F1266" w:rsidR="008D677D">
        <w:t xml:space="preserve"> (2004) 117 Cal.App.4th 170, 179 (</w:t>
      </w:r>
      <w:r w:rsidRPr="008F1266" w:rsidR="008D677D">
        <w:rPr>
          <w:i/>
          <w:iCs/>
        </w:rPr>
        <w:t>Orozco</w:t>
      </w:r>
      <w:r w:rsidRPr="008F1266" w:rsidR="008D677D">
        <w:t xml:space="preserve">).)  At the time, </w:t>
      </w:r>
      <w:r w:rsidR="00B8133E">
        <w:t xml:space="preserve">the courts’ concern was </w:t>
      </w:r>
      <w:r w:rsidRPr="008F1266" w:rsidR="008D677D">
        <w:t>that delays in holding trials to recommit SVPs sometimes matched or even exceeded the two-year commitment period prescribed by the law then in force.  (</w:t>
      </w:r>
      <w:r w:rsidRPr="008F1266" w:rsidR="008D677D">
        <w:rPr>
          <w:i/>
          <w:iCs/>
        </w:rPr>
        <w:t>Ibid.</w:t>
      </w:r>
      <w:r w:rsidRPr="008F1266" w:rsidR="008D677D">
        <w:t>)</w:t>
      </w:r>
      <w:r w:rsidRPr="008F1266" w:rsidR="003A3525">
        <w:t xml:space="preserve">  </w:t>
      </w:r>
      <w:r w:rsidRPr="008F1266" w:rsidR="00D641AE">
        <w:t xml:space="preserve">Since </w:t>
      </w:r>
      <w:r w:rsidR="00A673D3">
        <w:t xml:space="preserve">the </w:t>
      </w:r>
      <w:r w:rsidR="0075174F">
        <w:t xml:space="preserve">SVP </w:t>
      </w:r>
      <w:r w:rsidR="0056335C">
        <w:t>Act was amended to provide for indefinite commitment terms</w:t>
      </w:r>
      <w:r w:rsidRPr="008F1266" w:rsidR="00D641AE">
        <w:t xml:space="preserve">, the </w:t>
      </w:r>
      <w:r w:rsidRPr="008F1266" w:rsidR="00991614">
        <w:t>issue of p</w:t>
      </w:r>
      <w:r w:rsidRPr="008F1266" w:rsidR="003A3525">
        <w:t>retrial delay</w:t>
      </w:r>
      <w:r w:rsidRPr="008F1266" w:rsidR="00991614">
        <w:t xml:space="preserve"> has </w:t>
      </w:r>
      <w:r w:rsidRPr="008F1266" w:rsidR="003A3525">
        <w:t>not</w:t>
      </w:r>
      <w:r w:rsidRPr="008F1266" w:rsidR="004A2DA5">
        <w:t xml:space="preserve"> </w:t>
      </w:r>
      <w:r w:rsidRPr="008F1266" w:rsidR="003A3525">
        <w:t>abated</w:t>
      </w:r>
      <w:r w:rsidR="00B361B4">
        <w:t xml:space="preserve">.  </w:t>
      </w:r>
      <w:r w:rsidR="002C1FAE">
        <w:t>E</w:t>
      </w:r>
      <w:r w:rsidRPr="008F1266" w:rsidR="00DC6036">
        <w:t>xtended delays</w:t>
      </w:r>
      <w:r w:rsidRPr="008F1266" w:rsidR="00B23D1F">
        <w:t> </w:t>
      </w:r>
      <w:r w:rsidRPr="008F1266" w:rsidR="002C14C7">
        <w:t xml:space="preserve">— </w:t>
      </w:r>
      <w:r w:rsidR="004F7793">
        <w:t>in some cases upwards of a decade</w:t>
      </w:r>
      <w:r w:rsidRPr="008F1266" w:rsidR="00B23D1F">
        <w:t> </w:t>
      </w:r>
      <w:r w:rsidRPr="008F1266" w:rsidR="002C14C7">
        <w:t>—</w:t>
      </w:r>
      <w:r w:rsidRPr="008F1266" w:rsidR="00F90C0B">
        <w:t xml:space="preserve"> </w:t>
      </w:r>
      <w:r w:rsidRPr="008F1266" w:rsidR="00DC6036">
        <w:t>have not been uncommon.</w:t>
      </w:r>
      <w:r>
        <w:rPr>
          <w:rStyle w:val="FootnoteReference"/>
          <w:szCs w:val="26"/>
        </w:rPr>
        <w:footnoteReference w:id="4"/>
      </w:r>
      <w:r w:rsidRPr="008F1266" w:rsidR="009D717C">
        <w:rPr>
          <w:szCs w:val="26"/>
        </w:rPr>
        <w:t xml:space="preserve">  </w:t>
      </w:r>
    </w:p>
    <w:p w:rsidR="002C14C7" w:rsidRPr="008F1266" w:rsidP="00301C3B" w14:paraId="4E931342" w14:textId="77777777">
      <w:pPr>
        <w:tabs>
          <w:tab w:val="left" w:pos="720"/>
        </w:tabs>
        <w:rPr>
          <w:szCs w:val="26"/>
        </w:rPr>
      </w:pPr>
      <w:r w:rsidRPr="008F1266">
        <w:rPr>
          <w:szCs w:val="26"/>
        </w:rPr>
        <w:tab/>
      </w:r>
      <w:r w:rsidRPr="008F1266" w:rsidR="00B240A1">
        <w:rPr>
          <w:szCs w:val="26"/>
        </w:rPr>
        <w:t>The reasons for delay</w:t>
      </w:r>
      <w:r w:rsidR="005C004D">
        <w:rPr>
          <w:szCs w:val="26"/>
        </w:rPr>
        <w:t xml:space="preserve"> in a given case</w:t>
      </w:r>
      <w:r w:rsidRPr="008F1266" w:rsidR="00B240A1">
        <w:rPr>
          <w:szCs w:val="26"/>
        </w:rPr>
        <w:t xml:space="preserve"> var</w:t>
      </w:r>
      <w:r w:rsidRPr="008F1266" w:rsidR="00780CF4">
        <w:rPr>
          <w:szCs w:val="26"/>
        </w:rPr>
        <w:t>y</w:t>
      </w:r>
      <w:r w:rsidRPr="008F1266" w:rsidR="00B240A1">
        <w:rPr>
          <w:szCs w:val="26"/>
        </w:rPr>
        <w:t xml:space="preserve">, but certain features of the SVP Act </w:t>
      </w:r>
      <w:r w:rsidRPr="008F1266" w:rsidR="005F50A8">
        <w:rPr>
          <w:szCs w:val="26"/>
        </w:rPr>
        <w:t>help to explain wh</w:t>
      </w:r>
      <w:r w:rsidRPr="008F1266" w:rsidR="008C1752">
        <w:rPr>
          <w:szCs w:val="26"/>
        </w:rPr>
        <w:t xml:space="preserve">y, in general, extended pretrial delays may be more likely to occur in SVP cases than in other cases.  </w:t>
      </w:r>
      <w:r w:rsidRPr="008F1266" w:rsidR="000608B5">
        <w:rPr>
          <w:szCs w:val="26"/>
        </w:rPr>
        <w:t>As an initial matter</w:t>
      </w:r>
      <w:r w:rsidR="002C1FAE">
        <w:rPr>
          <w:szCs w:val="26"/>
        </w:rPr>
        <w:t>,</w:t>
      </w:r>
      <w:r w:rsidR="0056335C">
        <w:rPr>
          <w:szCs w:val="26"/>
        </w:rPr>
        <w:t xml:space="preserve"> </w:t>
      </w:r>
      <w:r w:rsidRPr="008F1266" w:rsidR="000C4649">
        <w:rPr>
          <w:szCs w:val="26"/>
        </w:rPr>
        <w:t>SVP trials</w:t>
      </w:r>
      <w:r w:rsidR="0056335C">
        <w:rPr>
          <w:szCs w:val="26"/>
        </w:rPr>
        <w:t>,</w:t>
      </w:r>
      <w:r w:rsidRPr="008F1266" w:rsidR="000C4649">
        <w:rPr>
          <w:szCs w:val="26"/>
        </w:rPr>
        <w:t xml:space="preserve"> </w:t>
      </w:r>
      <w:r w:rsidRPr="008F1266" w:rsidR="0056335C">
        <w:rPr>
          <w:szCs w:val="26"/>
        </w:rPr>
        <w:t xml:space="preserve">unlike criminal trials and most types of civil trials, </w:t>
      </w:r>
      <w:r w:rsidRPr="008F1266" w:rsidR="000C4649">
        <w:rPr>
          <w:szCs w:val="26"/>
        </w:rPr>
        <w:t xml:space="preserve">are not subject to statutory time limits.  (See </w:t>
      </w:r>
      <w:r w:rsidRPr="008F1266" w:rsidR="000C4649">
        <w:rPr>
          <w:i/>
          <w:iCs/>
          <w:szCs w:val="26"/>
        </w:rPr>
        <w:t>Litmon</w:t>
      </w:r>
      <w:r w:rsidRPr="008F1266" w:rsidR="000C4649">
        <w:rPr>
          <w:szCs w:val="26"/>
        </w:rPr>
        <w:t xml:space="preserve">, </w:t>
      </w:r>
      <w:r w:rsidRPr="008F1266" w:rsidR="000C4649">
        <w:rPr>
          <w:i/>
          <w:iCs/>
          <w:szCs w:val="26"/>
        </w:rPr>
        <w:t>supra</w:t>
      </w:r>
      <w:r w:rsidRPr="008F1266" w:rsidR="000C4649">
        <w:rPr>
          <w:szCs w:val="26"/>
        </w:rPr>
        <w:t>, 123 Cal.App.4th at p</w:t>
      </w:r>
      <w:r w:rsidRPr="008F1266" w:rsidR="00780CF4">
        <w:rPr>
          <w:szCs w:val="26"/>
        </w:rPr>
        <w:t>p</w:t>
      </w:r>
      <w:r w:rsidRPr="008F1266" w:rsidR="000C4649">
        <w:rPr>
          <w:szCs w:val="26"/>
        </w:rPr>
        <w:t>.</w:t>
      </w:r>
      <w:r w:rsidRPr="008F1266" w:rsidR="004E4C94">
        <w:rPr>
          <w:szCs w:val="26"/>
        </w:rPr>
        <w:t> </w:t>
      </w:r>
      <w:r w:rsidRPr="008F1266" w:rsidR="000C4649">
        <w:rPr>
          <w:szCs w:val="26"/>
        </w:rPr>
        <w:t>1170–117</w:t>
      </w:r>
      <w:r w:rsidRPr="008F1266" w:rsidR="00CA2CA3">
        <w:rPr>
          <w:szCs w:val="26"/>
        </w:rPr>
        <w:t>1; cf. Pen. Code, §</w:t>
      </w:r>
      <w:r w:rsidRPr="008F1266" w:rsidR="004E4C94">
        <w:rPr>
          <w:szCs w:val="26"/>
        </w:rPr>
        <w:t> </w:t>
      </w:r>
      <w:r w:rsidRPr="008F1266" w:rsidR="00CA2CA3">
        <w:rPr>
          <w:szCs w:val="26"/>
        </w:rPr>
        <w:t>1382</w:t>
      </w:r>
      <w:r w:rsidRPr="008F1266" w:rsidR="007E43D0">
        <w:rPr>
          <w:szCs w:val="26"/>
        </w:rPr>
        <w:t xml:space="preserve">, subd. (a)(2) </w:t>
      </w:r>
      <w:r w:rsidRPr="008F1266" w:rsidR="00CA2CA3">
        <w:rPr>
          <w:szCs w:val="26"/>
        </w:rPr>
        <w:t>[setting presumptive 60-day limit for trial in a criminal case]; Code Civ. Proc., §</w:t>
      </w:r>
      <w:r w:rsidRPr="008F1266" w:rsidR="004E4C94">
        <w:rPr>
          <w:szCs w:val="26"/>
        </w:rPr>
        <w:t> </w:t>
      </w:r>
      <w:r w:rsidRPr="008F1266" w:rsidR="00CA2CA3">
        <w:rPr>
          <w:szCs w:val="26"/>
        </w:rPr>
        <w:t>583.310 [setting presumptive five-year limit for trial in a civil case].</w:t>
      </w:r>
      <w:r w:rsidRPr="008F1266" w:rsidR="008B6297">
        <w:rPr>
          <w:szCs w:val="26"/>
        </w:rPr>
        <w:t xml:space="preserve">)  </w:t>
      </w:r>
      <w:r w:rsidRPr="008F1266" w:rsidR="00020FCD">
        <w:rPr>
          <w:szCs w:val="26"/>
        </w:rPr>
        <w:t xml:space="preserve">This is not </w:t>
      </w:r>
      <w:r w:rsidRPr="008F1266" w:rsidR="005904E7">
        <w:rPr>
          <w:szCs w:val="26"/>
        </w:rPr>
        <w:t xml:space="preserve">because </w:t>
      </w:r>
      <w:r w:rsidRPr="008F1266" w:rsidR="00020FCD">
        <w:rPr>
          <w:szCs w:val="26"/>
        </w:rPr>
        <w:t xml:space="preserve">the </w:t>
      </w:r>
      <w:r w:rsidRPr="008F1266" w:rsidR="008B6297">
        <w:rPr>
          <w:szCs w:val="26"/>
        </w:rPr>
        <w:t xml:space="preserve">Legislature </w:t>
      </w:r>
      <w:r w:rsidRPr="008F1266" w:rsidR="0041648F">
        <w:rPr>
          <w:szCs w:val="26"/>
        </w:rPr>
        <w:t xml:space="preserve">has been inattentive to </w:t>
      </w:r>
      <w:r w:rsidRPr="008F1266" w:rsidR="00B676F6">
        <w:rPr>
          <w:szCs w:val="26"/>
        </w:rPr>
        <w:t>questions of timing in SVP cases:  I</w:t>
      </w:r>
      <w:r w:rsidRPr="008F1266" w:rsidR="00FF5F53">
        <w:rPr>
          <w:szCs w:val="26"/>
        </w:rPr>
        <w:t xml:space="preserve">n </w:t>
      </w:r>
      <w:r w:rsidRPr="008F1266" w:rsidR="00DE447D">
        <w:rPr>
          <w:szCs w:val="26"/>
        </w:rPr>
        <w:t>1998</w:t>
      </w:r>
      <w:r w:rsidRPr="008F1266" w:rsidR="00B676F6">
        <w:rPr>
          <w:szCs w:val="26"/>
        </w:rPr>
        <w:t xml:space="preserve">, it </w:t>
      </w:r>
      <w:r w:rsidRPr="008F1266" w:rsidR="00FF5F53">
        <w:rPr>
          <w:szCs w:val="26"/>
        </w:rPr>
        <w:t>set a 10-day limit for holding a pretrial probable cause hearing</w:t>
      </w:r>
      <w:r w:rsidRPr="008F1266" w:rsidR="00B25313">
        <w:rPr>
          <w:szCs w:val="26"/>
        </w:rPr>
        <w:t xml:space="preserve"> (</w:t>
      </w:r>
      <w:r w:rsidRPr="008F1266" w:rsidR="00DE447D">
        <w:rPr>
          <w:szCs w:val="26"/>
        </w:rPr>
        <w:t xml:space="preserve">Welf. &amp; Inst. Code, </w:t>
      </w:r>
      <w:r w:rsidRPr="008F1266" w:rsidR="00DE447D">
        <w:t>§ 6601.5, as added by Stats. 1998, ch. 19</w:t>
      </w:r>
      <w:r w:rsidRPr="008F1266" w:rsidR="007E43D0">
        <w:t>, § 2, p. 145</w:t>
      </w:r>
      <w:r w:rsidRPr="008F1266" w:rsidR="00B25313">
        <w:rPr>
          <w:szCs w:val="26"/>
        </w:rPr>
        <w:t>)</w:t>
      </w:r>
      <w:r w:rsidRPr="008F1266" w:rsidR="005753BC">
        <w:rPr>
          <w:szCs w:val="26"/>
        </w:rPr>
        <w:t>; more recently, it set limits on granting continuances</w:t>
      </w:r>
      <w:r w:rsidRPr="008F1266" w:rsidR="001C761D">
        <w:rPr>
          <w:szCs w:val="26"/>
        </w:rPr>
        <w:t xml:space="preserve"> and</w:t>
      </w:r>
      <w:r w:rsidRPr="008F1266" w:rsidR="00FC3E5C">
        <w:rPr>
          <w:szCs w:val="26"/>
        </w:rPr>
        <w:t xml:space="preserve"> </w:t>
      </w:r>
      <w:r w:rsidRPr="008F1266" w:rsidR="001C761D">
        <w:rPr>
          <w:szCs w:val="26"/>
        </w:rPr>
        <w:t xml:space="preserve">required </w:t>
      </w:r>
      <w:r w:rsidRPr="008F1266" w:rsidR="006E4B8C">
        <w:rPr>
          <w:szCs w:val="26"/>
        </w:rPr>
        <w:t xml:space="preserve">that </w:t>
      </w:r>
      <w:r w:rsidRPr="008F1266" w:rsidR="001C761D">
        <w:rPr>
          <w:szCs w:val="26"/>
        </w:rPr>
        <w:t xml:space="preserve">continuance </w:t>
      </w:r>
      <w:r w:rsidRPr="008F1266" w:rsidR="00FC3E5C">
        <w:rPr>
          <w:szCs w:val="26"/>
        </w:rPr>
        <w:t>requests be made in writing and supported by good cause</w:t>
      </w:r>
      <w:r w:rsidRPr="008F1266" w:rsidR="00231ED9">
        <w:rPr>
          <w:szCs w:val="26"/>
        </w:rPr>
        <w:t>.</w:t>
      </w:r>
      <w:r w:rsidRPr="008F1266" w:rsidR="00F57C8E">
        <w:rPr>
          <w:szCs w:val="26"/>
        </w:rPr>
        <w:t xml:space="preserve"> </w:t>
      </w:r>
      <w:r w:rsidRPr="008F1266" w:rsidR="00231ED9">
        <w:rPr>
          <w:szCs w:val="26"/>
        </w:rPr>
        <w:t xml:space="preserve"> </w:t>
      </w:r>
      <w:r w:rsidRPr="008F1266" w:rsidR="00231ED9">
        <w:t>(Welf. &amp; Inst. Code, § 6603, subd. (c), as amended by Stats. 2019, ch. 606</w:t>
      </w:r>
      <w:r w:rsidRPr="008F1266" w:rsidR="007E43D0">
        <w:t>, § 1</w:t>
      </w:r>
      <w:r w:rsidRPr="008F1266" w:rsidR="00231ED9">
        <w:t>.)</w:t>
      </w:r>
      <w:r w:rsidRPr="008F1266" w:rsidR="00F57C8E">
        <w:rPr>
          <w:szCs w:val="26"/>
        </w:rPr>
        <w:t xml:space="preserve">  But despite various calls to set </w:t>
      </w:r>
      <w:r w:rsidRPr="008F1266" w:rsidR="00FC3E5C">
        <w:rPr>
          <w:szCs w:val="26"/>
        </w:rPr>
        <w:t xml:space="preserve">firm </w:t>
      </w:r>
      <w:r w:rsidRPr="008F1266" w:rsidR="00F57C8E">
        <w:rPr>
          <w:szCs w:val="26"/>
        </w:rPr>
        <w:t>limits on the scheduling of trial, the Legislature has</w:t>
      </w:r>
      <w:r w:rsidRPr="008F1266" w:rsidR="00FC3E5C">
        <w:rPr>
          <w:szCs w:val="26"/>
        </w:rPr>
        <w:t xml:space="preserve"> thus far declined to do so, instead </w:t>
      </w:r>
      <w:r w:rsidRPr="008F1266" w:rsidR="009B02AB">
        <w:rPr>
          <w:szCs w:val="26"/>
        </w:rPr>
        <w:t xml:space="preserve">choosing to </w:t>
      </w:r>
      <w:r w:rsidRPr="008F1266" w:rsidR="00FC3E5C">
        <w:rPr>
          <w:szCs w:val="26"/>
        </w:rPr>
        <w:t>giv</w:t>
      </w:r>
      <w:r w:rsidRPr="008F1266" w:rsidR="009B02AB">
        <w:rPr>
          <w:szCs w:val="26"/>
        </w:rPr>
        <w:t>e</w:t>
      </w:r>
      <w:r w:rsidRPr="008F1266" w:rsidR="00FC3E5C">
        <w:rPr>
          <w:szCs w:val="26"/>
        </w:rPr>
        <w:t xml:space="preserve"> courts and parties greater flexibility </w:t>
      </w:r>
      <w:r w:rsidR="00367550">
        <w:rPr>
          <w:szCs w:val="26"/>
        </w:rPr>
        <w:t>in matters of trial timing</w:t>
      </w:r>
      <w:r w:rsidR="002C1844">
        <w:rPr>
          <w:szCs w:val="26"/>
        </w:rPr>
        <w:t xml:space="preserve">.  </w:t>
      </w:r>
      <w:r w:rsidRPr="008F1266" w:rsidR="002C1844">
        <w:rPr>
          <w:szCs w:val="26"/>
        </w:rPr>
        <w:t>(</w:t>
      </w:r>
      <w:r w:rsidR="002C1844">
        <w:rPr>
          <w:szCs w:val="26"/>
        </w:rPr>
        <w:t>S</w:t>
      </w:r>
      <w:r w:rsidRPr="008F1266" w:rsidR="002C1844">
        <w:rPr>
          <w:szCs w:val="26"/>
        </w:rPr>
        <w:t xml:space="preserve">ee, e.g., </w:t>
      </w:r>
      <w:r w:rsidRPr="008F1266" w:rsidR="002C1844">
        <w:rPr>
          <w:i/>
          <w:iCs/>
          <w:szCs w:val="26"/>
        </w:rPr>
        <w:t>Litmon</w:t>
      </w:r>
      <w:r w:rsidRPr="008F1266" w:rsidR="002C1844">
        <w:rPr>
          <w:szCs w:val="26"/>
        </w:rPr>
        <w:t>, at p. 1172</w:t>
      </w:r>
      <w:r w:rsidRPr="008F1266" w:rsidR="004435EE">
        <w:rPr>
          <w:szCs w:val="26"/>
        </w:rPr>
        <w:t>.</w:t>
      </w:r>
      <w:r w:rsidR="002C1844">
        <w:rPr>
          <w:szCs w:val="26"/>
        </w:rPr>
        <w:t>)</w:t>
      </w:r>
      <w:r w:rsidR="00DB4249">
        <w:rPr>
          <w:szCs w:val="26"/>
        </w:rPr>
        <w:t xml:space="preserve">  </w:t>
      </w:r>
    </w:p>
    <w:p w:rsidR="00F07CFA" w:rsidRPr="008F1266" w:rsidP="00301C3B" w14:paraId="4E931343" w14:textId="77777777">
      <w:pPr>
        <w:tabs>
          <w:tab w:val="left" w:pos="720"/>
        </w:tabs>
      </w:pPr>
      <w:r w:rsidRPr="008F1266">
        <w:rPr>
          <w:szCs w:val="26"/>
        </w:rPr>
        <w:tab/>
      </w:r>
      <w:r w:rsidR="00102102">
        <w:rPr>
          <w:szCs w:val="26"/>
        </w:rPr>
        <w:t>More fundamentally</w:t>
      </w:r>
      <w:r w:rsidR="002C1FAE">
        <w:rPr>
          <w:szCs w:val="26"/>
        </w:rPr>
        <w:t>,</w:t>
      </w:r>
      <w:r w:rsidR="00072C23">
        <w:rPr>
          <w:szCs w:val="26"/>
        </w:rPr>
        <w:t xml:space="preserve"> </w:t>
      </w:r>
      <w:r w:rsidRPr="008F1266" w:rsidR="00190C27">
        <w:rPr>
          <w:szCs w:val="26"/>
        </w:rPr>
        <w:t>SVP trials</w:t>
      </w:r>
      <w:r w:rsidR="00E06283">
        <w:rPr>
          <w:szCs w:val="26"/>
        </w:rPr>
        <w:t xml:space="preserve"> are unlike criminal trials in that they</w:t>
      </w:r>
      <w:r w:rsidRPr="008F1266" w:rsidR="00190C27">
        <w:rPr>
          <w:szCs w:val="26"/>
        </w:rPr>
        <w:t xml:space="preserve"> </w:t>
      </w:r>
      <w:r w:rsidRPr="008F1266" w:rsidR="00E267E7">
        <w:rPr>
          <w:szCs w:val="26"/>
        </w:rPr>
        <w:t xml:space="preserve">are not aimed </w:t>
      </w:r>
      <w:r w:rsidR="00B12189">
        <w:rPr>
          <w:szCs w:val="26"/>
        </w:rPr>
        <w:t xml:space="preserve">primarily </w:t>
      </w:r>
      <w:r w:rsidRPr="008F1266" w:rsidR="00E267E7">
        <w:rPr>
          <w:szCs w:val="26"/>
        </w:rPr>
        <w:t xml:space="preserve">at establishing </w:t>
      </w:r>
      <w:r w:rsidRPr="008F1266" w:rsidR="00520905">
        <w:rPr>
          <w:szCs w:val="26"/>
        </w:rPr>
        <w:t>an individual’s liability for past events</w:t>
      </w:r>
      <w:r w:rsidRPr="008F1266" w:rsidR="005E6B02">
        <w:rPr>
          <w:szCs w:val="26"/>
        </w:rPr>
        <w:t xml:space="preserve">, but </w:t>
      </w:r>
      <w:r w:rsidR="00B12189">
        <w:rPr>
          <w:szCs w:val="26"/>
        </w:rPr>
        <w:t xml:space="preserve">instead </w:t>
      </w:r>
      <w:r w:rsidR="00895CC5">
        <w:rPr>
          <w:szCs w:val="26"/>
        </w:rPr>
        <w:t xml:space="preserve">at establishing </w:t>
      </w:r>
      <w:r w:rsidRPr="008F1266" w:rsidR="005E6B02">
        <w:rPr>
          <w:szCs w:val="26"/>
        </w:rPr>
        <w:t xml:space="preserve">the </w:t>
      </w:r>
      <w:r w:rsidR="00895CC5">
        <w:rPr>
          <w:szCs w:val="26"/>
        </w:rPr>
        <w:t xml:space="preserve">individual’s </w:t>
      </w:r>
      <w:r w:rsidRPr="008F1266" w:rsidR="00233FC8">
        <w:rPr>
          <w:szCs w:val="26"/>
        </w:rPr>
        <w:t xml:space="preserve">present </w:t>
      </w:r>
      <w:r w:rsidRPr="008F1266" w:rsidR="00033775">
        <w:rPr>
          <w:szCs w:val="26"/>
        </w:rPr>
        <w:t xml:space="preserve">need for </w:t>
      </w:r>
      <w:r w:rsidRPr="008F1266" w:rsidR="00442A7B">
        <w:rPr>
          <w:szCs w:val="26"/>
        </w:rPr>
        <w:t xml:space="preserve">mental health </w:t>
      </w:r>
      <w:r w:rsidRPr="008F1266" w:rsidR="00033775">
        <w:rPr>
          <w:szCs w:val="26"/>
        </w:rPr>
        <w:t>treatment</w:t>
      </w:r>
      <w:r w:rsidRPr="008F1266" w:rsidR="00520905">
        <w:rPr>
          <w:szCs w:val="26"/>
        </w:rPr>
        <w:t xml:space="preserve">.  </w:t>
      </w:r>
      <w:r w:rsidRPr="008F1266" w:rsidR="00A72CA4">
        <w:rPr>
          <w:szCs w:val="26"/>
        </w:rPr>
        <w:t xml:space="preserve">Although an SVP </w:t>
      </w:r>
      <w:r w:rsidRPr="008F1266" w:rsidR="00487710">
        <w:rPr>
          <w:szCs w:val="26"/>
        </w:rPr>
        <w:t xml:space="preserve">proceeding </w:t>
      </w:r>
      <w:r w:rsidRPr="008F1266" w:rsidR="00A72CA4">
        <w:rPr>
          <w:szCs w:val="26"/>
        </w:rPr>
        <w:t xml:space="preserve">may involve inquiry into </w:t>
      </w:r>
      <w:r w:rsidRPr="008F1266" w:rsidR="00487710">
        <w:rPr>
          <w:szCs w:val="26"/>
        </w:rPr>
        <w:t xml:space="preserve">certain </w:t>
      </w:r>
      <w:r w:rsidRPr="008F1266" w:rsidR="00A72CA4">
        <w:rPr>
          <w:szCs w:val="26"/>
        </w:rPr>
        <w:t>facts about an individual’s criminal history (see</w:t>
      </w:r>
      <w:r w:rsidRPr="008F1266" w:rsidR="00487710">
        <w:rPr>
          <w:szCs w:val="26"/>
        </w:rPr>
        <w:t>, e.g.,</w:t>
      </w:r>
      <w:r w:rsidRPr="008F1266" w:rsidR="00A72CA4">
        <w:rPr>
          <w:szCs w:val="26"/>
        </w:rPr>
        <w:t xml:space="preserve"> </w:t>
      </w:r>
      <w:r w:rsidRPr="008F1266" w:rsidR="00A72CA4">
        <w:rPr>
          <w:i/>
          <w:iCs/>
          <w:szCs w:val="26"/>
        </w:rPr>
        <w:t>Walker</w:t>
      </w:r>
      <w:r w:rsidRPr="008F1266" w:rsidR="00FB4B53">
        <w:rPr>
          <w:szCs w:val="26"/>
        </w:rPr>
        <w:t xml:space="preserve">, </w:t>
      </w:r>
      <w:r w:rsidRPr="008F1266" w:rsidR="00FB4B53">
        <w:rPr>
          <w:i/>
          <w:iCs/>
          <w:szCs w:val="26"/>
        </w:rPr>
        <w:t>supra</w:t>
      </w:r>
      <w:r w:rsidRPr="008F1266" w:rsidR="00E22E41">
        <w:rPr>
          <w:szCs w:val="26"/>
        </w:rPr>
        <w:t xml:space="preserve">, </w:t>
      </w:r>
      <w:r w:rsidRPr="008F1266" w:rsidR="00A72CA4">
        <w:rPr>
          <w:szCs w:val="26"/>
        </w:rPr>
        <w:t xml:space="preserve">12 Cal.5th </w:t>
      </w:r>
      <w:r w:rsidRPr="008F1266" w:rsidR="00FB4B53">
        <w:rPr>
          <w:szCs w:val="26"/>
        </w:rPr>
        <w:t>at p.</w:t>
      </w:r>
      <w:r w:rsidRPr="008F1266" w:rsidR="004E4C94">
        <w:rPr>
          <w:szCs w:val="26"/>
        </w:rPr>
        <w:t> </w:t>
      </w:r>
      <w:r w:rsidRPr="008F1266" w:rsidR="00487710">
        <w:rPr>
          <w:szCs w:val="26"/>
        </w:rPr>
        <w:t>185), t</w:t>
      </w:r>
      <w:r w:rsidRPr="008F1266" w:rsidR="00520905">
        <w:rPr>
          <w:szCs w:val="26"/>
        </w:rPr>
        <w:t xml:space="preserve">he </w:t>
      </w:r>
      <w:r w:rsidRPr="008F1266" w:rsidR="00621E46">
        <w:rPr>
          <w:szCs w:val="26"/>
        </w:rPr>
        <w:t xml:space="preserve">central </w:t>
      </w:r>
      <w:r w:rsidRPr="008F1266" w:rsidR="00520905">
        <w:rPr>
          <w:szCs w:val="26"/>
        </w:rPr>
        <w:t xml:space="preserve">focus of an SVP trial is whether the individual </w:t>
      </w:r>
      <w:r w:rsidRPr="008F1266" w:rsidR="00B70EC3">
        <w:rPr>
          <w:szCs w:val="26"/>
        </w:rPr>
        <w:t xml:space="preserve">currently </w:t>
      </w:r>
      <w:r w:rsidRPr="008F1266" w:rsidR="00520905">
        <w:rPr>
          <w:szCs w:val="26"/>
        </w:rPr>
        <w:t>has</w:t>
      </w:r>
      <w:r w:rsidRPr="008F1266" w:rsidR="00D32E04">
        <w:rPr>
          <w:szCs w:val="26"/>
        </w:rPr>
        <w:t xml:space="preserve"> </w:t>
      </w:r>
      <w:r w:rsidRPr="008F1266" w:rsidR="00520905">
        <w:rPr>
          <w:szCs w:val="26"/>
        </w:rPr>
        <w:t xml:space="preserve">a mental disorder that </w:t>
      </w:r>
      <w:r w:rsidRPr="008F1266" w:rsidR="00DE6206">
        <w:rPr>
          <w:szCs w:val="26"/>
        </w:rPr>
        <w:t xml:space="preserve">poses a danger to the public and </w:t>
      </w:r>
      <w:r w:rsidRPr="008F1266" w:rsidR="00F80486">
        <w:rPr>
          <w:szCs w:val="26"/>
        </w:rPr>
        <w:t xml:space="preserve">thus </w:t>
      </w:r>
      <w:r w:rsidRPr="008F1266" w:rsidR="00520905">
        <w:rPr>
          <w:szCs w:val="26"/>
        </w:rPr>
        <w:t xml:space="preserve">requires </w:t>
      </w:r>
      <w:r w:rsidRPr="008F1266" w:rsidR="00523906">
        <w:rPr>
          <w:szCs w:val="26"/>
        </w:rPr>
        <w:t xml:space="preserve">hospitalization </w:t>
      </w:r>
      <w:r w:rsidRPr="008F1266" w:rsidR="00DE6206">
        <w:rPr>
          <w:szCs w:val="26"/>
        </w:rPr>
        <w:t>(</w:t>
      </w:r>
      <w:r w:rsidRPr="008F1266" w:rsidR="00A35AA1">
        <w:rPr>
          <w:i/>
          <w:iCs/>
        </w:rPr>
        <w:t>Hubbart</w:t>
      </w:r>
      <w:r w:rsidR="0022687C">
        <w:t>,</w:t>
      </w:r>
      <w:r w:rsidRPr="008F1266" w:rsidR="00A35AA1">
        <w:t xml:space="preserve"> </w:t>
      </w:r>
      <w:r w:rsidRPr="008F1266" w:rsidR="00A35AA1">
        <w:rPr>
          <w:i/>
          <w:iCs/>
        </w:rPr>
        <w:t>supra</w:t>
      </w:r>
      <w:r w:rsidRPr="008F1266" w:rsidR="00A35AA1">
        <w:t>, 19 Cal.4th at p.</w:t>
      </w:r>
      <w:r w:rsidRPr="008F1266" w:rsidR="004E4C94">
        <w:t> </w:t>
      </w:r>
      <w:r w:rsidRPr="008F1266" w:rsidR="00A35AA1">
        <w:t>1162</w:t>
      </w:r>
      <w:r w:rsidRPr="008F1266" w:rsidR="00DE6206">
        <w:rPr>
          <w:szCs w:val="26"/>
        </w:rPr>
        <w:t>)</w:t>
      </w:r>
      <w:r w:rsidRPr="008F1266" w:rsidR="00187E08">
        <w:rPr>
          <w:szCs w:val="26"/>
        </w:rPr>
        <w:t>.</w:t>
      </w:r>
      <w:r w:rsidRPr="008F1266" w:rsidR="00A72CA4">
        <w:rPr>
          <w:szCs w:val="26"/>
        </w:rPr>
        <w:t xml:space="preserve">  </w:t>
      </w:r>
      <w:r w:rsidRPr="008F1266" w:rsidR="005D10C9">
        <w:rPr>
          <w:szCs w:val="26"/>
        </w:rPr>
        <w:t>Once a judge has found probable cause</w:t>
      </w:r>
      <w:r w:rsidRPr="008F1266" w:rsidR="002A6999">
        <w:rPr>
          <w:szCs w:val="26"/>
        </w:rPr>
        <w:t xml:space="preserve"> to believe an individual is an SVP, that individual is held in </w:t>
      </w:r>
      <w:r w:rsidRPr="008F1266" w:rsidR="003F52A1">
        <w:rPr>
          <w:szCs w:val="26"/>
        </w:rPr>
        <w:t xml:space="preserve">a </w:t>
      </w:r>
      <w:r w:rsidRPr="008F1266" w:rsidR="002A6999">
        <w:rPr>
          <w:szCs w:val="26"/>
        </w:rPr>
        <w:t>state hospital</w:t>
      </w:r>
      <w:r w:rsidRPr="008F1266" w:rsidR="002D2698">
        <w:rPr>
          <w:szCs w:val="26"/>
        </w:rPr>
        <w:t xml:space="preserve"> and </w:t>
      </w:r>
      <w:r w:rsidRPr="008F1266" w:rsidR="002A6999">
        <w:rPr>
          <w:szCs w:val="26"/>
        </w:rPr>
        <w:t>begin</w:t>
      </w:r>
      <w:r w:rsidRPr="008F1266" w:rsidR="002D2698">
        <w:rPr>
          <w:szCs w:val="26"/>
        </w:rPr>
        <w:t>s</w:t>
      </w:r>
      <w:r w:rsidRPr="008F1266" w:rsidR="002A6999">
        <w:rPr>
          <w:szCs w:val="26"/>
        </w:rPr>
        <w:t xml:space="preserve"> to receive mental health treatment</w:t>
      </w:r>
      <w:r w:rsidRPr="008F1266" w:rsidR="004E4C94">
        <w:rPr>
          <w:szCs w:val="26"/>
        </w:rPr>
        <w:t> </w:t>
      </w:r>
      <w:r w:rsidRPr="008F1266" w:rsidR="00395DEC">
        <w:rPr>
          <w:szCs w:val="26"/>
        </w:rPr>
        <w:t>— even before trial is ever held</w:t>
      </w:r>
      <w:r w:rsidRPr="008F1266" w:rsidR="002A6999">
        <w:rPr>
          <w:szCs w:val="26"/>
        </w:rPr>
        <w:t xml:space="preserve">.  </w:t>
      </w:r>
      <w:r w:rsidR="00DB4249">
        <w:rPr>
          <w:szCs w:val="26"/>
        </w:rPr>
        <w:t>For this reason, both sides may have a</w:t>
      </w:r>
      <w:r w:rsidR="003E43D9">
        <w:rPr>
          <w:szCs w:val="26"/>
        </w:rPr>
        <w:t xml:space="preserve"> common</w:t>
      </w:r>
      <w:r w:rsidR="00DB4249">
        <w:rPr>
          <w:szCs w:val="26"/>
        </w:rPr>
        <w:t xml:space="preserve"> interest in delaying trial.  </w:t>
      </w:r>
      <w:r w:rsidRPr="008F1266" w:rsidR="006C2F31">
        <w:rPr>
          <w:szCs w:val="26"/>
        </w:rPr>
        <w:t xml:space="preserve">From the individual’s perspective, allowing more time for treatment </w:t>
      </w:r>
      <w:r w:rsidRPr="008F1266" w:rsidR="002A6999">
        <w:rPr>
          <w:szCs w:val="26"/>
        </w:rPr>
        <w:t xml:space="preserve">may </w:t>
      </w:r>
      <w:r w:rsidRPr="008F1266" w:rsidR="00F41374">
        <w:rPr>
          <w:szCs w:val="26"/>
        </w:rPr>
        <w:t xml:space="preserve">ultimately </w:t>
      </w:r>
      <w:r w:rsidRPr="008F1266" w:rsidR="002A6999">
        <w:rPr>
          <w:szCs w:val="26"/>
        </w:rPr>
        <w:t xml:space="preserve">improve </w:t>
      </w:r>
      <w:r w:rsidRPr="008F1266" w:rsidR="00A26A14">
        <w:rPr>
          <w:szCs w:val="26"/>
        </w:rPr>
        <w:t xml:space="preserve">the </w:t>
      </w:r>
      <w:r w:rsidRPr="008F1266" w:rsidR="002A6999">
        <w:rPr>
          <w:szCs w:val="26"/>
        </w:rPr>
        <w:t xml:space="preserve">chance of success </w:t>
      </w:r>
      <w:r w:rsidRPr="008F1266" w:rsidR="00435B9A">
        <w:rPr>
          <w:szCs w:val="26"/>
        </w:rPr>
        <w:t>at trial</w:t>
      </w:r>
      <w:r w:rsidRPr="008F1266" w:rsidR="00EE14ED">
        <w:rPr>
          <w:szCs w:val="26"/>
        </w:rPr>
        <w:t xml:space="preserve">, insofar as </w:t>
      </w:r>
      <w:r w:rsidRPr="008F1266" w:rsidR="00A26A14">
        <w:rPr>
          <w:szCs w:val="26"/>
        </w:rPr>
        <w:t xml:space="preserve">treatment may help </w:t>
      </w:r>
      <w:r w:rsidRPr="008F1266" w:rsidR="00F843AD">
        <w:rPr>
          <w:szCs w:val="26"/>
        </w:rPr>
        <w:t xml:space="preserve">address </w:t>
      </w:r>
      <w:r w:rsidRPr="008F1266" w:rsidR="00A26A14">
        <w:rPr>
          <w:szCs w:val="26"/>
        </w:rPr>
        <w:t xml:space="preserve">a mental disorder that </w:t>
      </w:r>
      <w:r w:rsidRPr="008F1266" w:rsidR="00F843AD">
        <w:rPr>
          <w:szCs w:val="26"/>
        </w:rPr>
        <w:t xml:space="preserve">a jury might otherwise find poses </w:t>
      </w:r>
      <w:r w:rsidRPr="008F1266" w:rsidR="00EE14ED">
        <w:rPr>
          <w:szCs w:val="26"/>
        </w:rPr>
        <w:t xml:space="preserve">a risk to the public.  </w:t>
      </w:r>
      <w:r w:rsidR="00DB4249">
        <w:rPr>
          <w:szCs w:val="26"/>
        </w:rPr>
        <w:t>(</w:t>
      </w:r>
      <w:r w:rsidR="005D5E8F">
        <w:rPr>
          <w:szCs w:val="26"/>
        </w:rPr>
        <w:t xml:space="preserve">See, e.g., </w:t>
      </w:r>
      <w:r w:rsidRPr="00640661" w:rsidR="00DB4249">
        <w:rPr>
          <w:i/>
          <w:iCs/>
          <w:szCs w:val="26"/>
        </w:rPr>
        <w:t>In re Butler</w:t>
      </w:r>
      <w:r w:rsidR="00FE15A5">
        <w:rPr>
          <w:szCs w:val="26"/>
        </w:rPr>
        <w:t xml:space="preserve">, </w:t>
      </w:r>
      <w:r w:rsidRPr="00FE15A5" w:rsidR="00FE15A5">
        <w:rPr>
          <w:i/>
          <w:iCs/>
          <w:szCs w:val="26"/>
        </w:rPr>
        <w:t>supra</w:t>
      </w:r>
      <w:r w:rsidR="00FE15A5">
        <w:rPr>
          <w:szCs w:val="26"/>
        </w:rPr>
        <w:t>,</w:t>
      </w:r>
      <w:r w:rsidRPr="00640661" w:rsidR="00DB4249">
        <w:rPr>
          <w:szCs w:val="26"/>
        </w:rPr>
        <w:t xml:space="preserve"> 55 Cal.App.5th </w:t>
      </w:r>
      <w:r w:rsidR="00FE15A5">
        <w:rPr>
          <w:szCs w:val="26"/>
        </w:rPr>
        <w:t>at p. </w:t>
      </w:r>
      <w:r w:rsidR="00DB4249">
        <w:rPr>
          <w:szCs w:val="26"/>
        </w:rPr>
        <w:t>635 (</w:t>
      </w:r>
      <w:r w:rsidR="00DB4249">
        <w:rPr>
          <w:i/>
          <w:iCs/>
          <w:szCs w:val="26"/>
        </w:rPr>
        <w:t>Butler</w:t>
      </w:r>
      <w:r w:rsidR="00DB4249">
        <w:rPr>
          <w:szCs w:val="26"/>
        </w:rPr>
        <w:t>).)</w:t>
      </w:r>
      <w:r w:rsidR="00A712AF">
        <w:rPr>
          <w:szCs w:val="26"/>
        </w:rPr>
        <w:t xml:space="preserve">  </w:t>
      </w:r>
      <w:r w:rsidRPr="008F1266" w:rsidR="00984F12">
        <w:rPr>
          <w:szCs w:val="26"/>
        </w:rPr>
        <w:t>W</w:t>
      </w:r>
      <w:r w:rsidRPr="008F1266" w:rsidR="00AA1B57">
        <w:rPr>
          <w:szCs w:val="26"/>
        </w:rPr>
        <w:t>hile</w:t>
      </w:r>
      <w:r w:rsidRPr="008F1266" w:rsidR="002D2698">
        <w:rPr>
          <w:szCs w:val="26"/>
        </w:rPr>
        <w:t xml:space="preserve"> individuals committed as SVPs </w:t>
      </w:r>
      <w:r w:rsidR="00A712AF">
        <w:rPr>
          <w:szCs w:val="26"/>
        </w:rPr>
        <w:t xml:space="preserve">after </w:t>
      </w:r>
      <w:r w:rsidRPr="008F1266" w:rsidR="002D2698">
        <w:rPr>
          <w:szCs w:val="26"/>
        </w:rPr>
        <w:t xml:space="preserve">trial may later petition for release, </w:t>
      </w:r>
      <w:r w:rsidRPr="008F1266" w:rsidR="0051686E">
        <w:rPr>
          <w:szCs w:val="26"/>
        </w:rPr>
        <w:t xml:space="preserve">conditions are </w:t>
      </w:r>
      <w:r w:rsidRPr="008F1266" w:rsidR="00470F5F">
        <w:rPr>
          <w:szCs w:val="26"/>
        </w:rPr>
        <w:t xml:space="preserve">generally </w:t>
      </w:r>
      <w:r w:rsidRPr="008F1266" w:rsidR="0051686E">
        <w:rPr>
          <w:szCs w:val="26"/>
        </w:rPr>
        <w:t>mo</w:t>
      </w:r>
      <w:r w:rsidRPr="008F1266" w:rsidR="00470F5F">
        <w:rPr>
          <w:szCs w:val="26"/>
        </w:rPr>
        <w:t>re</w:t>
      </w:r>
      <w:r w:rsidRPr="008F1266" w:rsidR="0051686E">
        <w:rPr>
          <w:szCs w:val="26"/>
        </w:rPr>
        <w:t xml:space="preserve"> favorable at th</w:t>
      </w:r>
      <w:r w:rsidRPr="008F1266" w:rsidR="00B61A4F">
        <w:rPr>
          <w:szCs w:val="26"/>
        </w:rPr>
        <w:t>e initial</w:t>
      </w:r>
      <w:r w:rsidRPr="008F1266" w:rsidR="0051686E">
        <w:rPr>
          <w:szCs w:val="26"/>
        </w:rPr>
        <w:t xml:space="preserve"> trial</w:t>
      </w:r>
      <w:r w:rsidRPr="008F1266" w:rsidR="00F72AF3">
        <w:rPr>
          <w:szCs w:val="26"/>
        </w:rPr>
        <w:t xml:space="preserve">, where the state </w:t>
      </w:r>
      <w:r w:rsidR="00DA6B70">
        <w:rPr>
          <w:szCs w:val="26"/>
        </w:rPr>
        <w:t xml:space="preserve">always </w:t>
      </w:r>
      <w:r w:rsidRPr="008F1266" w:rsidR="00F72AF3">
        <w:rPr>
          <w:szCs w:val="26"/>
        </w:rPr>
        <w:t xml:space="preserve">bears the burden of proving </w:t>
      </w:r>
      <w:r w:rsidRPr="008F1266" w:rsidR="005F26A5">
        <w:rPr>
          <w:szCs w:val="26"/>
        </w:rPr>
        <w:t xml:space="preserve">beyond a reasonable doubt that </w:t>
      </w:r>
      <w:r w:rsidRPr="008F1266" w:rsidR="00F72AF3">
        <w:rPr>
          <w:szCs w:val="26"/>
        </w:rPr>
        <w:t>the individual qualifies as an SVP</w:t>
      </w:r>
      <w:r w:rsidRPr="008F1266" w:rsidR="002D2698">
        <w:rPr>
          <w:szCs w:val="26"/>
        </w:rPr>
        <w:t>.</w:t>
      </w:r>
      <w:r w:rsidRPr="008F1266" w:rsidR="00F72AF3">
        <w:rPr>
          <w:szCs w:val="26"/>
        </w:rPr>
        <w:t xml:space="preserve"> </w:t>
      </w:r>
      <w:r w:rsidRPr="008F1266" w:rsidR="002D2698">
        <w:rPr>
          <w:szCs w:val="26"/>
        </w:rPr>
        <w:t xml:space="preserve"> </w:t>
      </w:r>
      <w:r w:rsidRPr="008F1266" w:rsidR="00F72AF3">
        <w:rPr>
          <w:szCs w:val="26"/>
        </w:rPr>
        <w:t>(</w:t>
      </w:r>
      <w:r w:rsidRPr="008F1266" w:rsidR="002D2698">
        <w:rPr>
          <w:szCs w:val="26"/>
        </w:rPr>
        <w:t xml:space="preserve">Welf. &amp; Inst. Code, </w:t>
      </w:r>
      <w:r w:rsidRPr="008F1266" w:rsidR="002D2698">
        <w:t>§</w:t>
      </w:r>
      <w:r w:rsidRPr="008F1266" w:rsidR="004E4C94">
        <w:t> </w:t>
      </w:r>
      <w:r w:rsidRPr="008F1266" w:rsidR="002D2698">
        <w:t>6604</w:t>
      </w:r>
      <w:r w:rsidR="00CE3ADE">
        <w:rPr>
          <w:szCs w:val="26"/>
        </w:rPr>
        <w:t xml:space="preserve">; cf. </w:t>
      </w:r>
      <w:r w:rsidRPr="00316B33" w:rsidR="00316B33">
        <w:rPr>
          <w:i/>
          <w:iCs/>
          <w:szCs w:val="26"/>
        </w:rPr>
        <w:t>i</w:t>
      </w:r>
      <w:r w:rsidRPr="00B1706D" w:rsidR="00B1706D">
        <w:rPr>
          <w:i/>
          <w:iCs/>
          <w:szCs w:val="26"/>
        </w:rPr>
        <w:t>d</w:t>
      </w:r>
      <w:r w:rsidR="00B1706D">
        <w:rPr>
          <w:szCs w:val="26"/>
        </w:rPr>
        <w:t xml:space="preserve">., </w:t>
      </w:r>
      <w:r w:rsidRPr="008F1266" w:rsidR="00B1706D">
        <w:t>§</w:t>
      </w:r>
      <w:r w:rsidRPr="008F1266" w:rsidR="0089719E">
        <w:t>§</w:t>
      </w:r>
      <w:r w:rsidR="009914EF">
        <w:t> </w:t>
      </w:r>
      <w:r w:rsidR="00B1706D">
        <w:t>6605</w:t>
      </w:r>
      <w:r w:rsidR="0089719E">
        <w:t>, 6608</w:t>
      </w:r>
      <w:r w:rsidR="00E03513">
        <w:t xml:space="preserve"> </w:t>
      </w:r>
      <w:r w:rsidR="00CE3ADE">
        <w:rPr>
          <w:szCs w:val="26"/>
        </w:rPr>
        <w:t>[describing procedures for postcommitment release].</w:t>
      </w:r>
      <w:r w:rsidRPr="008F1266" w:rsidR="00F72AF3">
        <w:rPr>
          <w:szCs w:val="26"/>
        </w:rPr>
        <w:t xml:space="preserve">)  </w:t>
      </w:r>
      <w:r w:rsidRPr="008F1266" w:rsidR="00645851">
        <w:t xml:space="preserve">For the state’s part, there </w:t>
      </w:r>
      <w:r w:rsidR="006F4058">
        <w:t xml:space="preserve">are limited </w:t>
      </w:r>
      <w:r w:rsidRPr="008F1266" w:rsidR="0048326E">
        <w:t>incentive</w:t>
      </w:r>
      <w:r w:rsidR="006F4058">
        <w:t>s</w:t>
      </w:r>
      <w:r w:rsidRPr="008F1266" w:rsidR="0048326E">
        <w:t xml:space="preserve"> to </w:t>
      </w:r>
      <w:r w:rsidR="00B1706D">
        <w:t xml:space="preserve">expend the resources necessary to </w:t>
      </w:r>
      <w:r w:rsidRPr="008F1266" w:rsidR="002F749B">
        <w:t xml:space="preserve">push the case toward trial </w:t>
      </w:r>
      <w:r w:rsidRPr="008F1266" w:rsidR="0048326E">
        <w:t>when</w:t>
      </w:r>
      <w:r w:rsidRPr="008F1266" w:rsidR="00874914">
        <w:t xml:space="preserve">, following a finding of probable cause, the individual </w:t>
      </w:r>
      <w:r w:rsidRPr="008F1266" w:rsidR="004B4248">
        <w:t xml:space="preserve">is already </w:t>
      </w:r>
      <w:r w:rsidRPr="008F1266" w:rsidR="00874914">
        <w:t xml:space="preserve">being </w:t>
      </w:r>
      <w:r w:rsidR="00E03513">
        <w:t xml:space="preserve">hospitalized </w:t>
      </w:r>
      <w:r w:rsidRPr="008F1266" w:rsidR="00874914">
        <w:t xml:space="preserve">and </w:t>
      </w:r>
      <w:r w:rsidRPr="008F1266" w:rsidR="00B81F26">
        <w:t xml:space="preserve">receiving </w:t>
      </w:r>
      <w:r w:rsidRPr="008F1266" w:rsidR="00874914">
        <w:t>treatment.</w:t>
      </w:r>
    </w:p>
    <w:p w:rsidR="00102102" w:rsidP="00301C3B" w14:paraId="4E931344" w14:textId="77777777">
      <w:pPr>
        <w:tabs>
          <w:tab w:val="left" w:pos="720"/>
        </w:tabs>
      </w:pPr>
      <w:r w:rsidRPr="008F1266">
        <w:tab/>
      </w:r>
      <w:r>
        <w:t>U</w:t>
      </w:r>
      <w:r w:rsidRPr="008F1266" w:rsidR="000608B5">
        <w:t xml:space="preserve">nderstanding why parties may have incentives to delay SVP </w:t>
      </w:r>
      <w:r w:rsidR="00B1706D">
        <w:t>trials</w:t>
      </w:r>
      <w:r w:rsidRPr="008F1266" w:rsidR="00B1706D">
        <w:t xml:space="preserve"> </w:t>
      </w:r>
      <w:r>
        <w:t xml:space="preserve">in general </w:t>
      </w:r>
      <w:r w:rsidRPr="008F1266" w:rsidR="000608B5">
        <w:t>does not</w:t>
      </w:r>
      <w:r>
        <w:t>, of course,</w:t>
      </w:r>
      <w:r w:rsidR="00E52EE0">
        <w:t xml:space="preserve"> </w:t>
      </w:r>
      <w:r w:rsidRPr="008F1266" w:rsidR="000608B5">
        <w:t xml:space="preserve">tell us the reasons </w:t>
      </w:r>
      <w:r w:rsidR="003A530D">
        <w:t xml:space="preserve">for </w:t>
      </w:r>
      <w:r w:rsidRPr="008F1266" w:rsidR="000608B5">
        <w:t>delay in any particular case</w:t>
      </w:r>
      <w:r w:rsidR="007C707E">
        <w:t>.  N</w:t>
      </w:r>
      <w:r w:rsidRPr="008F1266" w:rsidR="000608B5">
        <w:t>or</w:t>
      </w:r>
      <w:r w:rsidR="00B1706D">
        <w:t xml:space="preserve"> </w:t>
      </w:r>
      <w:r w:rsidR="007C707E">
        <w:t xml:space="preserve">does the Legislature’s choice to </w:t>
      </w:r>
      <w:r w:rsidR="00B41EDE">
        <w:t xml:space="preserve">avoid imposing </w:t>
      </w:r>
      <w:r w:rsidR="009A39A4">
        <w:t xml:space="preserve">statutory </w:t>
      </w:r>
      <w:r w:rsidR="00B41EDE">
        <w:t xml:space="preserve">time limits </w:t>
      </w:r>
      <w:r w:rsidR="00284E4F">
        <w:t xml:space="preserve">justify </w:t>
      </w:r>
      <w:r w:rsidR="00A32A97">
        <w:t xml:space="preserve">prolonged </w:t>
      </w:r>
      <w:r w:rsidR="00284E4F">
        <w:t xml:space="preserve">delay or </w:t>
      </w:r>
      <w:r w:rsidR="00B41EDE">
        <w:t xml:space="preserve">tell us </w:t>
      </w:r>
      <w:r w:rsidRPr="008F1266" w:rsidR="000608B5">
        <w:t xml:space="preserve">whether </w:t>
      </w:r>
      <w:r w:rsidR="003A530D">
        <w:t xml:space="preserve">the </w:t>
      </w:r>
      <w:r w:rsidR="00B41EDE">
        <w:t xml:space="preserve">delay </w:t>
      </w:r>
      <w:r w:rsidR="003A530D">
        <w:t xml:space="preserve">is </w:t>
      </w:r>
      <w:r w:rsidRPr="008F1266" w:rsidR="000608B5">
        <w:t xml:space="preserve">consistent with an individual’s constitutional rights.  In recent years, the Courts of Appeal have confronted a number </w:t>
      </w:r>
      <w:r w:rsidR="00BD575D">
        <w:t xml:space="preserve">of </w:t>
      </w:r>
      <w:r w:rsidRPr="008F1266" w:rsidR="000608B5">
        <w:t xml:space="preserve">cases calling for consideration of </w:t>
      </w:r>
      <w:r w:rsidRPr="008F1266" w:rsidR="005A3CAC">
        <w:t xml:space="preserve">these </w:t>
      </w:r>
      <w:r w:rsidRPr="008F1266" w:rsidR="000608B5">
        <w:t>question</w:t>
      </w:r>
      <w:r w:rsidRPr="008F1266" w:rsidR="005A3CAC">
        <w:t>s</w:t>
      </w:r>
      <w:r w:rsidRPr="008F1266" w:rsidR="000608B5">
        <w:t>.</w:t>
      </w:r>
      <w:r w:rsidRPr="008F1266" w:rsidR="00DC6E08">
        <w:t xml:space="preserve">  </w:t>
      </w:r>
      <w:r w:rsidRPr="008F1266" w:rsidR="00816E88">
        <w:t>(</w:t>
      </w:r>
      <w:r w:rsidRPr="008F1266" w:rsidR="00CB1B66">
        <w:t xml:space="preserve">See, e.g., </w:t>
      </w:r>
      <w:r w:rsidR="00ED43B4">
        <w:rPr>
          <w:i/>
          <w:iCs/>
        </w:rPr>
        <w:t xml:space="preserve">In re </w:t>
      </w:r>
      <w:r w:rsidRPr="0052330A" w:rsidR="0052330A">
        <w:rPr>
          <w:i/>
          <w:iCs/>
        </w:rPr>
        <w:t>Kerins</w:t>
      </w:r>
      <w:r w:rsidR="0052330A">
        <w:t xml:space="preserve">, </w:t>
      </w:r>
      <w:r w:rsidR="0052330A">
        <w:rPr>
          <w:i/>
          <w:iCs/>
        </w:rPr>
        <w:t>supra</w:t>
      </w:r>
      <w:r w:rsidR="0052330A">
        <w:t xml:space="preserve">, 89 Cal.App.5th 1084 [14-year </w:t>
      </w:r>
      <w:r w:rsidR="00740B7E">
        <w:t xml:space="preserve">pretrial </w:t>
      </w:r>
      <w:r w:rsidR="0052330A">
        <w:t xml:space="preserve">delay </w:t>
      </w:r>
      <w:r w:rsidR="00740B7E">
        <w:t>and extended absence from court did not violate due process]</w:t>
      </w:r>
      <w:r w:rsidR="00465490">
        <w:t>, review granted</w:t>
      </w:r>
      <w:r w:rsidR="00740B7E">
        <w:t>;</w:t>
      </w:r>
      <w:r w:rsidR="0052330A">
        <w:t xml:space="preserve"> </w:t>
      </w:r>
      <w:r w:rsidRPr="00ED43B4" w:rsidR="00A470D3">
        <w:rPr>
          <w:i/>
          <w:iCs/>
        </w:rPr>
        <w:t>People</w:t>
      </w:r>
      <w:r w:rsidRPr="008F1266" w:rsidR="00A470D3">
        <w:rPr>
          <w:i/>
          <w:iCs/>
        </w:rPr>
        <w:t xml:space="preserve"> v. Tran</w:t>
      </w:r>
      <w:r w:rsidRPr="008F1266" w:rsidR="007E43D0">
        <w:t xml:space="preserve">, </w:t>
      </w:r>
      <w:r w:rsidRPr="008F1266" w:rsidR="007E43D0">
        <w:rPr>
          <w:i/>
          <w:iCs/>
        </w:rPr>
        <w:t>supra</w:t>
      </w:r>
      <w:r w:rsidRPr="008F1266" w:rsidR="007E43D0">
        <w:t xml:space="preserve">, </w:t>
      </w:r>
      <w:r w:rsidRPr="008F1266" w:rsidR="00A470D3">
        <w:t>62 Cal.App.5th 330 [</w:t>
      </w:r>
      <w:r w:rsidRPr="008F1266" w:rsidR="004E4C94">
        <w:t>11</w:t>
      </w:r>
      <w:r w:rsidRPr="008F1266" w:rsidR="00A470D3">
        <w:t xml:space="preserve">-year delay between petition for commitment and SVP </w:t>
      </w:r>
      <w:r w:rsidRPr="008F1266" w:rsidR="000D29C1">
        <w:t>re</w:t>
      </w:r>
      <w:r w:rsidRPr="008F1266" w:rsidR="00A470D3">
        <w:t xml:space="preserve">trial did not violate due process]; </w:t>
      </w:r>
      <w:r w:rsidRPr="008F1266" w:rsidR="00620270">
        <w:rPr>
          <w:i/>
          <w:iCs/>
        </w:rPr>
        <w:t xml:space="preserve">People v. Landau </w:t>
      </w:r>
      <w:r w:rsidRPr="008F1266" w:rsidR="00620270">
        <w:t xml:space="preserve">(2013) 214 Cal.App.4th 1, 9 </w:t>
      </w:r>
      <w:r w:rsidRPr="008F1266" w:rsidR="007E43D0">
        <w:t>(</w:t>
      </w:r>
      <w:r w:rsidRPr="008F1266" w:rsidR="007E43D0">
        <w:rPr>
          <w:i/>
          <w:iCs/>
        </w:rPr>
        <w:t>Landau</w:t>
      </w:r>
      <w:r w:rsidRPr="008F1266" w:rsidR="007E43D0">
        <w:t xml:space="preserve">) </w:t>
      </w:r>
      <w:r w:rsidRPr="008F1266" w:rsidR="00620270">
        <w:t>[</w:t>
      </w:r>
      <w:r w:rsidRPr="008F1266" w:rsidR="000D29C1">
        <w:t>seven</w:t>
      </w:r>
      <w:r w:rsidRPr="008F1266" w:rsidR="00620270">
        <w:t>-year delay</w:t>
      </w:r>
      <w:r w:rsidRPr="008F1266" w:rsidR="00A470D3">
        <w:t xml:space="preserve"> </w:t>
      </w:r>
      <w:r w:rsidRPr="008F1266" w:rsidR="00620270">
        <w:t>did not violate due process]</w:t>
      </w:r>
      <w:r w:rsidRPr="008F1266" w:rsidR="00A470D3">
        <w:t xml:space="preserve">.)  </w:t>
      </w:r>
      <w:r w:rsidRPr="008F1266" w:rsidR="00B272CC">
        <w:t>In three cases, courts found that extended delays violated the due process rights of alleged SVPs.</w:t>
      </w:r>
    </w:p>
    <w:p w:rsidR="001E2884" w:rsidRPr="008F1266" w:rsidP="00301C3B" w14:paraId="4E931345" w14:textId="77777777">
      <w:pPr>
        <w:tabs>
          <w:tab w:val="left" w:pos="720"/>
        </w:tabs>
        <w:rPr>
          <w:rStyle w:val="Hyperlink"/>
          <w:color w:val="auto"/>
        </w:rPr>
      </w:pPr>
      <w:r>
        <w:tab/>
      </w:r>
      <w:r w:rsidRPr="008F1266" w:rsidR="00DC6E08">
        <w:t>In the first of th</w:t>
      </w:r>
      <w:r>
        <w:t>e</w:t>
      </w:r>
      <w:r w:rsidRPr="008F1266" w:rsidR="00DC6E08">
        <w:t>se cases,</w:t>
      </w:r>
      <w:r w:rsidRPr="008F1266" w:rsidR="008A25B1">
        <w:t xml:space="preserve"> </w:t>
      </w:r>
      <w:bookmarkStart w:id="5" w:name="_Hlk131678868"/>
      <w:r w:rsidRPr="008F1266" w:rsidR="004E483B">
        <w:rPr>
          <w:i/>
          <w:iCs/>
        </w:rPr>
        <w:t>Vasquez</w:t>
      </w:r>
      <w:r w:rsidRPr="008F1266" w:rsidR="004E483B">
        <w:t xml:space="preserve">, </w:t>
      </w:r>
      <w:r w:rsidRPr="008F1266" w:rsidR="004E483B">
        <w:rPr>
          <w:i/>
          <w:iCs/>
        </w:rPr>
        <w:t>supra</w:t>
      </w:r>
      <w:r w:rsidRPr="008F1266" w:rsidR="004E483B">
        <w:t>, 27 Cal.App.5</w:t>
      </w:r>
      <w:r w:rsidRPr="008F1266" w:rsidR="000608B5">
        <w:t>th</w:t>
      </w:r>
      <w:r w:rsidRPr="008F1266" w:rsidR="0007215A">
        <w:t xml:space="preserve"> 36</w:t>
      </w:r>
      <w:r w:rsidRPr="008F1266" w:rsidR="005D163E">
        <w:t>,</w:t>
      </w:r>
      <w:r w:rsidRPr="008F1266" w:rsidR="0007215A">
        <w:t xml:space="preserve"> </w:t>
      </w:r>
      <w:r w:rsidRPr="008F1266" w:rsidR="008A73F1">
        <w:t xml:space="preserve">the Court of Appeal </w:t>
      </w:r>
      <w:r w:rsidRPr="008F1266" w:rsidR="003E77DC">
        <w:t xml:space="preserve">reviewed </w:t>
      </w:r>
      <w:r w:rsidRPr="008F1266" w:rsidR="0007215A">
        <w:t xml:space="preserve">the record </w:t>
      </w:r>
      <w:r w:rsidRPr="008F1266" w:rsidR="005D163E">
        <w:t>of</w:t>
      </w:r>
      <w:r w:rsidRPr="008F1266" w:rsidR="0007215A">
        <w:t xml:space="preserve"> the 17-year delay in that case</w:t>
      </w:r>
      <w:r w:rsidRPr="008F1266" w:rsidR="003E77DC">
        <w:t xml:space="preserve"> and</w:t>
      </w:r>
      <w:r w:rsidRPr="008F1266" w:rsidR="0007215A">
        <w:t xml:space="preserve"> </w:t>
      </w:r>
      <w:r w:rsidRPr="008F1266" w:rsidR="003E77DC">
        <w:t>affirmed</w:t>
      </w:r>
      <w:r w:rsidR="003153A7">
        <w:t xml:space="preserve"> </w:t>
      </w:r>
      <w:r w:rsidRPr="008F1266" w:rsidR="003E77DC">
        <w:t xml:space="preserve">the superior court’s finding that </w:t>
      </w:r>
      <w:r w:rsidRPr="008F1266" w:rsidR="0007215A">
        <w:t>delays sought by defense counsel could not</w:t>
      </w:r>
      <w:r w:rsidRPr="008F1266" w:rsidR="005D163E">
        <w:t xml:space="preserve"> be</w:t>
      </w:r>
      <w:r w:rsidRPr="008F1266" w:rsidR="0007215A">
        <w:t xml:space="preserve"> attributed to Vasquez</w:t>
      </w:r>
      <w:r w:rsidRPr="008F1266" w:rsidR="00470848">
        <w:t xml:space="preserve"> himself</w:t>
      </w:r>
      <w:r w:rsidRPr="008F1266" w:rsidR="00AC5070">
        <w:t xml:space="preserve">, but </w:t>
      </w:r>
      <w:r w:rsidRPr="008F1266" w:rsidR="006D785C">
        <w:t>instead result</w:t>
      </w:r>
      <w:r w:rsidR="00676353">
        <w:t>ed from</w:t>
      </w:r>
      <w:r w:rsidRPr="008F1266" w:rsidR="006D785C">
        <w:t xml:space="preserve"> an institutional breakdown </w:t>
      </w:r>
      <w:r w:rsidRPr="008F1266" w:rsidR="00F70695">
        <w:t xml:space="preserve">related to budget cuts and understaffing </w:t>
      </w:r>
      <w:r w:rsidRPr="008F1266" w:rsidR="006D785C">
        <w:t xml:space="preserve">in the </w:t>
      </w:r>
      <w:r w:rsidRPr="008F1266" w:rsidR="00AE0833">
        <w:t>p</w:t>
      </w:r>
      <w:r w:rsidRPr="008F1266" w:rsidR="006D785C">
        <w:t xml:space="preserve">ublic </w:t>
      </w:r>
      <w:r w:rsidRPr="008F1266" w:rsidR="00AE0833">
        <w:t>d</w:t>
      </w:r>
      <w:r w:rsidRPr="008F1266" w:rsidR="006D785C">
        <w:t xml:space="preserve">efender’s </w:t>
      </w:r>
      <w:r w:rsidRPr="008F1266" w:rsidR="00AE0833">
        <w:t>o</w:t>
      </w:r>
      <w:r w:rsidRPr="008F1266" w:rsidR="006D785C">
        <w:t>ffice that handled his case.  (</w:t>
      </w:r>
      <w:r w:rsidRPr="008F1266" w:rsidR="00760F09">
        <w:rPr>
          <w:i/>
          <w:iCs/>
        </w:rPr>
        <w:t>Id</w:t>
      </w:r>
      <w:r w:rsidRPr="008F1266" w:rsidR="00760F09">
        <w:t>. at pp.</w:t>
      </w:r>
      <w:r w:rsidRPr="008F1266" w:rsidR="004E4C94">
        <w:t> </w:t>
      </w:r>
      <w:r w:rsidRPr="008F1266" w:rsidR="00760F09">
        <w:t>54, 6</w:t>
      </w:r>
      <w:r w:rsidRPr="008F1266" w:rsidR="00AE0833">
        <w:t>6</w:t>
      </w:r>
      <w:r w:rsidRPr="008F1266" w:rsidR="00A667AD">
        <w:t xml:space="preserve">, </w:t>
      </w:r>
      <w:bookmarkEnd w:id="5"/>
      <w:r w:rsidRPr="008F1266" w:rsidR="00A667AD">
        <w:t xml:space="preserve">citing </w:t>
      </w:r>
      <w:r w:rsidRPr="00465490" w:rsidR="00465490">
        <w:rPr>
          <w:i/>
          <w:iCs/>
        </w:rPr>
        <w:t xml:space="preserve">Vermont v. </w:t>
      </w:r>
      <w:r w:rsidRPr="008F1266" w:rsidR="00A667AD">
        <w:rPr>
          <w:i/>
          <w:iCs/>
        </w:rPr>
        <w:t>Brillon</w:t>
      </w:r>
      <w:r w:rsidRPr="00913BFF" w:rsidR="00913BFF">
        <w:t>,</w:t>
      </w:r>
      <w:r w:rsidR="00913BFF">
        <w:rPr>
          <w:i/>
          <w:iCs/>
        </w:rPr>
        <w:t xml:space="preserve"> supra</w:t>
      </w:r>
      <w:r w:rsidRPr="00913BFF" w:rsidR="00913BFF">
        <w:t>,</w:t>
      </w:r>
      <w:r w:rsidR="00913BFF">
        <w:rPr>
          <w:i/>
          <w:iCs/>
        </w:rPr>
        <w:t xml:space="preserve"> </w:t>
      </w:r>
      <w:r w:rsidRPr="008F1266" w:rsidR="00A667AD">
        <w:t xml:space="preserve">556 U.S. </w:t>
      </w:r>
      <w:r w:rsidR="00913BFF">
        <w:t>at p. </w:t>
      </w:r>
      <w:r w:rsidRPr="008F1266" w:rsidR="00AE0833">
        <w:t>94</w:t>
      </w:r>
      <w:r w:rsidR="00465490">
        <w:t xml:space="preserve"> (</w:t>
      </w:r>
      <w:r w:rsidRPr="00465490" w:rsidR="00465490">
        <w:rPr>
          <w:i/>
          <w:iCs/>
        </w:rPr>
        <w:t>Brillon</w:t>
      </w:r>
      <w:r w:rsidR="00465490">
        <w:t>)</w:t>
      </w:r>
      <w:r w:rsidRPr="008F1266" w:rsidR="00A667AD">
        <w:t>.</w:t>
      </w:r>
      <w:r w:rsidRPr="008F1266" w:rsidR="00760F09">
        <w:t>)</w:t>
      </w:r>
      <w:r w:rsidRPr="008F1266" w:rsidR="003E77DC">
        <w:t xml:space="preserve">  Concluding the delay violated Vasquez’s </w:t>
      </w:r>
      <w:r w:rsidRPr="008F1266" w:rsidR="00C26ECB">
        <w:t>due process right to a timely SVP trial, the court dismissed the petition for commitment.</w:t>
      </w:r>
      <w:r w:rsidRPr="008F1266" w:rsidR="005D163E">
        <w:t xml:space="preserve">  </w:t>
      </w:r>
    </w:p>
    <w:p w:rsidR="0060583D" w:rsidRPr="008F1266" w:rsidP="00301C3B" w14:paraId="4E931346" w14:textId="77777777">
      <w:pPr>
        <w:tabs>
          <w:tab w:val="left" w:pos="720"/>
        </w:tabs>
        <w:rPr>
          <w:rStyle w:val="Hyperlink"/>
          <w:color w:val="auto"/>
          <w:u w:val="none"/>
        </w:rPr>
      </w:pPr>
      <w:r w:rsidRPr="008F1266">
        <w:rPr>
          <w:rStyle w:val="Hyperlink"/>
          <w:color w:val="auto"/>
          <w:u w:val="none"/>
        </w:rPr>
        <w:tab/>
      </w:r>
      <w:bookmarkStart w:id="6" w:name="_Hlk131678889"/>
      <w:r w:rsidRPr="008F1266" w:rsidR="000924A0">
        <w:rPr>
          <w:rStyle w:val="Hyperlink"/>
          <w:color w:val="auto"/>
          <w:u w:val="none"/>
        </w:rPr>
        <w:t xml:space="preserve">Two years later, the appellate court in </w:t>
      </w:r>
      <w:r w:rsidRPr="008F1266" w:rsidR="000924A0">
        <w:rPr>
          <w:rStyle w:val="Hyperlink"/>
          <w:i/>
          <w:iCs/>
          <w:color w:val="auto"/>
          <w:u w:val="none"/>
        </w:rPr>
        <w:t>People v. DeCasas</w:t>
      </w:r>
      <w:r w:rsidRPr="008F1266" w:rsidR="000924A0">
        <w:rPr>
          <w:rStyle w:val="Hyperlink"/>
          <w:color w:val="auto"/>
          <w:u w:val="none"/>
        </w:rPr>
        <w:t xml:space="preserve">, </w:t>
      </w:r>
      <w:r w:rsidRPr="008F1266" w:rsidR="00237D1D">
        <w:rPr>
          <w:rStyle w:val="Hyperlink"/>
          <w:i/>
          <w:iCs/>
          <w:color w:val="auto"/>
          <w:u w:val="none"/>
        </w:rPr>
        <w:t>supra</w:t>
      </w:r>
      <w:r w:rsidRPr="008F1266" w:rsidR="00237D1D">
        <w:rPr>
          <w:rStyle w:val="Hyperlink"/>
          <w:color w:val="auto"/>
          <w:u w:val="none"/>
        </w:rPr>
        <w:t xml:space="preserve">, </w:t>
      </w:r>
      <w:r w:rsidRPr="008F1266" w:rsidR="000924A0">
        <w:rPr>
          <w:rStyle w:val="Hyperlink"/>
          <w:color w:val="auto"/>
          <w:u w:val="none"/>
        </w:rPr>
        <w:t>54 Cal.App.5th 785</w:t>
      </w:r>
      <w:r w:rsidRPr="008F1266" w:rsidR="002D142D">
        <w:rPr>
          <w:rStyle w:val="Hyperlink"/>
          <w:color w:val="auto"/>
          <w:u w:val="none"/>
        </w:rPr>
        <w:t xml:space="preserve"> </w:t>
      </w:r>
      <w:r w:rsidR="00ED43B4">
        <w:rPr>
          <w:rStyle w:val="Hyperlink"/>
          <w:color w:val="auto"/>
          <w:u w:val="none"/>
        </w:rPr>
        <w:t>(</w:t>
      </w:r>
      <w:r w:rsidR="00ED43B4">
        <w:rPr>
          <w:rStyle w:val="Hyperlink"/>
          <w:i/>
          <w:iCs/>
          <w:color w:val="auto"/>
          <w:u w:val="none"/>
        </w:rPr>
        <w:t>DeCasas</w:t>
      </w:r>
      <w:r w:rsidRPr="00235C91" w:rsidR="00ED43B4">
        <w:rPr>
          <w:rStyle w:val="Hyperlink"/>
          <w:color w:val="auto"/>
          <w:u w:val="none"/>
        </w:rPr>
        <w:t>)</w:t>
      </w:r>
      <w:r w:rsidR="00ED43B4">
        <w:rPr>
          <w:rStyle w:val="Hyperlink"/>
          <w:color w:val="auto"/>
          <w:u w:val="none"/>
        </w:rPr>
        <w:t xml:space="preserve"> </w:t>
      </w:r>
      <w:r w:rsidRPr="008F1266">
        <w:rPr>
          <w:rStyle w:val="Hyperlink"/>
          <w:color w:val="auto"/>
          <w:u w:val="none"/>
        </w:rPr>
        <w:t xml:space="preserve">confronted a </w:t>
      </w:r>
      <w:r w:rsidRPr="008F1266" w:rsidR="00237D1D">
        <w:rPr>
          <w:rStyle w:val="Hyperlink"/>
          <w:color w:val="auto"/>
          <w:u w:val="none"/>
        </w:rPr>
        <w:t>13</w:t>
      </w:r>
      <w:r w:rsidRPr="008F1266">
        <w:rPr>
          <w:rStyle w:val="Hyperlink"/>
          <w:color w:val="auto"/>
          <w:u w:val="none"/>
        </w:rPr>
        <w:t xml:space="preserve">-year delay </w:t>
      </w:r>
      <w:r w:rsidRPr="008F1266" w:rsidR="004F2927">
        <w:rPr>
          <w:rStyle w:val="Hyperlink"/>
          <w:color w:val="auto"/>
          <w:u w:val="none"/>
        </w:rPr>
        <w:t xml:space="preserve">caused by </w:t>
      </w:r>
      <w:r w:rsidRPr="008F1266">
        <w:rPr>
          <w:rStyle w:val="Hyperlink"/>
          <w:color w:val="auto"/>
          <w:u w:val="none"/>
        </w:rPr>
        <w:t xml:space="preserve">“the same reduction of the SVP unit staff” </w:t>
      </w:r>
      <w:r w:rsidR="00ED43B4">
        <w:rPr>
          <w:rStyle w:val="Hyperlink"/>
          <w:color w:val="auto"/>
          <w:u w:val="none"/>
        </w:rPr>
        <w:t xml:space="preserve">at the same public defender’s office </w:t>
      </w:r>
      <w:r w:rsidRPr="008F1266">
        <w:rPr>
          <w:rStyle w:val="Hyperlink"/>
          <w:color w:val="auto"/>
          <w:u w:val="none"/>
        </w:rPr>
        <w:t xml:space="preserve">as in </w:t>
      </w:r>
      <w:r w:rsidRPr="008F1266">
        <w:rPr>
          <w:rStyle w:val="Hyperlink"/>
          <w:i/>
          <w:iCs/>
          <w:color w:val="auto"/>
          <w:u w:val="none"/>
        </w:rPr>
        <w:t>Vasquez</w:t>
      </w:r>
      <w:r w:rsidRPr="008F1266">
        <w:rPr>
          <w:rStyle w:val="Hyperlink"/>
          <w:color w:val="auto"/>
          <w:u w:val="none"/>
        </w:rPr>
        <w:t>.  (</w:t>
      </w:r>
      <w:r w:rsidRPr="00D2345A" w:rsidR="00D2345A">
        <w:rPr>
          <w:rStyle w:val="Hyperlink"/>
          <w:i/>
          <w:iCs/>
          <w:color w:val="auto"/>
          <w:u w:val="none"/>
        </w:rPr>
        <w:t>DeCasas</w:t>
      </w:r>
      <w:r w:rsidR="00D2345A">
        <w:rPr>
          <w:rStyle w:val="Hyperlink"/>
          <w:color w:val="auto"/>
          <w:u w:val="none"/>
        </w:rPr>
        <w:t>,</w:t>
      </w:r>
      <w:r w:rsidRPr="008F1266">
        <w:rPr>
          <w:rStyle w:val="Hyperlink"/>
          <w:color w:val="auto"/>
          <w:u w:val="none"/>
        </w:rPr>
        <w:t xml:space="preserve"> at p.</w:t>
      </w:r>
      <w:r w:rsidRPr="008F1266" w:rsidR="004E4C94">
        <w:rPr>
          <w:rStyle w:val="Hyperlink"/>
          <w:color w:val="auto"/>
          <w:u w:val="none"/>
        </w:rPr>
        <w:t> </w:t>
      </w:r>
      <w:r w:rsidRPr="008F1266">
        <w:rPr>
          <w:rStyle w:val="Hyperlink"/>
          <w:color w:val="auto"/>
          <w:u w:val="none"/>
        </w:rPr>
        <w:t xml:space="preserve">809.)  Following the logic of </w:t>
      </w:r>
      <w:r w:rsidRPr="008F1266">
        <w:rPr>
          <w:rStyle w:val="Hyperlink"/>
          <w:i/>
          <w:iCs/>
          <w:color w:val="auto"/>
          <w:u w:val="none"/>
        </w:rPr>
        <w:t>Vasquez</w:t>
      </w:r>
      <w:r w:rsidRPr="008F1266">
        <w:rPr>
          <w:rStyle w:val="Hyperlink"/>
          <w:color w:val="auto"/>
          <w:u w:val="none"/>
        </w:rPr>
        <w:t xml:space="preserve">, the court </w:t>
      </w:r>
      <w:r w:rsidRPr="008F1266" w:rsidR="002D142D">
        <w:rPr>
          <w:rStyle w:val="Hyperlink"/>
          <w:color w:val="auto"/>
          <w:u w:val="none"/>
        </w:rPr>
        <w:t>found a due process violation and dismissed the petition for commitment.  (</w:t>
      </w:r>
      <w:r w:rsidRPr="008F1266" w:rsidR="002D142D">
        <w:rPr>
          <w:rStyle w:val="Hyperlink"/>
          <w:i/>
          <w:iCs/>
          <w:color w:val="auto"/>
          <w:u w:val="none"/>
        </w:rPr>
        <w:t>Id</w:t>
      </w:r>
      <w:r w:rsidRPr="008F1266" w:rsidR="002D142D">
        <w:rPr>
          <w:rStyle w:val="Hyperlink"/>
          <w:color w:val="auto"/>
          <w:u w:val="none"/>
        </w:rPr>
        <w:t>. at p.</w:t>
      </w:r>
      <w:r w:rsidRPr="008F1266" w:rsidR="004E4C94">
        <w:rPr>
          <w:rStyle w:val="Hyperlink"/>
          <w:color w:val="auto"/>
          <w:u w:val="none"/>
        </w:rPr>
        <w:t> </w:t>
      </w:r>
      <w:r w:rsidRPr="008F1266" w:rsidR="002D142D">
        <w:rPr>
          <w:rStyle w:val="Hyperlink"/>
          <w:color w:val="auto"/>
          <w:u w:val="none"/>
        </w:rPr>
        <w:t>813.)</w:t>
      </w:r>
    </w:p>
    <w:bookmarkEnd w:id="6"/>
    <w:p w:rsidR="005025F3" w:rsidRPr="008F1266" w:rsidP="00301C3B" w14:paraId="4E931347" w14:textId="77777777">
      <w:pPr>
        <w:tabs>
          <w:tab w:val="left" w:pos="720"/>
        </w:tabs>
        <w:rPr>
          <w:rStyle w:val="Hyperlink"/>
          <w:color w:val="auto"/>
          <w:u w:val="none"/>
        </w:rPr>
      </w:pPr>
      <w:r w:rsidRPr="008F1266">
        <w:rPr>
          <w:rStyle w:val="Hyperlink"/>
          <w:color w:val="auto"/>
          <w:u w:val="none"/>
        </w:rPr>
        <w:tab/>
      </w:r>
      <w:bookmarkStart w:id="7" w:name="_Hlk131679705"/>
      <w:r w:rsidRPr="008F1266" w:rsidR="00765A44">
        <w:rPr>
          <w:rStyle w:val="Hyperlink"/>
          <w:color w:val="auto"/>
          <w:u w:val="none"/>
        </w:rPr>
        <w:t xml:space="preserve">Finally, </w:t>
      </w:r>
      <w:r w:rsidRPr="008F1266">
        <w:rPr>
          <w:rStyle w:val="Hyperlink"/>
          <w:color w:val="auto"/>
          <w:u w:val="none"/>
        </w:rPr>
        <w:t xml:space="preserve">the </w:t>
      </w:r>
      <w:bookmarkStart w:id="8" w:name="_Hlk131679505"/>
      <w:r w:rsidRPr="008F1266">
        <w:rPr>
          <w:rStyle w:val="Hyperlink"/>
          <w:color w:val="auto"/>
          <w:u w:val="none"/>
        </w:rPr>
        <w:t xml:space="preserve">court in </w:t>
      </w:r>
      <w:r w:rsidRPr="008F1266">
        <w:rPr>
          <w:rStyle w:val="Hyperlink"/>
          <w:i/>
          <w:iCs/>
          <w:color w:val="auto"/>
          <w:u w:val="none"/>
        </w:rPr>
        <w:t>Butler</w:t>
      </w:r>
      <w:r w:rsidRPr="008F1266">
        <w:rPr>
          <w:rStyle w:val="Hyperlink"/>
          <w:color w:val="auto"/>
          <w:u w:val="none"/>
        </w:rPr>
        <w:t xml:space="preserve">, </w:t>
      </w:r>
      <w:r w:rsidRPr="008F1266" w:rsidR="00237D1D">
        <w:rPr>
          <w:rStyle w:val="Hyperlink"/>
          <w:i/>
          <w:iCs/>
          <w:color w:val="auto"/>
          <w:u w:val="none"/>
        </w:rPr>
        <w:t>supra</w:t>
      </w:r>
      <w:r w:rsidRPr="008F1266" w:rsidR="00237D1D">
        <w:rPr>
          <w:rStyle w:val="Hyperlink"/>
          <w:color w:val="auto"/>
          <w:u w:val="none"/>
        </w:rPr>
        <w:t xml:space="preserve">, </w:t>
      </w:r>
      <w:r w:rsidRPr="008F1266">
        <w:rPr>
          <w:rStyle w:val="Hyperlink"/>
          <w:color w:val="auto"/>
          <w:u w:val="none"/>
        </w:rPr>
        <w:t xml:space="preserve">55 Cal.App.5th 614 </w:t>
      </w:r>
      <w:bookmarkEnd w:id="8"/>
      <w:r w:rsidRPr="008F1266">
        <w:rPr>
          <w:rStyle w:val="Hyperlink"/>
          <w:color w:val="auto"/>
          <w:u w:val="none"/>
        </w:rPr>
        <w:t xml:space="preserve">dismissed </w:t>
      </w:r>
      <w:r w:rsidRPr="008F1266" w:rsidR="00317432">
        <w:rPr>
          <w:rStyle w:val="Hyperlink"/>
          <w:color w:val="auto"/>
          <w:u w:val="none"/>
        </w:rPr>
        <w:t>a</w:t>
      </w:r>
      <w:r w:rsidRPr="008F1266">
        <w:rPr>
          <w:rStyle w:val="Hyperlink"/>
          <w:color w:val="auto"/>
          <w:u w:val="none"/>
        </w:rPr>
        <w:t xml:space="preserve"> petition for commitment after finding a due process violation based on pretrial delay.</w:t>
      </w:r>
      <w:r w:rsidRPr="008F1266" w:rsidR="00317432">
        <w:rPr>
          <w:rStyle w:val="Hyperlink"/>
          <w:color w:val="auto"/>
          <w:u w:val="none"/>
        </w:rPr>
        <w:t xml:space="preserve">  Though there were “several factors </w:t>
      </w:r>
      <w:r w:rsidR="00465490">
        <w:rPr>
          <w:rStyle w:val="Hyperlink"/>
          <w:color w:val="auto"/>
          <w:u w:val="none"/>
        </w:rPr>
        <w:t xml:space="preserve">. . . </w:t>
      </w:r>
      <w:r w:rsidRPr="008F1266" w:rsidR="00317432">
        <w:rPr>
          <w:rStyle w:val="Hyperlink"/>
          <w:color w:val="auto"/>
          <w:u w:val="none"/>
        </w:rPr>
        <w:t xml:space="preserve">suggesting that the public defender’s mismanagement of this case went beyond any particular attorney’s performance,” </w:t>
      </w:r>
      <w:r w:rsidRPr="008F1266">
        <w:rPr>
          <w:rStyle w:val="Hyperlink"/>
          <w:color w:val="auto"/>
          <w:u w:val="none"/>
        </w:rPr>
        <w:t xml:space="preserve">the court </w:t>
      </w:r>
      <w:r w:rsidRPr="008F1266" w:rsidR="00317432">
        <w:rPr>
          <w:rStyle w:val="Hyperlink"/>
          <w:color w:val="auto"/>
          <w:u w:val="none"/>
        </w:rPr>
        <w:t>found that even if those circumstances did not constitute</w:t>
      </w:r>
      <w:r w:rsidRPr="008F1266">
        <w:rPr>
          <w:rStyle w:val="Hyperlink"/>
          <w:color w:val="auto"/>
          <w:u w:val="none"/>
        </w:rPr>
        <w:t xml:space="preserve"> systemic breakdown in the public defender’s office</w:t>
      </w:r>
      <w:r w:rsidRPr="008F1266" w:rsidR="00317432">
        <w:rPr>
          <w:rStyle w:val="Hyperlink"/>
          <w:color w:val="auto"/>
          <w:u w:val="none"/>
        </w:rPr>
        <w:t>, it would be “fundamentally unfair to hold Butler personally and solely accountable for delays caused by his counsel” where the record showed that counsel refused to convey Butler’s explicit demands for trial, failed to demand a probable cause hearing or consult with a defense expert, and did not ever “come close to being ready for trial</w:t>
      </w:r>
      <w:bookmarkStart w:id="9" w:name="_Hlk131679498"/>
      <w:r w:rsidRPr="008F1266" w:rsidR="00317432">
        <w:rPr>
          <w:rStyle w:val="Hyperlink"/>
          <w:color w:val="auto"/>
          <w:u w:val="none"/>
        </w:rPr>
        <w:t>.”  (</w:t>
      </w:r>
      <w:r w:rsidRPr="008F1266" w:rsidR="00317432">
        <w:rPr>
          <w:rStyle w:val="Hyperlink"/>
          <w:i/>
          <w:iCs/>
          <w:color w:val="auto"/>
          <w:u w:val="none"/>
        </w:rPr>
        <w:t>Id</w:t>
      </w:r>
      <w:r w:rsidRPr="008F1266" w:rsidR="00317432">
        <w:rPr>
          <w:rStyle w:val="Hyperlink"/>
          <w:color w:val="auto"/>
          <w:u w:val="none"/>
        </w:rPr>
        <w:t>. at p.</w:t>
      </w:r>
      <w:r w:rsidRPr="008F1266" w:rsidR="004E4C94">
        <w:rPr>
          <w:rStyle w:val="Hyperlink"/>
          <w:color w:val="auto"/>
          <w:u w:val="none"/>
        </w:rPr>
        <w:t> </w:t>
      </w:r>
      <w:r w:rsidRPr="008F1266" w:rsidR="00317432">
        <w:rPr>
          <w:rStyle w:val="Hyperlink"/>
          <w:color w:val="auto"/>
          <w:u w:val="none"/>
        </w:rPr>
        <w:t xml:space="preserve">658.)  </w:t>
      </w:r>
      <w:bookmarkEnd w:id="9"/>
    </w:p>
    <w:p w:rsidR="007C4555" w:rsidRPr="008F1266" w:rsidP="00301C3B" w14:paraId="4E931348" w14:textId="77777777">
      <w:pPr>
        <w:tabs>
          <w:tab w:val="left" w:pos="720"/>
        </w:tabs>
      </w:pPr>
      <w:r w:rsidRPr="008F1266">
        <w:rPr>
          <w:rStyle w:val="Hyperlink"/>
          <w:color w:val="auto"/>
          <w:u w:val="none"/>
        </w:rPr>
        <w:tab/>
      </w:r>
      <w:r w:rsidRPr="008F1266" w:rsidR="00E8418B">
        <w:rPr>
          <w:rStyle w:val="Hyperlink"/>
          <w:color w:val="auto"/>
          <w:u w:val="none"/>
        </w:rPr>
        <w:t>I</w:t>
      </w:r>
      <w:r w:rsidRPr="008F1266">
        <w:rPr>
          <w:rStyle w:val="Hyperlink"/>
          <w:color w:val="auto"/>
          <w:u w:val="none"/>
        </w:rPr>
        <w:t xml:space="preserve">n response to </w:t>
      </w:r>
      <w:r w:rsidRPr="008F1266">
        <w:rPr>
          <w:rStyle w:val="Hyperlink"/>
          <w:i/>
          <w:iCs/>
          <w:color w:val="auto"/>
          <w:u w:val="none"/>
        </w:rPr>
        <w:t>Vasquez</w:t>
      </w:r>
      <w:r w:rsidRPr="008F1266" w:rsidR="008B24C7">
        <w:rPr>
          <w:rStyle w:val="Hyperlink"/>
          <w:color w:val="auto"/>
          <w:u w:val="none"/>
        </w:rPr>
        <w:t xml:space="preserve"> and </w:t>
      </w:r>
      <w:bookmarkEnd w:id="7"/>
      <w:r w:rsidRPr="008F1266" w:rsidR="008B24C7">
        <w:rPr>
          <w:rStyle w:val="Hyperlink"/>
          <w:color w:val="auto"/>
          <w:u w:val="none"/>
        </w:rPr>
        <w:t>cases</w:t>
      </w:r>
      <w:r w:rsidR="00B272CC">
        <w:rPr>
          <w:rStyle w:val="Hyperlink"/>
          <w:color w:val="auto"/>
          <w:u w:val="none"/>
        </w:rPr>
        <w:t xml:space="preserve"> that followed</w:t>
      </w:r>
      <w:r w:rsidRPr="008F1266">
        <w:rPr>
          <w:rStyle w:val="Hyperlink"/>
          <w:color w:val="auto"/>
          <w:u w:val="none"/>
        </w:rPr>
        <w:t xml:space="preserve">, the </w:t>
      </w:r>
      <w:r w:rsidRPr="008F1266" w:rsidR="008B24C7">
        <w:rPr>
          <w:rStyle w:val="Hyperlink"/>
          <w:color w:val="auto"/>
          <w:u w:val="none"/>
        </w:rPr>
        <w:t>L</w:t>
      </w:r>
      <w:r w:rsidRPr="008F1266">
        <w:rPr>
          <w:rStyle w:val="Hyperlink"/>
          <w:color w:val="auto"/>
          <w:u w:val="none"/>
        </w:rPr>
        <w:t xml:space="preserve">egislature amended the SVP Act to </w:t>
      </w:r>
      <w:r w:rsidR="00950489">
        <w:rPr>
          <w:rStyle w:val="Hyperlink"/>
          <w:color w:val="auto"/>
          <w:u w:val="none"/>
        </w:rPr>
        <w:t xml:space="preserve">prescribe more demanding requirements for seeking and granting </w:t>
      </w:r>
      <w:r w:rsidR="00B6303A">
        <w:rPr>
          <w:rStyle w:val="Hyperlink"/>
          <w:color w:val="auto"/>
          <w:u w:val="none"/>
        </w:rPr>
        <w:t xml:space="preserve">trial continuances.  </w:t>
      </w:r>
      <w:r w:rsidR="00676353">
        <w:rPr>
          <w:rStyle w:val="Hyperlink"/>
          <w:color w:val="auto"/>
          <w:u w:val="none"/>
        </w:rPr>
        <w:t>T</w:t>
      </w:r>
      <w:r w:rsidR="00B6303A">
        <w:rPr>
          <w:rStyle w:val="Hyperlink"/>
          <w:color w:val="auto"/>
          <w:u w:val="none"/>
        </w:rPr>
        <w:t xml:space="preserve">he </w:t>
      </w:r>
      <w:r w:rsidR="00694E01">
        <w:rPr>
          <w:rStyle w:val="Hyperlink"/>
          <w:color w:val="auto"/>
          <w:u w:val="none"/>
        </w:rPr>
        <w:t xml:space="preserve">statute </w:t>
      </w:r>
      <w:r w:rsidR="00B6303A">
        <w:rPr>
          <w:rStyle w:val="Hyperlink"/>
          <w:color w:val="auto"/>
          <w:u w:val="none"/>
        </w:rPr>
        <w:t xml:space="preserve">now </w:t>
      </w:r>
      <w:r w:rsidRPr="008F1266">
        <w:rPr>
          <w:rStyle w:val="Hyperlink"/>
          <w:color w:val="auto"/>
          <w:u w:val="none"/>
        </w:rPr>
        <w:t>require</w:t>
      </w:r>
      <w:r w:rsidR="00B6303A">
        <w:rPr>
          <w:rStyle w:val="Hyperlink"/>
          <w:color w:val="auto"/>
          <w:u w:val="none"/>
        </w:rPr>
        <w:t>s</w:t>
      </w:r>
      <w:r w:rsidRPr="008F1266">
        <w:rPr>
          <w:rStyle w:val="Hyperlink"/>
          <w:color w:val="auto"/>
          <w:u w:val="none"/>
        </w:rPr>
        <w:t xml:space="preserve"> that motions for </w:t>
      </w:r>
      <w:r w:rsidR="00B6303A">
        <w:rPr>
          <w:rStyle w:val="Hyperlink"/>
          <w:color w:val="auto"/>
          <w:u w:val="none"/>
        </w:rPr>
        <w:t xml:space="preserve">trial </w:t>
      </w:r>
      <w:r w:rsidRPr="008F1266">
        <w:rPr>
          <w:rStyle w:val="Hyperlink"/>
          <w:color w:val="auto"/>
          <w:u w:val="none"/>
        </w:rPr>
        <w:t>continuances be in writing, supported by good cause, and resolved in a timely manner.</w:t>
      </w:r>
      <w:r w:rsidRPr="008F1266" w:rsidR="00827071">
        <w:rPr>
          <w:rStyle w:val="Hyperlink"/>
          <w:color w:val="auto"/>
          <w:u w:val="none"/>
        </w:rPr>
        <w:t xml:space="preserve"> </w:t>
      </w:r>
      <w:r w:rsidRPr="008F1266" w:rsidR="00AC225B">
        <w:rPr>
          <w:rStyle w:val="Hyperlink"/>
          <w:color w:val="auto"/>
          <w:u w:val="none"/>
        </w:rPr>
        <w:t xml:space="preserve"> </w:t>
      </w:r>
      <w:r w:rsidRPr="008F1266" w:rsidR="00827071">
        <w:rPr>
          <w:rStyle w:val="Hyperlink"/>
          <w:color w:val="auto"/>
          <w:u w:val="none"/>
        </w:rPr>
        <w:t>(</w:t>
      </w:r>
      <w:r w:rsidRPr="008F1266">
        <w:t>Welf. &amp; Inst. Code, §</w:t>
      </w:r>
      <w:r w:rsidRPr="008F1266" w:rsidR="004E4C94">
        <w:t> </w:t>
      </w:r>
      <w:r w:rsidRPr="008F1266">
        <w:t>6603, subd. (c), as amended by Stats. 2019, ch. 606</w:t>
      </w:r>
      <w:r w:rsidRPr="008F1266" w:rsidR="00237D1D">
        <w:t>, § 1</w:t>
      </w:r>
      <w:r w:rsidRPr="008F1266">
        <w:t>.)</w:t>
      </w:r>
      <w:r w:rsidRPr="008F1266" w:rsidR="00FD2187">
        <w:t xml:space="preserve">  </w:t>
      </w:r>
      <w:r w:rsidR="000A2452">
        <w:t xml:space="preserve">While these amendments provide procedural safeguards against </w:t>
      </w:r>
      <w:r w:rsidR="00DE1107">
        <w:t xml:space="preserve">unwarranted </w:t>
      </w:r>
      <w:r w:rsidR="000A2452">
        <w:t>delays, t</w:t>
      </w:r>
      <w:r w:rsidR="00694E01">
        <w:t>he</w:t>
      </w:r>
      <w:r w:rsidR="00DE1107">
        <w:t xml:space="preserve">y </w:t>
      </w:r>
      <w:r w:rsidR="00694E01">
        <w:t>do not</w:t>
      </w:r>
      <w:r w:rsidR="000A2452">
        <w:t xml:space="preserve"> </w:t>
      </w:r>
      <w:r w:rsidR="00084333">
        <w:t xml:space="preserve">address </w:t>
      </w:r>
      <w:r w:rsidR="00E10718">
        <w:t xml:space="preserve">whether </w:t>
      </w:r>
      <w:r w:rsidR="00235BF8">
        <w:t xml:space="preserve">or </w:t>
      </w:r>
      <w:r w:rsidR="006E4CFC">
        <w:t>when</w:t>
      </w:r>
      <w:r w:rsidR="00F74D78">
        <w:t xml:space="preserve"> </w:t>
      </w:r>
      <w:r w:rsidRPr="008F1266" w:rsidR="00BA6B7B">
        <w:t xml:space="preserve">an SVP commitment trial </w:t>
      </w:r>
      <w:r w:rsidR="006E4CFC">
        <w:t xml:space="preserve">may </w:t>
      </w:r>
      <w:r w:rsidRPr="008F1266" w:rsidR="00BA6B7B">
        <w:t>become untimely</w:t>
      </w:r>
      <w:r w:rsidR="00950489">
        <w:t xml:space="preserve"> </w:t>
      </w:r>
      <w:r w:rsidRPr="008F1266" w:rsidR="00950489">
        <w:t>as a result of previously granted continuances</w:t>
      </w:r>
      <w:r w:rsidRPr="008F1266" w:rsidR="00BA6B7B">
        <w:t xml:space="preserve">.  </w:t>
      </w:r>
    </w:p>
    <w:p w:rsidR="00A3413E" w:rsidRPr="008F1266" w:rsidP="00301C3B" w14:paraId="4E931349" w14:textId="77777777">
      <w:pPr>
        <w:tabs>
          <w:tab w:val="left" w:pos="720"/>
        </w:tabs>
        <w:jc w:val="center"/>
        <w:rPr>
          <w:b/>
          <w:bCs/>
        </w:rPr>
      </w:pPr>
      <w:r w:rsidRPr="008F1266">
        <w:rPr>
          <w:b/>
          <w:bCs/>
        </w:rPr>
        <w:t>I</w:t>
      </w:r>
      <w:r w:rsidRPr="008F1266" w:rsidR="00D13938">
        <w:rPr>
          <w:b/>
          <w:bCs/>
        </w:rPr>
        <w:t>I</w:t>
      </w:r>
      <w:r w:rsidRPr="008F1266">
        <w:rPr>
          <w:b/>
          <w:bCs/>
        </w:rPr>
        <w:t>I.</w:t>
      </w:r>
    </w:p>
    <w:p w:rsidR="00591F37" w:rsidRPr="008F1266" w:rsidP="00301C3B" w14:paraId="4E93134A" w14:textId="77777777">
      <w:pPr>
        <w:tabs>
          <w:tab w:val="left" w:pos="720"/>
        </w:tabs>
      </w:pPr>
      <w:r w:rsidRPr="008F1266">
        <w:tab/>
      </w:r>
      <w:r w:rsidR="0072385F">
        <w:t xml:space="preserve">We turn, then, to the question before us, which concerns the constitutional principles governing the timeliness of </w:t>
      </w:r>
      <w:r w:rsidR="00305E43">
        <w:t xml:space="preserve">SVP </w:t>
      </w:r>
      <w:r w:rsidR="0072385F">
        <w:t>trial</w:t>
      </w:r>
      <w:r w:rsidR="00305E43">
        <w:t>s</w:t>
      </w:r>
      <w:r w:rsidR="0072385F">
        <w:t xml:space="preserve">.  </w:t>
      </w:r>
      <w:r w:rsidRPr="008F1266" w:rsidR="00056C25">
        <w:t xml:space="preserve">The </w:t>
      </w:r>
      <w:r w:rsidRPr="008F1266" w:rsidR="00DD3586">
        <w:t>due process clause</w:t>
      </w:r>
      <w:r w:rsidRPr="008F1266" w:rsidR="00241E83">
        <w:t>s</w:t>
      </w:r>
      <w:r w:rsidRPr="008F1266" w:rsidR="00DD3586">
        <w:t xml:space="preserve"> </w:t>
      </w:r>
      <w:r w:rsidRPr="008F1266" w:rsidR="00241E83">
        <w:t xml:space="preserve">of both the federal and state </w:t>
      </w:r>
      <w:r w:rsidRPr="008F1266" w:rsidR="00237D1D">
        <w:t>C</w:t>
      </w:r>
      <w:r w:rsidRPr="008F1266" w:rsidR="00241E83">
        <w:t>onstitution</w:t>
      </w:r>
      <w:r w:rsidRPr="008F1266" w:rsidR="00907AD8">
        <w:t>s</w:t>
      </w:r>
      <w:r w:rsidRPr="008F1266" w:rsidR="00241E83">
        <w:t xml:space="preserve"> </w:t>
      </w:r>
      <w:r w:rsidRPr="008F1266" w:rsidR="00DD3586">
        <w:t xml:space="preserve">forbid the state from depriving </w:t>
      </w:r>
      <w:r w:rsidRPr="008F1266" w:rsidR="00241E83">
        <w:t>individuals of their liberty without due process of law.</w:t>
      </w:r>
      <w:r w:rsidRPr="008F1266" w:rsidR="00B82CC2">
        <w:t xml:space="preserve">  (U.S. </w:t>
      </w:r>
      <w:r w:rsidRPr="008F1266" w:rsidR="00237D1D">
        <w:t>C</w:t>
      </w:r>
      <w:r w:rsidRPr="008F1266" w:rsidR="00B82CC2">
        <w:t xml:space="preserve">onst., </w:t>
      </w:r>
      <w:r w:rsidR="00465490">
        <w:t>A</w:t>
      </w:r>
      <w:r w:rsidRPr="008F1266" w:rsidR="00B82CC2">
        <w:t>m</w:t>
      </w:r>
      <w:r w:rsidRPr="008F1266" w:rsidR="004E4C94">
        <w:t>end.</w:t>
      </w:r>
      <w:r w:rsidRPr="008F1266" w:rsidR="00B82CC2">
        <w:t xml:space="preserve"> XIV, §</w:t>
      </w:r>
      <w:r w:rsidRPr="008F1266" w:rsidR="004E4C94">
        <w:t> </w:t>
      </w:r>
      <w:r w:rsidRPr="008F1266" w:rsidR="00B82CC2">
        <w:t xml:space="preserve">1; Cal. </w:t>
      </w:r>
      <w:r w:rsidRPr="008F1266" w:rsidR="00C707E8">
        <w:t>C</w:t>
      </w:r>
      <w:r w:rsidRPr="008F1266" w:rsidR="00B82CC2">
        <w:t>onst., art. I, §</w:t>
      </w:r>
      <w:r w:rsidRPr="008F1266" w:rsidR="004E4C94">
        <w:t> </w:t>
      </w:r>
      <w:r w:rsidRPr="008F1266" w:rsidR="00B82CC2">
        <w:t>7, subd. (a).</w:t>
      </w:r>
      <w:r w:rsidRPr="008F1266" w:rsidR="00224E87">
        <w:t>)</w:t>
      </w:r>
      <w:r>
        <w:rPr>
          <w:rStyle w:val="FootnoteReference"/>
        </w:rPr>
        <w:footnoteReference w:id="5"/>
      </w:r>
      <w:r w:rsidRPr="008F1266" w:rsidR="0076346E">
        <w:t xml:space="preserve">  </w:t>
      </w:r>
      <w:r w:rsidRPr="008F1266" w:rsidR="008D33BC">
        <w:t>C</w:t>
      </w:r>
      <w:r w:rsidRPr="008F1266" w:rsidR="007A3225">
        <w:t>ivil commitment under the SVP Act</w:t>
      </w:r>
      <w:r w:rsidRPr="008F1266" w:rsidR="00AC7675">
        <w:t xml:space="preserve"> </w:t>
      </w:r>
      <w:r w:rsidRPr="008F1266" w:rsidR="00D23D23">
        <w:t>undoubtedly involves</w:t>
      </w:r>
      <w:r w:rsidR="00550394">
        <w:t xml:space="preserve"> </w:t>
      </w:r>
      <w:r w:rsidRPr="008F1266" w:rsidR="005D2D19">
        <w:t>“</w:t>
      </w:r>
      <w:r w:rsidRPr="008F1266" w:rsidR="00D23D23">
        <w:t>a significant deprivation of liberty</w:t>
      </w:r>
      <w:r w:rsidRPr="008F1266" w:rsidR="002736F1">
        <w:t>.”  (</w:t>
      </w:r>
      <w:r w:rsidRPr="008F1266" w:rsidR="002736F1">
        <w:rPr>
          <w:i/>
          <w:iCs/>
        </w:rPr>
        <w:t>People v. Otto</w:t>
      </w:r>
      <w:r w:rsidRPr="008F1266" w:rsidR="002736F1">
        <w:t xml:space="preserve"> (2001) 26 Cal.4th 200, 209</w:t>
      </w:r>
      <w:r w:rsidRPr="008F1266" w:rsidR="00A67207">
        <w:t xml:space="preserve">; see </w:t>
      </w:r>
      <w:r w:rsidRPr="008F1266" w:rsidR="00A67207">
        <w:rPr>
          <w:i/>
          <w:iCs/>
        </w:rPr>
        <w:t>Kansas v. Hendricks</w:t>
      </w:r>
      <w:r w:rsidRPr="008F1266" w:rsidR="00A67207">
        <w:t xml:space="preserve"> (1997) 521 U.S. 346, </w:t>
      </w:r>
      <w:r w:rsidRPr="008F1266" w:rsidR="004C0D71">
        <w:t>356–35</w:t>
      </w:r>
      <w:r w:rsidRPr="008F1266" w:rsidR="00CC7956">
        <w:t>7</w:t>
      </w:r>
      <w:r w:rsidR="00550394">
        <w:t>.)  “</w:t>
      </w:r>
      <w:r w:rsidRPr="008F1266" w:rsidR="00235BF8">
        <w:t>The fundamental requirement of due process is the opportunity to be heard ‘at a meaningful time and in a meaningful manner.’ ”  (</w:t>
      </w:r>
      <w:r w:rsidRPr="008F1266" w:rsidR="00235BF8">
        <w:rPr>
          <w:i/>
          <w:iCs/>
        </w:rPr>
        <w:t xml:space="preserve">Mathews v. Eldridge </w:t>
      </w:r>
      <w:r w:rsidRPr="008F1266" w:rsidR="00235BF8">
        <w:t>(1976) 424 U.S. 319, 333 (</w:t>
      </w:r>
      <w:r w:rsidRPr="008F1266" w:rsidR="00235BF8">
        <w:rPr>
          <w:i/>
          <w:iCs/>
        </w:rPr>
        <w:t>Mathews</w:t>
      </w:r>
      <w:r w:rsidRPr="008F1266" w:rsidR="00235BF8">
        <w:t>).)</w:t>
      </w:r>
      <w:r w:rsidR="00CC0CA8">
        <w:t xml:space="preserve">  </w:t>
      </w:r>
      <w:r w:rsidR="005A7CB9">
        <w:t>Thus, a</w:t>
      </w:r>
      <w:r w:rsidRPr="008F1266" w:rsidR="00D407AC">
        <w:t xml:space="preserve">s every </w:t>
      </w:r>
      <w:r w:rsidRPr="008F1266" w:rsidR="00EF52A4">
        <w:t xml:space="preserve">Court of Appeal to address the issue has agreed, </w:t>
      </w:r>
      <w:r w:rsidRPr="008F1266" w:rsidR="008E5769">
        <w:t>individual</w:t>
      </w:r>
      <w:r w:rsidRPr="008F1266" w:rsidR="00760912">
        <w:t>s</w:t>
      </w:r>
      <w:r w:rsidRPr="008F1266" w:rsidR="008E5769">
        <w:t xml:space="preserve"> facing commitment</w:t>
      </w:r>
      <w:r w:rsidRPr="008F1266" w:rsidR="00760912">
        <w:t xml:space="preserve"> under the SVP Act</w:t>
      </w:r>
      <w:r w:rsidRPr="008F1266" w:rsidR="008E5769">
        <w:t xml:space="preserve"> </w:t>
      </w:r>
      <w:r w:rsidRPr="008F1266" w:rsidR="00760912">
        <w:t xml:space="preserve">have a due process right </w:t>
      </w:r>
      <w:r w:rsidRPr="008F1266" w:rsidR="008E5769">
        <w:t xml:space="preserve">to a timely </w:t>
      </w:r>
      <w:r w:rsidRPr="008F1266" w:rsidR="00A67207">
        <w:t>trial</w:t>
      </w:r>
      <w:r w:rsidRPr="008F1266" w:rsidR="008E5769">
        <w:t>.  (</w:t>
      </w:r>
      <w:r w:rsidRPr="008F1266" w:rsidR="00FB286E">
        <w:t xml:space="preserve">See, e.g., </w:t>
      </w:r>
      <w:r w:rsidRPr="008F1266" w:rsidR="00A744E8">
        <w:rPr>
          <w:i/>
          <w:iCs/>
        </w:rPr>
        <w:t>Orozco</w:t>
      </w:r>
      <w:r w:rsidRPr="008F1266" w:rsidR="00A744E8">
        <w:t xml:space="preserve">, </w:t>
      </w:r>
      <w:r w:rsidRPr="008F1266" w:rsidR="00A744E8">
        <w:rPr>
          <w:i/>
          <w:iCs/>
        </w:rPr>
        <w:t>supra</w:t>
      </w:r>
      <w:r w:rsidRPr="008F1266" w:rsidR="00A744E8">
        <w:t>, 117 Cal.App.4th at pp.</w:t>
      </w:r>
      <w:r w:rsidRPr="008F1266" w:rsidR="004E4C94">
        <w:t> </w:t>
      </w:r>
      <w:r w:rsidRPr="008F1266" w:rsidR="00A744E8">
        <w:t>179</w:t>
      </w:r>
      <w:r w:rsidRPr="008F1266" w:rsidR="00A744E8">
        <w:rPr>
          <w:szCs w:val="26"/>
        </w:rPr>
        <w:t xml:space="preserve">–180; </w:t>
      </w:r>
      <w:r w:rsidRPr="008F1266" w:rsidR="000C33C3">
        <w:rPr>
          <w:i/>
          <w:iCs/>
          <w:szCs w:val="26"/>
        </w:rPr>
        <w:t xml:space="preserve">People v. Litmon </w:t>
      </w:r>
      <w:r w:rsidRPr="008F1266" w:rsidR="000C33C3">
        <w:rPr>
          <w:szCs w:val="26"/>
        </w:rPr>
        <w:t>(2008) 162 Cal.App.4th 383, 395–399</w:t>
      </w:r>
      <w:r w:rsidRPr="008F1266" w:rsidR="008C61E7">
        <w:rPr>
          <w:szCs w:val="26"/>
        </w:rPr>
        <w:t xml:space="preserve"> (</w:t>
      </w:r>
      <w:r w:rsidRPr="008F1266" w:rsidR="008C61E7">
        <w:rPr>
          <w:i/>
          <w:iCs/>
          <w:szCs w:val="26"/>
        </w:rPr>
        <w:t>Litmon II</w:t>
      </w:r>
      <w:r w:rsidRPr="008F1266" w:rsidR="008C61E7">
        <w:rPr>
          <w:szCs w:val="26"/>
        </w:rPr>
        <w:t>)</w:t>
      </w:r>
      <w:r w:rsidRPr="008F1266" w:rsidR="000C33C3">
        <w:rPr>
          <w:szCs w:val="26"/>
        </w:rPr>
        <w:t xml:space="preserve">; </w:t>
      </w:r>
      <w:r w:rsidRPr="008F1266" w:rsidR="000C33C3">
        <w:rPr>
          <w:i/>
          <w:iCs/>
          <w:szCs w:val="26"/>
        </w:rPr>
        <w:t>Landau</w:t>
      </w:r>
      <w:r w:rsidRPr="008F1266" w:rsidR="00237D1D">
        <w:rPr>
          <w:szCs w:val="26"/>
        </w:rPr>
        <w:t>,</w:t>
      </w:r>
      <w:r w:rsidRPr="008F1266" w:rsidR="00237D1D">
        <w:rPr>
          <w:i/>
          <w:iCs/>
          <w:szCs w:val="26"/>
        </w:rPr>
        <w:t xml:space="preserve"> supra</w:t>
      </w:r>
      <w:r w:rsidRPr="008F1266" w:rsidR="00237D1D">
        <w:rPr>
          <w:szCs w:val="26"/>
        </w:rPr>
        <w:t>,</w:t>
      </w:r>
      <w:r w:rsidRPr="008F1266" w:rsidR="00237D1D">
        <w:rPr>
          <w:i/>
          <w:iCs/>
          <w:szCs w:val="26"/>
        </w:rPr>
        <w:t xml:space="preserve"> </w:t>
      </w:r>
      <w:r w:rsidRPr="008F1266" w:rsidR="000C33C3">
        <w:rPr>
          <w:szCs w:val="26"/>
        </w:rPr>
        <w:t xml:space="preserve">214 Cal.App.4th </w:t>
      </w:r>
      <w:r w:rsidRPr="008F1266" w:rsidR="00237D1D">
        <w:rPr>
          <w:szCs w:val="26"/>
        </w:rPr>
        <w:t>at p. </w:t>
      </w:r>
      <w:r w:rsidRPr="008F1266" w:rsidR="000C33C3">
        <w:rPr>
          <w:szCs w:val="26"/>
        </w:rPr>
        <w:t xml:space="preserve">27; </w:t>
      </w:r>
      <w:r w:rsidRPr="008F1266" w:rsidR="002E6AF0">
        <w:rPr>
          <w:i/>
          <w:iCs/>
        </w:rPr>
        <w:t>Butler</w:t>
      </w:r>
      <w:r w:rsidRPr="008F1266" w:rsidR="00237D1D">
        <w:t>,</w:t>
      </w:r>
      <w:r w:rsidRPr="008F1266" w:rsidR="00237D1D">
        <w:rPr>
          <w:i/>
          <w:iCs/>
        </w:rPr>
        <w:t xml:space="preserve"> supra</w:t>
      </w:r>
      <w:r w:rsidRPr="008F1266" w:rsidR="00237D1D">
        <w:t>,</w:t>
      </w:r>
      <w:r w:rsidRPr="008F1266" w:rsidR="002E6AF0">
        <w:t xml:space="preserve"> 55 Cal.App.5th </w:t>
      </w:r>
      <w:r w:rsidRPr="008F1266" w:rsidR="00237D1D">
        <w:t>at p. </w:t>
      </w:r>
      <w:r w:rsidRPr="008F1266" w:rsidR="002E6AF0">
        <w:t>637</w:t>
      </w:r>
      <w:r w:rsidRPr="008F1266" w:rsidR="00FA3597">
        <w:t>.)</w:t>
      </w:r>
    </w:p>
    <w:p w:rsidR="004D50C9" w:rsidRPr="008F1266" w:rsidP="00301C3B" w14:paraId="4E93134B" w14:textId="77777777">
      <w:pPr>
        <w:tabs>
          <w:tab w:val="left" w:pos="720"/>
        </w:tabs>
      </w:pPr>
      <w:r w:rsidRPr="008F1266">
        <w:tab/>
      </w:r>
      <w:r w:rsidR="008D1B55">
        <w:t xml:space="preserve">Although the appellate courts have agreed on this threshold point, they have </w:t>
      </w:r>
      <w:r w:rsidRPr="008F1266" w:rsidR="00C36A9E">
        <w:t xml:space="preserve">expressed </w:t>
      </w:r>
      <w:r w:rsidRPr="008F1266" w:rsidR="00FF3D65">
        <w:t xml:space="preserve">uncertainty </w:t>
      </w:r>
      <w:r w:rsidRPr="008F1266" w:rsidR="00C36A9E">
        <w:t xml:space="preserve">about the appropriate framework for evaluating </w:t>
      </w:r>
      <w:r w:rsidRPr="008F1266" w:rsidR="00936D69">
        <w:t xml:space="preserve">claims of excessive pretrial delay </w:t>
      </w:r>
      <w:r w:rsidR="000042CF">
        <w:t>under the due process clause</w:t>
      </w:r>
      <w:r w:rsidR="003B0F23">
        <w:t xml:space="preserve">.  </w:t>
      </w:r>
      <w:r w:rsidRPr="008F1266" w:rsidR="00F72586">
        <w:t xml:space="preserve">(See, e.g., </w:t>
      </w:r>
      <w:r w:rsidRPr="008F1266" w:rsidR="00F72586">
        <w:rPr>
          <w:i/>
          <w:iCs/>
        </w:rPr>
        <w:t>Litmon</w:t>
      </w:r>
      <w:r w:rsidRPr="008F1266" w:rsidR="00886E79">
        <w:rPr>
          <w:i/>
          <w:iCs/>
        </w:rPr>
        <w:t xml:space="preserve"> II</w:t>
      </w:r>
      <w:r w:rsidRPr="008F1266" w:rsidR="00237D1D">
        <w:t xml:space="preserve">, </w:t>
      </w:r>
      <w:r w:rsidRPr="008F1266" w:rsidR="00237D1D">
        <w:rPr>
          <w:i/>
          <w:iCs/>
        </w:rPr>
        <w:t>supra</w:t>
      </w:r>
      <w:r w:rsidRPr="008F1266" w:rsidR="00237D1D">
        <w:t xml:space="preserve">, </w:t>
      </w:r>
      <w:r w:rsidRPr="008F1266" w:rsidR="00F72586">
        <w:t xml:space="preserve">162 Cal.App.4th </w:t>
      </w:r>
      <w:r w:rsidRPr="008F1266" w:rsidR="00237D1D">
        <w:t>at p. </w:t>
      </w:r>
      <w:r w:rsidRPr="008F1266" w:rsidR="00F72586">
        <w:t>399</w:t>
      </w:r>
      <w:r w:rsidR="003B0F23">
        <w:t xml:space="preserve"> [</w:t>
      </w:r>
      <w:r w:rsidRPr="008F1266" w:rsidR="003B0F23">
        <w:t xml:space="preserve">noting the United States Supreme Court has </w:t>
      </w:r>
      <w:r w:rsidR="003A530D">
        <w:t>not</w:t>
      </w:r>
      <w:r w:rsidRPr="008F1266" w:rsidR="003B0F23">
        <w:t xml:space="preserve"> addressed the issue</w:t>
      </w:r>
      <w:r w:rsidR="003B0F23">
        <w:t>]</w:t>
      </w:r>
      <w:r w:rsidRPr="008F1266" w:rsidR="00E0525B">
        <w:t>.)</w:t>
      </w:r>
      <w:r w:rsidRPr="008F1266" w:rsidR="00FA455B">
        <w:t xml:space="preserve">  In the absence of </w:t>
      </w:r>
      <w:r w:rsidR="00E10F88">
        <w:t xml:space="preserve">more specific </w:t>
      </w:r>
      <w:r w:rsidRPr="008F1266" w:rsidR="00FA455B">
        <w:t xml:space="preserve">guidance, the Courts of Appeal </w:t>
      </w:r>
      <w:r w:rsidRPr="008F1266" w:rsidR="001157AD">
        <w:t xml:space="preserve">have </w:t>
      </w:r>
      <w:r w:rsidR="003B0F23">
        <w:t xml:space="preserve">uniformly </w:t>
      </w:r>
      <w:r w:rsidRPr="008F1266" w:rsidR="007D6F93">
        <w:t xml:space="preserve">borrowed the </w:t>
      </w:r>
      <w:r w:rsidR="003A530D">
        <w:rPr>
          <w:i/>
          <w:iCs/>
        </w:rPr>
        <w:t xml:space="preserve">Barker </w:t>
      </w:r>
      <w:r w:rsidRPr="008F1266" w:rsidR="007D6F93">
        <w:t xml:space="preserve">framework </w:t>
      </w:r>
      <w:r w:rsidRPr="008F1266" w:rsidR="00FA3597">
        <w:t xml:space="preserve">used to adjudicate </w:t>
      </w:r>
      <w:r w:rsidRPr="008F1266" w:rsidR="00945FEC">
        <w:t>claims of speedy trial violations in criminal cases</w:t>
      </w:r>
      <w:r w:rsidRPr="008F1266" w:rsidR="00FA3597">
        <w:t>.</w:t>
      </w:r>
      <w:r w:rsidRPr="008F1266" w:rsidR="00945FEC">
        <w:t xml:space="preserve"> </w:t>
      </w:r>
      <w:r w:rsidRPr="008F1266" w:rsidR="00FA3597">
        <w:t xml:space="preserve"> </w:t>
      </w:r>
      <w:r w:rsidRPr="008F1266" w:rsidR="00945FEC">
        <w:t>(</w:t>
      </w:r>
      <w:r w:rsidRPr="008F1266" w:rsidR="00945FEC">
        <w:rPr>
          <w:i/>
          <w:iCs/>
        </w:rPr>
        <w:t>Barker</w:t>
      </w:r>
      <w:r w:rsidR="00465490">
        <w:rPr>
          <w:i/>
          <w:iCs/>
        </w:rPr>
        <w:t xml:space="preserve"> v</w:t>
      </w:r>
      <w:r w:rsidR="00362AAF">
        <w:rPr>
          <w:i/>
          <w:iCs/>
        </w:rPr>
        <w:t>.</w:t>
      </w:r>
      <w:r w:rsidR="00465490">
        <w:rPr>
          <w:i/>
          <w:iCs/>
        </w:rPr>
        <w:t xml:space="preserve"> Wingo</w:t>
      </w:r>
      <w:r w:rsidRPr="00913BFF" w:rsidR="00913BFF">
        <w:t>,</w:t>
      </w:r>
      <w:r w:rsidR="00913BFF">
        <w:rPr>
          <w:i/>
          <w:iCs/>
        </w:rPr>
        <w:t xml:space="preserve"> supra</w:t>
      </w:r>
      <w:r w:rsidRPr="00913BFF" w:rsidR="00913BFF">
        <w:t>,</w:t>
      </w:r>
      <w:r w:rsidR="00913BFF">
        <w:rPr>
          <w:i/>
          <w:iCs/>
        </w:rPr>
        <w:t xml:space="preserve"> </w:t>
      </w:r>
      <w:r w:rsidRPr="008F1266" w:rsidR="00945FEC">
        <w:t>407 U.S. 514</w:t>
      </w:r>
      <w:r w:rsidR="00316B33">
        <w:t xml:space="preserve"> (</w:t>
      </w:r>
      <w:r w:rsidRPr="00316B33" w:rsidR="00316B33">
        <w:rPr>
          <w:i/>
          <w:iCs/>
        </w:rPr>
        <w:t>Barker</w:t>
      </w:r>
      <w:r w:rsidR="00316B33">
        <w:t>)</w:t>
      </w:r>
      <w:r w:rsidRPr="008F1266" w:rsidR="000F2DF6">
        <w:t xml:space="preserve">; </w:t>
      </w:r>
      <w:r w:rsidRPr="008F1266" w:rsidR="00FA3597">
        <w:rPr>
          <w:i/>
          <w:iCs/>
        </w:rPr>
        <w:t xml:space="preserve">People v. Williams </w:t>
      </w:r>
      <w:r w:rsidRPr="008F1266" w:rsidR="00FA3597">
        <w:t>(2013) 58 Cal.4th 197</w:t>
      </w:r>
      <w:r w:rsidRPr="008F1266" w:rsidR="001876A6">
        <w:t xml:space="preserve"> (</w:t>
      </w:r>
      <w:r w:rsidRPr="008F1266" w:rsidR="001876A6">
        <w:rPr>
          <w:i/>
          <w:iCs/>
        </w:rPr>
        <w:t>Williams</w:t>
      </w:r>
      <w:r w:rsidRPr="008F1266" w:rsidR="001876A6">
        <w:t>)</w:t>
      </w:r>
      <w:r w:rsidRPr="008F1266" w:rsidR="003A087F">
        <w:rPr>
          <w:i/>
          <w:iCs/>
        </w:rPr>
        <w:t>.</w:t>
      </w:r>
      <w:r w:rsidRPr="008F1266" w:rsidR="00945FEC">
        <w:t>)</w:t>
      </w:r>
      <w:r w:rsidRPr="008F1266" w:rsidR="00702ACF">
        <w:t xml:space="preserve">  But several</w:t>
      </w:r>
      <w:r w:rsidRPr="008F1266" w:rsidR="002175D9">
        <w:t xml:space="preserve"> courts, including the Court of Appeal in this case,</w:t>
      </w:r>
      <w:r w:rsidRPr="008F1266" w:rsidR="00702ACF">
        <w:t xml:space="preserve"> have also</w:t>
      </w:r>
      <w:r w:rsidRPr="008F1266" w:rsidR="008C4B4C">
        <w:t xml:space="preserve"> </w:t>
      </w:r>
      <w:r w:rsidRPr="008F1266" w:rsidR="00202626">
        <w:t>appli</w:t>
      </w:r>
      <w:r w:rsidRPr="008F1266" w:rsidR="002175D9">
        <w:t>ed</w:t>
      </w:r>
      <w:r w:rsidRPr="008F1266" w:rsidR="00202626">
        <w:t xml:space="preserve"> </w:t>
      </w:r>
      <w:r w:rsidRPr="008F1266" w:rsidR="00082494">
        <w:t xml:space="preserve">the </w:t>
      </w:r>
      <w:r w:rsidR="00690B2A">
        <w:rPr>
          <w:i/>
          <w:iCs/>
        </w:rPr>
        <w:t xml:space="preserve">Mathews </w:t>
      </w:r>
      <w:r w:rsidRPr="008F1266" w:rsidR="00082494">
        <w:t xml:space="preserve">general balancing test </w:t>
      </w:r>
      <w:r w:rsidRPr="008F1266" w:rsidR="002175D9">
        <w:t xml:space="preserve">used to </w:t>
      </w:r>
      <w:r w:rsidRPr="008F1266" w:rsidR="00904DF3">
        <w:t>evaluat</w:t>
      </w:r>
      <w:r w:rsidRPr="008F1266" w:rsidR="002175D9">
        <w:t>e</w:t>
      </w:r>
      <w:r w:rsidRPr="008F1266" w:rsidR="00904DF3">
        <w:t xml:space="preserve"> the adeq</w:t>
      </w:r>
      <w:r w:rsidRPr="008F1266" w:rsidR="000F397E">
        <w:t xml:space="preserve">uacy of governmental process </w:t>
      </w:r>
      <w:r w:rsidRPr="008F1266" w:rsidR="00202626">
        <w:t>under the federal due process clause</w:t>
      </w:r>
      <w:r w:rsidRPr="008F1266" w:rsidR="00702ACF">
        <w:t xml:space="preserve">.  </w:t>
      </w:r>
      <w:r w:rsidRPr="008F1266" w:rsidR="000F397E">
        <w:t>(</w:t>
      </w:r>
      <w:r w:rsidRPr="008F1266" w:rsidR="001220CF">
        <w:rPr>
          <w:i/>
          <w:iCs/>
        </w:rPr>
        <w:t>Mathews</w:t>
      </w:r>
      <w:r w:rsidRPr="008F1266" w:rsidR="00453A0C">
        <w:t xml:space="preserve">, </w:t>
      </w:r>
      <w:r w:rsidRPr="008F1266" w:rsidR="00476D4A">
        <w:rPr>
          <w:i/>
          <w:iCs/>
        </w:rPr>
        <w:t>supra</w:t>
      </w:r>
      <w:r w:rsidRPr="008F1266" w:rsidR="00476D4A">
        <w:t>, 424 U.S. 319</w:t>
      </w:r>
      <w:r w:rsidRPr="008F1266" w:rsidR="002175D9">
        <w:t>.</w:t>
      </w:r>
      <w:r w:rsidRPr="008F1266" w:rsidR="00627B44">
        <w:t>)</w:t>
      </w:r>
      <w:r w:rsidRPr="008F1266" w:rsidR="00B272B2">
        <w:t xml:space="preserve">  </w:t>
      </w:r>
      <w:r w:rsidRPr="008F1266" w:rsidR="00DA1191">
        <w:t>W</w:t>
      </w:r>
      <w:r w:rsidRPr="008F1266" w:rsidR="00B272B2">
        <w:t xml:space="preserve">e </w:t>
      </w:r>
      <w:r w:rsidR="00031C60">
        <w:t xml:space="preserve">now </w:t>
      </w:r>
      <w:r w:rsidR="006B1143">
        <w:t xml:space="preserve">clarify that </w:t>
      </w:r>
      <w:r w:rsidR="003B0F23">
        <w:t xml:space="preserve">this general balancing under </w:t>
      </w:r>
      <w:r w:rsidR="003B0F23">
        <w:rPr>
          <w:i/>
          <w:iCs/>
        </w:rPr>
        <w:t xml:space="preserve">Mathews </w:t>
      </w:r>
      <w:r w:rsidR="005B162F">
        <w:t xml:space="preserve">is </w:t>
      </w:r>
      <w:r w:rsidR="003B0F23">
        <w:t xml:space="preserve">unnecessary; </w:t>
      </w:r>
      <w:r w:rsidR="008542FC">
        <w:t xml:space="preserve">it suffices to consider the factors laid out in </w:t>
      </w:r>
      <w:r w:rsidRPr="008F1266" w:rsidR="00B272B2">
        <w:rPr>
          <w:i/>
          <w:iCs/>
        </w:rPr>
        <w:t>Barker</w:t>
      </w:r>
      <w:r w:rsidRPr="008F1266" w:rsidR="00B44EDA">
        <w:t xml:space="preserve"> </w:t>
      </w:r>
      <w:r w:rsidRPr="008F1266" w:rsidR="00BA1D19">
        <w:t xml:space="preserve">in deciding whether </w:t>
      </w:r>
      <w:r w:rsidRPr="008F1266" w:rsidR="002175D9">
        <w:t xml:space="preserve">an alleged SVP has been deprived </w:t>
      </w:r>
      <w:r w:rsidRPr="008F1266" w:rsidR="0009318F">
        <w:t>of the constitutional right to a timely trial</w:t>
      </w:r>
      <w:r w:rsidR="003B0F23">
        <w:t>.</w:t>
      </w:r>
    </w:p>
    <w:p w:rsidR="00983AAA" w:rsidRPr="008F1266" w:rsidP="00301C3B" w14:paraId="4E93134C" w14:textId="77777777">
      <w:pPr>
        <w:tabs>
          <w:tab w:val="left" w:pos="720"/>
        </w:tabs>
        <w:rPr>
          <w:szCs w:val="26"/>
        </w:rPr>
      </w:pPr>
      <w:r w:rsidRPr="008F1266">
        <w:tab/>
      </w:r>
      <w:r w:rsidRPr="008F1266" w:rsidR="001A0A76">
        <w:t xml:space="preserve">In </w:t>
      </w:r>
      <w:r w:rsidRPr="008F1266" w:rsidR="00763150">
        <w:rPr>
          <w:i/>
          <w:iCs/>
        </w:rPr>
        <w:t>Barker</w:t>
      </w:r>
      <w:r w:rsidRPr="008F1266" w:rsidR="001A0A76">
        <w:t>, the United States Supreme Court</w:t>
      </w:r>
      <w:r w:rsidRPr="008F1266" w:rsidR="00CF71CD">
        <w:t xml:space="preserve"> considered the </w:t>
      </w:r>
      <w:r w:rsidRPr="008F1266" w:rsidR="00AB0C9C">
        <w:t xml:space="preserve">scope of the </w:t>
      </w:r>
      <w:r w:rsidRPr="008F1266" w:rsidR="00CF71CD">
        <w:t xml:space="preserve">right to a speedy criminal trial secured by the Sixth Amendment to the federal Constitution.  </w:t>
      </w:r>
      <w:r w:rsidRPr="008F1266" w:rsidR="00AB0C9C">
        <w:t xml:space="preserve">The </w:t>
      </w:r>
      <w:r w:rsidRPr="008F1266" w:rsidR="001D3678">
        <w:t xml:space="preserve">speedy trial </w:t>
      </w:r>
      <w:r w:rsidRPr="008F1266" w:rsidR="00AB0C9C">
        <w:t xml:space="preserve">right, the court observed, </w:t>
      </w:r>
      <w:r w:rsidRPr="008F1266" w:rsidR="001D3678">
        <w:t>is a “slippery” one, “</w:t>
      </w:r>
      <w:r w:rsidRPr="008F1266" w:rsidR="00FC013C">
        <w:rPr>
          <w:szCs w:val="26"/>
        </w:rPr>
        <w:t>generically different from any of the other rights enshrined in the Constitution for the protection of the accused.”  (</w:t>
      </w:r>
      <w:r w:rsidRPr="008F1266" w:rsidR="00E578C3">
        <w:rPr>
          <w:i/>
          <w:iCs/>
          <w:szCs w:val="26"/>
        </w:rPr>
        <w:t>Barker</w:t>
      </w:r>
      <w:r w:rsidRPr="008F1266" w:rsidR="00E578C3">
        <w:rPr>
          <w:szCs w:val="26"/>
        </w:rPr>
        <w:t xml:space="preserve">, </w:t>
      </w:r>
      <w:r w:rsidRPr="008F1266" w:rsidR="00E578C3">
        <w:rPr>
          <w:i/>
          <w:iCs/>
          <w:szCs w:val="26"/>
        </w:rPr>
        <w:t>supra</w:t>
      </w:r>
      <w:r w:rsidRPr="008F1266" w:rsidR="00E578C3">
        <w:rPr>
          <w:szCs w:val="26"/>
        </w:rPr>
        <w:t>, 407 U.S</w:t>
      </w:r>
      <w:r w:rsidRPr="008F1266" w:rsidR="00197BA9">
        <w:rPr>
          <w:szCs w:val="26"/>
        </w:rPr>
        <w:t>.</w:t>
      </w:r>
      <w:r w:rsidRPr="008F1266" w:rsidR="00FC013C">
        <w:rPr>
          <w:szCs w:val="26"/>
        </w:rPr>
        <w:t xml:space="preserve"> at </w:t>
      </w:r>
      <w:r w:rsidRPr="008F1266" w:rsidR="008D3516">
        <w:rPr>
          <w:szCs w:val="26"/>
        </w:rPr>
        <w:t>p</w:t>
      </w:r>
      <w:r w:rsidRPr="008F1266" w:rsidR="00FC013C">
        <w:rPr>
          <w:szCs w:val="26"/>
        </w:rPr>
        <w:t>p.</w:t>
      </w:r>
      <w:r w:rsidRPr="008F1266" w:rsidR="008D3516">
        <w:rPr>
          <w:szCs w:val="26"/>
        </w:rPr>
        <w:t> </w:t>
      </w:r>
      <w:r w:rsidRPr="008F1266" w:rsidR="00FC013C">
        <w:rPr>
          <w:szCs w:val="26"/>
        </w:rPr>
        <w:t>522</w:t>
      </w:r>
      <w:r w:rsidRPr="008F1266" w:rsidR="00237D1D">
        <w:rPr>
          <w:szCs w:val="26"/>
        </w:rPr>
        <w:t>, 519</w:t>
      </w:r>
      <w:r w:rsidRPr="008F1266" w:rsidR="00FC013C">
        <w:rPr>
          <w:szCs w:val="26"/>
        </w:rPr>
        <w:t xml:space="preserve">.)  </w:t>
      </w:r>
      <w:r w:rsidRPr="008F1266" w:rsidR="008B3F72">
        <w:rPr>
          <w:szCs w:val="26"/>
        </w:rPr>
        <w:t xml:space="preserve">For one thing, </w:t>
      </w:r>
      <w:r w:rsidRPr="008F1266" w:rsidR="00ED6EF7">
        <w:rPr>
          <w:szCs w:val="26"/>
        </w:rPr>
        <w:t xml:space="preserve">the </w:t>
      </w:r>
      <w:r w:rsidRPr="008F1266" w:rsidR="009754F9">
        <w:rPr>
          <w:szCs w:val="26"/>
        </w:rPr>
        <w:t xml:space="preserve">accused may not </w:t>
      </w:r>
      <w:r w:rsidRPr="008F1266" w:rsidR="00A112E1">
        <w:rPr>
          <w:szCs w:val="26"/>
        </w:rPr>
        <w:t xml:space="preserve">actually </w:t>
      </w:r>
      <w:r w:rsidRPr="008F1266" w:rsidR="009754F9">
        <w:rPr>
          <w:szCs w:val="26"/>
        </w:rPr>
        <w:t xml:space="preserve">want </w:t>
      </w:r>
      <w:r w:rsidRPr="008F1266" w:rsidR="00A112E1">
        <w:rPr>
          <w:szCs w:val="26"/>
        </w:rPr>
        <w:t xml:space="preserve">a speedy trial </w:t>
      </w:r>
      <w:r w:rsidRPr="008F1266" w:rsidR="00DA5C8F">
        <w:rPr>
          <w:szCs w:val="26"/>
        </w:rPr>
        <w:t>and may perceive a tactical advantage in delay</w:t>
      </w:r>
      <w:r w:rsidR="00DD5C86">
        <w:rPr>
          <w:szCs w:val="26"/>
        </w:rPr>
        <w:t xml:space="preserve">; </w:t>
      </w:r>
      <w:r w:rsidR="00F93C71">
        <w:rPr>
          <w:szCs w:val="26"/>
        </w:rPr>
        <w:t xml:space="preserve">in particular, </w:t>
      </w:r>
      <w:r w:rsidR="00DD5C86">
        <w:rPr>
          <w:szCs w:val="26"/>
        </w:rPr>
        <w:t xml:space="preserve">the accused may believe that the passage of time will hurt the prosecution’s ability to prove guilt more than it hurts the accused’s ability to defend.  </w:t>
      </w:r>
      <w:r w:rsidRPr="008F1266" w:rsidR="008412C2">
        <w:rPr>
          <w:szCs w:val="26"/>
        </w:rPr>
        <w:t>(</w:t>
      </w:r>
      <w:r w:rsidRPr="008F1266" w:rsidR="00997441">
        <w:rPr>
          <w:i/>
          <w:iCs/>
          <w:szCs w:val="26"/>
        </w:rPr>
        <w:t>Id.</w:t>
      </w:r>
      <w:r w:rsidRPr="008F1266" w:rsidR="00997441">
        <w:rPr>
          <w:szCs w:val="26"/>
        </w:rPr>
        <w:t xml:space="preserve"> at pp.</w:t>
      </w:r>
      <w:r w:rsidRPr="008F1266" w:rsidR="008D3516">
        <w:rPr>
          <w:szCs w:val="26"/>
        </w:rPr>
        <w:t> </w:t>
      </w:r>
      <w:r w:rsidRPr="008F1266" w:rsidR="00997441">
        <w:rPr>
          <w:szCs w:val="26"/>
        </w:rPr>
        <w:t>519–52</w:t>
      </w:r>
      <w:r w:rsidRPr="008F1266" w:rsidR="00B23801">
        <w:rPr>
          <w:szCs w:val="26"/>
        </w:rPr>
        <w:t>1</w:t>
      </w:r>
      <w:r w:rsidRPr="008F1266" w:rsidR="00997441">
        <w:rPr>
          <w:szCs w:val="26"/>
        </w:rPr>
        <w:t>.)</w:t>
      </w:r>
      <w:r w:rsidRPr="008F1266" w:rsidR="008B3F72">
        <w:rPr>
          <w:szCs w:val="26"/>
        </w:rPr>
        <w:t xml:space="preserve">  </w:t>
      </w:r>
      <w:r w:rsidRPr="008F1266" w:rsidR="00EB45CE">
        <w:rPr>
          <w:szCs w:val="26"/>
        </w:rPr>
        <w:t xml:space="preserve">In this respect, the interests of the accused may not align with </w:t>
      </w:r>
      <w:r w:rsidRPr="008F1266" w:rsidR="0017164B">
        <w:rPr>
          <w:szCs w:val="26"/>
        </w:rPr>
        <w:t xml:space="preserve">broader societal interests in the prompt resolution of criminal charges.  </w:t>
      </w:r>
      <w:r w:rsidRPr="008F1266" w:rsidR="005B6C39">
        <w:t>(</w:t>
      </w:r>
      <w:r w:rsidRPr="008F1266" w:rsidR="00DD5E2E">
        <w:rPr>
          <w:i/>
          <w:iCs/>
        </w:rPr>
        <w:t>Id</w:t>
      </w:r>
      <w:r w:rsidRPr="008F1266" w:rsidR="005B6C39">
        <w:t>.</w:t>
      </w:r>
      <w:r w:rsidRPr="008F1266" w:rsidR="005B6C39">
        <w:rPr>
          <w:i/>
          <w:iCs/>
        </w:rPr>
        <w:t xml:space="preserve"> </w:t>
      </w:r>
      <w:r w:rsidRPr="008F1266" w:rsidR="005B6C39">
        <w:t>at p.</w:t>
      </w:r>
      <w:r w:rsidRPr="008F1266" w:rsidR="008D3516">
        <w:t> </w:t>
      </w:r>
      <w:r w:rsidRPr="008F1266" w:rsidR="005B6C39">
        <w:t>519</w:t>
      </w:r>
      <w:r w:rsidRPr="008F1266" w:rsidR="001E1F35">
        <w:t xml:space="preserve">; see </w:t>
      </w:r>
      <w:r w:rsidRPr="008F1266" w:rsidR="001E1F35">
        <w:rPr>
          <w:i/>
          <w:iCs/>
        </w:rPr>
        <w:t>id.</w:t>
      </w:r>
      <w:r w:rsidRPr="008F1266" w:rsidR="001E1F35">
        <w:t xml:space="preserve"> at pp.</w:t>
      </w:r>
      <w:r w:rsidRPr="008F1266" w:rsidR="008D3516">
        <w:t> </w:t>
      </w:r>
      <w:r w:rsidRPr="008F1266" w:rsidR="001E1F35">
        <w:t>519–521</w:t>
      </w:r>
      <w:r w:rsidRPr="008F1266" w:rsidR="005B6C39">
        <w:t xml:space="preserve">.)  </w:t>
      </w:r>
      <w:r w:rsidRPr="008F1266" w:rsidR="00C33F85">
        <w:rPr>
          <w:szCs w:val="26"/>
        </w:rPr>
        <w:t xml:space="preserve">And </w:t>
      </w:r>
      <w:r w:rsidRPr="008F1266" w:rsidR="006121C4">
        <w:rPr>
          <w:szCs w:val="26"/>
        </w:rPr>
        <w:t>“</w:t>
      </w:r>
      <w:r w:rsidRPr="008F1266" w:rsidR="008741B8">
        <w:rPr>
          <w:szCs w:val="26"/>
        </w:rPr>
        <w:t>p</w:t>
      </w:r>
      <w:r w:rsidRPr="008F1266" w:rsidR="00A93F89">
        <w:rPr>
          <w:szCs w:val="26"/>
        </w:rPr>
        <w:t>erhaps mo</w:t>
      </w:r>
      <w:r w:rsidRPr="008F1266" w:rsidR="00B1183D">
        <w:rPr>
          <w:szCs w:val="26"/>
        </w:rPr>
        <w:t>st</w:t>
      </w:r>
      <w:r w:rsidRPr="008F1266" w:rsidR="00A93F89">
        <w:rPr>
          <w:szCs w:val="26"/>
        </w:rPr>
        <w:t xml:space="preserve"> importantly,</w:t>
      </w:r>
      <w:r w:rsidRPr="008F1266" w:rsidR="006121C4">
        <w:rPr>
          <w:szCs w:val="26"/>
        </w:rPr>
        <w:t>”</w:t>
      </w:r>
      <w:r w:rsidRPr="008F1266" w:rsidR="00A93F89">
        <w:rPr>
          <w:szCs w:val="26"/>
        </w:rPr>
        <w:t xml:space="preserve"> </w:t>
      </w:r>
      <w:r w:rsidRPr="008F1266" w:rsidR="008741B8">
        <w:rPr>
          <w:szCs w:val="26"/>
        </w:rPr>
        <w:t xml:space="preserve">the court explained, </w:t>
      </w:r>
      <w:r w:rsidRPr="008F1266" w:rsidR="006121C4">
        <w:rPr>
          <w:szCs w:val="26"/>
        </w:rPr>
        <w:t>“the right to speedy trial is a more vague concept than other procedural rights.”  (</w:t>
      </w:r>
      <w:r w:rsidRPr="008F1266" w:rsidR="006121C4">
        <w:rPr>
          <w:i/>
          <w:iCs/>
          <w:szCs w:val="26"/>
        </w:rPr>
        <w:t>Id.</w:t>
      </w:r>
      <w:r w:rsidRPr="008F1266" w:rsidR="006121C4">
        <w:rPr>
          <w:szCs w:val="26"/>
        </w:rPr>
        <w:t xml:space="preserve"> at p.</w:t>
      </w:r>
      <w:r w:rsidRPr="008F1266" w:rsidR="008D3516">
        <w:rPr>
          <w:szCs w:val="26"/>
        </w:rPr>
        <w:t> </w:t>
      </w:r>
      <w:r w:rsidRPr="008F1266" w:rsidR="006121C4">
        <w:rPr>
          <w:szCs w:val="26"/>
        </w:rPr>
        <w:t xml:space="preserve">521.)  </w:t>
      </w:r>
      <w:r w:rsidRPr="008F1266" w:rsidR="00CB73D0">
        <w:rPr>
          <w:szCs w:val="26"/>
        </w:rPr>
        <w:t xml:space="preserve">“We cannot definitely </w:t>
      </w:r>
      <w:r w:rsidRPr="008F1266" w:rsidR="00B1183D">
        <w:rPr>
          <w:szCs w:val="26"/>
        </w:rPr>
        <w:t xml:space="preserve">say </w:t>
      </w:r>
      <w:r w:rsidRPr="008F1266" w:rsidR="00CB73D0">
        <w:rPr>
          <w:szCs w:val="26"/>
        </w:rPr>
        <w:t>how long is too long in a system where justice is supposed to be swift but deliberate.  As a consequence, there is no fixed point in</w:t>
      </w:r>
      <w:r w:rsidRPr="008F1266" w:rsidR="0039748A">
        <w:rPr>
          <w:szCs w:val="26"/>
        </w:rPr>
        <w:t xml:space="preserve"> the</w:t>
      </w:r>
      <w:r w:rsidRPr="008F1266" w:rsidR="00CB73D0">
        <w:rPr>
          <w:szCs w:val="26"/>
        </w:rPr>
        <w:t xml:space="preserve"> criminal process when the State </w:t>
      </w:r>
      <w:r w:rsidRPr="008F1266" w:rsidR="00275B31">
        <w:rPr>
          <w:szCs w:val="26"/>
        </w:rPr>
        <w:t>can put the defendant to the choice of either exercising or waiving the right to a speedy trial.</w:t>
      </w:r>
      <w:r w:rsidRPr="008F1266" w:rsidR="008D3516">
        <w:rPr>
          <w:szCs w:val="26"/>
        </w:rPr>
        <w:t> </w:t>
      </w:r>
      <w:r w:rsidRPr="008F1266" w:rsidR="000F4AFA">
        <w:rPr>
          <w:szCs w:val="26"/>
        </w:rPr>
        <w:t>.</w:t>
      </w:r>
      <w:r w:rsidRPr="008F1266" w:rsidR="008D3516">
        <w:rPr>
          <w:szCs w:val="26"/>
        </w:rPr>
        <w:t> </w:t>
      </w:r>
      <w:r w:rsidRPr="008F1266" w:rsidR="000F4AFA">
        <w:rPr>
          <w:szCs w:val="26"/>
        </w:rPr>
        <w:t>.</w:t>
      </w:r>
      <w:r w:rsidRPr="008F1266" w:rsidR="008D3516">
        <w:rPr>
          <w:szCs w:val="26"/>
        </w:rPr>
        <w:t> </w:t>
      </w:r>
      <w:r w:rsidRPr="008F1266" w:rsidR="000F4AFA">
        <w:rPr>
          <w:szCs w:val="26"/>
        </w:rPr>
        <w:t xml:space="preserve">. </w:t>
      </w:r>
      <w:r w:rsidRPr="008F1266" w:rsidR="008D3516">
        <w:rPr>
          <w:szCs w:val="26"/>
        </w:rPr>
        <w:t xml:space="preserve"> </w:t>
      </w:r>
      <w:r w:rsidRPr="008F1266" w:rsidR="000F4AFA">
        <w:rPr>
          <w:szCs w:val="26"/>
        </w:rPr>
        <w:t>[A]ny inquiry into a speedy trial claim necessitates a functional analysis of the right in the particular context of the case.</w:t>
      </w:r>
      <w:r w:rsidRPr="008F1266" w:rsidR="00275B31">
        <w:rPr>
          <w:szCs w:val="26"/>
        </w:rPr>
        <w:t>”  (</w:t>
      </w:r>
      <w:r w:rsidRPr="008F1266" w:rsidR="00275B31">
        <w:rPr>
          <w:i/>
          <w:iCs/>
          <w:szCs w:val="26"/>
        </w:rPr>
        <w:t>Id.</w:t>
      </w:r>
      <w:r w:rsidRPr="008F1266" w:rsidR="00275B31">
        <w:rPr>
          <w:szCs w:val="26"/>
        </w:rPr>
        <w:t xml:space="preserve"> at </w:t>
      </w:r>
      <w:r w:rsidRPr="008F1266" w:rsidR="000F4AFA">
        <w:rPr>
          <w:szCs w:val="26"/>
        </w:rPr>
        <w:t>p</w:t>
      </w:r>
      <w:r w:rsidRPr="008F1266" w:rsidR="00275B31">
        <w:rPr>
          <w:szCs w:val="26"/>
        </w:rPr>
        <w:t>p.</w:t>
      </w:r>
      <w:r w:rsidRPr="008F1266" w:rsidR="008D3516">
        <w:rPr>
          <w:szCs w:val="26"/>
        </w:rPr>
        <w:t> </w:t>
      </w:r>
      <w:r w:rsidRPr="008F1266" w:rsidR="00275B31">
        <w:rPr>
          <w:szCs w:val="26"/>
        </w:rPr>
        <w:t>521</w:t>
      </w:r>
      <w:r w:rsidRPr="008F1266" w:rsidR="000F4AFA">
        <w:rPr>
          <w:szCs w:val="26"/>
        </w:rPr>
        <w:t>–522</w:t>
      </w:r>
      <w:r w:rsidRPr="008F1266" w:rsidR="00B1183D">
        <w:rPr>
          <w:szCs w:val="26"/>
        </w:rPr>
        <w:t>, fn. omitted</w:t>
      </w:r>
      <w:r w:rsidRPr="008F1266" w:rsidR="00275B31">
        <w:rPr>
          <w:szCs w:val="26"/>
        </w:rPr>
        <w:t>.)</w:t>
      </w:r>
    </w:p>
    <w:p w:rsidR="00AE1931" w:rsidRPr="008F1266" w:rsidP="00301C3B" w14:paraId="4E93134D" w14:textId="77777777">
      <w:pPr>
        <w:tabs>
          <w:tab w:val="left" w:pos="720"/>
        </w:tabs>
      </w:pPr>
      <w:r w:rsidRPr="008F1266">
        <w:rPr>
          <w:szCs w:val="26"/>
        </w:rPr>
        <w:tab/>
      </w:r>
      <w:r w:rsidRPr="008F1266" w:rsidR="00764F88">
        <w:rPr>
          <w:szCs w:val="26"/>
        </w:rPr>
        <w:t>In keeping with these observations</w:t>
      </w:r>
      <w:r w:rsidRPr="008F1266">
        <w:rPr>
          <w:szCs w:val="26"/>
        </w:rPr>
        <w:t xml:space="preserve"> about the </w:t>
      </w:r>
      <w:r w:rsidR="007C3F9D">
        <w:rPr>
          <w:szCs w:val="26"/>
        </w:rPr>
        <w:t xml:space="preserve">slippery </w:t>
      </w:r>
      <w:r w:rsidRPr="008F1266">
        <w:rPr>
          <w:szCs w:val="26"/>
        </w:rPr>
        <w:t xml:space="preserve">nature of the </w:t>
      </w:r>
      <w:r w:rsidRPr="008F1266" w:rsidR="00583FBD">
        <w:rPr>
          <w:szCs w:val="26"/>
        </w:rPr>
        <w:t xml:space="preserve">speedy trial </w:t>
      </w:r>
      <w:r w:rsidRPr="008F1266">
        <w:rPr>
          <w:szCs w:val="26"/>
        </w:rPr>
        <w:t>right</w:t>
      </w:r>
      <w:r w:rsidRPr="008F1266" w:rsidR="00764F88">
        <w:rPr>
          <w:szCs w:val="26"/>
        </w:rPr>
        <w:t xml:space="preserve">, </w:t>
      </w:r>
      <w:r w:rsidRPr="008F1266" w:rsidR="00821413">
        <w:rPr>
          <w:szCs w:val="26"/>
        </w:rPr>
        <w:t xml:space="preserve">the </w:t>
      </w:r>
      <w:r w:rsidRPr="008F1266" w:rsidR="00583FBD">
        <w:rPr>
          <w:i/>
          <w:iCs/>
          <w:szCs w:val="26"/>
        </w:rPr>
        <w:t xml:space="preserve">Barker </w:t>
      </w:r>
      <w:r w:rsidRPr="008F1266" w:rsidR="00583FBD">
        <w:rPr>
          <w:szCs w:val="26"/>
        </w:rPr>
        <w:t xml:space="preserve">court </w:t>
      </w:r>
      <w:r w:rsidRPr="008F1266" w:rsidR="00821413">
        <w:rPr>
          <w:szCs w:val="26"/>
        </w:rPr>
        <w:t xml:space="preserve">declined to adopt any </w:t>
      </w:r>
      <w:r w:rsidR="00B272CC">
        <w:rPr>
          <w:szCs w:val="26"/>
        </w:rPr>
        <w:t>bright</w:t>
      </w:r>
      <w:r w:rsidR="00913BFF">
        <w:rPr>
          <w:szCs w:val="26"/>
        </w:rPr>
        <w:t>-</w:t>
      </w:r>
      <w:r w:rsidR="00B272CC">
        <w:rPr>
          <w:szCs w:val="26"/>
        </w:rPr>
        <w:t xml:space="preserve">line </w:t>
      </w:r>
      <w:r w:rsidRPr="008F1266" w:rsidR="00821413">
        <w:rPr>
          <w:szCs w:val="26"/>
        </w:rPr>
        <w:t>rule</w:t>
      </w:r>
      <w:r w:rsidR="007C3F9D">
        <w:rPr>
          <w:szCs w:val="26"/>
        </w:rPr>
        <w:t>s</w:t>
      </w:r>
      <w:r w:rsidRPr="008F1266" w:rsidR="00821413">
        <w:rPr>
          <w:szCs w:val="26"/>
        </w:rPr>
        <w:t xml:space="preserve"> for determining when </w:t>
      </w:r>
      <w:r w:rsidRPr="008F1266" w:rsidR="00777BD0">
        <w:rPr>
          <w:szCs w:val="26"/>
        </w:rPr>
        <w:t>the right</w:t>
      </w:r>
      <w:r w:rsidRPr="008F1266" w:rsidR="00821413">
        <w:rPr>
          <w:szCs w:val="26"/>
        </w:rPr>
        <w:t xml:space="preserve"> has </w:t>
      </w:r>
      <w:r w:rsidRPr="008F1266" w:rsidR="000F4AFA">
        <w:rPr>
          <w:szCs w:val="26"/>
        </w:rPr>
        <w:t>been violated</w:t>
      </w:r>
      <w:r w:rsidRPr="008F1266" w:rsidR="00583FBD">
        <w:rPr>
          <w:szCs w:val="26"/>
        </w:rPr>
        <w:t xml:space="preserve">.  The court </w:t>
      </w:r>
      <w:r w:rsidRPr="008F1266" w:rsidR="00EE0123">
        <w:rPr>
          <w:szCs w:val="26"/>
        </w:rPr>
        <w:t xml:space="preserve">instead </w:t>
      </w:r>
      <w:r w:rsidRPr="008F1266" w:rsidR="00777BD0">
        <w:rPr>
          <w:szCs w:val="26"/>
        </w:rPr>
        <w:t xml:space="preserve">identified </w:t>
      </w:r>
      <w:r w:rsidRPr="008F1266" w:rsidR="00EE0123">
        <w:rPr>
          <w:szCs w:val="26"/>
        </w:rPr>
        <w:t>four factors for courts to examine:</w:t>
      </w:r>
      <w:r w:rsidRPr="008F1266" w:rsidR="00936264">
        <w:rPr>
          <w:szCs w:val="26"/>
        </w:rPr>
        <w:t xml:space="preserve">  </w:t>
      </w:r>
      <w:r w:rsidRPr="008F1266" w:rsidR="00E57AFC">
        <w:t>the length of the pretrial delay, the reason for the delay, the defendant’s assertion of his right, and prejudice to the defendant caused by the delay.  (</w:t>
      </w:r>
      <w:r w:rsidRPr="008F1266" w:rsidR="00CF358E">
        <w:rPr>
          <w:i/>
          <w:iCs/>
        </w:rPr>
        <w:t>Barker</w:t>
      </w:r>
      <w:r w:rsidRPr="008F1266" w:rsidR="00CF358E">
        <w:t xml:space="preserve">, </w:t>
      </w:r>
      <w:r w:rsidRPr="008F1266" w:rsidR="00CF358E">
        <w:rPr>
          <w:i/>
          <w:iCs/>
        </w:rPr>
        <w:t>supra</w:t>
      </w:r>
      <w:r w:rsidRPr="008F1266" w:rsidR="00CF358E">
        <w:t>, 407 U.S.</w:t>
      </w:r>
      <w:r w:rsidRPr="008F1266" w:rsidR="00E57AFC">
        <w:t xml:space="preserve"> </w:t>
      </w:r>
      <w:r w:rsidRPr="008F1266" w:rsidR="00AC7675">
        <w:t>a</w:t>
      </w:r>
      <w:r w:rsidRPr="008F1266" w:rsidR="00E57AFC">
        <w:t>t p.</w:t>
      </w:r>
      <w:r w:rsidRPr="008F1266" w:rsidR="008D3516">
        <w:t> </w:t>
      </w:r>
      <w:r w:rsidRPr="008F1266" w:rsidR="00E57AFC">
        <w:t>530.)</w:t>
      </w:r>
      <w:r w:rsidRPr="008F1266">
        <w:t xml:space="preserve">  </w:t>
      </w:r>
      <w:r w:rsidRPr="008F1266" w:rsidR="0062612C">
        <w:t xml:space="preserve">The defendant carries the “burden of demonstrating a speedy trial violation under </w:t>
      </w:r>
      <w:r w:rsidRPr="008F1266" w:rsidR="0062612C">
        <w:rPr>
          <w:i/>
          <w:iCs/>
        </w:rPr>
        <w:t>Barker</w:t>
      </w:r>
      <w:r w:rsidRPr="008F1266" w:rsidR="0062612C">
        <w:t>’s multifactor test.”  (</w:t>
      </w:r>
      <w:r w:rsidRPr="008F1266" w:rsidR="0062612C">
        <w:rPr>
          <w:i/>
          <w:iCs/>
        </w:rPr>
        <w:t>Williams</w:t>
      </w:r>
      <w:r w:rsidRPr="008F1266" w:rsidR="0062612C">
        <w:t xml:space="preserve">, </w:t>
      </w:r>
      <w:r w:rsidRPr="008F1266" w:rsidR="0062612C">
        <w:rPr>
          <w:i/>
          <w:iCs/>
        </w:rPr>
        <w:t>supra</w:t>
      </w:r>
      <w:r w:rsidRPr="008F1266" w:rsidR="0062612C">
        <w:t>, 58 Cal.4th at p. 233.)</w:t>
      </w:r>
      <w:r w:rsidR="0062612C">
        <w:t xml:space="preserve">  </w:t>
      </w:r>
      <w:r w:rsidRPr="008F1266" w:rsidR="002F009E">
        <w:t>Because n</w:t>
      </w:r>
      <w:r w:rsidRPr="008F1266" w:rsidR="00C75365">
        <w:t>one of these factors is dispositive</w:t>
      </w:r>
      <w:r w:rsidRPr="008F1266" w:rsidR="002F009E">
        <w:t xml:space="preserve">, </w:t>
      </w:r>
      <w:r w:rsidRPr="008F1266" w:rsidR="00C75365">
        <w:t>“courts must still engage in a difficult and sensitive balancing process” to determine whether trial has been unconstitutionally delayed.</w:t>
      </w:r>
      <w:r w:rsidRPr="008F1266" w:rsidR="00711174">
        <w:t xml:space="preserve">  </w:t>
      </w:r>
      <w:r w:rsidRPr="008F1266" w:rsidR="00E578C3">
        <w:t>(</w:t>
      </w:r>
      <w:r w:rsidR="0062612C">
        <w:rPr>
          <w:i/>
          <w:iCs/>
        </w:rPr>
        <w:t>Barker</w:t>
      </w:r>
      <w:r w:rsidRPr="003A194B" w:rsidR="0062612C">
        <w:t>,</w:t>
      </w:r>
      <w:r w:rsidRPr="003A194B" w:rsidR="00E578C3">
        <w:t xml:space="preserve"> </w:t>
      </w:r>
      <w:r w:rsidRPr="008F1266" w:rsidR="00E578C3">
        <w:t>at p.</w:t>
      </w:r>
      <w:r w:rsidRPr="008F1266" w:rsidR="008D3516">
        <w:t> </w:t>
      </w:r>
      <w:r w:rsidRPr="008F1266" w:rsidR="00E578C3">
        <w:t xml:space="preserve">533.)  </w:t>
      </w:r>
    </w:p>
    <w:p w:rsidR="00215DF2" w:rsidRPr="008F1266" w:rsidP="00301C3B" w14:paraId="4E93134E" w14:textId="77777777">
      <w:pPr>
        <w:tabs>
          <w:tab w:val="left" w:pos="720"/>
        </w:tabs>
        <w:rPr>
          <w:szCs w:val="26"/>
        </w:rPr>
      </w:pPr>
      <w:r w:rsidRPr="008F1266">
        <w:tab/>
        <w:t xml:space="preserve">Although </w:t>
      </w:r>
      <w:r w:rsidRPr="008F1266">
        <w:rPr>
          <w:i/>
          <w:iCs/>
        </w:rPr>
        <w:t xml:space="preserve">Barker </w:t>
      </w:r>
      <w:r w:rsidRPr="008F1266">
        <w:t>concerned the constitutional right to a speedy trial in a criminal case,</w:t>
      </w:r>
      <w:r w:rsidRPr="008F1266" w:rsidR="00EC2325">
        <w:t xml:space="preserve"> courts have employed </w:t>
      </w:r>
      <w:r w:rsidRPr="008F1266" w:rsidR="003D1C27">
        <w:rPr>
          <w:i/>
          <w:iCs/>
        </w:rPr>
        <w:t>Barker</w:t>
      </w:r>
      <w:r w:rsidRPr="008F1266" w:rsidR="003D1C27">
        <w:t xml:space="preserve">’s </w:t>
      </w:r>
      <w:r w:rsidRPr="008F1266" w:rsidR="00C766E2">
        <w:t xml:space="preserve">flexible, four-factor inquiry </w:t>
      </w:r>
      <w:r w:rsidRPr="008F1266" w:rsidR="00EC2325">
        <w:t>to evaluate claims of unconstitutional delay</w:t>
      </w:r>
      <w:r w:rsidRPr="008F1266" w:rsidR="000C3D6F">
        <w:t xml:space="preserve"> in other contexts</w:t>
      </w:r>
      <w:r w:rsidRPr="008F1266">
        <w:t>.</w:t>
      </w:r>
      <w:r w:rsidRPr="008F1266" w:rsidR="00D604C6">
        <w:t xml:space="preserve">  </w:t>
      </w:r>
      <w:r w:rsidRPr="008F1266" w:rsidR="00D604C6">
        <w:rPr>
          <w:szCs w:val="26"/>
        </w:rPr>
        <w:t>(See, e.g.,</w:t>
      </w:r>
      <w:r w:rsidRPr="008F1266" w:rsidR="00D604C6">
        <w:rPr>
          <w:i/>
          <w:iCs/>
          <w:szCs w:val="26"/>
        </w:rPr>
        <w:t xml:space="preserve"> United States v. $8,850</w:t>
      </w:r>
      <w:r w:rsidRPr="008F1266" w:rsidR="00D604C6">
        <w:rPr>
          <w:szCs w:val="26"/>
        </w:rPr>
        <w:t xml:space="preserve"> (1983) 461 U.S. 555, 564 [applying </w:t>
      </w:r>
      <w:r w:rsidRPr="008F1266" w:rsidR="00D604C6">
        <w:rPr>
          <w:i/>
          <w:iCs/>
          <w:szCs w:val="26"/>
        </w:rPr>
        <w:t>Barker</w:t>
      </w:r>
      <w:r w:rsidRPr="008F1266" w:rsidR="00D604C6">
        <w:rPr>
          <w:szCs w:val="26"/>
        </w:rPr>
        <w:t xml:space="preserve"> test to evaluate </w:t>
      </w:r>
      <w:r w:rsidRPr="008F1266" w:rsidR="008C61E7">
        <w:rPr>
          <w:szCs w:val="26"/>
        </w:rPr>
        <w:t xml:space="preserve">pretrial </w:t>
      </w:r>
      <w:r w:rsidRPr="008F1266" w:rsidR="00D604C6">
        <w:rPr>
          <w:szCs w:val="26"/>
        </w:rPr>
        <w:t xml:space="preserve">delay in civil forfeiture case]; </w:t>
      </w:r>
      <w:r w:rsidRPr="008F1266" w:rsidR="00B769B2">
        <w:rPr>
          <w:i/>
          <w:iCs/>
          <w:szCs w:val="26"/>
        </w:rPr>
        <w:t xml:space="preserve">DeLancy v. Caldwell </w:t>
      </w:r>
      <w:r w:rsidRPr="008F1266" w:rsidR="00B769B2">
        <w:rPr>
          <w:szCs w:val="26"/>
        </w:rPr>
        <w:t>(10th Cir. 1984) 741 F.2d 1246, 1247–1248 (per curiam) [</w:t>
      </w:r>
      <w:r w:rsidR="003B0F23">
        <w:rPr>
          <w:szCs w:val="26"/>
        </w:rPr>
        <w:t xml:space="preserve">applying </w:t>
      </w:r>
      <w:r w:rsidR="003B0F23">
        <w:rPr>
          <w:i/>
          <w:iCs/>
          <w:szCs w:val="26"/>
        </w:rPr>
        <w:t xml:space="preserve">Barker </w:t>
      </w:r>
      <w:r w:rsidR="003B0F23">
        <w:rPr>
          <w:szCs w:val="26"/>
        </w:rPr>
        <w:t xml:space="preserve">factors to review </w:t>
      </w:r>
      <w:r w:rsidRPr="008F1266" w:rsidR="00B769B2">
        <w:rPr>
          <w:szCs w:val="26"/>
        </w:rPr>
        <w:t xml:space="preserve">delay in furnishing trial transcript to be used by incarcerated criminal defendant on appeal]; see also </w:t>
      </w:r>
      <w:r w:rsidRPr="008F1266" w:rsidR="00357467">
        <w:rPr>
          <w:i/>
          <w:iCs/>
          <w:szCs w:val="26"/>
        </w:rPr>
        <w:t>U</w:t>
      </w:r>
      <w:r w:rsidRPr="008F1266" w:rsidR="00B1183D">
        <w:rPr>
          <w:i/>
          <w:iCs/>
          <w:szCs w:val="26"/>
        </w:rPr>
        <w:t>.S.</w:t>
      </w:r>
      <w:r w:rsidRPr="008F1266" w:rsidR="00357467">
        <w:rPr>
          <w:i/>
          <w:iCs/>
          <w:szCs w:val="26"/>
        </w:rPr>
        <w:t xml:space="preserve"> v. Sanders</w:t>
      </w:r>
      <w:r w:rsidRPr="008F1266" w:rsidR="00357467">
        <w:rPr>
          <w:szCs w:val="26"/>
        </w:rPr>
        <w:t xml:space="preserve"> (6th Cir. 2006) 452 F.3d 572, 577 [holding that </w:t>
      </w:r>
      <w:r w:rsidRPr="008F1266" w:rsidR="00357467">
        <w:rPr>
          <w:i/>
          <w:iCs/>
          <w:szCs w:val="26"/>
        </w:rPr>
        <w:t>Barker</w:t>
      </w:r>
      <w:r w:rsidRPr="008F1266" w:rsidR="00357467">
        <w:rPr>
          <w:szCs w:val="26"/>
        </w:rPr>
        <w:t xml:space="preserve"> applies to due process claims based on postsentencing delays, and citing similar cases from other circuits]; </w:t>
      </w:r>
      <w:r w:rsidRPr="008F1266">
        <w:rPr>
          <w:szCs w:val="26"/>
        </w:rPr>
        <w:t xml:space="preserve">cf. </w:t>
      </w:r>
      <w:r w:rsidRPr="008F1266">
        <w:rPr>
          <w:i/>
          <w:iCs/>
          <w:szCs w:val="26"/>
        </w:rPr>
        <w:t>Betterman v. Montana</w:t>
      </w:r>
      <w:r w:rsidRPr="008F1266">
        <w:rPr>
          <w:szCs w:val="26"/>
        </w:rPr>
        <w:t xml:space="preserve"> (2016) 578 U.S. 437, 448</w:t>
      </w:r>
      <w:r w:rsidR="00B272CC">
        <w:rPr>
          <w:szCs w:val="26"/>
        </w:rPr>
        <w:t xml:space="preserve">, </w:t>
      </w:r>
      <w:r w:rsidRPr="008F1266">
        <w:rPr>
          <w:szCs w:val="26"/>
        </w:rPr>
        <w:t xml:space="preserve">fn. 12 </w:t>
      </w:r>
      <w:r w:rsidRPr="008F1266" w:rsidR="00485B12">
        <w:rPr>
          <w:szCs w:val="26"/>
        </w:rPr>
        <w:t>(</w:t>
      </w:r>
      <w:r w:rsidRPr="008F1266" w:rsidR="00485B12">
        <w:rPr>
          <w:i/>
          <w:iCs/>
          <w:szCs w:val="26"/>
        </w:rPr>
        <w:t>Betterman</w:t>
      </w:r>
      <w:r w:rsidRPr="008F1266" w:rsidR="00485B12">
        <w:rPr>
          <w:szCs w:val="26"/>
        </w:rPr>
        <w:t xml:space="preserve">) </w:t>
      </w:r>
      <w:r w:rsidRPr="008F1266">
        <w:rPr>
          <w:szCs w:val="26"/>
        </w:rPr>
        <w:t xml:space="preserve">[reserving the question </w:t>
      </w:r>
      <w:r w:rsidRPr="008F1266" w:rsidR="003A087F">
        <w:rPr>
          <w:szCs w:val="26"/>
        </w:rPr>
        <w:t xml:space="preserve">of </w:t>
      </w:r>
      <w:r w:rsidRPr="008F1266">
        <w:rPr>
          <w:szCs w:val="26"/>
        </w:rPr>
        <w:t>how the due process clause applies to claims based on postsentencing delays, but noting that “[r]elevant considerations may include the length of and reasons for delay, the defendant’s diligence in requesting expeditious sentencing, and prejudice”].)</w:t>
      </w:r>
    </w:p>
    <w:p w:rsidR="00D664D5" w:rsidRPr="0017680E" w:rsidP="0017680E" w14:paraId="4E93134F" w14:textId="77777777">
      <w:pPr>
        <w:pStyle w:val="Text"/>
        <w:spacing w:line="400" w:lineRule="exact"/>
        <w:rPr>
          <w:szCs w:val="26"/>
        </w:rPr>
      </w:pPr>
      <w:r>
        <w:t>T</w:t>
      </w:r>
      <w:r w:rsidRPr="008F1266" w:rsidR="00570A3F">
        <w:t xml:space="preserve">he </w:t>
      </w:r>
      <w:r w:rsidRPr="008F1266" w:rsidR="00570A3F">
        <w:rPr>
          <w:i/>
          <w:iCs/>
        </w:rPr>
        <w:t>Barker</w:t>
      </w:r>
      <w:r w:rsidRPr="008F1266" w:rsidR="00570A3F">
        <w:t xml:space="preserve"> </w:t>
      </w:r>
      <w:r w:rsidRPr="008F1266" w:rsidR="00004C9E">
        <w:t xml:space="preserve">factors </w:t>
      </w:r>
      <w:r>
        <w:t xml:space="preserve">are likewise appropriate for use in </w:t>
      </w:r>
      <w:r w:rsidRPr="008F1266" w:rsidR="00570A3F">
        <w:t>evaluat</w:t>
      </w:r>
      <w:r>
        <w:t>ing</w:t>
      </w:r>
      <w:r w:rsidRPr="008F1266" w:rsidR="00570A3F">
        <w:t xml:space="preserve"> </w:t>
      </w:r>
      <w:r w:rsidRPr="008F1266" w:rsidR="00C46B18">
        <w:t>due process claims based on delays in holding SVP trials.</w:t>
      </w:r>
      <w:r w:rsidRPr="008F1266" w:rsidR="00FF793D">
        <w:t xml:space="preserve">  The timing of SVP trials is not in all respects comparable to the timing of criminal trials, </w:t>
      </w:r>
      <w:r w:rsidRPr="008F1266" w:rsidR="00DC5FAA">
        <w:t>but many of the same general principles translate</w:t>
      </w:r>
      <w:r w:rsidR="00751F4F">
        <w:t>.</w:t>
      </w:r>
      <w:r w:rsidRPr="008F1266" w:rsidR="00DC5FAA">
        <w:t xml:space="preserve">  </w:t>
      </w:r>
      <w:r w:rsidR="006E5278">
        <w:t xml:space="preserve">Once a court has found probable cause to support an SVP commitment petition, an individual is committed to </w:t>
      </w:r>
      <w:r w:rsidR="002F77B4">
        <w:t xml:space="preserve">a </w:t>
      </w:r>
      <w:r w:rsidR="006E5278">
        <w:t xml:space="preserve">state </w:t>
      </w:r>
      <w:r w:rsidR="002F77B4">
        <w:t xml:space="preserve">hospital for treatment </w:t>
      </w:r>
      <w:r w:rsidR="006E5278">
        <w:t>while awaiting trial</w:t>
      </w:r>
      <w:r w:rsidR="00751F4F">
        <w:t>.  But a</w:t>
      </w:r>
      <w:r w:rsidRPr="008F1266" w:rsidR="00DC5FAA">
        <w:t xml:space="preserve">s is true </w:t>
      </w:r>
      <w:r w:rsidRPr="008F1266" w:rsidR="00B92245">
        <w:t xml:space="preserve">in criminal cases, </w:t>
      </w:r>
      <w:r>
        <w:t xml:space="preserve">an individual’s </w:t>
      </w:r>
      <w:r w:rsidRPr="008F1266" w:rsidR="0006665C">
        <w:t xml:space="preserve">interests in a timely trial do not run in just one direction; </w:t>
      </w:r>
      <w:r w:rsidRPr="008F1266" w:rsidR="00BB2C58">
        <w:t xml:space="preserve">one </w:t>
      </w:r>
      <w:r w:rsidRPr="008F1266" w:rsidR="00F86962">
        <w:t xml:space="preserve">individual facing </w:t>
      </w:r>
      <w:r w:rsidRPr="008F1266" w:rsidR="00B92245">
        <w:t xml:space="preserve">SVP commitment may </w:t>
      </w:r>
      <w:r w:rsidRPr="008F1266" w:rsidR="00BB2C58">
        <w:t xml:space="preserve">wish for a </w:t>
      </w:r>
      <w:r w:rsidR="003573A4">
        <w:t xml:space="preserve">prompt </w:t>
      </w:r>
      <w:r w:rsidRPr="008F1266" w:rsidR="00BB2C58">
        <w:t xml:space="preserve">trial, while another may perceive a tactical advantage in </w:t>
      </w:r>
      <w:r w:rsidRPr="008F1266">
        <w:rPr>
          <w:szCs w:val="26"/>
        </w:rPr>
        <w:t>dela</w:t>
      </w:r>
      <w:r w:rsidRPr="008F1266" w:rsidR="004D7ACC">
        <w:rPr>
          <w:szCs w:val="26"/>
        </w:rPr>
        <w:t>y</w:t>
      </w:r>
      <w:r w:rsidRPr="008F1266">
        <w:rPr>
          <w:szCs w:val="26"/>
        </w:rPr>
        <w:t>.</w:t>
      </w:r>
      <w:r w:rsidRPr="008F1266" w:rsidR="004D7ACC">
        <w:rPr>
          <w:szCs w:val="26"/>
        </w:rPr>
        <w:t xml:space="preserve">  </w:t>
      </w:r>
      <w:r w:rsidRPr="008F1266">
        <w:rPr>
          <w:szCs w:val="26"/>
        </w:rPr>
        <w:t xml:space="preserve">(See </w:t>
      </w:r>
      <w:r w:rsidRPr="008F1266">
        <w:rPr>
          <w:i/>
          <w:iCs/>
          <w:szCs w:val="26"/>
        </w:rPr>
        <w:t>Barker</w:t>
      </w:r>
      <w:r w:rsidRPr="008F1266">
        <w:rPr>
          <w:szCs w:val="26"/>
        </w:rPr>
        <w:t>,</w:t>
      </w:r>
      <w:r w:rsidRPr="008F1266">
        <w:rPr>
          <w:i/>
          <w:iCs/>
          <w:szCs w:val="26"/>
        </w:rPr>
        <w:t xml:space="preserve"> supra</w:t>
      </w:r>
      <w:r w:rsidRPr="008F1266">
        <w:rPr>
          <w:szCs w:val="26"/>
        </w:rPr>
        <w:t>, 407 U.S. at pp.</w:t>
      </w:r>
      <w:r w:rsidRPr="008F1266" w:rsidR="008D3516">
        <w:rPr>
          <w:szCs w:val="26"/>
        </w:rPr>
        <w:t> </w:t>
      </w:r>
      <w:r w:rsidRPr="008F1266">
        <w:rPr>
          <w:szCs w:val="26"/>
        </w:rPr>
        <w:t>519–521.)</w:t>
      </w:r>
      <w:r w:rsidRPr="008F1266" w:rsidR="004D7ACC">
        <w:rPr>
          <w:szCs w:val="26"/>
        </w:rPr>
        <w:t xml:space="preserve">  And</w:t>
      </w:r>
      <w:r w:rsidRPr="008F1266" w:rsidR="004A2CF4">
        <w:rPr>
          <w:szCs w:val="26"/>
        </w:rPr>
        <w:t xml:space="preserve">, more fundamentally, </w:t>
      </w:r>
      <w:r w:rsidRPr="008F1266" w:rsidR="004D7ACC">
        <w:rPr>
          <w:szCs w:val="26"/>
        </w:rPr>
        <w:t xml:space="preserve">as is true </w:t>
      </w:r>
      <w:r w:rsidR="00751F4F">
        <w:rPr>
          <w:szCs w:val="26"/>
        </w:rPr>
        <w:t xml:space="preserve">in </w:t>
      </w:r>
      <w:r w:rsidRPr="008F1266" w:rsidR="004D7ACC">
        <w:rPr>
          <w:szCs w:val="26"/>
        </w:rPr>
        <w:t xml:space="preserve">criminal cases, it is </w:t>
      </w:r>
      <w:r w:rsidRPr="008F1266" w:rsidR="009A763A">
        <w:rPr>
          <w:szCs w:val="26"/>
        </w:rPr>
        <w:t xml:space="preserve">impossible to define with any precision </w:t>
      </w:r>
      <w:r w:rsidRPr="008F1266" w:rsidR="005B2F92">
        <w:rPr>
          <w:szCs w:val="26"/>
        </w:rPr>
        <w:t>a fixed point at which trial must occur</w:t>
      </w:r>
      <w:r w:rsidR="00E0253F">
        <w:rPr>
          <w:szCs w:val="26"/>
        </w:rPr>
        <w:t> </w:t>
      </w:r>
      <w:r w:rsidR="0017680E">
        <w:rPr>
          <w:szCs w:val="26"/>
        </w:rPr>
        <w:t>— “how long is too long in a system where justice is supposed to be swift but deliberate.”</w:t>
      </w:r>
      <w:r w:rsidRPr="008F1266" w:rsidR="005B2F92">
        <w:rPr>
          <w:szCs w:val="26"/>
        </w:rPr>
        <w:t xml:space="preserve">  (</w:t>
      </w:r>
      <w:r w:rsidRPr="008F1266" w:rsidR="005B2F92">
        <w:rPr>
          <w:i/>
          <w:iCs/>
          <w:szCs w:val="26"/>
        </w:rPr>
        <w:t>Id.</w:t>
      </w:r>
      <w:r w:rsidRPr="008F1266" w:rsidR="005B2F92">
        <w:rPr>
          <w:szCs w:val="26"/>
        </w:rPr>
        <w:t xml:space="preserve"> at p.</w:t>
      </w:r>
      <w:r w:rsidRPr="008F1266" w:rsidR="008D3516">
        <w:rPr>
          <w:szCs w:val="26"/>
        </w:rPr>
        <w:t> </w:t>
      </w:r>
      <w:r w:rsidRPr="008F1266" w:rsidR="005B2F92">
        <w:rPr>
          <w:szCs w:val="26"/>
        </w:rPr>
        <w:t xml:space="preserve">521.)  </w:t>
      </w:r>
      <w:r w:rsidRPr="008F1266" w:rsidR="005B2F92">
        <w:t xml:space="preserve">The </w:t>
      </w:r>
      <w:r w:rsidRPr="008F1266" w:rsidR="005B2F92">
        <w:rPr>
          <w:i/>
          <w:iCs/>
        </w:rPr>
        <w:t>Barker</w:t>
      </w:r>
      <w:r w:rsidRPr="008F1266" w:rsidR="005B2F92">
        <w:t xml:space="preserve"> test </w:t>
      </w:r>
      <w:r w:rsidRPr="008F1266" w:rsidR="00A40890">
        <w:t xml:space="preserve">outlines </w:t>
      </w:r>
      <w:r w:rsidR="00E965F0">
        <w:t xml:space="preserve">a broadly </w:t>
      </w:r>
      <w:r w:rsidRPr="008F1266" w:rsidR="00A40890">
        <w:t xml:space="preserve">relevant set of </w:t>
      </w:r>
      <w:r w:rsidR="000843FC">
        <w:t xml:space="preserve">functional, case-dependent </w:t>
      </w:r>
      <w:r w:rsidRPr="008F1266" w:rsidR="00A40890">
        <w:t xml:space="preserve">factors to consider in </w:t>
      </w:r>
      <w:r w:rsidRPr="008F1266" w:rsidR="002B45A9">
        <w:t xml:space="preserve">analyzing </w:t>
      </w:r>
      <w:r w:rsidRPr="008F1266" w:rsidR="00002BB5">
        <w:t>questions of trial timing</w:t>
      </w:r>
      <w:r w:rsidRPr="008F1266" w:rsidR="005B2F92">
        <w:t xml:space="preserve">.  </w:t>
      </w:r>
      <w:r w:rsidR="000E4AF5">
        <w:t>T</w:t>
      </w:r>
      <w:r w:rsidRPr="008F1266" w:rsidR="005B2F92">
        <w:t>o the extent the SVP context differs from the criminal context</w:t>
      </w:r>
      <w:r w:rsidR="00A17115">
        <w:t xml:space="preserve"> in which </w:t>
      </w:r>
      <w:r w:rsidR="00A17115">
        <w:rPr>
          <w:i/>
          <w:iCs/>
        </w:rPr>
        <w:t>Barker</w:t>
      </w:r>
      <w:r w:rsidR="00A17115">
        <w:t xml:space="preserve"> was decided</w:t>
      </w:r>
      <w:r w:rsidRPr="008F1266" w:rsidR="005B2F92">
        <w:t>, the flexibility of the test allows courts to account for those differences.</w:t>
      </w:r>
    </w:p>
    <w:p w:rsidR="00214F76" w:rsidRPr="008F1266" w:rsidP="00301C3B" w14:paraId="4E931350" w14:textId="77777777">
      <w:pPr>
        <w:tabs>
          <w:tab w:val="left" w:pos="720"/>
        </w:tabs>
      </w:pPr>
      <w:r w:rsidRPr="008F1266">
        <w:tab/>
      </w:r>
      <w:r w:rsidR="00946AB5">
        <w:t>Indeed, e</w:t>
      </w:r>
      <w:r w:rsidRPr="008F1266" w:rsidR="002A04D1">
        <w:t xml:space="preserve">very </w:t>
      </w:r>
      <w:r w:rsidRPr="008F1266" w:rsidR="008C0716">
        <w:t>Court</w:t>
      </w:r>
      <w:r w:rsidRPr="008F1266" w:rsidR="002A04D1">
        <w:t xml:space="preserve"> </w:t>
      </w:r>
      <w:r w:rsidRPr="008F1266" w:rsidR="008C0716">
        <w:t xml:space="preserve">of Appeal to address the issue to date has done so by employing the </w:t>
      </w:r>
      <w:r w:rsidRPr="008F1266" w:rsidR="008C0716">
        <w:rPr>
          <w:i/>
          <w:iCs/>
        </w:rPr>
        <w:t>Barker</w:t>
      </w:r>
      <w:r w:rsidRPr="008F1266" w:rsidR="008C0716">
        <w:t xml:space="preserve"> factors</w:t>
      </w:r>
      <w:r w:rsidRPr="008F1266" w:rsidR="002A04D1">
        <w:t>.</w:t>
      </w:r>
      <w:r>
        <w:rPr>
          <w:rStyle w:val="FootnoteReference"/>
        </w:rPr>
        <w:footnoteReference w:id="6"/>
      </w:r>
      <w:r w:rsidRPr="008F1266" w:rsidR="002A04D1">
        <w:t xml:space="preserve">  But in an abundance of caution, </w:t>
      </w:r>
      <w:r w:rsidRPr="008F1266" w:rsidR="0005630E">
        <w:t>some</w:t>
      </w:r>
      <w:r w:rsidRPr="008F1266" w:rsidR="002A04D1">
        <w:t xml:space="preserve"> </w:t>
      </w:r>
      <w:r w:rsidRPr="008F1266" w:rsidR="008C0716">
        <w:t xml:space="preserve">have also employed the </w:t>
      </w:r>
      <w:r w:rsidRPr="008F1266" w:rsidR="008C0716">
        <w:rPr>
          <w:i/>
          <w:iCs/>
        </w:rPr>
        <w:t>Mathews</w:t>
      </w:r>
      <w:r w:rsidRPr="008F1266" w:rsidR="008C0716">
        <w:t xml:space="preserve"> test to evaluate claims of SVP trial delay.</w:t>
      </w:r>
    </w:p>
    <w:p w:rsidR="005A0D6A" w:rsidP="00715C11" w14:paraId="4E931351" w14:textId="77777777">
      <w:pPr>
        <w:tabs>
          <w:tab w:val="left" w:pos="720"/>
        </w:tabs>
      </w:pPr>
      <w:r w:rsidRPr="008F1266">
        <w:tab/>
      </w:r>
      <w:r w:rsidRPr="008F1266" w:rsidR="00D8329F">
        <w:t xml:space="preserve">The issue in </w:t>
      </w:r>
      <w:r w:rsidRPr="008F1266" w:rsidR="0014143A">
        <w:rPr>
          <w:i/>
          <w:iCs/>
        </w:rPr>
        <w:t>Mathews</w:t>
      </w:r>
      <w:r w:rsidRPr="008F1266" w:rsidR="0014143A">
        <w:t xml:space="preserve"> </w:t>
      </w:r>
      <w:r w:rsidRPr="008F1266" w:rsidR="00D8329F">
        <w:t xml:space="preserve">was </w:t>
      </w:r>
      <w:r w:rsidRPr="008F1266" w:rsidR="000A21E4">
        <w:t xml:space="preserve">whether due process required an evidentiary hearing </w:t>
      </w:r>
      <w:r w:rsidRPr="008F1266" w:rsidR="0044688A">
        <w:t xml:space="preserve">before the termination of </w:t>
      </w:r>
      <w:r w:rsidRPr="008F1266" w:rsidR="00AD2C02">
        <w:t xml:space="preserve">Social Security disability </w:t>
      </w:r>
      <w:r w:rsidRPr="008F1266" w:rsidR="0044688A">
        <w:t xml:space="preserve">payments.  </w:t>
      </w:r>
      <w:r w:rsidRPr="008F1266" w:rsidR="000A21E4">
        <w:t>(</w:t>
      </w:r>
      <w:r w:rsidRPr="008F1266" w:rsidR="000A21E4">
        <w:rPr>
          <w:i/>
          <w:iCs/>
        </w:rPr>
        <w:t>Mathews</w:t>
      </w:r>
      <w:r w:rsidRPr="008F1266" w:rsidR="000A21E4">
        <w:t xml:space="preserve">, </w:t>
      </w:r>
      <w:r w:rsidRPr="008F1266" w:rsidR="000A21E4">
        <w:rPr>
          <w:i/>
          <w:iCs/>
        </w:rPr>
        <w:t>supra</w:t>
      </w:r>
      <w:r w:rsidRPr="008F1266" w:rsidR="000A21E4">
        <w:t>, 424 U.S.</w:t>
      </w:r>
      <w:r w:rsidRPr="008F1266" w:rsidR="000A21E4">
        <w:rPr>
          <w:i/>
          <w:iCs/>
        </w:rPr>
        <w:t xml:space="preserve"> </w:t>
      </w:r>
      <w:r w:rsidRPr="008F1266" w:rsidR="000A21E4">
        <w:t>at p.</w:t>
      </w:r>
      <w:r w:rsidRPr="008F1266" w:rsidR="008D3516">
        <w:t> </w:t>
      </w:r>
      <w:r w:rsidRPr="008F1266" w:rsidR="000A21E4">
        <w:t xml:space="preserve">323.)  The </w:t>
      </w:r>
      <w:r w:rsidRPr="008F1266" w:rsidR="009F5E87">
        <w:t>United States Supreme Court</w:t>
      </w:r>
      <w:r w:rsidRPr="008F1266" w:rsidR="009F5E87">
        <w:rPr>
          <w:i/>
          <w:iCs/>
        </w:rPr>
        <w:t xml:space="preserve"> </w:t>
      </w:r>
      <w:r w:rsidRPr="008F1266" w:rsidR="009F5E87">
        <w:t xml:space="preserve">set out a three-factor framework to decide </w:t>
      </w:r>
      <w:r w:rsidRPr="008F1266" w:rsidR="001E1537">
        <w:t>the question</w:t>
      </w:r>
      <w:r w:rsidRPr="008F1266" w:rsidR="009F5E87">
        <w:t>:</w:t>
      </w:r>
      <w:r w:rsidRPr="008F1266" w:rsidR="008D3516">
        <w:t xml:space="preserve"> </w:t>
      </w:r>
      <w:r w:rsidRPr="008F1266" w:rsidR="009F5E87">
        <w:t xml:space="preserve"> (1) “the private interest that will be affected by the official action”; (2) “the risk of an erroneous deprivation of such interest through the procedures used, and the probable value, if any, of additional or substitute procedural safeguards”; and (3) “the Government’s interest, including the function involved and the fiscal and administrative burdens that the additional or substitute procedural requirement would entail.”  (</w:t>
      </w:r>
      <w:r w:rsidRPr="008F1266" w:rsidR="000A21E4">
        <w:rPr>
          <w:i/>
          <w:iCs/>
        </w:rPr>
        <w:t>Id</w:t>
      </w:r>
      <w:r w:rsidRPr="008F1266" w:rsidR="000A21E4">
        <w:t>.</w:t>
      </w:r>
      <w:r w:rsidRPr="008F1266" w:rsidR="009F5E87">
        <w:t xml:space="preserve"> at p.</w:t>
      </w:r>
      <w:r w:rsidRPr="008F1266" w:rsidR="008D3516">
        <w:t> </w:t>
      </w:r>
      <w:r w:rsidRPr="008F1266" w:rsidR="009F5E87">
        <w:t>335.)</w:t>
      </w:r>
      <w:r w:rsidR="00E67207">
        <w:t xml:space="preserve">  </w:t>
      </w:r>
      <w:r w:rsidR="00384359">
        <w:t xml:space="preserve">With its focus on </w:t>
      </w:r>
      <w:r w:rsidR="002C06D2">
        <w:t xml:space="preserve">evaluating the </w:t>
      </w:r>
      <w:r w:rsidR="00384359">
        <w:t xml:space="preserve">value of additional procedural safeguards for the sake of </w:t>
      </w:r>
      <w:r w:rsidR="002E3107">
        <w:t>reducing error</w:t>
      </w:r>
      <w:r w:rsidR="00384359">
        <w:t xml:space="preserve">, this test </w:t>
      </w:r>
      <w:r w:rsidR="002C06D2">
        <w:t xml:space="preserve">is </w:t>
      </w:r>
      <w:r w:rsidR="00384359">
        <w:t>more clearly suited to</w:t>
      </w:r>
      <w:r w:rsidR="0045213C">
        <w:t xml:space="preserve"> questions about the adequacy of procedures used in government decisionmaking than to questions about </w:t>
      </w:r>
      <w:r w:rsidR="002E3107">
        <w:t xml:space="preserve">the </w:t>
      </w:r>
      <w:r w:rsidR="0045213C">
        <w:t>timing</w:t>
      </w:r>
      <w:r w:rsidR="002E3107">
        <w:t xml:space="preserve"> of th</w:t>
      </w:r>
      <w:r w:rsidR="002C06D2">
        <w:t>ose</w:t>
      </w:r>
      <w:r w:rsidR="002E3107">
        <w:t xml:space="preserve"> decisions</w:t>
      </w:r>
      <w:r w:rsidR="0045213C">
        <w:t>.</w:t>
      </w:r>
      <w:r w:rsidR="00715C11">
        <w:t xml:space="preserve">  </w:t>
      </w:r>
    </w:p>
    <w:p w:rsidR="005A0D6A" w:rsidP="00715C11" w14:paraId="4E931352" w14:textId="77777777">
      <w:pPr>
        <w:tabs>
          <w:tab w:val="left" w:pos="720"/>
        </w:tabs>
      </w:pPr>
      <w:r>
        <w:tab/>
      </w:r>
      <w:r w:rsidRPr="008F1266" w:rsidR="0084619F">
        <w:t xml:space="preserve">To be sure, </w:t>
      </w:r>
      <w:r w:rsidRPr="008F1266" w:rsidR="00B22DE3">
        <w:t xml:space="preserve">the United States Supreme Court has invoked </w:t>
      </w:r>
      <w:r w:rsidRPr="008F1266" w:rsidR="00B22DE3">
        <w:rPr>
          <w:i/>
          <w:iCs/>
        </w:rPr>
        <w:t>Mathews</w:t>
      </w:r>
      <w:r w:rsidRPr="008F1266" w:rsidR="00B22DE3">
        <w:t xml:space="preserve"> in evaluating certain </w:t>
      </w:r>
      <w:r w:rsidRPr="008F1266" w:rsidR="00240D5D">
        <w:t xml:space="preserve">timing-related </w:t>
      </w:r>
      <w:r w:rsidRPr="008F1266" w:rsidR="00B22DE3">
        <w:t>claims</w:t>
      </w:r>
      <w:r w:rsidR="002C151A">
        <w:t>.</w:t>
      </w:r>
      <w:r w:rsidRPr="008F1266" w:rsidR="00B22DE3">
        <w:t xml:space="preserve">  In </w:t>
      </w:r>
      <w:r w:rsidRPr="008F1266" w:rsidR="00B22DE3">
        <w:rPr>
          <w:i/>
          <w:iCs/>
        </w:rPr>
        <w:t>F</w:t>
      </w:r>
      <w:r w:rsidRPr="008F1266" w:rsidR="00B1183D">
        <w:rPr>
          <w:i/>
          <w:iCs/>
        </w:rPr>
        <w:t>DIC</w:t>
      </w:r>
      <w:r w:rsidRPr="008F1266" w:rsidR="00B22DE3">
        <w:rPr>
          <w:i/>
          <w:iCs/>
        </w:rPr>
        <w:t xml:space="preserve"> v. Mallen</w:t>
      </w:r>
      <w:r w:rsidRPr="008F1266" w:rsidR="00B22DE3">
        <w:t xml:space="preserve"> (1988) 486 U.S. 230, </w:t>
      </w:r>
      <w:r w:rsidRPr="008F1266" w:rsidR="007B1FAD">
        <w:t xml:space="preserve">231–232, </w:t>
      </w:r>
      <w:r w:rsidRPr="008F1266" w:rsidR="00B22DE3">
        <w:t>242, for instance, the high court</w:t>
      </w:r>
      <w:r w:rsidRPr="008F1266" w:rsidR="00240D5D">
        <w:t xml:space="preserve"> employed </w:t>
      </w:r>
      <w:r w:rsidRPr="008F1266" w:rsidR="002A4687">
        <w:t xml:space="preserve">a </w:t>
      </w:r>
      <w:r w:rsidR="002C151A">
        <w:t xml:space="preserve">modified </w:t>
      </w:r>
      <w:r w:rsidRPr="008F1266" w:rsidR="002A4687">
        <w:t xml:space="preserve">version of the </w:t>
      </w:r>
      <w:r w:rsidRPr="008F1266" w:rsidR="00240D5D">
        <w:rPr>
          <w:i/>
          <w:iCs/>
        </w:rPr>
        <w:t>Mathews</w:t>
      </w:r>
      <w:r w:rsidRPr="008F1266" w:rsidR="00240D5D">
        <w:t xml:space="preserve"> </w:t>
      </w:r>
      <w:r w:rsidRPr="008F1266" w:rsidR="002A4687">
        <w:t xml:space="preserve">test </w:t>
      </w:r>
      <w:r w:rsidRPr="008F1266" w:rsidR="004C219F">
        <w:t xml:space="preserve">in </w:t>
      </w:r>
      <w:r w:rsidRPr="008F1266" w:rsidR="000A0374">
        <w:t>considering</w:t>
      </w:r>
      <w:r w:rsidRPr="008F1266" w:rsidR="00CC0510">
        <w:t xml:space="preserve">, and rejecting, </w:t>
      </w:r>
      <w:r w:rsidRPr="008F1266" w:rsidR="000A0374">
        <w:t>a claim that a statute allowing the government to suspend indicted bank official</w:t>
      </w:r>
      <w:r w:rsidRPr="008F1266" w:rsidR="00D16786">
        <w:t xml:space="preserve">s </w:t>
      </w:r>
      <w:r w:rsidRPr="008F1266" w:rsidR="004652CA">
        <w:t xml:space="preserve">facially </w:t>
      </w:r>
      <w:r w:rsidRPr="008F1266" w:rsidR="000A0374">
        <w:t xml:space="preserve">violated due process because </w:t>
      </w:r>
      <w:r w:rsidRPr="008F1266" w:rsidR="00B47E7F">
        <w:t xml:space="preserve">the </w:t>
      </w:r>
      <w:r w:rsidR="0095400B">
        <w:t xml:space="preserve">statute </w:t>
      </w:r>
      <w:r w:rsidRPr="008F1266" w:rsidR="00CC0510">
        <w:t xml:space="preserve">did not guarantee </w:t>
      </w:r>
      <w:r w:rsidR="00E3504D">
        <w:t>that suspended official</w:t>
      </w:r>
      <w:r w:rsidR="002D73B1">
        <w:t>s</w:t>
      </w:r>
      <w:r w:rsidR="00E3504D">
        <w:t xml:space="preserve"> would receive sufficiently prompt decision</w:t>
      </w:r>
      <w:r w:rsidR="002D73B1">
        <w:t>s</w:t>
      </w:r>
      <w:r w:rsidR="00E3504D">
        <w:t xml:space="preserve"> on </w:t>
      </w:r>
      <w:r w:rsidR="002D73B1">
        <w:t>their appeals</w:t>
      </w:r>
      <w:r w:rsidR="00E3504D">
        <w:t>.</w:t>
      </w:r>
      <w:r w:rsidRPr="008F1266" w:rsidR="00960ED7">
        <w:t xml:space="preserve">  </w:t>
      </w:r>
      <w:r w:rsidRPr="008F1266" w:rsidR="00F63CC1">
        <w:t xml:space="preserve">(See </w:t>
      </w:r>
      <w:r w:rsidRPr="008F1266" w:rsidR="009F5E87">
        <w:rPr>
          <w:i/>
          <w:iCs/>
        </w:rPr>
        <w:t>Litmon</w:t>
      </w:r>
      <w:r w:rsidRPr="008F1266" w:rsidR="00B1183D">
        <w:rPr>
          <w:i/>
          <w:iCs/>
        </w:rPr>
        <w:t xml:space="preserve"> II</w:t>
      </w:r>
      <w:r w:rsidRPr="008F1266" w:rsidR="00B1183D">
        <w:t xml:space="preserve">, </w:t>
      </w:r>
      <w:r w:rsidRPr="008F1266" w:rsidR="00B1183D">
        <w:rPr>
          <w:i/>
          <w:iCs/>
        </w:rPr>
        <w:t>supra</w:t>
      </w:r>
      <w:r w:rsidRPr="008F1266" w:rsidR="00B1183D">
        <w:t>,</w:t>
      </w:r>
      <w:r w:rsidRPr="008F1266" w:rsidR="009F5E87">
        <w:t xml:space="preserve"> 162 Cal.App.4th </w:t>
      </w:r>
      <w:r w:rsidRPr="008F1266" w:rsidR="00B1183D">
        <w:t>at pp. </w:t>
      </w:r>
      <w:r w:rsidRPr="008F1266" w:rsidR="009F5E87">
        <w:t>396–397 [</w:t>
      </w:r>
      <w:r w:rsidRPr="008F1266" w:rsidR="00F63CC1">
        <w:t xml:space="preserve">discussing </w:t>
      </w:r>
      <w:r w:rsidRPr="008F1266" w:rsidR="00F63CC1">
        <w:rPr>
          <w:i/>
          <w:iCs/>
        </w:rPr>
        <w:t>Mallen</w:t>
      </w:r>
      <w:r w:rsidRPr="008F1266" w:rsidR="00F63CC1">
        <w:t>].)</w:t>
      </w:r>
      <w:r w:rsidRPr="008F1266" w:rsidR="00D31BA4">
        <w:t xml:space="preserve">  </w:t>
      </w:r>
    </w:p>
    <w:p w:rsidR="000B27F3" w:rsidP="00715C11" w14:paraId="4E931353" w14:textId="77777777">
      <w:pPr>
        <w:tabs>
          <w:tab w:val="left" w:pos="720"/>
        </w:tabs>
      </w:pPr>
      <w:r>
        <w:tab/>
      </w:r>
      <w:r w:rsidRPr="008F1266" w:rsidR="00D31BA4">
        <w:t>But</w:t>
      </w:r>
      <w:r w:rsidRPr="008F1266" w:rsidR="00397353">
        <w:t xml:space="preserve"> the trial timing question here bears far </w:t>
      </w:r>
      <w:r w:rsidRPr="008F1266" w:rsidR="00D31BA4">
        <w:t xml:space="preserve">greater resemblance to the </w:t>
      </w:r>
      <w:r w:rsidRPr="008F1266" w:rsidR="00397353">
        <w:t xml:space="preserve">trial timing </w:t>
      </w:r>
      <w:r w:rsidRPr="008F1266" w:rsidR="00D31BA4">
        <w:t xml:space="preserve">question in </w:t>
      </w:r>
      <w:r w:rsidRPr="008F1266" w:rsidR="00D31BA4">
        <w:rPr>
          <w:i/>
          <w:iCs/>
        </w:rPr>
        <w:t>Barker</w:t>
      </w:r>
      <w:r w:rsidRPr="008F1266" w:rsidR="00C8131D">
        <w:rPr>
          <w:i/>
          <w:iCs/>
        </w:rPr>
        <w:t xml:space="preserve"> </w:t>
      </w:r>
      <w:r w:rsidRPr="008F1266" w:rsidR="00D31BA4">
        <w:t xml:space="preserve">than </w:t>
      </w:r>
      <w:r w:rsidRPr="008F1266" w:rsidR="00C8131D">
        <w:t xml:space="preserve">to </w:t>
      </w:r>
      <w:r w:rsidRPr="008F1266" w:rsidR="00D31BA4">
        <w:t>the question</w:t>
      </w:r>
      <w:r w:rsidRPr="008F1266" w:rsidR="00C8131D">
        <w:t xml:space="preserve"> in </w:t>
      </w:r>
      <w:r w:rsidRPr="008F1266" w:rsidR="00C8131D">
        <w:rPr>
          <w:i/>
          <w:iCs/>
        </w:rPr>
        <w:t>Mallen</w:t>
      </w:r>
      <w:r w:rsidRPr="008F1266" w:rsidR="00D31BA4">
        <w:t xml:space="preserve"> </w:t>
      </w:r>
      <w:r w:rsidRPr="008F1266" w:rsidR="00B17121">
        <w:t xml:space="preserve">about the </w:t>
      </w:r>
      <w:r w:rsidRPr="008F1266" w:rsidR="00210E8A">
        <w:t xml:space="preserve">adequacy of postsuspension </w:t>
      </w:r>
      <w:r w:rsidRPr="008F1266" w:rsidR="00CB76F1">
        <w:t xml:space="preserve">review </w:t>
      </w:r>
      <w:r w:rsidRPr="008F1266" w:rsidR="00210E8A">
        <w:t>procedures</w:t>
      </w:r>
      <w:r w:rsidRPr="008F1266" w:rsidR="00C8131D">
        <w:t>.</w:t>
      </w:r>
      <w:r w:rsidRPr="008F1266" w:rsidR="005C4137">
        <w:t xml:space="preserve">  </w:t>
      </w:r>
      <w:r w:rsidRPr="008F1266" w:rsidR="00F6331D">
        <w:t xml:space="preserve">And </w:t>
      </w:r>
      <w:r w:rsidRPr="008F1266" w:rsidR="005C4137">
        <w:t xml:space="preserve">it serves no </w:t>
      </w:r>
      <w:r w:rsidRPr="008F1266" w:rsidR="00335DE5">
        <w:t xml:space="preserve">meaningful </w:t>
      </w:r>
      <w:r w:rsidRPr="008F1266" w:rsidR="005C4137">
        <w:t xml:space="preserve">purpose to </w:t>
      </w:r>
      <w:r w:rsidRPr="008F1266" w:rsidR="004B5116">
        <w:t>analyz</w:t>
      </w:r>
      <w:r w:rsidRPr="008F1266" w:rsidR="005C4137">
        <w:t>e</w:t>
      </w:r>
      <w:r w:rsidRPr="008F1266" w:rsidR="004B5116">
        <w:t xml:space="preserve"> p</w:t>
      </w:r>
      <w:r w:rsidRPr="008F1266" w:rsidR="00587E49">
        <w:t>re</w:t>
      </w:r>
      <w:r w:rsidRPr="008F1266" w:rsidR="004B5116">
        <w:t xml:space="preserve">trial delays under </w:t>
      </w:r>
      <w:r w:rsidRPr="008F1266" w:rsidR="005B7526">
        <w:t xml:space="preserve">both </w:t>
      </w:r>
      <w:r w:rsidRPr="008F1266" w:rsidR="00587E49">
        <w:rPr>
          <w:i/>
          <w:iCs/>
        </w:rPr>
        <w:t>Mathews</w:t>
      </w:r>
      <w:r w:rsidRPr="008F1266" w:rsidR="005C4137">
        <w:t xml:space="preserve"> </w:t>
      </w:r>
      <w:r w:rsidRPr="008F1266" w:rsidR="005B7526">
        <w:t xml:space="preserve">and </w:t>
      </w:r>
      <w:r w:rsidRPr="008F1266" w:rsidR="00587E49">
        <w:rPr>
          <w:i/>
          <w:iCs/>
        </w:rPr>
        <w:t>Barker</w:t>
      </w:r>
      <w:r w:rsidRPr="008F1266" w:rsidR="00F6331D">
        <w:t>, as some Courts of Appeal have done</w:t>
      </w:r>
      <w:r w:rsidRPr="008F1266" w:rsidR="005C37DC">
        <w:t>.</w:t>
      </w:r>
      <w:r w:rsidRPr="008F1266" w:rsidR="007663B2">
        <w:t xml:space="preserve">  </w:t>
      </w:r>
      <w:r w:rsidRPr="008F1266" w:rsidR="00E55DFA">
        <w:t xml:space="preserve">None of these </w:t>
      </w:r>
      <w:r w:rsidRPr="008F1266" w:rsidR="005C37DC">
        <w:t>court</w:t>
      </w:r>
      <w:r w:rsidRPr="008F1266" w:rsidR="00E55DFA">
        <w:t>s</w:t>
      </w:r>
      <w:r w:rsidRPr="008F1266" w:rsidR="005C37DC">
        <w:t xml:space="preserve"> has </w:t>
      </w:r>
      <w:r w:rsidRPr="008F1266" w:rsidR="00E55DFA">
        <w:t xml:space="preserve">ever </w:t>
      </w:r>
      <w:r w:rsidRPr="008F1266" w:rsidR="005C37DC">
        <w:t xml:space="preserve">found that the </w:t>
      </w:r>
      <w:r w:rsidRPr="008F1266" w:rsidR="005C37DC">
        <w:rPr>
          <w:i/>
          <w:iCs/>
        </w:rPr>
        <w:t>Mathews</w:t>
      </w:r>
      <w:r w:rsidRPr="008F1266" w:rsidR="005C37DC">
        <w:t xml:space="preserve"> inquiry yields </w:t>
      </w:r>
      <w:r w:rsidRPr="008F1266" w:rsidR="00E55DFA">
        <w:t xml:space="preserve">a </w:t>
      </w:r>
      <w:r w:rsidRPr="008F1266" w:rsidR="005C37DC">
        <w:t xml:space="preserve">different result from </w:t>
      </w:r>
      <w:r w:rsidRPr="008F1266" w:rsidR="005C37DC">
        <w:rPr>
          <w:i/>
          <w:iCs/>
        </w:rPr>
        <w:t>Barker</w:t>
      </w:r>
      <w:r w:rsidRPr="008F1266" w:rsidR="005C37DC">
        <w:t xml:space="preserve">.  This is unsurprising, since </w:t>
      </w:r>
      <w:r w:rsidRPr="008F1266" w:rsidR="007B332C">
        <w:t xml:space="preserve">the </w:t>
      </w:r>
      <w:r w:rsidRPr="008F1266" w:rsidR="005C37DC">
        <w:t>q</w:t>
      </w:r>
      <w:r w:rsidRPr="008F1266" w:rsidR="00E812A9">
        <w:t xml:space="preserve">uestions </w:t>
      </w:r>
      <w:r w:rsidR="00BA1DB6">
        <w:t xml:space="preserve">the courts have asked </w:t>
      </w:r>
      <w:r w:rsidRPr="008F1266" w:rsidR="007B332C">
        <w:t xml:space="preserve">under </w:t>
      </w:r>
      <w:r w:rsidRPr="008F1266" w:rsidR="007B332C">
        <w:rPr>
          <w:i/>
          <w:iCs/>
        </w:rPr>
        <w:t>Mathews</w:t>
      </w:r>
      <w:r w:rsidRPr="008F1266" w:rsidR="008D3516">
        <w:t> </w:t>
      </w:r>
      <w:r w:rsidRPr="008F1266" w:rsidR="007B332C">
        <w:t xml:space="preserve">— </w:t>
      </w:r>
      <w:r w:rsidR="00BA1DB6">
        <w:t>adapting the three-part test for the context of a challenge to trial timing</w:t>
      </w:r>
      <w:r w:rsidR="00E0253F">
        <w:t> </w:t>
      </w:r>
      <w:r w:rsidR="00BA1DB6">
        <w:t>—</w:t>
      </w:r>
      <w:r w:rsidR="005808A8">
        <w:t xml:space="preserve"> </w:t>
      </w:r>
      <w:r w:rsidRPr="008F1266" w:rsidR="00E812A9">
        <w:t>are all matters already addressed</w:t>
      </w:r>
      <w:r w:rsidRPr="008F1266" w:rsidR="00AF4D1A">
        <w:t xml:space="preserve">, with somewhat greater specificity, by </w:t>
      </w:r>
      <w:r w:rsidRPr="008F1266" w:rsidR="00587E49">
        <w:t xml:space="preserve">the </w:t>
      </w:r>
      <w:r w:rsidRPr="008F1266" w:rsidR="00E812A9">
        <w:rPr>
          <w:i/>
          <w:iCs/>
        </w:rPr>
        <w:t>Barker</w:t>
      </w:r>
      <w:r w:rsidRPr="008F1266" w:rsidR="00587E49">
        <w:rPr>
          <w:i/>
          <w:iCs/>
        </w:rPr>
        <w:t xml:space="preserve"> </w:t>
      </w:r>
      <w:r w:rsidRPr="008F1266" w:rsidR="00587E49">
        <w:t>factors</w:t>
      </w:r>
      <w:r w:rsidRPr="008F1266" w:rsidR="006A5B2A">
        <w:t>.</w:t>
      </w:r>
      <w:r w:rsidRPr="008F1266" w:rsidR="00AF4D1A">
        <w:t xml:space="preserve">  </w:t>
      </w:r>
      <w:r w:rsidRPr="008F1266" w:rsidR="00335DE5">
        <w:t xml:space="preserve">We thus clarify </w:t>
      </w:r>
      <w:r w:rsidRPr="008F1266" w:rsidR="00D02005">
        <w:t xml:space="preserve">that </w:t>
      </w:r>
      <w:r w:rsidRPr="008F1266" w:rsidR="00E7020D">
        <w:t xml:space="preserve">courts </w:t>
      </w:r>
      <w:r w:rsidRPr="008F1266" w:rsidR="00A07D45">
        <w:t xml:space="preserve">need not apply </w:t>
      </w:r>
      <w:r w:rsidRPr="008F1266" w:rsidR="00A07D45">
        <w:rPr>
          <w:i/>
          <w:iCs/>
        </w:rPr>
        <w:t>Mathews</w:t>
      </w:r>
      <w:r w:rsidRPr="008F1266" w:rsidR="00A07D45">
        <w:t xml:space="preserve"> in this context; it suffices to </w:t>
      </w:r>
      <w:r w:rsidRPr="008F1266" w:rsidR="0013079D">
        <w:t xml:space="preserve">apply </w:t>
      </w:r>
      <w:r w:rsidRPr="008F1266" w:rsidR="004A6B92">
        <w:t xml:space="preserve">the </w:t>
      </w:r>
      <w:r w:rsidRPr="008F1266" w:rsidR="00507951">
        <w:rPr>
          <w:i/>
          <w:iCs/>
        </w:rPr>
        <w:t>Barker</w:t>
      </w:r>
      <w:r w:rsidRPr="008F1266" w:rsidR="00507951">
        <w:t xml:space="preserve"> </w:t>
      </w:r>
      <w:r w:rsidRPr="008F1266" w:rsidR="004A6B92">
        <w:t xml:space="preserve">factors </w:t>
      </w:r>
      <w:r w:rsidRPr="008F1266" w:rsidR="0013079D">
        <w:t xml:space="preserve">in considering </w:t>
      </w:r>
      <w:r w:rsidRPr="008F1266" w:rsidR="00507951">
        <w:t>whether pretrial delay in an SVP case has resulted in a denial of due process.</w:t>
      </w:r>
      <w:r>
        <w:rPr>
          <w:rStyle w:val="FootnoteReference"/>
        </w:rPr>
        <w:footnoteReference w:id="7"/>
      </w:r>
    </w:p>
    <w:p w:rsidR="000B27F3" w14:paraId="4E931354" w14:textId="77777777">
      <w:pPr>
        <w:spacing w:after="0" w:line="240" w:lineRule="auto"/>
        <w:jc w:val="left"/>
      </w:pPr>
      <w:r>
        <w:br w:type="page"/>
      </w:r>
    </w:p>
    <w:p w:rsidR="000E3EB3" w:rsidRPr="008F1266" w:rsidP="00301C3B" w14:paraId="4E931355" w14:textId="77777777">
      <w:pPr>
        <w:tabs>
          <w:tab w:val="left" w:pos="1440"/>
        </w:tabs>
        <w:jc w:val="center"/>
        <w:rPr>
          <w:b/>
          <w:bCs/>
        </w:rPr>
      </w:pPr>
      <w:r w:rsidRPr="008F1266">
        <w:rPr>
          <w:b/>
          <w:bCs/>
        </w:rPr>
        <w:t>I</w:t>
      </w:r>
      <w:r w:rsidRPr="008F1266" w:rsidR="000C7117">
        <w:rPr>
          <w:b/>
          <w:bCs/>
        </w:rPr>
        <w:t>V</w:t>
      </w:r>
      <w:r w:rsidRPr="008F1266">
        <w:rPr>
          <w:b/>
          <w:bCs/>
        </w:rPr>
        <w:t>.</w:t>
      </w:r>
    </w:p>
    <w:p w:rsidR="00974D0B" w:rsidRPr="007E0CDB" w:rsidP="00301C3B" w14:paraId="4E931356" w14:textId="77777777">
      <w:pPr>
        <w:pStyle w:val="Text"/>
        <w:spacing w:line="400" w:lineRule="exact"/>
      </w:pPr>
      <w:r w:rsidRPr="008F1266">
        <w:t xml:space="preserve">With this background in mind, </w:t>
      </w:r>
      <w:r w:rsidRPr="008F1266" w:rsidR="002B3B02">
        <w:t xml:space="preserve">we </w:t>
      </w:r>
      <w:r w:rsidRPr="008F1266" w:rsidR="00501658">
        <w:t xml:space="preserve">turn </w:t>
      </w:r>
      <w:r w:rsidRPr="008F1266" w:rsidR="005A384A">
        <w:t xml:space="preserve">to </w:t>
      </w:r>
      <w:r w:rsidRPr="008F1266" w:rsidR="002E44F8">
        <w:t xml:space="preserve">Camacho’s </w:t>
      </w:r>
      <w:r w:rsidRPr="008F1266" w:rsidR="00501658">
        <w:t xml:space="preserve">due process </w:t>
      </w:r>
      <w:r w:rsidRPr="008F1266" w:rsidR="002E44F8">
        <w:t xml:space="preserve">claim.  </w:t>
      </w:r>
      <w:r w:rsidRPr="008F1266" w:rsidR="00CA01AB">
        <w:t xml:space="preserve">The Court of Appeal in this case reviewed the trial court’s denial of relief for abuse of discretion.  </w:t>
      </w:r>
      <w:r w:rsidRPr="008F1266">
        <w:t>Under that standard, “[t]he trial court’s findings of fact are reviewed for substantial evidence, its conclusions of law are reviewed de novo, and its application of the law to the facts is reversible only if arbitrary and capricious.”  (</w:t>
      </w:r>
      <w:r w:rsidRPr="008F1266">
        <w:rPr>
          <w:i/>
          <w:iCs/>
        </w:rPr>
        <w:t xml:space="preserve">Haraguchi v. Superior Court </w:t>
      </w:r>
      <w:r w:rsidRPr="008F1266">
        <w:t>(2008) 43 Cal.4th 706, 711–712</w:t>
      </w:r>
      <w:r w:rsidRPr="008F1266" w:rsidR="005747CE">
        <w:t>, fns. omitted</w:t>
      </w:r>
      <w:r w:rsidRPr="008F1266">
        <w:t xml:space="preserve">.)  </w:t>
      </w:r>
      <w:r w:rsidR="007E0CDB">
        <w:t>N</w:t>
      </w:r>
      <w:r w:rsidRPr="008F1266" w:rsidR="009B73DF">
        <w:t>either party here contends we should employ a different standard of review</w:t>
      </w:r>
      <w:r w:rsidR="007E0CDB">
        <w:t xml:space="preserve">.  Ultimately, however, the standard of review </w:t>
      </w:r>
      <w:r w:rsidR="006A36C7">
        <w:t>is not dispositive</w:t>
      </w:r>
      <w:r w:rsidR="007E0CDB">
        <w:t xml:space="preserve">, because </w:t>
      </w:r>
      <w:r w:rsidRPr="008F1266" w:rsidR="00692B24">
        <w:t>Camacho fail</w:t>
      </w:r>
      <w:r w:rsidRPr="008F1266" w:rsidR="00881486">
        <w:t>s</w:t>
      </w:r>
      <w:r w:rsidRPr="008F1266" w:rsidR="00692B24">
        <w:t xml:space="preserve"> to establish a due process violation under </w:t>
      </w:r>
      <w:r w:rsidR="006B7B31">
        <w:t xml:space="preserve">any possible </w:t>
      </w:r>
      <w:r w:rsidRPr="008F1266" w:rsidR="006661D2">
        <w:t>standard.</w:t>
      </w:r>
    </w:p>
    <w:p w:rsidR="004B1C78" w:rsidRPr="008F1266" w:rsidP="00301C3B" w14:paraId="4E931357" w14:textId="77777777">
      <w:pPr>
        <w:tabs>
          <w:tab w:val="left" w:pos="1440"/>
        </w:tabs>
        <w:jc w:val="center"/>
        <w:rPr>
          <w:b/>
          <w:bCs/>
        </w:rPr>
      </w:pPr>
      <w:r w:rsidRPr="008F1266">
        <w:rPr>
          <w:b/>
          <w:bCs/>
        </w:rPr>
        <w:t>A.</w:t>
      </w:r>
    </w:p>
    <w:p w:rsidR="006956C8" w:rsidRPr="008F1266" w:rsidP="00301C3B" w14:paraId="4E931358" w14:textId="77777777">
      <w:pPr>
        <w:pStyle w:val="Text"/>
        <w:spacing w:line="400" w:lineRule="exact"/>
      </w:pPr>
      <w:r w:rsidRPr="008F1266">
        <w:t xml:space="preserve">We begin with </w:t>
      </w:r>
      <w:r w:rsidRPr="008F1266" w:rsidR="00854738">
        <w:t xml:space="preserve">the </w:t>
      </w:r>
      <w:r w:rsidRPr="008F1266">
        <w:t xml:space="preserve">first </w:t>
      </w:r>
      <w:r w:rsidRPr="008F1266">
        <w:rPr>
          <w:i/>
          <w:iCs/>
        </w:rPr>
        <w:t xml:space="preserve">Barker </w:t>
      </w:r>
      <w:r w:rsidRPr="008F1266">
        <w:t>factor, the length of the pretrial delay</w:t>
      </w:r>
      <w:r w:rsidRPr="008F1266" w:rsidR="00224619">
        <w:t>.  This factor</w:t>
      </w:r>
      <w:r w:rsidRPr="008F1266">
        <w:t xml:space="preserve"> operates as a threshold hurdle</w:t>
      </w:r>
      <w:r w:rsidRPr="008F1266" w:rsidR="00E77CB1">
        <w:t xml:space="preserve">; “[u]ntil there is some delay which is presumptively prejudicial, there is no necessity for inquiry into the other factors that go into the balance.”  </w:t>
      </w:r>
      <w:r w:rsidRPr="008F1266">
        <w:t>(</w:t>
      </w:r>
      <w:r w:rsidRPr="008F1266">
        <w:rPr>
          <w:i/>
          <w:iCs/>
        </w:rPr>
        <w:t>Barker</w:t>
      </w:r>
      <w:r w:rsidRPr="008F1266">
        <w:t xml:space="preserve">, </w:t>
      </w:r>
      <w:r w:rsidRPr="008F1266">
        <w:rPr>
          <w:i/>
          <w:iCs/>
        </w:rPr>
        <w:t>supra</w:t>
      </w:r>
      <w:r w:rsidRPr="008F1266">
        <w:t>, 407 U.S. at p.</w:t>
      </w:r>
      <w:r w:rsidRPr="008F1266" w:rsidR="008D3516">
        <w:t> </w:t>
      </w:r>
      <w:r w:rsidRPr="008F1266">
        <w:t>530.)  “If the accused makes this showing, the court must then consider .</w:t>
      </w:r>
      <w:r w:rsidRPr="008F1266" w:rsidR="008D3516">
        <w:t> </w:t>
      </w:r>
      <w:r w:rsidRPr="008F1266">
        <w:t>.</w:t>
      </w:r>
      <w:r w:rsidRPr="008F1266" w:rsidR="008D3516">
        <w:t> </w:t>
      </w:r>
      <w:r w:rsidRPr="008F1266">
        <w:t>. the extent to which the delay stretches beyond the bare minimum needed to trigger judicial examination of the claim.”  (</w:t>
      </w:r>
      <w:r w:rsidRPr="008F1266">
        <w:rPr>
          <w:i/>
          <w:iCs/>
        </w:rPr>
        <w:t xml:space="preserve">Doggett v. United States </w:t>
      </w:r>
      <w:r w:rsidRPr="008F1266">
        <w:t>(1992) 505 U.S. 647, 652 (</w:t>
      </w:r>
      <w:r w:rsidRPr="008F1266">
        <w:rPr>
          <w:i/>
          <w:iCs/>
        </w:rPr>
        <w:t>Doggett</w:t>
      </w:r>
      <w:r w:rsidRPr="008F1266">
        <w:t xml:space="preserve">).)  </w:t>
      </w:r>
    </w:p>
    <w:p w:rsidR="00A1152E" w:rsidRPr="008F1266" w:rsidP="00301C3B" w14:paraId="4E931359" w14:textId="77777777">
      <w:pPr>
        <w:pStyle w:val="Text"/>
        <w:spacing w:line="400" w:lineRule="exact"/>
        <w:ind w:firstLine="0"/>
      </w:pPr>
      <w:r w:rsidRPr="008F1266">
        <w:tab/>
      </w:r>
      <w:r w:rsidRPr="008F1266" w:rsidR="00F35647">
        <w:t xml:space="preserve">Here, Camacho awaits trial </w:t>
      </w:r>
      <w:r w:rsidRPr="008F1266" w:rsidR="006956C8">
        <w:t xml:space="preserve">on a petition for </w:t>
      </w:r>
      <w:r w:rsidRPr="008F1266" w:rsidR="005D5E00">
        <w:t>re</w:t>
      </w:r>
      <w:r w:rsidRPr="008F1266" w:rsidR="006956C8">
        <w:t xml:space="preserve">commitment that was filed in 2006.  </w:t>
      </w:r>
      <w:r w:rsidRPr="008F1266" w:rsidR="004A66B5">
        <w:t xml:space="preserve">Although this delay is not entirely out of line with delays seen in other SVP cases, it is an </w:t>
      </w:r>
      <w:r w:rsidRPr="008F1266" w:rsidR="00D35A23">
        <w:t>exceedingly lengthy delay</w:t>
      </w:r>
      <w:r w:rsidR="0059484B">
        <w:t xml:space="preserve"> all the same</w:t>
      </w:r>
      <w:r w:rsidRPr="008F1266" w:rsidR="004A66B5">
        <w:t xml:space="preserve">.  </w:t>
      </w:r>
      <w:r w:rsidRPr="008F1266">
        <w:t xml:space="preserve">The Attorney General </w:t>
      </w:r>
      <w:r w:rsidRPr="008F1266" w:rsidR="00F21C46">
        <w:t xml:space="preserve">contends </w:t>
      </w:r>
      <w:r w:rsidRPr="008F1266" w:rsidR="00D35A23">
        <w:t xml:space="preserve">that </w:t>
      </w:r>
      <w:r w:rsidRPr="008F1266" w:rsidR="00F21C46">
        <w:t xml:space="preserve">our inquiry should focus </w:t>
      </w:r>
      <w:r w:rsidRPr="008F1266" w:rsidR="00167617">
        <w:t xml:space="preserve">more </w:t>
      </w:r>
      <w:r w:rsidR="0059484B">
        <w:t xml:space="preserve">narrowly </w:t>
      </w:r>
      <w:r w:rsidRPr="008F1266" w:rsidR="00F21C46">
        <w:t>on the eight-year period</w:t>
      </w:r>
      <w:r w:rsidRPr="008F1266" w:rsidR="00365F2F">
        <w:t xml:space="preserve"> from 2010 to 2018</w:t>
      </w:r>
      <w:r w:rsidR="005808A8">
        <w:t>,</w:t>
      </w:r>
      <w:r w:rsidRPr="008F1266" w:rsidR="002E634D">
        <w:t xml:space="preserve"> when Camacho did not personally appear in court</w:t>
      </w:r>
      <w:r w:rsidRPr="008F1266" w:rsidR="006A0BCE">
        <w:t xml:space="preserve">.  The Attorney General notes that </w:t>
      </w:r>
      <w:r w:rsidRPr="008F1266" w:rsidR="00F21C46">
        <w:t>Camacho “makes no real effort to establish that he was denied his speedy trial right between 2006 and 2010</w:t>
      </w:r>
      <w:r w:rsidRPr="008F1266" w:rsidR="006A0BCE">
        <w:t xml:space="preserve">,” when </w:t>
      </w:r>
      <w:r w:rsidRPr="008F1266" w:rsidR="00365F2F">
        <w:t>Camacho</w:t>
      </w:r>
      <w:r w:rsidRPr="008F1266" w:rsidR="00F21C46">
        <w:t xml:space="preserve"> </w:t>
      </w:r>
      <w:r w:rsidRPr="008F1266" w:rsidR="006A0BCE">
        <w:t xml:space="preserve">frequently appeared personally in court and had entered a general time waiver.  </w:t>
      </w:r>
      <w:r w:rsidRPr="008F1266" w:rsidR="00B53055">
        <w:t xml:space="preserve">The Attorney </w:t>
      </w:r>
      <w:r w:rsidRPr="008F1266" w:rsidR="002F28D9">
        <w:t>General concedes</w:t>
      </w:r>
      <w:r w:rsidRPr="008F1266" w:rsidR="009848B4">
        <w:t>, however,</w:t>
      </w:r>
      <w:r w:rsidR="009F5831">
        <w:t xml:space="preserve"> that an eight-year delay is “significant” in its own right, and so </w:t>
      </w:r>
      <w:r w:rsidRPr="008F1266" w:rsidR="002F28D9">
        <w:t>“the length of the delay weighs in Camacho’s favor</w:t>
      </w:r>
      <w:r w:rsidRPr="008F1266" w:rsidR="00D211CE">
        <w:t>.”</w:t>
      </w:r>
      <w:r w:rsidRPr="008F1266" w:rsidR="002F28D9">
        <w:t xml:space="preserve">  </w:t>
      </w:r>
      <w:r w:rsidRPr="008F1266" w:rsidR="002B712A">
        <w:t>W</w:t>
      </w:r>
      <w:r w:rsidRPr="008F1266" w:rsidR="00511D90">
        <w:t>e agree</w:t>
      </w:r>
      <w:r w:rsidRPr="008F1266" w:rsidR="002B712A">
        <w:t xml:space="preserve">; the first </w:t>
      </w:r>
      <w:r w:rsidRPr="008F1266" w:rsidR="002B712A">
        <w:rPr>
          <w:i/>
          <w:iCs/>
        </w:rPr>
        <w:t>Barker</w:t>
      </w:r>
      <w:r w:rsidRPr="008F1266" w:rsidR="002B712A">
        <w:t xml:space="preserve"> factor unquestionably </w:t>
      </w:r>
      <w:r w:rsidRPr="008F1266" w:rsidR="000C4EA8">
        <w:t>support</w:t>
      </w:r>
      <w:r w:rsidRPr="008F1266" w:rsidR="002B712A">
        <w:t>s</w:t>
      </w:r>
      <w:r w:rsidRPr="008F1266" w:rsidR="000C4EA8">
        <w:t xml:space="preserve"> Camacho’s claim</w:t>
      </w:r>
      <w:r w:rsidRPr="008F1266" w:rsidR="00BC5A2A">
        <w:t xml:space="preserve"> </w:t>
      </w:r>
      <w:r w:rsidRPr="008F1266" w:rsidR="000C4EA8">
        <w:t xml:space="preserve">of a </w:t>
      </w:r>
      <w:r w:rsidRPr="008F1266" w:rsidR="00AF4771">
        <w:t xml:space="preserve">constitutional </w:t>
      </w:r>
      <w:r w:rsidRPr="008F1266" w:rsidR="00A479D4">
        <w:t xml:space="preserve">timely trial </w:t>
      </w:r>
      <w:r w:rsidRPr="008F1266" w:rsidR="000C4EA8">
        <w:t>violation.</w:t>
      </w:r>
    </w:p>
    <w:p w:rsidR="004B1C78" w:rsidRPr="008F1266" w:rsidP="00301C3B" w14:paraId="4E93135A" w14:textId="77777777">
      <w:pPr>
        <w:tabs>
          <w:tab w:val="left" w:pos="1440"/>
        </w:tabs>
        <w:jc w:val="center"/>
        <w:rPr>
          <w:b/>
          <w:bCs/>
        </w:rPr>
      </w:pPr>
      <w:r w:rsidRPr="008F1266">
        <w:rPr>
          <w:b/>
          <w:bCs/>
        </w:rPr>
        <w:t>B.</w:t>
      </w:r>
    </w:p>
    <w:p w:rsidR="00531BEB" w:rsidP="00301C3B" w14:paraId="4E93135B" w14:textId="77777777">
      <w:pPr>
        <w:pStyle w:val="Text"/>
        <w:spacing w:line="400" w:lineRule="exact"/>
      </w:pPr>
      <w:r w:rsidRPr="008F1266">
        <w:t>We next turn to</w:t>
      </w:r>
      <w:r w:rsidRPr="008F1266" w:rsidR="00A37639">
        <w:t xml:space="preserve"> </w:t>
      </w:r>
      <w:r w:rsidRPr="008F1266" w:rsidR="00A14B4C">
        <w:t xml:space="preserve">the </w:t>
      </w:r>
      <w:r w:rsidRPr="008F1266" w:rsidR="000C4EA8">
        <w:t xml:space="preserve">second </w:t>
      </w:r>
      <w:r w:rsidRPr="008F1266" w:rsidR="000C4EA8">
        <w:rPr>
          <w:i/>
          <w:iCs/>
        </w:rPr>
        <w:t xml:space="preserve">Barker </w:t>
      </w:r>
      <w:r w:rsidRPr="008F1266" w:rsidR="000C4EA8">
        <w:t>factor, the reason</w:t>
      </w:r>
      <w:r w:rsidR="00E03FF2">
        <w:t>s</w:t>
      </w:r>
      <w:r w:rsidRPr="008F1266" w:rsidR="000C4EA8">
        <w:t xml:space="preserve"> for the delay</w:t>
      </w:r>
      <w:r w:rsidRPr="008F1266" w:rsidR="00A14B4C">
        <w:t xml:space="preserve">.  </w:t>
      </w:r>
      <w:r w:rsidRPr="008F1266" w:rsidR="00F7546D">
        <w:t>This is the “flag all litigants seek to capture” (</w:t>
      </w:r>
      <w:r w:rsidRPr="008F1266" w:rsidR="000C4EA8">
        <w:rPr>
          <w:i/>
          <w:iCs/>
        </w:rPr>
        <w:t>United States v. Loud Hawk</w:t>
      </w:r>
      <w:r w:rsidR="00465490">
        <w:t xml:space="preserve"> (1986) </w:t>
      </w:r>
      <w:r w:rsidRPr="008F1266" w:rsidR="000C4EA8">
        <w:t xml:space="preserve">474 U.S. </w:t>
      </w:r>
      <w:r w:rsidR="00465490">
        <w:t>302,</w:t>
      </w:r>
      <w:r w:rsidR="009A5085">
        <w:t xml:space="preserve"> </w:t>
      </w:r>
      <w:r w:rsidRPr="008F1266" w:rsidR="000C4EA8">
        <w:t>315)</w:t>
      </w:r>
      <w:r w:rsidRPr="008F1266" w:rsidR="00884DE1">
        <w:t xml:space="preserve"> because</w:t>
      </w:r>
      <w:r w:rsidRPr="008F1266" w:rsidR="005A4153">
        <w:t xml:space="preserve"> </w:t>
      </w:r>
      <w:r w:rsidRPr="008F1266" w:rsidR="00DF677D">
        <w:t xml:space="preserve">the </w:t>
      </w:r>
      <w:r w:rsidRPr="008F1266" w:rsidR="00AF41B1">
        <w:t xml:space="preserve">permissibility </w:t>
      </w:r>
      <w:r w:rsidRPr="008F1266" w:rsidR="00DF677D">
        <w:t>of pretrial delay depends to a great extent on</w:t>
      </w:r>
      <w:r w:rsidRPr="008F1266" w:rsidR="009F4784">
        <w:t xml:space="preserve"> </w:t>
      </w:r>
      <w:r w:rsidRPr="008F1266" w:rsidR="00A77CC6">
        <w:t>who bears responsibility for it</w:t>
      </w:r>
      <w:r w:rsidR="00142109">
        <w:t xml:space="preserve"> and why</w:t>
      </w:r>
      <w:r w:rsidRPr="008F1266" w:rsidR="00D95DF0">
        <w:t>.</w:t>
      </w:r>
      <w:r w:rsidRPr="008F1266" w:rsidR="005A6C08">
        <w:t xml:space="preserve">  </w:t>
      </w:r>
    </w:p>
    <w:p w:rsidR="00284A2E" w:rsidRPr="008F1266" w:rsidP="00301C3B" w14:paraId="4E93135C" w14:textId="77777777">
      <w:pPr>
        <w:pStyle w:val="Text"/>
        <w:spacing w:line="400" w:lineRule="exact"/>
      </w:pPr>
      <w:r>
        <w:t xml:space="preserve">In analyzing </w:t>
      </w:r>
      <w:r w:rsidRPr="008F1266" w:rsidR="00D46999">
        <w:t xml:space="preserve">the second factor, courts examine “whether the government or the </w:t>
      </w:r>
      <w:r w:rsidRPr="008F1266" w:rsidR="005747CE">
        <w:t xml:space="preserve">criminal </w:t>
      </w:r>
      <w:r w:rsidRPr="008F1266" w:rsidR="00D46999">
        <w:t>defendant is more to blame for th[e] delay.”  (</w:t>
      </w:r>
      <w:r w:rsidRPr="008F1266" w:rsidR="00D46999">
        <w:rPr>
          <w:i/>
          <w:iCs/>
        </w:rPr>
        <w:t>Doggett</w:t>
      </w:r>
      <w:r w:rsidRPr="008F1266" w:rsidR="00D46999">
        <w:t xml:space="preserve">, </w:t>
      </w:r>
      <w:r w:rsidRPr="008F1266" w:rsidR="00D46999">
        <w:rPr>
          <w:i/>
          <w:iCs/>
        </w:rPr>
        <w:t>supra</w:t>
      </w:r>
      <w:r w:rsidRPr="008F1266" w:rsidR="00D46999">
        <w:t>, 505 U.S. at p.</w:t>
      </w:r>
      <w:r w:rsidRPr="008F1266" w:rsidR="00690447">
        <w:t> </w:t>
      </w:r>
      <w:r w:rsidRPr="008F1266" w:rsidR="00D46999">
        <w:t xml:space="preserve">651; </w:t>
      </w:r>
      <w:r w:rsidRPr="008F1266" w:rsidR="00D46999">
        <w:rPr>
          <w:i/>
          <w:iCs/>
        </w:rPr>
        <w:t>Barker</w:t>
      </w:r>
      <w:r w:rsidRPr="008F1266" w:rsidR="00D46999">
        <w:t xml:space="preserve">, </w:t>
      </w:r>
      <w:r w:rsidRPr="008F1266" w:rsidR="00D46999">
        <w:rPr>
          <w:i/>
          <w:iCs/>
        </w:rPr>
        <w:t>supra</w:t>
      </w:r>
      <w:r w:rsidRPr="008F1266" w:rsidR="00D46999">
        <w:t>, 407 U.S. at p.</w:t>
      </w:r>
      <w:r w:rsidRPr="008F1266" w:rsidR="00690447">
        <w:t> </w:t>
      </w:r>
      <w:r w:rsidRPr="008F1266" w:rsidR="00D46999">
        <w:t xml:space="preserve">530.)  </w:t>
      </w:r>
      <w:r w:rsidR="009D36F7">
        <w:t xml:space="preserve">Courts also examine why </w:t>
      </w:r>
      <w:r w:rsidR="00E30CBB">
        <w:t xml:space="preserve">the delay occurred, for </w:t>
      </w:r>
      <w:r w:rsidRPr="008F1266" w:rsidR="00D46999">
        <w:t xml:space="preserve">“different weights should be assigned to different reasons.”  </w:t>
      </w:r>
      <w:r w:rsidRPr="008F1266" w:rsidR="00396496">
        <w:t>(</w:t>
      </w:r>
      <w:r w:rsidRPr="008F1266" w:rsidR="00396496">
        <w:rPr>
          <w:i/>
          <w:iCs/>
        </w:rPr>
        <w:t>Barker</w:t>
      </w:r>
      <w:r w:rsidRPr="008F1266" w:rsidR="00D46999">
        <w:t xml:space="preserve">, </w:t>
      </w:r>
      <w:r w:rsidRPr="008F1266" w:rsidR="00396496">
        <w:t>at p.</w:t>
      </w:r>
      <w:r w:rsidRPr="008F1266" w:rsidR="00690447">
        <w:t> </w:t>
      </w:r>
      <w:r w:rsidRPr="008F1266" w:rsidR="00396496">
        <w:t>531</w:t>
      </w:r>
      <w:r w:rsidRPr="008F1266" w:rsidR="00D46999">
        <w:t xml:space="preserve">.)  If the government deliberately delays trial to hamper the defense, for instance, </w:t>
      </w:r>
      <w:r w:rsidRPr="008F1266" w:rsidR="00F60AF1">
        <w:t xml:space="preserve">that effort at manipulation “should be weighted heavily against the government.” </w:t>
      </w:r>
      <w:r w:rsidR="00045672">
        <w:t xml:space="preserve"> </w:t>
      </w:r>
      <w:r w:rsidRPr="008F1266" w:rsidR="00F60AF1">
        <w:t>(</w:t>
      </w:r>
      <w:r w:rsidRPr="008F1266" w:rsidR="00F60AF1">
        <w:rPr>
          <w:i/>
          <w:iCs/>
        </w:rPr>
        <w:t>Ibid.</w:t>
      </w:r>
      <w:r w:rsidRPr="008F1266" w:rsidR="00F60AF1">
        <w:t>)  “</w:t>
      </w:r>
      <w:r w:rsidRPr="008F1266" w:rsidR="00B93407">
        <w:t>A more neutral reason such as negligence or overcrowded courts should be weighted less heavily but nevertheless should be considered since the ultimate responsibility for such circumstances must rest with the government rather than with the defendant.  Finally, a valid reason, such as a missing witness, should serve to justify appropriate delay.”  (</w:t>
      </w:r>
      <w:r w:rsidRPr="008F1266" w:rsidR="00F50DAE">
        <w:rPr>
          <w:i/>
          <w:iCs/>
        </w:rPr>
        <w:t>I</w:t>
      </w:r>
      <w:r w:rsidRPr="008F1266" w:rsidR="00365F2F">
        <w:rPr>
          <w:i/>
          <w:iCs/>
        </w:rPr>
        <w:t>bid</w:t>
      </w:r>
      <w:r w:rsidRPr="008F1266" w:rsidR="00365F2F">
        <w:t>.</w:t>
      </w:r>
      <w:r w:rsidRPr="008F1266" w:rsidR="00B93407">
        <w:t>)</w:t>
      </w:r>
      <w:r w:rsidRPr="008F1266" w:rsidR="004A6970">
        <w:t xml:space="preserve">  </w:t>
      </w:r>
      <w:r w:rsidRPr="008F1266" w:rsidR="002E634D">
        <w:t>B</w:t>
      </w:r>
      <w:r w:rsidRPr="008F1266" w:rsidR="00D60FB4">
        <w:t>y contrast,</w:t>
      </w:r>
      <w:r w:rsidRPr="008F1266">
        <w:t xml:space="preserve"> “if delay is attributable to the defendant, then his waiver [of his right to a speedy trial] may be given effect under standard waiver doctrine.”  (</w:t>
      </w:r>
      <w:r w:rsidRPr="008F1266" w:rsidR="006E247D">
        <w:rPr>
          <w:i/>
          <w:iCs/>
        </w:rPr>
        <w:t>Id.</w:t>
      </w:r>
      <w:r w:rsidRPr="008F1266" w:rsidR="006E247D">
        <w:t xml:space="preserve"> at p.</w:t>
      </w:r>
      <w:r w:rsidRPr="008F1266" w:rsidR="00690447">
        <w:t> </w:t>
      </w:r>
      <w:r w:rsidRPr="008F1266" w:rsidR="006E247D">
        <w:t>5</w:t>
      </w:r>
      <w:r w:rsidRPr="008F1266" w:rsidR="005747CE">
        <w:t>29</w:t>
      </w:r>
      <w:r w:rsidRPr="008F1266" w:rsidR="006E247D">
        <w:t xml:space="preserve">; accord, </w:t>
      </w:r>
      <w:r w:rsidRPr="008F1266" w:rsidR="006E247D">
        <w:rPr>
          <w:i/>
          <w:iCs/>
        </w:rPr>
        <w:t>Brillon</w:t>
      </w:r>
      <w:r w:rsidRPr="008F1266" w:rsidR="006E247D">
        <w:t xml:space="preserve">, </w:t>
      </w:r>
      <w:r w:rsidRPr="008F1266" w:rsidR="006E247D">
        <w:rPr>
          <w:i/>
          <w:iCs/>
        </w:rPr>
        <w:t>supra</w:t>
      </w:r>
      <w:r w:rsidRPr="008F1266" w:rsidR="006E247D">
        <w:t>, 556 U.S. at p.</w:t>
      </w:r>
      <w:r w:rsidRPr="008F1266" w:rsidR="00690447">
        <w:t> </w:t>
      </w:r>
      <w:r w:rsidRPr="008F1266" w:rsidR="006E247D">
        <w:t>90.)</w:t>
      </w:r>
    </w:p>
    <w:p w:rsidR="00AC31D2" w:rsidRPr="008F1266" w:rsidP="00301C3B" w14:paraId="4E93135D" w14:textId="77777777">
      <w:pPr>
        <w:pStyle w:val="Text"/>
        <w:spacing w:line="400" w:lineRule="exact"/>
        <w:ind w:firstLine="0"/>
      </w:pPr>
      <w:r w:rsidRPr="008F1266">
        <w:tab/>
      </w:r>
      <w:r w:rsidRPr="008F1266" w:rsidR="00355959">
        <w:t xml:space="preserve">Our analysis of </w:t>
      </w:r>
      <w:r w:rsidRPr="008F1266">
        <w:t xml:space="preserve">the reasons for delay in this case </w:t>
      </w:r>
      <w:r w:rsidRPr="008F1266" w:rsidR="00355959">
        <w:t xml:space="preserve">is </w:t>
      </w:r>
      <w:r w:rsidRPr="008F1266" w:rsidR="005B706B">
        <w:t xml:space="preserve">hampered </w:t>
      </w:r>
      <w:r w:rsidRPr="008F1266" w:rsidR="00052E92">
        <w:t xml:space="preserve">to some extent </w:t>
      </w:r>
      <w:r w:rsidRPr="008F1266" w:rsidR="00355959">
        <w:t>by the limited record before us</w:t>
      </w:r>
      <w:r w:rsidR="007D30E1">
        <w:t xml:space="preserve">. </w:t>
      </w:r>
      <w:r w:rsidR="003C4489">
        <w:t xml:space="preserve"> </w:t>
      </w:r>
      <w:r w:rsidR="007D30E1">
        <w:t xml:space="preserve">We emphasize that trial courts have a responsibility to maintain an adequate record for review.  The parties have, however, stipulated to an undisputed record that forms a sufficient basis for our opinion today.  </w:t>
      </w:r>
      <w:bookmarkStart w:id="10" w:name="_Hlk130548147"/>
      <w:r w:rsidR="007D30E1">
        <w:t>I</w:t>
      </w:r>
      <w:r w:rsidRPr="008F1266">
        <w:t xml:space="preserve">n </w:t>
      </w:r>
      <w:r w:rsidRPr="008F1266" w:rsidR="00BB4C56">
        <w:t xml:space="preserve">the majority </w:t>
      </w:r>
      <w:r w:rsidRPr="008F1266">
        <w:t xml:space="preserve">of the hearings </w:t>
      </w:r>
      <w:r w:rsidRPr="008F1266" w:rsidR="004D16B3">
        <w:t>at which delays were sought and granted</w:t>
      </w:r>
      <w:r w:rsidRPr="008F1266">
        <w:t xml:space="preserve">, the record does not </w:t>
      </w:r>
      <w:r w:rsidRPr="008F1266" w:rsidR="003A1CEC">
        <w:t xml:space="preserve">identify the </w:t>
      </w:r>
      <w:r w:rsidRPr="008F1266">
        <w:t xml:space="preserve">party </w:t>
      </w:r>
      <w:r w:rsidRPr="008F1266" w:rsidR="003A1CEC">
        <w:t xml:space="preserve">that </w:t>
      </w:r>
      <w:r w:rsidRPr="008F1266">
        <w:t xml:space="preserve">requested </w:t>
      </w:r>
      <w:r w:rsidRPr="008F1266" w:rsidR="004D16B3">
        <w:t xml:space="preserve">the </w:t>
      </w:r>
      <w:r w:rsidRPr="008F1266">
        <w:t xml:space="preserve">continuance.  </w:t>
      </w:r>
      <w:r w:rsidR="007D30E1">
        <w:t>But in every instance where the available record identifies the party moving for a continuance, the record shows that it was defense counsel</w:t>
      </w:r>
      <w:r w:rsidR="00B50828">
        <w:t> </w:t>
      </w:r>
      <w:r w:rsidR="007D30E1">
        <w:t>—</w:t>
      </w:r>
      <w:r w:rsidRPr="008F1266" w:rsidR="001C3A7B">
        <w:t xml:space="preserve"> either alone, or jointly with the </w:t>
      </w:r>
      <w:r w:rsidRPr="008F1266" w:rsidR="00D35717">
        <w:t>People</w:t>
      </w:r>
      <w:r w:rsidRPr="008F1266" w:rsidR="00BB4C56">
        <w:t>.</w:t>
      </w:r>
      <w:r w:rsidRPr="008F1266" w:rsidR="002D23B4">
        <w:t xml:space="preserve">  </w:t>
      </w:r>
      <w:bookmarkEnd w:id="10"/>
      <w:r w:rsidR="00931175">
        <w:t xml:space="preserve">The record also does not show a single instance of the defense objecting to a continuance.  </w:t>
      </w:r>
      <w:r w:rsidRPr="008F1266" w:rsidR="002D23B4">
        <w:t>In other words</w:t>
      </w:r>
      <w:r w:rsidRPr="008F1266" w:rsidR="00407F32">
        <w:t xml:space="preserve">, </w:t>
      </w:r>
      <w:r w:rsidRPr="008F1266" w:rsidR="00811086">
        <w:t xml:space="preserve">as far as the record shows, virtually all the delays in this case were </w:t>
      </w:r>
      <w:r w:rsidR="00931175">
        <w:t xml:space="preserve">either </w:t>
      </w:r>
      <w:r w:rsidRPr="008F1266" w:rsidR="00811086">
        <w:t xml:space="preserve">sought </w:t>
      </w:r>
      <w:r w:rsidRPr="008F1266" w:rsidR="00A4764F">
        <w:t>by the defense</w:t>
      </w:r>
      <w:r w:rsidR="00931175">
        <w:t xml:space="preserve"> or agreed to by the defense</w:t>
      </w:r>
      <w:r w:rsidRPr="008F1266" w:rsidR="00BA0DA5">
        <w:t xml:space="preserve">, and </w:t>
      </w:r>
      <w:r w:rsidRPr="008F1266" w:rsidR="00090B88">
        <w:t>no</w:t>
      </w:r>
      <w:r w:rsidR="00931175">
        <w:t xml:space="preserve"> continuances</w:t>
      </w:r>
      <w:r w:rsidRPr="008F1266" w:rsidR="00090B88">
        <w:t xml:space="preserve"> were </w:t>
      </w:r>
      <w:r w:rsidRPr="008F1266" w:rsidR="00277CCB">
        <w:t>request</w:t>
      </w:r>
      <w:r w:rsidR="00931175">
        <w:t>ed solely by</w:t>
      </w:r>
      <w:r w:rsidRPr="008F1266" w:rsidR="00090B88">
        <w:t xml:space="preserve"> the </w:t>
      </w:r>
      <w:r w:rsidRPr="008F1266" w:rsidR="00126BF9">
        <w:t>People</w:t>
      </w:r>
      <w:r w:rsidRPr="008F1266" w:rsidR="00C85E46">
        <w:t>.  Camacho does not contend otherwise.</w:t>
      </w:r>
      <w:r w:rsidRPr="008F1266" w:rsidR="006B6AD6">
        <w:t xml:space="preserve">  Against that backdrop, </w:t>
      </w:r>
      <w:r w:rsidRPr="008F1266" w:rsidR="003513CB">
        <w:t xml:space="preserve">we assess the conduct of the defense, the prosecution, and the trial court in turn. </w:t>
      </w:r>
    </w:p>
    <w:p w:rsidR="006F1553" w:rsidRPr="008F1266" w:rsidP="00301C3B" w14:paraId="4E93135E" w14:textId="77777777">
      <w:pPr>
        <w:pStyle w:val="Text"/>
        <w:spacing w:line="400" w:lineRule="exact"/>
        <w:ind w:firstLine="0"/>
        <w:jc w:val="center"/>
        <w:rPr>
          <w:b/>
          <w:bCs/>
        </w:rPr>
      </w:pPr>
      <w:r w:rsidRPr="008F1266">
        <w:rPr>
          <w:b/>
          <w:bCs/>
        </w:rPr>
        <w:t>1</w:t>
      </w:r>
      <w:r w:rsidR="005808A8">
        <w:rPr>
          <w:b/>
          <w:bCs/>
        </w:rPr>
        <w:t>.</w:t>
      </w:r>
    </w:p>
    <w:p w:rsidR="003513CB" w:rsidRPr="008F1266" w:rsidP="00301C3B" w14:paraId="4E93135F" w14:textId="77777777">
      <w:pPr>
        <w:pStyle w:val="Text"/>
        <w:spacing w:line="400" w:lineRule="exact"/>
        <w:ind w:firstLine="0"/>
      </w:pPr>
      <w:r w:rsidRPr="008F1266">
        <w:tab/>
        <w:t>It is undisputed that Camacho</w:t>
      </w:r>
      <w:r w:rsidRPr="008F1266" w:rsidR="00690447">
        <w:t> </w:t>
      </w:r>
      <w:r w:rsidRPr="008F1266">
        <w:t>— either personally or through counsel</w:t>
      </w:r>
      <w:r w:rsidRPr="008F1266" w:rsidR="00690447">
        <w:t> </w:t>
      </w:r>
      <w:r w:rsidRPr="008F1266">
        <w:t>— either sought or agreed to most of the delay in this case.  The central point of dispute between the parties is whether we should distinguish between those delays Camacho personally agreed to and those to which his counsel assented on his behalf, particularly during the eight-year period when Camacho did not personally appear in court.</w:t>
      </w:r>
    </w:p>
    <w:p w:rsidR="00F27810" w:rsidP="00301C3B" w14:paraId="4E931360" w14:textId="77777777">
      <w:pPr>
        <w:pStyle w:val="Text"/>
        <w:spacing w:line="400" w:lineRule="exact"/>
        <w:ind w:firstLine="0"/>
      </w:pPr>
      <w:r w:rsidRPr="008F1266">
        <w:tab/>
        <w:t>In general, delay</w:t>
      </w:r>
      <w:r w:rsidR="00447632">
        <w:t xml:space="preserve">s sought by the defendant’s counsel </w:t>
      </w:r>
      <w:r w:rsidRPr="008F1266">
        <w:t xml:space="preserve">weigh against </w:t>
      </w:r>
      <w:r w:rsidR="00447632">
        <w:t xml:space="preserve">the defendant’s </w:t>
      </w:r>
      <w:r w:rsidRPr="008F1266">
        <w:t xml:space="preserve">claim of a </w:t>
      </w:r>
      <w:r w:rsidR="00E47DF8">
        <w:t xml:space="preserve">speedy </w:t>
      </w:r>
      <w:r w:rsidRPr="008F1266">
        <w:t xml:space="preserve">trial violation.  </w:t>
      </w:r>
      <w:r w:rsidR="00435F1C">
        <w:t>(</w:t>
      </w:r>
      <w:r w:rsidR="00435F1C">
        <w:rPr>
          <w:i/>
          <w:iCs/>
        </w:rPr>
        <w:t>Brillon</w:t>
      </w:r>
      <w:r w:rsidRPr="00435F1C" w:rsidR="00435F1C">
        <w:t>,</w:t>
      </w:r>
      <w:r w:rsidR="00435F1C">
        <w:t xml:space="preserve"> </w:t>
      </w:r>
      <w:r w:rsidR="00435F1C">
        <w:rPr>
          <w:i/>
          <w:iCs/>
        </w:rPr>
        <w:t>supra</w:t>
      </w:r>
      <w:r w:rsidR="00435F1C">
        <w:t>, 556 U.S. at pp.</w:t>
      </w:r>
      <w:r w:rsidR="00B50828">
        <w:t> </w:t>
      </w:r>
      <w:r w:rsidR="00435F1C">
        <w:t xml:space="preserve">90–91.)  </w:t>
      </w:r>
      <w:r w:rsidR="00757B0F">
        <w:t>This rule flows from the ordinary principle that an “</w:t>
      </w:r>
      <w:r w:rsidR="00B50828">
        <w:t> </w:t>
      </w:r>
      <w:r w:rsidR="003F0DED">
        <w:t>‘</w:t>
      </w:r>
      <w:r w:rsidR="00757B0F">
        <w:t>attorney is the [</w:t>
      </w:r>
      <w:r w:rsidR="003F0DED">
        <w:t>defendant’s</w:t>
      </w:r>
      <w:r w:rsidR="00757B0F">
        <w:t>] agent when acting, or failing to act, in furtherance of the litigation,</w:t>
      </w:r>
      <w:r w:rsidR="003F0DED">
        <w:t>’</w:t>
      </w:r>
      <w:r w:rsidR="00B50828">
        <w:t> </w:t>
      </w:r>
      <w:r w:rsidR="00757B0F">
        <w:t xml:space="preserve">” such that the client must assume the consequences of the attorney’s </w:t>
      </w:r>
      <w:r w:rsidR="00424376">
        <w:t>delay</w:t>
      </w:r>
      <w:r w:rsidR="00757B0F">
        <w:t xml:space="preserve">.  </w:t>
      </w:r>
      <w:r w:rsidRPr="008F1266">
        <w:t>(</w:t>
      </w:r>
      <w:r w:rsidR="00424376">
        <w:rPr>
          <w:i/>
          <w:iCs/>
        </w:rPr>
        <w:t>Ibid.</w:t>
      </w:r>
      <w:r w:rsidR="00424376">
        <w:t xml:space="preserve">, quoting </w:t>
      </w:r>
      <w:r w:rsidRPr="008F1266">
        <w:rPr>
          <w:i/>
          <w:iCs/>
        </w:rPr>
        <w:t>Coleman v. Thompson</w:t>
      </w:r>
      <w:r w:rsidRPr="008F1266">
        <w:t xml:space="preserve"> (1991) 501 U.S. 722, 753 </w:t>
      </w:r>
      <w:r w:rsidRPr="008F1266" w:rsidR="00E36E08">
        <w:t>(</w:t>
      </w:r>
      <w:r w:rsidRPr="008F1266" w:rsidR="00E36E08">
        <w:rPr>
          <w:i/>
          <w:iCs/>
        </w:rPr>
        <w:t>Coleman</w:t>
      </w:r>
      <w:r w:rsidRPr="008F1266" w:rsidR="00E36E08">
        <w:t>)</w:t>
      </w:r>
      <w:r w:rsidRPr="008F1266">
        <w:t xml:space="preserve">.)  </w:t>
      </w:r>
    </w:p>
    <w:p w:rsidR="003513CB" w:rsidRPr="008F1266" w:rsidP="00301C3B" w14:paraId="4E931361" w14:textId="77777777">
      <w:pPr>
        <w:pStyle w:val="Text"/>
        <w:spacing w:line="400" w:lineRule="exact"/>
        <w:ind w:firstLine="0"/>
      </w:pPr>
      <w:r>
        <w:tab/>
      </w:r>
      <w:r w:rsidR="001A059F">
        <w:t xml:space="preserve">Applying this principle in </w:t>
      </w:r>
      <w:r w:rsidRPr="008F1266">
        <w:rPr>
          <w:i/>
          <w:iCs/>
        </w:rPr>
        <w:t>Brillon</w:t>
      </w:r>
      <w:r w:rsidRPr="008F1266">
        <w:t xml:space="preserve">, </w:t>
      </w:r>
      <w:r w:rsidRPr="008F1266">
        <w:rPr>
          <w:i/>
          <w:iCs/>
        </w:rPr>
        <w:t>supra</w:t>
      </w:r>
      <w:r w:rsidRPr="008F1266">
        <w:t>, 556 U.S. 81</w:t>
      </w:r>
      <w:r>
        <w:t>, the United States Supreme Court</w:t>
      </w:r>
      <w:r w:rsidRPr="008F1266">
        <w:t xml:space="preserve"> reversed </w:t>
      </w:r>
      <w:r w:rsidR="001A059F">
        <w:t xml:space="preserve">a state court’s </w:t>
      </w:r>
      <w:r w:rsidRPr="008F1266">
        <w:t>decision that pretrial delay should be charged against the state when the blame for the delay lay with court-appointed counsel for an indigent criminal defendant.  (</w:t>
      </w:r>
      <w:r w:rsidRPr="008F1266">
        <w:rPr>
          <w:i/>
          <w:iCs/>
        </w:rPr>
        <w:t>Id.</w:t>
      </w:r>
      <w:r w:rsidRPr="008F1266">
        <w:t xml:space="preserve"> at p.</w:t>
      </w:r>
      <w:r w:rsidRPr="008F1266" w:rsidR="00DF71C3">
        <w:t> </w:t>
      </w:r>
      <w:r w:rsidRPr="008F1266">
        <w:t xml:space="preserve">92.)  The </w:t>
      </w:r>
      <w:r w:rsidR="00E03FF2">
        <w:t xml:space="preserve">high court explained </w:t>
      </w:r>
      <w:r w:rsidRPr="008F1266">
        <w:t>that “assigned counsel generally are not state actors for purposes of a speedy-trial claim</w:t>
      </w:r>
      <w:r w:rsidR="00465490">
        <w:t>. </w:t>
      </w:r>
      <w:r w:rsidRPr="008F1266">
        <w:t>.</w:t>
      </w:r>
      <w:r w:rsidRPr="008F1266" w:rsidR="00DF71C3">
        <w:t> </w:t>
      </w:r>
      <w:r w:rsidRPr="008F1266">
        <w:t>.</w:t>
      </w:r>
      <w:r w:rsidRPr="008F1266" w:rsidR="00DF71C3">
        <w:t> </w:t>
      </w:r>
      <w:r w:rsidRPr="008F1266">
        <w:t xml:space="preserve">. </w:t>
      </w:r>
      <w:r w:rsidRPr="008F1266" w:rsidR="005747CE">
        <w:t xml:space="preserve"> [¶]  </w:t>
      </w:r>
      <w:r w:rsidRPr="008F1266" w:rsidR="004F3BA2">
        <w:t xml:space="preserve">. . . </w:t>
      </w:r>
      <w:r w:rsidR="004132EA">
        <w:t xml:space="preserve"> T</w:t>
      </w:r>
      <w:r w:rsidRPr="008F1266">
        <w:t>heir ‘inability or unwillingness .</w:t>
      </w:r>
      <w:r w:rsidRPr="008F1266" w:rsidR="00DF71C3">
        <w:t> </w:t>
      </w:r>
      <w:r w:rsidRPr="008F1266">
        <w:t>.</w:t>
      </w:r>
      <w:r w:rsidRPr="008F1266" w:rsidR="00DF71C3">
        <w:t> </w:t>
      </w:r>
      <w:r w:rsidRPr="008F1266">
        <w:t>. to move the case forward,’ [citation], may not be attributed to the State simply because they are assigned counsel.”  (</w:t>
      </w:r>
      <w:r w:rsidRPr="008F1266">
        <w:rPr>
          <w:i/>
          <w:iCs/>
        </w:rPr>
        <w:t>Id</w:t>
      </w:r>
      <w:r w:rsidRPr="008F1266">
        <w:t>.</w:t>
      </w:r>
      <w:r w:rsidRPr="008F1266" w:rsidR="005747CE">
        <w:t xml:space="preserve"> at pp. 92–93</w:t>
      </w:r>
      <w:r w:rsidR="00913BFF">
        <w:t>, fn. omitted</w:t>
      </w:r>
      <w:r w:rsidRPr="008F1266" w:rsidR="00FB716B">
        <w:t>.</w:t>
      </w:r>
      <w:r w:rsidRPr="008F1266">
        <w:t>)  The court noted that the analysis might be different if, as Brillon had argued, the delay was shown to result from “a systemic ‘breakdown in the public defender system.’</w:t>
      </w:r>
      <w:r w:rsidRPr="008F1266" w:rsidR="00DF71C3">
        <w:t> </w:t>
      </w:r>
      <w:r w:rsidRPr="008F1266">
        <w:t>”</w:t>
      </w:r>
      <w:r w:rsidRPr="008F1266" w:rsidR="00DF71C3">
        <w:t xml:space="preserve"> </w:t>
      </w:r>
      <w:r w:rsidRPr="008F1266">
        <w:t xml:space="preserve"> (</w:t>
      </w:r>
      <w:r w:rsidRPr="008F1266">
        <w:rPr>
          <w:i/>
          <w:iCs/>
        </w:rPr>
        <w:t>Id.</w:t>
      </w:r>
      <w:r w:rsidRPr="008F1266">
        <w:t xml:space="preserve"> at p.</w:t>
      </w:r>
      <w:r w:rsidRPr="008F1266" w:rsidR="00DF71C3">
        <w:t> </w:t>
      </w:r>
      <w:r w:rsidRPr="008F1266">
        <w:t>94.)  But</w:t>
      </w:r>
      <w:r w:rsidR="00B35F60">
        <w:t>,</w:t>
      </w:r>
      <w:r w:rsidRPr="008F1266">
        <w:t xml:space="preserve"> the court </w:t>
      </w:r>
      <w:r w:rsidR="0072616A">
        <w:t>observed</w:t>
      </w:r>
      <w:r w:rsidR="00B35F60">
        <w:t xml:space="preserve">, </w:t>
      </w:r>
      <w:r w:rsidRPr="008F1266">
        <w:t>the Vermont Supreme Court had “made no determination, and nothing in the record suggest[ed], that institutional problems caused any part of the delay in Brillon’s case.”  (</w:t>
      </w:r>
      <w:r w:rsidRPr="008F1266">
        <w:rPr>
          <w:i/>
          <w:iCs/>
        </w:rPr>
        <w:t>Ibid</w:t>
      </w:r>
      <w:r w:rsidRPr="008F1266">
        <w:t xml:space="preserve">.)  </w:t>
      </w:r>
    </w:p>
    <w:p w:rsidR="003513CB" w:rsidRPr="008F1266" w:rsidP="00301C3B" w14:paraId="4E931362" w14:textId="77777777">
      <w:pPr>
        <w:pStyle w:val="Text"/>
        <w:spacing w:line="400" w:lineRule="exact"/>
        <w:ind w:firstLine="0"/>
      </w:pPr>
      <w:r w:rsidRPr="008F1266">
        <w:tab/>
        <w:t>In Camacho’s case, the Court of Appeal concluded that “the record contains substantial evidence that the delay was ‘the result of defense counsel’s agreement or .</w:t>
      </w:r>
      <w:r w:rsidRPr="008F1266" w:rsidR="00DF71C3">
        <w:t> </w:t>
      </w:r>
      <w:r w:rsidRPr="008F1266">
        <w:t>.</w:t>
      </w:r>
      <w:r w:rsidRPr="008F1266" w:rsidR="00DF71C3">
        <w:t> </w:t>
      </w:r>
      <w:r w:rsidRPr="008F1266">
        <w:t>. explicit request.’</w:t>
      </w:r>
      <w:r w:rsidRPr="008F1266" w:rsidR="00FB716B">
        <w:t> </w:t>
      </w:r>
      <w:r w:rsidRPr="008F1266">
        <w:t xml:space="preserve">”  The court </w:t>
      </w:r>
      <w:r w:rsidR="00513DA6">
        <w:t xml:space="preserve">cited </w:t>
      </w:r>
      <w:r w:rsidR="00E83E56">
        <w:rPr>
          <w:i/>
          <w:iCs/>
        </w:rPr>
        <w:t>Brillon</w:t>
      </w:r>
      <w:r w:rsidR="00E83E56">
        <w:t>’s holding</w:t>
      </w:r>
      <w:r w:rsidR="00513DA6">
        <w:t xml:space="preserve"> </w:t>
      </w:r>
      <w:r w:rsidRPr="008F1266">
        <w:t xml:space="preserve">that delays caused by defense counsel are </w:t>
      </w:r>
      <w:r w:rsidR="0054045B">
        <w:t xml:space="preserve">ordinarily </w:t>
      </w:r>
      <w:r w:rsidRPr="008F1266">
        <w:t xml:space="preserve">charged to the defendant.  The court </w:t>
      </w:r>
      <w:r w:rsidR="00661278">
        <w:t xml:space="preserve">acknowledged </w:t>
      </w:r>
      <w:r w:rsidR="00DF64E0">
        <w:t xml:space="preserve">the high court’s </w:t>
      </w:r>
      <w:r w:rsidR="00661278">
        <w:t xml:space="preserve">suggestion that </w:t>
      </w:r>
      <w:r w:rsidRPr="008F1266">
        <w:t>delay caused by appointed counsel could be charged to the state if there was a systemic breakdown in the public defender system</w:t>
      </w:r>
      <w:r w:rsidR="00A843D2">
        <w:t xml:space="preserve">, citing </w:t>
      </w:r>
      <w:r w:rsidR="00A843D2">
        <w:rPr>
          <w:i/>
          <w:iCs/>
        </w:rPr>
        <w:t>Vasquez</w:t>
      </w:r>
      <w:r w:rsidR="00A843D2">
        <w:t xml:space="preserve">, </w:t>
      </w:r>
      <w:r w:rsidR="00A843D2">
        <w:rPr>
          <w:i/>
          <w:iCs/>
        </w:rPr>
        <w:t>supra</w:t>
      </w:r>
      <w:r w:rsidR="00A843D2">
        <w:t xml:space="preserve">, 27 Cal.App.5th </w:t>
      </w:r>
      <w:r w:rsidR="00465490">
        <w:t xml:space="preserve">36 </w:t>
      </w:r>
      <w:r w:rsidR="00A843D2">
        <w:t xml:space="preserve">and </w:t>
      </w:r>
      <w:r w:rsidR="00A843D2">
        <w:rPr>
          <w:i/>
          <w:iCs/>
        </w:rPr>
        <w:t>DeCasas</w:t>
      </w:r>
      <w:r w:rsidR="00A843D2">
        <w:t xml:space="preserve">, </w:t>
      </w:r>
      <w:r w:rsidR="00A843D2">
        <w:rPr>
          <w:i/>
          <w:iCs/>
        </w:rPr>
        <w:t>supra</w:t>
      </w:r>
      <w:r w:rsidR="00A843D2">
        <w:t>, 54 Cal.App.5</w:t>
      </w:r>
      <w:r w:rsidR="00465490">
        <w:t>th 785</w:t>
      </w:r>
      <w:r w:rsidRPr="008F1266">
        <w:t xml:space="preserve">.  </w:t>
      </w:r>
      <w:r w:rsidR="00362EE3">
        <w:t>But the court noted that</w:t>
      </w:r>
      <w:r w:rsidR="00A843D2">
        <w:t xml:space="preserve"> in Camacho’s case “the record does not support such a finding.”</w:t>
      </w:r>
    </w:p>
    <w:p w:rsidR="003513CB" w:rsidRPr="008F1266" w:rsidP="00301C3B" w14:paraId="4E931363" w14:textId="77777777">
      <w:pPr>
        <w:pStyle w:val="Text"/>
        <w:spacing w:line="400" w:lineRule="exact"/>
        <w:ind w:firstLine="0"/>
      </w:pPr>
      <w:r w:rsidRPr="008F1266">
        <w:tab/>
        <w:t xml:space="preserve">Camacho argues the Court of Appeal mistakenly construed </w:t>
      </w:r>
      <w:r w:rsidRPr="008F1266">
        <w:rPr>
          <w:i/>
          <w:iCs/>
        </w:rPr>
        <w:t>Brillon</w:t>
      </w:r>
      <w:r w:rsidRPr="008F1266">
        <w:t xml:space="preserve"> to mean that delay caused by defense counsel may be charged against the state </w:t>
      </w:r>
      <w:r w:rsidRPr="008F1266">
        <w:rPr>
          <w:i/>
          <w:iCs/>
        </w:rPr>
        <w:t xml:space="preserve">only </w:t>
      </w:r>
      <w:r w:rsidRPr="008F1266">
        <w:t>when there is a systemic breakdown of the public defender system and under no other</w:t>
      </w:r>
      <w:r w:rsidRPr="008F1266">
        <w:rPr>
          <w:i/>
          <w:iCs/>
        </w:rPr>
        <w:t xml:space="preserve"> </w:t>
      </w:r>
      <w:r w:rsidRPr="008F1266">
        <w:t xml:space="preserve">circumstances.  It is unclear whether the appellate court so held or was simply responding to what it understood </w:t>
      </w:r>
      <w:r w:rsidRPr="008F1266" w:rsidR="002E634D">
        <w:t xml:space="preserve">as </w:t>
      </w:r>
      <w:r w:rsidRPr="008F1266">
        <w:t xml:space="preserve">Camacho’s argument </w:t>
      </w:r>
      <w:r w:rsidRPr="008F1266" w:rsidR="002E634D">
        <w:t>that there had been</w:t>
      </w:r>
      <w:r w:rsidRPr="008F1266">
        <w:t xml:space="preserve"> an “institutional breakdown.” </w:t>
      </w:r>
      <w:r w:rsidR="000669E0">
        <w:t xml:space="preserve"> </w:t>
      </w:r>
      <w:r w:rsidRPr="008F1266">
        <w:t xml:space="preserve">In any event, like Camacho, we do not read </w:t>
      </w:r>
      <w:r w:rsidRPr="008F1266">
        <w:rPr>
          <w:i/>
          <w:iCs/>
        </w:rPr>
        <w:t>Brillon</w:t>
      </w:r>
      <w:r w:rsidRPr="008F1266">
        <w:t xml:space="preserve"> </w:t>
      </w:r>
      <w:r w:rsidRPr="008F1266" w:rsidR="002E634D">
        <w:t xml:space="preserve">as </w:t>
      </w:r>
      <w:r w:rsidRPr="008F1266">
        <w:t xml:space="preserve">standing for any such broad proposition; </w:t>
      </w:r>
      <w:r w:rsidRPr="008F1266">
        <w:rPr>
          <w:i/>
          <w:iCs/>
        </w:rPr>
        <w:t>Brillon</w:t>
      </w:r>
      <w:r w:rsidRPr="008F1266">
        <w:t xml:space="preserve"> addressed a hypothetical systemic breakdown of the public defender system because that was the argument presented in the case.</w:t>
      </w:r>
      <w:r w:rsidRPr="008F1266" w:rsidR="00E57EBB">
        <w:rPr>
          <w:rStyle w:val="FootnoteReference"/>
        </w:rPr>
        <w:t xml:space="preserve"> </w:t>
      </w:r>
      <w:r w:rsidRPr="008F1266">
        <w:t xml:space="preserve">  The Attorney General, for his part, acknowledges that a constitutional problem might arise if Camacho had shown “that, during the eight years at issue, his absence from the courtroom had been unknowing or involuntary, or if Camacho had demonstrated that</w:t>
      </w:r>
      <w:r w:rsidRPr="008F1266" w:rsidR="00596831">
        <w:t xml:space="preserve"> </w:t>
      </w:r>
      <w:r w:rsidRPr="008F1266">
        <w:t xml:space="preserve">his attorney had waived time against Camacho’s wishes.”  In those circumstances, “the People would likely agree that Camacho suffered a due process violation.”  </w:t>
      </w:r>
      <w:r w:rsidRPr="008F1266" w:rsidR="00BC6B6E">
        <w:t>(</w:t>
      </w:r>
      <w:r w:rsidRPr="008F1266" w:rsidR="00E104B8">
        <w:t xml:space="preserve">Cf. </w:t>
      </w:r>
      <w:r w:rsidRPr="008F1266" w:rsidR="00E104B8">
        <w:rPr>
          <w:i/>
          <w:iCs/>
        </w:rPr>
        <w:t>Butler</w:t>
      </w:r>
      <w:r w:rsidRPr="008F1266" w:rsidR="00E104B8">
        <w:t xml:space="preserve">, </w:t>
      </w:r>
      <w:r w:rsidRPr="008F1266" w:rsidR="00E104B8">
        <w:rPr>
          <w:i/>
          <w:iCs/>
        </w:rPr>
        <w:t>supra</w:t>
      </w:r>
      <w:r w:rsidRPr="008F1266" w:rsidR="00E104B8">
        <w:t>, 55 Cal.App.5</w:t>
      </w:r>
      <w:r w:rsidRPr="008F1266" w:rsidR="00DF71C3">
        <w:t>th</w:t>
      </w:r>
      <w:r w:rsidRPr="008F1266" w:rsidR="00E104B8">
        <w:t xml:space="preserve"> at p.</w:t>
      </w:r>
      <w:r w:rsidRPr="008F1266" w:rsidR="00DF71C3">
        <w:t> </w:t>
      </w:r>
      <w:r w:rsidRPr="008F1266" w:rsidR="00E104B8">
        <w:t>658 [</w:t>
      </w:r>
      <w:r w:rsidRPr="008F1266" w:rsidR="00941FDE">
        <w:t>finding due process violation</w:t>
      </w:r>
      <w:r w:rsidRPr="008F1266" w:rsidR="00E104B8">
        <w:t xml:space="preserve"> where alleged SVP explicitly demanded trial and defense counsel failed to convey those demands to the court or make progress towards trial</w:t>
      </w:r>
      <w:r w:rsidRPr="008F1266" w:rsidR="00CF3D16">
        <w:t>]</w:t>
      </w:r>
      <w:r w:rsidRPr="008F1266" w:rsidR="00E104B8">
        <w:t xml:space="preserve">.)  </w:t>
      </w:r>
      <w:r w:rsidRPr="008F1266">
        <w:t>We</w:t>
      </w:r>
      <w:r w:rsidR="00262354">
        <w:t xml:space="preserve">, too, </w:t>
      </w:r>
      <w:r w:rsidRPr="008F1266">
        <w:t xml:space="preserve">agree that </w:t>
      </w:r>
      <w:r w:rsidRPr="008F1266">
        <w:rPr>
          <w:i/>
          <w:iCs/>
        </w:rPr>
        <w:t xml:space="preserve">Brillon </w:t>
      </w:r>
      <w:r w:rsidRPr="008F1266">
        <w:t>does not prevent a court from taking such matters into account.</w:t>
      </w:r>
    </w:p>
    <w:p w:rsidR="00262354" w:rsidP="00301C3B" w14:paraId="4E931364" w14:textId="77777777">
      <w:pPr>
        <w:pStyle w:val="Text"/>
        <w:spacing w:line="400" w:lineRule="exact"/>
        <w:ind w:firstLine="0"/>
      </w:pPr>
      <w:r w:rsidRPr="008F1266">
        <w:tab/>
      </w:r>
      <w:r w:rsidR="00772E4F">
        <w:t xml:space="preserve">Still, </w:t>
      </w:r>
      <w:r w:rsidRPr="008F1266" w:rsidR="002E634D">
        <w:t xml:space="preserve">Camacho provides no </w:t>
      </w:r>
      <w:r w:rsidR="00772E4F">
        <w:t xml:space="preserve">sufficient </w:t>
      </w:r>
      <w:r w:rsidRPr="008F1266" w:rsidR="002E634D">
        <w:t>reason</w:t>
      </w:r>
      <w:r w:rsidRPr="008F1266" w:rsidR="00C171BF">
        <w:t xml:space="preserve"> </w:t>
      </w:r>
      <w:r w:rsidR="00772E4F">
        <w:t xml:space="preserve">for us </w:t>
      </w:r>
      <w:r w:rsidRPr="008F1266" w:rsidR="002E634D">
        <w:t xml:space="preserve">to depart from the ordinary rule that delays sought by counsel are attributed to </w:t>
      </w:r>
      <w:r w:rsidR="000A6A11">
        <w:t>their client</w:t>
      </w:r>
      <w:r w:rsidRPr="008F1266" w:rsidR="002E634D">
        <w:t>.  (</w:t>
      </w:r>
      <w:r w:rsidRPr="008F1266" w:rsidR="002E634D">
        <w:rPr>
          <w:i/>
          <w:iCs/>
        </w:rPr>
        <w:t>Brillon</w:t>
      </w:r>
      <w:r w:rsidRPr="008F1266" w:rsidR="002E634D">
        <w:t xml:space="preserve">, </w:t>
      </w:r>
      <w:r w:rsidRPr="008F1266" w:rsidR="002E634D">
        <w:rPr>
          <w:i/>
          <w:iCs/>
        </w:rPr>
        <w:t>supra</w:t>
      </w:r>
      <w:r w:rsidRPr="008F1266" w:rsidR="002E634D">
        <w:t>, 556 U.S. at p.</w:t>
      </w:r>
      <w:r w:rsidRPr="008F1266" w:rsidR="00DF71C3">
        <w:t> </w:t>
      </w:r>
      <w:r w:rsidRPr="008F1266" w:rsidR="002E634D">
        <w:t xml:space="preserve">90.)  </w:t>
      </w:r>
      <w:r w:rsidRPr="008F1266">
        <w:t xml:space="preserve">Camacho does not allege that his eight-year absence from court was involuntary.  </w:t>
      </w:r>
      <w:bookmarkStart w:id="11" w:name="_Hlk143169304"/>
      <w:r w:rsidRPr="008F1266">
        <w:t xml:space="preserve">Nor does he allege that his attorney waived time against his express wishes.  </w:t>
      </w:r>
      <w:bookmarkEnd w:id="11"/>
      <w:r w:rsidRPr="008F1266">
        <w:t xml:space="preserve">His argument is, instead, that delays sought by defense counsel during a period when he did not personally appear in court should not count against him, solely by virtue of his absence.  </w:t>
      </w:r>
      <w:r w:rsidR="00E57EBB">
        <w:t>W</w:t>
      </w:r>
      <w:r w:rsidRPr="008F1266">
        <w:t xml:space="preserve">e reject this broad argument.  </w:t>
      </w:r>
      <w:r w:rsidRPr="008F1266" w:rsidR="00DE5F36">
        <w:t xml:space="preserve">(See </w:t>
      </w:r>
      <w:r w:rsidRPr="008F1266" w:rsidR="00DE5F36">
        <w:rPr>
          <w:i/>
          <w:iCs/>
        </w:rPr>
        <w:t xml:space="preserve">People v. Blacksher </w:t>
      </w:r>
      <w:r w:rsidRPr="008F1266" w:rsidR="00DE5F36">
        <w:t xml:space="preserve">(2011) 52 Cal.4th 769, 799 [finding </w:t>
      </w:r>
      <w:r w:rsidR="00465490">
        <w:t xml:space="preserve">the </w:t>
      </w:r>
      <w:r w:rsidRPr="008F1266" w:rsidR="00DE5F36">
        <w:t xml:space="preserve">defendant’s absence from 17 pretrial proceedings did not violate constitutional right to be present and noting that most of the proceedings “concerned routine legal and procedural matters”].)  </w:t>
      </w:r>
    </w:p>
    <w:p w:rsidR="000475C7" w:rsidP="00301C3B" w14:paraId="4E931365" w14:textId="77777777">
      <w:pPr>
        <w:pStyle w:val="Text"/>
        <w:spacing w:line="400" w:lineRule="exact"/>
        <w:ind w:firstLine="0"/>
      </w:pPr>
      <w:r>
        <w:tab/>
      </w:r>
      <w:r w:rsidRPr="008F1266" w:rsidR="00596831">
        <w:t>There is no reason why, s</w:t>
      </w:r>
      <w:r w:rsidRPr="008F1266" w:rsidR="009049D3">
        <w:t>tanding alone,</w:t>
      </w:r>
      <w:r w:rsidRPr="008F1266" w:rsidR="00596831">
        <w:t xml:space="preserve"> </w:t>
      </w:r>
      <w:r w:rsidRPr="008F1266" w:rsidR="009049D3">
        <w:t>a</w:t>
      </w:r>
      <w:r w:rsidRPr="008F1266" w:rsidR="003513CB">
        <w:t xml:space="preserve">bsence </w:t>
      </w:r>
      <w:r w:rsidRPr="008F1266" w:rsidR="00596831">
        <w:t xml:space="preserve">from court would </w:t>
      </w:r>
      <w:r w:rsidRPr="008F1266" w:rsidR="003513CB">
        <w:t xml:space="preserve">relieve an individual of responsibility for delays </w:t>
      </w:r>
      <w:r w:rsidRPr="008F1266" w:rsidR="00596831">
        <w:t xml:space="preserve">sought by </w:t>
      </w:r>
      <w:r w:rsidRPr="008F1266" w:rsidR="003513CB">
        <w:t>counsel</w:t>
      </w:r>
      <w:r w:rsidR="005808A8">
        <w:t xml:space="preserve"> who was</w:t>
      </w:r>
      <w:r w:rsidRPr="008F1266" w:rsidR="00596831">
        <w:t xml:space="preserve"> acting as the individual’s agent.  (</w:t>
      </w:r>
      <w:r w:rsidRPr="008F1266" w:rsidR="00596831">
        <w:rPr>
          <w:i/>
          <w:iCs/>
        </w:rPr>
        <w:t>Coleman</w:t>
      </w:r>
      <w:r w:rsidRPr="008F1266" w:rsidR="00596831">
        <w:t xml:space="preserve">, </w:t>
      </w:r>
      <w:r w:rsidRPr="008F1266" w:rsidR="00596831">
        <w:rPr>
          <w:i/>
          <w:iCs/>
        </w:rPr>
        <w:t>supra</w:t>
      </w:r>
      <w:r w:rsidRPr="008F1266" w:rsidR="00596831">
        <w:t>, 501 U.S. at p.</w:t>
      </w:r>
      <w:r w:rsidRPr="008F1266" w:rsidR="00DF71C3">
        <w:t> </w:t>
      </w:r>
      <w:r w:rsidRPr="008F1266" w:rsidR="00596831">
        <w:t>753.)</w:t>
      </w:r>
      <w:r>
        <w:t xml:space="preserve">  </w:t>
      </w:r>
      <w:r w:rsidR="00DF1853">
        <w:t>Of course, a</w:t>
      </w:r>
      <w:r w:rsidRPr="008F1266" w:rsidR="009049D3">
        <w:t xml:space="preserve">n individual’s extended absence from court </w:t>
      </w:r>
      <w:r w:rsidR="00DF1853">
        <w:t>may</w:t>
      </w:r>
      <w:r>
        <w:t xml:space="preserve"> </w:t>
      </w:r>
      <w:r w:rsidRPr="008F1266" w:rsidR="009049D3">
        <w:t xml:space="preserve">raise concerns about whether the individual’s wishes </w:t>
      </w:r>
      <w:r w:rsidRPr="008F1266" w:rsidR="00B06847">
        <w:t xml:space="preserve">about timing </w:t>
      </w:r>
      <w:r w:rsidRPr="008F1266" w:rsidR="009049D3">
        <w:t>have been adequately considered</w:t>
      </w:r>
      <w:r w:rsidRPr="008F1266" w:rsidR="00B06847">
        <w:t xml:space="preserve">; </w:t>
      </w:r>
      <w:r w:rsidRPr="008F1266" w:rsidR="00931B9F">
        <w:t>when an individual is absent from court, it becomes more difficult to evaluate whether the individual has been adequately informed about</w:t>
      </w:r>
      <w:r w:rsidR="0066199A">
        <w:t xml:space="preserve"> and agrees with</w:t>
      </w:r>
      <w:r w:rsidRPr="008F1266" w:rsidR="00931B9F">
        <w:t xml:space="preserve"> counsel’s proposed approach to trial timing.</w:t>
      </w:r>
      <w:r w:rsidRPr="008F1266" w:rsidR="00454735">
        <w:t xml:space="preserve">  </w:t>
      </w:r>
      <w:r w:rsidRPr="008F1266" w:rsidR="00931B9F">
        <w:t xml:space="preserve">Here, however, the record contains no indication that Camacho </w:t>
      </w:r>
      <w:r w:rsidRPr="008F1266" w:rsidR="00454735">
        <w:t xml:space="preserve">was inadequately informed </w:t>
      </w:r>
      <w:r w:rsidRPr="008F1266" w:rsidR="003513CB">
        <w:t>of</w:t>
      </w:r>
      <w:r w:rsidR="00E0253F">
        <w:t> </w:t>
      </w:r>
      <w:r w:rsidR="00D92002">
        <w:t>— much less disagreed with</w:t>
      </w:r>
      <w:r w:rsidR="00E0253F">
        <w:t> </w:t>
      </w:r>
      <w:r w:rsidR="00D92002">
        <w:t xml:space="preserve">— </w:t>
      </w:r>
      <w:r w:rsidRPr="008F1266" w:rsidR="003513CB">
        <w:t xml:space="preserve">counsel’s approach to trial timing </w:t>
      </w:r>
      <w:r w:rsidR="00D92002">
        <w:t>during his eight</w:t>
      </w:r>
      <w:r w:rsidR="00316B33">
        <w:t>-</w:t>
      </w:r>
      <w:r w:rsidR="00D92002">
        <w:t>year absence from court</w:t>
      </w:r>
      <w:r w:rsidRPr="008F1266" w:rsidR="003513CB">
        <w:t>.</w:t>
      </w:r>
      <w:r w:rsidRPr="008F1266" w:rsidR="00A86AC1">
        <w:t xml:space="preserve">  </w:t>
      </w:r>
    </w:p>
    <w:p w:rsidR="003513CB" w:rsidRPr="008F1266" w:rsidP="00301C3B" w14:paraId="4E931366" w14:textId="77777777">
      <w:pPr>
        <w:pStyle w:val="Text"/>
        <w:spacing w:line="400" w:lineRule="exact"/>
        <w:ind w:firstLine="0"/>
      </w:pPr>
      <w:r>
        <w:tab/>
      </w:r>
      <w:r w:rsidR="00290E15">
        <w:t xml:space="preserve">Although Davis </w:t>
      </w:r>
      <w:r w:rsidR="00950882">
        <w:t xml:space="preserve">at one point </w:t>
      </w:r>
      <w:r w:rsidR="00290E15">
        <w:t xml:space="preserve">referenced Camacho’s remote location as an obstacle to trial preparation, there is nothing in the record to indicate </w:t>
      </w:r>
      <w:r w:rsidR="008E5492">
        <w:t>Davis and Camacho faced substantial obstacles in communicating in general.</w:t>
      </w:r>
      <w:r>
        <w:rPr>
          <w:rStyle w:val="FootnoteReference"/>
        </w:rPr>
        <w:footnoteReference w:id="8"/>
      </w:r>
      <w:r w:rsidR="008E5492">
        <w:t xml:space="preserve">  </w:t>
      </w:r>
      <w:r w:rsidRPr="008F1266" w:rsidR="00290E15">
        <w:t>The continuances and time waivers during th</w:t>
      </w:r>
      <w:r w:rsidR="00BB0DEE">
        <w:t>e</w:t>
      </w:r>
      <w:r w:rsidRPr="008F1266" w:rsidR="00290E15">
        <w:t xml:space="preserve"> period </w:t>
      </w:r>
      <w:r w:rsidR="00BB0DEE">
        <w:t xml:space="preserve">when Camacho was absent from court </w:t>
      </w:r>
      <w:r w:rsidRPr="008F1266" w:rsidR="00290E15">
        <w:t xml:space="preserve">were consistent with continuances and waivers that had been entered </w:t>
      </w:r>
      <w:r w:rsidR="00290E15">
        <w:t>before 2010</w:t>
      </w:r>
      <w:r w:rsidR="00BB0DEE">
        <w:t xml:space="preserve">, </w:t>
      </w:r>
      <w:r w:rsidRPr="008F1266" w:rsidR="00290E15">
        <w:t>when Camacho did regularly appear in court.</w:t>
      </w:r>
      <w:r w:rsidR="00F02EEA">
        <w:t xml:space="preserve">  </w:t>
      </w:r>
      <w:r w:rsidRPr="008F1266">
        <w:t xml:space="preserve">And Camacho’s first reappearance in court after eight years was uneventful.  On that date, Camacho did not assert his </w:t>
      </w:r>
      <w:r w:rsidRPr="008F1266" w:rsidR="003857D8">
        <w:t xml:space="preserve">timely </w:t>
      </w:r>
      <w:r w:rsidRPr="008F1266">
        <w:t xml:space="preserve">trial rights, complain about his absence from court, or otherwise express dissatisfaction with the progress of his case.  He also </w:t>
      </w:r>
      <w:r w:rsidR="00504194">
        <w:t xml:space="preserve">confirmed </w:t>
      </w:r>
      <w:r w:rsidRPr="008F1266">
        <w:t>that he had Davis’s mailing address</w:t>
      </w:r>
      <w:r w:rsidRPr="008F1266" w:rsidR="00FE20C2">
        <w:t>,</w:t>
      </w:r>
      <w:r w:rsidR="00504194">
        <w:t xml:space="preserve"> </w:t>
      </w:r>
      <w:r w:rsidRPr="008F1266" w:rsidR="00FE20C2">
        <w:t xml:space="preserve">which, if nothing else, </w:t>
      </w:r>
      <w:r w:rsidRPr="008F1266" w:rsidR="00BB5FDE">
        <w:t xml:space="preserve">suggests he had </w:t>
      </w:r>
      <w:r w:rsidRPr="008F1266" w:rsidR="009F0ED5">
        <w:t xml:space="preserve">an available </w:t>
      </w:r>
      <w:r w:rsidRPr="008F1266" w:rsidR="00FE20C2">
        <w:t>method of communicating with Davis</w:t>
      </w:r>
      <w:r w:rsidRPr="008F1266" w:rsidR="00FD3FDA">
        <w:t xml:space="preserve"> about any concerns he may have had</w:t>
      </w:r>
      <w:r w:rsidRPr="008F1266" w:rsidR="00FE20C2">
        <w:t>.</w:t>
      </w:r>
    </w:p>
    <w:p w:rsidR="006B6AD6" w:rsidRPr="008F1266" w:rsidP="00301C3B" w14:paraId="4E931367" w14:textId="77777777">
      <w:pPr>
        <w:pStyle w:val="Text"/>
        <w:spacing w:line="400" w:lineRule="exact"/>
        <w:ind w:firstLine="0"/>
      </w:pPr>
      <w:r w:rsidRPr="008F1266">
        <w:tab/>
      </w:r>
      <w:r w:rsidRPr="008F1266" w:rsidR="001B00E9">
        <w:t xml:space="preserve">In sum, </w:t>
      </w:r>
      <w:r w:rsidRPr="008F1266" w:rsidR="00BE225D">
        <w:t>we agree with Camacho that an extended absence from court could raise concerns about an SVP’s opportunit</w:t>
      </w:r>
      <w:r w:rsidR="0075174F">
        <w:t>y</w:t>
      </w:r>
      <w:r w:rsidRPr="008F1266" w:rsidR="00BE225D">
        <w:t xml:space="preserve"> to </w:t>
      </w:r>
      <w:r w:rsidR="0075174F">
        <w:t xml:space="preserve">complain about </w:t>
      </w:r>
      <w:r w:rsidRPr="008F1266" w:rsidR="00BE225D">
        <w:t xml:space="preserve">attorney-sought delay, </w:t>
      </w:r>
      <w:r w:rsidRPr="008F1266" w:rsidR="000A5FE2">
        <w:t xml:space="preserve">but </w:t>
      </w:r>
      <w:r w:rsidR="000475C7">
        <w:t xml:space="preserve">we conclude that </w:t>
      </w:r>
      <w:r w:rsidRPr="008F1266" w:rsidR="00F36D15">
        <w:t xml:space="preserve">absence alone does not provide a sufficient basis to depart from the ordinary rule that delays sought by attorneys are properly attributed to the clients they represent.  </w:t>
      </w:r>
      <w:r w:rsidRPr="008F1266">
        <w:t>On the available record, Camacho bears most of the responsibility for the delay</w:t>
      </w:r>
      <w:r w:rsidR="00556ACE">
        <w:t xml:space="preserve"> he now challenges</w:t>
      </w:r>
      <w:r w:rsidRPr="008F1266">
        <w:t>.</w:t>
      </w:r>
    </w:p>
    <w:p w:rsidR="003513CB" w:rsidRPr="008F1266" w:rsidP="00301C3B" w14:paraId="4E931368" w14:textId="77777777">
      <w:pPr>
        <w:pStyle w:val="Text"/>
        <w:spacing w:line="400" w:lineRule="exact"/>
        <w:ind w:firstLine="0"/>
        <w:jc w:val="center"/>
        <w:rPr>
          <w:b/>
          <w:bCs/>
        </w:rPr>
      </w:pPr>
      <w:r w:rsidRPr="008F1266">
        <w:rPr>
          <w:b/>
          <w:bCs/>
        </w:rPr>
        <w:t>2</w:t>
      </w:r>
      <w:r w:rsidR="00770DDD">
        <w:rPr>
          <w:b/>
          <w:bCs/>
        </w:rPr>
        <w:t>.</w:t>
      </w:r>
    </w:p>
    <w:p w:rsidR="00E05C5D" w:rsidRPr="008F1266" w:rsidP="00301C3B" w14:paraId="4E931369" w14:textId="77777777">
      <w:pPr>
        <w:pStyle w:val="Text"/>
        <w:spacing w:line="400" w:lineRule="exact"/>
        <w:ind w:firstLine="720"/>
      </w:pPr>
      <w:r w:rsidRPr="008F1266">
        <w:t xml:space="preserve">While </w:t>
      </w:r>
      <w:r w:rsidRPr="008F1266" w:rsidR="005C7B79">
        <w:t xml:space="preserve">the </w:t>
      </w:r>
      <w:r w:rsidRPr="008F1266">
        <w:t xml:space="preserve">People were not primarily responsible for the </w:t>
      </w:r>
      <w:r w:rsidRPr="008F1266" w:rsidR="00C74F38">
        <w:t xml:space="preserve">delay in the case, the </w:t>
      </w:r>
      <w:r w:rsidRPr="008F1266" w:rsidR="00615122">
        <w:t xml:space="preserve">record </w:t>
      </w:r>
      <w:r w:rsidR="00C830F3">
        <w:t xml:space="preserve">also shows </w:t>
      </w:r>
      <w:r w:rsidRPr="008F1266" w:rsidR="00975871">
        <w:t xml:space="preserve">the People </w:t>
      </w:r>
      <w:r w:rsidRPr="008F1266" w:rsidR="00D37403">
        <w:t xml:space="preserve">made </w:t>
      </w:r>
      <w:r w:rsidR="00C830F3">
        <w:t xml:space="preserve">little  </w:t>
      </w:r>
      <w:r w:rsidRPr="008F1266" w:rsidR="00D37403">
        <w:t xml:space="preserve">effort to </w:t>
      </w:r>
      <w:r w:rsidRPr="008F1266" w:rsidR="00472F4A">
        <w:t>move the case</w:t>
      </w:r>
      <w:r w:rsidRPr="008F1266" w:rsidR="00D37403">
        <w:t xml:space="preserve"> toward trial.  </w:t>
      </w:r>
      <w:r w:rsidRPr="008F1266" w:rsidR="00C74F38">
        <w:t>The Attorney General acknowledges as much, explaining</w:t>
      </w:r>
      <w:r w:rsidRPr="008F1266" w:rsidR="00CC2469">
        <w:t xml:space="preserve"> </w:t>
      </w:r>
      <w:r w:rsidRPr="008F1266" w:rsidR="0063701E">
        <w:t xml:space="preserve">that “[a]t least until the September 2018 decision in </w:t>
      </w:r>
      <w:r w:rsidRPr="008F1266" w:rsidR="0063701E">
        <w:rPr>
          <w:i/>
          <w:iCs/>
        </w:rPr>
        <w:t>Vasquez</w:t>
      </w:r>
      <w:r w:rsidRPr="008F1266" w:rsidR="0063701E">
        <w:t>, the People were amenable in many cases</w:t>
      </w:r>
      <w:r w:rsidRPr="008F1266" w:rsidR="00DF71C3">
        <w:t> </w:t>
      </w:r>
      <w:r w:rsidRPr="008F1266" w:rsidR="0063701E">
        <w:t>— including Camacho’s</w:t>
      </w:r>
      <w:r w:rsidRPr="008F1266" w:rsidR="00DF71C3">
        <w:t> </w:t>
      </w:r>
      <w:r w:rsidRPr="008F1266" w:rsidR="0063701E">
        <w:t xml:space="preserve">— to the defendant’s desire to delay trial for the purpose of progressing in treatment.  If, before the case went to trial, the individual progressed in treatment to the point where he was no longer a danger to public safety, the People could simply dismiss the case.” </w:t>
      </w:r>
    </w:p>
    <w:p w:rsidR="00342BED" w:rsidRPr="008F1266" w:rsidP="00301C3B" w14:paraId="4E93136A" w14:textId="77777777">
      <w:pPr>
        <w:pStyle w:val="Text"/>
        <w:spacing w:line="400" w:lineRule="exact"/>
        <w:ind w:firstLine="0"/>
      </w:pPr>
      <w:r w:rsidRPr="008F1266">
        <w:tab/>
      </w:r>
      <w:r w:rsidRPr="008F1266" w:rsidR="00262F64">
        <w:t xml:space="preserve">Although this policy </w:t>
      </w:r>
      <w:r w:rsidRPr="008F1266" w:rsidR="00D6666D">
        <w:t xml:space="preserve">of acquiescence </w:t>
      </w:r>
      <w:r w:rsidRPr="008F1266" w:rsidR="00262F64">
        <w:t xml:space="preserve">is </w:t>
      </w:r>
      <w:r w:rsidRPr="008F1266" w:rsidR="00136854">
        <w:t xml:space="preserve">perhaps </w:t>
      </w:r>
      <w:r w:rsidRPr="008F1266" w:rsidR="00262F64">
        <w:t>understandable</w:t>
      </w:r>
      <w:r w:rsidRPr="008F1266" w:rsidR="009A596C">
        <w:t xml:space="preserve">, </w:t>
      </w:r>
      <w:r w:rsidRPr="008F1266" w:rsidR="003A7DAC">
        <w:t xml:space="preserve">it also </w:t>
      </w:r>
      <w:r w:rsidRPr="008F1266">
        <w:t xml:space="preserve">carries important risks and drawbacks.  For one thing, </w:t>
      </w:r>
      <w:r w:rsidR="00C830F3">
        <w:t xml:space="preserve">it </w:t>
      </w:r>
      <w:r w:rsidRPr="008F1266" w:rsidR="000E7839">
        <w:t xml:space="preserve">invites </w:t>
      </w:r>
      <w:r w:rsidR="00C830F3">
        <w:t xml:space="preserve">reliance on </w:t>
      </w:r>
      <w:r w:rsidRPr="008F1266" w:rsidR="000E7839">
        <w:t xml:space="preserve">the assumption </w:t>
      </w:r>
      <w:r w:rsidRPr="008F1266">
        <w:t xml:space="preserve">that </w:t>
      </w:r>
      <w:r w:rsidRPr="008F1266" w:rsidR="006532FC">
        <w:t xml:space="preserve">when the defense </w:t>
      </w:r>
      <w:r w:rsidR="00C830F3">
        <w:t xml:space="preserve">repeatedly </w:t>
      </w:r>
      <w:r w:rsidRPr="008F1266" w:rsidR="006532FC">
        <w:t xml:space="preserve">requests continuances, it is because the </w:t>
      </w:r>
      <w:r w:rsidRPr="008F1266" w:rsidR="004F0512">
        <w:t xml:space="preserve">alleged SVP </w:t>
      </w:r>
      <w:r w:rsidR="00E335FE">
        <w:t xml:space="preserve">has </w:t>
      </w:r>
      <w:r w:rsidR="00CC3181">
        <w:t xml:space="preserve">decided </w:t>
      </w:r>
      <w:r w:rsidR="00E335FE">
        <w:t xml:space="preserve">to </w:t>
      </w:r>
      <w:r w:rsidR="00CC3181">
        <w:t xml:space="preserve">indefinitely </w:t>
      </w:r>
      <w:r w:rsidRPr="008F1266" w:rsidR="006532FC">
        <w:t>delay trial for the purpose of progressing in treatment.</w:t>
      </w:r>
      <w:r w:rsidRPr="008F1266" w:rsidR="00B036F4">
        <w:t xml:space="preserve">  </w:t>
      </w:r>
      <w:r w:rsidRPr="008F1266" w:rsidR="006532FC">
        <w:t xml:space="preserve">Though this </w:t>
      </w:r>
      <w:r w:rsidRPr="008F1266" w:rsidR="002D6C4D">
        <w:t xml:space="preserve">may be true of some alleged SVPs, it </w:t>
      </w:r>
      <w:r w:rsidRPr="008F1266" w:rsidR="00D10B3F">
        <w:t xml:space="preserve">may not be </w:t>
      </w:r>
      <w:r w:rsidRPr="008F1266" w:rsidR="002D6C4D">
        <w:t xml:space="preserve">true of </w:t>
      </w:r>
      <w:r w:rsidRPr="008F1266" w:rsidR="004F0512">
        <w:t>other individuals</w:t>
      </w:r>
      <w:r w:rsidR="00484D02">
        <w:t xml:space="preserve">, and </w:t>
      </w:r>
      <w:r w:rsidR="000C20A6">
        <w:t>individual preferences may change over time</w:t>
      </w:r>
      <w:r w:rsidRPr="008F1266" w:rsidR="006F1553">
        <w:t>.</w:t>
      </w:r>
      <w:r w:rsidRPr="008F1266" w:rsidR="00F84885">
        <w:t xml:space="preserve">  </w:t>
      </w:r>
      <w:r w:rsidRPr="008F1266" w:rsidR="00B036F4">
        <w:t xml:space="preserve">(See, e.g., </w:t>
      </w:r>
      <w:r w:rsidRPr="008F1266" w:rsidR="00B036F4">
        <w:rPr>
          <w:i/>
          <w:iCs/>
        </w:rPr>
        <w:t>Butler</w:t>
      </w:r>
      <w:r w:rsidRPr="008F1266" w:rsidR="009B0263">
        <w:t xml:space="preserve">, </w:t>
      </w:r>
      <w:r w:rsidRPr="008F1266" w:rsidR="00744129">
        <w:rPr>
          <w:i/>
          <w:iCs/>
        </w:rPr>
        <w:t>supra</w:t>
      </w:r>
      <w:r w:rsidRPr="008F1266" w:rsidR="00744129">
        <w:t>, 55 Cal.Ap</w:t>
      </w:r>
      <w:r w:rsidRPr="008F1266" w:rsidR="00975871">
        <w:t xml:space="preserve">p.5th </w:t>
      </w:r>
      <w:r w:rsidRPr="008F1266" w:rsidR="00744129">
        <w:t xml:space="preserve">at </w:t>
      </w:r>
      <w:r w:rsidRPr="008F1266" w:rsidR="00FB716B">
        <w:t>p</w:t>
      </w:r>
      <w:r w:rsidRPr="008F1266" w:rsidR="00744129">
        <w:t>p.</w:t>
      </w:r>
      <w:r w:rsidRPr="008F1266" w:rsidR="00DF71C3">
        <w:t> </w:t>
      </w:r>
      <w:r w:rsidRPr="008F1266" w:rsidR="00FB716B">
        <w:t>635</w:t>
      </w:r>
      <w:r w:rsidR="00770DDD">
        <w:t xml:space="preserve">, </w:t>
      </w:r>
      <w:r w:rsidRPr="008F1266" w:rsidR="00744129">
        <w:t>636 [noting alleged SVP “made sincere and repeated demands for a speedy trial .</w:t>
      </w:r>
      <w:r w:rsidRPr="008F1266" w:rsidR="00DF71C3">
        <w:t> </w:t>
      </w:r>
      <w:r w:rsidRPr="008F1266" w:rsidR="00744129">
        <w:t>.</w:t>
      </w:r>
      <w:r w:rsidRPr="008F1266" w:rsidR="00DF71C3">
        <w:t> </w:t>
      </w:r>
      <w:r w:rsidRPr="008F1266" w:rsidR="00744129">
        <w:t>. throughout his 12-year period of detention awaiting trial” and his “public defenders essentially ignored and disregarded his demands for a timely trial” by never communicating those demands in court]</w:t>
      </w:r>
      <w:r w:rsidRPr="008F1266" w:rsidR="006B46CC">
        <w:t>.</w:t>
      </w:r>
      <w:r w:rsidRPr="008F1266" w:rsidR="00B036F4">
        <w:t xml:space="preserve">)  </w:t>
      </w:r>
      <w:r w:rsidRPr="008F1266" w:rsidR="00F84885">
        <w:t xml:space="preserve">For another, </w:t>
      </w:r>
      <w:r w:rsidRPr="008F1266" w:rsidR="004F0512">
        <w:t>permit</w:t>
      </w:r>
      <w:r w:rsidR="00C830F3">
        <w:t xml:space="preserve">ting </w:t>
      </w:r>
      <w:r w:rsidRPr="008F1266" w:rsidR="004F0512">
        <w:t xml:space="preserve">the alleged SVP to </w:t>
      </w:r>
      <w:r w:rsidRPr="008F1266" w:rsidR="00817285">
        <w:t xml:space="preserve">indefinitely </w:t>
      </w:r>
      <w:r w:rsidRPr="008F1266" w:rsidR="004F0512">
        <w:t xml:space="preserve">delay trial </w:t>
      </w:r>
      <w:r w:rsidRPr="008F1266" w:rsidR="00F84885">
        <w:t xml:space="preserve">discounts the broader societal interest in </w:t>
      </w:r>
      <w:r w:rsidRPr="008F1266" w:rsidR="008B41D7">
        <w:t>timely</w:t>
      </w:r>
      <w:r w:rsidRPr="008F1266" w:rsidR="0067042E">
        <w:t xml:space="preserve">, definitive </w:t>
      </w:r>
      <w:r w:rsidRPr="008F1266" w:rsidR="008B41D7">
        <w:t xml:space="preserve">decisions about whether </w:t>
      </w:r>
      <w:r w:rsidRPr="008F1266" w:rsidR="002E1885">
        <w:t>individual</w:t>
      </w:r>
      <w:r w:rsidRPr="008F1266" w:rsidR="00F43073">
        <w:t>s</w:t>
      </w:r>
      <w:r w:rsidRPr="008F1266" w:rsidR="002E1885">
        <w:t xml:space="preserve"> </w:t>
      </w:r>
      <w:r w:rsidRPr="008F1266" w:rsidR="00F43073">
        <w:t xml:space="preserve">satisfy </w:t>
      </w:r>
      <w:r w:rsidRPr="008F1266" w:rsidR="002E1885">
        <w:t xml:space="preserve">the criteria </w:t>
      </w:r>
      <w:r w:rsidRPr="008F1266" w:rsidR="0067042E">
        <w:t>for involuntary commitment</w:t>
      </w:r>
      <w:r w:rsidRPr="008F1266" w:rsidR="00DF71C3">
        <w:t> —</w:t>
      </w:r>
      <w:r w:rsidRPr="008F1266" w:rsidR="00817285">
        <w:t xml:space="preserve"> where </w:t>
      </w:r>
      <w:r w:rsidRPr="008F1266" w:rsidR="00DE3BBB">
        <w:t xml:space="preserve">commitment necessarily comes at </w:t>
      </w:r>
      <w:r w:rsidRPr="008F1266" w:rsidR="005E22F2">
        <w:t>taxpayer expense</w:t>
      </w:r>
      <w:r w:rsidRPr="008F1266" w:rsidR="0034475B">
        <w:t xml:space="preserve"> </w:t>
      </w:r>
      <w:r w:rsidRPr="008F1266" w:rsidR="00DE3BBB">
        <w:t xml:space="preserve">and carries personal costs </w:t>
      </w:r>
      <w:r w:rsidRPr="008F1266" w:rsidR="00886F53">
        <w:t xml:space="preserve">for </w:t>
      </w:r>
      <w:r w:rsidRPr="008F1266" w:rsidR="00DE3BBB">
        <w:t xml:space="preserve">families and communities </w:t>
      </w:r>
      <w:r w:rsidRPr="008F1266" w:rsidR="00886F53">
        <w:t>from whom the individual will remain indefinitely separated</w:t>
      </w:r>
      <w:r w:rsidRPr="008F1266" w:rsidR="00880834">
        <w:t>.</w:t>
      </w:r>
    </w:p>
    <w:p w:rsidR="005C323B" w:rsidRPr="008F1266" w:rsidP="00301C3B" w14:paraId="4E93136B" w14:textId="77777777">
      <w:pPr>
        <w:pStyle w:val="Text"/>
        <w:spacing w:line="400" w:lineRule="exact"/>
        <w:ind w:firstLine="0"/>
      </w:pPr>
      <w:r w:rsidRPr="008F1266">
        <w:tab/>
      </w:r>
      <w:r w:rsidR="005D329A">
        <w:t>B</w:t>
      </w:r>
      <w:r w:rsidRPr="008F1266" w:rsidR="00931069">
        <w:t>ecause alleged SVPs have no duty to bring themselves to trial, the government has a responsibility to ensure the case is moving forward in a manner</w:t>
      </w:r>
      <w:r w:rsidR="00C830F3">
        <w:t xml:space="preserve"> that is</w:t>
      </w:r>
      <w:r w:rsidRPr="008F1266" w:rsidR="00931069">
        <w:t xml:space="preserve"> consistent with due process.  </w:t>
      </w:r>
      <w:r w:rsidRPr="008F1266" w:rsidR="00EE22BC">
        <w:t>When faced</w:t>
      </w:r>
      <w:r w:rsidRPr="008F1266" w:rsidR="00132ED8">
        <w:t xml:space="preserve"> with unwarranted delays or repeated continuances, “</w:t>
      </w:r>
      <w:r w:rsidRPr="008F1266" w:rsidR="004D546E">
        <w:t xml:space="preserve">diligent prosecution of </w:t>
      </w:r>
      <w:r w:rsidRPr="008F1266" w:rsidR="00F50DAE">
        <w:t>a</w:t>
      </w:r>
      <w:r w:rsidRPr="008F1266" w:rsidR="009D670E">
        <w:t xml:space="preserve">n SVP </w:t>
      </w:r>
      <w:r w:rsidRPr="008F1266" w:rsidR="004D546E">
        <w:t xml:space="preserve">petition may necessitate objecting to the delays, insisting upon trial deadlines, and making the trial court aware of the length of time since the filing of the </w:t>
      </w:r>
      <w:r w:rsidRPr="008F1266" w:rsidR="009D670E">
        <w:t xml:space="preserve">SVP </w:t>
      </w:r>
      <w:r w:rsidRPr="008F1266" w:rsidR="004D546E">
        <w:t>petition or other pertinent details from the record.”</w:t>
      </w:r>
      <w:r w:rsidRPr="008F1266" w:rsidR="00204E00">
        <w:t xml:space="preserve">  (</w:t>
      </w:r>
      <w:r w:rsidRPr="008F1266" w:rsidR="00204E00">
        <w:rPr>
          <w:i/>
          <w:iCs/>
        </w:rPr>
        <w:t>Butler</w:t>
      </w:r>
      <w:r w:rsidRPr="008F1266" w:rsidR="00FB716B">
        <w:t>,</w:t>
      </w:r>
      <w:r w:rsidRPr="008F1266" w:rsidR="00FB716B">
        <w:rPr>
          <w:i/>
          <w:iCs/>
        </w:rPr>
        <w:t xml:space="preserve"> supra</w:t>
      </w:r>
      <w:r w:rsidRPr="008F1266" w:rsidR="00FB716B">
        <w:t>,</w:t>
      </w:r>
      <w:r w:rsidRPr="008F1266" w:rsidR="00204E00">
        <w:t xml:space="preserve"> 55 Cal.App.5th </w:t>
      </w:r>
      <w:r w:rsidRPr="008F1266" w:rsidR="00FB716B">
        <w:t>at p. 655</w:t>
      </w:r>
      <w:r w:rsidRPr="008F1266" w:rsidR="00204E00">
        <w:t>.)</w:t>
      </w:r>
    </w:p>
    <w:p w:rsidR="00B47EFD" w:rsidRPr="008F1266" w:rsidP="00301C3B" w14:paraId="4E93136C" w14:textId="77777777">
      <w:pPr>
        <w:pStyle w:val="Text"/>
        <w:spacing w:line="400" w:lineRule="exact"/>
        <w:ind w:firstLine="0"/>
      </w:pPr>
      <w:r w:rsidRPr="008F1266">
        <w:tab/>
      </w:r>
      <w:r w:rsidRPr="008F1266" w:rsidR="004D546E">
        <w:t>In this case, the</w:t>
      </w:r>
      <w:r w:rsidRPr="008F1266" w:rsidR="005C323B">
        <w:t xml:space="preserve"> Court of Appeal observed that “[n]othing in the record suggests that the prosecution engaged in deliberate delay tactics or acted in bad faith.”  We agree with the court’s conclusion in this regard, and Camacho does not dispute that reading of the record.  He argues, however, that the Court of Appeal</w:t>
      </w:r>
      <w:r w:rsidRPr="008F1266" w:rsidR="00E13AD9">
        <w:t xml:space="preserve"> erred in </w:t>
      </w:r>
      <w:r w:rsidRPr="008F1266" w:rsidR="005C323B">
        <w:t>implicitly requir</w:t>
      </w:r>
      <w:r w:rsidRPr="008F1266" w:rsidR="00E13AD9">
        <w:t>ing</w:t>
      </w:r>
      <w:r w:rsidRPr="008F1266" w:rsidR="005C323B">
        <w:t xml:space="preserve"> a </w:t>
      </w:r>
      <w:r w:rsidRPr="008F1266" w:rsidR="003751F5">
        <w:t>showing</w:t>
      </w:r>
      <w:r w:rsidRPr="008F1266" w:rsidR="005C323B">
        <w:t xml:space="preserve"> of bad faith to prevail on a timely trial claim.  To the extent that the Court of Appeal’s opinion may be construed as </w:t>
      </w:r>
      <w:r w:rsidRPr="008F1266" w:rsidR="003751F5">
        <w:t>applying</w:t>
      </w:r>
      <w:r w:rsidRPr="008F1266" w:rsidR="005C323B">
        <w:t xml:space="preserve"> such a rule, we agree with Camacho that bad faith on the part of the prosecution is not necessary to establish a constitutional violation.  As the United States Supreme Court recognized in </w:t>
      </w:r>
      <w:r w:rsidRPr="008F1266" w:rsidR="005C323B">
        <w:rPr>
          <w:i/>
          <w:iCs/>
        </w:rPr>
        <w:t>Doggett</w:t>
      </w:r>
      <w:r w:rsidRPr="008F1266" w:rsidR="005C323B">
        <w:t>, “</w:t>
      </w:r>
      <w:r w:rsidR="00770DDD">
        <w:t>B</w:t>
      </w:r>
      <w:r w:rsidRPr="008F1266" w:rsidR="005C323B">
        <w:t>etween diligent prosecution and bad-faith delay, official negligence in bringing an accused to trial occupies the middle ground.  While not compelling relief in every case where bad-faith delay would make relief virtually automatic, neither is negligence automatically tolerable</w:t>
      </w:r>
      <w:r w:rsidRPr="008F1266" w:rsidR="00855393">
        <w:t>.</w:t>
      </w:r>
      <w:r w:rsidRPr="008F1266" w:rsidR="005C323B">
        <w:t>”  (</w:t>
      </w:r>
      <w:r w:rsidRPr="008F1266" w:rsidR="005C323B">
        <w:rPr>
          <w:i/>
          <w:iCs/>
        </w:rPr>
        <w:t>Doggett</w:t>
      </w:r>
      <w:r w:rsidRPr="008F1266" w:rsidR="005C323B">
        <w:t>,</w:t>
      </w:r>
      <w:r w:rsidRPr="008F1266" w:rsidR="00F50DAE">
        <w:t xml:space="preserve"> </w:t>
      </w:r>
      <w:r w:rsidRPr="008F1266" w:rsidR="00F50DAE">
        <w:rPr>
          <w:i/>
          <w:iCs/>
        </w:rPr>
        <w:t>supra</w:t>
      </w:r>
      <w:r w:rsidRPr="008F1266" w:rsidR="00F50DAE">
        <w:t>, 505 U.S.</w:t>
      </w:r>
      <w:r w:rsidRPr="008F1266" w:rsidR="005C323B">
        <w:t xml:space="preserve"> at pp.</w:t>
      </w:r>
      <w:r w:rsidRPr="008F1266" w:rsidR="00FC1C4C">
        <w:t> </w:t>
      </w:r>
      <w:r w:rsidRPr="008F1266" w:rsidR="005C323B">
        <w:t>656–657.)</w:t>
      </w:r>
      <w:r w:rsidRPr="008F1266" w:rsidR="008A5000">
        <w:t xml:space="preserve">  </w:t>
      </w:r>
    </w:p>
    <w:p w:rsidR="00743574" w:rsidRPr="008F1266" w:rsidP="00301C3B" w14:paraId="4E93136D" w14:textId="77777777">
      <w:pPr>
        <w:pStyle w:val="Text"/>
        <w:spacing w:line="400" w:lineRule="exact"/>
        <w:ind w:firstLine="0"/>
      </w:pPr>
      <w:r w:rsidRPr="008F1266">
        <w:tab/>
      </w:r>
      <w:r w:rsidRPr="008F1266" w:rsidR="00420497">
        <w:t xml:space="preserve">Ultimately, though the People </w:t>
      </w:r>
      <w:r w:rsidR="000475C7">
        <w:t>should</w:t>
      </w:r>
      <w:r w:rsidRPr="008F1266" w:rsidR="000475C7">
        <w:t xml:space="preserve"> </w:t>
      </w:r>
      <w:r w:rsidRPr="008F1266" w:rsidR="00B47EFD">
        <w:t xml:space="preserve">have exhibited greater diligence in ensuring Camacho was timely brought to trial, </w:t>
      </w:r>
      <w:r w:rsidRPr="008F1266" w:rsidR="00334517">
        <w:t xml:space="preserve">the record shows </w:t>
      </w:r>
      <w:r w:rsidRPr="008F1266" w:rsidR="00444FFC">
        <w:t xml:space="preserve">that the People do not bear </w:t>
      </w:r>
      <w:r w:rsidRPr="008F1266" w:rsidR="00FE197D">
        <w:t>most of</w:t>
      </w:r>
      <w:r w:rsidRPr="008F1266" w:rsidR="00444FFC">
        <w:t xml:space="preserve"> the responsibility for the delays</w:t>
      </w:r>
      <w:r w:rsidRPr="008F1266" w:rsidR="00BC0ADD">
        <w:t xml:space="preserve">; </w:t>
      </w:r>
      <w:r w:rsidRPr="008F1266" w:rsidR="00744129">
        <w:t xml:space="preserve">as discussed above, </w:t>
      </w:r>
      <w:r w:rsidRPr="008F1266" w:rsidR="00F6428F">
        <w:t>the responsibility falls</w:t>
      </w:r>
      <w:r w:rsidRPr="008F1266" w:rsidR="00596B6A">
        <w:t xml:space="preserve"> </w:t>
      </w:r>
      <w:r w:rsidRPr="008F1266" w:rsidR="00F6428F">
        <w:t>primarily with the defense</w:t>
      </w:r>
      <w:r w:rsidRPr="008F1266" w:rsidR="00444FFC">
        <w:t>.</w:t>
      </w:r>
    </w:p>
    <w:p w:rsidR="00355959" w:rsidRPr="008F1266" w:rsidP="00301C3B" w14:paraId="4E93136E" w14:textId="77777777">
      <w:pPr>
        <w:pStyle w:val="Text"/>
        <w:spacing w:line="400" w:lineRule="exact"/>
        <w:ind w:firstLine="0"/>
        <w:jc w:val="center"/>
        <w:rPr>
          <w:b/>
          <w:bCs/>
        </w:rPr>
      </w:pPr>
      <w:r w:rsidRPr="008F1266">
        <w:rPr>
          <w:b/>
          <w:bCs/>
        </w:rPr>
        <w:t>3</w:t>
      </w:r>
      <w:r w:rsidR="00770DDD">
        <w:rPr>
          <w:b/>
          <w:bCs/>
        </w:rPr>
        <w:t>.</w:t>
      </w:r>
    </w:p>
    <w:p w:rsidR="00B3105A" w:rsidRPr="008F1266" w:rsidP="00301C3B" w14:paraId="4E93136F" w14:textId="77777777">
      <w:pPr>
        <w:pStyle w:val="Text"/>
        <w:spacing w:line="400" w:lineRule="exact"/>
        <w:ind w:firstLine="0"/>
      </w:pPr>
      <w:r w:rsidRPr="008F1266">
        <w:rPr>
          <w:b/>
          <w:bCs/>
        </w:rPr>
        <w:tab/>
      </w:r>
      <w:r w:rsidRPr="008F1266">
        <w:t>We now assess the trial court’s responsibility for the delay</w:t>
      </w:r>
      <w:r w:rsidRPr="008F1266" w:rsidR="00F274FC">
        <w:t xml:space="preserve">.  </w:t>
      </w:r>
      <w:r w:rsidRPr="008F1266" w:rsidR="00EF0AE0">
        <w:t>In the criminal context, t</w:t>
      </w:r>
      <w:r w:rsidRPr="008F1266" w:rsidR="00F274FC">
        <w:t>his court has recognized that the trial court “</w:t>
      </w:r>
      <w:r w:rsidRPr="008F1266" w:rsidR="00FB716B">
        <w:t> ‘</w:t>
      </w:r>
      <w:r w:rsidRPr="008F1266" w:rsidR="00F274FC">
        <w:t xml:space="preserve">has an affirmative constitutional obligation to bring the defendant to trial in a timely manner.  </w:t>
      </w:r>
      <w:r w:rsidRPr="008F1266" w:rsidR="00FB716B">
        <w:t xml:space="preserve">[Citation.]  </w:t>
      </w:r>
      <w:r w:rsidRPr="008F1266" w:rsidR="00F274FC">
        <w:t>And to that end, it is entirely appropriate for the court to set deadlines and to hold the parties strictly to those deadlines unless a continuance is justified by a concrete showing of good cause for the delay.</w:t>
      </w:r>
      <w:r w:rsidRPr="008F1266" w:rsidR="000738A9">
        <w:t xml:space="preserve">  </w:t>
      </w:r>
      <w:r w:rsidRPr="008F1266" w:rsidR="00F274FC">
        <w:t>[Citation.]</w:t>
      </w:r>
      <w:r w:rsidRPr="008F1266" w:rsidR="000738A9">
        <w:t xml:space="preserve">  </w:t>
      </w:r>
      <w:r w:rsidRPr="008F1266" w:rsidR="00F274FC">
        <w:t>The trial judge is the captain of the ship; and it goes without saying that the ship will go in circles if the crew is running around the deck with no firm marching orders.</w:t>
      </w:r>
      <w:r w:rsidRPr="008F1266" w:rsidR="00FB716B">
        <w:t>’ </w:t>
      </w:r>
      <w:r w:rsidRPr="008F1266" w:rsidR="00F274FC">
        <w:t>”  (</w:t>
      </w:r>
      <w:r w:rsidRPr="008F1266" w:rsidR="00F274FC">
        <w:rPr>
          <w:i/>
          <w:iCs/>
        </w:rPr>
        <w:t>Williams</w:t>
      </w:r>
      <w:r w:rsidRPr="008F1266" w:rsidR="00F274FC">
        <w:t xml:space="preserve">, </w:t>
      </w:r>
      <w:r w:rsidRPr="008F1266" w:rsidR="00F274FC">
        <w:rPr>
          <w:i/>
          <w:iCs/>
        </w:rPr>
        <w:t>supra</w:t>
      </w:r>
      <w:r w:rsidRPr="008F1266" w:rsidR="00F274FC">
        <w:t>, 58 Cal.4th at p.</w:t>
      </w:r>
      <w:r w:rsidRPr="008F1266" w:rsidR="00FC1C4C">
        <w:t> </w:t>
      </w:r>
      <w:r w:rsidRPr="008F1266" w:rsidR="00F274FC">
        <w:t xml:space="preserve">251, quoting </w:t>
      </w:r>
      <w:r w:rsidRPr="008F1266" w:rsidR="00F274FC">
        <w:rPr>
          <w:i/>
          <w:iCs/>
        </w:rPr>
        <w:t xml:space="preserve">State v. Couture </w:t>
      </w:r>
      <w:r w:rsidRPr="008F1266" w:rsidR="00F274FC">
        <w:t xml:space="preserve">(2010) 357 Mont. 398, </w:t>
      </w:r>
      <w:r w:rsidRPr="008F1266" w:rsidR="00FF4416">
        <w:t>42</w:t>
      </w:r>
      <w:r w:rsidRPr="008F1266" w:rsidR="00FB716B">
        <w:t>7</w:t>
      </w:r>
      <w:r w:rsidRPr="008F1266" w:rsidR="00FF4416">
        <w:t>.)</w:t>
      </w:r>
    </w:p>
    <w:p w:rsidR="00465490" w:rsidP="00301C3B" w14:paraId="4E931370" w14:textId="77777777">
      <w:pPr>
        <w:pStyle w:val="Text"/>
        <w:spacing w:line="400" w:lineRule="exact"/>
        <w:ind w:firstLine="0"/>
      </w:pPr>
      <w:r w:rsidRPr="008F1266">
        <w:tab/>
        <w:t>Camacho’s</w:t>
      </w:r>
      <w:r w:rsidRPr="008F1266" w:rsidR="00EF0AE0">
        <w:t xml:space="preserve"> </w:t>
      </w:r>
      <w:r w:rsidRPr="008F1266">
        <w:t>case did indeed go in circles, and the trial court appears to bear some responsi</w:t>
      </w:r>
      <w:r w:rsidRPr="008F1266" w:rsidR="00205611">
        <w:t xml:space="preserve">bility.  </w:t>
      </w:r>
      <w:r w:rsidR="00A843D2">
        <w:t xml:space="preserve">From the </w:t>
      </w:r>
      <w:r w:rsidR="00770DDD">
        <w:t xml:space="preserve">limited </w:t>
      </w:r>
      <w:r w:rsidRPr="008F1266">
        <w:t>available record</w:t>
      </w:r>
      <w:r w:rsidR="00A843D2">
        <w:t>, it appears the trial court allowed long periods of time to elapse without setting a trial date at all</w:t>
      </w:r>
      <w:r w:rsidR="006E1106">
        <w:t>; if the trial court made efforts to move the case along, they are not apparent</w:t>
      </w:r>
      <w:r w:rsidR="00A843D2">
        <w:t xml:space="preserve">.  </w:t>
      </w:r>
    </w:p>
    <w:p w:rsidR="00921830" w:rsidRPr="008F1266" w:rsidP="00301C3B" w14:paraId="4E931371" w14:textId="77777777">
      <w:pPr>
        <w:pStyle w:val="Text"/>
        <w:spacing w:line="400" w:lineRule="exact"/>
        <w:ind w:firstLine="0"/>
      </w:pPr>
      <w:r w:rsidRPr="008F1266">
        <w:tab/>
        <w:t>The</w:t>
      </w:r>
      <w:r w:rsidRPr="008F1266" w:rsidR="00DF0F8E">
        <w:t xml:space="preserve"> Attorney General argues that the trial court’s conduct</w:t>
      </w:r>
      <w:r w:rsidR="00773772">
        <w:t xml:space="preserve"> </w:t>
      </w:r>
      <w:r w:rsidRPr="008F1266" w:rsidR="00DF0F8E">
        <w:t xml:space="preserve">is “more properly characterized as acceding in Camacho’s desire to delay trial rather than as negligence.”  </w:t>
      </w:r>
      <w:r w:rsidRPr="008F1266" w:rsidR="002F5B66">
        <w:t xml:space="preserve">But </w:t>
      </w:r>
      <w:r w:rsidRPr="008F1266" w:rsidR="00E471EB">
        <w:t xml:space="preserve">what we have said of the People is equally true of the trial court:  </w:t>
      </w:r>
      <w:r w:rsidRPr="008F1266" w:rsidR="00503DE0">
        <w:t xml:space="preserve">There are </w:t>
      </w:r>
      <w:r w:rsidRPr="008F1266" w:rsidR="004B7C2A">
        <w:t xml:space="preserve">risks and </w:t>
      </w:r>
      <w:r w:rsidRPr="008F1266" w:rsidR="00C45DBA">
        <w:t xml:space="preserve">drawbacks to a policy of </w:t>
      </w:r>
      <w:r w:rsidRPr="008F1266" w:rsidR="00503DE0">
        <w:t xml:space="preserve">readily acceding to </w:t>
      </w:r>
      <w:r w:rsidRPr="008F1266" w:rsidR="002F5B66">
        <w:t xml:space="preserve">an alleged SVP’s </w:t>
      </w:r>
      <w:r w:rsidRPr="008F1266" w:rsidR="004B7C2A">
        <w:t>perceived wishes</w:t>
      </w:r>
      <w:r w:rsidRPr="008F1266" w:rsidR="002F5B66">
        <w:t xml:space="preserve"> </w:t>
      </w:r>
      <w:r w:rsidRPr="008F1266" w:rsidR="004B7C2A">
        <w:t>to delay trial</w:t>
      </w:r>
      <w:r w:rsidRPr="008F1266" w:rsidR="001A4D2B">
        <w:t>.  Because trial courts ultimately control when trial will be held, they bear particular</w:t>
      </w:r>
      <w:r w:rsidR="006E1106">
        <w:t xml:space="preserve"> </w:t>
      </w:r>
      <w:r w:rsidRPr="008F1266" w:rsidR="001A4D2B">
        <w:t xml:space="preserve">responsibility for </w:t>
      </w:r>
      <w:r w:rsidRPr="008F1266" w:rsidR="009E3AEB">
        <w:t>preserving an alleged SVP’s constitutional right to a timely tria</w:t>
      </w:r>
      <w:r w:rsidRPr="008F1266" w:rsidR="009B5345">
        <w:t>l.</w:t>
      </w:r>
    </w:p>
    <w:p w:rsidR="00A2650D" w:rsidP="00301C3B" w14:paraId="4E931372" w14:textId="77777777">
      <w:pPr>
        <w:pStyle w:val="Text"/>
        <w:spacing w:line="400" w:lineRule="exact"/>
        <w:ind w:firstLine="0"/>
      </w:pPr>
      <w:r w:rsidRPr="008F1266">
        <w:tab/>
      </w:r>
      <w:r w:rsidRPr="008F1266" w:rsidR="00A63374">
        <w:t>T</w:t>
      </w:r>
      <w:r w:rsidRPr="008F1266" w:rsidR="00F32C5B">
        <w:t xml:space="preserve">rial courts </w:t>
      </w:r>
      <w:r w:rsidRPr="008F1266" w:rsidR="00A63374">
        <w:t>have a number of tools available t</w:t>
      </w:r>
      <w:r w:rsidRPr="008F1266" w:rsidR="006C4362">
        <w:t>o fulfill their</w:t>
      </w:r>
      <w:r w:rsidRPr="008F1266" w:rsidR="000D5A66">
        <w:t xml:space="preserve"> responsibility to advance a case to trial</w:t>
      </w:r>
      <w:r w:rsidR="000E6431">
        <w:t xml:space="preserve"> in a timely manner</w:t>
      </w:r>
      <w:r w:rsidRPr="008F1266" w:rsidR="00F32C5B">
        <w:t>.  C</w:t>
      </w:r>
      <w:r w:rsidRPr="008F1266">
        <w:t xml:space="preserve">ourts </w:t>
      </w:r>
      <w:r w:rsidR="0075174F">
        <w:t>should</w:t>
      </w:r>
      <w:r w:rsidRPr="008F1266" w:rsidR="0075174F">
        <w:t xml:space="preserve"> </w:t>
      </w:r>
      <w:r w:rsidRPr="008F1266" w:rsidR="000D5A66">
        <w:t xml:space="preserve">make affirmative inquiries </w:t>
      </w:r>
      <w:r w:rsidRPr="008F1266" w:rsidR="0095196D">
        <w:t>about the</w:t>
      </w:r>
      <w:r w:rsidRPr="008F1266" w:rsidR="00751AE5">
        <w:t xml:space="preserve"> procedural posture of </w:t>
      </w:r>
      <w:r w:rsidRPr="008F1266" w:rsidR="00A63374">
        <w:t>a</w:t>
      </w:r>
      <w:r w:rsidRPr="008F1266" w:rsidR="00751AE5">
        <w:t xml:space="preserve"> case and </w:t>
      </w:r>
      <w:r w:rsidR="000E6431">
        <w:t>the status of counsel’s trial preparation</w:t>
      </w:r>
      <w:r w:rsidR="00D87899">
        <w:t>;</w:t>
      </w:r>
      <w:r w:rsidRPr="008F1266" w:rsidR="001457EB">
        <w:t xml:space="preserve"> ask </w:t>
      </w:r>
      <w:r w:rsidR="000E6431">
        <w:t xml:space="preserve">alleged SVPs </w:t>
      </w:r>
      <w:r w:rsidRPr="008F1266" w:rsidR="001457EB">
        <w:t xml:space="preserve">about </w:t>
      </w:r>
      <w:r w:rsidR="004A6FC9">
        <w:t xml:space="preserve">their </w:t>
      </w:r>
      <w:r w:rsidRPr="008F1266" w:rsidR="001457EB">
        <w:t>wishes for the timing of trial</w:t>
      </w:r>
      <w:r w:rsidR="00D87899">
        <w:t xml:space="preserve"> (or, if the alleged SVP is not present, ask counsel whether </w:t>
      </w:r>
      <w:r w:rsidR="00457E45">
        <w:t xml:space="preserve">there is ongoing communication with </w:t>
      </w:r>
      <w:r w:rsidR="00D87899">
        <w:t xml:space="preserve">the alleged SVP about their wishes </w:t>
      </w:r>
      <w:r w:rsidR="00457E45">
        <w:t>regarding</w:t>
      </w:r>
      <w:r w:rsidR="00D87899">
        <w:t xml:space="preserve"> trial</w:t>
      </w:r>
      <w:r w:rsidR="00457E45">
        <w:t xml:space="preserve"> timing</w:t>
      </w:r>
      <w:r w:rsidR="00D87899">
        <w:t>);</w:t>
      </w:r>
      <w:r w:rsidRPr="008F1266" w:rsidR="00263FE7">
        <w:t xml:space="preserve"> </w:t>
      </w:r>
      <w:r w:rsidRPr="008F1266">
        <w:t>set a date for trial within a reasonable time from the probable cause hearing</w:t>
      </w:r>
      <w:r w:rsidR="00D14EE9">
        <w:t>;</w:t>
      </w:r>
      <w:r w:rsidRPr="008F1266">
        <w:t xml:space="preserve"> and carefully examin</w:t>
      </w:r>
      <w:r w:rsidRPr="008F1266" w:rsidR="000D5A66">
        <w:t>e</w:t>
      </w:r>
      <w:r w:rsidRPr="008F1266">
        <w:t xml:space="preserve"> the propriety of continuing that date once it has been set.  As in the criminal context, it is “ ‘entirely appropriate for the court to set deadlines and to hold the parties strictly to those deadlines.’ ”  (</w:t>
      </w:r>
      <w:r w:rsidRPr="008F1266">
        <w:rPr>
          <w:i/>
          <w:iCs/>
        </w:rPr>
        <w:t>Williams</w:t>
      </w:r>
      <w:r w:rsidRPr="008F1266">
        <w:t xml:space="preserve">, </w:t>
      </w:r>
      <w:r w:rsidRPr="008F1266">
        <w:rPr>
          <w:i/>
          <w:iCs/>
        </w:rPr>
        <w:t>supra</w:t>
      </w:r>
      <w:r w:rsidRPr="008F1266">
        <w:t xml:space="preserve">, 58 Cal.4th at p. 251.)  </w:t>
      </w:r>
    </w:p>
    <w:p w:rsidR="00FF04B3" w:rsidRPr="008F1266" w:rsidP="00301C3B" w14:paraId="4E931373" w14:textId="77777777">
      <w:pPr>
        <w:pStyle w:val="Text"/>
        <w:spacing w:line="400" w:lineRule="exact"/>
        <w:ind w:firstLine="0"/>
      </w:pPr>
      <w:r>
        <w:tab/>
      </w:r>
      <w:r w:rsidRPr="008F1266">
        <w:t xml:space="preserve">Indeed, </w:t>
      </w:r>
      <w:r w:rsidR="00E06283">
        <w:t xml:space="preserve">the recent </w:t>
      </w:r>
      <w:r w:rsidRPr="008F1266" w:rsidR="000D5A66">
        <w:t xml:space="preserve">amendments to the SVP Act now require </w:t>
      </w:r>
      <w:r w:rsidRPr="008F1266">
        <w:t>the court to proceed with a trial date, once set, unless a continuance is justified by good cause.  (Welf. &amp; Inst. Code, § 6603, subd. (c).)  To show good cause, the parties must provide written materials that detail “specific facts showing that a continuance is necessary.”  (</w:t>
      </w:r>
      <w:r w:rsidRPr="008F1266">
        <w:rPr>
          <w:i/>
          <w:iCs/>
        </w:rPr>
        <w:t>Ibid</w:t>
      </w:r>
      <w:r w:rsidRPr="008F1266">
        <w:t>.)  Wh</w:t>
      </w:r>
      <w:r w:rsidR="00BD4A52">
        <w:t xml:space="preserve">at constitutes </w:t>
      </w:r>
      <w:r w:rsidRPr="008F1266">
        <w:t>good cause will vary from case to case, but a party’s showing of good cause should generally demonstrate due diligence in preparing for trial.  Any continuance shall last “only for the period of time shown to be necessary” by the specific factual circumstances justifying the continuance.  (</w:t>
      </w:r>
      <w:r w:rsidRPr="008F1266">
        <w:rPr>
          <w:i/>
          <w:iCs/>
        </w:rPr>
        <w:t>Id</w:t>
      </w:r>
      <w:r w:rsidRPr="008F1266">
        <w:t>., subd. (c)(7).)  Even whe</w:t>
      </w:r>
      <w:r w:rsidR="00B47696">
        <w:t>n</w:t>
      </w:r>
      <w:r w:rsidRPr="008F1266">
        <w:t xml:space="preserve"> an alleged SVP has entered a time waiver, courts should remind the parties that a trial cannot be delayed indefinitely and must still be held within a reasonable timeframe.</w:t>
      </w:r>
    </w:p>
    <w:p w:rsidR="00812456" w:rsidP="00A5242B" w14:paraId="4E931374" w14:textId="77777777">
      <w:pPr>
        <w:pStyle w:val="Text"/>
        <w:spacing w:line="400" w:lineRule="exact"/>
        <w:ind w:firstLine="0"/>
      </w:pPr>
      <w:r w:rsidRPr="008F1266">
        <w:tab/>
      </w:r>
      <w:r w:rsidRPr="008F1266" w:rsidR="00DF55DD">
        <w:t xml:space="preserve">Trial courts </w:t>
      </w:r>
      <w:r w:rsidRPr="008F1266" w:rsidR="00E267BD">
        <w:t>also</w:t>
      </w:r>
      <w:r w:rsidRPr="008F1266" w:rsidR="000A6A82">
        <w:t xml:space="preserve"> bear the critical duty of</w:t>
      </w:r>
      <w:r w:rsidRPr="008F1266" w:rsidR="00E267BD">
        <w:t xml:space="preserve"> creating</w:t>
      </w:r>
      <w:r w:rsidRPr="008F1266" w:rsidR="00DF55DD">
        <w:t xml:space="preserve"> an adequate record </w:t>
      </w:r>
      <w:r w:rsidR="003A024C">
        <w:t xml:space="preserve">to enable </w:t>
      </w:r>
      <w:r w:rsidR="00A5242B">
        <w:t>review of any claims that trial has been unconstitutionally delayed.</w:t>
      </w:r>
      <w:r w:rsidRPr="008F1266" w:rsidR="00E267BD">
        <w:t xml:space="preserve">  </w:t>
      </w:r>
      <w:r w:rsidR="001E6F8E">
        <w:t xml:space="preserve">The limitations in the record of this case make </w:t>
      </w:r>
      <w:r w:rsidR="00C30466">
        <w:t>our review challenging</w:t>
      </w:r>
      <w:r w:rsidR="007760D8">
        <w:t xml:space="preserve">; </w:t>
      </w:r>
      <w:r w:rsidR="003A719B">
        <w:t>such record deficiencies are to be avoided in future cases, and should be helped through careful adherence to the requirements</w:t>
      </w:r>
      <w:r w:rsidR="002F77B4">
        <w:t xml:space="preserve"> of written justification under</w:t>
      </w:r>
      <w:r w:rsidR="003A719B">
        <w:t xml:space="preserve"> Welfare and Institutions Code section 6603, subdivision (c).</w:t>
      </w:r>
      <w:r>
        <w:rPr>
          <w:rStyle w:val="FootnoteReference"/>
        </w:rPr>
        <w:footnoteReference w:id="9"/>
      </w:r>
      <w:r w:rsidRPr="008F1266" w:rsidR="000A74A3">
        <w:t xml:space="preserve"> </w:t>
      </w:r>
    </w:p>
    <w:p w:rsidR="001C2BDE" w:rsidRPr="008F1266" w:rsidP="00773F1C" w14:paraId="4E931375" w14:textId="77777777">
      <w:pPr>
        <w:pStyle w:val="Text"/>
        <w:spacing w:line="400" w:lineRule="exact"/>
        <w:ind w:firstLine="0"/>
      </w:pPr>
      <w:r>
        <w:tab/>
      </w:r>
      <w:r w:rsidRPr="008F1266" w:rsidR="000A74A3">
        <w:t xml:space="preserve">Limited though </w:t>
      </w:r>
      <w:r w:rsidRPr="008F1266" w:rsidR="00F77142">
        <w:t xml:space="preserve">the record </w:t>
      </w:r>
      <w:r w:rsidRPr="008F1266" w:rsidR="000A74A3">
        <w:t>may be</w:t>
      </w:r>
      <w:r w:rsidR="00051DBE">
        <w:t xml:space="preserve"> in this case</w:t>
      </w:r>
      <w:r w:rsidRPr="008F1266" w:rsidR="000A74A3">
        <w:t xml:space="preserve">, </w:t>
      </w:r>
      <w:r>
        <w:t xml:space="preserve">however, </w:t>
      </w:r>
      <w:r w:rsidR="00A2650D">
        <w:t>both parties have</w:t>
      </w:r>
      <w:r w:rsidRPr="008F1266" w:rsidR="000A6A82">
        <w:t xml:space="preserve"> stipulated </w:t>
      </w:r>
      <w:r w:rsidR="00A2650D">
        <w:t>to a joint version of events</w:t>
      </w:r>
      <w:r w:rsidRPr="008F1266" w:rsidR="00717EFB">
        <w:t xml:space="preserve"> and</w:t>
      </w:r>
      <w:r w:rsidR="00A2650D">
        <w:t xml:space="preserve"> the </w:t>
      </w:r>
      <w:r w:rsidR="004167AA">
        <w:t xml:space="preserve">available </w:t>
      </w:r>
      <w:r w:rsidR="00A2650D">
        <w:t>record</w:t>
      </w:r>
      <w:r w:rsidRPr="008F1266" w:rsidR="00717EFB">
        <w:t xml:space="preserve"> supplies a sufficient basis for our decision today</w:t>
      </w:r>
      <w:r w:rsidRPr="008F1266" w:rsidR="000A6A82">
        <w:t xml:space="preserve">.  </w:t>
      </w:r>
      <w:r w:rsidR="00374887">
        <w:t xml:space="preserve">On this record, while the court </w:t>
      </w:r>
      <w:r w:rsidRPr="008F1266" w:rsidR="00742D82">
        <w:t>certainly</w:t>
      </w:r>
      <w:r w:rsidRPr="008F1266" w:rsidR="00983825">
        <w:t xml:space="preserve"> </w:t>
      </w:r>
      <w:r w:rsidR="00A54F34">
        <w:t>could have</w:t>
      </w:r>
      <w:r w:rsidRPr="008F1266" w:rsidR="00983825">
        <w:t xml:space="preserve"> done more to urge the </w:t>
      </w:r>
      <w:r w:rsidRPr="008F1266" w:rsidR="00AD4311">
        <w:t xml:space="preserve">case </w:t>
      </w:r>
      <w:r w:rsidRPr="008F1266" w:rsidR="00983825">
        <w:t>to trial and enforce deadlines</w:t>
      </w:r>
      <w:r w:rsidR="00374887">
        <w:t xml:space="preserve">, the responsibility for the delay rests </w:t>
      </w:r>
      <w:r w:rsidR="00773F1C">
        <w:t xml:space="preserve">primarily with the defense.  The </w:t>
      </w:r>
      <w:r w:rsidRPr="008F1266" w:rsidR="00B42649">
        <w:t xml:space="preserve">second </w:t>
      </w:r>
      <w:r w:rsidRPr="008F1266" w:rsidR="00983825">
        <w:rPr>
          <w:i/>
          <w:iCs/>
        </w:rPr>
        <w:t xml:space="preserve">Barker </w:t>
      </w:r>
      <w:r w:rsidRPr="008F1266" w:rsidR="00983825">
        <w:t xml:space="preserve">factor </w:t>
      </w:r>
      <w:r w:rsidR="00773F1C">
        <w:t xml:space="preserve">thus </w:t>
      </w:r>
      <w:r w:rsidRPr="008F1266" w:rsidR="00983825">
        <w:t>weighs against finding a violation of his</w:t>
      </w:r>
      <w:r w:rsidRPr="008F1266" w:rsidR="00AD4311">
        <w:t xml:space="preserve"> constitutional</w:t>
      </w:r>
      <w:r w:rsidRPr="008F1266" w:rsidR="00983825">
        <w:t xml:space="preserve"> right to a timely trial.</w:t>
      </w:r>
    </w:p>
    <w:p w:rsidR="004B1C78" w:rsidRPr="008F1266" w:rsidP="00301C3B" w14:paraId="4E931376" w14:textId="77777777">
      <w:pPr>
        <w:tabs>
          <w:tab w:val="left" w:pos="1440"/>
        </w:tabs>
        <w:jc w:val="center"/>
        <w:rPr>
          <w:b/>
          <w:bCs/>
        </w:rPr>
      </w:pPr>
      <w:r w:rsidRPr="008F1266">
        <w:rPr>
          <w:b/>
          <w:bCs/>
        </w:rPr>
        <w:t>C.</w:t>
      </w:r>
    </w:p>
    <w:p w:rsidR="00B60512" w:rsidRPr="008F1266" w:rsidP="00301C3B" w14:paraId="4E931377" w14:textId="77777777">
      <w:pPr>
        <w:tabs>
          <w:tab w:val="left" w:pos="1440"/>
        </w:tabs>
        <w:ind w:firstLine="720"/>
      </w:pPr>
      <w:r w:rsidRPr="008F1266">
        <w:t xml:space="preserve">Analysis of the third </w:t>
      </w:r>
      <w:r w:rsidRPr="008F1266">
        <w:rPr>
          <w:i/>
          <w:iCs/>
        </w:rPr>
        <w:t xml:space="preserve">Barker </w:t>
      </w:r>
      <w:r w:rsidRPr="008F1266">
        <w:t>factor, the petitioner’s assertion of his right to a timely trial, does not hinge on “</w:t>
      </w:r>
      <w:r w:rsidRPr="008F1266" w:rsidR="00FC1C4C">
        <w:t> </w:t>
      </w:r>
      <w:r w:rsidRPr="008F1266">
        <w:t>‘the number of times the accused acquiesced or objected; rather, the focus is on the surrounding circumstances, such as the timeliness, persistence, and sincerity of the objections, the reasons for the acquiescence, whether the accused was represented by counsel, the accused’s pretrial conduct (as that conduct bears on the speedy trial right), and so forth.  [Citation.]  The totality of the accused’s responses to the delay is indicative of whether he or she actually wanted a speedy trial.’</w:t>
      </w:r>
      <w:r w:rsidRPr="008F1266" w:rsidR="00FC1C4C">
        <w:t> </w:t>
      </w:r>
      <w:r w:rsidRPr="008F1266">
        <w:t>”  (</w:t>
      </w:r>
      <w:r w:rsidRPr="008F1266">
        <w:rPr>
          <w:i/>
          <w:iCs/>
        </w:rPr>
        <w:t>Williams</w:t>
      </w:r>
      <w:r w:rsidRPr="008F1266">
        <w:t xml:space="preserve">, </w:t>
      </w:r>
      <w:r w:rsidRPr="008F1266">
        <w:rPr>
          <w:i/>
          <w:iCs/>
        </w:rPr>
        <w:t>supra</w:t>
      </w:r>
      <w:r w:rsidRPr="008F1266">
        <w:t xml:space="preserve">, </w:t>
      </w:r>
      <w:r w:rsidRPr="008F1266" w:rsidR="004F01B9">
        <w:t xml:space="preserve">58 Cal.4th </w:t>
      </w:r>
      <w:r w:rsidRPr="008F1266">
        <w:t>at p.</w:t>
      </w:r>
      <w:r w:rsidRPr="008F1266" w:rsidR="00FC1C4C">
        <w:t> </w:t>
      </w:r>
      <w:r w:rsidRPr="008F1266">
        <w:t xml:space="preserve">238, quoting </w:t>
      </w:r>
      <w:r w:rsidRPr="008F1266">
        <w:rPr>
          <w:i/>
          <w:iCs/>
        </w:rPr>
        <w:t>State v. Couture</w:t>
      </w:r>
      <w:r w:rsidRPr="008F1266" w:rsidR="00FB716B">
        <w:t>,</w:t>
      </w:r>
      <w:r w:rsidRPr="008F1266" w:rsidR="00FB716B">
        <w:rPr>
          <w:i/>
          <w:iCs/>
        </w:rPr>
        <w:t xml:space="preserve"> supra</w:t>
      </w:r>
      <w:r w:rsidRPr="008F1266" w:rsidR="00FB716B">
        <w:t>,</w:t>
      </w:r>
      <w:r w:rsidRPr="008F1266">
        <w:t xml:space="preserve"> 357 Mont.</w:t>
      </w:r>
      <w:r w:rsidRPr="008F1266" w:rsidR="00FB716B">
        <w:t xml:space="preserve"> at p. </w:t>
      </w:r>
      <w:r w:rsidRPr="008F1266" w:rsidR="00C34EAB">
        <w:t>417</w:t>
      </w:r>
      <w:r w:rsidRPr="008F1266">
        <w:t>.)</w:t>
      </w:r>
      <w:r w:rsidRPr="008F1266" w:rsidR="00225294">
        <w:t xml:space="preserve">  </w:t>
      </w:r>
      <w:r w:rsidRPr="008F1266" w:rsidR="00507ABA">
        <w:t>Viewing</w:t>
      </w:r>
      <w:r w:rsidRPr="008F1266" w:rsidR="00225294">
        <w:t xml:space="preserve"> the complete picture matters because “[t]he more serious the deprivation [of the right to a </w:t>
      </w:r>
      <w:r w:rsidR="00770DDD">
        <w:t>speedy</w:t>
      </w:r>
      <w:r w:rsidRPr="008F1266" w:rsidR="00770DDD">
        <w:t xml:space="preserve"> </w:t>
      </w:r>
      <w:r w:rsidRPr="008F1266" w:rsidR="00225294">
        <w:t>trial], the more likely a defendant is to complain.”  (</w:t>
      </w:r>
      <w:r w:rsidRPr="008F1266" w:rsidR="00225294">
        <w:rPr>
          <w:i/>
          <w:iCs/>
        </w:rPr>
        <w:t>Barker</w:t>
      </w:r>
      <w:r w:rsidRPr="008F1266" w:rsidR="00225294">
        <w:t xml:space="preserve">, </w:t>
      </w:r>
      <w:r w:rsidRPr="008F1266" w:rsidR="00225294">
        <w:rPr>
          <w:i/>
          <w:iCs/>
        </w:rPr>
        <w:t>supra</w:t>
      </w:r>
      <w:r w:rsidRPr="008F1266" w:rsidR="00225294">
        <w:t>, 407 U.S. at p.</w:t>
      </w:r>
      <w:r w:rsidRPr="008F1266" w:rsidR="00FC1C4C">
        <w:t> </w:t>
      </w:r>
      <w:r w:rsidRPr="008F1266" w:rsidR="00225294">
        <w:t>531.)</w:t>
      </w:r>
    </w:p>
    <w:p w:rsidR="00B93407" w:rsidRPr="008F1266" w:rsidP="00301C3B" w14:paraId="4E931378" w14:textId="77777777">
      <w:pPr>
        <w:tabs>
          <w:tab w:val="left" w:pos="1440"/>
        </w:tabs>
        <w:ind w:firstLine="720"/>
      </w:pPr>
      <w:r w:rsidRPr="008F1266">
        <w:t>It bears some emphasis that assertion of the right is only one factor in the analysis, and not a dispositive one</w:t>
      </w:r>
      <w:r w:rsidRPr="008F1266" w:rsidR="00BA7AC2">
        <w:t xml:space="preserve">; in </w:t>
      </w:r>
      <w:r w:rsidRPr="008F1266" w:rsidR="00BA7AC2">
        <w:rPr>
          <w:i/>
          <w:iCs/>
        </w:rPr>
        <w:t>Barker</w:t>
      </w:r>
      <w:r w:rsidRPr="008F1266" w:rsidR="00BA7AC2">
        <w:t xml:space="preserve">, the court explicitly rejected the argument that a defendant must expressly demand a speedy trial or else </w:t>
      </w:r>
      <w:r w:rsidR="008D345F">
        <w:t xml:space="preserve">be deemed to have </w:t>
      </w:r>
      <w:r w:rsidRPr="008F1266" w:rsidR="00BA7AC2">
        <w:t>waive</w:t>
      </w:r>
      <w:r w:rsidR="008D345F">
        <w:t>d</w:t>
      </w:r>
      <w:r w:rsidRPr="008F1266" w:rsidR="00BA7AC2">
        <w:t xml:space="preserve"> the right.</w:t>
      </w:r>
      <w:r w:rsidRPr="008F1266" w:rsidR="00CC6E3F">
        <w:t xml:space="preserve">  </w:t>
      </w:r>
      <w:r w:rsidRPr="008F1266" w:rsidR="007F0D68">
        <w:t>(</w:t>
      </w:r>
      <w:r w:rsidRPr="008F1266" w:rsidR="007F0D68">
        <w:rPr>
          <w:i/>
          <w:iCs/>
        </w:rPr>
        <w:t>Barker</w:t>
      </w:r>
      <w:r w:rsidRPr="008F1266" w:rsidR="007F0D68">
        <w:t xml:space="preserve">, </w:t>
      </w:r>
      <w:r w:rsidRPr="008F1266" w:rsidR="007F0D68">
        <w:rPr>
          <w:i/>
          <w:iCs/>
        </w:rPr>
        <w:t>supra</w:t>
      </w:r>
      <w:r w:rsidRPr="008F1266" w:rsidR="007F0D68">
        <w:t xml:space="preserve">, </w:t>
      </w:r>
      <w:r w:rsidRPr="008F1266" w:rsidR="004F01B9">
        <w:t xml:space="preserve">407 U.S. </w:t>
      </w:r>
      <w:r w:rsidRPr="008F1266" w:rsidR="007F0D68">
        <w:t>at p.</w:t>
      </w:r>
      <w:r w:rsidRPr="008F1266" w:rsidR="00FC1C4C">
        <w:t> </w:t>
      </w:r>
      <w:r w:rsidRPr="008F1266" w:rsidR="007F0D68">
        <w:t>528.)</w:t>
      </w:r>
      <w:r w:rsidRPr="008F1266" w:rsidR="00A11D38">
        <w:t xml:space="preserve">  Instead, the court instructed that </w:t>
      </w:r>
      <w:r w:rsidRPr="008F1266" w:rsidR="00F167D9">
        <w:t>“the defendant’s assertion of or failure to assert his right to a speedy trial” is just one factor to balance against the others</w:t>
      </w:r>
      <w:r w:rsidRPr="008F1266" w:rsidR="00F41A57">
        <w:t xml:space="preserve"> and must be evaluated in a holistic manner</w:t>
      </w:r>
      <w:r w:rsidRPr="008F1266" w:rsidR="00F167D9">
        <w:t>.  (</w:t>
      </w:r>
      <w:r w:rsidRPr="008F1266" w:rsidR="004F01B9">
        <w:rPr>
          <w:i/>
          <w:iCs/>
        </w:rPr>
        <w:t>Ibid</w:t>
      </w:r>
      <w:r w:rsidRPr="008F1266" w:rsidR="00F167D9">
        <w:t>.)</w:t>
      </w:r>
      <w:r w:rsidRPr="008F1266" w:rsidR="00E73482">
        <w:t xml:space="preserve">  This flexib</w:t>
      </w:r>
      <w:r w:rsidRPr="008F1266" w:rsidR="00C13BD8">
        <w:t xml:space="preserve">ility </w:t>
      </w:r>
      <w:r w:rsidRPr="008F1266" w:rsidR="00E73482">
        <w:t>allows courts “to attach a different weight to a situation in which the defendant knowingly fails to object from a situation in which his attorney acquiesces in long delay without adequately informing his client, or from a situation in which no counsel is appointed.”  (</w:t>
      </w:r>
      <w:r w:rsidRPr="008F1266" w:rsidR="004F01B9">
        <w:rPr>
          <w:i/>
          <w:iCs/>
        </w:rPr>
        <w:t>Id.</w:t>
      </w:r>
      <w:r w:rsidRPr="008F1266" w:rsidR="00E73482">
        <w:t xml:space="preserve"> at p.</w:t>
      </w:r>
      <w:r w:rsidRPr="008F1266" w:rsidR="00FC1C4C">
        <w:t> </w:t>
      </w:r>
      <w:r w:rsidRPr="008F1266" w:rsidR="00E73482">
        <w:t>529.)</w:t>
      </w:r>
      <w:r w:rsidRPr="008F1266" w:rsidR="00225294">
        <w:t xml:space="preserve">  The high court emphasized, however, that “failure to assert the right will make it difficult for a defendant to prove that he was denied a speedy trial.”  (</w:t>
      </w:r>
      <w:r w:rsidRPr="008F1266" w:rsidR="00225294">
        <w:rPr>
          <w:i/>
          <w:iCs/>
        </w:rPr>
        <w:t>Id</w:t>
      </w:r>
      <w:r w:rsidRPr="008F1266" w:rsidR="00225294">
        <w:t>. at p.</w:t>
      </w:r>
      <w:r w:rsidRPr="008F1266" w:rsidR="00FC1C4C">
        <w:t> </w:t>
      </w:r>
      <w:r w:rsidRPr="008F1266" w:rsidR="00225294">
        <w:t>532.)</w:t>
      </w:r>
    </w:p>
    <w:p w:rsidR="00742D82" w:rsidRPr="008F1266" w:rsidP="00301C3B" w14:paraId="4E931379" w14:textId="77777777">
      <w:pPr>
        <w:tabs>
          <w:tab w:val="left" w:pos="1440"/>
        </w:tabs>
        <w:ind w:firstLine="720"/>
      </w:pPr>
      <w:r w:rsidRPr="008F1266">
        <w:t>According to the available record, Camacho first demanded trial in October 2018.</w:t>
      </w:r>
      <w:r w:rsidRPr="008F1266" w:rsidR="0053189D">
        <w:t xml:space="preserve">  Camacho did</w:t>
      </w:r>
      <w:r w:rsidRPr="008F1266">
        <w:t xml:space="preserve"> not demand</w:t>
      </w:r>
      <w:r w:rsidRPr="008F1266" w:rsidR="00D376F6">
        <w:t xml:space="preserve"> trial at any point over the previous decade, including in </w:t>
      </w:r>
      <w:r w:rsidRPr="008F1266" w:rsidR="00926936">
        <w:t>Ju</w:t>
      </w:r>
      <w:r w:rsidRPr="008F1266" w:rsidR="00877E2E">
        <w:t>ly</w:t>
      </w:r>
      <w:r w:rsidRPr="008F1266" w:rsidR="00926936">
        <w:t xml:space="preserve"> </w:t>
      </w:r>
      <w:r w:rsidRPr="008F1266" w:rsidR="00D376F6">
        <w:t xml:space="preserve">2018, when he </w:t>
      </w:r>
      <w:r w:rsidRPr="008F1266" w:rsidR="00194768">
        <w:t xml:space="preserve">made </w:t>
      </w:r>
      <w:r w:rsidRPr="008F1266" w:rsidR="00A6792F">
        <w:t xml:space="preserve">his first court appearance </w:t>
      </w:r>
      <w:r w:rsidRPr="008F1266" w:rsidR="003D778F">
        <w:t>in eight years</w:t>
      </w:r>
      <w:r w:rsidRPr="008F1266">
        <w:t xml:space="preserve">.  There is no evidence that he previously asked </w:t>
      </w:r>
      <w:r w:rsidRPr="008F1266" w:rsidR="00384BFF">
        <w:t xml:space="preserve">Davis </w:t>
      </w:r>
      <w:r w:rsidRPr="008F1266">
        <w:t xml:space="preserve">to </w:t>
      </w:r>
      <w:r w:rsidRPr="008F1266" w:rsidR="00384BFF">
        <w:t xml:space="preserve">go to trial </w:t>
      </w:r>
      <w:r w:rsidRPr="008F1266" w:rsidR="00FF2A35">
        <w:t>and was ignored</w:t>
      </w:r>
      <w:r w:rsidRPr="008F1266" w:rsidR="00384BFF">
        <w:t xml:space="preserve">; nor does he allege an inability to communicate with Davis during his eight-year absence from court.  </w:t>
      </w:r>
      <w:bookmarkStart w:id="12" w:name="_Hlk143169259"/>
      <w:r w:rsidRPr="008F1266" w:rsidR="00A640E0">
        <w:t xml:space="preserve">Camacho was free to offer </w:t>
      </w:r>
      <w:r w:rsidR="00457E45">
        <w:t xml:space="preserve">evidence that defense counsel acted </w:t>
      </w:r>
      <w:r w:rsidR="00C64D75">
        <w:t>against</w:t>
      </w:r>
      <w:r w:rsidR="00457E45">
        <w:t xml:space="preserve"> his wishes in delaying trial </w:t>
      </w:r>
      <w:r w:rsidRPr="008F1266" w:rsidR="00A2229C">
        <w:t>when he filed his motion to dismiss, but he did not do so.</w:t>
      </w:r>
      <w:r w:rsidRPr="008F1266" w:rsidR="00A640E0">
        <w:t xml:space="preserve"> </w:t>
      </w:r>
      <w:bookmarkEnd w:id="12"/>
      <w:r w:rsidRPr="008F1266" w:rsidR="00746A1A">
        <w:t xml:space="preserve"> </w:t>
      </w:r>
      <w:r w:rsidRPr="008F1266" w:rsidR="00FF2A35">
        <w:t>In sum, there is no</w:t>
      </w:r>
      <w:r w:rsidRPr="008F1266" w:rsidR="00384BFF">
        <w:t xml:space="preserve"> evidence that Camacho</w:t>
      </w:r>
      <w:r w:rsidRPr="008F1266" w:rsidR="00A6792F">
        <w:t xml:space="preserve"> </w:t>
      </w:r>
      <w:r w:rsidRPr="008F1266" w:rsidR="00225294">
        <w:t>sought</w:t>
      </w:r>
      <w:r w:rsidRPr="008F1266" w:rsidR="00384BFF">
        <w:t xml:space="preserve"> to go to trial before October 2018 and was prevented from exercising his right to do so</w:t>
      </w:r>
      <w:r w:rsidRPr="008F1266" w:rsidR="00FF2A35">
        <w:t xml:space="preserve">.  </w:t>
      </w:r>
      <w:r w:rsidRPr="008F1266" w:rsidR="00225294">
        <w:t>On this record, we</w:t>
      </w:r>
      <w:r w:rsidRPr="008F1266" w:rsidR="00384BFF">
        <w:t xml:space="preserve"> </w:t>
      </w:r>
      <w:r w:rsidRPr="008F1266" w:rsidR="00FF2A35">
        <w:t xml:space="preserve">are not persuaded that Camacho desired trial before October 2018 and </w:t>
      </w:r>
      <w:r w:rsidR="00770DDD">
        <w:t xml:space="preserve">we </w:t>
      </w:r>
      <w:r w:rsidRPr="008F1266" w:rsidR="00FF2A35">
        <w:t>conclude</w:t>
      </w:r>
      <w:r w:rsidRPr="008F1266" w:rsidR="00384BFF">
        <w:t xml:space="preserve"> this </w:t>
      </w:r>
      <w:r w:rsidRPr="008F1266" w:rsidR="00384BFF">
        <w:rPr>
          <w:i/>
          <w:iCs/>
        </w:rPr>
        <w:t xml:space="preserve">Barker </w:t>
      </w:r>
      <w:r w:rsidRPr="008F1266" w:rsidR="00384BFF">
        <w:t>factor weighs against his claim of a due process violation.</w:t>
      </w:r>
      <w:r w:rsidRPr="008F1266" w:rsidR="00B42649">
        <w:rPr>
          <w:rStyle w:val="FootnoteReference"/>
        </w:rPr>
        <w:t xml:space="preserve"> </w:t>
      </w:r>
      <w:r w:rsidRPr="008F1266" w:rsidR="00384BFF">
        <w:t xml:space="preserve"> </w:t>
      </w:r>
    </w:p>
    <w:p w:rsidR="00954E2E" w:rsidRPr="008F1266" w:rsidP="00301C3B" w14:paraId="4E93137A" w14:textId="77777777">
      <w:pPr>
        <w:tabs>
          <w:tab w:val="left" w:pos="1440"/>
        </w:tabs>
        <w:jc w:val="center"/>
        <w:rPr>
          <w:b/>
          <w:bCs/>
        </w:rPr>
      </w:pPr>
      <w:r w:rsidRPr="008F1266">
        <w:rPr>
          <w:b/>
          <w:bCs/>
        </w:rPr>
        <w:t>D.</w:t>
      </w:r>
    </w:p>
    <w:p w:rsidR="00CA211A" w:rsidRPr="008F1266" w:rsidP="00301C3B" w14:paraId="4E93137B" w14:textId="77777777">
      <w:pPr>
        <w:tabs>
          <w:tab w:val="left" w:pos="1440"/>
        </w:tabs>
        <w:ind w:firstLine="720"/>
      </w:pPr>
      <w:bookmarkStart w:id="13" w:name="_Hlk126851604"/>
      <w:r w:rsidRPr="008F1266">
        <w:t xml:space="preserve">The final </w:t>
      </w:r>
      <w:r w:rsidRPr="008F1266">
        <w:rPr>
          <w:i/>
          <w:iCs/>
        </w:rPr>
        <w:t>Barker</w:t>
      </w:r>
      <w:r w:rsidRPr="008F1266">
        <w:t xml:space="preserve"> factor is the prejudice</w:t>
      </w:r>
      <w:r w:rsidRPr="008F1266" w:rsidR="001F0E50">
        <w:t xml:space="preserve"> to the defendant</w:t>
      </w:r>
      <w:r w:rsidRPr="008F1266">
        <w:t xml:space="preserve"> caused by the delay in </w:t>
      </w:r>
      <w:r w:rsidRPr="008F1266" w:rsidR="001F0E50">
        <w:t xml:space="preserve">bringing the case to trial.  </w:t>
      </w:r>
      <w:r w:rsidRPr="008F1266" w:rsidR="00844F99">
        <w:t>“Prejudice, of course, should be assessed in the light of the interests of defendants which the speedy trial right was designed to protect.”  (</w:t>
      </w:r>
      <w:r w:rsidRPr="008F1266" w:rsidR="00844F99">
        <w:rPr>
          <w:i/>
          <w:iCs/>
        </w:rPr>
        <w:t>Barker</w:t>
      </w:r>
      <w:r w:rsidRPr="008F1266" w:rsidR="00844F99">
        <w:t xml:space="preserve">, </w:t>
      </w:r>
      <w:r w:rsidRPr="008F1266" w:rsidR="00797D83">
        <w:rPr>
          <w:i/>
          <w:iCs/>
        </w:rPr>
        <w:t>supra</w:t>
      </w:r>
      <w:r w:rsidRPr="008F1266" w:rsidR="00797D83">
        <w:t xml:space="preserve">, </w:t>
      </w:r>
      <w:r w:rsidRPr="008F1266" w:rsidR="00844F99">
        <w:t>407 U.S. at p.</w:t>
      </w:r>
      <w:r w:rsidRPr="008F1266" w:rsidR="00FC1C4C">
        <w:t> </w:t>
      </w:r>
      <w:r w:rsidRPr="008F1266" w:rsidR="00844F99">
        <w:t xml:space="preserve">532.)  </w:t>
      </w:r>
      <w:r w:rsidRPr="008F1266" w:rsidR="00D34CA1">
        <w:t>In the criminal context, the court has identified “three such interests:  (</w:t>
      </w:r>
      <w:r w:rsidRPr="008F1266" w:rsidR="00FB716B">
        <w:t>i</w:t>
      </w:r>
      <w:r w:rsidRPr="008F1266" w:rsidR="00D34CA1">
        <w:t>) to prevent oppressive pretrial incarceration; (ii)</w:t>
      </w:r>
      <w:r w:rsidRPr="008F1266" w:rsidR="00EA3FEA">
        <w:t> </w:t>
      </w:r>
      <w:r w:rsidRPr="008F1266" w:rsidR="00D34CA1">
        <w:t>to minimize anxiety and concern of the accused; and (iii) to limit the possibility that the defense will be impaired.”  (</w:t>
      </w:r>
      <w:r w:rsidRPr="008F1266" w:rsidR="00D34CA1">
        <w:rPr>
          <w:i/>
          <w:iCs/>
        </w:rPr>
        <w:t>Ibid.</w:t>
      </w:r>
      <w:r w:rsidRPr="008F1266" w:rsidR="00D34CA1">
        <w:t>)</w:t>
      </w:r>
      <w:r w:rsidRPr="008F1266" w:rsidR="00AD4968">
        <w:t xml:space="preserve">  </w:t>
      </w:r>
      <w:r w:rsidRPr="008F1266">
        <w:t xml:space="preserve">In the SVP context, we consider the same interests, but acknowledge differences in how the interests arise.  </w:t>
      </w:r>
    </w:p>
    <w:p w:rsidR="00D44290" w:rsidRPr="008F1266" w:rsidP="00301C3B" w14:paraId="4E93137C" w14:textId="77777777">
      <w:pPr>
        <w:tabs>
          <w:tab w:val="left" w:pos="1440"/>
        </w:tabs>
        <w:ind w:firstLine="720"/>
      </w:pPr>
      <w:r w:rsidRPr="008F1266">
        <w:t xml:space="preserve">We </w:t>
      </w:r>
      <w:r w:rsidRPr="008F1266" w:rsidR="003115EF">
        <w:t>begin with</w:t>
      </w:r>
      <w:r w:rsidRPr="008F1266">
        <w:t xml:space="preserve"> the </w:t>
      </w:r>
      <w:r w:rsidRPr="008F1266" w:rsidR="003115EF">
        <w:t xml:space="preserve">“most serious” </w:t>
      </w:r>
      <w:r w:rsidRPr="008F1266">
        <w:t>interest</w:t>
      </w:r>
      <w:r w:rsidRPr="008F1266" w:rsidR="00797D83">
        <w:t>:</w:t>
      </w:r>
      <w:r w:rsidRPr="008F1266">
        <w:t xml:space="preserve"> </w:t>
      </w:r>
      <w:r w:rsidRPr="008F1266" w:rsidR="00CF3D16">
        <w:t xml:space="preserve"> </w:t>
      </w:r>
      <w:r w:rsidRPr="008F1266">
        <w:t>the “possibility that the defense will be impaired</w:t>
      </w:r>
      <w:r w:rsidRPr="008F1266" w:rsidR="00797D83">
        <w:t>.</w:t>
      </w:r>
      <w:r w:rsidRPr="008F1266">
        <w:t>”</w:t>
      </w:r>
      <w:r w:rsidRPr="008F1266" w:rsidR="00797D83">
        <w:t xml:space="preserve">  (</w:t>
      </w:r>
      <w:r w:rsidRPr="008F1266" w:rsidR="00797D83">
        <w:rPr>
          <w:i/>
          <w:iCs/>
        </w:rPr>
        <w:t>Barker</w:t>
      </w:r>
      <w:r w:rsidRPr="008F1266" w:rsidR="00797D83">
        <w:t xml:space="preserve">, </w:t>
      </w:r>
      <w:r w:rsidRPr="008F1266" w:rsidR="00797D83">
        <w:rPr>
          <w:i/>
          <w:iCs/>
        </w:rPr>
        <w:t>supra</w:t>
      </w:r>
      <w:r w:rsidRPr="008F1266" w:rsidR="00797D83">
        <w:t>, 407 U.S. at p.</w:t>
      </w:r>
      <w:r w:rsidRPr="008F1266" w:rsidR="00FC1C4C">
        <w:t> </w:t>
      </w:r>
      <w:r w:rsidRPr="008F1266" w:rsidR="00797D83">
        <w:t xml:space="preserve">532.) </w:t>
      </w:r>
      <w:r w:rsidRPr="008F1266">
        <w:t xml:space="preserve"> </w:t>
      </w:r>
      <w:r w:rsidRPr="008F1266" w:rsidR="00797D83">
        <w:t>T</w:t>
      </w:r>
      <w:r w:rsidRPr="008F1266">
        <w:t xml:space="preserve">he </w:t>
      </w:r>
      <w:r w:rsidRPr="008F1266" w:rsidR="00CA211A">
        <w:rPr>
          <w:i/>
          <w:iCs/>
        </w:rPr>
        <w:t>Barker</w:t>
      </w:r>
      <w:r w:rsidRPr="008F1266">
        <w:t xml:space="preserve"> </w:t>
      </w:r>
      <w:r w:rsidRPr="008F1266" w:rsidR="00CA211A">
        <w:t>court identified th</w:t>
      </w:r>
      <w:r w:rsidRPr="008F1266">
        <w:t xml:space="preserve">is </w:t>
      </w:r>
      <w:r w:rsidRPr="008F1266" w:rsidR="00CA211A">
        <w:t xml:space="preserve">as </w:t>
      </w:r>
      <w:r w:rsidRPr="008F1266" w:rsidR="003115EF">
        <w:t>the most important</w:t>
      </w:r>
      <w:r w:rsidRPr="008F1266" w:rsidR="00CA211A">
        <w:t xml:space="preserve"> </w:t>
      </w:r>
      <w:r w:rsidRPr="008F1266" w:rsidR="003115EF">
        <w:t xml:space="preserve">interest covered by the </w:t>
      </w:r>
      <w:r w:rsidR="00D46BA0">
        <w:t xml:space="preserve">Sixth Amendment </w:t>
      </w:r>
      <w:r w:rsidRPr="008F1266" w:rsidR="003115EF">
        <w:t>speedy trial right</w:t>
      </w:r>
      <w:r w:rsidRPr="008F1266" w:rsidR="00797D83">
        <w:t xml:space="preserve">, since </w:t>
      </w:r>
      <w:r w:rsidRPr="008F1266" w:rsidR="00367DE5">
        <w:t xml:space="preserve">impairment </w:t>
      </w:r>
      <w:r w:rsidRPr="008F1266" w:rsidR="00CA211A">
        <w:t>to a</w:t>
      </w:r>
      <w:r w:rsidRPr="008F1266" w:rsidR="00797D83">
        <w:t>n</w:t>
      </w:r>
      <w:r w:rsidRPr="008F1266" w:rsidR="00CA211A">
        <w:t xml:space="preserve"> </w:t>
      </w:r>
      <w:r w:rsidRPr="008F1266" w:rsidR="00797D83">
        <w:t>individual’s</w:t>
      </w:r>
      <w:r w:rsidRPr="008F1266" w:rsidR="00CA211A">
        <w:t xml:space="preserve"> ability to </w:t>
      </w:r>
      <w:r w:rsidRPr="008F1266" w:rsidR="00797D83">
        <w:t>present</w:t>
      </w:r>
      <w:r w:rsidRPr="008F1266" w:rsidR="00CA211A">
        <w:t xml:space="preserve"> a defense</w:t>
      </w:r>
      <w:r w:rsidRPr="008F1266" w:rsidR="00797D83">
        <w:t xml:space="preserve"> </w:t>
      </w:r>
      <w:r w:rsidRPr="008F1266" w:rsidR="00367DE5">
        <w:t>“skews the fairness of the entire system.”  (</w:t>
      </w:r>
      <w:r w:rsidRPr="00A54B87" w:rsidR="00A54B87">
        <w:rPr>
          <w:i/>
          <w:iCs/>
        </w:rPr>
        <w:t>Barker</w:t>
      </w:r>
      <w:r w:rsidR="00A54B87">
        <w:t>, at p. 532</w:t>
      </w:r>
      <w:r w:rsidRPr="008F1266" w:rsidR="00367DE5">
        <w:rPr>
          <w:i/>
          <w:iCs/>
        </w:rPr>
        <w:t>.</w:t>
      </w:r>
      <w:r w:rsidRPr="008F1266" w:rsidR="00367DE5">
        <w:t xml:space="preserve">)  </w:t>
      </w:r>
      <w:r w:rsidRPr="008F1266" w:rsidR="00797D83">
        <w:t>Of course</w:t>
      </w:r>
      <w:r w:rsidRPr="008F1266" w:rsidR="00367DE5">
        <w:t>, not every case raises such concerns</w:t>
      </w:r>
      <w:r w:rsidRPr="008F1266" w:rsidR="00013F02">
        <w:t xml:space="preserve">; indeed, a criminal defendant may affirmatively deploy delay as a “defense tactic.”  </w:t>
      </w:r>
      <w:r w:rsidRPr="008F1266" w:rsidR="00E152D5">
        <w:t>(</w:t>
      </w:r>
      <w:r w:rsidRPr="008F1266" w:rsidR="00FB716B">
        <w:rPr>
          <w:i/>
          <w:iCs/>
        </w:rPr>
        <w:t>Id</w:t>
      </w:r>
      <w:r w:rsidRPr="008F1266" w:rsidR="00FB716B">
        <w:t>.</w:t>
      </w:r>
      <w:r w:rsidRPr="008F1266" w:rsidR="00E152D5">
        <w:t xml:space="preserve"> at p.</w:t>
      </w:r>
      <w:r w:rsidRPr="008F1266" w:rsidR="00FC1C4C">
        <w:t> </w:t>
      </w:r>
      <w:r w:rsidRPr="008F1266" w:rsidR="00E152D5">
        <w:t>521.)</w:t>
      </w:r>
      <w:r w:rsidRPr="008F1266" w:rsidR="00B27A37">
        <w:t xml:space="preserve">  “[U]nlike the right to counsel or the right to be free from compelled self-incrimination, deprivation of the right to speedy trial does not </w:t>
      </w:r>
      <w:r w:rsidRPr="008F1266" w:rsidR="00B27A37">
        <w:rPr>
          <w:i/>
          <w:iCs/>
        </w:rPr>
        <w:t>per se</w:t>
      </w:r>
      <w:r w:rsidRPr="008F1266" w:rsidR="00B27A37">
        <w:t xml:space="preserve"> prejudice the accused’s ability to defend himself.”  (</w:t>
      </w:r>
      <w:r w:rsidRPr="008F1266" w:rsidR="00B27A37">
        <w:rPr>
          <w:i/>
          <w:iCs/>
        </w:rPr>
        <w:t>Ibid.</w:t>
      </w:r>
      <w:r w:rsidRPr="008F1266" w:rsidR="00B27A37">
        <w:t>)</w:t>
      </w:r>
      <w:r w:rsidRPr="008F1266" w:rsidR="00797D83">
        <w:t xml:space="preserve">  But in many </w:t>
      </w:r>
      <w:r w:rsidR="00D46BA0">
        <w:t xml:space="preserve">criminal </w:t>
      </w:r>
      <w:r w:rsidRPr="008F1266" w:rsidR="00797D83">
        <w:t xml:space="preserve">cases, a period of lengthy pretrial delay may </w:t>
      </w:r>
      <w:r w:rsidRPr="008F1266" w:rsidR="00204ECF">
        <w:t xml:space="preserve">impose </w:t>
      </w:r>
      <w:r w:rsidRPr="008F1266" w:rsidR="00797D83">
        <w:t>real detriment to an individual’s ability to mount a defense; defense witnesses may die, disappear, or lose their memory of the relevant events.  (</w:t>
      </w:r>
      <w:r w:rsidRPr="008F1266" w:rsidR="00CF3D16">
        <w:rPr>
          <w:i/>
          <w:iCs/>
        </w:rPr>
        <w:t>Id.</w:t>
      </w:r>
      <w:r w:rsidRPr="008F1266" w:rsidR="00797D83">
        <w:t xml:space="preserve"> at p.</w:t>
      </w:r>
      <w:r w:rsidRPr="008F1266" w:rsidR="00FC1C4C">
        <w:t> </w:t>
      </w:r>
      <w:r w:rsidRPr="008F1266" w:rsidR="00797D83">
        <w:t>532.)  Because “time’s erosion of exculpatory evidence and testimony ‘can rarely be shown’ .</w:t>
      </w:r>
      <w:r w:rsidRPr="008F1266" w:rsidR="00FC1C4C">
        <w:t> </w:t>
      </w:r>
      <w:r w:rsidRPr="008F1266" w:rsidR="00797D83">
        <w:t>.</w:t>
      </w:r>
      <w:r w:rsidRPr="008F1266" w:rsidR="00FC1C4C">
        <w:t> </w:t>
      </w:r>
      <w:r w:rsidRPr="008F1266" w:rsidR="00797D83">
        <w:t>. we generally have to recognize that excessive delay presumptively compromises the reliability of a trial in ways that neither party can prove or, for that matter, identify.”  (</w:t>
      </w:r>
      <w:r w:rsidRPr="008F1266" w:rsidR="00797D83">
        <w:rPr>
          <w:i/>
          <w:iCs/>
        </w:rPr>
        <w:t>Doggett</w:t>
      </w:r>
      <w:r w:rsidRPr="008F1266" w:rsidR="00797D83">
        <w:t xml:space="preserve">, </w:t>
      </w:r>
      <w:r w:rsidRPr="008F1266" w:rsidR="00797D83">
        <w:rPr>
          <w:i/>
          <w:iCs/>
        </w:rPr>
        <w:t>supra</w:t>
      </w:r>
      <w:r w:rsidRPr="008F1266" w:rsidR="00797D83">
        <w:t>, 505 U.S. at p.</w:t>
      </w:r>
      <w:r w:rsidRPr="008F1266" w:rsidR="00B305F1">
        <w:t> </w:t>
      </w:r>
      <w:r w:rsidRPr="008F1266" w:rsidR="00797D83">
        <w:t xml:space="preserve">655, quoting </w:t>
      </w:r>
      <w:r w:rsidRPr="008F1266" w:rsidR="00797D83">
        <w:rPr>
          <w:i/>
          <w:iCs/>
        </w:rPr>
        <w:t>Barker</w:t>
      </w:r>
      <w:r w:rsidRPr="008F1266" w:rsidR="00797D83">
        <w:t>, at p.</w:t>
      </w:r>
      <w:r w:rsidRPr="008F1266" w:rsidR="00FC1C4C">
        <w:t> </w:t>
      </w:r>
      <w:r w:rsidRPr="008F1266" w:rsidR="00797D83">
        <w:t xml:space="preserve">532.)  Accordingly, </w:t>
      </w:r>
      <w:r w:rsidR="00D46BA0">
        <w:t xml:space="preserve">in the criminal context, </w:t>
      </w:r>
      <w:r w:rsidRPr="008F1266" w:rsidR="00797D83">
        <w:t>“</w:t>
      </w:r>
      <w:r w:rsidRPr="008F1266" w:rsidR="00FC1C4C">
        <w:t> </w:t>
      </w:r>
      <w:r w:rsidRPr="008F1266" w:rsidR="00797D83">
        <w:t>‘</w:t>
      </w:r>
      <w:r w:rsidRPr="008F1266" w:rsidR="00FB716B">
        <w:t>[</w:t>
      </w:r>
      <w:r w:rsidRPr="008F1266" w:rsidR="00797D83">
        <w:t>a</w:t>
      </w:r>
      <w:r w:rsidRPr="008F1266" w:rsidR="00FB716B">
        <w:t>]</w:t>
      </w:r>
      <w:r w:rsidRPr="008F1266" w:rsidR="00797D83">
        <w:t>ffirmative proof of particularized prejudice is not essential to every speedy trial claim’ .</w:t>
      </w:r>
      <w:r w:rsidRPr="008F1266" w:rsidR="00FC1C4C">
        <w:t> </w:t>
      </w:r>
      <w:r w:rsidRPr="008F1266" w:rsidR="00797D83">
        <w:t>.</w:t>
      </w:r>
      <w:r w:rsidRPr="008F1266" w:rsidR="00FC1C4C">
        <w:t> </w:t>
      </w:r>
      <w:r w:rsidRPr="008F1266" w:rsidR="00797D83">
        <w:t xml:space="preserve">. </w:t>
      </w:r>
      <w:r w:rsidRPr="008F1266" w:rsidR="00FB716B">
        <w:t>‘[</w:t>
      </w:r>
      <w:r w:rsidRPr="008F1266" w:rsidR="00797D83">
        <w:t>w</w:t>
      </w:r>
      <w:r w:rsidRPr="008F1266" w:rsidR="00FB716B">
        <w:t>]</w:t>
      </w:r>
      <w:r w:rsidRPr="008F1266" w:rsidR="00797D83">
        <w:t xml:space="preserve">hile </w:t>
      </w:r>
      <w:r w:rsidRPr="008F1266" w:rsidR="00FB716B">
        <w:t xml:space="preserve">such </w:t>
      </w:r>
      <w:r w:rsidRPr="008F1266" w:rsidR="00797D83">
        <w:t>presumptive prejudice cannot alone carry a Sixth Amendment claim .</w:t>
      </w:r>
      <w:r w:rsidRPr="008F1266" w:rsidR="00FC1C4C">
        <w:t> </w:t>
      </w:r>
      <w:r w:rsidRPr="008F1266" w:rsidR="00797D83">
        <w:t>.</w:t>
      </w:r>
      <w:r w:rsidRPr="008F1266" w:rsidR="00FC1C4C">
        <w:t> </w:t>
      </w:r>
      <w:r w:rsidRPr="008F1266" w:rsidR="00797D83">
        <w:t>. it is part of the mix of relevant facts, and its importance increases with the length of delay.</w:t>
      </w:r>
      <w:r w:rsidRPr="008F1266" w:rsidR="00FB716B">
        <w:t>’ </w:t>
      </w:r>
      <w:r w:rsidRPr="008F1266" w:rsidR="00797D83">
        <w:t>”  (</w:t>
      </w:r>
      <w:r w:rsidRPr="008F1266" w:rsidR="00797D83">
        <w:rPr>
          <w:i/>
          <w:iCs/>
        </w:rPr>
        <w:t xml:space="preserve">People v. Horning </w:t>
      </w:r>
      <w:r w:rsidRPr="008F1266" w:rsidR="00797D83">
        <w:t xml:space="preserve">(2004) 34 Cal.4th 871, 892, quoting </w:t>
      </w:r>
      <w:r w:rsidRPr="008F1266" w:rsidR="00797D83">
        <w:rPr>
          <w:i/>
          <w:iCs/>
        </w:rPr>
        <w:t>Doggett</w:t>
      </w:r>
      <w:r w:rsidRPr="008F1266" w:rsidR="00797D83">
        <w:t xml:space="preserve">, at </w:t>
      </w:r>
      <w:r w:rsidRPr="008F1266" w:rsidR="00FB716B">
        <w:t>p</w:t>
      </w:r>
      <w:r w:rsidRPr="008F1266" w:rsidR="00797D83">
        <w:t>p.</w:t>
      </w:r>
      <w:r w:rsidRPr="008F1266" w:rsidR="00FC1C4C">
        <w:t> </w:t>
      </w:r>
      <w:r w:rsidRPr="008F1266" w:rsidR="00797D83">
        <w:t>655</w:t>
      </w:r>
      <w:r w:rsidRPr="008F1266" w:rsidR="00FB716B">
        <w:t>–656</w:t>
      </w:r>
      <w:r w:rsidRPr="008F1266" w:rsidR="00797D83">
        <w:t xml:space="preserve">.)  </w:t>
      </w:r>
    </w:p>
    <w:p w:rsidR="00D55ADA" w:rsidRPr="008F1266" w:rsidP="00301C3B" w14:paraId="4E93137D" w14:textId="77777777">
      <w:pPr>
        <w:tabs>
          <w:tab w:val="left" w:pos="1440"/>
        </w:tabs>
        <w:ind w:firstLine="720"/>
      </w:pPr>
      <w:r w:rsidRPr="008F1266">
        <w:t>Th</w:t>
      </w:r>
      <w:r w:rsidRPr="008F1266" w:rsidR="00CD307C">
        <w:t>e</w:t>
      </w:r>
      <w:r w:rsidRPr="008F1266" w:rsidR="00E535DE">
        <w:t xml:space="preserve">re is little reason, however, to apply a presumption of </w:t>
      </w:r>
      <w:r w:rsidRPr="008F1266" w:rsidR="00B66D46">
        <w:t xml:space="preserve">trial </w:t>
      </w:r>
      <w:r w:rsidRPr="008F1266" w:rsidR="00CD307C">
        <w:t xml:space="preserve">prejudice </w:t>
      </w:r>
      <w:r w:rsidRPr="008F1266" w:rsidR="00E535DE">
        <w:t>in</w:t>
      </w:r>
      <w:r w:rsidRPr="008F1266">
        <w:t xml:space="preserve"> </w:t>
      </w:r>
      <w:r w:rsidRPr="008F1266" w:rsidR="00ED064D">
        <w:t>th</w:t>
      </w:r>
      <w:r w:rsidRPr="008F1266" w:rsidR="003B5618">
        <w:t>e SVP context</w:t>
      </w:r>
      <w:r w:rsidRPr="008F1266" w:rsidR="0085003A">
        <w:t xml:space="preserve">.  </w:t>
      </w:r>
      <w:r w:rsidRPr="008F1266" w:rsidR="00797D83">
        <w:t>As previously noted, trial on a petition for commitment under the SVP Act aims to establish whether</w:t>
      </w:r>
      <w:r w:rsidR="00D46BA0">
        <w:t xml:space="preserve"> </w:t>
      </w:r>
      <w:r w:rsidRPr="008F1266" w:rsidR="00797D83">
        <w:t xml:space="preserve">a person meets the definition of an SVP </w:t>
      </w:r>
      <w:r w:rsidRPr="008F1266" w:rsidR="00797D83">
        <w:rPr>
          <w:i/>
          <w:iCs/>
        </w:rPr>
        <w:t>at the time of trial</w:t>
      </w:r>
      <w:r w:rsidRPr="008F1266" w:rsidR="00797D83">
        <w:t xml:space="preserve">.  This inquiry is categorically different from that of a criminal trial, where the issue is whether the defendant’s past conduct constitutes guilt of a particular offense.  </w:t>
      </w:r>
      <w:r w:rsidR="00D46BA0">
        <w:t>In the SVP context</w:t>
      </w:r>
      <w:r w:rsidRPr="008F1266" w:rsidR="0085003A">
        <w:t xml:space="preserve">, </w:t>
      </w:r>
      <w:r w:rsidR="00D46BA0">
        <w:t xml:space="preserve">then, </w:t>
      </w:r>
      <w:r w:rsidRPr="008F1266" w:rsidR="0085003A">
        <w:t xml:space="preserve">time </w:t>
      </w:r>
      <w:r w:rsidRPr="008F1266" w:rsidR="00B66D46">
        <w:t xml:space="preserve">ordinarily </w:t>
      </w:r>
      <w:r w:rsidRPr="008F1266" w:rsidR="0085003A">
        <w:t>will</w:t>
      </w:r>
      <w:r w:rsidRPr="008F1266" w:rsidR="00E535DE">
        <w:t xml:space="preserve"> not</w:t>
      </w:r>
      <w:r w:rsidRPr="008F1266" w:rsidR="0085003A">
        <w:t xml:space="preserve"> erase </w:t>
      </w:r>
      <w:r w:rsidR="00A2650D">
        <w:t>critical</w:t>
      </w:r>
      <w:r w:rsidRPr="008F1266" w:rsidR="00A2650D">
        <w:t xml:space="preserve"> </w:t>
      </w:r>
      <w:r w:rsidRPr="008F1266" w:rsidR="0085003A">
        <w:t xml:space="preserve">evidence for the defense, since </w:t>
      </w:r>
      <w:r w:rsidRPr="008F1266" w:rsidR="00F02140">
        <w:t xml:space="preserve">the jury </w:t>
      </w:r>
      <w:r w:rsidRPr="008F1266" w:rsidR="00E535DE">
        <w:t xml:space="preserve">relies on recent expert evaluations to </w:t>
      </w:r>
      <w:r w:rsidRPr="008F1266" w:rsidR="00517F8C">
        <w:t>evaluate</w:t>
      </w:r>
      <w:r w:rsidRPr="008F1266" w:rsidR="00F02140">
        <w:t xml:space="preserve"> </w:t>
      </w:r>
      <w:r w:rsidRPr="008F1266" w:rsidR="00E535DE">
        <w:t>whether the individual qualifies as an SVP at the time of trial.</w:t>
      </w:r>
      <w:r w:rsidRPr="008F1266" w:rsidR="003421FF">
        <w:t xml:space="preserve">  In Camacho’s case, for example, </w:t>
      </w:r>
      <w:r w:rsidR="00A2650D">
        <w:t xml:space="preserve">though </w:t>
      </w:r>
      <w:r w:rsidRPr="008F1266" w:rsidR="00E535DE">
        <w:t xml:space="preserve">his defense </w:t>
      </w:r>
      <w:r w:rsidR="00DF0564">
        <w:t xml:space="preserve">may </w:t>
      </w:r>
      <w:r w:rsidRPr="008F1266" w:rsidR="00E535DE">
        <w:t xml:space="preserve">suffer </w:t>
      </w:r>
      <w:r w:rsidRPr="008F1266" w:rsidR="003421FF">
        <w:t xml:space="preserve">if the author of the </w:t>
      </w:r>
      <w:r w:rsidRPr="008F1266" w:rsidR="00E535DE">
        <w:t xml:space="preserve">favorable </w:t>
      </w:r>
      <w:r w:rsidRPr="008F1266" w:rsidR="003421FF">
        <w:t xml:space="preserve">2015 report </w:t>
      </w:r>
      <w:r w:rsidRPr="008F1266" w:rsidR="00E535DE">
        <w:t xml:space="preserve">recommending release </w:t>
      </w:r>
      <w:r w:rsidRPr="008F1266" w:rsidR="003421FF">
        <w:t>became unavailable to testify</w:t>
      </w:r>
      <w:r w:rsidR="00A2650D">
        <w:t>,</w:t>
      </w:r>
      <w:r w:rsidR="00DF0564">
        <w:t xml:space="preserve"> that evidence is unlikely to be dispositive. </w:t>
      </w:r>
      <w:r w:rsidR="00A2650D">
        <w:t xml:space="preserve"> </w:t>
      </w:r>
      <w:r w:rsidRPr="008F1266" w:rsidR="003421FF">
        <w:t>Camacho will</w:t>
      </w:r>
      <w:r w:rsidR="00A2650D">
        <w:t xml:space="preserve"> still</w:t>
      </w:r>
      <w:r w:rsidRPr="008F1266" w:rsidR="003421FF">
        <w:t xml:space="preserve"> need updated evaluations by mental health experts before he can proceed to trial.  </w:t>
      </w:r>
      <w:r w:rsidRPr="008F1266" w:rsidR="007B70C4">
        <w:t xml:space="preserve">Mental status may fluctuate over time, and the jury will focus on the most recent evidence to determine whether the </w:t>
      </w:r>
      <w:r w:rsidR="00A2650D">
        <w:t>alleged</w:t>
      </w:r>
      <w:r w:rsidRPr="008F1266" w:rsidR="00A2650D">
        <w:t xml:space="preserve"> </w:t>
      </w:r>
      <w:r w:rsidRPr="008F1266" w:rsidR="004E3DC2">
        <w:t xml:space="preserve">SVP </w:t>
      </w:r>
      <w:r w:rsidRPr="008F1266" w:rsidR="007B70C4">
        <w:t xml:space="preserve">meets the </w:t>
      </w:r>
      <w:r w:rsidRPr="008F1266" w:rsidR="004E3DC2">
        <w:t xml:space="preserve">commitment criteria </w:t>
      </w:r>
      <w:r w:rsidRPr="008F1266" w:rsidR="007B70C4">
        <w:t>at the time of trial.</w:t>
      </w:r>
      <w:r w:rsidRPr="008F1266" w:rsidR="00B773B9">
        <w:t xml:space="preserve">  </w:t>
      </w:r>
      <w:r w:rsidR="00A2650D">
        <w:t>Severe p</w:t>
      </w:r>
      <w:r w:rsidRPr="008F1266" w:rsidR="00B773B9">
        <w:t>rejudice</w:t>
      </w:r>
      <w:r w:rsidRPr="008F1266" w:rsidR="00DE6E4F">
        <w:t xml:space="preserve"> to the alleged SVP’s defense</w:t>
      </w:r>
      <w:r w:rsidRPr="008F1266" w:rsidR="00B773B9">
        <w:t xml:space="preserve"> is less likely to result </w:t>
      </w:r>
      <w:r w:rsidRPr="008F1266" w:rsidR="00B93032">
        <w:t>purely as a function of the passage of time</w:t>
      </w:r>
      <w:r w:rsidRPr="008F1266" w:rsidR="00511BBC">
        <w:t>; as a result, no presumption of prejudice applies in this context</w:t>
      </w:r>
      <w:r w:rsidRPr="008F1266" w:rsidR="00B773B9">
        <w:t>.</w:t>
      </w:r>
      <w:r>
        <w:rPr>
          <w:rStyle w:val="FootnoteReference"/>
        </w:rPr>
        <w:footnoteReference w:id="10"/>
      </w:r>
    </w:p>
    <w:p w:rsidR="00711AED" w:rsidRPr="008F1266" w:rsidP="00301C3B" w14:paraId="4E93137E" w14:textId="77777777">
      <w:pPr>
        <w:tabs>
          <w:tab w:val="left" w:pos="1440"/>
        </w:tabs>
        <w:ind w:firstLine="720"/>
      </w:pPr>
      <w:r w:rsidRPr="008F1266">
        <w:t xml:space="preserve">In addition to prejudice at trial, the </w:t>
      </w:r>
      <w:r w:rsidRPr="008F1266">
        <w:rPr>
          <w:i/>
          <w:iCs/>
        </w:rPr>
        <w:t xml:space="preserve">Barker </w:t>
      </w:r>
      <w:r w:rsidRPr="008F1266">
        <w:t>court identified “oppressive pretrial incarceration” and the “anxiety and concern of the accused” as two other threats the speedy trial right was designed to ward against.  (</w:t>
      </w:r>
      <w:r w:rsidRPr="008F1266">
        <w:rPr>
          <w:i/>
          <w:iCs/>
        </w:rPr>
        <w:t>Barker</w:t>
      </w:r>
      <w:r w:rsidRPr="008F1266">
        <w:t xml:space="preserve">, </w:t>
      </w:r>
      <w:r w:rsidRPr="008F1266">
        <w:rPr>
          <w:i/>
          <w:iCs/>
        </w:rPr>
        <w:t>supra</w:t>
      </w:r>
      <w:r w:rsidRPr="008F1266">
        <w:t>, 407 U.S. at p.</w:t>
      </w:r>
      <w:r w:rsidRPr="008F1266" w:rsidR="00FC1C4C">
        <w:t> </w:t>
      </w:r>
      <w:r w:rsidRPr="008F1266">
        <w:t xml:space="preserve">532.)  The court observed that “time spent in jail awaiting trial has a detrimental </w:t>
      </w:r>
      <w:r w:rsidRPr="008F1266" w:rsidR="00941FDE">
        <w:t xml:space="preserve">impact </w:t>
      </w:r>
      <w:r w:rsidRPr="008F1266">
        <w:t xml:space="preserve">on the individual. </w:t>
      </w:r>
      <w:r w:rsidRPr="008F1266" w:rsidR="00301C18">
        <w:t xml:space="preserve"> </w:t>
      </w:r>
      <w:r w:rsidRPr="008F1266">
        <w:t xml:space="preserve">It often means loss of a job; it disrupts family life; and it enforces idleness. </w:t>
      </w:r>
      <w:r w:rsidRPr="008F1266" w:rsidR="00301C18">
        <w:t xml:space="preserve"> </w:t>
      </w:r>
      <w:r w:rsidRPr="008F1266">
        <w:t>Most jails offer little or no recreational or rehabilitative programs.”  (</w:t>
      </w:r>
      <w:r w:rsidRPr="008F1266">
        <w:rPr>
          <w:i/>
          <w:iCs/>
        </w:rPr>
        <w:t>Ibid</w:t>
      </w:r>
      <w:r w:rsidRPr="008F1266">
        <w:t xml:space="preserve">.)  </w:t>
      </w:r>
    </w:p>
    <w:p w:rsidR="00A073F3" w:rsidRPr="008F1266" w:rsidP="00301C3B" w14:paraId="4E93137F" w14:textId="77777777">
      <w:pPr>
        <w:tabs>
          <w:tab w:val="left" w:pos="1440"/>
        </w:tabs>
        <w:ind w:firstLine="720"/>
      </w:pPr>
      <w:r w:rsidRPr="008F1266">
        <w:t>Being held in anticipation of an SVP trial</w:t>
      </w:r>
      <w:r w:rsidR="00D70B0D">
        <w:t xml:space="preserve">, like </w:t>
      </w:r>
      <w:r w:rsidR="00853B8B">
        <w:t>pretrial detention</w:t>
      </w:r>
      <w:r w:rsidR="00D70B0D">
        <w:t xml:space="preserve"> in a jail,</w:t>
      </w:r>
      <w:r w:rsidRPr="008F1266">
        <w:t xml:space="preserve"> unquestionably entails a severe </w:t>
      </w:r>
      <w:r w:rsidR="00D70B0D">
        <w:t xml:space="preserve">and oppressive </w:t>
      </w:r>
      <w:r w:rsidRPr="008F1266">
        <w:t>restriction on liberty</w:t>
      </w:r>
      <w:r>
        <w:t xml:space="preserve"> that</w:t>
      </w:r>
      <w:r w:rsidR="00D70B0D">
        <w:t xml:space="preserve"> </w:t>
      </w:r>
      <w:r>
        <w:t xml:space="preserve">may give rise to </w:t>
      </w:r>
      <w:r w:rsidR="00D70B0D">
        <w:t xml:space="preserve">feelings of </w:t>
      </w:r>
      <w:r>
        <w:t>anxiety</w:t>
      </w:r>
      <w:r w:rsidR="00D70B0D">
        <w:t xml:space="preserve"> and concern</w:t>
      </w:r>
      <w:r>
        <w:t xml:space="preserve">.  </w:t>
      </w:r>
      <w:r w:rsidR="00D70B0D">
        <w:t>(</w:t>
      </w:r>
      <w:r w:rsidRPr="008F1266" w:rsidR="00D70B0D">
        <w:rPr>
          <w:i/>
          <w:iCs/>
        </w:rPr>
        <w:t>Addington v. Texas</w:t>
      </w:r>
      <w:r w:rsidRPr="008F1266" w:rsidR="00D70B0D">
        <w:t xml:space="preserve"> (1979) 441 U.S. 418, 425–426</w:t>
      </w:r>
      <w:r w:rsidR="00D70B0D">
        <w:t xml:space="preserve"> [noting </w:t>
      </w:r>
      <w:r w:rsidR="002057E6">
        <w:t>it is</w:t>
      </w:r>
      <w:r w:rsidRPr="008F1266" w:rsidR="00204ECF">
        <w:t xml:space="preserve"> “indisputable that involuntary commitment to a mental hospital</w:t>
      </w:r>
      <w:r w:rsidRPr="008F1266" w:rsidR="00B626BA">
        <w:t> . . .</w:t>
      </w:r>
      <w:r w:rsidRPr="008F1266" w:rsidR="002A2BE1">
        <w:t xml:space="preserve"> </w:t>
      </w:r>
      <w:r w:rsidRPr="008F1266" w:rsidR="00204ECF">
        <w:t>can engender adverse social consequences to the individual”</w:t>
      </w:r>
      <w:r w:rsidR="00D70B0D">
        <w:t>].)</w:t>
      </w:r>
      <w:r w:rsidRPr="008F1266" w:rsidR="00204ECF">
        <w:t xml:space="preserve">  But pretrial SVP custody does differ from pretrial </w:t>
      </w:r>
      <w:r w:rsidRPr="008F1266">
        <w:t xml:space="preserve">criminal </w:t>
      </w:r>
      <w:r w:rsidRPr="008F1266" w:rsidR="00C342FB">
        <w:t xml:space="preserve">detention </w:t>
      </w:r>
      <w:r w:rsidRPr="008F1266" w:rsidR="00204ECF">
        <w:t xml:space="preserve">in certain pertinent respects.  </w:t>
      </w:r>
      <w:r w:rsidRPr="008F1266" w:rsidR="00711AED">
        <w:t>A</w:t>
      </w:r>
      <w:r w:rsidR="00853B8B">
        <w:t>fter the trial court holds a probable cause hearing, a</w:t>
      </w:r>
      <w:r w:rsidRPr="008F1266" w:rsidR="00D13F60">
        <w:t xml:space="preserve">lleged SVPs are </w:t>
      </w:r>
      <w:r w:rsidRPr="008F1266" w:rsidR="00DE6E4F">
        <w:t>confined</w:t>
      </w:r>
      <w:r w:rsidRPr="008F1266" w:rsidR="00711AED">
        <w:t xml:space="preserve"> at </w:t>
      </w:r>
      <w:r w:rsidRPr="008F1266" w:rsidR="00D13F60">
        <w:t xml:space="preserve">a </w:t>
      </w:r>
      <w:r w:rsidRPr="008F1266" w:rsidR="00711AED">
        <w:t xml:space="preserve">state hospital, not jail, and </w:t>
      </w:r>
      <w:r w:rsidRPr="008F1266" w:rsidR="00432D46">
        <w:t>begin</w:t>
      </w:r>
      <w:r w:rsidRPr="008F1266" w:rsidR="00711AED">
        <w:t xml:space="preserve"> receiving mental health treatment while they await trial.</w:t>
      </w:r>
      <w:r w:rsidR="00DA16C4">
        <w:t xml:space="preserve"> </w:t>
      </w:r>
      <w:r w:rsidRPr="008F1266" w:rsidR="00711AED">
        <w:t xml:space="preserve"> </w:t>
      </w:r>
      <w:r w:rsidRPr="008F1266" w:rsidR="00432D46">
        <w:t>(Welf. &amp; Inst. Code</w:t>
      </w:r>
      <w:r w:rsidRPr="008F1266" w:rsidR="00640201">
        <w:t>,</w:t>
      </w:r>
      <w:r w:rsidRPr="008F1266" w:rsidR="00432D46">
        <w:t xml:space="preserve"> §</w:t>
      </w:r>
      <w:r w:rsidRPr="008F1266" w:rsidR="00FC1C4C">
        <w:t> </w:t>
      </w:r>
      <w:r w:rsidRPr="008F1266" w:rsidR="00432D46">
        <w:t>660</w:t>
      </w:r>
      <w:r w:rsidRPr="008F1266" w:rsidR="00D13F60">
        <w:t xml:space="preserve">0.05, subd. (a); </w:t>
      </w:r>
      <w:r w:rsidRPr="008F1266">
        <w:rPr>
          <w:i/>
          <w:iCs/>
        </w:rPr>
        <w:t>i</w:t>
      </w:r>
      <w:r w:rsidRPr="008F1266" w:rsidR="00D13F60">
        <w:rPr>
          <w:i/>
          <w:iCs/>
        </w:rPr>
        <w:t>d</w:t>
      </w:r>
      <w:r w:rsidRPr="008F1266" w:rsidR="00D13F60">
        <w:t>., §</w:t>
      </w:r>
      <w:r w:rsidRPr="008F1266">
        <w:t>§</w:t>
      </w:r>
      <w:r w:rsidRPr="008F1266" w:rsidR="00FC1C4C">
        <w:t> </w:t>
      </w:r>
      <w:r w:rsidRPr="008F1266" w:rsidR="00D13F60">
        <w:t>660</w:t>
      </w:r>
      <w:r w:rsidRPr="008F1266" w:rsidR="00432D46">
        <w:t>2, subd. (a)</w:t>
      </w:r>
      <w:r w:rsidRPr="008F1266">
        <w:t xml:space="preserve">, </w:t>
      </w:r>
      <w:r w:rsidRPr="008F1266" w:rsidR="00D13F60">
        <w:t xml:space="preserve">6604.)  </w:t>
      </w:r>
      <w:r w:rsidR="002057E6">
        <w:t xml:space="preserve">Pretrial treatment of </w:t>
      </w:r>
      <w:r w:rsidRPr="008F1266" w:rsidR="00941FDE">
        <w:t>the underlying mental disorder that caused the state to seek commitment in the first place</w:t>
      </w:r>
      <w:r w:rsidRPr="008F1266" w:rsidR="00640201">
        <w:t xml:space="preserve"> may ultimately facilitate the individual</w:t>
      </w:r>
      <w:r w:rsidRPr="008F1266" w:rsidR="00ED55E8">
        <w:t xml:space="preserve">’s release </w:t>
      </w:r>
      <w:r w:rsidRPr="008F1266" w:rsidR="00941FDE">
        <w:t>before trial</w:t>
      </w:r>
      <w:r w:rsidR="002057E6">
        <w:t xml:space="preserve">. </w:t>
      </w:r>
      <w:r w:rsidR="0022687C">
        <w:t xml:space="preserve"> </w:t>
      </w:r>
      <w:r w:rsidR="002057E6">
        <w:t xml:space="preserve">This </w:t>
      </w:r>
      <w:r w:rsidR="00E06283">
        <w:t xml:space="preserve">observation </w:t>
      </w:r>
      <w:r w:rsidR="002057E6">
        <w:t xml:space="preserve">does not, of course, minimize </w:t>
      </w:r>
      <w:r w:rsidR="00A2650D">
        <w:t>the oppressive nature of involuntary detention awaiting an SVP trial</w:t>
      </w:r>
      <w:r w:rsidR="002057E6">
        <w:t xml:space="preserve">.  </w:t>
      </w:r>
      <w:r w:rsidR="00317CB7">
        <w:t xml:space="preserve">But it does to some extent distinguish </w:t>
      </w:r>
      <w:r w:rsidR="002057E6">
        <w:t>pretrial incarceration at a state hospit</w:t>
      </w:r>
      <w:r>
        <w:t>al</w:t>
      </w:r>
      <w:r w:rsidR="002057E6">
        <w:t xml:space="preserve"> from pretrial detention at a jail</w:t>
      </w:r>
      <w:r w:rsidR="00457E45">
        <w:t>, which has</w:t>
      </w:r>
      <w:r w:rsidR="002057E6">
        <w:t xml:space="preserve"> few rehabilitative resources. </w:t>
      </w:r>
    </w:p>
    <w:p w:rsidR="00F02140" w:rsidRPr="008F1266" w:rsidP="00301C3B" w14:paraId="4E931380" w14:textId="77777777">
      <w:pPr>
        <w:tabs>
          <w:tab w:val="left" w:pos="1440"/>
        </w:tabs>
        <w:ind w:firstLine="720"/>
      </w:pPr>
      <w:r w:rsidRPr="008F1266">
        <w:t xml:space="preserve">Determining how heavily to weigh the prejudice resulting from pretrial custody therefore requires a sensitive inquiry into the circumstances of the case.  For individuals who have never received a favorable expert evaluation, delay in holding trial will generally entail less prejudice than for individuals who have a more substantial basis for arguing they do not satisfy the criteria for SVP commitment.  </w:t>
      </w:r>
      <w:r w:rsidRPr="008F1266" w:rsidR="00716421">
        <w:t xml:space="preserve">Where </w:t>
      </w:r>
      <w:r w:rsidRPr="008F1266" w:rsidR="0000687C">
        <w:t xml:space="preserve">an individual makes such a showing, the amount of </w:t>
      </w:r>
      <w:r w:rsidRPr="008F1266" w:rsidR="00716421">
        <w:t xml:space="preserve">prejudice </w:t>
      </w:r>
      <w:r w:rsidRPr="008F1266" w:rsidR="00D13F60">
        <w:t xml:space="preserve">may </w:t>
      </w:r>
      <w:r w:rsidRPr="008F1266" w:rsidR="00716421">
        <w:t xml:space="preserve">increase as the length of the delay </w:t>
      </w:r>
      <w:r w:rsidRPr="008F1266" w:rsidR="00E4628E">
        <w:t xml:space="preserve">increases.  </w:t>
      </w:r>
      <w:r w:rsidRPr="008F1266" w:rsidR="00F02464">
        <w:t>For example, in the case of an individual who has expert report</w:t>
      </w:r>
      <w:r w:rsidRPr="008F1266" w:rsidR="00891BFA">
        <w:t>s</w:t>
      </w:r>
      <w:r w:rsidRPr="008F1266" w:rsidR="00F02464">
        <w:t xml:space="preserve"> recommending release</w:t>
      </w:r>
      <w:r w:rsidRPr="008F1266" w:rsidR="00891BFA">
        <w:t>,</w:t>
      </w:r>
      <w:r w:rsidRPr="008F1266" w:rsidR="0000687C">
        <w:t xml:space="preserve"> a four-year delay in going to trial </w:t>
      </w:r>
      <w:r w:rsidRPr="008F1266" w:rsidR="00891BFA">
        <w:t xml:space="preserve">will generally be </w:t>
      </w:r>
      <w:r w:rsidRPr="008F1266" w:rsidR="0000687C">
        <w:t xml:space="preserve">significantly more prejudicial than a one-year delay.  </w:t>
      </w:r>
    </w:p>
    <w:p w:rsidR="005A0216" w:rsidRPr="008F1266" w:rsidP="00301C3B" w14:paraId="4E931381" w14:textId="77777777">
      <w:pPr>
        <w:tabs>
          <w:tab w:val="left" w:pos="1440"/>
        </w:tabs>
        <w:ind w:firstLine="720"/>
      </w:pPr>
      <w:r w:rsidRPr="008F1266">
        <w:t xml:space="preserve">Applying these </w:t>
      </w:r>
      <w:r w:rsidRPr="008F1266" w:rsidR="0000687C">
        <w:t xml:space="preserve">general principles </w:t>
      </w:r>
      <w:r w:rsidRPr="008F1266">
        <w:t xml:space="preserve">to Camacho’s case, </w:t>
      </w:r>
      <w:r w:rsidR="00DE74E8">
        <w:t>the</w:t>
      </w:r>
      <w:r w:rsidRPr="008F1266" w:rsidR="00DE74E8">
        <w:t xml:space="preserve"> </w:t>
      </w:r>
      <w:r w:rsidRPr="008F1266" w:rsidR="00565DBC">
        <w:t xml:space="preserve">delay </w:t>
      </w:r>
      <w:r w:rsidR="00DE74E8">
        <w:t xml:space="preserve">here </w:t>
      </w:r>
      <w:r w:rsidRPr="008F1266" w:rsidR="00492AF6">
        <w:t xml:space="preserve">had no appreciable impact on </w:t>
      </w:r>
      <w:r w:rsidRPr="008F1266" w:rsidR="00565DBC">
        <w:t xml:space="preserve">Camacho’s ability to present his </w:t>
      </w:r>
      <w:r w:rsidR="00DE74E8">
        <w:t>defense</w:t>
      </w:r>
      <w:r w:rsidRPr="008F1266" w:rsidR="00D13F60">
        <w:t xml:space="preserve">.  </w:t>
      </w:r>
      <w:r w:rsidRPr="008F1266" w:rsidR="00EF5375">
        <w:t>In 2015</w:t>
      </w:r>
      <w:r w:rsidRPr="008F1266">
        <w:t xml:space="preserve">, one </w:t>
      </w:r>
      <w:r w:rsidRPr="008F1266" w:rsidR="00506DB1">
        <w:t xml:space="preserve">out of four </w:t>
      </w:r>
      <w:r w:rsidR="00BB0E23">
        <w:t xml:space="preserve">expert </w:t>
      </w:r>
      <w:r w:rsidRPr="008F1266" w:rsidR="00506DB1">
        <w:t>reports</w:t>
      </w:r>
      <w:r w:rsidRPr="008F1266">
        <w:t xml:space="preserve"> concluded</w:t>
      </w:r>
      <w:r w:rsidRPr="008F1266" w:rsidR="00FC1C4C">
        <w:t> </w:t>
      </w:r>
      <w:r w:rsidRPr="008F1266" w:rsidR="00EF5375">
        <w:t>— for the first time ever</w:t>
      </w:r>
      <w:r w:rsidRPr="008F1266" w:rsidR="00FC1C4C">
        <w:t> </w:t>
      </w:r>
      <w:r w:rsidRPr="008F1266" w:rsidR="00EF5375">
        <w:t xml:space="preserve">— that </w:t>
      </w:r>
      <w:r w:rsidR="00BB0E23">
        <w:t xml:space="preserve">Camacho </w:t>
      </w:r>
      <w:r w:rsidRPr="008F1266">
        <w:t xml:space="preserve">no longer met the criteria for commitment, and two of the other reports seemed to suggest he might qualify for conditional </w:t>
      </w:r>
      <w:r w:rsidRPr="008F1266" w:rsidR="002B687B">
        <w:t xml:space="preserve">release </w:t>
      </w:r>
      <w:r w:rsidRPr="008F1266">
        <w:t>in the future.</w:t>
      </w:r>
      <w:r w:rsidRPr="008F1266" w:rsidR="00EF5375">
        <w:t xml:space="preserve">  </w:t>
      </w:r>
      <w:r w:rsidRPr="008F1266" w:rsidR="00506DB1">
        <w:t>The length of delay since th</w:t>
      </w:r>
      <w:r w:rsidRPr="008F1266" w:rsidR="00ED064D">
        <w:t>at</w:t>
      </w:r>
      <w:r w:rsidRPr="008F1266" w:rsidR="00506DB1">
        <w:t xml:space="preserve"> point</w:t>
      </w:r>
      <w:r w:rsidRPr="008F1266" w:rsidR="00FC1C4C">
        <w:t> </w:t>
      </w:r>
      <w:r w:rsidRPr="008F1266" w:rsidR="002A7F28">
        <w:t>— approximately seven years</w:t>
      </w:r>
      <w:r w:rsidRPr="008F1266" w:rsidR="00FC1C4C">
        <w:t> </w:t>
      </w:r>
      <w:r w:rsidRPr="008F1266" w:rsidR="002A7F28">
        <w:t xml:space="preserve">— </w:t>
      </w:r>
      <w:r w:rsidRPr="008F1266" w:rsidR="00506DB1">
        <w:t>is significant</w:t>
      </w:r>
      <w:r w:rsidRPr="008F1266" w:rsidR="001A10D5">
        <w:t>, and Camacho has been involuntarily committed throughout that period</w:t>
      </w:r>
      <w:r w:rsidRPr="008F1266" w:rsidR="002A7F28">
        <w:t xml:space="preserve">.  </w:t>
      </w:r>
      <w:r w:rsidRPr="008F1266" w:rsidR="00E3561A">
        <w:t xml:space="preserve">We </w:t>
      </w:r>
      <w:r w:rsidRPr="008F1266" w:rsidR="006D4D7F">
        <w:t xml:space="preserve">therefore </w:t>
      </w:r>
      <w:r w:rsidRPr="008F1266" w:rsidR="00E3561A">
        <w:t>find some amount of prejudice</w:t>
      </w:r>
      <w:r w:rsidRPr="008F1266" w:rsidR="006D4D7F">
        <w:t xml:space="preserve"> in Camacho’s case</w:t>
      </w:r>
      <w:r w:rsidRPr="008F1266" w:rsidR="00B06D4C">
        <w:t>, but no indication that the delay has undermined the fairness of the proceedings</w:t>
      </w:r>
      <w:r w:rsidRPr="008F1266" w:rsidR="00E3561A">
        <w:t>.</w:t>
      </w:r>
      <w:r w:rsidRPr="008F1266" w:rsidR="00BD6753">
        <w:t xml:space="preserve">  A</w:t>
      </w:r>
      <w:r w:rsidRPr="008F1266" w:rsidR="00E3561A">
        <w:t>ny prejudice is</w:t>
      </w:r>
      <w:r w:rsidRPr="008F1266" w:rsidR="007952E3">
        <w:t>, moreover,</w:t>
      </w:r>
      <w:r w:rsidRPr="008F1266" w:rsidR="00EF5375">
        <w:t xml:space="preserve"> </w:t>
      </w:r>
      <w:r w:rsidRPr="008F1266" w:rsidR="00E3561A">
        <w:t>extenuated</w:t>
      </w:r>
      <w:r w:rsidRPr="008F1266" w:rsidR="00BD6753">
        <w:t xml:space="preserve"> </w:t>
      </w:r>
      <w:r w:rsidRPr="008F1266" w:rsidR="00E3561A">
        <w:t>by</w:t>
      </w:r>
      <w:r w:rsidRPr="008F1266" w:rsidR="006D4D7F">
        <w:t xml:space="preserve"> the fact that Camacho</w:t>
      </w:r>
      <w:r w:rsidRPr="008F1266" w:rsidR="002B1CA9">
        <w:t xml:space="preserve"> has not shown he in fact wanted a timely trial.  (See </w:t>
      </w:r>
      <w:r w:rsidRPr="008F1266" w:rsidR="002B1CA9">
        <w:rPr>
          <w:i/>
          <w:iCs/>
        </w:rPr>
        <w:t>Barker</w:t>
      </w:r>
      <w:r w:rsidRPr="008F1266" w:rsidR="002B1CA9">
        <w:t xml:space="preserve">, </w:t>
      </w:r>
      <w:r w:rsidRPr="008F1266" w:rsidR="002B1CA9">
        <w:rPr>
          <w:i/>
          <w:iCs/>
        </w:rPr>
        <w:t>supra</w:t>
      </w:r>
      <w:r w:rsidRPr="008F1266" w:rsidR="002B1CA9">
        <w:t>, 407 U.S. at p.</w:t>
      </w:r>
      <w:r w:rsidRPr="008F1266" w:rsidR="00FC1C4C">
        <w:t> </w:t>
      </w:r>
      <w:r w:rsidRPr="008F1266" w:rsidR="002B1CA9">
        <w:t>534 [“More important than the absence of serious prejudice, is the fact that Barker did not want a speedy trial”].)</w:t>
      </w:r>
      <w:r w:rsidRPr="008F1266" w:rsidR="00E334F4">
        <w:t xml:space="preserve">  </w:t>
      </w:r>
    </w:p>
    <w:bookmarkEnd w:id="13"/>
    <w:p w:rsidR="00E46057" w:rsidRPr="008F1266" w:rsidP="00301C3B" w14:paraId="4E931382" w14:textId="77777777">
      <w:pPr>
        <w:tabs>
          <w:tab w:val="left" w:pos="1440"/>
        </w:tabs>
        <w:jc w:val="center"/>
        <w:rPr>
          <w:b/>
          <w:bCs/>
        </w:rPr>
      </w:pPr>
      <w:r w:rsidRPr="008F1266">
        <w:rPr>
          <w:b/>
          <w:bCs/>
        </w:rPr>
        <w:t>E.</w:t>
      </w:r>
    </w:p>
    <w:p w:rsidR="00123D92" w:rsidRPr="008F1266" w:rsidP="00301C3B" w14:paraId="4E931383" w14:textId="77777777">
      <w:pPr>
        <w:tabs>
          <w:tab w:val="left" w:pos="1440"/>
        </w:tabs>
        <w:ind w:firstLine="720"/>
      </w:pPr>
      <w:r w:rsidRPr="008F1266">
        <w:t>B</w:t>
      </w:r>
      <w:r w:rsidRPr="008F1266" w:rsidR="00F87AAD">
        <w:t xml:space="preserve">alancing the </w:t>
      </w:r>
      <w:r w:rsidRPr="008F1266" w:rsidR="00F87AAD">
        <w:rPr>
          <w:i/>
          <w:iCs/>
        </w:rPr>
        <w:t xml:space="preserve">Barker </w:t>
      </w:r>
      <w:r w:rsidRPr="008F1266" w:rsidR="00F87AAD">
        <w:t>factors</w:t>
      </w:r>
      <w:r w:rsidRPr="008F1266" w:rsidR="00F37FC5">
        <w:t xml:space="preserve">, </w:t>
      </w:r>
      <w:r w:rsidRPr="008F1266">
        <w:t xml:space="preserve">we conclude that </w:t>
      </w:r>
      <w:r w:rsidRPr="008F1266" w:rsidR="00F87AAD">
        <w:t>Camacho fails to demonstrate a violation of his due process right to a timely trial</w:t>
      </w:r>
      <w:r w:rsidRPr="008F1266" w:rsidR="00623B90">
        <w:t>.</w:t>
      </w:r>
      <w:r w:rsidRPr="008F1266" w:rsidR="00E46057">
        <w:t xml:space="preserve">  </w:t>
      </w:r>
      <w:r w:rsidRPr="008F1266" w:rsidR="00CD26B4">
        <w:t>Only o</w:t>
      </w:r>
      <w:r w:rsidRPr="008F1266" w:rsidR="00E46057">
        <w:t>ne factor</w:t>
      </w:r>
      <w:r w:rsidRPr="008F1266" w:rsidR="00FC1C4C">
        <w:t> </w:t>
      </w:r>
      <w:r w:rsidRPr="008F1266" w:rsidR="00E46057">
        <w:t>— the length of the delay</w:t>
      </w:r>
      <w:r w:rsidRPr="008F1266" w:rsidR="00FC1C4C">
        <w:t> </w:t>
      </w:r>
      <w:r w:rsidRPr="008F1266" w:rsidR="00E46057">
        <w:t xml:space="preserve">— </w:t>
      </w:r>
      <w:r w:rsidR="00BB0E23">
        <w:t>strongly</w:t>
      </w:r>
      <w:r w:rsidRPr="008F1266" w:rsidR="00BB0E23">
        <w:t xml:space="preserve"> </w:t>
      </w:r>
      <w:r w:rsidRPr="008F1266" w:rsidR="00E46057">
        <w:t>supports Camacho’s claim of a due process violation</w:t>
      </w:r>
      <w:r w:rsidRPr="008F1266" w:rsidR="00CD26B4">
        <w:t xml:space="preserve">.  Though </w:t>
      </w:r>
      <w:r w:rsidRPr="008F1266" w:rsidR="00763737">
        <w:t xml:space="preserve">the trial court and the state </w:t>
      </w:r>
      <w:r w:rsidRPr="008F1266" w:rsidR="00E673BD">
        <w:t xml:space="preserve">seemingly neglected their responsibility to </w:t>
      </w:r>
      <w:r w:rsidR="00B22D1D">
        <w:t>bring</w:t>
      </w:r>
      <w:r w:rsidRPr="008F1266" w:rsidR="00E673BD">
        <w:t xml:space="preserve"> the case to trial</w:t>
      </w:r>
      <w:r w:rsidR="00B22D1D">
        <w:t xml:space="preserve"> in a timely manner</w:t>
      </w:r>
      <w:r w:rsidRPr="008F1266" w:rsidR="00316570">
        <w:t xml:space="preserve">, we agree with the Court of Appeal that the defense, rather than the state, bears </w:t>
      </w:r>
      <w:r w:rsidR="00D87899">
        <w:t>more</w:t>
      </w:r>
      <w:r w:rsidRPr="008F1266" w:rsidR="00D87899">
        <w:t xml:space="preserve"> </w:t>
      </w:r>
      <w:r w:rsidRPr="008F1266" w:rsidR="00316570">
        <w:t>responsibility</w:t>
      </w:r>
      <w:r w:rsidRPr="008F1266" w:rsidR="00EC20F9">
        <w:t xml:space="preserve"> for the delay</w:t>
      </w:r>
      <w:r w:rsidRPr="008F1266" w:rsidR="00BE7682">
        <w:t xml:space="preserve">.  </w:t>
      </w:r>
      <w:r w:rsidRPr="008F1266" w:rsidR="008807A1">
        <w:t>Camacho</w:t>
      </w:r>
      <w:r w:rsidRPr="008F1266" w:rsidR="00BE7682">
        <w:t xml:space="preserve"> did not </w:t>
      </w:r>
      <w:r w:rsidRPr="008F1266" w:rsidR="008807A1">
        <w:t xml:space="preserve">demonstrate </w:t>
      </w:r>
      <w:r w:rsidRPr="008F1266" w:rsidR="00E46057">
        <w:t>a desire to go to trial before 201</w:t>
      </w:r>
      <w:r w:rsidRPr="008F1266" w:rsidR="00BE7682">
        <w:t>8, nor did he suffer significant prejudice to his case as a result of the delay</w:t>
      </w:r>
      <w:r w:rsidRPr="008F1266" w:rsidR="00E46057">
        <w:t xml:space="preserve">.  </w:t>
      </w:r>
      <w:r w:rsidRPr="008F1266" w:rsidR="001D644F">
        <w:t>W</w:t>
      </w:r>
      <w:r w:rsidRPr="008F1266" w:rsidR="00C13BD8">
        <w:t xml:space="preserve">e </w:t>
      </w:r>
      <w:r w:rsidRPr="008F1266" w:rsidR="00301720">
        <w:t xml:space="preserve">find no violation of Camacho’s </w:t>
      </w:r>
      <w:r w:rsidRPr="008F1266" w:rsidR="00C942F8">
        <w:t>due process right to a timely trial</w:t>
      </w:r>
      <w:r w:rsidRPr="008F1266" w:rsidR="00040D39">
        <w:t>.</w:t>
      </w:r>
    </w:p>
    <w:p w:rsidR="00E73487" w:rsidRPr="008F1266" w:rsidP="00301C3B" w14:paraId="4E931384" w14:textId="77777777">
      <w:pPr>
        <w:tabs>
          <w:tab w:val="left" w:pos="1440"/>
        </w:tabs>
        <w:jc w:val="center"/>
        <w:rPr>
          <w:b/>
          <w:bCs/>
        </w:rPr>
      </w:pPr>
      <w:r w:rsidRPr="008F1266">
        <w:rPr>
          <w:b/>
          <w:bCs/>
        </w:rPr>
        <w:t>V.</w:t>
      </w:r>
    </w:p>
    <w:p w:rsidR="003B5FEC" w:rsidRPr="008F1266" w:rsidP="00301C3B" w14:paraId="4E931385" w14:textId="77777777">
      <w:pPr>
        <w:tabs>
          <w:tab w:val="left" w:pos="1440"/>
        </w:tabs>
        <w:ind w:firstLine="720"/>
      </w:pPr>
      <w:r w:rsidRPr="008F1266">
        <w:t xml:space="preserve">Camacho </w:t>
      </w:r>
      <w:r w:rsidR="00BB0E23">
        <w:t xml:space="preserve">raises an alternative due process argument:  that the trial court </w:t>
      </w:r>
      <w:r w:rsidRPr="008F1266" w:rsidR="00027D53">
        <w:t>violated his due process rights by failing to “enact any procedural safeguards to ensure that [he] consented to the repeated delays in his case”</w:t>
      </w:r>
      <w:r w:rsidRPr="008F1266" w:rsidR="00D051AC">
        <w:t xml:space="preserve"> during the eight-year period when he did not personally appear.</w:t>
      </w:r>
      <w:r w:rsidRPr="008F1266" w:rsidR="00027D53">
        <w:t xml:space="preserve">  In Camacho’s view, if</w:t>
      </w:r>
      <w:r w:rsidR="001D064A">
        <w:t>, at any given hearing,</w:t>
      </w:r>
      <w:r w:rsidRPr="008F1266" w:rsidR="00027D53">
        <w:t xml:space="preserve"> an alleged SVP is not “present in court with the opportunity to be heard</w:t>
      </w:r>
      <w:r w:rsidRPr="008F1266" w:rsidR="002D1860">
        <w:t>,</w:t>
      </w:r>
      <w:r w:rsidRPr="008F1266" w:rsidR="00027D53">
        <w:t>” due proces</w:t>
      </w:r>
      <w:r w:rsidRPr="008F1266" w:rsidR="003B5969">
        <w:t>s mandates</w:t>
      </w:r>
      <w:r w:rsidRPr="008F1266" w:rsidR="00027D53">
        <w:t xml:space="preserve"> that “an appropriate written waiver” of personal appearance must be filed.</w:t>
      </w:r>
      <w:r w:rsidRPr="008F1266" w:rsidR="006C2FEE">
        <w:t xml:space="preserve">  </w:t>
      </w:r>
    </w:p>
    <w:p w:rsidR="008E7E94" w:rsidRPr="008F1266" w:rsidP="00301C3B" w14:paraId="4E931386" w14:textId="77777777">
      <w:pPr>
        <w:tabs>
          <w:tab w:val="left" w:pos="1440"/>
        </w:tabs>
        <w:ind w:firstLine="720"/>
      </w:pPr>
      <w:r w:rsidRPr="008F1266">
        <w:t>W</w:t>
      </w:r>
      <w:r w:rsidRPr="008F1266" w:rsidR="006A3517">
        <w:t>e d</w:t>
      </w:r>
      <w:r w:rsidRPr="008F1266" w:rsidR="001B467B">
        <w:t>ecline to hold that due process requires</w:t>
      </w:r>
      <w:r w:rsidRPr="008F1266" w:rsidR="00971B15">
        <w:t xml:space="preserve"> the defendant’s personal presence at every hearing</w:t>
      </w:r>
      <w:r w:rsidR="00E85EED">
        <w:t>, regardless of the substance of the hearing</w:t>
      </w:r>
      <w:r w:rsidRPr="008F1266" w:rsidR="006A3517">
        <w:t>.</w:t>
      </w:r>
      <w:r w:rsidRPr="008F1266">
        <w:t xml:space="preserve">  </w:t>
      </w:r>
      <w:r w:rsidRPr="008F1266" w:rsidR="00364C3E">
        <w:t>As a general rule, a criminal defendant has no due process right to be present at hearings unless “</w:t>
      </w:r>
      <w:r w:rsidRPr="008F1266" w:rsidR="006A3517">
        <w:t>his presence has a relation, reasonably substantial, to the fulness of his opportunity to defend against the charge</w:t>
      </w:r>
      <w:r w:rsidRPr="008F1266" w:rsidR="00364C3E">
        <w:t xml:space="preserve">.”  </w:t>
      </w:r>
      <w:r w:rsidRPr="008F1266" w:rsidR="001B467B">
        <w:t>(</w:t>
      </w:r>
      <w:r w:rsidRPr="008F1266" w:rsidR="001B467B">
        <w:rPr>
          <w:i/>
          <w:iCs/>
        </w:rPr>
        <w:t xml:space="preserve">Snyder v. Massachusetts </w:t>
      </w:r>
      <w:r w:rsidRPr="008F1266" w:rsidR="001B467B">
        <w:t>(1934) 291 U.S. 97, 105</w:t>
      </w:r>
      <w:r w:rsidRPr="008F1266" w:rsidR="00C06384">
        <w:t>–106</w:t>
      </w:r>
      <w:r w:rsidRPr="008F1266" w:rsidR="00301C18">
        <w:t xml:space="preserve">; </w:t>
      </w:r>
      <w:r w:rsidRPr="008F1266" w:rsidR="00301C18">
        <w:rPr>
          <w:i/>
          <w:iCs/>
        </w:rPr>
        <w:t>id.</w:t>
      </w:r>
      <w:r w:rsidRPr="008F1266" w:rsidR="00301C18">
        <w:t xml:space="preserve"> at pp. 107–108</w:t>
      </w:r>
      <w:r w:rsidRPr="008F1266" w:rsidR="0047270A">
        <w:t xml:space="preserve"> [“[T]he presence of a defendant is a condition of due process to the extent that a fair and just hearing would be thwarted by his absence, and to that extent only.”]</w:t>
      </w:r>
      <w:r w:rsidRPr="008F1266">
        <w:t>.</w:t>
      </w:r>
      <w:r w:rsidRPr="008F1266" w:rsidR="00C06384">
        <w:t>)</w:t>
      </w:r>
      <w:r w:rsidRPr="008F1266">
        <w:t xml:space="preserve">  There is no reason to believe a different rule should apply </w:t>
      </w:r>
      <w:r w:rsidR="00E85EED">
        <w:t>in the SVP context</w:t>
      </w:r>
      <w:r w:rsidRPr="008F1266">
        <w:t xml:space="preserve">.  </w:t>
      </w:r>
      <w:r w:rsidRPr="008F1266" w:rsidR="003577E7">
        <w:t>T</w:t>
      </w:r>
      <w:r w:rsidRPr="008F1266">
        <w:t xml:space="preserve">o require personal presence </w:t>
      </w:r>
      <w:r w:rsidR="00E85EED">
        <w:t xml:space="preserve">at every </w:t>
      </w:r>
      <w:r w:rsidR="00C64D75">
        <w:t xml:space="preserve">hearing </w:t>
      </w:r>
      <w:r w:rsidRPr="008F1266" w:rsidR="00C64D75">
        <w:t>would</w:t>
      </w:r>
      <w:r w:rsidRPr="008F1266" w:rsidR="003577E7">
        <w:t>, moreover,</w:t>
      </w:r>
      <w:r w:rsidRPr="008F1266">
        <w:t xml:space="preserve"> entail </w:t>
      </w:r>
      <w:r w:rsidR="00D81710">
        <w:t xml:space="preserve">transportation and other logistical </w:t>
      </w:r>
      <w:r w:rsidRPr="008F1266">
        <w:t xml:space="preserve">costs </w:t>
      </w:r>
      <w:r w:rsidR="00820449">
        <w:t xml:space="preserve">not </w:t>
      </w:r>
      <w:r w:rsidRPr="008F1266">
        <w:t xml:space="preserve">justified by </w:t>
      </w:r>
      <w:r w:rsidR="00E073AE">
        <w:t xml:space="preserve">any </w:t>
      </w:r>
      <w:r w:rsidRPr="008F1266">
        <w:t>substantial benefit</w:t>
      </w:r>
      <w:r w:rsidR="000F1EC3">
        <w:t>.</w:t>
      </w:r>
      <w:r w:rsidR="00DA16C4">
        <w:t xml:space="preserve"> </w:t>
      </w:r>
      <w:r w:rsidRPr="008F1266" w:rsidR="00D81710">
        <w:t xml:space="preserve"> </w:t>
      </w:r>
      <w:r w:rsidRPr="008F1266" w:rsidR="003577E7">
        <w:t xml:space="preserve">If </w:t>
      </w:r>
      <w:r w:rsidR="00A04275">
        <w:t xml:space="preserve">an </w:t>
      </w:r>
      <w:r w:rsidRPr="008F1266" w:rsidR="003577E7">
        <w:t>individual object</w:t>
      </w:r>
      <w:r w:rsidR="00A04275">
        <w:t>s</w:t>
      </w:r>
      <w:r w:rsidRPr="008F1266" w:rsidR="003577E7">
        <w:t xml:space="preserve"> to delays and </w:t>
      </w:r>
      <w:r w:rsidRPr="008F1266" w:rsidR="00E876C8">
        <w:t>wish</w:t>
      </w:r>
      <w:r w:rsidR="00A04275">
        <w:t>es</w:t>
      </w:r>
      <w:r w:rsidRPr="008F1266" w:rsidR="00E876C8">
        <w:t xml:space="preserve"> to assert the right to a speedy or timely trial, </w:t>
      </w:r>
      <w:r w:rsidR="00A04275">
        <w:t>he or she</w:t>
      </w:r>
      <w:r w:rsidRPr="008F1266" w:rsidR="00A04275">
        <w:t xml:space="preserve"> </w:t>
      </w:r>
      <w:r w:rsidRPr="008F1266" w:rsidR="003577E7">
        <w:t>may communicate as much through counsel or communicate directly with the court</w:t>
      </w:r>
      <w:r w:rsidRPr="008F1266" w:rsidR="001D5337">
        <w:t xml:space="preserve">; and courts may </w:t>
      </w:r>
      <w:r w:rsidR="00A04275">
        <w:t xml:space="preserve">consider any difficulties in that communication when </w:t>
      </w:r>
      <w:r w:rsidRPr="008F1266" w:rsidR="001D5337">
        <w:t xml:space="preserve">determining whether </w:t>
      </w:r>
      <w:r w:rsidR="00A04275">
        <w:t>an individual’s timely trial right has been violated</w:t>
      </w:r>
      <w:r w:rsidRPr="008F1266" w:rsidR="001D5337">
        <w:t xml:space="preserve">.  (See </w:t>
      </w:r>
      <w:r w:rsidRPr="008F1266" w:rsidR="001D5337">
        <w:rPr>
          <w:i/>
          <w:iCs/>
        </w:rPr>
        <w:t>Barker</w:t>
      </w:r>
      <w:r w:rsidRPr="008F1266" w:rsidR="001D5337">
        <w:t xml:space="preserve">, </w:t>
      </w:r>
      <w:r w:rsidRPr="008F1266" w:rsidR="001D5337">
        <w:rPr>
          <w:i/>
          <w:iCs/>
        </w:rPr>
        <w:t>supra</w:t>
      </w:r>
      <w:r w:rsidRPr="008F1266" w:rsidR="001D5337">
        <w:t>, 407 U.S. at p.</w:t>
      </w:r>
      <w:r w:rsidRPr="008F1266" w:rsidR="00FC1C4C">
        <w:t> </w:t>
      </w:r>
      <w:r w:rsidRPr="008F1266" w:rsidR="001D5337">
        <w:t>529.)</w:t>
      </w:r>
    </w:p>
    <w:p w:rsidR="00741FA1" w:rsidP="00301C3B" w14:paraId="4E931387" w14:textId="77777777">
      <w:pPr>
        <w:tabs>
          <w:tab w:val="left" w:pos="720"/>
        </w:tabs>
      </w:pPr>
      <w:r w:rsidRPr="008F1266">
        <w:tab/>
      </w:r>
      <w:r w:rsidRPr="008F1266" w:rsidR="005663E5">
        <w:t xml:space="preserve">As discussed above, Camacho fails to show that his prolonged absence from court was </w:t>
      </w:r>
      <w:r w:rsidRPr="008F1266" w:rsidR="000930F4">
        <w:t>involuntary</w:t>
      </w:r>
      <w:r w:rsidRPr="008F1266" w:rsidR="005663E5">
        <w:t xml:space="preserve">.  </w:t>
      </w:r>
      <w:r w:rsidRPr="008F1266" w:rsidR="007C100D">
        <w:t xml:space="preserve">Camacho </w:t>
      </w:r>
      <w:r w:rsidRPr="008F1266" w:rsidR="00027D53">
        <w:t xml:space="preserve">does not attempt </w:t>
      </w:r>
      <w:r w:rsidRPr="008F1266" w:rsidR="007C100D">
        <w:t xml:space="preserve">to demonstrate that his presence at </w:t>
      </w:r>
      <w:r w:rsidRPr="008F1266" w:rsidR="00027D53">
        <w:t xml:space="preserve">any of </w:t>
      </w:r>
      <w:r w:rsidRPr="008F1266" w:rsidR="007C100D">
        <w:t xml:space="preserve">the hearings </w:t>
      </w:r>
      <w:r w:rsidRPr="008F1266" w:rsidR="00D203DF">
        <w:t xml:space="preserve">held in his absence </w:t>
      </w:r>
      <w:r w:rsidRPr="008F1266" w:rsidR="007C100D">
        <w:t>would have had a “reasonable, substantial relation to his opportunity to defend the charges against him.”  (</w:t>
      </w:r>
      <w:r w:rsidRPr="008F1266" w:rsidR="00301C18">
        <w:rPr>
          <w:i/>
          <w:iCs/>
        </w:rPr>
        <w:t xml:space="preserve">People v. </w:t>
      </w:r>
      <w:r w:rsidRPr="008F1266" w:rsidR="007C100D">
        <w:rPr>
          <w:i/>
          <w:iCs/>
        </w:rPr>
        <w:t>Butler</w:t>
      </w:r>
      <w:r w:rsidRPr="008F1266" w:rsidR="00301C18">
        <w:rPr>
          <w:i/>
          <w:iCs/>
        </w:rPr>
        <w:t xml:space="preserve"> </w:t>
      </w:r>
      <w:r w:rsidRPr="008F1266" w:rsidR="00301C18">
        <w:t>(2009)</w:t>
      </w:r>
      <w:r w:rsidRPr="008F1266" w:rsidR="007C100D">
        <w:t xml:space="preserve"> 46 Cal.4th </w:t>
      </w:r>
      <w:r w:rsidRPr="008F1266" w:rsidR="00301C18">
        <w:t xml:space="preserve">847, </w:t>
      </w:r>
      <w:r w:rsidRPr="008F1266" w:rsidR="007C100D">
        <w:t>861.)</w:t>
      </w:r>
      <w:r w:rsidRPr="008F1266" w:rsidR="00027D53">
        <w:t xml:space="preserve">  </w:t>
      </w:r>
      <w:r w:rsidRPr="008F1266" w:rsidR="00D203DF">
        <w:t xml:space="preserve">Nor does Camacho </w:t>
      </w:r>
      <w:r w:rsidRPr="008F1266" w:rsidR="000930F4">
        <w:t>allege, much less demonstrate, that his counsel acted against his wishes in seeking trial continuances during periods when Camacho was not personally present.</w:t>
      </w:r>
      <w:r w:rsidRPr="008F1266">
        <w:t xml:space="preserve">  </w:t>
      </w:r>
      <w:r w:rsidRPr="008F1266" w:rsidR="006C3FC7">
        <w:t>Accordingly, w</w:t>
      </w:r>
      <w:r w:rsidRPr="008F1266" w:rsidR="006C2FEE">
        <w:t>e find no due process violatio</w:t>
      </w:r>
      <w:r w:rsidRPr="008F1266">
        <w:t>n</w:t>
      </w:r>
      <w:r w:rsidRPr="008F1266" w:rsidR="006C2FEE">
        <w:t xml:space="preserve">. </w:t>
      </w:r>
    </w:p>
    <w:p w:rsidR="00E73487" w:rsidRPr="008F1266" w:rsidP="00301C3B" w14:paraId="4E931388" w14:textId="77777777">
      <w:pPr>
        <w:tabs>
          <w:tab w:val="left" w:pos="1440"/>
        </w:tabs>
        <w:jc w:val="center"/>
      </w:pPr>
      <w:r w:rsidRPr="008F1266">
        <w:rPr>
          <w:b/>
          <w:bCs/>
        </w:rPr>
        <w:t>V</w:t>
      </w:r>
      <w:r w:rsidRPr="008F1266" w:rsidR="000C7117">
        <w:rPr>
          <w:b/>
          <w:bCs/>
        </w:rPr>
        <w:t>I</w:t>
      </w:r>
      <w:r w:rsidRPr="008F1266">
        <w:rPr>
          <w:b/>
          <w:bCs/>
        </w:rPr>
        <w:t>.</w:t>
      </w:r>
    </w:p>
    <w:p w:rsidR="0069152D" w:rsidP="003624A1" w14:paraId="4E931389" w14:textId="77777777">
      <w:pPr>
        <w:tabs>
          <w:tab w:val="left" w:pos="1440"/>
        </w:tabs>
        <w:ind w:firstLine="720"/>
      </w:pPr>
      <w:r>
        <w:t xml:space="preserve">Although </w:t>
      </w:r>
      <w:r w:rsidRPr="008F1266" w:rsidR="00E73487">
        <w:t xml:space="preserve">Camacho fails to </w:t>
      </w:r>
      <w:r w:rsidRPr="008F1266" w:rsidR="001D5B1E">
        <w:t xml:space="preserve">establish </w:t>
      </w:r>
      <w:r w:rsidRPr="008F1266" w:rsidR="00E73487">
        <w:t>a violation of his due process rights</w:t>
      </w:r>
      <w:r>
        <w:t>,</w:t>
      </w:r>
      <w:r w:rsidR="007B1B92">
        <w:t xml:space="preserve"> the Attorney General concedes</w:t>
      </w:r>
      <w:r w:rsidR="008072EB">
        <w:t xml:space="preserve"> </w:t>
      </w:r>
      <w:r w:rsidR="007B1B92">
        <w:t xml:space="preserve">that the </w:t>
      </w:r>
      <w:r w:rsidR="00577471">
        <w:t xml:space="preserve">People and the trial court both could have done more to </w:t>
      </w:r>
      <w:r w:rsidR="00FD5E75">
        <w:t>move the case along</w:t>
      </w:r>
      <w:r w:rsidR="003624A1">
        <w:t>.</w:t>
      </w:r>
      <w:r w:rsidR="00A50B94">
        <w:t xml:space="preserve">  </w:t>
      </w:r>
      <w:r w:rsidR="008072EB">
        <w:t xml:space="preserve">We agree.  </w:t>
      </w:r>
      <w:r w:rsidR="002414FA">
        <w:t>It bears emphasis that a</w:t>
      </w:r>
      <w:r w:rsidR="003624A1">
        <w:t xml:space="preserve">n individual faced with potential SVP commitment has a due process right to </w:t>
      </w:r>
      <w:r w:rsidR="007545BE">
        <w:t>trial</w:t>
      </w:r>
      <w:r w:rsidR="003624A1">
        <w:t xml:space="preserve"> at a reasonable time, and the </w:t>
      </w:r>
      <w:r w:rsidR="0020233F">
        <w:t xml:space="preserve">People </w:t>
      </w:r>
      <w:r w:rsidR="003624A1">
        <w:t>and trial court both bear responsibility for ensuring that right is respected.</w:t>
      </w:r>
      <w:r w:rsidR="00D25C2A">
        <w:t xml:space="preserve">  </w:t>
      </w:r>
      <w:r>
        <w:t xml:space="preserve">The trial court, in particular, has responsibility to exercise its power over trial timing in a manner that </w:t>
      </w:r>
      <w:r w:rsidR="00E000A3">
        <w:t>takes account of the individual’s interests and that adequately guards against unjustified delays.</w:t>
      </w:r>
    </w:p>
    <w:p w:rsidR="00E73487" w:rsidRPr="008F1266" w:rsidP="00724FFC" w14:paraId="4E93138A" w14:textId="01305BA7">
      <w:pPr>
        <w:tabs>
          <w:tab w:val="left" w:pos="1440"/>
        </w:tabs>
        <w:ind w:firstLine="720"/>
      </w:pPr>
      <w:r>
        <w:t>We have already described</w:t>
      </w:r>
      <w:r w:rsidR="00847A1E">
        <w:t xml:space="preserve"> what this responsibility </w:t>
      </w:r>
      <w:r w:rsidR="00EC5662">
        <w:t>entails</w:t>
      </w:r>
      <w:r w:rsidR="00B46F50">
        <w:t xml:space="preserve">, including careful compliance with </w:t>
      </w:r>
      <w:r w:rsidR="00E71A5F">
        <w:t xml:space="preserve">new </w:t>
      </w:r>
      <w:r w:rsidR="007545BE">
        <w:t xml:space="preserve">statutory procedures designed to safeguard against unjustified continuances of </w:t>
      </w:r>
      <w:r w:rsidR="00E71A5F">
        <w:t>previously</w:t>
      </w:r>
      <w:r w:rsidR="008710AD">
        <w:t xml:space="preserve"> </w:t>
      </w:r>
      <w:r w:rsidR="007545BE">
        <w:t xml:space="preserve">set trial dates.  </w:t>
      </w:r>
      <w:r w:rsidR="007D1309">
        <w:t>(</w:t>
      </w:r>
      <w:r w:rsidR="00B46F50">
        <w:t>Welf. &amp; Inst. Code, §</w:t>
      </w:r>
      <w:r w:rsidR="00DA16C4">
        <w:t> </w:t>
      </w:r>
      <w:r w:rsidR="00B46F50">
        <w:t>6603, subd. (c).)</w:t>
      </w:r>
      <w:r w:rsidR="00DD450E">
        <w:t xml:space="preserve">  </w:t>
      </w:r>
      <w:r w:rsidR="00F85454">
        <w:t xml:space="preserve">In view of the vital importance of ensuring adequate procedures are in place to protect the interests of the defendant, the state, and the public, we </w:t>
      </w:r>
      <w:r w:rsidR="00E526D3">
        <w:t xml:space="preserve">further </w:t>
      </w:r>
      <w:r w:rsidR="00F85454">
        <w:t xml:space="preserve">call on the Judicial Council </w:t>
      </w:r>
      <w:r w:rsidR="005D56E7">
        <w:t>to examine the issue.</w:t>
      </w:r>
      <w:r w:rsidR="00914FE5">
        <w:t xml:space="preserve">  As the </w:t>
      </w:r>
      <w:r w:rsidR="002F77B4">
        <w:t xml:space="preserve">policy and rulemaking </w:t>
      </w:r>
      <w:r w:rsidR="00914FE5">
        <w:t xml:space="preserve">body </w:t>
      </w:r>
      <w:r w:rsidR="002F77B4">
        <w:t xml:space="preserve">of </w:t>
      </w:r>
      <w:r w:rsidR="002B4190">
        <w:t xml:space="preserve">the courts, the Judicial Council is in the best position to study the issue </w:t>
      </w:r>
      <w:r w:rsidR="00E526D3">
        <w:t xml:space="preserve">of pretrial delays in SVP cases </w:t>
      </w:r>
      <w:r w:rsidR="00B56678">
        <w:t xml:space="preserve">with the input of interested persons </w:t>
      </w:r>
      <w:r w:rsidR="002B4190">
        <w:t xml:space="preserve">and </w:t>
      </w:r>
      <w:r w:rsidR="00B56678">
        <w:t>consider what, if any, additional safeguards would facilitate timely adjudication of petitions for commitment under the SVP Act</w:t>
      </w:r>
      <w:r w:rsidR="00724FFC">
        <w:t>.</w:t>
      </w:r>
      <w:r w:rsidRPr="008F1266" w:rsidR="005A3FAC">
        <w:t xml:space="preserve">  </w:t>
      </w:r>
    </w:p>
    <w:p w:rsidR="000B27F3" w:rsidP="00CE1D5F" w14:paraId="4E93138B" w14:textId="77777777">
      <w:pPr>
        <w:tabs>
          <w:tab w:val="left" w:pos="1440"/>
        </w:tabs>
        <w:ind w:firstLine="720"/>
      </w:pPr>
      <w:r w:rsidRPr="008F1266">
        <w:t xml:space="preserve">Here, </w:t>
      </w:r>
      <w:r w:rsidRPr="008F1266" w:rsidR="005A3FAC">
        <w:t xml:space="preserve">however, although </w:t>
      </w:r>
      <w:r w:rsidRPr="008F1266">
        <w:t>the trial court and the People should have taken more affirmative steps to bring Camacho to trial</w:t>
      </w:r>
      <w:r w:rsidRPr="008F1266" w:rsidR="005A3FAC">
        <w:t xml:space="preserve">, </w:t>
      </w:r>
      <w:r w:rsidRPr="008F1266" w:rsidR="0027445E">
        <w:t xml:space="preserve">Camacho fails to demonstrate </w:t>
      </w:r>
      <w:r w:rsidRPr="008F1266" w:rsidR="00301720">
        <w:t xml:space="preserve">a violation of his due process right to a timely trial on the petition for </w:t>
      </w:r>
      <w:r w:rsidR="009E0E92">
        <w:t>re</w:t>
      </w:r>
      <w:r w:rsidRPr="008F1266" w:rsidR="00301720">
        <w:t xml:space="preserve">commitment under </w:t>
      </w:r>
    </w:p>
    <w:p w:rsidR="000B27F3" w14:paraId="4E93138C" w14:textId="77777777">
      <w:pPr>
        <w:spacing w:after="0" w:line="240" w:lineRule="auto"/>
        <w:jc w:val="left"/>
      </w:pPr>
      <w:r>
        <w:br w:type="page"/>
      </w:r>
    </w:p>
    <w:p w:rsidR="00241B6B" w:rsidRPr="008F1266" w:rsidP="000B27F3" w14:paraId="4E93138D" w14:textId="77777777">
      <w:pPr>
        <w:tabs>
          <w:tab w:val="left" w:pos="1440"/>
        </w:tabs>
      </w:pPr>
      <w:r w:rsidRPr="008F1266">
        <w:t>the SVP Act.</w:t>
      </w:r>
      <w:r w:rsidRPr="008F1266" w:rsidR="005A3FAC">
        <w:t xml:space="preserve">  Because the Court of Appeal reached the same conclusion, we affirm its judgment. </w:t>
      </w:r>
    </w:p>
    <w:p w:rsidR="00B77C13" w:rsidP="00CA7C41" w14:paraId="4E93138E" w14:textId="77777777">
      <w:pPr>
        <w:tabs>
          <w:tab w:val="left" w:pos="1440"/>
        </w:tabs>
        <w:ind w:firstLine="720"/>
        <w:rPr>
          <w:b/>
          <w:bCs/>
        </w:rPr>
      </w:pPr>
    </w:p>
    <w:p w:rsidR="00CA7C41" w:rsidP="008F1266" w14:paraId="4E93138F" w14:textId="77777777">
      <w:pPr>
        <w:tabs>
          <w:tab w:val="left" w:pos="1440"/>
        </w:tabs>
        <w:ind w:firstLine="720"/>
        <w:rPr>
          <w:b/>
          <w:bCs/>
        </w:rPr>
      </w:pPr>
      <w:r>
        <w:rPr>
          <w:b/>
          <w:bCs/>
        </w:rPr>
        <w:tab/>
      </w:r>
      <w:r>
        <w:rPr>
          <w:b/>
          <w:bCs/>
        </w:rPr>
        <w:tab/>
      </w:r>
      <w:r>
        <w:rPr>
          <w:b/>
          <w:bCs/>
        </w:rPr>
        <w:tab/>
      </w:r>
      <w:r>
        <w:rPr>
          <w:b/>
          <w:bCs/>
        </w:rPr>
        <w:tab/>
      </w:r>
      <w:r>
        <w:rPr>
          <w:b/>
          <w:bCs/>
        </w:rPr>
        <w:tab/>
      </w:r>
      <w:r>
        <w:rPr>
          <w:b/>
          <w:bCs/>
        </w:rPr>
        <w:tab/>
      </w:r>
      <w:r>
        <w:rPr>
          <w:b/>
          <w:bCs/>
        </w:rPr>
        <w:tab/>
        <w:t xml:space="preserve">     KRUGER, J.</w:t>
      </w:r>
    </w:p>
    <w:p w:rsidR="00CA7C41" w:rsidP="00CA7C41" w14:paraId="4E931390" w14:textId="77777777">
      <w:pPr>
        <w:tabs>
          <w:tab w:val="left" w:pos="1440"/>
        </w:tabs>
        <w:ind w:firstLine="720"/>
        <w:rPr>
          <w:b/>
          <w:bCs/>
        </w:rPr>
      </w:pPr>
    </w:p>
    <w:p w:rsidR="00DD2757" w:rsidP="00724FFC" w14:paraId="4E931391" w14:textId="77777777">
      <w:pPr>
        <w:tabs>
          <w:tab w:val="left" w:pos="1440"/>
        </w:tabs>
        <w:rPr>
          <w:b/>
          <w:bCs/>
        </w:rPr>
      </w:pPr>
      <w:r>
        <w:rPr>
          <w:b/>
          <w:bCs/>
        </w:rPr>
        <w:t>We Concur:</w:t>
      </w:r>
    </w:p>
    <w:p w:rsidR="007015EF" w:rsidP="007015EF" w14:paraId="4E931392" w14:textId="77777777">
      <w:pPr>
        <w:tabs>
          <w:tab w:val="left" w:pos="1440"/>
        </w:tabs>
        <w:spacing w:after="0" w:line="240" w:lineRule="auto"/>
        <w:rPr>
          <w:b/>
          <w:bCs/>
        </w:rPr>
      </w:pPr>
      <w:r>
        <w:rPr>
          <w:b/>
          <w:bCs/>
        </w:rPr>
        <w:t>GUERRERO, C. J.</w:t>
      </w:r>
    </w:p>
    <w:p w:rsidR="007015EF" w:rsidP="007015EF" w14:paraId="4E931393" w14:textId="77777777">
      <w:pPr>
        <w:tabs>
          <w:tab w:val="left" w:pos="1440"/>
        </w:tabs>
        <w:spacing w:after="0" w:line="240" w:lineRule="auto"/>
        <w:rPr>
          <w:b/>
          <w:bCs/>
        </w:rPr>
      </w:pPr>
      <w:r>
        <w:rPr>
          <w:b/>
          <w:bCs/>
        </w:rPr>
        <w:t>CORRIGAN, J.</w:t>
      </w:r>
    </w:p>
    <w:p w:rsidR="007015EF" w:rsidP="007015EF" w14:paraId="4E931394" w14:textId="77777777">
      <w:pPr>
        <w:tabs>
          <w:tab w:val="left" w:pos="1440"/>
        </w:tabs>
        <w:spacing w:after="0" w:line="240" w:lineRule="auto"/>
        <w:rPr>
          <w:b/>
          <w:bCs/>
        </w:rPr>
      </w:pPr>
      <w:r>
        <w:rPr>
          <w:b/>
          <w:bCs/>
        </w:rPr>
        <w:t>LIU, J.</w:t>
      </w:r>
    </w:p>
    <w:p w:rsidR="007015EF" w:rsidP="007015EF" w14:paraId="4E931395" w14:textId="77777777">
      <w:pPr>
        <w:tabs>
          <w:tab w:val="left" w:pos="1440"/>
        </w:tabs>
        <w:spacing w:after="0" w:line="240" w:lineRule="auto"/>
        <w:rPr>
          <w:b/>
          <w:bCs/>
        </w:rPr>
      </w:pPr>
      <w:r>
        <w:rPr>
          <w:b/>
          <w:bCs/>
        </w:rPr>
        <w:t>GROBAN, J.</w:t>
      </w:r>
    </w:p>
    <w:p w:rsidR="007015EF" w:rsidP="007015EF" w14:paraId="4E931396" w14:textId="77777777">
      <w:pPr>
        <w:tabs>
          <w:tab w:val="left" w:pos="1440"/>
        </w:tabs>
        <w:spacing w:after="0" w:line="240" w:lineRule="auto"/>
        <w:rPr>
          <w:b/>
          <w:bCs/>
        </w:rPr>
      </w:pPr>
      <w:r>
        <w:rPr>
          <w:b/>
          <w:bCs/>
        </w:rPr>
        <w:t>JENKINS, J.</w:t>
      </w:r>
    </w:p>
    <w:p w:rsidR="007015EF" w:rsidP="007015EF" w14:paraId="4E931397" w14:textId="77777777">
      <w:pPr>
        <w:tabs>
          <w:tab w:val="left" w:pos="1440"/>
        </w:tabs>
        <w:spacing w:after="0" w:line="240" w:lineRule="auto"/>
        <w:rPr>
          <w:b/>
          <w:bCs/>
        </w:rPr>
      </w:pPr>
      <w:r>
        <w:rPr>
          <w:b/>
          <w:bCs/>
        </w:rPr>
        <w:t>EVANS, J.</w:t>
      </w:r>
    </w:p>
    <w:p w:rsidR="00E14B9F" w:rsidP="007015EF" w14:paraId="4B846388" w14:textId="77777777">
      <w:pPr>
        <w:tabs>
          <w:tab w:val="left" w:pos="1440"/>
        </w:tabs>
        <w:spacing w:after="0" w:line="240" w:lineRule="auto"/>
        <w:sectPr w:rsidSect="005F008A">
          <w:footerReference w:type="first" r:id="rId8"/>
          <w:pgSz w:w="12240" w:h="15840"/>
          <w:pgMar w:top="1800" w:right="2160" w:bottom="1440" w:left="2160" w:header="720" w:footer="720" w:gutter="0"/>
          <w:pgNumType w:start="1"/>
          <w:cols w:space="720"/>
          <w:titlePg/>
          <w:docGrid w:linePitch="367"/>
        </w:sectPr>
      </w:pPr>
    </w:p>
    <w:p w:rsidR="00E14B9F" w:rsidRPr="00E14B9F" w:rsidP="00E14B9F" w14:paraId="06FDBEA7" w14:textId="77777777">
      <w:pPr>
        <w:spacing w:after="0" w:line="240" w:lineRule="auto"/>
        <w:jc w:val="left"/>
        <w:rPr>
          <w:i/>
          <w:sz w:val="24"/>
          <w:szCs w:val="24"/>
        </w:rPr>
      </w:pPr>
      <w:bookmarkStart w:id="14" w:name="_Hlk105508284"/>
      <w:r w:rsidRPr="00E14B9F">
        <w:rPr>
          <w:i/>
          <w:sz w:val="24"/>
          <w:szCs w:val="24"/>
        </w:rPr>
        <w:t>See next page for addresses and telephone numbers for counsel who argued in Supreme Court.</w:t>
      </w:r>
    </w:p>
    <w:p w:rsidR="00E14B9F" w:rsidRPr="00E14B9F" w:rsidP="00E14B9F" w14:paraId="4F87D3A0" w14:textId="77777777">
      <w:pPr>
        <w:spacing w:after="0" w:line="240" w:lineRule="auto"/>
        <w:jc w:val="left"/>
        <w:rPr>
          <w:i/>
          <w:sz w:val="24"/>
          <w:szCs w:val="24"/>
        </w:rPr>
      </w:pPr>
    </w:p>
    <w:p w:rsidR="00E14B9F" w:rsidRPr="00E14B9F" w:rsidP="00E14B9F" w14:paraId="28CE7B7E" w14:textId="77777777">
      <w:pPr>
        <w:spacing w:after="0" w:line="240" w:lineRule="auto"/>
        <w:jc w:val="left"/>
        <w:rPr>
          <w:bCs/>
          <w:sz w:val="24"/>
          <w:szCs w:val="24"/>
        </w:rPr>
      </w:pPr>
      <w:r w:rsidRPr="00E14B9F">
        <w:rPr>
          <w:b/>
          <w:sz w:val="24"/>
          <w:szCs w:val="24"/>
        </w:rPr>
        <w:t xml:space="preserve">Name of Opinion </w:t>
      </w:r>
      <w:r w:rsidRPr="00E14B9F">
        <w:rPr>
          <w:bCs/>
          <w:sz w:val="24"/>
          <w:szCs w:val="24"/>
        </w:rPr>
        <w:t xml:space="preserve"> Camacho v. Superior Court</w:t>
      </w:r>
    </w:p>
    <w:p w:rsidR="00E14B9F" w:rsidRPr="00E14B9F" w:rsidP="00E14B9F" w14:paraId="14644680" w14:textId="77777777">
      <w:pPr>
        <w:spacing w:after="0" w:line="240" w:lineRule="auto"/>
        <w:jc w:val="left"/>
        <w:rPr>
          <w:b/>
          <w:sz w:val="24"/>
          <w:szCs w:val="24"/>
        </w:rPr>
      </w:pPr>
      <w:r w:rsidRPr="00E14B9F">
        <w:rPr>
          <w:b/>
          <w:sz w:val="24"/>
          <w:szCs w:val="24"/>
        </w:rPr>
        <w:t xml:space="preserve">__________________________________________________________ </w:t>
      </w:r>
    </w:p>
    <w:p w:rsidR="00E14B9F" w:rsidRPr="00E14B9F" w:rsidP="00E14B9F" w14:paraId="65F1590A" w14:textId="77777777">
      <w:pPr>
        <w:spacing w:after="0" w:line="240" w:lineRule="auto"/>
        <w:jc w:val="left"/>
        <w:rPr>
          <w:b/>
          <w:sz w:val="24"/>
          <w:szCs w:val="24"/>
        </w:rPr>
      </w:pPr>
    </w:p>
    <w:p w:rsidR="00E14B9F" w:rsidRPr="00E14B9F" w:rsidP="00E14B9F" w14:paraId="76F1CBD7" w14:textId="77777777">
      <w:pPr>
        <w:spacing w:after="0" w:line="240" w:lineRule="auto"/>
        <w:jc w:val="left"/>
        <w:rPr>
          <w:sz w:val="24"/>
          <w:szCs w:val="24"/>
        </w:rPr>
      </w:pPr>
      <w:r w:rsidRPr="00E14B9F">
        <w:rPr>
          <w:b/>
          <w:bCs/>
          <w:sz w:val="24"/>
          <w:szCs w:val="24"/>
          <w:u w:val="single"/>
        </w:rPr>
        <w:t>Procedural Posture</w:t>
      </w:r>
      <w:r w:rsidRPr="00E14B9F">
        <w:rPr>
          <w:b/>
          <w:bCs/>
          <w:sz w:val="24"/>
          <w:szCs w:val="24"/>
        </w:rPr>
        <w:t xml:space="preserve"> </w:t>
      </w:r>
      <w:r w:rsidRPr="00E14B9F">
        <w:rPr>
          <w:sz w:val="24"/>
          <w:szCs w:val="24"/>
        </w:rPr>
        <w:t>(see XX below)</w:t>
      </w:r>
    </w:p>
    <w:p w:rsidR="00E14B9F" w:rsidRPr="00E14B9F" w:rsidP="00E14B9F" w14:paraId="3525F6EF" w14:textId="77777777">
      <w:pPr>
        <w:spacing w:after="0" w:line="240" w:lineRule="auto"/>
        <w:jc w:val="left"/>
        <w:rPr>
          <w:sz w:val="24"/>
          <w:szCs w:val="24"/>
        </w:rPr>
      </w:pPr>
      <w:r w:rsidRPr="00E14B9F">
        <w:rPr>
          <w:b/>
          <w:bCs/>
          <w:sz w:val="24"/>
          <w:szCs w:val="24"/>
        </w:rPr>
        <w:t>Original Appeal</w:t>
      </w:r>
      <w:r w:rsidRPr="00E14B9F">
        <w:rPr>
          <w:sz w:val="24"/>
          <w:szCs w:val="24"/>
        </w:rPr>
        <w:t xml:space="preserve"> </w:t>
      </w:r>
    </w:p>
    <w:p w:rsidR="00E14B9F" w:rsidRPr="00E14B9F" w:rsidP="00E14B9F" w14:paraId="0C7F042C" w14:textId="77777777">
      <w:pPr>
        <w:spacing w:after="0" w:line="240" w:lineRule="auto"/>
        <w:jc w:val="left"/>
        <w:rPr>
          <w:b/>
          <w:bCs/>
          <w:sz w:val="24"/>
          <w:szCs w:val="24"/>
        </w:rPr>
      </w:pPr>
      <w:r w:rsidRPr="00E14B9F">
        <w:rPr>
          <w:b/>
          <w:bCs/>
          <w:sz w:val="24"/>
          <w:szCs w:val="24"/>
        </w:rPr>
        <w:t>Original Proceeding</w:t>
      </w:r>
    </w:p>
    <w:p w:rsidR="00E14B9F" w:rsidRPr="00E14B9F" w:rsidP="00E14B9F" w14:paraId="7FCFBB30" w14:textId="77777777">
      <w:pPr>
        <w:spacing w:after="0" w:line="240" w:lineRule="auto"/>
        <w:jc w:val="left"/>
        <w:rPr>
          <w:sz w:val="24"/>
          <w:szCs w:val="24"/>
        </w:rPr>
      </w:pPr>
      <w:r w:rsidRPr="00E14B9F">
        <w:rPr>
          <w:b/>
          <w:bCs/>
          <w:sz w:val="24"/>
          <w:szCs w:val="24"/>
        </w:rPr>
        <w:t>Review Granted</w:t>
      </w:r>
      <w:r w:rsidRPr="00E14B9F">
        <w:rPr>
          <w:sz w:val="24"/>
          <w:szCs w:val="24"/>
        </w:rPr>
        <w:t xml:space="preserve"> </w:t>
      </w:r>
      <w:r w:rsidRPr="00E14B9F">
        <w:rPr>
          <w:b/>
          <w:bCs/>
          <w:sz w:val="24"/>
          <w:szCs w:val="24"/>
        </w:rPr>
        <w:t xml:space="preserve">(published) </w:t>
      </w:r>
    </w:p>
    <w:p w:rsidR="00E14B9F" w:rsidRPr="00E14B9F" w:rsidP="00E14B9F" w14:paraId="5F4D0AE9" w14:textId="77777777">
      <w:pPr>
        <w:spacing w:after="0" w:line="240" w:lineRule="auto"/>
        <w:jc w:val="left"/>
        <w:rPr>
          <w:sz w:val="24"/>
          <w:szCs w:val="24"/>
        </w:rPr>
      </w:pPr>
      <w:r w:rsidRPr="00E14B9F">
        <w:rPr>
          <w:b/>
          <w:bCs/>
          <w:sz w:val="24"/>
          <w:szCs w:val="24"/>
        </w:rPr>
        <w:t xml:space="preserve">Review Granted (unpublished) </w:t>
      </w:r>
      <w:r w:rsidRPr="00E14B9F">
        <w:rPr>
          <w:sz w:val="24"/>
          <w:szCs w:val="24"/>
        </w:rPr>
        <w:t>XX NP opn. filed 1/21/22 – 5th Dist.</w:t>
      </w:r>
    </w:p>
    <w:p w:rsidR="00E14B9F" w:rsidRPr="00E14B9F" w:rsidP="00E14B9F" w14:paraId="29A86AD5" w14:textId="77777777">
      <w:pPr>
        <w:spacing w:after="0" w:line="240" w:lineRule="auto"/>
        <w:jc w:val="left"/>
        <w:rPr>
          <w:b/>
          <w:bCs/>
          <w:sz w:val="24"/>
          <w:szCs w:val="24"/>
        </w:rPr>
      </w:pPr>
      <w:r w:rsidRPr="00E14B9F">
        <w:rPr>
          <w:b/>
          <w:bCs/>
          <w:sz w:val="24"/>
          <w:szCs w:val="24"/>
        </w:rPr>
        <w:t>Rehearing Granted</w:t>
      </w:r>
    </w:p>
    <w:p w:rsidR="00E14B9F" w:rsidRPr="00E14B9F" w:rsidP="00E14B9F" w14:paraId="3D172D38" w14:textId="77777777">
      <w:pPr>
        <w:spacing w:after="0" w:line="240" w:lineRule="auto"/>
        <w:jc w:val="left"/>
        <w:rPr>
          <w:b/>
          <w:sz w:val="24"/>
          <w:szCs w:val="24"/>
        </w:rPr>
      </w:pPr>
      <w:r w:rsidRPr="00E14B9F">
        <w:rPr>
          <w:b/>
          <w:sz w:val="24"/>
          <w:szCs w:val="24"/>
        </w:rPr>
        <w:t xml:space="preserve">__________________________________________________________ </w:t>
      </w:r>
    </w:p>
    <w:p w:rsidR="00E14B9F" w:rsidRPr="00E14B9F" w:rsidP="00E14B9F" w14:paraId="3D2E8DE4" w14:textId="77777777">
      <w:pPr>
        <w:spacing w:after="0" w:line="240" w:lineRule="auto"/>
        <w:jc w:val="left"/>
        <w:rPr>
          <w:b/>
          <w:sz w:val="24"/>
          <w:szCs w:val="24"/>
        </w:rPr>
      </w:pPr>
    </w:p>
    <w:p w:rsidR="00E14B9F" w:rsidRPr="00E14B9F" w:rsidP="00E14B9F" w14:paraId="3E0647C8" w14:textId="77777777">
      <w:pPr>
        <w:spacing w:after="0" w:line="240" w:lineRule="auto"/>
        <w:jc w:val="left"/>
        <w:rPr>
          <w:bCs/>
          <w:sz w:val="24"/>
          <w:szCs w:val="24"/>
        </w:rPr>
      </w:pPr>
      <w:r w:rsidRPr="00E14B9F">
        <w:rPr>
          <w:b/>
          <w:sz w:val="24"/>
          <w:szCs w:val="24"/>
        </w:rPr>
        <w:t>Opinion No.</w:t>
      </w:r>
      <w:r w:rsidRPr="00E14B9F">
        <w:rPr>
          <w:sz w:val="24"/>
          <w:szCs w:val="24"/>
        </w:rPr>
        <w:t xml:space="preserve"> S273391</w:t>
      </w:r>
    </w:p>
    <w:p w:rsidR="00E14B9F" w:rsidRPr="00E14B9F" w:rsidP="00E14B9F" w14:paraId="11FCA956" w14:textId="77777777">
      <w:pPr>
        <w:spacing w:after="0" w:line="240" w:lineRule="auto"/>
        <w:jc w:val="left"/>
        <w:rPr>
          <w:bCs/>
          <w:sz w:val="24"/>
          <w:szCs w:val="24"/>
        </w:rPr>
      </w:pPr>
      <w:r w:rsidRPr="00E14B9F">
        <w:rPr>
          <w:b/>
          <w:sz w:val="24"/>
          <w:szCs w:val="24"/>
        </w:rPr>
        <w:t>Date Filed:</w:t>
      </w:r>
      <w:r w:rsidRPr="00E14B9F">
        <w:rPr>
          <w:sz w:val="24"/>
          <w:szCs w:val="24"/>
        </w:rPr>
        <w:t xml:space="preserve">  August 31, 2023</w:t>
      </w:r>
    </w:p>
    <w:p w:rsidR="00E14B9F" w:rsidRPr="00E14B9F" w:rsidP="00E14B9F" w14:paraId="24F90E61" w14:textId="77777777">
      <w:pPr>
        <w:spacing w:after="0" w:line="240" w:lineRule="auto"/>
        <w:jc w:val="left"/>
        <w:rPr>
          <w:b/>
          <w:sz w:val="24"/>
          <w:szCs w:val="24"/>
        </w:rPr>
      </w:pPr>
      <w:r w:rsidRPr="00E14B9F">
        <w:rPr>
          <w:b/>
          <w:sz w:val="24"/>
          <w:szCs w:val="24"/>
        </w:rPr>
        <w:t xml:space="preserve">__________________________________________________________ </w:t>
      </w:r>
    </w:p>
    <w:p w:rsidR="00E14B9F" w:rsidRPr="00E14B9F" w:rsidP="00E14B9F" w14:paraId="01A95351" w14:textId="77777777">
      <w:pPr>
        <w:spacing w:after="0" w:line="240" w:lineRule="auto"/>
        <w:jc w:val="left"/>
        <w:rPr>
          <w:b/>
          <w:sz w:val="24"/>
          <w:szCs w:val="24"/>
        </w:rPr>
      </w:pPr>
    </w:p>
    <w:p w:rsidR="00E14B9F" w:rsidRPr="00E14B9F" w:rsidP="00E14B9F" w14:paraId="57EE071E" w14:textId="77777777">
      <w:pPr>
        <w:spacing w:after="0" w:line="240" w:lineRule="auto"/>
        <w:jc w:val="left"/>
        <w:rPr>
          <w:bCs/>
          <w:sz w:val="24"/>
          <w:szCs w:val="24"/>
        </w:rPr>
      </w:pPr>
      <w:r w:rsidRPr="00E14B9F">
        <w:rPr>
          <w:b/>
          <w:sz w:val="24"/>
          <w:szCs w:val="24"/>
        </w:rPr>
        <w:t xml:space="preserve">Court:  </w:t>
      </w:r>
      <w:r w:rsidRPr="00E14B9F">
        <w:rPr>
          <w:bCs/>
          <w:sz w:val="24"/>
          <w:szCs w:val="24"/>
        </w:rPr>
        <w:t>Superior</w:t>
      </w:r>
      <w:r w:rsidRPr="00E14B9F">
        <w:rPr>
          <w:b/>
          <w:sz w:val="24"/>
          <w:szCs w:val="24"/>
        </w:rPr>
        <w:t xml:space="preserve"> </w:t>
      </w:r>
    </w:p>
    <w:p w:rsidR="00E14B9F" w:rsidRPr="00E14B9F" w:rsidP="00E14B9F" w14:paraId="6193E8AF" w14:textId="77777777">
      <w:pPr>
        <w:spacing w:after="0" w:line="240" w:lineRule="auto"/>
        <w:jc w:val="left"/>
        <w:rPr>
          <w:bCs/>
          <w:sz w:val="24"/>
          <w:szCs w:val="24"/>
        </w:rPr>
      </w:pPr>
      <w:r w:rsidRPr="00E14B9F">
        <w:rPr>
          <w:b/>
          <w:sz w:val="24"/>
          <w:szCs w:val="24"/>
        </w:rPr>
        <w:t xml:space="preserve">County:  </w:t>
      </w:r>
      <w:r w:rsidRPr="00E14B9F">
        <w:rPr>
          <w:bCs/>
          <w:sz w:val="24"/>
          <w:szCs w:val="24"/>
        </w:rPr>
        <w:t>Merced</w:t>
      </w:r>
    </w:p>
    <w:p w:rsidR="00E14B9F" w:rsidRPr="00E14B9F" w:rsidP="00E14B9F" w14:paraId="02525E44" w14:textId="77777777">
      <w:pPr>
        <w:spacing w:after="0" w:line="240" w:lineRule="auto"/>
        <w:ind w:left="720" w:hanging="720"/>
        <w:jc w:val="left"/>
        <w:rPr>
          <w:bCs/>
          <w:sz w:val="24"/>
          <w:szCs w:val="24"/>
        </w:rPr>
      </w:pPr>
      <w:r w:rsidRPr="00E14B9F">
        <w:rPr>
          <w:b/>
          <w:sz w:val="24"/>
          <w:szCs w:val="24"/>
        </w:rPr>
        <w:t xml:space="preserve">Judge:  </w:t>
      </w:r>
      <w:r w:rsidRPr="00E14B9F">
        <w:rPr>
          <w:bCs/>
          <w:sz w:val="24"/>
          <w:szCs w:val="24"/>
        </w:rPr>
        <w:t>Ronald W. Hansen</w:t>
      </w:r>
    </w:p>
    <w:p w:rsidR="00E14B9F" w:rsidRPr="00E14B9F" w:rsidP="00E14B9F" w14:paraId="2CF6FE44" w14:textId="77777777">
      <w:pPr>
        <w:spacing w:after="0" w:line="240" w:lineRule="auto"/>
        <w:jc w:val="left"/>
        <w:rPr>
          <w:b/>
          <w:sz w:val="24"/>
          <w:szCs w:val="24"/>
        </w:rPr>
      </w:pPr>
      <w:r w:rsidRPr="00E14B9F">
        <w:rPr>
          <w:b/>
          <w:sz w:val="24"/>
          <w:szCs w:val="24"/>
        </w:rPr>
        <w:t xml:space="preserve">__________________________________________________________  </w:t>
      </w:r>
    </w:p>
    <w:p w:rsidR="00E14B9F" w:rsidRPr="00E14B9F" w:rsidP="00E14B9F" w14:paraId="1A854CF3" w14:textId="77777777">
      <w:pPr>
        <w:spacing w:after="0" w:line="240" w:lineRule="auto"/>
        <w:jc w:val="left"/>
        <w:rPr>
          <w:b/>
          <w:sz w:val="24"/>
          <w:szCs w:val="24"/>
        </w:rPr>
      </w:pPr>
    </w:p>
    <w:p w:rsidR="00E14B9F" w:rsidRPr="00E14B9F" w:rsidP="00E14B9F" w14:paraId="06E5D362" w14:textId="77777777">
      <w:pPr>
        <w:spacing w:after="0" w:line="240" w:lineRule="auto"/>
        <w:jc w:val="left"/>
        <w:rPr>
          <w:b/>
          <w:sz w:val="24"/>
          <w:szCs w:val="24"/>
        </w:rPr>
      </w:pPr>
      <w:r w:rsidRPr="00E14B9F">
        <w:rPr>
          <w:b/>
          <w:sz w:val="24"/>
          <w:szCs w:val="24"/>
        </w:rPr>
        <w:t>Counsel:</w:t>
      </w:r>
    </w:p>
    <w:p w:rsidR="00E14B9F" w:rsidRPr="00E14B9F" w:rsidP="00E14B9F" w14:paraId="39EB068E" w14:textId="77777777">
      <w:pPr>
        <w:spacing w:after="0" w:line="240" w:lineRule="auto"/>
        <w:jc w:val="left"/>
        <w:rPr>
          <w:b/>
          <w:sz w:val="24"/>
          <w:szCs w:val="24"/>
        </w:rPr>
      </w:pPr>
    </w:p>
    <w:p w:rsidR="00E14B9F" w:rsidRPr="00E14B9F" w:rsidP="00E14B9F" w14:paraId="08675905"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t>Fitzgerald, Alvarez &amp; Ciummo and Douglas C. Foster for Petitioner.</w:t>
      </w:r>
    </w:p>
    <w:p w:rsidR="00E14B9F" w:rsidRPr="00E14B9F" w:rsidP="00E14B9F" w14:paraId="7FCEC9B6" w14:textId="77777777">
      <w:pPr>
        <w:spacing w:after="0" w:line="240" w:lineRule="auto"/>
        <w:jc w:val="left"/>
        <w:rPr>
          <w:bCs/>
          <w:color w:val="212121"/>
          <w:sz w:val="24"/>
          <w:szCs w:val="24"/>
          <w:shd w:val="clear" w:color="auto" w:fill="FFFFFF"/>
        </w:rPr>
      </w:pPr>
    </w:p>
    <w:p w:rsidR="00E14B9F" w:rsidRPr="00E14B9F" w:rsidP="00E14B9F" w14:paraId="3B1D5476"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t>No appearance for Respondent.</w:t>
      </w:r>
    </w:p>
    <w:p w:rsidR="00E14B9F" w:rsidRPr="00E14B9F" w:rsidP="00E14B9F" w14:paraId="6F3E0AC1" w14:textId="77777777">
      <w:pPr>
        <w:spacing w:after="0" w:line="240" w:lineRule="auto"/>
        <w:jc w:val="left"/>
        <w:rPr>
          <w:bCs/>
          <w:color w:val="212121"/>
          <w:sz w:val="24"/>
          <w:szCs w:val="24"/>
          <w:shd w:val="clear" w:color="auto" w:fill="FFFFFF"/>
        </w:rPr>
      </w:pPr>
    </w:p>
    <w:p w:rsidR="00E14B9F" w:rsidRPr="00E14B9F" w:rsidP="00E14B9F" w14:paraId="3A2F90CA"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t>Rob Bonta, Attorney General, Lance E. Winters, Chief Assistant Attorney General, Michael P. Farrell, Assistant Attorney General, Eric L. Christoffersen, Julie A. Hokans, Rachelle A. Newcomb and Sally Espinoza, Deputy Attorneys General, for Real Party in Interest.</w:t>
      </w:r>
    </w:p>
    <w:p w:rsidR="00E14B9F" w:rsidRPr="00E14B9F" w:rsidP="00E14B9F" w14:paraId="4DD266D4"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br w:type="page"/>
      </w:r>
      <w:r w:rsidRPr="00E14B9F">
        <w:rPr>
          <w:b/>
          <w:sz w:val="24"/>
          <w:szCs w:val="24"/>
        </w:rPr>
        <w:t>Counsel who argued in Supreme Court (not intended for publication with opinion):</w:t>
      </w:r>
    </w:p>
    <w:p w:rsidR="00E14B9F" w:rsidRPr="00E14B9F" w:rsidP="00E14B9F" w14:paraId="1BBFBDDE" w14:textId="77777777">
      <w:pPr>
        <w:spacing w:after="0" w:line="240" w:lineRule="auto"/>
        <w:jc w:val="left"/>
        <w:rPr>
          <w:b/>
          <w:sz w:val="24"/>
          <w:szCs w:val="24"/>
        </w:rPr>
      </w:pPr>
    </w:p>
    <w:bookmarkEnd w:id="14"/>
    <w:p w:rsidR="00E14B9F" w:rsidRPr="00E14B9F" w:rsidP="00E14B9F" w14:paraId="25E3A1E0"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t>Douglas C. Foster</w:t>
      </w:r>
    </w:p>
    <w:p w:rsidR="00E14B9F" w:rsidRPr="00E14B9F" w:rsidP="00E14B9F" w14:paraId="28C5D901"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t>Fitzgerald, Alvarez &amp; Ciummo</w:t>
      </w:r>
    </w:p>
    <w:p w:rsidR="00E14B9F" w:rsidRPr="00E14B9F" w:rsidP="00E14B9F" w14:paraId="4922D1E8"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t>3185 M Street, Suite 200</w:t>
      </w:r>
    </w:p>
    <w:p w:rsidR="00E14B9F" w:rsidRPr="00E14B9F" w:rsidP="00E14B9F" w14:paraId="57DB8340"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t>Merced, CA 95348</w:t>
      </w:r>
    </w:p>
    <w:p w:rsidR="00E14B9F" w:rsidRPr="00E14B9F" w:rsidP="00E14B9F" w14:paraId="1B472384"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t>(209) 691-7280</w:t>
      </w:r>
    </w:p>
    <w:p w:rsidR="00E14B9F" w:rsidRPr="00E14B9F" w:rsidP="00E14B9F" w14:paraId="132A3CB2" w14:textId="77777777">
      <w:pPr>
        <w:spacing w:after="0" w:line="240" w:lineRule="auto"/>
        <w:jc w:val="left"/>
        <w:rPr>
          <w:bCs/>
          <w:color w:val="212121"/>
          <w:sz w:val="24"/>
          <w:szCs w:val="24"/>
          <w:shd w:val="clear" w:color="auto" w:fill="FFFFFF"/>
        </w:rPr>
      </w:pPr>
    </w:p>
    <w:p w:rsidR="00E14B9F" w:rsidRPr="00E14B9F" w:rsidP="00E14B9F" w14:paraId="566745EA"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t>Sally Espinoza</w:t>
      </w:r>
    </w:p>
    <w:p w:rsidR="00E14B9F" w:rsidRPr="00E14B9F" w:rsidP="00E14B9F" w14:paraId="52F20643"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t>Deputy Attorney General</w:t>
      </w:r>
    </w:p>
    <w:p w:rsidR="00E14B9F" w:rsidRPr="00E14B9F" w:rsidP="00E14B9F" w14:paraId="29E71387"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t>1300 I Street</w:t>
      </w:r>
    </w:p>
    <w:p w:rsidR="00E14B9F" w:rsidRPr="00E14B9F" w:rsidP="00E14B9F" w14:paraId="20E4FE0F"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t>Sacramento, CA 95814</w:t>
      </w:r>
    </w:p>
    <w:p w:rsidR="00E14B9F" w:rsidRPr="00E14B9F" w:rsidP="00E14B9F" w14:paraId="0BF33B07" w14:textId="77777777">
      <w:pPr>
        <w:spacing w:after="0" w:line="240" w:lineRule="auto"/>
        <w:jc w:val="left"/>
        <w:rPr>
          <w:bCs/>
          <w:color w:val="212121"/>
          <w:sz w:val="24"/>
          <w:szCs w:val="24"/>
          <w:shd w:val="clear" w:color="auto" w:fill="FFFFFF"/>
        </w:rPr>
      </w:pPr>
      <w:r w:rsidRPr="00E14B9F">
        <w:rPr>
          <w:bCs/>
          <w:color w:val="212121"/>
          <w:sz w:val="24"/>
          <w:szCs w:val="24"/>
          <w:shd w:val="clear" w:color="auto" w:fill="FFFFFF"/>
        </w:rPr>
        <w:t>(916) 210-6282</w:t>
      </w:r>
    </w:p>
    <w:p w:rsidR="00E14B9F" w:rsidRPr="008F1266" w:rsidP="007015EF" w14:paraId="2E7FE4C5" w14:textId="77777777">
      <w:pPr>
        <w:tabs>
          <w:tab w:val="left" w:pos="1440"/>
        </w:tabs>
        <w:spacing w:after="0" w:line="240" w:lineRule="auto"/>
      </w:pPr>
    </w:p>
    <w:sectPr w:rsidSect="00EC2BB8">
      <w:headerReference w:type="default" r:id="rId9"/>
      <w:footerReference w:type="default" r:id="rId10"/>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06ED9" w14:paraId="4E93139E" w14:textId="77777777">
    <w:pPr>
      <w:pStyle w:val="Footer"/>
    </w:pPr>
    <w:r>
      <w:fldChar w:fldCharType="begin"/>
    </w:r>
    <w:r>
      <w:instrText>PAGE</w:instrText>
    </w:r>
    <w:r>
      <w:fldChar w:fldCharType="separate"/>
    </w:r>
    <w:r w:rsidR="005A3FAC">
      <w:rPr>
        <w:noProof/>
      </w:rPr>
      <w:t>47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1266" w14:paraId="4E93139F" w14:textId="7777777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B9F" w:rsidRPr="00E14B9F" w:rsidP="00E14B9F" w14:paraId="344E8E17" w14:textId="44ADD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45EE" w14:paraId="774E7984" w14:textId="77777777">
      <w:r>
        <w:separator/>
      </w:r>
    </w:p>
  </w:footnote>
  <w:footnote w:type="continuationSeparator" w:id="1">
    <w:p w:rsidR="002745EE" w14:paraId="34A94FC8" w14:textId="77777777">
      <w:pPr>
        <w:rPr>
          <w:sz w:val="22"/>
        </w:rPr>
      </w:pPr>
      <w:r>
        <w:continuationSeparator/>
      </w:r>
    </w:p>
  </w:footnote>
  <w:footnote w:type="continuationNotice" w:id="2">
    <w:p w:rsidR="002745EE" w14:paraId="1D5013FE" w14:textId="77777777">
      <w:pPr>
        <w:jc w:val="right"/>
        <w:rPr>
          <w:i/>
          <w:sz w:val="20"/>
        </w:rPr>
      </w:pPr>
    </w:p>
  </w:footnote>
  <w:footnote w:id="3">
    <w:p w:rsidR="00E87804" w:rsidP="00E87804" w14:paraId="4E9313A0" w14:textId="77777777">
      <w:pPr>
        <w:pStyle w:val="FootnoteText"/>
      </w:pPr>
      <w:r>
        <w:rPr>
          <w:rStyle w:val="FootnoteReference"/>
        </w:rPr>
        <w:footnoteRef/>
      </w:r>
      <w:r>
        <w:tab/>
        <w:t xml:space="preserve">The SVP Act has been amended several times since it was first enacted in 1995.  Unless otherwise indicated, statutory references are to the version of the </w:t>
      </w:r>
      <w:r w:rsidR="0075174F">
        <w:t xml:space="preserve">SVP </w:t>
      </w:r>
      <w:r>
        <w:t>Act currently in force.</w:t>
      </w:r>
    </w:p>
  </w:footnote>
  <w:footnote w:id="4">
    <w:p w:rsidR="009D717C" w:rsidRPr="00D52E20" w:rsidP="008F1266" w14:paraId="4E9313A1" w14:textId="77777777">
      <w:pPr>
        <w:pStyle w:val="FootnoteText"/>
        <w:rPr>
          <w:szCs w:val="26"/>
        </w:rPr>
      </w:pPr>
      <w:r>
        <w:rPr>
          <w:rStyle w:val="FootnoteReference"/>
        </w:rPr>
        <w:footnoteRef/>
      </w:r>
      <w:r>
        <w:t xml:space="preserve"> </w:t>
      </w:r>
      <w:r w:rsidR="00B23D1F">
        <w:tab/>
      </w:r>
      <w:r w:rsidRPr="00914F75">
        <w:rPr>
          <w:szCs w:val="26"/>
        </w:rPr>
        <w:t>(See</w:t>
      </w:r>
      <w:r w:rsidR="00780CF4">
        <w:rPr>
          <w:szCs w:val="26"/>
        </w:rPr>
        <w:t>, e.g.,</w:t>
      </w:r>
      <w:r w:rsidRPr="00914F75">
        <w:rPr>
          <w:szCs w:val="26"/>
        </w:rPr>
        <w:t xml:space="preserve"> </w:t>
      </w:r>
      <w:r w:rsidR="0052330A">
        <w:rPr>
          <w:i/>
          <w:iCs/>
          <w:szCs w:val="26"/>
        </w:rPr>
        <w:t xml:space="preserve">In re Kerins </w:t>
      </w:r>
      <w:r w:rsidR="0052330A">
        <w:rPr>
          <w:szCs w:val="26"/>
        </w:rPr>
        <w:t>(2023) 89 Cal.App.5th 1084 [14-year delay]</w:t>
      </w:r>
      <w:r w:rsidR="00FE15A5">
        <w:rPr>
          <w:szCs w:val="26"/>
        </w:rPr>
        <w:t>, review granted June 14, 2023, S279933</w:t>
      </w:r>
      <w:r w:rsidR="0052330A">
        <w:rPr>
          <w:szCs w:val="26"/>
        </w:rPr>
        <w:t xml:space="preserve">; </w:t>
      </w:r>
      <w:r>
        <w:rPr>
          <w:i/>
          <w:iCs/>
          <w:szCs w:val="26"/>
        </w:rPr>
        <w:t xml:space="preserve">People v. Hubbs </w:t>
      </w:r>
      <w:r>
        <w:rPr>
          <w:szCs w:val="26"/>
        </w:rPr>
        <w:t xml:space="preserve">(Jan. 19, 2023, D077636) </w:t>
      </w:r>
      <w:r w:rsidR="000C35BC">
        <w:rPr>
          <w:szCs w:val="26"/>
        </w:rPr>
        <w:t xml:space="preserve">[nonpub. opn.] </w:t>
      </w:r>
      <w:r>
        <w:rPr>
          <w:szCs w:val="26"/>
        </w:rPr>
        <w:t>2023 WL 311941 [</w:t>
      </w:r>
      <w:r w:rsidR="007E43D0">
        <w:rPr>
          <w:szCs w:val="26"/>
        </w:rPr>
        <w:t>15</w:t>
      </w:r>
      <w:r>
        <w:rPr>
          <w:szCs w:val="26"/>
        </w:rPr>
        <w:t>-year</w:t>
      </w:r>
      <w:r w:rsidR="000608B5">
        <w:rPr>
          <w:szCs w:val="26"/>
        </w:rPr>
        <w:t xml:space="preserve"> delay</w:t>
      </w:r>
      <w:r>
        <w:rPr>
          <w:szCs w:val="26"/>
        </w:rPr>
        <w:t xml:space="preserve">]; </w:t>
      </w:r>
      <w:r>
        <w:rPr>
          <w:i/>
          <w:iCs/>
          <w:szCs w:val="26"/>
        </w:rPr>
        <w:t xml:space="preserve">People v. Carter </w:t>
      </w:r>
      <w:r>
        <w:rPr>
          <w:szCs w:val="26"/>
        </w:rPr>
        <w:t>(2022) 86 Cal.App.5th 739 [</w:t>
      </w:r>
      <w:r w:rsidR="007E43D0">
        <w:rPr>
          <w:szCs w:val="26"/>
        </w:rPr>
        <w:t>14</w:t>
      </w:r>
      <w:r>
        <w:rPr>
          <w:szCs w:val="26"/>
        </w:rPr>
        <w:t xml:space="preserve">-year delay]; </w:t>
      </w:r>
      <w:r>
        <w:rPr>
          <w:i/>
          <w:iCs/>
          <w:szCs w:val="26"/>
        </w:rPr>
        <w:t xml:space="preserve">People v. Lozano </w:t>
      </w:r>
      <w:r>
        <w:rPr>
          <w:szCs w:val="26"/>
        </w:rPr>
        <w:t xml:space="preserve">(Aug. 10, 2022, </w:t>
      </w:r>
      <w:r w:rsidRPr="002A0641">
        <w:rPr>
          <w:szCs w:val="26"/>
        </w:rPr>
        <w:t>C094245</w:t>
      </w:r>
      <w:r>
        <w:rPr>
          <w:szCs w:val="26"/>
        </w:rPr>
        <w:t xml:space="preserve">) </w:t>
      </w:r>
      <w:r w:rsidR="000C35BC">
        <w:rPr>
          <w:szCs w:val="26"/>
        </w:rPr>
        <w:t xml:space="preserve">[nonpub. opn.] </w:t>
      </w:r>
      <w:r>
        <w:rPr>
          <w:szCs w:val="26"/>
        </w:rPr>
        <w:t>2022 WL 3224388 [</w:t>
      </w:r>
      <w:r w:rsidR="00D8668F">
        <w:rPr>
          <w:szCs w:val="26"/>
        </w:rPr>
        <w:t>11</w:t>
      </w:r>
      <w:r>
        <w:rPr>
          <w:szCs w:val="26"/>
        </w:rPr>
        <w:t xml:space="preserve">-year delay]; </w:t>
      </w:r>
      <w:r w:rsidRPr="00640661">
        <w:rPr>
          <w:i/>
          <w:iCs/>
          <w:szCs w:val="26"/>
        </w:rPr>
        <w:t xml:space="preserve">People v. Ballardo </w:t>
      </w:r>
      <w:r w:rsidRPr="00640661">
        <w:rPr>
          <w:szCs w:val="26"/>
        </w:rPr>
        <w:t>(Mar. 29, 2022</w:t>
      </w:r>
      <w:r>
        <w:rPr>
          <w:szCs w:val="26"/>
        </w:rPr>
        <w:t>,</w:t>
      </w:r>
      <w:r w:rsidRPr="00640661">
        <w:rPr>
          <w:szCs w:val="26"/>
        </w:rPr>
        <w:t xml:space="preserve"> B290567</w:t>
      </w:r>
      <w:r w:rsidR="000C35BC">
        <w:rPr>
          <w:szCs w:val="26"/>
        </w:rPr>
        <w:t>)</w:t>
      </w:r>
      <w:r w:rsidR="00786CC4">
        <w:rPr>
          <w:szCs w:val="26"/>
        </w:rPr>
        <w:t xml:space="preserve"> [nonpub. opn.]</w:t>
      </w:r>
      <w:r w:rsidRPr="00640661">
        <w:rPr>
          <w:szCs w:val="26"/>
        </w:rPr>
        <w:t xml:space="preserve"> 2022 WL 906421</w:t>
      </w:r>
      <w:r>
        <w:rPr>
          <w:szCs w:val="26"/>
        </w:rPr>
        <w:t xml:space="preserve"> </w:t>
      </w:r>
      <w:r w:rsidRPr="00640661">
        <w:rPr>
          <w:szCs w:val="26"/>
        </w:rPr>
        <w:t>[</w:t>
      </w:r>
      <w:r w:rsidR="004E4C94">
        <w:rPr>
          <w:szCs w:val="26"/>
        </w:rPr>
        <w:t>13</w:t>
      </w:r>
      <w:r w:rsidRPr="00640661">
        <w:rPr>
          <w:szCs w:val="26"/>
        </w:rPr>
        <w:t>-year delay</w:t>
      </w:r>
      <w:r>
        <w:rPr>
          <w:szCs w:val="26"/>
        </w:rPr>
        <w:t>]</w:t>
      </w:r>
      <w:r w:rsidRPr="00640661">
        <w:rPr>
          <w:szCs w:val="26"/>
        </w:rPr>
        <w:t>;</w:t>
      </w:r>
      <w:r w:rsidR="000D29C1">
        <w:rPr>
          <w:szCs w:val="26"/>
        </w:rPr>
        <w:t xml:space="preserve"> </w:t>
      </w:r>
      <w:r w:rsidRPr="00640661">
        <w:rPr>
          <w:i/>
          <w:iCs/>
          <w:szCs w:val="26"/>
        </w:rPr>
        <w:t>Camacho</w:t>
      </w:r>
      <w:r w:rsidR="00FE15A5">
        <w:rPr>
          <w:i/>
          <w:iCs/>
          <w:szCs w:val="26"/>
        </w:rPr>
        <w:t xml:space="preserve"> v. Superior Court of Merced County</w:t>
      </w:r>
      <w:r w:rsidR="00FE15A5">
        <w:rPr>
          <w:szCs w:val="26"/>
        </w:rPr>
        <w:t xml:space="preserve"> (Jan. 21, 2022,</w:t>
      </w:r>
      <w:r w:rsidR="000D29C1">
        <w:rPr>
          <w:i/>
          <w:iCs/>
          <w:szCs w:val="26"/>
        </w:rPr>
        <w:t xml:space="preserve"> </w:t>
      </w:r>
      <w:r w:rsidRPr="00640661">
        <w:rPr>
          <w:szCs w:val="26"/>
        </w:rPr>
        <w:t>F082798</w:t>
      </w:r>
      <w:r w:rsidR="000058EE">
        <w:rPr>
          <w:szCs w:val="26"/>
        </w:rPr>
        <w:t>)</w:t>
      </w:r>
      <w:r w:rsidRPr="00640661">
        <w:rPr>
          <w:szCs w:val="26"/>
        </w:rPr>
        <w:t xml:space="preserve"> </w:t>
      </w:r>
      <w:r w:rsidR="000C35BC">
        <w:rPr>
          <w:szCs w:val="26"/>
        </w:rPr>
        <w:t xml:space="preserve">[nonpub. opn.] </w:t>
      </w:r>
      <w:r w:rsidRPr="00640661">
        <w:rPr>
          <w:szCs w:val="26"/>
        </w:rPr>
        <w:t>2022 WL 189070 [</w:t>
      </w:r>
      <w:r w:rsidR="004E4C94">
        <w:rPr>
          <w:szCs w:val="26"/>
        </w:rPr>
        <w:t>1</w:t>
      </w:r>
      <w:r w:rsidR="007E43D0">
        <w:rPr>
          <w:szCs w:val="26"/>
        </w:rPr>
        <w:t>5</w:t>
      </w:r>
      <w:r>
        <w:rPr>
          <w:szCs w:val="26"/>
        </w:rPr>
        <w:t>-</w:t>
      </w:r>
      <w:r w:rsidRPr="00640661">
        <w:rPr>
          <w:szCs w:val="26"/>
        </w:rPr>
        <w:t>year</w:t>
      </w:r>
      <w:r>
        <w:rPr>
          <w:szCs w:val="26"/>
        </w:rPr>
        <w:t xml:space="preserve"> delay</w:t>
      </w:r>
      <w:r w:rsidRPr="00640661">
        <w:rPr>
          <w:szCs w:val="26"/>
        </w:rPr>
        <w:t xml:space="preserve">]; </w:t>
      </w:r>
      <w:r w:rsidRPr="00640661">
        <w:rPr>
          <w:i/>
          <w:iCs/>
          <w:szCs w:val="26"/>
        </w:rPr>
        <w:t xml:space="preserve">People v. Eden </w:t>
      </w:r>
      <w:r w:rsidRPr="00640661">
        <w:rPr>
          <w:szCs w:val="26"/>
        </w:rPr>
        <w:t>(Jan. 21, 2022</w:t>
      </w:r>
      <w:r>
        <w:rPr>
          <w:szCs w:val="26"/>
        </w:rPr>
        <w:t>,</w:t>
      </w:r>
      <w:r w:rsidRPr="00640661">
        <w:rPr>
          <w:szCs w:val="26"/>
        </w:rPr>
        <w:t xml:space="preserve"> A162818) </w:t>
      </w:r>
      <w:r w:rsidR="000C35BC">
        <w:rPr>
          <w:szCs w:val="26"/>
        </w:rPr>
        <w:t xml:space="preserve">[nonpub. opn.] </w:t>
      </w:r>
      <w:r w:rsidRPr="00640661">
        <w:rPr>
          <w:szCs w:val="26"/>
        </w:rPr>
        <w:t>2022 WL 188679 [</w:t>
      </w:r>
      <w:r w:rsidR="001E3131">
        <w:rPr>
          <w:szCs w:val="26"/>
        </w:rPr>
        <w:t>5</w:t>
      </w:r>
      <w:r w:rsidRPr="00640661">
        <w:rPr>
          <w:szCs w:val="26"/>
        </w:rPr>
        <w:t xml:space="preserve">-year delay]; </w:t>
      </w:r>
      <w:r w:rsidRPr="00640661">
        <w:rPr>
          <w:i/>
          <w:iCs/>
          <w:szCs w:val="26"/>
        </w:rPr>
        <w:t xml:space="preserve">People v. Tran </w:t>
      </w:r>
      <w:r w:rsidRPr="00640661">
        <w:rPr>
          <w:szCs w:val="26"/>
        </w:rPr>
        <w:t>(2021) 62 Cal.App.5th 330 [</w:t>
      </w:r>
      <w:r w:rsidR="004E4C94">
        <w:rPr>
          <w:szCs w:val="26"/>
        </w:rPr>
        <w:t>11</w:t>
      </w:r>
      <w:r w:rsidRPr="00640661">
        <w:rPr>
          <w:szCs w:val="26"/>
        </w:rPr>
        <w:t xml:space="preserve">-year delay]; </w:t>
      </w:r>
      <w:r w:rsidRPr="00640661">
        <w:rPr>
          <w:i/>
          <w:iCs/>
          <w:szCs w:val="26"/>
        </w:rPr>
        <w:t xml:space="preserve">People v. Orey </w:t>
      </w:r>
      <w:r w:rsidRPr="00640661">
        <w:rPr>
          <w:szCs w:val="26"/>
        </w:rPr>
        <w:t>(2021) 63 Cal.App.5th 529 [</w:t>
      </w:r>
      <w:r w:rsidR="001E3131">
        <w:rPr>
          <w:szCs w:val="26"/>
        </w:rPr>
        <w:t>8</w:t>
      </w:r>
      <w:r w:rsidRPr="00640661">
        <w:rPr>
          <w:szCs w:val="26"/>
        </w:rPr>
        <w:t xml:space="preserve">-year delay]; </w:t>
      </w:r>
      <w:r w:rsidRPr="00640661">
        <w:rPr>
          <w:i/>
          <w:iCs/>
          <w:szCs w:val="26"/>
        </w:rPr>
        <w:t xml:space="preserve">People v. Sims </w:t>
      </w:r>
      <w:r w:rsidRPr="00640661">
        <w:rPr>
          <w:szCs w:val="26"/>
        </w:rPr>
        <w:t>(Feb. 24, 2021</w:t>
      </w:r>
      <w:r>
        <w:rPr>
          <w:szCs w:val="26"/>
        </w:rPr>
        <w:t>,</w:t>
      </w:r>
      <w:r w:rsidRPr="00640661">
        <w:rPr>
          <w:szCs w:val="26"/>
        </w:rPr>
        <w:t xml:space="preserve"> C088029) </w:t>
      </w:r>
      <w:r w:rsidR="004469AA">
        <w:rPr>
          <w:szCs w:val="26"/>
        </w:rPr>
        <w:t xml:space="preserve">[nonpub. opn.] </w:t>
      </w:r>
      <w:r w:rsidRPr="00640661">
        <w:rPr>
          <w:szCs w:val="26"/>
        </w:rPr>
        <w:t>2021 WL 717063 [</w:t>
      </w:r>
      <w:r w:rsidR="001E3131">
        <w:rPr>
          <w:szCs w:val="26"/>
        </w:rPr>
        <w:t>9</w:t>
      </w:r>
      <w:r>
        <w:rPr>
          <w:szCs w:val="26"/>
        </w:rPr>
        <w:t>-year delay</w:t>
      </w:r>
      <w:r w:rsidRPr="00640661">
        <w:rPr>
          <w:szCs w:val="26"/>
        </w:rPr>
        <w:t xml:space="preserve">]; </w:t>
      </w:r>
      <w:r w:rsidRPr="00640661">
        <w:rPr>
          <w:i/>
          <w:iCs/>
          <w:szCs w:val="26"/>
        </w:rPr>
        <w:t xml:space="preserve">People v. Taylor </w:t>
      </w:r>
      <w:r w:rsidRPr="00640661">
        <w:rPr>
          <w:szCs w:val="26"/>
        </w:rPr>
        <w:t>(Jan. 28, 2021</w:t>
      </w:r>
      <w:r>
        <w:rPr>
          <w:szCs w:val="26"/>
        </w:rPr>
        <w:t>,</w:t>
      </w:r>
      <w:r w:rsidRPr="00640661">
        <w:rPr>
          <w:szCs w:val="26"/>
        </w:rPr>
        <w:t xml:space="preserve"> B303044) </w:t>
      </w:r>
      <w:r w:rsidR="000C35BC">
        <w:rPr>
          <w:szCs w:val="26"/>
        </w:rPr>
        <w:t xml:space="preserve">[nonpub. opn.] </w:t>
      </w:r>
      <w:r w:rsidRPr="00640661">
        <w:rPr>
          <w:szCs w:val="26"/>
        </w:rPr>
        <w:t>2021 WL 281796</w:t>
      </w:r>
      <w:r>
        <w:rPr>
          <w:szCs w:val="26"/>
        </w:rPr>
        <w:t xml:space="preserve"> </w:t>
      </w:r>
      <w:r w:rsidRPr="00640661">
        <w:rPr>
          <w:szCs w:val="26"/>
        </w:rPr>
        <w:t>[</w:t>
      </w:r>
      <w:r w:rsidR="001E3131">
        <w:rPr>
          <w:szCs w:val="26"/>
        </w:rPr>
        <w:t>9</w:t>
      </w:r>
      <w:r>
        <w:rPr>
          <w:szCs w:val="26"/>
        </w:rPr>
        <w:t>-year</w:t>
      </w:r>
      <w:r w:rsidR="0005645D">
        <w:rPr>
          <w:szCs w:val="26"/>
        </w:rPr>
        <w:t xml:space="preserve"> delay</w:t>
      </w:r>
      <w:r w:rsidRPr="00640661">
        <w:rPr>
          <w:szCs w:val="26"/>
        </w:rPr>
        <w:t xml:space="preserve">]; </w:t>
      </w:r>
      <w:r w:rsidRPr="00640661">
        <w:rPr>
          <w:i/>
          <w:iCs/>
          <w:szCs w:val="26"/>
        </w:rPr>
        <w:t xml:space="preserve">People v. Allen </w:t>
      </w:r>
      <w:r w:rsidRPr="00640661">
        <w:rPr>
          <w:szCs w:val="26"/>
        </w:rPr>
        <w:t>(Jan. 27, 2021</w:t>
      </w:r>
      <w:r>
        <w:rPr>
          <w:szCs w:val="26"/>
        </w:rPr>
        <w:t>,</w:t>
      </w:r>
      <w:r w:rsidRPr="00640661">
        <w:rPr>
          <w:szCs w:val="26"/>
        </w:rPr>
        <w:t xml:space="preserve"> B288740) </w:t>
      </w:r>
      <w:r w:rsidR="000C35BC">
        <w:rPr>
          <w:szCs w:val="26"/>
        </w:rPr>
        <w:t xml:space="preserve">[nonpub. opn.] </w:t>
      </w:r>
      <w:r w:rsidRPr="00640661">
        <w:rPr>
          <w:szCs w:val="26"/>
        </w:rPr>
        <w:t>2021 WL 268353</w:t>
      </w:r>
      <w:r>
        <w:rPr>
          <w:szCs w:val="26"/>
        </w:rPr>
        <w:t xml:space="preserve"> </w:t>
      </w:r>
      <w:r w:rsidRPr="00640661">
        <w:rPr>
          <w:szCs w:val="26"/>
        </w:rPr>
        <w:t>[</w:t>
      </w:r>
      <w:r w:rsidR="004E4C94">
        <w:rPr>
          <w:szCs w:val="26"/>
        </w:rPr>
        <w:t>15</w:t>
      </w:r>
      <w:r w:rsidRPr="00640661">
        <w:rPr>
          <w:szCs w:val="26"/>
        </w:rPr>
        <w:t xml:space="preserve">-year delay]; </w:t>
      </w:r>
      <w:r w:rsidRPr="00640661">
        <w:rPr>
          <w:i/>
          <w:iCs/>
          <w:szCs w:val="26"/>
        </w:rPr>
        <w:t xml:space="preserve">In re Butler </w:t>
      </w:r>
      <w:r w:rsidRPr="00640661">
        <w:rPr>
          <w:szCs w:val="26"/>
        </w:rPr>
        <w:t>(2020) 55 Cal.App.5th 614 [</w:t>
      </w:r>
      <w:r w:rsidR="004E4C94">
        <w:rPr>
          <w:szCs w:val="26"/>
        </w:rPr>
        <w:t>13</w:t>
      </w:r>
      <w:r>
        <w:rPr>
          <w:szCs w:val="26"/>
        </w:rPr>
        <w:t>-</w:t>
      </w:r>
      <w:r w:rsidRPr="00640661">
        <w:rPr>
          <w:szCs w:val="26"/>
        </w:rPr>
        <w:t>year</w:t>
      </w:r>
      <w:r>
        <w:rPr>
          <w:szCs w:val="26"/>
        </w:rPr>
        <w:t xml:space="preserve"> delay</w:t>
      </w:r>
      <w:r w:rsidRPr="00640661">
        <w:rPr>
          <w:szCs w:val="26"/>
        </w:rPr>
        <w:t xml:space="preserve">]; </w:t>
      </w:r>
      <w:r w:rsidRPr="00640661">
        <w:rPr>
          <w:i/>
          <w:iCs/>
          <w:szCs w:val="26"/>
        </w:rPr>
        <w:t>People v. De</w:t>
      </w:r>
      <w:r w:rsidR="008D6329">
        <w:rPr>
          <w:i/>
          <w:iCs/>
          <w:szCs w:val="26"/>
        </w:rPr>
        <w:t>C</w:t>
      </w:r>
      <w:r w:rsidRPr="00640661">
        <w:rPr>
          <w:i/>
          <w:iCs/>
          <w:szCs w:val="26"/>
        </w:rPr>
        <w:t xml:space="preserve">asas </w:t>
      </w:r>
      <w:r w:rsidRPr="00640661">
        <w:rPr>
          <w:szCs w:val="26"/>
        </w:rPr>
        <w:t>(2020) 54 Cal.App.5th 785 [</w:t>
      </w:r>
      <w:r w:rsidR="004E4C94">
        <w:rPr>
          <w:szCs w:val="26"/>
        </w:rPr>
        <w:t>13</w:t>
      </w:r>
      <w:r>
        <w:rPr>
          <w:szCs w:val="26"/>
        </w:rPr>
        <w:t>-year delay</w:t>
      </w:r>
      <w:r w:rsidRPr="00640661">
        <w:rPr>
          <w:szCs w:val="26"/>
        </w:rPr>
        <w:t xml:space="preserve">]; </w:t>
      </w:r>
      <w:r w:rsidRPr="00640661">
        <w:rPr>
          <w:i/>
          <w:iCs/>
          <w:szCs w:val="26"/>
        </w:rPr>
        <w:t xml:space="preserve">People v. Bradley </w:t>
      </w:r>
      <w:r w:rsidRPr="00640661">
        <w:rPr>
          <w:szCs w:val="26"/>
        </w:rPr>
        <w:t>(2020) 51 Cal.App.5th 32</w:t>
      </w:r>
      <w:r w:rsidRPr="00914F75">
        <w:rPr>
          <w:szCs w:val="26"/>
        </w:rPr>
        <w:t xml:space="preserve"> [</w:t>
      </w:r>
      <w:r w:rsidR="001E3131">
        <w:rPr>
          <w:szCs w:val="26"/>
        </w:rPr>
        <w:t>3</w:t>
      </w:r>
      <w:r w:rsidRPr="00640661">
        <w:rPr>
          <w:szCs w:val="26"/>
        </w:rPr>
        <w:t>-year delay</w:t>
      </w:r>
      <w:r w:rsidRPr="00914F75">
        <w:rPr>
          <w:szCs w:val="26"/>
        </w:rPr>
        <w:t xml:space="preserve">]; </w:t>
      </w:r>
      <w:r w:rsidRPr="00640661">
        <w:rPr>
          <w:i/>
          <w:iCs/>
          <w:szCs w:val="26"/>
        </w:rPr>
        <w:t>People v. Teluci</w:t>
      </w:r>
      <w:r w:rsidRPr="00640661">
        <w:rPr>
          <w:szCs w:val="26"/>
        </w:rPr>
        <w:t xml:space="preserve"> (Nov. 4, 2020</w:t>
      </w:r>
      <w:r>
        <w:rPr>
          <w:szCs w:val="26"/>
        </w:rPr>
        <w:t>,</w:t>
      </w:r>
      <w:r w:rsidRPr="00640661">
        <w:rPr>
          <w:szCs w:val="26"/>
        </w:rPr>
        <w:t xml:space="preserve"> A155206) </w:t>
      </w:r>
      <w:r w:rsidR="000C35BC">
        <w:rPr>
          <w:szCs w:val="26"/>
        </w:rPr>
        <w:t xml:space="preserve">[nonpub. opn.] </w:t>
      </w:r>
      <w:r w:rsidRPr="00640661">
        <w:rPr>
          <w:szCs w:val="26"/>
        </w:rPr>
        <w:t>2020 WL 6482396</w:t>
      </w:r>
      <w:r>
        <w:rPr>
          <w:szCs w:val="26"/>
        </w:rPr>
        <w:t xml:space="preserve"> </w:t>
      </w:r>
      <w:r w:rsidRPr="00914F75">
        <w:rPr>
          <w:szCs w:val="26"/>
        </w:rPr>
        <w:t>[</w:t>
      </w:r>
      <w:r w:rsidR="004E4C94">
        <w:rPr>
          <w:szCs w:val="26"/>
        </w:rPr>
        <w:t>11</w:t>
      </w:r>
      <w:r w:rsidRPr="00640661">
        <w:rPr>
          <w:szCs w:val="26"/>
        </w:rPr>
        <w:t>-year delay</w:t>
      </w:r>
      <w:r w:rsidRPr="00914F75">
        <w:rPr>
          <w:szCs w:val="26"/>
        </w:rPr>
        <w:t xml:space="preserve">]; </w:t>
      </w:r>
      <w:r w:rsidRPr="00640661">
        <w:rPr>
          <w:i/>
          <w:iCs/>
          <w:szCs w:val="26"/>
        </w:rPr>
        <w:t xml:space="preserve">People v. Raker </w:t>
      </w:r>
      <w:r w:rsidRPr="00640661">
        <w:rPr>
          <w:szCs w:val="26"/>
        </w:rPr>
        <w:t>(Aug. 20, 2020</w:t>
      </w:r>
      <w:r>
        <w:rPr>
          <w:szCs w:val="26"/>
        </w:rPr>
        <w:t>,</w:t>
      </w:r>
      <w:r w:rsidRPr="00640661">
        <w:rPr>
          <w:szCs w:val="26"/>
        </w:rPr>
        <w:t xml:space="preserve"> B299718) </w:t>
      </w:r>
      <w:r w:rsidR="000C35BC">
        <w:rPr>
          <w:szCs w:val="26"/>
        </w:rPr>
        <w:t xml:space="preserve">[nonpub. opn.] </w:t>
      </w:r>
      <w:r w:rsidRPr="00640661">
        <w:rPr>
          <w:szCs w:val="26"/>
        </w:rPr>
        <w:t>2020 WL 4877437</w:t>
      </w:r>
      <w:r>
        <w:rPr>
          <w:szCs w:val="26"/>
        </w:rPr>
        <w:t xml:space="preserve"> </w:t>
      </w:r>
      <w:r w:rsidRPr="00914F75">
        <w:rPr>
          <w:szCs w:val="26"/>
        </w:rPr>
        <w:t>[</w:t>
      </w:r>
      <w:r w:rsidR="004E4C94">
        <w:rPr>
          <w:szCs w:val="26"/>
        </w:rPr>
        <w:t>11</w:t>
      </w:r>
      <w:r>
        <w:rPr>
          <w:szCs w:val="26"/>
        </w:rPr>
        <w:t>-year delay</w:t>
      </w:r>
      <w:r w:rsidRPr="00914F75">
        <w:rPr>
          <w:szCs w:val="26"/>
        </w:rPr>
        <w:t xml:space="preserve">]; </w:t>
      </w:r>
      <w:r w:rsidRPr="00640661">
        <w:rPr>
          <w:i/>
          <w:iCs/>
          <w:szCs w:val="26"/>
        </w:rPr>
        <w:t xml:space="preserve">People v. Barrcena </w:t>
      </w:r>
      <w:r w:rsidRPr="00640661">
        <w:rPr>
          <w:szCs w:val="26"/>
        </w:rPr>
        <w:t>(Aug. 3, 2020</w:t>
      </w:r>
      <w:r>
        <w:rPr>
          <w:szCs w:val="26"/>
        </w:rPr>
        <w:t>,</w:t>
      </w:r>
      <w:r w:rsidRPr="00640661">
        <w:rPr>
          <w:szCs w:val="26"/>
        </w:rPr>
        <w:t xml:space="preserve"> B289917) </w:t>
      </w:r>
      <w:r w:rsidR="000C35BC">
        <w:rPr>
          <w:szCs w:val="26"/>
        </w:rPr>
        <w:t xml:space="preserve">[nonpub. opn.] </w:t>
      </w:r>
      <w:r w:rsidRPr="00640661">
        <w:rPr>
          <w:szCs w:val="26"/>
        </w:rPr>
        <w:t>2020 WL 4435548</w:t>
      </w:r>
      <w:r w:rsidRPr="00914F75">
        <w:rPr>
          <w:szCs w:val="26"/>
        </w:rPr>
        <w:t xml:space="preserve"> [</w:t>
      </w:r>
      <w:r w:rsidR="004E4C94">
        <w:rPr>
          <w:szCs w:val="26"/>
        </w:rPr>
        <w:t>11</w:t>
      </w:r>
      <w:r w:rsidRPr="00640661">
        <w:rPr>
          <w:szCs w:val="26"/>
        </w:rPr>
        <w:t>-year delay</w:t>
      </w:r>
      <w:r w:rsidRPr="00914F75">
        <w:rPr>
          <w:szCs w:val="26"/>
        </w:rPr>
        <w:t xml:space="preserve">]; </w:t>
      </w:r>
      <w:r w:rsidRPr="00640661">
        <w:rPr>
          <w:i/>
          <w:iCs/>
          <w:szCs w:val="26"/>
        </w:rPr>
        <w:t xml:space="preserve">People v. Burns </w:t>
      </w:r>
      <w:r w:rsidRPr="00640661">
        <w:rPr>
          <w:szCs w:val="26"/>
        </w:rPr>
        <w:t>(May 21, 2020</w:t>
      </w:r>
      <w:r>
        <w:rPr>
          <w:szCs w:val="26"/>
        </w:rPr>
        <w:t>,</w:t>
      </w:r>
      <w:r w:rsidRPr="00640661">
        <w:rPr>
          <w:szCs w:val="26"/>
        </w:rPr>
        <w:t xml:space="preserve"> B296809) </w:t>
      </w:r>
      <w:r w:rsidR="000C35BC">
        <w:rPr>
          <w:szCs w:val="26"/>
        </w:rPr>
        <w:t xml:space="preserve">[nonpub. opn.] </w:t>
      </w:r>
      <w:r w:rsidRPr="00640661">
        <w:rPr>
          <w:szCs w:val="26"/>
        </w:rPr>
        <w:t>2020 WL 2570173</w:t>
      </w:r>
      <w:r>
        <w:rPr>
          <w:szCs w:val="26"/>
        </w:rPr>
        <w:t xml:space="preserve"> </w:t>
      </w:r>
      <w:r w:rsidRPr="00914F75">
        <w:rPr>
          <w:szCs w:val="26"/>
        </w:rPr>
        <w:t>[</w:t>
      </w:r>
      <w:r w:rsidR="004E4C94">
        <w:rPr>
          <w:szCs w:val="26"/>
        </w:rPr>
        <w:t>13</w:t>
      </w:r>
      <w:r>
        <w:rPr>
          <w:szCs w:val="26"/>
        </w:rPr>
        <w:t>-year delay</w:t>
      </w:r>
      <w:r w:rsidRPr="00914F75">
        <w:rPr>
          <w:szCs w:val="26"/>
        </w:rPr>
        <w:t xml:space="preserve">]; </w:t>
      </w:r>
      <w:r w:rsidRPr="00640661">
        <w:rPr>
          <w:i/>
          <w:iCs/>
          <w:szCs w:val="26"/>
        </w:rPr>
        <w:t xml:space="preserve">People v. Strahan </w:t>
      </w:r>
      <w:r w:rsidRPr="00640661">
        <w:rPr>
          <w:szCs w:val="26"/>
        </w:rPr>
        <w:t>(Feb. 5, 2020</w:t>
      </w:r>
      <w:r>
        <w:rPr>
          <w:szCs w:val="26"/>
        </w:rPr>
        <w:t>,</w:t>
      </w:r>
      <w:r w:rsidRPr="00640661">
        <w:rPr>
          <w:szCs w:val="26"/>
        </w:rPr>
        <w:t xml:space="preserve"> B295295) </w:t>
      </w:r>
      <w:r w:rsidR="000C35BC">
        <w:rPr>
          <w:szCs w:val="26"/>
        </w:rPr>
        <w:t xml:space="preserve">[nonpub. opn.] </w:t>
      </w:r>
      <w:r w:rsidRPr="00640661">
        <w:rPr>
          <w:szCs w:val="26"/>
        </w:rPr>
        <w:t>2020 WL 563906</w:t>
      </w:r>
      <w:r w:rsidRPr="00914F75">
        <w:rPr>
          <w:szCs w:val="26"/>
        </w:rPr>
        <w:t xml:space="preserve"> [</w:t>
      </w:r>
      <w:r w:rsidR="004E4C94">
        <w:rPr>
          <w:szCs w:val="26"/>
        </w:rPr>
        <w:t>22-</w:t>
      </w:r>
      <w:r w:rsidRPr="00640661">
        <w:rPr>
          <w:szCs w:val="26"/>
        </w:rPr>
        <w:t>year delay</w:t>
      </w:r>
      <w:r w:rsidRPr="00914F75">
        <w:rPr>
          <w:szCs w:val="26"/>
        </w:rPr>
        <w:t>].</w:t>
      </w:r>
      <w:r>
        <w:rPr>
          <w:szCs w:val="26"/>
        </w:rPr>
        <w:t>)</w:t>
      </w:r>
    </w:p>
  </w:footnote>
  <w:footnote w:id="5">
    <w:p w:rsidR="00E875EA" w:rsidP="00940805" w14:paraId="4E9313A2" w14:textId="77777777">
      <w:pPr>
        <w:pStyle w:val="FootnoteText"/>
      </w:pPr>
      <w:r>
        <w:rPr>
          <w:rStyle w:val="FootnoteReference"/>
        </w:rPr>
        <w:footnoteRef/>
      </w:r>
      <w:r>
        <w:t xml:space="preserve"> </w:t>
      </w:r>
      <w:r w:rsidR="00476D4A">
        <w:tab/>
      </w:r>
      <w:r w:rsidR="003C3DDC">
        <w:t xml:space="preserve">Although </w:t>
      </w:r>
      <w:r w:rsidRPr="007B475A">
        <w:t xml:space="preserve">Camacho brings </w:t>
      </w:r>
      <w:r w:rsidR="00AB62D2">
        <w:t xml:space="preserve">a claim under both the federal and state </w:t>
      </w:r>
      <w:r w:rsidR="00D70B7A">
        <w:t>C</w:t>
      </w:r>
      <w:r w:rsidR="00AB62D2">
        <w:t xml:space="preserve">onstitutions, he </w:t>
      </w:r>
      <w:r w:rsidR="00B064E8">
        <w:t xml:space="preserve">focuses </w:t>
      </w:r>
      <w:r w:rsidR="00EB2526">
        <w:t xml:space="preserve">exclusively </w:t>
      </w:r>
      <w:r w:rsidR="00B064E8">
        <w:t>on federal authorities</w:t>
      </w:r>
      <w:r w:rsidR="00416F55">
        <w:t xml:space="preserve">.  </w:t>
      </w:r>
      <w:r w:rsidR="00B064E8">
        <w:t>W</w:t>
      </w:r>
      <w:r w:rsidR="00893B33">
        <w:t xml:space="preserve">hile </w:t>
      </w:r>
      <w:r w:rsidR="00B064E8">
        <w:t xml:space="preserve">we reaffirm that we have the </w:t>
      </w:r>
      <w:r w:rsidR="00AA0C58">
        <w:t>“power and authority to construe the state Constitution independently”</w:t>
      </w:r>
      <w:r w:rsidR="00940805">
        <w:t xml:space="preserve"> (</w:t>
      </w:r>
      <w:r w:rsidR="00940805">
        <w:rPr>
          <w:i/>
          <w:iCs/>
        </w:rPr>
        <w:t>Hubbart</w:t>
      </w:r>
      <w:r w:rsidR="00940805">
        <w:t xml:space="preserve">, </w:t>
      </w:r>
      <w:r w:rsidR="00940805">
        <w:rPr>
          <w:i/>
          <w:iCs/>
        </w:rPr>
        <w:t>supra</w:t>
      </w:r>
      <w:r w:rsidR="00940805">
        <w:t xml:space="preserve">, 19 Cal.4th at p. 1152, fn. 19), </w:t>
      </w:r>
      <w:r w:rsidR="00AF376E">
        <w:t>Camacho</w:t>
      </w:r>
      <w:r w:rsidR="00EB2526">
        <w:t xml:space="preserve"> has offered no </w:t>
      </w:r>
      <w:r w:rsidR="00AF376E">
        <w:t xml:space="preserve">arguments </w:t>
      </w:r>
      <w:r w:rsidR="00940805">
        <w:t xml:space="preserve">specific to the California Constitution.  Our analysis, like the parties’, therefore </w:t>
      </w:r>
      <w:r w:rsidR="0073066D">
        <w:t>centers on the federal Constitution.</w:t>
      </w:r>
      <w:r w:rsidR="00940805">
        <w:t xml:space="preserve">  </w:t>
      </w:r>
      <w:r w:rsidR="003169B2">
        <w:t xml:space="preserve"> </w:t>
      </w:r>
    </w:p>
  </w:footnote>
  <w:footnote w:id="6">
    <w:p w:rsidR="00873140" w:rsidP="008F1266" w14:paraId="4E9313A3" w14:textId="77777777">
      <w:pPr>
        <w:pStyle w:val="FootnoteText"/>
      </w:pPr>
      <w:r>
        <w:rPr>
          <w:rStyle w:val="FootnoteReference"/>
        </w:rPr>
        <w:footnoteRef/>
      </w:r>
      <w:r>
        <w:t xml:space="preserve"> </w:t>
      </w:r>
      <w:r>
        <w:tab/>
        <w:t>So have other state high courts.  (</w:t>
      </w:r>
      <w:r w:rsidRPr="00B51B66">
        <w:t>See</w:t>
      </w:r>
      <w:r w:rsidR="009D156F">
        <w:t xml:space="preserve"> </w:t>
      </w:r>
      <w:r w:rsidRPr="00B51B66">
        <w:rPr>
          <w:i/>
          <w:iCs/>
        </w:rPr>
        <w:t>Matter of Ellison</w:t>
      </w:r>
      <w:r w:rsidRPr="00B51B66">
        <w:t xml:space="preserve"> (2016) 305 Kan. 519, 531–532, 535 [adopting </w:t>
      </w:r>
      <w:r w:rsidRPr="00B51B66">
        <w:rPr>
          <w:i/>
          <w:iCs/>
        </w:rPr>
        <w:t>Barker</w:t>
      </w:r>
      <w:r w:rsidRPr="00B51B66">
        <w:t xml:space="preserve"> test to evaluate delay of 1,705 days between probable cause hearing and trial</w:t>
      </w:r>
      <w:r>
        <w:t xml:space="preserve"> under Kansas’s SVP Act</w:t>
      </w:r>
      <w:r w:rsidRPr="00B51B66">
        <w:t xml:space="preserve">]; </w:t>
      </w:r>
      <w:r>
        <w:rPr>
          <w:i/>
          <w:iCs/>
        </w:rPr>
        <w:t xml:space="preserve">Morel v. Wilkins </w:t>
      </w:r>
      <w:r>
        <w:t xml:space="preserve">(Fla. 2012) 84 So.3d 226, 246 [applying </w:t>
      </w:r>
      <w:r>
        <w:rPr>
          <w:i/>
          <w:iCs/>
        </w:rPr>
        <w:t xml:space="preserve">Barker </w:t>
      </w:r>
      <w:r>
        <w:t xml:space="preserve">to evaluate </w:t>
      </w:r>
      <w:r w:rsidR="00B1183D">
        <w:t>10</w:t>
      </w:r>
      <w:r>
        <w:t>-year pretrial delay under Florida’s SVP Act];</w:t>
      </w:r>
      <w:r>
        <w:rPr>
          <w:i/>
          <w:iCs/>
        </w:rPr>
        <w:t xml:space="preserve"> </w:t>
      </w:r>
      <w:r>
        <w:t xml:space="preserve">cf. </w:t>
      </w:r>
      <w:r w:rsidRPr="00B51B66">
        <w:rPr>
          <w:i/>
          <w:iCs/>
        </w:rPr>
        <w:t>In re Commitment of Beyer</w:t>
      </w:r>
      <w:r w:rsidRPr="00B51B66">
        <w:t xml:space="preserve"> (2006) 287 Wis.2d 1, 25–31 [implicitly adopting </w:t>
      </w:r>
      <w:r w:rsidRPr="00B51B66">
        <w:rPr>
          <w:i/>
          <w:iCs/>
        </w:rPr>
        <w:t>Barker</w:t>
      </w:r>
      <w:r w:rsidRPr="00B51B66">
        <w:t xml:space="preserve"> in evaluating due process violation for 22-month delay between filing of annual examination and probable cause hearing]; </w:t>
      </w:r>
      <w:r w:rsidRPr="00B51B66">
        <w:rPr>
          <w:i/>
          <w:iCs/>
        </w:rPr>
        <w:t>Com. v. Blake</w:t>
      </w:r>
      <w:r w:rsidRPr="00B51B66">
        <w:t xml:space="preserve"> (2009) 454 Mass. 267, 279–280 (conc. opn. of Ireland, J.) [discussing relevance of </w:t>
      </w:r>
      <w:r w:rsidRPr="00B51B66">
        <w:rPr>
          <w:i/>
          <w:iCs/>
        </w:rPr>
        <w:t>Barker</w:t>
      </w:r>
      <w:r w:rsidRPr="00B51B66">
        <w:t xml:space="preserve"> to evaluation of 13-month delay between bench trial for adjudication of sexual dangerousness and issu</w:t>
      </w:r>
      <w:r>
        <w:t>ance</w:t>
      </w:r>
      <w:r w:rsidRPr="00B51B66">
        <w:t xml:space="preserve"> of decision].)</w:t>
      </w:r>
    </w:p>
  </w:footnote>
  <w:footnote w:id="7">
    <w:p w:rsidR="0062612C" w14:paraId="4E9313A4" w14:textId="77777777">
      <w:pPr>
        <w:spacing w:line="300" w:lineRule="exact"/>
      </w:pPr>
      <w:r>
        <w:rPr>
          <w:rStyle w:val="FootnoteReference"/>
        </w:rPr>
        <w:footnoteRef/>
      </w:r>
      <w:r>
        <w:tab/>
      </w:r>
      <w:r w:rsidR="00DE5CFC">
        <w:t xml:space="preserve">It is a </w:t>
      </w:r>
      <w:r w:rsidR="005A04B5">
        <w:t xml:space="preserve">separate question whether </w:t>
      </w:r>
      <w:r w:rsidR="00047795">
        <w:rPr>
          <w:i/>
          <w:iCs/>
        </w:rPr>
        <w:t>Barker</w:t>
      </w:r>
      <w:r w:rsidR="00047795">
        <w:t xml:space="preserve"> dictates the remed</w:t>
      </w:r>
      <w:r w:rsidR="00E707B4">
        <w:t xml:space="preserve">y when a violation </w:t>
      </w:r>
      <w:r w:rsidR="002C151A">
        <w:t>is found</w:t>
      </w:r>
      <w:r w:rsidR="00047795">
        <w:t>.</w:t>
      </w:r>
      <w:r w:rsidR="005A04B5">
        <w:t xml:space="preserve">  </w:t>
      </w:r>
      <w:r w:rsidR="00047795">
        <w:t xml:space="preserve">In the </w:t>
      </w:r>
      <w:r w:rsidR="00100E33">
        <w:t xml:space="preserve">criminal </w:t>
      </w:r>
      <w:r w:rsidR="00047795">
        <w:t xml:space="preserve">context, </w:t>
      </w:r>
      <w:r w:rsidR="00E707B4">
        <w:rPr>
          <w:i/>
          <w:iCs/>
        </w:rPr>
        <w:t>Barker</w:t>
      </w:r>
      <w:r w:rsidR="00E707B4">
        <w:t xml:space="preserve"> instructs that </w:t>
      </w:r>
      <w:r w:rsidR="00047795">
        <w:t xml:space="preserve">the sole remedy for </w:t>
      </w:r>
      <w:r w:rsidR="008C23E8">
        <w:t xml:space="preserve">a </w:t>
      </w:r>
      <w:r w:rsidR="00100E33">
        <w:t xml:space="preserve">Sixth Amendment speedy trial </w:t>
      </w:r>
      <w:r w:rsidR="008C23E8">
        <w:t xml:space="preserve">violation </w:t>
      </w:r>
      <w:r w:rsidR="00047795">
        <w:t>is dismissal of the prosecution</w:t>
      </w:r>
      <w:r w:rsidR="008D3516">
        <w:t> </w:t>
      </w:r>
      <w:r w:rsidR="00047795">
        <w:t xml:space="preserve">— an “unsatisfactorily severe remedy,” but, in the high court’s view, the “only possible” one.  </w:t>
      </w:r>
      <w:r>
        <w:t>(</w:t>
      </w:r>
      <w:r>
        <w:rPr>
          <w:i/>
          <w:iCs/>
        </w:rPr>
        <w:t>Barker</w:t>
      </w:r>
      <w:r>
        <w:t xml:space="preserve">, </w:t>
      </w:r>
      <w:r>
        <w:rPr>
          <w:i/>
          <w:iCs/>
        </w:rPr>
        <w:t>supra</w:t>
      </w:r>
      <w:r>
        <w:t>, 407 U.S. at p.</w:t>
      </w:r>
      <w:r w:rsidR="008D3516">
        <w:t> </w:t>
      </w:r>
      <w:r>
        <w:t>52</w:t>
      </w:r>
      <w:r w:rsidR="00B1183D">
        <w:t>2</w:t>
      </w:r>
      <w:r>
        <w:t xml:space="preserve">; </w:t>
      </w:r>
      <w:r w:rsidRPr="00112856">
        <w:t xml:space="preserve">accord, </w:t>
      </w:r>
      <w:r w:rsidRPr="00112856">
        <w:rPr>
          <w:i/>
          <w:iCs/>
        </w:rPr>
        <w:t>Williams</w:t>
      </w:r>
      <w:r w:rsidRPr="00112856">
        <w:t xml:space="preserve">, </w:t>
      </w:r>
      <w:r w:rsidRPr="00112856">
        <w:rPr>
          <w:i/>
          <w:iCs/>
        </w:rPr>
        <w:t>supra</w:t>
      </w:r>
      <w:r w:rsidRPr="00112856">
        <w:t xml:space="preserve">, </w:t>
      </w:r>
      <w:r w:rsidRPr="00B05E1C">
        <w:t>58 Cal.4th at p.</w:t>
      </w:r>
      <w:r w:rsidR="008D3516">
        <w:t> </w:t>
      </w:r>
      <w:r w:rsidRPr="00B05E1C">
        <w:t>233</w:t>
      </w:r>
      <w:r w:rsidRPr="00112856">
        <w:t>.)</w:t>
      </w:r>
      <w:r w:rsidR="00047795">
        <w:t xml:space="preserve">  </w:t>
      </w:r>
      <w:r w:rsidR="004D1FA3">
        <w:t xml:space="preserve">The Courts of Appeal </w:t>
      </w:r>
      <w:r w:rsidR="00047795">
        <w:t xml:space="preserve">have </w:t>
      </w:r>
      <w:r w:rsidR="004D1FA3">
        <w:t xml:space="preserve">generally </w:t>
      </w:r>
      <w:r w:rsidR="00047795">
        <w:t xml:space="preserve">assumed the same must be true in </w:t>
      </w:r>
      <w:r w:rsidR="000B6AAD">
        <w:t xml:space="preserve">evaluating claims of due process violations in </w:t>
      </w:r>
      <w:r w:rsidR="00047795">
        <w:t>the SVP context.  (</w:t>
      </w:r>
      <w:r w:rsidRPr="00D62A5A">
        <w:rPr>
          <w:i/>
          <w:iCs/>
        </w:rPr>
        <w:t>Vasquez</w:t>
      </w:r>
      <w:r w:rsidRPr="00D62A5A">
        <w:t xml:space="preserve">, </w:t>
      </w:r>
      <w:r w:rsidRPr="00D62A5A">
        <w:rPr>
          <w:i/>
          <w:iCs/>
        </w:rPr>
        <w:t>supra</w:t>
      </w:r>
      <w:r w:rsidRPr="00D62A5A">
        <w:t>, 27 Cal.App.5th</w:t>
      </w:r>
      <w:r>
        <w:t xml:space="preserve"> at pp.</w:t>
      </w:r>
      <w:r w:rsidR="008D3516">
        <w:t> </w:t>
      </w:r>
      <w:r>
        <w:t>82–83 [</w:t>
      </w:r>
      <w:r w:rsidR="00BB66A6">
        <w:t>holding that dismissal is the only possible remedy for a timely trial violation and affirming the trial court’s order of dismissal</w:t>
      </w:r>
      <w:r>
        <w:t xml:space="preserve">]; </w:t>
      </w:r>
      <w:r w:rsidRPr="00C62C59">
        <w:rPr>
          <w:i/>
          <w:iCs/>
        </w:rPr>
        <w:t>DeCasas</w:t>
      </w:r>
      <w:r w:rsidRPr="00B1183D" w:rsidR="00B1183D">
        <w:t>,</w:t>
      </w:r>
      <w:r w:rsidR="00B1183D">
        <w:rPr>
          <w:i/>
          <w:iCs/>
        </w:rPr>
        <w:t xml:space="preserve"> supra</w:t>
      </w:r>
      <w:r w:rsidRPr="00B1183D" w:rsidR="00B1183D">
        <w:t>,</w:t>
      </w:r>
      <w:r w:rsidRPr="00C62C59">
        <w:t xml:space="preserve"> 54 Cal.App.5th </w:t>
      </w:r>
      <w:r w:rsidR="00B1183D">
        <w:t>at p. </w:t>
      </w:r>
      <w:r w:rsidRPr="00C62C59">
        <w:t>813</w:t>
      </w:r>
      <w:r w:rsidR="0044799F">
        <w:t xml:space="preserve"> [same]; see also </w:t>
      </w:r>
      <w:r w:rsidR="0044799F">
        <w:rPr>
          <w:i/>
          <w:iCs/>
        </w:rPr>
        <w:t>Butler</w:t>
      </w:r>
      <w:r w:rsidRPr="00B1183D" w:rsidR="00B1183D">
        <w:t>,</w:t>
      </w:r>
      <w:r w:rsidR="00B1183D">
        <w:rPr>
          <w:i/>
          <w:iCs/>
        </w:rPr>
        <w:t xml:space="preserve"> supra</w:t>
      </w:r>
      <w:r w:rsidRPr="00B1183D" w:rsidR="00B1183D">
        <w:t>,</w:t>
      </w:r>
      <w:r w:rsidR="00B1183D">
        <w:rPr>
          <w:i/>
          <w:iCs/>
        </w:rPr>
        <w:t xml:space="preserve"> </w:t>
      </w:r>
      <w:r w:rsidR="0044799F">
        <w:t xml:space="preserve">55 Cal.App.5th </w:t>
      </w:r>
      <w:r w:rsidR="00B1183D">
        <w:t>at pp. </w:t>
      </w:r>
      <w:r w:rsidR="0044799F">
        <w:t xml:space="preserve">637, 664 [affirming order of dismissal without </w:t>
      </w:r>
      <w:r w:rsidR="00136279">
        <w:t xml:space="preserve">discussing </w:t>
      </w:r>
      <w:r w:rsidR="004812B5">
        <w:t xml:space="preserve">the question of </w:t>
      </w:r>
      <w:r w:rsidR="00136279">
        <w:t xml:space="preserve">appropriate </w:t>
      </w:r>
      <w:r w:rsidR="004812B5">
        <w:t>remed</w:t>
      </w:r>
      <w:r w:rsidR="00136279">
        <w:t>ies</w:t>
      </w:r>
      <w:r w:rsidR="0044799F">
        <w:t>]</w:t>
      </w:r>
      <w:r w:rsidRPr="00C62C59">
        <w:t>.)</w:t>
      </w:r>
      <w:r w:rsidR="00A0152F">
        <w:t xml:space="preserve">  </w:t>
      </w:r>
    </w:p>
    <w:p w:rsidR="001A2803" w:rsidRPr="001A2803" w:rsidP="00111413" w14:paraId="4E9313A5" w14:textId="77777777">
      <w:pPr>
        <w:spacing w:line="300" w:lineRule="exact"/>
        <w:ind w:firstLine="720"/>
      </w:pPr>
      <w:r>
        <w:t xml:space="preserve">Other courts have, however, suggested that </w:t>
      </w:r>
      <w:r w:rsidR="00075975">
        <w:t>there may be other possible remedies</w:t>
      </w:r>
      <w:r w:rsidR="008A73A8">
        <w:t xml:space="preserve"> for unreasonable delays</w:t>
      </w:r>
      <w:r w:rsidR="006A70B2">
        <w:t xml:space="preserve"> in this context</w:t>
      </w:r>
      <w:r w:rsidR="006F63C6">
        <w:t xml:space="preserve">.  </w:t>
      </w:r>
      <w:r w:rsidR="00690C77">
        <w:t>(</w:t>
      </w:r>
      <w:r w:rsidR="00EE524E">
        <w:rPr>
          <w:i/>
          <w:iCs/>
        </w:rPr>
        <w:t>U</w:t>
      </w:r>
      <w:r w:rsidR="00B1183D">
        <w:rPr>
          <w:i/>
          <w:iCs/>
        </w:rPr>
        <w:t>.S.</w:t>
      </w:r>
      <w:r w:rsidR="00EE524E">
        <w:rPr>
          <w:i/>
          <w:iCs/>
        </w:rPr>
        <w:t xml:space="preserve"> v. Timms</w:t>
      </w:r>
      <w:r w:rsidR="00EE524E">
        <w:t xml:space="preserve"> (4th Cir. 2012) 664 F.3d 436, 455, fn.</w:t>
      </w:r>
      <w:r w:rsidR="008D3516">
        <w:t> </w:t>
      </w:r>
      <w:r w:rsidR="00EE524E">
        <w:t>19 [“[E]</w:t>
      </w:r>
      <w:r w:rsidRPr="00055E4B" w:rsidR="00EE524E">
        <w:t>ven if Timms</w:t>
      </w:r>
      <w:r w:rsidR="00EE524E">
        <w:t>’</w:t>
      </w:r>
      <w:r w:rsidRPr="00055E4B" w:rsidR="00EE524E">
        <w:t xml:space="preserve"> case constituted a due process violation, the proper remedy would not be release, but to conduct the hearing and adjudicate whether he is a </w:t>
      </w:r>
      <w:r w:rsidR="00EE524E">
        <w:t>‘</w:t>
      </w:r>
      <w:r w:rsidRPr="00055E4B" w:rsidR="00EE524E">
        <w:t>sexually dangerous person</w:t>
      </w:r>
      <w:r w:rsidR="00EE524E">
        <w:t>’</w:t>
      </w:r>
      <w:r w:rsidRPr="00055E4B" w:rsidR="00EE524E">
        <w:t xml:space="preserve"> under the statute.</w:t>
      </w:r>
      <w:r w:rsidR="00EE524E">
        <w:t>”</w:t>
      </w:r>
      <w:r w:rsidR="000F6355">
        <w:t>]</w:t>
      </w:r>
      <w:r>
        <w:t xml:space="preserve">; </w:t>
      </w:r>
      <w:r w:rsidR="00390D62">
        <w:t xml:space="preserve">see </w:t>
      </w:r>
      <w:r>
        <w:rPr>
          <w:i/>
          <w:iCs/>
        </w:rPr>
        <w:t>Orozco</w:t>
      </w:r>
      <w:r>
        <w:t xml:space="preserve">, </w:t>
      </w:r>
      <w:r>
        <w:rPr>
          <w:i/>
          <w:iCs/>
        </w:rPr>
        <w:t>supra</w:t>
      </w:r>
      <w:r>
        <w:t xml:space="preserve">, </w:t>
      </w:r>
      <w:r w:rsidR="00D57B09">
        <w:t xml:space="preserve">117 Cal.App.4th </w:t>
      </w:r>
      <w:r>
        <w:t>at p.</w:t>
      </w:r>
      <w:r w:rsidR="008D3516">
        <w:t> </w:t>
      </w:r>
      <w:r>
        <w:t xml:space="preserve">179 [finding no due process </w:t>
      </w:r>
      <w:r w:rsidR="00BD19B8">
        <w:t>violation</w:t>
      </w:r>
      <w:r>
        <w:t>, but noting that when trial had not occurred within a reasonable time after the probable cause hearing, the remedy was to order that trial be held “forthwith</w:t>
      </w:r>
      <w:r w:rsidRPr="00055DCC">
        <w:t>”]</w:t>
      </w:r>
      <w:r w:rsidRPr="00055DCC" w:rsidR="00D05F58">
        <w:t xml:space="preserve">; </w:t>
      </w:r>
      <w:r w:rsidR="00390D62">
        <w:t xml:space="preserve">cf. </w:t>
      </w:r>
      <w:r w:rsidRPr="00D80219" w:rsidR="00055DCC">
        <w:rPr>
          <w:i/>
          <w:iCs/>
          <w:szCs w:val="26"/>
        </w:rPr>
        <w:t>Betterman</w:t>
      </w:r>
      <w:r w:rsidR="00485B12">
        <w:rPr>
          <w:szCs w:val="26"/>
        </w:rPr>
        <w:t xml:space="preserve">, </w:t>
      </w:r>
      <w:r w:rsidR="00485B12">
        <w:rPr>
          <w:i/>
          <w:iCs/>
          <w:szCs w:val="26"/>
        </w:rPr>
        <w:t>supra</w:t>
      </w:r>
      <w:r w:rsidR="00485B12">
        <w:rPr>
          <w:szCs w:val="26"/>
        </w:rPr>
        <w:t>,</w:t>
      </w:r>
      <w:r w:rsidRPr="00D80219" w:rsidR="00055DCC">
        <w:rPr>
          <w:szCs w:val="26"/>
        </w:rPr>
        <w:t xml:space="preserve"> 578 U.S. </w:t>
      </w:r>
      <w:r w:rsidR="00485B12">
        <w:rPr>
          <w:szCs w:val="26"/>
        </w:rPr>
        <w:t>at pp.</w:t>
      </w:r>
      <w:r w:rsidR="008D3516">
        <w:rPr>
          <w:szCs w:val="26"/>
        </w:rPr>
        <w:t> </w:t>
      </w:r>
      <w:r w:rsidR="00055DCC">
        <w:t>445</w:t>
      </w:r>
      <w:r w:rsidR="00B1183D">
        <w:t xml:space="preserve">, </w:t>
      </w:r>
      <w:r w:rsidRPr="00D80219" w:rsidR="00B1183D">
        <w:rPr>
          <w:szCs w:val="26"/>
        </w:rPr>
        <w:t>4</w:t>
      </w:r>
      <w:r w:rsidR="00B1183D">
        <w:rPr>
          <w:szCs w:val="26"/>
        </w:rPr>
        <w:t xml:space="preserve">44 </w:t>
      </w:r>
      <w:r w:rsidR="00C707E8">
        <w:rPr>
          <w:szCs w:val="26"/>
        </w:rPr>
        <w:t>[</w:t>
      </w:r>
      <w:r w:rsidR="00485B12">
        <w:t>discussing</w:t>
      </w:r>
      <w:r w:rsidR="00055DCC">
        <w:t xml:space="preserve"> remedy for </w:t>
      </w:r>
      <w:r w:rsidR="002D7DBE">
        <w:t xml:space="preserve">unconstitutional </w:t>
      </w:r>
      <w:r w:rsidR="00055DCC">
        <w:t xml:space="preserve">postconviction delay in sentencing and noting that “a dismissal remedy ordinarily would not be in order” and would </w:t>
      </w:r>
      <w:r w:rsidR="00485B12">
        <w:t>provide</w:t>
      </w:r>
      <w:r w:rsidR="00055DCC">
        <w:t xml:space="preserve"> “an unjustified windfall</w:t>
      </w:r>
      <w:r w:rsidR="00485B12">
        <w:t>” to the defendant].)</w:t>
      </w:r>
      <w:r w:rsidR="005D2281">
        <w:t xml:space="preserve"> </w:t>
      </w:r>
      <w:r w:rsidR="00485B12">
        <w:t xml:space="preserve"> </w:t>
      </w:r>
      <w:r w:rsidRPr="00055DCC" w:rsidR="006D3BEB">
        <w:t xml:space="preserve">The parties before us have not </w:t>
      </w:r>
      <w:r w:rsidRPr="00055DCC" w:rsidR="00EF0E20">
        <w:t xml:space="preserve">addressed </w:t>
      </w:r>
      <w:r w:rsidRPr="00055DCC" w:rsidR="006D3BEB">
        <w:t>th</w:t>
      </w:r>
      <w:r w:rsidR="00234374">
        <w:t>e question of possible alternative remedies in this case and we have no occasion to decide it.</w:t>
      </w:r>
    </w:p>
    <w:p w:rsidR="00EE524E" w:rsidP="008F1266" w14:paraId="4E9313A6" w14:textId="77777777">
      <w:pPr>
        <w:pStyle w:val="FootnoteText"/>
        <w:ind w:firstLine="720"/>
      </w:pPr>
      <w:r>
        <w:t xml:space="preserve"> </w:t>
      </w:r>
    </w:p>
  </w:footnote>
  <w:footnote w:id="8">
    <w:p w:rsidR="009E4499" w14:paraId="4E9313A7" w14:textId="77777777">
      <w:pPr>
        <w:pStyle w:val="FootnoteText"/>
      </w:pPr>
      <w:r>
        <w:rPr>
          <w:rStyle w:val="FootnoteReference"/>
        </w:rPr>
        <w:footnoteRef/>
      </w:r>
      <w:r>
        <w:t xml:space="preserve"> </w:t>
      </w:r>
      <w:r>
        <w:tab/>
        <w:t xml:space="preserve">The transcript of the hearing from October 18, 2018 reflects one relevant exchange between Camacho and Davis.  </w:t>
      </w:r>
      <w:r w:rsidRPr="009E4499">
        <w:t>Davis stated, “</w:t>
      </w:r>
      <w:r w:rsidR="005808A8">
        <w:t>T</w:t>
      </w:r>
      <w:r w:rsidRPr="009E4499">
        <w:t xml:space="preserve">he </w:t>
      </w:r>
      <w:r w:rsidRPr="009E4499">
        <w:rPr>
          <w:i/>
          <w:iCs/>
        </w:rPr>
        <w:t>Vasquez</w:t>
      </w:r>
      <w:r w:rsidRPr="009E4499">
        <w:t xml:space="preserve"> case has raised some issues that are certainly parallel to Mr.</w:t>
      </w:r>
      <w:r w:rsidR="00B50828">
        <w:t> </w:t>
      </w:r>
      <w:r w:rsidRPr="009E4499">
        <w:t xml:space="preserve">Camacho’s situation.”  The prosecutor responded </w:t>
      </w:r>
      <w:r w:rsidR="00770DDD">
        <w:t xml:space="preserve">that </w:t>
      </w:r>
      <w:r w:rsidRPr="009E4499">
        <w:t>he would not object to “resetting the trial within 60 days of today.”  Davis reminded the judge that Camacho did not have any updated evaluations, and Camacho added, “[a]nd this is why I wanted to not waive any more time because they have never come to see me at any time after nine years.  [¶]</w:t>
      </w:r>
      <w:r w:rsidR="00483C1D">
        <w:t xml:space="preserve"> </w:t>
      </w:r>
      <w:r w:rsidRPr="009E4499">
        <w:t xml:space="preserve"> .</w:t>
      </w:r>
      <w:r w:rsidR="00E0253F">
        <w:t> </w:t>
      </w:r>
      <w:r w:rsidRPr="009E4499">
        <w:t>.</w:t>
      </w:r>
      <w:r w:rsidR="00E0253F">
        <w:t> </w:t>
      </w:r>
      <w:r w:rsidRPr="009E4499">
        <w:t xml:space="preserve">. [¶]  I’ve been waiting and waiting for, you know, for somebody to come and talk to me about anything.  [¶]  And I was looking at this </w:t>
      </w:r>
      <w:r w:rsidRPr="00465490">
        <w:rPr>
          <w:i/>
          <w:iCs/>
        </w:rPr>
        <w:t>Vasquez</w:t>
      </w:r>
      <w:r w:rsidRPr="009E4499">
        <w:t xml:space="preserve"> case, and it kind of like</w:t>
      </w:r>
      <w:r w:rsidR="00E0253F">
        <w:t> </w:t>
      </w:r>
      <w:r w:rsidRPr="009E4499">
        <w:t>— it does apply to myself.  [¶]  Seventeen years of not having a representative to get me ready for trial.”</w:t>
      </w:r>
    </w:p>
    <w:p w:rsidR="009E4499" w14:paraId="4E9313A8" w14:textId="77777777">
      <w:pPr>
        <w:pStyle w:val="FootnoteText"/>
      </w:pPr>
      <w:r>
        <w:tab/>
        <w:t>We note, however, that Camacho does not assert here that he was unable to speak with Davis or an expert for nine years, or that he was unrepresented for 17 years.  Both claims are, moreover, unsupported by the record the parties stipulated to here.</w:t>
      </w:r>
    </w:p>
  </w:footnote>
  <w:footnote w:id="9">
    <w:p w:rsidR="00996C12" w:rsidP="00E0253F" w14:paraId="4E9313A9" w14:textId="77777777">
      <w:pPr>
        <w:pStyle w:val="FootnoteText"/>
      </w:pPr>
      <w:r>
        <w:rPr>
          <w:rStyle w:val="FootnoteReference"/>
        </w:rPr>
        <w:footnoteRef/>
      </w:r>
      <w:r>
        <w:t xml:space="preserve"> </w:t>
      </w:r>
      <w:r>
        <w:tab/>
        <w:t>We additionally note that</w:t>
      </w:r>
      <w:r w:rsidR="00EE7268">
        <w:t xml:space="preserve">, as is typically true, </w:t>
      </w:r>
      <w:r w:rsidR="00B83614">
        <w:t xml:space="preserve">a more complete record </w:t>
      </w:r>
      <w:r w:rsidR="00EE7268">
        <w:t xml:space="preserve">of proceedings </w:t>
      </w:r>
      <w:r w:rsidR="00B83614">
        <w:t xml:space="preserve">may be developed </w:t>
      </w:r>
      <w:r w:rsidR="00994123">
        <w:t xml:space="preserve">by way of a petition for writ of habeas corpus.  </w:t>
      </w:r>
      <w:r w:rsidR="00DF6B51">
        <w:t xml:space="preserve">In this case, </w:t>
      </w:r>
      <w:r w:rsidR="00082626">
        <w:t>Camacho has</w:t>
      </w:r>
      <w:r w:rsidR="005B313A">
        <w:t xml:space="preserve"> had the opportunity to present evidence </w:t>
      </w:r>
      <w:r w:rsidR="003514BF">
        <w:t xml:space="preserve">that Davis acted against his wishes in requesting trial continuances and entering time waivers on his behalf.  </w:t>
      </w:r>
      <w:r w:rsidR="00DF6B51">
        <w:t>He</w:t>
      </w:r>
      <w:r w:rsidR="003514BF">
        <w:t xml:space="preserve"> has </w:t>
      </w:r>
      <w:r w:rsidR="005B313A">
        <w:t>not</w:t>
      </w:r>
      <w:r w:rsidR="00F12694">
        <w:t>, however,</w:t>
      </w:r>
      <w:r w:rsidR="003514BF">
        <w:t xml:space="preserve"> presented any such evidence</w:t>
      </w:r>
      <w:r w:rsidR="005B313A">
        <w:t xml:space="preserve">. </w:t>
      </w:r>
      <w:r w:rsidR="00994123">
        <w:t xml:space="preserve"> </w:t>
      </w:r>
    </w:p>
  </w:footnote>
  <w:footnote w:id="10">
    <w:p w:rsidR="002057E6" w:rsidRPr="002057E6" w14:paraId="4E9313AA" w14:textId="77777777">
      <w:pPr>
        <w:pStyle w:val="FootnoteText"/>
      </w:pPr>
      <w:r>
        <w:rPr>
          <w:rStyle w:val="FootnoteReference"/>
        </w:rPr>
        <w:footnoteRef/>
      </w:r>
      <w:r>
        <w:t xml:space="preserve"> </w:t>
      </w:r>
      <w:r>
        <w:tab/>
        <w:t xml:space="preserve">We disapprove the following cases to the extent they apply a presumption of prejudice when evaluating a </w:t>
      </w:r>
      <w:r w:rsidR="00BB0E23">
        <w:t xml:space="preserve">claimed violation of the </w:t>
      </w:r>
      <w:r>
        <w:t xml:space="preserve">due process </w:t>
      </w:r>
      <w:r w:rsidR="00BB0E23">
        <w:t xml:space="preserve">right to a </w:t>
      </w:r>
      <w:r>
        <w:t xml:space="preserve">timely SVP trial:  </w:t>
      </w:r>
      <w:r w:rsidRPr="00A54B87" w:rsidR="00A54B87">
        <w:rPr>
          <w:i/>
          <w:iCs/>
        </w:rPr>
        <w:t xml:space="preserve">People v. </w:t>
      </w:r>
      <w:r w:rsidRPr="00724FFC">
        <w:rPr>
          <w:i/>
          <w:iCs/>
        </w:rPr>
        <w:t>Tran</w:t>
      </w:r>
      <w:r w:rsidRPr="002057E6">
        <w:t xml:space="preserve">, </w:t>
      </w:r>
      <w:r w:rsidRPr="00724FFC">
        <w:rPr>
          <w:i/>
          <w:iCs/>
        </w:rPr>
        <w:t>supra</w:t>
      </w:r>
      <w:r w:rsidRPr="002057E6">
        <w:t>, 62 Cal.App.5th at p.</w:t>
      </w:r>
      <w:r w:rsidR="00DA16C4">
        <w:t> </w:t>
      </w:r>
      <w:r w:rsidRPr="002057E6">
        <w:t xml:space="preserve">354; </w:t>
      </w:r>
      <w:r w:rsidRPr="00A54B87" w:rsidR="00A54B87">
        <w:rPr>
          <w:i/>
          <w:iCs/>
        </w:rPr>
        <w:t xml:space="preserve">In re </w:t>
      </w:r>
      <w:r w:rsidRPr="00724FFC">
        <w:rPr>
          <w:i/>
          <w:iCs/>
        </w:rPr>
        <w:t>Butler</w:t>
      </w:r>
      <w:r w:rsidRPr="002057E6">
        <w:t xml:space="preserve">, </w:t>
      </w:r>
      <w:r w:rsidRPr="00724FFC">
        <w:rPr>
          <w:i/>
          <w:iCs/>
        </w:rPr>
        <w:t>supra</w:t>
      </w:r>
      <w:r w:rsidRPr="002057E6">
        <w:t>, 55 Cal.App.5th at p.</w:t>
      </w:r>
      <w:r w:rsidR="00DA16C4">
        <w:t> </w:t>
      </w:r>
      <w:r w:rsidRPr="002057E6">
        <w:t xml:space="preserve">662; </w:t>
      </w:r>
      <w:r w:rsidRPr="00A54B87" w:rsidR="00A54B87">
        <w:rPr>
          <w:i/>
          <w:iCs/>
        </w:rPr>
        <w:t xml:space="preserve">People v. </w:t>
      </w:r>
      <w:r w:rsidRPr="00A54B87">
        <w:rPr>
          <w:i/>
          <w:iCs/>
        </w:rPr>
        <w:t>Bradley</w:t>
      </w:r>
      <w:r w:rsidR="0052330A">
        <w:t xml:space="preserve">, </w:t>
      </w:r>
      <w:r w:rsidR="0052330A">
        <w:rPr>
          <w:i/>
          <w:iCs/>
        </w:rPr>
        <w:t>supra</w:t>
      </w:r>
      <w:r w:rsidR="0052330A">
        <w:t>,</w:t>
      </w:r>
      <w:r w:rsidRPr="002057E6">
        <w:t xml:space="preserve"> 51 Cal.App.5th</w:t>
      </w:r>
      <w:r w:rsidR="0052330A">
        <w:t xml:space="preserve"> at p.</w:t>
      </w:r>
      <w:r w:rsidR="00DA16C4">
        <w:t> </w:t>
      </w:r>
      <w:r w:rsidR="000058EE">
        <w:t>41</w:t>
      </w:r>
      <w:r w:rsidRPr="002057E6">
        <w:t xml:space="preserve">; </w:t>
      </w:r>
      <w:r w:rsidRPr="00A54B87" w:rsidR="00A54B87">
        <w:rPr>
          <w:i/>
          <w:iCs/>
        </w:rPr>
        <w:t xml:space="preserve">People v. </w:t>
      </w:r>
      <w:r w:rsidRPr="00724FFC">
        <w:rPr>
          <w:i/>
          <w:iCs/>
        </w:rPr>
        <w:t>DeCasas</w:t>
      </w:r>
      <w:r w:rsidRPr="002057E6">
        <w:t xml:space="preserve">, </w:t>
      </w:r>
      <w:r w:rsidRPr="00724FFC">
        <w:rPr>
          <w:i/>
          <w:iCs/>
        </w:rPr>
        <w:t>supra</w:t>
      </w:r>
      <w:r w:rsidRPr="002057E6">
        <w:t>, 54 Cal.App.5th at p.</w:t>
      </w:r>
      <w:r w:rsidR="00DA16C4">
        <w:t> </w:t>
      </w:r>
      <w:r w:rsidRPr="002057E6">
        <w:t xml:space="preserve">808; </w:t>
      </w:r>
      <w:r w:rsidRPr="00A54B87" w:rsidR="00A54B87">
        <w:rPr>
          <w:i/>
          <w:iCs/>
        </w:rPr>
        <w:t>People v. Superior Court (</w:t>
      </w:r>
      <w:r w:rsidRPr="00A54B87">
        <w:rPr>
          <w:i/>
          <w:iCs/>
        </w:rPr>
        <w:t>Vasquez</w:t>
      </w:r>
      <w:r w:rsidRPr="00A54B87" w:rsidR="00A54B87">
        <w:rPr>
          <w:i/>
          <w:iCs/>
        </w:rPr>
        <w:t>)</w:t>
      </w:r>
      <w:r w:rsidRPr="002057E6">
        <w:t xml:space="preserve">, </w:t>
      </w:r>
      <w:r w:rsidRPr="00724FFC">
        <w:rPr>
          <w:i/>
          <w:iCs/>
        </w:rPr>
        <w:t>supra</w:t>
      </w:r>
      <w:r w:rsidRPr="002057E6">
        <w:t>, 27 Cal.App.5th at p.</w:t>
      </w:r>
      <w:r w:rsidR="00DA16C4">
        <w:t> </w:t>
      </w:r>
      <w:r w:rsidRPr="002057E6">
        <w:t>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1266" w14:paraId="4E93139B" w14:textId="77777777">
    <w:pPr>
      <w:pStyle w:val="Header"/>
    </w:pPr>
    <w:r>
      <w:t>CAMACHO v. SUPERIOR COURT</w:t>
    </w:r>
  </w:p>
  <w:p w:rsidR="008F1266" w14:paraId="4E93139C" w14:textId="77777777">
    <w:pPr>
      <w:pStyle w:val="Header"/>
    </w:pPr>
    <w:r>
      <w:t xml:space="preserve">Opinion of the Court by </w:t>
    </w:r>
    <w:r w:rsidR="000040BD">
      <w:t>Kruger, J.</w:t>
    </w:r>
  </w:p>
  <w:p w:rsidR="008F1266" w14:paraId="4E9313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B9F" w:rsidRPr="00E14B9F" w:rsidP="00E14B9F" w14:paraId="35C25C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B0472"/>
    <w:multiLevelType w:val="hybridMultilevel"/>
    <w:tmpl w:val="0536257C"/>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933D3B"/>
    <w:multiLevelType w:val="hybridMultilevel"/>
    <w:tmpl w:val="D500D82C"/>
    <w:lvl w:ilvl="0">
      <w:start w:val="1"/>
      <w:numFmt w:val="upperRoman"/>
      <w:lvlText w:val="%1."/>
      <w:lvlJc w:val="left"/>
      <w:pPr>
        <w:ind w:left="1800" w:hanging="720"/>
      </w:pPr>
      <w:rPr>
        <w:rFonts w:hint="default"/>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0BC52AC7"/>
    <w:multiLevelType w:val="hybridMultilevel"/>
    <w:tmpl w:val="F296E9A8"/>
    <w:lvl w:ilvl="0">
      <w:start w:val="4"/>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E6B207D"/>
    <w:multiLevelType w:val="hybridMultilevel"/>
    <w:tmpl w:val="BE987218"/>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nsid w:val="2FD25A7E"/>
    <w:multiLevelType w:val="hybridMultilevel"/>
    <w:tmpl w:val="75EC6C0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62741D4"/>
    <w:multiLevelType w:val="hybridMultilevel"/>
    <w:tmpl w:val="FF180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741E94"/>
    <w:multiLevelType w:val="hybridMultilevel"/>
    <w:tmpl w:val="4A8A1EA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694A074B"/>
    <w:multiLevelType w:val="hybridMultilevel"/>
    <w:tmpl w:val="D500D82C"/>
    <w:lvl w:ilvl="0">
      <w:start w:val="1"/>
      <w:numFmt w:val="upperRoman"/>
      <w:lvlText w:val="%1."/>
      <w:lvlJc w:val="left"/>
      <w:pPr>
        <w:ind w:left="1800" w:hanging="720"/>
      </w:pPr>
      <w:rPr>
        <w:rFonts w:hint="default"/>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6BC11C9F"/>
    <w:multiLevelType w:val="hybridMultilevel"/>
    <w:tmpl w:val="C5D4D836"/>
    <w:lvl w:ilvl="0">
      <w:start w:val="5"/>
      <w:numFmt w:val="bullet"/>
      <w:lvlText w:val=""/>
      <w:lvlJc w:val="left"/>
      <w:pPr>
        <w:ind w:left="1080" w:hanging="360"/>
      </w:pPr>
      <w:rPr>
        <w:rFonts w:ascii="Symbol" w:eastAsia="Times New Roman" w:hAnsi="Symbol"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70221759"/>
    <w:multiLevelType w:val="hybridMultilevel"/>
    <w:tmpl w:val="915E3BA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15C1E86"/>
    <w:multiLevelType w:val="hybridMultilevel"/>
    <w:tmpl w:val="0D9C90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ECA636C"/>
    <w:multiLevelType w:val="hybridMultilevel"/>
    <w:tmpl w:val="D1A084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
  </w:num>
  <w:num w:numId="6">
    <w:abstractNumId w:val="7"/>
  </w:num>
  <w:num w:numId="7">
    <w:abstractNumId w:val="9"/>
  </w:num>
  <w:num w:numId="8">
    <w:abstractNumId w:val="2"/>
  </w:num>
  <w:num w:numId="9">
    <w:abstractNumId w:val="10"/>
  </w:num>
  <w:num w:numId="10">
    <w:abstractNumId w:val="1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BC7"/>
    <w:rsid w:val="00000689"/>
    <w:rsid w:val="000007EC"/>
    <w:rsid w:val="0000192A"/>
    <w:rsid w:val="00002BB5"/>
    <w:rsid w:val="00003ADA"/>
    <w:rsid w:val="000040BD"/>
    <w:rsid w:val="00004293"/>
    <w:rsid w:val="000042CF"/>
    <w:rsid w:val="000045F1"/>
    <w:rsid w:val="00004AC2"/>
    <w:rsid w:val="00004C9E"/>
    <w:rsid w:val="000053DD"/>
    <w:rsid w:val="000058EE"/>
    <w:rsid w:val="0000687C"/>
    <w:rsid w:val="0000726C"/>
    <w:rsid w:val="000072D2"/>
    <w:rsid w:val="00007E6A"/>
    <w:rsid w:val="0001038B"/>
    <w:rsid w:val="00010BC7"/>
    <w:rsid w:val="0001221A"/>
    <w:rsid w:val="00012664"/>
    <w:rsid w:val="0001279C"/>
    <w:rsid w:val="0001279E"/>
    <w:rsid w:val="00012DC8"/>
    <w:rsid w:val="00013089"/>
    <w:rsid w:val="00013151"/>
    <w:rsid w:val="000138C0"/>
    <w:rsid w:val="00013AF0"/>
    <w:rsid w:val="00013F02"/>
    <w:rsid w:val="0001411E"/>
    <w:rsid w:val="000147DB"/>
    <w:rsid w:val="00015267"/>
    <w:rsid w:val="000163D4"/>
    <w:rsid w:val="000166B7"/>
    <w:rsid w:val="00016836"/>
    <w:rsid w:val="000201F1"/>
    <w:rsid w:val="00020480"/>
    <w:rsid w:val="000208AA"/>
    <w:rsid w:val="00020F05"/>
    <w:rsid w:val="00020FCD"/>
    <w:rsid w:val="00021195"/>
    <w:rsid w:val="000216AE"/>
    <w:rsid w:val="00021A18"/>
    <w:rsid w:val="000225CE"/>
    <w:rsid w:val="00023020"/>
    <w:rsid w:val="000230DA"/>
    <w:rsid w:val="00023546"/>
    <w:rsid w:val="00023DD2"/>
    <w:rsid w:val="00023DF0"/>
    <w:rsid w:val="00023F38"/>
    <w:rsid w:val="00024DC5"/>
    <w:rsid w:val="00025AAA"/>
    <w:rsid w:val="000265B9"/>
    <w:rsid w:val="00026712"/>
    <w:rsid w:val="000270AC"/>
    <w:rsid w:val="000271BD"/>
    <w:rsid w:val="000277E8"/>
    <w:rsid w:val="00027D53"/>
    <w:rsid w:val="00027D8F"/>
    <w:rsid w:val="00027D9E"/>
    <w:rsid w:val="000302B3"/>
    <w:rsid w:val="00030301"/>
    <w:rsid w:val="000305ED"/>
    <w:rsid w:val="00030784"/>
    <w:rsid w:val="00031366"/>
    <w:rsid w:val="0003174C"/>
    <w:rsid w:val="00031C0C"/>
    <w:rsid w:val="00031C60"/>
    <w:rsid w:val="00032011"/>
    <w:rsid w:val="000330BF"/>
    <w:rsid w:val="00033474"/>
    <w:rsid w:val="000336CF"/>
    <w:rsid w:val="00033775"/>
    <w:rsid w:val="00033BF1"/>
    <w:rsid w:val="00033D5D"/>
    <w:rsid w:val="000343FF"/>
    <w:rsid w:val="0003470B"/>
    <w:rsid w:val="00034C4C"/>
    <w:rsid w:val="00035364"/>
    <w:rsid w:val="0003564A"/>
    <w:rsid w:val="00036999"/>
    <w:rsid w:val="00036B5A"/>
    <w:rsid w:val="00036C45"/>
    <w:rsid w:val="00036EA8"/>
    <w:rsid w:val="00036F48"/>
    <w:rsid w:val="00036FCB"/>
    <w:rsid w:val="00037356"/>
    <w:rsid w:val="0003782D"/>
    <w:rsid w:val="00037ABE"/>
    <w:rsid w:val="00037AE8"/>
    <w:rsid w:val="00040BF2"/>
    <w:rsid w:val="00040CB7"/>
    <w:rsid w:val="00040D39"/>
    <w:rsid w:val="00041493"/>
    <w:rsid w:val="000414B4"/>
    <w:rsid w:val="00042135"/>
    <w:rsid w:val="00042DB8"/>
    <w:rsid w:val="00043272"/>
    <w:rsid w:val="0004334D"/>
    <w:rsid w:val="00043635"/>
    <w:rsid w:val="00043D6F"/>
    <w:rsid w:val="000444CE"/>
    <w:rsid w:val="00045203"/>
    <w:rsid w:val="00045243"/>
    <w:rsid w:val="00045507"/>
    <w:rsid w:val="00045672"/>
    <w:rsid w:val="00046524"/>
    <w:rsid w:val="00046727"/>
    <w:rsid w:val="000467DF"/>
    <w:rsid w:val="000475C7"/>
    <w:rsid w:val="00047795"/>
    <w:rsid w:val="00047AFE"/>
    <w:rsid w:val="0005095E"/>
    <w:rsid w:val="00050AAE"/>
    <w:rsid w:val="000511BF"/>
    <w:rsid w:val="00051C3B"/>
    <w:rsid w:val="00051DBE"/>
    <w:rsid w:val="00051F4F"/>
    <w:rsid w:val="000525A8"/>
    <w:rsid w:val="00052E92"/>
    <w:rsid w:val="00052F68"/>
    <w:rsid w:val="0005341D"/>
    <w:rsid w:val="00053AD9"/>
    <w:rsid w:val="00054C93"/>
    <w:rsid w:val="00054E37"/>
    <w:rsid w:val="00054E81"/>
    <w:rsid w:val="0005588D"/>
    <w:rsid w:val="00055DCC"/>
    <w:rsid w:val="00055E4B"/>
    <w:rsid w:val="00055FA4"/>
    <w:rsid w:val="00056013"/>
    <w:rsid w:val="000561F4"/>
    <w:rsid w:val="0005630E"/>
    <w:rsid w:val="0005645D"/>
    <w:rsid w:val="00056846"/>
    <w:rsid w:val="00056C25"/>
    <w:rsid w:val="00057103"/>
    <w:rsid w:val="00057D5E"/>
    <w:rsid w:val="00060262"/>
    <w:rsid w:val="000608B4"/>
    <w:rsid w:val="000608B5"/>
    <w:rsid w:val="000609D0"/>
    <w:rsid w:val="00060B55"/>
    <w:rsid w:val="00060F00"/>
    <w:rsid w:val="00061967"/>
    <w:rsid w:val="00061C68"/>
    <w:rsid w:val="00061CEF"/>
    <w:rsid w:val="0006206C"/>
    <w:rsid w:val="00062391"/>
    <w:rsid w:val="000625C6"/>
    <w:rsid w:val="000627FD"/>
    <w:rsid w:val="00062B34"/>
    <w:rsid w:val="000630FB"/>
    <w:rsid w:val="000634A5"/>
    <w:rsid w:val="000635D7"/>
    <w:rsid w:val="00063833"/>
    <w:rsid w:val="00063B06"/>
    <w:rsid w:val="00064249"/>
    <w:rsid w:val="0006453C"/>
    <w:rsid w:val="0006473E"/>
    <w:rsid w:val="0006599A"/>
    <w:rsid w:val="00066277"/>
    <w:rsid w:val="0006665C"/>
    <w:rsid w:val="000667DC"/>
    <w:rsid w:val="00066885"/>
    <w:rsid w:val="000669E0"/>
    <w:rsid w:val="00067D45"/>
    <w:rsid w:val="00067FD7"/>
    <w:rsid w:val="000707A5"/>
    <w:rsid w:val="0007098D"/>
    <w:rsid w:val="00070E1E"/>
    <w:rsid w:val="0007215A"/>
    <w:rsid w:val="0007239F"/>
    <w:rsid w:val="00072488"/>
    <w:rsid w:val="00072C23"/>
    <w:rsid w:val="00072D06"/>
    <w:rsid w:val="000738A9"/>
    <w:rsid w:val="00073914"/>
    <w:rsid w:val="000740FE"/>
    <w:rsid w:val="000746A2"/>
    <w:rsid w:val="000749AC"/>
    <w:rsid w:val="000749EB"/>
    <w:rsid w:val="00075033"/>
    <w:rsid w:val="00075975"/>
    <w:rsid w:val="0007617C"/>
    <w:rsid w:val="00076188"/>
    <w:rsid w:val="00076629"/>
    <w:rsid w:val="00076962"/>
    <w:rsid w:val="00076969"/>
    <w:rsid w:val="00076F0A"/>
    <w:rsid w:val="00077A2C"/>
    <w:rsid w:val="0008023A"/>
    <w:rsid w:val="000805C8"/>
    <w:rsid w:val="00081C9F"/>
    <w:rsid w:val="00082494"/>
    <w:rsid w:val="00082626"/>
    <w:rsid w:val="000835E4"/>
    <w:rsid w:val="000836DA"/>
    <w:rsid w:val="000837E3"/>
    <w:rsid w:val="00083893"/>
    <w:rsid w:val="00083D90"/>
    <w:rsid w:val="00084333"/>
    <w:rsid w:val="000843FC"/>
    <w:rsid w:val="0008452C"/>
    <w:rsid w:val="000846FF"/>
    <w:rsid w:val="00084E2C"/>
    <w:rsid w:val="0008649D"/>
    <w:rsid w:val="0008687F"/>
    <w:rsid w:val="000875E5"/>
    <w:rsid w:val="000878A6"/>
    <w:rsid w:val="00087AF9"/>
    <w:rsid w:val="00090491"/>
    <w:rsid w:val="00090B88"/>
    <w:rsid w:val="00090D67"/>
    <w:rsid w:val="00091159"/>
    <w:rsid w:val="00091715"/>
    <w:rsid w:val="00091868"/>
    <w:rsid w:val="000919E3"/>
    <w:rsid w:val="00091A1C"/>
    <w:rsid w:val="00091EDD"/>
    <w:rsid w:val="000924A0"/>
    <w:rsid w:val="0009288A"/>
    <w:rsid w:val="000930F4"/>
    <w:rsid w:val="0009318F"/>
    <w:rsid w:val="00093277"/>
    <w:rsid w:val="000933F7"/>
    <w:rsid w:val="000934C4"/>
    <w:rsid w:val="00094657"/>
    <w:rsid w:val="00094D41"/>
    <w:rsid w:val="00095167"/>
    <w:rsid w:val="00095293"/>
    <w:rsid w:val="000959D3"/>
    <w:rsid w:val="00096EC3"/>
    <w:rsid w:val="000970EE"/>
    <w:rsid w:val="00097463"/>
    <w:rsid w:val="00097773"/>
    <w:rsid w:val="000A00ED"/>
    <w:rsid w:val="000A0374"/>
    <w:rsid w:val="000A0F6E"/>
    <w:rsid w:val="000A1043"/>
    <w:rsid w:val="000A1150"/>
    <w:rsid w:val="000A128A"/>
    <w:rsid w:val="000A1C09"/>
    <w:rsid w:val="000A1C90"/>
    <w:rsid w:val="000A1E65"/>
    <w:rsid w:val="000A21E4"/>
    <w:rsid w:val="000A2452"/>
    <w:rsid w:val="000A36C7"/>
    <w:rsid w:val="000A3B77"/>
    <w:rsid w:val="000A4139"/>
    <w:rsid w:val="000A4312"/>
    <w:rsid w:val="000A43C0"/>
    <w:rsid w:val="000A4CD2"/>
    <w:rsid w:val="000A4DA9"/>
    <w:rsid w:val="000A580B"/>
    <w:rsid w:val="000A5FE2"/>
    <w:rsid w:val="000A6A11"/>
    <w:rsid w:val="000A6A82"/>
    <w:rsid w:val="000A6D6C"/>
    <w:rsid w:val="000A6FE0"/>
    <w:rsid w:val="000A7175"/>
    <w:rsid w:val="000A73C9"/>
    <w:rsid w:val="000A74A3"/>
    <w:rsid w:val="000B08C4"/>
    <w:rsid w:val="000B12D3"/>
    <w:rsid w:val="000B131C"/>
    <w:rsid w:val="000B1873"/>
    <w:rsid w:val="000B1F61"/>
    <w:rsid w:val="000B27F3"/>
    <w:rsid w:val="000B2B57"/>
    <w:rsid w:val="000B2B71"/>
    <w:rsid w:val="000B2E19"/>
    <w:rsid w:val="000B3783"/>
    <w:rsid w:val="000B37FB"/>
    <w:rsid w:val="000B4166"/>
    <w:rsid w:val="000B49E6"/>
    <w:rsid w:val="000B4F74"/>
    <w:rsid w:val="000B52F2"/>
    <w:rsid w:val="000B54EA"/>
    <w:rsid w:val="000B5964"/>
    <w:rsid w:val="000B5988"/>
    <w:rsid w:val="000B5CBC"/>
    <w:rsid w:val="000B5CC2"/>
    <w:rsid w:val="000B5D09"/>
    <w:rsid w:val="000B6025"/>
    <w:rsid w:val="000B62F9"/>
    <w:rsid w:val="000B634A"/>
    <w:rsid w:val="000B6435"/>
    <w:rsid w:val="000B6455"/>
    <w:rsid w:val="000B66EB"/>
    <w:rsid w:val="000B6842"/>
    <w:rsid w:val="000B6AAD"/>
    <w:rsid w:val="000B6ADC"/>
    <w:rsid w:val="000B6C20"/>
    <w:rsid w:val="000C00B4"/>
    <w:rsid w:val="000C0351"/>
    <w:rsid w:val="000C0818"/>
    <w:rsid w:val="000C0DEA"/>
    <w:rsid w:val="000C1285"/>
    <w:rsid w:val="000C1560"/>
    <w:rsid w:val="000C20A6"/>
    <w:rsid w:val="000C25E1"/>
    <w:rsid w:val="000C32AE"/>
    <w:rsid w:val="000C33C3"/>
    <w:rsid w:val="000C34C4"/>
    <w:rsid w:val="000C355A"/>
    <w:rsid w:val="000C35BC"/>
    <w:rsid w:val="000C3D6F"/>
    <w:rsid w:val="000C4070"/>
    <w:rsid w:val="000C4649"/>
    <w:rsid w:val="000C46B2"/>
    <w:rsid w:val="000C4E17"/>
    <w:rsid w:val="000C4EA8"/>
    <w:rsid w:val="000C4FF8"/>
    <w:rsid w:val="000C511A"/>
    <w:rsid w:val="000C58B0"/>
    <w:rsid w:val="000C5900"/>
    <w:rsid w:val="000C593E"/>
    <w:rsid w:val="000C6FC3"/>
    <w:rsid w:val="000C7065"/>
    <w:rsid w:val="000C7117"/>
    <w:rsid w:val="000C77FC"/>
    <w:rsid w:val="000D0081"/>
    <w:rsid w:val="000D0209"/>
    <w:rsid w:val="000D0CA7"/>
    <w:rsid w:val="000D0E53"/>
    <w:rsid w:val="000D1257"/>
    <w:rsid w:val="000D13FE"/>
    <w:rsid w:val="000D1950"/>
    <w:rsid w:val="000D20E8"/>
    <w:rsid w:val="000D29C1"/>
    <w:rsid w:val="000D2AAB"/>
    <w:rsid w:val="000D2F77"/>
    <w:rsid w:val="000D347E"/>
    <w:rsid w:val="000D3580"/>
    <w:rsid w:val="000D42FD"/>
    <w:rsid w:val="000D465F"/>
    <w:rsid w:val="000D4B27"/>
    <w:rsid w:val="000D4CD3"/>
    <w:rsid w:val="000D5A66"/>
    <w:rsid w:val="000D5F5D"/>
    <w:rsid w:val="000D6368"/>
    <w:rsid w:val="000D6DE4"/>
    <w:rsid w:val="000D70B5"/>
    <w:rsid w:val="000D7206"/>
    <w:rsid w:val="000D78D1"/>
    <w:rsid w:val="000E0902"/>
    <w:rsid w:val="000E0E05"/>
    <w:rsid w:val="000E1127"/>
    <w:rsid w:val="000E1303"/>
    <w:rsid w:val="000E14A5"/>
    <w:rsid w:val="000E19DA"/>
    <w:rsid w:val="000E1DF9"/>
    <w:rsid w:val="000E275C"/>
    <w:rsid w:val="000E2783"/>
    <w:rsid w:val="000E371C"/>
    <w:rsid w:val="000E3CF1"/>
    <w:rsid w:val="000E3D1B"/>
    <w:rsid w:val="000E3EB3"/>
    <w:rsid w:val="000E439F"/>
    <w:rsid w:val="000E4AF5"/>
    <w:rsid w:val="000E4B94"/>
    <w:rsid w:val="000E556A"/>
    <w:rsid w:val="000E57BF"/>
    <w:rsid w:val="000E5B60"/>
    <w:rsid w:val="000E5DC5"/>
    <w:rsid w:val="000E5E59"/>
    <w:rsid w:val="000E5F17"/>
    <w:rsid w:val="000E63CA"/>
    <w:rsid w:val="000E6431"/>
    <w:rsid w:val="000E680E"/>
    <w:rsid w:val="000E7137"/>
    <w:rsid w:val="000E7839"/>
    <w:rsid w:val="000E7C59"/>
    <w:rsid w:val="000F030C"/>
    <w:rsid w:val="000F0918"/>
    <w:rsid w:val="000F1699"/>
    <w:rsid w:val="000F1745"/>
    <w:rsid w:val="000F1EC3"/>
    <w:rsid w:val="000F2317"/>
    <w:rsid w:val="000F2882"/>
    <w:rsid w:val="000F2DF6"/>
    <w:rsid w:val="000F3452"/>
    <w:rsid w:val="000F397E"/>
    <w:rsid w:val="000F44FC"/>
    <w:rsid w:val="000F4705"/>
    <w:rsid w:val="000F4AFA"/>
    <w:rsid w:val="000F591B"/>
    <w:rsid w:val="000F5BD0"/>
    <w:rsid w:val="000F6355"/>
    <w:rsid w:val="000F6393"/>
    <w:rsid w:val="000F65AF"/>
    <w:rsid w:val="000F65F8"/>
    <w:rsid w:val="000F67F4"/>
    <w:rsid w:val="000F6BC1"/>
    <w:rsid w:val="000F6DF3"/>
    <w:rsid w:val="000F6F61"/>
    <w:rsid w:val="000F7028"/>
    <w:rsid w:val="000F7596"/>
    <w:rsid w:val="000F7AC0"/>
    <w:rsid w:val="00100BF0"/>
    <w:rsid w:val="00100E33"/>
    <w:rsid w:val="0010100D"/>
    <w:rsid w:val="00102102"/>
    <w:rsid w:val="00103A38"/>
    <w:rsid w:val="00103A88"/>
    <w:rsid w:val="00103BBE"/>
    <w:rsid w:val="00103D3A"/>
    <w:rsid w:val="00104874"/>
    <w:rsid w:val="00104C83"/>
    <w:rsid w:val="00104EE3"/>
    <w:rsid w:val="001050B6"/>
    <w:rsid w:val="00105A44"/>
    <w:rsid w:val="00106461"/>
    <w:rsid w:val="00106A6B"/>
    <w:rsid w:val="00106C8F"/>
    <w:rsid w:val="0010744B"/>
    <w:rsid w:val="001105F2"/>
    <w:rsid w:val="00110BC8"/>
    <w:rsid w:val="00110DA7"/>
    <w:rsid w:val="00111057"/>
    <w:rsid w:val="001110BE"/>
    <w:rsid w:val="001110FF"/>
    <w:rsid w:val="00111413"/>
    <w:rsid w:val="001114E9"/>
    <w:rsid w:val="001119F0"/>
    <w:rsid w:val="00111A8F"/>
    <w:rsid w:val="00111CCE"/>
    <w:rsid w:val="00111F4A"/>
    <w:rsid w:val="0011240D"/>
    <w:rsid w:val="00112856"/>
    <w:rsid w:val="00113DBA"/>
    <w:rsid w:val="001145A9"/>
    <w:rsid w:val="00114D40"/>
    <w:rsid w:val="00114F90"/>
    <w:rsid w:val="0011535A"/>
    <w:rsid w:val="001154DD"/>
    <w:rsid w:val="001157AD"/>
    <w:rsid w:val="001165F3"/>
    <w:rsid w:val="001168DF"/>
    <w:rsid w:val="00116E34"/>
    <w:rsid w:val="00117040"/>
    <w:rsid w:val="00117B87"/>
    <w:rsid w:val="00120239"/>
    <w:rsid w:val="0012060E"/>
    <w:rsid w:val="0012070D"/>
    <w:rsid w:val="0012151E"/>
    <w:rsid w:val="001216E0"/>
    <w:rsid w:val="00121D70"/>
    <w:rsid w:val="001220CF"/>
    <w:rsid w:val="0012211F"/>
    <w:rsid w:val="00122C79"/>
    <w:rsid w:val="0012325A"/>
    <w:rsid w:val="00123783"/>
    <w:rsid w:val="001237BC"/>
    <w:rsid w:val="00123D92"/>
    <w:rsid w:val="00124206"/>
    <w:rsid w:val="00124C43"/>
    <w:rsid w:val="0012584F"/>
    <w:rsid w:val="0012602D"/>
    <w:rsid w:val="001267B2"/>
    <w:rsid w:val="00126BF9"/>
    <w:rsid w:val="00126D69"/>
    <w:rsid w:val="001278DA"/>
    <w:rsid w:val="0013079D"/>
    <w:rsid w:val="001307DF"/>
    <w:rsid w:val="00131062"/>
    <w:rsid w:val="00131F3B"/>
    <w:rsid w:val="00132ED8"/>
    <w:rsid w:val="00133628"/>
    <w:rsid w:val="00134C49"/>
    <w:rsid w:val="00134E57"/>
    <w:rsid w:val="001350C8"/>
    <w:rsid w:val="00136279"/>
    <w:rsid w:val="0013628F"/>
    <w:rsid w:val="00136854"/>
    <w:rsid w:val="00136982"/>
    <w:rsid w:val="001369D0"/>
    <w:rsid w:val="00136CD3"/>
    <w:rsid w:val="0013770E"/>
    <w:rsid w:val="00137C4E"/>
    <w:rsid w:val="00137C5D"/>
    <w:rsid w:val="00137FF5"/>
    <w:rsid w:val="00140217"/>
    <w:rsid w:val="001403A1"/>
    <w:rsid w:val="0014046F"/>
    <w:rsid w:val="0014143A"/>
    <w:rsid w:val="00141550"/>
    <w:rsid w:val="00142109"/>
    <w:rsid w:val="0014241E"/>
    <w:rsid w:val="001435BA"/>
    <w:rsid w:val="0014460F"/>
    <w:rsid w:val="00145346"/>
    <w:rsid w:val="001454C1"/>
    <w:rsid w:val="001457EB"/>
    <w:rsid w:val="0014648A"/>
    <w:rsid w:val="0014705C"/>
    <w:rsid w:val="00147069"/>
    <w:rsid w:val="001470F9"/>
    <w:rsid w:val="001472B1"/>
    <w:rsid w:val="0015010B"/>
    <w:rsid w:val="00150958"/>
    <w:rsid w:val="00150AC7"/>
    <w:rsid w:val="00150CCF"/>
    <w:rsid w:val="001514F8"/>
    <w:rsid w:val="001516A9"/>
    <w:rsid w:val="00151FB0"/>
    <w:rsid w:val="00152132"/>
    <w:rsid w:val="00152C97"/>
    <w:rsid w:val="00152EAD"/>
    <w:rsid w:val="00153B27"/>
    <w:rsid w:val="00153D9F"/>
    <w:rsid w:val="0015484E"/>
    <w:rsid w:val="00154C6C"/>
    <w:rsid w:val="001551F7"/>
    <w:rsid w:val="00155854"/>
    <w:rsid w:val="00155A19"/>
    <w:rsid w:val="0015615E"/>
    <w:rsid w:val="001565AC"/>
    <w:rsid w:val="001568BF"/>
    <w:rsid w:val="00157259"/>
    <w:rsid w:val="001572EC"/>
    <w:rsid w:val="0015774B"/>
    <w:rsid w:val="00157BA8"/>
    <w:rsid w:val="00161799"/>
    <w:rsid w:val="00161FBF"/>
    <w:rsid w:val="0016237F"/>
    <w:rsid w:val="001623B2"/>
    <w:rsid w:val="00162F11"/>
    <w:rsid w:val="00162FB8"/>
    <w:rsid w:val="001643D1"/>
    <w:rsid w:val="00164788"/>
    <w:rsid w:val="00164F8C"/>
    <w:rsid w:val="0016544E"/>
    <w:rsid w:val="00165F33"/>
    <w:rsid w:val="00166A38"/>
    <w:rsid w:val="00166F95"/>
    <w:rsid w:val="00167617"/>
    <w:rsid w:val="0016785A"/>
    <w:rsid w:val="001704E1"/>
    <w:rsid w:val="001709A1"/>
    <w:rsid w:val="00170B8B"/>
    <w:rsid w:val="00170C09"/>
    <w:rsid w:val="00171263"/>
    <w:rsid w:val="0017164B"/>
    <w:rsid w:val="001727AE"/>
    <w:rsid w:val="00172C67"/>
    <w:rsid w:val="00173585"/>
    <w:rsid w:val="00173AE3"/>
    <w:rsid w:val="00173C45"/>
    <w:rsid w:val="0017434C"/>
    <w:rsid w:val="001743F0"/>
    <w:rsid w:val="001743F9"/>
    <w:rsid w:val="0017456F"/>
    <w:rsid w:val="0017478F"/>
    <w:rsid w:val="00174B37"/>
    <w:rsid w:val="001751F5"/>
    <w:rsid w:val="00175A6E"/>
    <w:rsid w:val="001760D9"/>
    <w:rsid w:val="0017613F"/>
    <w:rsid w:val="00176709"/>
    <w:rsid w:val="0017680E"/>
    <w:rsid w:val="00176CAB"/>
    <w:rsid w:val="00177039"/>
    <w:rsid w:val="0018000C"/>
    <w:rsid w:val="0018039A"/>
    <w:rsid w:val="00180BE5"/>
    <w:rsid w:val="00180D0F"/>
    <w:rsid w:val="00180F65"/>
    <w:rsid w:val="00181045"/>
    <w:rsid w:val="001813E7"/>
    <w:rsid w:val="00181404"/>
    <w:rsid w:val="001814CE"/>
    <w:rsid w:val="00181598"/>
    <w:rsid w:val="001829FC"/>
    <w:rsid w:val="00182A17"/>
    <w:rsid w:val="00183B03"/>
    <w:rsid w:val="00183F8A"/>
    <w:rsid w:val="001844E0"/>
    <w:rsid w:val="001845CC"/>
    <w:rsid w:val="001848CA"/>
    <w:rsid w:val="00184C79"/>
    <w:rsid w:val="0018536B"/>
    <w:rsid w:val="00185C8F"/>
    <w:rsid w:val="00185E29"/>
    <w:rsid w:val="00186071"/>
    <w:rsid w:val="0018621F"/>
    <w:rsid w:val="00186588"/>
    <w:rsid w:val="00186A40"/>
    <w:rsid w:val="00186E6F"/>
    <w:rsid w:val="0018722C"/>
    <w:rsid w:val="00187338"/>
    <w:rsid w:val="001876A6"/>
    <w:rsid w:val="00187A27"/>
    <w:rsid w:val="00187E08"/>
    <w:rsid w:val="001904B6"/>
    <w:rsid w:val="00190C27"/>
    <w:rsid w:val="00191183"/>
    <w:rsid w:val="00191323"/>
    <w:rsid w:val="00191610"/>
    <w:rsid w:val="00191C55"/>
    <w:rsid w:val="00192443"/>
    <w:rsid w:val="001928EE"/>
    <w:rsid w:val="001929C4"/>
    <w:rsid w:val="00192BA1"/>
    <w:rsid w:val="0019366A"/>
    <w:rsid w:val="00193BD6"/>
    <w:rsid w:val="00194199"/>
    <w:rsid w:val="001941DE"/>
    <w:rsid w:val="00194760"/>
    <w:rsid w:val="00194768"/>
    <w:rsid w:val="00195335"/>
    <w:rsid w:val="0019539B"/>
    <w:rsid w:val="00195485"/>
    <w:rsid w:val="0019592C"/>
    <w:rsid w:val="00195B37"/>
    <w:rsid w:val="00195E0C"/>
    <w:rsid w:val="001962DA"/>
    <w:rsid w:val="001962ED"/>
    <w:rsid w:val="001974A5"/>
    <w:rsid w:val="00197BA9"/>
    <w:rsid w:val="00197DD5"/>
    <w:rsid w:val="00197FFD"/>
    <w:rsid w:val="001A037F"/>
    <w:rsid w:val="001A059F"/>
    <w:rsid w:val="001A0A76"/>
    <w:rsid w:val="001A0F48"/>
    <w:rsid w:val="001A10D5"/>
    <w:rsid w:val="001A19F5"/>
    <w:rsid w:val="001A1A57"/>
    <w:rsid w:val="001A1AC5"/>
    <w:rsid w:val="001A1BBD"/>
    <w:rsid w:val="001A1F5C"/>
    <w:rsid w:val="001A2094"/>
    <w:rsid w:val="001A265E"/>
    <w:rsid w:val="001A2676"/>
    <w:rsid w:val="001A272D"/>
    <w:rsid w:val="001A2803"/>
    <w:rsid w:val="001A28D6"/>
    <w:rsid w:val="001A2DEC"/>
    <w:rsid w:val="001A41A3"/>
    <w:rsid w:val="001A420F"/>
    <w:rsid w:val="001A421D"/>
    <w:rsid w:val="001A4D2B"/>
    <w:rsid w:val="001A5CA5"/>
    <w:rsid w:val="001A6ADB"/>
    <w:rsid w:val="001A6CD5"/>
    <w:rsid w:val="001B00E9"/>
    <w:rsid w:val="001B0196"/>
    <w:rsid w:val="001B0C2E"/>
    <w:rsid w:val="001B26E5"/>
    <w:rsid w:val="001B2DAA"/>
    <w:rsid w:val="001B3CF5"/>
    <w:rsid w:val="001B3D53"/>
    <w:rsid w:val="001B3DF7"/>
    <w:rsid w:val="001B43F3"/>
    <w:rsid w:val="001B44EC"/>
    <w:rsid w:val="001B467B"/>
    <w:rsid w:val="001B4D0C"/>
    <w:rsid w:val="001B50EC"/>
    <w:rsid w:val="001B5146"/>
    <w:rsid w:val="001B55A4"/>
    <w:rsid w:val="001B5AF2"/>
    <w:rsid w:val="001B5E65"/>
    <w:rsid w:val="001B6136"/>
    <w:rsid w:val="001B628D"/>
    <w:rsid w:val="001B6BC9"/>
    <w:rsid w:val="001B6ED4"/>
    <w:rsid w:val="001C0287"/>
    <w:rsid w:val="001C2647"/>
    <w:rsid w:val="001C2BDE"/>
    <w:rsid w:val="001C3A7B"/>
    <w:rsid w:val="001C4E5C"/>
    <w:rsid w:val="001C5E96"/>
    <w:rsid w:val="001C60EE"/>
    <w:rsid w:val="001C650F"/>
    <w:rsid w:val="001C6810"/>
    <w:rsid w:val="001C747D"/>
    <w:rsid w:val="001C761D"/>
    <w:rsid w:val="001C77B9"/>
    <w:rsid w:val="001C7AD5"/>
    <w:rsid w:val="001D037C"/>
    <w:rsid w:val="001D064A"/>
    <w:rsid w:val="001D0912"/>
    <w:rsid w:val="001D1252"/>
    <w:rsid w:val="001D19E2"/>
    <w:rsid w:val="001D2D9E"/>
    <w:rsid w:val="001D3678"/>
    <w:rsid w:val="001D3810"/>
    <w:rsid w:val="001D3C38"/>
    <w:rsid w:val="001D3D85"/>
    <w:rsid w:val="001D46D6"/>
    <w:rsid w:val="001D479D"/>
    <w:rsid w:val="001D50B2"/>
    <w:rsid w:val="001D5195"/>
    <w:rsid w:val="001D5337"/>
    <w:rsid w:val="001D56BE"/>
    <w:rsid w:val="001D5B1E"/>
    <w:rsid w:val="001D5F85"/>
    <w:rsid w:val="001D6322"/>
    <w:rsid w:val="001D644F"/>
    <w:rsid w:val="001D72B6"/>
    <w:rsid w:val="001D7A26"/>
    <w:rsid w:val="001E10DE"/>
    <w:rsid w:val="001E1327"/>
    <w:rsid w:val="001E13C3"/>
    <w:rsid w:val="001E1537"/>
    <w:rsid w:val="001E19BE"/>
    <w:rsid w:val="001E1B92"/>
    <w:rsid w:val="001E1F35"/>
    <w:rsid w:val="001E2034"/>
    <w:rsid w:val="001E276E"/>
    <w:rsid w:val="001E2884"/>
    <w:rsid w:val="001E30DD"/>
    <w:rsid w:val="001E3131"/>
    <w:rsid w:val="001E3386"/>
    <w:rsid w:val="001E3648"/>
    <w:rsid w:val="001E38D5"/>
    <w:rsid w:val="001E3F4C"/>
    <w:rsid w:val="001E5728"/>
    <w:rsid w:val="001E630D"/>
    <w:rsid w:val="001E667D"/>
    <w:rsid w:val="001E67FD"/>
    <w:rsid w:val="001E68EA"/>
    <w:rsid w:val="001E6D92"/>
    <w:rsid w:val="001E6D97"/>
    <w:rsid w:val="001E6F8E"/>
    <w:rsid w:val="001E7140"/>
    <w:rsid w:val="001E7938"/>
    <w:rsid w:val="001F0632"/>
    <w:rsid w:val="001F0AB1"/>
    <w:rsid w:val="001F0C86"/>
    <w:rsid w:val="001F0E50"/>
    <w:rsid w:val="001F0EC0"/>
    <w:rsid w:val="001F11B0"/>
    <w:rsid w:val="001F12DB"/>
    <w:rsid w:val="001F1414"/>
    <w:rsid w:val="001F2236"/>
    <w:rsid w:val="001F31CA"/>
    <w:rsid w:val="001F3452"/>
    <w:rsid w:val="001F386C"/>
    <w:rsid w:val="001F3F10"/>
    <w:rsid w:val="001F4B4A"/>
    <w:rsid w:val="001F4E82"/>
    <w:rsid w:val="001F71FE"/>
    <w:rsid w:val="001F7B9A"/>
    <w:rsid w:val="00200DEF"/>
    <w:rsid w:val="0020142F"/>
    <w:rsid w:val="0020176C"/>
    <w:rsid w:val="00201AD3"/>
    <w:rsid w:val="00202011"/>
    <w:rsid w:val="0020233F"/>
    <w:rsid w:val="00202626"/>
    <w:rsid w:val="0020282E"/>
    <w:rsid w:val="0020297E"/>
    <w:rsid w:val="002035A4"/>
    <w:rsid w:val="00204285"/>
    <w:rsid w:val="00204E00"/>
    <w:rsid w:val="00204ECF"/>
    <w:rsid w:val="00205418"/>
    <w:rsid w:val="0020552E"/>
    <w:rsid w:val="00205611"/>
    <w:rsid w:val="002057E6"/>
    <w:rsid w:val="00205C8B"/>
    <w:rsid w:val="002063FA"/>
    <w:rsid w:val="00206C40"/>
    <w:rsid w:val="00206EFE"/>
    <w:rsid w:val="00207290"/>
    <w:rsid w:val="002075DD"/>
    <w:rsid w:val="00207714"/>
    <w:rsid w:val="00207A6E"/>
    <w:rsid w:val="002100CD"/>
    <w:rsid w:val="0021027A"/>
    <w:rsid w:val="00210898"/>
    <w:rsid w:val="00210BBD"/>
    <w:rsid w:val="00210E8A"/>
    <w:rsid w:val="002121EE"/>
    <w:rsid w:val="0021252E"/>
    <w:rsid w:val="002129A5"/>
    <w:rsid w:val="00212B05"/>
    <w:rsid w:val="0021303D"/>
    <w:rsid w:val="002148FB"/>
    <w:rsid w:val="00214B46"/>
    <w:rsid w:val="00214F76"/>
    <w:rsid w:val="002158A3"/>
    <w:rsid w:val="00215D0A"/>
    <w:rsid w:val="00215DF2"/>
    <w:rsid w:val="0021742F"/>
    <w:rsid w:val="002175D9"/>
    <w:rsid w:val="00217A0B"/>
    <w:rsid w:val="00217A7F"/>
    <w:rsid w:val="00217FE9"/>
    <w:rsid w:val="00220016"/>
    <w:rsid w:val="00220967"/>
    <w:rsid w:val="00220B0F"/>
    <w:rsid w:val="00220B16"/>
    <w:rsid w:val="00221290"/>
    <w:rsid w:val="002223D2"/>
    <w:rsid w:val="0022276D"/>
    <w:rsid w:val="002227BC"/>
    <w:rsid w:val="002230FA"/>
    <w:rsid w:val="002233C1"/>
    <w:rsid w:val="002239A0"/>
    <w:rsid w:val="00224200"/>
    <w:rsid w:val="00224210"/>
    <w:rsid w:val="002245A8"/>
    <w:rsid w:val="00224619"/>
    <w:rsid w:val="002247CD"/>
    <w:rsid w:val="00224895"/>
    <w:rsid w:val="00224D33"/>
    <w:rsid w:val="00224E87"/>
    <w:rsid w:val="002251A5"/>
    <w:rsid w:val="00225294"/>
    <w:rsid w:val="0022529C"/>
    <w:rsid w:val="0022574E"/>
    <w:rsid w:val="0022576F"/>
    <w:rsid w:val="00225AED"/>
    <w:rsid w:val="00226130"/>
    <w:rsid w:val="00226195"/>
    <w:rsid w:val="0022687C"/>
    <w:rsid w:val="002271D0"/>
    <w:rsid w:val="0022751A"/>
    <w:rsid w:val="00227F98"/>
    <w:rsid w:val="00230492"/>
    <w:rsid w:val="00230AF6"/>
    <w:rsid w:val="00230CE7"/>
    <w:rsid w:val="00230EA2"/>
    <w:rsid w:val="00231524"/>
    <w:rsid w:val="00231760"/>
    <w:rsid w:val="00231ED9"/>
    <w:rsid w:val="0023238A"/>
    <w:rsid w:val="002326A6"/>
    <w:rsid w:val="00232BD3"/>
    <w:rsid w:val="00233552"/>
    <w:rsid w:val="0023368D"/>
    <w:rsid w:val="00233B58"/>
    <w:rsid w:val="00233FC8"/>
    <w:rsid w:val="00233FF1"/>
    <w:rsid w:val="00234374"/>
    <w:rsid w:val="00234707"/>
    <w:rsid w:val="0023524B"/>
    <w:rsid w:val="0023535B"/>
    <w:rsid w:val="0023596C"/>
    <w:rsid w:val="00235975"/>
    <w:rsid w:val="00235BF8"/>
    <w:rsid w:val="00235C02"/>
    <w:rsid w:val="00235C10"/>
    <w:rsid w:val="00235C91"/>
    <w:rsid w:val="0023651D"/>
    <w:rsid w:val="00236F07"/>
    <w:rsid w:val="002372F9"/>
    <w:rsid w:val="002374AE"/>
    <w:rsid w:val="002377BA"/>
    <w:rsid w:val="00237D1D"/>
    <w:rsid w:val="0024029A"/>
    <w:rsid w:val="00240D5D"/>
    <w:rsid w:val="00240E05"/>
    <w:rsid w:val="002414FA"/>
    <w:rsid w:val="00241941"/>
    <w:rsid w:val="00241A33"/>
    <w:rsid w:val="00241ABA"/>
    <w:rsid w:val="00241B6B"/>
    <w:rsid w:val="00241E83"/>
    <w:rsid w:val="0024211B"/>
    <w:rsid w:val="002428CB"/>
    <w:rsid w:val="00243714"/>
    <w:rsid w:val="00244134"/>
    <w:rsid w:val="00244411"/>
    <w:rsid w:val="00244B49"/>
    <w:rsid w:val="00244D24"/>
    <w:rsid w:val="00244FB7"/>
    <w:rsid w:val="0024528A"/>
    <w:rsid w:val="00245380"/>
    <w:rsid w:val="00245A41"/>
    <w:rsid w:val="00245D03"/>
    <w:rsid w:val="002475E9"/>
    <w:rsid w:val="00250590"/>
    <w:rsid w:val="00250873"/>
    <w:rsid w:val="00250CBB"/>
    <w:rsid w:val="00251098"/>
    <w:rsid w:val="00251911"/>
    <w:rsid w:val="00251A49"/>
    <w:rsid w:val="00251BF3"/>
    <w:rsid w:val="00253454"/>
    <w:rsid w:val="00253DD7"/>
    <w:rsid w:val="002548A5"/>
    <w:rsid w:val="002550D5"/>
    <w:rsid w:val="0025590D"/>
    <w:rsid w:val="00257668"/>
    <w:rsid w:val="00257B5C"/>
    <w:rsid w:val="00260ADA"/>
    <w:rsid w:val="00260D42"/>
    <w:rsid w:val="00262020"/>
    <w:rsid w:val="002621F6"/>
    <w:rsid w:val="00262354"/>
    <w:rsid w:val="00262AEF"/>
    <w:rsid w:val="00262BA5"/>
    <w:rsid w:val="00262E60"/>
    <w:rsid w:val="00262F64"/>
    <w:rsid w:val="002637CF"/>
    <w:rsid w:val="00263FE7"/>
    <w:rsid w:val="00264012"/>
    <w:rsid w:val="00264498"/>
    <w:rsid w:val="002646DD"/>
    <w:rsid w:val="002646FA"/>
    <w:rsid w:val="00264ED8"/>
    <w:rsid w:val="00265062"/>
    <w:rsid w:val="00266178"/>
    <w:rsid w:val="0026659E"/>
    <w:rsid w:val="0026693E"/>
    <w:rsid w:val="00266EEA"/>
    <w:rsid w:val="00266F06"/>
    <w:rsid w:val="00267406"/>
    <w:rsid w:val="00270092"/>
    <w:rsid w:val="002704E4"/>
    <w:rsid w:val="002705EC"/>
    <w:rsid w:val="00270BE3"/>
    <w:rsid w:val="00271608"/>
    <w:rsid w:val="00272A61"/>
    <w:rsid w:val="00273153"/>
    <w:rsid w:val="00273169"/>
    <w:rsid w:val="002736F1"/>
    <w:rsid w:val="0027404D"/>
    <w:rsid w:val="0027445E"/>
    <w:rsid w:val="002745EE"/>
    <w:rsid w:val="00274AC2"/>
    <w:rsid w:val="00275412"/>
    <w:rsid w:val="00275626"/>
    <w:rsid w:val="002756FE"/>
    <w:rsid w:val="00275B31"/>
    <w:rsid w:val="00276C70"/>
    <w:rsid w:val="00277CCB"/>
    <w:rsid w:val="00280AB2"/>
    <w:rsid w:val="0028104B"/>
    <w:rsid w:val="00281252"/>
    <w:rsid w:val="00281E45"/>
    <w:rsid w:val="00281F6F"/>
    <w:rsid w:val="002829DE"/>
    <w:rsid w:val="00282F57"/>
    <w:rsid w:val="002833A4"/>
    <w:rsid w:val="00283EC6"/>
    <w:rsid w:val="0028468A"/>
    <w:rsid w:val="00284A2E"/>
    <w:rsid w:val="00284E31"/>
    <w:rsid w:val="00284E4F"/>
    <w:rsid w:val="00285C76"/>
    <w:rsid w:val="0028629D"/>
    <w:rsid w:val="00286A80"/>
    <w:rsid w:val="00286A93"/>
    <w:rsid w:val="00287196"/>
    <w:rsid w:val="00287B0F"/>
    <w:rsid w:val="00287F5D"/>
    <w:rsid w:val="0029070E"/>
    <w:rsid w:val="00290E15"/>
    <w:rsid w:val="00291D6C"/>
    <w:rsid w:val="00293D6B"/>
    <w:rsid w:val="0029433D"/>
    <w:rsid w:val="00294462"/>
    <w:rsid w:val="0029539E"/>
    <w:rsid w:val="00295B4E"/>
    <w:rsid w:val="00295D66"/>
    <w:rsid w:val="00295FEB"/>
    <w:rsid w:val="002965D5"/>
    <w:rsid w:val="00296B1F"/>
    <w:rsid w:val="00296DF0"/>
    <w:rsid w:val="002977B1"/>
    <w:rsid w:val="002A007A"/>
    <w:rsid w:val="002A0114"/>
    <w:rsid w:val="002A04D1"/>
    <w:rsid w:val="002A0641"/>
    <w:rsid w:val="002A0CDB"/>
    <w:rsid w:val="002A0FA8"/>
    <w:rsid w:val="002A166E"/>
    <w:rsid w:val="002A2779"/>
    <w:rsid w:val="002A2BE1"/>
    <w:rsid w:val="002A3E6E"/>
    <w:rsid w:val="002A4687"/>
    <w:rsid w:val="002A48B4"/>
    <w:rsid w:val="002A4CEE"/>
    <w:rsid w:val="002A57C5"/>
    <w:rsid w:val="002A5995"/>
    <w:rsid w:val="002A5996"/>
    <w:rsid w:val="002A5C68"/>
    <w:rsid w:val="002A5F54"/>
    <w:rsid w:val="002A66FA"/>
    <w:rsid w:val="002A6938"/>
    <w:rsid w:val="002A6999"/>
    <w:rsid w:val="002A6CBF"/>
    <w:rsid w:val="002A7235"/>
    <w:rsid w:val="002A764E"/>
    <w:rsid w:val="002A7F28"/>
    <w:rsid w:val="002B041F"/>
    <w:rsid w:val="002B0EF1"/>
    <w:rsid w:val="002B1095"/>
    <w:rsid w:val="002B10D3"/>
    <w:rsid w:val="002B14DA"/>
    <w:rsid w:val="002B1514"/>
    <w:rsid w:val="002B1A12"/>
    <w:rsid w:val="002B1CA9"/>
    <w:rsid w:val="002B1FA5"/>
    <w:rsid w:val="002B219D"/>
    <w:rsid w:val="002B2434"/>
    <w:rsid w:val="002B27BF"/>
    <w:rsid w:val="002B31A3"/>
    <w:rsid w:val="002B35C8"/>
    <w:rsid w:val="002B3743"/>
    <w:rsid w:val="002B3B02"/>
    <w:rsid w:val="002B3CFF"/>
    <w:rsid w:val="002B4190"/>
    <w:rsid w:val="002B45A9"/>
    <w:rsid w:val="002B48D2"/>
    <w:rsid w:val="002B494D"/>
    <w:rsid w:val="002B4A86"/>
    <w:rsid w:val="002B512C"/>
    <w:rsid w:val="002B583A"/>
    <w:rsid w:val="002B5939"/>
    <w:rsid w:val="002B6480"/>
    <w:rsid w:val="002B687B"/>
    <w:rsid w:val="002B712A"/>
    <w:rsid w:val="002B7B79"/>
    <w:rsid w:val="002B7BD7"/>
    <w:rsid w:val="002B7E5F"/>
    <w:rsid w:val="002C0157"/>
    <w:rsid w:val="002C0687"/>
    <w:rsid w:val="002C06D2"/>
    <w:rsid w:val="002C097C"/>
    <w:rsid w:val="002C11C2"/>
    <w:rsid w:val="002C14C7"/>
    <w:rsid w:val="002C151A"/>
    <w:rsid w:val="002C1844"/>
    <w:rsid w:val="002C1BF9"/>
    <w:rsid w:val="002C1FAE"/>
    <w:rsid w:val="002C2494"/>
    <w:rsid w:val="002C2AF1"/>
    <w:rsid w:val="002C2C29"/>
    <w:rsid w:val="002C32CE"/>
    <w:rsid w:val="002C3EEC"/>
    <w:rsid w:val="002C4E82"/>
    <w:rsid w:val="002C5257"/>
    <w:rsid w:val="002C5ADF"/>
    <w:rsid w:val="002C6C0E"/>
    <w:rsid w:val="002C71CC"/>
    <w:rsid w:val="002C73E6"/>
    <w:rsid w:val="002C7851"/>
    <w:rsid w:val="002C7A01"/>
    <w:rsid w:val="002D05C6"/>
    <w:rsid w:val="002D115C"/>
    <w:rsid w:val="002D1201"/>
    <w:rsid w:val="002D142D"/>
    <w:rsid w:val="002D1860"/>
    <w:rsid w:val="002D1922"/>
    <w:rsid w:val="002D1C2A"/>
    <w:rsid w:val="002D1C81"/>
    <w:rsid w:val="002D21EA"/>
    <w:rsid w:val="002D23B4"/>
    <w:rsid w:val="002D2698"/>
    <w:rsid w:val="002D26AF"/>
    <w:rsid w:val="002D2CD4"/>
    <w:rsid w:val="002D2FDF"/>
    <w:rsid w:val="002D3639"/>
    <w:rsid w:val="002D4732"/>
    <w:rsid w:val="002D4933"/>
    <w:rsid w:val="002D5B50"/>
    <w:rsid w:val="002D6313"/>
    <w:rsid w:val="002D663C"/>
    <w:rsid w:val="002D69D6"/>
    <w:rsid w:val="002D6AC0"/>
    <w:rsid w:val="002D6C4D"/>
    <w:rsid w:val="002D73B1"/>
    <w:rsid w:val="002D73BC"/>
    <w:rsid w:val="002D73C2"/>
    <w:rsid w:val="002D74F4"/>
    <w:rsid w:val="002D7DBE"/>
    <w:rsid w:val="002E0201"/>
    <w:rsid w:val="002E06C3"/>
    <w:rsid w:val="002E0758"/>
    <w:rsid w:val="002E12A5"/>
    <w:rsid w:val="002E1885"/>
    <w:rsid w:val="002E18CD"/>
    <w:rsid w:val="002E1C30"/>
    <w:rsid w:val="002E1D00"/>
    <w:rsid w:val="002E3107"/>
    <w:rsid w:val="002E3227"/>
    <w:rsid w:val="002E3443"/>
    <w:rsid w:val="002E3C7A"/>
    <w:rsid w:val="002E44F8"/>
    <w:rsid w:val="002E4D21"/>
    <w:rsid w:val="002E5E65"/>
    <w:rsid w:val="002E6054"/>
    <w:rsid w:val="002E6113"/>
    <w:rsid w:val="002E634D"/>
    <w:rsid w:val="002E6AF0"/>
    <w:rsid w:val="002E7AE3"/>
    <w:rsid w:val="002E7F47"/>
    <w:rsid w:val="002F009E"/>
    <w:rsid w:val="002F01BC"/>
    <w:rsid w:val="002F02B1"/>
    <w:rsid w:val="002F04D8"/>
    <w:rsid w:val="002F06B0"/>
    <w:rsid w:val="002F0C95"/>
    <w:rsid w:val="002F0E98"/>
    <w:rsid w:val="002F0ECA"/>
    <w:rsid w:val="002F1053"/>
    <w:rsid w:val="002F126E"/>
    <w:rsid w:val="002F14A6"/>
    <w:rsid w:val="002F15C1"/>
    <w:rsid w:val="002F17C8"/>
    <w:rsid w:val="002F1925"/>
    <w:rsid w:val="002F1A0B"/>
    <w:rsid w:val="002F1CD9"/>
    <w:rsid w:val="002F1E11"/>
    <w:rsid w:val="002F231C"/>
    <w:rsid w:val="002F2356"/>
    <w:rsid w:val="002F2889"/>
    <w:rsid w:val="002F28D9"/>
    <w:rsid w:val="002F334E"/>
    <w:rsid w:val="002F377B"/>
    <w:rsid w:val="002F37EE"/>
    <w:rsid w:val="002F3946"/>
    <w:rsid w:val="002F3CE4"/>
    <w:rsid w:val="002F433C"/>
    <w:rsid w:val="002F44AF"/>
    <w:rsid w:val="002F510C"/>
    <w:rsid w:val="002F5152"/>
    <w:rsid w:val="002F5595"/>
    <w:rsid w:val="002F5687"/>
    <w:rsid w:val="002F5B66"/>
    <w:rsid w:val="002F632F"/>
    <w:rsid w:val="002F6E85"/>
    <w:rsid w:val="002F7016"/>
    <w:rsid w:val="002F749B"/>
    <w:rsid w:val="002F7622"/>
    <w:rsid w:val="002F764E"/>
    <w:rsid w:val="002F77B4"/>
    <w:rsid w:val="002F77F9"/>
    <w:rsid w:val="002F7849"/>
    <w:rsid w:val="002F7E06"/>
    <w:rsid w:val="003001BD"/>
    <w:rsid w:val="003006CB"/>
    <w:rsid w:val="00301720"/>
    <w:rsid w:val="00301C18"/>
    <w:rsid w:val="00301C3B"/>
    <w:rsid w:val="00301F88"/>
    <w:rsid w:val="0030232A"/>
    <w:rsid w:val="00302D74"/>
    <w:rsid w:val="003032B6"/>
    <w:rsid w:val="0030341D"/>
    <w:rsid w:val="0030377E"/>
    <w:rsid w:val="00303CF9"/>
    <w:rsid w:val="003043D0"/>
    <w:rsid w:val="0030487F"/>
    <w:rsid w:val="00304AED"/>
    <w:rsid w:val="00304C88"/>
    <w:rsid w:val="00304D86"/>
    <w:rsid w:val="00304F63"/>
    <w:rsid w:val="00305141"/>
    <w:rsid w:val="0030562D"/>
    <w:rsid w:val="00305797"/>
    <w:rsid w:val="00305B1C"/>
    <w:rsid w:val="00305E43"/>
    <w:rsid w:val="0030663C"/>
    <w:rsid w:val="00306976"/>
    <w:rsid w:val="00307801"/>
    <w:rsid w:val="00310294"/>
    <w:rsid w:val="003107D2"/>
    <w:rsid w:val="003108CA"/>
    <w:rsid w:val="003109C7"/>
    <w:rsid w:val="00311314"/>
    <w:rsid w:val="003115EF"/>
    <w:rsid w:val="003121B0"/>
    <w:rsid w:val="00312375"/>
    <w:rsid w:val="00312CF3"/>
    <w:rsid w:val="00313835"/>
    <w:rsid w:val="003138F2"/>
    <w:rsid w:val="00313A21"/>
    <w:rsid w:val="00313F70"/>
    <w:rsid w:val="00314594"/>
    <w:rsid w:val="003146A2"/>
    <w:rsid w:val="00314869"/>
    <w:rsid w:val="00314B89"/>
    <w:rsid w:val="003153A7"/>
    <w:rsid w:val="003158EC"/>
    <w:rsid w:val="0031594A"/>
    <w:rsid w:val="00315E9F"/>
    <w:rsid w:val="00316004"/>
    <w:rsid w:val="0031646C"/>
    <w:rsid w:val="00316559"/>
    <w:rsid w:val="00316570"/>
    <w:rsid w:val="00316991"/>
    <w:rsid w:val="003169B2"/>
    <w:rsid w:val="00316B33"/>
    <w:rsid w:val="00316B49"/>
    <w:rsid w:val="003173D2"/>
    <w:rsid w:val="00317432"/>
    <w:rsid w:val="00317467"/>
    <w:rsid w:val="00317486"/>
    <w:rsid w:val="00317701"/>
    <w:rsid w:val="00317BF8"/>
    <w:rsid w:val="00317CB7"/>
    <w:rsid w:val="003205E0"/>
    <w:rsid w:val="00320D96"/>
    <w:rsid w:val="003211A1"/>
    <w:rsid w:val="003213FC"/>
    <w:rsid w:val="00321407"/>
    <w:rsid w:val="00321660"/>
    <w:rsid w:val="003221AA"/>
    <w:rsid w:val="00322871"/>
    <w:rsid w:val="00322B29"/>
    <w:rsid w:val="00323C8B"/>
    <w:rsid w:val="0032473F"/>
    <w:rsid w:val="00324ECA"/>
    <w:rsid w:val="00325158"/>
    <w:rsid w:val="003256C6"/>
    <w:rsid w:val="00325B61"/>
    <w:rsid w:val="00326503"/>
    <w:rsid w:val="003266DF"/>
    <w:rsid w:val="00330126"/>
    <w:rsid w:val="00330D40"/>
    <w:rsid w:val="00330F7E"/>
    <w:rsid w:val="00331130"/>
    <w:rsid w:val="00331549"/>
    <w:rsid w:val="00331CE6"/>
    <w:rsid w:val="00331DE3"/>
    <w:rsid w:val="00332505"/>
    <w:rsid w:val="00333331"/>
    <w:rsid w:val="0033335B"/>
    <w:rsid w:val="0033390B"/>
    <w:rsid w:val="00333C84"/>
    <w:rsid w:val="00334517"/>
    <w:rsid w:val="003346A6"/>
    <w:rsid w:val="00334CC4"/>
    <w:rsid w:val="00334FEE"/>
    <w:rsid w:val="003354B3"/>
    <w:rsid w:val="00335DE5"/>
    <w:rsid w:val="003367BA"/>
    <w:rsid w:val="00336C8B"/>
    <w:rsid w:val="003372DF"/>
    <w:rsid w:val="00337BFD"/>
    <w:rsid w:val="00337EB0"/>
    <w:rsid w:val="00337FAC"/>
    <w:rsid w:val="0034010D"/>
    <w:rsid w:val="003401B0"/>
    <w:rsid w:val="00340B73"/>
    <w:rsid w:val="00340FC6"/>
    <w:rsid w:val="0034142D"/>
    <w:rsid w:val="00342048"/>
    <w:rsid w:val="003420C7"/>
    <w:rsid w:val="003421FF"/>
    <w:rsid w:val="00342239"/>
    <w:rsid w:val="00342BED"/>
    <w:rsid w:val="0034307B"/>
    <w:rsid w:val="00343660"/>
    <w:rsid w:val="00343CCB"/>
    <w:rsid w:val="0034421A"/>
    <w:rsid w:val="0034475B"/>
    <w:rsid w:val="00345491"/>
    <w:rsid w:val="00345BBD"/>
    <w:rsid w:val="00346290"/>
    <w:rsid w:val="00347D6F"/>
    <w:rsid w:val="003507B2"/>
    <w:rsid w:val="00350F24"/>
    <w:rsid w:val="003513CB"/>
    <w:rsid w:val="003514BF"/>
    <w:rsid w:val="00352219"/>
    <w:rsid w:val="00352595"/>
    <w:rsid w:val="003530C5"/>
    <w:rsid w:val="00353AF4"/>
    <w:rsid w:val="00353D21"/>
    <w:rsid w:val="00353F53"/>
    <w:rsid w:val="003543C9"/>
    <w:rsid w:val="0035490D"/>
    <w:rsid w:val="00354BF8"/>
    <w:rsid w:val="00355959"/>
    <w:rsid w:val="00355DB0"/>
    <w:rsid w:val="0035630F"/>
    <w:rsid w:val="0035662B"/>
    <w:rsid w:val="003573A4"/>
    <w:rsid w:val="00357467"/>
    <w:rsid w:val="003577E7"/>
    <w:rsid w:val="00357A55"/>
    <w:rsid w:val="00357D6F"/>
    <w:rsid w:val="003604E2"/>
    <w:rsid w:val="003605D6"/>
    <w:rsid w:val="003609A2"/>
    <w:rsid w:val="00360CA4"/>
    <w:rsid w:val="0036119E"/>
    <w:rsid w:val="00361297"/>
    <w:rsid w:val="0036165C"/>
    <w:rsid w:val="003624A1"/>
    <w:rsid w:val="00362AAF"/>
    <w:rsid w:val="00362EE3"/>
    <w:rsid w:val="00363196"/>
    <w:rsid w:val="003633C6"/>
    <w:rsid w:val="003640F3"/>
    <w:rsid w:val="00364305"/>
    <w:rsid w:val="00364C3E"/>
    <w:rsid w:val="00364DDC"/>
    <w:rsid w:val="003651A8"/>
    <w:rsid w:val="003654E8"/>
    <w:rsid w:val="00365AB4"/>
    <w:rsid w:val="00365F2F"/>
    <w:rsid w:val="003662FF"/>
    <w:rsid w:val="00366CEF"/>
    <w:rsid w:val="00366EB3"/>
    <w:rsid w:val="00367550"/>
    <w:rsid w:val="00367DE5"/>
    <w:rsid w:val="00370C1D"/>
    <w:rsid w:val="00370FD2"/>
    <w:rsid w:val="003712A4"/>
    <w:rsid w:val="00371673"/>
    <w:rsid w:val="00371B07"/>
    <w:rsid w:val="00371B5C"/>
    <w:rsid w:val="00371CDE"/>
    <w:rsid w:val="00371D83"/>
    <w:rsid w:val="00371E35"/>
    <w:rsid w:val="003727EA"/>
    <w:rsid w:val="00372E9C"/>
    <w:rsid w:val="00372F22"/>
    <w:rsid w:val="00373147"/>
    <w:rsid w:val="00373432"/>
    <w:rsid w:val="00374281"/>
    <w:rsid w:val="0037440A"/>
    <w:rsid w:val="0037457C"/>
    <w:rsid w:val="00374887"/>
    <w:rsid w:val="003751F5"/>
    <w:rsid w:val="00375694"/>
    <w:rsid w:val="003757DE"/>
    <w:rsid w:val="00375E3A"/>
    <w:rsid w:val="00375E98"/>
    <w:rsid w:val="0037696D"/>
    <w:rsid w:val="003769AD"/>
    <w:rsid w:val="00376B2C"/>
    <w:rsid w:val="003773CF"/>
    <w:rsid w:val="00377603"/>
    <w:rsid w:val="00377C66"/>
    <w:rsid w:val="00380332"/>
    <w:rsid w:val="00380A9F"/>
    <w:rsid w:val="00381102"/>
    <w:rsid w:val="00381751"/>
    <w:rsid w:val="00381D53"/>
    <w:rsid w:val="003822BA"/>
    <w:rsid w:val="00382D7E"/>
    <w:rsid w:val="00383187"/>
    <w:rsid w:val="00383213"/>
    <w:rsid w:val="00383D03"/>
    <w:rsid w:val="00384359"/>
    <w:rsid w:val="0038476F"/>
    <w:rsid w:val="0038478E"/>
    <w:rsid w:val="00384BFF"/>
    <w:rsid w:val="003852C2"/>
    <w:rsid w:val="003852E9"/>
    <w:rsid w:val="003857D8"/>
    <w:rsid w:val="0038606E"/>
    <w:rsid w:val="00386FFD"/>
    <w:rsid w:val="003878D7"/>
    <w:rsid w:val="0039033B"/>
    <w:rsid w:val="003906A9"/>
    <w:rsid w:val="003906E0"/>
    <w:rsid w:val="00390D62"/>
    <w:rsid w:val="0039145B"/>
    <w:rsid w:val="0039152C"/>
    <w:rsid w:val="00391A83"/>
    <w:rsid w:val="00391CB5"/>
    <w:rsid w:val="003932B8"/>
    <w:rsid w:val="00393F51"/>
    <w:rsid w:val="003942D6"/>
    <w:rsid w:val="003946C1"/>
    <w:rsid w:val="00394718"/>
    <w:rsid w:val="003948F3"/>
    <w:rsid w:val="00394BCF"/>
    <w:rsid w:val="00395249"/>
    <w:rsid w:val="0039565D"/>
    <w:rsid w:val="00395686"/>
    <w:rsid w:val="00395BD3"/>
    <w:rsid w:val="00395DEC"/>
    <w:rsid w:val="00396303"/>
    <w:rsid w:val="00396496"/>
    <w:rsid w:val="00396540"/>
    <w:rsid w:val="00396CD7"/>
    <w:rsid w:val="00397061"/>
    <w:rsid w:val="00397268"/>
    <w:rsid w:val="00397353"/>
    <w:rsid w:val="0039748A"/>
    <w:rsid w:val="00397BBE"/>
    <w:rsid w:val="003A00C2"/>
    <w:rsid w:val="003A0167"/>
    <w:rsid w:val="003A024C"/>
    <w:rsid w:val="003A0350"/>
    <w:rsid w:val="003A087F"/>
    <w:rsid w:val="003A1705"/>
    <w:rsid w:val="003A194B"/>
    <w:rsid w:val="003A1CEC"/>
    <w:rsid w:val="003A2153"/>
    <w:rsid w:val="003A22CB"/>
    <w:rsid w:val="003A25A0"/>
    <w:rsid w:val="003A26CB"/>
    <w:rsid w:val="003A26E7"/>
    <w:rsid w:val="003A2B19"/>
    <w:rsid w:val="003A2FD0"/>
    <w:rsid w:val="003A3177"/>
    <w:rsid w:val="003A3525"/>
    <w:rsid w:val="003A3B75"/>
    <w:rsid w:val="003A4333"/>
    <w:rsid w:val="003A43C5"/>
    <w:rsid w:val="003A4640"/>
    <w:rsid w:val="003A4FC4"/>
    <w:rsid w:val="003A530D"/>
    <w:rsid w:val="003A5810"/>
    <w:rsid w:val="003A6A61"/>
    <w:rsid w:val="003A6B0B"/>
    <w:rsid w:val="003A6C1E"/>
    <w:rsid w:val="003A6F58"/>
    <w:rsid w:val="003A6FA8"/>
    <w:rsid w:val="003A719B"/>
    <w:rsid w:val="003A7DAC"/>
    <w:rsid w:val="003B0224"/>
    <w:rsid w:val="003B0F23"/>
    <w:rsid w:val="003B105C"/>
    <w:rsid w:val="003B1C2D"/>
    <w:rsid w:val="003B242B"/>
    <w:rsid w:val="003B2B9E"/>
    <w:rsid w:val="003B3427"/>
    <w:rsid w:val="003B3AA4"/>
    <w:rsid w:val="003B3D1E"/>
    <w:rsid w:val="003B41D1"/>
    <w:rsid w:val="003B422B"/>
    <w:rsid w:val="003B48BB"/>
    <w:rsid w:val="003B49A7"/>
    <w:rsid w:val="003B5618"/>
    <w:rsid w:val="003B5969"/>
    <w:rsid w:val="003B5FEC"/>
    <w:rsid w:val="003B6561"/>
    <w:rsid w:val="003B6CA6"/>
    <w:rsid w:val="003B72E3"/>
    <w:rsid w:val="003B78F2"/>
    <w:rsid w:val="003B7C35"/>
    <w:rsid w:val="003B7E97"/>
    <w:rsid w:val="003B7EFA"/>
    <w:rsid w:val="003C092A"/>
    <w:rsid w:val="003C0BC5"/>
    <w:rsid w:val="003C1422"/>
    <w:rsid w:val="003C1431"/>
    <w:rsid w:val="003C19C4"/>
    <w:rsid w:val="003C2492"/>
    <w:rsid w:val="003C2B67"/>
    <w:rsid w:val="003C3A38"/>
    <w:rsid w:val="003C3DDC"/>
    <w:rsid w:val="003C4489"/>
    <w:rsid w:val="003C44DA"/>
    <w:rsid w:val="003C581A"/>
    <w:rsid w:val="003C58A8"/>
    <w:rsid w:val="003C5CA0"/>
    <w:rsid w:val="003C60A8"/>
    <w:rsid w:val="003C6386"/>
    <w:rsid w:val="003C6D4C"/>
    <w:rsid w:val="003C7D36"/>
    <w:rsid w:val="003D0709"/>
    <w:rsid w:val="003D0B6E"/>
    <w:rsid w:val="003D14CE"/>
    <w:rsid w:val="003D1C27"/>
    <w:rsid w:val="003D1EE0"/>
    <w:rsid w:val="003D21EF"/>
    <w:rsid w:val="003D2983"/>
    <w:rsid w:val="003D2B10"/>
    <w:rsid w:val="003D31C2"/>
    <w:rsid w:val="003D320B"/>
    <w:rsid w:val="003D3D4D"/>
    <w:rsid w:val="003D3DF2"/>
    <w:rsid w:val="003D40F7"/>
    <w:rsid w:val="003D542D"/>
    <w:rsid w:val="003D5B8A"/>
    <w:rsid w:val="003D611C"/>
    <w:rsid w:val="003D6526"/>
    <w:rsid w:val="003D65AC"/>
    <w:rsid w:val="003D6EEF"/>
    <w:rsid w:val="003D778F"/>
    <w:rsid w:val="003D7EB9"/>
    <w:rsid w:val="003E0689"/>
    <w:rsid w:val="003E0B55"/>
    <w:rsid w:val="003E0B62"/>
    <w:rsid w:val="003E1AED"/>
    <w:rsid w:val="003E2DD4"/>
    <w:rsid w:val="003E2E9D"/>
    <w:rsid w:val="003E36B3"/>
    <w:rsid w:val="003E3D9B"/>
    <w:rsid w:val="003E40F7"/>
    <w:rsid w:val="003E43D9"/>
    <w:rsid w:val="003E4E41"/>
    <w:rsid w:val="003E508A"/>
    <w:rsid w:val="003E6364"/>
    <w:rsid w:val="003E710E"/>
    <w:rsid w:val="003E7228"/>
    <w:rsid w:val="003E7472"/>
    <w:rsid w:val="003E77DC"/>
    <w:rsid w:val="003E7889"/>
    <w:rsid w:val="003F0C66"/>
    <w:rsid w:val="003F0DED"/>
    <w:rsid w:val="003F1335"/>
    <w:rsid w:val="003F2111"/>
    <w:rsid w:val="003F28DE"/>
    <w:rsid w:val="003F2C79"/>
    <w:rsid w:val="003F3062"/>
    <w:rsid w:val="003F384E"/>
    <w:rsid w:val="003F39ED"/>
    <w:rsid w:val="003F4C9D"/>
    <w:rsid w:val="003F4D05"/>
    <w:rsid w:val="003F4E56"/>
    <w:rsid w:val="003F52A1"/>
    <w:rsid w:val="003F53BA"/>
    <w:rsid w:val="003F5551"/>
    <w:rsid w:val="003F5610"/>
    <w:rsid w:val="003F5BB7"/>
    <w:rsid w:val="003F5CB3"/>
    <w:rsid w:val="003F5E53"/>
    <w:rsid w:val="003F629D"/>
    <w:rsid w:val="003F6787"/>
    <w:rsid w:val="003F6862"/>
    <w:rsid w:val="003F6B78"/>
    <w:rsid w:val="003F6D9B"/>
    <w:rsid w:val="003F6EC0"/>
    <w:rsid w:val="003F7149"/>
    <w:rsid w:val="003F72B6"/>
    <w:rsid w:val="003F7985"/>
    <w:rsid w:val="003F7AED"/>
    <w:rsid w:val="00400A06"/>
    <w:rsid w:val="00400AE1"/>
    <w:rsid w:val="004011DF"/>
    <w:rsid w:val="004013B2"/>
    <w:rsid w:val="00401DB3"/>
    <w:rsid w:val="00402283"/>
    <w:rsid w:val="00402403"/>
    <w:rsid w:val="00402569"/>
    <w:rsid w:val="004025F8"/>
    <w:rsid w:val="004027FF"/>
    <w:rsid w:val="00402B20"/>
    <w:rsid w:val="00403636"/>
    <w:rsid w:val="00403FCE"/>
    <w:rsid w:val="00404379"/>
    <w:rsid w:val="004048B4"/>
    <w:rsid w:val="00404DF3"/>
    <w:rsid w:val="00404E66"/>
    <w:rsid w:val="00405A42"/>
    <w:rsid w:val="00405C90"/>
    <w:rsid w:val="00406A57"/>
    <w:rsid w:val="00406C23"/>
    <w:rsid w:val="00406E6C"/>
    <w:rsid w:val="0040722A"/>
    <w:rsid w:val="00407AD0"/>
    <w:rsid w:val="00407D46"/>
    <w:rsid w:val="00407F32"/>
    <w:rsid w:val="00410640"/>
    <w:rsid w:val="00410B7D"/>
    <w:rsid w:val="004111CB"/>
    <w:rsid w:val="004112F9"/>
    <w:rsid w:val="00411576"/>
    <w:rsid w:val="00411C02"/>
    <w:rsid w:val="00411DD5"/>
    <w:rsid w:val="00411F8E"/>
    <w:rsid w:val="00412E96"/>
    <w:rsid w:val="004132EA"/>
    <w:rsid w:val="00413534"/>
    <w:rsid w:val="00413571"/>
    <w:rsid w:val="00414558"/>
    <w:rsid w:val="004146B7"/>
    <w:rsid w:val="00414BE6"/>
    <w:rsid w:val="00415FB1"/>
    <w:rsid w:val="0041648F"/>
    <w:rsid w:val="004167AA"/>
    <w:rsid w:val="00416F55"/>
    <w:rsid w:val="00417FD1"/>
    <w:rsid w:val="00420081"/>
    <w:rsid w:val="00420175"/>
    <w:rsid w:val="00420497"/>
    <w:rsid w:val="00420810"/>
    <w:rsid w:val="004212AC"/>
    <w:rsid w:val="0042136F"/>
    <w:rsid w:val="004219C6"/>
    <w:rsid w:val="00421ACB"/>
    <w:rsid w:val="00421F41"/>
    <w:rsid w:val="00422470"/>
    <w:rsid w:val="00422798"/>
    <w:rsid w:val="00423280"/>
    <w:rsid w:val="00424376"/>
    <w:rsid w:val="00424C9C"/>
    <w:rsid w:val="00425069"/>
    <w:rsid w:val="0042524D"/>
    <w:rsid w:val="00425579"/>
    <w:rsid w:val="00425A67"/>
    <w:rsid w:val="004261D6"/>
    <w:rsid w:val="004265F1"/>
    <w:rsid w:val="00426949"/>
    <w:rsid w:val="00426D3C"/>
    <w:rsid w:val="004270D5"/>
    <w:rsid w:val="004271F7"/>
    <w:rsid w:val="004274E5"/>
    <w:rsid w:val="00427746"/>
    <w:rsid w:val="00430535"/>
    <w:rsid w:val="00430699"/>
    <w:rsid w:val="00430AA7"/>
    <w:rsid w:val="004311B8"/>
    <w:rsid w:val="004322DA"/>
    <w:rsid w:val="00432D46"/>
    <w:rsid w:val="00432F44"/>
    <w:rsid w:val="00433513"/>
    <w:rsid w:val="00433A1C"/>
    <w:rsid w:val="00433B48"/>
    <w:rsid w:val="00433B94"/>
    <w:rsid w:val="00433C58"/>
    <w:rsid w:val="00434050"/>
    <w:rsid w:val="004350CD"/>
    <w:rsid w:val="00435B9A"/>
    <w:rsid w:val="00435BE9"/>
    <w:rsid w:val="00435F1C"/>
    <w:rsid w:val="00435FA2"/>
    <w:rsid w:val="00436876"/>
    <w:rsid w:val="004370B7"/>
    <w:rsid w:val="00437589"/>
    <w:rsid w:val="00437D9C"/>
    <w:rsid w:val="00440375"/>
    <w:rsid w:val="00440C47"/>
    <w:rsid w:val="004410DD"/>
    <w:rsid w:val="004410F5"/>
    <w:rsid w:val="0044172D"/>
    <w:rsid w:val="004417B4"/>
    <w:rsid w:val="004418BA"/>
    <w:rsid w:val="00442820"/>
    <w:rsid w:val="00442A7B"/>
    <w:rsid w:val="00442D8B"/>
    <w:rsid w:val="00442DB3"/>
    <w:rsid w:val="00443479"/>
    <w:rsid w:val="00443510"/>
    <w:rsid w:val="004435EE"/>
    <w:rsid w:val="00443768"/>
    <w:rsid w:val="00443F92"/>
    <w:rsid w:val="004442C1"/>
    <w:rsid w:val="0044438B"/>
    <w:rsid w:val="004447BA"/>
    <w:rsid w:val="00444ACD"/>
    <w:rsid w:val="00444FA2"/>
    <w:rsid w:val="00444FFC"/>
    <w:rsid w:val="004450B4"/>
    <w:rsid w:val="00445A4F"/>
    <w:rsid w:val="00445B0B"/>
    <w:rsid w:val="00445E3F"/>
    <w:rsid w:val="00446299"/>
    <w:rsid w:val="004462B8"/>
    <w:rsid w:val="0044634B"/>
    <w:rsid w:val="00446612"/>
    <w:rsid w:val="0044688A"/>
    <w:rsid w:val="004469AA"/>
    <w:rsid w:val="00446B00"/>
    <w:rsid w:val="00447069"/>
    <w:rsid w:val="00447161"/>
    <w:rsid w:val="00447632"/>
    <w:rsid w:val="0044790B"/>
    <w:rsid w:val="0044799F"/>
    <w:rsid w:val="00447BB3"/>
    <w:rsid w:val="0045099D"/>
    <w:rsid w:val="00450D04"/>
    <w:rsid w:val="00451531"/>
    <w:rsid w:val="004515F4"/>
    <w:rsid w:val="0045213C"/>
    <w:rsid w:val="004526FA"/>
    <w:rsid w:val="00452DAB"/>
    <w:rsid w:val="00453162"/>
    <w:rsid w:val="004536B0"/>
    <w:rsid w:val="00453A0C"/>
    <w:rsid w:val="00454425"/>
    <w:rsid w:val="00454735"/>
    <w:rsid w:val="00454FF6"/>
    <w:rsid w:val="004561D5"/>
    <w:rsid w:val="00456DA4"/>
    <w:rsid w:val="00457AB4"/>
    <w:rsid w:val="00457C14"/>
    <w:rsid w:val="00457DCB"/>
    <w:rsid w:val="00457E45"/>
    <w:rsid w:val="0046146A"/>
    <w:rsid w:val="00461614"/>
    <w:rsid w:val="004618E6"/>
    <w:rsid w:val="00461B5B"/>
    <w:rsid w:val="00461EEE"/>
    <w:rsid w:val="00461F14"/>
    <w:rsid w:val="0046268B"/>
    <w:rsid w:val="00463254"/>
    <w:rsid w:val="00463CF4"/>
    <w:rsid w:val="00463F60"/>
    <w:rsid w:val="0046425B"/>
    <w:rsid w:val="00464504"/>
    <w:rsid w:val="00464871"/>
    <w:rsid w:val="00464901"/>
    <w:rsid w:val="00464B4A"/>
    <w:rsid w:val="004650A1"/>
    <w:rsid w:val="004652CA"/>
    <w:rsid w:val="00465490"/>
    <w:rsid w:val="0046634A"/>
    <w:rsid w:val="00466762"/>
    <w:rsid w:val="00466ABF"/>
    <w:rsid w:val="00466BB4"/>
    <w:rsid w:val="00467330"/>
    <w:rsid w:val="00467528"/>
    <w:rsid w:val="00467864"/>
    <w:rsid w:val="004700DD"/>
    <w:rsid w:val="00470848"/>
    <w:rsid w:val="00470951"/>
    <w:rsid w:val="00470B63"/>
    <w:rsid w:val="00470F5F"/>
    <w:rsid w:val="0047270A"/>
    <w:rsid w:val="0047295C"/>
    <w:rsid w:val="00472B60"/>
    <w:rsid w:val="00472F4A"/>
    <w:rsid w:val="0047337D"/>
    <w:rsid w:val="00473B67"/>
    <w:rsid w:val="00473DC7"/>
    <w:rsid w:val="00474233"/>
    <w:rsid w:val="004748AE"/>
    <w:rsid w:val="00474EFA"/>
    <w:rsid w:val="00475A13"/>
    <w:rsid w:val="00475B07"/>
    <w:rsid w:val="00476506"/>
    <w:rsid w:val="00476D4A"/>
    <w:rsid w:val="00477B40"/>
    <w:rsid w:val="00477E86"/>
    <w:rsid w:val="00480297"/>
    <w:rsid w:val="004806B5"/>
    <w:rsid w:val="00480E12"/>
    <w:rsid w:val="00481052"/>
    <w:rsid w:val="004812B5"/>
    <w:rsid w:val="004814C0"/>
    <w:rsid w:val="004816C1"/>
    <w:rsid w:val="00482CC1"/>
    <w:rsid w:val="00482E6B"/>
    <w:rsid w:val="00482EAB"/>
    <w:rsid w:val="00483116"/>
    <w:rsid w:val="004831E8"/>
    <w:rsid w:val="0048326E"/>
    <w:rsid w:val="0048348C"/>
    <w:rsid w:val="00483B3A"/>
    <w:rsid w:val="00483C1D"/>
    <w:rsid w:val="00483EEA"/>
    <w:rsid w:val="00483FB5"/>
    <w:rsid w:val="004848F7"/>
    <w:rsid w:val="00484D02"/>
    <w:rsid w:val="00484E4E"/>
    <w:rsid w:val="00484F9B"/>
    <w:rsid w:val="0048541F"/>
    <w:rsid w:val="0048555E"/>
    <w:rsid w:val="00485B12"/>
    <w:rsid w:val="0048660F"/>
    <w:rsid w:val="00486636"/>
    <w:rsid w:val="00486F91"/>
    <w:rsid w:val="004873C1"/>
    <w:rsid w:val="004876FF"/>
    <w:rsid w:val="00487710"/>
    <w:rsid w:val="00487EF8"/>
    <w:rsid w:val="00491A9F"/>
    <w:rsid w:val="0049231B"/>
    <w:rsid w:val="00492AF6"/>
    <w:rsid w:val="004930F5"/>
    <w:rsid w:val="0049356A"/>
    <w:rsid w:val="00493939"/>
    <w:rsid w:val="00493FEE"/>
    <w:rsid w:val="004947F6"/>
    <w:rsid w:val="00494E33"/>
    <w:rsid w:val="0049522A"/>
    <w:rsid w:val="00495DD5"/>
    <w:rsid w:val="00495EAD"/>
    <w:rsid w:val="00496706"/>
    <w:rsid w:val="004967F2"/>
    <w:rsid w:val="00496ADA"/>
    <w:rsid w:val="00496FF9"/>
    <w:rsid w:val="0049778A"/>
    <w:rsid w:val="004979B3"/>
    <w:rsid w:val="00497A01"/>
    <w:rsid w:val="004A073E"/>
    <w:rsid w:val="004A0AC3"/>
    <w:rsid w:val="004A0B75"/>
    <w:rsid w:val="004A0BA6"/>
    <w:rsid w:val="004A1448"/>
    <w:rsid w:val="004A16ED"/>
    <w:rsid w:val="004A1827"/>
    <w:rsid w:val="004A1CF6"/>
    <w:rsid w:val="004A218C"/>
    <w:rsid w:val="004A275B"/>
    <w:rsid w:val="004A2CF4"/>
    <w:rsid w:val="004A2DA5"/>
    <w:rsid w:val="004A30ED"/>
    <w:rsid w:val="004A3E94"/>
    <w:rsid w:val="004A3FDA"/>
    <w:rsid w:val="004A4FE4"/>
    <w:rsid w:val="004A65B9"/>
    <w:rsid w:val="004A66B5"/>
    <w:rsid w:val="004A6936"/>
    <w:rsid w:val="004A6937"/>
    <w:rsid w:val="004A6970"/>
    <w:rsid w:val="004A6B92"/>
    <w:rsid w:val="004A6FC9"/>
    <w:rsid w:val="004A776F"/>
    <w:rsid w:val="004A7EA3"/>
    <w:rsid w:val="004B01D2"/>
    <w:rsid w:val="004B0B9E"/>
    <w:rsid w:val="004B1081"/>
    <w:rsid w:val="004B1C78"/>
    <w:rsid w:val="004B1F18"/>
    <w:rsid w:val="004B2312"/>
    <w:rsid w:val="004B3192"/>
    <w:rsid w:val="004B345B"/>
    <w:rsid w:val="004B4248"/>
    <w:rsid w:val="004B44E2"/>
    <w:rsid w:val="004B4FC3"/>
    <w:rsid w:val="004B5058"/>
    <w:rsid w:val="004B507F"/>
    <w:rsid w:val="004B5116"/>
    <w:rsid w:val="004B522F"/>
    <w:rsid w:val="004B5662"/>
    <w:rsid w:val="004B567E"/>
    <w:rsid w:val="004B5C7F"/>
    <w:rsid w:val="004B5E7A"/>
    <w:rsid w:val="004B6AAB"/>
    <w:rsid w:val="004B6C23"/>
    <w:rsid w:val="004B6EC6"/>
    <w:rsid w:val="004B7308"/>
    <w:rsid w:val="004B7C2A"/>
    <w:rsid w:val="004C0D71"/>
    <w:rsid w:val="004C0FBB"/>
    <w:rsid w:val="004C14F6"/>
    <w:rsid w:val="004C209A"/>
    <w:rsid w:val="004C219F"/>
    <w:rsid w:val="004C2675"/>
    <w:rsid w:val="004C2A22"/>
    <w:rsid w:val="004C2F8B"/>
    <w:rsid w:val="004C339F"/>
    <w:rsid w:val="004C4077"/>
    <w:rsid w:val="004C5055"/>
    <w:rsid w:val="004C5D66"/>
    <w:rsid w:val="004C67F2"/>
    <w:rsid w:val="004C6B3B"/>
    <w:rsid w:val="004C6C67"/>
    <w:rsid w:val="004C7234"/>
    <w:rsid w:val="004C72DD"/>
    <w:rsid w:val="004C752D"/>
    <w:rsid w:val="004C75C8"/>
    <w:rsid w:val="004C7826"/>
    <w:rsid w:val="004C789B"/>
    <w:rsid w:val="004D00CB"/>
    <w:rsid w:val="004D0340"/>
    <w:rsid w:val="004D16B3"/>
    <w:rsid w:val="004D1CC0"/>
    <w:rsid w:val="004D1FA3"/>
    <w:rsid w:val="004D212C"/>
    <w:rsid w:val="004D2B59"/>
    <w:rsid w:val="004D3077"/>
    <w:rsid w:val="004D3290"/>
    <w:rsid w:val="004D3574"/>
    <w:rsid w:val="004D3784"/>
    <w:rsid w:val="004D3C4C"/>
    <w:rsid w:val="004D42B3"/>
    <w:rsid w:val="004D43C1"/>
    <w:rsid w:val="004D4872"/>
    <w:rsid w:val="004D48A3"/>
    <w:rsid w:val="004D48F2"/>
    <w:rsid w:val="004D50C9"/>
    <w:rsid w:val="004D546E"/>
    <w:rsid w:val="004D6FE9"/>
    <w:rsid w:val="004D7ACC"/>
    <w:rsid w:val="004D7BA7"/>
    <w:rsid w:val="004E07CF"/>
    <w:rsid w:val="004E105D"/>
    <w:rsid w:val="004E223E"/>
    <w:rsid w:val="004E3290"/>
    <w:rsid w:val="004E32BF"/>
    <w:rsid w:val="004E377D"/>
    <w:rsid w:val="004E3C23"/>
    <w:rsid w:val="004E3DC2"/>
    <w:rsid w:val="004E407E"/>
    <w:rsid w:val="004E427A"/>
    <w:rsid w:val="004E445C"/>
    <w:rsid w:val="004E483B"/>
    <w:rsid w:val="004E4842"/>
    <w:rsid w:val="004E4A1A"/>
    <w:rsid w:val="004E4C94"/>
    <w:rsid w:val="004E50FB"/>
    <w:rsid w:val="004E5BED"/>
    <w:rsid w:val="004E6D8C"/>
    <w:rsid w:val="004E7524"/>
    <w:rsid w:val="004E7563"/>
    <w:rsid w:val="004F01B9"/>
    <w:rsid w:val="004F035B"/>
    <w:rsid w:val="004F0512"/>
    <w:rsid w:val="004F0E08"/>
    <w:rsid w:val="004F1629"/>
    <w:rsid w:val="004F1A23"/>
    <w:rsid w:val="004F1C90"/>
    <w:rsid w:val="004F1FA0"/>
    <w:rsid w:val="004F265C"/>
    <w:rsid w:val="004F2679"/>
    <w:rsid w:val="004F2927"/>
    <w:rsid w:val="004F2C85"/>
    <w:rsid w:val="004F31A5"/>
    <w:rsid w:val="004F3BA2"/>
    <w:rsid w:val="004F3DA4"/>
    <w:rsid w:val="004F4140"/>
    <w:rsid w:val="004F4207"/>
    <w:rsid w:val="004F4DDE"/>
    <w:rsid w:val="004F663C"/>
    <w:rsid w:val="004F68B8"/>
    <w:rsid w:val="004F6C6C"/>
    <w:rsid w:val="004F6FDF"/>
    <w:rsid w:val="004F7793"/>
    <w:rsid w:val="004F7B2C"/>
    <w:rsid w:val="00500529"/>
    <w:rsid w:val="0050130B"/>
    <w:rsid w:val="00501658"/>
    <w:rsid w:val="00501C79"/>
    <w:rsid w:val="005025F3"/>
    <w:rsid w:val="00502D91"/>
    <w:rsid w:val="00502E41"/>
    <w:rsid w:val="0050321C"/>
    <w:rsid w:val="00503DE0"/>
    <w:rsid w:val="005040AC"/>
    <w:rsid w:val="00504194"/>
    <w:rsid w:val="0050503E"/>
    <w:rsid w:val="005056F9"/>
    <w:rsid w:val="005058E5"/>
    <w:rsid w:val="005062A2"/>
    <w:rsid w:val="0050645A"/>
    <w:rsid w:val="0050660B"/>
    <w:rsid w:val="00506A04"/>
    <w:rsid w:val="00506DB1"/>
    <w:rsid w:val="00507438"/>
    <w:rsid w:val="00507951"/>
    <w:rsid w:val="00507ABA"/>
    <w:rsid w:val="00510232"/>
    <w:rsid w:val="00510CFB"/>
    <w:rsid w:val="00510E13"/>
    <w:rsid w:val="005114B6"/>
    <w:rsid w:val="00511BBC"/>
    <w:rsid w:val="00511D90"/>
    <w:rsid w:val="00511DC0"/>
    <w:rsid w:val="00511DFA"/>
    <w:rsid w:val="00511E23"/>
    <w:rsid w:val="00512161"/>
    <w:rsid w:val="00512A62"/>
    <w:rsid w:val="00512CEE"/>
    <w:rsid w:val="005132EA"/>
    <w:rsid w:val="00513528"/>
    <w:rsid w:val="00513716"/>
    <w:rsid w:val="00513949"/>
    <w:rsid w:val="00513AA9"/>
    <w:rsid w:val="00513C5C"/>
    <w:rsid w:val="00513DA6"/>
    <w:rsid w:val="005142FA"/>
    <w:rsid w:val="00514C45"/>
    <w:rsid w:val="00514CD6"/>
    <w:rsid w:val="00515852"/>
    <w:rsid w:val="00515E42"/>
    <w:rsid w:val="0051686E"/>
    <w:rsid w:val="00516D80"/>
    <w:rsid w:val="005179A3"/>
    <w:rsid w:val="00517D28"/>
    <w:rsid w:val="00517D4C"/>
    <w:rsid w:val="00517F8C"/>
    <w:rsid w:val="00520236"/>
    <w:rsid w:val="0052086E"/>
    <w:rsid w:val="00520905"/>
    <w:rsid w:val="00520FE4"/>
    <w:rsid w:val="005215EE"/>
    <w:rsid w:val="00522068"/>
    <w:rsid w:val="0052247C"/>
    <w:rsid w:val="00522B07"/>
    <w:rsid w:val="0052330A"/>
    <w:rsid w:val="005238E1"/>
    <w:rsid w:val="00523906"/>
    <w:rsid w:val="00523B92"/>
    <w:rsid w:val="00523D8E"/>
    <w:rsid w:val="00523E30"/>
    <w:rsid w:val="00524E52"/>
    <w:rsid w:val="00524F33"/>
    <w:rsid w:val="00525988"/>
    <w:rsid w:val="00526C53"/>
    <w:rsid w:val="005274DD"/>
    <w:rsid w:val="00527A00"/>
    <w:rsid w:val="005301CB"/>
    <w:rsid w:val="005306C9"/>
    <w:rsid w:val="00530A11"/>
    <w:rsid w:val="00530A94"/>
    <w:rsid w:val="0053189D"/>
    <w:rsid w:val="00531BEB"/>
    <w:rsid w:val="0053254C"/>
    <w:rsid w:val="00532A41"/>
    <w:rsid w:val="00532D7B"/>
    <w:rsid w:val="005331D7"/>
    <w:rsid w:val="00533EF2"/>
    <w:rsid w:val="00533FC9"/>
    <w:rsid w:val="00535D5E"/>
    <w:rsid w:val="00535E84"/>
    <w:rsid w:val="005362DD"/>
    <w:rsid w:val="00536F42"/>
    <w:rsid w:val="0053747F"/>
    <w:rsid w:val="005377D8"/>
    <w:rsid w:val="005377F0"/>
    <w:rsid w:val="0054045B"/>
    <w:rsid w:val="00540502"/>
    <w:rsid w:val="00540B55"/>
    <w:rsid w:val="00541145"/>
    <w:rsid w:val="00541544"/>
    <w:rsid w:val="00541589"/>
    <w:rsid w:val="005423C6"/>
    <w:rsid w:val="0054298D"/>
    <w:rsid w:val="005433D7"/>
    <w:rsid w:val="00543487"/>
    <w:rsid w:val="005444B0"/>
    <w:rsid w:val="00544687"/>
    <w:rsid w:val="005448C3"/>
    <w:rsid w:val="005453F4"/>
    <w:rsid w:val="0054554B"/>
    <w:rsid w:val="0054564E"/>
    <w:rsid w:val="005456ED"/>
    <w:rsid w:val="00546559"/>
    <w:rsid w:val="00546DA0"/>
    <w:rsid w:val="00546E3D"/>
    <w:rsid w:val="0054714D"/>
    <w:rsid w:val="005502B1"/>
    <w:rsid w:val="00550394"/>
    <w:rsid w:val="00550495"/>
    <w:rsid w:val="00550B02"/>
    <w:rsid w:val="00550D26"/>
    <w:rsid w:val="00550F01"/>
    <w:rsid w:val="00550F58"/>
    <w:rsid w:val="0055203C"/>
    <w:rsid w:val="0055239C"/>
    <w:rsid w:val="005529BE"/>
    <w:rsid w:val="00553405"/>
    <w:rsid w:val="005537FE"/>
    <w:rsid w:val="00553894"/>
    <w:rsid w:val="00553BFA"/>
    <w:rsid w:val="00554F74"/>
    <w:rsid w:val="005550C8"/>
    <w:rsid w:val="00555267"/>
    <w:rsid w:val="00555492"/>
    <w:rsid w:val="00555D5F"/>
    <w:rsid w:val="00556ACE"/>
    <w:rsid w:val="0055782F"/>
    <w:rsid w:val="00557AFC"/>
    <w:rsid w:val="00560063"/>
    <w:rsid w:val="005604F5"/>
    <w:rsid w:val="00560684"/>
    <w:rsid w:val="005609B3"/>
    <w:rsid w:val="005618E8"/>
    <w:rsid w:val="00561954"/>
    <w:rsid w:val="00561B2E"/>
    <w:rsid w:val="00561D51"/>
    <w:rsid w:val="00561EA3"/>
    <w:rsid w:val="005626FA"/>
    <w:rsid w:val="00562784"/>
    <w:rsid w:val="00562E90"/>
    <w:rsid w:val="00562EEA"/>
    <w:rsid w:val="0056335C"/>
    <w:rsid w:val="00563BC9"/>
    <w:rsid w:val="00563FBC"/>
    <w:rsid w:val="0056485F"/>
    <w:rsid w:val="00564C70"/>
    <w:rsid w:val="00564CB9"/>
    <w:rsid w:val="00565220"/>
    <w:rsid w:val="00565424"/>
    <w:rsid w:val="0056544B"/>
    <w:rsid w:val="00565DBC"/>
    <w:rsid w:val="005660EA"/>
    <w:rsid w:val="005663E5"/>
    <w:rsid w:val="00567614"/>
    <w:rsid w:val="00567909"/>
    <w:rsid w:val="00570107"/>
    <w:rsid w:val="00570A3F"/>
    <w:rsid w:val="00570CA5"/>
    <w:rsid w:val="00571358"/>
    <w:rsid w:val="005717E0"/>
    <w:rsid w:val="00571B72"/>
    <w:rsid w:val="00571EF2"/>
    <w:rsid w:val="005721E1"/>
    <w:rsid w:val="00572927"/>
    <w:rsid w:val="00572B58"/>
    <w:rsid w:val="00573FD4"/>
    <w:rsid w:val="005747CE"/>
    <w:rsid w:val="005753BC"/>
    <w:rsid w:val="00575593"/>
    <w:rsid w:val="00575A6D"/>
    <w:rsid w:val="00576230"/>
    <w:rsid w:val="005764A1"/>
    <w:rsid w:val="00577094"/>
    <w:rsid w:val="005773BD"/>
    <w:rsid w:val="00577471"/>
    <w:rsid w:val="00577685"/>
    <w:rsid w:val="005779EC"/>
    <w:rsid w:val="0058043A"/>
    <w:rsid w:val="005808A8"/>
    <w:rsid w:val="005809C3"/>
    <w:rsid w:val="00580D33"/>
    <w:rsid w:val="00580F65"/>
    <w:rsid w:val="00581BAD"/>
    <w:rsid w:val="00581D73"/>
    <w:rsid w:val="00581EA6"/>
    <w:rsid w:val="00581F9A"/>
    <w:rsid w:val="00582A29"/>
    <w:rsid w:val="00582BF4"/>
    <w:rsid w:val="00583FBD"/>
    <w:rsid w:val="005840F4"/>
    <w:rsid w:val="005843F7"/>
    <w:rsid w:val="00584ED2"/>
    <w:rsid w:val="005853AE"/>
    <w:rsid w:val="0058578F"/>
    <w:rsid w:val="00585AE2"/>
    <w:rsid w:val="00585F2B"/>
    <w:rsid w:val="00586AD5"/>
    <w:rsid w:val="00586C9B"/>
    <w:rsid w:val="00587DA2"/>
    <w:rsid w:val="00587DE6"/>
    <w:rsid w:val="00587E49"/>
    <w:rsid w:val="00587E91"/>
    <w:rsid w:val="00587ED2"/>
    <w:rsid w:val="00587FDB"/>
    <w:rsid w:val="0059024E"/>
    <w:rsid w:val="005904E7"/>
    <w:rsid w:val="005908D1"/>
    <w:rsid w:val="00590FC5"/>
    <w:rsid w:val="00591370"/>
    <w:rsid w:val="0059155C"/>
    <w:rsid w:val="00591F2A"/>
    <w:rsid w:val="00591F37"/>
    <w:rsid w:val="00592657"/>
    <w:rsid w:val="00592A85"/>
    <w:rsid w:val="00592CEA"/>
    <w:rsid w:val="00593329"/>
    <w:rsid w:val="00593652"/>
    <w:rsid w:val="0059375A"/>
    <w:rsid w:val="00593FB0"/>
    <w:rsid w:val="005941C6"/>
    <w:rsid w:val="0059436B"/>
    <w:rsid w:val="0059484B"/>
    <w:rsid w:val="0059554D"/>
    <w:rsid w:val="00595696"/>
    <w:rsid w:val="00595AC6"/>
    <w:rsid w:val="00595D4E"/>
    <w:rsid w:val="00595FC4"/>
    <w:rsid w:val="00596831"/>
    <w:rsid w:val="00596B6A"/>
    <w:rsid w:val="0059701C"/>
    <w:rsid w:val="00597095"/>
    <w:rsid w:val="00597DF8"/>
    <w:rsid w:val="00597F98"/>
    <w:rsid w:val="005A0216"/>
    <w:rsid w:val="005A04B5"/>
    <w:rsid w:val="005A083C"/>
    <w:rsid w:val="005A0D6A"/>
    <w:rsid w:val="005A165D"/>
    <w:rsid w:val="005A1B00"/>
    <w:rsid w:val="005A1D14"/>
    <w:rsid w:val="005A205A"/>
    <w:rsid w:val="005A2583"/>
    <w:rsid w:val="005A2A01"/>
    <w:rsid w:val="005A2F6F"/>
    <w:rsid w:val="005A37BF"/>
    <w:rsid w:val="005A384A"/>
    <w:rsid w:val="005A3CAC"/>
    <w:rsid w:val="005A3FAC"/>
    <w:rsid w:val="005A3FD6"/>
    <w:rsid w:val="005A4153"/>
    <w:rsid w:val="005A5394"/>
    <w:rsid w:val="005A59B4"/>
    <w:rsid w:val="005A5A1C"/>
    <w:rsid w:val="005A5B12"/>
    <w:rsid w:val="005A5E11"/>
    <w:rsid w:val="005A6A07"/>
    <w:rsid w:val="005A6C08"/>
    <w:rsid w:val="005A6E70"/>
    <w:rsid w:val="005A6EC0"/>
    <w:rsid w:val="005A78DE"/>
    <w:rsid w:val="005A792F"/>
    <w:rsid w:val="005A7A40"/>
    <w:rsid w:val="005A7CB9"/>
    <w:rsid w:val="005B0132"/>
    <w:rsid w:val="005B11D8"/>
    <w:rsid w:val="005B162F"/>
    <w:rsid w:val="005B225D"/>
    <w:rsid w:val="005B23AA"/>
    <w:rsid w:val="005B2D4E"/>
    <w:rsid w:val="005B2F92"/>
    <w:rsid w:val="005B313A"/>
    <w:rsid w:val="005B32CF"/>
    <w:rsid w:val="005B3A89"/>
    <w:rsid w:val="005B3AC5"/>
    <w:rsid w:val="005B4174"/>
    <w:rsid w:val="005B4256"/>
    <w:rsid w:val="005B49E0"/>
    <w:rsid w:val="005B5367"/>
    <w:rsid w:val="005B5970"/>
    <w:rsid w:val="005B6093"/>
    <w:rsid w:val="005B6C39"/>
    <w:rsid w:val="005B706B"/>
    <w:rsid w:val="005B7526"/>
    <w:rsid w:val="005B77B2"/>
    <w:rsid w:val="005B781C"/>
    <w:rsid w:val="005C004D"/>
    <w:rsid w:val="005C04C5"/>
    <w:rsid w:val="005C0C3C"/>
    <w:rsid w:val="005C165E"/>
    <w:rsid w:val="005C2445"/>
    <w:rsid w:val="005C2465"/>
    <w:rsid w:val="005C28CD"/>
    <w:rsid w:val="005C2987"/>
    <w:rsid w:val="005C2C31"/>
    <w:rsid w:val="005C2DC2"/>
    <w:rsid w:val="005C3139"/>
    <w:rsid w:val="005C323B"/>
    <w:rsid w:val="005C37DC"/>
    <w:rsid w:val="005C38AC"/>
    <w:rsid w:val="005C38E9"/>
    <w:rsid w:val="005C3F60"/>
    <w:rsid w:val="005C4137"/>
    <w:rsid w:val="005C4ACC"/>
    <w:rsid w:val="005C4BBB"/>
    <w:rsid w:val="005C4C31"/>
    <w:rsid w:val="005C517A"/>
    <w:rsid w:val="005C7A97"/>
    <w:rsid w:val="005C7B79"/>
    <w:rsid w:val="005D0B78"/>
    <w:rsid w:val="005D0CE8"/>
    <w:rsid w:val="005D10C9"/>
    <w:rsid w:val="005D1355"/>
    <w:rsid w:val="005D15AC"/>
    <w:rsid w:val="005D163E"/>
    <w:rsid w:val="005D2109"/>
    <w:rsid w:val="005D21D5"/>
    <w:rsid w:val="005D2281"/>
    <w:rsid w:val="005D2535"/>
    <w:rsid w:val="005D2650"/>
    <w:rsid w:val="005D2748"/>
    <w:rsid w:val="005D2D19"/>
    <w:rsid w:val="005D329A"/>
    <w:rsid w:val="005D387F"/>
    <w:rsid w:val="005D391D"/>
    <w:rsid w:val="005D3EC2"/>
    <w:rsid w:val="005D4904"/>
    <w:rsid w:val="005D4E39"/>
    <w:rsid w:val="005D4F12"/>
    <w:rsid w:val="005D56E7"/>
    <w:rsid w:val="005D5E00"/>
    <w:rsid w:val="005D5E8F"/>
    <w:rsid w:val="005D5ECF"/>
    <w:rsid w:val="005D5F52"/>
    <w:rsid w:val="005D6094"/>
    <w:rsid w:val="005E0122"/>
    <w:rsid w:val="005E0BB2"/>
    <w:rsid w:val="005E0C0B"/>
    <w:rsid w:val="005E0FEE"/>
    <w:rsid w:val="005E2045"/>
    <w:rsid w:val="005E22F2"/>
    <w:rsid w:val="005E2884"/>
    <w:rsid w:val="005E29BB"/>
    <w:rsid w:val="005E2C25"/>
    <w:rsid w:val="005E3640"/>
    <w:rsid w:val="005E45D8"/>
    <w:rsid w:val="005E484D"/>
    <w:rsid w:val="005E49AD"/>
    <w:rsid w:val="005E4C77"/>
    <w:rsid w:val="005E5B89"/>
    <w:rsid w:val="005E61CE"/>
    <w:rsid w:val="005E6A5D"/>
    <w:rsid w:val="005E6B02"/>
    <w:rsid w:val="005E752C"/>
    <w:rsid w:val="005E799A"/>
    <w:rsid w:val="005E7CB1"/>
    <w:rsid w:val="005F008A"/>
    <w:rsid w:val="005F02E8"/>
    <w:rsid w:val="005F0313"/>
    <w:rsid w:val="005F087E"/>
    <w:rsid w:val="005F0FA2"/>
    <w:rsid w:val="005F115E"/>
    <w:rsid w:val="005F19A0"/>
    <w:rsid w:val="005F26A5"/>
    <w:rsid w:val="005F297D"/>
    <w:rsid w:val="005F3CA3"/>
    <w:rsid w:val="005F47DC"/>
    <w:rsid w:val="005F50A8"/>
    <w:rsid w:val="005F586E"/>
    <w:rsid w:val="005F679C"/>
    <w:rsid w:val="005F6968"/>
    <w:rsid w:val="005F75D9"/>
    <w:rsid w:val="005F7DBC"/>
    <w:rsid w:val="0060010D"/>
    <w:rsid w:val="00600A38"/>
    <w:rsid w:val="00601247"/>
    <w:rsid w:val="0060195A"/>
    <w:rsid w:val="00601B01"/>
    <w:rsid w:val="006031CD"/>
    <w:rsid w:val="0060365A"/>
    <w:rsid w:val="00603673"/>
    <w:rsid w:val="00603D5D"/>
    <w:rsid w:val="00604009"/>
    <w:rsid w:val="00604198"/>
    <w:rsid w:val="006045BD"/>
    <w:rsid w:val="00604D89"/>
    <w:rsid w:val="0060583D"/>
    <w:rsid w:val="00605BCE"/>
    <w:rsid w:val="00605C4D"/>
    <w:rsid w:val="00606E45"/>
    <w:rsid w:val="00606E64"/>
    <w:rsid w:val="006074C8"/>
    <w:rsid w:val="006074D5"/>
    <w:rsid w:val="00607B99"/>
    <w:rsid w:val="00611F8C"/>
    <w:rsid w:val="006121C4"/>
    <w:rsid w:val="00612318"/>
    <w:rsid w:val="006123B5"/>
    <w:rsid w:val="00612CF1"/>
    <w:rsid w:val="00612DA0"/>
    <w:rsid w:val="00612E7C"/>
    <w:rsid w:val="006130FC"/>
    <w:rsid w:val="00614108"/>
    <w:rsid w:val="006143BE"/>
    <w:rsid w:val="00615122"/>
    <w:rsid w:val="0061574B"/>
    <w:rsid w:val="00615F3E"/>
    <w:rsid w:val="00616310"/>
    <w:rsid w:val="0061633E"/>
    <w:rsid w:val="00617112"/>
    <w:rsid w:val="00617AD6"/>
    <w:rsid w:val="00617BDA"/>
    <w:rsid w:val="00620087"/>
    <w:rsid w:val="00620270"/>
    <w:rsid w:val="00620B0A"/>
    <w:rsid w:val="00620DA4"/>
    <w:rsid w:val="0062108B"/>
    <w:rsid w:val="006217C7"/>
    <w:rsid w:val="00621E46"/>
    <w:rsid w:val="0062392C"/>
    <w:rsid w:val="00623B90"/>
    <w:rsid w:val="00623E4A"/>
    <w:rsid w:val="00623F82"/>
    <w:rsid w:val="00625823"/>
    <w:rsid w:val="00625A29"/>
    <w:rsid w:val="0062612C"/>
    <w:rsid w:val="006273E9"/>
    <w:rsid w:val="00627B44"/>
    <w:rsid w:val="00627DC4"/>
    <w:rsid w:val="00631CC3"/>
    <w:rsid w:val="00631D7B"/>
    <w:rsid w:val="00631DA0"/>
    <w:rsid w:val="00631F06"/>
    <w:rsid w:val="006322E2"/>
    <w:rsid w:val="00632648"/>
    <w:rsid w:val="006329EC"/>
    <w:rsid w:val="00632D4C"/>
    <w:rsid w:val="0063303A"/>
    <w:rsid w:val="006344E5"/>
    <w:rsid w:val="006349F2"/>
    <w:rsid w:val="006349FA"/>
    <w:rsid w:val="00635216"/>
    <w:rsid w:val="0063528C"/>
    <w:rsid w:val="006354ED"/>
    <w:rsid w:val="00636122"/>
    <w:rsid w:val="00636F65"/>
    <w:rsid w:val="0063701E"/>
    <w:rsid w:val="006373D8"/>
    <w:rsid w:val="00640201"/>
    <w:rsid w:val="00640661"/>
    <w:rsid w:val="00640E66"/>
    <w:rsid w:val="0064112B"/>
    <w:rsid w:val="006428DF"/>
    <w:rsid w:val="00642A80"/>
    <w:rsid w:val="006432C9"/>
    <w:rsid w:val="00643D66"/>
    <w:rsid w:val="00644290"/>
    <w:rsid w:val="0064476B"/>
    <w:rsid w:val="00644AE3"/>
    <w:rsid w:val="00644CD6"/>
    <w:rsid w:val="00645851"/>
    <w:rsid w:val="00645D8C"/>
    <w:rsid w:val="00646027"/>
    <w:rsid w:val="006460AE"/>
    <w:rsid w:val="00646D13"/>
    <w:rsid w:val="0064708F"/>
    <w:rsid w:val="00647E1F"/>
    <w:rsid w:val="00650261"/>
    <w:rsid w:val="0065053C"/>
    <w:rsid w:val="00650848"/>
    <w:rsid w:val="006509B9"/>
    <w:rsid w:val="00651B25"/>
    <w:rsid w:val="00651C66"/>
    <w:rsid w:val="0065224B"/>
    <w:rsid w:val="00652B5F"/>
    <w:rsid w:val="006532FC"/>
    <w:rsid w:val="006541B2"/>
    <w:rsid w:val="006542EF"/>
    <w:rsid w:val="00654510"/>
    <w:rsid w:val="006547A0"/>
    <w:rsid w:val="00654CA2"/>
    <w:rsid w:val="00654D8A"/>
    <w:rsid w:val="00657014"/>
    <w:rsid w:val="0065752B"/>
    <w:rsid w:val="006602F4"/>
    <w:rsid w:val="00660403"/>
    <w:rsid w:val="00660BE6"/>
    <w:rsid w:val="00661278"/>
    <w:rsid w:val="00661566"/>
    <w:rsid w:val="00661781"/>
    <w:rsid w:val="0066199A"/>
    <w:rsid w:val="00661DE6"/>
    <w:rsid w:val="00662793"/>
    <w:rsid w:val="00662900"/>
    <w:rsid w:val="00663304"/>
    <w:rsid w:val="00663391"/>
    <w:rsid w:val="00663466"/>
    <w:rsid w:val="0066376B"/>
    <w:rsid w:val="00663799"/>
    <w:rsid w:val="006639F0"/>
    <w:rsid w:val="00663B4E"/>
    <w:rsid w:val="006642D1"/>
    <w:rsid w:val="006645C2"/>
    <w:rsid w:val="006647A5"/>
    <w:rsid w:val="0066499D"/>
    <w:rsid w:val="00664BE9"/>
    <w:rsid w:val="00664C23"/>
    <w:rsid w:val="00664F1F"/>
    <w:rsid w:val="00665245"/>
    <w:rsid w:val="00665396"/>
    <w:rsid w:val="006661D2"/>
    <w:rsid w:val="0066632A"/>
    <w:rsid w:val="006667AC"/>
    <w:rsid w:val="00666F09"/>
    <w:rsid w:val="00666F1B"/>
    <w:rsid w:val="00667BAB"/>
    <w:rsid w:val="00667CBF"/>
    <w:rsid w:val="0067042E"/>
    <w:rsid w:val="00670F6E"/>
    <w:rsid w:val="00671B29"/>
    <w:rsid w:val="006724A6"/>
    <w:rsid w:val="0067288C"/>
    <w:rsid w:val="00672A77"/>
    <w:rsid w:val="00672C30"/>
    <w:rsid w:val="00672EAA"/>
    <w:rsid w:val="0067331F"/>
    <w:rsid w:val="0067358E"/>
    <w:rsid w:val="00674151"/>
    <w:rsid w:val="006756F7"/>
    <w:rsid w:val="006759E5"/>
    <w:rsid w:val="00675B04"/>
    <w:rsid w:val="00676353"/>
    <w:rsid w:val="0067686A"/>
    <w:rsid w:val="00676E73"/>
    <w:rsid w:val="00676F6D"/>
    <w:rsid w:val="00677EE0"/>
    <w:rsid w:val="00680D95"/>
    <w:rsid w:val="006816C5"/>
    <w:rsid w:val="006816E4"/>
    <w:rsid w:val="00683C64"/>
    <w:rsid w:val="00684304"/>
    <w:rsid w:val="006845D6"/>
    <w:rsid w:val="006852D0"/>
    <w:rsid w:val="006854E8"/>
    <w:rsid w:val="00685836"/>
    <w:rsid w:val="0068594C"/>
    <w:rsid w:val="00686194"/>
    <w:rsid w:val="00686605"/>
    <w:rsid w:val="0068689A"/>
    <w:rsid w:val="00687859"/>
    <w:rsid w:val="00687CB6"/>
    <w:rsid w:val="0069032C"/>
    <w:rsid w:val="00690447"/>
    <w:rsid w:val="0069061E"/>
    <w:rsid w:val="00690825"/>
    <w:rsid w:val="00690993"/>
    <w:rsid w:val="00690B2A"/>
    <w:rsid w:val="00690C77"/>
    <w:rsid w:val="006910DA"/>
    <w:rsid w:val="0069152D"/>
    <w:rsid w:val="00691CA2"/>
    <w:rsid w:val="00692643"/>
    <w:rsid w:val="00692B24"/>
    <w:rsid w:val="00693605"/>
    <w:rsid w:val="00693C34"/>
    <w:rsid w:val="00694E01"/>
    <w:rsid w:val="00695354"/>
    <w:rsid w:val="006953CB"/>
    <w:rsid w:val="00695582"/>
    <w:rsid w:val="006956C8"/>
    <w:rsid w:val="006956CA"/>
    <w:rsid w:val="006970CA"/>
    <w:rsid w:val="00697163"/>
    <w:rsid w:val="00697CCB"/>
    <w:rsid w:val="00697CCE"/>
    <w:rsid w:val="006A02EA"/>
    <w:rsid w:val="006A0A02"/>
    <w:rsid w:val="006A0ABA"/>
    <w:rsid w:val="006A0BCE"/>
    <w:rsid w:val="006A0F3C"/>
    <w:rsid w:val="006A10F0"/>
    <w:rsid w:val="006A12EC"/>
    <w:rsid w:val="006A3517"/>
    <w:rsid w:val="006A36C7"/>
    <w:rsid w:val="006A36FD"/>
    <w:rsid w:val="006A3BB7"/>
    <w:rsid w:val="006A4194"/>
    <w:rsid w:val="006A4622"/>
    <w:rsid w:val="006A4768"/>
    <w:rsid w:val="006A47D3"/>
    <w:rsid w:val="006A53A8"/>
    <w:rsid w:val="006A53F7"/>
    <w:rsid w:val="006A548C"/>
    <w:rsid w:val="006A56BC"/>
    <w:rsid w:val="006A5B2A"/>
    <w:rsid w:val="006A69E8"/>
    <w:rsid w:val="006A70B2"/>
    <w:rsid w:val="006A71B2"/>
    <w:rsid w:val="006A73AE"/>
    <w:rsid w:val="006A7EE0"/>
    <w:rsid w:val="006B0747"/>
    <w:rsid w:val="006B08BC"/>
    <w:rsid w:val="006B0C69"/>
    <w:rsid w:val="006B0EB7"/>
    <w:rsid w:val="006B1143"/>
    <w:rsid w:val="006B1A29"/>
    <w:rsid w:val="006B1A3C"/>
    <w:rsid w:val="006B240A"/>
    <w:rsid w:val="006B250F"/>
    <w:rsid w:val="006B263D"/>
    <w:rsid w:val="006B3534"/>
    <w:rsid w:val="006B3B03"/>
    <w:rsid w:val="006B46CC"/>
    <w:rsid w:val="006B4F1A"/>
    <w:rsid w:val="006B5D8D"/>
    <w:rsid w:val="006B5EA4"/>
    <w:rsid w:val="006B6AD6"/>
    <w:rsid w:val="006B6D83"/>
    <w:rsid w:val="006B6EAF"/>
    <w:rsid w:val="006B6FF2"/>
    <w:rsid w:val="006B715C"/>
    <w:rsid w:val="006B7300"/>
    <w:rsid w:val="006B7B31"/>
    <w:rsid w:val="006C0221"/>
    <w:rsid w:val="006C17C1"/>
    <w:rsid w:val="006C1A8F"/>
    <w:rsid w:val="006C20EE"/>
    <w:rsid w:val="006C231C"/>
    <w:rsid w:val="006C2571"/>
    <w:rsid w:val="006C2F31"/>
    <w:rsid w:val="006C2FEE"/>
    <w:rsid w:val="006C319E"/>
    <w:rsid w:val="006C3D4A"/>
    <w:rsid w:val="006C3FC7"/>
    <w:rsid w:val="006C4193"/>
    <w:rsid w:val="006C425C"/>
    <w:rsid w:val="006C4362"/>
    <w:rsid w:val="006C5CFD"/>
    <w:rsid w:val="006C5D21"/>
    <w:rsid w:val="006C6449"/>
    <w:rsid w:val="006C6544"/>
    <w:rsid w:val="006C6D92"/>
    <w:rsid w:val="006C7272"/>
    <w:rsid w:val="006C7555"/>
    <w:rsid w:val="006C77E2"/>
    <w:rsid w:val="006C7854"/>
    <w:rsid w:val="006C7B0D"/>
    <w:rsid w:val="006C7C3C"/>
    <w:rsid w:val="006C7EDB"/>
    <w:rsid w:val="006D0430"/>
    <w:rsid w:val="006D1A55"/>
    <w:rsid w:val="006D1FA0"/>
    <w:rsid w:val="006D2182"/>
    <w:rsid w:val="006D22F4"/>
    <w:rsid w:val="006D2650"/>
    <w:rsid w:val="006D2C8E"/>
    <w:rsid w:val="006D3ACF"/>
    <w:rsid w:val="006D3BEB"/>
    <w:rsid w:val="006D4D7F"/>
    <w:rsid w:val="006D4E83"/>
    <w:rsid w:val="006D560C"/>
    <w:rsid w:val="006D5A42"/>
    <w:rsid w:val="006D6022"/>
    <w:rsid w:val="006D6718"/>
    <w:rsid w:val="006D6BD9"/>
    <w:rsid w:val="006D6E49"/>
    <w:rsid w:val="006D71BF"/>
    <w:rsid w:val="006D7424"/>
    <w:rsid w:val="006D785C"/>
    <w:rsid w:val="006E0044"/>
    <w:rsid w:val="006E02A2"/>
    <w:rsid w:val="006E0455"/>
    <w:rsid w:val="006E06D9"/>
    <w:rsid w:val="006E075C"/>
    <w:rsid w:val="006E0BAA"/>
    <w:rsid w:val="006E1106"/>
    <w:rsid w:val="006E196A"/>
    <w:rsid w:val="006E247D"/>
    <w:rsid w:val="006E2646"/>
    <w:rsid w:val="006E26F6"/>
    <w:rsid w:val="006E2F64"/>
    <w:rsid w:val="006E34C1"/>
    <w:rsid w:val="006E3532"/>
    <w:rsid w:val="006E462E"/>
    <w:rsid w:val="006E4A73"/>
    <w:rsid w:val="006E4B8C"/>
    <w:rsid w:val="006E4CFC"/>
    <w:rsid w:val="006E5278"/>
    <w:rsid w:val="006E528B"/>
    <w:rsid w:val="006E5624"/>
    <w:rsid w:val="006E5E4E"/>
    <w:rsid w:val="006E6037"/>
    <w:rsid w:val="006E679C"/>
    <w:rsid w:val="006E70D3"/>
    <w:rsid w:val="006E74F2"/>
    <w:rsid w:val="006E7B90"/>
    <w:rsid w:val="006F03BA"/>
    <w:rsid w:val="006F03C7"/>
    <w:rsid w:val="006F06DE"/>
    <w:rsid w:val="006F0894"/>
    <w:rsid w:val="006F1553"/>
    <w:rsid w:val="006F183B"/>
    <w:rsid w:val="006F1E25"/>
    <w:rsid w:val="006F2B97"/>
    <w:rsid w:val="006F3A7E"/>
    <w:rsid w:val="006F4058"/>
    <w:rsid w:val="006F418C"/>
    <w:rsid w:val="006F4C98"/>
    <w:rsid w:val="006F4EC0"/>
    <w:rsid w:val="006F54CB"/>
    <w:rsid w:val="006F59BC"/>
    <w:rsid w:val="006F5D8C"/>
    <w:rsid w:val="006F63C6"/>
    <w:rsid w:val="006F64AE"/>
    <w:rsid w:val="006F6513"/>
    <w:rsid w:val="006F6884"/>
    <w:rsid w:val="006F6CEE"/>
    <w:rsid w:val="006F7369"/>
    <w:rsid w:val="006F75F1"/>
    <w:rsid w:val="006F7CE0"/>
    <w:rsid w:val="006F7D8D"/>
    <w:rsid w:val="0070023D"/>
    <w:rsid w:val="0070025F"/>
    <w:rsid w:val="007003E4"/>
    <w:rsid w:val="00700427"/>
    <w:rsid w:val="0070099C"/>
    <w:rsid w:val="00700C67"/>
    <w:rsid w:val="00700FA7"/>
    <w:rsid w:val="00701061"/>
    <w:rsid w:val="007013CE"/>
    <w:rsid w:val="007015EF"/>
    <w:rsid w:val="00701ACD"/>
    <w:rsid w:val="0070235F"/>
    <w:rsid w:val="00702362"/>
    <w:rsid w:val="00702ACF"/>
    <w:rsid w:val="0070326E"/>
    <w:rsid w:val="007037B2"/>
    <w:rsid w:val="00705155"/>
    <w:rsid w:val="00705653"/>
    <w:rsid w:val="00705C9D"/>
    <w:rsid w:val="00706F9D"/>
    <w:rsid w:val="00707C9E"/>
    <w:rsid w:val="00707D87"/>
    <w:rsid w:val="007101BF"/>
    <w:rsid w:val="00710690"/>
    <w:rsid w:val="00711174"/>
    <w:rsid w:val="0071170A"/>
    <w:rsid w:val="00711AED"/>
    <w:rsid w:val="00711B59"/>
    <w:rsid w:val="00711D5D"/>
    <w:rsid w:val="007120B3"/>
    <w:rsid w:val="007125D9"/>
    <w:rsid w:val="007127E2"/>
    <w:rsid w:val="00712AE0"/>
    <w:rsid w:val="00712C2E"/>
    <w:rsid w:val="00712D7C"/>
    <w:rsid w:val="00712F3A"/>
    <w:rsid w:val="00713C33"/>
    <w:rsid w:val="00713DAD"/>
    <w:rsid w:val="00714F7E"/>
    <w:rsid w:val="00715068"/>
    <w:rsid w:val="00715967"/>
    <w:rsid w:val="00715C11"/>
    <w:rsid w:val="00716421"/>
    <w:rsid w:val="00716CC6"/>
    <w:rsid w:val="007175BF"/>
    <w:rsid w:val="00717C05"/>
    <w:rsid w:val="00717CC2"/>
    <w:rsid w:val="00717EFB"/>
    <w:rsid w:val="007207EE"/>
    <w:rsid w:val="00720BD1"/>
    <w:rsid w:val="00720DE7"/>
    <w:rsid w:val="00721406"/>
    <w:rsid w:val="00721A47"/>
    <w:rsid w:val="007229E9"/>
    <w:rsid w:val="0072307C"/>
    <w:rsid w:val="0072385F"/>
    <w:rsid w:val="0072393F"/>
    <w:rsid w:val="007241F9"/>
    <w:rsid w:val="00724A41"/>
    <w:rsid w:val="00724C4D"/>
    <w:rsid w:val="00724D15"/>
    <w:rsid w:val="00724FFC"/>
    <w:rsid w:val="00725228"/>
    <w:rsid w:val="0072524F"/>
    <w:rsid w:val="00725729"/>
    <w:rsid w:val="00725FA8"/>
    <w:rsid w:val="0072616A"/>
    <w:rsid w:val="0072652C"/>
    <w:rsid w:val="007267AA"/>
    <w:rsid w:val="00726EEF"/>
    <w:rsid w:val="00727348"/>
    <w:rsid w:val="00727DD8"/>
    <w:rsid w:val="00730324"/>
    <w:rsid w:val="0073053C"/>
    <w:rsid w:val="0073066D"/>
    <w:rsid w:val="00730729"/>
    <w:rsid w:val="0073083E"/>
    <w:rsid w:val="0073109D"/>
    <w:rsid w:val="00731419"/>
    <w:rsid w:val="00731C55"/>
    <w:rsid w:val="00732255"/>
    <w:rsid w:val="00732287"/>
    <w:rsid w:val="00732301"/>
    <w:rsid w:val="00732387"/>
    <w:rsid w:val="0073241A"/>
    <w:rsid w:val="007327BF"/>
    <w:rsid w:val="007328B1"/>
    <w:rsid w:val="007329A4"/>
    <w:rsid w:val="00732E0D"/>
    <w:rsid w:val="00732FBE"/>
    <w:rsid w:val="00733013"/>
    <w:rsid w:val="00733405"/>
    <w:rsid w:val="00734858"/>
    <w:rsid w:val="00734E48"/>
    <w:rsid w:val="00734EC7"/>
    <w:rsid w:val="007357EF"/>
    <w:rsid w:val="00735CAA"/>
    <w:rsid w:val="00735DB3"/>
    <w:rsid w:val="007361D7"/>
    <w:rsid w:val="007361DB"/>
    <w:rsid w:val="0073658D"/>
    <w:rsid w:val="00736812"/>
    <w:rsid w:val="007369EC"/>
    <w:rsid w:val="007376A0"/>
    <w:rsid w:val="00737708"/>
    <w:rsid w:val="00737B6E"/>
    <w:rsid w:val="0074046D"/>
    <w:rsid w:val="0074084B"/>
    <w:rsid w:val="00740B7E"/>
    <w:rsid w:val="00740CC2"/>
    <w:rsid w:val="007417C4"/>
    <w:rsid w:val="00741B3C"/>
    <w:rsid w:val="00741FA1"/>
    <w:rsid w:val="00742891"/>
    <w:rsid w:val="00742D82"/>
    <w:rsid w:val="00742FEA"/>
    <w:rsid w:val="007430D0"/>
    <w:rsid w:val="00743574"/>
    <w:rsid w:val="00743831"/>
    <w:rsid w:val="00743C91"/>
    <w:rsid w:val="00744129"/>
    <w:rsid w:val="00744615"/>
    <w:rsid w:val="00744919"/>
    <w:rsid w:val="00744A43"/>
    <w:rsid w:val="00744FE0"/>
    <w:rsid w:val="00745017"/>
    <w:rsid w:val="00745A40"/>
    <w:rsid w:val="0074610C"/>
    <w:rsid w:val="00746A1A"/>
    <w:rsid w:val="007472F6"/>
    <w:rsid w:val="007478E4"/>
    <w:rsid w:val="007479FD"/>
    <w:rsid w:val="00747E65"/>
    <w:rsid w:val="00747ED2"/>
    <w:rsid w:val="007500A2"/>
    <w:rsid w:val="007509A1"/>
    <w:rsid w:val="00750A46"/>
    <w:rsid w:val="00750D0E"/>
    <w:rsid w:val="00750DA2"/>
    <w:rsid w:val="00750FC8"/>
    <w:rsid w:val="00751399"/>
    <w:rsid w:val="0075174F"/>
    <w:rsid w:val="00751AE5"/>
    <w:rsid w:val="00751CCD"/>
    <w:rsid w:val="00751F4F"/>
    <w:rsid w:val="007520B4"/>
    <w:rsid w:val="00752A02"/>
    <w:rsid w:val="00753660"/>
    <w:rsid w:val="00753805"/>
    <w:rsid w:val="007545BE"/>
    <w:rsid w:val="00754618"/>
    <w:rsid w:val="0075514F"/>
    <w:rsid w:val="00755433"/>
    <w:rsid w:val="00755442"/>
    <w:rsid w:val="00755DB9"/>
    <w:rsid w:val="00756757"/>
    <w:rsid w:val="00756ACC"/>
    <w:rsid w:val="00756BBD"/>
    <w:rsid w:val="007574AA"/>
    <w:rsid w:val="00757B0F"/>
    <w:rsid w:val="00757DBA"/>
    <w:rsid w:val="00760474"/>
    <w:rsid w:val="00760912"/>
    <w:rsid w:val="00760B3C"/>
    <w:rsid w:val="00760BBF"/>
    <w:rsid w:val="00760F09"/>
    <w:rsid w:val="00761ACC"/>
    <w:rsid w:val="00761E59"/>
    <w:rsid w:val="00762364"/>
    <w:rsid w:val="007626B3"/>
    <w:rsid w:val="007626D1"/>
    <w:rsid w:val="00763150"/>
    <w:rsid w:val="00763277"/>
    <w:rsid w:val="0076346E"/>
    <w:rsid w:val="00763737"/>
    <w:rsid w:val="0076386E"/>
    <w:rsid w:val="00763A10"/>
    <w:rsid w:val="00763C56"/>
    <w:rsid w:val="00764F88"/>
    <w:rsid w:val="00764FFB"/>
    <w:rsid w:val="00765358"/>
    <w:rsid w:val="0076579A"/>
    <w:rsid w:val="00765A44"/>
    <w:rsid w:val="007663B2"/>
    <w:rsid w:val="00766670"/>
    <w:rsid w:val="00770436"/>
    <w:rsid w:val="00770468"/>
    <w:rsid w:val="00770657"/>
    <w:rsid w:val="00770DDD"/>
    <w:rsid w:val="00771240"/>
    <w:rsid w:val="00771BA8"/>
    <w:rsid w:val="00771DBC"/>
    <w:rsid w:val="007723CF"/>
    <w:rsid w:val="00772E4F"/>
    <w:rsid w:val="0077302A"/>
    <w:rsid w:val="00773772"/>
    <w:rsid w:val="00773B43"/>
    <w:rsid w:val="00773B7E"/>
    <w:rsid w:val="00773E88"/>
    <w:rsid w:val="00773F1C"/>
    <w:rsid w:val="0077406B"/>
    <w:rsid w:val="007742EB"/>
    <w:rsid w:val="00774432"/>
    <w:rsid w:val="00774655"/>
    <w:rsid w:val="00774D27"/>
    <w:rsid w:val="0077547D"/>
    <w:rsid w:val="00775753"/>
    <w:rsid w:val="007760D8"/>
    <w:rsid w:val="00776137"/>
    <w:rsid w:val="00776902"/>
    <w:rsid w:val="00776C17"/>
    <w:rsid w:val="007773F8"/>
    <w:rsid w:val="00777BD0"/>
    <w:rsid w:val="00777EAB"/>
    <w:rsid w:val="007802C6"/>
    <w:rsid w:val="00780CE7"/>
    <w:rsid w:val="00780CF4"/>
    <w:rsid w:val="0078145E"/>
    <w:rsid w:val="00781A32"/>
    <w:rsid w:val="00781FCC"/>
    <w:rsid w:val="007827B0"/>
    <w:rsid w:val="00782E0D"/>
    <w:rsid w:val="00782FC6"/>
    <w:rsid w:val="007831D5"/>
    <w:rsid w:val="00783D29"/>
    <w:rsid w:val="00784083"/>
    <w:rsid w:val="00784A84"/>
    <w:rsid w:val="00784F96"/>
    <w:rsid w:val="007853B4"/>
    <w:rsid w:val="0078586D"/>
    <w:rsid w:val="0078624F"/>
    <w:rsid w:val="0078655F"/>
    <w:rsid w:val="00786CC4"/>
    <w:rsid w:val="00787C20"/>
    <w:rsid w:val="00787C99"/>
    <w:rsid w:val="00787D66"/>
    <w:rsid w:val="0079029B"/>
    <w:rsid w:val="007904C7"/>
    <w:rsid w:val="00791648"/>
    <w:rsid w:val="00791C8B"/>
    <w:rsid w:val="007922D2"/>
    <w:rsid w:val="0079278C"/>
    <w:rsid w:val="0079282A"/>
    <w:rsid w:val="007928B9"/>
    <w:rsid w:val="007931EF"/>
    <w:rsid w:val="007934B3"/>
    <w:rsid w:val="0079383C"/>
    <w:rsid w:val="00793FC7"/>
    <w:rsid w:val="00794D8D"/>
    <w:rsid w:val="007950BD"/>
    <w:rsid w:val="007952E3"/>
    <w:rsid w:val="0079536A"/>
    <w:rsid w:val="007958C9"/>
    <w:rsid w:val="00796F21"/>
    <w:rsid w:val="0079797D"/>
    <w:rsid w:val="00797983"/>
    <w:rsid w:val="007979B4"/>
    <w:rsid w:val="007979C6"/>
    <w:rsid w:val="00797ABE"/>
    <w:rsid w:val="00797D71"/>
    <w:rsid w:val="00797D83"/>
    <w:rsid w:val="00797F9A"/>
    <w:rsid w:val="00797FB8"/>
    <w:rsid w:val="007A007E"/>
    <w:rsid w:val="007A026D"/>
    <w:rsid w:val="007A0689"/>
    <w:rsid w:val="007A09E5"/>
    <w:rsid w:val="007A12AF"/>
    <w:rsid w:val="007A160D"/>
    <w:rsid w:val="007A20E7"/>
    <w:rsid w:val="007A29D2"/>
    <w:rsid w:val="007A2C70"/>
    <w:rsid w:val="007A3225"/>
    <w:rsid w:val="007A3748"/>
    <w:rsid w:val="007A376B"/>
    <w:rsid w:val="007A380D"/>
    <w:rsid w:val="007A3BA1"/>
    <w:rsid w:val="007A3BBF"/>
    <w:rsid w:val="007A3C48"/>
    <w:rsid w:val="007A4016"/>
    <w:rsid w:val="007A4353"/>
    <w:rsid w:val="007A493A"/>
    <w:rsid w:val="007A4EF2"/>
    <w:rsid w:val="007A5100"/>
    <w:rsid w:val="007A55E3"/>
    <w:rsid w:val="007A5747"/>
    <w:rsid w:val="007A6C85"/>
    <w:rsid w:val="007A7508"/>
    <w:rsid w:val="007A7DC1"/>
    <w:rsid w:val="007A7F0F"/>
    <w:rsid w:val="007B0778"/>
    <w:rsid w:val="007B08CA"/>
    <w:rsid w:val="007B0EDE"/>
    <w:rsid w:val="007B1025"/>
    <w:rsid w:val="007B19C3"/>
    <w:rsid w:val="007B1B92"/>
    <w:rsid w:val="007B1BF0"/>
    <w:rsid w:val="007B1E73"/>
    <w:rsid w:val="007B1F5C"/>
    <w:rsid w:val="007B1F73"/>
    <w:rsid w:val="007B1FAD"/>
    <w:rsid w:val="007B2387"/>
    <w:rsid w:val="007B29E2"/>
    <w:rsid w:val="007B2E98"/>
    <w:rsid w:val="007B32F5"/>
    <w:rsid w:val="007B332C"/>
    <w:rsid w:val="007B3420"/>
    <w:rsid w:val="007B3592"/>
    <w:rsid w:val="007B35D8"/>
    <w:rsid w:val="007B3B41"/>
    <w:rsid w:val="007B3B91"/>
    <w:rsid w:val="007B3C01"/>
    <w:rsid w:val="007B44EF"/>
    <w:rsid w:val="007B46D3"/>
    <w:rsid w:val="007B475A"/>
    <w:rsid w:val="007B49FF"/>
    <w:rsid w:val="007B4BED"/>
    <w:rsid w:val="007B4E35"/>
    <w:rsid w:val="007B5D3D"/>
    <w:rsid w:val="007B61F6"/>
    <w:rsid w:val="007B6A49"/>
    <w:rsid w:val="007B6E8B"/>
    <w:rsid w:val="007B70C4"/>
    <w:rsid w:val="007B7548"/>
    <w:rsid w:val="007B768E"/>
    <w:rsid w:val="007B77B9"/>
    <w:rsid w:val="007B7A55"/>
    <w:rsid w:val="007C08CD"/>
    <w:rsid w:val="007C0CC4"/>
    <w:rsid w:val="007C0F33"/>
    <w:rsid w:val="007C100D"/>
    <w:rsid w:val="007C14FD"/>
    <w:rsid w:val="007C1C11"/>
    <w:rsid w:val="007C2288"/>
    <w:rsid w:val="007C244D"/>
    <w:rsid w:val="007C2586"/>
    <w:rsid w:val="007C2AE2"/>
    <w:rsid w:val="007C31B2"/>
    <w:rsid w:val="007C3E7E"/>
    <w:rsid w:val="007C3F67"/>
    <w:rsid w:val="007C3F9D"/>
    <w:rsid w:val="007C4555"/>
    <w:rsid w:val="007C4C81"/>
    <w:rsid w:val="007C4FC1"/>
    <w:rsid w:val="007C5FAA"/>
    <w:rsid w:val="007C6687"/>
    <w:rsid w:val="007C6BBA"/>
    <w:rsid w:val="007C707E"/>
    <w:rsid w:val="007C7177"/>
    <w:rsid w:val="007C7312"/>
    <w:rsid w:val="007C74F9"/>
    <w:rsid w:val="007C75E8"/>
    <w:rsid w:val="007D0AEE"/>
    <w:rsid w:val="007D0E44"/>
    <w:rsid w:val="007D1309"/>
    <w:rsid w:val="007D1365"/>
    <w:rsid w:val="007D21F6"/>
    <w:rsid w:val="007D2DEF"/>
    <w:rsid w:val="007D30E1"/>
    <w:rsid w:val="007D3B89"/>
    <w:rsid w:val="007D43EA"/>
    <w:rsid w:val="007D4481"/>
    <w:rsid w:val="007D476D"/>
    <w:rsid w:val="007D5848"/>
    <w:rsid w:val="007D5F2C"/>
    <w:rsid w:val="007D63A3"/>
    <w:rsid w:val="007D6BE4"/>
    <w:rsid w:val="007D6D44"/>
    <w:rsid w:val="007D6F93"/>
    <w:rsid w:val="007D73D9"/>
    <w:rsid w:val="007D75EA"/>
    <w:rsid w:val="007D7C51"/>
    <w:rsid w:val="007D7CCC"/>
    <w:rsid w:val="007E0093"/>
    <w:rsid w:val="007E01CC"/>
    <w:rsid w:val="007E051C"/>
    <w:rsid w:val="007E0799"/>
    <w:rsid w:val="007E0CDB"/>
    <w:rsid w:val="007E0D9A"/>
    <w:rsid w:val="007E16D0"/>
    <w:rsid w:val="007E17FA"/>
    <w:rsid w:val="007E21EF"/>
    <w:rsid w:val="007E345B"/>
    <w:rsid w:val="007E3590"/>
    <w:rsid w:val="007E380C"/>
    <w:rsid w:val="007E417C"/>
    <w:rsid w:val="007E438E"/>
    <w:rsid w:val="007E43D0"/>
    <w:rsid w:val="007E4651"/>
    <w:rsid w:val="007E4672"/>
    <w:rsid w:val="007E497B"/>
    <w:rsid w:val="007E4D42"/>
    <w:rsid w:val="007E5366"/>
    <w:rsid w:val="007E58E3"/>
    <w:rsid w:val="007E598F"/>
    <w:rsid w:val="007E5AF5"/>
    <w:rsid w:val="007E5B14"/>
    <w:rsid w:val="007E6618"/>
    <w:rsid w:val="007E7D48"/>
    <w:rsid w:val="007E7F8D"/>
    <w:rsid w:val="007F0D68"/>
    <w:rsid w:val="007F0E01"/>
    <w:rsid w:val="007F1009"/>
    <w:rsid w:val="007F1761"/>
    <w:rsid w:val="007F2424"/>
    <w:rsid w:val="007F2A86"/>
    <w:rsid w:val="007F2ABA"/>
    <w:rsid w:val="007F2F6A"/>
    <w:rsid w:val="007F3F3B"/>
    <w:rsid w:val="007F40A7"/>
    <w:rsid w:val="007F46F9"/>
    <w:rsid w:val="007F4A52"/>
    <w:rsid w:val="007F5690"/>
    <w:rsid w:val="007F6379"/>
    <w:rsid w:val="007F680B"/>
    <w:rsid w:val="007F6A59"/>
    <w:rsid w:val="007F6AB9"/>
    <w:rsid w:val="007F6D57"/>
    <w:rsid w:val="007F72D9"/>
    <w:rsid w:val="007F73ED"/>
    <w:rsid w:val="007F7E24"/>
    <w:rsid w:val="007F7F97"/>
    <w:rsid w:val="0080011C"/>
    <w:rsid w:val="008005EF"/>
    <w:rsid w:val="008006A0"/>
    <w:rsid w:val="00800982"/>
    <w:rsid w:val="00800BC2"/>
    <w:rsid w:val="00801485"/>
    <w:rsid w:val="0080149A"/>
    <w:rsid w:val="0080150B"/>
    <w:rsid w:val="0080178A"/>
    <w:rsid w:val="00801AE3"/>
    <w:rsid w:val="00801D84"/>
    <w:rsid w:val="0080200C"/>
    <w:rsid w:val="00802A97"/>
    <w:rsid w:val="00802DD5"/>
    <w:rsid w:val="008037DE"/>
    <w:rsid w:val="008046A6"/>
    <w:rsid w:val="00804729"/>
    <w:rsid w:val="00804BBA"/>
    <w:rsid w:val="00805524"/>
    <w:rsid w:val="008063CF"/>
    <w:rsid w:val="00806587"/>
    <w:rsid w:val="008072EB"/>
    <w:rsid w:val="0080780F"/>
    <w:rsid w:val="00810212"/>
    <w:rsid w:val="00810607"/>
    <w:rsid w:val="00810A1D"/>
    <w:rsid w:val="00811086"/>
    <w:rsid w:val="00811670"/>
    <w:rsid w:val="0081201B"/>
    <w:rsid w:val="00812456"/>
    <w:rsid w:val="0081253A"/>
    <w:rsid w:val="008125F7"/>
    <w:rsid w:val="008127DE"/>
    <w:rsid w:val="008128E0"/>
    <w:rsid w:val="00812994"/>
    <w:rsid w:val="0081322D"/>
    <w:rsid w:val="0081330E"/>
    <w:rsid w:val="0081414D"/>
    <w:rsid w:val="0081475A"/>
    <w:rsid w:val="00814928"/>
    <w:rsid w:val="0081525A"/>
    <w:rsid w:val="00815BA4"/>
    <w:rsid w:val="00816035"/>
    <w:rsid w:val="008164E7"/>
    <w:rsid w:val="00816809"/>
    <w:rsid w:val="00816C13"/>
    <w:rsid w:val="00816E88"/>
    <w:rsid w:val="00817285"/>
    <w:rsid w:val="00817FA6"/>
    <w:rsid w:val="00820061"/>
    <w:rsid w:val="00820210"/>
    <w:rsid w:val="00820222"/>
    <w:rsid w:val="00820449"/>
    <w:rsid w:val="00820516"/>
    <w:rsid w:val="00820712"/>
    <w:rsid w:val="00821059"/>
    <w:rsid w:val="00821413"/>
    <w:rsid w:val="008226F3"/>
    <w:rsid w:val="008238FF"/>
    <w:rsid w:val="00824809"/>
    <w:rsid w:val="00824B18"/>
    <w:rsid w:val="0082575A"/>
    <w:rsid w:val="00826196"/>
    <w:rsid w:val="00826499"/>
    <w:rsid w:val="0082685C"/>
    <w:rsid w:val="00826AD3"/>
    <w:rsid w:val="00826E25"/>
    <w:rsid w:val="00827071"/>
    <w:rsid w:val="008277C6"/>
    <w:rsid w:val="00827AD5"/>
    <w:rsid w:val="00827EAC"/>
    <w:rsid w:val="00831614"/>
    <w:rsid w:val="0083289A"/>
    <w:rsid w:val="00832BC7"/>
    <w:rsid w:val="00832C26"/>
    <w:rsid w:val="00832D01"/>
    <w:rsid w:val="00833584"/>
    <w:rsid w:val="00833682"/>
    <w:rsid w:val="00834011"/>
    <w:rsid w:val="008343F1"/>
    <w:rsid w:val="00834A4E"/>
    <w:rsid w:val="00834CFC"/>
    <w:rsid w:val="0083517B"/>
    <w:rsid w:val="0083562A"/>
    <w:rsid w:val="00835879"/>
    <w:rsid w:val="00835B86"/>
    <w:rsid w:val="00836347"/>
    <w:rsid w:val="008364B0"/>
    <w:rsid w:val="0083680E"/>
    <w:rsid w:val="00836E87"/>
    <w:rsid w:val="00837188"/>
    <w:rsid w:val="008372DF"/>
    <w:rsid w:val="008373DB"/>
    <w:rsid w:val="008374DE"/>
    <w:rsid w:val="008377F1"/>
    <w:rsid w:val="00837FAD"/>
    <w:rsid w:val="00841017"/>
    <w:rsid w:val="008412C2"/>
    <w:rsid w:val="008412DB"/>
    <w:rsid w:val="00841C03"/>
    <w:rsid w:val="00842597"/>
    <w:rsid w:val="00842C5B"/>
    <w:rsid w:val="008431A7"/>
    <w:rsid w:val="00843239"/>
    <w:rsid w:val="00843F5F"/>
    <w:rsid w:val="00844C51"/>
    <w:rsid w:val="00844F99"/>
    <w:rsid w:val="00845102"/>
    <w:rsid w:val="008452C8"/>
    <w:rsid w:val="00845355"/>
    <w:rsid w:val="00845441"/>
    <w:rsid w:val="00845802"/>
    <w:rsid w:val="0084619F"/>
    <w:rsid w:val="00846561"/>
    <w:rsid w:val="00846B23"/>
    <w:rsid w:val="00846C5D"/>
    <w:rsid w:val="00846CC2"/>
    <w:rsid w:val="00846E11"/>
    <w:rsid w:val="0084718B"/>
    <w:rsid w:val="008476C8"/>
    <w:rsid w:val="008477F6"/>
    <w:rsid w:val="00847A1E"/>
    <w:rsid w:val="00847C27"/>
    <w:rsid w:val="0085003A"/>
    <w:rsid w:val="00851C73"/>
    <w:rsid w:val="0085207F"/>
    <w:rsid w:val="008524BF"/>
    <w:rsid w:val="0085257D"/>
    <w:rsid w:val="00852DEF"/>
    <w:rsid w:val="00852F86"/>
    <w:rsid w:val="0085374C"/>
    <w:rsid w:val="00853935"/>
    <w:rsid w:val="00853B8B"/>
    <w:rsid w:val="00854280"/>
    <w:rsid w:val="008542FC"/>
    <w:rsid w:val="00854738"/>
    <w:rsid w:val="00854A29"/>
    <w:rsid w:val="00854CA3"/>
    <w:rsid w:val="00855393"/>
    <w:rsid w:val="008556B3"/>
    <w:rsid w:val="008561DB"/>
    <w:rsid w:val="0085659A"/>
    <w:rsid w:val="00856681"/>
    <w:rsid w:val="008566AA"/>
    <w:rsid w:val="00856759"/>
    <w:rsid w:val="00856865"/>
    <w:rsid w:val="00856B54"/>
    <w:rsid w:val="00856D86"/>
    <w:rsid w:val="00856DEE"/>
    <w:rsid w:val="00857052"/>
    <w:rsid w:val="008570CB"/>
    <w:rsid w:val="00857898"/>
    <w:rsid w:val="00857AD7"/>
    <w:rsid w:val="00857C25"/>
    <w:rsid w:val="00860707"/>
    <w:rsid w:val="00860718"/>
    <w:rsid w:val="008608DD"/>
    <w:rsid w:val="00860903"/>
    <w:rsid w:val="00860A10"/>
    <w:rsid w:val="00860C30"/>
    <w:rsid w:val="0086229D"/>
    <w:rsid w:val="0086284B"/>
    <w:rsid w:val="0086362C"/>
    <w:rsid w:val="00863C34"/>
    <w:rsid w:val="00864050"/>
    <w:rsid w:val="00865269"/>
    <w:rsid w:val="008654B7"/>
    <w:rsid w:val="00865DE3"/>
    <w:rsid w:val="00866286"/>
    <w:rsid w:val="00866C2D"/>
    <w:rsid w:val="00866C63"/>
    <w:rsid w:val="008710AD"/>
    <w:rsid w:val="00871193"/>
    <w:rsid w:val="008713BB"/>
    <w:rsid w:val="0087159C"/>
    <w:rsid w:val="008718E8"/>
    <w:rsid w:val="00872D50"/>
    <w:rsid w:val="00873107"/>
    <w:rsid w:val="00873140"/>
    <w:rsid w:val="00873371"/>
    <w:rsid w:val="00873BA3"/>
    <w:rsid w:val="00873D15"/>
    <w:rsid w:val="00873E8F"/>
    <w:rsid w:val="0087403D"/>
    <w:rsid w:val="008741A6"/>
    <w:rsid w:val="008741B8"/>
    <w:rsid w:val="008741F9"/>
    <w:rsid w:val="00874914"/>
    <w:rsid w:val="0087493D"/>
    <w:rsid w:val="00874DE6"/>
    <w:rsid w:val="00875108"/>
    <w:rsid w:val="0087605F"/>
    <w:rsid w:val="00876CFA"/>
    <w:rsid w:val="00877931"/>
    <w:rsid w:val="00877E2E"/>
    <w:rsid w:val="008806D3"/>
    <w:rsid w:val="008807A1"/>
    <w:rsid w:val="00880834"/>
    <w:rsid w:val="0088106A"/>
    <w:rsid w:val="00881486"/>
    <w:rsid w:val="008815DD"/>
    <w:rsid w:val="00881990"/>
    <w:rsid w:val="00881F41"/>
    <w:rsid w:val="008823CA"/>
    <w:rsid w:val="00884252"/>
    <w:rsid w:val="00884451"/>
    <w:rsid w:val="00884A4A"/>
    <w:rsid w:val="00884C81"/>
    <w:rsid w:val="00884DE1"/>
    <w:rsid w:val="00884E9F"/>
    <w:rsid w:val="00884F11"/>
    <w:rsid w:val="0088520A"/>
    <w:rsid w:val="0088664B"/>
    <w:rsid w:val="00886870"/>
    <w:rsid w:val="00886E79"/>
    <w:rsid w:val="00886F53"/>
    <w:rsid w:val="00887075"/>
    <w:rsid w:val="0088728B"/>
    <w:rsid w:val="00887530"/>
    <w:rsid w:val="00887A17"/>
    <w:rsid w:val="00887AFE"/>
    <w:rsid w:val="00890087"/>
    <w:rsid w:val="008902D0"/>
    <w:rsid w:val="00890612"/>
    <w:rsid w:val="00890FAC"/>
    <w:rsid w:val="0089144C"/>
    <w:rsid w:val="00891580"/>
    <w:rsid w:val="00891BFA"/>
    <w:rsid w:val="00891F78"/>
    <w:rsid w:val="008927E3"/>
    <w:rsid w:val="00892F29"/>
    <w:rsid w:val="00893B33"/>
    <w:rsid w:val="0089411B"/>
    <w:rsid w:val="00894130"/>
    <w:rsid w:val="00894132"/>
    <w:rsid w:val="00894177"/>
    <w:rsid w:val="00894CF5"/>
    <w:rsid w:val="0089568A"/>
    <w:rsid w:val="00895910"/>
    <w:rsid w:val="00895CC5"/>
    <w:rsid w:val="008961FA"/>
    <w:rsid w:val="0089719E"/>
    <w:rsid w:val="008972D5"/>
    <w:rsid w:val="008978AB"/>
    <w:rsid w:val="00897FD3"/>
    <w:rsid w:val="008A04E1"/>
    <w:rsid w:val="008A113C"/>
    <w:rsid w:val="008A20E3"/>
    <w:rsid w:val="008A2418"/>
    <w:rsid w:val="008A25B1"/>
    <w:rsid w:val="008A266C"/>
    <w:rsid w:val="008A293B"/>
    <w:rsid w:val="008A29EF"/>
    <w:rsid w:val="008A30CF"/>
    <w:rsid w:val="008A39A6"/>
    <w:rsid w:val="008A3BED"/>
    <w:rsid w:val="008A5000"/>
    <w:rsid w:val="008A5284"/>
    <w:rsid w:val="008A5C34"/>
    <w:rsid w:val="008A5CBB"/>
    <w:rsid w:val="008A601E"/>
    <w:rsid w:val="008A6064"/>
    <w:rsid w:val="008A6C0D"/>
    <w:rsid w:val="008A6DD6"/>
    <w:rsid w:val="008A6EF1"/>
    <w:rsid w:val="008A705C"/>
    <w:rsid w:val="008A7151"/>
    <w:rsid w:val="008A73A8"/>
    <w:rsid w:val="008A73F1"/>
    <w:rsid w:val="008A794B"/>
    <w:rsid w:val="008B0D21"/>
    <w:rsid w:val="008B1897"/>
    <w:rsid w:val="008B1A12"/>
    <w:rsid w:val="008B1F84"/>
    <w:rsid w:val="008B1FB3"/>
    <w:rsid w:val="008B20BC"/>
    <w:rsid w:val="008B24C7"/>
    <w:rsid w:val="008B340A"/>
    <w:rsid w:val="008B352D"/>
    <w:rsid w:val="008B38F1"/>
    <w:rsid w:val="008B3B95"/>
    <w:rsid w:val="008B3F72"/>
    <w:rsid w:val="008B40D1"/>
    <w:rsid w:val="008B41D7"/>
    <w:rsid w:val="008B4549"/>
    <w:rsid w:val="008B543F"/>
    <w:rsid w:val="008B57D2"/>
    <w:rsid w:val="008B5A8B"/>
    <w:rsid w:val="008B5A8D"/>
    <w:rsid w:val="008B6297"/>
    <w:rsid w:val="008B67D5"/>
    <w:rsid w:val="008B6908"/>
    <w:rsid w:val="008B7356"/>
    <w:rsid w:val="008B752B"/>
    <w:rsid w:val="008B7BDE"/>
    <w:rsid w:val="008B7C4D"/>
    <w:rsid w:val="008B7E24"/>
    <w:rsid w:val="008B7E4C"/>
    <w:rsid w:val="008C01DB"/>
    <w:rsid w:val="008C0716"/>
    <w:rsid w:val="008C0C01"/>
    <w:rsid w:val="008C0D4A"/>
    <w:rsid w:val="008C0F1F"/>
    <w:rsid w:val="008C1752"/>
    <w:rsid w:val="008C1C38"/>
    <w:rsid w:val="008C23E8"/>
    <w:rsid w:val="008C27F5"/>
    <w:rsid w:val="008C2DA9"/>
    <w:rsid w:val="008C2F30"/>
    <w:rsid w:val="008C3355"/>
    <w:rsid w:val="008C3FD3"/>
    <w:rsid w:val="008C47BD"/>
    <w:rsid w:val="008C4B4C"/>
    <w:rsid w:val="008C5306"/>
    <w:rsid w:val="008C5BBB"/>
    <w:rsid w:val="008C5D4C"/>
    <w:rsid w:val="008C61E7"/>
    <w:rsid w:val="008C6314"/>
    <w:rsid w:val="008C65A6"/>
    <w:rsid w:val="008C6A77"/>
    <w:rsid w:val="008C75FC"/>
    <w:rsid w:val="008C7844"/>
    <w:rsid w:val="008C7865"/>
    <w:rsid w:val="008C7AA8"/>
    <w:rsid w:val="008D0E77"/>
    <w:rsid w:val="008D0F27"/>
    <w:rsid w:val="008D190E"/>
    <w:rsid w:val="008D194B"/>
    <w:rsid w:val="008D1B55"/>
    <w:rsid w:val="008D2034"/>
    <w:rsid w:val="008D22E0"/>
    <w:rsid w:val="008D2970"/>
    <w:rsid w:val="008D2D3E"/>
    <w:rsid w:val="008D2FC4"/>
    <w:rsid w:val="008D33BC"/>
    <w:rsid w:val="008D345F"/>
    <w:rsid w:val="008D3516"/>
    <w:rsid w:val="008D3C37"/>
    <w:rsid w:val="008D408C"/>
    <w:rsid w:val="008D412A"/>
    <w:rsid w:val="008D4306"/>
    <w:rsid w:val="008D4CFE"/>
    <w:rsid w:val="008D5201"/>
    <w:rsid w:val="008D6259"/>
    <w:rsid w:val="008D6329"/>
    <w:rsid w:val="008D664E"/>
    <w:rsid w:val="008D677D"/>
    <w:rsid w:val="008D71FB"/>
    <w:rsid w:val="008D781B"/>
    <w:rsid w:val="008E07F1"/>
    <w:rsid w:val="008E09E5"/>
    <w:rsid w:val="008E0FFC"/>
    <w:rsid w:val="008E1F4F"/>
    <w:rsid w:val="008E2081"/>
    <w:rsid w:val="008E2109"/>
    <w:rsid w:val="008E260A"/>
    <w:rsid w:val="008E2834"/>
    <w:rsid w:val="008E2E0C"/>
    <w:rsid w:val="008E3301"/>
    <w:rsid w:val="008E37ED"/>
    <w:rsid w:val="008E3A6C"/>
    <w:rsid w:val="008E3D73"/>
    <w:rsid w:val="008E3E4B"/>
    <w:rsid w:val="008E446B"/>
    <w:rsid w:val="008E4789"/>
    <w:rsid w:val="008E4958"/>
    <w:rsid w:val="008E4DAA"/>
    <w:rsid w:val="008E5492"/>
    <w:rsid w:val="008E5769"/>
    <w:rsid w:val="008E5D52"/>
    <w:rsid w:val="008E6EDE"/>
    <w:rsid w:val="008E70A9"/>
    <w:rsid w:val="008E72FA"/>
    <w:rsid w:val="008E7441"/>
    <w:rsid w:val="008E7BEB"/>
    <w:rsid w:val="008E7E8D"/>
    <w:rsid w:val="008E7E94"/>
    <w:rsid w:val="008F0084"/>
    <w:rsid w:val="008F0847"/>
    <w:rsid w:val="008F0DCC"/>
    <w:rsid w:val="008F0DF7"/>
    <w:rsid w:val="008F122E"/>
    <w:rsid w:val="008F1266"/>
    <w:rsid w:val="008F1D5E"/>
    <w:rsid w:val="008F200D"/>
    <w:rsid w:val="008F20CC"/>
    <w:rsid w:val="008F20D9"/>
    <w:rsid w:val="008F28FD"/>
    <w:rsid w:val="008F3545"/>
    <w:rsid w:val="008F38AA"/>
    <w:rsid w:val="008F3DD3"/>
    <w:rsid w:val="008F4524"/>
    <w:rsid w:val="008F457A"/>
    <w:rsid w:val="008F46E1"/>
    <w:rsid w:val="008F4CD5"/>
    <w:rsid w:val="008F50E3"/>
    <w:rsid w:val="008F5A98"/>
    <w:rsid w:val="008F610E"/>
    <w:rsid w:val="008F61D7"/>
    <w:rsid w:val="008F73B0"/>
    <w:rsid w:val="008F7802"/>
    <w:rsid w:val="00900146"/>
    <w:rsid w:val="009001AB"/>
    <w:rsid w:val="009008E0"/>
    <w:rsid w:val="00900F28"/>
    <w:rsid w:val="00900F7B"/>
    <w:rsid w:val="009019D9"/>
    <w:rsid w:val="00901CF9"/>
    <w:rsid w:val="00901DBB"/>
    <w:rsid w:val="00902864"/>
    <w:rsid w:val="00902D35"/>
    <w:rsid w:val="00902F67"/>
    <w:rsid w:val="009040CB"/>
    <w:rsid w:val="009047C4"/>
    <w:rsid w:val="009049D3"/>
    <w:rsid w:val="00904DDE"/>
    <w:rsid w:val="00904DF3"/>
    <w:rsid w:val="00904E6A"/>
    <w:rsid w:val="00905304"/>
    <w:rsid w:val="009053D8"/>
    <w:rsid w:val="00905860"/>
    <w:rsid w:val="00905A4B"/>
    <w:rsid w:val="00906AD5"/>
    <w:rsid w:val="00906C6C"/>
    <w:rsid w:val="00907AD8"/>
    <w:rsid w:val="009100ED"/>
    <w:rsid w:val="0091098A"/>
    <w:rsid w:val="009109FA"/>
    <w:rsid w:val="00910A85"/>
    <w:rsid w:val="0091112F"/>
    <w:rsid w:val="0091122B"/>
    <w:rsid w:val="00911744"/>
    <w:rsid w:val="00911BEE"/>
    <w:rsid w:val="00911DFA"/>
    <w:rsid w:val="00911F4E"/>
    <w:rsid w:val="009127B9"/>
    <w:rsid w:val="00913BFF"/>
    <w:rsid w:val="009141A4"/>
    <w:rsid w:val="00914905"/>
    <w:rsid w:val="00914979"/>
    <w:rsid w:val="00914CBF"/>
    <w:rsid w:val="00914D6E"/>
    <w:rsid w:val="00914F75"/>
    <w:rsid w:val="00914FE5"/>
    <w:rsid w:val="00915137"/>
    <w:rsid w:val="009152A0"/>
    <w:rsid w:val="00915635"/>
    <w:rsid w:val="00915DDA"/>
    <w:rsid w:val="00915F45"/>
    <w:rsid w:val="0091632D"/>
    <w:rsid w:val="00917211"/>
    <w:rsid w:val="009172DD"/>
    <w:rsid w:val="009173BE"/>
    <w:rsid w:val="00917C83"/>
    <w:rsid w:val="00917DA2"/>
    <w:rsid w:val="00917EF6"/>
    <w:rsid w:val="00921503"/>
    <w:rsid w:val="0092174B"/>
    <w:rsid w:val="00921830"/>
    <w:rsid w:val="00921D21"/>
    <w:rsid w:val="00921F85"/>
    <w:rsid w:val="0092261C"/>
    <w:rsid w:val="00923DD4"/>
    <w:rsid w:val="00924199"/>
    <w:rsid w:val="00924210"/>
    <w:rsid w:val="009246A1"/>
    <w:rsid w:val="009246E1"/>
    <w:rsid w:val="00924AB5"/>
    <w:rsid w:val="00925C30"/>
    <w:rsid w:val="00926936"/>
    <w:rsid w:val="00926BF0"/>
    <w:rsid w:val="00927F0C"/>
    <w:rsid w:val="009300AA"/>
    <w:rsid w:val="0093047C"/>
    <w:rsid w:val="00931069"/>
    <w:rsid w:val="009310AF"/>
    <w:rsid w:val="00931175"/>
    <w:rsid w:val="00931B9F"/>
    <w:rsid w:val="00931D9C"/>
    <w:rsid w:val="00932934"/>
    <w:rsid w:val="00933726"/>
    <w:rsid w:val="00934A2B"/>
    <w:rsid w:val="00934FD6"/>
    <w:rsid w:val="0093508E"/>
    <w:rsid w:val="00935177"/>
    <w:rsid w:val="009351AE"/>
    <w:rsid w:val="00935D6A"/>
    <w:rsid w:val="00935EDE"/>
    <w:rsid w:val="009360BC"/>
    <w:rsid w:val="00936264"/>
    <w:rsid w:val="009365E9"/>
    <w:rsid w:val="00936BCC"/>
    <w:rsid w:val="00936CC7"/>
    <w:rsid w:val="00936D69"/>
    <w:rsid w:val="00936D7F"/>
    <w:rsid w:val="0093716F"/>
    <w:rsid w:val="009371FB"/>
    <w:rsid w:val="00937376"/>
    <w:rsid w:val="00937E7C"/>
    <w:rsid w:val="00940269"/>
    <w:rsid w:val="009406B0"/>
    <w:rsid w:val="00940805"/>
    <w:rsid w:val="00940EBE"/>
    <w:rsid w:val="00940EE4"/>
    <w:rsid w:val="009413C8"/>
    <w:rsid w:val="00941FDE"/>
    <w:rsid w:val="00942956"/>
    <w:rsid w:val="00943025"/>
    <w:rsid w:val="009438A8"/>
    <w:rsid w:val="009449E6"/>
    <w:rsid w:val="00944D2B"/>
    <w:rsid w:val="00945442"/>
    <w:rsid w:val="00945A42"/>
    <w:rsid w:val="00945A7D"/>
    <w:rsid w:val="00945BAD"/>
    <w:rsid w:val="00945FE0"/>
    <w:rsid w:val="00945FEC"/>
    <w:rsid w:val="009469E1"/>
    <w:rsid w:val="00946AB5"/>
    <w:rsid w:val="009501D4"/>
    <w:rsid w:val="00950489"/>
    <w:rsid w:val="00950783"/>
    <w:rsid w:val="00950882"/>
    <w:rsid w:val="009511E6"/>
    <w:rsid w:val="0095196D"/>
    <w:rsid w:val="00952CFB"/>
    <w:rsid w:val="00952D2C"/>
    <w:rsid w:val="009537AF"/>
    <w:rsid w:val="00953963"/>
    <w:rsid w:val="00953CE6"/>
    <w:rsid w:val="00953D54"/>
    <w:rsid w:val="0095400B"/>
    <w:rsid w:val="00954478"/>
    <w:rsid w:val="00954D11"/>
    <w:rsid w:val="00954E2E"/>
    <w:rsid w:val="00955AAA"/>
    <w:rsid w:val="00955E80"/>
    <w:rsid w:val="00955EC5"/>
    <w:rsid w:val="009564A9"/>
    <w:rsid w:val="00957717"/>
    <w:rsid w:val="009577D0"/>
    <w:rsid w:val="0095797E"/>
    <w:rsid w:val="009579D0"/>
    <w:rsid w:val="00957D9E"/>
    <w:rsid w:val="009600D5"/>
    <w:rsid w:val="0096099D"/>
    <w:rsid w:val="00960E82"/>
    <w:rsid w:val="00960ED7"/>
    <w:rsid w:val="00962C40"/>
    <w:rsid w:val="00962EC3"/>
    <w:rsid w:val="00963036"/>
    <w:rsid w:val="009639BA"/>
    <w:rsid w:val="00964216"/>
    <w:rsid w:val="009653CC"/>
    <w:rsid w:val="009654DA"/>
    <w:rsid w:val="00967BC8"/>
    <w:rsid w:val="009706A4"/>
    <w:rsid w:val="009706D9"/>
    <w:rsid w:val="009709BA"/>
    <w:rsid w:val="009712D3"/>
    <w:rsid w:val="009716BB"/>
    <w:rsid w:val="00971B15"/>
    <w:rsid w:val="00971D74"/>
    <w:rsid w:val="0097359E"/>
    <w:rsid w:val="009737ED"/>
    <w:rsid w:val="00973C21"/>
    <w:rsid w:val="00973C24"/>
    <w:rsid w:val="00973C33"/>
    <w:rsid w:val="00973EEC"/>
    <w:rsid w:val="00974403"/>
    <w:rsid w:val="009746FC"/>
    <w:rsid w:val="00974D0B"/>
    <w:rsid w:val="009754F9"/>
    <w:rsid w:val="00975871"/>
    <w:rsid w:val="00976708"/>
    <w:rsid w:val="00976993"/>
    <w:rsid w:val="009769B1"/>
    <w:rsid w:val="009770E4"/>
    <w:rsid w:val="00980215"/>
    <w:rsid w:val="009804A7"/>
    <w:rsid w:val="00980FAD"/>
    <w:rsid w:val="00980FDD"/>
    <w:rsid w:val="00981528"/>
    <w:rsid w:val="00981867"/>
    <w:rsid w:val="00981931"/>
    <w:rsid w:val="00981EFF"/>
    <w:rsid w:val="009830AD"/>
    <w:rsid w:val="00983108"/>
    <w:rsid w:val="00983564"/>
    <w:rsid w:val="00983825"/>
    <w:rsid w:val="00983AAA"/>
    <w:rsid w:val="00983AF7"/>
    <w:rsid w:val="009848B4"/>
    <w:rsid w:val="00984EB1"/>
    <w:rsid w:val="00984F12"/>
    <w:rsid w:val="0098506A"/>
    <w:rsid w:val="0098590E"/>
    <w:rsid w:val="00985B66"/>
    <w:rsid w:val="00985C69"/>
    <w:rsid w:val="0098670A"/>
    <w:rsid w:val="00986FCA"/>
    <w:rsid w:val="00987012"/>
    <w:rsid w:val="009870AF"/>
    <w:rsid w:val="00987452"/>
    <w:rsid w:val="009875A2"/>
    <w:rsid w:val="00987616"/>
    <w:rsid w:val="00987D39"/>
    <w:rsid w:val="00987DB5"/>
    <w:rsid w:val="009908C5"/>
    <w:rsid w:val="009908EB"/>
    <w:rsid w:val="009914EF"/>
    <w:rsid w:val="00991614"/>
    <w:rsid w:val="00991891"/>
    <w:rsid w:val="00993B89"/>
    <w:rsid w:val="00993E2E"/>
    <w:rsid w:val="00994123"/>
    <w:rsid w:val="00994174"/>
    <w:rsid w:val="00994311"/>
    <w:rsid w:val="00994BC6"/>
    <w:rsid w:val="00994CA8"/>
    <w:rsid w:val="00996767"/>
    <w:rsid w:val="00996C12"/>
    <w:rsid w:val="00996F2A"/>
    <w:rsid w:val="00997441"/>
    <w:rsid w:val="0099776A"/>
    <w:rsid w:val="009A0E88"/>
    <w:rsid w:val="009A10C4"/>
    <w:rsid w:val="009A13CC"/>
    <w:rsid w:val="009A1420"/>
    <w:rsid w:val="009A1465"/>
    <w:rsid w:val="009A14F0"/>
    <w:rsid w:val="009A174D"/>
    <w:rsid w:val="009A1A50"/>
    <w:rsid w:val="009A1F26"/>
    <w:rsid w:val="009A29D4"/>
    <w:rsid w:val="009A3462"/>
    <w:rsid w:val="009A34E3"/>
    <w:rsid w:val="009A39A4"/>
    <w:rsid w:val="009A3F21"/>
    <w:rsid w:val="009A489C"/>
    <w:rsid w:val="009A4C04"/>
    <w:rsid w:val="009A5085"/>
    <w:rsid w:val="009A5394"/>
    <w:rsid w:val="009A596C"/>
    <w:rsid w:val="009A59F3"/>
    <w:rsid w:val="009A5E67"/>
    <w:rsid w:val="009A61E5"/>
    <w:rsid w:val="009A66FA"/>
    <w:rsid w:val="009A6902"/>
    <w:rsid w:val="009A763A"/>
    <w:rsid w:val="009A790E"/>
    <w:rsid w:val="009A7D53"/>
    <w:rsid w:val="009A7F2D"/>
    <w:rsid w:val="009B0263"/>
    <w:rsid w:val="009B02AB"/>
    <w:rsid w:val="009B0B99"/>
    <w:rsid w:val="009B1728"/>
    <w:rsid w:val="009B1B6D"/>
    <w:rsid w:val="009B2975"/>
    <w:rsid w:val="009B2F38"/>
    <w:rsid w:val="009B3657"/>
    <w:rsid w:val="009B36EC"/>
    <w:rsid w:val="009B3C48"/>
    <w:rsid w:val="009B3FC8"/>
    <w:rsid w:val="009B4787"/>
    <w:rsid w:val="009B4D8B"/>
    <w:rsid w:val="009B5345"/>
    <w:rsid w:val="009B5B29"/>
    <w:rsid w:val="009B5D63"/>
    <w:rsid w:val="009B73DF"/>
    <w:rsid w:val="009B751F"/>
    <w:rsid w:val="009B7EFA"/>
    <w:rsid w:val="009C0628"/>
    <w:rsid w:val="009C06FE"/>
    <w:rsid w:val="009C087B"/>
    <w:rsid w:val="009C0C73"/>
    <w:rsid w:val="009C1201"/>
    <w:rsid w:val="009C171A"/>
    <w:rsid w:val="009C2B3C"/>
    <w:rsid w:val="009C366A"/>
    <w:rsid w:val="009C402F"/>
    <w:rsid w:val="009C42F1"/>
    <w:rsid w:val="009C4998"/>
    <w:rsid w:val="009C4CEC"/>
    <w:rsid w:val="009C4E82"/>
    <w:rsid w:val="009C5186"/>
    <w:rsid w:val="009C5286"/>
    <w:rsid w:val="009C57E9"/>
    <w:rsid w:val="009C63B1"/>
    <w:rsid w:val="009C67B4"/>
    <w:rsid w:val="009C721E"/>
    <w:rsid w:val="009C7345"/>
    <w:rsid w:val="009C78CE"/>
    <w:rsid w:val="009C7ACA"/>
    <w:rsid w:val="009C7C8F"/>
    <w:rsid w:val="009D0FBB"/>
    <w:rsid w:val="009D156F"/>
    <w:rsid w:val="009D1CCA"/>
    <w:rsid w:val="009D2389"/>
    <w:rsid w:val="009D302B"/>
    <w:rsid w:val="009D3535"/>
    <w:rsid w:val="009D36F7"/>
    <w:rsid w:val="009D3A92"/>
    <w:rsid w:val="009D3AEC"/>
    <w:rsid w:val="009D3CBE"/>
    <w:rsid w:val="009D3FEA"/>
    <w:rsid w:val="009D40FD"/>
    <w:rsid w:val="009D4EA3"/>
    <w:rsid w:val="009D54CB"/>
    <w:rsid w:val="009D55FE"/>
    <w:rsid w:val="009D5A92"/>
    <w:rsid w:val="009D5B3D"/>
    <w:rsid w:val="009D5FB5"/>
    <w:rsid w:val="009D635D"/>
    <w:rsid w:val="009D65F0"/>
    <w:rsid w:val="009D6646"/>
    <w:rsid w:val="009D670E"/>
    <w:rsid w:val="009D679B"/>
    <w:rsid w:val="009D717C"/>
    <w:rsid w:val="009D7809"/>
    <w:rsid w:val="009D7CFD"/>
    <w:rsid w:val="009D7F80"/>
    <w:rsid w:val="009E0E92"/>
    <w:rsid w:val="009E124E"/>
    <w:rsid w:val="009E1488"/>
    <w:rsid w:val="009E175F"/>
    <w:rsid w:val="009E1936"/>
    <w:rsid w:val="009E1F2A"/>
    <w:rsid w:val="009E1F39"/>
    <w:rsid w:val="009E2E60"/>
    <w:rsid w:val="009E3254"/>
    <w:rsid w:val="009E3768"/>
    <w:rsid w:val="009E3AEB"/>
    <w:rsid w:val="009E4499"/>
    <w:rsid w:val="009E4A24"/>
    <w:rsid w:val="009E4C7F"/>
    <w:rsid w:val="009E5176"/>
    <w:rsid w:val="009E53B6"/>
    <w:rsid w:val="009E6599"/>
    <w:rsid w:val="009E660B"/>
    <w:rsid w:val="009E6817"/>
    <w:rsid w:val="009E739F"/>
    <w:rsid w:val="009E73DA"/>
    <w:rsid w:val="009F0041"/>
    <w:rsid w:val="009F0114"/>
    <w:rsid w:val="009F069A"/>
    <w:rsid w:val="009F0ED5"/>
    <w:rsid w:val="009F1998"/>
    <w:rsid w:val="009F19DE"/>
    <w:rsid w:val="009F1C9D"/>
    <w:rsid w:val="009F1E3A"/>
    <w:rsid w:val="009F1F40"/>
    <w:rsid w:val="009F4784"/>
    <w:rsid w:val="009F4975"/>
    <w:rsid w:val="009F4992"/>
    <w:rsid w:val="009F4F39"/>
    <w:rsid w:val="009F569D"/>
    <w:rsid w:val="009F5831"/>
    <w:rsid w:val="009F5996"/>
    <w:rsid w:val="009F5E87"/>
    <w:rsid w:val="009F626E"/>
    <w:rsid w:val="009F62CF"/>
    <w:rsid w:val="009F6334"/>
    <w:rsid w:val="009F6CCD"/>
    <w:rsid w:val="009F6D06"/>
    <w:rsid w:val="009F7213"/>
    <w:rsid w:val="009F7B67"/>
    <w:rsid w:val="009F7CAE"/>
    <w:rsid w:val="00A00313"/>
    <w:rsid w:val="00A00B1B"/>
    <w:rsid w:val="00A00B77"/>
    <w:rsid w:val="00A00E80"/>
    <w:rsid w:val="00A00EC4"/>
    <w:rsid w:val="00A00F8A"/>
    <w:rsid w:val="00A0152F"/>
    <w:rsid w:val="00A0175D"/>
    <w:rsid w:val="00A019D7"/>
    <w:rsid w:val="00A01A7C"/>
    <w:rsid w:val="00A01AFC"/>
    <w:rsid w:val="00A0250E"/>
    <w:rsid w:val="00A028E8"/>
    <w:rsid w:val="00A03A60"/>
    <w:rsid w:val="00A04217"/>
    <w:rsid w:val="00A04275"/>
    <w:rsid w:val="00A04417"/>
    <w:rsid w:val="00A04D85"/>
    <w:rsid w:val="00A054C0"/>
    <w:rsid w:val="00A0574A"/>
    <w:rsid w:val="00A05A01"/>
    <w:rsid w:val="00A05EBD"/>
    <w:rsid w:val="00A0603A"/>
    <w:rsid w:val="00A06D97"/>
    <w:rsid w:val="00A07127"/>
    <w:rsid w:val="00A07373"/>
    <w:rsid w:val="00A073F3"/>
    <w:rsid w:val="00A07D45"/>
    <w:rsid w:val="00A07DFB"/>
    <w:rsid w:val="00A10A3E"/>
    <w:rsid w:val="00A10D2A"/>
    <w:rsid w:val="00A10FE8"/>
    <w:rsid w:val="00A112E1"/>
    <w:rsid w:val="00A114B6"/>
    <w:rsid w:val="00A1152E"/>
    <w:rsid w:val="00A11CB3"/>
    <w:rsid w:val="00A11D38"/>
    <w:rsid w:val="00A11E1B"/>
    <w:rsid w:val="00A12612"/>
    <w:rsid w:val="00A12A3E"/>
    <w:rsid w:val="00A12E46"/>
    <w:rsid w:val="00A131DB"/>
    <w:rsid w:val="00A1397E"/>
    <w:rsid w:val="00A13BA0"/>
    <w:rsid w:val="00A13FA0"/>
    <w:rsid w:val="00A14B05"/>
    <w:rsid w:val="00A14B4C"/>
    <w:rsid w:val="00A15349"/>
    <w:rsid w:val="00A15A9F"/>
    <w:rsid w:val="00A17115"/>
    <w:rsid w:val="00A20312"/>
    <w:rsid w:val="00A20AAA"/>
    <w:rsid w:val="00A20E82"/>
    <w:rsid w:val="00A21495"/>
    <w:rsid w:val="00A2174F"/>
    <w:rsid w:val="00A2229C"/>
    <w:rsid w:val="00A23041"/>
    <w:rsid w:val="00A23126"/>
    <w:rsid w:val="00A23549"/>
    <w:rsid w:val="00A23792"/>
    <w:rsid w:val="00A23E22"/>
    <w:rsid w:val="00A24642"/>
    <w:rsid w:val="00A253EB"/>
    <w:rsid w:val="00A2567F"/>
    <w:rsid w:val="00A2650D"/>
    <w:rsid w:val="00A266CC"/>
    <w:rsid w:val="00A26A14"/>
    <w:rsid w:val="00A2775E"/>
    <w:rsid w:val="00A27B6B"/>
    <w:rsid w:val="00A27D34"/>
    <w:rsid w:val="00A27F58"/>
    <w:rsid w:val="00A30CAD"/>
    <w:rsid w:val="00A317A9"/>
    <w:rsid w:val="00A31D4E"/>
    <w:rsid w:val="00A31E87"/>
    <w:rsid w:val="00A32A97"/>
    <w:rsid w:val="00A32ACE"/>
    <w:rsid w:val="00A32CFF"/>
    <w:rsid w:val="00A330A7"/>
    <w:rsid w:val="00A3342C"/>
    <w:rsid w:val="00A335A3"/>
    <w:rsid w:val="00A33826"/>
    <w:rsid w:val="00A340B0"/>
    <w:rsid w:val="00A3413E"/>
    <w:rsid w:val="00A348C1"/>
    <w:rsid w:val="00A34E12"/>
    <w:rsid w:val="00A351A5"/>
    <w:rsid w:val="00A35AA1"/>
    <w:rsid w:val="00A35BBD"/>
    <w:rsid w:val="00A367CB"/>
    <w:rsid w:val="00A368AA"/>
    <w:rsid w:val="00A37639"/>
    <w:rsid w:val="00A37CF1"/>
    <w:rsid w:val="00A40020"/>
    <w:rsid w:val="00A403E5"/>
    <w:rsid w:val="00A40853"/>
    <w:rsid w:val="00A40890"/>
    <w:rsid w:val="00A40E14"/>
    <w:rsid w:val="00A4134E"/>
    <w:rsid w:val="00A416CE"/>
    <w:rsid w:val="00A4183B"/>
    <w:rsid w:val="00A41BD3"/>
    <w:rsid w:val="00A41CD5"/>
    <w:rsid w:val="00A41DD8"/>
    <w:rsid w:val="00A42735"/>
    <w:rsid w:val="00A42744"/>
    <w:rsid w:val="00A42936"/>
    <w:rsid w:val="00A42B17"/>
    <w:rsid w:val="00A43F69"/>
    <w:rsid w:val="00A44265"/>
    <w:rsid w:val="00A44F17"/>
    <w:rsid w:val="00A470D3"/>
    <w:rsid w:val="00A4764F"/>
    <w:rsid w:val="00A479D4"/>
    <w:rsid w:val="00A50249"/>
    <w:rsid w:val="00A509D2"/>
    <w:rsid w:val="00A50B94"/>
    <w:rsid w:val="00A511F6"/>
    <w:rsid w:val="00A5189C"/>
    <w:rsid w:val="00A52113"/>
    <w:rsid w:val="00A5231F"/>
    <w:rsid w:val="00A5242B"/>
    <w:rsid w:val="00A529FC"/>
    <w:rsid w:val="00A52EE5"/>
    <w:rsid w:val="00A53102"/>
    <w:rsid w:val="00A542E9"/>
    <w:rsid w:val="00A54323"/>
    <w:rsid w:val="00A54547"/>
    <w:rsid w:val="00A545BF"/>
    <w:rsid w:val="00A54A84"/>
    <w:rsid w:val="00A54B87"/>
    <w:rsid w:val="00A54F34"/>
    <w:rsid w:val="00A5501A"/>
    <w:rsid w:val="00A550C7"/>
    <w:rsid w:val="00A55374"/>
    <w:rsid w:val="00A560DC"/>
    <w:rsid w:val="00A569D9"/>
    <w:rsid w:val="00A57377"/>
    <w:rsid w:val="00A57578"/>
    <w:rsid w:val="00A578FB"/>
    <w:rsid w:val="00A57F67"/>
    <w:rsid w:val="00A601E7"/>
    <w:rsid w:val="00A6081D"/>
    <w:rsid w:val="00A6088F"/>
    <w:rsid w:val="00A60951"/>
    <w:rsid w:val="00A60AAF"/>
    <w:rsid w:val="00A60F4B"/>
    <w:rsid w:val="00A614A6"/>
    <w:rsid w:val="00A624E1"/>
    <w:rsid w:val="00A629B5"/>
    <w:rsid w:val="00A62FB1"/>
    <w:rsid w:val="00A6322A"/>
    <w:rsid w:val="00A63374"/>
    <w:rsid w:val="00A633F4"/>
    <w:rsid w:val="00A6344F"/>
    <w:rsid w:val="00A6355E"/>
    <w:rsid w:val="00A637BE"/>
    <w:rsid w:val="00A6386A"/>
    <w:rsid w:val="00A640E0"/>
    <w:rsid w:val="00A6467F"/>
    <w:rsid w:val="00A65370"/>
    <w:rsid w:val="00A65711"/>
    <w:rsid w:val="00A65AAF"/>
    <w:rsid w:val="00A65B2B"/>
    <w:rsid w:val="00A667AD"/>
    <w:rsid w:val="00A66D76"/>
    <w:rsid w:val="00A66D82"/>
    <w:rsid w:val="00A66F4E"/>
    <w:rsid w:val="00A67034"/>
    <w:rsid w:val="00A6711E"/>
    <w:rsid w:val="00A67207"/>
    <w:rsid w:val="00A67307"/>
    <w:rsid w:val="00A673D3"/>
    <w:rsid w:val="00A6792F"/>
    <w:rsid w:val="00A67AEF"/>
    <w:rsid w:val="00A67F7C"/>
    <w:rsid w:val="00A701E4"/>
    <w:rsid w:val="00A70510"/>
    <w:rsid w:val="00A70885"/>
    <w:rsid w:val="00A70D5D"/>
    <w:rsid w:val="00A710FD"/>
    <w:rsid w:val="00A712AF"/>
    <w:rsid w:val="00A71643"/>
    <w:rsid w:val="00A71CF8"/>
    <w:rsid w:val="00A72B76"/>
    <w:rsid w:val="00A72CA4"/>
    <w:rsid w:val="00A73457"/>
    <w:rsid w:val="00A73BC7"/>
    <w:rsid w:val="00A73F26"/>
    <w:rsid w:val="00A740E1"/>
    <w:rsid w:val="00A744E8"/>
    <w:rsid w:val="00A7458F"/>
    <w:rsid w:val="00A74E99"/>
    <w:rsid w:val="00A74F37"/>
    <w:rsid w:val="00A75269"/>
    <w:rsid w:val="00A758FE"/>
    <w:rsid w:val="00A763E2"/>
    <w:rsid w:val="00A76446"/>
    <w:rsid w:val="00A76A96"/>
    <w:rsid w:val="00A7787B"/>
    <w:rsid w:val="00A779C3"/>
    <w:rsid w:val="00A77A44"/>
    <w:rsid w:val="00A77CC6"/>
    <w:rsid w:val="00A804B8"/>
    <w:rsid w:val="00A8062A"/>
    <w:rsid w:val="00A80C64"/>
    <w:rsid w:val="00A80FE4"/>
    <w:rsid w:val="00A811DA"/>
    <w:rsid w:val="00A81D13"/>
    <w:rsid w:val="00A82306"/>
    <w:rsid w:val="00A82343"/>
    <w:rsid w:val="00A82695"/>
    <w:rsid w:val="00A82DD6"/>
    <w:rsid w:val="00A8315F"/>
    <w:rsid w:val="00A843D2"/>
    <w:rsid w:val="00A84590"/>
    <w:rsid w:val="00A84B71"/>
    <w:rsid w:val="00A8501B"/>
    <w:rsid w:val="00A85446"/>
    <w:rsid w:val="00A855D8"/>
    <w:rsid w:val="00A85A4F"/>
    <w:rsid w:val="00A863B3"/>
    <w:rsid w:val="00A86836"/>
    <w:rsid w:val="00A86958"/>
    <w:rsid w:val="00A86970"/>
    <w:rsid w:val="00A8698E"/>
    <w:rsid w:val="00A86AC1"/>
    <w:rsid w:val="00A86E91"/>
    <w:rsid w:val="00A87289"/>
    <w:rsid w:val="00A873EC"/>
    <w:rsid w:val="00A87BAF"/>
    <w:rsid w:val="00A87C19"/>
    <w:rsid w:val="00A907F1"/>
    <w:rsid w:val="00A9126D"/>
    <w:rsid w:val="00A9242E"/>
    <w:rsid w:val="00A92DC5"/>
    <w:rsid w:val="00A92F83"/>
    <w:rsid w:val="00A93D2A"/>
    <w:rsid w:val="00A93F89"/>
    <w:rsid w:val="00A94B48"/>
    <w:rsid w:val="00A94E71"/>
    <w:rsid w:val="00A9617E"/>
    <w:rsid w:val="00A961EE"/>
    <w:rsid w:val="00A97FCE"/>
    <w:rsid w:val="00AA01D2"/>
    <w:rsid w:val="00AA07CC"/>
    <w:rsid w:val="00AA0C58"/>
    <w:rsid w:val="00AA1050"/>
    <w:rsid w:val="00AA197B"/>
    <w:rsid w:val="00AA1B57"/>
    <w:rsid w:val="00AA1B95"/>
    <w:rsid w:val="00AA2CD1"/>
    <w:rsid w:val="00AA2F83"/>
    <w:rsid w:val="00AA38B5"/>
    <w:rsid w:val="00AA3F8C"/>
    <w:rsid w:val="00AA418F"/>
    <w:rsid w:val="00AA4350"/>
    <w:rsid w:val="00AA440F"/>
    <w:rsid w:val="00AA44BA"/>
    <w:rsid w:val="00AA474B"/>
    <w:rsid w:val="00AA4B6C"/>
    <w:rsid w:val="00AA5CF8"/>
    <w:rsid w:val="00AA6D3F"/>
    <w:rsid w:val="00AA6DBD"/>
    <w:rsid w:val="00AA715B"/>
    <w:rsid w:val="00AB0092"/>
    <w:rsid w:val="00AB034F"/>
    <w:rsid w:val="00AB06E1"/>
    <w:rsid w:val="00AB0859"/>
    <w:rsid w:val="00AB0889"/>
    <w:rsid w:val="00AB0C9C"/>
    <w:rsid w:val="00AB1E0B"/>
    <w:rsid w:val="00AB28A8"/>
    <w:rsid w:val="00AB2AE0"/>
    <w:rsid w:val="00AB333B"/>
    <w:rsid w:val="00AB3787"/>
    <w:rsid w:val="00AB4786"/>
    <w:rsid w:val="00AB5403"/>
    <w:rsid w:val="00AB5C1B"/>
    <w:rsid w:val="00AB5E87"/>
    <w:rsid w:val="00AB62D2"/>
    <w:rsid w:val="00AB6B95"/>
    <w:rsid w:val="00AC05A7"/>
    <w:rsid w:val="00AC08D2"/>
    <w:rsid w:val="00AC0AF9"/>
    <w:rsid w:val="00AC0F0E"/>
    <w:rsid w:val="00AC1CE9"/>
    <w:rsid w:val="00AC225B"/>
    <w:rsid w:val="00AC2656"/>
    <w:rsid w:val="00AC31D2"/>
    <w:rsid w:val="00AC3376"/>
    <w:rsid w:val="00AC3A78"/>
    <w:rsid w:val="00AC4B08"/>
    <w:rsid w:val="00AC5070"/>
    <w:rsid w:val="00AC6224"/>
    <w:rsid w:val="00AC638A"/>
    <w:rsid w:val="00AC73D8"/>
    <w:rsid w:val="00AC7614"/>
    <w:rsid w:val="00AC7675"/>
    <w:rsid w:val="00AC7DF4"/>
    <w:rsid w:val="00AC7F2B"/>
    <w:rsid w:val="00AC7FB4"/>
    <w:rsid w:val="00AD0395"/>
    <w:rsid w:val="00AD0462"/>
    <w:rsid w:val="00AD04D3"/>
    <w:rsid w:val="00AD0C0E"/>
    <w:rsid w:val="00AD0C47"/>
    <w:rsid w:val="00AD14FF"/>
    <w:rsid w:val="00AD1640"/>
    <w:rsid w:val="00AD182A"/>
    <w:rsid w:val="00AD184C"/>
    <w:rsid w:val="00AD2B9E"/>
    <w:rsid w:val="00AD2C02"/>
    <w:rsid w:val="00AD3585"/>
    <w:rsid w:val="00AD41A2"/>
    <w:rsid w:val="00AD4311"/>
    <w:rsid w:val="00AD4374"/>
    <w:rsid w:val="00AD4968"/>
    <w:rsid w:val="00AD567A"/>
    <w:rsid w:val="00AD5CD2"/>
    <w:rsid w:val="00AD5F07"/>
    <w:rsid w:val="00AD60CE"/>
    <w:rsid w:val="00AD61DB"/>
    <w:rsid w:val="00AD62FF"/>
    <w:rsid w:val="00AD64A3"/>
    <w:rsid w:val="00AD6951"/>
    <w:rsid w:val="00AD6F0E"/>
    <w:rsid w:val="00AD7133"/>
    <w:rsid w:val="00AD7C91"/>
    <w:rsid w:val="00AE0833"/>
    <w:rsid w:val="00AE12B7"/>
    <w:rsid w:val="00AE181B"/>
    <w:rsid w:val="00AE1931"/>
    <w:rsid w:val="00AE1A75"/>
    <w:rsid w:val="00AE499F"/>
    <w:rsid w:val="00AE4A2E"/>
    <w:rsid w:val="00AE4C5F"/>
    <w:rsid w:val="00AE5835"/>
    <w:rsid w:val="00AE5AEE"/>
    <w:rsid w:val="00AE6542"/>
    <w:rsid w:val="00AE68A4"/>
    <w:rsid w:val="00AE7586"/>
    <w:rsid w:val="00AE7E8D"/>
    <w:rsid w:val="00AE7F20"/>
    <w:rsid w:val="00AF07AB"/>
    <w:rsid w:val="00AF0EE9"/>
    <w:rsid w:val="00AF220D"/>
    <w:rsid w:val="00AF270A"/>
    <w:rsid w:val="00AF2893"/>
    <w:rsid w:val="00AF2ED3"/>
    <w:rsid w:val="00AF2F4A"/>
    <w:rsid w:val="00AF3537"/>
    <w:rsid w:val="00AF376E"/>
    <w:rsid w:val="00AF37EB"/>
    <w:rsid w:val="00AF4060"/>
    <w:rsid w:val="00AF41B1"/>
    <w:rsid w:val="00AF42AC"/>
    <w:rsid w:val="00AF4771"/>
    <w:rsid w:val="00AF4843"/>
    <w:rsid w:val="00AF4D1A"/>
    <w:rsid w:val="00AF5324"/>
    <w:rsid w:val="00AF69BA"/>
    <w:rsid w:val="00AF6D73"/>
    <w:rsid w:val="00AF71F3"/>
    <w:rsid w:val="00AF7396"/>
    <w:rsid w:val="00AF7740"/>
    <w:rsid w:val="00AF7B17"/>
    <w:rsid w:val="00AF7EFB"/>
    <w:rsid w:val="00B007F4"/>
    <w:rsid w:val="00B00D2D"/>
    <w:rsid w:val="00B0169B"/>
    <w:rsid w:val="00B01C94"/>
    <w:rsid w:val="00B01D85"/>
    <w:rsid w:val="00B02CA2"/>
    <w:rsid w:val="00B02DB2"/>
    <w:rsid w:val="00B03019"/>
    <w:rsid w:val="00B036F4"/>
    <w:rsid w:val="00B0390A"/>
    <w:rsid w:val="00B04147"/>
    <w:rsid w:val="00B04240"/>
    <w:rsid w:val="00B0437A"/>
    <w:rsid w:val="00B04F21"/>
    <w:rsid w:val="00B05259"/>
    <w:rsid w:val="00B054FA"/>
    <w:rsid w:val="00B05E1C"/>
    <w:rsid w:val="00B064E8"/>
    <w:rsid w:val="00B06847"/>
    <w:rsid w:val="00B06B09"/>
    <w:rsid w:val="00B06D06"/>
    <w:rsid w:val="00B06D4C"/>
    <w:rsid w:val="00B075B4"/>
    <w:rsid w:val="00B101C6"/>
    <w:rsid w:val="00B10527"/>
    <w:rsid w:val="00B108C9"/>
    <w:rsid w:val="00B11104"/>
    <w:rsid w:val="00B113BA"/>
    <w:rsid w:val="00B1168D"/>
    <w:rsid w:val="00B1183D"/>
    <w:rsid w:val="00B12189"/>
    <w:rsid w:val="00B123EF"/>
    <w:rsid w:val="00B13253"/>
    <w:rsid w:val="00B147EE"/>
    <w:rsid w:val="00B15281"/>
    <w:rsid w:val="00B164CB"/>
    <w:rsid w:val="00B1706D"/>
    <w:rsid w:val="00B17121"/>
    <w:rsid w:val="00B17386"/>
    <w:rsid w:val="00B176E0"/>
    <w:rsid w:val="00B17C2A"/>
    <w:rsid w:val="00B17DE5"/>
    <w:rsid w:val="00B17F98"/>
    <w:rsid w:val="00B2064D"/>
    <w:rsid w:val="00B2080E"/>
    <w:rsid w:val="00B20B30"/>
    <w:rsid w:val="00B20F0F"/>
    <w:rsid w:val="00B212E2"/>
    <w:rsid w:val="00B2144C"/>
    <w:rsid w:val="00B21BA9"/>
    <w:rsid w:val="00B22414"/>
    <w:rsid w:val="00B2249C"/>
    <w:rsid w:val="00B22586"/>
    <w:rsid w:val="00B22765"/>
    <w:rsid w:val="00B22CCE"/>
    <w:rsid w:val="00B22D1D"/>
    <w:rsid w:val="00B22DE3"/>
    <w:rsid w:val="00B23801"/>
    <w:rsid w:val="00B23B21"/>
    <w:rsid w:val="00B23D1F"/>
    <w:rsid w:val="00B23E41"/>
    <w:rsid w:val="00B240A1"/>
    <w:rsid w:val="00B240B5"/>
    <w:rsid w:val="00B24328"/>
    <w:rsid w:val="00B247D0"/>
    <w:rsid w:val="00B24970"/>
    <w:rsid w:val="00B24E2C"/>
    <w:rsid w:val="00B25313"/>
    <w:rsid w:val="00B254A3"/>
    <w:rsid w:val="00B25720"/>
    <w:rsid w:val="00B2612F"/>
    <w:rsid w:val="00B2718A"/>
    <w:rsid w:val="00B271D2"/>
    <w:rsid w:val="00B272B2"/>
    <w:rsid w:val="00B272CC"/>
    <w:rsid w:val="00B27339"/>
    <w:rsid w:val="00B27A37"/>
    <w:rsid w:val="00B301F4"/>
    <w:rsid w:val="00B305F1"/>
    <w:rsid w:val="00B30BD9"/>
    <w:rsid w:val="00B3105A"/>
    <w:rsid w:val="00B31ED0"/>
    <w:rsid w:val="00B32F2F"/>
    <w:rsid w:val="00B330CA"/>
    <w:rsid w:val="00B33477"/>
    <w:rsid w:val="00B33536"/>
    <w:rsid w:val="00B3363E"/>
    <w:rsid w:val="00B33723"/>
    <w:rsid w:val="00B3392D"/>
    <w:rsid w:val="00B33A27"/>
    <w:rsid w:val="00B34200"/>
    <w:rsid w:val="00B34C43"/>
    <w:rsid w:val="00B34CC6"/>
    <w:rsid w:val="00B34D3C"/>
    <w:rsid w:val="00B35571"/>
    <w:rsid w:val="00B3568C"/>
    <w:rsid w:val="00B357F0"/>
    <w:rsid w:val="00B35B4E"/>
    <w:rsid w:val="00B35B76"/>
    <w:rsid w:val="00B35CD9"/>
    <w:rsid w:val="00B35F60"/>
    <w:rsid w:val="00B360E2"/>
    <w:rsid w:val="00B361B4"/>
    <w:rsid w:val="00B36B5F"/>
    <w:rsid w:val="00B36F4A"/>
    <w:rsid w:val="00B37402"/>
    <w:rsid w:val="00B37839"/>
    <w:rsid w:val="00B37DD3"/>
    <w:rsid w:val="00B4022C"/>
    <w:rsid w:val="00B403A9"/>
    <w:rsid w:val="00B40560"/>
    <w:rsid w:val="00B4096E"/>
    <w:rsid w:val="00B419BB"/>
    <w:rsid w:val="00B41A59"/>
    <w:rsid w:val="00B41D12"/>
    <w:rsid w:val="00B41EDE"/>
    <w:rsid w:val="00B42480"/>
    <w:rsid w:val="00B42649"/>
    <w:rsid w:val="00B42905"/>
    <w:rsid w:val="00B42C06"/>
    <w:rsid w:val="00B43399"/>
    <w:rsid w:val="00B435E6"/>
    <w:rsid w:val="00B4394B"/>
    <w:rsid w:val="00B44811"/>
    <w:rsid w:val="00B44BF2"/>
    <w:rsid w:val="00B44EDA"/>
    <w:rsid w:val="00B46ACA"/>
    <w:rsid w:val="00B46B34"/>
    <w:rsid w:val="00B46B37"/>
    <w:rsid w:val="00B46DD7"/>
    <w:rsid w:val="00B46F50"/>
    <w:rsid w:val="00B47696"/>
    <w:rsid w:val="00B4790B"/>
    <w:rsid w:val="00B47A16"/>
    <w:rsid w:val="00B47A51"/>
    <w:rsid w:val="00B47E7F"/>
    <w:rsid w:val="00B47EFD"/>
    <w:rsid w:val="00B5023D"/>
    <w:rsid w:val="00B50828"/>
    <w:rsid w:val="00B509F2"/>
    <w:rsid w:val="00B50E69"/>
    <w:rsid w:val="00B5103E"/>
    <w:rsid w:val="00B515D5"/>
    <w:rsid w:val="00B51B66"/>
    <w:rsid w:val="00B522B5"/>
    <w:rsid w:val="00B5258E"/>
    <w:rsid w:val="00B52826"/>
    <w:rsid w:val="00B53055"/>
    <w:rsid w:val="00B532BD"/>
    <w:rsid w:val="00B54382"/>
    <w:rsid w:val="00B5445D"/>
    <w:rsid w:val="00B549A9"/>
    <w:rsid w:val="00B54B9E"/>
    <w:rsid w:val="00B55754"/>
    <w:rsid w:val="00B557E6"/>
    <w:rsid w:val="00B56099"/>
    <w:rsid w:val="00B560C4"/>
    <w:rsid w:val="00B562B7"/>
    <w:rsid w:val="00B56678"/>
    <w:rsid w:val="00B571E4"/>
    <w:rsid w:val="00B57333"/>
    <w:rsid w:val="00B60512"/>
    <w:rsid w:val="00B60EBF"/>
    <w:rsid w:val="00B61269"/>
    <w:rsid w:val="00B6161B"/>
    <w:rsid w:val="00B617B1"/>
    <w:rsid w:val="00B61A4F"/>
    <w:rsid w:val="00B62458"/>
    <w:rsid w:val="00B626BA"/>
    <w:rsid w:val="00B62C4F"/>
    <w:rsid w:val="00B6303A"/>
    <w:rsid w:val="00B633C7"/>
    <w:rsid w:val="00B64005"/>
    <w:rsid w:val="00B64390"/>
    <w:rsid w:val="00B64DA7"/>
    <w:rsid w:val="00B64FE0"/>
    <w:rsid w:val="00B65203"/>
    <w:rsid w:val="00B656EB"/>
    <w:rsid w:val="00B65928"/>
    <w:rsid w:val="00B66D46"/>
    <w:rsid w:val="00B6725A"/>
    <w:rsid w:val="00B6746D"/>
    <w:rsid w:val="00B676F6"/>
    <w:rsid w:val="00B67BA4"/>
    <w:rsid w:val="00B67F2E"/>
    <w:rsid w:val="00B70435"/>
    <w:rsid w:val="00B706E3"/>
    <w:rsid w:val="00B70961"/>
    <w:rsid w:val="00B70EC3"/>
    <w:rsid w:val="00B7131C"/>
    <w:rsid w:val="00B71B23"/>
    <w:rsid w:val="00B724F1"/>
    <w:rsid w:val="00B725CB"/>
    <w:rsid w:val="00B730D9"/>
    <w:rsid w:val="00B73517"/>
    <w:rsid w:val="00B7397C"/>
    <w:rsid w:val="00B73BC5"/>
    <w:rsid w:val="00B73CD8"/>
    <w:rsid w:val="00B74365"/>
    <w:rsid w:val="00B74968"/>
    <w:rsid w:val="00B752BD"/>
    <w:rsid w:val="00B75B89"/>
    <w:rsid w:val="00B75BBB"/>
    <w:rsid w:val="00B7619A"/>
    <w:rsid w:val="00B768D2"/>
    <w:rsid w:val="00B769B2"/>
    <w:rsid w:val="00B76B00"/>
    <w:rsid w:val="00B773B9"/>
    <w:rsid w:val="00B7768A"/>
    <w:rsid w:val="00B77C13"/>
    <w:rsid w:val="00B77FBA"/>
    <w:rsid w:val="00B80194"/>
    <w:rsid w:val="00B805B6"/>
    <w:rsid w:val="00B80820"/>
    <w:rsid w:val="00B80F86"/>
    <w:rsid w:val="00B8133E"/>
    <w:rsid w:val="00B81BD1"/>
    <w:rsid w:val="00B81E4C"/>
    <w:rsid w:val="00B81F26"/>
    <w:rsid w:val="00B82318"/>
    <w:rsid w:val="00B823EE"/>
    <w:rsid w:val="00B823F3"/>
    <w:rsid w:val="00B828DA"/>
    <w:rsid w:val="00B82CC2"/>
    <w:rsid w:val="00B834E9"/>
    <w:rsid w:val="00B83614"/>
    <w:rsid w:val="00B83686"/>
    <w:rsid w:val="00B83AF2"/>
    <w:rsid w:val="00B84DDF"/>
    <w:rsid w:val="00B85160"/>
    <w:rsid w:val="00B854C5"/>
    <w:rsid w:val="00B85D0B"/>
    <w:rsid w:val="00B85EF3"/>
    <w:rsid w:val="00B87046"/>
    <w:rsid w:val="00B87E41"/>
    <w:rsid w:val="00B91102"/>
    <w:rsid w:val="00B912AC"/>
    <w:rsid w:val="00B914F6"/>
    <w:rsid w:val="00B916E2"/>
    <w:rsid w:val="00B92245"/>
    <w:rsid w:val="00B92585"/>
    <w:rsid w:val="00B925C4"/>
    <w:rsid w:val="00B93032"/>
    <w:rsid w:val="00B93241"/>
    <w:rsid w:val="00B933FA"/>
    <w:rsid w:val="00B93407"/>
    <w:rsid w:val="00B93A47"/>
    <w:rsid w:val="00B93BC4"/>
    <w:rsid w:val="00B93DB5"/>
    <w:rsid w:val="00B9446E"/>
    <w:rsid w:val="00B94636"/>
    <w:rsid w:val="00B94680"/>
    <w:rsid w:val="00B949C3"/>
    <w:rsid w:val="00B95056"/>
    <w:rsid w:val="00B951C3"/>
    <w:rsid w:val="00B95544"/>
    <w:rsid w:val="00B95695"/>
    <w:rsid w:val="00B9588F"/>
    <w:rsid w:val="00B95C9C"/>
    <w:rsid w:val="00B95DBD"/>
    <w:rsid w:val="00B95EAA"/>
    <w:rsid w:val="00B96192"/>
    <w:rsid w:val="00B96530"/>
    <w:rsid w:val="00B96672"/>
    <w:rsid w:val="00B973A5"/>
    <w:rsid w:val="00B9781F"/>
    <w:rsid w:val="00B97D6A"/>
    <w:rsid w:val="00BA0DA5"/>
    <w:rsid w:val="00BA0E48"/>
    <w:rsid w:val="00BA1CF8"/>
    <w:rsid w:val="00BA1D19"/>
    <w:rsid w:val="00BA1DB6"/>
    <w:rsid w:val="00BA44F2"/>
    <w:rsid w:val="00BA4DED"/>
    <w:rsid w:val="00BA4FD6"/>
    <w:rsid w:val="00BA507F"/>
    <w:rsid w:val="00BA67AE"/>
    <w:rsid w:val="00BA6A98"/>
    <w:rsid w:val="00BA6B7B"/>
    <w:rsid w:val="00BA7537"/>
    <w:rsid w:val="00BA7AC2"/>
    <w:rsid w:val="00BA7D81"/>
    <w:rsid w:val="00BB087E"/>
    <w:rsid w:val="00BB0DEE"/>
    <w:rsid w:val="00BB0E23"/>
    <w:rsid w:val="00BB1310"/>
    <w:rsid w:val="00BB1315"/>
    <w:rsid w:val="00BB195E"/>
    <w:rsid w:val="00BB1E7D"/>
    <w:rsid w:val="00BB23D0"/>
    <w:rsid w:val="00BB2504"/>
    <w:rsid w:val="00BB2B03"/>
    <w:rsid w:val="00BB2C58"/>
    <w:rsid w:val="00BB2D54"/>
    <w:rsid w:val="00BB392C"/>
    <w:rsid w:val="00BB4C56"/>
    <w:rsid w:val="00BB5246"/>
    <w:rsid w:val="00BB5472"/>
    <w:rsid w:val="00BB5FDE"/>
    <w:rsid w:val="00BB66A6"/>
    <w:rsid w:val="00BB75D0"/>
    <w:rsid w:val="00BB77D7"/>
    <w:rsid w:val="00BC04B0"/>
    <w:rsid w:val="00BC0ADD"/>
    <w:rsid w:val="00BC1556"/>
    <w:rsid w:val="00BC1720"/>
    <w:rsid w:val="00BC238C"/>
    <w:rsid w:val="00BC2C96"/>
    <w:rsid w:val="00BC2E45"/>
    <w:rsid w:val="00BC2E93"/>
    <w:rsid w:val="00BC32E2"/>
    <w:rsid w:val="00BC38CD"/>
    <w:rsid w:val="00BC4149"/>
    <w:rsid w:val="00BC5A2A"/>
    <w:rsid w:val="00BC608A"/>
    <w:rsid w:val="00BC664B"/>
    <w:rsid w:val="00BC6699"/>
    <w:rsid w:val="00BC69C3"/>
    <w:rsid w:val="00BC6B6E"/>
    <w:rsid w:val="00BC704B"/>
    <w:rsid w:val="00BC7791"/>
    <w:rsid w:val="00BC784B"/>
    <w:rsid w:val="00BD034E"/>
    <w:rsid w:val="00BD150A"/>
    <w:rsid w:val="00BD19B8"/>
    <w:rsid w:val="00BD1C63"/>
    <w:rsid w:val="00BD1EF6"/>
    <w:rsid w:val="00BD23A4"/>
    <w:rsid w:val="00BD2606"/>
    <w:rsid w:val="00BD2893"/>
    <w:rsid w:val="00BD289E"/>
    <w:rsid w:val="00BD2B10"/>
    <w:rsid w:val="00BD2B1F"/>
    <w:rsid w:val="00BD2B7C"/>
    <w:rsid w:val="00BD33B3"/>
    <w:rsid w:val="00BD368E"/>
    <w:rsid w:val="00BD3CE0"/>
    <w:rsid w:val="00BD3FF3"/>
    <w:rsid w:val="00BD4071"/>
    <w:rsid w:val="00BD4A52"/>
    <w:rsid w:val="00BD54EA"/>
    <w:rsid w:val="00BD575D"/>
    <w:rsid w:val="00BD5AC5"/>
    <w:rsid w:val="00BD5D10"/>
    <w:rsid w:val="00BD5EAA"/>
    <w:rsid w:val="00BD6482"/>
    <w:rsid w:val="00BD6753"/>
    <w:rsid w:val="00BD7033"/>
    <w:rsid w:val="00BD7176"/>
    <w:rsid w:val="00BD7D6F"/>
    <w:rsid w:val="00BD7EB4"/>
    <w:rsid w:val="00BE00FD"/>
    <w:rsid w:val="00BE046B"/>
    <w:rsid w:val="00BE0605"/>
    <w:rsid w:val="00BE0606"/>
    <w:rsid w:val="00BE1280"/>
    <w:rsid w:val="00BE1834"/>
    <w:rsid w:val="00BE1A39"/>
    <w:rsid w:val="00BE1C93"/>
    <w:rsid w:val="00BE225D"/>
    <w:rsid w:val="00BE3312"/>
    <w:rsid w:val="00BE346D"/>
    <w:rsid w:val="00BE389B"/>
    <w:rsid w:val="00BE4223"/>
    <w:rsid w:val="00BE45E1"/>
    <w:rsid w:val="00BE4625"/>
    <w:rsid w:val="00BE5530"/>
    <w:rsid w:val="00BE56AF"/>
    <w:rsid w:val="00BE5B01"/>
    <w:rsid w:val="00BE5C64"/>
    <w:rsid w:val="00BE5D56"/>
    <w:rsid w:val="00BE5F05"/>
    <w:rsid w:val="00BE60AB"/>
    <w:rsid w:val="00BE6492"/>
    <w:rsid w:val="00BE6EE9"/>
    <w:rsid w:val="00BE72CB"/>
    <w:rsid w:val="00BE7682"/>
    <w:rsid w:val="00BE7CDD"/>
    <w:rsid w:val="00BF0E7B"/>
    <w:rsid w:val="00BF0F08"/>
    <w:rsid w:val="00BF12E2"/>
    <w:rsid w:val="00BF16A5"/>
    <w:rsid w:val="00BF1810"/>
    <w:rsid w:val="00BF1CDD"/>
    <w:rsid w:val="00BF1E20"/>
    <w:rsid w:val="00BF2145"/>
    <w:rsid w:val="00BF24C1"/>
    <w:rsid w:val="00BF2583"/>
    <w:rsid w:val="00BF2E91"/>
    <w:rsid w:val="00BF35DB"/>
    <w:rsid w:val="00BF3CDA"/>
    <w:rsid w:val="00BF4063"/>
    <w:rsid w:val="00BF4103"/>
    <w:rsid w:val="00BF4D5F"/>
    <w:rsid w:val="00BF65FF"/>
    <w:rsid w:val="00BF6A44"/>
    <w:rsid w:val="00BF76E1"/>
    <w:rsid w:val="00BF7BBB"/>
    <w:rsid w:val="00C00D42"/>
    <w:rsid w:val="00C01738"/>
    <w:rsid w:val="00C01B92"/>
    <w:rsid w:val="00C02886"/>
    <w:rsid w:val="00C0293C"/>
    <w:rsid w:val="00C02C8D"/>
    <w:rsid w:val="00C036BC"/>
    <w:rsid w:val="00C03896"/>
    <w:rsid w:val="00C0424A"/>
    <w:rsid w:val="00C047D0"/>
    <w:rsid w:val="00C04ED6"/>
    <w:rsid w:val="00C0511E"/>
    <w:rsid w:val="00C05C55"/>
    <w:rsid w:val="00C061AD"/>
    <w:rsid w:val="00C06384"/>
    <w:rsid w:val="00C0680D"/>
    <w:rsid w:val="00C06ED9"/>
    <w:rsid w:val="00C070E3"/>
    <w:rsid w:val="00C074E8"/>
    <w:rsid w:val="00C0773D"/>
    <w:rsid w:val="00C078F7"/>
    <w:rsid w:val="00C07EC4"/>
    <w:rsid w:val="00C07ECA"/>
    <w:rsid w:val="00C10359"/>
    <w:rsid w:val="00C1043C"/>
    <w:rsid w:val="00C104A4"/>
    <w:rsid w:val="00C11665"/>
    <w:rsid w:val="00C11C53"/>
    <w:rsid w:val="00C11F17"/>
    <w:rsid w:val="00C121DF"/>
    <w:rsid w:val="00C1237D"/>
    <w:rsid w:val="00C12643"/>
    <w:rsid w:val="00C126E4"/>
    <w:rsid w:val="00C12CB0"/>
    <w:rsid w:val="00C12CCF"/>
    <w:rsid w:val="00C1304C"/>
    <w:rsid w:val="00C13BD8"/>
    <w:rsid w:val="00C148E4"/>
    <w:rsid w:val="00C14B63"/>
    <w:rsid w:val="00C14D87"/>
    <w:rsid w:val="00C153F3"/>
    <w:rsid w:val="00C15D94"/>
    <w:rsid w:val="00C17045"/>
    <w:rsid w:val="00C171BF"/>
    <w:rsid w:val="00C17AB0"/>
    <w:rsid w:val="00C17B82"/>
    <w:rsid w:val="00C17FF0"/>
    <w:rsid w:val="00C20057"/>
    <w:rsid w:val="00C202FC"/>
    <w:rsid w:val="00C209DC"/>
    <w:rsid w:val="00C20B33"/>
    <w:rsid w:val="00C21AB0"/>
    <w:rsid w:val="00C21AF4"/>
    <w:rsid w:val="00C21B20"/>
    <w:rsid w:val="00C21D3E"/>
    <w:rsid w:val="00C21E2D"/>
    <w:rsid w:val="00C237A0"/>
    <w:rsid w:val="00C24406"/>
    <w:rsid w:val="00C248EA"/>
    <w:rsid w:val="00C24B57"/>
    <w:rsid w:val="00C257EF"/>
    <w:rsid w:val="00C261F7"/>
    <w:rsid w:val="00C26E04"/>
    <w:rsid w:val="00C26ECB"/>
    <w:rsid w:val="00C3004C"/>
    <w:rsid w:val="00C30466"/>
    <w:rsid w:val="00C305CD"/>
    <w:rsid w:val="00C30E18"/>
    <w:rsid w:val="00C30EAE"/>
    <w:rsid w:val="00C310BC"/>
    <w:rsid w:val="00C31470"/>
    <w:rsid w:val="00C32445"/>
    <w:rsid w:val="00C324FD"/>
    <w:rsid w:val="00C328FB"/>
    <w:rsid w:val="00C331EF"/>
    <w:rsid w:val="00C3373E"/>
    <w:rsid w:val="00C337DD"/>
    <w:rsid w:val="00C339D0"/>
    <w:rsid w:val="00C33F85"/>
    <w:rsid w:val="00C342FB"/>
    <w:rsid w:val="00C34926"/>
    <w:rsid w:val="00C34EAB"/>
    <w:rsid w:val="00C355F5"/>
    <w:rsid w:val="00C355FA"/>
    <w:rsid w:val="00C358D9"/>
    <w:rsid w:val="00C364D3"/>
    <w:rsid w:val="00C36A8E"/>
    <w:rsid w:val="00C36A9E"/>
    <w:rsid w:val="00C36CE3"/>
    <w:rsid w:val="00C36E69"/>
    <w:rsid w:val="00C375D4"/>
    <w:rsid w:val="00C37854"/>
    <w:rsid w:val="00C37BF1"/>
    <w:rsid w:val="00C37D01"/>
    <w:rsid w:val="00C37FC0"/>
    <w:rsid w:val="00C4055E"/>
    <w:rsid w:val="00C4078D"/>
    <w:rsid w:val="00C4081D"/>
    <w:rsid w:val="00C4091C"/>
    <w:rsid w:val="00C40CE4"/>
    <w:rsid w:val="00C41BDC"/>
    <w:rsid w:val="00C41CF7"/>
    <w:rsid w:val="00C41F52"/>
    <w:rsid w:val="00C42018"/>
    <w:rsid w:val="00C4262E"/>
    <w:rsid w:val="00C4296D"/>
    <w:rsid w:val="00C430AD"/>
    <w:rsid w:val="00C43BF2"/>
    <w:rsid w:val="00C4468C"/>
    <w:rsid w:val="00C44DF9"/>
    <w:rsid w:val="00C44E09"/>
    <w:rsid w:val="00C4539F"/>
    <w:rsid w:val="00C45DBA"/>
    <w:rsid w:val="00C45FB9"/>
    <w:rsid w:val="00C46380"/>
    <w:rsid w:val="00C46B18"/>
    <w:rsid w:val="00C46E4A"/>
    <w:rsid w:val="00C50CCC"/>
    <w:rsid w:val="00C50F35"/>
    <w:rsid w:val="00C511E1"/>
    <w:rsid w:val="00C5158E"/>
    <w:rsid w:val="00C51799"/>
    <w:rsid w:val="00C51F35"/>
    <w:rsid w:val="00C5243B"/>
    <w:rsid w:val="00C52EA8"/>
    <w:rsid w:val="00C53123"/>
    <w:rsid w:val="00C53B4C"/>
    <w:rsid w:val="00C53CFC"/>
    <w:rsid w:val="00C546CA"/>
    <w:rsid w:val="00C54817"/>
    <w:rsid w:val="00C54D7B"/>
    <w:rsid w:val="00C54DFE"/>
    <w:rsid w:val="00C557AF"/>
    <w:rsid w:val="00C558E4"/>
    <w:rsid w:val="00C55F75"/>
    <w:rsid w:val="00C570F2"/>
    <w:rsid w:val="00C57A76"/>
    <w:rsid w:val="00C57FFC"/>
    <w:rsid w:val="00C605E5"/>
    <w:rsid w:val="00C606BE"/>
    <w:rsid w:val="00C60771"/>
    <w:rsid w:val="00C6106A"/>
    <w:rsid w:val="00C612F7"/>
    <w:rsid w:val="00C622D6"/>
    <w:rsid w:val="00C629AB"/>
    <w:rsid w:val="00C62C59"/>
    <w:rsid w:val="00C62FE7"/>
    <w:rsid w:val="00C63BC3"/>
    <w:rsid w:val="00C64A5F"/>
    <w:rsid w:val="00C64D75"/>
    <w:rsid w:val="00C65199"/>
    <w:rsid w:val="00C65541"/>
    <w:rsid w:val="00C659BC"/>
    <w:rsid w:val="00C65E62"/>
    <w:rsid w:val="00C66B5E"/>
    <w:rsid w:val="00C66C06"/>
    <w:rsid w:val="00C67320"/>
    <w:rsid w:val="00C67CDE"/>
    <w:rsid w:val="00C67DA3"/>
    <w:rsid w:val="00C707E8"/>
    <w:rsid w:val="00C7096B"/>
    <w:rsid w:val="00C70D98"/>
    <w:rsid w:val="00C72152"/>
    <w:rsid w:val="00C7291A"/>
    <w:rsid w:val="00C739FA"/>
    <w:rsid w:val="00C743C1"/>
    <w:rsid w:val="00C74F38"/>
    <w:rsid w:val="00C750C7"/>
    <w:rsid w:val="00C75365"/>
    <w:rsid w:val="00C754CC"/>
    <w:rsid w:val="00C754F4"/>
    <w:rsid w:val="00C75B95"/>
    <w:rsid w:val="00C75C40"/>
    <w:rsid w:val="00C76232"/>
    <w:rsid w:val="00C766E2"/>
    <w:rsid w:val="00C76C01"/>
    <w:rsid w:val="00C77529"/>
    <w:rsid w:val="00C800DE"/>
    <w:rsid w:val="00C80CA3"/>
    <w:rsid w:val="00C8131D"/>
    <w:rsid w:val="00C8181F"/>
    <w:rsid w:val="00C82520"/>
    <w:rsid w:val="00C82D90"/>
    <w:rsid w:val="00C830F3"/>
    <w:rsid w:val="00C83491"/>
    <w:rsid w:val="00C834D1"/>
    <w:rsid w:val="00C83A79"/>
    <w:rsid w:val="00C842D0"/>
    <w:rsid w:val="00C84E92"/>
    <w:rsid w:val="00C858FB"/>
    <w:rsid w:val="00C85E46"/>
    <w:rsid w:val="00C85FC4"/>
    <w:rsid w:val="00C86058"/>
    <w:rsid w:val="00C871DD"/>
    <w:rsid w:val="00C87894"/>
    <w:rsid w:val="00C903C9"/>
    <w:rsid w:val="00C90FC7"/>
    <w:rsid w:val="00C91BA1"/>
    <w:rsid w:val="00C91E85"/>
    <w:rsid w:val="00C91EE3"/>
    <w:rsid w:val="00C92067"/>
    <w:rsid w:val="00C9238C"/>
    <w:rsid w:val="00C92DD7"/>
    <w:rsid w:val="00C92E7B"/>
    <w:rsid w:val="00C93A15"/>
    <w:rsid w:val="00C93F65"/>
    <w:rsid w:val="00C942F8"/>
    <w:rsid w:val="00C94485"/>
    <w:rsid w:val="00C94550"/>
    <w:rsid w:val="00C9505D"/>
    <w:rsid w:val="00C956AE"/>
    <w:rsid w:val="00C96D0A"/>
    <w:rsid w:val="00C96F7C"/>
    <w:rsid w:val="00C9714B"/>
    <w:rsid w:val="00C971E8"/>
    <w:rsid w:val="00CA0070"/>
    <w:rsid w:val="00CA01A2"/>
    <w:rsid w:val="00CA01AB"/>
    <w:rsid w:val="00CA0337"/>
    <w:rsid w:val="00CA1C19"/>
    <w:rsid w:val="00CA1C1D"/>
    <w:rsid w:val="00CA1E89"/>
    <w:rsid w:val="00CA1F1A"/>
    <w:rsid w:val="00CA211A"/>
    <w:rsid w:val="00CA243E"/>
    <w:rsid w:val="00CA24E3"/>
    <w:rsid w:val="00CA255B"/>
    <w:rsid w:val="00CA2BC4"/>
    <w:rsid w:val="00CA2C60"/>
    <w:rsid w:val="00CA2CA3"/>
    <w:rsid w:val="00CA434C"/>
    <w:rsid w:val="00CA49E7"/>
    <w:rsid w:val="00CA5873"/>
    <w:rsid w:val="00CA5E36"/>
    <w:rsid w:val="00CA65BA"/>
    <w:rsid w:val="00CA7394"/>
    <w:rsid w:val="00CA7AAE"/>
    <w:rsid w:val="00CA7C41"/>
    <w:rsid w:val="00CB0201"/>
    <w:rsid w:val="00CB0805"/>
    <w:rsid w:val="00CB0FEA"/>
    <w:rsid w:val="00CB1B66"/>
    <w:rsid w:val="00CB1CE3"/>
    <w:rsid w:val="00CB2FA4"/>
    <w:rsid w:val="00CB3750"/>
    <w:rsid w:val="00CB3C63"/>
    <w:rsid w:val="00CB64CF"/>
    <w:rsid w:val="00CB69E5"/>
    <w:rsid w:val="00CB6D8D"/>
    <w:rsid w:val="00CB6DA8"/>
    <w:rsid w:val="00CB73D0"/>
    <w:rsid w:val="00CB740D"/>
    <w:rsid w:val="00CB76F1"/>
    <w:rsid w:val="00CB7B43"/>
    <w:rsid w:val="00CB7BF5"/>
    <w:rsid w:val="00CB7F44"/>
    <w:rsid w:val="00CC0134"/>
    <w:rsid w:val="00CC0176"/>
    <w:rsid w:val="00CC04A0"/>
    <w:rsid w:val="00CC0510"/>
    <w:rsid w:val="00CC07EE"/>
    <w:rsid w:val="00CC0CA8"/>
    <w:rsid w:val="00CC0D09"/>
    <w:rsid w:val="00CC15C0"/>
    <w:rsid w:val="00CC1AE6"/>
    <w:rsid w:val="00CC214F"/>
    <w:rsid w:val="00CC2469"/>
    <w:rsid w:val="00CC25BC"/>
    <w:rsid w:val="00CC28C9"/>
    <w:rsid w:val="00CC2F63"/>
    <w:rsid w:val="00CC3181"/>
    <w:rsid w:val="00CC31F5"/>
    <w:rsid w:val="00CC3294"/>
    <w:rsid w:val="00CC3503"/>
    <w:rsid w:val="00CC3F30"/>
    <w:rsid w:val="00CC484A"/>
    <w:rsid w:val="00CC4BB0"/>
    <w:rsid w:val="00CC64FD"/>
    <w:rsid w:val="00CC6E3F"/>
    <w:rsid w:val="00CC714F"/>
    <w:rsid w:val="00CC743E"/>
    <w:rsid w:val="00CC74BC"/>
    <w:rsid w:val="00CC7956"/>
    <w:rsid w:val="00CD0052"/>
    <w:rsid w:val="00CD08BC"/>
    <w:rsid w:val="00CD1ACF"/>
    <w:rsid w:val="00CD1B08"/>
    <w:rsid w:val="00CD1CD0"/>
    <w:rsid w:val="00CD1FAB"/>
    <w:rsid w:val="00CD24A6"/>
    <w:rsid w:val="00CD26B4"/>
    <w:rsid w:val="00CD307C"/>
    <w:rsid w:val="00CD446B"/>
    <w:rsid w:val="00CD5878"/>
    <w:rsid w:val="00CD6289"/>
    <w:rsid w:val="00CD6666"/>
    <w:rsid w:val="00CD6FF6"/>
    <w:rsid w:val="00CE066E"/>
    <w:rsid w:val="00CE083A"/>
    <w:rsid w:val="00CE0A27"/>
    <w:rsid w:val="00CE106D"/>
    <w:rsid w:val="00CE120E"/>
    <w:rsid w:val="00CE1467"/>
    <w:rsid w:val="00CE1A71"/>
    <w:rsid w:val="00CE1D5F"/>
    <w:rsid w:val="00CE218F"/>
    <w:rsid w:val="00CE252F"/>
    <w:rsid w:val="00CE260D"/>
    <w:rsid w:val="00CE2F66"/>
    <w:rsid w:val="00CE3361"/>
    <w:rsid w:val="00CE394A"/>
    <w:rsid w:val="00CE3ADE"/>
    <w:rsid w:val="00CE3DB9"/>
    <w:rsid w:val="00CE40EE"/>
    <w:rsid w:val="00CE421F"/>
    <w:rsid w:val="00CE5A72"/>
    <w:rsid w:val="00CE5B52"/>
    <w:rsid w:val="00CE5DCA"/>
    <w:rsid w:val="00CE6989"/>
    <w:rsid w:val="00CE6CF6"/>
    <w:rsid w:val="00CE6D54"/>
    <w:rsid w:val="00CE7334"/>
    <w:rsid w:val="00CE7821"/>
    <w:rsid w:val="00CF00E1"/>
    <w:rsid w:val="00CF0128"/>
    <w:rsid w:val="00CF04AD"/>
    <w:rsid w:val="00CF09C8"/>
    <w:rsid w:val="00CF0D79"/>
    <w:rsid w:val="00CF1360"/>
    <w:rsid w:val="00CF1578"/>
    <w:rsid w:val="00CF20F6"/>
    <w:rsid w:val="00CF2353"/>
    <w:rsid w:val="00CF26E5"/>
    <w:rsid w:val="00CF3568"/>
    <w:rsid w:val="00CF358E"/>
    <w:rsid w:val="00CF3B92"/>
    <w:rsid w:val="00CF3D16"/>
    <w:rsid w:val="00CF3DD3"/>
    <w:rsid w:val="00CF4592"/>
    <w:rsid w:val="00CF5717"/>
    <w:rsid w:val="00CF5A21"/>
    <w:rsid w:val="00CF62A6"/>
    <w:rsid w:val="00CF703B"/>
    <w:rsid w:val="00CF71CD"/>
    <w:rsid w:val="00CF7E55"/>
    <w:rsid w:val="00D00144"/>
    <w:rsid w:val="00D00812"/>
    <w:rsid w:val="00D00C00"/>
    <w:rsid w:val="00D01214"/>
    <w:rsid w:val="00D01593"/>
    <w:rsid w:val="00D01647"/>
    <w:rsid w:val="00D02005"/>
    <w:rsid w:val="00D02464"/>
    <w:rsid w:val="00D027E3"/>
    <w:rsid w:val="00D02FC0"/>
    <w:rsid w:val="00D0300F"/>
    <w:rsid w:val="00D03578"/>
    <w:rsid w:val="00D0377A"/>
    <w:rsid w:val="00D03937"/>
    <w:rsid w:val="00D048F6"/>
    <w:rsid w:val="00D04AC1"/>
    <w:rsid w:val="00D04E38"/>
    <w:rsid w:val="00D0507A"/>
    <w:rsid w:val="00D051AC"/>
    <w:rsid w:val="00D05EA9"/>
    <w:rsid w:val="00D05F58"/>
    <w:rsid w:val="00D06AAE"/>
    <w:rsid w:val="00D06D14"/>
    <w:rsid w:val="00D07301"/>
    <w:rsid w:val="00D07522"/>
    <w:rsid w:val="00D07F69"/>
    <w:rsid w:val="00D100AD"/>
    <w:rsid w:val="00D10B3F"/>
    <w:rsid w:val="00D10C2B"/>
    <w:rsid w:val="00D1141E"/>
    <w:rsid w:val="00D11AAA"/>
    <w:rsid w:val="00D11FF6"/>
    <w:rsid w:val="00D12A7E"/>
    <w:rsid w:val="00D13074"/>
    <w:rsid w:val="00D132A3"/>
    <w:rsid w:val="00D134EA"/>
    <w:rsid w:val="00D13545"/>
    <w:rsid w:val="00D13907"/>
    <w:rsid w:val="00D13938"/>
    <w:rsid w:val="00D13F60"/>
    <w:rsid w:val="00D142CB"/>
    <w:rsid w:val="00D143D2"/>
    <w:rsid w:val="00D149D7"/>
    <w:rsid w:val="00D14CB4"/>
    <w:rsid w:val="00D14EE9"/>
    <w:rsid w:val="00D15252"/>
    <w:rsid w:val="00D15837"/>
    <w:rsid w:val="00D15873"/>
    <w:rsid w:val="00D16786"/>
    <w:rsid w:val="00D169D2"/>
    <w:rsid w:val="00D16E3C"/>
    <w:rsid w:val="00D17573"/>
    <w:rsid w:val="00D177BD"/>
    <w:rsid w:val="00D203DF"/>
    <w:rsid w:val="00D20496"/>
    <w:rsid w:val="00D20EDF"/>
    <w:rsid w:val="00D211CE"/>
    <w:rsid w:val="00D21529"/>
    <w:rsid w:val="00D21774"/>
    <w:rsid w:val="00D21BB5"/>
    <w:rsid w:val="00D21ED7"/>
    <w:rsid w:val="00D222BA"/>
    <w:rsid w:val="00D227E1"/>
    <w:rsid w:val="00D2289D"/>
    <w:rsid w:val="00D229F0"/>
    <w:rsid w:val="00D2345A"/>
    <w:rsid w:val="00D23537"/>
    <w:rsid w:val="00D23D23"/>
    <w:rsid w:val="00D2414C"/>
    <w:rsid w:val="00D24460"/>
    <w:rsid w:val="00D24761"/>
    <w:rsid w:val="00D24926"/>
    <w:rsid w:val="00D24E55"/>
    <w:rsid w:val="00D24FF0"/>
    <w:rsid w:val="00D256B4"/>
    <w:rsid w:val="00D25B22"/>
    <w:rsid w:val="00D25C2A"/>
    <w:rsid w:val="00D26845"/>
    <w:rsid w:val="00D268F8"/>
    <w:rsid w:val="00D26F88"/>
    <w:rsid w:val="00D2739D"/>
    <w:rsid w:val="00D278D5"/>
    <w:rsid w:val="00D279C3"/>
    <w:rsid w:val="00D30F61"/>
    <w:rsid w:val="00D3178A"/>
    <w:rsid w:val="00D31BA4"/>
    <w:rsid w:val="00D31D9D"/>
    <w:rsid w:val="00D32146"/>
    <w:rsid w:val="00D323EA"/>
    <w:rsid w:val="00D32DF3"/>
    <w:rsid w:val="00D32E04"/>
    <w:rsid w:val="00D33237"/>
    <w:rsid w:val="00D332C4"/>
    <w:rsid w:val="00D332E7"/>
    <w:rsid w:val="00D335D4"/>
    <w:rsid w:val="00D33FD1"/>
    <w:rsid w:val="00D348A1"/>
    <w:rsid w:val="00D34929"/>
    <w:rsid w:val="00D34CA1"/>
    <w:rsid w:val="00D35257"/>
    <w:rsid w:val="00D35717"/>
    <w:rsid w:val="00D35A23"/>
    <w:rsid w:val="00D35AD5"/>
    <w:rsid w:val="00D35E00"/>
    <w:rsid w:val="00D35E0F"/>
    <w:rsid w:val="00D3600E"/>
    <w:rsid w:val="00D37403"/>
    <w:rsid w:val="00D376F6"/>
    <w:rsid w:val="00D40359"/>
    <w:rsid w:val="00D407AC"/>
    <w:rsid w:val="00D4082F"/>
    <w:rsid w:val="00D41931"/>
    <w:rsid w:val="00D41A5C"/>
    <w:rsid w:val="00D41FC2"/>
    <w:rsid w:val="00D431FB"/>
    <w:rsid w:val="00D432C3"/>
    <w:rsid w:val="00D43562"/>
    <w:rsid w:val="00D4365F"/>
    <w:rsid w:val="00D43948"/>
    <w:rsid w:val="00D44272"/>
    <w:rsid w:val="00D44278"/>
    <w:rsid w:val="00D44290"/>
    <w:rsid w:val="00D448FA"/>
    <w:rsid w:val="00D45160"/>
    <w:rsid w:val="00D45898"/>
    <w:rsid w:val="00D45935"/>
    <w:rsid w:val="00D46995"/>
    <w:rsid w:val="00D46999"/>
    <w:rsid w:val="00D46BA0"/>
    <w:rsid w:val="00D47A5D"/>
    <w:rsid w:val="00D47E1E"/>
    <w:rsid w:val="00D47FD9"/>
    <w:rsid w:val="00D5110B"/>
    <w:rsid w:val="00D51194"/>
    <w:rsid w:val="00D515DB"/>
    <w:rsid w:val="00D51773"/>
    <w:rsid w:val="00D51B93"/>
    <w:rsid w:val="00D52E20"/>
    <w:rsid w:val="00D53359"/>
    <w:rsid w:val="00D53664"/>
    <w:rsid w:val="00D536CA"/>
    <w:rsid w:val="00D53D7F"/>
    <w:rsid w:val="00D53E0F"/>
    <w:rsid w:val="00D53E12"/>
    <w:rsid w:val="00D544C1"/>
    <w:rsid w:val="00D5544D"/>
    <w:rsid w:val="00D55545"/>
    <w:rsid w:val="00D555A5"/>
    <w:rsid w:val="00D55ADA"/>
    <w:rsid w:val="00D55C78"/>
    <w:rsid w:val="00D564D5"/>
    <w:rsid w:val="00D56F57"/>
    <w:rsid w:val="00D57A07"/>
    <w:rsid w:val="00D57B09"/>
    <w:rsid w:val="00D57E41"/>
    <w:rsid w:val="00D601F6"/>
    <w:rsid w:val="00D604C6"/>
    <w:rsid w:val="00D60680"/>
    <w:rsid w:val="00D60BF7"/>
    <w:rsid w:val="00D60DC4"/>
    <w:rsid w:val="00D60FB4"/>
    <w:rsid w:val="00D61413"/>
    <w:rsid w:val="00D62397"/>
    <w:rsid w:val="00D6284A"/>
    <w:rsid w:val="00D62A5A"/>
    <w:rsid w:val="00D62FB4"/>
    <w:rsid w:val="00D632D3"/>
    <w:rsid w:val="00D63BD4"/>
    <w:rsid w:val="00D63CA9"/>
    <w:rsid w:val="00D641AE"/>
    <w:rsid w:val="00D64D52"/>
    <w:rsid w:val="00D65838"/>
    <w:rsid w:val="00D660CD"/>
    <w:rsid w:val="00D664D5"/>
    <w:rsid w:val="00D6666D"/>
    <w:rsid w:val="00D66AB8"/>
    <w:rsid w:val="00D67276"/>
    <w:rsid w:val="00D67697"/>
    <w:rsid w:val="00D67F31"/>
    <w:rsid w:val="00D703FC"/>
    <w:rsid w:val="00D70B0D"/>
    <w:rsid w:val="00D70B7A"/>
    <w:rsid w:val="00D712A1"/>
    <w:rsid w:val="00D7154A"/>
    <w:rsid w:val="00D717AD"/>
    <w:rsid w:val="00D71905"/>
    <w:rsid w:val="00D719C0"/>
    <w:rsid w:val="00D720A0"/>
    <w:rsid w:val="00D72AE0"/>
    <w:rsid w:val="00D731E4"/>
    <w:rsid w:val="00D73D02"/>
    <w:rsid w:val="00D73EBC"/>
    <w:rsid w:val="00D74100"/>
    <w:rsid w:val="00D74388"/>
    <w:rsid w:val="00D74845"/>
    <w:rsid w:val="00D74AFA"/>
    <w:rsid w:val="00D761C1"/>
    <w:rsid w:val="00D76224"/>
    <w:rsid w:val="00D76719"/>
    <w:rsid w:val="00D76B59"/>
    <w:rsid w:val="00D80219"/>
    <w:rsid w:val="00D8045E"/>
    <w:rsid w:val="00D80D9C"/>
    <w:rsid w:val="00D81710"/>
    <w:rsid w:val="00D81AFF"/>
    <w:rsid w:val="00D82088"/>
    <w:rsid w:val="00D82158"/>
    <w:rsid w:val="00D8236D"/>
    <w:rsid w:val="00D828F5"/>
    <w:rsid w:val="00D82D9E"/>
    <w:rsid w:val="00D8329F"/>
    <w:rsid w:val="00D83386"/>
    <w:rsid w:val="00D834F0"/>
    <w:rsid w:val="00D83DF4"/>
    <w:rsid w:val="00D8418A"/>
    <w:rsid w:val="00D84A48"/>
    <w:rsid w:val="00D85BAA"/>
    <w:rsid w:val="00D85CAD"/>
    <w:rsid w:val="00D85CC6"/>
    <w:rsid w:val="00D85E55"/>
    <w:rsid w:val="00D8668F"/>
    <w:rsid w:val="00D8670C"/>
    <w:rsid w:val="00D86802"/>
    <w:rsid w:val="00D8764F"/>
    <w:rsid w:val="00D87899"/>
    <w:rsid w:val="00D9021F"/>
    <w:rsid w:val="00D9098D"/>
    <w:rsid w:val="00D90A8F"/>
    <w:rsid w:val="00D90B88"/>
    <w:rsid w:val="00D90D1F"/>
    <w:rsid w:val="00D92002"/>
    <w:rsid w:val="00D92076"/>
    <w:rsid w:val="00D930C3"/>
    <w:rsid w:val="00D930D0"/>
    <w:rsid w:val="00D9362B"/>
    <w:rsid w:val="00D9365C"/>
    <w:rsid w:val="00D940E8"/>
    <w:rsid w:val="00D945B4"/>
    <w:rsid w:val="00D946E3"/>
    <w:rsid w:val="00D94A96"/>
    <w:rsid w:val="00D94BA3"/>
    <w:rsid w:val="00D94FAC"/>
    <w:rsid w:val="00D957DD"/>
    <w:rsid w:val="00D95DF0"/>
    <w:rsid w:val="00D962D8"/>
    <w:rsid w:val="00D96897"/>
    <w:rsid w:val="00D96D76"/>
    <w:rsid w:val="00D97938"/>
    <w:rsid w:val="00DA07CA"/>
    <w:rsid w:val="00DA1191"/>
    <w:rsid w:val="00DA16C4"/>
    <w:rsid w:val="00DA1CF6"/>
    <w:rsid w:val="00DA23C8"/>
    <w:rsid w:val="00DA25BD"/>
    <w:rsid w:val="00DA2995"/>
    <w:rsid w:val="00DA30E5"/>
    <w:rsid w:val="00DA360B"/>
    <w:rsid w:val="00DA4D9A"/>
    <w:rsid w:val="00DA4ECC"/>
    <w:rsid w:val="00DA50E6"/>
    <w:rsid w:val="00DA5798"/>
    <w:rsid w:val="00DA5C8F"/>
    <w:rsid w:val="00DA5F27"/>
    <w:rsid w:val="00DA688C"/>
    <w:rsid w:val="00DA68E5"/>
    <w:rsid w:val="00DA6B70"/>
    <w:rsid w:val="00DA6B8A"/>
    <w:rsid w:val="00DA6ED4"/>
    <w:rsid w:val="00DA739F"/>
    <w:rsid w:val="00DA7847"/>
    <w:rsid w:val="00DA7E11"/>
    <w:rsid w:val="00DB0863"/>
    <w:rsid w:val="00DB08FD"/>
    <w:rsid w:val="00DB1137"/>
    <w:rsid w:val="00DB1668"/>
    <w:rsid w:val="00DB18C4"/>
    <w:rsid w:val="00DB2040"/>
    <w:rsid w:val="00DB251C"/>
    <w:rsid w:val="00DB26D4"/>
    <w:rsid w:val="00DB27C0"/>
    <w:rsid w:val="00DB32D9"/>
    <w:rsid w:val="00DB3543"/>
    <w:rsid w:val="00DB3B54"/>
    <w:rsid w:val="00DB3C3F"/>
    <w:rsid w:val="00DB3E09"/>
    <w:rsid w:val="00DB3FE2"/>
    <w:rsid w:val="00DB4249"/>
    <w:rsid w:val="00DB4832"/>
    <w:rsid w:val="00DB48C4"/>
    <w:rsid w:val="00DB4ABE"/>
    <w:rsid w:val="00DB560E"/>
    <w:rsid w:val="00DB61F8"/>
    <w:rsid w:val="00DB6DA5"/>
    <w:rsid w:val="00DB6FDC"/>
    <w:rsid w:val="00DB74DE"/>
    <w:rsid w:val="00DB7791"/>
    <w:rsid w:val="00DB7948"/>
    <w:rsid w:val="00DB7F98"/>
    <w:rsid w:val="00DC06D6"/>
    <w:rsid w:val="00DC0964"/>
    <w:rsid w:val="00DC0B49"/>
    <w:rsid w:val="00DC0FCC"/>
    <w:rsid w:val="00DC1539"/>
    <w:rsid w:val="00DC2EA6"/>
    <w:rsid w:val="00DC2EF4"/>
    <w:rsid w:val="00DC3D63"/>
    <w:rsid w:val="00DC3ED3"/>
    <w:rsid w:val="00DC42DA"/>
    <w:rsid w:val="00DC444A"/>
    <w:rsid w:val="00DC4958"/>
    <w:rsid w:val="00DC4BAA"/>
    <w:rsid w:val="00DC4BCA"/>
    <w:rsid w:val="00DC4EEE"/>
    <w:rsid w:val="00DC5B61"/>
    <w:rsid w:val="00DC5C49"/>
    <w:rsid w:val="00DC5EF3"/>
    <w:rsid w:val="00DC5FAA"/>
    <w:rsid w:val="00DC6036"/>
    <w:rsid w:val="00DC64A5"/>
    <w:rsid w:val="00DC6E08"/>
    <w:rsid w:val="00DC6E92"/>
    <w:rsid w:val="00DC7562"/>
    <w:rsid w:val="00DC77C7"/>
    <w:rsid w:val="00DC783D"/>
    <w:rsid w:val="00DC7948"/>
    <w:rsid w:val="00DC7ECE"/>
    <w:rsid w:val="00DD0398"/>
    <w:rsid w:val="00DD043C"/>
    <w:rsid w:val="00DD0440"/>
    <w:rsid w:val="00DD05D1"/>
    <w:rsid w:val="00DD0D9A"/>
    <w:rsid w:val="00DD1565"/>
    <w:rsid w:val="00DD2757"/>
    <w:rsid w:val="00DD285A"/>
    <w:rsid w:val="00DD2AC1"/>
    <w:rsid w:val="00DD3316"/>
    <w:rsid w:val="00DD3586"/>
    <w:rsid w:val="00DD3B09"/>
    <w:rsid w:val="00DD41A1"/>
    <w:rsid w:val="00DD450E"/>
    <w:rsid w:val="00DD57DA"/>
    <w:rsid w:val="00DD5C86"/>
    <w:rsid w:val="00DD5CC5"/>
    <w:rsid w:val="00DD5E2E"/>
    <w:rsid w:val="00DD68CF"/>
    <w:rsid w:val="00DE04A3"/>
    <w:rsid w:val="00DE09D2"/>
    <w:rsid w:val="00DE0D67"/>
    <w:rsid w:val="00DE0EEB"/>
    <w:rsid w:val="00DE1107"/>
    <w:rsid w:val="00DE3458"/>
    <w:rsid w:val="00DE3654"/>
    <w:rsid w:val="00DE3BBB"/>
    <w:rsid w:val="00DE4384"/>
    <w:rsid w:val="00DE447D"/>
    <w:rsid w:val="00DE4D71"/>
    <w:rsid w:val="00DE4E6A"/>
    <w:rsid w:val="00DE4F1B"/>
    <w:rsid w:val="00DE56BE"/>
    <w:rsid w:val="00DE5CFC"/>
    <w:rsid w:val="00DE5E1B"/>
    <w:rsid w:val="00DE5F36"/>
    <w:rsid w:val="00DE6206"/>
    <w:rsid w:val="00DE6E4F"/>
    <w:rsid w:val="00DE6FC7"/>
    <w:rsid w:val="00DE6FCB"/>
    <w:rsid w:val="00DE7284"/>
    <w:rsid w:val="00DE74E8"/>
    <w:rsid w:val="00DE7E92"/>
    <w:rsid w:val="00DF016A"/>
    <w:rsid w:val="00DF0564"/>
    <w:rsid w:val="00DF06A3"/>
    <w:rsid w:val="00DF0B62"/>
    <w:rsid w:val="00DF0F8E"/>
    <w:rsid w:val="00DF1149"/>
    <w:rsid w:val="00DF16A1"/>
    <w:rsid w:val="00DF1853"/>
    <w:rsid w:val="00DF1F59"/>
    <w:rsid w:val="00DF21D1"/>
    <w:rsid w:val="00DF2ACA"/>
    <w:rsid w:val="00DF3960"/>
    <w:rsid w:val="00DF5203"/>
    <w:rsid w:val="00DF53BB"/>
    <w:rsid w:val="00DF55DD"/>
    <w:rsid w:val="00DF5D24"/>
    <w:rsid w:val="00DF60DA"/>
    <w:rsid w:val="00DF64AA"/>
    <w:rsid w:val="00DF64E0"/>
    <w:rsid w:val="00DF651F"/>
    <w:rsid w:val="00DF6762"/>
    <w:rsid w:val="00DF677D"/>
    <w:rsid w:val="00DF6B51"/>
    <w:rsid w:val="00DF6BD0"/>
    <w:rsid w:val="00DF71C3"/>
    <w:rsid w:val="00DF727D"/>
    <w:rsid w:val="00DF7E60"/>
    <w:rsid w:val="00E00059"/>
    <w:rsid w:val="00E000A3"/>
    <w:rsid w:val="00E0253F"/>
    <w:rsid w:val="00E02650"/>
    <w:rsid w:val="00E02B5B"/>
    <w:rsid w:val="00E03322"/>
    <w:rsid w:val="00E03513"/>
    <w:rsid w:val="00E03F15"/>
    <w:rsid w:val="00E03FF2"/>
    <w:rsid w:val="00E044AD"/>
    <w:rsid w:val="00E04761"/>
    <w:rsid w:val="00E0525B"/>
    <w:rsid w:val="00E053CB"/>
    <w:rsid w:val="00E05C5D"/>
    <w:rsid w:val="00E06283"/>
    <w:rsid w:val="00E06A03"/>
    <w:rsid w:val="00E06E50"/>
    <w:rsid w:val="00E073AE"/>
    <w:rsid w:val="00E103B6"/>
    <w:rsid w:val="00E10413"/>
    <w:rsid w:val="00E104B3"/>
    <w:rsid w:val="00E104B8"/>
    <w:rsid w:val="00E10718"/>
    <w:rsid w:val="00E10E7C"/>
    <w:rsid w:val="00E10F88"/>
    <w:rsid w:val="00E119D0"/>
    <w:rsid w:val="00E122F4"/>
    <w:rsid w:val="00E13363"/>
    <w:rsid w:val="00E13AD9"/>
    <w:rsid w:val="00E146F5"/>
    <w:rsid w:val="00E14B13"/>
    <w:rsid w:val="00E14B9F"/>
    <w:rsid w:val="00E14BDD"/>
    <w:rsid w:val="00E152D5"/>
    <w:rsid w:val="00E1585A"/>
    <w:rsid w:val="00E16043"/>
    <w:rsid w:val="00E16223"/>
    <w:rsid w:val="00E16CD6"/>
    <w:rsid w:val="00E1711D"/>
    <w:rsid w:val="00E1767C"/>
    <w:rsid w:val="00E17B91"/>
    <w:rsid w:val="00E17EB4"/>
    <w:rsid w:val="00E20063"/>
    <w:rsid w:val="00E20790"/>
    <w:rsid w:val="00E20911"/>
    <w:rsid w:val="00E21551"/>
    <w:rsid w:val="00E215A5"/>
    <w:rsid w:val="00E21D88"/>
    <w:rsid w:val="00E2239D"/>
    <w:rsid w:val="00E22E41"/>
    <w:rsid w:val="00E23261"/>
    <w:rsid w:val="00E23996"/>
    <w:rsid w:val="00E23FF0"/>
    <w:rsid w:val="00E24075"/>
    <w:rsid w:val="00E25E0B"/>
    <w:rsid w:val="00E25F58"/>
    <w:rsid w:val="00E266BF"/>
    <w:rsid w:val="00E267BD"/>
    <w:rsid w:val="00E267E7"/>
    <w:rsid w:val="00E2741E"/>
    <w:rsid w:val="00E27BD1"/>
    <w:rsid w:val="00E27C17"/>
    <w:rsid w:val="00E27F98"/>
    <w:rsid w:val="00E30298"/>
    <w:rsid w:val="00E30663"/>
    <w:rsid w:val="00E308F0"/>
    <w:rsid w:val="00E30CBB"/>
    <w:rsid w:val="00E31437"/>
    <w:rsid w:val="00E31683"/>
    <w:rsid w:val="00E32609"/>
    <w:rsid w:val="00E32D52"/>
    <w:rsid w:val="00E33423"/>
    <w:rsid w:val="00E334F4"/>
    <w:rsid w:val="00E33539"/>
    <w:rsid w:val="00E335FE"/>
    <w:rsid w:val="00E33866"/>
    <w:rsid w:val="00E33943"/>
    <w:rsid w:val="00E3504D"/>
    <w:rsid w:val="00E354DA"/>
    <w:rsid w:val="00E3561A"/>
    <w:rsid w:val="00E35B49"/>
    <w:rsid w:val="00E36E08"/>
    <w:rsid w:val="00E3705F"/>
    <w:rsid w:val="00E372BC"/>
    <w:rsid w:val="00E375DE"/>
    <w:rsid w:val="00E37E6F"/>
    <w:rsid w:val="00E40635"/>
    <w:rsid w:val="00E40FD7"/>
    <w:rsid w:val="00E4149B"/>
    <w:rsid w:val="00E414EE"/>
    <w:rsid w:val="00E41791"/>
    <w:rsid w:val="00E41CAD"/>
    <w:rsid w:val="00E42460"/>
    <w:rsid w:val="00E42724"/>
    <w:rsid w:val="00E4291F"/>
    <w:rsid w:val="00E429A9"/>
    <w:rsid w:val="00E43524"/>
    <w:rsid w:val="00E44209"/>
    <w:rsid w:val="00E44B39"/>
    <w:rsid w:val="00E45511"/>
    <w:rsid w:val="00E4573D"/>
    <w:rsid w:val="00E45A3C"/>
    <w:rsid w:val="00E45B16"/>
    <w:rsid w:val="00E45D39"/>
    <w:rsid w:val="00E45F3E"/>
    <w:rsid w:val="00E46057"/>
    <w:rsid w:val="00E46068"/>
    <w:rsid w:val="00E4628E"/>
    <w:rsid w:val="00E469BA"/>
    <w:rsid w:val="00E46C55"/>
    <w:rsid w:val="00E46F09"/>
    <w:rsid w:val="00E4703E"/>
    <w:rsid w:val="00E471EB"/>
    <w:rsid w:val="00E47D24"/>
    <w:rsid w:val="00E47DD4"/>
    <w:rsid w:val="00E47DF8"/>
    <w:rsid w:val="00E501FF"/>
    <w:rsid w:val="00E5028E"/>
    <w:rsid w:val="00E502EC"/>
    <w:rsid w:val="00E5048C"/>
    <w:rsid w:val="00E50B32"/>
    <w:rsid w:val="00E50B5E"/>
    <w:rsid w:val="00E517F1"/>
    <w:rsid w:val="00E5211D"/>
    <w:rsid w:val="00E5222A"/>
    <w:rsid w:val="00E5227E"/>
    <w:rsid w:val="00E522DD"/>
    <w:rsid w:val="00E526D3"/>
    <w:rsid w:val="00E52EE0"/>
    <w:rsid w:val="00E52F61"/>
    <w:rsid w:val="00E5326B"/>
    <w:rsid w:val="00E53297"/>
    <w:rsid w:val="00E5333B"/>
    <w:rsid w:val="00E534E6"/>
    <w:rsid w:val="00E535DE"/>
    <w:rsid w:val="00E53B30"/>
    <w:rsid w:val="00E53B5C"/>
    <w:rsid w:val="00E54225"/>
    <w:rsid w:val="00E5468D"/>
    <w:rsid w:val="00E55BC5"/>
    <w:rsid w:val="00E55DFA"/>
    <w:rsid w:val="00E563C3"/>
    <w:rsid w:val="00E578C3"/>
    <w:rsid w:val="00E57AFC"/>
    <w:rsid w:val="00E57CF2"/>
    <w:rsid w:val="00E57DC2"/>
    <w:rsid w:val="00E57EBB"/>
    <w:rsid w:val="00E60054"/>
    <w:rsid w:val="00E60210"/>
    <w:rsid w:val="00E607E7"/>
    <w:rsid w:val="00E60B09"/>
    <w:rsid w:val="00E60B44"/>
    <w:rsid w:val="00E6169E"/>
    <w:rsid w:val="00E61ADB"/>
    <w:rsid w:val="00E61B2F"/>
    <w:rsid w:val="00E61BC6"/>
    <w:rsid w:val="00E62026"/>
    <w:rsid w:val="00E62369"/>
    <w:rsid w:val="00E628D6"/>
    <w:rsid w:val="00E62BD8"/>
    <w:rsid w:val="00E63D4D"/>
    <w:rsid w:val="00E63E33"/>
    <w:rsid w:val="00E6416A"/>
    <w:rsid w:val="00E64253"/>
    <w:rsid w:val="00E64E94"/>
    <w:rsid w:val="00E65438"/>
    <w:rsid w:val="00E65914"/>
    <w:rsid w:val="00E65BEC"/>
    <w:rsid w:val="00E65F12"/>
    <w:rsid w:val="00E65F3C"/>
    <w:rsid w:val="00E664AD"/>
    <w:rsid w:val="00E6707D"/>
    <w:rsid w:val="00E67207"/>
    <w:rsid w:val="00E673BD"/>
    <w:rsid w:val="00E67732"/>
    <w:rsid w:val="00E6793A"/>
    <w:rsid w:val="00E679AA"/>
    <w:rsid w:val="00E7016F"/>
    <w:rsid w:val="00E7020D"/>
    <w:rsid w:val="00E707B4"/>
    <w:rsid w:val="00E7094C"/>
    <w:rsid w:val="00E70B58"/>
    <w:rsid w:val="00E711CC"/>
    <w:rsid w:val="00E719B4"/>
    <w:rsid w:val="00E71A5F"/>
    <w:rsid w:val="00E71AE9"/>
    <w:rsid w:val="00E723B8"/>
    <w:rsid w:val="00E732A8"/>
    <w:rsid w:val="00E7339B"/>
    <w:rsid w:val="00E73482"/>
    <w:rsid w:val="00E73487"/>
    <w:rsid w:val="00E73CD2"/>
    <w:rsid w:val="00E74A5F"/>
    <w:rsid w:val="00E74C9F"/>
    <w:rsid w:val="00E74CCC"/>
    <w:rsid w:val="00E7532E"/>
    <w:rsid w:val="00E75589"/>
    <w:rsid w:val="00E75737"/>
    <w:rsid w:val="00E75BE8"/>
    <w:rsid w:val="00E75E17"/>
    <w:rsid w:val="00E77CB1"/>
    <w:rsid w:val="00E77E91"/>
    <w:rsid w:val="00E803F8"/>
    <w:rsid w:val="00E809E6"/>
    <w:rsid w:val="00E8109E"/>
    <w:rsid w:val="00E812A9"/>
    <w:rsid w:val="00E81621"/>
    <w:rsid w:val="00E82745"/>
    <w:rsid w:val="00E8277E"/>
    <w:rsid w:val="00E8298F"/>
    <w:rsid w:val="00E83A0C"/>
    <w:rsid w:val="00E83D94"/>
    <w:rsid w:val="00E83E56"/>
    <w:rsid w:val="00E8418B"/>
    <w:rsid w:val="00E84255"/>
    <w:rsid w:val="00E844E0"/>
    <w:rsid w:val="00E85184"/>
    <w:rsid w:val="00E858C0"/>
    <w:rsid w:val="00E85EED"/>
    <w:rsid w:val="00E864A0"/>
    <w:rsid w:val="00E86D15"/>
    <w:rsid w:val="00E86ED1"/>
    <w:rsid w:val="00E87118"/>
    <w:rsid w:val="00E875EA"/>
    <w:rsid w:val="00E876C8"/>
    <w:rsid w:val="00E87804"/>
    <w:rsid w:val="00E906A0"/>
    <w:rsid w:val="00E90BF2"/>
    <w:rsid w:val="00E90DDC"/>
    <w:rsid w:val="00E90FB6"/>
    <w:rsid w:val="00E910AC"/>
    <w:rsid w:val="00E91B60"/>
    <w:rsid w:val="00E931E5"/>
    <w:rsid w:val="00E9443A"/>
    <w:rsid w:val="00E94622"/>
    <w:rsid w:val="00E94A0B"/>
    <w:rsid w:val="00E9518A"/>
    <w:rsid w:val="00E955F5"/>
    <w:rsid w:val="00E95AEE"/>
    <w:rsid w:val="00E965F0"/>
    <w:rsid w:val="00E96C3F"/>
    <w:rsid w:val="00E96F6D"/>
    <w:rsid w:val="00E9756A"/>
    <w:rsid w:val="00E975AF"/>
    <w:rsid w:val="00E97736"/>
    <w:rsid w:val="00E97F34"/>
    <w:rsid w:val="00EA0108"/>
    <w:rsid w:val="00EA03AE"/>
    <w:rsid w:val="00EA0B48"/>
    <w:rsid w:val="00EA0F8F"/>
    <w:rsid w:val="00EA178C"/>
    <w:rsid w:val="00EA25BE"/>
    <w:rsid w:val="00EA2697"/>
    <w:rsid w:val="00EA29F2"/>
    <w:rsid w:val="00EA2F47"/>
    <w:rsid w:val="00EA2FAE"/>
    <w:rsid w:val="00EA3389"/>
    <w:rsid w:val="00EA3FEA"/>
    <w:rsid w:val="00EA4037"/>
    <w:rsid w:val="00EA46E4"/>
    <w:rsid w:val="00EA4D11"/>
    <w:rsid w:val="00EA4EA4"/>
    <w:rsid w:val="00EA4FB9"/>
    <w:rsid w:val="00EA56FD"/>
    <w:rsid w:val="00EA6271"/>
    <w:rsid w:val="00EA6537"/>
    <w:rsid w:val="00EA69BF"/>
    <w:rsid w:val="00EA706B"/>
    <w:rsid w:val="00EA745C"/>
    <w:rsid w:val="00EA7503"/>
    <w:rsid w:val="00EA7CC5"/>
    <w:rsid w:val="00EB0273"/>
    <w:rsid w:val="00EB0A17"/>
    <w:rsid w:val="00EB0E48"/>
    <w:rsid w:val="00EB1375"/>
    <w:rsid w:val="00EB1CBC"/>
    <w:rsid w:val="00EB2317"/>
    <w:rsid w:val="00EB2526"/>
    <w:rsid w:val="00EB2A6D"/>
    <w:rsid w:val="00EB3C75"/>
    <w:rsid w:val="00EB3EFF"/>
    <w:rsid w:val="00EB3FCD"/>
    <w:rsid w:val="00EB4229"/>
    <w:rsid w:val="00EB45B7"/>
    <w:rsid w:val="00EB45CE"/>
    <w:rsid w:val="00EB6231"/>
    <w:rsid w:val="00EB78BF"/>
    <w:rsid w:val="00EC02A1"/>
    <w:rsid w:val="00EC057A"/>
    <w:rsid w:val="00EC0E93"/>
    <w:rsid w:val="00EC0FC5"/>
    <w:rsid w:val="00EC14BB"/>
    <w:rsid w:val="00EC15D7"/>
    <w:rsid w:val="00EC1A09"/>
    <w:rsid w:val="00EC1F7E"/>
    <w:rsid w:val="00EC20F9"/>
    <w:rsid w:val="00EC21E0"/>
    <w:rsid w:val="00EC2325"/>
    <w:rsid w:val="00EC2D84"/>
    <w:rsid w:val="00EC317C"/>
    <w:rsid w:val="00EC3B88"/>
    <w:rsid w:val="00EC3DCF"/>
    <w:rsid w:val="00EC42A9"/>
    <w:rsid w:val="00EC508D"/>
    <w:rsid w:val="00EC5662"/>
    <w:rsid w:val="00EC5896"/>
    <w:rsid w:val="00EC688A"/>
    <w:rsid w:val="00EC6BDB"/>
    <w:rsid w:val="00EC6EA8"/>
    <w:rsid w:val="00ED0386"/>
    <w:rsid w:val="00ED064D"/>
    <w:rsid w:val="00ED0BE2"/>
    <w:rsid w:val="00ED0EC5"/>
    <w:rsid w:val="00ED2723"/>
    <w:rsid w:val="00ED2866"/>
    <w:rsid w:val="00ED28E5"/>
    <w:rsid w:val="00ED3099"/>
    <w:rsid w:val="00ED3DB1"/>
    <w:rsid w:val="00ED401C"/>
    <w:rsid w:val="00ED40EF"/>
    <w:rsid w:val="00ED43B2"/>
    <w:rsid w:val="00ED43B4"/>
    <w:rsid w:val="00ED55E8"/>
    <w:rsid w:val="00ED576C"/>
    <w:rsid w:val="00ED5B40"/>
    <w:rsid w:val="00ED5E67"/>
    <w:rsid w:val="00ED6324"/>
    <w:rsid w:val="00ED6B0B"/>
    <w:rsid w:val="00ED6D28"/>
    <w:rsid w:val="00ED6D5E"/>
    <w:rsid w:val="00ED6DB8"/>
    <w:rsid w:val="00ED6EF7"/>
    <w:rsid w:val="00ED7431"/>
    <w:rsid w:val="00ED76D4"/>
    <w:rsid w:val="00ED790F"/>
    <w:rsid w:val="00ED7A89"/>
    <w:rsid w:val="00EE0123"/>
    <w:rsid w:val="00EE0404"/>
    <w:rsid w:val="00EE0B94"/>
    <w:rsid w:val="00EE13E1"/>
    <w:rsid w:val="00EE14ED"/>
    <w:rsid w:val="00EE1517"/>
    <w:rsid w:val="00EE1671"/>
    <w:rsid w:val="00EE199D"/>
    <w:rsid w:val="00EE1A81"/>
    <w:rsid w:val="00EE20B6"/>
    <w:rsid w:val="00EE2166"/>
    <w:rsid w:val="00EE22BC"/>
    <w:rsid w:val="00EE27AE"/>
    <w:rsid w:val="00EE284B"/>
    <w:rsid w:val="00EE3577"/>
    <w:rsid w:val="00EE3B11"/>
    <w:rsid w:val="00EE3C41"/>
    <w:rsid w:val="00EE3EEC"/>
    <w:rsid w:val="00EE4767"/>
    <w:rsid w:val="00EE4E4D"/>
    <w:rsid w:val="00EE4F55"/>
    <w:rsid w:val="00EE524E"/>
    <w:rsid w:val="00EE526A"/>
    <w:rsid w:val="00EE52CE"/>
    <w:rsid w:val="00EE5442"/>
    <w:rsid w:val="00EE6004"/>
    <w:rsid w:val="00EE6E10"/>
    <w:rsid w:val="00EE7110"/>
    <w:rsid w:val="00EE7268"/>
    <w:rsid w:val="00EE7DA9"/>
    <w:rsid w:val="00EF0218"/>
    <w:rsid w:val="00EF030D"/>
    <w:rsid w:val="00EF05C2"/>
    <w:rsid w:val="00EF0AE0"/>
    <w:rsid w:val="00EF0D8D"/>
    <w:rsid w:val="00EF0DE7"/>
    <w:rsid w:val="00EF0E20"/>
    <w:rsid w:val="00EF2E39"/>
    <w:rsid w:val="00EF2EEE"/>
    <w:rsid w:val="00EF3D15"/>
    <w:rsid w:val="00EF52A4"/>
    <w:rsid w:val="00EF5375"/>
    <w:rsid w:val="00EF585C"/>
    <w:rsid w:val="00EF5FE0"/>
    <w:rsid w:val="00EF61F5"/>
    <w:rsid w:val="00EF6833"/>
    <w:rsid w:val="00EF6ABD"/>
    <w:rsid w:val="00EF6BF5"/>
    <w:rsid w:val="00EF737E"/>
    <w:rsid w:val="00EF7906"/>
    <w:rsid w:val="00F00107"/>
    <w:rsid w:val="00F0010C"/>
    <w:rsid w:val="00F004D2"/>
    <w:rsid w:val="00F004F4"/>
    <w:rsid w:val="00F00944"/>
    <w:rsid w:val="00F00D1A"/>
    <w:rsid w:val="00F00D92"/>
    <w:rsid w:val="00F02090"/>
    <w:rsid w:val="00F02140"/>
    <w:rsid w:val="00F02464"/>
    <w:rsid w:val="00F024C0"/>
    <w:rsid w:val="00F027C2"/>
    <w:rsid w:val="00F02859"/>
    <w:rsid w:val="00F02EEA"/>
    <w:rsid w:val="00F03A4C"/>
    <w:rsid w:val="00F03CA6"/>
    <w:rsid w:val="00F03E7E"/>
    <w:rsid w:val="00F05140"/>
    <w:rsid w:val="00F05791"/>
    <w:rsid w:val="00F05A56"/>
    <w:rsid w:val="00F05E23"/>
    <w:rsid w:val="00F061DC"/>
    <w:rsid w:val="00F066A9"/>
    <w:rsid w:val="00F066EC"/>
    <w:rsid w:val="00F06ABB"/>
    <w:rsid w:val="00F06DBF"/>
    <w:rsid w:val="00F07CFA"/>
    <w:rsid w:val="00F07E37"/>
    <w:rsid w:val="00F07FCA"/>
    <w:rsid w:val="00F1030A"/>
    <w:rsid w:val="00F103D7"/>
    <w:rsid w:val="00F10AFB"/>
    <w:rsid w:val="00F11046"/>
    <w:rsid w:val="00F11487"/>
    <w:rsid w:val="00F11855"/>
    <w:rsid w:val="00F11C05"/>
    <w:rsid w:val="00F1206B"/>
    <w:rsid w:val="00F12223"/>
    <w:rsid w:val="00F12694"/>
    <w:rsid w:val="00F127B2"/>
    <w:rsid w:val="00F1392F"/>
    <w:rsid w:val="00F13CEE"/>
    <w:rsid w:val="00F1458D"/>
    <w:rsid w:val="00F14C6C"/>
    <w:rsid w:val="00F15351"/>
    <w:rsid w:val="00F15A01"/>
    <w:rsid w:val="00F15CF5"/>
    <w:rsid w:val="00F15F31"/>
    <w:rsid w:val="00F16289"/>
    <w:rsid w:val="00F167D9"/>
    <w:rsid w:val="00F16A5E"/>
    <w:rsid w:val="00F16DD9"/>
    <w:rsid w:val="00F16F8E"/>
    <w:rsid w:val="00F17065"/>
    <w:rsid w:val="00F17A66"/>
    <w:rsid w:val="00F17E45"/>
    <w:rsid w:val="00F2049E"/>
    <w:rsid w:val="00F20748"/>
    <w:rsid w:val="00F20BF4"/>
    <w:rsid w:val="00F20FC7"/>
    <w:rsid w:val="00F2147C"/>
    <w:rsid w:val="00F21C46"/>
    <w:rsid w:val="00F227B7"/>
    <w:rsid w:val="00F22CA0"/>
    <w:rsid w:val="00F22F3D"/>
    <w:rsid w:val="00F232AB"/>
    <w:rsid w:val="00F23C77"/>
    <w:rsid w:val="00F242C9"/>
    <w:rsid w:val="00F24474"/>
    <w:rsid w:val="00F246AA"/>
    <w:rsid w:val="00F24CAB"/>
    <w:rsid w:val="00F25308"/>
    <w:rsid w:val="00F257A9"/>
    <w:rsid w:val="00F25A8B"/>
    <w:rsid w:val="00F25EFA"/>
    <w:rsid w:val="00F2638C"/>
    <w:rsid w:val="00F269D9"/>
    <w:rsid w:val="00F26F42"/>
    <w:rsid w:val="00F2736E"/>
    <w:rsid w:val="00F274FC"/>
    <w:rsid w:val="00F2758B"/>
    <w:rsid w:val="00F27658"/>
    <w:rsid w:val="00F27810"/>
    <w:rsid w:val="00F27ADF"/>
    <w:rsid w:val="00F31B87"/>
    <w:rsid w:val="00F32530"/>
    <w:rsid w:val="00F32C5B"/>
    <w:rsid w:val="00F32D62"/>
    <w:rsid w:val="00F33521"/>
    <w:rsid w:val="00F335A1"/>
    <w:rsid w:val="00F33A03"/>
    <w:rsid w:val="00F33A7D"/>
    <w:rsid w:val="00F33AC9"/>
    <w:rsid w:val="00F33DCD"/>
    <w:rsid w:val="00F33FF8"/>
    <w:rsid w:val="00F3475C"/>
    <w:rsid w:val="00F34954"/>
    <w:rsid w:val="00F34966"/>
    <w:rsid w:val="00F34F75"/>
    <w:rsid w:val="00F35437"/>
    <w:rsid w:val="00F35647"/>
    <w:rsid w:val="00F35C5A"/>
    <w:rsid w:val="00F361FC"/>
    <w:rsid w:val="00F36497"/>
    <w:rsid w:val="00F36B89"/>
    <w:rsid w:val="00F36D15"/>
    <w:rsid w:val="00F36DEA"/>
    <w:rsid w:val="00F37A88"/>
    <w:rsid w:val="00F37FC5"/>
    <w:rsid w:val="00F4054D"/>
    <w:rsid w:val="00F40565"/>
    <w:rsid w:val="00F40869"/>
    <w:rsid w:val="00F40E33"/>
    <w:rsid w:val="00F41374"/>
    <w:rsid w:val="00F41A57"/>
    <w:rsid w:val="00F41BDD"/>
    <w:rsid w:val="00F4220F"/>
    <w:rsid w:val="00F43073"/>
    <w:rsid w:val="00F433F2"/>
    <w:rsid w:val="00F43B59"/>
    <w:rsid w:val="00F43CCD"/>
    <w:rsid w:val="00F44499"/>
    <w:rsid w:val="00F44CA4"/>
    <w:rsid w:val="00F44F96"/>
    <w:rsid w:val="00F452DA"/>
    <w:rsid w:val="00F45401"/>
    <w:rsid w:val="00F45A23"/>
    <w:rsid w:val="00F45A93"/>
    <w:rsid w:val="00F46151"/>
    <w:rsid w:val="00F46161"/>
    <w:rsid w:val="00F46511"/>
    <w:rsid w:val="00F46A62"/>
    <w:rsid w:val="00F46E4C"/>
    <w:rsid w:val="00F46EC6"/>
    <w:rsid w:val="00F46F6B"/>
    <w:rsid w:val="00F471AD"/>
    <w:rsid w:val="00F50DAE"/>
    <w:rsid w:val="00F511C9"/>
    <w:rsid w:val="00F51641"/>
    <w:rsid w:val="00F518CB"/>
    <w:rsid w:val="00F53099"/>
    <w:rsid w:val="00F530F4"/>
    <w:rsid w:val="00F53169"/>
    <w:rsid w:val="00F531BA"/>
    <w:rsid w:val="00F53324"/>
    <w:rsid w:val="00F5347B"/>
    <w:rsid w:val="00F538C0"/>
    <w:rsid w:val="00F538E5"/>
    <w:rsid w:val="00F540DA"/>
    <w:rsid w:val="00F54364"/>
    <w:rsid w:val="00F54494"/>
    <w:rsid w:val="00F554A2"/>
    <w:rsid w:val="00F57C8E"/>
    <w:rsid w:val="00F60276"/>
    <w:rsid w:val="00F607E8"/>
    <w:rsid w:val="00F609A3"/>
    <w:rsid w:val="00F60AF1"/>
    <w:rsid w:val="00F61819"/>
    <w:rsid w:val="00F61E6B"/>
    <w:rsid w:val="00F62715"/>
    <w:rsid w:val="00F6303F"/>
    <w:rsid w:val="00F6331D"/>
    <w:rsid w:val="00F63348"/>
    <w:rsid w:val="00F634C6"/>
    <w:rsid w:val="00F63902"/>
    <w:rsid w:val="00F63CC1"/>
    <w:rsid w:val="00F6428F"/>
    <w:rsid w:val="00F64C32"/>
    <w:rsid w:val="00F64E3F"/>
    <w:rsid w:val="00F65C92"/>
    <w:rsid w:val="00F65F88"/>
    <w:rsid w:val="00F662D1"/>
    <w:rsid w:val="00F66927"/>
    <w:rsid w:val="00F66AE1"/>
    <w:rsid w:val="00F66F8E"/>
    <w:rsid w:val="00F675BF"/>
    <w:rsid w:val="00F67ED5"/>
    <w:rsid w:val="00F705AA"/>
    <w:rsid w:val="00F70695"/>
    <w:rsid w:val="00F715B1"/>
    <w:rsid w:val="00F71914"/>
    <w:rsid w:val="00F72586"/>
    <w:rsid w:val="00F72AF3"/>
    <w:rsid w:val="00F72EEB"/>
    <w:rsid w:val="00F73030"/>
    <w:rsid w:val="00F73816"/>
    <w:rsid w:val="00F73A3C"/>
    <w:rsid w:val="00F742A7"/>
    <w:rsid w:val="00F747B0"/>
    <w:rsid w:val="00F747CF"/>
    <w:rsid w:val="00F74D78"/>
    <w:rsid w:val="00F74EB2"/>
    <w:rsid w:val="00F751CC"/>
    <w:rsid w:val="00F751FD"/>
    <w:rsid w:val="00F7546D"/>
    <w:rsid w:val="00F75647"/>
    <w:rsid w:val="00F75666"/>
    <w:rsid w:val="00F75975"/>
    <w:rsid w:val="00F76A7A"/>
    <w:rsid w:val="00F77142"/>
    <w:rsid w:val="00F77E12"/>
    <w:rsid w:val="00F80486"/>
    <w:rsid w:val="00F808AC"/>
    <w:rsid w:val="00F80983"/>
    <w:rsid w:val="00F80DE8"/>
    <w:rsid w:val="00F81188"/>
    <w:rsid w:val="00F818F7"/>
    <w:rsid w:val="00F820B4"/>
    <w:rsid w:val="00F8256A"/>
    <w:rsid w:val="00F8260C"/>
    <w:rsid w:val="00F82F48"/>
    <w:rsid w:val="00F83184"/>
    <w:rsid w:val="00F83EE2"/>
    <w:rsid w:val="00F84309"/>
    <w:rsid w:val="00F843AD"/>
    <w:rsid w:val="00F8448D"/>
    <w:rsid w:val="00F84885"/>
    <w:rsid w:val="00F85454"/>
    <w:rsid w:val="00F85667"/>
    <w:rsid w:val="00F856A7"/>
    <w:rsid w:val="00F85F2D"/>
    <w:rsid w:val="00F8628D"/>
    <w:rsid w:val="00F86710"/>
    <w:rsid w:val="00F86962"/>
    <w:rsid w:val="00F86DA3"/>
    <w:rsid w:val="00F86F93"/>
    <w:rsid w:val="00F875D9"/>
    <w:rsid w:val="00F8770A"/>
    <w:rsid w:val="00F87AAD"/>
    <w:rsid w:val="00F90445"/>
    <w:rsid w:val="00F9069D"/>
    <w:rsid w:val="00F9086D"/>
    <w:rsid w:val="00F90C0B"/>
    <w:rsid w:val="00F91371"/>
    <w:rsid w:val="00F91E0E"/>
    <w:rsid w:val="00F920A0"/>
    <w:rsid w:val="00F92FE1"/>
    <w:rsid w:val="00F93C71"/>
    <w:rsid w:val="00F94E7B"/>
    <w:rsid w:val="00F96293"/>
    <w:rsid w:val="00F97613"/>
    <w:rsid w:val="00F97709"/>
    <w:rsid w:val="00F97BE3"/>
    <w:rsid w:val="00F97CAC"/>
    <w:rsid w:val="00FA035A"/>
    <w:rsid w:val="00FA08BC"/>
    <w:rsid w:val="00FA0A63"/>
    <w:rsid w:val="00FA0D33"/>
    <w:rsid w:val="00FA10C3"/>
    <w:rsid w:val="00FA3597"/>
    <w:rsid w:val="00FA36F6"/>
    <w:rsid w:val="00FA3B0B"/>
    <w:rsid w:val="00FA3CEC"/>
    <w:rsid w:val="00FA455B"/>
    <w:rsid w:val="00FA46F9"/>
    <w:rsid w:val="00FA4964"/>
    <w:rsid w:val="00FA4D9C"/>
    <w:rsid w:val="00FA59EF"/>
    <w:rsid w:val="00FA5BFB"/>
    <w:rsid w:val="00FA631B"/>
    <w:rsid w:val="00FA6385"/>
    <w:rsid w:val="00FA665E"/>
    <w:rsid w:val="00FA684C"/>
    <w:rsid w:val="00FA6F02"/>
    <w:rsid w:val="00FA6F43"/>
    <w:rsid w:val="00FA7182"/>
    <w:rsid w:val="00FA76E4"/>
    <w:rsid w:val="00FB1639"/>
    <w:rsid w:val="00FB24C9"/>
    <w:rsid w:val="00FB286E"/>
    <w:rsid w:val="00FB36DF"/>
    <w:rsid w:val="00FB377D"/>
    <w:rsid w:val="00FB378A"/>
    <w:rsid w:val="00FB4206"/>
    <w:rsid w:val="00FB456B"/>
    <w:rsid w:val="00FB4B53"/>
    <w:rsid w:val="00FB541B"/>
    <w:rsid w:val="00FB582B"/>
    <w:rsid w:val="00FB5B10"/>
    <w:rsid w:val="00FB6398"/>
    <w:rsid w:val="00FB65D0"/>
    <w:rsid w:val="00FB716B"/>
    <w:rsid w:val="00FB7942"/>
    <w:rsid w:val="00FB7946"/>
    <w:rsid w:val="00FB7C5B"/>
    <w:rsid w:val="00FB7E2C"/>
    <w:rsid w:val="00FB7FD5"/>
    <w:rsid w:val="00FC013C"/>
    <w:rsid w:val="00FC0342"/>
    <w:rsid w:val="00FC0531"/>
    <w:rsid w:val="00FC0CBF"/>
    <w:rsid w:val="00FC143B"/>
    <w:rsid w:val="00FC1599"/>
    <w:rsid w:val="00FC19CB"/>
    <w:rsid w:val="00FC1C4C"/>
    <w:rsid w:val="00FC26A5"/>
    <w:rsid w:val="00FC2832"/>
    <w:rsid w:val="00FC3484"/>
    <w:rsid w:val="00FC3970"/>
    <w:rsid w:val="00FC3E5C"/>
    <w:rsid w:val="00FC428F"/>
    <w:rsid w:val="00FC4543"/>
    <w:rsid w:val="00FC455A"/>
    <w:rsid w:val="00FC5950"/>
    <w:rsid w:val="00FC5F3C"/>
    <w:rsid w:val="00FC61DB"/>
    <w:rsid w:val="00FC6AF3"/>
    <w:rsid w:val="00FC6B8F"/>
    <w:rsid w:val="00FC6FD3"/>
    <w:rsid w:val="00FC718C"/>
    <w:rsid w:val="00FC73D8"/>
    <w:rsid w:val="00FC7B16"/>
    <w:rsid w:val="00FC7F8A"/>
    <w:rsid w:val="00FD06D5"/>
    <w:rsid w:val="00FD0896"/>
    <w:rsid w:val="00FD08FD"/>
    <w:rsid w:val="00FD0F5C"/>
    <w:rsid w:val="00FD1C8F"/>
    <w:rsid w:val="00FD1C92"/>
    <w:rsid w:val="00FD2187"/>
    <w:rsid w:val="00FD2226"/>
    <w:rsid w:val="00FD2262"/>
    <w:rsid w:val="00FD2767"/>
    <w:rsid w:val="00FD2801"/>
    <w:rsid w:val="00FD2AF4"/>
    <w:rsid w:val="00FD2B1F"/>
    <w:rsid w:val="00FD3528"/>
    <w:rsid w:val="00FD35DD"/>
    <w:rsid w:val="00FD372D"/>
    <w:rsid w:val="00FD3FDA"/>
    <w:rsid w:val="00FD4765"/>
    <w:rsid w:val="00FD5763"/>
    <w:rsid w:val="00FD5AA4"/>
    <w:rsid w:val="00FD5AD5"/>
    <w:rsid w:val="00FD5AF3"/>
    <w:rsid w:val="00FD5C0B"/>
    <w:rsid w:val="00FD5C3A"/>
    <w:rsid w:val="00FD5D8F"/>
    <w:rsid w:val="00FD5E75"/>
    <w:rsid w:val="00FD6303"/>
    <w:rsid w:val="00FD686D"/>
    <w:rsid w:val="00FD707C"/>
    <w:rsid w:val="00FD75E1"/>
    <w:rsid w:val="00FD782D"/>
    <w:rsid w:val="00FD7CC6"/>
    <w:rsid w:val="00FE07C7"/>
    <w:rsid w:val="00FE15A5"/>
    <w:rsid w:val="00FE197D"/>
    <w:rsid w:val="00FE1AFF"/>
    <w:rsid w:val="00FE1CBE"/>
    <w:rsid w:val="00FE1E83"/>
    <w:rsid w:val="00FE20C2"/>
    <w:rsid w:val="00FE29E2"/>
    <w:rsid w:val="00FE3104"/>
    <w:rsid w:val="00FE327D"/>
    <w:rsid w:val="00FE3340"/>
    <w:rsid w:val="00FE4339"/>
    <w:rsid w:val="00FE442D"/>
    <w:rsid w:val="00FE4557"/>
    <w:rsid w:val="00FE49B7"/>
    <w:rsid w:val="00FE4CE4"/>
    <w:rsid w:val="00FE5043"/>
    <w:rsid w:val="00FE5DB2"/>
    <w:rsid w:val="00FE5EDC"/>
    <w:rsid w:val="00FE604B"/>
    <w:rsid w:val="00FE64B5"/>
    <w:rsid w:val="00FE6E01"/>
    <w:rsid w:val="00FE7011"/>
    <w:rsid w:val="00FF00F0"/>
    <w:rsid w:val="00FF04B3"/>
    <w:rsid w:val="00FF0C64"/>
    <w:rsid w:val="00FF0FF0"/>
    <w:rsid w:val="00FF1AC6"/>
    <w:rsid w:val="00FF1F59"/>
    <w:rsid w:val="00FF2A35"/>
    <w:rsid w:val="00FF2D71"/>
    <w:rsid w:val="00FF3359"/>
    <w:rsid w:val="00FF3C45"/>
    <w:rsid w:val="00FF3D65"/>
    <w:rsid w:val="00FF3D6E"/>
    <w:rsid w:val="00FF3F94"/>
    <w:rsid w:val="00FF424D"/>
    <w:rsid w:val="00FF4416"/>
    <w:rsid w:val="00FF465F"/>
    <w:rsid w:val="00FF55B4"/>
    <w:rsid w:val="00FF5F53"/>
    <w:rsid w:val="00FF6CF8"/>
    <w:rsid w:val="00FF7282"/>
    <w:rsid w:val="00FF793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66"/>
    <w:pPr>
      <w:spacing w:after="100" w:line="400" w:lineRule="exact"/>
      <w:jc w:val="both"/>
    </w:pPr>
    <w:rPr>
      <w:rFonts w:ascii="Century Schoolbook" w:hAnsi="Century Schoolbook"/>
      <w:sz w:val="27"/>
    </w:rPr>
  </w:style>
  <w:style w:type="paragraph" w:styleId="Heading1">
    <w:name w:val="heading 1"/>
    <w:basedOn w:val="Normal"/>
    <w:next w:val="Normal"/>
    <w:qFormat/>
    <w:rsid w:val="008F1266"/>
    <w:pPr>
      <w:keepNext/>
      <w:spacing w:before="140" w:line="240" w:lineRule="atLeast"/>
      <w:jc w:val="center"/>
      <w:outlineLvl w:val="0"/>
    </w:pPr>
    <w:rPr>
      <w:b/>
      <w:smallCaps/>
    </w:rPr>
  </w:style>
  <w:style w:type="paragraph" w:styleId="Heading2">
    <w:name w:val="heading 2"/>
    <w:basedOn w:val="Normal"/>
    <w:next w:val="Normal"/>
    <w:qFormat/>
    <w:rsid w:val="008F126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8F1266"/>
    <w:pPr>
      <w:keepNext/>
      <w:tabs>
        <w:tab w:val="left" w:pos="1584"/>
      </w:tabs>
      <w:spacing w:before="140" w:line="240" w:lineRule="atLeast"/>
      <w:ind w:left="1584" w:hanging="432"/>
      <w:jc w:val="left"/>
      <w:outlineLvl w:val="2"/>
    </w:pPr>
    <w:rPr>
      <w:i/>
    </w:rPr>
  </w:style>
  <w:style w:type="paragraph" w:styleId="Heading4">
    <w:name w:val="heading 4"/>
    <w:basedOn w:val="Normal"/>
    <w:rsid w:val="008F1266"/>
    <w:pPr>
      <w:keepNext/>
      <w:tabs>
        <w:tab w:val="left" w:pos="2016"/>
      </w:tabs>
      <w:spacing w:before="140" w:line="240" w:lineRule="atLeast"/>
      <w:ind w:left="2016" w:hanging="432"/>
      <w:jc w:val="left"/>
      <w:outlineLvl w:val="3"/>
    </w:pPr>
    <w:rPr>
      <w:i/>
    </w:rPr>
  </w:style>
  <w:style w:type="paragraph" w:styleId="Heading5">
    <w:name w:val="heading 5"/>
    <w:basedOn w:val="Normal"/>
    <w:rsid w:val="008F126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F1266"/>
    <w:pPr>
      <w:ind w:left="720"/>
    </w:pPr>
  </w:style>
  <w:style w:type="paragraph" w:styleId="Footer">
    <w:name w:val="footer"/>
    <w:basedOn w:val="Normal"/>
    <w:qFormat/>
    <w:rsid w:val="008F1266"/>
    <w:pPr>
      <w:tabs>
        <w:tab w:val="center" w:pos="3960"/>
        <w:tab w:val="right" w:pos="10080"/>
      </w:tabs>
      <w:spacing w:after="0" w:line="240" w:lineRule="auto"/>
      <w:jc w:val="center"/>
    </w:pPr>
    <w:rPr>
      <w:sz w:val="22"/>
    </w:rPr>
  </w:style>
  <w:style w:type="paragraph" w:styleId="Header">
    <w:name w:val="header"/>
    <w:basedOn w:val="Normal"/>
    <w:qFormat/>
    <w:rsid w:val="008F126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8F1266"/>
    <w:rPr>
      <w:rFonts w:ascii="Century Schoolbook" w:hAnsi="Century Schoolbook"/>
      <w:b/>
      <w:i w:val="0"/>
      <w:position w:val="4"/>
      <w:sz w:val="27"/>
      <w:vertAlign w:val="superscript"/>
    </w:rPr>
  </w:style>
  <w:style w:type="paragraph" w:styleId="FootnoteText">
    <w:name w:val="footnote text"/>
    <w:basedOn w:val="Normal"/>
    <w:link w:val="FootnoteTextChar"/>
    <w:rsid w:val="008F1266"/>
    <w:pPr>
      <w:spacing w:line="300" w:lineRule="exact"/>
    </w:pPr>
  </w:style>
  <w:style w:type="paragraph" w:customStyle="1" w:styleId="Title1">
    <w:name w:val="Title1"/>
    <w:basedOn w:val="Normal"/>
    <w:rsid w:val="008F1266"/>
    <w:pPr>
      <w:tabs>
        <w:tab w:val="left" w:pos="5760"/>
        <w:tab w:val="left" w:pos="6480"/>
      </w:tabs>
      <w:spacing w:line="240" w:lineRule="atLeast"/>
    </w:pPr>
  </w:style>
  <w:style w:type="paragraph" w:customStyle="1" w:styleId="Recommend">
    <w:name w:val="Recommend"/>
    <w:basedOn w:val="Normal"/>
    <w:rsid w:val="008F1266"/>
  </w:style>
  <w:style w:type="paragraph" w:customStyle="1" w:styleId="Summary">
    <w:name w:val="Summary"/>
    <w:basedOn w:val="Normal"/>
    <w:rsid w:val="008F1266"/>
    <w:pPr>
      <w:ind w:left="2160" w:hanging="2160"/>
    </w:pPr>
  </w:style>
  <w:style w:type="paragraph" w:customStyle="1" w:styleId="Text">
    <w:name w:val="Text"/>
    <w:basedOn w:val="Normal"/>
    <w:link w:val="TextChar"/>
    <w:rsid w:val="008F1266"/>
    <w:pPr>
      <w:tabs>
        <w:tab w:val="left" w:pos="720"/>
        <w:tab w:val="left" w:pos="1440"/>
        <w:tab w:val="left" w:pos="2160"/>
        <w:tab w:val="center" w:pos="4320"/>
      </w:tabs>
      <w:spacing w:line="480" w:lineRule="atLeast"/>
      <w:ind w:firstLine="540"/>
    </w:pPr>
  </w:style>
  <w:style w:type="paragraph" w:styleId="Date">
    <w:name w:val="Date"/>
    <w:basedOn w:val="Normal"/>
    <w:semiHidden/>
    <w:rsid w:val="008F1266"/>
    <w:pPr>
      <w:jc w:val="right"/>
    </w:pPr>
  </w:style>
  <w:style w:type="character" w:styleId="PageNumber">
    <w:name w:val="page number"/>
    <w:basedOn w:val="DefaultParagraphFont"/>
    <w:semiHidden/>
    <w:rsid w:val="008F1266"/>
  </w:style>
  <w:style w:type="paragraph" w:customStyle="1" w:styleId="subject">
    <w:name w:val="subject"/>
    <w:basedOn w:val="Normal"/>
    <w:rsid w:val="008F1266"/>
    <w:pPr>
      <w:tabs>
        <w:tab w:val="left" w:pos="1008"/>
      </w:tabs>
      <w:ind w:left="990" w:hanging="990"/>
    </w:pPr>
    <w:rPr>
      <w:b/>
    </w:rPr>
  </w:style>
  <w:style w:type="paragraph" w:customStyle="1" w:styleId="Titles">
    <w:name w:val="Titles"/>
    <w:basedOn w:val="Normal"/>
    <w:rsid w:val="008F1266"/>
    <w:pPr>
      <w:tabs>
        <w:tab w:val="left" w:pos="2160"/>
      </w:tabs>
      <w:ind w:left="2160" w:hanging="2160"/>
    </w:pPr>
    <w:rPr>
      <w:b/>
    </w:rPr>
  </w:style>
  <w:style w:type="paragraph" w:styleId="TOAHeading">
    <w:name w:val="toa heading"/>
    <w:basedOn w:val="Normal"/>
    <w:next w:val="Normal"/>
    <w:semiHidden/>
    <w:rsid w:val="008F1266"/>
    <w:pPr>
      <w:spacing w:before="120"/>
    </w:pPr>
    <w:rPr>
      <w:b/>
    </w:rPr>
  </w:style>
  <w:style w:type="paragraph" w:styleId="TOC1">
    <w:name w:val="toc 1"/>
    <w:basedOn w:val="Normal"/>
    <w:next w:val="Normal"/>
    <w:autoRedefine/>
    <w:semiHidden/>
    <w:rsid w:val="008F1266"/>
  </w:style>
  <w:style w:type="paragraph" w:styleId="TOC2">
    <w:name w:val="toc 2"/>
    <w:basedOn w:val="Normal"/>
    <w:next w:val="Normal"/>
    <w:autoRedefine/>
    <w:semiHidden/>
    <w:rsid w:val="008F1266"/>
    <w:pPr>
      <w:ind w:left="259"/>
    </w:pPr>
  </w:style>
  <w:style w:type="paragraph" w:styleId="TOC3">
    <w:name w:val="toc 3"/>
    <w:basedOn w:val="Normal"/>
    <w:next w:val="Normal"/>
    <w:autoRedefine/>
    <w:semiHidden/>
    <w:rsid w:val="008F1266"/>
    <w:pPr>
      <w:ind w:left="520"/>
    </w:pPr>
  </w:style>
  <w:style w:type="paragraph" w:styleId="TOC4">
    <w:name w:val="toc 4"/>
    <w:basedOn w:val="Normal"/>
    <w:next w:val="Normal"/>
    <w:autoRedefine/>
    <w:semiHidden/>
    <w:rsid w:val="008F1266"/>
    <w:pPr>
      <w:ind w:left="780"/>
    </w:pPr>
  </w:style>
  <w:style w:type="paragraph" w:styleId="TOC5">
    <w:name w:val="toc 5"/>
    <w:basedOn w:val="Normal"/>
    <w:next w:val="Normal"/>
    <w:autoRedefine/>
    <w:semiHidden/>
    <w:rsid w:val="008F1266"/>
    <w:pPr>
      <w:ind w:left="1040"/>
    </w:pPr>
  </w:style>
  <w:style w:type="paragraph" w:styleId="TOC6">
    <w:name w:val="toc 6"/>
    <w:basedOn w:val="Normal"/>
    <w:next w:val="Normal"/>
    <w:autoRedefine/>
    <w:semiHidden/>
    <w:rsid w:val="008F1266"/>
    <w:pPr>
      <w:ind w:left="1300"/>
    </w:pPr>
  </w:style>
  <w:style w:type="paragraph" w:styleId="TOC7">
    <w:name w:val="toc 7"/>
    <w:basedOn w:val="Normal"/>
    <w:next w:val="Normal"/>
    <w:autoRedefine/>
    <w:semiHidden/>
    <w:rsid w:val="008F1266"/>
    <w:pPr>
      <w:ind w:left="1560"/>
    </w:pPr>
  </w:style>
  <w:style w:type="paragraph" w:styleId="TOC8">
    <w:name w:val="toc 8"/>
    <w:basedOn w:val="Normal"/>
    <w:next w:val="Normal"/>
    <w:autoRedefine/>
    <w:semiHidden/>
    <w:rsid w:val="008F1266"/>
    <w:pPr>
      <w:ind w:left="1820"/>
    </w:pPr>
  </w:style>
  <w:style w:type="paragraph" w:styleId="TOC9">
    <w:name w:val="toc 9"/>
    <w:basedOn w:val="Normal"/>
    <w:next w:val="Normal"/>
    <w:autoRedefine/>
    <w:semiHidden/>
    <w:rsid w:val="008F1266"/>
    <w:pPr>
      <w:ind w:left="2080"/>
    </w:pPr>
  </w:style>
  <w:style w:type="paragraph" w:customStyle="1" w:styleId="Contents">
    <w:name w:val="Contents"/>
    <w:basedOn w:val="Normal"/>
    <w:rsid w:val="008F1266"/>
    <w:pPr>
      <w:jc w:val="center"/>
    </w:pPr>
    <w:rPr>
      <w:b/>
      <w:spacing w:val="100"/>
    </w:rPr>
  </w:style>
  <w:style w:type="paragraph" w:styleId="ListParagraph">
    <w:name w:val="List Paragraph"/>
    <w:basedOn w:val="Normal"/>
    <w:uiPriority w:val="34"/>
    <w:qFormat/>
    <w:rsid w:val="00463CF4"/>
    <w:pPr>
      <w:ind w:left="720"/>
      <w:contextualSpacing/>
    </w:pPr>
  </w:style>
  <w:style w:type="character" w:styleId="CommentReference">
    <w:name w:val="annotation reference"/>
    <w:basedOn w:val="DefaultParagraphFont"/>
    <w:uiPriority w:val="99"/>
    <w:semiHidden/>
    <w:unhideWhenUsed/>
    <w:rsid w:val="00123D92"/>
    <w:rPr>
      <w:sz w:val="16"/>
      <w:szCs w:val="16"/>
    </w:rPr>
  </w:style>
  <w:style w:type="paragraph" w:styleId="CommentText">
    <w:name w:val="annotation text"/>
    <w:basedOn w:val="Normal"/>
    <w:link w:val="CommentTextChar"/>
    <w:uiPriority w:val="99"/>
    <w:unhideWhenUsed/>
    <w:rsid w:val="00123D92"/>
    <w:rPr>
      <w:sz w:val="20"/>
    </w:rPr>
  </w:style>
  <w:style w:type="character" w:customStyle="1" w:styleId="CommentTextChar">
    <w:name w:val="Comment Text Char"/>
    <w:basedOn w:val="DefaultParagraphFont"/>
    <w:link w:val="CommentText"/>
    <w:uiPriority w:val="99"/>
    <w:rsid w:val="00123D92"/>
  </w:style>
  <w:style w:type="paragraph" w:styleId="CommentSubject">
    <w:name w:val="annotation subject"/>
    <w:basedOn w:val="CommentText"/>
    <w:next w:val="CommentText"/>
    <w:link w:val="CommentSubjectChar"/>
    <w:uiPriority w:val="99"/>
    <w:semiHidden/>
    <w:unhideWhenUsed/>
    <w:rsid w:val="00123D92"/>
    <w:rPr>
      <w:b/>
      <w:bCs/>
    </w:rPr>
  </w:style>
  <w:style w:type="character" w:customStyle="1" w:styleId="CommentSubjectChar">
    <w:name w:val="Comment Subject Char"/>
    <w:basedOn w:val="CommentTextChar"/>
    <w:link w:val="CommentSubject"/>
    <w:uiPriority w:val="99"/>
    <w:semiHidden/>
    <w:rsid w:val="00123D92"/>
    <w:rPr>
      <w:b/>
      <w:bCs/>
    </w:rPr>
  </w:style>
  <w:style w:type="paragraph" w:styleId="Revision">
    <w:name w:val="Revision"/>
    <w:hidden/>
    <w:uiPriority w:val="99"/>
    <w:semiHidden/>
    <w:rsid w:val="00123D92"/>
    <w:rPr>
      <w:sz w:val="26"/>
    </w:rPr>
  </w:style>
  <w:style w:type="character" w:customStyle="1" w:styleId="costarpage">
    <w:name w:val="co_starpage"/>
    <w:basedOn w:val="DefaultParagraphFont"/>
    <w:rsid w:val="00E63E33"/>
  </w:style>
  <w:style w:type="character" w:styleId="Emphasis">
    <w:name w:val="Emphasis"/>
    <w:basedOn w:val="DefaultParagraphFont"/>
    <w:uiPriority w:val="20"/>
    <w:qFormat/>
    <w:rsid w:val="00E63E33"/>
    <w:rPr>
      <w:i/>
      <w:iCs/>
    </w:rPr>
  </w:style>
  <w:style w:type="character" w:customStyle="1" w:styleId="TextChar">
    <w:name w:val="Text Char"/>
    <w:link w:val="Text"/>
    <w:locked/>
    <w:rsid w:val="00057D5E"/>
    <w:rPr>
      <w:rFonts w:ascii="Century Schoolbook" w:hAnsi="Century Schoolbook"/>
      <w:sz w:val="27"/>
    </w:rPr>
  </w:style>
  <w:style w:type="character" w:styleId="Hyperlink">
    <w:name w:val="Hyperlink"/>
    <w:basedOn w:val="DefaultParagraphFont"/>
    <w:uiPriority w:val="99"/>
    <w:unhideWhenUsed/>
    <w:rsid w:val="00A12A3E"/>
    <w:rPr>
      <w:color w:val="0000FF"/>
      <w:u w:val="single"/>
    </w:rPr>
  </w:style>
  <w:style w:type="character" w:customStyle="1" w:styleId="cohl">
    <w:name w:val="co_hl"/>
    <w:basedOn w:val="DefaultParagraphFont"/>
    <w:rsid w:val="0001279E"/>
  </w:style>
  <w:style w:type="character" w:customStyle="1" w:styleId="Title2">
    <w:name w:val="Title2"/>
    <w:basedOn w:val="DefaultParagraphFont"/>
    <w:rsid w:val="00B33A27"/>
  </w:style>
  <w:style w:type="character" w:customStyle="1" w:styleId="mswsearchterm">
    <w:name w:val="mswsearchterm"/>
    <w:basedOn w:val="DefaultParagraphFont"/>
    <w:rsid w:val="001403A1"/>
  </w:style>
  <w:style w:type="character" w:customStyle="1" w:styleId="coconcept9498">
    <w:name w:val="co_concept_94_98"/>
    <w:basedOn w:val="DefaultParagraphFont"/>
    <w:rsid w:val="00974403"/>
  </w:style>
  <w:style w:type="character" w:customStyle="1" w:styleId="FootnoteTextChar">
    <w:name w:val="Footnote Text Char"/>
    <w:basedOn w:val="DefaultParagraphFont"/>
    <w:link w:val="FootnoteText"/>
    <w:rsid w:val="00116E34"/>
    <w:rPr>
      <w:rFonts w:ascii="Century Schoolbook" w:hAnsi="Century Schoolbook"/>
      <w:sz w:val="27"/>
    </w:rPr>
  </w:style>
  <w:style w:type="character" w:customStyle="1" w:styleId="coconcept814">
    <w:name w:val="co_concept_8_14"/>
    <w:basedOn w:val="DefaultParagraphFont"/>
    <w:rsid w:val="003F2111"/>
  </w:style>
  <w:style w:type="character" w:customStyle="1" w:styleId="coconcept5155">
    <w:name w:val="co_concept_51_55"/>
    <w:basedOn w:val="DefaultParagraphFont"/>
    <w:rsid w:val="003F2111"/>
  </w:style>
  <w:style w:type="character" w:customStyle="1" w:styleId="coconcept16">
    <w:name w:val="co_concept_1_6"/>
    <w:basedOn w:val="DefaultParagraphFont"/>
    <w:rsid w:val="003F2111"/>
  </w:style>
  <w:style w:type="character" w:customStyle="1" w:styleId="coconcept3741">
    <w:name w:val="co_concept_37_41"/>
    <w:basedOn w:val="DefaultParagraphFont"/>
    <w:rsid w:val="003F2111"/>
  </w:style>
  <w:style w:type="character" w:customStyle="1" w:styleId="cosearchterm">
    <w:name w:val="co_searchterm"/>
    <w:basedOn w:val="DefaultParagraphFont"/>
    <w:rsid w:val="0007215A"/>
  </w:style>
  <w:style w:type="character" w:styleId="FollowedHyperlink">
    <w:name w:val="FollowedHyperlink"/>
    <w:basedOn w:val="DefaultParagraphFont"/>
    <w:uiPriority w:val="99"/>
    <w:semiHidden/>
    <w:unhideWhenUsed/>
    <w:rsid w:val="005D163E"/>
    <w:rPr>
      <w:color w:val="800080" w:themeColor="followedHyperlink"/>
      <w:u w:val="single"/>
    </w:rPr>
  </w:style>
  <w:style w:type="character" w:customStyle="1" w:styleId="UnresolvedMention1">
    <w:name w:val="Unresolved Mention1"/>
    <w:basedOn w:val="DefaultParagraphFont"/>
    <w:uiPriority w:val="99"/>
    <w:semiHidden/>
    <w:unhideWhenUsed/>
    <w:rsid w:val="005025F3"/>
    <w:rPr>
      <w:color w:val="605E5C"/>
      <w:shd w:val="clear" w:color="auto" w:fill="E1DFDD"/>
    </w:rPr>
  </w:style>
  <w:style w:type="paragraph" w:styleId="BalloonText">
    <w:name w:val="Balloon Text"/>
    <w:basedOn w:val="Normal"/>
    <w:link w:val="BalloonTextChar"/>
    <w:uiPriority w:val="99"/>
    <w:semiHidden/>
    <w:unhideWhenUsed/>
    <w:rsid w:val="00060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B55"/>
    <w:rPr>
      <w:rFonts w:ascii="Segoe UI" w:hAnsi="Segoe UI" w:cs="Segoe UI"/>
      <w:sz w:val="18"/>
      <w:szCs w:val="18"/>
    </w:rPr>
  </w:style>
  <w:style w:type="paragraph" w:styleId="BodyText">
    <w:name w:val="Body Text"/>
    <w:basedOn w:val="Normal"/>
    <w:link w:val="BodyTextChar"/>
    <w:qFormat/>
    <w:rsid w:val="008F1266"/>
  </w:style>
  <w:style w:type="character" w:customStyle="1" w:styleId="BodyTextChar">
    <w:name w:val="Body Text Char"/>
    <w:basedOn w:val="DefaultParagraphFont"/>
    <w:link w:val="BodyText"/>
    <w:rsid w:val="008F1266"/>
    <w:rPr>
      <w:rFonts w:ascii="Century Schoolbook" w:hAnsi="Century Schoolbook"/>
      <w:sz w:val="27"/>
    </w:rPr>
  </w:style>
  <w:style w:type="character" w:customStyle="1" w:styleId="coconcept114">
    <w:name w:val="co_concept_1_14"/>
    <w:basedOn w:val="DefaultParagraphFont"/>
    <w:rsid w:val="0059484B"/>
  </w:style>
  <w:style w:type="character" w:customStyle="1" w:styleId="coconcept4553">
    <w:name w:val="co_concept_45_53"/>
    <w:basedOn w:val="DefaultParagraphFont"/>
    <w:rsid w:val="0059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134D9-579D-45C3-AF38-1A0F8585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11330</Words>
  <Characters>64583</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2023-08-31T16:47:51Z</dcterms:created>
  <dcterms:modified xsi:type="dcterms:W3CDTF">2023-08-31T16:47:51Z</dcterms:modified>
</cp:coreProperties>
</file>