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773EF" w:rsidP="000773EF" w14:paraId="4FB03EA3" w14:textId="77777777">
      <w:pPr>
        <w:tabs>
          <w:tab w:val="left" w:pos="1440"/>
        </w:tabs>
        <w:spacing w:after="0"/>
        <w:jc w:val="center"/>
        <w:rPr>
          <w:caps/>
          <w:sz w:val="36"/>
          <w:szCs w:val="26"/>
        </w:rPr>
      </w:pPr>
      <w:r>
        <w:rPr>
          <w:b/>
          <w:caps/>
          <w:sz w:val="36"/>
          <w:szCs w:val="26"/>
        </w:rPr>
        <w:t>IN THE SUPREME COURT OF CALIFORNIA</w:t>
      </w:r>
    </w:p>
    <w:p w:rsidR="000773EF" w:rsidP="000773EF" w14:paraId="4FB03EA4" w14:textId="77777777">
      <w:pPr>
        <w:tabs>
          <w:tab w:val="left" w:pos="1440"/>
        </w:tabs>
        <w:spacing w:after="0"/>
        <w:jc w:val="center"/>
        <w:rPr>
          <w:caps/>
          <w:szCs w:val="26"/>
        </w:rPr>
      </w:pPr>
    </w:p>
    <w:p w:rsidR="000773EF" w:rsidP="000773EF" w14:paraId="4FB03EA5" w14:textId="77777777">
      <w:pPr>
        <w:tabs>
          <w:tab w:val="left" w:pos="1440"/>
        </w:tabs>
        <w:spacing w:after="0"/>
        <w:jc w:val="center"/>
        <w:rPr>
          <w:caps/>
          <w:szCs w:val="26"/>
        </w:rPr>
      </w:pPr>
      <w:r>
        <w:rPr>
          <w:caps/>
          <w:szCs w:val="26"/>
        </w:rPr>
        <w:t>ANTHONY GANTNER,</w:t>
      </w:r>
    </w:p>
    <w:p w:rsidR="000773EF" w:rsidRPr="00A33241" w:rsidP="000773EF" w14:paraId="4FB03EA6" w14:textId="77777777">
      <w:pPr>
        <w:tabs>
          <w:tab w:val="left" w:pos="1440"/>
        </w:tabs>
        <w:spacing w:after="0"/>
        <w:jc w:val="center"/>
        <w:rPr>
          <w:szCs w:val="26"/>
        </w:rPr>
      </w:pPr>
      <w:r>
        <w:rPr>
          <w:szCs w:val="26"/>
        </w:rPr>
        <w:t xml:space="preserve">Plaintiff </w:t>
      </w:r>
      <w:r w:rsidRPr="00A33241">
        <w:rPr>
          <w:szCs w:val="26"/>
        </w:rPr>
        <w:t>and Appellant</w:t>
      </w:r>
      <w:r w:rsidR="003A2290">
        <w:rPr>
          <w:szCs w:val="26"/>
        </w:rPr>
        <w:t>,</w:t>
      </w:r>
    </w:p>
    <w:p w:rsidR="000773EF" w:rsidRPr="00660C6C" w:rsidP="000773EF" w14:paraId="4FB03EA7" w14:textId="77777777">
      <w:pPr>
        <w:tabs>
          <w:tab w:val="left" w:pos="1440"/>
        </w:tabs>
        <w:spacing w:after="0"/>
        <w:jc w:val="center"/>
        <w:rPr>
          <w:szCs w:val="26"/>
        </w:rPr>
      </w:pPr>
      <w:r w:rsidRPr="00660C6C">
        <w:rPr>
          <w:szCs w:val="26"/>
        </w:rPr>
        <w:t>v.</w:t>
      </w:r>
    </w:p>
    <w:p w:rsidR="000773EF" w:rsidRPr="00120634" w:rsidP="000773EF" w14:paraId="4FB03EA8" w14:textId="77777777">
      <w:pPr>
        <w:tabs>
          <w:tab w:val="left" w:pos="1440"/>
        </w:tabs>
        <w:spacing w:after="0"/>
        <w:jc w:val="center"/>
        <w:rPr>
          <w:szCs w:val="26"/>
        </w:rPr>
      </w:pPr>
      <w:r>
        <w:rPr>
          <w:caps/>
          <w:szCs w:val="26"/>
        </w:rPr>
        <w:t>PG&amp;E CORPORATION</w:t>
      </w:r>
      <w:r w:rsidR="001665DD">
        <w:rPr>
          <w:caps/>
          <w:szCs w:val="26"/>
        </w:rPr>
        <w:t xml:space="preserve"> </w:t>
      </w:r>
      <w:r w:rsidR="008875C7">
        <w:rPr>
          <w:szCs w:val="26"/>
        </w:rPr>
        <w:t>et al.,</w:t>
      </w:r>
    </w:p>
    <w:p w:rsidR="000773EF" w:rsidRPr="00A33241" w:rsidP="000773EF" w14:paraId="4FB03EA9" w14:textId="77777777">
      <w:pPr>
        <w:tabs>
          <w:tab w:val="left" w:pos="1440"/>
        </w:tabs>
        <w:spacing w:after="0"/>
        <w:jc w:val="center"/>
        <w:rPr>
          <w:szCs w:val="26"/>
        </w:rPr>
      </w:pPr>
      <w:r w:rsidRPr="00A33241">
        <w:rPr>
          <w:szCs w:val="26"/>
        </w:rPr>
        <w:t>Defendants and Respondents</w:t>
      </w:r>
      <w:r w:rsidR="003A2290">
        <w:rPr>
          <w:szCs w:val="26"/>
        </w:rPr>
        <w:t>.</w:t>
      </w:r>
    </w:p>
    <w:p w:rsidR="000773EF" w:rsidP="000773EF" w14:paraId="4FB03EAA" w14:textId="77777777">
      <w:pPr>
        <w:tabs>
          <w:tab w:val="left" w:pos="1440"/>
        </w:tabs>
        <w:spacing w:after="0"/>
        <w:jc w:val="center"/>
        <w:rPr>
          <w:caps/>
          <w:szCs w:val="26"/>
        </w:rPr>
      </w:pPr>
    </w:p>
    <w:p w:rsidR="000773EF" w:rsidP="000773EF" w14:paraId="4FB03EAB" w14:textId="77777777">
      <w:pPr>
        <w:tabs>
          <w:tab w:val="left" w:pos="1440"/>
        </w:tabs>
        <w:spacing w:after="0"/>
        <w:jc w:val="center"/>
        <w:rPr>
          <w:caps/>
          <w:szCs w:val="26"/>
        </w:rPr>
      </w:pPr>
      <w:r>
        <w:rPr>
          <w:caps/>
          <w:szCs w:val="26"/>
        </w:rPr>
        <w:t>S273340</w:t>
      </w:r>
    </w:p>
    <w:p w:rsidR="000773EF" w:rsidP="000773EF" w14:paraId="4FB03EAC" w14:textId="77777777">
      <w:pPr>
        <w:tabs>
          <w:tab w:val="left" w:pos="1440"/>
        </w:tabs>
        <w:spacing w:after="0"/>
        <w:jc w:val="center"/>
        <w:rPr>
          <w:caps/>
          <w:szCs w:val="26"/>
        </w:rPr>
      </w:pPr>
    </w:p>
    <w:p w:rsidR="000773EF" w:rsidRPr="0076748A" w:rsidP="000773EF" w14:paraId="4FB03EAD" w14:textId="77777777">
      <w:pPr>
        <w:tabs>
          <w:tab w:val="left" w:pos="1440"/>
        </w:tabs>
        <w:spacing w:after="0"/>
        <w:jc w:val="center"/>
        <w:rPr>
          <w:szCs w:val="26"/>
        </w:rPr>
      </w:pPr>
      <w:r w:rsidRPr="0076748A">
        <w:rPr>
          <w:szCs w:val="26"/>
        </w:rPr>
        <w:t xml:space="preserve">Ninth Circuit </w:t>
      </w:r>
    </w:p>
    <w:p w:rsidR="00245946" w:rsidRPr="0076748A" w:rsidP="000773EF" w14:paraId="4FB03EAE" w14:textId="77777777">
      <w:pPr>
        <w:tabs>
          <w:tab w:val="left" w:pos="1440"/>
        </w:tabs>
        <w:spacing w:after="0"/>
        <w:jc w:val="center"/>
        <w:rPr>
          <w:szCs w:val="26"/>
        </w:rPr>
      </w:pPr>
      <w:r w:rsidRPr="0076748A">
        <w:rPr>
          <w:szCs w:val="26"/>
        </w:rPr>
        <w:t>21-15571</w:t>
      </w:r>
    </w:p>
    <w:p w:rsidR="0096759C" w:rsidP="000773EF" w14:paraId="4FB03EAF" w14:textId="77777777">
      <w:pPr>
        <w:tabs>
          <w:tab w:val="left" w:pos="1440"/>
        </w:tabs>
        <w:spacing w:after="0"/>
        <w:jc w:val="center"/>
        <w:rPr>
          <w:caps/>
          <w:szCs w:val="26"/>
        </w:rPr>
      </w:pPr>
    </w:p>
    <w:p w:rsidR="0096759C" w:rsidRPr="00660C6C" w:rsidP="000773EF" w14:paraId="4FB03EB0" w14:textId="77777777">
      <w:pPr>
        <w:tabs>
          <w:tab w:val="left" w:pos="1440"/>
        </w:tabs>
        <w:spacing w:after="0"/>
        <w:jc w:val="center"/>
        <w:rPr>
          <w:szCs w:val="26"/>
        </w:rPr>
      </w:pPr>
      <w:r>
        <w:rPr>
          <w:szCs w:val="26"/>
        </w:rPr>
        <w:t>N</w:t>
      </w:r>
      <w:r w:rsidRPr="00660C6C">
        <w:rPr>
          <w:szCs w:val="26"/>
        </w:rPr>
        <w:t xml:space="preserve">orthern </w:t>
      </w:r>
      <w:r>
        <w:rPr>
          <w:szCs w:val="26"/>
        </w:rPr>
        <w:t>D</w:t>
      </w:r>
      <w:r w:rsidRPr="00660C6C">
        <w:rPr>
          <w:szCs w:val="26"/>
        </w:rPr>
        <w:t>istrict of California</w:t>
      </w:r>
    </w:p>
    <w:p w:rsidR="000773EF" w:rsidRPr="00660C6C" w:rsidP="000773EF" w14:paraId="4FB03EB1" w14:textId="77777777">
      <w:pPr>
        <w:tabs>
          <w:tab w:val="left" w:pos="1440"/>
        </w:tabs>
        <w:spacing w:after="0"/>
        <w:jc w:val="center"/>
        <w:rPr>
          <w:szCs w:val="26"/>
        </w:rPr>
      </w:pPr>
      <w:r>
        <w:rPr>
          <w:szCs w:val="26"/>
        </w:rPr>
        <w:t>4:</w:t>
      </w:r>
      <w:r w:rsidRPr="00660C6C" w:rsidR="0096759C">
        <w:rPr>
          <w:szCs w:val="26"/>
        </w:rPr>
        <w:t>20-cv-02584-HSG</w:t>
      </w:r>
    </w:p>
    <w:p w:rsidR="000773EF" w:rsidP="000773EF" w14:paraId="4FB03EB2" w14:textId="77777777">
      <w:pPr>
        <w:pBdr>
          <w:bottom w:val="single" w:sz="4" w:space="1" w:color="auto"/>
        </w:pBdr>
        <w:tabs>
          <w:tab w:val="left" w:pos="1440"/>
        </w:tabs>
        <w:spacing w:after="0"/>
        <w:jc w:val="center"/>
        <w:rPr>
          <w:caps/>
          <w:szCs w:val="26"/>
        </w:rPr>
      </w:pPr>
    </w:p>
    <w:p w:rsidR="000773EF" w:rsidP="000773EF" w14:paraId="4FB03EB3" w14:textId="77777777">
      <w:pPr>
        <w:tabs>
          <w:tab w:val="left" w:pos="1440"/>
        </w:tabs>
        <w:spacing w:after="0"/>
        <w:jc w:val="center"/>
        <w:rPr>
          <w:caps/>
          <w:szCs w:val="26"/>
        </w:rPr>
      </w:pPr>
    </w:p>
    <w:p w:rsidR="000773EF" w:rsidRPr="00C6797F" w:rsidP="000773EF" w14:paraId="4FB03EB4" w14:textId="77777777">
      <w:pPr>
        <w:tabs>
          <w:tab w:val="left" w:pos="1440"/>
        </w:tabs>
        <w:spacing w:after="0"/>
        <w:jc w:val="center"/>
        <w:rPr>
          <w:szCs w:val="26"/>
        </w:rPr>
      </w:pPr>
      <w:r>
        <w:rPr>
          <w:szCs w:val="26"/>
        </w:rPr>
        <w:t>November 20</w:t>
      </w:r>
      <w:r w:rsidRPr="00C6797F">
        <w:rPr>
          <w:szCs w:val="26"/>
        </w:rPr>
        <w:t>, 2023</w:t>
      </w:r>
    </w:p>
    <w:p w:rsidR="000773EF" w:rsidP="000773EF" w14:paraId="4FB03EB5" w14:textId="77777777">
      <w:pPr>
        <w:tabs>
          <w:tab w:val="left" w:pos="1440"/>
        </w:tabs>
        <w:spacing w:after="0"/>
        <w:jc w:val="center"/>
        <w:rPr>
          <w:caps/>
          <w:szCs w:val="26"/>
        </w:rPr>
      </w:pPr>
    </w:p>
    <w:p w:rsidR="000773EF" w:rsidRPr="00C6797F" w:rsidP="000773EF" w14:paraId="4FB03EB6" w14:textId="77777777">
      <w:pPr>
        <w:tabs>
          <w:tab w:val="left" w:pos="1440"/>
        </w:tabs>
        <w:spacing w:after="0"/>
        <w:jc w:val="left"/>
        <w:rPr>
          <w:szCs w:val="26"/>
        </w:rPr>
      </w:pPr>
      <w:r w:rsidRPr="00C6797F">
        <w:rPr>
          <w:szCs w:val="26"/>
        </w:rPr>
        <w:t xml:space="preserve">Justice Liu authored the opinion of the Court, in which </w:t>
      </w:r>
      <w:r w:rsidRPr="00A133B9" w:rsidR="00A133B9">
        <w:rPr>
          <w:szCs w:val="26"/>
        </w:rPr>
        <w:t>Chief Justice Guerrero and Justices Corrigan, Groban, Jenkins, Evans</w:t>
      </w:r>
      <w:r w:rsidR="007B7894">
        <w:rPr>
          <w:szCs w:val="26"/>
        </w:rPr>
        <w:t xml:space="preserve">, </w:t>
      </w:r>
      <w:r w:rsidR="00A133B9">
        <w:rPr>
          <w:szCs w:val="26"/>
        </w:rPr>
        <w:t xml:space="preserve">and </w:t>
      </w:r>
      <w:r w:rsidRPr="00666AB6" w:rsidR="00666AB6">
        <w:t>O’</w:t>
      </w:r>
      <w:r w:rsidR="00666AB6">
        <w:t>Rourke</w:t>
      </w:r>
      <w:r>
        <w:rPr>
          <w:b/>
          <w:position w:val="4"/>
          <w:vertAlign w:val="superscript"/>
        </w:rPr>
        <w:footnoteReference w:customMarkFollows="1" w:id="3"/>
        <w:t xml:space="preserve">*</w:t>
      </w:r>
      <w:r w:rsidR="003E31DF">
        <w:t xml:space="preserve"> </w:t>
      </w:r>
      <w:r w:rsidRPr="00C6797F">
        <w:rPr>
          <w:szCs w:val="26"/>
        </w:rPr>
        <w:t xml:space="preserve">concurred. </w:t>
      </w:r>
    </w:p>
    <w:p w:rsidR="000773EF" w:rsidP="000773EF" w14:paraId="4FB03EB7" w14:textId="77777777">
      <w:pPr>
        <w:pBdr>
          <w:bottom w:val="single" w:sz="4" w:space="1" w:color="auto"/>
        </w:pBdr>
        <w:tabs>
          <w:tab w:val="left" w:pos="1440"/>
        </w:tabs>
        <w:spacing w:after="0"/>
        <w:jc w:val="left"/>
        <w:rPr>
          <w:caps/>
          <w:szCs w:val="26"/>
        </w:rPr>
      </w:pPr>
    </w:p>
    <w:p w:rsidR="000773EF" w:rsidP="00AB6324" w14:paraId="4FB03EB8" w14:textId="77777777">
      <w:pPr>
        <w:tabs>
          <w:tab w:val="left" w:pos="1440"/>
        </w:tabs>
        <w:spacing w:line="480" w:lineRule="atLeast"/>
        <w:rPr>
          <w:b/>
          <w:caps/>
          <w:szCs w:val="26"/>
        </w:rPr>
        <w:sectPr w:rsidSect="000773EF">
          <w:headerReference w:type="default" r:id="rId6"/>
          <w:footerReference w:type="default" r:id="rId7"/>
          <w:headerReference w:type="first" r:id="rId8"/>
          <w:footnotePr>
            <w:numFmt w:val="chicago"/>
          </w:footnotePr>
          <w:pgSz w:w="12240" w:h="15840"/>
          <w:pgMar w:top="1800" w:right="2160" w:bottom="1440" w:left="2160" w:header="720" w:footer="720" w:gutter="0"/>
          <w:cols w:space="720"/>
          <w:titlePg/>
          <w:docGrid w:linePitch="367"/>
        </w:sectPr>
      </w:pPr>
      <w:bookmarkStart w:id="1" w:name="Return"/>
      <w:bookmarkEnd w:id="1"/>
    </w:p>
    <w:p w:rsidR="000773EF" w:rsidRPr="001D1719" w:rsidP="00087F8D" w14:paraId="4FB03EB9" w14:textId="22F8EF4F">
      <w:pPr>
        <w:tabs>
          <w:tab w:val="left" w:pos="1440"/>
        </w:tabs>
        <w:jc w:val="center"/>
        <w:rPr>
          <w:bCs/>
          <w:caps/>
          <w:szCs w:val="26"/>
        </w:rPr>
      </w:pPr>
      <w:r w:rsidRPr="001D1719">
        <w:rPr>
          <w:bCs/>
          <w:caps/>
          <w:szCs w:val="26"/>
        </w:rPr>
        <w:t xml:space="preserve">GANTNER </w:t>
      </w:r>
      <w:r w:rsidRPr="001D1719" w:rsidR="003A2290">
        <w:rPr>
          <w:bCs/>
          <w:szCs w:val="26"/>
        </w:rPr>
        <w:t>v</w:t>
      </w:r>
      <w:r w:rsidRPr="001D1719">
        <w:rPr>
          <w:bCs/>
          <w:caps/>
          <w:szCs w:val="26"/>
        </w:rPr>
        <w:t>. PG&amp;E CORP</w:t>
      </w:r>
      <w:r w:rsidR="00087F8D">
        <w:rPr>
          <w:bCs/>
          <w:caps/>
          <w:szCs w:val="26"/>
        </w:rPr>
        <w:t>ORATION</w:t>
      </w:r>
    </w:p>
    <w:p w:rsidR="000773EF" w:rsidRPr="001D1719" w:rsidP="00DE3074" w14:paraId="4FB03EBA" w14:textId="77777777">
      <w:pPr>
        <w:tabs>
          <w:tab w:val="left" w:pos="1440"/>
        </w:tabs>
        <w:jc w:val="center"/>
        <w:rPr>
          <w:bCs/>
          <w:caps/>
          <w:szCs w:val="26"/>
        </w:rPr>
      </w:pPr>
      <w:r w:rsidRPr="001D1719">
        <w:rPr>
          <w:bCs/>
          <w:caps/>
          <w:szCs w:val="26"/>
        </w:rPr>
        <w:t>S273340</w:t>
      </w:r>
    </w:p>
    <w:p w:rsidR="000773EF" w:rsidP="000773EF" w14:paraId="4FB03EBB" w14:textId="77777777">
      <w:pPr>
        <w:tabs>
          <w:tab w:val="left" w:pos="1440"/>
        </w:tabs>
        <w:ind w:firstLine="720"/>
        <w:jc w:val="center"/>
        <w:rPr>
          <w:b/>
          <w:caps/>
          <w:szCs w:val="26"/>
        </w:rPr>
      </w:pPr>
    </w:p>
    <w:p w:rsidR="000773EF" w:rsidP="00087F8D" w14:paraId="4FB03EBC" w14:textId="77777777">
      <w:pPr>
        <w:tabs>
          <w:tab w:val="left" w:pos="1440"/>
        </w:tabs>
        <w:jc w:val="center"/>
        <w:rPr>
          <w:bCs/>
          <w:szCs w:val="26"/>
        </w:rPr>
      </w:pPr>
      <w:r w:rsidRPr="0088759E">
        <w:rPr>
          <w:bCs/>
          <w:szCs w:val="26"/>
        </w:rPr>
        <w:t xml:space="preserve">Opinion of the Court by Liu, J. </w:t>
      </w:r>
    </w:p>
    <w:p w:rsidR="00C6797F" w:rsidRPr="0088759E" w:rsidP="000773EF" w14:paraId="4FB03EBD" w14:textId="77777777">
      <w:pPr>
        <w:tabs>
          <w:tab w:val="left" w:pos="1440"/>
        </w:tabs>
        <w:ind w:firstLine="720"/>
        <w:jc w:val="center"/>
        <w:rPr>
          <w:bCs/>
          <w:szCs w:val="26"/>
        </w:rPr>
      </w:pPr>
    </w:p>
    <w:p w:rsidR="00960B40" w14:paraId="4FB03EBE" w14:textId="77777777">
      <w:pPr>
        <w:tabs>
          <w:tab w:val="left" w:pos="1440"/>
        </w:tabs>
        <w:ind w:firstLine="720"/>
        <w:rPr>
          <w:szCs w:val="26"/>
        </w:rPr>
      </w:pPr>
      <w:r w:rsidRPr="000773EF">
        <w:rPr>
          <w:szCs w:val="26"/>
        </w:rPr>
        <w:t xml:space="preserve">Pacific Gas </w:t>
      </w:r>
      <w:r w:rsidR="009B2F89">
        <w:rPr>
          <w:szCs w:val="26"/>
        </w:rPr>
        <w:t>and</w:t>
      </w:r>
      <w:r w:rsidRPr="000773EF">
        <w:rPr>
          <w:szCs w:val="26"/>
        </w:rPr>
        <w:t xml:space="preserve"> Electric Company</w:t>
      </w:r>
      <w:r w:rsidRPr="000773EF" w:rsidR="007C7786">
        <w:rPr>
          <w:szCs w:val="26"/>
        </w:rPr>
        <w:t xml:space="preserve"> (PG&amp;E) </w:t>
      </w:r>
      <w:r w:rsidRPr="000773EF" w:rsidR="0073672F">
        <w:rPr>
          <w:szCs w:val="26"/>
        </w:rPr>
        <w:t>conducted a series of emergency power shutoffs</w:t>
      </w:r>
      <w:r w:rsidRPr="000773EF" w:rsidR="00C467BA">
        <w:rPr>
          <w:szCs w:val="26"/>
        </w:rPr>
        <w:t>, called Public Safety Power Shutoffs (PSPS),</w:t>
      </w:r>
      <w:r w:rsidRPr="000773EF" w:rsidR="0073672F">
        <w:rPr>
          <w:szCs w:val="26"/>
        </w:rPr>
        <w:t xml:space="preserve"> </w:t>
      </w:r>
      <w:r w:rsidRPr="000773EF" w:rsidR="00D45354">
        <w:rPr>
          <w:szCs w:val="26"/>
        </w:rPr>
        <w:t xml:space="preserve">throughout </w:t>
      </w:r>
      <w:r w:rsidRPr="000773EF" w:rsidR="00F43437">
        <w:rPr>
          <w:szCs w:val="26"/>
        </w:rPr>
        <w:t xml:space="preserve">the </w:t>
      </w:r>
      <w:r w:rsidRPr="000773EF" w:rsidR="00D45354">
        <w:rPr>
          <w:szCs w:val="26"/>
        </w:rPr>
        <w:t xml:space="preserve">fall </w:t>
      </w:r>
      <w:r w:rsidRPr="000773EF" w:rsidR="00F43437">
        <w:rPr>
          <w:szCs w:val="26"/>
        </w:rPr>
        <w:t xml:space="preserve">of </w:t>
      </w:r>
      <w:r w:rsidRPr="000773EF" w:rsidR="00D45354">
        <w:rPr>
          <w:szCs w:val="26"/>
        </w:rPr>
        <w:t>2019</w:t>
      </w:r>
      <w:r w:rsidRPr="000773EF" w:rsidR="0073672F">
        <w:rPr>
          <w:szCs w:val="26"/>
        </w:rPr>
        <w:t xml:space="preserve"> </w:t>
      </w:r>
      <w:r w:rsidRPr="000773EF" w:rsidR="001C0031">
        <w:rPr>
          <w:szCs w:val="26"/>
        </w:rPr>
        <w:t xml:space="preserve">to reduce the risk </w:t>
      </w:r>
      <w:r w:rsidRPr="000773EF" w:rsidR="00832E11">
        <w:rPr>
          <w:szCs w:val="26"/>
        </w:rPr>
        <w:t xml:space="preserve">that </w:t>
      </w:r>
      <w:r w:rsidRPr="000773EF">
        <w:rPr>
          <w:szCs w:val="26"/>
        </w:rPr>
        <w:t xml:space="preserve">its </w:t>
      </w:r>
      <w:r w:rsidRPr="000773EF" w:rsidR="00832E11">
        <w:rPr>
          <w:szCs w:val="26"/>
        </w:rPr>
        <w:t>utility infrastructure would ignite</w:t>
      </w:r>
      <w:r w:rsidRPr="000773EF" w:rsidR="001C0031">
        <w:rPr>
          <w:szCs w:val="26"/>
        </w:rPr>
        <w:t xml:space="preserve"> </w:t>
      </w:r>
      <w:r w:rsidRPr="000773EF" w:rsidR="00832E11">
        <w:rPr>
          <w:szCs w:val="26"/>
        </w:rPr>
        <w:t>a wildfire</w:t>
      </w:r>
      <w:r w:rsidRPr="000773EF">
        <w:rPr>
          <w:szCs w:val="26"/>
        </w:rPr>
        <w:t xml:space="preserve"> during extreme weather conditions.</w:t>
      </w:r>
      <w:r w:rsidRPr="000773EF" w:rsidR="001C0031">
        <w:rPr>
          <w:szCs w:val="26"/>
        </w:rPr>
        <w:t xml:space="preserve"> </w:t>
      </w:r>
      <w:r w:rsidRPr="000773EF" w:rsidR="0073672F">
        <w:rPr>
          <w:szCs w:val="26"/>
        </w:rPr>
        <w:t xml:space="preserve"> </w:t>
      </w:r>
      <w:r w:rsidR="00AE51BD">
        <w:rPr>
          <w:szCs w:val="26"/>
        </w:rPr>
        <w:t xml:space="preserve">Plaintiff </w:t>
      </w:r>
      <w:r w:rsidRPr="000773EF" w:rsidR="0073672F">
        <w:rPr>
          <w:szCs w:val="26"/>
        </w:rPr>
        <w:t xml:space="preserve">Anthony Gantner alleges that </w:t>
      </w:r>
      <w:r w:rsidRPr="000773EF" w:rsidR="00832E11">
        <w:rPr>
          <w:szCs w:val="26"/>
        </w:rPr>
        <w:t xml:space="preserve">these </w:t>
      </w:r>
      <w:r w:rsidRPr="000773EF" w:rsidR="00BA6D0B">
        <w:rPr>
          <w:szCs w:val="26"/>
        </w:rPr>
        <w:t>power shutoffs were</w:t>
      </w:r>
      <w:r w:rsidRPr="000773EF" w:rsidR="0073672F">
        <w:rPr>
          <w:szCs w:val="26"/>
        </w:rPr>
        <w:t xml:space="preserve"> necessitated by PG&amp;E’s negligen</w:t>
      </w:r>
      <w:r w:rsidRPr="000773EF" w:rsidR="00F43437">
        <w:rPr>
          <w:szCs w:val="26"/>
        </w:rPr>
        <w:t>ce in</w:t>
      </w:r>
      <w:r w:rsidRPr="000773EF" w:rsidR="0073672F">
        <w:rPr>
          <w:szCs w:val="26"/>
        </w:rPr>
        <w:t xml:space="preserve"> maint</w:t>
      </w:r>
      <w:r w:rsidRPr="000773EF" w:rsidR="00F43437">
        <w:rPr>
          <w:szCs w:val="26"/>
        </w:rPr>
        <w:t>aining</w:t>
      </w:r>
      <w:r w:rsidRPr="000773EF" w:rsidR="0073672F">
        <w:rPr>
          <w:szCs w:val="26"/>
        </w:rPr>
        <w:t xml:space="preserve"> its power </w:t>
      </w:r>
      <w:r w:rsidRPr="000773EF" w:rsidR="00BA6D0B">
        <w:rPr>
          <w:szCs w:val="26"/>
        </w:rPr>
        <w:t>grid</w:t>
      </w:r>
      <w:r w:rsidRPr="000773EF" w:rsidR="0073672F">
        <w:rPr>
          <w:szCs w:val="26"/>
        </w:rPr>
        <w:t xml:space="preserve"> </w:t>
      </w:r>
      <w:r w:rsidRPr="000773EF" w:rsidR="00F43437">
        <w:rPr>
          <w:szCs w:val="26"/>
        </w:rPr>
        <w:t xml:space="preserve">over multiple decades </w:t>
      </w:r>
      <w:r w:rsidRPr="000773EF" w:rsidR="00C35225">
        <w:rPr>
          <w:szCs w:val="26"/>
        </w:rPr>
        <w:t>and that California</w:t>
      </w:r>
      <w:r w:rsidRPr="000773EF" w:rsidR="00020AFF">
        <w:rPr>
          <w:szCs w:val="26"/>
        </w:rPr>
        <w:t>n</w:t>
      </w:r>
      <w:r w:rsidRPr="000773EF" w:rsidR="00C35225">
        <w:rPr>
          <w:szCs w:val="26"/>
        </w:rPr>
        <w:t xml:space="preserve">s harmed by these shutoffs are entitled to </w:t>
      </w:r>
      <w:r w:rsidRPr="000773EF" w:rsidR="00C467BA">
        <w:rPr>
          <w:szCs w:val="26"/>
        </w:rPr>
        <w:t xml:space="preserve">$2.5 billion in </w:t>
      </w:r>
      <w:r w:rsidRPr="000773EF" w:rsidR="00C35225">
        <w:rPr>
          <w:szCs w:val="26"/>
        </w:rPr>
        <w:t>damages.</w:t>
      </w:r>
    </w:p>
    <w:p w:rsidR="00F36AD8" w:rsidRPr="000773EF" w:rsidP="00BC7683" w14:paraId="4FB03EBF" w14:textId="77777777">
      <w:pPr>
        <w:tabs>
          <w:tab w:val="left" w:pos="1440"/>
        </w:tabs>
        <w:ind w:firstLine="720"/>
        <w:rPr>
          <w:bCs/>
          <w:caps/>
          <w:szCs w:val="26"/>
        </w:rPr>
      </w:pPr>
      <w:r w:rsidRPr="000773EF">
        <w:rPr>
          <w:szCs w:val="26"/>
        </w:rPr>
        <w:t xml:space="preserve">While </w:t>
      </w:r>
      <w:r w:rsidRPr="000773EF" w:rsidR="006D693E">
        <w:rPr>
          <w:szCs w:val="26"/>
        </w:rPr>
        <w:t xml:space="preserve">Public </w:t>
      </w:r>
      <w:r w:rsidRPr="000773EF" w:rsidR="000F2BBF">
        <w:rPr>
          <w:szCs w:val="26"/>
        </w:rPr>
        <w:t xml:space="preserve">Utilities Code section </w:t>
      </w:r>
      <w:r w:rsidRPr="000773EF">
        <w:rPr>
          <w:szCs w:val="26"/>
        </w:rPr>
        <w:t xml:space="preserve">2106 provides a private right of action against utilities, section </w:t>
      </w:r>
      <w:r w:rsidRPr="000773EF" w:rsidR="000F2BBF">
        <w:rPr>
          <w:szCs w:val="26"/>
        </w:rPr>
        <w:t>1759</w:t>
      </w:r>
      <w:r w:rsidRPr="000773EF">
        <w:rPr>
          <w:szCs w:val="26"/>
        </w:rPr>
        <w:t xml:space="preserve"> of the same code</w:t>
      </w:r>
      <w:r w:rsidRPr="000773EF" w:rsidR="00DA0AC3">
        <w:rPr>
          <w:szCs w:val="26"/>
        </w:rPr>
        <w:t xml:space="preserve"> </w:t>
      </w:r>
      <w:r w:rsidRPr="000773EF" w:rsidR="0057046B">
        <w:rPr>
          <w:szCs w:val="26"/>
        </w:rPr>
        <w:t>bars</w:t>
      </w:r>
      <w:r w:rsidRPr="000773EF" w:rsidR="00F72181">
        <w:rPr>
          <w:szCs w:val="26"/>
        </w:rPr>
        <w:t xml:space="preserve"> </w:t>
      </w:r>
      <w:r w:rsidRPr="000773EF" w:rsidR="00491D1C">
        <w:rPr>
          <w:szCs w:val="26"/>
        </w:rPr>
        <w:t>actions</w:t>
      </w:r>
      <w:r w:rsidRPr="000773EF" w:rsidR="002914FB">
        <w:rPr>
          <w:szCs w:val="26"/>
        </w:rPr>
        <w:t xml:space="preserve"> that </w:t>
      </w:r>
      <w:r w:rsidRPr="000773EF" w:rsidR="00491D1C">
        <w:rPr>
          <w:szCs w:val="26"/>
        </w:rPr>
        <w:t>would</w:t>
      </w:r>
      <w:r w:rsidRPr="000773EF" w:rsidR="00B7122C">
        <w:rPr>
          <w:szCs w:val="26"/>
        </w:rPr>
        <w:t xml:space="preserve"> interfere with the California Public Utilities Commission (PUC) in the performance of its official duties.  </w:t>
      </w:r>
      <w:r w:rsidRPr="000773EF" w:rsidR="002321BF">
        <w:rPr>
          <w:szCs w:val="26"/>
        </w:rPr>
        <w:t>(</w:t>
      </w:r>
      <w:r w:rsidRPr="000773EF" w:rsidR="00AC5928">
        <w:rPr>
          <w:szCs w:val="26"/>
        </w:rPr>
        <w:t>A</w:t>
      </w:r>
      <w:r w:rsidRPr="000773EF" w:rsidR="002321BF">
        <w:rPr>
          <w:szCs w:val="26"/>
        </w:rPr>
        <w:t xml:space="preserve">ll undesignated statutory references are to the Public Utilities Code.)  </w:t>
      </w:r>
      <w:r w:rsidRPr="000773EF" w:rsidR="00491D1C">
        <w:rPr>
          <w:szCs w:val="26"/>
        </w:rPr>
        <w:t xml:space="preserve">We </w:t>
      </w:r>
      <w:r w:rsidRPr="000773EF" w:rsidR="00C467BA">
        <w:rPr>
          <w:szCs w:val="26"/>
        </w:rPr>
        <w:t xml:space="preserve">consider here, in response to a request by the United States Court of Appeals for the </w:t>
      </w:r>
      <w:r w:rsidRPr="000773EF" w:rsidR="00491D1C">
        <w:rPr>
          <w:szCs w:val="26"/>
        </w:rPr>
        <w:t>Ninth Circuit</w:t>
      </w:r>
      <w:r w:rsidRPr="000773EF" w:rsidR="00C467BA">
        <w:rPr>
          <w:szCs w:val="26"/>
        </w:rPr>
        <w:t>,</w:t>
      </w:r>
      <w:r w:rsidRPr="000773EF" w:rsidR="00491D1C">
        <w:rPr>
          <w:szCs w:val="26"/>
        </w:rPr>
        <w:t xml:space="preserve"> </w:t>
      </w:r>
      <w:r w:rsidRPr="000773EF" w:rsidR="00976FBF">
        <w:rPr>
          <w:szCs w:val="26"/>
        </w:rPr>
        <w:t xml:space="preserve">whether section 1759 </w:t>
      </w:r>
      <w:r w:rsidRPr="000773EF" w:rsidR="0057046B">
        <w:rPr>
          <w:szCs w:val="26"/>
        </w:rPr>
        <w:t>bars</w:t>
      </w:r>
      <w:r w:rsidRPr="000773EF" w:rsidR="00976FBF">
        <w:rPr>
          <w:szCs w:val="26"/>
        </w:rPr>
        <w:t xml:space="preserve"> a l</w:t>
      </w:r>
      <w:r w:rsidRPr="000773EF" w:rsidR="00D03240">
        <w:rPr>
          <w:szCs w:val="26"/>
        </w:rPr>
        <w:t>awsuit</w:t>
      </w:r>
      <w:r w:rsidRPr="000773EF" w:rsidR="007D16AE">
        <w:rPr>
          <w:szCs w:val="26"/>
        </w:rPr>
        <w:t xml:space="preserve"> </w:t>
      </w:r>
      <w:r w:rsidRPr="000773EF" w:rsidR="005B74FF">
        <w:rPr>
          <w:szCs w:val="26"/>
        </w:rPr>
        <w:t xml:space="preserve">that </w:t>
      </w:r>
      <w:r w:rsidRPr="000773EF" w:rsidR="007D16AE">
        <w:rPr>
          <w:szCs w:val="26"/>
        </w:rPr>
        <w:t>seek</w:t>
      </w:r>
      <w:r w:rsidRPr="000773EF" w:rsidR="005B74FF">
        <w:rPr>
          <w:szCs w:val="26"/>
        </w:rPr>
        <w:t>s</w:t>
      </w:r>
      <w:r w:rsidRPr="000773EF" w:rsidR="007D16AE">
        <w:rPr>
          <w:szCs w:val="26"/>
        </w:rPr>
        <w:t xml:space="preserve"> damages resulting from PSPS events </w:t>
      </w:r>
      <w:r w:rsidR="00960B40">
        <w:rPr>
          <w:szCs w:val="26"/>
        </w:rPr>
        <w:t>where the suit</w:t>
      </w:r>
      <w:r w:rsidRPr="000773EF" w:rsidR="00960B40">
        <w:rPr>
          <w:szCs w:val="26"/>
        </w:rPr>
        <w:t xml:space="preserve"> alleges that </w:t>
      </w:r>
      <w:r w:rsidR="00DE4A80">
        <w:rPr>
          <w:szCs w:val="26"/>
        </w:rPr>
        <w:t>a</w:t>
      </w:r>
      <w:r w:rsidRPr="000773EF" w:rsidR="00960B40">
        <w:rPr>
          <w:szCs w:val="26"/>
        </w:rPr>
        <w:t xml:space="preserve"> utility’s negligence in maintaining its grid necessitated the shutoffs </w:t>
      </w:r>
      <w:r w:rsidR="00960B40">
        <w:rPr>
          <w:szCs w:val="26"/>
        </w:rPr>
        <w:t>but does not allege</w:t>
      </w:r>
      <w:r w:rsidRPr="000773EF" w:rsidR="007D16AE">
        <w:rPr>
          <w:szCs w:val="26"/>
        </w:rPr>
        <w:t xml:space="preserve"> that the shutoffs were unnecessary or violated PUC regulations</w:t>
      </w:r>
      <w:r w:rsidRPr="000773EF" w:rsidR="00515F53">
        <w:rPr>
          <w:szCs w:val="26"/>
        </w:rPr>
        <w:t xml:space="preserve">.  </w:t>
      </w:r>
      <w:r w:rsidR="00AD713F">
        <w:rPr>
          <w:szCs w:val="26"/>
        </w:rPr>
        <w:t>W</w:t>
      </w:r>
      <w:r w:rsidRPr="000773EF" w:rsidR="00D015DB">
        <w:rPr>
          <w:szCs w:val="26"/>
        </w:rPr>
        <w:t>e hold that</w:t>
      </w:r>
      <w:r w:rsidRPr="000773EF" w:rsidR="00DB4D95">
        <w:rPr>
          <w:szCs w:val="26"/>
        </w:rPr>
        <w:t xml:space="preserve"> allowing suit </w:t>
      </w:r>
      <w:r w:rsidRPr="000773EF" w:rsidR="00515F53">
        <w:rPr>
          <w:szCs w:val="26"/>
        </w:rPr>
        <w:t>here</w:t>
      </w:r>
      <w:r w:rsidRPr="000773EF" w:rsidR="00D015DB">
        <w:rPr>
          <w:szCs w:val="26"/>
        </w:rPr>
        <w:t xml:space="preserve"> </w:t>
      </w:r>
      <w:r w:rsidRPr="000773EF" w:rsidR="0031500F">
        <w:rPr>
          <w:szCs w:val="26"/>
        </w:rPr>
        <w:t xml:space="preserve">would interfere with </w:t>
      </w:r>
      <w:r w:rsidRPr="000773EF" w:rsidR="00C467BA">
        <w:rPr>
          <w:szCs w:val="26"/>
        </w:rPr>
        <w:t xml:space="preserve">the </w:t>
      </w:r>
      <w:r w:rsidRPr="000773EF" w:rsidR="0031500F">
        <w:rPr>
          <w:szCs w:val="26"/>
        </w:rPr>
        <w:t>PUC</w:t>
      </w:r>
      <w:r w:rsidRPr="000773EF" w:rsidR="00C467BA">
        <w:rPr>
          <w:szCs w:val="26"/>
        </w:rPr>
        <w:t>’s comprehensive regulatory and supervisory authority over PSPS</w:t>
      </w:r>
      <w:r w:rsidRPr="000773EF" w:rsidR="006F5274">
        <w:rPr>
          <w:szCs w:val="26"/>
        </w:rPr>
        <w:t xml:space="preserve">. </w:t>
      </w:r>
      <w:r w:rsidRPr="000773EF" w:rsidR="0031500F">
        <w:rPr>
          <w:szCs w:val="26"/>
        </w:rPr>
        <w:t xml:space="preserve"> </w:t>
      </w:r>
      <w:r w:rsidRPr="000773EF" w:rsidR="006F5274">
        <w:rPr>
          <w:szCs w:val="26"/>
        </w:rPr>
        <w:t>S</w:t>
      </w:r>
      <w:r w:rsidRPr="000773EF" w:rsidR="0031500F">
        <w:rPr>
          <w:szCs w:val="26"/>
        </w:rPr>
        <w:t xml:space="preserve">ection 1759 </w:t>
      </w:r>
      <w:r w:rsidRPr="000773EF" w:rsidR="006F5274">
        <w:rPr>
          <w:szCs w:val="26"/>
        </w:rPr>
        <w:t xml:space="preserve">therefore </w:t>
      </w:r>
      <w:r w:rsidRPr="000773EF" w:rsidR="0057046B">
        <w:rPr>
          <w:szCs w:val="26"/>
        </w:rPr>
        <w:t>bars</w:t>
      </w:r>
      <w:r w:rsidRPr="000773EF" w:rsidR="0031500F">
        <w:rPr>
          <w:szCs w:val="26"/>
        </w:rPr>
        <w:t xml:space="preserve"> Gantner’s suit.  </w:t>
      </w:r>
      <w:r w:rsidR="00AE51BD">
        <w:rPr>
          <w:szCs w:val="26"/>
        </w:rPr>
        <w:t>T</w:t>
      </w:r>
      <w:r w:rsidRPr="000773EF" w:rsidR="00F62D16">
        <w:rPr>
          <w:szCs w:val="26"/>
        </w:rPr>
        <w:t>he Ninth Circuit</w:t>
      </w:r>
      <w:r w:rsidR="00AE51BD">
        <w:rPr>
          <w:szCs w:val="26"/>
        </w:rPr>
        <w:t xml:space="preserve"> also asked us to decide</w:t>
      </w:r>
      <w:r w:rsidR="00DD747E">
        <w:rPr>
          <w:szCs w:val="26"/>
        </w:rPr>
        <w:t xml:space="preserve"> </w:t>
      </w:r>
      <w:r w:rsidRPr="000773EF" w:rsidR="00F62D16">
        <w:rPr>
          <w:szCs w:val="26"/>
        </w:rPr>
        <w:t>whether</w:t>
      </w:r>
      <w:r w:rsidR="002C51F6">
        <w:rPr>
          <w:szCs w:val="26"/>
        </w:rPr>
        <w:t xml:space="preserve"> PG&amp;E Electric Rule </w:t>
      </w:r>
      <w:r w:rsidR="000C0E7D">
        <w:rPr>
          <w:szCs w:val="26"/>
        </w:rPr>
        <w:t xml:space="preserve">No. </w:t>
      </w:r>
      <w:r w:rsidR="002C51F6">
        <w:rPr>
          <w:szCs w:val="26"/>
        </w:rPr>
        <w:t>14</w:t>
      </w:r>
      <w:r w:rsidRPr="000773EF" w:rsidR="00F62D16">
        <w:rPr>
          <w:szCs w:val="26"/>
        </w:rPr>
        <w:t xml:space="preserve"> </w:t>
      </w:r>
      <w:r w:rsidR="002C51F6">
        <w:rPr>
          <w:szCs w:val="26"/>
        </w:rPr>
        <w:t>(</w:t>
      </w:r>
      <w:r w:rsidRPr="000773EF" w:rsidR="004A4521">
        <w:rPr>
          <w:szCs w:val="26"/>
        </w:rPr>
        <w:t>Tariff</w:t>
      </w:r>
      <w:r w:rsidRPr="000773EF" w:rsidR="00F62D16">
        <w:rPr>
          <w:szCs w:val="26"/>
        </w:rPr>
        <w:t xml:space="preserve"> Rule</w:t>
      </w:r>
      <w:r w:rsidRPr="000773EF" w:rsidR="004A4521">
        <w:rPr>
          <w:szCs w:val="26"/>
        </w:rPr>
        <w:t xml:space="preserve"> </w:t>
      </w:r>
      <w:r w:rsidRPr="000773EF" w:rsidR="00F62D16">
        <w:rPr>
          <w:szCs w:val="26"/>
        </w:rPr>
        <w:t>14</w:t>
      </w:r>
      <w:r w:rsidR="002C51F6">
        <w:rPr>
          <w:szCs w:val="26"/>
        </w:rPr>
        <w:t>)</w:t>
      </w:r>
      <w:r w:rsidRPr="000773EF" w:rsidR="00F62D16">
        <w:rPr>
          <w:szCs w:val="26"/>
        </w:rPr>
        <w:t xml:space="preserve"> shields PG&amp;E from liability</w:t>
      </w:r>
      <w:r w:rsidR="00AE51BD">
        <w:rPr>
          <w:szCs w:val="26"/>
        </w:rPr>
        <w:t>, but we do not reach that issue</w:t>
      </w:r>
      <w:r w:rsidRPr="000773EF" w:rsidR="00F62D16">
        <w:rPr>
          <w:szCs w:val="26"/>
        </w:rPr>
        <w:t>.</w:t>
      </w:r>
    </w:p>
    <w:p w:rsidR="00AC48AE" w:rsidRPr="000773EF" w:rsidP="000773EF" w14:paraId="4FB03EC0" w14:textId="77777777">
      <w:pPr>
        <w:pStyle w:val="Heading1"/>
        <w:rPr>
          <w:i/>
          <w:iCs/>
          <w:szCs w:val="26"/>
        </w:rPr>
      </w:pPr>
      <w:r w:rsidRPr="000773EF">
        <w:rPr>
          <w:szCs w:val="26"/>
        </w:rPr>
        <w:t>I.</w:t>
      </w:r>
    </w:p>
    <w:p w:rsidR="00B353B2" w:rsidRPr="000773EF" w:rsidP="00BC7683" w14:paraId="4FB03EC1" w14:textId="77777777">
      <w:pPr>
        <w:ind w:firstLine="720"/>
        <w:rPr>
          <w:szCs w:val="26"/>
        </w:rPr>
      </w:pPr>
      <w:r w:rsidRPr="000773EF">
        <w:rPr>
          <w:szCs w:val="26"/>
        </w:rPr>
        <w:t>Gantner</w:t>
      </w:r>
      <w:r w:rsidRPr="000773EF" w:rsidR="00315B2B">
        <w:rPr>
          <w:szCs w:val="26"/>
        </w:rPr>
        <w:t xml:space="preserve"> filed a class action complaint against PG&amp;E in </w:t>
      </w:r>
      <w:r w:rsidRPr="000773EF" w:rsidR="009614E8">
        <w:rPr>
          <w:szCs w:val="26"/>
        </w:rPr>
        <w:t xml:space="preserve">2019 </w:t>
      </w:r>
      <w:r w:rsidRPr="000773EF" w:rsidR="00792E42">
        <w:rPr>
          <w:szCs w:val="26"/>
        </w:rPr>
        <w:t xml:space="preserve">in the Bankruptcy Court for the Northern District of California </w:t>
      </w:r>
      <w:r w:rsidRPr="000773EF" w:rsidR="009614E8">
        <w:rPr>
          <w:szCs w:val="26"/>
        </w:rPr>
        <w:t xml:space="preserve">as part of PG&amp;E’s Chapter 11 bankruptcy proceedings.  </w:t>
      </w:r>
      <w:r w:rsidRPr="000773EF" w:rsidR="003D6AEB">
        <w:rPr>
          <w:szCs w:val="26"/>
        </w:rPr>
        <w:t xml:space="preserve">Gantner alleges that PG&amp;E </w:t>
      </w:r>
      <w:r w:rsidRPr="000773EF" w:rsidR="00AC4CCC">
        <w:rPr>
          <w:szCs w:val="26"/>
        </w:rPr>
        <w:t>negligent</w:t>
      </w:r>
      <w:r w:rsidRPr="000773EF" w:rsidR="008A6032">
        <w:rPr>
          <w:szCs w:val="26"/>
        </w:rPr>
        <w:t>ly</w:t>
      </w:r>
      <w:r w:rsidRPr="000773EF" w:rsidR="00AC4CCC">
        <w:rPr>
          <w:szCs w:val="26"/>
        </w:rPr>
        <w:t xml:space="preserve"> maint</w:t>
      </w:r>
      <w:r w:rsidRPr="000773EF" w:rsidR="008A6032">
        <w:rPr>
          <w:szCs w:val="26"/>
        </w:rPr>
        <w:t>ained</w:t>
      </w:r>
      <w:r w:rsidRPr="000773EF" w:rsidR="00AC4CCC">
        <w:rPr>
          <w:szCs w:val="26"/>
        </w:rPr>
        <w:t xml:space="preserve"> </w:t>
      </w:r>
      <w:r w:rsidRPr="000773EF" w:rsidR="008A6032">
        <w:rPr>
          <w:szCs w:val="26"/>
        </w:rPr>
        <w:t xml:space="preserve">its power grid </w:t>
      </w:r>
      <w:r w:rsidRPr="000773EF" w:rsidR="00DB0369">
        <w:rPr>
          <w:szCs w:val="26"/>
        </w:rPr>
        <w:t xml:space="preserve">and electrical equipment </w:t>
      </w:r>
      <w:r w:rsidRPr="000773EF" w:rsidR="002D7F00">
        <w:rPr>
          <w:szCs w:val="26"/>
        </w:rPr>
        <w:t>for</w:t>
      </w:r>
      <w:r w:rsidRPr="000773EF" w:rsidR="0089798F">
        <w:rPr>
          <w:szCs w:val="26"/>
        </w:rPr>
        <w:t xml:space="preserve"> decades </w:t>
      </w:r>
      <w:r w:rsidRPr="000773EF" w:rsidR="008A6032">
        <w:rPr>
          <w:szCs w:val="26"/>
        </w:rPr>
        <w:t xml:space="preserve">and that this negligence forced the </w:t>
      </w:r>
      <w:r w:rsidRPr="000773EF" w:rsidR="003E7A12">
        <w:rPr>
          <w:szCs w:val="26"/>
        </w:rPr>
        <w:t xml:space="preserve">utility to implement a series of </w:t>
      </w:r>
      <w:r w:rsidRPr="000773EF" w:rsidR="00036AD5">
        <w:rPr>
          <w:szCs w:val="26"/>
        </w:rPr>
        <w:t xml:space="preserve">PSPS </w:t>
      </w:r>
      <w:r w:rsidRPr="000773EF" w:rsidR="00F968BB">
        <w:rPr>
          <w:szCs w:val="26"/>
        </w:rPr>
        <w:t xml:space="preserve">in 2019 to reduce the risk of wildfires. </w:t>
      </w:r>
      <w:r w:rsidRPr="000773EF" w:rsidR="0024117A">
        <w:rPr>
          <w:szCs w:val="26"/>
        </w:rPr>
        <w:t xml:space="preserve"> </w:t>
      </w:r>
      <w:r w:rsidRPr="000773EF" w:rsidR="00EF272F">
        <w:rPr>
          <w:szCs w:val="26"/>
        </w:rPr>
        <w:t xml:space="preserve">The PSPS events in question led to </w:t>
      </w:r>
      <w:r w:rsidRPr="000773EF" w:rsidR="00DE462B">
        <w:rPr>
          <w:szCs w:val="26"/>
        </w:rPr>
        <w:t>“many days” without power for Gantner and other California</w:t>
      </w:r>
      <w:r w:rsidRPr="000773EF" w:rsidR="00A7219F">
        <w:rPr>
          <w:szCs w:val="26"/>
        </w:rPr>
        <w:t xml:space="preserve"> resident</w:t>
      </w:r>
      <w:r w:rsidRPr="000773EF" w:rsidR="00F61E83">
        <w:rPr>
          <w:szCs w:val="26"/>
        </w:rPr>
        <w:t>s and business owners</w:t>
      </w:r>
      <w:r w:rsidRPr="000773EF" w:rsidR="00DE462B">
        <w:rPr>
          <w:szCs w:val="26"/>
        </w:rPr>
        <w:t>, who</w:t>
      </w:r>
      <w:r w:rsidRPr="000773EF" w:rsidR="00EE2D18">
        <w:rPr>
          <w:szCs w:val="26"/>
        </w:rPr>
        <w:t xml:space="preserve"> </w:t>
      </w:r>
      <w:r w:rsidRPr="000773EF" w:rsidR="00544816">
        <w:rPr>
          <w:szCs w:val="26"/>
        </w:rPr>
        <w:t>request</w:t>
      </w:r>
      <w:r w:rsidR="005C4EA1">
        <w:rPr>
          <w:szCs w:val="26"/>
        </w:rPr>
        <w:t>ed</w:t>
      </w:r>
      <w:r w:rsidRPr="000773EF" w:rsidR="00EE2D18">
        <w:rPr>
          <w:szCs w:val="26"/>
        </w:rPr>
        <w:t xml:space="preserve"> </w:t>
      </w:r>
      <w:r w:rsidRPr="000773EF" w:rsidR="00CF1D64">
        <w:rPr>
          <w:szCs w:val="26"/>
        </w:rPr>
        <w:t xml:space="preserve">class </w:t>
      </w:r>
      <w:r w:rsidRPr="000773EF" w:rsidR="00EE2D18">
        <w:rPr>
          <w:szCs w:val="26"/>
        </w:rPr>
        <w:t xml:space="preserve">damages </w:t>
      </w:r>
      <w:r w:rsidRPr="000773EF" w:rsidR="00544816">
        <w:rPr>
          <w:szCs w:val="26"/>
        </w:rPr>
        <w:t xml:space="preserve">of $2.5 billion </w:t>
      </w:r>
      <w:r w:rsidRPr="000773EF" w:rsidR="00CF1D64">
        <w:rPr>
          <w:szCs w:val="26"/>
        </w:rPr>
        <w:t>to compensate for the</w:t>
      </w:r>
      <w:r w:rsidRPr="000773EF" w:rsidR="00EE2D18">
        <w:rPr>
          <w:szCs w:val="26"/>
        </w:rPr>
        <w:t xml:space="preserve"> “loss of </w:t>
      </w:r>
      <w:r w:rsidRPr="000773EF" w:rsidR="00281BC4">
        <w:rPr>
          <w:szCs w:val="26"/>
        </w:rPr>
        <w:t>habitability</w:t>
      </w:r>
      <w:r w:rsidRPr="000773EF" w:rsidR="00EE2D18">
        <w:rPr>
          <w:szCs w:val="26"/>
        </w:rPr>
        <w:t xml:space="preserve"> of their dwellings, loss of food items in their refrigerators, expenses for alternative means of lighting an</w:t>
      </w:r>
      <w:r w:rsidRPr="000773EF" w:rsidR="004A260E">
        <w:rPr>
          <w:szCs w:val="26"/>
        </w:rPr>
        <w:t>d</w:t>
      </w:r>
      <w:r w:rsidRPr="000773EF" w:rsidR="00EE2D18">
        <w:rPr>
          <w:szCs w:val="26"/>
        </w:rPr>
        <w:t xml:space="preserve"> power</w:t>
      </w:r>
      <w:r w:rsidRPr="000773EF" w:rsidR="00FF68BB">
        <w:rPr>
          <w:szCs w:val="26"/>
        </w:rPr>
        <w:t>,</w:t>
      </w:r>
      <w:r w:rsidR="00AE51BD">
        <w:rPr>
          <w:szCs w:val="26"/>
        </w:rPr>
        <w:t xml:space="preserve"> </w:t>
      </w:r>
      <w:r w:rsidRPr="000773EF" w:rsidR="008B686A">
        <w:rPr>
          <w:szCs w:val="26"/>
        </w:rPr>
        <w:t xml:space="preserve">. . . </w:t>
      </w:r>
      <w:r w:rsidRPr="000773EF" w:rsidR="00236B80">
        <w:rPr>
          <w:szCs w:val="26"/>
        </w:rPr>
        <w:t xml:space="preserve">loss of cell phone connectivity, dangerous dark conditions, lack of running water, </w:t>
      </w:r>
      <w:r w:rsidRPr="000773EF" w:rsidR="008B686A">
        <w:rPr>
          <w:szCs w:val="26"/>
        </w:rPr>
        <w:t>and loss of productivity and business.</w:t>
      </w:r>
      <w:r w:rsidRPr="000773EF" w:rsidR="00EE2D18">
        <w:rPr>
          <w:szCs w:val="26"/>
        </w:rPr>
        <w:t xml:space="preserve">”  </w:t>
      </w:r>
      <w:r w:rsidRPr="000773EF" w:rsidR="00C61CD2">
        <w:rPr>
          <w:szCs w:val="26"/>
        </w:rPr>
        <w:t xml:space="preserve">Gantner does not allege that the </w:t>
      </w:r>
      <w:r w:rsidRPr="000773EF" w:rsidR="0092645E">
        <w:rPr>
          <w:szCs w:val="26"/>
        </w:rPr>
        <w:t>2019 PSPS were unnecessary or that they were implemented in contravention of PUC regulations or policies.</w:t>
      </w:r>
    </w:p>
    <w:p w:rsidR="004B266C" w:rsidRPr="000773EF" w:rsidP="00BC7683" w14:paraId="4FB03EC2" w14:textId="77777777">
      <w:pPr>
        <w:ind w:firstLine="720"/>
        <w:rPr>
          <w:szCs w:val="26"/>
        </w:rPr>
      </w:pPr>
      <w:r w:rsidRPr="000773EF">
        <w:rPr>
          <w:szCs w:val="26"/>
        </w:rPr>
        <w:t xml:space="preserve">PG&amp;E </w:t>
      </w:r>
      <w:r w:rsidRPr="000773EF" w:rsidR="000425EB">
        <w:rPr>
          <w:szCs w:val="26"/>
        </w:rPr>
        <w:t>moved to dismiss Gant</w:t>
      </w:r>
      <w:r w:rsidRPr="000773EF" w:rsidR="00721967">
        <w:rPr>
          <w:szCs w:val="26"/>
        </w:rPr>
        <w:t>n</w:t>
      </w:r>
      <w:r w:rsidRPr="000773EF" w:rsidR="000425EB">
        <w:rPr>
          <w:szCs w:val="26"/>
        </w:rPr>
        <w:t xml:space="preserve">er’s complaint, arguing that the </w:t>
      </w:r>
      <w:r w:rsidRPr="000773EF" w:rsidR="00FB1BE0">
        <w:rPr>
          <w:szCs w:val="26"/>
        </w:rPr>
        <w:t xml:space="preserve">bankruptcy </w:t>
      </w:r>
      <w:r w:rsidRPr="000773EF" w:rsidR="000425EB">
        <w:rPr>
          <w:szCs w:val="26"/>
        </w:rPr>
        <w:t xml:space="preserve">court lacked subject matter jurisdiction under </w:t>
      </w:r>
      <w:r w:rsidRPr="000773EF" w:rsidR="00DF2ABB">
        <w:rPr>
          <w:szCs w:val="26"/>
        </w:rPr>
        <w:t>section 1759</w:t>
      </w:r>
      <w:r w:rsidRPr="000773EF" w:rsidR="008803A5">
        <w:rPr>
          <w:szCs w:val="26"/>
        </w:rPr>
        <w:t xml:space="preserve"> because Gantner’s suit</w:t>
      </w:r>
      <w:r w:rsidRPr="000773EF" w:rsidR="00DF2ABB">
        <w:rPr>
          <w:szCs w:val="26"/>
        </w:rPr>
        <w:t xml:space="preserve"> would </w:t>
      </w:r>
      <w:r w:rsidRPr="000773EF" w:rsidR="008803A5">
        <w:rPr>
          <w:szCs w:val="26"/>
        </w:rPr>
        <w:t xml:space="preserve">interfere with </w:t>
      </w:r>
      <w:r w:rsidRPr="000773EF" w:rsidR="003B1CF2">
        <w:rPr>
          <w:szCs w:val="26"/>
        </w:rPr>
        <w:t xml:space="preserve">the </w:t>
      </w:r>
      <w:r w:rsidRPr="000773EF" w:rsidR="008803A5">
        <w:rPr>
          <w:szCs w:val="26"/>
        </w:rPr>
        <w:t>PUC</w:t>
      </w:r>
      <w:r w:rsidRPr="000773EF" w:rsidR="003B1CF2">
        <w:rPr>
          <w:szCs w:val="26"/>
        </w:rPr>
        <w:t>’s supervision and</w:t>
      </w:r>
      <w:r w:rsidRPr="000773EF" w:rsidR="008803A5">
        <w:rPr>
          <w:szCs w:val="26"/>
        </w:rPr>
        <w:t xml:space="preserve"> regulation</w:t>
      </w:r>
      <w:r w:rsidRPr="000773EF" w:rsidR="00C467BA">
        <w:rPr>
          <w:szCs w:val="26"/>
        </w:rPr>
        <w:t xml:space="preserve"> of the PSPS scheme</w:t>
      </w:r>
      <w:r w:rsidRPr="000773EF" w:rsidR="008803A5">
        <w:rPr>
          <w:szCs w:val="26"/>
        </w:rPr>
        <w:t xml:space="preserve">.  </w:t>
      </w:r>
      <w:r w:rsidRPr="000773EF" w:rsidR="000A185D">
        <w:rPr>
          <w:szCs w:val="26"/>
        </w:rPr>
        <w:t>(S</w:t>
      </w:r>
      <w:r w:rsidRPr="000773EF" w:rsidR="00A51270">
        <w:rPr>
          <w:szCs w:val="26"/>
        </w:rPr>
        <w:t xml:space="preserve">ee </w:t>
      </w:r>
      <w:r w:rsidRPr="000773EF" w:rsidR="00A51270">
        <w:rPr>
          <w:i/>
          <w:iCs/>
          <w:szCs w:val="26"/>
          <w:bdr w:val="none" w:sz="0" w:space="0" w:color="auto" w:frame="1"/>
        </w:rPr>
        <w:t>San Diego Gas &amp; Electric Co. v. Superior Court</w:t>
      </w:r>
      <w:r w:rsidRPr="000773EF" w:rsidR="00A51270">
        <w:rPr>
          <w:szCs w:val="26"/>
          <w:bdr w:val="none" w:sz="0" w:space="0" w:color="auto" w:frame="1"/>
        </w:rPr>
        <w:t xml:space="preserve"> (1996) 13 Cal.4th 893, 91</w:t>
      </w:r>
      <w:r w:rsidRPr="000773EF" w:rsidR="00A109B4">
        <w:rPr>
          <w:szCs w:val="26"/>
          <w:bdr w:val="none" w:sz="0" w:space="0" w:color="auto" w:frame="1"/>
        </w:rPr>
        <w:t>8</w:t>
      </w:r>
      <w:r w:rsidRPr="000773EF" w:rsidR="00A51270">
        <w:rPr>
          <w:szCs w:val="26"/>
          <w:bdr w:val="none" w:sz="0" w:space="0" w:color="auto" w:frame="1"/>
        </w:rPr>
        <w:t xml:space="preserve"> (</w:t>
      </w:r>
      <w:r w:rsidRPr="000773EF" w:rsidR="00A51270">
        <w:rPr>
          <w:i/>
          <w:iCs/>
          <w:szCs w:val="26"/>
          <w:bdr w:val="none" w:sz="0" w:space="0" w:color="auto" w:frame="1"/>
        </w:rPr>
        <w:t>Covalt</w:t>
      </w:r>
      <w:r w:rsidRPr="000773EF" w:rsidR="00A51270">
        <w:rPr>
          <w:szCs w:val="26"/>
          <w:bdr w:val="none" w:sz="0" w:space="0" w:color="auto" w:frame="1"/>
        </w:rPr>
        <w:t>)</w:t>
      </w:r>
      <w:r w:rsidRPr="000773EF" w:rsidR="00DF2ABB">
        <w:rPr>
          <w:szCs w:val="26"/>
        </w:rPr>
        <w:t>.)  Alternat</w:t>
      </w:r>
      <w:r w:rsidRPr="000773EF" w:rsidR="0013332F">
        <w:rPr>
          <w:szCs w:val="26"/>
        </w:rPr>
        <w:t>ively</w:t>
      </w:r>
      <w:r w:rsidRPr="000773EF" w:rsidR="00DF2ABB">
        <w:rPr>
          <w:szCs w:val="26"/>
        </w:rPr>
        <w:t>, PG&amp;E argue</w:t>
      </w:r>
      <w:r w:rsidRPr="000773EF" w:rsidR="00FB6933">
        <w:rPr>
          <w:szCs w:val="26"/>
        </w:rPr>
        <w:t xml:space="preserve">d that </w:t>
      </w:r>
      <w:r w:rsidRPr="000773EF" w:rsidR="00CC777B">
        <w:rPr>
          <w:szCs w:val="26"/>
        </w:rPr>
        <w:t>its own “Tariff Rule 14 provides that the decision to shut off a customer’s</w:t>
      </w:r>
      <w:r w:rsidRPr="000773EF" w:rsidR="00D86992">
        <w:rPr>
          <w:szCs w:val="26"/>
        </w:rPr>
        <w:t xml:space="preserve"> </w:t>
      </w:r>
      <w:r w:rsidRPr="000773EF" w:rsidR="00CC777B">
        <w:rPr>
          <w:szCs w:val="26"/>
        </w:rPr>
        <w:t>power cannot trigger liability when, in PG&amp;E’s ‘sole opinion</w:t>
      </w:r>
      <w:r w:rsidRPr="000773EF" w:rsidR="005160F3">
        <w:rPr>
          <w:szCs w:val="26"/>
        </w:rPr>
        <w:t>’</w:t>
      </w:r>
      <w:r w:rsidRPr="000773EF" w:rsidR="000E2808">
        <w:rPr>
          <w:szCs w:val="26"/>
        </w:rPr>
        <w:t>,</w:t>
      </w:r>
      <w:r w:rsidRPr="000773EF" w:rsidR="005160F3">
        <w:rPr>
          <w:szCs w:val="26"/>
        </w:rPr>
        <w:t xml:space="preserve"> it is necessary for public safety.”  </w:t>
      </w:r>
      <w:r w:rsidRPr="000773EF" w:rsidR="005C1BFF">
        <w:rPr>
          <w:szCs w:val="26"/>
        </w:rPr>
        <w:t xml:space="preserve">The bankruptcy court </w:t>
      </w:r>
      <w:r w:rsidRPr="000773EF" w:rsidR="00C0079E">
        <w:rPr>
          <w:szCs w:val="26"/>
        </w:rPr>
        <w:t>concluded</w:t>
      </w:r>
      <w:r w:rsidRPr="000773EF" w:rsidR="005C1BFF">
        <w:rPr>
          <w:szCs w:val="26"/>
        </w:rPr>
        <w:t xml:space="preserve"> that section 1759 </w:t>
      </w:r>
      <w:r w:rsidRPr="000773EF" w:rsidR="0057046B">
        <w:rPr>
          <w:szCs w:val="26"/>
        </w:rPr>
        <w:t>bars</w:t>
      </w:r>
      <w:r w:rsidRPr="000773EF" w:rsidR="005C1BFF">
        <w:rPr>
          <w:szCs w:val="26"/>
        </w:rPr>
        <w:t xml:space="preserve"> Gantner’s </w:t>
      </w:r>
      <w:r w:rsidRPr="000773EF" w:rsidR="00BB7AA3">
        <w:rPr>
          <w:szCs w:val="26"/>
        </w:rPr>
        <w:t>action</w:t>
      </w:r>
      <w:r w:rsidRPr="000773EF" w:rsidR="005C1BFF">
        <w:rPr>
          <w:szCs w:val="26"/>
        </w:rPr>
        <w:t xml:space="preserve"> and di</w:t>
      </w:r>
      <w:r w:rsidRPr="000773EF" w:rsidR="00591F8A">
        <w:rPr>
          <w:szCs w:val="26"/>
        </w:rPr>
        <w:t xml:space="preserve">smissed the complaint without </w:t>
      </w:r>
      <w:r w:rsidRPr="000773EF" w:rsidR="003958C3">
        <w:rPr>
          <w:szCs w:val="26"/>
        </w:rPr>
        <w:t xml:space="preserve">leave to amend </w:t>
      </w:r>
      <w:r w:rsidRPr="000773EF" w:rsidR="00C0079E">
        <w:rPr>
          <w:szCs w:val="26"/>
        </w:rPr>
        <w:t xml:space="preserve">and </w:t>
      </w:r>
      <w:r w:rsidRPr="000773EF" w:rsidR="003958C3">
        <w:rPr>
          <w:szCs w:val="26"/>
        </w:rPr>
        <w:t xml:space="preserve">without </w:t>
      </w:r>
      <w:r w:rsidRPr="000773EF" w:rsidR="00591F8A">
        <w:rPr>
          <w:szCs w:val="26"/>
        </w:rPr>
        <w:t>addressing PG&amp;E’s</w:t>
      </w:r>
      <w:r w:rsidRPr="000773EF" w:rsidR="00BB7AA3">
        <w:rPr>
          <w:szCs w:val="26"/>
        </w:rPr>
        <w:t xml:space="preserve"> Tariff</w:t>
      </w:r>
      <w:r w:rsidRPr="000773EF" w:rsidR="00591F8A">
        <w:rPr>
          <w:szCs w:val="26"/>
        </w:rPr>
        <w:t xml:space="preserve"> Rule 14 argument.  </w:t>
      </w:r>
      <w:r w:rsidRPr="000773EF" w:rsidR="00E43123">
        <w:rPr>
          <w:szCs w:val="26"/>
        </w:rPr>
        <w:t>On</w:t>
      </w:r>
      <w:r w:rsidRPr="000773EF" w:rsidR="00591F8A">
        <w:rPr>
          <w:szCs w:val="26"/>
        </w:rPr>
        <w:t xml:space="preserve"> appeal, the United States District Court for the Northern District of California </w:t>
      </w:r>
      <w:r w:rsidRPr="000773EF" w:rsidR="00D9414F">
        <w:rPr>
          <w:szCs w:val="26"/>
        </w:rPr>
        <w:t xml:space="preserve">affirmed the dismissal based on section 1759 preemption.  Gantner appealed to the </w:t>
      </w:r>
      <w:r w:rsidRPr="000773EF" w:rsidR="00900AF2">
        <w:rPr>
          <w:szCs w:val="26"/>
        </w:rPr>
        <w:t>Ninth Circuit</w:t>
      </w:r>
      <w:r w:rsidRPr="000773EF" w:rsidR="00D9414F">
        <w:rPr>
          <w:szCs w:val="26"/>
        </w:rPr>
        <w:t xml:space="preserve">, which </w:t>
      </w:r>
      <w:r w:rsidRPr="000773EF">
        <w:rPr>
          <w:szCs w:val="26"/>
        </w:rPr>
        <w:t>issued an order requesting that this court answer two questions concerning California law.</w:t>
      </w:r>
    </w:p>
    <w:p w:rsidR="004B266C" w:rsidRPr="000773EF" w:rsidP="00BC7683" w14:paraId="4FB03EC3" w14:textId="77777777">
      <w:pPr>
        <w:ind w:firstLine="720"/>
        <w:rPr>
          <w:szCs w:val="26"/>
        </w:rPr>
      </w:pPr>
      <w:r w:rsidRPr="000773EF">
        <w:rPr>
          <w:szCs w:val="26"/>
        </w:rPr>
        <w:t xml:space="preserve">We granted </w:t>
      </w:r>
      <w:r w:rsidRPr="000773EF" w:rsidR="00A573A7">
        <w:rPr>
          <w:szCs w:val="26"/>
        </w:rPr>
        <w:t>the Ninth Circuit’s request to</w:t>
      </w:r>
      <w:r w:rsidRPr="000773EF">
        <w:rPr>
          <w:szCs w:val="26"/>
        </w:rPr>
        <w:t xml:space="preserve"> </w:t>
      </w:r>
      <w:r w:rsidRPr="000773EF" w:rsidR="00AC5928">
        <w:rPr>
          <w:szCs w:val="26"/>
        </w:rPr>
        <w:t xml:space="preserve">consider </w:t>
      </w:r>
      <w:r w:rsidRPr="000773EF">
        <w:rPr>
          <w:szCs w:val="26"/>
        </w:rPr>
        <w:t>two questions:</w:t>
      </w:r>
      <w:r w:rsidRPr="000773EF" w:rsidR="004F3DB2">
        <w:rPr>
          <w:szCs w:val="26"/>
        </w:rPr>
        <w:t xml:space="preserve">  “</w:t>
      </w:r>
      <w:r w:rsidRPr="000773EF" w:rsidR="00442AF3">
        <w:rPr>
          <w:szCs w:val="26"/>
        </w:rPr>
        <w:t xml:space="preserve">(1) Does California Public Utilities Code </w:t>
      </w:r>
      <w:r w:rsidRPr="000773EF" w:rsidR="00C0079E">
        <w:rPr>
          <w:szCs w:val="26"/>
        </w:rPr>
        <w:t>[section]</w:t>
      </w:r>
      <w:r w:rsidRPr="000773EF" w:rsidR="00442AF3">
        <w:rPr>
          <w:szCs w:val="26"/>
        </w:rPr>
        <w:t xml:space="preserve"> 1759 preempt a plaintiff’s claim of negligence brought against a utility if the alleged negligent acts were not approved by the California Public Utilities Commission, but those acts foreseeably resulted in the utility having to take subsequent action (here, a Public Safety Power Shutoff), pursuant to CPUC guidelines, and that subsequent action caused the plaintiff’s alleged injury? </w:t>
      </w:r>
      <w:r w:rsidRPr="000773EF" w:rsidR="004F3DB2">
        <w:rPr>
          <w:szCs w:val="26"/>
        </w:rPr>
        <w:t xml:space="preserve"> </w:t>
      </w:r>
      <w:r w:rsidRPr="000773EF" w:rsidR="00442AF3">
        <w:rPr>
          <w:szCs w:val="26"/>
        </w:rPr>
        <w:t>(2) Does PG&amp;E’s Electric Rule Number 14 shield PG&amp;E from liability for an interruption in its services that PG&amp;E determines is necessary for the safety of the public at large, even if the need for that interruption arises from PG&amp;E’s own negligence?</w:t>
      </w:r>
      <w:r w:rsidRPr="000773EF" w:rsidR="004F3DB2">
        <w:rPr>
          <w:szCs w:val="26"/>
        </w:rPr>
        <w:t>”</w:t>
      </w:r>
      <w:r w:rsidR="00B511E4">
        <w:rPr>
          <w:szCs w:val="26"/>
        </w:rPr>
        <w:t xml:space="preserve"> </w:t>
      </w:r>
    </w:p>
    <w:p w:rsidR="00B3756B" w:rsidRPr="000773EF" w:rsidP="000773EF" w14:paraId="4FB03EC4" w14:textId="77777777">
      <w:pPr>
        <w:pStyle w:val="Heading1"/>
        <w:rPr>
          <w:szCs w:val="26"/>
        </w:rPr>
      </w:pPr>
      <w:r w:rsidRPr="000773EF">
        <w:rPr>
          <w:szCs w:val="26"/>
        </w:rPr>
        <w:t>II.</w:t>
      </w:r>
    </w:p>
    <w:p w:rsidR="00317BF8" w:rsidRPr="000773EF" w:rsidP="00BC7683" w14:paraId="4FB03EC5" w14:textId="77777777">
      <w:pPr>
        <w:shd w:val="clear" w:color="auto" w:fill="FFFFFF"/>
        <w:ind w:firstLine="720"/>
        <w:rPr>
          <w:szCs w:val="26"/>
        </w:rPr>
      </w:pPr>
      <w:r w:rsidRPr="000773EF">
        <w:rPr>
          <w:rStyle w:val="cohl"/>
          <w:szCs w:val="26"/>
          <w:bdr w:val="none" w:sz="0" w:space="0" w:color="auto" w:frame="1"/>
          <w:shd w:val="clear" w:color="auto" w:fill="FFFFFF"/>
        </w:rPr>
        <w:t xml:space="preserve">“ ‘The [Public Utilities] </w:t>
      </w:r>
      <w:r w:rsidRPr="000773EF" w:rsidR="000F4956">
        <w:rPr>
          <w:rStyle w:val="cohl"/>
          <w:szCs w:val="26"/>
          <w:bdr w:val="none" w:sz="0" w:space="0" w:color="auto" w:frame="1"/>
          <w:shd w:val="clear" w:color="auto" w:fill="FFFFFF"/>
        </w:rPr>
        <w:t>[C]</w:t>
      </w:r>
      <w:r w:rsidRPr="000773EF">
        <w:rPr>
          <w:rStyle w:val="cohl"/>
          <w:szCs w:val="26"/>
          <w:bdr w:val="none" w:sz="0" w:space="0" w:color="auto" w:frame="1"/>
          <w:shd w:val="clear" w:color="auto" w:fill="FFFFFF"/>
        </w:rPr>
        <w:t xml:space="preserve">ommission is a state agency of constitutional origin with far-reaching duties, functions and powers.  (Cal. Const., </w:t>
      </w:r>
      <w:r w:rsidRPr="000773EF" w:rsidR="001F70DB">
        <w:rPr>
          <w:rStyle w:val="cohl"/>
          <w:szCs w:val="26"/>
          <w:bdr w:val="none" w:sz="0" w:space="0" w:color="auto" w:frame="1"/>
          <w:shd w:val="clear" w:color="auto" w:fill="FFFFFF"/>
        </w:rPr>
        <w:t>a</w:t>
      </w:r>
      <w:r w:rsidRPr="000773EF">
        <w:rPr>
          <w:rStyle w:val="cohl"/>
          <w:szCs w:val="26"/>
          <w:bdr w:val="none" w:sz="0" w:space="0" w:color="auto" w:frame="1"/>
          <w:shd w:val="clear" w:color="auto" w:fill="FFFFFF"/>
        </w:rPr>
        <w:t>rt.</w:t>
      </w:r>
      <w:r w:rsidRPr="000773EF" w:rsidR="003D207A">
        <w:rPr>
          <w:rStyle w:val="cohl"/>
          <w:szCs w:val="26"/>
          <w:bdr w:val="none" w:sz="0" w:space="0" w:color="auto" w:frame="1"/>
          <w:shd w:val="clear" w:color="auto" w:fill="FFFFFF"/>
        </w:rPr>
        <w:t> </w:t>
      </w:r>
      <w:r w:rsidRPr="000773EF">
        <w:rPr>
          <w:rStyle w:val="cohl"/>
          <w:szCs w:val="26"/>
          <w:bdr w:val="none" w:sz="0" w:space="0" w:color="auto" w:frame="1"/>
          <w:shd w:val="clear" w:color="auto" w:fill="FFFFFF"/>
        </w:rPr>
        <w:t>XII, §§ 1</w:t>
      </w:r>
      <w:r w:rsidRPr="000773EF" w:rsidR="00070550">
        <w:rPr>
          <w:rStyle w:val="cohl"/>
          <w:szCs w:val="26"/>
          <w:bdr w:val="none" w:sz="0" w:space="0" w:color="auto" w:frame="1"/>
          <w:shd w:val="clear" w:color="auto" w:fill="FFFFFF"/>
        </w:rPr>
        <w:t>–</w:t>
      </w:r>
      <w:r w:rsidRPr="000773EF">
        <w:rPr>
          <w:rStyle w:val="cohl"/>
          <w:szCs w:val="26"/>
          <w:bdr w:val="none" w:sz="0" w:space="0" w:color="auto" w:frame="1"/>
          <w:shd w:val="clear" w:color="auto" w:fill="FFFFFF"/>
        </w:rPr>
        <w:t>6.)  The Constitution confers broad authority on the commission to regulate utilities, including the power to fix rates, establish rules, hold various types of hearings, award reparation, and establish its own procedures.  (</w:t>
      </w:r>
      <w:r w:rsidRPr="000773EF">
        <w:rPr>
          <w:rStyle w:val="cohl"/>
          <w:i/>
          <w:iCs/>
          <w:szCs w:val="26"/>
          <w:bdr w:val="none" w:sz="0" w:space="0" w:color="auto" w:frame="1"/>
          <w:shd w:val="clear" w:color="auto" w:fill="FFFFFF"/>
        </w:rPr>
        <w:t>Id.</w:t>
      </w:r>
      <w:r w:rsidRPr="00BC7683">
        <w:rPr>
          <w:rStyle w:val="cohl"/>
          <w:szCs w:val="26"/>
          <w:bdr w:val="none" w:sz="0" w:space="0" w:color="auto" w:frame="1"/>
          <w:shd w:val="clear" w:color="auto" w:fill="FFFFFF"/>
        </w:rPr>
        <w:t>,</w:t>
      </w:r>
      <w:r w:rsidRPr="000773EF">
        <w:rPr>
          <w:rStyle w:val="cohl"/>
          <w:szCs w:val="26"/>
          <w:bdr w:val="none" w:sz="0" w:space="0" w:color="auto" w:frame="1"/>
          <w:shd w:val="clear" w:color="auto" w:fill="FFFFFF"/>
        </w:rPr>
        <w:t xml:space="preserve"> §§</w:t>
      </w:r>
      <w:r w:rsidRPr="000773EF" w:rsidR="008D4D0F">
        <w:rPr>
          <w:rStyle w:val="cohl"/>
          <w:szCs w:val="26"/>
          <w:bdr w:val="none" w:sz="0" w:space="0" w:color="auto" w:frame="1"/>
          <w:shd w:val="clear" w:color="auto" w:fill="FFFFFF"/>
        </w:rPr>
        <w:t> </w:t>
      </w:r>
      <w:r w:rsidRPr="000773EF">
        <w:rPr>
          <w:rStyle w:val="cohl"/>
          <w:szCs w:val="26"/>
          <w:bdr w:val="none" w:sz="0" w:space="0" w:color="auto" w:frame="1"/>
          <w:shd w:val="clear" w:color="auto" w:fill="FFFFFF"/>
        </w:rPr>
        <w:t>2, 4, 6.)</w:t>
      </w:r>
      <w:r w:rsidRPr="000773EF" w:rsidR="00223404">
        <w:rPr>
          <w:rStyle w:val="cohl"/>
          <w:szCs w:val="26"/>
          <w:bdr w:val="none" w:sz="0" w:space="0" w:color="auto" w:frame="1"/>
          <w:shd w:val="clear" w:color="auto" w:fill="FFFFFF"/>
        </w:rPr>
        <w:t xml:space="preserve">’ ”  </w:t>
      </w:r>
      <w:r w:rsidRPr="000773EF" w:rsidR="00904EFF">
        <w:rPr>
          <w:szCs w:val="26"/>
        </w:rPr>
        <w:t>(</w:t>
      </w:r>
      <w:r w:rsidRPr="000773EF" w:rsidR="0078725F">
        <w:rPr>
          <w:i/>
          <w:iCs/>
          <w:szCs w:val="26"/>
          <w:bdr w:val="none" w:sz="0" w:space="0" w:color="auto" w:frame="1"/>
        </w:rPr>
        <w:t>Covalt</w:t>
      </w:r>
      <w:r w:rsidRPr="000773EF" w:rsidR="0078725F">
        <w:rPr>
          <w:szCs w:val="26"/>
          <w:bdr w:val="none" w:sz="0" w:space="0" w:color="auto" w:frame="1"/>
        </w:rPr>
        <w:t xml:space="preserve">, </w:t>
      </w:r>
      <w:r w:rsidRPr="000773EF" w:rsidR="0078725F">
        <w:rPr>
          <w:i/>
          <w:iCs/>
          <w:szCs w:val="26"/>
          <w:bdr w:val="none" w:sz="0" w:space="0" w:color="auto" w:frame="1"/>
        </w:rPr>
        <w:t>supra</w:t>
      </w:r>
      <w:r w:rsidRPr="000773EF" w:rsidR="0078725F">
        <w:rPr>
          <w:szCs w:val="26"/>
          <w:bdr w:val="none" w:sz="0" w:space="0" w:color="auto" w:frame="1"/>
        </w:rPr>
        <w:t>,</w:t>
      </w:r>
      <w:r w:rsidRPr="000773EF">
        <w:rPr>
          <w:szCs w:val="26"/>
          <w:bdr w:val="none" w:sz="0" w:space="0" w:color="auto" w:frame="1"/>
        </w:rPr>
        <w:t xml:space="preserve"> 13 Cal.4th </w:t>
      </w:r>
      <w:r w:rsidRPr="000773EF" w:rsidR="0078725F">
        <w:rPr>
          <w:szCs w:val="26"/>
          <w:bdr w:val="none" w:sz="0" w:space="0" w:color="auto" w:frame="1"/>
        </w:rPr>
        <w:t>at pp. </w:t>
      </w:r>
      <w:r w:rsidRPr="000773EF">
        <w:rPr>
          <w:szCs w:val="26"/>
          <w:bdr w:val="none" w:sz="0" w:space="0" w:color="auto" w:frame="1"/>
        </w:rPr>
        <w:t>914–915</w:t>
      </w:r>
      <w:r w:rsidRPr="000773EF" w:rsidR="00904EFF">
        <w:rPr>
          <w:szCs w:val="26"/>
          <w:bdr w:val="none" w:sz="0" w:space="0" w:color="auto" w:frame="1"/>
        </w:rPr>
        <w:t>.)</w:t>
      </w:r>
      <w:r w:rsidRPr="000773EF" w:rsidR="00223404">
        <w:rPr>
          <w:szCs w:val="26"/>
          <w:bdr w:val="none" w:sz="0" w:space="0" w:color="auto" w:frame="1"/>
        </w:rPr>
        <w:t xml:space="preserve">  “</w:t>
      </w:r>
      <w:r w:rsidRPr="000773EF" w:rsidR="00223404">
        <w:rPr>
          <w:szCs w:val="26"/>
        </w:rPr>
        <w:t xml:space="preserve">The Constitution also confers plenary power on the Legislature to ‘establish the manner and scope of review of commission action in a court of record’ (Cal. Const., </w:t>
      </w:r>
      <w:r w:rsidRPr="000773EF" w:rsidR="002C4E7F">
        <w:rPr>
          <w:szCs w:val="26"/>
        </w:rPr>
        <w:t>a</w:t>
      </w:r>
      <w:r w:rsidRPr="000773EF" w:rsidR="00223404">
        <w:rPr>
          <w:szCs w:val="26"/>
        </w:rPr>
        <w:t>rt.</w:t>
      </w:r>
      <w:r w:rsidRPr="000773EF" w:rsidR="003D207A">
        <w:rPr>
          <w:szCs w:val="26"/>
        </w:rPr>
        <w:t> </w:t>
      </w:r>
      <w:r w:rsidRPr="000773EF" w:rsidR="00223404">
        <w:rPr>
          <w:szCs w:val="26"/>
        </w:rPr>
        <w:t>XII, §</w:t>
      </w:r>
      <w:r w:rsidR="00E7319F">
        <w:rPr>
          <w:szCs w:val="26"/>
        </w:rPr>
        <w:t> </w:t>
      </w:r>
      <w:r w:rsidRPr="000773EF" w:rsidR="00223404">
        <w:rPr>
          <w:szCs w:val="26"/>
        </w:rPr>
        <w:t>5).</w:t>
      </w:r>
      <w:r w:rsidRPr="000773EF" w:rsidR="00930A53">
        <w:rPr>
          <w:szCs w:val="26"/>
        </w:rPr>
        <w:t>”  (</w:t>
      </w:r>
      <w:r w:rsidRPr="000773EF" w:rsidR="002D28A0">
        <w:rPr>
          <w:i/>
          <w:iCs/>
          <w:szCs w:val="26"/>
        </w:rPr>
        <w:t>Id.</w:t>
      </w:r>
      <w:r w:rsidRPr="000773EF" w:rsidR="008D4D0F">
        <w:rPr>
          <w:szCs w:val="26"/>
        </w:rPr>
        <w:t xml:space="preserve"> at</w:t>
      </w:r>
      <w:r w:rsidRPr="000773EF" w:rsidR="00930A53">
        <w:rPr>
          <w:szCs w:val="26"/>
        </w:rPr>
        <w:t xml:space="preserve"> p. 915.)</w:t>
      </w:r>
    </w:p>
    <w:p w:rsidR="00FF2243" w:rsidRPr="000773EF" w:rsidP="007B209C" w14:paraId="4FB03EC6" w14:textId="77777777">
      <w:pPr>
        <w:shd w:val="clear" w:color="auto" w:fill="FFFFFF"/>
        <w:jc w:val="center"/>
        <w:rPr>
          <w:b/>
          <w:bCs/>
          <w:szCs w:val="26"/>
        </w:rPr>
      </w:pPr>
      <w:r w:rsidRPr="000773EF">
        <w:rPr>
          <w:b/>
          <w:bCs/>
          <w:szCs w:val="26"/>
        </w:rPr>
        <w:t>A.</w:t>
      </w:r>
    </w:p>
    <w:p w:rsidR="003D66D3" w:rsidRPr="000773EF" w:rsidP="00BC7683" w14:paraId="4FB03EC7" w14:textId="77777777">
      <w:pPr>
        <w:autoSpaceDE w:val="0"/>
        <w:autoSpaceDN w:val="0"/>
        <w:adjustRightInd w:val="0"/>
        <w:ind w:firstLine="720"/>
        <w:rPr>
          <w:szCs w:val="26"/>
        </w:rPr>
      </w:pPr>
      <w:r w:rsidRPr="000773EF">
        <w:rPr>
          <w:szCs w:val="26"/>
        </w:rPr>
        <w:t xml:space="preserve">We start by examining the </w:t>
      </w:r>
      <w:r w:rsidRPr="000773EF" w:rsidR="00386C19">
        <w:rPr>
          <w:szCs w:val="26"/>
        </w:rPr>
        <w:t xml:space="preserve">background of PSPS, along with the </w:t>
      </w:r>
      <w:r w:rsidRPr="000773EF">
        <w:rPr>
          <w:szCs w:val="26"/>
        </w:rPr>
        <w:t xml:space="preserve">PUC’s </w:t>
      </w:r>
      <w:r w:rsidRPr="000773EF" w:rsidR="00206776">
        <w:rPr>
          <w:szCs w:val="26"/>
        </w:rPr>
        <w:t xml:space="preserve">supervision and regulation of </w:t>
      </w:r>
      <w:r w:rsidRPr="000773EF" w:rsidR="00386C19">
        <w:rPr>
          <w:szCs w:val="26"/>
        </w:rPr>
        <w:t xml:space="preserve">those </w:t>
      </w:r>
      <w:r w:rsidRPr="000773EF" w:rsidR="00161A14">
        <w:rPr>
          <w:szCs w:val="26"/>
        </w:rPr>
        <w:t>procedures</w:t>
      </w:r>
      <w:r w:rsidRPr="000773EF" w:rsidR="00206776">
        <w:rPr>
          <w:szCs w:val="26"/>
        </w:rPr>
        <w:t>.</w:t>
      </w:r>
      <w:r w:rsidRPr="000773EF" w:rsidR="00083EC1">
        <w:rPr>
          <w:szCs w:val="26"/>
        </w:rPr>
        <w:t xml:space="preserve">  </w:t>
      </w:r>
      <w:r w:rsidRPr="000773EF" w:rsidR="0012377B">
        <w:rPr>
          <w:szCs w:val="26"/>
        </w:rPr>
        <w:t>“</w:t>
      </w:r>
      <w:r w:rsidRPr="000773EF" w:rsidR="00C467BA">
        <w:rPr>
          <w:szCs w:val="26"/>
        </w:rPr>
        <w:t>O</w:t>
      </w:r>
      <w:r w:rsidRPr="000773EF" w:rsidR="0012377B">
        <w:rPr>
          <w:szCs w:val="26"/>
        </w:rPr>
        <w:t xml:space="preserve">ver the </w:t>
      </w:r>
      <w:r w:rsidR="009E138D">
        <w:rPr>
          <w:szCs w:val="26"/>
        </w:rPr>
        <w:t>l</w:t>
      </w:r>
      <w:r w:rsidRPr="000773EF" w:rsidR="0012377B">
        <w:rPr>
          <w:szCs w:val="26"/>
        </w:rPr>
        <w:t xml:space="preserve">ast decade, </w:t>
      </w:r>
      <w:r w:rsidRPr="000773EF" w:rsidR="00DB02CB">
        <w:rPr>
          <w:szCs w:val="26"/>
        </w:rPr>
        <w:t>California</w:t>
      </w:r>
      <w:r w:rsidRPr="000773EF" w:rsidR="0012377B">
        <w:rPr>
          <w:szCs w:val="26"/>
        </w:rPr>
        <w:t xml:space="preserve"> has experienced increased, intense, and record-breaking wildfires</w:t>
      </w:r>
      <w:r w:rsidRPr="000773EF" w:rsidR="00E2644B">
        <w:rPr>
          <w:szCs w:val="26"/>
        </w:rPr>
        <w:t> </w:t>
      </w:r>
      <w:r w:rsidRPr="000773EF" w:rsidR="0012377B">
        <w:rPr>
          <w:szCs w:val="26"/>
        </w:rPr>
        <w:t xml:space="preserve">. . . .  These fires have resulted in devastating loss of life and damage to property and infrastructure.”  </w:t>
      </w:r>
      <w:r w:rsidRPr="00C46827" w:rsidR="00DB02CB">
        <w:rPr>
          <w:szCs w:val="26"/>
        </w:rPr>
        <w:t>(</w:t>
      </w:r>
      <w:r w:rsidRPr="00C46827" w:rsidR="00B64E12">
        <w:rPr>
          <w:rStyle w:val="ssbf"/>
          <w:i/>
          <w:iCs/>
          <w:szCs w:val="26"/>
          <w:bdr w:val="none" w:sz="0" w:space="0" w:color="auto" w:frame="1"/>
          <w:shd w:val="clear" w:color="auto" w:fill="FFFFFF"/>
        </w:rPr>
        <w:t>Decision Adopting De-Energization (Public Safety Power Shut-Off) Guidelines (Phase 1 Guidelines</w:t>
      </w:r>
      <w:r w:rsidRPr="00C46827" w:rsidR="00B64E12">
        <w:rPr>
          <w:i/>
          <w:iCs/>
          <w:szCs w:val="26"/>
          <w:shd w:val="clear" w:color="auto" w:fill="FFFFFF"/>
        </w:rPr>
        <w:t>)</w:t>
      </w:r>
      <w:r w:rsidRPr="00C46827" w:rsidR="00473289">
        <w:rPr>
          <w:szCs w:val="26"/>
          <w:shd w:val="clear" w:color="auto" w:fill="FFFFFF"/>
        </w:rPr>
        <w:t xml:space="preserve"> (May 30, 2019) </w:t>
      </w:r>
      <w:r w:rsidRPr="00C46827" w:rsidR="006C26D0">
        <w:rPr>
          <w:szCs w:val="26"/>
          <w:shd w:val="clear" w:color="auto" w:fill="FFFFFF"/>
        </w:rPr>
        <w:t xml:space="preserve">Cal.P.U.C. Dec. </w:t>
      </w:r>
      <w:r w:rsidRPr="00C46827" w:rsidR="000C6634">
        <w:rPr>
          <w:szCs w:val="26"/>
          <w:shd w:val="clear" w:color="auto" w:fill="FFFFFF"/>
        </w:rPr>
        <w:t>No.</w:t>
      </w:r>
      <w:r w:rsidRPr="00C46827" w:rsidR="00C4006B">
        <w:rPr>
          <w:szCs w:val="26"/>
          <w:shd w:val="clear" w:color="auto" w:fill="FFFFFF"/>
        </w:rPr>
        <w:t> </w:t>
      </w:r>
      <w:r w:rsidRPr="00C46827" w:rsidR="006C26D0">
        <w:rPr>
          <w:szCs w:val="26"/>
          <w:shd w:val="clear" w:color="auto" w:fill="FFFFFF"/>
        </w:rPr>
        <w:t xml:space="preserve">19-05-042 </w:t>
      </w:r>
      <w:r w:rsidRPr="00C46827" w:rsidR="00473289">
        <w:rPr>
          <w:szCs w:val="26"/>
          <w:shd w:val="clear" w:color="auto" w:fill="FFFFFF"/>
        </w:rPr>
        <w:t>[2019 Cal.P</w:t>
      </w:r>
      <w:r w:rsidRPr="00C46827" w:rsidR="006C26D0">
        <w:rPr>
          <w:szCs w:val="26"/>
          <w:shd w:val="clear" w:color="auto" w:fill="FFFFFF"/>
        </w:rPr>
        <w:t>.</w:t>
      </w:r>
      <w:r w:rsidRPr="00C46827" w:rsidR="00473289">
        <w:rPr>
          <w:szCs w:val="26"/>
          <w:shd w:val="clear" w:color="auto" w:fill="FFFFFF"/>
        </w:rPr>
        <w:t>U</w:t>
      </w:r>
      <w:r w:rsidRPr="00C46827" w:rsidR="006C26D0">
        <w:rPr>
          <w:szCs w:val="26"/>
          <w:shd w:val="clear" w:color="auto" w:fill="FFFFFF"/>
        </w:rPr>
        <w:t>.</w:t>
      </w:r>
      <w:r w:rsidRPr="00C46827" w:rsidR="00473289">
        <w:rPr>
          <w:szCs w:val="26"/>
          <w:shd w:val="clear" w:color="auto" w:fill="FFFFFF"/>
        </w:rPr>
        <w:t>C</w:t>
      </w:r>
      <w:r w:rsidRPr="00C46827" w:rsidR="006C26D0">
        <w:rPr>
          <w:szCs w:val="26"/>
          <w:shd w:val="clear" w:color="auto" w:fill="FFFFFF"/>
        </w:rPr>
        <w:t>.</w:t>
      </w:r>
      <w:r w:rsidRPr="00C46827" w:rsidR="00473289">
        <w:rPr>
          <w:szCs w:val="26"/>
          <w:shd w:val="clear" w:color="auto" w:fill="FFFFFF"/>
        </w:rPr>
        <w:t xml:space="preserve"> Lexis </w:t>
      </w:r>
      <w:r w:rsidRPr="00C46827" w:rsidR="00551658">
        <w:rPr>
          <w:szCs w:val="26"/>
          <w:shd w:val="clear" w:color="auto" w:fill="FFFFFF"/>
        </w:rPr>
        <w:t>270</w:t>
      </w:r>
      <w:r w:rsidR="00C46827">
        <w:rPr>
          <w:szCs w:val="26"/>
        </w:rPr>
        <w:t>,</w:t>
      </w:r>
      <w:r w:rsidRPr="00C46827" w:rsidR="0044322D">
        <w:rPr>
          <w:szCs w:val="26"/>
        </w:rPr>
        <w:t> </w:t>
      </w:r>
      <w:r w:rsidRPr="00C46827" w:rsidR="00031ABE">
        <w:rPr>
          <w:szCs w:val="26"/>
        </w:rPr>
        <w:t>*</w:t>
      </w:r>
      <w:r w:rsidRPr="00C46827" w:rsidR="0044322D">
        <w:rPr>
          <w:szCs w:val="26"/>
        </w:rPr>
        <w:t>2</w:t>
      </w:r>
      <w:r w:rsidRPr="00C46827" w:rsidR="006C26D0">
        <w:rPr>
          <w:szCs w:val="26"/>
        </w:rPr>
        <w:t>]</w:t>
      </w:r>
      <w:r w:rsidRPr="00C46827" w:rsidR="002A75F5">
        <w:rPr>
          <w:szCs w:val="26"/>
        </w:rPr>
        <w:t>.)</w:t>
      </w:r>
      <w:r w:rsidRPr="000773EF" w:rsidR="0044322D">
        <w:rPr>
          <w:szCs w:val="26"/>
        </w:rPr>
        <w:t xml:space="preserve"> </w:t>
      </w:r>
      <w:r w:rsidRPr="000773EF" w:rsidR="002A75F5">
        <w:rPr>
          <w:szCs w:val="26"/>
        </w:rPr>
        <w:t xml:space="preserve"> </w:t>
      </w:r>
      <w:r w:rsidRPr="000773EF" w:rsidR="00D754E7">
        <w:rPr>
          <w:szCs w:val="26"/>
        </w:rPr>
        <w:t xml:space="preserve">While </w:t>
      </w:r>
      <w:r w:rsidRPr="000773EF" w:rsidR="00C712CD">
        <w:rPr>
          <w:szCs w:val="26"/>
        </w:rPr>
        <w:t>the underlying causes of wildfires are complex and varied,</w:t>
      </w:r>
      <w:r w:rsidRPr="000773EF" w:rsidR="005A62C7">
        <w:rPr>
          <w:szCs w:val="26"/>
        </w:rPr>
        <w:t xml:space="preserve"> failure of electric utility infrastructure can ignite fires.  </w:t>
      </w:r>
      <w:r w:rsidRPr="009E138D" w:rsidR="00E33DC8">
        <w:rPr>
          <w:szCs w:val="26"/>
        </w:rPr>
        <w:t>(</w:t>
      </w:r>
      <w:r w:rsidRPr="009E138D" w:rsidR="00E33DC8">
        <w:rPr>
          <w:i/>
          <w:iCs/>
          <w:szCs w:val="26"/>
        </w:rPr>
        <w:t xml:space="preserve">Id. </w:t>
      </w:r>
      <w:r w:rsidRPr="009E138D" w:rsidR="00E33DC8">
        <w:rPr>
          <w:szCs w:val="26"/>
        </w:rPr>
        <w:t>at p</w:t>
      </w:r>
      <w:r w:rsidRPr="009E138D" w:rsidR="00031ABE">
        <w:rPr>
          <w:szCs w:val="26"/>
        </w:rPr>
        <w:t>p</w:t>
      </w:r>
      <w:r w:rsidRPr="009E138D" w:rsidR="00E33DC8">
        <w:rPr>
          <w:szCs w:val="26"/>
        </w:rPr>
        <w:t>. </w:t>
      </w:r>
      <w:r w:rsidRPr="009E138D" w:rsidR="00031ABE">
        <w:rPr>
          <w:szCs w:val="26"/>
        </w:rPr>
        <w:t>*2–*</w:t>
      </w:r>
      <w:r w:rsidRPr="009E138D" w:rsidR="00E33DC8">
        <w:rPr>
          <w:szCs w:val="26"/>
        </w:rPr>
        <w:t>3</w:t>
      </w:r>
      <w:r w:rsidRPr="009E138D" w:rsidR="00C34884">
        <w:rPr>
          <w:szCs w:val="26"/>
        </w:rPr>
        <w:t>.)</w:t>
      </w:r>
      <w:r w:rsidRPr="000773EF" w:rsidR="00E33DC8">
        <w:rPr>
          <w:szCs w:val="26"/>
        </w:rPr>
        <w:t xml:space="preserve">  </w:t>
      </w:r>
      <w:r w:rsidRPr="000773EF" w:rsidR="005A62C7">
        <w:rPr>
          <w:szCs w:val="26"/>
        </w:rPr>
        <w:t>The risk</w:t>
      </w:r>
      <w:r w:rsidRPr="000773EF" w:rsidR="00AC5928">
        <w:rPr>
          <w:szCs w:val="26"/>
        </w:rPr>
        <w:t>s</w:t>
      </w:r>
      <w:r w:rsidRPr="000773EF" w:rsidR="005A62C7">
        <w:rPr>
          <w:szCs w:val="26"/>
        </w:rPr>
        <w:t xml:space="preserve"> of </w:t>
      </w:r>
      <w:r w:rsidRPr="000773EF" w:rsidR="00E45407">
        <w:rPr>
          <w:szCs w:val="26"/>
        </w:rPr>
        <w:t xml:space="preserve">infrastructure failure and wildfire ignition increase </w:t>
      </w:r>
      <w:r w:rsidRPr="000773EF" w:rsidR="003636D5">
        <w:rPr>
          <w:szCs w:val="26"/>
        </w:rPr>
        <w:t>in conjunction with</w:t>
      </w:r>
      <w:r w:rsidRPr="000773EF" w:rsidR="008A0972">
        <w:rPr>
          <w:szCs w:val="26"/>
        </w:rPr>
        <w:t xml:space="preserve"> certain conditions such as low humidity, high winds, and dry vegetation.  </w:t>
      </w:r>
      <w:r w:rsidRPr="009E138D" w:rsidR="00DD798B">
        <w:rPr>
          <w:szCs w:val="26"/>
        </w:rPr>
        <w:t>(</w:t>
      </w:r>
      <w:r w:rsidRPr="009E138D" w:rsidR="00DD798B">
        <w:rPr>
          <w:i/>
          <w:iCs/>
          <w:szCs w:val="26"/>
        </w:rPr>
        <w:t>Id.</w:t>
      </w:r>
      <w:r w:rsidRPr="009E138D" w:rsidR="00DD798B">
        <w:rPr>
          <w:szCs w:val="26"/>
        </w:rPr>
        <w:t xml:space="preserve"> at pp. </w:t>
      </w:r>
      <w:r w:rsidRPr="009E138D" w:rsidR="007F7965">
        <w:rPr>
          <w:szCs w:val="26"/>
        </w:rPr>
        <w:t>*</w:t>
      </w:r>
      <w:r w:rsidRPr="009E138D" w:rsidR="00DD798B">
        <w:rPr>
          <w:szCs w:val="26"/>
        </w:rPr>
        <w:t>3–</w:t>
      </w:r>
      <w:r w:rsidRPr="009E138D" w:rsidR="007F7965">
        <w:rPr>
          <w:szCs w:val="26"/>
        </w:rPr>
        <w:t>*</w:t>
      </w:r>
      <w:r w:rsidRPr="009E138D" w:rsidR="00DD798B">
        <w:rPr>
          <w:szCs w:val="26"/>
        </w:rPr>
        <w:t>4</w:t>
      </w:r>
      <w:r w:rsidRPr="009E138D" w:rsidR="00C34884">
        <w:rPr>
          <w:szCs w:val="26"/>
        </w:rPr>
        <w:t>.)</w:t>
      </w:r>
      <w:r w:rsidRPr="000773EF" w:rsidR="002523A2">
        <w:rPr>
          <w:szCs w:val="26"/>
        </w:rPr>
        <w:t xml:space="preserve">  </w:t>
      </w:r>
      <w:r w:rsidRPr="000773EF" w:rsidR="00FE577E">
        <w:rPr>
          <w:szCs w:val="26"/>
        </w:rPr>
        <w:t>Conversely, p</w:t>
      </w:r>
      <w:r w:rsidRPr="000773EF" w:rsidR="00E2483B">
        <w:rPr>
          <w:szCs w:val="26"/>
        </w:rPr>
        <w:t>roper m</w:t>
      </w:r>
      <w:r w:rsidRPr="000773EF" w:rsidR="008A0972">
        <w:rPr>
          <w:szCs w:val="26"/>
        </w:rPr>
        <w:t>aintenance of utility infrastructure can reduce these risks and increase safety</w:t>
      </w:r>
      <w:r w:rsidRPr="000773EF" w:rsidR="00E2483B">
        <w:rPr>
          <w:szCs w:val="26"/>
        </w:rPr>
        <w:t xml:space="preserve">.  </w:t>
      </w:r>
      <w:r w:rsidRPr="009E138D" w:rsidR="00D62F04">
        <w:rPr>
          <w:szCs w:val="26"/>
        </w:rPr>
        <w:t>(</w:t>
      </w:r>
      <w:r w:rsidRPr="009E138D" w:rsidR="00A848F4">
        <w:rPr>
          <w:i/>
          <w:iCs/>
          <w:szCs w:val="26"/>
        </w:rPr>
        <w:t xml:space="preserve">Id. </w:t>
      </w:r>
      <w:r w:rsidRPr="009E138D" w:rsidR="00D62F04">
        <w:rPr>
          <w:szCs w:val="26"/>
        </w:rPr>
        <w:t>at p. </w:t>
      </w:r>
      <w:r w:rsidRPr="009E138D" w:rsidR="00AA0F55">
        <w:rPr>
          <w:szCs w:val="26"/>
        </w:rPr>
        <w:t>*105</w:t>
      </w:r>
      <w:r w:rsidRPr="009E138D" w:rsidR="00C34884">
        <w:rPr>
          <w:szCs w:val="26"/>
        </w:rPr>
        <w:t>.)</w:t>
      </w:r>
    </w:p>
    <w:p w:rsidR="00C467BA" w:rsidRPr="000773EF" w:rsidP="00BC7683" w14:paraId="4FB03EC8" w14:textId="77777777">
      <w:pPr>
        <w:autoSpaceDE w:val="0"/>
        <w:autoSpaceDN w:val="0"/>
        <w:adjustRightInd w:val="0"/>
        <w:ind w:firstLine="720"/>
        <w:rPr>
          <w:szCs w:val="26"/>
        </w:rPr>
      </w:pPr>
      <w:r w:rsidRPr="000773EF">
        <w:rPr>
          <w:szCs w:val="26"/>
        </w:rPr>
        <w:t>Electric utilities are required to operate their grids in ways that “promote the safety [and] health</w:t>
      </w:r>
      <w:r w:rsidR="002436AE">
        <w:rPr>
          <w:szCs w:val="26"/>
        </w:rPr>
        <w:t>” of</w:t>
      </w:r>
      <w:r w:rsidRPr="000773EF">
        <w:rPr>
          <w:szCs w:val="26"/>
        </w:rPr>
        <w:t xml:space="preserve"> the public.  (§ 451; see</w:t>
      </w:r>
      <w:r w:rsidR="00840C75">
        <w:rPr>
          <w:szCs w:val="26"/>
        </w:rPr>
        <w:t xml:space="preserve"> also</w:t>
      </w:r>
      <w:r w:rsidRPr="000773EF">
        <w:rPr>
          <w:szCs w:val="26"/>
        </w:rPr>
        <w:t xml:space="preserve"> § 399.2, subd. (a)(1) [requiring electrical utilities to operate their grids safely].)  The PUC has determined that these statutory provisions provide authority for utilities “to shut off power in emergency situations when necessary to protect public safety.”  </w:t>
      </w:r>
      <w:r w:rsidRPr="00B732A9" w:rsidR="00AB331C">
        <w:rPr>
          <w:szCs w:val="26"/>
        </w:rPr>
        <w:t>(</w:t>
      </w:r>
      <w:r w:rsidRPr="00B732A9" w:rsidR="000F39E4">
        <w:rPr>
          <w:i/>
          <w:iCs/>
          <w:szCs w:val="26"/>
        </w:rPr>
        <w:t xml:space="preserve">Decision Denying </w:t>
      </w:r>
      <w:r w:rsidR="009762D2">
        <w:rPr>
          <w:i/>
          <w:iCs/>
          <w:szCs w:val="26"/>
        </w:rPr>
        <w:t>W</w:t>
      </w:r>
      <w:r w:rsidRPr="00B732A9" w:rsidR="000F39E4">
        <w:rPr>
          <w:i/>
          <w:iCs/>
          <w:szCs w:val="26"/>
        </w:rPr>
        <w:t>ithout Prejudice San Diego Gas &amp; Electric Company’s Application to Shut Off Power During Periods of High Fire Danger</w:t>
      </w:r>
      <w:r w:rsidRPr="00B732A9" w:rsidR="000F39E4">
        <w:rPr>
          <w:szCs w:val="26"/>
        </w:rPr>
        <w:t xml:space="preserve"> (Sept. 10, 2009) </w:t>
      </w:r>
      <w:r w:rsidRPr="00B732A9" w:rsidR="006C26D0">
        <w:rPr>
          <w:szCs w:val="26"/>
        </w:rPr>
        <w:t xml:space="preserve">Cal.P.U.C. Dec. </w:t>
      </w:r>
      <w:r w:rsidRPr="00B732A9" w:rsidR="000C6634">
        <w:rPr>
          <w:szCs w:val="26"/>
        </w:rPr>
        <w:t>No.</w:t>
      </w:r>
      <w:r w:rsidRPr="00B732A9" w:rsidR="00C4006B">
        <w:rPr>
          <w:szCs w:val="26"/>
        </w:rPr>
        <w:t> </w:t>
      </w:r>
      <w:r w:rsidRPr="00B732A9" w:rsidR="006C26D0">
        <w:rPr>
          <w:szCs w:val="26"/>
        </w:rPr>
        <w:t xml:space="preserve">09-09-030 </w:t>
      </w:r>
      <w:r w:rsidRPr="00B732A9" w:rsidR="000F39E4">
        <w:rPr>
          <w:szCs w:val="26"/>
        </w:rPr>
        <w:t>[2009 Cal.P</w:t>
      </w:r>
      <w:r w:rsidRPr="00B732A9" w:rsidR="006C26D0">
        <w:rPr>
          <w:szCs w:val="26"/>
        </w:rPr>
        <w:t>.</w:t>
      </w:r>
      <w:r w:rsidRPr="00B732A9" w:rsidR="000F39E4">
        <w:rPr>
          <w:szCs w:val="26"/>
        </w:rPr>
        <w:t>U</w:t>
      </w:r>
      <w:r w:rsidRPr="00B732A9" w:rsidR="006C26D0">
        <w:rPr>
          <w:szCs w:val="26"/>
        </w:rPr>
        <w:t>.</w:t>
      </w:r>
      <w:r w:rsidRPr="00B732A9" w:rsidR="000F39E4">
        <w:rPr>
          <w:szCs w:val="26"/>
        </w:rPr>
        <w:t>C</w:t>
      </w:r>
      <w:r w:rsidRPr="00B732A9" w:rsidR="006C26D0">
        <w:rPr>
          <w:szCs w:val="26"/>
        </w:rPr>
        <w:t>.</w:t>
      </w:r>
      <w:r w:rsidRPr="00B732A9" w:rsidR="000F39E4">
        <w:rPr>
          <w:szCs w:val="26"/>
        </w:rPr>
        <w:t xml:space="preserve"> </w:t>
      </w:r>
      <w:r w:rsidRPr="00B732A9" w:rsidR="00757BD2">
        <w:rPr>
          <w:szCs w:val="26"/>
        </w:rPr>
        <w:t>Lexis</w:t>
      </w:r>
      <w:r w:rsidRPr="00B732A9" w:rsidR="000F39E4">
        <w:rPr>
          <w:szCs w:val="26"/>
        </w:rPr>
        <w:t xml:space="preserve"> 437</w:t>
      </w:r>
      <w:r w:rsidR="00B732A9">
        <w:rPr>
          <w:szCs w:val="26"/>
        </w:rPr>
        <w:t>,</w:t>
      </w:r>
      <w:r w:rsidRPr="00B732A9" w:rsidR="00AB331C">
        <w:rPr>
          <w:szCs w:val="26"/>
        </w:rPr>
        <w:t> </w:t>
      </w:r>
      <w:r w:rsidRPr="00B732A9" w:rsidR="007F411D">
        <w:rPr>
          <w:szCs w:val="26"/>
        </w:rPr>
        <w:t>*98</w:t>
      </w:r>
      <w:r w:rsidRPr="00B732A9" w:rsidR="006C26D0">
        <w:rPr>
          <w:szCs w:val="26"/>
        </w:rPr>
        <w:t>]</w:t>
      </w:r>
      <w:r w:rsidRPr="00B732A9" w:rsidR="00C34884">
        <w:rPr>
          <w:szCs w:val="26"/>
        </w:rPr>
        <w:t>.)</w:t>
      </w:r>
      <w:r w:rsidRPr="000773EF" w:rsidR="00C34884">
        <w:rPr>
          <w:szCs w:val="26"/>
        </w:rPr>
        <w:t xml:space="preserve"> </w:t>
      </w:r>
      <w:r w:rsidRPr="000773EF" w:rsidR="00AB331C">
        <w:rPr>
          <w:szCs w:val="26"/>
        </w:rPr>
        <w:t xml:space="preserve"> </w:t>
      </w:r>
      <w:r w:rsidRPr="000773EF">
        <w:rPr>
          <w:szCs w:val="26"/>
        </w:rPr>
        <w:t>Nevertheless</w:t>
      </w:r>
      <w:r w:rsidRPr="000773EF" w:rsidR="00FD3E4F">
        <w:rPr>
          <w:szCs w:val="26"/>
        </w:rPr>
        <w:t>,</w:t>
      </w:r>
      <w:r w:rsidRPr="000773EF" w:rsidR="00A563AF">
        <w:rPr>
          <w:szCs w:val="26"/>
        </w:rPr>
        <w:t xml:space="preserve"> </w:t>
      </w:r>
      <w:r w:rsidRPr="000773EF" w:rsidR="00FD3E4F">
        <w:rPr>
          <w:szCs w:val="26"/>
        </w:rPr>
        <w:t>w</w:t>
      </w:r>
      <w:r w:rsidRPr="000773EF" w:rsidR="00063253">
        <w:rPr>
          <w:szCs w:val="26"/>
        </w:rPr>
        <w:t xml:space="preserve">hen San Diego Gas &amp; Electric (SDG&amp;E) </w:t>
      </w:r>
      <w:r w:rsidRPr="000773EF" w:rsidR="00AC5928">
        <w:rPr>
          <w:szCs w:val="26"/>
        </w:rPr>
        <w:t xml:space="preserve">sought </w:t>
      </w:r>
      <w:r w:rsidRPr="000773EF" w:rsidR="00063253">
        <w:rPr>
          <w:szCs w:val="26"/>
        </w:rPr>
        <w:t xml:space="preserve">approval of a proposed PSPS program in 2009, the PUC denied its request </w:t>
      </w:r>
      <w:r w:rsidRPr="000773EF">
        <w:rPr>
          <w:szCs w:val="26"/>
        </w:rPr>
        <w:t xml:space="preserve">and </w:t>
      </w:r>
      <w:r w:rsidRPr="000773EF" w:rsidR="00063253">
        <w:rPr>
          <w:szCs w:val="26"/>
        </w:rPr>
        <w:t xml:space="preserve">encouraged SDG&amp;E to </w:t>
      </w:r>
      <w:r w:rsidRPr="000773EF" w:rsidR="00C32500">
        <w:rPr>
          <w:szCs w:val="26"/>
        </w:rPr>
        <w:t xml:space="preserve">continue considering options to reduce the risk of catastrophic wildfires, reminding the utility that any proposals </w:t>
      </w:r>
      <w:r w:rsidRPr="000773EF" w:rsidR="00827199">
        <w:rPr>
          <w:szCs w:val="26"/>
        </w:rPr>
        <w:t xml:space="preserve">must employ a cost-benefit analysis </w:t>
      </w:r>
      <w:r w:rsidRPr="000773EF" w:rsidR="00AC5928">
        <w:rPr>
          <w:szCs w:val="26"/>
        </w:rPr>
        <w:t xml:space="preserve">that </w:t>
      </w:r>
      <w:r w:rsidRPr="000773EF" w:rsidR="00827199">
        <w:rPr>
          <w:szCs w:val="26"/>
        </w:rPr>
        <w:t>weigh</w:t>
      </w:r>
      <w:r w:rsidRPr="000773EF" w:rsidR="00AC5928">
        <w:rPr>
          <w:szCs w:val="26"/>
        </w:rPr>
        <w:t>s</w:t>
      </w:r>
      <w:r w:rsidRPr="000773EF" w:rsidR="00827199">
        <w:rPr>
          <w:szCs w:val="26"/>
        </w:rPr>
        <w:t xml:space="preserve"> the benefits </w:t>
      </w:r>
      <w:r w:rsidRPr="000773EF" w:rsidR="00AC5928">
        <w:rPr>
          <w:szCs w:val="26"/>
        </w:rPr>
        <w:t xml:space="preserve">of </w:t>
      </w:r>
      <w:r w:rsidRPr="000773EF" w:rsidR="00827199">
        <w:rPr>
          <w:szCs w:val="26"/>
        </w:rPr>
        <w:t xml:space="preserve">reduced wildfire risk against the costs </w:t>
      </w:r>
      <w:r w:rsidRPr="000773EF" w:rsidR="009142E9">
        <w:rPr>
          <w:szCs w:val="26"/>
        </w:rPr>
        <w:t>to</w:t>
      </w:r>
      <w:r w:rsidRPr="000773EF" w:rsidR="00827199">
        <w:rPr>
          <w:szCs w:val="26"/>
        </w:rPr>
        <w:t xml:space="preserve"> customers and communities.  </w:t>
      </w:r>
      <w:r w:rsidRPr="004B4B58">
        <w:rPr>
          <w:szCs w:val="26"/>
        </w:rPr>
        <w:t>(</w:t>
      </w:r>
      <w:r w:rsidRPr="004B4B58">
        <w:rPr>
          <w:i/>
          <w:iCs/>
          <w:szCs w:val="26"/>
        </w:rPr>
        <w:t xml:space="preserve">Id. </w:t>
      </w:r>
      <w:r w:rsidRPr="004B4B58">
        <w:rPr>
          <w:szCs w:val="26"/>
        </w:rPr>
        <w:t>at p. *1</w:t>
      </w:r>
      <w:r w:rsidRPr="004B4B58" w:rsidR="00C34884">
        <w:rPr>
          <w:szCs w:val="26"/>
        </w:rPr>
        <w:t>.)</w:t>
      </w:r>
    </w:p>
    <w:p w:rsidR="00C467BA" w:rsidRPr="000773EF" w:rsidP="00BC7683" w14:paraId="4FB03EC9" w14:textId="77777777">
      <w:pPr>
        <w:autoSpaceDE w:val="0"/>
        <w:autoSpaceDN w:val="0"/>
        <w:adjustRightInd w:val="0"/>
        <w:ind w:firstLine="720"/>
        <w:rPr>
          <w:szCs w:val="26"/>
        </w:rPr>
      </w:pPr>
      <w:r w:rsidRPr="000773EF">
        <w:rPr>
          <w:szCs w:val="26"/>
        </w:rPr>
        <w:t xml:space="preserve">In 2012, </w:t>
      </w:r>
      <w:r w:rsidRPr="000773EF" w:rsidR="005F0AE8">
        <w:rPr>
          <w:szCs w:val="26"/>
        </w:rPr>
        <w:t xml:space="preserve">the </w:t>
      </w:r>
      <w:r w:rsidRPr="000773EF">
        <w:rPr>
          <w:szCs w:val="26"/>
        </w:rPr>
        <w:t xml:space="preserve">PUC provided PSPS guidelines applicable only to </w:t>
      </w:r>
      <w:r w:rsidRPr="000773EF" w:rsidR="005C01B0">
        <w:rPr>
          <w:szCs w:val="26"/>
        </w:rPr>
        <w:t>SDG&amp;E</w:t>
      </w:r>
      <w:r w:rsidRPr="000773EF">
        <w:rPr>
          <w:szCs w:val="26"/>
        </w:rPr>
        <w:t xml:space="preserve">, </w:t>
      </w:r>
      <w:r w:rsidRPr="000773EF" w:rsidR="005C01B0">
        <w:rPr>
          <w:szCs w:val="26"/>
        </w:rPr>
        <w:t>explaining</w:t>
      </w:r>
      <w:r w:rsidRPr="000773EF" w:rsidR="00397134">
        <w:rPr>
          <w:szCs w:val="26"/>
        </w:rPr>
        <w:t xml:space="preserve"> what </w:t>
      </w:r>
      <w:r w:rsidRPr="000773EF" w:rsidR="00C118A5">
        <w:rPr>
          <w:szCs w:val="26"/>
        </w:rPr>
        <w:t xml:space="preserve">actions a utility </w:t>
      </w:r>
      <w:r w:rsidRPr="000773EF" w:rsidR="001319BF">
        <w:rPr>
          <w:szCs w:val="26"/>
        </w:rPr>
        <w:t>must</w:t>
      </w:r>
      <w:r w:rsidRPr="000773EF" w:rsidR="00C118A5">
        <w:rPr>
          <w:szCs w:val="26"/>
        </w:rPr>
        <w:t xml:space="preserve"> take before and after shutting off power, </w:t>
      </w:r>
      <w:r w:rsidRPr="000773EF" w:rsidR="006A60AB">
        <w:rPr>
          <w:szCs w:val="26"/>
        </w:rPr>
        <w:t xml:space="preserve">the factors the PUC would consider in assessing the reasonableness of an emergency power shutoff, </w:t>
      </w:r>
      <w:r w:rsidRPr="000773EF" w:rsidR="00C118A5">
        <w:rPr>
          <w:szCs w:val="26"/>
        </w:rPr>
        <w:t xml:space="preserve">and how shutoffs would be reviewed and evaluated by regulators.  </w:t>
      </w:r>
      <w:r w:rsidRPr="00AE0BD9" w:rsidR="00FA4145">
        <w:rPr>
          <w:szCs w:val="26"/>
        </w:rPr>
        <w:t>(</w:t>
      </w:r>
      <w:r w:rsidRPr="00AE0BD9" w:rsidR="003D66D3">
        <w:rPr>
          <w:i/>
          <w:iCs/>
          <w:szCs w:val="26"/>
          <w:shd w:val="clear" w:color="auto" w:fill="FFFFFF"/>
        </w:rPr>
        <w:t>Decision Granting Petition to Modify Decision 09-09-030 and Adopting Fire Safety Requirements for San Diego Gas &amp; Electric Company</w:t>
      </w:r>
      <w:r w:rsidRPr="00AE0BD9" w:rsidR="003D66D3">
        <w:rPr>
          <w:szCs w:val="26"/>
          <w:shd w:val="clear" w:color="auto" w:fill="FFFFFF"/>
        </w:rPr>
        <w:t xml:space="preserve"> (Apr. 19, 2012) </w:t>
      </w:r>
      <w:r w:rsidRPr="00AE0BD9" w:rsidR="006C26D0">
        <w:rPr>
          <w:szCs w:val="26"/>
          <w:shd w:val="clear" w:color="auto" w:fill="FFFFFF"/>
        </w:rPr>
        <w:t>Cal.</w:t>
      </w:r>
      <w:r w:rsidRPr="00AE0BD9" w:rsidR="006C26D0">
        <w:rPr>
          <w:szCs w:val="26"/>
        </w:rPr>
        <w:t xml:space="preserve">P.U.C. Dec. </w:t>
      </w:r>
      <w:r w:rsidRPr="00AE0BD9" w:rsidR="000C6634">
        <w:rPr>
          <w:szCs w:val="26"/>
        </w:rPr>
        <w:t>No.</w:t>
      </w:r>
      <w:r w:rsidRPr="00AE0BD9" w:rsidR="00C4006B">
        <w:rPr>
          <w:szCs w:val="26"/>
        </w:rPr>
        <w:t> </w:t>
      </w:r>
      <w:r w:rsidRPr="00AE0BD9" w:rsidR="006C26D0">
        <w:rPr>
          <w:szCs w:val="26"/>
        </w:rPr>
        <w:t xml:space="preserve">12-04-024 </w:t>
      </w:r>
      <w:r w:rsidRPr="00AE0BD9" w:rsidR="003D66D3">
        <w:rPr>
          <w:szCs w:val="26"/>
          <w:shd w:val="clear" w:color="auto" w:fill="FFFFFF"/>
        </w:rPr>
        <w:t>[2012 Cal.P</w:t>
      </w:r>
      <w:r w:rsidRPr="00AE0BD9" w:rsidR="006C26D0">
        <w:rPr>
          <w:szCs w:val="26"/>
          <w:shd w:val="clear" w:color="auto" w:fill="FFFFFF"/>
        </w:rPr>
        <w:t>.</w:t>
      </w:r>
      <w:r w:rsidRPr="00AE0BD9" w:rsidR="003D66D3">
        <w:rPr>
          <w:szCs w:val="26"/>
          <w:shd w:val="clear" w:color="auto" w:fill="FFFFFF"/>
        </w:rPr>
        <w:t>U</w:t>
      </w:r>
      <w:r w:rsidRPr="00AE0BD9" w:rsidR="006C26D0">
        <w:rPr>
          <w:szCs w:val="26"/>
          <w:shd w:val="clear" w:color="auto" w:fill="FFFFFF"/>
        </w:rPr>
        <w:t>.</w:t>
      </w:r>
      <w:r w:rsidRPr="00AE0BD9" w:rsidR="003D66D3">
        <w:rPr>
          <w:szCs w:val="26"/>
          <w:shd w:val="clear" w:color="auto" w:fill="FFFFFF"/>
        </w:rPr>
        <w:t>C</w:t>
      </w:r>
      <w:r w:rsidRPr="00AE0BD9" w:rsidR="006C26D0">
        <w:rPr>
          <w:szCs w:val="26"/>
          <w:shd w:val="clear" w:color="auto" w:fill="FFFFFF"/>
        </w:rPr>
        <w:t>.</w:t>
      </w:r>
      <w:r w:rsidRPr="00AE0BD9" w:rsidR="003D66D3">
        <w:rPr>
          <w:szCs w:val="26"/>
          <w:shd w:val="clear" w:color="auto" w:fill="FFFFFF"/>
        </w:rPr>
        <w:t xml:space="preserve"> </w:t>
      </w:r>
      <w:r w:rsidRPr="00AE0BD9" w:rsidR="00757BD2">
        <w:rPr>
          <w:szCs w:val="26"/>
          <w:shd w:val="clear" w:color="auto" w:fill="FFFFFF"/>
        </w:rPr>
        <w:t>Lexis</w:t>
      </w:r>
      <w:r w:rsidRPr="00AE0BD9" w:rsidR="003D66D3">
        <w:rPr>
          <w:szCs w:val="26"/>
          <w:shd w:val="clear" w:color="auto" w:fill="FFFFFF"/>
        </w:rPr>
        <w:t xml:space="preserve"> 165</w:t>
      </w:r>
      <w:r w:rsidR="001464F3">
        <w:rPr>
          <w:szCs w:val="26"/>
        </w:rPr>
        <w:t>,</w:t>
      </w:r>
      <w:r w:rsidR="005E0A92">
        <w:rPr>
          <w:szCs w:val="26"/>
        </w:rPr>
        <w:t xml:space="preserve"> </w:t>
      </w:r>
      <w:r w:rsidRPr="00AE0BD9" w:rsidR="00367262">
        <w:rPr>
          <w:szCs w:val="26"/>
        </w:rPr>
        <w:t>*48</w:t>
      </w:r>
      <w:r w:rsidRPr="00AE0BD9" w:rsidR="001319BF">
        <w:rPr>
          <w:szCs w:val="26"/>
        </w:rPr>
        <w:t>–</w:t>
      </w:r>
      <w:r w:rsidRPr="00AE0BD9" w:rsidR="00367262">
        <w:rPr>
          <w:szCs w:val="26"/>
        </w:rPr>
        <w:t>*52</w:t>
      </w:r>
      <w:r w:rsidRPr="00AE0BD9" w:rsidR="006C26D0">
        <w:rPr>
          <w:szCs w:val="26"/>
        </w:rPr>
        <w:t>]</w:t>
      </w:r>
      <w:r w:rsidRPr="00AE0BD9" w:rsidR="00C34884">
        <w:rPr>
          <w:szCs w:val="26"/>
        </w:rPr>
        <w:t>.)</w:t>
      </w:r>
      <w:r w:rsidRPr="000773EF" w:rsidR="00C34884">
        <w:rPr>
          <w:szCs w:val="26"/>
        </w:rPr>
        <w:t xml:space="preserve"> </w:t>
      </w:r>
      <w:r w:rsidRPr="000773EF" w:rsidR="001319BF">
        <w:rPr>
          <w:szCs w:val="26"/>
        </w:rPr>
        <w:t xml:space="preserve"> </w:t>
      </w:r>
      <w:r w:rsidRPr="000773EF" w:rsidR="007318AD">
        <w:rPr>
          <w:szCs w:val="26"/>
        </w:rPr>
        <w:t xml:space="preserve">In 2018, </w:t>
      </w:r>
      <w:r w:rsidRPr="000773EF" w:rsidR="00E47888">
        <w:rPr>
          <w:szCs w:val="26"/>
        </w:rPr>
        <w:t>following what was then “the most destructive wildfire season on record</w:t>
      </w:r>
      <w:r w:rsidRPr="000773EF">
        <w:rPr>
          <w:szCs w:val="26"/>
        </w:rPr>
        <w:t>,</w:t>
      </w:r>
      <w:r w:rsidRPr="000773EF" w:rsidR="00E47888">
        <w:rPr>
          <w:szCs w:val="26"/>
        </w:rPr>
        <w:t xml:space="preserve">” </w:t>
      </w:r>
      <w:r w:rsidRPr="000773EF" w:rsidR="007318AD">
        <w:rPr>
          <w:szCs w:val="26"/>
        </w:rPr>
        <w:t xml:space="preserve">the PUC extended de-energization policies and procedures to all investor-owned </w:t>
      </w:r>
      <w:r w:rsidRPr="000773EF" w:rsidR="0064300D">
        <w:rPr>
          <w:szCs w:val="26"/>
        </w:rPr>
        <w:t xml:space="preserve">electric </w:t>
      </w:r>
      <w:r w:rsidRPr="000773EF" w:rsidR="007318AD">
        <w:rPr>
          <w:szCs w:val="26"/>
        </w:rPr>
        <w:t xml:space="preserve">utilities, including PG&amp;E.  </w:t>
      </w:r>
      <w:r w:rsidRPr="00AE0BD9" w:rsidR="007318AD">
        <w:rPr>
          <w:szCs w:val="26"/>
        </w:rPr>
        <w:t>(</w:t>
      </w:r>
      <w:r w:rsidRPr="00AE0BD9" w:rsidR="003E2E0F">
        <w:rPr>
          <w:rStyle w:val="ssbf"/>
          <w:i/>
          <w:iCs/>
          <w:szCs w:val="26"/>
          <w:bdr w:val="none" w:sz="0" w:space="0" w:color="auto" w:frame="1"/>
          <w:shd w:val="clear" w:color="auto" w:fill="FFFFFF"/>
        </w:rPr>
        <w:t>Resolution Extending De-Energization Reasonableness, Notification, Mitigation and Reporting Requirements in Decision 12-04-024 to All Electric Investor Owned Utilities</w:t>
      </w:r>
      <w:r w:rsidRPr="00AE0BD9" w:rsidR="003E2E0F">
        <w:rPr>
          <w:szCs w:val="26"/>
          <w:shd w:val="clear" w:color="auto" w:fill="FFFFFF"/>
        </w:rPr>
        <w:t xml:space="preserve"> (July 12, 2018) </w:t>
      </w:r>
      <w:r w:rsidRPr="00AE0BD9" w:rsidR="006C26D0">
        <w:rPr>
          <w:szCs w:val="26"/>
          <w:shd w:val="clear" w:color="auto" w:fill="FFFFFF"/>
        </w:rPr>
        <w:t>Cal.</w:t>
      </w:r>
      <w:r w:rsidRPr="00AE0BD9" w:rsidR="006C26D0">
        <w:rPr>
          <w:rStyle w:val="ssbf"/>
          <w:szCs w:val="26"/>
          <w:bdr w:val="none" w:sz="0" w:space="0" w:color="auto" w:frame="1"/>
          <w:shd w:val="clear" w:color="auto" w:fill="FFFFFF"/>
        </w:rPr>
        <w:t xml:space="preserve">P.U.C. Res. </w:t>
      </w:r>
      <w:r w:rsidRPr="00AE0BD9" w:rsidR="000C6634">
        <w:rPr>
          <w:rStyle w:val="ssbf"/>
          <w:szCs w:val="26"/>
          <w:bdr w:val="none" w:sz="0" w:space="0" w:color="auto" w:frame="1"/>
          <w:shd w:val="clear" w:color="auto" w:fill="FFFFFF"/>
        </w:rPr>
        <w:t>No.</w:t>
      </w:r>
      <w:r w:rsidRPr="00AE0BD9" w:rsidR="00C4006B">
        <w:rPr>
          <w:rStyle w:val="ssbf"/>
          <w:szCs w:val="26"/>
          <w:bdr w:val="none" w:sz="0" w:space="0" w:color="auto" w:frame="1"/>
          <w:shd w:val="clear" w:color="auto" w:fill="FFFFFF"/>
        </w:rPr>
        <w:t> </w:t>
      </w:r>
      <w:r w:rsidRPr="00AE0BD9" w:rsidR="006C26D0">
        <w:rPr>
          <w:rStyle w:val="ssbf"/>
          <w:szCs w:val="26"/>
          <w:bdr w:val="none" w:sz="0" w:space="0" w:color="auto" w:frame="1"/>
          <w:shd w:val="clear" w:color="auto" w:fill="FFFFFF"/>
        </w:rPr>
        <w:t xml:space="preserve">ESRB-8 </w:t>
      </w:r>
      <w:r w:rsidRPr="00AE0BD9" w:rsidR="003E2E0F">
        <w:rPr>
          <w:szCs w:val="26"/>
          <w:shd w:val="clear" w:color="auto" w:fill="FFFFFF"/>
        </w:rPr>
        <w:t>[2018 Cal.P</w:t>
      </w:r>
      <w:r w:rsidRPr="00AE0BD9" w:rsidR="00CA3F57">
        <w:rPr>
          <w:szCs w:val="26"/>
          <w:shd w:val="clear" w:color="auto" w:fill="FFFFFF"/>
        </w:rPr>
        <w:t>.</w:t>
      </w:r>
      <w:r w:rsidRPr="00AE0BD9" w:rsidR="003E2E0F">
        <w:rPr>
          <w:szCs w:val="26"/>
          <w:shd w:val="clear" w:color="auto" w:fill="FFFFFF"/>
        </w:rPr>
        <w:t>U</w:t>
      </w:r>
      <w:r w:rsidRPr="00AE0BD9" w:rsidR="00CA3F57">
        <w:rPr>
          <w:szCs w:val="26"/>
          <w:shd w:val="clear" w:color="auto" w:fill="FFFFFF"/>
        </w:rPr>
        <w:t>.</w:t>
      </w:r>
      <w:r w:rsidRPr="00AE0BD9" w:rsidR="003E2E0F">
        <w:rPr>
          <w:szCs w:val="26"/>
          <w:shd w:val="clear" w:color="auto" w:fill="FFFFFF"/>
        </w:rPr>
        <w:t>C</w:t>
      </w:r>
      <w:r w:rsidRPr="00AE0BD9" w:rsidR="00CA3F57">
        <w:rPr>
          <w:szCs w:val="26"/>
          <w:shd w:val="clear" w:color="auto" w:fill="FFFFFF"/>
        </w:rPr>
        <w:t>.</w:t>
      </w:r>
      <w:r w:rsidRPr="00AE0BD9" w:rsidR="003E2E0F">
        <w:rPr>
          <w:szCs w:val="26"/>
          <w:shd w:val="clear" w:color="auto" w:fill="FFFFFF"/>
        </w:rPr>
        <w:t xml:space="preserve"> </w:t>
      </w:r>
      <w:r w:rsidRPr="00AE0BD9" w:rsidR="00757BD2">
        <w:rPr>
          <w:szCs w:val="26"/>
          <w:shd w:val="clear" w:color="auto" w:fill="FFFFFF"/>
        </w:rPr>
        <w:t>Lexis</w:t>
      </w:r>
      <w:r w:rsidRPr="00AE0BD9" w:rsidR="003E2E0F">
        <w:rPr>
          <w:szCs w:val="26"/>
          <w:shd w:val="clear" w:color="auto" w:fill="FFFFFF"/>
        </w:rPr>
        <w:t xml:space="preserve"> 330</w:t>
      </w:r>
      <w:r w:rsidR="00AE0BD9">
        <w:rPr>
          <w:szCs w:val="26"/>
          <w:shd w:val="clear" w:color="auto" w:fill="FFFFFF"/>
        </w:rPr>
        <w:t>,</w:t>
      </w:r>
      <w:r w:rsidRPr="00AE0BD9" w:rsidR="007318AD">
        <w:rPr>
          <w:szCs w:val="26"/>
        </w:rPr>
        <w:t> </w:t>
      </w:r>
      <w:r w:rsidRPr="00AE0BD9" w:rsidR="00526638">
        <w:rPr>
          <w:szCs w:val="26"/>
        </w:rPr>
        <w:t>*</w:t>
      </w:r>
      <w:r w:rsidRPr="00AE0BD9" w:rsidR="00466DBB">
        <w:rPr>
          <w:szCs w:val="26"/>
        </w:rPr>
        <w:t>4</w:t>
      </w:r>
      <w:r w:rsidRPr="00AE0BD9" w:rsidR="00CA3F57">
        <w:rPr>
          <w:szCs w:val="26"/>
        </w:rPr>
        <w:t>]</w:t>
      </w:r>
      <w:r w:rsidRPr="00AE0BD9" w:rsidR="00C34884">
        <w:rPr>
          <w:szCs w:val="26"/>
        </w:rPr>
        <w:t>.)</w:t>
      </w:r>
    </w:p>
    <w:p w:rsidR="00665E2D" w:rsidRPr="000773EF" w:rsidP="00BC7683" w14:paraId="4FB03ECA" w14:textId="77777777">
      <w:pPr>
        <w:autoSpaceDE w:val="0"/>
        <w:autoSpaceDN w:val="0"/>
        <w:adjustRightInd w:val="0"/>
        <w:ind w:firstLine="720"/>
        <w:rPr>
          <w:szCs w:val="26"/>
        </w:rPr>
      </w:pPr>
      <w:r w:rsidRPr="000773EF">
        <w:rPr>
          <w:szCs w:val="26"/>
        </w:rPr>
        <w:t xml:space="preserve">In 2019, the PUC promulgated </w:t>
      </w:r>
      <w:r w:rsidRPr="000773EF" w:rsidR="00187A27">
        <w:rPr>
          <w:szCs w:val="26"/>
        </w:rPr>
        <w:t xml:space="preserve">a set of formal PSPS guidelines, </w:t>
      </w:r>
      <w:r w:rsidRPr="000773EF">
        <w:rPr>
          <w:szCs w:val="26"/>
        </w:rPr>
        <w:t>a</w:t>
      </w:r>
      <w:r w:rsidRPr="000773EF" w:rsidR="000D71CE">
        <w:rPr>
          <w:szCs w:val="26"/>
        </w:rPr>
        <w:t>cknowledging that “[w]ith the growing threat of wildfire, utilities will proactively cut power to lines that may fail in certain weather condi</w:t>
      </w:r>
      <w:r w:rsidRPr="000773EF" w:rsidR="00187A27">
        <w:rPr>
          <w:szCs w:val="26"/>
        </w:rPr>
        <w:t>tions</w:t>
      </w:r>
      <w:r w:rsidRPr="000773EF" w:rsidR="004F2FEE">
        <w:rPr>
          <w:szCs w:val="26"/>
        </w:rPr>
        <w:t xml:space="preserve"> in order to reduce the likelihood that their infrastructure could cause or contribute to a wildfire.”  </w:t>
      </w:r>
      <w:r w:rsidRPr="009E138D" w:rsidR="004F2FEE">
        <w:rPr>
          <w:szCs w:val="26"/>
        </w:rPr>
        <w:t>(</w:t>
      </w:r>
      <w:r w:rsidRPr="009E138D" w:rsidR="00CA3F57">
        <w:rPr>
          <w:szCs w:val="26"/>
        </w:rPr>
        <w:t>Cal.</w:t>
      </w:r>
      <w:r w:rsidRPr="009E138D" w:rsidR="004F2FEE">
        <w:rPr>
          <w:szCs w:val="26"/>
        </w:rPr>
        <w:t>P</w:t>
      </w:r>
      <w:r w:rsidRPr="009E138D" w:rsidR="00CA3F57">
        <w:rPr>
          <w:szCs w:val="26"/>
        </w:rPr>
        <w:t>.</w:t>
      </w:r>
      <w:r w:rsidRPr="009E138D" w:rsidR="004F2FEE">
        <w:rPr>
          <w:szCs w:val="26"/>
        </w:rPr>
        <w:t>U</w:t>
      </w:r>
      <w:r w:rsidRPr="009E138D" w:rsidR="00CA3F57">
        <w:rPr>
          <w:szCs w:val="26"/>
        </w:rPr>
        <w:t>.</w:t>
      </w:r>
      <w:r w:rsidRPr="009E138D" w:rsidR="004F2FEE">
        <w:rPr>
          <w:szCs w:val="26"/>
        </w:rPr>
        <w:t>C</w:t>
      </w:r>
      <w:r w:rsidRPr="009E138D" w:rsidR="00CA3F57">
        <w:rPr>
          <w:szCs w:val="26"/>
        </w:rPr>
        <w:t>.</w:t>
      </w:r>
      <w:r w:rsidRPr="009E138D" w:rsidR="004F2FEE">
        <w:rPr>
          <w:szCs w:val="26"/>
        </w:rPr>
        <w:t xml:space="preserve"> Dec. </w:t>
      </w:r>
      <w:r w:rsidRPr="009E138D" w:rsidR="000C6634">
        <w:rPr>
          <w:szCs w:val="26"/>
        </w:rPr>
        <w:t>No.</w:t>
      </w:r>
      <w:r w:rsidRPr="009E138D" w:rsidR="00C4006B">
        <w:rPr>
          <w:szCs w:val="26"/>
        </w:rPr>
        <w:t> </w:t>
      </w:r>
      <w:r w:rsidRPr="009E138D" w:rsidR="004F2FEE">
        <w:rPr>
          <w:szCs w:val="26"/>
        </w:rPr>
        <w:t>19-05-042</w:t>
      </w:r>
      <w:r w:rsidRPr="009E138D" w:rsidR="00EE200A">
        <w:rPr>
          <w:szCs w:val="26"/>
        </w:rPr>
        <w:t xml:space="preserve">, </w:t>
      </w:r>
      <w:r w:rsidRPr="009E138D" w:rsidR="00EE200A">
        <w:rPr>
          <w:i/>
          <w:iCs/>
          <w:szCs w:val="26"/>
        </w:rPr>
        <w:t>supra</w:t>
      </w:r>
      <w:r w:rsidR="009E138D">
        <w:rPr>
          <w:szCs w:val="26"/>
        </w:rPr>
        <w:t>,</w:t>
      </w:r>
      <w:r w:rsidRPr="009E138D" w:rsidR="00FF44E0">
        <w:rPr>
          <w:szCs w:val="26"/>
        </w:rPr>
        <w:t xml:space="preserve"> </w:t>
      </w:r>
      <w:r w:rsidRPr="009E138D" w:rsidR="00FF44E0">
        <w:rPr>
          <w:szCs w:val="26"/>
          <w:shd w:val="clear" w:color="auto" w:fill="FFFFFF"/>
        </w:rPr>
        <w:t>2019 Cal.P.U.C. Lexis 270</w:t>
      </w:r>
      <w:r w:rsidRPr="009E138D" w:rsidR="004F2FEE">
        <w:rPr>
          <w:szCs w:val="26"/>
        </w:rPr>
        <w:t xml:space="preserve"> at p. </w:t>
      </w:r>
      <w:r w:rsidRPr="009E138D" w:rsidR="008272E7">
        <w:rPr>
          <w:szCs w:val="26"/>
        </w:rPr>
        <w:t>*</w:t>
      </w:r>
      <w:r w:rsidRPr="009E138D" w:rsidR="005C4DDC">
        <w:rPr>
          <w:szCs w:val="26"/>
        </w:rPr>
        <w:t>3</w:t>
      </w:r>
      <w:r w:rsidRPr="009E138D" w:rsidR="00C34884">
        <w:rPr>
          <w:szCs w:val="26"/>
        </w:rPr>
        <w:t>.)</w:t>
      </w:r>
      <w:r w:rsidRPr="000773EF" w:rsidR="005C4DDC">
        <w:rPr>
          <w:szCs w:val="26"/>
        </w:rPr>
        <w:t xml:space="preserve">  </w:t>
      </w:r>
      <w:r w:rsidRPr="000773EF">
        <w:rPr>
          <w:szCs w:val="26"/>
        </w:rPr>
        <w:t xml:space="preserve">These binding guidelines, along with those adopted in </w:t>
      </w:r>
      <w:r w:rsidRPr="000773EF" w:rsidR="00174642">
        <w:rPr>
          <w:szCs w:val="26"/>
        </w:rPr>
        <w:t xml:space="preserve">Resolution </w:t>
      </w:r>
      <w:r w:rsidRPr="000773EF">
        <w:rPr>
          <w:szCs w:val="26"/>
        </w:rPr>
        <w:t xml:space="preserve">ESRB-8, “remain in effect unless and until they are superseded by another </w:t>
      </w:r>
      <w:r w:rsidRPr="000773EF" w:rsidR="000F4956">
        <w:rPr>
          <w:szCs w:val="26"/>
        </w:rPr>
        <w:t>C</w:t>
      </w:r>
      <w:r w:rsidRPr="000773EF">
        <w:rPr>
          <w:szCs w:val="26"/>
        </w:rPr>
        <w:t xml:space="preserve">ommission decision or resolution.”  </w:t>
      </w:r>
      <w:r w:rsidRPr="009E138D">
        <w:rPr>
          <w:szCs w:val="26"/>
        </w:rPr>
        <w:t>(</w:t>
      </w:r>
      <w:bookmarkStart w:id="2" w:name="_Hlk148966809"/>
      <w:r w:rsidRPr="009E138D" w:rsidR="008375B6">
        <w:rPr>
          <w:szCs w:val="26"/>
        </w:rPr>
        <w:t xml:space="preserve">Cal.P.U.C. Dec. No. 19-05-042, </w:t>
      </w:r>
      <w:r w:rsidRPr="009E138D" w:rsidR="008375B6">
        <w:rPr>
          <w:i/>
          <w:iCs/>
          <w:szCs w:val="26"/>
        </w:rPr>
        <w:t>supra</w:t>
      </w:r>
      <w:r w:rsidR="008375B6">
        <w:rPr>
          <w:szCs w:val="26"/>
        </w:rPr>
        <w:t>,</w:t>
      </w:r>
      <w:r w:rsidRPr="009E138D" w:rsidR="008375B6">
        <w:rPr>
          <w:szCs w:val="26"/>
        </w:rPr>
        <w:t xml:space="preserve"> </w:t>
      </w:r>
      <w:r w:rsidRPr="009E138D" w:rsidR="008375B6">
        <w:rPr>
          <w:szCs w:val="26"/>
          <w:shd w:val="clear" w:color="auto" w:fill="FFFFFF"/>
        </w:rPr>
        <w:t>2019 Cal.P.U.C. Lexis 270</w:t>
      </w:r>
      <w:r w:rsidRPr="009E138D" w:rsidR="008375B6">
        <w:rPr>
          <w:szCs w:val="26"/>
        </w:rPr>
        <w:t xml:space="preserve"> </w:t>
      </w:r>
      <w:bookmarkEnd w:id="2"/>
      <w:r w:rsidRPr="009E138D">
        <w:rPr>
          <w:szCs w:val="26"/>
        </w:rPr>
        <w:t>at p. </w:t>
      </w:r>
      <w:r w:rsidRPr="009E138D" w:rsidR="00CC1D49">
        <w:rPr>
          <w:szCs w:val="26"/>
        </w:rPr>
        <w:t>*202</w:t>
      </w:r>
      <w:r w:rsidRPr="009E138D" w:rsidR="00C34884">
        <w:rPr>
          <w:szCs w:val="26"/>
        </w:rPr>
        <w:t>.)</w:t>
      </w:r>
    </w:p>
    <w:p w:rsidR="007318AD" w:rsidRPr="000773EF" w:rsidP="00BC7683" w14:paraId="4FB03ECB" w14:textId="77777777">
      <w:pPr>
        <w:autoSpaceDE w:val="0"/>
        <w:autoSpaceDN w:val="0"/>
        <w:adjustRightInd w:val="0"/>
        <w:ind w:firstLine="720"/>
        <w:rPr>
          <w:szCs w:val="26"/>
        </w:rPr>
      </w:pPr>
      <w:r w:rsidRPr="000773EF">
        <w:rPr>
          <w:szCs w:val="26"/>
        </w:rPr>
        <w:t xml:space="preserve">The </w:t>
      </w:r>
      <w:r w:rsidRPr="000773EF" w:rsidR="005C4DDC">
        <w:rPr>
          <w:szCs w:val="26"/>
        </w:rPr>
        <w:t>PUC</w:t>
      </w:r>
      <w:r w:rsidRPr="000773EF">
        <w:rPr>
          <w:szCs w:val="26"/>
        </w:rPr>
        <w:t>’s</w:t>
      </w:r>
      <w:r w:rsidRPr="000773EF" w:rsidR="001D5053">
        <w:rPr>
          <w:szCs w:val="26"/>
        </w:rPr>
        <w:t xml:space="preserve"> guidelines</w:t>
      </w:r>
      <w:r w:rsidRPr="000773EF" w:rsidR="001D5053">
        <w:rPr>
          <w:b/>
          <w:bCs/>
          <w:szCs w:val="26"/>
        </w:rPr>
        <w:t xml:space="preserve"> </w:t>
      </w:r>
      <w:r w:rsidRPr="000773EF">
        <w:rPr>
          <w:szCs w:val="26"/>
        </w:rPr>
        <w:t xml:space="preserve">require utilities to undertake a public notice and community engagement process, to notify customers </w:t>
      </w:r>
      <w:r w:rsidRPr="000773EF" w:rsidR="00A452C1">
        <w:rPr>
          <w:szCs w:val="26"/>
        </w:rPr>
        <w:t>affected by</w:t>
      </w:r>
      <w:r w:rsidRPr="000773EF">
        <w:rPr>
          <w:szCs w:val="26"/>
        </w:rPr>
        <w:t xml:space="preserve"> de-energization</w:t>
      </w:r>
      <w:r w:rsidRPr="000773EF" w:rsidR="00A452C1">
        <w:rPr>
          <w:szCs w:val="26"/>
        </w:rPr>
        <w:t xml:space="preserve"> as soon as practicable</w:t>
      </w:r>
      <w:r w:rsidRPr="000773EF">
        <w:rPr>
          <w:szCs w:val="26"/>
        </w:rPr>
        <w:t xml:space="preserve">, to create plans for mitigating harm from de-energization, and to promptly submit a report to the PUC following each de-energization event.  </w:t>
      </w:r>
      <w:r w:rsidRPr="000D091D">
        <w:rPr>
          <w:szCs w:val="26"/>
        </w:rPr>
        <w:t>(</w:t>
      </w:r>
      <w:r w:rsidRPr="000D091D" w:rsidR="000C6634">
        <w:rPr>
          <w:szCs w:val="26"/>
        </w:rPr>
        <w:t>Cal.</w:t>
      </w:r>
      <w:r w:rsidRPr="000D091D">
        <w:rPr>
          <w:szCs w:val="26"/>
        </w:rPr>
        <w:t>P</w:t>
      </w:r>
      <w:r w:rsidRPr="000D091D" w:rsidR="000C6634">
        <w:rPr>
          <w:szCs w:val="26"/>
        </w:rPr>
        <w:t>.</w:t>
      </w:r>
      <w:r w:rsidRPr="000D091D">
        <w:rPr>
          <w:szCs w:val="26"/>
        </w:rPr>
        <w:t>U</w:t>
      </w:r>
      <w:r w:rsidRPr="000D091D" w:rsidR="000C6634">
        <w:rPr>
          <w:szCs w:val="26"/>
        </w:rPr>
        <w:t>.</w:t>
      </w:r>
      <w:r w:rsidRPr="000D091D">
        <w:rPr>
          <w:szCs w:val="26"/>
        </w:rPr>
        <w:t>C</w:t>
      </w:r>
      <w:r w:rsidRPr="000D091D" w:rsidR="000C6634">
        <w:rPr>
          <w:szCs w:val="26"/>
        </w:rPr>
        <w:t>.</w:t>
      </w:r>
      <w:r w:rsidRPr="000D091D">
        <w:rPr>
          <w:szCs w:val="26"/>
        </w:rPr>
        <w:t xml:space="preserve"> Res</w:t>
      </w:r>
      <w:r w:rsidRPr="000D091D" w:rsidR="00174642">
        <w:rPr>
          <w:szCs w:val="26"/>
        </w:rPr>
        <w:t>.</w:t>
      </w:r>
      <w:r w:rsidRPr="000D091D">
        <w:rPr>
          <w:szCs w:val="26"/>
        </w:rPr>
        <w:t xml:space="preserve"> </w:t>
      </w:r>
      <w:r w:rsidRPr="000D091D" w:rsidR="000C6634">
        <w:rPr>
          <w:szCs w:val="26"/>
        </w:rPr>
        <w:t>No.</w:t>
      </w:r>
      <w:r w:rsidRPr="000D091D" w:rsidR="00C8082F">
        <w:rPr>
          <w:szCs w:val="26"/>
        </w:rPr>
        <w:t> </w:t>
      </w:r>
      <w:r w:rsidRPr="000D091D">
        <w:rPr>
          <w:szCs w:val="26"/>
        </w:rPr>
        <w:t>ESRB-8</w:t>
      </w:r>
      <w:r w:rsidRPr="000D091D" w:rsidR="006B2645">
        <w:rPr>
          <w:szCs w:val="26"/>
        </w:rPr>
        <w:t xml:space="preserve">, </w:t>
      </w:r>
      <w:r w:rsidRPr="000D091D" w:rsidR="006B2645">
        <w:rPr>
          <w:i/>
          <w:iCs/>
          <w:szCs w:val="26"/>
        </w:rPr>
        <w:t>supra</w:t>
      </w:r>
      <w:r w:rsidR="000D091D">
        <w:rPr>
          <w:szCs w:val="26"/>
        </w:rPr>
        <w:t>,</w:t>
      </w:r>
      <w:r w:rsidRPr="000D091D" w:rsidR="00FF44E0">
        <w:rPr>
          <w:szCs w:val="26"/>
        </w:rPr>
        <w:t xml:space="preserve"> </w:t>
      </w:r>
      <w:r w:rsidRPr="000D091D" w:rsidR="00FF44E0">
        <w:rPr>
          <w:szCs w:val="26"/>
          <w:shd w:val="clear" w:color="auto" w:fill="FFFFFF"/>
        </w:rPr>
        <w:t>2018 Cal.P.U.C. Lexis 330</w:t>
      </w:r>
      <w:r w:rsidRPr="000D091D">
        <w:rPr>
          <w:szCs w:val="26"/>
        </w:rPr>
        <w:t xml:space="preserve"> at pp. </w:t>
      </w:r>
      <w:r w:rsidRPr="000D091D" w:rsidR="00526638">
        <w:rPr>
          <w:szCs w:val="26"/>
        </w:rPr>
        <w:t>*</w:t>
      </w:r>
      <w:r w:rsidRPr="000D091D" w:rsidR="00466DBB">
        <w:rPr>
          <w:szCs w:val="26"/>
        </w:rPr>
        <w:t>1</w:t>
      </w:r>
      <w:r w:rsidRPr="000D091D" w:rsidR="00E10E4B">
        <w:rPr>
          <w:szCs w:val="26"/>
        </w:rPr>
        <w:t>0</w:t>
      </w:r>
      <w:r w:rsidRPr="000D091D" w:rsidR="00466DBB">
        <w:rPr>
          <w:szCs w:val="26"/>
        </w:rPr>
        <w:t>–</w:t>
      </w:r>
      <w:r w:rsidRPr="000D091D" w:rsidR="00FC2F96">
        <w:rPr>
          <w:szCs w:val="26"/>
        </w:rPr>
        <w:t>*</w:t>
      </w:r>
      <w:r w:rsidRPr="000D091D" w:rsidR="00466DBB">
        <w:rPr>
          <w:szCs w:val="26"/>
        </w:rPr>
        <w:t>1</w:t>
      </w:r>
      <w:r w:rsidRPr="000D091D" w:rsidR="00E10E4B">
        <w:rPr>
          <w:szCs w:val="26"/>
        </w:rPr>
        <w:t>6</w:t>
      </w:r>
      <w:r w:rsidRPr="000D091D" w:rsidR="00B835CD">
        <w:rPr>
          <w:szCs w:val="26"/>
        </w:rPr>
        <w:t>.)</w:t>
      </w:r>
      <w:r w:rsidRPr="000773EF">
        <w:rPr>
          <w:szCs w:val="26"/>
        </w:rPr>
        <w:t xml:space="preserve">  The </w:t>
      </w:r>
      <w:r w:rsidRPr="000773EF" w:rsidR="00BC14FF">
        <w:rPr>
          <w:szCs w:val="26"/>
        </w:rPr>
        <w:t xml:space="preserve">PUC also </w:t>
      </w:r>
      <w:r w:rsidR="00793D16">
        <w:rPr>
          <w:szCs w:val="26"/>
        </w:rPr>
        <w:t>may</w:t>
      </w:r>
      <w:r w:rsidRPr="000773EF" w:rsidR="00793D16">
        <w:rPr>
          <w:szCs w:val="26"/>
        </w:rPr>
        <w:t xml:space="preserve"> </w:t>
      </w:r>
      <w:r w:rsidRPr="000773EF" w:rsidR="00BC14FF">
        <w:rPr>
          <w:szCs w:val="26"/>
        </w:rPr>
        <w:t>conduct</w:t>
      </w:r>
      <w:r w:rsidRPr="000773EF">
        <w:rPr>
          <w:szCs w:val="26"/>
        </w:rPr>
        <w:t xml:space="preserve"> post hoc reasonable</w:t>
      </w:r>
      <w:r w:rsidRPr="000773EF" w:rsidR="00BD0AB3">
        <w:rPr>
          <w:szCs w:val="26"/>
        </w:rPr>
        <w:t>ness</w:t>
      </w:r>
      <w:r w:rsidRPr="000773EF">
        <w:rPr>
          <w:szCs w:val="26"/>
        </w:rPr>
        <w:t xml:space="preserve"> review</w:t>
      </w:r>
      <w:r w:rsidRPr="000773EF" w:rsidR="00BC14FF">
        <w:rPr>
          <w:szCs w:val="26"/>
        </w:rPr>
        <w:t>s</w:t>
      </w:r>
      <w:r w:rsidRPr="000773EF">
        <w:rPr>
          <w:szCs w:val="26"/>
        </w:rPr>
        <w:t xml:space="preserve"> of de-energization events “to ensure that the power shut off is executed only as a last resort and for good reason.”  </w:t>
      </w:r>
      <w:r w:rsidRPr="00B66B85">
        <w:rPr>
          <w:szCs w:val="26"/>
        </w:rPr>
        <w:t>(</w:t>
      </w:r>
      <w:r w:rsidRPr="00B66B85" w:rsidR="00BC14FF">
        <w:rPr>
          <w:i/>
          <w:iCs/>
          <w:szCs w:val="26"/>
        </w:rPr>
        <w:t>Id.</w:t>
      </w:r>
      <w:r w:rsidRPr="00B66B85">
        <w:rPr>
          <w:szCs w:val="26"/>
        </w:rPr>
        <w:t xml:space="preserve"> at p. </w:t>
      </w:r>
      <w:r w:rsidRPr="00B66B85" w:rsidR="004569C7">
        <w:rPr>
          <w:szCs w:val="26"/>
        </w:rPr>
        <w:t>*8</w:t>
      </w:r>
      <w:r w:rsidRPr="00B66B85" w:rsidR="00D25D7D">
        <w:rPr>
          <w:szCs w:val="26"/>
        </w:rPr>
        <w:t xml:space="preserve">; see </w:t>
      </w:r>
      <w:r w:rsidRPr="00B66B85" w:rsidR="00D25D7D">
        <w:rPr>
          <w:i/>
          <w:iCs/>
          <w:szCs w:val="26"/>
        </w:rPr>
        <w:t>i</w:t>
      </w:r>
      <w:r w:rsidR="007918AE">
        <w:rPr>
          <w:i/>
          <w:iCs/>
          <w:szCs w:val="26"/>
        </w:rPr>
        <w:t>bi</w:t>
      </w:r>
      <w:r w:rsidRPr="00B66B85" w:rsidR="00D25D7D">
        <w:rPr>
          <w:i/>
          <w:iCs/>
          <w:szCs w:val="26"/>
        </w:rPr>
        <w:t>d.</w:t>
      </w:r>
      <w:r w:rsidRPr="00B66B85" w:rsidR="00D25D7D">
        <w:rPr>
          <w:szCs w:val="26"/>
        </w:rPr>
        <w:t xml:space="preserve"> </w:t>
      </w:r>
      <w:r w:rsidRPr="000773EF" w:rsidR="005547D6">
        <w:rPr>
          <w:szCs w:val="26"/>
        </w:rPr>
        <w:t xml:space="preserve">[listing </w:t>
      </w:r>
      <w:r w:rsidRPr="000773EF" w:rsidR="003C7240">
        <w:rPr>
          <w:szCs w:val="26"/>
        </w:rPr>
        <w:t>factors identified by PUC as pertinent to</w:t>
      </w:r>
      <w:r w:rsidRPr="000773EF" w:rsidR="003C7240">
        <w:rPr>
          <w:b/>
          <w:bCs/>
          <w:szCs w:val="26"/>
        </w:rPr>
        <w:t xml:space="preserve"> </w:t>
      </w:r>
      <w:r w:rsidRPr="000773EF" w:rsidR="003C7240">
        <w:rPr>
          <w:szCs w:val="26"/>
        </w:rPr>
        <w:t>it</w:t>
      </w:r>
      <w:r w:rsidRPr="000773EF" w:rsidR="00D14E71">
        <w:rPr>
          <w:szCs w:val="26"/>
        </w:rPr>
        <w:t xml:space="preserve">s reasonableness review, including </w:t>
      </w:r>
      <w:r w:rsidRPr="000773EF" w:rsidR="00E204D4">
        <w:rPr>
          <w:szCs w:val="26"/>
        </w:rPr>
        <w:t xml:space="preserve">the utility’s </w:t>
      </w:r>
      <w:r w:rsidRPr="000773EF" w:rsidR="00D14E71">
        <w:rPr>
          <w:szCs w:val="26"/>
        </w:rPr>
        <w:t>de-energization alternatives,</w:t>
      </w:r>
      <w:r w:rsidRPr="000773EF" w:rsidR="00E204D4">
        <w:rPr>
          <w:szCs w:val="26"/>
        </w:rPr>
        <w:t xml:space="preserve"> reasonable belief in “an imminent and significant” fire risk, and </w:t>
      </w:r>
      <w:r w:rsidRPr="000773EF" w:rsidR="00DE629D">
        <w:rPr>
          <w:szCs w:val="26"/>
        </w:rPr>
        <w:t>“efforts to mitigat</w:t>
      </w:r>
      <w:r w:rsidRPr="000773EF" w:rsidR="00437BF0">
        <w:rPr>
          <w:szCs w:val="26"/>
        </w:rPr>
        <w:t>e</w:t>
      </w:r>
      <w:r w:rsidRPr="000773EF" w:rsidR="00DE629D">
        <w:rPr>
          <w:szCs w:val="26"/>
        </w:rPr>
        <w:t xml:space="preserve"> the adverse impacts” of a power shutoff</w:t>
      </w:r>
      <w:r w:rsidRPr="000773EF" w:rsidR="005547D6">
        <w:rPr>
          <w:szCs w:val="26"/>
        </w:rPr>
        <w:t>]</w:t>
      </w:r>
      <w:r w:rsidRPr="000773EF" w:rsidR="00DE629D">
        <w:rPr>
          <w:szCs w:val="26"/>
        </w:rPr>
        <w:t>.</w:t>
      </w:r>
      <w:r w:rsidRPr="000773EF">
        <w:rPr>
          <w:szCs w:val="26"/>
        </w:rPr>
        <w:t xml:space="preserve">)  </w:t>
      </w:r>
      <w:r w:rsidRPr="000773EF" w:rsidR="00C467BA">
        <w:rPr>
          <w:szCs w:val="26"/>
        </w:rPr>
        <w:t xml:space="preserve">Before </w:t>
      </w:r>
      <w:r w:rsidRPr="000773EF" w:rsidR="006C0FE5">
        <w:rPr>
          <w:szCs w:val="26"/>
        </w:rPr>
        <w:t xml:space="preserve">implementing a </w:t>
      </w:r>
      <w:r w:rsidRPr="000773EF" w:rsidR="00C467BA">
        <w:rPr>
          <w:szCs w:val="26"/>
        </w:rPr>
        <w:t>shutoff</w:t>
      </w:r>
      <w:r w:rsidRPr="000773EF" w:rsidR="006C0FE5">
        <w:rPr>
          <w:szCs w:val="26"/>
        </w:rPr>
        <w:t xml:space="preserve">, utilities must </w:t>
      </w:r>
      <w:r w:rsidRPr="000773EF" w:rsidR="001A5288">
        <w:rPr>
          <w:szCs w:val="26"/>
        </w:rPr>
        <w:t>conduct</w:t>
      </w:r>
      <w:r w:rsidRPr="000773EF" w:rsidR="009B026F">
        <w:rPr>
          <w:szCs w:val="26"/>
        </w:rPr>
        <w:t xml:space="preserve"> a cost-benefit</w:t>
      </w:r>
      <w:r w:rsidRPr="000773EF" w:rsidR="001A5288">
        <w:rPr>
          <w:szCs w:val="26"/>
        </w:rPr>
        <w:t xml:space="preserve"> </w:t>
      </w:r>
      <w:r w:rsidRPr="000773EF" w:rsidR="009B026F">
        <w:rPr>
          <w:szCs w:val="26"/>
        </w:rPr>
        <w:t xml:space="preserve">analysis </w:t>
      </w:r>
      <w:r w:rsidRPr="000773EF" w:rsidR="00A5388E">
        <w:rPr>
          <w:szCs w:val="26"/>
        </w:rPr>
        <w:t xml:space="preserve">to “determine[] that the benefit of de-energization </w:t>
      </w:r>
      <w:r w:rsidRPr="000773EF" w:rsidR="004E24B6">
        <w:rPr>
          <w:szCs w:val="26"/>
        </w:rPr>
        <w:t xml:space="preserve">outweigh[s] potential public safety risks.”  </w:t>
      </w:r>
      <w:r w:rsidRPr="0007119C" w:rsidR="004E24B6">
        <w:rPr>
          <w:szCs w:val="26"/>
        </w:rPr>
        <w:t>(</w:t>
      </w:r>
      <w:r w:rsidRPr="0007119C" w:rsidR="000A137E">
        <w:rPr>
          <w:szCs w:val="26"/>
        </w:rPr>
        <w:t>Cal.</w:t>
      </w:r>
      <w:r w:rsidRPr="0007119C" w:rsidR="00174642">
        <w:rPr>
          <w:szCs w:val="26"/>
        </w:rPr>
        <w:t>P</w:t>
      </w:r>
      <w:r w:rsidRPr="0007119C" w:rsidR="000C6634">
        <w:rPr>
          <w:szCs w:val="26"/>
        </w:rPr>
        <w:t>.</w:t>
      </w:r>
      <w:r w:rsidRPr="0007119C" w:rsidR="00174642">
        <w:rPr>
          <w:szCs w:val="26"/>
        </w:rPr>
        <w:t>U</w:t>
      </w:r>
      <w:r w:rsidRPr="0007119C" w:rsidR="000C6634">
        <w:rPr>
          <w:szCs w:val="26"/>
        </w:rPr>
        <w:t>.</w:t>
      </w:r>
      <w:r w:rsidRPr="0007119C" w:rsidR="00174642">
        <w:rPr>
          <w:szCs w:val="26"/>
        </w:rPr>
        <w:t>C</w:t>
      </w:r>
      <w:r w:rsidRPr="0007119C" w:rsidR="000C6634">
        <w:rPr>
          <w:szCs w:val="26"/>
        </w:rPr>
        <w:t>.</w:t>
      </w:r>
      <w:r w:rsidRPr="0007119C" w:rsidR="00174642">
        <w:rPr>
          <w:szCs w:val="26"/>
        </w:rPr>
        <w:t xml:space="preserve"> </w:t>
      </w:r>
      <w:r w:rsidRPr="0007119C" w:rsidR="004E24B6">
        <w:rPr>
          <w:szCs w:val="26"/>
        </w:rPr>
        <w:t xml:space="preserve">Dec. </w:t>
      </w:r>
      <w:r w:rsidRPr="0007119C" w:rsidR="000C6634">
        <w:rPr>
          <w:szCs w:val="26"/>
        </w:rPr>
        <w:t>No.</w:t>
      </w:r>
      <w:r w:rsidRPr="0007119C" w:rsidR="00C4006B">
        <w:rPr>
          <w:szCs w:val="26"/>
        </w:rPr>
        <w:t> </w:t>
      </w:r>
      <w:r w:rsidRPr="0007119C" w:rsidR="00831F76">
        <w:rPr>
          <w:szCs w:val="26"/>
        </w:rPr>
        <w:t>19-05-042</w:t>
      </w:r>
      <w:r w:rsidRPr="0007119C" w:rsidR="00EE200A">
        <w:rPr>
          <w:szCs w:val="26"/>
        </w:rPr>
        <w:t xml:space="preserve">, </w:t>
      </w:r>
      <w:r w:rsidRPr="0007119C" w:rsidR="00EE200A">
        <w:rPr>
          <w:i/>
          <w:iCs/>
          <w:szCs w:val="26"/>
        </w:rPr>
        <w:t>supra</w:t>
      </w:r>
      <w:r w:rsidR="0007119C">
        <w:rPr>
          <w:szCs w:val="26"/>
        </w:rPr>
        <w:t>,</w:t>
      </w:r>
      <w:r w:rsidRPr="0007119C" w:rsidR="00FF44E0">
        <w:rPr>
          <w:szCs w:val="26"/>
        </w:rPr>
        <w:t xml:space="preserve"> </w:t>
      </w:r>
      <w:r w:rsidRPr="0007119C" w:rsidR="00FF44E0">
        <w:rPr>
          <w:szCs w:val="26"/>
          <w:shd w:val="clear" w:color="auto" w:fill="FFFFFF"/>
        </w:rPr>
        <w:t>2019 Cal.P.U.C. Lexis 270</w:t>
      </w:r>
      <w:r w:rsidRPr="0007119C" w:rsidR="00831F76">
        <w:rPr>
          <w:szCs w:val="26"/>
        </w:rPr>
        <w:t xml:space="preserve"> at p. </w:t>
      </w:r>
      <w:r w:rsidRPr="0007119C" w:rsidR="00626951">
        <w:rPr>
          <w:szCs w:val="26"/>
        </w:rPr>
        <w:t>*237</w:t>
      </w:r>
      <w:r w:rsidRPr="0007119C" w:rsidR="00BA0E47">
        <w:rPr>
          <w:szCs w:val="26"/>
        </w:rPr>
        <w:t>.)</w:t>
      </w:r>
      <w:r w:rsidRPr="000773EF" w:rsidR="00346EAB">
        <w:rPr>
          <w:szCs w:val="26"/>
        </w:rPr>
        <w:t xml:space="preserve"> </w:t>
      </w:r>
    </w:p>
    <w:p w:rsidR="008341A8" w:rsidRPr="000773EF" w:rsidP="00BC7683" w14:paraId="4FB03ECC" w14:textId="77777777">
      <w:pPr>
        <w:ind w:firstLine="720"/>
        <w:rPr>
          <w:szCs w:val="26"/>
        </w:rPr>
      </w:pPr>
      <w:r w:rsidRPr="000773EF">
        <w:rPr>
          <w:szCs w:val="26"/>
        </w:rPr>
        <w:t>Meanwhile</w:t>
      </w:r>
      <w:r w:rsidRPr="000773EF" w:rsidR="007318AD">
        <w:rPr>
          <w:szCs w:val="26"/>
        </w:rPr>
        <w:t xml:space="preserve">, the Legislature </w:t>
      </w:r>
      <w:r w:rsidRPr="000773EF">
        <w:rPr>
          <w:szCs w:val="26"/>
        </w:rPr>
        <w:t xml:space="preserve">in 2016 </w:t>
      </w:r>
      <w:r w:rsidRPr="000773EF" w:rsidR="007318AD">
        <w:rPr>
          <w:szCs w:val="26"/>
        </w:rPr>
        <w:t xml:space="preserve">passed Senate Bill No. 1028, which </w:t>
      </w:r>
      <w:r w:rsidR="00DF690D">
        <w:rPr>
          <w:szCs w:val="26"/>
        </w:rPr>
        <w:t>added section 8386</w:t>
      </w:r>
      <w:r w:rsidR="00CE1EA7">
        <w:rPr>
          <w:szCs w:val="26"/>
        </w:rPr>
        <w:t xml:space="preserve"> </w:t>
      </w:r>
      <w:r w:rsidRPr="000773EF" w:rsidR="007318AD">
        <w:rPr>
          <w:szCs w:val="26"/>
        </w:rPr>
        <w:t>requir</w:t>
      </w:r>
      <w:r w:rsidR="00B9477D">
        <w:rPr>
          <w:szCs w:val="26"/>
        </w:rPr>
        <w:t>ing</w:t>
      </w:r>
      <w:r w:rsidRPr="000773EF" w:rsidR="007318AD">
        <w:rPr>
          <w:szCs w:val="26"/>
        </w:rPr>
        <w:t xml:space="preserve"> electric utilities to submit annual wildfire mitigation plans to the PUC for review.  (Stats.</w:t>
      </w:r>
      <w:r w:rsidRPr="000773EF" w:rsidR="00956FC9">
        <w:rPr>
          <w:szCs w:val="26"/>
        </w:rPr>
        <w:t> </w:t>
      </w:r>
      <w:r w:rsidRPr="000773EF" w:rsidR="007318AD">
        <w:rPr>
          <w:szCs w:val="26"/>
        </w:rPr>
        <w:t>2016, ch. 598, § 1; see § 8386, subd. (b).)  In 2018, the Legislature expanded section 8386 to specify that wildfire mitigation plans shall include “[p]rotocols for . . . deenergizing portions of the electrical distribution system that consider the associated impacts on public safety.”  (</w:t>
      </w:r>
      <w:r w:rsidRPr="000773EF" w:rsidR="003F13AE">
        <w:rPr>
          <w:szCs w:val="26"/>
        </w:rPr>
        <w:t>Stats.</w:t>
      </w:r>
      <w:r w:rsidRPr="000773EF" w:rsidR="00956FC9">
        <w:rPr>
          <w:szCs w:val="26"/>
        </w:rPr>
        <w:t> </w:t>
      </w:r>
      <w:r w:rsidRPr="000773EF" w:rsidR="003F13AE">
        <w:rPr>
          <w:szCs w:val="26"/>
        </w:rPr>
        <w:t>2018, ch. 626</w:t>
      </w:r>
      <w:r w:rsidRPr="000773EF" w:rsidR="003F6D96">
        <w:rPr>
          <w:szCs w:val="26"/>
        </w:rPr>
        <w:t xml:space="preserve">, § 38; see </w:t>
      </w:r>
      <w:r w:rsidRPr="000773EF" w:rsidR="007318AD">
        <w:rPr>
          <w:szCs w:val="26"/>
        </w:rPr>
        <w:t xml:space="preserve">§ 8386, subd. (c)(6).)  </w:t>
      </w:r>
      <w:r w:rsidRPr="000773EF" w:rsidR="007318AD">
        <w:rPr>
          <w:szCs w:val="26"/>
          <w:shd w:val="clear" w:color="auto" w:fill="FFFFFF"/>
        </w:rPr>
        <w:t>Effective July 1, 2021, the Legislature transferred the responsibility to “oversee and enforce electrical corporations’ compliance with wildfire safety” to the Office of Energy Infrastructure Safety (OEIS)</w:t>
      </w:r>
      <w:r w:rsidRPr="000773EF" w:rsidR="008E6208">
        <w:rPr>
          <w:szCs w:val="26"/>
          <w:shd w:val="clear" w:color="auto" w:fill="FFFFFF"/>
        </w:rPr>
        <w:t xml:space="preserve">. </w:t>
      </w:r>
      <w:r w:rsidRPr="000773EF" w:rsidR="007318AD">
        <w:rPr>
          <w:szCs w:val="26"/>
          <w:shd w:val="clear" w:color="auto" w:fill="FFFFFF"/>
        </w:rPr>
        <w:t xml:space="preserve"> (</w:t>
      </w:r>
      <w:r w:rsidRPr="000773EF" w:rsidR="003F6D96">
        <w:rPr>
          <w:szCs w:val="26"/>
          <w:shd w:val="clear" w:color="auto" w:fill="FFFFFF"/>
        </w:rPr>
        <w:t>Stats.</w:t>
      </w:r>
      <w:r w:rsidRPr="000773EF" w:rsidR="00956FC9">
        <w:rPr>
          <w:szCs w:val="26"/>
          <w:shd w:val="clear" w:color="auto" w:fill="FFFFFF"/>
        </w:rPr>
        <w:t> </w:t>
      </w:r>
      <w:r w:rsidRPr="000773EF" w:rsidR="003F6D96">
        <w:rPr>
          <w:szCs w:val="26"/>
          <w:shd w:val="clear" w:color="auto" w:fill="FFFFFF"/>
        </w:rPr>
        <w:t>20</w:t>
      </w:r>
      <w:r w:rsidRPr="000773EF" w:rsidR="009E693B">
        <w:rPr>
          <w:szCs w:val="26"/>
          <w:shd w:val="clear" w:color="auto" w:fill="FFFFFF"/>
        </w:rPr>
        <w:t>19, ch. </w:t>
      </w:r>
      <w:r w:rsidRPr="000773EF" w:rsidR="00DE53EB">
        <w:rPr>
          <w:szCs w:val="26"/>
          <w:shd w:val="clear" w:color="auto" w:fill="FFFFFF"/>
        </w:rPr>
        <w:t xml:space="preserve">81, § 7; see </w:t>
      </w:r>
      <w:r w:rsidRPr="000773EF" w:rsidR="007318AD">
        <w:rPr>
          <w:szCs w:val="26"/>
          <w:shd w:val="clear" w:color="auto" w:fill="FFFFFF"/>
        </w:rPr>
        <w:t>§ 326, subd</w:t>
      </w:r>
      <w:r w:rsidR="00A92F36">
        <w:rPr>
          <w:szCs w:val="26"/>
          <w:shd w:val="clear" w:color="auto" w:fill="FFFFFF"/>
        </w:rPr>
        <w:t>s</w:t>
      </w:r>
      <w:r w:rsidRPr="000773EF" w:rsidR="007318AD">
        <w:rPr>
          <w:szCs w:val="26"/>
          <w:shd w:val="clear" w:color="auto" w:fill="FFFFFF"/>
        </w:rPr>
        <w:t>. </w:t>
      </w:r>
      <w:r w:rsidR="005749D1">
        <w:rPr>
          <w:szCs w:val="26"/>
          <w:shd w:val="clear" w:color="auto" w:fill="FFFFFF"/>
        </w:rPr>
        <w:t>(a)(1)</w:t>
      </w:r>
      <w:r w:rsidR="00A92F36">
        <w:rPr>
          <w:szCs w:val="26"/>
          <w:shd w:val="clear" w:color="auto" w:fill="FFFFFF"/>
        </w:rPr>
        <w:t>, (b)</w:t>
      </w:r>
      <w:r w:rsidRPr="000773EF" w:rsidR="008E6208">
        <w:rPr>
          <w:szCs w:val="26"/>
          <w:shd w:val="clear" w:color="auto" w:fill="FFFFFF"/>
        </w:rPr>
        <w:t xml:space="preserve">.)  </w:t>
      </w:r>
      <w:r w:rsidRPr="000773EF">
        <w:rPr>
          <w:szCs w:val="26"/>
          <w:shd w:val="clear" w:color="auto" w:fill="FFFFFF"/>
        </w:rPr>
        <w:t>At the same time</w:t>
      </w:r>
      <w:r w:rsidRPr="000773EF" w:rsidR="008E6208">
        <w:rPr>
          <w:szCs w:val="26"/>
          <w:shd w:val="clear" w:color="auto" w:fill="FFFFFF"/>
        </w:rPr>
        <w:t xml:space="preserve">, the Legislature clarified that </w:t>
      </w:r>
      <w:r w:rsidRPr="000773EF" w:rsidR="007318AD">
        <w:rPr>
          <w:szCs w:val="26"/>
          <w:shd w:val="clear" w:color="auto" w:fill="FFFFFF"/>
        </w:rPr>
        <w:t>“</w:t>
      </w:r>
      <w:r w:rsidRPr="000773EF" w:rsidR="007318AD">
        <w:rPr>
          <w:szCs w:val="26"/>
        </w:rPr>
        <w:t>[n]othing in this chapter [describing the power of OEIS] affects the commission</w:t>
      </w:r>
      <w:r w:rsidRPr="000773EF" w:rsidR="00441AD2">
        <w:rPr>
          <w:szCs w:val="26"/>
        </w:rPr>
        <w:t>’</w:t>
      </w:r>
      <w:r w:rsidRPr="000773EF" w:rsidR="007318AD">
        <w:rPr>
          <w:szCs w:val="26"/>
        </w:rPr>
        <w:t>s authority or jurisdiction over an electrical corporation, electrical cooperative, or local publicly owned electric utility</w:t>
      </w:r>
      <w:r w:rsidRPr="000773EF" w:rsidR="008E6208">
        <w:rPr>
          <w:szCs w:val="26"/>
        </w:rPr>
        <w:t>.</w:t>
      </w:r>
      <w:r w:rsidRPr="000773EF" w:rsidR="007318AD">
        <w:rPr>
          <w:szCs w:val="26"/>
        </w:rPr>
        <w:t xml:space="preserve">” </w:t>
      </w:r>
      <w:r w:rsidRPr="000773EF" w:rsidR="008E6208">
        <w:rPr>
          <w:szCs w:val="26"/>
        </w:rPr>
        <w:t xml:space="preserve"> </w:t>
      </w:r>
      <w:r w:rsidRPr="000773EF" w:rsidR="007318AD">
        <w:rPr>
          <w:szCs w:val="26"/>
        </w:rPr>
        <w:t>(</w:t>
      </w:r>
      <w:r w:rsidRPr="000773EF" w:rsidR="007318AD">
        <w:rPr>
          <w:szCs w:val="26"/>
          <w:bdr w:val="none" w:sz="0" w:space="0" w:color="auto" w:frame="1"/>
        </w:rPr>
        <w:t>§</w:t>
      </w:r>
      <w:r w:rsidRPr="000773EF" w:rsidR="00956FC9">
        <w:rPr>
          <w:szCs w:val="26"/>
          <w:bdr w:val="none" w:sz="0" w:space="0" w:color="auto" w:frame="1"/>
        </w:rPr>
        <w:t> </w:t>
      </w:r>
      <w:r w:rsidRPr="000773EF" w:rsidR="007318AD">
        <w:rPr>
          <w:szCs w:val="26"/>
          <w:bdr w:val="none" w:sz="0" w:space="0" w:color="auto" w:frame="1"/>
        </w:rPr>
        <w:t>8385</w:t>
      </w:r>
      <w:r w:rsidRPr="000773EF" w:rsidR="007318AD">
        <w:rPr>
          <w:szCs w:val="26"/>
        </w:rPr>
        <w:t>, subd. (b)</w:t>
      </w:r>
      <w:r w:rsidRPr="000773EF" w:rsidR="008E6208">
        <w:rPr>
          <w:szCs w:val="26"/>
        </w:rPr>
        <w:t>.</w:t>
      </w:r>
      <w:r w:rsidRPr="000773EF" w:rsidR="007318AD">
        <w:rPr>
          <w:szCs w:val="26"/>
        </w:rPr>
        <w:t xml:space="preserve">)  The PUC </w:t>
      </w:r>
      <w:r w:rsidR="00D8297E">
        <w:rPr>
          <w:szCs w:val="26"/>
        </w:rPr>
        <w:t xml:space="preserve">thus </w:t>
      </w:r>
      <w:r w:rsidRPr="000773EF" w:rsidR="007318AD">
        <w:rPr>
          <w:szCs w:val="26"/>
        </w:rPr>
        <w:t>continues to h</w:t>
      </w:r>
      <w:r w:rsidRPr="000773EF">
        <w:rPr>
          <w:szCs w:val="26"/>
        </w:rPr>
        <w:t>ave</w:t>
      </w:r>
      <w:r w:rsidRPr="000773EF" w:rsidR="007318AD">
        <w:rPr>
          <w:szCs w:val="26"/>
        </w:rPr>
        <w:t xml:space="preserve"> responsibility for ratifying PSPS plans approved by the Wildfire Safety Division of OEIS (§ 8386.3, subd. (a)), evaluating utilities’ pre-season and post-season reports on PSPS</w:t>
      </w:r>
      <w:r w:rsidRPr="000773EF" w:rsidR="00EE3E11">
        <w:rPr>
          <w:szCs w:val="26"/>
        </w:rPr>
        <w:t xml:space="preserve"> </w:t>
      </w:r>
      <w:r w:rsidRPr="009C431B" w:rsidR="00EE3E11">
        <w:rPr>
          <w:szCs w:val="26"/>
        </w:rPr>
        <w:t>(</w:t>
      </w:r>
      <w:r w:rsidRPr="009C431B" w:rsidR="00EE3E11">
        <w:rPr>
          <w:i/>
          <w:iCs/>
          <w:szCs w:val="26"/>
          <w:shd w:val="clear" w:color="auto" w:fill="FFFFFF"/>
        </w:rPr>
        <w:t>Decision Adopting Phase 3 Revised and Additional Guidelines and Rules for Public Safety Power Shutoffs (Proactive De-Energizations) of Electric Facilities to Mitigate Wildfire Risk Caused by Utility Infrastructure</w:t>
      </w:r>
      <w:r w:rsidRPr="009C431B" w:rsidR="00EE3E11">
        <w:rPr>
          <w:szCs w:val="26"/>
          <w:shd w:val="clear" w:color="auto" w:fill="FFFFFF"/>
        </w:rPr>
        <w:t xml:space="preserve"> (June 24, 2021) </w:t>
      </w:r>
      <w:r w:rsidRPr="009C431B" w:rsidR="000C6634">
        <w:rPr>
          <w:szCs w:val="26"/>
          <w:shd w:val="clear" w:color="auto" w:fill="FFFFFF"/>
        </w:rPr>
        <w:t>Cal.P.U.C. Dec. No.</w:t>
      </w:r>
      <w:r w:rsidRPr="009C431B" w:rsidR="00754757">
        <w:rPr>
          <w:szCs w:val="26"/>
          <w:shd w:val="clear" w:color="auto" w:fill="FFFFFF"/>
        </w:rPr>
        <w:t> </w:t>
      </w:r>
      <w:r w:rsidRPr="009C431B" w:rsidR="000C6634">
        <w:rPr>
          <w:szCs w:val="26"/>
          <w:shd w:val="clear" w:color="auto" w:fill="FFFFFF"/>
        </w:rPr>
        <w:t xml:space="preserve">21-06-034 </w:t>
      </w:r>
      <w:r w:rsidRPr="009C431B" w:rsidR="00EE3E11">
        <w:rPr>
          <w:szCs w:val="26"/>
          <w:shd w:val="clear" w:color="auto" w:fill="FFFFFF"/>
        </w:rPr>
        <w:t>[2021 Cal.P</w:t>
      </w:r>
      <w:r w:rsidRPr="009C431B" w:rsidR="000C6634">
        <w:rPr>
          <w:szCs w:val="26"/>
          <w:shd w:val="clear" w:color="auto" w:fill="FFFFFF"/>
        </w:rPr>
        <w:t>.</w:t>
      </w:r>
      <w:r w:rsidRPr="009C431B" w:rsidR="00EE3E11">
        <w:rPr>
          <w:szCs w:val="26"/>
          <w:shd w:val="clear" w:color="auto" w:fill="FFFFFF"/>
        </w:rPr>
        <w:t>U</w:t>
      </w:r>
      <w:r w:rsidRPr="009C431B" w:rsidR="000C6634">
        <w:rPr>
          <w:szCs w:val="26"/>
          <w:shd w:val="clear" w:color="auto" w:fill="FFFFFF"/>
        </w:rPr>
        <w:t>.</w:t>
      </w:r>
      <w:r w:rsidRPr="009C431B" w:rsidR="00EE3E11">
        <w:rPr>
          <w:szCs w:val="26"/>
          <w:shd w:val="clear" w:color="auto" w:fill="FFFFFF"/>
        </w:rPr>
        <w:t>C</w:t>
      </w:r>
      <w:r w:rsidRPr="009C431B" w:rsidR="000C6634">
        <w:rPr>
          <w:szCs w:val="26"/>
          <w:shd w:val="clear" w:color="auto" w:fill="FFFFFF"/>
        </w:rPr>
        <w:t>.</w:t>
      </w:r>
      <w:r w:rsidRPr="009C431B" w:rsidR="00EE3E11">
        <w:rPr>
          <w:szCs w:val="26"/>
          <w:shd w:val="clear" w:color="auto" w:fill="FFFFFF"/>
        </w:rPr>
        <w:t xml:space="preserve"> </w:t>
      </w:r>
      <w:r w:rsidRPr="009C431B" w:rsidR="00757BD2">
        <w:rPr>
          <w:szCs w:val="26"/>
          <w:shd w:val="clear" w:color="auto" w:fill="FFFFFF"/>
        </w:rPr>
        <w:t>Lexis</w:t>
      </w:r>
      <w:r w:rsidRPr="009C431B" w:rsidR="00EE3E11">
        <w:rPr>
          <w:szCs w:val="26"/>
          <w:shd w:val="clear" w:color="auto" w:fill="FFFFFF"/>
        </w:rPr>
        <w:t xml:space="preserve"> 305</w:t>
      </w:r>
      <w:r w:rsidR="006B0C60">
        <w:rPr>
          <w:szCs w:val="26"/>
          <w:shd w:val="clear" w:color="auto" w:fill="FFFFFF"/>
        </w:rPr>
        <w:t>,</w:t>
      </w:r>
      <w:r w:rsidRPr="009C431B" w:rsidR="00020A43">
        <w:rPr>
          <w:szCs w:val="26"/>
          <w:shd w:val="clear" w:color="auto" w:fill="FFFFFF"/>
        </w:rPr>
        <w:t xml:space="preserve"> </w:t>
      </w:r>
      <w:r w:rsidRPr="009C431B" w:rsidR="008560EC">
        <w:rPr>
          <w:szCs w:val="26"/>
          <w:shd w:val="clear" w:color="auto" w:fill="FFFFFF"/>
        </w:rPr>
        <w:t>*</w:t>
      </w:r>
      <w:r w:rsidRPr="009C431B" w:rsidR="004D3956">
        <w:rPr>
          <w:szCs w:val="26"/>
          <w:shd w:val="clear" w:color="auto" w:fill="FFFFFF"/>
        </w:rPr>
        <w:t>167–</w:t>
      </w:r>
      <w:r w:rsidRPr="009C431B" w:rsidR="008560EC">
        <w:rPr>
          <w:szCs w:val="26"/>
          <w:shd w:val="clear" w:color="auto" w:fill="FFFFFF"/>
        </w:rPr>
        <w:t>*</w:t>
      </w:r>
      <w:r w:rsidRPr="009C431B" w:rsidR="004D3956">
        <w:rPr>
          <w:szCs w:val="26"/>
          <w:shd w:val="clear" w:color="auto" w:fill="FFFFFF"/>
        </w:rPr>
        <w:t>173</w:t>
      </w:r>
      <w:r w:rsidRPr="009C431B" w:rsidR="000C6634">
        <w:rPr>
          <w:szCs w:val="26"/>
          <w:shd w:val="clear" w:color="auto" w:fill="FFFFFF"/>
        </w:rPr>
        <w:t>]</w:t>
      </w:r>
      <w:r w:rsidRPr="009C431B" w:rsidR="00EE3E11">
        <w:rPr>
          <w:szCs w:val="26"/>
        </w:rPr>
        <w:t>)</w:t>
      </w:r>
      <w:r w:rsidRPr="000773EF" w:rsidR="007318AD">
        <w:rPr>
          <w:szCs w:val="26"/>
        </w:rPr>
        <w:t>, and conduct</w:t>
      </w:r>
      <w:r w:rsidRPr="000773EF" w:rsidR="004D3956">
        <w:rPr>
          <w:szCs w:val="26"/>
        </w:rPr>
        <w:t>ing</w:t>
      </w:r>
      <w:r w:rsidRPr="000773EF" w:rsidR="007318AD">
        <w:rPr>
          <w:szCs w:val="26"/>
        </w:rPr>
        <w:t xml:space="preserve"> investigations and levy</w:t>
      </w:r>
      <w:r w:rsidRPr="000773EF" w:rsidR="004D3956">
        <w:rPr>
          <w:szCs w:val="26"/>
        </w:rPr>
        <w:t>ing</w:t>
      </w:r>
      <w:r w:rsidRPr="000773EF" w:rsidR="007318AD">
        <w:rPr>
          <w:szCs w:val="26"/>
        </w:rPr>
        <w:t xml:space="preserve"> penalties against utilities for noncompliance with PSPS rules and regulations </w:t>
      </w:r>
      <w:r w:rsidR="00360541">
        <w:rPr>
          <w:szCs w:val="26"/>
        </w:rPr>
        <w:t>(</w:t>
      </w:r>
      <w:r w:rsidRPr="000773EF" w:rsidR="007318AD">
        <w:rPr>
          <w:szCs w:val="26"/>
        </w:rPr>
        <w:t>see, e.g</w:t>
      </w:r>
      <w:r w:rsidRPr="000773EF" w:rsidR="00F37295">
        <w:rPr>
          <w:szCs w:val="26"/>
        </w:rPr>
        <w:t>.</w:t>
      </w:r>
      <w:r w:rsidRPr="000773EF" w:rsidR="007318AD">
        <w:rPr>
          <w:szCs w:val="26"/>
        </w:rPr>
        <w:t xml:space="preserve">, </w:t>
      </w:r>
      <w:r w:rsidRPr="002E71FA" w:rsidR="00732667">
        <w:rPr>
          <w:i/>
          <w:iCs/>
          <w:szCs w:val="26"/>
        </w:rPr>
        <w:t xml:space="preserve">[Proposed] Administrative Enforcement Order in the matter of Pacific Gas &amp; Electric Company’s Execution of 2020 Public Safety Power Shutoff </w:t>
      </w:r>
      <w:r w:rsidRPr="002E71FA" w:rsidR="00DB51D0">
        <w:rPr>
          <w:i/>
          <w:iCs/>
          <w:szCs w:val="26"/>
        </w:rPr>
        <w:t>Events</w:t>
      </w:r>
      <w:r w:rsidRPr="002E71FA" w:rsidR="00DB51D0">
        <w:rPr>
          <w:szCs w:val="26"/>
        </w:rPr>
        <w:t xml:space="preserve"> (</w:t>
      </w:r>
      <w:r w:rsidRPr="002E71FA" w:rsidR="00260336">
        <w:rPr>
          <w:szCs w:val="26"/>
        </w:rPr>
        <w:t>June 15, 2022</w:t>
      </w:r>
      <w:r w:rsidRPr="002E71FA" w:rsidR="00DB51D0">
        <w:rPr>
          <w:szCs w:val="26"/>
        </w:rPr>
        <w:t>)</w:t>
      </w:r>
      <w:r w:rsidRPr="002E71FA" w:rsidR="0075483A">
        <w:rPr>
          <w:szCs w:val="26"/>
        </w:rPr>
        <w:t xml:space="preserve"> available at </w:t>
      </w:r>
      <w:r w:rsidRPr="002E71FA" w:rsidR="00206298">
        <w:rPr>
          <w:szCs w:val="26"/>
        </w:rPr>
        <w:t>&lt;https://www.cpuc.ca.gov/-/media/cpuc-website/divisions/safety-and-enforcement-division/acos-and-aeos/pge-administrative-enforcement-order---2020.pdf&gt;</w:t>
      </w:r>
      <w:r w:rsidRPr="000773EF" w:rsidR="00206298">
        <w:t xml:space="preserve"> </w:t>
      </w:r>
      <w:r w:rsidR="00390058">
        <w:t xml:space="preserve">[as of Nov. </w:t>
      </w:r>
      <w:r w:rsidR="00295B7D">
        <w:t xml:space="preserve">14, 2023] </w:t>
      </w:r>
      <w:r w:rsidRPr="000773EF" w:rsidR="007A5BCA">
        <w:rPr>
          <w:szCs w:val="26"/>
        </w:rPr>
        <w:t>(</w:t>
      </w:r>
      <w:r w:rsidRPr="000773EF" w:rsidR="00E54C16">
        <w:rPr>
          <w:szCs w:val="26"/>
        </w:rPr>
        <w:t>brackets in original</w:t>
      </w:r>
      <w:r w:rsidRPr="000773EF" w:rsidR="007A5BCA">
        <w:rPr>
          <w:szCs w:val="26"/>
        </w:rPr>
        <w:t>)</w:t>
      </w:r>
      <w:r w:rsidRPr="000773EF" w:rsidR="00DB51D0">
        <w:rPr>
          <w:szCs w:val="26"/>
        </w:rPr>
        <w:t xml:space="preserve"> </w:t>
      </w:r>
      <w:r w:rsidRPr="000773EF" w:rsidR="007318AD">
        <w:rPr>
          <w:szCs w:val="26"/>
        </w:rPr>
        <w:t>[proposing to fine PG&amp;E $12 million and implement corrective action for regulatory violations during 2020 PSPS events</w:t>
      </w:r>
      <w:r w:rsidRPr="000773EF" w:rsidR="00E54C16">
        <w:rPr>
          <w:szCs w:val="26"/>
        </w:rPr>
        <w:t>]</w:t>
      </w:r>
      <w:r w:rsidR="005E0A92">
        <w:rPr>
          <w:szCs w:val="26"/>
        </w:rPr>
        <w:t>;</w:t>
      </w:r>
      <w:r w:rsidR="00727537">
        <w:rPr>
          <w:szCs w:val="26"/>
        </w:rPr>
        <w:t xml:space="preserve"> </w:t>
      </w:r>
      <w:r w:rsidR="005E0A92">
        <w:rPr>
          <w:szCs w:val="26"/>
        </w:rPr>
        <w:t>a</w:t>
      </w:r>
      <w:r w:rsidRPr="00727537" w:rsidR="00727537">
        <w:rPr>
          <w:szCs w:val="26"/>
        </w:rPr>
        <w:t>ll Internet citations in this opinion are archived by year, docket number, and case name at http://www.courts.ca.gov/38324.htm</w:t>
      </w:r>
      <w:r w:rsidR="00360541">
        <w:rPr>
          <w:szCs w:val="26"/>
        </w:rPr>
        <w:t>)</w:t>
      </w:r>
      <w:r w:rsidRPr="000773EF" w:rsidR="005D7082">
        <w:rPr>
          <w:szCs w:val="26"/>
        </w:rPr>
        <w:t>.</w:t>
      </w:r>
    </w:p>
    <w:p w:rsidR="00F63A50" w:rsidRPr="000773EF" w:rsidP="00BC7683" w14:paraId="4FB03ECD" w14:textId="77777777">
      <w:pPr>
        <w:ind w:firstLine="720"/>
        <w:rPr>
          <w:szCs w:val="26"/>
        </w:rPr>
      </w:pPr>
      <w:r w:rsidRPr="000773EF">
        <w:rPr>
          <w:szCs w:val="26"/>
        </w:rPr>
        <w:t>In February 2019, PG&amp;E submitted its annual wildfire mitigation plan to the PUC.  This plan contained PG&amp;E’s proposed PSPS program, including</w:t>
      </w:r>
      <w:r w:rsidR="00D8297E">
        <w:rPr>
          <w:szCs w:val="26"/>
        </w:rPr>
        <w:t>:</w:t>
      </w:r>
      <w:r w:rsidRPr="000773EF">
        <w:rPr>
          <w:szCs w:val="26"/>
        </w:rPr>
        <w:t xml:space="preserve"> “(1) PSPS decision factors; (2) strategies to enhance PSPS efficiency while reducing associated impacts; (3) PSPS notification strategy; and (4) re-energization strategy.”  The PUC approved PG&amp;E’s plan as compliant with the requirements of section 8386, subdivision (c)</w:t>
      </w:r>
      <w:r w:rsidR="00ED5003">
        <w:rPr>
          <w:szCs w:val="26"/>
        </w:rPr>
        <w:t>,</w:t>
      </w:r>
      <w:r w:rsidRPr="000773EF">
        <w:rPr>
          <w:szCs w:val="26"/>
        </w:rPr>
        <w:t xml:space="preserve"> while also noting that “several aspects of the company’s planned mitigation . . . require improvement or other follow-up activity.”</w:t>
      </w:r>
    </w:p>
    <w:p w:rsidR="007318AD" w:rsidRPr="000773EF" w:rsidP="00BC7683" w14:paraId="4FB03ECE" w14:textId="77777777">
      <w:pPr>
        <w:ind w:firstLine="720"/>
        <w:rPr>
          <w:szCs w:val="26"/>
        </w:rPr>
      </w:pPr>
      <w:r>
        <w:rPr>
          <w:szCs w:val="26"/>
        </w:rPr>
        <w:t>After</w:t>
      </w:r>
      <w:r w:rsidRPr="000773EF">
        <w:rPr>
          <w:szCs w:val="26"/>
        </w:rPr>
        <w:t xml:space="preserve"> </w:t>
      </w:r>
      <w:r w:rsidRPr="000773EF" w:rsidR="0065208A">
        <w:rPr>
          <w:szCs w:val="26"/>
        </w:rPr>
        <w:t xml:space="preserve">the </w:t>
      </w:r>
      <w:r w:rsidRPr="000773EF">
        <w:rPr>
          <w:szCs w:val="26"/>
        </w:rPr>
        <w:t>fall 2019 PSPS events</w:t>
      </w:r>
      <w:r w:rsidRPr="000773EF" w:rsidR="0065208A">
        <w:rPr>
          <w:szCs w:val="26"/>
        </w:rPr>
        <w:t xml:space="preserve"> that form the basis of this action</w:t>
      </w:r>
      <w:r w:rsidRPr="000773EF">
        <w:rPr>
          <w:szCs w:val="26"/>
        </w:rPr>
        <w:t xml:space="preserve">, </w:t>
      </w:r>
      <w:r w:rsidRPr="000773EF" w:rsidR="0065208A">
        <w:rPr>
          <w:szCs w:val="26"/>
        </w:rPr>
        <w:t xml:space="preserve">PG&amp;E </w:t>
      </w:r>
      <w:r w:rsidRPr="000773EF">
        <w:rPr>
          <w:szCs w:val="26"/>
        </w:rPr>
        <w:t>submitted reports on the power shutoffs to the PUC.  The PUC found that during the PSPS events</w:t>
      </w:r>
      <w:r w:rsidR="00776C50">
        <w:rPr>
          <w:szCs w:val="26"/>
        </w:rPr>
        <w:t>,</w:t>
      </w:r>
      <w:r w:rsidRPr="000773EF">
        <w:rPr>
          <w:szCs w:val="26"/>
        </w:rPr>
        <w:t xml:space="preserve"> PG&amp;E violated the Public Utilities Code and PUC guidelines due to “the unavailability and non-functionality of </w:t>
      </w:r>
      <w:r w:rsidRPr="000773EF" w:rsidR="00DA144A">
        <w:rPr>
          <w:szCs w:val="26"/>
        </w:rPr>
        <w:t>[</w:t>
      </w:r>
      <w:r w:rsidRPr="000773EF">
        <w:rPr>
          <w:szCs w:val="26"/>
        </w:rPr>
        <w:t>PG&amp;E’s</w:t>
      </w:r>
      <w:r w:rsidRPr="000773EF" w:rsidR="00DA144A">
        <w:rPr>
          <w:szCs w:val="26"/>
        </w:rPr>
        <w:t>]</w:t>
      </w:r>
      <w:r w:rsidRPr="000773EF">
        <w:rPr>
          <w:szCs w:val="26"/>
        </w:rPr>
        <w:t xml:space="preserve"> website</w:t>
      </w:r>
      <w:r w:rsidR="00776C50">
        <w:rPr>
          <w:szCs w:val="26"/>
        </w:rPr>
        <w:t>,</w:t>
      </w:r>
      <w:r w:rsidRPr="000773EF">
        <w:rPr>
          <w:szCs w:val="26"/>
        </w:rPr>
        <w:t xml:space="preserve">” “the inaccuracy of its online </w:t>
      </w:r>
      <w:r w:rsidRPr="000773EF" w:rsidR="00DA144A">
        <w:rPr>
          <w:szCs w:val="26"/>
        </w:rPr>
        <w:t xml:space="preserve">outage </w:t>
      </w:r>
      <w:r w:rsidRPr="000773EF">
        <w:rPr>
          <w:szCs w:val="26"/>
        </w:rPr>
        <w:t>maps” showing affected areas</w:t>
      </w:r>
      <w:r w:rsidR="00776C50">
        <w:rPr>
          <w:szCs w:val="26"/>
        </w:rPr>
        <w:t>,</w:t>
      </w:r>
      <w:r w:rsidRPr="000773EF">
        <w:rPr>
          <w:szCs w:val="26"/>
        </w:rPr>
        <w:t xml:space="preserve"> the “constructive[] inaccessib</w:t>
      </w:r>
      <w:r w:rsidR="004F2FA5">
        <w:rPr>
          <w:szCs w:val="26"/>
        </w:rPr>
        <w:t>[</w:t>
      </w:r>
      <w:r w:rsidRPr="000773EF">
        <w:rPr>
          <w:szCs w:val="26"/>
        </w:rPr>
        <w:t>ility</w:t>
      </w:r>
      <w:r w:rsidR="00881214">
        <w:rPr>
          <w:szCs w:val="26"/>
        </w:rPr>
        <w:t>]</w:t>
      </w:r>
      <w:r w:rsidRPr="000773EF">
        <w:rPr>
          <w:szCs w:val="26"/>
        </w:rPr>
        <w:t>” of its secure data transfer portals</w:t>
      </w:r>
      <w:r w:rsidR="00776C50">
        <w:rPr>
          <w:szCs w:val="26"/>
        </w:rPr>
        <w:t>,</w:t>
      </w:r>
      <w:r w:rsidRPr="000773EF">
        <w:rPr>
          <w:szCs w:val="26"/>
        </w:rPr>
        <w:t xml:space="preserve"> and its “failure </w:t>
      </w:r>
      <w:r w:rsidRPr="000773EF" w:rsidR="003A49CE">
        <w:rPr>
          <w:szCs w:val="26"/>
        </w:rPr>
        <w:t xml:space="preserve">to provide </w:t>
      </w:r>
      <w:r w:rsidRPr="000773EF">
        <w:rPr>
          <w:szCs w:val="26"/>
        </w:rPr>
        <w:t>advanced noti</w:t>
      </w:r>
      <w:r w:rsidRPr="000773EF" w:rsidR="00DA144A">
        <w:rPr>
          <w:szCs w:val="26"/>
        </w:rPr>
        <w:t>fication</w:t>
      </w:r>
      <w:r w:rsidRPr="000773EF">
        <w:rPr>
          <w:szCs w:val="26"/>
        </w:rPr>
        <w:t xml:space="preserve"> to approximately 50,000 customers,” including “approximately 1,100 Medical Baseline customers.” </w:t>
      </w:r>
      <w:r w:rsidRPr="000773EF" w:rsidR="00D32247">
        <w:rPr>
          <w:szCs w:val="26"/>
        </w:rPr>
        <w:t xml:space="preserve"> </w:t>
      </w:r>
      <w:r w:rsidRPr="002E71FA" w:rsidR="00D32247">
        <w:rPr>
          <w:szCs w:val="26"/>
        </w:rPr>
        <w:t>(</w:t>
      </w:r>
      <w:r w:rsidRPr="002E71FA" w:rsidR="0049568E">
        <w:rPr>
          <w:i/>
          <w:iCs/>
          <w:szCs w:val="26"/>
          <w:shd w:val="clear" w:color="auto" w:fill="FFFFFF"/>
        </w:rPr>
        <w:t>Decision on Alleged Violations of Pacific Gas and Electric Company with Respect to its Implementation of the Fall 2019 Public Safety Power Shutoff Events</w:t>
      </w:r>
      <w:r w:rsidRPr="002E71FA" w:rsidR="0049568E">
        <w:rPr>
          <w:szCs w:val="26"/>
          <w:shd w:val="clear" w:color="auto" w:fill="FFFFFF"/>
        </w:rPr>
        <w:t xml:space="preserve"> (Sept. 23, 2021) </w:t>
      </w:r>
      <w:r w:rsidRPr="002E71FA" w:rsidR="000A137E">
        <w:rPr>
          <w:szCs w:val="26"/>
        </w:rPr>
        <w:t xml:space="preserve">Cal.P.U.C. Dec. No. 21-09-026 </w:t>
      </w:r>
      <w:r w:rsidRPr="002E71FA" w:rsidR="0049568E">
        <w:rPr>
          <w:szCs w:val="26"/>
          <w:shd w:val="clear" w:color="auto" w:fill="FFFFFF"/>
        </w:rPr>
        <w:t>[2021 Cal.P</w:t>
      </w:r>
      <w:r w:rsidRPr="002E71FA" w:rsidR="000A137E">
        <w:rPr>
          <w:szCs w:val="26"/>
          <w:shd w:val="clear" w:color="auto" w:fill="FFFFFF"/>
        </w:rPr>
        <w:t>.</w:t>
      </w:r>
      <w:r w:rsidRPr="002E71FA" w:rsidR="0049568E">
        <w:rPr>
          <w:szCs w:val="26"/>
          <w:shd w:val="clear" w:color="auto" w:fill="FFFFFF"/>
        </w:rPr>
        <w:t>U</w:t>
      </w:r>
      <w:r w:rsidRPr="002E71FA" w:rsidR="000A137E">
        <w:rPr>
          <w:szCs w:val="26"/>
          <w:shd w:val="clear" w:color="auto" w:fill="FFFFFF"/>
        </w:rPr>
        <w:t>.</w:t>
      </w:r>
      <w:r w:rsidRPr="002E71FA" w:rsidR="0049568E">
        <w:rPr>
          <w:szCs w:val="26"/>
          <w:shd w:val="clear" w:color="auto" w:fill="FFFFFF"/>
        </w:rPr>
        <w:t>C</w:t>
      </w:r>
      <w:r w:rsidRPr="002E71FA" w:rsidR="000A137E">
        <w:rPr>
          <w:szCs w:val="26"/>
          <w:shd w:val="clear" w:color="auto" w:fill="FFFFFF"/>
        </w:rPr>
        <w:t>.</w:t>
      </w:r>
      <w:r w:rsidRPr="002E71FA" w:rsidR="0049568E">
        <w:rPr>
          <w:szCs w:val="26"/>
          <w:shd w:val="clear" w:color="auto" w:fill="FFFFFF"/>
        </w:rPr>
        <w:t xml:space="preserve"> Lexis 480</w:t>
      </w:r>
      <w:r w:rsidR="002E71FA">
        <w:rPr>
          <w:szCs w:val="26"/>
          <w:shd w:val="clear" w:color="auto" w:fill="FFFFFF"/>
        </w:rPr>
        <w:t>,</w:t>
      </w:r>
      <w:r w:rsidRPr="002E71FA" w:rsidR="00D32247">
        <w:rPr>
          <w:szCs w:val="26"/>
        </w:rPr>
        <w:t> </w:t>
      </w:r>
      <w:r w:rsidRPr="002E71FA" w:rsidR="000E573B">
        <w:rPr>
          <w:szCs w:val="26"/>
        </w:rPr>
        <w:t>*110</w:t>
      </w:r>
      <w:r w:rsidRPr="002E71FA" w:rsidR="000A137E">
        <w:rPr>
          <w:szCs w:val="26"/>
        </w:rPr>
        <w:t>]</w:t>
      </w:r>
      <w:r w:rsidRPr="002E71FA" w:rsidR="000E573B">
        <w:rPr>
          <w:szCs w:val="26"/>
        </w:rPr>
        <w:t>.)</w:t>
      </w:r>
      <w:r w:rsidRPr="000773EF" w:rsidR="000E573B">
        <w:rPr>
          <w:szCs w:val="26"/>
        </w:rPr>
        <w:t xml:space="preserve">  </w:t>
      </w:r>
      <w:r w:rsidRPr="000773EF">
        <w:rPr>
          <w:szCs w:val="26"/>
        </w:rPr>
        <w:t xml:space="preserve">For these violations, the PUC fined PG&amp;E over $106 million.  </w:t>
      </w:r>
      <w:r w:rsidRPr="002E71FA" w:rsidR="0049568E">
        <w:rPr>
          <w:szCs w:val="26"/>
        </w:rPr>
        <w:t>(</w:t>
      </w:r>
      <w:r w:rsidRPr="002E71FA">
        <w:rPr>
          <w:i/>
          <w:iCs/>
          <w:szCs w:val="26"/>
        </w:rPr>
        <w:t>Id.</w:t>
      </w:r>
      <w:r w:rsidRPr="002E71FA">
        <w:rPr>
          <w:szCs w:val="26"/>
        </w:rPr>
        <w:t xml:space="preserve"> </w:t>
      </w:r>
      <w:r w:rsidRPr="002E71FA" w:rsidR="0049568E">
        <w:rPr>
          <w:szCs w:val="26"/>
        </w:rPr>
        <w:t>at p. *112.)</w:t>
      </w:r>
      <w:r>
        <w:rPr>
          <w:szCs w:val="26"/>
        </w:rPr>
        <w:t xml:space="preserve">  </w:t>
      </w:r>
      <w:r w:rsidRPr="000773EF" w:rsidR="009644AA">
        <w:rPr>
          <w:szCs w:val="26"/>
        </w:rPr>
        <w:t xml:space="preserve">In a separate investigation into the same PSPS events, the PUC concluded that among other violations of the Public Utilities Code, PG&amp;E “failed to identify the possible safety risks </w:t>
      </w:r>
      <w:r w:rsidR="00310408">
        <w:rPr>
          <w:szCs w:val="26"/>
        </w:rPr>
        <w:t xml:space="preserve">resulting </w:t>
      </w:r>
      <w:r w:rsidRPr="000773EF" w:rsidR="009644AA">
        <w:rPr>
          <w:szCs w:val="26"/>
        </w:rPr>
        <w:t xml:space="preserve">from an electric power shutoff” and “failed to evaluate these safety risks as part of the analysis of weighing the benefits and risks.”  </w:t>
      </w:r>
      <w:r w:rsidRPr="00310408" w:rsidR="009644AA">
        <w:rPr>
          <w:szCs w:val="26"/>
        </w:rPr>
        <w:t>(</w:t>
      </w:r>
      <w:r w:rsidRPr="00310408" w:rsidR="00AC7A41">
        <w:rPr>
          <w:i/>
          <w:iCs/>
          <w:szCs w:val="26"/>
          <w:shd w:val="clear" w:color="auto" w:fill="FFFFFF"/>
        </w:rPr>
        <w:t>Decision Addressing the Late 2019 Public Safety Power Shutoffs by Pacific Gas and Electric Company, Southern California Edison Company, and San Diego Gas &amp; Electric Company to Mitigate the Risk of Wildfire Caused by Utility Infrastructure</w:t>
      </w:r>
      <w:r w:rsidRPr="00310408" w:rsidR="00AC7A41">
        <w:rPr>
          <w:szCs w:val="26"/>
          <w:shd w:val="clear" w:color="auto" w:fill="FFFFFF"/>
        </w:rPr>
        <w:t xml:space="preserve"> (June 3, 2021) </w:t>
      </w:r>
      <w:r w:rsidRPr="00310408" w:rsidR="000A137E">
        <w:rPr>
          <w:szCs w:val="26"/>
          <w:shd w:val="clear" w:color="auto" w:fill="FFFFFF"/>
        </w:rPr>
        <w:t>Cal.</w:t>
      </w:r>
      <w:r w:rsidRPr="00310408" w:rsidR="000A137E">
        <w:rPr>
          <w:szCs w:val="26"/>
        </w:rPr>
        <w:t>P.U.C. Dec. No. 21-06-014</w:t>
      </w:r>
      <w:r w:rsidRPr="00310408" w:rsidR="000A137E">
        <w:rPr>
          <w:szCs w:val="26"/>
          <w:shd w:val="clear" w:color="auto" w:fill="FFFFFF"/>
        </w:rPr>
        <w:t xml:space="preserve"> </w:t>
      </w:r>
      <w:r w:rsidRPr="00310408" w:rsidR="00AC7A41">
        <w:rPr>
          <w:szCs w:val="26"/>
          <w:shd w:val="clear" w:color="auto" w:fill="FFFFFF"/>
        </w:rPr>
        <w:t>[2021 Cal.P</w:t>
      </w:r>
      <w:r w:rsidRPr="00310408" w:rsidR="000A137E">
        <w:rPr>
          <w:szCs w:val="26"/>
          <w:shd w:val="clear" w:color="auto" w:fill="FFFFFF"/>
        </w:rPr>
        <w:t>.</w:t>
      </w:r>
      <w:r w:rsidRPr="00310408" w:rsidR="00AC7A41">
        <w:rPr>
          <w:szCs w:val="26"/>
          <w:shd w:val="clear" w:color="auto" w:fill="FFFFFF"/>
        </w:rPr>
        <w:t>U</w:t>
      </w:r>
      <w:r w:rsidRPr="00310408" w:rsidR="000A137E">
        <w:rPr>
          <w:szCs w:val="26"/>
          <w:shd w:val="clear" w:color="auto" w:fill="FFFFFF"/>
        </w:rPr>
        <w:t>.</w:t>
      </w:r>
      <w:r w:rsidRPr="00310408" w:rsidR="00AC7A41">
        <w:rPr>
          <w:szCs w:val="26"/>
          <w:shd w:val="clear" w:color="auto" w:fill="FFFFFF"/>
        </w:rPr>
        <w:t>C</w:t>
      </w:r>
      <w:r w:rsidRPr="00310408" w:rsidR="000A137E">
        <w:rPr>
          <w:szCs w:val="26"/>
          <w:shd w:val="clear" w:color="auto" w:fill="FFFFFF"/>
        </w:rPr>
        <w:t>.</w:t>
      </w:r>
      <w:r w:rsidRPr="00310408" w:rsidR="00AC7A41">
        <w:rPr>
          <w:szCs w:val="26"/>
          <w:shd w:val="clear" w:color="auto" w:fill="FFFFFF"/>
        </w:rPr>
        <w:t xml:space="preserve"> Lexis 278</w:t>
      </w:r>
      <w:r w:rsidR="00FE50A8">
        <w:rPr>
          <w:szCs w:val="26"/>
          <w:shd w:val="clear" w:color="auto" w:fill="FFFFFF"/>
        </w:rPr>
        <w:t>,</w:t>
      </w:r>
      <w:r w:rsidR="004529F9">
        <w:rPr>
          <w:szCs w:val="26"/>
        </w:rPr>
        <w:t> </w:t>
      </w:r>
      <w:r w:rsidRPr="00310408" w:rsidR="001055A8">
        <w:rPr>
          <w:szCs w:val="26"/>
        </w:rPr>
        <w:t>*312–*313</w:t>
      </w:r>
      <w:r w:rsidRPr="00310408" w:rsidR="000A137E">
        <w:rPr>
          <w:szCs w:val="26"/>
        </w:rPr>
        <w:t>]</w:t>
      </w:r>
      <w:r w:rsidRPr="00310408" w:rsidR="009644AA">
        <w:rPr>
          <w:szCs w:val="26"/>
        </w:rPr>
        <w:t>.)</w:t>
      </w:r>
      <w:r w:rsidRPr="000773EF" w:rsidR="009644AA">
        <w:rPr>
          <w:szCs w:val="26"/>
        </w:rPr>
        <w:t xml:space="preserve">  </w:t>
      </w:r>
    </w:p>
    <w:p w:rsidR="007318AD" w:rsidRPr="000773EF" w:rsidP="00BC7683" w14:paraId="4FB03ECF" w14:textId="77777777">
      <w:pPr>
        <w:keepNext/>
        <w:shd w:val="clear" w:color="auto" w:fill="FFFFFF"/>
        <w:jc w:val="center"/>
        <w:rPr>
          <w:b/>
          <w:bCs/>
          <w:szCs w:val="26"/>
        </w:rPr>
      </w:pPr>
      <w:r w:rsidRPr="000773EF">
        <w:rPr>
          <w:b/>
          <w:bCs/>
          <w:szCs w:val="26"/>
        </w:rPr>
        <w:t>B.</w:t>
      </w:r>
    </w:p>
    <w:p w:rsidR="00904EFF" w:rsidRPr="000773EF" w:rsidP="00BC7683" w14:paraId="4FB03ED0" w14:textId="77777777">
      <w:pPr>
        <w:shd w:val="clear" w:color="auto" w:fill="FFFFFF"/>
        <w:ind w:firstLine="720"/>
        <w:rPr>
          <w:szCs w:val="26"/>
        </w:rPr>
      </w:pPr>
      <w:r w:rsidRPr="000773EF">
        <w:rPr>
          <w:szCs w:val="26"/>
          <w:bdr w:val="none" w:sz="0" w:space="0" w:color="auto" w:frame="1"/>
        </w:rPr>
        <w:t>T</w:t>
      </w:r>
      <w:r w:rsidRPr="000773EF" w:rsidR="00965340">
        <w:rPr>
          <w:szCs w:val="26"/>
          <w:bdr w:val="none" w:sz="0" w:space="0" w:color="auto" w:frame="1"/>
        </w:rPr>
        <w:t xml:space="preserve">his case </w:t>
      </w:r>
      <w:r w:rsidR="0051549A">
        <w:rPr>
          <w:szCs w:val="26"/>
          <w:bdr w:val="none" w:sz="0" w:space="0" w:color="auto" w:frame="1"/>
        </w:rPr>
        <w:t>concerns</w:t>
      </w:r>
      <w:r w:rsidRPr="000773EF" w:rsidR="00965340">
        <w:rPr>
          <w:szCs w:val="26"/>
          <w:bdr w:val="none" w:sz="0" w:space="0" w:color="auto" w:frame="1"/>
        </w:rPr>
        <w:t xml:space="preserve"> the </w:t>
      </w:r>
      <w:r w:rsidRPr="000773EF" w:rsidR="00403FF9">
        <w:rPr>
          <w:szCs w:val="26"/>
          <w:bdr w:val="none" w:sz="0" w:space="0" w:color="auto" w:frame="1"/>
        </w:rPr>
        <w:t xml:space="preserve">bounds of </w:t>
      </w:r>
      <w:r w:rsidRPr="000773EF" w:rsidR="00273C5A">
        <w:rPr>
          <w:szCs w:val="26"/>
          <w:bdr w:val="none" w:sz="0" w:space="0" w:color="auto" w:frame="1"/>
        </w:rPr>
        <w:t xml:space="preserve">section 1759 </w:t>
      </w:r>
      <w:r w:rsidRPr="000773EF" w:rsidR="00BF1499">
        <w:rPr>
          <w:szCs w:val="26"/>
          <w:bdr w:val="none" w:sz="0" w:space="0" w:color="auto" w:frame="1"/>
        </w:rPr>
        <w:t>preemption</w:t>
      </w:r>
      <w:r w:rsidRPr="000773EF" w:rsidR="00403FF9">
        <w:rPr>
          <w:szCs w:val="26"/>
          <w:bdr w:val="none" w:sz="0" w:space="0" w:color="auto" w:frame="1"/>
        </w:rPr>
        <w:t xml:space="preserve">. </w:t>
      </w:r>
      <w:r w:rsidRPr="000773EF" w:rsidR="00BF1499">
        <w:rPr>
          <w:szCs w:val="26"/>
          <w:bdr w:val="none" w:sz="0" w:space="0" w:color="auto" w:frame="1"/>
        </w:rPr>
        <w:t xml:space="preserve"> By statute, public utilities</w:t>
      </w:r>
      <w:r w:rsidRPr="000773EF" w:rsidR="0014531B">
        <w:rPr>
          <w:szCs w:val="26"/>
          <w:bdr w:val="none" w:sz="0" w:space="0" w:color="auto" w:frame="1"/>
        </w:rPr>
        <w:t xml:space="preserve"> </w:t>
      </w:r>
      <w:r w:rsidRPr="000773EF" w:rsidR="00BF1499">
        <w:rPr>
          <w:szCs w:val="26"/>
          <w:bdr w:val="none" w:sz="0" w:space="0" w:color="auto" w:frame="1"/>
        </w:rPr>
        <w:t>remain liable</w:t>
      </w:r>
      <w:r w:rsidRPr="000773EF" w:rsidR="000B546C">
        <w:rPr>
          <w:szCs w:val="26"/>
          <w:bdr w:val="none" w:sz="0" w:space="0" w:color="auto" w:frame="1"/>
        </w:rPr>
        <w:t xml:space="preserve"> </w:t>
      </w:r>
      <w:r w:rsidRPr="000773EF" w:rsidR="00EB6C54">
        <w:rPr>
          <w:szCs w:val="26"/>
          <w:bdr w:val="none" w:sz="0" w:space="0" w:color="auto" w:frame="1"/>
        </w:rPr>
        <w:t xml:space="preserve">for </w:t>
      </w:r>
      <w:r w:rsidRPr="000773EF" w:rsidR="007F670D">
        <w:rPr>
          <w:szCs w:val="26"/>
          <w:bdr w:val="none" w:sz="0" w:space="0" w:color="auto" w:frame="1"/>
        </w:rPr>
        <w:t xml:space="preserve">“any act, matter, or thing prohibited or </w:t>
      </w:r>
      <w:r w:rsidR="002013F7">
        <w:rPr>
          <w:szCs w:val="26"/>
          <w:bdr w:val="none" w:sz="0" w:space="0" w:color="auto" w:frame="1"/>
        </w:rPr>
        <w:t xml:space="preserve">declared </w:t>
      </w:r>
      <w:r w:rsidRPr="000773EF" w:rsidR="007F670D">
        <w:rPr>
          <w:szCs w:val="26"/>
          <w:bdr w:val="none" w:sz="0" w:space="0" w:color="auto" w:frame="1"/>
        </w:rPr>
        <w:t xml:space="preserve">unlawful,” as well as for </w:t>
      </w:r>
      <w:r w:rsidRPr="000773EF" w:rsidR="007B13FC">
        <w:rPr>
          <w:szCs w:val="26"/>
          <w:bdr w:val="none" w:sz="0" w:space="0" w:color="auto" w:frame="1"/>
        </w:rPr>
        <w:t xml:space="preserve">omissions of “any act, matter, or thing required to be done.” </w:t>
      </w:r>
      <w:r w:rsidRPr="000773EF" w:rsidR="00EB6C54">
        <w:rPr>
          <w:szCs w:val="26"/>
          <w:bdr w:val="none" w:sz="0" w:space="0" w:color="auto" w:frame="1"/>
        </w:rPr>
        <w:t xml:space="preserve"> (§ 2106</w:t>
      </w:r>
      <w:r w:rsidRPr="000773EF" w:rsidR="00BB7DCD">
        <w:rPr>
          <w:szCs w:val="26"/>
          <w:bdr w:val="none" w:sz="0" w:space="0" w:color="auto" w:frame="1"/>
        </w:rPr>
        <w:t xml:space="preserve">.)  </w:t>
      </w:r>
      <w:r w:rsidRPr="000773EF" w:rsidR="00556931">
        <w:rPr>
          <w:szCs w:val="26"/>
          <w:bdr w:val="none" w:sz="0" w:space="0" w:color="auto" w:frame="1"/>
        </w:rPr>
        <w:t>T</w:t>
      </w:r>
      <w:r w:rsidRPr="000773EF" w:rsidR="000B546C">
        <w:rPr>
          <w:szCs w:val="26"/>
          <w:bdr w:val="none" w:sz="0" w:space="0" w:color="auto" w:frame="1"/>
        </w:rPr>
        <w:t xml:space="preserve">his </w:t>
      </w:r>
      <w:r w:rsidRPr="000773EF" w:rsidR="00BF1499">
        <w:rPr>
          <w:szCs w:val="26"/>
          <w:bdr w:val="none" w:sz="0" w:space="0" w:color="auto" w:frame="1"/>
        </w:rPr>
        <w:t>private</w:t>
      </w:r>
      <w:r w:rsidRPr="000773EF" w:rsidR="00BF02BE">
        <w:rPr>
          <w:szCs w:val="26"/>
          <w:bdr w:val="none" w:sz="0" w:space="0" w:color="auto" w:frame="1"/>
        </w:rPr>
        <w:t xml:space="preserve"> right </w:t>
      </w:r>
      <w:r w:rsidRPr="000773EF" w:rsidR="00F364F4">
        <w:rPr>
          <w:szCs w:val="26"/>
          <w:bdr w:val="none" w:sz="0" w:space="0" w:color="auto" w:frame="1"/>
        </w:rPr>
        <w:t xml:space="preserve">of action </w:t>
      </w:r>
      <w:r w:rsidRPr="000773EF" w:rsidR="00BF02BE">
        <w:rPr>
          <w:szCs w:val="26"/>
          <w:bdr w:val="none" w:sz="0" w:space="0" w:color="auto" w:frame="1"/>
        </w:rPr>
        <w:t xml:space="preserve">is </w:t>
      </w:r>
      <w:r w:rsidR="00E347F2">
        <w:rPr>
          <w:szCs w:val="26"/>
          <w:bdr w:val="none" w:sz="0" w:space="0" w:color="auto" w:frame="1"/>
        </w:rPr>
        <w:t>limited</w:t>
      </w:r>
      <w:r w:rsidRPr="000773EF" w:rsidR="00E347F2">
        <w:rPr>
          <w:szCs w:val="26"/>
          <w:bdr w:val="none" w:sz="0" w:space="0" w:color="auto" w:frame="1"/>
        </w:rPr>
        <w:t xml:space="preserve"> </w:t>
      </w:r>
      <w:r w:rsidRPr="000773EF" w:rsidR="00C467BA">
        <w:rPr>
          <w:szCs w:val="26"/>
          <w:bdr w:val="none" w:sz="0" w:space="0" w:color="auto" w:frame="1"/>
        </w:rPr>
        <w:t>by</w:t>
      </w:r>
      <w:r w:rsidRPr="000773EF" w:rsidR="00BF02BE">
        <w:rPr>
          <w:szCs w:val="26"/>
          <w:bdr w:val="none" w:sz="0" w:space="0" w:color="auto" w:frame="1"/>
        </w:rPr>
        <w:t xml:space="preserve"> </w:t>
      </w:r>
      <w:r w:rsidRPr="000773EF" w:rsidR="00731669">
        <w:rPr>
          <w:szCs w:val="26"/>
          <w:bdr w:val="none" w:sz="0" w:space="0" w:color="auto" w:frame="1"/>
        </w:rPr>
        <w:t>section 1759</w:t>
      </w:r>
      <w:r w:rsidRPr="000773EF" w:rsidR="00BF02BE">
        <w:rPr>
          <w:szCs w:val="26"/>
          <w:bdr w:val="none" w:sz="0" w:space="0" w:color="auto" w:frame="1"/>
        </w:rPr>
        <w:t>, which</w:t>
      </w:r>
      <w:r w:rsidRPr="000773EF" w:rsidR="00731669">
        <w:rPr>
          <w:szCs w:val="26"/>
          <w:bdr w:val="none" w:sz="0" w:space="0" w:color="auto" w:frame="1"/>
        </w:rPr>
        <w:t xml:space="preserve"> divests all courts except this court and the Court of Appeal of jurisdiction “</w:t>
      </w:r>
      <w:r w:rsidRPr="000773EF" w:rsidR="00335D4E">
        <w:rPr>
          <w:szCs w:val="26"/>
          <w:shd w:val="clear" w:color="auto" w:fill="FFFFFF"/>
        </w:rPr>
        <w:t>to revie</w:t>
      </w:r>
      <w:r w:rsidRPr="000773EF" w:rsidR="00335D4E">
        <w:rPr>
          <w:szCs w:val="26"/>
        </w:rPr>
        <w:t>w, reverse, correct, or annul any order or decision of the commission or to</w:t>
      </w:r>
      <w:r w:rsidRPr="000773EF" w:rsidR="0098082E">
        <w:rPr>
          <w:szCs w:val="26"/>
        </w:rPr>
        <w:t> </w:t>
      </w:r>
      <w:r w:rsidRPr="000773EF" w:rsidR="00335D4E">
        <w:rPr>
          <w:szCs w:val="26"/>
        </w:rPr>
        <w:t xml:space="preserve">. . . enjoin, restrain, or interfere with the </w:t>
      </w:r>
      <w:r w:rsidRPr="000773EF" w:rsidR="00260424">
        <w:rPr>
          <w:szCs w:val="26"/>
        </w:rPr>
        <w:t>c</w:t>
      </w:r>
      <w:r w:rsidRPr="000773EF" w:rsidR="00335D4E">
        <w:rPr>
          <w:szCs w:val="26"/>
        </w:rPr>
        <w:t>ommission in the performance of its official duties.</w:t>
      </w:r>
      <w:r w:rsidRPr="000773EF" w:rsidR="00E7513A">
        <w:rPr>
          <w:szCs w:val="26"/>
        </w:rPr>
        <w:t xml:space="preserve">” </w:t>
      </w:r>
      <w:r w:rsidRPr="000773EF" w:rsidR="00335D4E">
        <w:rPr>
          <w:szCs w:val="26"/>
        </w:rPr>
        <w:t xml:space="preserve"> </w:t>
      </w:r>
      <w:r w:rsidRPr="000773EF" w:rsidR="00335D4E">
        <w:rPr>
          <w:szCs w:val="26"/>
          <w:bdr w:val="none" w:sz="0" w:space="0" w:color="auto" w:frame="1"/>
        </w:rPr>
        <w:t>(§ 1759</w:t>
      </w:r>
      <w:r w:rsidRPr="000773EF" w:rsidR="00AB0508">
        <w:rPr>
          <w:szCs w:val="26"/>
          <w:bdr w:val="none" w:sz="0" w:space="0" w:color="auto" w:frame="1"/>
        </w:rPr>
        <w:t>, subd. (a)</w:t>
      </w:r>
      <w:r w:rsidRPr="000773EF" w:rsidR="00335D4E">
        <w:rPr>
          <w:szCs w:val="26"/>
          <w:bdr w:val="none" w:sz="0" w:space="0" w:color="auto" w:frame="1"/>
        </w:rPr>
        <w:t>.)</w:t>
      </w:r>
    </w:p>
    <w:p w:rsidR="0080623C" w:rsidRPr="000773EF" w:rsidP="00BC7683" w14:paraId="4FB03ED1" w14:textId="77777777">
      <w:pPr>
        <w:shd w:val="clear" w:color="auto" w:fill="FFFFFF"/>
        <w:ind w:firstLine="720"/>
        <w:rPr>
          <w:szCs w:val="26"/>
        </w:rPr>
      </w:pPr>
      <w:r w:rsidRPr="000773EF">
        <w:rPr>
          <w:szCs w:val="26"/>
        </w:rPr>
        <w:t>“[I]</w:t>
      </w:r>
      <w:r w:rsidRPr="000773EF" w:rsidR="000825A1">
        <w:rPr>
          <w:szCs w:val="26"/>
        </w:rPr>
        <w:t>n order to resolve the potential conflict between sections 1759 and 2106, the latter section must be construed as limited to those situations in which an award of damages would not hinder or frustrate the commission</w:t>
      </w:r>
      <w:r w:rsidRPr="000773EF" w:rsidR="00FF0F4E">
        <w:rPr>
          <w:szCs w:val="26"/>
        </w:rPr>
        <w:t>’</w:t>
      </w:r>
      <w:r w:rsidRPr="000773EF" w:rsidR="000825A1">
        <w:rPr>
          <w:szCs w:val="26"/>
        </w:rPr>
        <w:t>s declared supervisory and regulatory policies.”  (</w:t>
      </w:r>
      <w:r w:rsidRPr="000773EF" w:rsidR="000825A1">
        <w:rPr>
          <w:i/>
          <w:iCs/>
          <w:szCs w:val="26"/>
          <w:bdr w:val="none" w:sz="0" w:space="0" w:color="auto" w:frame="1"/>
        </w:rPr>
        <w:t>Waters v. Pacific Telephone Co.</w:t>
      </w:r>
      <w:r w:rsidRPr="000773EF" w:rsidR="000825A1">
        <w:rPr>
          <w:szCs w:val="26"/>
          <w:bdr w:val="none" w:sz="0" w:space="0" w:color="auto" w:frame="1"/>
        </w:rPr>
        <w:t xml:space="preserve"> (1974) 12</w:t>
      </w:r>
      <w:r w:rsidRPr="000773EF" w:rsidR="00334397">
        <w:rPr>
          <w:szCs w:val="26"/>
          <w:bdr w:val="none" w:sz="0" w:space="0" w:color="auto" w:frame="1"/>
        </w:rPr>
        <w:t> </w:t>
      </w:r>
      <w:r w:rsidRPr="000773EF" w:rsidR="000825A1">
        <w:rPr>
          <w:szCs w:val="26"/>
          <w:bdr w:val="none" w:sz="0" w:space="0" w:color="auto" w:frame="1"/>
        </w:rPr>
        <w:t>Cal.3d 1, 4 (</w:t>
      </w:r>
      <w:r w:rsidRPr="000773EF" w:rsidR="000825A1">
        <w:rPr>
          <w:i/>
          <w:iCs/>
          <w:szCs w:val="26"/>
          <w:bdr w:val="none" w:sz="0" w:space="0" w:color="auto" w:frame="1"/>
        </w:rPr>
        <w:t>Waters</w:t>
      </w:r>
      <w:r w:rsidRPr="000773EF" w:rsidR="000825A1">
        <w:rPr>
          <w:szCs w:val="26"/>
          <w:bdr w:val="none" w:sz="0" w:space="0" w:color="auto" w:frame="1"/>
        </w:rPr>
        <w:t>).)</w:t>
      </w:r>
      <w:r w:rsidRPr="000773EF" w:rsidR="008F1BC0">
        <w:rPr>
          <w:szCs w:val="26"/>
          <w:bdr w:val="none" w:sz="0" w:space="0" w:color="auto" w:frame="1"/>
        </w:rPr>
        <w:t xml:space="preserve">  Preemption under section 1759 is not limited to actions tha</w:t>
      </w:r>
      <w:r w:rsidRPr="000773EF" w:rsidR="008F1BC0">
        <w:rPr>
          <w:szCs w:val="26"/>
        </w:rPr>
        <w:t xml:space="preserve">t </w:t>
      </w:r>
      <w:r w:rsidRPr="000773EF" w:rsidR="004E4261">
        <w:rPr>
          <w:szCs w:val="26"/>
        </w:rPr>
        <w:t>“would directly contravene a specific order or decision of the commission.”  (</w:t>
      </w:r>
      <w:r w:rsidRPr="000773EF" w:rsidR="004E4261">
        <w:rPr>
          <w:i/>
          <w:iCs/>
          <w:szCs w:val="26"/>
        </w:rPr>
        <w:t>Covalt</w:t>
      </w:r>
      <w:r w:rsidRPr="000773EF" w:rsidR="004E4261">
        <w:rPr>
          <w:szCs w:val="26"/>
        </w:rPr>
        <w:t xml:space="preserve">, </w:t>
      </w:r>
      <w:r w:rsidRPr="000773EF" w:rsidR="004E4261">
        <w:rPr>
          <w:i/>
          <w:iCs/>
          <w:szCs w:val="26"/>
        </w:rPr>
        <w:t>supra</w:t>
      </w:r>
      <w:r w:rsidRPr="000773EF" w:rsidR="004E4261">
        <w:rPr>
          <w:szCs w:val="26"/>
        </w:rPr>
        <w:t xml:space="preserve">, 13 Cal.4th </w:t>
      </w:r>
      <w:r w:rsidRPr="000773EF" w:rsidR="00F44F80">
        <w:rPr>
          <w:szCs w:val="26"/>
        </w:rPr>
        <w:t xml:space="preserve">at p. 918.)  </w:t>
      </w:r>
      <w:r w:rsidR="00F9795E">
        <w:rPr>
          <w:szCs w:val="26"/>
        </w:rPr>
        <w:t>A</w:t>
      </w:r>
      <w:r w:rsidRPr="000773EF" w:rsidR="008C16CF">
        <w:rPr>
          <w:szCs w:val="26"/>
        </w:rPr>
        <w:t xml:space="preserve">n </w:t>
      </w:r>
      <w:r w:rsidRPr="000773EF" w:rsidR="00F44F80">
        <w:rPr>
          <w:szCs w:val="26"/>
        </w:rPr>
        <w:t xml:space="preserve">action </w:t>
      </w:r>
      <w:r w:rsidRPr="000773EF" w:rsidR="008C16CF">
        <w:rPr>
          <w:szCs w:val="26"/>
        </w:rPr>
        <w:t>is</w:t>
      </w:r>
      <w:r w:rsidRPr="000773EF" w:rsidR="00F44F80">
        <w:rPr>
          <w:szCs w:val="26"/>
        </w:rPr>
        <w:t xml:space="preserve"> </w:t>
      </w:r>
      <w:r w:rsidRPr="000773EF" w:rsidR="008C16CF">
        <w:rPr>
          <w:szCs w:val="26"/>
        </w:rPr>
        <w:t xml:space="preserve">also </w:t>
      </w:r>
      <w:r w:rsidRPr="000773EF" w:rsidR="00F44F80">
        <w:rPr>
          <w:szCs w:val="26"/>
        </w:rPr>
        <w:t xml:space="preserve">barred </w:t>
      </w:r>
      <w:r w:rsidRPr="000773EF" w:rsidR="008C16CF">
        <w:rPr>
          <w:szCs w:val="26"/>
        </w:rPr>
        <w:t>if it “would simply have the effect of undermining a general supervisory or regulatory policy of the commission, i.e., when it would ‘hinder’ or ‘frustrate’ or ‘interfere with’ or ‘obstruct’ that policy.”</w:t>
      </w:r>
      <w:r w:rsidRPr="000773EF" w:rsidR="008F1BC0">
        <w:rPr>
          <w:szCs w:val="26"/>
        </w:rPr>
        <w:t xml:space="preserve"> </w:t>
      </w:r>
      <w:r w:rsidRPr="000773EF" w:rsidR="008C16CF">
        <w:rPr>
          <w:szCs w:val="26"/>
        </w:rPr>
        <w:t xml:space="preserve"> (</w:t>
      </w:r>
      <w:r w:rsidRPr="000773EF" w:rsidR="008C16CF">
        <w:rPr>
          <w:i/>
          <w:iCs/>
          <w:szCs w:val="26"/>
        </w:rPr>
        <w:t>Ibid</w:t>
      </w:r>
      <w:r w:rsidRPr="000773EF" w:rsidR="003C4AAD">
        <w:rPr>
          <w:szCs w:val="26"/>
        </w:rPr>
        <w:t>., f</w:t>
      </w:r>
      <w:r w:rsidRPr="000773EF" w:rsidR="00D54186">
        <w:rPr>
          <w:szCs w:val="26"/>
        </w:rPr>
        <w:t>n. </w:t>
      </w:r>
      <w:r w:rsidRPr="000773EF" w:rsidR="003C4AAD">
        <w:rPr>
          <w:szCs w:val="26"/>
        </w:rPr>
        <w:t>omitted.</w:t>
      </w:r>
      <w:r w:rsidRPr="000773EF" w:rsidR="008C16CF">
        <w:rPr>
          <w:szCs w:val="26"/>
        </w:rPr>
        <w:t>)</w:t>
      </w:r>
      <w:r w:rsidRPr="000773EF" w:rsidR="00CB3F56">
        <w:rPr>
          <w:szCs w:val="26"/>
        </w:rPr>
        <w:t xml:space="preserve">  </w:t>
      </w:r>
      <w:r w:rsidRPr="000773EF">
        <w:rPr>
          <w:szCs w:val="26"/>
        </w:rPr>
        <w:t>S</w:t>
      </w:r>
      <w:r w:rsidRPr="000773EF" w:rsidR="0095454D">
        <w:rPr>
          <w:szCs w:val="26"/>
        </w:rPr>
        <w:t xml:space="preserve">ection 1759 </w:t>
      </w:r>
      <w:r w:rsidRPr="000773EF" w:rsidR="0057046B">
        <w:rPr>
          <w:szCs w:val="26"/>
        </w:rPr>
        <w:t>bars</w:t>
      </w:r>
      <w:r w:rsidRPr="000773EF" w:rsidR="0095454D">
        <w:rPr>
          <w:szCs w:val="26"/>
        </w:rPr>
        <w:t xml:space="preserve"> an action</w:t>
      </w:r>
      <w:r w:rsidRPr="000773EF">
        <w:rPr>
          <w:szCs w:val="26"/>
        </w:rPr>
        <w:t xml:space="preserve"> whe</w:t>
      </w:r>
      <w:r w:rsidR="00F9795E">
        <w:rPr>
          <w:szCs w:val="26"/>
        </w:rPr>
        <w:t>n</w:t>
      </w:r>
      <w:r w:rsidRPr="000773EF">
        <w:rPr>
          <w:szCs w:val="26"/>
        </w:rPr>
        <w:t xml:space="preserve"> three requirements are met</w:t>
      </w:r>
      <w:r w:rsidRPr="000773EF" w:rsidR="0095454D">
        <w:rPr>
          <w:szCs w:val="26"/>
        </w:rPr>
        <w:t xml:space="preserve">:  </w:t>
      </w:r>
      <w:r w:rsidRPr="000773EF" w:rsidR="00646803">
        <w:rPr>
          <w:szCs w:val="26"/>
        </w:rPr>
        <w:t>(1) the PUC had the authority to adopt</w:t>
      </w:r>
      <w:r w:rsidRPr="000773EF" w:rsidR="00023873">
        <w:rPr>
          <w:szCs w:val="26"/>
        </w:rPr>
        <w:t xml:space="preserve"> </w:t>
      </w:r>
      <w:r w:rsidRPr="000773EF" w:rsidR="008C2AE0">
        <w:rPr>
          <w:szCs w:val="26"/>
        </w:rPr>
        <w:t xml:space="preserve">certain </w:t>
      </w:r>
      <w:r w:rsidRPr="000773EF" w:rsidR="00023873">
        <w:rPr>
          <w:szCs w:val="26"/>
        </w:rPr>
        <w:t>regulations or policies</w:t>
      </w:r>
      <w:r w:rsidRPr="000773EF" w:rsidR="00D54699">
        <w:rPr>
          <w:szCs w:val="26"/>
        </w:rPr>
        <w:t>;</w:t>
      </w:r>
      <w:r w:rsidRPr="000773EF" w:rsidR="006039D4">
        <w:rPr>
          <w:szCs w:val="26"/>
        </w:rPr>
        <w:t xml:space="preserve"> (2) the PUC actually exercised that authority; and (3) </w:t>
      </w:r>
      <w:r w:rsidRPr="000773EF" w:rsidR="00BF2242">
        <w:rPr>
          <w:szCs w:val="26"/>
        </w:rPr>
        <w:t>the action would interfere with the PUC’s exercise of that authority.  (</w:t>
      </w:r>
      <w:r w:rsidRPr="000773EF">
        <w:rPr>
          <w:i/>
          <w:iCs/>
          <w:szCs w:val="26"/>
          <w:bdr w:val="none" w:sz="0" w:space="0" w:color="auto" w:frame="1"/>
        </w:rPr>
        <w:t>Hartwell Corp. v. Superior Court</w:t>
      </w:r>
      <w:r w:rsidRPr="000773EF">
        <w:rPr>
          <w:szCs w:val="26"/>
          <w:bdr w:val="none" w:sz="0" w:space="0" w:color="auto" w:frame="1"/>
        </w:rPr>
        <w:t xml:space="preserve"> (2002) 27 Cal.4th 256, 266 (</w:t>
      </w:r>
      <w:r w:rsidRPr="000773EF">
        <w:rPr>
          <w:i/>
          <w:iCs/>
          <w:szCs w:val="26"/>
          <w:bdr w:val="none" w:sz="0" w:space="0" w:color="auto" w:frame="1"/>
        </w:rPr>
        <w:t>Hartwell</w:t>
      </w:r>
      <w:r w:rsidRPr="000773EF">
        <w:rPr>
          <w:szCs w:val="26"/>
          <w:bdr w:val="none" w:sz="0" w:space="0" w:color="auto" w:frame="1"/>
        </w:rPr>
        <w:t>).)</w:t>
      </w:r>
      <w:r w:rsidRPr="000773EF" w:rsidR="009B2C03">
        <w:rPr>
          <w:szCs w:val="26"/>
          <w:bdr w:val="none" w:sz="0" w:space="0" w:color="auto" w:frame="1"/>
        </w:rPr>
        <w:t xml:space="preserve">  </w:t>
      </w:r>
    </w:p>
    <w:p w:rsidR="00EB61A2" w:rsidRPr="000773EF" w:rsidP="00BC7683" w14:paraId="4FB03ED2" w14:textId="77777777">
      <w:pPr>
        <w:shd w:val="clear" w:color="auto" w:fill="FFFFFF"/>
        <w:ind w:firstLine="720"/>
        <w:rPr>
          <w:szCs w:val="26"/>
          <w:shd w:val="clear" w:color="auto" w:fill="FFFFFF"/>
        </w:rPr>
      </w:pPr>
      <w:r w:rsidRPr="000773EF">
        <w:rPr>
          <w:szCs w:val="26"/>
        </w:rPr>
        <w:t>W</w:t>
      </w:r>
      <w:r w:rsidRPr="000773EF" w:rsidR="00467FD9">
        <w:rPr>
          <w:szCs w:val="26"/>
        </w:rPr>
        <w:t>here</w:t>
      </w:r>
      <w:r w:rsidRPr="000773EF" w:rsidR="00CB3F56">
        <w:rPr>
          <w:szCs w:val="26"/>
        </w:rPr>
        <w:t xml:space="preserve"> </w:t>
      </w:r>
      <w:r w:rsidRPr="000773EF" w:rsidR="00467FD9">
        <w:rPr>
          <w:szCs w:val="26"/>
        </w:rPr>
        <w:t>“</w:t>
      </w:r>
      <w:r w:rsidRPr="000773EF" w:rsidR="00CB3F56">
        <w:rPr>
          <w:szCs w:val="26"/>
        </w:rPr>
        <w:t>the relief sought would</w:t>
      </w:r>
      <w:r w:rsidR="00CF2DFC">
        <w:rPr>
          <w:szCs w:val="26"/>
        </w:rPr>
        <w:t> </w:t>
      </w:r>
      <w:r w:rsidR="00D176DF">
        <w:rPr>
          <w:szCs w:val="26"/>
        </w:rPr>
        <w:t>. . .</w:t>
      </w:r>
      <w:r w:rsidRPr="000773EF" w:rsidR="00CB3F56">
        <w:rPr>
          <w:szCs w:val="26"/>
        </w:rPr>
        <w:t xml:space="preserve"> interfere</w:t>
      </w:r>
      <w:r w:rsidRPr="000773EF" w:rsidR="00AA6066">
        <w:rPr>
          <w:szCs w:val="26"/>
        </w:rPr>
        <w:t>[]</w:t>
      </w:r>
      <w:r w:rsidRPr="000773EF" w:rsidR="00CB3F56">
        <w:rPr>
          <w:szCs w:val="26"/>
        </w:rPr>
        <w:t xml:space="preserve"> with a broad and continuing supervisory or regulatory program of the commission</w:t>
      </w:r>
      <w:r w:rsidRPr="000773EF">
        <w:rPr>
          <w:szCs w:val="26"/>
        </w:rPr>
        <w:t xml:space="preserve">,” section 1759 </w:t>
      </w:r>
      <w:r w:rsidRPr="000773EF" w:rsidR="0057046B">
        <w:rPr>
          <w:szCs w:val="26"/>
        </w:rPr>
        <w:t>bars</w:t>
      </w:r>
      <w:r w:rsidRPr="000773EF">
        <w:rPr>
          <w:szCs w:val="26"/>
        </w:rPr>
        <w:t xml:space="preserve"> the action.  </w:t>
      </w:r>
      <w:r w:rsidRPr="000773EF" w:rsidR="00E51A2B">
        <w:rPr>
          <w:szCs w:val="26"/>
        </w:rPr>
        <w:t>(</w:t>
      </w:r>
      <w:r w:rsidRPr="000773EF">
        <w:rPr>
          <w:i/>
          <w:iCs/>
          <w:szCs w:val="26"/>
        </w:rPr>
        <w:t>Covalt</w:t>
      </w:r>
      <w:r w:rsidRPr="000773EF" w:rsidR="00E51A2B">
        <w:rPr>
          <w:szCs w:val="26"/>
        </w:rPr>
        <w:t>,</w:t>
      </w:r>
      <w:r w:rsidRPr="000773EF">
        <w:rPr>
          <w:szCs w:val="26"/>
        </w:rPr>
        <w:t xml:space="preserve"> </w:t>
      </w:r>
      <w:r w:rsidRPr="000773EF">
        <w:rPr>
          <w:i/>
          <w:iCs/>
          <w:szCs w:val="26"/>
        </w:rPr>
        <w:t>supra</w:t>
      </w:r>
      <w:r w:rsidRPr="000773EF">
        <w:rPr>
          <w:szCs w:val="26"/>
        </w:rPr>
        <w:t>,</w:t>
      </w:r>
      <w:r w:rsidRPr="000773EF" w:rsidR="00E51A2B">
        <w:rPr>
          <w:szCs w:val="26"/>
        </w:rPr>
        <w:t xml:space="preserve"> </w:t>
      </w:r>
      <w:r w:rsidRPr="000773EF" w:rsidR="00776D80">
        <w:rPr>
          <w:szCs w:val="26"/>
        </w:rPr>
        <w:t xml:space="preserve">13 Cal.4th </w:t>
      </w:r>
      <w:r w:rsidRPr="000773EF" w:rsidR="00E51A2B">
        <w:rPr>
          <w:szCs w:val="26"/>
        </w:rPr>
        <w:t>at p. </w:t>
      </w:r>
      <w:r w:rsidRPr="000773EF" w:rsidR="00A51270">
        <w:rPr>
          <w:szCs w:val="26"/>
        </w:rPr>
        <w:t>9</w:t>
      </w:r>
      <w:r w:rsidRPr="000773EF" w:rsidR="00E51A2B">
        <w:rPr>
          <w:szCs w:val="26"/>
        </w:rPr>
        <w:t>1</w:t>
      </w:r>
      <w:r w:rsidRPr="000773EF" w:rsidR="00422DB8">
        <w:rPr>
          <w:szCs w:val="26"/>
        </w:rPr>
        <w:t>9</w:t>
      </w:r>
      <w:r w:rsidRPr="000773EF" w:rsidR="00D741E0">
        <w:rPr>
          <w:szCs w:val="26"/>
        </w:rPr>
        <w:t>.)  In</w:t>
      </w:r>
      <w:r w:rsidRPr="000773EF" w:rsidR="00DF113A">
        <w:rPr>
          <w:szCs w:val="26"/>
        </w:rPr>
        <w:t xml:space="preserve"> </w:t>
      </w:r>
      <w:r w:rsidRPr="000773EF" w:rsidR="00DF113A">
        <w:rPr>
          <w:i/>
          <w:iCs/>
          <w:szCs w:val="26"/>
        </w:rPr>
        <w:t>Waters</w:t>
      </w:r>
      <w:r w:rsidRPr="000773EF" w:rsidR="00DE746B">
        <w:rPr>
          <w:szCs w:val="26"/>
        </w:rPr>
        <w:t>,</w:t>
      </w:r>
      <w:r w:rsidRPr="000773EF" w:rsidR="00BF166B">
        <w:rPr>
          <w:szCs w:val="26"/>
        </w:rPr>
        <w:t xml:space="preserve"> </w:t>
      </w:r>
      <w:r w:rsidRPr="000773EF" w:rsidR="00B44F87">
        <w:rPr>
          <w:szCs w:val="26"/>
        </w:rPr>
        <w:t xml:space="preserve">a </w:t>
      </w:r>
      <w:r w:rsidRPr="000773EF" w:rsidR="000C0445">
        <w:rPr>
          <w:szCs w:val="26"/>
        </w:rPr>
        <w:t>customer</w:t>
      </w:r>
      <w:r w:rsidRPr="000773EF" w:rsidR="00C40299">
        <w:rPr>
          <w:szCs w:val="26"/>
        </w:rPr>
        <w:t xml:space="preserve"> </w:t>
      </w:r>
      <w:r w:rsidRPr="000773EF" w:rsidR="00345FB3">
        <w:rPr>
          <w:szCs w:val="26"/>
        </w:rPr>
        <w:t>sought damages from her telephone company for its alleged failure to provide adequate phone service.  (</w:t>
      </w:r>
      <w:r w:rsidRPr="000773EF" w:rsidR="00DF113A">
        <w:rPr>
          <w:i/>
          <w:iCs/>
          <w:szCs w:val="26"/>
        </w:rPr>
        <w:t>Waters</w:t>
      </w:r>
      <w:r w:rsidRPr="000773EF" w:rsidR="00DF113A">
        <w:rPr>
          <w:szCs w:val="26"/>
        </w:rPr>
        <w:t xml:space="preserve">, </w:t>
      </w:r>
      <w:r w:rsidRPr="000773EF" w:rsidR="00DF113A">
        <w:rPr>
          <w:i/>
          <w:iCs/>
          <w:szCs w:val="26"/>
        </w:rPr>
        <w:t>supra</w:t>
      </w:r>
      <w:r w:rsidRPr="000773EF" w:rsidR="00DF113A">
        <w:rPr>
          <w:szCs w:val="26"/>
        </w:rPr>
        <w:t xml:space="preserve">, 12 Cal.3d </w:t>
      </w:r>
      <w:r w:rsidRPr="000773EF" w:rsidR="00DE746B">
        <w:rPr>
          <w:szCs w:val="26"/>
        </w:rPr>
        <w:t>at p. 4</w:t>
      </w:r>
      <w:r w:rsidRPr="000773EF" w:rsidR="009C765E">
        <w:rPr>
          <w:i/>
          <w:iCs/>
          <w:szCs w:val="26"/>
        </w:rPr>
        <w:t>.</w:t>
      </w:r>
      <w:r w:rsidRPr="000773EF" w:rsidR="009C765E">
        <w:rPr>
          <w:szCs w:val="26"/>
        </w:rPr>
        <w:t xml:space="preserve">)  </w:t>
      </w:r>
      <w:r w:rsidRPr="000773EF" w:rsidR="00C467BA">
        <w:rPr>
          <w:szCs w:val="26"/>
        </w:rPr>
        <w:t>We explained that b</w:t>
      </w:r>
      <w:r w:rsidRPr="000773EF" w:rsidR="000C0445">
        <w:rPr>
          <w:szCs w:val="26"/>
        </w:rPr>
        <w:t xml:space="preserve">ecause </w:t>
      </w:r>
      <w:r w:rsidRPr="000773EF" w:rsidR="005D0C59">
        <w:rPr>
          <w:szCs w:val="26"/>
        </w:rPr>
        <w:t>the PUC “</w:t>
      </w:r>
      <w:r w:rsidRPr="000773EF" w:rsidR="005D0C59">
        <w:rPr>
          <w:szCs w:val="26"/>
          <w:shd w:val="clear" w:color="auto" w:fill="FFFFFF"/>
        </w:rPr>
        <w:t>ha[d] adopted a policy of limiting the liability of telephone utilities</w:t>
      </w:r>
      <w:r w:rsidRPr="000773EF" w:rsidR="00DE746B">
        <w:rPr>
          <w:szCs w:val="26"/>
          <w:shd w:val="clear" w:color="auto" w:fill="FFFFFF"/>
        </w:rPr>
        <w:t xml:space="preserve"> . . . </w:t>
      </w:r>
      <w:r w:rsidRPr="000773EF" w:rsidR="005D0C59">
        <w:rPr>
          <w:szCs w:val="26"/>
          <w:shd w:val="clear" w:color="auto" w:fill="FFFFFF"/>
        </w:rPr>
        <w:t>for acts of ordinary negligence to a specified credit allowance</w:t>
      </w:r>
      <w:r w:rsidRPr="000773EF" w:rsidR="009C765E">
        <w:rPr>
          <w:szCs w:val="26"/>
          <w:shd w:val="clear" w:color="auto" w:fill="FFFFFF"/>
        </w:rPr>
        <w:t>,</w:t>
      </w:r>
      <w:r w:rsidRPr="000773EF" w:rsidR="005D0C59">
        <w:rPr>
          <w:szCs w:val="26"/>
          <w:shd w:val="clear" w:color="auto" w:fill="FFFFFF"/>
        </w:rPr>
        <w:t>”</w:t>
      </w:r>
      <w:r w:rsidRPr="000773EF" w:rsidR="009C765E">
        <w:rPr>
          <w:szCs w:val="26"/>
          <w:shd w:val="clear" w:color="auto" w:fill="FFFFFF"/>
        </w:rPr>
        <w:t xml:space="preserve"> </w:t>
      </w:r>
      <w:r w:rsidRPr="000773EF" w:rsidR="008A2B02">
        <w:rPr>
          <w:szCs w:val="26"/>
          <w:shd w:val="clear" w:color="auto" w:fill="FFFFFF"/>
        </w:rPr>
        <w:t>allowing a suit for damages “would be contrary to the policy adopted by the commission and would interfere with the commission</w:t>
      </w:r>
      <w:r w:rsidRPr="000773EF" w:rsidR="00DE746B">
        <w:rPr>
          <w:szCs w:val="26"/>
          <w:shd w:val="clear" w:color="auto" w:fill="FFFFFF"/>
        </w:rPr>
        <w:t>’</w:t>
      </w:r>
      <w:r w:rsidRPr="000773EF" w:rsidR="008A2B02">
        <w:rPr>
          <w:szCs w:val="26"/>
          <w:shd w:val="clear" w:color="auto" w:fill="FFFFFF"/>
        </w:rPr>
        <w:t>s regulation of telephone utilities.”</w:t>
      </w:r>
      <w:r w:rsidRPr="000773EF" w:rsidR="005D0C59">
        <w:rPr>
          <w:szCs w:val="26"/>
          <w:shd w:val="clear" w:color="auto" w:fill="FFFFFF"/>
        </w:rPr>
        <w:t xml:space="preserve">  (</w:t>
      </w:r>
      <w:r w:rsidRPr="000773EF" w:rsidR="005D0C59">
        <w:rPr>
          <w:i/>
          <w:iCs/>
          <w:szCs w:val="26"/>
          <w:shd w:val="clear" w:color="auto" w:fill="FFFFFF"/>
        </w:rPr>
        <w:t>Ibid.</w:t>
      </w:r>
      <w:r w:rsidRPr="000773EF" w:rsidR="005D0C59">
        <w:rPr>
          <w:szCs w:val="26"/>
          <w:shd w:val="clear" w:color="auto" w:fill="FFFFFF"/>
        </w:rPr>
        <w:t xml:space="preserve">) </w:t>
      </w:r>
      <w:r w:rsidRPr="000773EF" w:rsidR="008A2B02">
        <w:rPr>
          <w:szCs w:val="26"/>
          <w:shd w:val="clear" w:color="auto" w:fill="FFFFFF"/>
        </w:rPr>
        <w:t xml:space="preserve"> Section 1759 therefore barred the customer’s action.  (</w:t>
      </w:r>
      <w:r w:rsidRPr="000773EF" w:rsidR="008A2B02">
        <w:rPr>
          <w:i/>
          <w:iCs/>
          <w:szCs w:val="26"/>
          <w:shd w:val="clear" w:color="auto" w:fill="FFFFFF"/>
        </w:rPr>
        <w:t>Ibid</w:t>
      </w:r>
      <w:r w:rsidRPr="000773EF" w:rsidR="008A2B02">
        <w:rPr>
          <w:szCs w:val="26"/>
          <w:shd w:val="clear" w:color="auto" w:fill="FFFFFF"/>
        </w:rPr>
        <w:t xml:space="preserve">.)  </w:t>
      </w:r>
    </w:p>
    <w:p w:rsidR="000811DE" w:rsidRPr="000773EF" w:rsidP="00BC7683" w14:paraId="4FB03ED3" w14:textId="77777777">
      <w:pPr>
        <w:shd w:val="clear" w:color="auto" w:fill="FFFFFF"/>
        <w:ind w:firstLine="720"/>
        <w:rPr>
          <w:szCs w:val="26"/>
          <w:shd w:val="clear" w:color="auto" w:fill="FFFFFF"/>
        </w:rPr>
      </w:pPr>
      <w:r w:rsidRPr="000773EF">
        <w:rPr>
          <w:szCs w:val="26"/>
          <w:shd w:val="clear" w:color="auto" w:fill="FFFFFF"/>
        </w:rPr>
        <w:t xml:space="preserve">Similarly, </w:t>
      </w:r>
      <w:r w:rsidRPr="000773EF" w:rsidR="00D7160E">
        <w:rPr>
          <w:szCs w:val="26"/>
          <w:shd w:val="clear" w:color="auto" w:fill="FFFFFF"/>
        </w:rPr>
        <w:t>in</w:t>
      </w:r>
      <w:r w:rsidRPr="000773EF" w:rsidR="00DF113A">
        <w:rPr>
          <w:szCs w:val="26"/>
          <w:shd w:val="clear" w:color="auto" w:fill="FFFFFF"/>
        </w:rPr>
        <w:t xml:space="preserve"> </w:t>
      </w:r>
      <w:r w:rsidRPr="000773EF" w:rsidR="00DF113A">
        <w:rPr>
          <w:i/>
          <w:iCs/>
          <w:szCs w:val="26"/>
          <w:shd w:val="clear" w:color="auto" w:fill="FFFFFF"/>
        </w:rPr>
        <w:t>Covalt</w:t>
      </w:r>
      <w:r w:rsidRPr="000773EF" w:rsidR="0054769C">
        <w:rPr>
          <w:szCs w:val="26"/>
          <w:shd w:val="clear" w:color="auto" w:fill="FFFFFF"/>
        </w:rPr>
        <w:t xml:space="preserve">, </w:t>
      </w:r>
      <w:r w:rsidRPr="000773EF" w:rsidR="00690E97">
        <w:rPr>
          <w:szCs w:val="26"/>
          <w:shd w:val="clear" w:color="auto" w:fill="FFFFFF"/>
        </w:rPr>
        <w:t>homeowners sued a</w:t>
      </w:r>
      <w:r w:rsidRPr="000773EF" w:rsidR="00FF0F4E">
        <w:rPr>
          <w:szCs w:val="26"/>
          <w:shd w:val="clear" w:color="auto" w:fill="FFFFFF"/>
        </w:rPr>
        <w:t>n electric</w:t>
      </w:r>
      <w:r w:rsidRPr="000773EF" w:rsidR="00690E97">
        <w:rPr>
          <w:szCs w:val="26"/>
          <w:shd w:val="clear" w:color="auto" w:fill="FFFFFF"/>
        </w:rPr>
        <w:t xml:space="preserve"> utility</w:t>
      </w:r>
      <w:r w:rsidRPr="000773EF" w:rsidR="001751B4">
        <w:rPr>
          <w:szCs w:val="26"/>
          <w:shd w:val="clear" w:color="auto" w:fill="FFFFFF"/>
        </w:rPr>
        <w:t>,</w:t>
      </w:r>
      <w:r w:rsidRPr="000773EF" w:rsidR="00690E97">
        <w:rPr>
          <w:szCs w:val="26"/>
          <w:shd w:val="clear" w:color="auto" w:fill="FFFFFF"/>
        </w:rPr>
        <w:t xml:space="preserve"> arguing that </w:t>
      </w:r>
      <w:r w:rsidRPr="000773EF" w:rsidR="0076431C">
        <w:rPr>
          <w:szCs w:val="26"/>
          <w:shd w:val="clear" w:color="auto" w:fill="FFFFFF"/>
        </w:rPr>
        <w:t>by increasing the number of power</w:t>
      </w:r>
      <w:r w:rsidRPr="000773EF" w:rsidR="00ED25D1">
        <w:rPr>
          <w:szCs w:val="26"/>
          <w:shd w:val="clear" w:color="auto" w:fill="FFFFFF"/>
        </w:rPr>
        <w:t xml:space="preserve"> </w:t>
      </w:r>
      <w:r w:rsidRPr="000773EF" w:rsidR="0076431C">
        <w:rPr>
          <w:szCs w:val="26"/>
          <w:shd w:val="clear" w:color="auto" w:fill="FFFFFF"/>
        </w:rPr>
        <w:t>lines near the plaintiffs’ home, the utility had “</w:t>
      </w:r>
      <w:r w:rsidRPr="000773EF" w:rsidR="001B0723">
        <w:rPr>
          <w:szCs w:val="26"/>
          <w:shd w:val="clear" w:color="auto" w:fill="FFFFFF"/>
        </w:rPr>
        <w:t> ‘</w:t>
      </w:r>
      <w:r w:rsidRPr="000773EF" w:rsidR="0076431C">
        <w:rPr>
          <w:szCs w:val="26"/>
          <w:shd w:val="clear" w:color="auto" w:fill="FFFFFF"/>
        </w:rPr>
        <w:t>dramatically increased the dangerous levels of electromagnetic radi</w:t>
      </w:r>
      <w:r w:rsidRPr="000773EF" w:rsidR="001B0723">
        <w:rPr>
          <w:szCs w:val="26"/>
          <w:shd w:val="clear" w:color="auto" w:fill="FFFFFF"/>
        </w:rPr>
        <w:t>a</w:t>
      </w:r>
      <w:r w:rsidRPr="000773EF" w:rsidR="0076431C">
        <w:rPr>
          <w:szCs w:val="26"/>
          <w:shd w:val="clear" w:color="auto" w:fill="FFFFFF"/>
        </w:rPr>
        <w:t>tion flowing onto plaintiffs’ property.</w:t>
      </w:r>
      <w:r w:rsidRPr="000773EF" w:rsidR="001B0723">
        <w:rPr>
          <w:szCs w:val="26"/>
          <w:shd w:val="clear" w:color="auto" w:fill="FFFFFF"/>
        </w:rPr>
        <w:t>’ </w:t>
      </w:r>
      <w:r w:rsidRPr="000773EF" w:rsidR="0076431C">
        <w:rPr>
          <w:szCs w:val="26"/>
          <w:shd w:val="clear" w:color="auto" w:fill="FFFFFF"/>
        </w:rPr>
        <w:t>”</w:t>
      </w:r>
      <w:r w:rsidRPr="000773EF" w:rsidR="001B0723">
        <w:rPr>
          <w:szCs w:val="26"/>
          <w:shd w:val="clear" w:color="auto" w:fill="FFFFFF"/>
        </w:rPr>
        <w:t xml:space="preserve">  (</w:t>
      </w:r>
      <w:r w:rsidRPr="000773EF" w:rsidR="00DF113A">
        <w:rPr>
          <w:i/>
          <w:iCs/>
          <w:szCs w:val="26"/>
          <w:shd w:val="clear" w:color="auto" w:fill="FFFFFF"/>
        </w:rPr>
        <w:t>Covalt</w:t>
      </w:r>
      <w:r w:rsidRPr="000773EF" w:rsidR="00DF113A">
        <w:rPr>
          <w:szCs w:val="26"/>
          <w:shd w:val="clear" w:color="auto" w:fill="FFFFFF"/>
        </w:rPr>
        <w:t xml:space="preserve">, </w:t>
      </w:r>
      <w:r w:rsidRPr="000773EF" w:rsidR="00DF113A">
        <w:rPr>
          <w:i/>
          <w:iCs/>
          <w:szCs w:val="26"/>
          <w:shd w:val="clear" w:color="auto" w:fill="FFFFFF"/>
        </w:rPr>
        <w:t>supra</w:t>
      </w:r>
      <w:r w:rsidRPr="000773EF" w:rsidR="00DF113A">
        <w:rPr>
          <w:szCs w:val="26"/>
          <w:shd w:val="clear" w:color="auto" w:fill="FFFFFF"/>
        </w:rPr>
        <w:t>, 13 Cal.4th</w:t>
      </w:r>
      <w:r w:rsidRPr="000773EF" w:rsidR="0054769C">
        <w:rPr>
          <w:i/>
          <w:iCs/>
          <w:szCs w:val="26"/>
          <w:shd w:val="clear" w:color="auto" w:fill="FFFFFF"/>
        </w:rPr>
        <w:t xml:space="preserve"> </w:t>
      </w:r>
      <w:r w:rsidRPr="000773EF" w:rsidR="0054769C">
        <w:rPr>
          <w:szCs w:val="26"/>
          <w:shd w:val="clear" w:color="auto" w:fill="FFFFFF"/>
        </w:rPr>
        <w:t>at p. 911</w:t>
      </w:r>
      <w:r w:rsidRPr="000773EF" w:rsidR="001B0723">
        <w:rPr>
          <w:szCs w:val="26"/>
          <w:shd w:val="clear" w:color="auto" w:fill="FFFFFF"/>
        </w:rPr>
        <w:t xml:space="preserve">.)  </w:t>
      </w:r>
      <w:r w:rsidRPr="000773EF" w:rsidR="00101624">
        <w:rPr>
          <w:szCs w:val="26"/>
          <w:shd w:val="clear" w:color="auto" w:fill="FFFFFF"/>
        </w:rPr>
        <w:t>Over the previous decade, the</w:t>
      </w:r>
      <w:r w:rsidRPr="000773EF" w:rsidR="00B017A0">
        <w:rPr>
          <w:szCs w:val="26"/>
          <w:shd w:val="clear" w:color="auto" w:fill="FFFFFF"/>
        </w:rPr>
        <w:t xml:space="preserve"> PUC had </w:t>
      </w:r>
      <w:r w:rsidRPr="000773EF" w:rsidR="000B56DA">
        <w:rPr>
          <w:szCs w:val="26"/>
          <w:shd w:val="clear" w:color="auto" w:fill="FFFFFF"/>
        </w:rPr>
        <w:t xml:space="preserve">undertaken a </w:t>
      </w:r>
      <w:r w:rsidRPr="000773EF" w:rsidR="004C1024">
        <w:rPr>
          <w:szCs w:val="26"/>
          <w:shd w:val="clear" w:color="auto" w:fill="FFFFFF"/>
        </w:rPr>
        <w:t xml:space="preserve">lengthy and </w:t>
      </w:r>
      <w:r w:rsidRPr="000773EF" w:rsidR="00101624">
        <w:rPr>
          <w:szCs w:val="26"/>
          <w:shd w:val="clear" w:color="auto" w:fill="FFFFFF"/>
        </w:rPr>
        <w:t xml:space="preserve">thorough review of the available scientific evidence, </w:t>
      </w:r>
      <w:r w:rsidRPr="000773EF" w:rsidR="00176A38">
        <w:rPr>
          <w:szCs w:val="26"/>
          <w:shd w:val="clear" w:color="auto" w:fill="FFFFFF"/>
        </w:rPr>
        <w:t xml:space="preserve">had </w:t>
      </w:r>
      <w:r w:rsidRPr="000773EF" w:rsidR="00B017A0">
        <w:rPr>
          <w:szCs w:val="26"/>
          <w:shd w:val="clear" w:color="auto" w:fill="FFFFFF"/>
        </w:rPr>
        <w:t xml:space="preserve">determined that </w:t>
      </w:r>
      <w:r w:rsidRPr="000773EF" w:rsidR="008C2AE0">
        <w:rPr>
          <w:szCs w:val="26"/>
          <w:shd w:val="clear" w:color="auto" w:fill="FFFFFF"/>
        </w:rPr>
        <w:t xml:space="preserve">the </w:t>
      </w:r>
      <w:r w:rsidRPr="000773EF" w:rsidR="00B017A0">
        <w:rPr>
          <w:szCs w:val="26"/>
          <w:shd w:val="clear" w:color="auto" w:fill="FFFFFF"/>
        </w:rPr>
        <w:t xml:space="preserve">evidence did not establish that electric and magnetic fields </w:t>
      </w:r>
      <w:r w:rsidRPr="000773EF" w:rsidR="00176A38">
        <w:rPr>
          <w:szCs w:val="26"/>
          <w:shd w:val="clear" w:color="auto" w:fill="FFFFFF"/>
        </w:rPr>
        <w:t xml:space="preserve">(EMF) </w:t>
      </w:r>
      <w:r w:rsidRPr="000773EF" w:rsidR="00B017A0">
        <w:rPr>
          <w:szCs w:val="26"/>
          <w:shd w:val="clear" w:color="auto" w:fill="FFFFFF"/>
        </w:rPr>
        <w:t>were dangerous</w:t>
      </w:r>
      <w:r w:rsidRPr="000773EF" w:rsidR="00176A38">
        <w:rPr>
          <w:szCs w:val="26"/>
          <w:shd w:val="clear" w:color="auto" w:fill="FFFFFF"/>
        </w:rPr>
        <w:t>, and had issued a seven-point EMF policy.</w:t>
      </w:r>
      <w:r w:rsidRPr="000773EF" w:rsidR="00F217DE">
        <w:rPr>
          <w:szCs w:val="26"/>
          <w:shd w:val="clear" w:color="auto" w:fill="FFFFFF"/>
        </w:rPr>
        <w:t xml:space="preserve">  (</w:t>
      </w:r>
      <w:r w:rsidRPr="000773EF" w:rsidR="00F217DE">
        <w:rPr>
          <w:i/>
          <w:iCs/>
          <w:szCs w:val="26"/>
          <w:shd w:val="clear" w:color="auto" w:fill="FFFFFF"/>
        </w:rPr>
        <w:t>Id</w:t>
      </w:r>
      <w:r w:rsidRPr="000773EF" w:rsidR="00F217DE">
        <w:rPr>
          <w:szCs w:val="26"/>
          <w:shd w:val="clear" w:color="auto" w:fill="FFFFFF"/>
        </w:rPr>
        <w:t xml:space="preserve">. at pp. 926–934.)  </w:t>
      </w:r>
      <w:r w:rsidRPr="000773EF" w:rsidR="00C467BA">
        <w:rPr>
          <w:szCs w:val="26"/>
          <w:shd w:val="clear" w:color="auto" w:fill="FFFFFF"/>
        </w:rPr>
        <w:t>We held that b</w:t>
      </w:r>
      <w:r w:rsidRPr="000773EF" w:rsidR="00801B22">
        <w:rPr>
          <w:szCs w:val="26"/>
          <w:shd w:val="clear" w:color="auto" w:fill="FFFFFF"/>
        </w:rPr>
        <w:t>ecause t</w:t>
      </w:r>
      <w:r w:rsidRPr="000773EF" w:rsidR="00A84E26">
        <w:rPr>
          <w:szCs w:val="26"/>
          <w:shd w:val="clear" w:color="auto" w:fill="FFFFFF"/>
        </w:rPr>
        <w:t xml:space="preserve">he suit sought a court determination that EMF “are in fact dangerous,” a </w:t>
      </w:r>
      <w:r w:rsidRPr="000773EF" w:rsidR="00B76983">
        <w:rPr>
          <w:szCs w:val="26"/>
          <w:shd w:val="clear" w:color="auto" w:fill="FFFFFF"/>
        </w:rPr>
        <w:t>determination that “would plainly undermine and in</w:t>
      </w:r>
      <w:r w:rsidRPr="000773EF" w:rsidR="005E745E">
        <w:rPr>
          <w:szCs w:val="26"/>
          <w:shd w:val="clear" w:color="auto" w:fill="FFFFFF"/>
        </w:rPr>
        <w:t>terfere with [PUC] policy” (</w:t>
      </w:r>
      <w:r w:rsidRPr="000773EF" w:rsidR="00801B22">
        <w:rPr>
          <w:i/>
          <w:iCs/>
          <w:szCs w:val="26"/>
          <w:shd w:val="clear" w:color="auto" w:fill="FFFFFF"/>
        </w:rPr>
        <w:t>i</w:t>
      </w:r>
      <w:r w:rsidRPr="000773EF" w:rsidR="005E745E">
        <w:rPr>
          <w:i/>
          <w:iCs/>
          <w:szCs w:val="26"/>
          <w:shd w:val="clear" w:color="auto" w:fill="FFFFFF"/>
        </w:rPr>
        <w:t>d.</w:t>
      </w:r>
      <w:r w:rsidRPr="000773EF" w:rsidR="005E745E">
        <w:rPr>
          <w:szCs w:val="26"/>
          <w:shd w:val="clear" w:color="auto" w:fill="FFFFFF"/>
        </w:rPr>
        <w:t xml:space="preserve"> at p. 947)</w:t>
      </w:r>
      <w:r w:rsidRPr="000773EF" w:rsidR="00801B22">
        <w:rPr>
          <w:szCs w:val="26"/>
          <w:shd w:val="clear" w:color="auto" w:fill="FFFFFF"/>
        </w:rPr>
        <w:t>,</w:t>
      </w:r>
      <w:r w:rsidRPr="000773EF" w:rsidR="005E745E">
        <w:rPr>
          <w:szCs w:val="26"/>
          <w:shd w:val="clear" w:color="auto" w:fill="FFFFFF"/>
        </w:rPr>
        <w:t xml:space="preserve"> </w:t>
      </w:r>
      <w:r w:rsidRPr="000773EF" w:rsidR="00801B22">
        <w:rPr>
          <w:szCs w:val="26"/>
          <w:shd w:val="clear" w:color="auto" w:fill="FFFFFF"/>
        </w:rPr>
        <w:t>s</w:t>
      </w:r>
      <w:r w:rsidRPr="000773EF" w:rsidR="00376106">
        <w:rPr>
          <w:szCs w:val="26"/>
          <w:shd w:val="clear" w:color="auto" w:fill="FFFFFF"/>
        </w:rPr>
        <w:t>ection 1759 barr</w:t>
      </w:r>
      <w:r w:rsidRPr="000773EF" w:rsidR="00A84E26">
        <w:rPr>
          <w:szCs w:val="26"/>
          <w:shd w:val="clear" w:color="auto" w:fill="FFFFFF"/>
        </w:rPr>
        <w:t>e</w:t>
      </w:r>
      <w:r w:rsidRPr="000773EF" w:rsidR="00376106">
        <w:rPr>
          <w:szCs w:val="26"/>
          <w:shd w:val="clear" w:color="auto" w:fill="FFFFFF"/>
        </w:rPr>
        <w:t xml:space="preserve">d the </w:t>
      </w:r>
      <w:r w:rsidRPr="000773EF" w:rsidR="00801B22">
        <w:rPr>
          <w:szCs w:val="26"/>
          <w:shd w:val="clear" w:color="auto" w:fill="FFFFFF"/>
        </w:rPr>
        <w:t>action</w:t>
      </w:r>
      <w:r w:rsidRPr="000773EF">
        <w:rPr>
          <w:szCs w:val="26"/>
          <w:shd w:val="clear" w:color="auto" w:fill="FFFFFF"/>
        </w:rPr>
        <w:t xml:space="preserve"> (</w:t>
      </w:r>
      <w:r w:rsidRPr="000773EF" w:rsidR="00801B22">
        <w:rPr>
          <w:i/>
          <w:iCs/>
          <w:szCs w:val="26"/>
          <w:shd w:val="clear" w:color="auto" w:fill="FFFFFF"/>
        </w:rPr>
        <w:t>i</w:t>
      </w:r>
      <w:r w:rsidRPr="000773EF">
        <w:rPr>
          <w:i/>
          <w:iCs/>
          <w:szCs w:val="26"/>
          <w:shd w:val="clear" w:color="auto" w:fill="FFFFFF"/>
        </w:rPr>
        <w:t xml:space="preserve">d. </w:t>
      </w:r>
      <w:r w:rsidRPr="000773EF">
        <w:rPr>
          <w:szCs w:val="26"/>
          <w:shd w:val="clear" w:color="auto" w:fill="FFFFFF"/>
        </w:rPr>
        <w:t>at p. 903)</w:t>
      </w:r>
      <w:r w:rsidRPr="000773EF" w:rsidR="00801B22">
        <w:rPr>
          <w:szCs w:val="26"/>
          <w:shd w:val="clear" w:color="auto" w:fill="FFFFFF"/>
        </w:rPr>
        <w:t>.</w:t>
      </w:r>
    </w:p>
    <w:p w:rsidR="00356422" w:rsidRPr="000773EF" w:rsidP="00BC7683" w14:paraId="4FB03ED4" w14:textId="77777777">
      <w:pPr>
        <w:shd w:val="clear" w:color="auto" w:fill="FFFFFF"/>
        <w:ind w:firstLine="720"/>
        <w:rPr>
          <w:b/>
          <w:bCs/>
          <w:i/>
          <w:iCs/>
          <w:szCs w:val="26"/>
          <w:shd w:val="clear" w:color="auto" w:fill="FFFFFF"/>
        </w:rPr>
      </w:pPr>
      <w:r>
        <w:rPr>
          <w:szCs w:val="26"/>
          <w:shd w:val="clear" w:color="auto" w:fill="FFFFFF"/>
        </w:rPr>
        <w:t>And</w:t>
      </w:r>
      <w:r w:rsidRPr="000773EF" w:rsidR="00B10E8C">
        <w:rPr>
          <w:szCs w:val="26"/>
          <w:shd w:val="clear" w:color="auto" w:fill="FFFFFF"/>
        </w:rPr>
        <w:t xml:space="preserve"> in </w:t>
      </w:r>
      <w:r w:rsidRPr="000773EF" w:rsidR="00A90D25">
        <w:rPr>
          <w:i/>
          <w:iCs/>
          <w:szCs w:val="26"/>
          <w:shd w:val="clear" w:color="auto" w:fill="FFFFFF"/>
        </w:rPr>
        <w:t>Hartwell</w:t>
      </w:r>
      <w:r w:rsidRPr="000773EF" w:rsidR="00A90D25">
        <w:rPr>
          <w:szCs w:val="26"/>
          <w:shd w:val="clear" w:color="auto" w:fill="FFFFFF"/>
        </w:rPr>
        <w:t>,</w:t>
      </w:r>
      <w:r w:rsidRPr="000773EF" w:rsidR="00B10E8C">
        <w:rPr>
          <w:szCs w:val="26"/>
          <w:shd w:val="clear" w:color="auto" w:fill="FFFFFF"/>
        </w:rPr>
        <w:t xml:space="preserve"> plaintiffs sued </w:t>
      </w:r>
      <w:r w:rsidRPr="000773EF" w:rsidR="00DC32B6">
        <w:rPr>
          <w:szCs w:val="26"/>
          <w:shd w:val="clear" w:color="auto" w:fill="FFFFFF"/>
        </w:rPr>
        <w:t>water utilities for providing allegedly contaminated drinking water</w:t>
      </w:r>
      <w:r w:rsidRPr="000773EF" w:rsidR="00984EC3">
        <w:rPr>
          <w:szCs w:val="26"/>
          <w:shd w:val="clear" w:color="auto" w:fill="FFFFFF"/>
        </w:rPr>
        <w:t xml:space="preserve">, </w:t>
      </w:r>
      <w:r w:rsidRPr="000773EF" w:rsidR="007425E0">
        <w:rPr>
          <w:szCs w:val="26"/>
          <w:shd w:val="clear" w:color="auto" w:fill="FFFFFF"/>
        </w:rPr>
        <w:t>regardless of whether</w:t>
      </w:r>
      <w:r w:rsidRPr="000773EF" w:rsidR="00984EC3">
        <w:rPr>
          <w:szCs w:val="26"/>
          <w:shd w:val="clear" w:color="auto" w:fill="FFFFFF"/>
        </w:rPr>
        <w:t xml:space="preserve"> </w:t>
      </w:r>
      <w:r w:rsidRPr="000773EF" w:rsidR="00EF06CF">
        <w:rPr>
          <w:szCs w:val="26"/>
          <w:shd w:val="clear" w:color="auto" w:fill="FFFFFF"/>
        </w:rPr>
        <w:t>the contaminant</w:t>
      </w:r>
      <w:r w:rsidRPr="000773EF" w:rsidR="00C467BA">
        <w:rPr>
          <w:szCs w:val="26"/>
          <w:shd w:val="clear" w:color="auto" w:fill="FFFFFF"/>
        </w:rPr>
        <w:t>s</w:t>
      </w:r>
      <w:r w:rsidRPr="000773EF" w:rsidR="00EF06CF">
        <w:rPr>
          <w:szCs w:val="26"/>
          <w:shd w:val="clear" w:color="auto" w:fill="FFFFFF"/>
        </w:rPr>
        <w:t xml:space="preserve"> </w:t>
      </w:r>
      <w:r w:rsidRPr="000773EF" w:rsidR="00C467BA">
        <w:rPr>
          <w:szCs w:val="26"/>
          <w:shd w:val="clear" w:color="auto" w:fill="FFFFFF"/>
        </w:rPr>
        <w:t>exceeded the</w:t>
      </w:r>
      <w:r w:rsidRPr="000773EF" w:rsidR="00EF06CF">
        <w:rPr>
          <w:szCs w:val="26"/>
          <w:shd w:val="clear" w:color="auto" w:fill="FFFFFF"/>
        </w:rPr>
        <w:t xml:space="preserve"> levels allowed by the PUC</w:t>
      </w:r>
      <w:r w:rsidRPr="000773EF" w:rsidR="00984EC3">
        <w:rPr>
          <w:szCs w:val="26"/>
          <w:shd w:val="clear" w:color="auto" w:fill="FFFFFF"/>
        </w:rPr>
        <w:t xml:space="preserve">. </w:t>
      </w:r>
      <w:r w:rsidRPr="000773EF" w:rsidR="00DC32B6">
        <w:rPr>
          <w:szCs w:val="26"/>
          <w:shd w:val="clear" w:color="auto" w:fill="FFFFFF"/>
        </w:rPr>
        <w:t xml:space="preserve"> </w:t>
      </w:r>
      <w:r w:rsidRPr="000773EF" w:rsidR="00731AC0">
        <w:rPr>
          <w:szCs w:val="26"/>
          <w:shd w:val="clear" w:color="auto" w:fill="FFFFFF"/>
        </w:rPr>
        <w:t>(</w:t>
      </w:r>
      <w:r w:rsidRPr="000773EF" w:rsidR="00731AC0">
        <w:rPr>
          <w:i/>
          <w:iCs/>
          <w:szCs w:val="26"/>
          <w:shd w:val="clear" w:color="auto" w:fill="FFFFFF"/>
        </w:rPr>
        <w:t>Hartwell</w:t>
      </w:r>
      <w:r w:rsidRPr="000773EF" w:rsidR="00731AC0">
        <w:rPr>
          <w:szCs w:val="26"/>
          <w:shd w:val="clear" w:color="auto" w:fill="FFFFFF"/>
        </w:rPr>
        <w:t xml:space="preserve">, </w:t>
      </w:r>
      <w:r w:rsidRPr="000773EF" w:rsidR="00731AC0">
        <w:rPr>
          <w:i/>
          <w:iCs/>
          <w:szCs w:val="26"/>
          <w:shd w:val="clear" w:color="auto" w:fill="FFFFFF"/>
        </w:rPr>
        <w:t>supra</w:t>
      </w:r>
      <w:r w:rsidRPr="000773EF" w:rsidR="00731AC0">
        <w:rPr>
          <w:szCs w:val="26"/>
          <w:shd w:val="clear" w:color="auto" w:fill="FFFFFF"/>
        </w:rPr>
        <w:t>, 27 Cal.4th at pp. </w:t>
      </w:r>
      <w:r w:rsidRPr="000773EF" w:rsidR="00DF113A">
        <w:rPr>
          <w:szCs w:val="26"/>
          <w:shd w:val="clear" w:color="auto" w:fill="FFFFFF"/>
        </w:rPr>
        <w:t>275–276.</w:t>
      </w:r>
      <w:r w:rsidRPr="000773EF" w:rsidR="00731AC0">
        <w:rPr>
          <w:szCs w:val="26"/>
          <w:shd w:val="clear" w:color="auto" w:fill="FFFFFF"/>
        </w:rPr>
        <w:t xml:space="preserve">)  </w:t>
      </w:r>
      <w:r w:rsidRPr="000773EF" w:rsidR="00CA74D4">
        <w:rPr>
          <w:szCs w:val="26"/>
          <w:shd w:val="clear" w:color="auto" w:fill="FFFFFF"/>
        </w:rPr>
        <w:t xml:space="preserve">Section 1759 </w:t>
      </w:r>
      <w:r w:rsidRPr="000773EF" w:rsidR="0057046B">
        <w:rPr>
          <w:szCs w:val="26"/>
          <w:shd w:val="clear" w:color="auto" w:fill="FFFFFF"/>
        </w:rPr>
        <w:t>barred</w:t>
      </w:r>
      <w:r w:rsidRPr="000773EF" w:rsidR="00CA74D4">
        <w:rPr>
          <w:szCs w:val="26"/>
          <w:shd w:val="clear" w:color="auto" w:fill="FFFFFF"/>
        </w:rPr>
        <w:t xml:space="preserve"> </w:t>
      </w:r>
      <w:r w:rsidRPr="000773EF" w:rsidR="00947D59">
        <w:rPr>
          <w:szCs w:val="26"/>
          <w:shd w:val="clear" w:color="auto" w:fill="FFFFFF"/>
        </w:rPr>
        <w:t>the subset of</w:t>
      </w:r>
      <w:r w:rsidRPr="000773EF" w:rsidR="00984EC3">
        <w:rPr>
          <w:szCs w:val="26"/>
          <w:shd w:val="clear" w:color="auto" w:fill="FFFFFF"/>
        </w:rPr>
        <w:t xml:space="preserve"> c</w:t>
      </w:r>
      <w:r w:rsidRPr="000773EF" w:rsidR="00DC32B6">
        <w:rPr>
          <w:szCs w:val="26"/>
          <w:shd w:val="clear" w:color="auto" w:fill="FFFFFF"/>
        </w:rPr>
        <w:t xml:space="preserve">laims </w:t>
      </w:r>
      <w:r w:rsidRPr="000773EF" w:rsidR="00984EC3">
        <w:rPr>
          <w:szCs w:val="26"/>
          <w:shd w:val="clear" w:color="auto" w:fill="FFFFFF"/>
        </w:rPr>
        <w:t>based</w:t>
      </w:r>
      <w:r w:rsidRPr="000773EF" w:rsidR="00CA74D4">
        <w:rPr>
          <w:szCs w:val="26"/>
          <w:shd w:val="clear" w:color="auto" w:fill="FFFFFF"/>
        </w:rPr>
        <w:t xml:space="preserve"> “on the theory that the public utilities provided unhealthy water, even if that water actually met [Department of Health Services] and PUC standards.”  </w:t>
      </w:r>
      <w:r w:rsidRPr="000773EF" w:rsidR="00A90D25">
        <w:rPr>
          <w:szCs w:val="26"/>
          <w:shd w:val="clear" w:color="auto" w:fill="FFFFFF"/>
        </w:rPr>
        <w:t>(</w:t>
      </w:r>
      <w:r w:rsidRPr="000773EF" w:rsidR="00F843A8">
        <w:rPr>
          <w:i/>
          <w:iCs/>
          <w:szCs w:val="26"/>
          <w:shd w:val="clear" w:color="auto" w:fill="FFFFFF"/>
        </w:rPr>
        <w:t>Hartwell</w:t>
      </w:r>
      <w:r w:rsidRPr="000773EF" w:rsidR="00F843A8">
        <w:rPr>
          <w:szCs w:val="26"/>
          <w:shd w:val="clear" w:color="auto" w:fill="FFFFFF"/>
        </w:rPr>
        <w:t>,</w:t>
      </w:r>
      <w:r w:rsidRPr="000773EF" w:rsidR="00A90D25">
        <w:rPr>
          <w:szCs w:val="26"/>
          <w:shd w:val="clear" w:color="auto" w:fill="FFFFFF"/>
        </w:rPr>
        <w:t xml:space="preserve"> at p. 276.)  </w:t>
      </w:r>
      <w:r w:rsidRPr="000773EF" w:rsidR="00CA74D4">
        <w:rPr>
          <w:szCs w:val="26"/>
          <w:shd w:val="clear" w:color="auto" w:fill="FFFFFF"/>
        </w:rPr>
        <w:t xml:space="preserve">At the same time, </w:t>
      </w:r>
      <w:r w:rsidRPr="000773EF" w:rsidR="00A90D25">
        <w:rPr>
          <w:szCs w:val="26"/>
          <w:shd w:val="clear" w:color="auto" w:fill="FFFFFF"/>
        </w:rPr>
        <w:t>“</w:t>
      </w:r>
      <w:r w:rsidRPr="000773EF" w:rsidR="00CA74D4">
        <w:rPr>
          <w:szCs w:val="26"/>
          <w:shd w:val="clear" w:color="auto" w:fill="FFFFFF"/>
        </w:rPr>
        <w:t xml:space="preserve">damage claims based on the theory that the water failed to meet federal and state drinking water standards </w:t>
      </w:r>
      <w:r w:rsidRPr="000773EF" w:rsidR="00A90D25">
        <w:rPr>
          <w:szCs w:val="26"/>
          <w:shd w:val="clear" w:color="auto" w:fill="FFFFFF"/>
        </w:rPr>
        <w:t>[were]</w:t>
      </w:r>
      <w:r w:rsidRPr="000773EF" w:rsidR="00CA74D4">
        <w:rPr>
          <w:szCs w:val="26"/>
          <w:shd w:val="clear" w:color="auto" w:fill="FFFFFF"/>
        </w:rPr>
        <w:t xml:space="preserve"> not preempted by</w:t>
      </w:r>
      <w:r w:rsidR="0074302D">
        <w:rPr>
          <w:szCs w:val="26"/>
          <w:shd w:val="clear" w:color="auto" w:fill="FFFFFF"/>
        </w:rPr>
        <w:t xml:space="preserve"> </w:t>
      </w:r>
      <w:r w:rsidRPr="000773EF" w:rsidR="00CA74D4">
        <w:rPr>
          <w:szCs w:val="26"/>
          <w:bdr w:val="none" w:sz="0" w:space="0" w:color="auto" w:frame="1"/>
          <w:shd w:val="clear" w:color="auto" w:fill="FFFFFF"/>
        </w:rPr>
        <w:t>section 1759</w:t>
      </w:r>
      <w:r w:rsidRPr="000773EF" w:rsidR="00A90D25">
        <w:rPr>
          <w:szCs w:val="26"/>
          <w:bdr w:val="none" w:sz="0" w:space="0" w:color="auto" w:frame="1"/>
          <w:shd w:val="clear" w:color="auto" w:fill="FFFFFF"/>
        </w:rPr>
        <w:t>.</w:t>
      </w:r>
      <w:r w:rsidRPr="000773EF" w:rsidR="00CA74D4">
        <w:rPr>
          <w:szCs w:val="26"/>
          <w:shd w:val="clear" w:color="auto" w:fill="FFFFFF"/>
        </w:rPr>
        <w:t>”</w:t>
      </w:r>
      <w:r w:rsidRPr="000773EF" w:rsidR="00A90D25">
        <w:rPr>
          <w:szCs w:val="26"/>
          <w:shd w:val="clear" w:color="auto" w:fill="FFFFFF"/>
        </w:rPr>
        <w:t xml:space="preserve">  (</w:t>
      </w:r>
      <w:r w:rsidRPr="000773EF" w:rsidR="00A90D25">
        <w:rPr>
          <w:i/>
          <w:iCs/>
          <w:szCs w:val="26"/>
          <w:shd w:val="clear" w:color="auto" w:fill="FFFFFF"/>
        </w:rPr>
        <w:t>Ibid.</w:t>
      </w:r>
      <w:r w:rsidRPr="000773EF" w:rsidR="00A90D25">
        <w:rPr>
          <w:szCs w:val="26"/>
          <w:shd w:val="clear" w:color="auto" w:fill="FFFFFF"/>
        </w:rPr>
        <w:t>)</w:t>
      </w:r>
      <w:r w:rsidRPr="000773EF" w:rsidR="00353D88">
        <w:rPr>
          <w:szCs w:val="26"/>
          <w:shd w:val="clear" w:color="auto" w:fill="FFFFFF"/>
        </w:rPr>
        <w:t xml:space="preserve">  </w:t>
      </w:r>
      <w:r w:rsidRPr="000773EF" w:rsidR="00E56BB7">
        <w:rPr>
          <w:szCs w:val="26"/>
          <w:shd w:val="clear" w:color="auto" w:fill="FFFFFF"/>
        </w:rPr>
        <w:t xml:space="preserve">“A jury award based on a finding that a public water utility violated </w:t>
      </w:r>
      <w:r w:rsidRPr="000773EF" w:rsidR="008533AE">
        <w:rPr>
          <w:szCs w:val="26"/>
          <w:shd w:val="clear" w:color="auto" w:fill="FFFFFF"/>
        </w:rPr>
        <w:t>[</w:t>
      </w:r>
      <w:r w:rsidRPr="000773EF" w:rsidR="00201851">
        <w:rPr>
          <w:szCs w:val="26"/>
          <w:shd w:val="clear" w:color="auto" w:fill="FFFFFF"/>
        </w:rPr>
        <w:t>state</w:t>
      </w:r>
      <w:r w:rsidRPr="000773EF" w:rsidR="008533AE">
        <w:rPr>
          <w:szCs w:val="26"/>
          <w:shd w:val="clear" w:color="auto" w:fill="FFFFFF"/>
        </w:rPr>
        <w:t>]</w:t>
      </w:r>
      <w:r w:rsidRPr="000773EF" w:rsidR="00E56BB7">
        <w:rPr>
          <w:szCs w:val="26"/>
          <w:shd w:val="clear" w:color="auto" w:fill="FFFFFF"/>
        </w:rPr>
        <w:t xml:space="preserve"> standards would not interfere with the PUC regulatory policy requiring water utility compliance with those standards.”  (</w:t>
      </w:r>
      <w:r w:rsidRPr="000773EF" w:rsidR="00E56BB7">
        <w:rPr>
          <w:i/>
          <w:iCs/>
          <w:szCs w:val="26"/>
          <w:shd w:val="clear" w:color="auto" w:fill="FFFFFF"/>
        </w:rPr>
        <w:t>Ibid.</w:t>
      </w:r>
      <w:r w:rsidRPr="000773EF" w:rsidR="00E56BB7">
        <w:rPr>
          <w:szCs w:val="26"/>
          <w:shd w:val="clear" w:color="auto" w:fill="FFFFFF"/>
        </w:rPr>
        <w:t>)</w:t>
      </w:r>
    </w:p>
    <w:p w:rsidR="00294C97" w:rsidRPr="000773EF" w:rsidP="00BC7683" w14:paraId="4FB03ED5" w14:textId="77777777">
      <w:pPr>
        <w:shd w:val="clear" w:color="auto" w:fill="FFFFFF"/>
        <w:jc w:val="center"/>
        <w:rPr>
          <w:b/>
          <w:bCs/>
          <w:szCs w:val="26"/>
          <w:shd w:val="clear" w:color="auto" w:fill="FFFFFF"/>
        </w:rPr>
      </w:pPr>
      <w:r w:rsidRPr="000773EF">
        <w:rPr>
          <w:b/>
          <w:bCs/>
          <w:szCs w:val="26"/>
          <w:shd w:val="clear" w:color="auto" w:fill="FFFFFF"/>
        </w:rPr>
        <w:t>III.</w:t>
      </w:r>
    </w:p>
    <w:p w:rsidR="00A41AB5" w:rsidRPr="000773EF" w:rsidP="00BC7683" w14:paraId="4FB03ED6" w14:textId="77777777">
      <w:pPr>
        <w:ind w:firstLine="720"/>
        <w:rPr>
          <w:szCs w:val="26"/>
        </w:rPr>
      </w:pPr>
      <w:r w:rsidRPr="000773EF">
        <w:rPr>
          <w:szCs w:val="26"/>
        </w:rPr>
        <w:t>With this background in mind, we t</w:t>
      </w:r>
      <w:r w:rsidRPr="000773EF" w:rsidR="00141206">
        <w:rPr>
          <w:szCs w:val="26"/>
        </w:rPr>
        <w:t>urn to the present case</w:t>
      </w:r>
      <w:r w:rsidRPr="000773EF">
        <w:rPr>
          <w:szCs w:val="26"/>
        </w:rPr>
        <w:t xml:space="preserve">.  The parties agree that the PUC has the authority to regulate PSPS and that it has exercised that authority.  Gantner does not challenge the PUC’s general PSPS regulations or policies, nor does he challenge the procedures undertaken by the PUC to create those policies.  </w:t>
      </w:r>
      <w:r w:rsidRPr="000773EF" w:rsidR="001568E1">
        <w:rPr>
          <w:szCs w:val="26"/>
        </w:rPr>
        <w:t xml:space="preserve">He </w:t>
      </w:r>
      <w:r w:rsidRPr="000773EF">
        <w:rPr>
          <w:szCs w:val="26"/>
        </w:rPr>
        <w:t xml:space="preserve">does not allege that PG&amp;E’s 2019 </w:t>
      </w:r>
      <w:r w:rsidRPr="000773EF" w:rsidR="00BD4451">
        <w:rPr>
          <w:szCs w:val="26"/>
        </w:rPr>
        <w:t xml:space="preserve">shutoff events </w:t>
      </w:r>
      <w:r w:rsidRPr="000773EF">
        <w:rPr>
          <w:szCs w:val="26"/>
        </w:rPr>
        <w:t>were unnecessary or that they were conducted in violation of PUC regulations or requirements</w:t>
      </w:r>
      <w:r w:rsidRPr="000773EF" w:rsidR="001568E1">
        <w:rPr>
          <w:szCs w:val="26"/>
        </w:rPr>
        <w:t>, and we have no occasion to consider how section 1759 might apply to a suit predicated on PUC findings that a utility violated PUC guidelines by or while implementing a PSPS event.</w:t>
      </w:r>
      <w:r w:rsidRPr="000773EF">
        <w:rPr>
          <w:szCs w:val="26"/>
        </w:rPr>
        <w:t xml:space="preserve">  </w:t>
      </w:r>
      <w:r w:rsidRPr="000773EF" w:rsidR="001568E1">
        <w:rPr>
          <w:szCs w:val="26"/>
        </w:rPr>
        <w:t>Further, Gantner</w:t>
      </w:r>
      <w:r w:rsidRPr="000773EF">
        <w:rPr>
          <w:szCs w:val="26"/>
        </w:rPr>
        <w:t xml:space="preserve"> does not seek damages or injunctive relief based on harms resulting directly from PG&amp;E’s negligent grid maintenance.  Rather, </w:t>
      </w:r>
      <w:r w:rsidRPr="000773EF" w:rsidR="001568E1">
        <w:rPr>
          <w:szCs w:val="26"/>
        </w:rPr>
        <w:t>he</w:t>
      </w:r>
      <w:r w:rsidRPr="000773EF">
        <w:rPr>
          <w:szCs w:val="26"/>
        </w:rPr>
        <w:t xml:space="preserve"> alleges that PG&amp;E’s negligent maintenance caused the need for the 2019 PSPS events, which in turn </w:t>
      </w:r>
      <w:r w:rsidRPr="000773EF" w:rsidR="004B25CB">
        <w:rPr>
          <w:szCs w:val="26"/>
        </w:rPr>
        <w:t xml:space="preserve">led </w:t>
      </w:r>
      <w:r w:rsidRPr="000773EF">
        <w:rPr>
          <w:szCs w:val="26"/>
        </w:rPr>
        <w:t xml:space="preserve">directly </w:t>
      </w:r>
      <w:r w:rsidRPr="000773EF" w:rsidR="004B25CB">
        <w:rPr>
          <w:szCs w:val="26"/>
        </w:rPr>
        <w:t xml:space="preserve">to </w:t>
      </w:r>
      <w:r w:rsidRPr="000773EF">
        <w:rPr>
          <w:szCs w:val="26"/>
        </w:rPr>
        <w:t xml:space="preserve">the alleged damages.  </w:t>
      </w:r>
      <w:r w:rsidR="00E67FEA">
        <w:rPr>
          <w:szCs w:val="26"/>
        </w:rPr>
        <w:t>The</w:t>
      </w:r>
      <w:r w:rsidRPr="000773EF">
        <w:rPr>
          <w:szCs w:val="26"/>
        </w:rPr>
        <w:t xml:space="preserve"> question is whether Gantner’s action would interfere with the PUC’s exercise of its authority to regulate PSPS.</w:t>
      </w:r>
      <w:r w:rsidRPr="000773EF" w:rsidR="009B2E53">
        <w:rPr>
          <w:szCs w:val="26"/>
        </w:rPr>
        <w:t xml:space="preserve"> </w:t>
      </w:r>
    </w:p>
    <w:p w:rsidR="00365759" w:rsidRPr="000773EF" w:rsidP="00BC7683" w14:paraId="4FB03ED7" w14:textId="77777777">
      <w:pPr>
        <w:jc w:val="center"/>
        <w:rPr>
          <w:b/>
          <w:bCs/>
          <w:szCs w:val="26"/>
        </w:rPr>
      </w:pPr>
      <w:r w:rsidRPr="000773EF">
        <w:rPr>
          <w:b/>
          <w:bCs/>
          <w:szCs w:val="26"/>
        </w:rPr>
        <w:t>A.</w:t>
      </w:r>
    </w:p>
    <w:p w:rsidR="00A97BE7" w:rsidRPr="000773EF" w:rsidP="00BC7683" w14:paraId="4FB03ED8" w14:textId="77777777">
      <w:pPr>
        <w:ind w:firstLine="720"/>
        <w:rPr>
          <w:szCs w:val="26"/>
        </w:rPr>
      </w:pPr>
      <w:r w:rsidRPr="000773EF">
        <w:rPr>
          <w:szCs w:val="26"/>
        </w:rPr>
        <w:t>Gantner alleges th</w:t>
      </w:r>
      <w:r w:rsidRPr="000773EF" w:rsidR="00D9313D">
        <w:rPr>
          <w:szCs w:val="26"/>
        </w:rPr>
        <w:t xml:space="preserve">at </w:t>
      </w:r>
      <w:r w:rsidRPr="000773EF" w:rsidR="00C7662E">
        <w:rPr>
          <w:szCs w:val="26"/>
        </w:rPr>
        <w:t xml:space="preserve">the </w:t>
      </w:r>
      <w:r w:rsidRPr="000773EF" w:rsidR="00D9313D">
        <w:rPr>
          <w:szCs w:val="26"/>
        </w:rPr>
        <w:t xml:space="preserve">fall 2019 </w:t>
      </w:r>
      <w:r w:rsidRPr="000773EF">
        <w:rPr>
          <w:szCs w:val="26"/>
        </w:rPr>
        <w:t xml:space="preserve">PSPS </w:t>
      </w:r>
      <w:r w:rsidRPr="000773EF" w:rsidR="00D9313D">
        <w:rPr>
          <w:szCs w:val="26"/>
        </w:rPr>
        <w:t xml:space="preserve">events </w:t>
      </w:r>
      <w:r w:rsidRPr="000773EF">
        <w:rPr>
          <w:szCs w:val="26"/>
        </w:rPr>
        <w:t xml:space="preserve">“were a direct and legal result of the negligence” of PG&amp;E in maintaining its grid </w:t>
      </w:r>
      <w:r w:rsidRPr="000773EF" w:rsidR="00832F59">
        <w:rPr>
          <w:szCs w:val="26"/>
        </w:rPr>
        <w:t xml:space="preserve">and </w:t>
      </w:r>
      <w:r w:rsidRPr="000773EF">
        <w:rPr>
          <w:szCs w:val="26"/>
        </w:rPr>
        <w:t xml:space="preserve">that “PG&amp;E breached its duty of care to millions of its customers </w:t>
      </w:r>
      <w:r w:rsidRPr="000773EF">
        <w:rPr>
          <w:i/>
          <w:iCs/>
          <w:szCs w:val="26"/>
        </w:rPr>
        <w:t>by shutting off their power</w:t>
      </w:r>
      <w:r w:rsidRPr="000773EF">
        <w:rPr>
          <w:szCs w:val="26"/>
        </w:rPr>
        <w:t xml:space="preserve"> . . . .” </w:t>
      </w:r>
      <w:r w:rsidR="0051549A">
        <w:rPr>
          <w:szCs w:val="26"/>
        </w:rPr>
        <w:t xml:space="preserve"> (Italics added.)</w:t>
      </w:r>
      <w:r w:rsidRPr="000773EF">
        <w:rPr>
          <w:szCs w:val="26"/>
        </w:rPr>
        <w:t xml:space="preserve">  </w:t>
      </w:r>
      <w:r w:rsidRPr="000773EF" w:rsidR="00AB027C">
        <w:rPr>
          <w:szCs w:val="26"/>
        </w:rPr>
        <w:t>Gantner’s suit</w:t>
      </w:r>
      <w:r w:rsidRPr="000773EF" w:rsidR="001751B4">
        <w:rPr>
          <w:szCs w:val="26"/>
        </w:rPr>
        <w:t>, while</w:t>
      </w:r>
      <w:r w:rsidRPr="000773EF" w:rsidR="00AB027C">
        <w:rPr>
          <w:szCs w:val="26"/>
        </w:rPr>
        <w:t xml:space="preserve"> alleg</w:t>
      </w:r>
      <w:r w:rsidRPr="000773EF" w:rsidR="001751B4">
        <w:rPr>
          <w:szCs w:val="26"/>
        </w:rPr>
        <w:t>ing</w:t>
      </w:r>
      <w:r w:rsidRPr="000773EF" w:rsidR="00AB027C">
        <w:rPr>
          <w:szCs w:val="26"/>
        </w:rPr>
        <w:t xml:space="preserve"> negligence by PG&amp;E in grid maintenance</w:t>
      </w:r>
      <w:r w:rsidRPr="000773EF" w:rsidR="0068464A">
        <w:rPr>
          <w:szCs w:val="26"/>
        </w:rPr>
        <w:t xml:space="preserve"> only</w:t>
      </w:r>
      <w:r w:rsidRPr="000773EF" w:rsidR="00AB027C">
        <w:rPr>
          <w:szCs w:val="26"/>
        </w:rPr>
        <w:t xml:space="preserve">, </w:t>
      </w:r>
      <w:r w:rsidRPr="000773EF" w:rsidR="001751B4">
        <w:rPr>
          <w:szCs w:val="26"/>
        </w:rPr>
        <w:t xml:space="preserve">claims that </w:t>
      </w:r>
      <w:r w:rsidRPr="000773EF" w:rsidR="00AB027C">
        <w:rPr>
          <w:szCs w:val="26"/>
        </w:rPr>
        <w:t xml:space="preserve">all of the alleged harm — and all damages sought — flow directly from PG&amp;E’s fall 2019 PSPS events.  </w:t>
      </w:r>
      <w:r w:rsidRPr="000773EF" w:rsidR="00AB2BBD">
        <w:rPr>
          <w:szCs w:val="26"/>
        </w:rPr>
        <w:t xml:space="preserve">To award damages </w:t>
      </w:r>
      <w:r w:rsidRPr="000773EF" w:rsidR="00A9256D">
        <w:rPr>
          <w:szCs w:val="26"/>
        </w:rPr>
        <w:t>on this theory</w:t>
      </w:r>
      <w:r w:rsidRPr="000773EF">
        <w:rPr>
          <w:szCs w:val="26"/>
        </w:rPr>
        <w:t xml:space="preserve">, a court would have to find that </w:t>
      </w:r>
      <w:r w:rsidRPr="000773EF" w:rsidR="00832F59">
        <w:rPr>
          <w:szCs w:val="26"/>
        </w:rPr>
        <w:t xml:space="preserve">PG&amp;E </w:t>
      </w:r>
      <w:r w:rsidRPr="000773EF" w:rsidR="00284914">
        <w:rPr>
          <w:szCs w:val="26"/>
        </w:rPr>
        <w:t xml:space="preserve">breached its duty by </w:t>
      </w:r>
      <w:r w:rsidRPr="000773EF" w:rsidR="00832F59">
        <w:rPr>
          <w:szCs w:val="26"/>
        </w:rPr>
        <w:t>negligen</w:t>
      </w:r>
      <w:r w:rsidRPr="000773EF" w:rsidR="00827D67">
        <w:rPr>
          <w:szCs w:val="26"/>
        </w:rPr>
        <w:t>t</w:t>
      </w:r>
      <w:r w:rsidRPr="000773EF" w:rsidR="00284914">
        <w:rPr>
          <w:szCs w:val="26"/>
        </w:rPr>
        <w:t>ly</w:t>
      </w:r>
      <w:r w:rsidRPr="000773EF" w:rsidR="00827D67">
        <w:rPr>
          <w:szCs w:val="26"/>
        </w:rPr>
        <w:t xml:space="preserve"> maint</w:t>
      </w:r>
      <w:r w:rsidRPr="000773EF" w:rsidR="00284914">
        <w:rPr>
          <w:szCs w:val="26"/>
        </w:rPr>
        <w:t xml:space="preserve">aining its grid </w:t>
      </w:r>
      <w:r w:rsidRPr="000773EF" w:rsidR="00C53BE9">
        <w:rPr>
          <w:szCs w:val="26"/>
        </w:rPr>
        <w:t xml:space="preserve">and that this negligence foreseeably </w:t>
      </w:r>
      <w:r w:rsidRPr="000773EF" w:rsidR="009464E9">
        <w:rPr>
          <w:szCs w:val="26"/>
        </w:rPr>
        <w:t>caused</w:t>
      </w:r>
      <w:r w:rsidRPr="000773EF" w:rsidR="00C53BE9">
        <w:rPr>
          <w:szCs w:val="26"/>
        </w:rPr>
        <w:t xml:space="preserve"> the PSPS events and resulting harms</w:t>
      </w:r>
      <w:r w:rsidRPr="000773EF" w:rsidR="00D62ACB">
        <w:rPr>
          <w:szCs w:val="26"/>
        </w:rPr>
        <w:t>.</w:t>
      </w:r>
      <w:r w:rsidRPr="000773EF" w:rsidR="00C53BE9">
        <w:rPr>
          <w:szCs w:val="26"/>
        </w:rPr>
        <w:t xml:space="preserve"> </w:t>
      </w:r>
      <w:r w:rsidRPr="000773EF" w:rsidR="00D62ACB">
        <w:rPr>
          <w:szCs w:val="26"/>
        </w:rPr>
        <w:t xml:space="preserve"> </w:t>
      </w:r>
      <w:r w:rsidRPr="000773EF">
        <w:rPr>
          <w:szCs w:val="26"/>
        </w:rPr>
        <w:t xml:space="preserve">But the PUC has already instituted procedures for evaluating PSPS before and after a power shutoff, along with its own criteria for examining the propriety of each PSPS decision.  </w:t>
      </w:r>
      <w:r w:rsidRPr="000773EF" w:rsidR="00044304">
        <w:rPr>
          <w:szCs w:val="26"/>
        </w:rPr>
        <w:t xml:space="preserve">Although the PUC has conducted extensive investigation into the fall 2019 PSPS events, </w:t>
      </w:r>
      <w:r w:rsidRPr="000773EF" w:rsidR="00C529F2">
        <w:rPr>
          <w:szCs w:val="26"/>
        </w:rPr>
        <w:t xml:space="preserve">Gantner’s suit </w:t>
      </w:r>
      <w:r w:rsidRPr="000773EF" w:rsidR="00044304">
        <w:rPr>
          <w:szCs w:val="26"/>
        </w:rPr>
        <w:t>d</w:t>
      </w:r>
      <w:r w:rsidRPr="000773EF" w:rsidR="00C529F2">
        <w:rPr>
          <w:szCs w:val="26"/>
        </w:rPr>
        <w:t>oes</w:t>
      </w:r>
      <w:r w:rsidRPr="000773EF">
        <w:rPr>
          <w:szCs w:val="26"/>
        </w:rPr>
        <w:t xml:space="preserve"> not adopt </w:t>
      </w:r>
      <w:r w:rsidRPr="000773EF" w:rsidR="00044304">
        <w:rPr>
          <w:szCs w:val="26"/>
        </w:rPr>
        <w:t xml:space="preserve">any </w:t>
      </w:r>
      <w:r w:rsidRPr="000773EF" w:rsidR="009B2E53">
        <w:rPr>
          <w:szCs w:val="26"/>
        </w:rPr>
        <w:t xml:space="preserve">of the PUC’s </w:t>
      </w:r>
      <w:r w:rsidRPr="000773EF">
        <w:rPr>
          <w:szCs w:val="26"/>
        </w:rPr>
        <w:t>findings or conclusions</w:t>
      </w:r>
      <w:r w:rsidRPr="000773EF" w:rsidR="00044304">
        <w:rPr>
          <w:szCs w:val="26"/>
        </w:rPr>
        <w:t>.</w:t>
      </w:r>
      <w:r w:rsidRPr="000773EF">
        <w:rPr>
          <w:szCs w:val="26"/>
        </w:rPr>
        <w:t xml:space="preserve">  Rather, by claiming damages for PSPS events without regard to </w:t>
      </w:r>
      <w:r w:rsidRPr="000773EF" w:rsidR="00C529F2">
        <w:rPr>
          <w:szCs w:val="26"/>
        </w:rPr>
        <w:t>whether t</w:t>
      </w:r>
      <w:r w:rsidRPr="000773EF">
        <w:rPr>
          <w:szCs w:val="26"/>
        </w:rPr>
        <w:t xml:space="preserve">hose events were necessary </w:t>
      </w:r>
      <w:r w:rsidRPr="000773EF" w:rsidR="00044304">
        <w:rPr>
          <w:szCs w:val="26"/>
        </w:rPr>
        <w:t>or</w:t>
      </w:r>
      <w:r w:rsidRPr="000773EF">
        <w:rPr>
          <w:szCs w:val="26"/>
        </w:rPr>
        <w:t xml:space="preserve"> properly executed under PUC guidelines, Gantner’s suit impermissibly interferes with the PUC’s supervisory policies regarding both PSPS implementation and post hoc reasonableness review.</w:t>
      </w:r>
    </w:p>
    <w:p w:rsidR="000A0B2D" w:rsidRPr="000773EF" w:rsidP="00BC7683" w14:paraId="4FB03ED9" w14:textId="77777777">
      <w:pPr>
        <w:ind w:firstLine="720"/>
        <w:rPr>
          <w:szCs w:val="26"/>
        </w:rPr>
      </w:pPr>
      <w:r w:rsidRPr="000773EF">
        <w:rPr>
          <w:szCs w:val="26"/>
        </w:rPr>
        <w:t xml:space="preserve">First, </w:t>
      </w:r>
      <w:r w:rsidRPr="000773EF" w:rsidR="00022D05">
        <w:rPr>
          <w:szCs w:val="26"/>
        </w:rPr>
        <w:t xml:space="preserve">Gantner’s suit would interfere with the </w:t>
      </w:r>
      <w:r w:rsidRPr="000773EF" w:rsidR="005039B1">
        <w:rPr>
          <w:szCs w:val="26"/>
        </w:rPr>
        <w:t>PUC’s “broad and continuing</w:t>
      </w:r>
      <w:r w:rsidRPr="000773EF" w:rsidR="0056767B">
        <w:rPr>
          <w:szCs w:val="26"/>
        </w:rPr>
        <w:t xml:space="preserve"> supervisory</w:t>
      </w:r>
      <w:r w:rsidRPr="000773EF" w:rsidR="002D3999">
        <w:rPr>
          <w:szCs w:val="26"/>
        </w:rPr>
        <w:t> . . .</w:t>
      </w:r>
      <w:r w:rsidRPr="000773EF" w:rsidR="0056767B">
        <w:rPr>
          <w:szCs w:val="26"/>
        </w:rPr>
        <w:t xml:space="preserve"> program” over the implement</w:t>
      </w:r>
      <w:r w:rsidRPr="000773EF" w:rsidR="00252287">
        <w:rPr>
          <w:szCs w:val="26"/>
        </w:rPr>
        <w:t>at</w:t>
      </w:r>
      <w:r w:rsidRPr="000773EF" w:rsidR="0056767B">
        <w:rPr>
          <w:szCs w:val="26"/>
        </w:rPr>
        <w:t>ion of PSPS events.</w:t>
      </w:r>
      <w:r w:rsidRPr="000773EF" w:rsidR="00B163B5">
        <w:rPr>
          <w:szCs w:val="26"/>
        </w:rPr>
        <w:t xml:space="preserve">  (</w:t>
      </w:r>
      <w:r w:rsidRPr="000773EF" w:rsidR="00B163B5">
        <w:rPr>
          <w:i/>
          <w:iCs/>
          <w:szCs w:val="26"/>
        </w:rPr>
        <w:t>Covalt</w:t>
      </w:r>
      <w:r w:rsidRPr="000773EF" w:rsidR="00B163B5">
        <w:rPr>
          <w:szCs w:val="26"/>
        </w:rPr>
        <w:t xml:space="preserve">, </w:t>
      </w:r>
      <w:r w:rsidRPr="000773EF" w:rsidR="00B163B5">
        <w:rPr>
          <w:i/>
          <w:iCs/>
          <w:szCs w:val="26"/>
        </w:rPr>
        <w:t>supra</w:t>
      </w:r>
      <w:r w:rsidRPr="000773EF" w:rsidR="00B163B5">
        <w:rPr>
          <w:szCs w:val="26"/>
        </w:rPr>
        <w:t xml:space="preserve">, </w:t>
      </w:r>
      <w:r w:rsidRPr="000773EF" w:rsidR="003870D9">
        <w:rPr>
          <w:szCs w:val="26"/>
        </w:rPr>
        <w:t>13 Cal.4th at p. 919.</w:t>
      </w:r>
      <w:r w:rsidRPr="000773EF" w:rsidR="00B163B5">
        <w:rPr>
          <w:szCs w:val="26"/>
        </w:rPr>
        <w:t>)</w:t>
      </w:r>
      <w:r w:rsidRPr="000773EF" w:rsidR="0056767B">
        <w:rPr>
          <w:szCs w:val="26"/>
        </w:rPr>
        <w:t xml:space="preserve"> </w:t>
      </w:r>
      <w:r w:rsidRPr="000773EF" w:rsidR="005039B1">
        <w:rPr>
          <w:szCs w:val="26"/>
        </w:rPr>
        <w:t xml:space="preserve"> </w:t>
      </w:r>
      <w:r w:rsidRPr="000773EF" w:rsidR="0056767B">
        <w:rPr>
          <w:szCs w:val="26"/>
        </w:rPr>
        <w:t xml:space="preserve">For over a decade, the PUC has emphasized that a utility’s decision to shut off power must </w:t>
      </w:r>
      <w:r w:rsidRPr="000773EF" w:rsidR="004B2046">
        <w:rPr>
          <w:szCs w:val="26"/>
        </w:rPr>
        <w:t xml:space="preserve">stem from its overarching duty to </w:t>
      </w:r>
      <w:r w:rsidRPr="000773EF" w:rsidR="00CB0BDB">
        <w:rPr>
          <w:szCs w:val="26"/>
        </w:rPr>
        <w:t xml:space="preserve">protect public safety.  </w:t>
      </w:r>
      <w:r w:rsidRPr="004B4B58" w:rsidR="00442000">
        <w:rPr>
          <w:szCs w:val="26"/>
        </w:rPr>
        <w:t>(</w:t>
      </w:r>
      <w:r w:rsidRPr="004B4B58" w:rsidR="000A137E">
        <w:rPr>
          <w:szCs w:val="26"/>
        </w:rPr>
        <w:t>Cal.</w:t>
      </w:r>
      <w:r w:rsidRPr="004B4B58" w:rsidR="00442000">
        <w:rPr>
          <w:szCs w:val="26"/>
        </w:rPr>
        <w:t>P</w:t>
      </w:r>
      <w:r w:rsidRPr="004B4B58" w:rsidR="000A137E">
        <w:rPr>
          <w:szCs w:val="26"/>
        </w:rPr>
        <w:t>.</w:t>
      </w:r>
      <w:r w:rsidRPr="004B4B58" w:rsidR="00442000">
        <w:rPr>
          <w:szCs w:val="26"/>
        </w:rPr>
        <w:t>U</w:t>
      </w:r>
      <w:r w:rsidRPr="004B4B58" w:rsidR="000A137E">
        <w:rPr>
          <w:szCs w:val="26"/>
        </w:rPr>
        <w:t>.</w:t>
      </w:r>
      <w:r w:rsidRPr="004B4B58" w:rsidR="00442000">
        <w:rPr>
          <w:szCs w:val="26"/>
        </w:rPr>
        <w:t>C</w:t>
      </w:r>
      <w:r w:rsidRPr="004B4B58" w:rsidR="000A137E">
        <w:rPr>
          <w:szCs w:val="26"/>
        </w:rPr>
        <w:t>.</w:t>
      </w:r>
      <w:r w:rsidRPr="004B4B58" w:rsidR="00442000">
        <w:rPr>
          <w:szCs w:val="26"/>
        </w:rPr>
        <w:t xml:space="preserve"> Dec. </w:t>
      </w:r>
      <w:r w:rsidRPr="004B4B58" w:rsidR="000A137E">
        <w:rPr>
          <w:szCs w:val="26"/>
        </w:rPr>
        <w:t>No. </w:t>
      </w:r>
      <w:r w:rsidRPr="004B4B58" w:rsidR="006B58C4">
        <w:rPr>
          <w:szCs w:val="26"/>
        </w:rPr>
        <w:t>09-09-030</w:t>
      </w:r>
      <w:r w:rsidRPr="004B4B58" w:rsidR="000404ED">
        <w:rPr>
          <w:szCs w:val="26"/>
        </w:rPr>
        <w:t xml:space="preserve">, </w:t>
      </w:r>
      <w:r w:rsidRPr="004B4B58" w:rsidR="000404ED">
        <w:rPr>
          <w:i/>
          <w:iCs/>
          <w:szCs w:val="26"/>
        </w:rPr>
        <w:t>supra</w:t>
      </w:r>
      <w:r w:rsidR="004B4B58">
        <w:rPr>
          <w:szCs w:val="26"/>
        </w:rPr>
        <w:t>,</w:t>
      </w:r>
      <w:r w:rsidRPr="004B4B58" w:rsidR="00FF44E0">
        <w:rPr>
          <w:szCs w:val="26"/>
        </w:rPr>
        <w:t xml:space="preserve"> 2009 Cal.P.U.C. Lexis 437</w:t>
      </w:r>
      <w:r w:rsidRPr="004B4B58" w:rsidR="006B58C4">
        <w:rPr>
          <w:szCs w:val="26"/>
        </w:rPr>
        <w:t xml:space="preserve"> at p. </w:t>
      </w:r>
      <w:r w:rsidRPr="004B4B58" w:rsidR="00220138">
        <w:rPr>
          <w:szCs w:val="26"/>
        </w:rPr>
        <w:t>*98</w:t>
      </w:r>
      <w:r w:rsidRPr="004B4B58" w:rsidR="00123FA5">
        <w:rPr>
          <w:szCs w:val="26"/>
        </w:rPr>
        <w:t>.)</w:t>
      </w:r>
      <w:r w:rsidRPr="000773EF" w:rsidR="000D70E8">
        <w:rPr>
          <w:szCs w:val="26"/>
        </w:rPr>
        <w:t xml:space="preserve"> </w:t>
      </w:r>
      <w:r w:rsidRPr="000773EF" w:rsidR="00442000">
        <w:rPr>
          <w:szCs w:val="26"/>
        </w:rPr>
        <w:t xml:space="preserve"> </w:t>
      </w:r>
      <w:r w:rsidRPr="000773EF" w:rsidR="00491871">
        <w:rPr>
          <w:szCs w:val="26"/>
        </w:rPr>
        <w:t>PUC guidelines provide that before deciding to implement a PSPS event, “a utility must first engage in a critical analysis.”  (</w:t>
      </w:r>
      <w:r w:rsidRPr="000773EF" w:rsidR="000A137E">
        <w:rPr>
          <w:szCs w:val="26"/>
        </w:rPr>
        <w:t>Cal.</w:t>
      </w:r>
      <w:r w:rsidRPr="000773EF" w:rsidR="00B43209">
        <w:rPr>
          <w:szCs w:val="26"/>
          <w:shd w:val="clear" w:color="auto" w:fill="FFFFFF"/>
        </w:rPr>
        <w:t>P</w:t>
      </w:r>
      <w:r w:rsidRPr="000773EF" w:rsidR="000A137E">
        <w:rPr>
          <w:szCs w:val="26"/>
          <w:shd w:val="clear" w:color="auto" w:fill="FFFFFF"/>
        </w:rPr>
        <w:t>.</w:t>
      </w:r>
      <w:r w:rsidRPr="000773EF" w:rsidR="00B43209">
        <w:rPr>
          <w:szCs w:val="26"/>
          <w:shd w:val="clear" w:color="auto" w:fill="FFFFFF"/>
        </w:rPr>
        <w:t>U</w:t>
      </w:r>
      <w:r w:rsidRPr="000773EF" w:rsidR="000A137E">
        <w:rPr>
          <w:szCs w:val="26"/>
          <w:shd w:val="clear" w:color="auto" w:fill="FFFFFF"/>
        </w:rPr>
        <w:t>.</w:t>
      </w:r>
      <w:r w:rsidRPr="000773EF" w:rsidR="00B43209">
        <w:rPr>
          <w:szCs w:val="26"/>
          <w:shd w:val="clear" w:color="auto" w:fill="FFFFFF"/>
        </w:rPr>
        <w:t>C</w:t>
      </w:r>
      <w:r w:rsidRPr="000773EF" w:rsidR="000A137E">
        <w:rPr>
          <w:szCs w:val="26"/>
          <w:shd w:val="clear" w:color="auto" w:fill="FFFFFF"/>
        </w:rPr>
        <w:t>.</w:t>
      </w:r>
      <w:r w:rsidRPr="000773EF" w:rsidR="00B43209">
        <w:rPr>
          <w:szCs w:val="26"/>
          <w:shd w:val="clear" w:color="auto" w:fill="FFFFFF"/>
        </w:rPr>
        <w:t xml:space="preserve"> Dec. </w:t>
      </w:r>
      <w:r w:rsidRPr="000773EF" w:rsidR="000A137E">
        <w:rPr>
          <w:szCs w:val="26"/>
          <w:shd w:val="clear" w:color="auto" w:fill="FFFFFF"/>
        </w:rPr>
        <w:t>No. </w:t>
      </w:r>
      <w:r w:rsidRPr="000773EF" w:rsidR="00B43209">
        <w:rPr>
          <w:szCs w:val="26"/>
          <w:shd w:val="clear" w:color="auto" w:fill="FFFFFF"/>
        </w:rPr>
        <w:t xml:space="preserve">21-06-014, </w:t>
      </w:r>
      <w:r w:rsidRPr="000773EF" w:rsidR="00AC7A41">
        <w:rPr>
          <w:i/>
          <w:iCs/>
          <w:szCs w:val="26"/>
          <w:shd w:val="clear" w:color="auto" w:fill="FFFFFF"/>
        </w:rPr>
        <w:t>supra</w:t>
      </w:r>
      <w:r w:rsidR="004F149D">
        <w:rPr>
          <w:szCs w:val="26"/>
          <w:shd w:val="clear" w:color="auto" w:fill="FFFFFF"/>
        </w:rPr>
        <w:t>,</w:t>
      </w:r>
      <w:r w:rsidRPr="000773EF" w:rsidR="0026148C">
        <w:rPr>
          <w:szCs w:val="26"/>
          <w:shd w:val="clear" w:color="auto" w:fill="FFFFFF"/>
        </w:rPr>
        <w:t xml:space="preserve"> 2021 Cal.P.U.C. Lexis 278</w:t>
      </w:r>
      <w:r w:rsidRPr="000773EF" w:rsidR="00AC7A41">
        <w:rPr>
          <w:szCs w:val="26"/>
          <w:shd w:val="clear" w:color="auto" w:fill="FFFFFF"/>
        </w:rPr>
        <w:t xml:space="preserve"> </w:t>
      </w:r>
      <w:r w:rsidRPr="000773EF" w:rsidR="00491871">
        <w:rPr>
          <w:szCs w:val="26"/>
        </w:rPr>
        <w:t>at p. </w:t>
      </w:r>
      <w:r w:rsidRPr="000773EF" w:rsidR="00451E29">
        <w:rPr>
          <w:szCs w:val="26"/>
        </w:rPr>
        <w:t>*54</w:t>
      </w:r>
      <w:r w:rsidRPr="000773EF" w:rsidR="00491871">
        <w:rPr>
          <w:szCs w:val="26"/>
        </w:rPr>
        <w:t>.)  The utility must “identify and consider the safety risks to the public from shutting off electric power</w:t>
      </w:r>
      <w:r w:rsidRPr="000773EF" w:rsidR="00B77929">
        <w:rPr>
          <w:szCs w:val="26"/>
        </w:rPr>
        <w:t>,</w:t>
      </w:r>
      <w:r w:rsidRPr="000773EF" w:rsidR="00491871">
        <w:rPr>
          <w:szCs w:val="26"/>
        </w:rPr>
        <w:t>” and “then the utility must weigh the risks of a PSPS event against the benefits of initiating a PSPS event.”  (</w:t>
      </w:r>
      <w:r w:rsidRPr="000773EF" w:rsidR="00491871">
        <w:rPr>
          <w:i/>
          <w:iCs/>
          <w:szCs w:val="26"/>
        </w:rPr>
        <w:t>Ibid.</w:t>
      </w:r>
      <w:r w:rsidRPr="000773EF" w:rsidR="00491871">
        <w:rPr>
          <w:szCs w:val="26"/>
        </w:rPr>
        <w:t xml:space="preserve">)  </w:t>
      </w:r>
      <w:r w:rsidRPr="000773EF" w:rsidR="000718F0">
        <w:rPr>
          <w:szCs w:val="26"/>
        </w:rPr>
        <w:t>The PUC has “explained, in detail, the potential for ‘significant’ adverse impacts on the general public as a result of power shutoffs due to wildfire concerns.”  (</w:t>
      </w:r>
      <w:r w:rsidRPr="000773EF" w:rsidR="000718F0">
        <w:rPr>
          <w:i/>
          <w:iCs/>
          <w:szCs w:val="26"/>
        </w:rPr>
        <w:t xml:space="preserve">Id. </w:t>
      </w:r>
      <w:r w:rsidRPr="000773EF" w:rsidR="000718F0">
        <w:rPr>
          <w:szCs w:val="26"/>
        </w:rPr>
        <w:t>at p. </w:t>
      </w:r>
      <w:r w:rsidRPr="000773EF" w:rsidR="005605F2">
        <w:rPr>
          <w:szCs w:val="26"/>
        </w:rPr>
        <w:t>*</w:t>
      </w:r>
      <w:r w:rsidRPr="000773EF" w:rsidR="000718F0">
        <w:rPr>
          <w:szCs w:val="26"/>
        </w:rPr>
        <w:t>1</w:t>
      </w:r>
      <w:r w:rsidRPr="000773EF" w:rsidR="005605F2">
        <w:rPr>
          <w:szCs w:val="26"/>
        </w:rPr>
        <w:t>3</w:t>
      </w:r>
      <w:r w:rsidRPr="000773EF" w:rsidR="009279B3">
        <w:rPr>
          <w:szCs w:val="26"/>
        </w:rPr>
        <w:t xml:space="preserve">; see </w:t>
      </w:r>
      <w:r w:rsidRPr="000773EF" w:rsidR="009279B3">
        <w:rPr>
          <w:i/>
          <w:iCs/>
          <w:szCs w:val="26"/>
        </w:rPr>
        <w:t>id.</w:t>
      </w:r>
      <w:r w:rsidRPr="000773EF" w:rsidR="009279B3">
        <w:rPr>
          <w:szCs w:val="26"/>
        </w:rPr>
        <w:t xml:space="preserve"> at pp. </w:t>
      </w:r>
      <w:r w:rsidRPr="000773EF" w:rsidR="005605F2">
        <w:rPr>
          <w:szCs w:val="26"/>
        </w:rPr>
        <w:t>*</w:t>
      </w:r>
      <w:r w:rsidRPr="000773EF" w:rsidR="009279B3">
        <w:rPr>
          <w:szCs w:val="26"/>
        </w:rPr>
        <w:t>1</w:t>
      </w:r>
      <w:r w:rsidRPr="000773EF" w:rsidR="005605F2">
        <w:rPr>
          <w:szCs w:val="26"/>
        </w:rPr>
        <w:t>3</w:t>
      </w:r>
      <w:r w:rsidRPr="000773EF" w:rsidR="009279B3">
        <w:rPr>
          <w:szCs w:val="26"/>
        </w:rPr>
        <w:t>–</w:t>
      </w:r>
      <w:r w:rsidR="00F9795E">
        <w:rPr>
          <w:szCs w:val="26"/>
        </w:rPr>
        <w:t>*</w:t>
      </w:r>
      <w:r w:rsidRPr="000773EF" w:rsidR="009279B3">
        <w:rPr>
          <w:szCs w:val="26"/>
        </w:rPr>
        <w:t>14</w:t>
      </w:r>
      <w:r w:rsidRPr="000773EF" w:rsidR="000718F0">
        <w:rPr>
          <w:szCs w:val="26"/>
        </w:rPr>
        <w:t xml:space="preserve"> [describing 15 categories of harm that may result from power shutoffs].)  </w:t>
      </w:r>
      <w:r w:rsidRPr="000773EF" w:rsidR="00CD324C">
        <w:rPr>
          <w:szCs w:val="26"/>
        </w:rPr>
        <w:t xml:space="preserve">Nevertheless, </w:t>
      </w:r>
      <w:r w:rsidRPr="000773EF" w:rsidR="005879BB">
        <w:rPr>
          <w:szCs w:val="26"/>
        </w:rPr>
        <w:t xml:space="preserve">the PUC has </w:t>
      </w:r>
      <w:r w:rsidRPr="000773EF" w:rsidR="003E73E7">
        <w:rPr>
          <w:szCs w:val="26"/>
        </w:rPr>
        <w:t xml:space="preserve">authorized the regulated use of PSPS events as a </w:t>
      </w:r>
      <w:r w:rsidRPr="000773EF" w:rsidR="00E4391C">
        <w:rPr>
          <w:szCs w:val="26"/>
        </w:rPr>
        <w:t>“last resort</w:t>
      </w:r>
      <w:r w:rsidRPr="000773EF" w:rsidR="003E73E7">
        <w:rPr>
          <w:szCs w:val="26"/>
        </w:rPr>
        <w:t>,</w:t>
      </w:r>
      <w:r w:rsidRPr="000773EF" w:rsidR="00E4391C">
        <w:rPr>
          <w:szCs w:val="26"/>
        </w:rPr>
        <w:t>”</w:t>
      </w:r>
      <w:r w:rsidRPr="000773EF" w:rsidR="003E73E7">
        <w:rPr>
          <w:szCs w:val="26"/>
        </w:rPr>
        <w:t xml:space="preserve"> endorsing the practice where the public safety </w:t>
      </w:r>
      <w:r w:rsidRPr="000773EF" w:rsidR="009E3369">
        <w:rPr>
          <w:szCs w:val="26"/>
        </w:rPr>
        <w:t>benefits of a reduced</w:t>
      </w:r>
      <w:r w:rsidRPr="000773EF" w:rsidR="003E73E7">
        <w:rPr>
          <w:szCs w:val="26"/>
        </w:rPr>
        <w:t xml:space="preserve"> </w:t>
      </w:r>
      <w:r w:rsidRPr="000773EF" w:rsidR="009E3369">
        <w:rPr>
          <w:szCs w:val="26"/>
        </w:rPr>
        <w:t xml:space="preserve">risk of </w:t>
      </w:r>
      <w:r w:rsidRPr="000773EF" w:rsidR="00BD4016">
        <w:rPr>
          <w:szCs w:val="26"/>
        </w:rPr>
        <w:t>wildfire ignition outweigh the harms of lost power.</w:t>
      </w:r>
      <w:r w:rsidRPr="000773EF" w:rsidR="00E4391C">
        <w:rPr>
          <w:szCs w:val="26"/>
        </w:rPr>
        <w:t xml:space="preserve">  (</w:t>
      </w:r>
      <w:r w:rsidRPr="000773EF" w:rsidR="000A137E">
        <w:rPr>
          <w:szCs w:val="26"/>
        </w:rPr>
        <w:t>Cal.</w:t>
      </w:r>
      <w:r w:rsidRPr="000773EF" w:rsidR="00E4391C">
        <w:rPr>
          <w:szCs w:val="26"/>
        </w:rPr>
        <w:t>P</w:t>
      </w:r>
      <w:r w:rsidRPr="000773EF" w:rsidR="000A137E">
        <w:rPr>
          <w:szCs w:val="26"/>
        </w:rPr>
        <w:t>.</w:t>
      </w:r>
      <w:r w:rsidRPr="000773EF" w:rsidR="00E4391C">
        <w:rPr>
          <w:szCs w:val="26"/>
        </w:rPr>
        <w:t>U</w:t>
      </w:r>
      <w:r w:rsidRPr="000773EF" w:rsidR="000A137E">
        <w:rPr>
          <w:szCs w:val="26"/>
        </w:rPr>
        <w:t>.</w:t>
      </w:r>
      <w:r w:rsidRPr="000773EF" w:rsidR="00E4391C">
        <w:rPr>
          <w:szCs w:val="26"/>
        </w:rPr>
        <w:t>C</w:t>
      </w:r>
      <w:r w:rsidRPr="000773EF" w:rsidR="000A137E">
        <w:rPr>
          <w:szCs w:val="26"/>
        </w:rPr>
        <w:t>.</w:t>
      </w:r>
      <w:r w:rsidRPr="000773EF" w:rsidR="00E4391C">
        <w:rPr>
          <w:szCs w:val="26"/>
        </w:rPr>
        <w:t xml:space="preserve"> Res. </w:t>
      </w:r>
      <w:r w:rsidRPr="000773EF" w:rsidR="000A137E">
        <w:rPr>
          <w:szCs w:val="26"/>
        </w:rPr>
        <w:t>No. </w:t>
      </w:r>
      <w:r w:rsidRPr="000773EF" w:rsidR="00E4391C">
        <w:rPr>
          <w:szCs w:val="26"/>
        </w:rPr>
        <w:t xml:space="preserve">ESRB-8, </w:t>
      </w:r>
      <w:r w:rsidRPr="000773EF" w:rsidR="00E4391C">
        <w:rPr>
          <w:i/>
          <w:iCs/>
          <w:szCs w:val="26"/>
        </w:rPr>
        <w:t>supra</w:t>
      </w:r>
      <w:r w:rsidR="002F63CC">
        <w:rPr>
          <w:szCs w:val="26"/>
        </w:rPr>
        <w:t>,</w:t>
      </w:r>
      <w:r w:rsidRPr="000773EF" w:rsidR="00FF44E0">
        <w:rPr>
          <w:szCs w:val="26"/>
        </w:rPr>
        <w:t xml:space="preserve"> </w:t>
      </w:r>
      <w:r w:rsidRPr="000773EF" w:rsidR="00FF44E0">
        <w:rPr>
          <w:szCs w:val="26"/>
          <w:shd w:val="clear" w:color="auto" w:fill="FFFFFF"/>
        </w:rPr>
        <w:t>2018 Cal.P.U.C. Lexis 330</w:t>
      </w:r>
      <w:r w:rsidRPr="000773EF" w:rsidR="00E4391C">
        <w:rPr>
          <w:szCs w:val="26"/>
        </w:rPr>
        <w:t xml:space="preserve"> at p. *8</w:t>
      </w:r>
      <w:r w:rsidRPr="000773EF" w:rsidR="000D70E8">
        <w:rPr>
          <w:szCs w:val="26"/>
        </w:rPr>
        <w:t>.)</w:t>
      </w:r>
    </w:p>
    <w:p w:rsidR="003273E5" w:rsidRPr="000773EF" w:rsidP="00BC7683" w14:paraId="4FB03EDA" w14:textId="77777777">
      <w:pPr>
        <w:ind w:firstLine="720"/>
        <w:rPr>
          <w:szCs w:val="26"/>
        </w:rPr>
      </w:pPr>
      <w:r w:rsidRPr="000773EF">
        <w:rPr>
          <w:szCs w:val="26"/>
        </w:rPr>
        <w:t xml:space="preserve">By seeking billions of dollars in </w:t>
      </w:r>
      <w:r w:rsidRPr="000773EF" w:rsidR="009B2E53">
        <w:rPr>
          <w:szCs w:val="26"/>
        </w:rPr>
        <w:t xml:space="preserve">alleged </w:t>
      </w:r>
      <w:r w:rsidRPr="000773EF">
        <w:rPr>
          <w:szCs w:val="26"/>
        </w:rPr>
        <w:t xml:space="preserve">damages </w:t>
      </w:r>
      <w:r w:rsidRPr="000773EF" w:rsidR="00BC11CC">
        <w:rPr>
          <w:szCs w:val="26"/>
        </w:rPr>
        <w:t xml:space="preserve">resulting </w:t>
      </w:r>
      <w:r w:rsidRPr="000773EF" w:rsidR="009B2E53">
        <w:rPr>
          <w:szCs w:val="26"/>
        </w:rPr>
        <w:t xml:space="preserve">directly </w:t>
      </w:r>
      <w:r w:rsidRPr="000773EF" w:rsidR="00BC11CC">
        <w:rPr>
          <w:szCs w:val="26"/>
        </w:rPr>
        <w:t xml:space="preserve">from </w:t>
      </w:r>
      <w:r w:rsidRPr="000773EF">
        <w:rPr>
          <w:szCs w:val="26"/>
        </w:rPr>
        <w:t>power shutoffs, Gantner’s suit would “</w:t>
      </w:r>
      <w:r w:rsidR="00815658">
        <w:rPr>
          <w:szCs w:val="26"/>
        </w:rPr>
        <w:t> </w:t>
      </w:r>
      <w:r w:rsidRPr="000773EF">
        <w:rPr>
          <w:szCs w:val="26"/>
        </w:rPr>
        <w:t>‘hinder’ or ‘frustrate’ ” the PUC’s carefully designed implementation calculus.  (</w:t>
      </w:r>
      <w:r w:rsidRPr="000773EF">
        <w:rPr>
          <w:i/>
          <w:iCs/>
          <w:szCs w:val="26"/>
        </w:rPr>
        <w:t>Covalt</w:t>
      </w:r>
      <w:r w:rsidRPr="000773EF">
        <w:rPr>
          <w:szCs w:val="26"/>
        </w:rPr>
        <w:t xml:space="preserve">, </w:t>
      </w:r>
      <w:r w:rsidRPr="000773EF">
        <w:rPr>
          <w:i/>
          <w:iCs/>
          <w:szCs w:val="26"/>
        </w:rPr>
        <w:t>supra</w:t>
      </w:r>
      <w:r w:rsidRPr="000773EF">
        <w:rPr>
          <w:szCs w:val="26"/>
        </w:rPr>
        <w:t xml:space="preserve">, 13 Cal.4th at p. 918.)  </w:t>
      </w:r>
      <w:r w:rsidRPr="000773EF" w:rsidR="00BC11CC">
        <w:rPr>
          <w:szCs w:val="26"/>
        </w:rPr>
        <w:t xml:space="preserve">In </w:t>
      </w:r>
      <w:r w:rsidRPr="000773EF">
        <w:rPr>
          <w:i/>
          <w:iCs/>
          <w:szCs w:val="26"/>
        </w:rPr>
        <w:t>Hartwell</w:t>
      </w:r>
      <w:r w:rsidRPr="000773EF">
        <w:rPr>
          <w:szCs w:val="26"/>
        </w:rPr>
        <w:t xml:space="preserve">, section 1759 </w:t>
      </w:r>
      <w:r w:rsidRPr="000773EF" w:rsidR="0057046B">
        <w:rPr>
          <w:szCs w:val="26"/>
        </w:rPr>
        <w:t>barred</w:t>
      </w:r>
      <w:r w:rsidRPr="000773EF">
        <w:rPr>
          <w:szCs w:val="26"/>
        </w:rPr>
        <w:t xml:space="preserve"> suit against regulated water providers where water contaminant levels </w:t>
      </w:r>
      <w:r w:rsidRPr="000773EF" w:rsidR="00BC11CC">
        <w:rPr>
          <w:szCs w:val="26"/>
        </w:rPr>
        <w:t xml:space="preserve">remained </w:t>
      </w:r>
      <w:r w:rsidRPr="000773EF" w:rsidR="0051304D">
        <w:rPr>
          <w:szCs w:val="26"/>
        </w:rPr>
        <w:t xml:space="preserve">below </w:t>
      </w:r>
      <w:r w:rsidRPr="000773EF" w:rsidR="00F00819">
        <w:rPr>
          <w:szCs w:val="26"/>
        </w:rPr>
        <w:t xml:space="preserve">maximum limits allowed by the PUC.  </w:t>
      </w:r>
      <w:r w:rsidRPr="000773EF">
        <w:rPr>
          <w:szCs w:val="26"/>
        </w:rPr>
        <w:t>(</w:t>
      </w:r>
      <w:r w:rsidRPr="000773EF">
        <w:rPr>
          <w:i/>
          <w:iCs/>
          <w:szCs w:val="26"/>
        </w:rPr>
        <w:t>Hartwell</w:t>
      </w:r>
      <w:r w:rsidRPr="000773EF">
        <w:rPr>
          <w:szCs w:val="26"/>
        </w:rPr>
        <w:t xml:space="preserve">, </w:t>
      </w:r>
      <w:r w:rsidRPr="000773EF">
        <w:rPr>
          <w:i/>
          <w:iCs/>
          <w:szCs w:val="26"/>
        </w:rPr>
        <w:t>supra</w:t>
      </w:r>
      <w:r w:rsidRPr="000773EF">
        <w:rPr>
          <w:szCs w:val="26"/>
        </w:rPr>
        <w:t xml:space="preserve">, 27 Cal.4th at p. 276.)  </w:t>
      </w:r>
      <w:r w:rsidRPr="000773EF" w:rsidR="00BC11CC">
        <w:rPr>
          <w:szCs w:val="26"/>
        </w:rPr>
        <w:t>W</w:t>
      </w:r>
      <w:r w:rsidRPr="000773EF">
        <w:rPr>
          <w:szCs w:val="26"/>
        </w:rPr>
        <w:t xml:space="preserve">here the PUC </w:t>
      </w:r>
      <w:r w:rsidRPr="000773EF" w:rsidR="00BC11CC">
        <w:rPr>
          <w:szCs w:val="26"/>
        </w:rPr>
        <w:t xml:space="preserve">has </w:t>
      </w:r>
      <w:r w:rsidRPr="000773EF">
        <w:rPr>
          <w:szCs w:val="26"/>
        </w:rPr>
        <w:t>decided that a certain level of contamin</w:t>
      </w:r>
      <w:r w:rsidRPr="000773EF" w:rsidR="0038311F">
        <w:rPr>
          <w:szCs w:val="26"/>
        </w:rPr>
        <w:t>ation</w:t>
      </w:r>
      <w:r w:rsidRPr="000773EF">
        <w:rPr>
          <w:szCs w:val="26"/>
        </w:rPr>
        <w:t xml:space="preserve"> </w:t>
      </w:r>
      <w:r w:rsidRPr="000773EF" w:rsidR="00BC11CC">
        <w:rPr>
          <w:szCs w:val="26"/>
        </w:rPr>
        <w:t>i</w:t>
      </w:r>
      <w:r w:rsidRPr="000773EF">
        <w:rPr>
          <w:szCs w:val="26"/>
        </w:rPr>
        <w:t>s acceptable, an action seeking damages for contamination below that threshold “ ‘would plainly undermine the commission’s policy.’ ”  (</w:t>
      </w:r>
      <w:r w:rsidRPr="000773EF">
        <w:rPr>
          <w:i/>
          <w:iCs/>
          <w:szCs w:val="26"/>
        </w:rPr>
        <w:t>Ibid.</w:t>
      </w:r>
      <w:r w:rsidRPr="000773EF">
        <w:rPr>
          <w:szCs w:val="26"/>
        </w:rPr>
        <w:t xml:space="preserve">)  </w:t>
      </w:r>
      <w:r w:rsidRPr="000773EF" w:rsidR="00CA3B37">
        <w:rPr>
          <w:szCs w:val="26"/>
        </w:rPr>
        <w:t xml:space="preserve">Nothing in </w:t>
      </w:r>
      <w:r w:rsidRPr="000773EF">
        <w:rPr>
          <w:i/>
          <w:iCs/>
          <w:szCs w:val="26"/>
        </w:rPr>
        <w:t xml:space="preserve">Hartwell </w:t>
      </w:r>
      <w:r w:rsidRPr="000773EF" w:rsidR="00CA3B37">
        <w:rPr>
          <w:szCs w:val="26"/>
        </w:rPr>
        <w:t>suggests that</w:t>
      </w:r>
      <w:r w:rsidRPr="000773EF">
        <w:rPr>
          <w:szCs w:val="26"/>
        </w:rPr>
        <w:t xml:space="preserve"> a plaintiff </w:t>
      </w:r>
      <w:r w:rsidRPr="000773EF" w:rsidR="00CA3B37">
        <w:rPr>
          <w:szCs w:val="26"/>
        </w:rPr>
        <w:t xml:space="preserve">can </w:t>
      </w:r>
      <w:r w:rsidRPr="000773EF">
        <w:rPr>
          <w:szCs w:val="26"/>
        </w:rPr>
        <w:t xml:space="preserve">avoid section 1759 preemption simply by alleging that a permissible level of contamination occurred as a result of a water provider’s impermissible negligence.  This is for good reason:  section 1759 preemption turns on the constitutional and statutory authority of the PUC rather than </w:t>
      </w:r>
      <w:r w:rsidRPr="000773EF" w:rsidR="00BC11CC">
        <w:rPr>
          <w:szCs w:val="26"/>
        </w:rPr>
        <w:t xml:space="preserve">simply </w:t>
      </w:r>
      <w:r w:rsidRPr="000773EF">
        <w:rPr>
          <w:szCs w:val="26"/>
        </w:rPr>
        <w:t xml:space="preserve">the underlying behavior of the utility.  (See </w:t>
      </w:r>
      <w:r w:rsidRPr="000773EF">
        <w:rPr>
          <w:i/>
          <w:iCs/>
          <w:szCs w:val="26"/>
        </w:rPr>
        <w:t>Waters</w:t>
      </w:r>
      <w:r w:rsidRPr="000773EF">
        <w:rPr>
          <w:szCs w:val="26"/>
        </w:rPr>
        <w:t xml:space="preserve">, </w:t>
      </w:r>
      <w:r w:rsidRPr="000773EF">
        <w:rPr>
          <w:i/>
          <w:iCs/>
          <w:szCs w:val="26"/>
        </w:rPr>
        <w:t>supra</w:t>
      </w:r>
      <w:r w:rsidRPr="000773EF">
        <w:rPr>
          <w:szCs w:val="26"/>
        </w:rPr>
        <w:t>, 12 Cal.3d at p. 10 [“general principles which might govern disputes between private parties are not necessarily applicable to disputes with regulated utilities”].)</w:t>
      </w:r>
    </w:p>
    <w:p w:rsidR="000C2F30" w:rsidRPr="000773EF" w:rsidP="00BC7683" w14:paraId="4FB03EDB" w14:textId="77777777">
      <w:pPr>
        <w:ind w:firstLine="720"/>
        <w:rPr>
          <w:szCs w:val="26"/>
        </w:rPr>
      </w:pPr>
      <w:r w:rsidRPr="000773EF">
        <w:rPr>
          <w:szCs w:val="26"/>
        </w:rPr>
        <w:t>It is true that</w:t>
      </w:r>
      <w:r w:rsidRPr="000773EF" w:rsidR="00791577">
        <w:rPr>
          <w:szCs w:val="26"/>
        </w:rPr>
        <w:t xml:space="preserve"> in </w:t>
      </w:r>
      <w:r w:rsidRPr="000773EF" w:rsidR="00791577">
        <w:rPr>
          <w:i/>
          <w:iCs/>
          <w:szCs w:val="26"/>
        </w:rPr>
        <w:t xml:space="preserve">Hartwell </w:t>
      </w:r>
      <w:r w:rsidRPr="000773EF" w:rsidR="00791577">
        <w:rPr>
          <w:szCs w:val="26"/>
        </w:rPr>
        <w:t xml:space="preserve">the PUC concluded that water complying with permissible contamination levels was </w:t>
      </w:r>
      <w:r w:rsidRPr="000773EF" w:rsidR="00791577">
        <w:rPr>
          <w:color w:val="000000"/>
          <w:szCs w:val="26"/>
        </w:rPr>
        <w:t>“ ‘ “in no way harmful or dangerous to health” ’ ” (</w:t>
      </w:r>
      <w:r w:rsidRPr="000773EF" w:rsidR="00791577">
        <w:rPr>
          <w:i/>
          <w:iCs/>
          <w:color w:val="000000"/>
          <w:szCs w:val="26"/>
        </w:rPr>
        <w:t>Hartwell</w:t>
      </w:r>
      <w:r w:rsidRPr="000773EF" w:rsidR="00791577">
        <w:rPr>
          <w:color w:val="000000"/>
          <w:szCs w:val="26"/>
        </w:rPr>
        <w:t xml:space="preserve">, </w:t>
      </w:r>
      <w:r w:rsidRPr="000773EF" w:rsidR="00791577">
        <w:rPr>
          <w:i/>
          <w:iCs/>
          <w:color w:val="000000"/>
          <w:szCs w:val="26"/>
        </w:rPr>
        <w:t>supra</w:t>
      </w:r>
      <w:r w:rsidRPr="000773EF" w:rsidR="00791577">
        <w:rPr>
          <w:color w:val="000000"/>
          <w:szCs w:val="26"/>
        </w:rPr>
        <w:t>, 27 Cal.4th at p. 263)</w:t>
      </w:r>
      <w:r w:rsidRPr="000773EF">
        <w:rPr>
          <w:color w:val="000000"/>
          <w:szCs w:val="26"/>
        </w:rPr>
        <w:t>, whereas</w:t>
      </w:r>
      <w:r w:rsidRPr="000773EF" w:rsidR="00791577">
        <w:rPr>
          <w:color w:val="000000"/>
          <w:szCs w:val="26"/>
        </w:rPr>
        <w:t xml:space="preserve"> here the PUC acknowledged the harms caused by PSPS</w:t>
      </w:r>
      <w:r w:rsidRPr="000773EF" w:rsidR="003273E5">
        <w:rPr>
          <w:szCs w:val="26"/>
        </w:rPr>
        <w:t>.</w:t>
      </w:r>
      <w:r w:rsidRPr="000773EF" w:rsidR="007E3307">
        <w:rPr>
          <w:szCs w:val="26"/>
        </w:rPr>
        <w:t xml:space="preserve">  </w:t>
      </w:r>
      <w:r w:rsidRPr="000773EF">
        <w:rPr>
          <w:szCs w:val="26"/>
        </w:rPr>
        <w:t xml:space="preserve">But </w:t>
      </w:r>
      <w:r w:rsidRPr="000773EF" w:rsidR="003273E5">
        <w:rPr>
          <w:szCs w:val="26"/>
        </w:rPr>
        <w:t>the PUC approved a system of PSPS decision-making</w:t>
      </w:r>
      <w:r w:rsidRPr="000773EF" w:rsidR="001C5CE5">
        <w:rPr>
          <w:szCs w:val="26"/>
        </w:rPr>
        <w:t xml:space="preserve"> based on the conclusion that in certain conditions, the harms of </w:t>
      </w:r>
      <w:r w:rsidRPr="000773EF" w:rsidR="00775486">
        <w:rPr>
          <w:szCs w:val="26"/>
        </w:rPr>
        <w:t xml:space="preserve">PSPS are outweighed by the </w:t>
      </w:r>
      <w:r w:rsidR="00C72B96">
        <w:rPr>
          <w:szCs w:val="26"/>
        </w:rPr>
        <w:t>benefits</w:t>
      </w:r>
      <w:r w:rsidRPr="000773EF" w:rsidR="00C72B96">
        <w:rPr>
          <w:szCs w:val="26"/>
        </w:rPr>
        <w:t xml:space="preserve"> </w:t>
      </w:r>
      <w:r w:rsidRPr="000773EF" w:rsidR="00775486">
        <w:rPr>
          <w:szCs w:val="26"/>
        </w:rPr>
        <w:t>of wildfire</w:t>
      </w:r>
      <w:r w:rsidR="00C72B96">
        <w:rPr>
          <w:szCs w:val="26"/>
        </w:rPr>
        <w:t xml:space="preserve"> prevention</w:t>
      </w:r>
      <w:r w:rsidRPr="000773EF" w:rsidR="00775486">
        <w:rPr>
          <w:szCs w:val="26"/>
        </w:rPr>
        <w:t>.</w:t>
      </w:r>
      <w:r w:rsidRPr="000773EF" w:rsidR="00474E20">
        <w:rPr>
          <w:szCs w:val="26"/>
        </w:rPr>
        <w:t xml:space="preserve">  </w:t>
      </w:r>
      <w:r w:rsidRPr="000773EF" w:rsidR="007A22C8">
        <w:rPr>
          <w:szCs w:val="26"/>
        </w:rPr>
        <w:t xml:space="preserve">Gantner seeks damages resulting from PSPS events without alleging negligence in the decision to shut off power or </w:t>
      </w:r>
      <w:r w:rsidRPr="000773EF">
        <w:rPr>
          <w:szCs w:val="26"/>
        </w:rPr>
        <w:t xml:space="preserve">in </w:t>
      </w:r>
      <w:r w:rsidRPr="000773EF" w:rsidR="007A22C8">
        <w:rPr>
          <w:szCs w:val="26"/>
        </w:rPr>
        <w:t xml:space="preserve">PSPS implementation.  </w:t>
      </w:r>
      <w:r w:rsidRPr="000773EF" w:rsidR="0055565A">
        <w:rPr>
          <w:i/>
          <w:iCs/>
          <w:szCs w:val="26"/>
        </w:rPr>
        <w:t>Hartwell</w:t>
      </w:r>
      <w:r w:rsidRPr="000773EF" w:rsidR="0055565A">
        <w:rPr>
          <w:szCs w:val="26"/>
        </w:rPr>
        <w:t xml:space="preserve"> held that a utility could not be liable for contamination levels </w:t>
      </w:r>
      <w:r w:rsidRPr="000773EF" w:rsidR="007A22C8">
        <w:rPr>
          <w:szCs w:val="26"/>
        </w:rPr>
        <w:t>that fell within PUC</w:t>
      </w:r>
      <w:r w:rsidR="004F06CE">
        <w:rPr>
          <w:szCs w:val="26"/>
        </w:rPr>
        <w:t>-</w:t>
      </w:r>
      <w:r w:rsidRPr="000773EF" w:rsidR="007A22C8">
        <w:rPr>
          <w:szCs w:val="26"/>
        </w:rPr>
        <w:t>approved levels</w:t>
      </w:r>
      <w:r w:rsidRPr="000773EF">
        <w:rPr>
          <w:szCs w:val="26"/>
        </w:rPr>
        <w:t>;</w:t>
      </w:r>
      <w:r w:rsidRPr="000773EF" w:rsidR="007A22C8">
        <w:rPr>
          <w:szCs w:val="26"/>
        </w:rPr>
        <w:t xml:space="preserve"> </w:t>
      </w:r>
      <w:r w:rsidRPr="000773EF" w:rsidR="008A1046">
        <w:rPr>
          <w:szCs w:val="26"/>
        </w:rPr>
        <w:t>here</w:t>
      </w:r>
      <w:r w:rsidRPr="000773EF">
        <w:rPr>
          <w:szCs w:val="26"/>
        </w:rPr>
        <w:t>,</w:t>
      </w:r>
      <w:r w:rsidRPr="000773EF" w:rsidR="008A1046">
        <w:rPr>
          <w:szCs w:val="26"/>
        </w:rPr>
        <w:t xml:space="preserve"> PG&amp;E cannot be liable for implementing PSPS events that</w:t>
      </w:r>
      <w:r w:rsidR="0026552D">
        <w:rPr>
          <w:szCs w:val="26"/>
        </w:rPr>
        <w:t>, as far as the complaint alleges,</w:t>
      </w:r>
      <w:r w:rsidRPr="000773EF" w:rsidR="008A1046">
        <w:rPr>
          <w:szCs w:val="26"/>
        </w:rPr>
        <w:t xml:space="preserve"> fully complied with PUC guidelines.  To hold otherwise would be to</w:t>
      </w:r>
      <w:r w:rsidRPr="000773EF" w:rsidR="00B85F78">
        <w:rPr>
          <w:szCs w:val="26"/>
        </w:rPr>
        <w:t xml:space="preserve"> </w:t>
      </w:r>
      <w:r w:rsidRPr="000773EF" w:rsidR="0043603B">
        <w:rPr>
          <w:szCs w:val="26"/>
        </w:rPr>
        <w:t xml:space="preserve">invite </w:t>
      </w:r>
      <w:r w:rsidRPr="000773EF" w:rsidR="008A1046">
        <w:rPr>
          <w:szCs w:val="26"/>
        </w:rPr>
        <w:t>interfere</w:t>
      </w:r>
      <w:r w:rsidRPr="000773EF" w:rsidR="0043603B">
        <w:rPr>
          <w:szCs w:val="26"/>
        </w:rPr>
        <w:t>nce</w:t>
      </w:r>
      <w:r w:rsidRPr="000773EF" w:rsidR="008A1046">
        <w:rPr>
          <w:szCs w:val="26"/>
        </w:rPr>
        <w:t xml:space="preserve"> with </w:t>
      </w:r>
      <w:r w:rsidRPr="000773EF" w:rsidR="00C928D9">
        <w:rPr>
          <w:szCs w:val="26"/>
        </w:rPr>
        <w:t>a</w:t>
      </w:r>
      <w:r w:rsidRPr="000773EF" w:rsidR="008A1046">
        <w:rPr>
          <w:szCs w:val="26"/>
        </w:rPr>
        <w:t xml:space="preserve"> “</w:t>
      </w:r>
      <w:r w:rsidR="00C42ADE">
        <w:rPr>
          <w:szCs w:val="26"/>
        </w:rPr>
        <w:t> ‘</w:t>
      </w:r>
      <w:r w:rsidRPr="000773EF" w:rsidR="008A1046">
        <w:rPr>
          <w:szCs w:val="26"/>
        </w:rPr>
        <w:t>broad and continuing supervisory or regulatory program</w:t>
      </w:r>
      <w:r w:rsidR="00C42ADE">
        <w:rPr>
          <w:szCs w:val="26"/>
        </w:rPr>
        <w:t>’</w:t>
      </w:r>
      <w:r w:rsidRPr="000773EF" w:rsidR="00C928D9">
        <w:rPr>
          <w:szCs w:val="26"/>
        </w:rPr>
        <w:t xml:space="preserve"> of the PUC</w:t>
      </w:r>
      <w:r w:rsidRPr="000773EF" w:rsidR="00B7350C">
        <w:rPr>
          <w:szCs w:val="26"/>
        </w:rPr>
        <w:t>.</w:t>
      </w:r>
      <w:r w:rsidR="00C42ADE">
        <w:rPr>
          <w:szCs w:val="26"/>
        </w:rPr>
        <w:t>”</w:t>
      </w:r>
      <w:r w:rsidRPr="000773EF" w:rsidR="00B7350C">
        <w:rPr>
          <w:szCs w:val="26"/>
        </w:rPr>
        <w:t xml:space="preserve"> </w:t>
      </w:r>
      <w:r w:rsidRPr="000773EF" w:rsidR="00C928D9">
        <w:rPr>
          <w:szCs w:val="26"/>
        </w:rPr>
        <w:t xml:space="preserve"> </w:t>
      </w:r>
      <w:r w:rsidRPr="000773EF" w:rsidR="008A1046">
        <w:rPr>
          <w:szCs w:val="26"/>
        </w:rPr>
        <w:t>(</w:t>
      </w:r>
      <w:r w:rsidR="00D840CC">
        <w:rPr>
          <w:i/>
          <w:iCs/>
          <w:szCs w:val="26"/>
        </w:rPr>
        <w:t>Id.</w:t>
      </w:r>
      <w:r w:rsidR="00D56687">
        <w:rPr>
          <w:szCs w:val="26"/>
        </w:rPr>
        <w:t xml:space="preserve"> at p. </w:t>
      </w:r>
      <w:r w:rsidR="00E12491">
        <w:rPr>
          <w:szCs w:val="26"/>
        </w:rPr>
        <w:t>27</w:t>
      </w:r>
      <w:r w:rsidR="002526BE">
        <w:rPr>
          <w:szCs w:val="26"/>
        </w:rPr>
        <w:t>6</w:t>
      </w:r>
      <w:r w:rsidRPr="000773EF" w:rsidR="00B7350C">
        <w:rPr>
          <w:szCs w:val="26"/>
        </w:rPr>
        <w:t>.</w:t>
      </w:r>
      <w:r w:rsidRPr="000773EF" w:rsidR="008A1046">
        <w:rPr>
          <w:szCs w:val="26"/>
        </w:rPr>
        <w:t>)</w:t>
      </w:r>
      <w:r w:rsidRPr="000773EF" w:rsidR="003273E5">
        <w:rPr>
          <w:szCs w:val="26"/>
        </w:rPr>
        <w:t xml:space="preserve">  </w:t>
      </w:r>
      <w:r w:rsidRPr="000773EF">
        <w:rPr>
          <w:szCs w:val="26"/>
        </w:rPr>
        <w:t>A</w:t>
      </w:r>
      <w:r w:rsidRPr="000773EF" w:rsidR="00E57E92">
        <w:rPr>
          <w:szCs w:val="26"/>
        </w:rPr>
        <w:t xml:space="preserve"> suit alleging </w:t>
      </w:r>
      <w:r w:rsidRPr="000773EF" w:rsidR="00BC3749">
        <w:rPr>
          <w:szCs w:val="26"/>
        </w:rPr>
        <w:t xml:space="preserve">that </w:t>
      </w:r>
      <w:r w:rsidRPr="000773EF" w:rsidR="009B6648">
        <w:rPr>
          <w:szCs w:val="26"/>
        </w:rPr>
        <w:t>a utility implemented PSPS event</w:t>
      </w:r>
      <w:r w:rsidRPr="000773EF" w:rsidR="00BC3749">
        <w:rPr>
          <w:szCs w:val="26"/>
        </w:rPr>
        <w:t>s</w:t>
      </w:r>
      <w:r w:rsidRPr="000773EF" w:rsidR="009B6648">
        <w:rPr>
          <w:szCs w:val="26"/>
        </w:rPr>
        <w:t xml:space="preserve"> in violation of PUC guidelines</w:t>
      </w:r>
      <w:r w:rsidRPr="000773EF">
        <w:rPr>
          <w:szCs w:val="26"/>
        </w:rPr>
        <w:t xml:space="preserve"> might present different considerations under </w:t>
      </w:r>
      <w:r w:rsidRPr="000773EF">
        <w:rPr>
          <w:i/>
          <w:iCs/>
          <w:szCs w:val="26"/>
        </w:rPr>
        <w:t>Hartwell</w:t>
      </w:r>
      <w:r w:rsidRPr="000773EF" w:rsidR="009B6648">
        <w:rPr>
          <w:szCs w:val="26"/>
        </w:rPr>
        <w:t xml:space="preserve">.  </w:t>
      </w:r>
      <w:r w:rsidRPr="000773EF" w:rsidR="00DF28F1">
        <w:rPr>
          <w:szCs w:val="26"/>
        </w:rPr>
        <w:t>But</w:t>
      </w:r>
      <w:r w:rsidRPr="000773EF" w:rsidR="009B6648">
        <w:rPr>
          <w:szCs w:val="26"/>
        </w:rPr>
        <w:t xml:space="preserve"> we </w:t>
      </w:r>
      <w:r w:rsidRPr="000773EF" w:rsidR="00DF28F1">
        <w:rPr>
          <w:szCs w:val="26"/>
        </w:rPr>
        <w:t>decline to speculate on section 1759</w:t>
      </w:r>
      <w:r w:rsidRPr="000773EF" w:rsidR="00BC3749">
        <w:rPr>
          <w:szCs w:val="26"/>
        </w:rPr>
        <w:t>’s</w:t>
      </w:r>
      <w:r w:rsidRPr="000773EF" w:rsidR="00DF28F1">
        <w:rPr>
          <w:szCs w:val="26"/>
        </w:rPr>
        <w:t xml:space="preserve"> appl</w:t>
      </w:r>
      <w:r w:rsidRPr="000773EF" w:rsidR="00BC3749">
        <w:rPr>
          <w:szCs w:val="26"/>
        </w:rPr>
        <w:t>ication</w:t>
      </w:r>
      <w:r w:rsidRPr="000773EF" w:rsidR="00DF28F1">
        <w:rPr>
          <w:szCs w:val="26"/>
        </w:rPr>
        <w:t xml:space="preserve"> to such a case.</w:t>
      </w:r>
    </w:p>
    <w:p w:rsidR="00BD4016" w:rsidRPr="000773EF" w:rsidP="00BC7683" w14:paraId="4FB03EDC" w14:textId="77777777">
      <w:pPr>
        <w:ind w:firstLine="720"/>
        <w:rPr>
          <w:szCs w:val="26"/>
        </w:rPr>
      </w:pPr>
      <w:r w:rsidRPr="000773EF">
        <w:rPr>
          <w:szCs w:val="26"/>
        </w:rPr>
        <w:t xml:space="preserve">Gantner </w:t>
      </w:r>
      <w:r w:rsidRPr="000773EF" w:rsidR="003648EF">
        <w:rPr>
          <w:szCs w:val="26"/>
        </w:rPr>
        <w:t>contends</w:t>
      </w:r>
      <w:r w:rsidRPr="000773EF">
        <w:rPr>
          <w:szCs w:val="26"/>
        </w:rPr>
        <w:t xml:space="preserve"> that PUC </w:t>
      </w:r>
      <w:r w:rsidRPr="000773EF" w:rsidR="00AA6DC8">
        <w:rPr>
          <w:szCs w:val="26"/>
        </w:rPr>
        <w:t xml:space="preserve">guidelines do not </w:t>
      </w:r>
      <w:r w:rsidRPr="000773EF" w:rsidR="007F56D2">
        <w:rPr>
          <w:szCs w:val="26"/>
        </w:rPr>
        <w:t xml:space="preserve">permit a utility to consider its </w:t>
      </w:r>
      <w:r w:rsidRPr="000773EF" w:rsidR="005A18AE">
        <w:rPr>
          <w:szCs w:val="26"/>
        </w:rPr>
        <w:t xml:space="preserve">risk of </w:t>
      </w:r>
      <w:r w:rsidRPr="000773EF" w:rsidR="007F56D2">
        <w:rPr>
          <w:szCs w:val="26"/>
        </w:rPr>
        <w:t xml:space="preserve">liability </w:t>
      </w:r>
      <w:r w:rsidRPr="000773EF" w:rsidR="009E2F3E">
        <w:rPr>
          <w:szCs w:val="26"/>
        </w:rPr>
        <w:t>to customers affect</w:t>
      </w:r>
      <w:r w:rsidRPr="000773EF" w:rsidR="0062037C">
        <w:rPr>
          <w:szCs w:val="26"/>
        </w:rPr>
        <w:t>ed</w:t>
      </w:r>
      <w:r w:rsidRPr="000773EF" w:rsidR="009E2F3E">
        <w:rPr>
          <w:szCs w:val="26"/>
        </w:rPr>
        <w:t xml:space="preserve"> by PSPS events </w:t>
      </w:r>
      <w:r w:rsidRPr="000773EF" w:rsidR="007F56D2">
        <w:rPr>
          <w:szCs w:val="26"/>
        </w:rPr>
        <w:t xml:space="preserve">as part of </w:t>
      </w:r>
      <w:r w:rsidRPr="000773EF" w:rsidR="008632FE">
        <w:rPr>
          <w:szCs w:val="26"/>
        </w:rPr>
        <w:t xml:space="preserve">the </w:t>
      </w:r>
      <w:r w:rsidRPr="000773EF" w:rsidR="0062037C">
        <w:rPr>
          <w:szCs w:val="26"/>
        </w:rPr>
        <w:t>balancing</w:t>
      </w:r>
      <w:r w:rsidRPr="000773EF" w:rsidR="008632FE">
        <w:rPr>
          <w:szCs w:val="26"/>
        </w:rPr>
        <w:t xml:space="preserve"> necessary to justify PSPS implementation.  </w:t>
      </w:r>
      <w:r w:rsidR="00881341">
        <w:rPr>
          <w:szCs w:val="26"/>
        </w:rPr>
        <w:t>Thus, he argues, a damage award for the harms caused by PSPS events</w:t>
      </w:r>
      <w:r w:rsidR="00E41504">
        <w:rPr>
          <w:szCs w:val="26"/>
        </w:rPr>
        <w:t xml:space="preserve"> would</w:t>
      </w:r>
      <w:r w:rsidR="00A75CE2">
        <w:rPr>
          <w:szCs w:val="26"/>
        </w:rPr>
        <w:t xml:space="preserve"> fall outside </w:t>
      </w:r>
      <w:r w:rsidR="005C16AA">
        <w:rPr>
          <w:szCs w:val="26"/>
        </w:rPr>
        <w:t xml:space="preserve">of, and therefore </w:t>
      </w:r>
      <w:r w:rsidR="00BF47ED">
        <w:rPr>
          <w:szCs w:val="26"/>
        </w:rPr>
        <w:t xml:space="preserve">would </w:t>
      </w:r>
      <w:r w:rsidR="005C16AA">
        <w:rPr>
          <w:szCs w:val="26"/>
        </w:rPr>
        <w:t xml:space="preserve">not frustrate, </w:t>
      </w:r>
      <w:r w:rsidR="00A75CE2">
        <w:rPr>
          <w:szCs w:val="26"/>
        </w:rPr>
        <w:t xml:space="preserve">the PUC’s regulatory framework.  </w:t>
      </w:r>
      <w:r w:rsidRPr="000773EF" w:rsidR="008E15CE">
        <w:rPr>
          <w:szCs w:val="26"/>
        </w:rPr>
        <w:t>Assuming without deciding that</w:t>
      </w:r>
      <w:r w:rsidRPr="000773EF" w:rsidR="009E2F3E">
        <w:rPr>
          <w:szCs w:val="26"/>
        </w:rPr>
        <w:t xml:space="preserve"> Gantner</w:t>
      </w:r>
      <w:r w:rsidRPr="000773EF" w:rsidR="008E15CE">
        <w:rPr>
          <w:szCs w:val="26"/>
        </w:rPr>
        <w:t xml:space="preserve"> is</w:t>
      </w:r>
      <w:r w:rsidRPr="000773EF" w:rsidR="009E2F3E">
        <w:rPr>
          <w:szCs w:val="26"/>
        </w:rPr>
        <w:t xml:space="preserve"> </w:t>
      </w:r>
      <w:r w:rsidRPr="000773EF" w:rsidR="008E15CE">
        <w:rPr>
          <w:szCs w:val="26"/>
        </w:rPr>
        <w:t xml:space="preserve">correct that </w:t>
      </w:r>
      <w:r w:rsidRPr="000773EF" w:rsidR="009E2F3E">
        <w:rPr>
          <w:szCs w:val="26"/>
        </w:rPr>
        <w:t xml:space="preserve">PUC guidelines </w:t>
      </w:r>
      <w:r w:rsidRPr="000773EF" w:rsidR="008E15CE">
        <w:rPr>
          <w:szCs w:val="26"/>
        </w:rPr>
        <w:t>bar utilities from</w:t>
      </w:r>
      <w:r w:rsidRPr="000773EF" w:rsidR="00B37019">
        <w:rPr>
          <w:szCs w:val="26"/>
        </w:rPr>
        <w:t xml:space="preserve"> consider</w:t>
      </w:r>
      <w:r w:rsidRPr="000773EF" w:rsidR="00FB3F93">
        <w:rPr>
          <w:szCs w:val="26"/>
        </w:rPr>
        <w:t>ing</w:t>
      </w:r>
      <w:r w:rsidRPr="000773EF" w:rsidR="00B37019">
        <w:rPr>
          <w:szCs w:val="26"/>
        </w:rPr>
        <w:t xml:space="preserve"> the liability </w:t>
      </w:r>
      <w:r w:rsidRPr="000773EF" w:rsidR="00D457A0">
        <w:rPr>
          <w:szCs w:val="26"/>
        </w:rPr>
        <w:t xml:space="preserve">risk from </w:t>
      </w:r>
      <w:r w:rsidRPr="000773EF" w:rsidR="00656B34">
        <w:rPr>
          <w:szCs w:val="26"/>
        </w:rPr>
        <w:t>a power shutoff</w:t>
      </w:r>
      <w:r w:rsidRPr="000773EF" w:rsidR="00880EFE">
        <w:rPr>
          <w:szCs w:val="26"/>
        </w:rPr>
        <w:t xml:space="preserve">, </w:t>
      </w:r>
      <w:r w:rsidRPr="000773EF" w:rsidR="004A01E4">
        <w:rPr>
          <w:szCs w:val="26"/>
        </w:rPr>
        <w:t xml:space="preserve">this argument </w:t>
      </w:r>
      <w:r w:rsidRPr="000773EF" w:rsidR="007F09C0">
        <w:rPr>
          <w:szCs w:val="26"/>
        </w:rPr>
        <w:t>is not persuasive.</w:t>
      </w:r>
    </w:p>
    <w:p w:rsidR="002B5F06" w:rsidRPr="000773EF" w:rsidP="00BC7683" w14:paraId="4FB03EDD" w14:textId="77777777">
      <w:pPr>
        <w:ind w:firstLine="720"/>
        <w:rPr>
          <w:szCs w:val="26"/>
        </w:rPr>
      </w:pPr>
      <w:r>
        <w:rPr>
          <w:szCs w:val="26"/>
        </w:rPr>
        <w:t>First</w:t>
      </w:r>
      <w:r w:rsidRPr="000773EF" w:rsidR="007F09C0">
        <w:rPr>
          <w:szCs w:val="26"/>
        </w:rPr>
        <w:t xml:space="preserve">, </w:t>
      </w:r>
      <w:r w:rsidRPr="000773EF" w:rsidR="005E57F2">
        <w:rPr>
          <w:szCs w:val="26"/>
        </w:rPr>
        <w:t>Gantner’s argument fails to account for the fact that a</w:t>
      </w:r>
      <w:r w:rsidRPr="000773EF" w:rsidR="00C1071A">
        <w:rPr>
          <w:szCs w:val="26"/>
        </w:rPr>
        <w:t>ny prohibition on a</w:t>
      </w:r>
      <w:r w:rsidRPr="000773EF" w:rsidR="005E57F2">
        <w:rPr>
          <w:szCs w:val="26"/>
        </w:rPr>
        <w:t xml:space="preserve"> utility’s consider</w:t>
      </w:r>
      <w:r w:rsidRPr="000773EF" w:rsidR="00C1071A">
        <w:rPr>
          <w:szCs w:val="26"/>
        </w:rPr>
        <w:t xml:space="preserve">ation of liability derives from PUC guidelines and supervision.  </w:t>
      </w:r>
      <w:r>
        <w:rPr>
          <w:szCs w:val="26"/>
        </w:rPr>
        <w:t>I</w:t>
      </w:r>
      <w:r w:rsidRPr="000773EF" w:rsidR="00656B34">
        <w:rPr>
          <w:szCs w:val="26"/>
        </w:rPr>
        <w:t xml:space="preserve">f </w:t>
      </w:r>
      <w:r w:rsidRPr="000773EF" w:rsidR="00CB4AFC">
        <w:rPr>
          <w:szCs w:val="26"/>
        </w:rPr>
        <w:t>utilities cannot consider liability as a factor in implementing PSPS events</w:t>
      </w:r>
      <w:r w:rsidRPr="000773EF" w:rsidR="00656B34">
        <w:rPr>
          <w:szCs w:val="26"/>
        </w:rPr>
        <w:t>, it is</w:t>
      </w:r>
      <w:r w:rsidRPr="000773EF" w:rsidR="00CB4AFC">
        <w:rPr>
          <w:szCs w:val="26"/>
        </w:rPr>
        <w:t xml:space="preserve"> because the PUC has determined</w:t>
      </w:r>
      <w:r w:rsidRPr="000773EF" w:rsidR="00656B34">
        <w:rPr>
          <w:szCs w:val="26"/>
        </w:rPr>
        <w:t xml:space="preserve"> that</w:t>
      </w:r>
      <w:r w:rsidRPr="000773EF" w:rsidR="00CB4AFC">
        <w:rPr>
          <w:szCs w:val="26"/>
        </w:rPr>
        <w:t xml:space="preserve"> as a matter of policy utilities </w:t>
      </w:r>
      <w:r w:rsidRPr="000773EF" w:rsidR="00CB4AFC">
        <w:rPr>
          <w:i/>
          <w:iCs/>
          <w:szCs w:val="26"/>
        </w:rPr>
        <w:t>ought not</w:t>
      </w:r>
      <w:r w:rsidRPr="000773EF" w:rsidR="00CB4AFC">
        <w:rPr>
          <w:szCs w:val="26"/>
        </w:rPr>
        <w:t xml:space="preserve"> consider </w:t>
      </w:r>
      <w:r w:rsidRPr="000773EF" w:rsidR="00661C57">
        <w:rPr>
          <w:szCs w:val="26"/>
        </w:rPr>
        <w:t xml:space="preserve">liability in these decisions.  The PUC has emphasized that utilities should instead consider </w:t>
      </w:r>
      <w:r w:rsidRPr="000773EF" w:rsidR="00F87C6A">
        <w:rPr>
          <w:szCs w:val="26"/>
        </w:rPr>
        <w:t xml:space="preserve">only the public safety implications through a careful cost-benefit analysis. </w:t>
      </w:r>
      <w:r w:rsidRPr="000773EF" w:rsidR="00FD3D93">
        <w:rPr>
          <w:szCs w:val="26"/>
        </w:rPr>
        <w:t xml:space="preserve"> </w:t>
      </w:r>
      <w:r w:rsidRPr="000773EF" w:rsidR="00F113E8">
        <w:rPr>
          <w:szCs w:val="26"/>
        </w:rPr>
        <w:t>(</w:t>
      </w:r>
      <w:r w:rsidRPr="000773EF" w:rsidR="000A137E">
        <w:rPr>
          <w:szCs w:val="26"/>
        </w:rPr>
        <w:t>Cal.</w:t>
      </w:r>
      <w:r w:rsidRPr="000773EF" w:rsidR="00F113E8">
        <w:rPr>
          <w:szCs w:val="26"/>
          <w:shd w:val="clear" w:color="auto" w:fill="FFFFFF"/>
        </w:rPr>
        <w:t>P</w:t>
      </w:r>
      <w:r w:rsidRPr="000773EF" w:rsidR="000A137E">
        <w:rPr>
          <w:szCs w:val="26"/>
          <w:shd w:val="clear" w:color="auto" w:fill="FFFFFF"/>
        </w:rPr>
        <w:t>.</w:t>
      </w:r>
      <w:r w:rsidRPr="000773EF" w:rsidR="00F113E8">
        <w:rPr>
          <w:szCs w:val="26"/>
          <w:shd w:val="clear" w:color="auto" w:fill="FFFFFF"/>
        </w:rPr>
        <w:t>U</w:t>
      </w:r>
      <w:r w:rsidRPr="000773EF" w:rsidR="000A137E">
        <w:rPr>
          <w:szCs w:val="26"/>
          <w:shd w:val="clear" w:color="auto" w:fill="FFFFFF"/>
        </w:rPr>
        <w:t>.</w:t>
      </w:r>
      <w:r w:rsidRPr="000773EF" w:rsidR="00F113E8">
        <w:rPr>
          <w:szCs w:val="26"/>
          <w:shd w:val="clear" w:color="auto" w:fill="FFFFFF"/>
        </w:rPr>
        <w:t>C</w:t>
      </w:r>
      <w:r w:rsidRPr="000773EF" w:rsidR="000A137E">
        <w:rPr>
          <w:szCs w:val="26"/>
          <w:shd w:val="clear" w:color="auto" w:fill="FFFFFF"/>
        </w:rPr>
        <w:t>.</w:t>
      </w:r>
      <w:r w:rsidRPr="000773EF" w:rsidR="00F113E8">
        <w:rPr>
          <w:szCs w:val="26"/>
          <w:shd w:val="clear" w:color="auto" w:fill="FFFFFF"/>
        </w:rPr>
        <w:t xml:space="preserve"> Dec. </w:t>
      </w:r>
      <w:r w:rsidRPr="000773EF" w:rsidR="000A137E">
        <w:rPr>
          <w:szCs w:val="26"/>
          <w:shd w:val="clear" w:color="auto" w:fill="FFFFFF"/>
        </w:rPr>
        <w:t>No. </w:t>
      </w:r>
      <w:r w:rsidRPr="000773EF" w:rsidR="00F113E8">
        <w:rPr>
          <w:szCs w:val="26"/>
          <w:shd w:val="clear" w:color="auto" w:fill="FFFFFF"/>
        </w:rPr>
        <w:t xml:space="preserve">21-06-014, </w:t>
      </w:r>
      <w:r w:rsidRPr="000773EF" w:rsidR="00F113E8">
        <w:rPr>
          <w:i/>
          <w:iCs/>
          <w:szCs w:val="26"/>
          <w:shd w:val="clear" w:color="auto" w:fill="FFFFFF"/>
        </w:rPr>
        <w:t>supra</w:t>
      </w:r>
      <w:r w:rsidR="00845A19">
        <w:rPr>
          <w:szCs w:val="26"/>
          <w:shd w:val="clear" w:color="auto" w:fill="FFFFFF"/>
        </w:rPr>
        <w:t>,</w:t>
      </w:r>
      <w:r w:rsidRPr="000773EF" w:rsidR="0026148C">
        <w:rPr>
          <w:szCs w:val="26"/>
          <w:shd w:val="clear" w:color="auto" w:fill="FFFFFF"/>
        </w:rPr>
        <w:t xml:space="preserve"> 2021 Cal.P.U.C. Lexis 278</w:t>
      </w:r>
      <w:r w:rsidRPr="000773EF" w:rsidR="00F113E8">
        <w:rPr>
          <w:szCs w:val="26"/>
          <w:shd w:val="clear" w:color="auto" w:fill="FFFFFF"/>
        </w:rPr>
        <w:t xml:space="preserve"> at p. </w:t>
      </w:r>
      <w:r w:rsidRPr="000773EF" w:rsidR="005605F2">
        <w:rPr>
          <w:szCs w:val="26"/>
          <w:shd w:val="clear" w:color="auto" w:fill="FFFFFF"/>
        </w:rPr>
        <w:t>*54</w:t>
      </w:r>
      <w:r w:rsidRPr="000773EF" w:rsidR="00F113E8">
        <w:rPr>
          <w:szCs w:val="26"/>
          <w:shd w:val="clear" w:color="auto" w:fill="FFFFFF"/>
        </w:rPr>
        <w:t xml:space="preserve">.)  </w:t>
      </w:r>
      <w:r w:rsidRPr="000773EF" w:rsidR="007A156A">
        <w:rPr>
          <w:szCs w:val="26"/>
          <w:shd w:val="clear" w:color="auto" w:fill="FFFFFF"/>
        </w:rPr>
        <w:t>By seeking damages resulting directly</w:t>
      </w:r>
      <w:r w:rsidRPr="000773EF" w:rsidR="003D28A7">
        <w:rPr>
          <w:szCs w:val="26"/>
          <w:shd w:val="clear" w:color="auto" w:fill="FFFFFF"/>
        </w:rPr>
        <w:t xml:space="preserve"> from PSPS events,</w:t>
      </w:r>
      <w:r w:rsidRPr="000773EF" w:rsidR="007A156A">
        <w:rPr>
          <w:szCs w:val="26"/>
          <w:shd w:val="clear" w:color="auto" w:fill="FFFFFF"/>
        </w:rPr>
        <w:t xml:space="preserve"> </w:t>
      </w:r>
      <w:r w:rsidRPr="000773EF" w:rsidR="000F4024">
        <w:rPr>
          <w:szCs w:val="26"/>
          <w:shd w:val="clear" w:color="auto" w:fill="FFFFFF"/>
        </w:rPr>
        <w:t xml:space="preserve">Gantner’s suit </w:t>
      </w:r>
      <w:r w:rsidRPr="000773EF" w:rsidR="007A156A">
        <w:rPr>
          <w:szCs w:val="26"/>
          <w:shd w:val="clear" w:color="auto" w:fill="FFFFFF"/>
        </w:rPr>
        <w:t>heightens the risk that potential tort liability will factor into a utility’s</w:t>
      </w:r>
      <w:r w:rsidRPr="000773EF" w:rsidR="003D28A7">
        <w:rPr>
          <w:szCs w:val="26"/>
          <w:shd w:val="clear" w:color="auto" w:fill="FFFFFF"/>
        </w:rPr>
        <w:t xml:space="preserve"> </w:t>
      </w:r>
      <w:r w:rsidRPr="000773EF" w:rsidR="007A156A">
        <w:rPr>
          <w:szCs w:val="26"/>
          <w:shd w:val="clear" w:color="auto" w:fill="FFFFFF"/>
        </w:rPr>
        <w:t>shutoff decision</w:t>
      </w:r>
      <w:r w:rsidR="00C72B96">
        <w:rPr>
          <w:szCs w:val="26"/>
          <w:shd w:val="clear" w:color="auto" w:fill="FFFFFF"/>
        </w:rPr>
        <w:t>-</w:t>
      </w:r>
      <w:r w:rsidRPr="000773EF" w:rsidR="007A156A">
        <w:rPr>
          <w:szCs w:val="26"/>
          <w:shd w:val="clear" w:color="auto" w:fill="FFFFFF"/>
        </w:rPr>
        <w:t>making</w:t>
      </w:r>
      <w:r w:rsidRPr="000773EF" w:rsidR="00422276">
        <w:rPr>
          <w:szCs w:val="26"/>
          <w:shd w:val="clear" w:color="auto" w:fill="FFFFFF"/>
        </w:rPr>
        <w:t xml:space="preserve">.  </w:t>
      </w:r>
      <w:r w:rsidRPr="000773EF" w:rsidR="002C6898">
        <w:rPr>
          <w:szCs w:val="26"/>
          <w:shd w:val="clear" w:color="auto" w:fill="FFFFFF"/>
        </w:rPr>
        <w:t>This puts</w:t>
      </w:r>
      <w:r w:rsidRPr="000773EF" w:rsidR="00E22AD5">
        <w:rPr>
          <w:szCs w:val="26"/>
          <w:shd w:val="clear" w:color="auto" w:fill="FFFFFF"/>
        </w:rPr>
        <w:t xml:space="preserve"> Gantner’s </w:t>
      </w:r>
      <w:r w:rsidRPr="000773EF">
        <w:rPr>
          <w:szCs w:val="26"/>
          <w:shd w:val="clear" w:color="auto" w:fill="FFFFFF"/>
        </w:rPr>
        <w:t xml:space="preserve">suit </w:t>
      </w:r>
      <w:r w:rsidRPr="000773EF" w:rsidR="003D28A7">
        <w:rPr>
          <w:szCs w:val="26"/>
          <w:shd w:val="clear" w:color="auto" w:fill="FFFFFF"/>
        </w:rPr>
        <w:t xml:space="preserve">at </w:t>
      </w:r>
      <w:r w:rsidR="00E67FEA">
        <w:rPr>
          <w:szCs w:val="26"/>
          <w:shd w:val="clear" w:color="auto" w:fill="FFFFFF"/>
        </w:rPr>
        <w:t>cross-purposes</w:t>
      </w:r>
      <w:r w:rsidRPr="000773EF" w:rsidR="007A156A">
        <w:rPr>
          <w:szCs w:val="26"/>
          <w:shd w:val="clear" w:color="auto" w:fill="FFFFFF"/>
        </w:rPr>
        <w:t xml:space="preserve"> with the PUC’s carefully designed scheme.</w:t>
      </w:r>
      <w:r w:rsidRPr="000773EF" w:rsidR="009F5684">
        <w:rPr>
          <w:szCs w:val="26"/>
          <w:shd w:val="clear" w:color="auto" w:fill="FFFFFF"/>
        </w:rPr>
        <w:t xml:space="preserve">  (</w:t>
      </w:r>
      <w:r w:rsidRPr="000773EF" w:rsidR="009F5684">
        <w:rPr>
          <w:i/>
          <w:iCs/>
          <w:szCs w:val="26"/>
          <w:bdr w:val="none" w:sz="0" w:space="0" w:color="auto" w:frame="1"/>
        </w:rPr>
        <w:t>Gantner v. PG&amp;E Corporation</w:t>
      </w:r>
      <w:r w:rsidRPr="000773EF" w:rsidR="009F5684">
        <w:rPr>
          <w:szCs w:val="26"/>
          <w:bdr w:val="none" w:sz="0" w:space="0" w:color="auto" w:frame="1"/>
        </w:rPr>
        <w:t xml:space="preserve"> (N.D.Cal. 2021) 629 B.R. 60, 67</w:t>
      </w:r>
      <w:r w:rsidRPr="000773EF" w:rsidR="00DF55FF">
        <w:rPr>
          <w:szCs w:val="26"/>
        </w:rPr>
        <w:t xml:space="preserve">; </w:t>
      </w:r>
      <w:r w:rsidRPr="000773EF" w:rsidR="00DF55FF">
        <w:rPr>
          <w:color w:val="000000"/>
          <w:szCs w:val="26"/>
        </w:rPr>
        <w:t xml:space="preserve">see also </w:t>
      </w:r>
      <w:r w:rsidRPr="000773EF" w:rsidR="00DF55FF">
        <w:rPr>
          <w:i/>
          <w:iCs/>
          <w:szCs w:val="26"/>
          <w:bdr w:val="none" w:sz="0" w:space="0" w:color="auto" w:frame="1"/>
        </w:rPr>
        <w:t>Southern California Gas Leak Cases</w:t>
      </w:r>
      <w:r w:rsidRPr="000773EF" w:rsidR="00DF55FF">
        <w:rPr>
          <w:szCs w:val="26"/>
          <w:bdr w:val="none" w:sz="0" w:space="0" w:color="auto" w:frame="1"/>
        </w:rPr>
        <w:t xml:space="preserve"> (2019) 7 Cal.5th 391, 401 [“exposure to liability often provides an important incentive for parties to internalize the social costs of their actions”].)</w:t>
      </w:r>
    </w:p>
    <w:p w:rsidR="00E15268" w:rsidRPr="000773EF" w:rsidP="00BC7683" w14:paraId="4FB03EDE" w14:textId="77777777">
      <w:pPr>
        <w:ind w:firstLine="720"/>
        <w:rPr>
          <w:szCs w:val="26"/>
          <w:shd w:val="clear" w:color="auto" w:fill="FFFFFF"/>
        </w:rPr>
      </w:pPr>
      <w:r w:rsidRPr="000773EF">
        <w:rPr>
          <w:szCs w:val="26"/>
          <w:shd w:val="clear" w:color="auto" w:fill="FFFFFF"/>
        </w:rPr>
        <w:t xml:space="preserve">Furthermore, the PUC’s supervision over PSPS extends far beyond regulating the implementation of power shutoffs.  Recognizing “the growing threat of wildfire” </w:t>
      </w:r>
      <w:r w:rsidRPr="000773EF">
        <w:rPr>
          <w:szCs w:val="26"/>
        </w:rPr>
        <w:t xml:space="preserve">(Cal.P.U.C. Dec. No. 19-05-042, </w:t>
      </w:r>
      <w:r w:rsidRPr="000773EF">
        <w:rPr>
          <w:i/>
          <w:iCs/>
          <w:szCs w:val="26"/>
        </w:rPr>
        <w:t>supra</w:t>
      </w:r>
      <w:r w:rsidR="006B0933">
        <w:rPr>
          <w:szCs w:val="26"/>
        </w:rPr>
        <w:t>,</w:t>
      </w:r>
      <w:r w:rsidRPr="000773EF">
        <w:rPr>
          <w:szCs w:val="26"/>
        </w:rPr>
        <w:t xml:space="preserve"> </w:t>
      </w:r>
      <w:r w:rsidRPr="000773EF">
        <w:rPr>
          <w:szCs w:val="26"/>
          <w:shd w:val="clear" w:color="auto" w:fill="FFFFFF"/>
        </w:rPr>
        <w:t>2019 Cal.P.U.C. Lexis 270</w:t>
      </w:r>
      <w:r w:rsidRPr="000773EF">
        <w:rPr>
          <w:szCs w:val="26"/>
        </w:rPr>
        <w:t xml:space="preserve"> at p. *3), </w:t>
      </w:r>
      <w:r w:rsidRPr="000773EF">
        <w:rPr>
          <w:szCs w:val="26"/>
          <w:shd w:val="clear" w:color="auto" w:fill="FFFFFF"/>
        </w:rPr>
        <w:t>the PUC determined that “proactively de-energizing power lines can save lives” (</w:t>
      </w:r>
      <w:r w:rsidRPr="000773EF">
        <w:rPr>
          <w:i/>
          <w:iCs/>
          <w:szCs w:val="26"/>
          <w:shd w:val="clear" w:color="auto" w:fill="FFFFFF"/>
        </w:rPr>
        <w:t>id.</w:t>
      </w:r>
      <w:r w:rsidRPr="000773EF">
        <w:rPr>
          <w:szCs w:val="26"/>
          <w:shd w:val="clear" w:color="auto" w:fill="FFFFFF"/>
        </w:rPr>
        <w:t xml:space="preserve"> at p. *4).  The PUC’s carefully calibrated PSPS guidelines “build[] on new weather tracking and modeling technology” and </w:t>
      </w:r>
      <w:r w:rsidR="00082442">
        <w:rPr>
          <w:szCs w:val="26"/>
          <w:shd w:val="clear" w:color="auto" w:fill="FFFFFF"/>
        </w:rPr>
        <w:t>add to</w:t>
      </w:r>
      <w:r w:rsidRPr="000773EF">
        <w:rPr>
          <w:szCs w:val="26"/>
          <w:shd w:val="clear" w:color="auto" w:fill="FFFFFF"/>
        </w:rPr>
        <w:t xml:space="preserve"> “tougher regulations for removing vegetation” (</w:t>
      </w:r>
      <w:r w:rsidRPr="000773EF">
        <w:rPr>
          <w:i/>
          <w:iCs/>
          <w:szCs w:val="26"/>
          <w:shd w:val="clear" w:color="auto" w:fill="FFFFFF"/>
        </w:rPr>
        <w:t>ibid</w:t>
      </w:r>
      <w:r w:rsidRPr="000773EF">
        <w:rPr>
          <w:szCs w:val="26"/>
          <w:shd w:val="clear" w:color="auto" w:fill="FFFFFF"/>
        </w:rPr>
        <w:t>.) while acknowledging that power shutoffs can cause real harm to affected individuals and businesses (</w:t>
      </w:r>
      <w:r w:rsidRPr="000773EF">
        <w:rPr>
          <w:i/>
          <w:iCs/>
          <w:szCs w:val="26"/>
          <w:shd w:val="clear" w:color="auto" w:fill="FFFFFF"/>
        </w:rPr>
        <w:t>id</w:t>
      </w:r>
      <w:r w:rsidRPr="000773EF">
        <w:rPr>
          <w:szCs w:val="26"/>
          <w:shd w:val="clear" w:color="auto" w:fill="FFFFFF"/>
        </w:rPr>
        <w:t>. at p</w:t>
      </w:r>
      <w:r w:rsidR="003C192B">
        <w:rPr>
          <w:szCs w:val="26"/>
          <w:shd w:val="clear" w:color="auto" w:fill="FFFFFF"/>
        </w:rPr>
        <w:t>p</w:t>
      </w:r>
      <w:r w:rsidRPr="000773EF">
        <w:rPr>
          <w:szCs w:val="26"/>
          <w:shd w:val="clear" w:color="auto" w:fill="FFFFFF"/>
        </w:rPr>
        <w:t>. *</w:t>
      </w:r>
      <w:r w:rsidR="00B93289">
        <w:rPr>
          <w:szCs w:val="26"/>
          <w:shd w:val="clear" w:color="auto" w:fill="FFFFFF"/>
        </w:rPr>
        <w:t>4–</w:t>
      </w:r>
      <w:r w:rsidR="00565113">
        <w:rPr>
          <w:szCs w:val="26"/>
          <w:shd w:val="clear" w:color="auto" w:fill="FFFFFF"/>
        </w:rPr>
        <w:t>*</w:t>
      </w:r>
      <w:r w:rsidRPr="000773EF">
        <w:rPr>
          <w:szCs w:val="26"/>
          <w:shd w:val="clear" w:color="auto" w:fill="FFFFFF"/>
        </w:rPr>
        <w:t>5).  By seeking liability for PSPS events regardless of whether the shutoff decision or implementation was negligen</w:t>
      </w:r>
      <w:r w:rsidRPr="000773EF" w:rsidR="00D204DC">
        <w:rPr>
          <w:szCs w:val="26"/>
          <w:shd w:val="clear" w:color="auto" w:fill="FFFFFF"/>
        </w:rPr>
        <w:t>t</w:t>
      </w:r>
      <w:r w:rsidRPr="000773EF">
        <w:rPr>
          <w:szCs w:val="26"/>
          <w:shd w:val="clear" w:color="auto" w:fill="FFFFFF"/>
        </w:rPr>
        <w:t xml:space="preserve">, Gantner’s suit interferes with the PUC’s broad supervisory power over how utilities can and should respond to the present threat of catastrophic wildfires.  </w:t>
      </w:r>
      <w:r w:rsidRPr="000773EF">
        <w:rPr>
          <w:szCs w:val="26"/>
        </w:rPr>
        <w:t xml:space="preserve">Gantner’s suit also risks interfering with the PUC’s careful ratemaking decisions, either </w:t>
      </w:r>
      <w:r w:rsidRPr="000773EF" w:rsidR="003D50F6">
        <w:rPr>
          <w:szCs w:val="26"/>
        </w:rPr>
        <w:t>by</w:t>
      </w:r>
      <w:r w:rsidRPr="000773EF">
        <w:rPr>
          <w:szCs w:val="26"/>
        </w:rPr>
        <w:t xml:space="preserve"> </w:t>
      </w:r>
      <w:r w:rsidRPr="000773EF" w:rsidR="003D50F6">
        <w:rPr>
          <w:szCs w:val="26"/>
        </w:rPr>
        <w:t xml:space="preserve">increasing utility costs directly </w:t>
      </w:r>
      <w:r w:rsidRPr="000773EF" w:rsidR="007B70D6">
        <w:rPr>
          <w:szCs w:val="26"/>
        </w:rPr>
        <w:t xml:space="preserve">through extensive litigation </w:t>
      </w:r>
      <w:r w:rsidRPr="000773EF">
        <w:rPr>
          <w:szCs w:val="26"/>
        </w:rPr>
        <w:t xml:space="preserve">or </w:t>
      </w:r>
      <w:r w:rsidRPr="000773EF" w:rsidR="003D50F6">
        <w:rPr>
          <w:szCs w:val="26"/>
        </w:rPr>
        <w:t>by incentiv</w:t>
      </w:r>
      <w:r w:rsidRPr="000773EF" w:rsidR="00A632CF">
        <w:rPr>
          <w:szCs w:val="26"/>
        </w:rPr>
        <w:t>izing</w:t>
      </w:r>
      <w:r w:rsidRPr="000773EF" w:rsidR="003D50F6">
        <w:rPr>
          <w:szCs w:val="26"/>
        </w:rPr>
        <w:t xml:space="preserve"> t</w:t>
      </w:r>
      <w:r w:rsidRPr="000773EF" w:rsidR="00A632CF">
        <w:rPr>
          <w:szCs w:val="26"/>
        </w:rPr>
        <w:t>he</w:t>
      </w:r>
      <w:r w:rsidRPr="000773EF" w:rsidR="003D50F6">
        <w:rPr>
          <w:szCs w:val="26"/>
        </w:rPr>
        <w:t xml:space="preserve"> </w:t>
      </w:r>
      <w:r w:rsidRPr="000773EF">
        <w:rPr>
          <w:szCs w:val="26"/>
        </w:rPr>
        <w:t>accelerat</w:t>
      </w:r>
      <w:r w:rsidRPr="000773EF" w:rsidR="00A632CF">
        <w:rPr>
          <w:szCs w:val="26"/>
        </w:rPr>
        <w:t>ion of</w:t>
      </w:r>
      <w:r w:rsidRPr="000773EF">
        <w:rPr>
          <w:szCs w:val="26"/>
        </w:rPr>
        <w:t xml:space="preserve"> grid maintenance and improvement beyond the levels accounted for by the PUC.  (See </w:t>
      </w:r>
      <w:r w:rsidRPr="000773EF">
        <w:rPr>
          <w:i/>
          <w:iCs/>
          <w:szCs w:val="26"/>
        </w:rPr>
        <w:t>Hartwell</w:t>
      </w:r>
      <w:r w:rsidRPr="000773EF">
        <w:rPr>
          <w:szCs w:val="26"/>
        </w:rPr>
        <w:t xml:space="preserve">, </w:t>
      </w:r>
      <w:r w:rsidRPr="000773EF">
        <w:rPr>
          <w:i/>
          <w:iCs/>
          <w:szCs w:val="26"/>
        </w:rPr>
        <w:t>supra</w:t>
      </w:r>
      <w:r w:rsidRPr="000773EF">
        <w:rPr>
          <w:szCs w:val="26"/>
        </w:rPr>
        <w:t xml:space="preserve">, 27 Cal.4th at p. 276 [section 1759 bars action that could interfere with PUC ratemaking]; </w:t>
      </w:r>
      <w:r w:rsidRPr="000773EF">
        <w:rPr>
          <w:i/>
          <w:iCs/>
          <w:szCs w:val="26"/>
        </w:rPr>
        <w:t>Waters</w:t>
      </w:r>
      <w:r w:rsidRPr="000773EF">
        <w:rPr>
          <w:szCs w:val="26"/>
        </w:rPr>
        <w:t xml:space="preserve">, </w:t>
      </w:r>
      <w:r w:rsidRPr="000773EF">
        <w:rPr>
          <w:i/>
          <w:iCs/>
          <w:szCs w:val="26"/>
        </w:rPr>
        <w:t>supra</w:t>
      </w:r>
      <w:r w:rsidRPr="000773EF">
        <w:rPr>
          <w:szCs w:val="26"/>
        </w:rPr>
        <w:t>, 12 Cal.3d at p. 10 [same].)</w:t>
      </w:r>
    </w:p>
    <w:p w:rsidR="00D47BA6" w:rsidRPr="000773EF" w:rsidP="00BC7683" w14:paraId="4FB03EDF" w14:textId="77777777">
      <w:pPr>
        <w:ind w:firstLine="720"/>
        <w:rPr>
          <w:szCs w:val="26"/>
          <w:shd w:val="clear" w:color="auto" w:fill="FFFFFF"/>
        </w:rPr>
      </w:pPr>
      <w:r w:rsidRPr="000773EF">
        <w:rPr>
          <w:szCs w:val="26"/>
        </w:rPr>
        <w:t xml:space="preserve">Second, </w:t>
      </w:r>
      <w:r w:rsidRPr="000773EF" w:rsidR="001E49B9">
        <w:rPr>
          <w:szCs w:val="26"/>
        </w:rPr>
        <w:t xml:space="preserve">Gantner’s suit would interfere with the PUC’s </w:t>
      </w:r>
      <w:r w:rsidRPr="000773EF" w:rsidR="000A1782">
        <w:rPr>
          <w:szCs w:val="26"/>
        </w:rPr>
        <w:t xml:space="preserve">post hoc review of PSPS events. </w:t>
      </w:r>
      <w:r w:rsidRPr="000773EF" w:rsidR="006C6701">
        <w:rPr>
          <w:szCs w:val="26"/>
        </w:rPr>
        <w:t xml:space="preserve"> The PUC has implemented its own process for evaluating the reasonableness of PSPS events and maintains the authority to issue penalties and orders to utilities based on noncompliance with existing PSPS guidelines.  </w:t>
      </w:r>
      <w:r w:rsidRPr="000773EF" w:rsidR="002304EF">
        <w:rPr>
          <w:szCs w:val="26"/>
        </w:rPr>
        <w:t xml:space="preserve">(See, e.g., </w:t>
      </w:r>
      <w:r w:rsidRPr="000773EF" w:rsidR="000A137E">
        <w:rPr>
          <w:szCs w:val="26"/>
        </w:rPr>
        <w:t>Cal.</w:t>
      </w:r>
      <w:r w:rsidRPr="000773EF" w:rsidR="009007AD">
        <w:rPr>
          <w:szCs w:val="26"/>
          <w:shd w:val="clear" w:color="auto" w:fill="FFFFFF"/>
        </w:rPr>
        <w:t>P</w:t>
      </w:r>
      <w:r w:rsidRPr="000773EF" w:rsidR="000A137E">
        <w:rPr>
          <w:szCs w:val="26"/>
          <w:shd w:val="clear" w:color="auto" w:fill="FFFFFF"/>
        </w:rPr>
        <w:t>.</w:t>
      </w:r>
      <w:r w:rsidRPr="000773EF" w:rsidR="009007AD">
        <w:rPr>
          <w:szCs w:val="26"/>
          <w:shd w:val="clear" w:color="auto" w:fill="FFFFFF"/>
        </w:rPr>
        <w:t>U</w:t>
      </w:r>
      <w:r w:rsidRPr="000773EF" w:rsidR="000A137E">
        <w:rPr>
          <w:szCs w:val="26"/>
          <w:shd w:val="clear" w:color="auto" w:fill="FFFFFF"/>
        </w:rPr>
        <w:t>.</w:t>
      </w:r>
      <w:r w:rsidRPr="000773EF" w:rsidR="009007AD">
        <w:rPr>
          <w:szCs w:val="26"/>
          <w:shd w:val="clear" w:color="auto" w:fill="FFFFFF"/>
        </w:rPr>
        <w:t>C</w:t>
      </w:r>
      <w:r w:rsidRPr="000773EF" w:rsidR="000A137E">
        <w:rPr>
          <w:szCs w:val="26"/>
          <w:shd w:val="clear" w:color="auto" w:fill="FFFFFF"/>
        </w:rPr>
        <w:t>.</w:t>
      </w:r>
      <w:r w:rsidRPr="000773EF" w:rsidR="009007AD">
        <w:rPr>
          <w:szCs w:val="26"/>
          <w:shd w:val="clear" w:color="auto" w:fill="FFFFFF"/>
        </w:rPr>
        <w:t xml:space="preserve"> Dec. </w:t>
      </w:r>
      <w:r w:rsidRPr="000773EF" w:rsidR="000A137E">
        <w:rPr>
          <w:szCs w:val="26"/>
          <w:shd w:val="clear" w:color="auto" w:fill="FFFFFF"/>
        </w:rPr>
        <w:t>No. </w:t>
      </w:r>
      <w:r w:rsidRPr="000773EF" w:rsidR="009007AD">
        <w:rPr>
          <w:szCs w:val="26"/>
          <w:shd w:val="clear" w:color="auto" w:fill="FFFFFF"/>
        </w:rPr>
        <w:t xml:space="preserve">21-09-026, </w:t>
      </w:r>
      <w:r w:rsidRPr="000773EF" w:rsidR="0049568E">
        <w:rPr>
          <w:i/>
          <w:iCs/>
          <w:szCs w:val="26"/>
          <w:shd w:val="clear" w:color="auto" w:fill="FFFFFF"/>
        </w:rPr>
        <w:t>supra</w:t>
      </w:r>
      <w:r w:rsidR="00DF4CC2">
        <w:rPr>
          <w:szCs w:val="26"/>
          <w:shd w:val="clear" w:color="auto" w:fill="FFFFFF"/>
        </w:rPr>
        <w:t>,</w:t>
      </w:r>
      <w:r w:rsidRPr="000773EF" w:rsidR="00530548">
        <w:rPr>
          <w:szCs w:val="26"/>
          <w:shd w:val="clear" w:color="auto" w:fill="FFFFFF"/>
        </w:rPr>
        <w:t xml:space="preserve"> 2021 Cal.P.U.C. Lexis 480</w:t>
      </w:r>
      <w:r w:rsidRPr="000773EF" w:rsidR="009007AD">
        <w:rPr>
          <w:szCs w:val="26"/>
          <w:shd w:val="clear" w:color="auto" w:fill="FFFFFF"/>
        </w:rPr>
        <w:t xml:space="preserve"> </w:t>
      </w:r>
      <w:r w:rsidRPr="000773EF" w:rsidR="00FD5E66">
        <w:rPr>
          <w:szCs w:val="26"/>
        </w:rPr>
        <w:t>at p. </w:t>
      </w:r>
      <w:r w:rsidRPr="000773EF" w:rsidR="00C969DB">
        <w:rPr>
          <w:szCs w:val="26"/>
        </w:rPr>
        <w:t>*1</w:t>
      </w:r>
      <w:r w:rsidRPr="000773EF" w:rsidR="009B305B">
        <w:rPr>
          <w:szCs w:val="26"/>
        </w:rPr>
        <w:t xml:space="preserve"> [</w:t>
      </w:r>
      <w:r w:rsidRPr="000773EF" w:rsidR="003A239C">
        <w:rPr>
          <w:szCs w:val="26"/>
        </w:rPr>
        <w:t xml:space="preserve">finding </w:t>
      </w:r>
      <w:r w:rsidRPr="000773EF" w:rsidR="00896811">
        <w:rPr>
          <w:szCs w:val="26"/>
        </w:rPr>
        <w:t>that PG&amp;E violated PUC guidelines in implementing fall 2019 PSPS events</w:t>
      </w:r>
      <w:r w:rsidRPr="000773EF" w:rsidR="001247F1">
        <w:rPr>
          <w:szCs w:val="26"/>
        </w:rPr>
        <w:t xml:space="preserve"> and assessing a penalty</w:t>
      </w:r>
      <w:r w:rsidRPr="000773EF" w:rsidR="00896811">
        <w:rPr>
          <w:szCs w:val="26"/>
        </w:rPr>
        <w:t>]; see also</w:t>
      </w:r>
      <w:r w:rsidRPr="000773EF" w:rsidR="00FD5E66">
        <w:rPr>
          <w:szCs w:val="26"/>
        </w:rPr>
        <w:t xml:space="preserve"> </w:t>
      </w:r>
      <w:r w:rsidRPr="000773EF" w:rsidR="000A137E">
        <w:rPr>
          <w:szCs w:val="26"/>
        </w:rPr>
        <w:t>Cal.</w:t>
      </w:r>
      <w:r w:rsidRPr="000773EF" w:rsidR="00FD5E66">
        <w:rPr>
          <w:szCs w:val="26"/>
        </w:rPr>
        <w:t>P</w:t>
      </w:r>
      <w:r w:rsidRPr="000773EF" w:rsidR="000A137E">
        <w:rPr>
          <w:szCs w:val="26"/>
        </w:rPr>
        <w:t>.</w:t>
      </w:r>
      <w:r w:rsidRPr="000773EF" w:rsidR="00FD5E66">
        <w:rPr>
          <w:szCs w:val="26"/>
        </w:rPr>
        <w:t>U</w:t>
      </w:r>
      <w:r w:rsidRPr="000773EF" w:rsidR="000A137E">
        <w:rPr>
          <w:szCs w:val="26"/>
        </w:rPr>
        <w:t>.</w:t>
      </w:r>
      <w:r w:rsidRPr="000773EF" w:rsidR="00FD5E66">
        <w:rPr>
          <w:szCs w:val="26"/>
        </w:rPr>
        <w:t>C</w:t>
      </w:r>
      <w:r w:rsidRPr="000773EF" w:rsidR="000A137E">
        <w:rPr>
          <w:szCs w:val="26"/>
        </w:rPr>
        <w:t>.</w:t>
      </w:r>
      <w:r w:rsidRPr="000773EF" w:rsidR="00FD5E66">
        <w:rPr>
          <w:szCs w:val="26"/>
        </w:rPr>
        <w:t xml:space="preserve"> Dec. </w:t>
      </w:r>
      <w:r w:rsidRPr="000773EF" w:rsidR="000A137E">
        <w:rPr>
          <w:szCs w:val="26"/>
        </w:rPr>
        <w:t>No. </w:t>
      </w:r>
      <w:r w:rsidRPr="000773EF" w:rsidR="00FD5E66">
        <w:rPr>
          <w:szCs w:val="26"/>
        </w:rPr>
        <w:t>21-06-014</w:t>
      </w:r>
      <w:r w:rsidRPr="000773EF" w:rsidR="009007AD">
        <w:rPr>
          <w:szCs w:val="26"/>
        </w:rPr>
        <w:t xml:space="preserve">, </w:t>
      </w:r>
      <w:r w:rsidRPr="000773EF" w:rsidR="009007AD">
        <w:rPr>
          <w:i/>
          <w:iCs/>
          <w:szCs w:val="26"/>
        </w:rPr>
        <w:t>supra</w:t>
      </w:r>
      <w:r w:rsidR="005753A8">
        <w:rPr>
          <w:szCs w:val="26"/>
        </w:rPr>
        <w:t>,</w:t>
      </w:r>
      <w:r w:rsidRPr="000773EF" w:rsidR="0026148C">
        <w:rPr>
          <w:szCs w:val="26"/>
        </w:rPr>
        <w:t xml:space="preserve"> </w:t>
      </w:r>
      <w:r w:rsidRPr="000773EF" w:rsidR="0026148C">
        <w:rPr>
          <w:szCs w:val="26"/>
          <w:shd w:val="clear" w:color="auto" w:fill="FFFFFF"/>
        </w:rPr>
        <w:t>2021 Cal.P.U.C. Lexis 278</w:t>
      </w:r>
      <w:r w:rsidRPr="000773EF" w:rsidR="00FD5E66">
        <w:rPr>
          <w:szCs w:val="26"/>
        </w:rPr>
        <w:t xml:space="preserve"> </w:t>
      </w:r>
      <w:r w:rsidRPr="000773EF" w:rsidR="00333910">
        <w:rPr>
          <w:szCs w:val="26"/>
        </w:rPr>
        <w:t>at pp. </w:t>
      </w:r>
      <w:r w:rsidRPr="000773EF" w:rsidR="003F79A0">
        <w:rPr>
          <w:szCs w:val="26"/>
        </w:rPr>
        <w:t>*335</w:t>
      </w:r>
      <w:r w:rsidRPr="000773EF" w:rsidR="00333910">
        <w:rPr>
          <w:szCs w:val="26"/>
        </w:rPr>
        <w:t>–</w:t>
      </w:r>
      <w:r w:rsidRPr="000773EF" w:rsidR="003F79A0">
        <w:rPr>
          <w:szCs w:val="26"/>
        </w:rPr>
        <w:t>*351</w:t>
      </w:r>
      <w:r w:rsidRPr="000773EF" w:rsidR="00333910">
        <w:rPr>
          <w:szCs w:val="26"/>
        </w:rPr>
        <w:t xml:space="preserve"> </w:t>
      </w:r>
      <w:r w:rsidRPr="000773EF" w:rsidR="00FD5E66">
        <w:rPr>
          <w:szCs w:val="26"/>
        </w:rPr>
        <w:t>[</w:t>
      </w:r>
      <w:r w:rsidRPr="000773EF" w:rsidR="00333910">
        <w:rPr>
          <w:szCs w:val="26"/>
        </w:rPr>
        <w:t xml:space="preserve">identifying numerous </w:t>
      </w:r>
      <w:r w:rsidRPr="000773EF" w:rsidR="001247F1">
        <w:rPr>
          <w:szCs w:val="26"/>
        </w:rPr>
        <w:t>violations</w:t>
      </w:r>
      <w:r w:rsidRPr="000773EF" w:rsidR="00333910">
        <w:rPr>
          <w:szCs w:val="26"/>
        </w:rPr>
        <w:t xml:space="preserve"> by PG&amp;E </w:t>
      </w:r>
      <w:r w:rsidRPr="000773EF" w:rsidR="001247F1">
        <w:rPr>
          <w:szCs w:val="26"/>
        </w:rPr>
        <w:t>related to the fall 2019 PSPS events</w:t>
      </w:r>
      <w:r w:rsidRPr="000773EF" w:rsidR="009B305B">
        <w:rPr>
          <w:szCs w:val="26"/>
        </w:rPr>
        <w:t>]</w:t>
      </w:r>
      <w:r w:rsidRPr="000773EF" w:rsidR="001247F1">
        <w:rPr>
          <w:szCs w:val="26"/>
        </w:rPr>
        <w:t>.</w:t>
      </w:r>
      <w:r w:rsidRPr="000773EF" w:rsidR="002304EF">
        <w:rPr>
          <w:szCs w:val="26"/>
        </w:rPr>
        <w:t>)</w:t>
      </w:r>
      <w:r w:rsidRPr="000773EF" w:rsidR="006C6701">
        <w:rPr>
          <w:szCs w:val="26"/>
        </w:rPr>
        <w:t xml:space="preserve">  </w:t>
      </w:r>
      <w:r w:rsidRPr="000773EF">
        <w:rPr>
          <w:szCs w:val="26"/>
        </w:rPr>
        <w:t>The PUC’s reasonableness review focuses on the environmental and grid conditions at the moment a utility decides to implement a PSPS event, as well as the utility’s actions subsequent to that decision.  (</w:t>
      </w:r>
      <w:r w:rsidRPr="000773EF" w:rsidR="00201241">
        <w:rPr>
          <w:szCs w:val="26"/>
        </w:rPr>
        <w:t xml:space="preserve">See </w:t>
      </w:r>
      <w:r w:rsidRPr="000773EF" w:rsidR="000A137E">
        <w:rPr>
          <w:szCs w:val="26"/>
        </w:rPr>
        <w:t>Cal.</w:t>
      </w:r>
      <w:r w:rsidRPr="000773EF" w:rsidR="00902663">
        <w:rPr>
          <w:szCs w:val="26"/>
        </w:rPr>
        <w:t>P</w:t>
      </w:r>
      <w:r w:rsidRPr="000773EF" w:rsidR="000A137E">
        <w:rPr>
          <w:szCs w:val="26"/>
        </w:rPr>
        <w:t>.</w:t>
      </w:r>
      <w:r w:rsidRPr="000773EF" w:rsidR="00902663">
        <w:rPr>
          <w:szCs w:val="26"/>
        </w:rPr>
        <w:t>U</w:t>
      </w:r>
      <w:r w:rsidRPr="000773EF" w:rsidR="000A137E">
        <w:rPr>
          <w:szCs w:val="26"/>
        </w:rPr>
        <w:t>.</w:t>
      </w:r>
      <w:r w:rsidRPr="000773EF" w:rsidR="00902663">
        <w:rPr>
          <w:szCs w:val="26"/>
        </w:rPr>
        <w:t>C</w:t>
      </w:r>
      <w:r w:rsidRPr="000773EF" w:rsidR="000A137E">
        <w:rPr>
          <w:szCs w:val="26"/>
        </w:rPr>
        <w:t>.</w:t>
      </w:r>
      <w:r w:rsidRPr="000773EF" w:rsidR="00902663">
        <w:rPr>
          <w:szCs w:val="26"/>
        </w:rPr>
        <w:t xml:space="preserve"> </w:t>
      </w:r>
      <w:r w:rsidRPr="000773EF" w:rsidR="00C74139">
        <w:rPr>
          <w:szCs w:val="26"/>
        </w:rPr>
        <w:t xml:space="preserve">Res. </w:t>
      </w:r>
      <w:r w:rsidRPr="000773EF" w:rsidR="000A137E">
        <w:rPr>
          <w:szCs w:val="26"/>
        </w:rPr>
        <w:t>No. </w:t>
      </w:r>
      <w:r w:rsidRPr="000773EF" w:rsidR="00201241">
        <w:rPr>
          <w:szCs w:val="26"/>
        </w:rPr>
        <w:t>ESRB-8</w:t>
      </w:r>
      <w:r w:rsidRPr="000773EF" w:rsidR="009007AD">
        <w:rPr>
          <w:szCs w:val="26"/>
        </w:rPr>
        <w:t xml:space="preserve">, </w:t>
      </w:r>
      <w:r w:rsidRPr="000773EF" w:rsidR="009007AD">
        <w:rPr>
          <w:i/>
          <w:iCs/>
          <w:szCs w:val="26"/>
        </w:rPr>
        <w:t>supra</w:t>
      </w:r>
      <w:r w:rsidR="00817E94">
        <w:rPr>
          <w:szCs w:val="26"/>
        </w:rPr>
        <w:t>,</w:t>
      </w:r>
      <w:r w:rsidRPr="000773EF" w:rsidR="00FF44E0">
        <w:rPr>
          <w:szCs w:val="26"/>
        </w:rPr>
        <w:t xml:space="preserve"> </w:t>
      </w:r>
      <w:r w:rsidRPr="000773EF" w:rsidR="00FF44E0">
        <w:rPr>
          <w:szCs w:val="26"/>
          <w:shd w:val="clear" w:color="auto" w:fill="FFFFFF"/>
        </w:rPr>
        <w:t>2018 Cal.P.U.C. Lexis 330</w:t>
      </w:r>
      <w:r w:rsidRPr="000773EF" w:rsidR="00201241">
        <w:rPr>
          <w:szCs w:val="26"/>
        </w:rPr>
        <w:t xml:space="preserve"> at p. </w:t>
      </w:r>
      <w:r w:rsidRPr="000773EF" w:rsidR="00526638">
        <w:rPr>
          <w:szCs w:val="26"/>
        </w:rPr>
        <w:t>*</w:t>
      </w:r>
      <w:r w:rsidRPr="000773EF" w:rsidR="00BE3B08">
        <w:rPr>
          <w:szCs w:val="26"/>
        </w:rPr>
        <w:t>9</w:t>
      </w:r>
      <w:r w:rsidRPr="000773EF" w:rsidR="00201241">
        <w:rPr>
          <w:szCs w:val="26"/>
        </w:rPr>
        <w:t xml:space="preserve"> [</w:t>
      </w:r>
      <w:r w:rsidRPr="000773EF" w:rsidR="00036F75">
        <w:rPr>
          <w:szCs w:val="26"/>
        </w:rPr>
        <w:t>a utility “must reasonably believe that there is an immi</w:t>
      </w:r>
      <w:r w:rsidRPr="000773EF" w:rsidR="00A9201A">
        <w:rPr>
          <w:szCs w:val="26"/>
        </w:rPr>
        <w:t>n</w:t>
      </w:r>
      <w:r w:rsidRPr="000773EF" w:rsidR="00036F75">
        <w:rPr>
          <w:szCs w:val="26"/>
        </w:rPr>
        <w:t>ent and significant risk that strong winds will topple its power lines onto tinder dry</w:t>
      </w:r>
      <w:r w:rsidRPr="000773EF" w:rsidR="009C5532">
        <w:rPr>
          <w:szCs w:val="26"/>
        </w:rPr>
        <w:t xml:space="preserve"> vegetation or will cause major vegetation-related impacts on its facilities during periods of extreme fire hazard” in order to implement a PSPS event]</w:t>
      </w:r>
      <w:r w:rsidR="009A111F">
        <w:rPr>
          <w:szCs w:val="26"/>
        </w:rPr>
        <w:t>, underscoring omitted</w:t>
      </w:r>
      <w:r w:rsidRPr="000773EF" w:rsidR="009C5532">
        <w:rPr>
          <w:szCs w:val="26"/>
        </w:rPr>
        <w:t>.)</w:t>
      </w:r>
    </w:p>
    <w:p w:rsidR="00C43D7B" w:rsidRPr="000773EF" w:rsidP="00BC7683" w14:paraId="4FB03EE0" w14:textId="77777777">
      <w:pPr>
        <w:shd w:val="clear" w:color="auto" w:fill="FFFFFF"/>
        <w:ind w:firstLine="720"/>
        <w:rPr>
          <w:szCs w:val="26"/>
        </w:rPr>
      </w:pPr>
      <w:r w:rsidRPr="000773EF">
        <w:rPr>
          <w:szCs w:val="26"/>
        </w:rPr>
        <w:t xml:space="preserve">Gantner’s suit would require a court to hold a parallel review process, </w:t>
      </w:r>
      <w:r w:rsidRPr="000773EF" w:rsidR="001568E1">
        <w:rPr>
          <w:szCs w:val="26"/>
        </w:rPr>
        <w:t xml:space="preserve">adding </w:t>
      </w:r>
      <w:r w:rsidRPr="000773EF">
        <w:rPr>
          <w:szCs w:val="26"/>
        </w:rPr>
        <w:t xml:space="preserve">the judgment of a jury </w:t>
      </w:r>
      <w:r w:rsidRPr="000773EF" w:rsidR="001568E1">
        <w:rPr>
          <w:szCs w:val="26"/>
        </w:rPr>
        <w:t xml:space="preserve">to </w:t>
      </w:r>
      <w:r w:rsidRPr="000773EF">
        <w:rPr>
          <w:szCs w:val="26"/>
        </w:rPr>
        <w:t xml:space="preserve">that of the PUC in assessing </w:t>
      </w:r>
      <w:r w:rsidRPr="000773EF" w:rsidR="00A5620F">
        <w:rPr>
          <w:szCs w:val="26"/>
        </w:rPr>
        <w:t>the causes and propriety of</w:t>
      </w:r>
      <w:r w:rsidRPr="000773EF">
        <w:rPr>
          <w:szCs w:val="26"/>
        </w:rPr>
        <w:t xml:space="preserve"> PG&amp;E’s PSPS implementation</w:t>
      </w:r>
      <w:r w:rsidRPr="000773EF" w:rsidR="00A5620F">
        <w:rPr>
          <w:szCs w:val="26"/>
        </w:rPr>
        <w:t>.</w:t>
      </w:r>
      <w:r w:rsidRPr="000773EF" w:rsidR="00C74139">
        <w:rPr>
          <w:szCs w:val="26"/>
        </w:rPr>
        <w:t xml:space="preserve"> </w:t>
      </w:r>
      <w:r w:rsidRPr="000773EF" w:rsidR="009C2B39">
        <w:rPr>
          <w:szCs w:val="26"/>
        </w:rPr>
        <w:t xml:space="preserve"> </w:t>
      </w:r>
      <w:r w:rsidRPr="000773EF" w:rsidR="00A5620F">
        <w:rPr>
          <w:szCs w:val="26"/>
        </w:rPr>
        <w:t>Gan</w:t>
      </w:r>
      <w:r w:rsidRPr="000773EF" w:rsidR="003A239C">
        <w:rPr>
          <w:szCs w:val="26"/>
        </w:rPr>
        <w:t>t</w:t>
      </w:r>
      <w:r w:rsidRPr="000773EF" w:rsidR="00A5620F">
        <w:rPr>
          <w:szCs w:val="26"/>
        </w:rPr>
        <w:t xml:space="preserve">ner’s </w:t>
      </w:r>
      <w:r w:rsidRPr="000773EF">
        <w:rPr>
          <w:szCs w:val="26"/>
        </w:rPr>
        <w:t xml:space="preserve">inquiry </w:t>
      </w:r>
      <w:r w:rsidRPr="000773EF" w:rsidR="00A5620F">
        <w:rPr>
          <w:szCs w:val="26"/>
        </w:rPr>
        <w:t>focuses on PG&amp;E’s grid maintenance going back decades,</w:t>
      </w:r>
      <w:r w:rsidRPr="000773EF">
        <w:rPr>
          <w:szCs w:val="26"/>
        </w:rPr>
        <w:t xml:space="preserve"> </w:t>
      </w:r>
      <w:r w:rsidRPr="000773EF" w:rsidR="003416DD">
        <w:rPr>
          <w:szCs w:val="26"/>
        </w:rPr>
        <w:t xml:space="preserve">even though </w:t>
      </w:r>
      <w:r w:rsidRPr="000773EF">
        <w:rPr>
          <w:szCs w:val="26"/>
        </w:rPr>
        <w:t>PUC guidelines do not indicate that prior grid management</w:t>
      </w:r>
      <w:r w:rsidRPr="000773EF" w:rsidR="000F3241">
        <w:rPr>
          <w:szCs w:val="26"/>
        </w:rPr>
        <w:t xml:space="preserve"> </w:t>
      </w:r>
      <w:r w:rsidRPr="000773EF">
        <w:rPr>
          <w:szCs w:val="26"/>
        </w:rPr>
        <w:t>or mismanagement</w:t>
      </w:r>
      <w:r w:rsidRPr="000773EF" w:rsidR="000F3241">
        <w:rPr>
          <w:szCs w:val="26"/>
        </w:rPr>
        <w:t xml:space="preserve"> </w:t>
      </w:r>
      <w:r w:rsidRPr="000773EF">
        <w:rPr>
          <w:szCs w:val="26"/>
        </w:rPr>
        <w:t xml:space="preserve">is an appropriate factor for a utility to consider in implementing a PSPS event.  Rather, the PUC’s extensive guidance is focused on the conditions as they exist </w:t>
      </w:r>
      <w:r w:rsidRPr="000773EF" w:rsidR="008030C8">
        <w:rPr>
          <w:szCs w:val="26"/>
        </w:rPr>
        <w:t xml:space="preserve">at </w:t>
      </w:r>
      <w:r w:rsidRPr="000773EF">
        <w:rPr>
          <w:szCs w:val="26"/>
        </w:rPr>
        <w:t>the moment of implementation, based on a holistic assessment of weather conditions, ground conditions, and, inevitably, a utility’s understanding of the strength</w:t>
      </w:r>
      <w:r w:rsidRPr="000773EF" w:rsidR="00862E4A">
        <w:rPr>
          <w:szCs w:val="26"/>
        </w:rPr>
        <w:t xml:space="preserve"> and</w:t>
      </w:r>
      <w:r w:rsidRPr="000773EF" w:rsidR="002302A7">
        <w:rPr>
          <w:szCs w:val="26"/>
        </w:rPr>
        <w:t xml:space="preserve"> </w:t>
      </w:r>
      <w:r w:rsidRPr="000773EF">
        <w:rPr>
          <w:szCs w:val="26"/>
        </w:rPr>
        <w:t>reliability of its grid</w:t>
      </w:r>
      <w:r w:rsidRPr="000773EF" w:rsidR="00862E4A">
        <w:rPr>
          <w:szCs w:val="26"/>
        </w:rPr>
        <w:t xml:space="preserve"> infrastructure</w:t>
      </w:r>
      <w:r w:rsidRPr="000773EF">
        <w:rPr>
          <w:szCs w:val="26"/>
        </w:rPr>
        <w:t xml:space="preserve">.  </w:t>
      </w:r>
      <w:r w:rsidRPr="000773EF" w:rsidR="00827007">
        <w:rPr>
          <w:szCs w:val="26"/>
        </w:rPr>
        <w:t>(</w:t>
      </w:r>
      <w:r w:rsidRPr="000773EF" w:rsidR="000A137E">
        <w:rPr>
          <w:szCs w:val="26"/>
        </w:rPr>
        <w:t>Cal.</w:t>
      </w:r>
      <w:r w:rsidRPr="000773EF" w:rsidR="00827007">
        <w:rPr>
          <w:szCs w:val="26"/>
        </w:rPr>
        <w:t>P</w:t>
      </w:r>
      <w:r w:rsidRPr="000773EF" w:rsidR="000A137E">
        <w:rPr>
          <w:szCs w:val="26"/>
        </w:rPr>
        <w:t>.</w:t>
      </w:r>
      <w:r w:rsidRPr="000773EF" w:rsidR="00827007">
        <w:rPr>
          <w:szCs w:val="26"/>
        </w:rPr>
        <w:t>U</w:t>
      </w:r>
      <w:r w:rsidRPr="000773EF" w:rsidR="000A137E">
        <w:rPr>
          <w:szCs w:val="26"/>
        </w:rPr>
        <w:t>.</w:t>
      </w:r>
      <w:r w:rsidRPr="000773EF" w:rsidR="00827007">
        <w:rPr>
          <w:szCs w:val="26"/>
        </w:rPr>
        <w:t>C</w:t>
      </w:r>
      <w:r w:rsidRPr="000773EF" w:rsidR="000A137E">
        <w:rPr>
          <w:szCs w:val="26"/>
        </w:rPr>
        <w:t>.</w:t>
      </w:r>
      <w:r w:rsidRPr="000773EF" w:rsidR="00827007">
        <w:rPr>
          <w:szCs w:val="26"/>
        </w:rPr>
        <w:t xml:space="preserve"> Dec. </w:t>
      </w:r>
      <w:r w:rsidRPr="000773EF" w:rsidR="000A137E">
        <w:rPr>
          <w:szCs w:val="26"/>
        </w:rPr>
        <w:t>No. </w:t>
      </w:r>
      <w:r w:rsidRPr="000773EF" w:rsidR="00210CD2">
        <w:rPr>
          <w:szCs w:val="26"/>
        </w:rPr>
        <w:t xml:space="preserve">12-04-024, </w:t>
      </w:r>
      <w:r w:rsidRPr="000773EF" w:rsidR="00210CD2">
        <w:rPr>
          <w:i/>
          <w:iCs/>
          <w:szCs w:val="26"/>
        </w:rPr>
        <w:t>supra</w:t>
      </w:r>
      <w:r w:rsidR="00281B52">
        <w:rPr>
          <w:szCs w:val="26"/>
        </w:rPr>
        <w:t>,</w:t>
      </w:r>
      <w:r w:rsidRPr="000773EF" w:rsidR="00FF44E0">
        <w:rPr>
          <w:szCs w:val="26"/>
        </w:rPr>
        <w:t xml:space="preserve"> </w:t>
      </w:r>
      <w:r w:rsidRPr="000773EF" w:rsidR="00FF44E0">
        <w:rPr>
          <w:szCs w:val="26"/>
          <w:shd w:val="clear" w:color="auto" w:fill="FFFFFF"/>
        </w:rPr>
        <w:t>2012 Cal.P.U.C. Lexis 165</w:t>
      </w:r>
      <w:r w:rsidRPr="000773EF" w:rsidR="00210CD2">
        <w:rPr>
          <w:szCs w:val="26"/>
        </w:rPr>
        <w:t xml:space="preserve"> at p. </w:t>
      </w:r>
      <w:r w:rsidRPr="000773EF" w:rsidR="005A0FC7">
        <w:rPr>
          <w:szCs w:val="26"/>
        </w:rPr>
        <w:t>*40</w:t>
      </w:r>
      <w:r w:rsidRPr="000773EF" w:rsidR="002F176E">
        <w:rPr>
          <w:szCs w:val="26"/>
        </w:rPr>
        <w:t xml:space="preserve"> </w:t>
      </w:r>
      <w:r w:rsidRPr="000773EF" w:rsidR="00960122">
        <w:rPr>
          <w:szCs w:val="26"/>
        </w:rPr>
        <w:t>[the utility “will be in the best position to determine when power should be shut off to protect public safety” becau</w:t>
      </w:r>
      <w:r w:rsidRPr="000773EF" w:rsidR="000310F5">
        <w:rPr>
          <w:szCs w:val="26"/>
        </w:rPr>
        <w:t>se only the utility “has the detailed knowledge of its facilities that is needed to make this decision in real time based on contemporaneous local weather conditions”</w:t>
      </w:r>
      <w:r w:rsidRPr="000773EF" w:rsidR="002F176E">
        <w:rPr>
          <w:szCs w:val="26"/>
        </w:rPr>
        <w:t>].)</w:t>
      </w:r>
      <w:r w:rsidRPr="000773EF" w:rsidR="0094770B">
        <w:rPr>
          <w:szCs w:val="26"/>
        </w:rPr>
        <w:t xml:space="preserve">  </w:t>
      </w:r>
      <w:r w:rsidRPr="000773EF">
        <w:rPr>
          <w:szCs w:val="26"/>
        </w:rPr>
        <w:t xml:space="preserve">The PUC has made clear that a utility may decide to de-energize </w:t>
      </w:r>
      <w:r w:rsidRPr="000773EF" w:rsidR="005614EC">
        <w:rPr>
          <w:szCs w:val="26"/>
        </w:rPr>
        <w:t xml:space="preserve">only </w:t>
      </w:r>
      <w:r w:rsidRPr="000773EF">
        <w:rPr>
          <w:szCs w:val="26"/>
        </w:rPr>
        <w:t xml:space="preserve">when, in the moment, it believes the wildfire prevention benefits of such action outweigh the costs to residents and communities of de-energization.  </w:t>
      </w:r>
      <w:r w:rsidRPr="000773EF" w:rsidR="00E75CA1">
        <w:rPr>
          <w:szCs w:val="26"/>
        </w:rPr>
        <w:t xml:space="preserve">Assessment of a utility’s compliance with these standards in deciding to implement a PSPS event “is a factual issue </w:t>
      </w:r>
      <w:r w:rsidRPr="000773EF" w:rsidR="00834F05">
        <w:rPr>
          <w:szCs w:val="26"/>
        </w:rPr>
        <w:t xml:space="preserve">that is within the exclusive jurisdiction of the [PUC] to decide.”  </w:t>
      </w:r>
      <w:r w:rsidRPr="000773EF" w:rsidR="001054F4">
        <w:rPr>
          <w:szCs w:val="26"/>
          <w:bdr w:val="none" w:sz="0" w:space="0" w:color="auto" w:frame="1"/>
        </w:rPr>
        <w:t>(</w:t>
      </w:r>
      <w:r w:rsidRPr="000773EF" w:rsidR="001054F4">
        <w:rPr>
          <w:i/>
          <w:iCs/>
          <w:szCs w:val="26"/>
          <w:bdr w:val="none" w:sz="0" w:space="0" w:color="auto" w:frame="1"/>
        </w:rPr>
        <w:t>Sarale v. Pacific Gas &amp; Electric Co.</w:t>
      </w:r>
      <w:r w:rsidRPr="000773EF" w:rsidR="001054F4">
        <w:rPr>
          <w:szCs w:val="26"/>
          <w:bdr w:val="none" w:sz="0" w:space="0" w:color="auto" w:frame="1"/>
        </w:rPr>
        <w:t xml:space="preserve"> (2010) 189 Cal.App.4th 225, 243</w:t>
      </w:r>
      <w:r w:rsidRPr="000773EF" w:rsidR="001C2E5F">
        <w:rPr>
          <w:szCs w:val="26"/>
          <w:bdr w:val="none" w:sz="0" w:space="0" w:color="auto" w:frame="1"/>
        </w:rPr>
        <w:t xml:space="preserve"> (</w:t>
      </w:r>
      <w:r w:rsidRPr="000773EF" w:rsidR="001C2E5F">
        <w:rPr>
          <w:i/>
          <w:iCs/>
          <w:szCs w:val="26"/>
          <w:bdr w:val="none" w:sz="0" w:space="0" w:color="auto" w:frame="1"/>
        </w:rPr>
        <w:t>Sarale</w:t>
      </w:r>
      <w:r w:rsidRPr="000773EF" w:rsidR="001C2E5F">
        <w:rPr>
          <w:szCs w:val="26"/>
          <w:bdr w:val="none" w:sz="0" w:space="0" w:color="auto" w:frame="1"/>
        </w:rPr>
        <w:t>)</w:t>
      </w:r>
      <w:r w:rsidRPr="000773EF" w:rsidR="00960665">
        <w:rPr>
          <w:szCs w:val="26"/>
          <w:bdr w:val="none" w:sz="0" w:space="0" w:color="auto" w:frame="1"/>
        </w:rPr>
        <w:t>.)</w:t>
      </w:r>
    </w:p>
    <w:p w:rsidR="006C6701" w:rsidRPr="000773EF" w:rsidP="00BC7683" w14:paraId="4FB03EE1" w14:textId="77777777">
      <w:pPr>
        <w:ind w:firstLine="720"/>
        <w:rPr>
          <w:szCs w:val="26"/>
        </w:rPr>
      </w:pPr>
      <w:r w:rsidRPr="000773EF">
        <w:rPr>
          <w:szCs w:val="26"/>
        </w:rPr>
        <w:t>Indeed, f</w:t>
      </w:r>
      <w:r w:rsidRPr="000773EF" w:rsidR="00D47BA6">
        <w:rPr>
          <w:szCs w:val="26"/>
        </w:rPr>
        <w:t>ollowing the fall 2019 PSPS events</w:t>
      </w:r>
      <w:r w:rsidRPr="000773EF">
        <w:rPr>
          <w:szCs w:val="26"/>
        </w:rPr>
        <w:t xml:space="preserve"> at issue </w:t>
      </w:r>
      <w:r w:rsidRPr="000773EF" w:rsidR="00D5702C">
        <w:rPr>
          <w:szCs w:val="26"/>
        </w:rPr>
        <w:t>here</w:t>
      </w:r>
      <w:r w:rsidRPr="000773EF" w:rsidR="00D47BA6">
        <w:rPr>
          <w:szCs w:val="26"/>
        </w:rPr>
        <w:t xml:space="preserve">, the PUC </w:t>
      </w:r>
      <w:r w:rsidRPr="000773EF" w:rsidR="00981DB6">
        <w:rPr>
          <w:szCs w:val="26"/>
        </w:rPr>
        <w:t>thorough</w:t>
      </w:r>
      <w:r w:rsidRPr="000773EF">
        <w:rPr>
          <w:szCs w:val="26"/>
        </w:rPr>
        <w:t>ly</w:t>
      </w:r>
      <w:r w:rsidRPr="000773EF" w:rsidR="00D47BA6">
        <w:rPr>
          <w:szCs w:val="26"/>
        </w:rPr>
        <w:t xml:space="preserve"> review</w:t>
      </w:r>
      <w:r w:rsidRPr="000773EF">
        <w:rPr>
          <w:szCs w:val="26"/>
        </w:rPr>
        <w:t>ed</w:t>
      </w:r>
      <w:r w:rsidRPr="000773EF" w:rsidR="00A5620F">
        <w:rPr>
          <w:szCs w:val="26"/>
        </w:rPr>
        <w:t xml:space="preserve"> PG&amp;E’s actions.  The PUC found that PG&amp;E violated its guidelines in numerous ways</w:t>
      </w:r>
      <w:r w:rsidRPr="000773EF" w:rsidR="00CF0113">
        <w:rPr>
          <w:szCs w:val="26"/>
        </w:rPr>
        <w:t xml:space="preserve"> and assessed fines totaling $106 million, the majority of which </w:t>
      </w:r>
      <w:r w:rsidRPr="000773EF" w:rsidR="00F252AC">
        <w:rPr>
          <w:szCs w:val="26"/>
        </w:rPr>
        <w:t>resulted from</w:t>
      </w:r>
      <w:r w:rsidRPr="000773EF" w:rsidR="00CF0113">
        <w:rPr>
          <w:szCs w:val="26"/>
        </w:rPr>
        <w:t xml:space="preserve"> inadequate notification to customers.  </w:t>
      </w:r>
      <w:r w:rsidRPr="000773EF" w:rsidR="00981DB6">
        <w:rPr>
          <w:szCs w:val="26"/>
        </w:rPr>
        <w:t>(</w:t>
      </w:r>
      <w:r w:rsidRPr="000773EF" w:rsidR="000A137E">
        <w:rPr>
          <w:szCs w:val="26"/>
        </w:rPr>
        <w:t>Cal.</w:t>
      </w:r>
      <w:r w:rsidRPr="000773EF" w:rsidR="00DD2588">
        <w:rPr>
          <w:szCs w:val="26"/>
        </w:rPr>
        <w:t>P</w:t>
      </w:r>
      <w:r w:rsidRPr="000773EF" w:rsidR="000A137E">
        <w:rPr>
          <w:szCs w:val="26"/>
        </w:rPr>
        <w:t>.</w:t>
      </w:r>
      <w:r w:rsidRPr="000773EF" w:rsidR="00DD2588">
        <w:rPr>
          <w:szCs w:val="26"/>
        </w:rPr>
        <w:t>U</w:t>
      </w:r>
      <w:r w:rsidRPr="000773EF" w:rsidR="000A137E">
        <w:rPr>
          <w:szCs w:val="26"/>
        </w:rPr>
        <w:t>.</w:t>
      </w:r>
      <w:r w:rsidRPr="000773EF" w:rsidR="00DD2588">
        <w:rPr>
          <w:szCs w:val="26"/>
        </w:rPr>
        <w:t>C</w:t>
      </w:r>
      <w:r w:rsidRPr="000773EF" w:rsidR="000A137E">
        <w:rPr>
          <w:szCs w:val="26"/>
        </w:rPr>
        <w:t>.</w:t>
      </w:r>
      <w:r w:rsidRPr="000773EF" w:rsidR="00DD2588">
        <w:rPr>
          <w:szCs w:val="26"/>
        </w:rPr>
        <w:t xml:space="preserve"> Dec. </w:t>
      </w:r>
      <w:r w:rsidRPr="000773EF" w:rsidR="000A137E">
        <w:rPr>
          <w:szCs w:val="26"/>
        </w:rPr>
        <w:t>No. </w:t>
      </w:r>
      <w:r w:rsidRPr="000773EF" w:rsidR="00DD2588">
        <w:rPr>
          <w:szCs w:val="26"/>
        </w:rPr>
        <w:t>21-09-026</w:t>
      </w:r>
      <w:r w:rsidRPr="000773EF" w:rsidR="007D35AE">
        <w:rPr>
          <w:szCs w:val="26"/>
        </w:rPr>
        <w:t xml:space="preserve">, </w:t>
      </w:r>
      <w:r w:rsidRPr="000773EF" w:rsidR="007D35AE">
        <w:rPr>
          <w:i/>
          <w:iCs/>
          <w:szCs w:val="26"/>
        </w:rPr>
        <w:t>supra</w:t>
      </w:r>
      <w:r w:rsidR="001D62AC">
        <w:rPr>
          <w:szCs w:val="26"/>
        </w:rPr>
        <w:t>,</w:t>
      </w:r>
      <w:r w:rsidRPr="000773EF" w:rsidR="00530548">
        <w:rPr>
          <w:szCs w:val="26"/>
        </w:rPr>
        <w:t xml:space="preserve"> </w:t>
      </w:r>
      <w:r w:rsidRPr="000773EF" w:rsidR="00530548">
        <w:rPr>
          <w:szCs w:val="26"/>
          <w:shd w:val="clear" w:color="auto" w:fill="FFFFFF"/>
        </w:rPr>
        <w:t>2021 Cal.P.U.C. Lexis 480</w:t>
      </w:r>
      <w:r w:rsidRPr="000773EF" w:rsidR="00DD2588">
        <w:rPr>
          <w:szCs w:val="26"/>
        </w:rPr>
        <w:t xml:space="preserve"> at pp. </w:t>
      </w:r>
      <w:r w:rsidRPr="000773EF" w:rsidR="009D4054">
        <w:rPr>
          <w:szCs w:val="26"/>
        </w:rPr>
        <w:t>*</w:t>
      </w:r>
      <w:r w:rsidRPr="000773EF" w:rsidR="007D35AE">
        <w:rPr>
          <w:szCs w:val="26"/>
        </w:rPr>
        <w:t>112–</w:t>
      </w:r>
      <w:r w:rsidRPr="000773EF" w:rsidR="009D4054">
        <w:rPr>
          <w:szCs w:val="26"/>
        </w:rPr>
        <w:t>*</w:t>
      </w:r>
      <w:r w:rsidRPr="000773EF" w:rsidR="007D35AE">
        <w:rPr>
          <w:szCs w:val="26"/>
        </w:rPr>
        <w:t>114.)</w:t>
      </w:r>
      <w:r w:rsidRPr="000773EF" w:rsidR="00981DB6">
        <w:rPr>
          <w:szCs w:val="26"/>
        </w:rPr>
        <w:t xml:space="preserve">  </w:t>
      </w:r>
      <w:r w:rsidRPr="000773EF" w:rsidR="00C23791">
        <w:rPr>
          <w:szCs w:val="26"/>
        </w:rPr>
        <w:t>In</w:t>
      </w:r>
      <w:r w:rsidRPr="000773EF" w:rsidR="000347C4">
        <w:rPr>
          <w:szCs w:val="26"/>
        </w:rPr>
        <w:t xml:space="preserve"> a separate investigation</w:t>
      </w:r>
      <w:r w:rsidRPr="000773EF" w:rsidR="00C23791">
        <w:rPr>
          <w:szCs w:val="26"/>
        </w:rPr>
        <w:t xml:space="preserve">, the PUC further determined that </w:t>
      </w:r>
      <w:r w:rsidRPr="000773EF" w:rsidR="000347C4">
        <w:rPr>
          <w:szCs w:val="26"/>
        </w:rPr>
        <w:t xml:space="preserve">PG&amp;E </w:t>
      </w:r>
      <w:r w:rsidRPr="000773EF" w:rsidR="007855EA">
        <w:rPr>
          <w:szCs w:val="26"/>
        </w:rPr>
        <w:t>“</w:t>
      </w:r>
      <w:r w:rsidRPr="000773EF" w:rsidR="00053F66">
        <w:rPr>
          <w:szCs w:val="26"/>
        </w:rPr>
        <w:t xml:space="preserve">failed to </w:t>
      </w:r>
      <w:r w:rsidRPr="000773EF" w:rsidR="007855EA">
        <w:rPr>
          <w:szCs w:val="26"/>
        </w:rPr>
        <w:t xml:space="preserve">identify the possible safety risks </w:t>
      </w:r>
      <w:r w:rsidR="00643BF7">
        <w:rPr>
          <w:szCs w:val="26"/>
        </w:rPr>
        <w:t xml:space="preserve">resulting </w:t>
      </w:r>
      <w:r w:rsidRPr="000773EF" w:rsidR="007855EA">
        <w:rPr>
          <w:szCs w:val="26"/>
        </w:rPr>
        <w:t>from an electric power shutoff</w:t>
      </w:r>
      <w:r w:rsidRPr="000773EF" w:rsidR="00453E0F">
        <w:rPr>
          <w:szCs w:val="26"/>
        </w:rPr>
        <w:t>” and “failed to evaluate these safety risks as part of the analysis of weighing the benefits and risks.”  (</w:t>
      </w:r>
      <w:r w:rsidRPr="000773EF" w:rsidR="000A137E">
        <w:rPr>
          <w:szCs w:val="26"/>
        </w:rPr>
        <w:t>Cal.</w:t>
      </w:r>
      <w:r w:rsidRPr="000773EF" w:rsidR="007D35AE">
        <w:rPr>
          <w:szCs w:val="26"/>
        </w:rPr>
        <w:t>P</w:t>
      </w:r>
      <w:r w:rsidRPr="000773EF" w:rsidR="000A137E">
        <w:rPr>
          <w:szCs w:val="26"/>
        </w:rPr>
        <w:t>.</w:t>
      </w:r>
      <w:r w:rsidRPr="000773EF" w:rsidR="007D35AE">
        <w:rPr>
          <w:szCs w:val="26"/>
        </w:rPr>
        <w:t>U</w:t>
      </w:r>
      <w:r w:rsidRPr="000773EF" w:rsidR="000A137E">
        <w:rPr>
          <w:szCs w:val="26"/>
        </w:rPr>
        <w:t>.</w:t>
      </w:r>
      <w:r w:rsidRPr="000773EF" w:rsidR="007D35AE">
        <w:rPr>
          <w:szCs w:val="26"/>
        </w:rPr>
        <w:t>C</w:t>
      </w:r>
      <w:r w:rsidRPr="000773EF" w:rsidR="000A137E">
        <w:rPr>
          <w:szCs w:val="26"/>
        </w:rPr>
        <w:t>.</w:t>
      </w:r>
      <w:r w:rsidRPr="000773EF" w:rsidR="007D35AE">
        <w:rPr>
          <w:szCs w:val="26"/>
        </w:rPr>
        <w:t xml:space="preserve"> Dec.</w:t>
      </w:r>
      <w:r w:rsidRPr="000773EF" w:rsidR="00C21A87">
        <w:rPr>
          <w:szCs w:val="26"/>
        </w:rPr>
        <w:t xml:space="preserve"> </w:t>
      </w:r>
      <w:r w:rsidRPr="000773EF" w:rsidR="000A137E">
        <w:rPr>
          <w:szCs w:val="26"/>
        </w:rPr>
        <w:t>No. </w:t>
      </w:r>
      <w:r w:rsidRPr="000773EF" w:rsidR="00C21A87">
        <w:rPr>
          <w:szCs w:val="26"/>
        </w:rPr>
        <w:t>21-06-014</w:t>
      </w:r>
      <w:r w:rsidRPr="000773EF" w:rsidR="00F252AC">
        <w:rPr>
          <w:szCs w:val="26"/>
        </w:rPr>
        <w:t xml:space="preserve">, </w:t>
      </w:r>
      <w:r w:rsidRPr="000773EF" w:rsidR="00F252AC">
        <w:rPr>
          <w:i/>
          <w:iCs/>
          <w:szCs w:val="26"/>
        </w:rPr>
        <w:t>supra</w:t>
      </w:r>
      <w:r w:rsidR="00643BF7">
        <w:rPr>
          <w:szCs w:val="26"/>
        </w:rPr>
        <w:t>,</w:t>
      </w:r>
      <w:r w:rsidRPr="000773EF" w:rsidR="0026148C">
        <w:rPr>
          <w:szCs w:val="26"/>
        </w:rPr>
        <w:t xml:space="preserve"> </w:t>
      </w:r>
      <w:r w:rsidRPr="000773EF" w:rsidR="0026148C">
        <w:rPr>
          <w:szCs w:val="26"/>
          <w:shd w:val="clear" w:color="auto" w:fill="FFFFFF"/>
        </w:rPr>
        <w:t>2021 Cal.P.U.C. Lexis 278</w:t>
      </w:r>
      <w:r w:rsidRPr="000773EF" w:rsidR="00C21A87">
        <w:rPr>
          <w:szCs w:val="26"/>
        </w:rPr>
        <w:t xml:space="preserve"> at p</w:t>
      </w:r>
      <w:r w:rsidRPr="000773EF" w:rsidR="00E70CE7">
        <w:rPr>
          <w:szCs w:val="26"/>
        </w:rPr>
        <w:t>p</w:t>
      </w:r>
      <w:r w:rsidRPr="000773EF" w:rsidR="00C21A87">
        <w:rPr>
          <w:szCs w:val="26"/>
        </w:rPr>
        <w:t>. </w:t>
      </w:r>
      <w:r w:rsidRPr="000773EF" w:rsidR="003F79A0">
        <w:rPr>
          <w:szCs w:val="26"/>
        </w:rPr>
        <w:t>*312–*313</w:t>
      </w:r>
      <w:r w:rsidRPr="000773EF" w:rsidR="007E18EC">
        <w:rPr>
          <w:szCs w:val="26"/>
        </w:rPr>
        <w:t xml:space="preserve">.)  </w:t>
      </w:r>
      <w:r w:rsidRPr="000773EF" w:rsidR="001D1E74">
        <w:rPr>
          <w:szCs w:val="26"/>
        </w:rPr>
        <w:t>Although finding that “a monetary remedy [was] appropriate” for these violations (</w:t>
      </w:r>
      <w:r w:rsidRPr="000773EF" w:rsidR="001D1E74">
        <w:rPr>
          <w:i/>
          <w:iCs/>
          <w:szCs w:val="26"/>
        </w:rPr>
        <w:t>id</w:t>
      </w:r>
      <w:r w:rsidRPr="000773EF" w:rsidR="001D1E74">
        <w:rPr>
          <w:szCs w:val="26"/>
        </w:rPr>
        <w:t>. at p. </w:t>
      </w:r>
      <w:r w:rsidRPr="000773EF" w:rsidR="004C056C">
        <w:rPr>
          <w:szCs w:val="26"/>
        </w:rPr>
        <w:t>*67</w:t>
      </w:r>
      <w:r w:rsidRPr="000773EF" w:rsidR="001D1E74">
        <w:rPr>
          <w:szCs w:val="26"/>
        </w:rPr>
        <w:t>)</w:t>
      </w:r>
      <w:r w:rsidRPr="000773EF" w:rsidR="0091352C">
        <w:rPr>
          <w:szCs w:val="26"/>
        </w:rPr>
        <w:t xml:space="preserve">, </w:t>
      </w:r>
      <w:r w:rsidRPr="000773EF" w:rsidR="00CF2C2C">
        <w:rPr>
          <w:szCs w:val="26"/>
        </w:rPr>
        <w:t xml:space="preserve">the PUC was “reluctant to </w:t>
      </w:r>
      <w:r w:rsidRPr="000773EF" w:rsidR="0091352C">
        <w:rPr>
          <w:szCs w:val="26"/>
        </w:rPr>
        <w:t>impose monetary penalties,” instead applying a ratemaking remedy (</w:t>
      </w:r>
      <w:r w:rsidRPr="000773EF" w:rsidR="00FE6FB8">
        <w:rPr>
          <w:i/>
          <w:iCs/>
          <w:szCs w:val="26"/>
        </w:rPr>
        <w:t xml:space="preserve">id. </w:t>
      </w:r>
      <w:r w:rsidRPr="000773EF" w:rsidR="00FE6FB8">
        <w:rPr>
          <w:szCs w:val="26"/>
        </w:rPr>
        <w:t>at p. *69</w:t>
      </w:r>
      <w:r w:rsidRPr="000773EF" w:rsidR="0091352C">
        <w:rPr>
          <w:szCs w:val="26"/>
        </w:rPr>
        <w:t>)</w:t>
      </w:r>
      <w:r w:rsidRPr="000773EF" w:rsidR="007726AE">
        <w:rPr>
          <w:szCs w:val="26"/>
        </w:rPr>
        <w:t>.</w:t>
      </w:r>
      <w:r w:rsidRPr="000773EF" w:rsidR="0091309B">
        <w:rPr>
          <w:szCs w:val="26"/>
        </w:rPr>
        <w:t xml:space="preserve">  </w:t>
      </w:r>
      <w:r w:rsidRPr="000773EF" w:rsidR="00882C02">
        <w:rPr>
          <w:szCs w:val="26"/>
        </w:rPr>
        <w:t xml:space="preserve">In </w:t>
      </w:r>
      <w:r w:rsidRPr="000773EF" w:rsidR="003934DE">
        <w:rPr>
          <w:szCs w:val="26"/>
        </w:rPr>
        <w:t>choosing this remedy, the PUC intended to “strik[e] a balance between the need</w:t>
      </w:r>
      <w:r w:rsidRPr="000773EF" w:rsidR="0001462D">
        <w:rPr>
          <w:szCs w:val="26"/>
        </w:rPr>
        <w:t xml:space="preserve"> in 2019 for utilities to initiate PSPS events . . . against the equally compelling need to conduct PSPS events in a safe manner.”  (</w:t>
      </w:r>
      <w:r w:rsidRPr="000773EF" w:rsidR="0001462D">
        <w:rPr>
          <w:i/>
          <w:iCs/>
          <w:szCs w:val="26"/>
        </w:rPr>
        <w:t>Ibid.</w:t>
      </w:r>
      <w:r w:rsidRPr="000773EF" w:rsidR="0001462D">
        <w:rPr>
          <w:szCs w:val="26"/>
        </w:rPr>
        <w:t>)</w:t>
      </w:r>
    </w:p>
    <w:p w:rsidR="00D040B9" w:rsidRPr="000773EF" w:rsidP="00BC7683" w14:paraId="4FB03EE2" w14:textId="77777777">
      <w:pPr>
        <w:shd w:val="clear" w:color="auto" w:fill="FFFFFF"/>
        <w:ind w:firstLine="720"/>
        <w:rPr>
          <w:szCs w:val="26"/>
        </w:rPr>
      </w:pPr>
      <w:r w:rsidRPr="000773EF">
        <w:rPr>
          <w:szCs w:val="26"/>
        </w:rPr>
        <w:t>Gantner’s suit does not adopt any of the findings of fact or conclusions of law from either</w:t>
      </w:r>
      <w:r w:rsidRPr="000773EF" w:rsidR="000A36D3">
        <w:rPr>
          <w:szCs w:val="26"/>
        </w:rPr>
        <w:t xml:space="preserve"> of</w:t>
      </w:r>
      <w:r w:rsidRPr="000773EF">
        <w:rPr>
          <w:szCs w:val="26"/>
        </w:rPr>
        <w:t xml:space="preserve"> the</w:t>
      </w:r>
      <w:r w:rsidRPr="000773EF" w:rsidR="000A36D3">
        <w:rPr>
          <w:szCs w:val="26"/>
        </w:rPr>
        <w:t>se</w:t>
      </w:r>
      <w:r w:rsidRPr="000773EF">
        <w:rPr>
          <w:szCs w:val="26"/>
        </w:rPr>
        <w:t xml:space="preserve"> </w:t>
      </w:r>
      <w:r w:rsidRPr="000773EF" w:rsidR="001B1176">
        <w:rPr>
          <w:szCs w:val="26"/>
        </w:rPr>
        <w:t xml:space="preserve">post-PSPS </w:t>
      </w:r>
      <w:r w:rsidRPr="000773EF">
        <w:rPr>
          <w:szCs w:val="26"/>
        </w:rPr>
        <w:t>review</w:t>
      </w:r>
      <w:r w:rsidRPr="000773EF" w:rsidR="001B1176">
        <w:rPr>
          <w:szCs w:val="26"/>
        </w:rPr>
        <w:t>s</w:t>
      </w:r>
      <w:r w:rsidRPr="000773EF" w:rsidR="0030772D">
        <w:rPr>
          <w:szCs w:val="26"/>
        </w:rPr>
        <w:t xml:space="preserve">.  Rather, the </w:t>
      </w:r>
      <w:r w:rsidRPr="000773EF" w:rsidR="000B14C7">
        <w:rPr>
          <w:szCs w:val="26"/>
        </w:rPr>
        <w:t xml:space="preserve">complaint makes clear that Gantner seeks a parallel review process </w:t>
      </w:r>
      <w:r w:rsidRPr="000773EF" w:rsidR="00365445">
        <w:rPr>
          <w:szCs w:val="26"/>
        </w:rPr>
        <w:t>that</w:t>
      </w:r>
      <w:r w:rsidRPr="000773EF" w:rsidR="00742034">
        <w:rPr>
          <w:szCs w:val="26"/>
        </w:rPr>
        <w:t xml:space="preserve"> if successful would </w:t>
      </w:r>
      <w:r w:rsidRPr="000773EF" w:rsidR="00247155">
        <w:rPr>
          <w:szCs w:val="26"/>
        </w:rPr>
        <w:t>require</w:t>
      </w:r>
      <w:r w:rsidRPr="000773EF" w:rsidR="00742034">
        <w:rPr>
          <w:szCs w:val="26"/>
        </w:rPr>
        <w:t xml:space="preserve"> findings in tension with PUC guidelines.  For example, </w:t>
      </w:r>
      <w:r w:rsidRPr="000773EF" w:rsidR="00C06535">
        <w:rPr>
          <w:szCs w:val="26"/>
        </w:rPr>
        <w:t xml:space="preserve">while </w:t>
      </w:r>
      <w:r w:rsidRPr="000773EF" w:rsidR="00A9366E">
        <w:rPr>
          <w:szCs w:val="26"/>
        </w:rPr>
        <w:t xml:space="preserve">the complaint alleges </w:t>
      </w:r>
      <w:r w:rsidRPr="000773EF" w:rsidR="00C934ED">
        <w:rPr>
          <w:szCs w:val="26"/>
        </w:rPr>
        <w:t xml:space="preserve">underlying negligence in part because </w:t>
      </w:r>
      <w:r w:rsidRPr="000773EF" w:rsidR="00A9366E">
        <w:rPr>
          <w:szCs w:val="26"/>
        </w:rPr>
        <w:t>th</w:t>
      </w:r>
      <w:r w:rsidRPr="000773EF" w:rsidR="00C934ED">
        <w:rPr>
          <w:szCs w:val="26"/>
        </w:rPr>
        <w:t>e</w:t>
      </w:r>
      <w:r w:rsidRPr="000773EF" w:rsidR="00A9366E">
        <w:rPr>
          <w:szCs w:val="26"/>
        </w:rPr>
        <w:t xml:space="preserve"> wind gusts at the time of </w:t>
      </w:r>
      <w:r w:rsidRPr="000773EF" w:rsidR="00564EFD">
        <w:rPr>
          <w:szCs w:val="26"/>
        </w:rPr>
        <w:t>one PSPS event “[n]ever came close</w:t>
      </w:r>
      <w:r w:rsidRPr="000773EF" w:rsidR="000C3222">
        <w:rPr>
          <w:szCs w:val="26"/>
        </w:rPr>
        <w:t xml:space="preserve"> to the [PUC’s] 92 miles per hour threshold</w:t>
      </w:r>
      <w:r w:rsidR="005A5762">
        <w:rPr>
          <w:szCs w:val="26"/>
        </w:rPr>
        <w:t>,</w:t>
      </w:r>
      <w:r w:rsidRPr="000773EF" w:rsidR="000C3222">
        <w:rPr>
          <w:szCs w:val="26"/>
        </w:rPr>
        <w:t xml:space="preserve">” </w:t>
      </w:r>
      <w:r w:rsidRPr="000773EF" w:rsidR="009152DE">
        <w:rPr>
          <w:szCs w:val="26"/>
        </w:rPr>
        <w:t xml:space="preserve">the PUC </w:t>
      </w:r>
      <w:r w:rsidR="005A5762">
        <w:rPr>
          <w:szCs w:val="26"/>
        </w:rPr>
        <w:t xml:space="preserve">says it </w:t>
      </w:r>
      <w:r w:rsidRPr="000773EF" w:rsidR="009152DE">
        <w:rPr>
          <w:szCs w:val="26"/>
        </w:rPr>
        <w:t xml:space="preserve">has </w:t>
      </w:r>
      <w:r w:rsidRPr="000773EF" w:rsidR="008E33FB">
        <w:rPr>
          <w:szCs w:val="26"/>
        </w:rPr>
        <w:t>“declined to use wind speed as a determinative factor for when a utility can or may not implement a PSPS event</w:t>
      </w:r>
      <w:r w:rsidR="005A5762">
        <w:rPr>
          <w:szCs w:val="26"/>
        </w:rPr>
        <w:t>.</w:t>
      </w:r>
      <w:r w:rsidRPr="000773EF" w:rsidR="008E33FB">
        <w:rPr>
          <w:szCs w:val="26"/>
        </w:rPr>
        <w:t>”</w:t>
      </w:r>
      <w:r w:rsidRPr="000773EF" w:rsidR="00345A46">
        <w:rPr>
          <w:szCs w:val="26"/>
        </w:rPr>
        <w:t xml:space="preserve">  </w:t>
      </w:r>
      <w:r w:rsidRPr="000773EF" w:rsidR="006F0440">
        <w:rPr>
          <w:szCs w:val="26"/>
        </w:rPr>
        <w:t xml:space="preserve">Similarly, while the complaint </w:t>
      </w:r>
      <w:r w:rsidRPr="000773EF" w:rsidR="00B63E0B">
        <w:rPr>
          <w:szCs w:val="26"/>
        </w:rPr>
        <w:t xml:space="preserve">alleges that PG&amp;E failed to properly manage vegetation that </w:t>
      </w:r>
      <w:r w:rsidRPr="000773EF" w:rsidR="00A81765">
        <w:rPr>
          <w:szCs w:val="26"/>
        </w:rPr>
        <w:t>“posed a foreseeable hazard to power lines</w:t>
      </w:r>
      <w:r w:rsidR="005A5762">
        <w:rPr>
          <w:szCs w:val="26"/>
        </w:rPr>
        <w:t>,</w:t>
      </w:r>
      <w:r w:rsidRPr="000773EF" w:rsidR="00A81765">
        <w:rPr>
          <w:szCs w:val="26"/>
        </w:rPr>
        <w:t xml:space="preserve">” </w:t>
      </w:r>
      <w:r w:rsidRPr="000773EF" w:rsidR="00A62246">
        <w:rPr>
          <w:szCs w:val="26"/>
        </w:rPr>
        <w:t xml:space="preserve">the PUC </w:t>
      </w:r>
      <w:r w:rsidRPr="000773EF" w:rsidR="00AD407B">
        <w:rPr>
          <w:szCs w:val="26"/>
        </w:rPr>
        <w:t>considered and approved PG&amp;E’s proposed vegetation management as part of the utility’s 2019 Wildfire Mitigation Plan</w:t>
      </w:r>
      <w:r w:rsidRPr="000773EF" w:rsidR="00D062D5">
        <w:rPr>
          <w:szCs w:val="26"/>
        </w:rPr>
        <w:t xml:space="preserve"> (</w:t>
      </w:r>
      <w:r w:rsidR="00A63B96">
        <w:rPr>
          <w:szCs w:val="26"/>
        </w:rPr>
        <w:t xml:space="preserve">see </w:t>
      </w:r>
      <w:r w:rsidRPr="000773EF" w:rsidR="0006391A">
        <w:rPr>
          <w:rStyle w:val="ssbf"/>
          <w:i/>
          <w:iCs/>
          <w:szCs w:val="26"/>
          <w:bdr w:val="none" w:sz="0" w:space="0" w:color="auto" w:frame="1"/>
          <w:shd w:val="clear" w:color="auto" w:fill="FFFFFF"/>
        </w:rPr>
        <w:t>Decision on Pacific Gas and Electric Company’s 2019 Wildfire Mitigation Plan Pursuant to Senate Bill 901</w:t>
      </w:r>
      <w:r w:rsidRPr="000773EF" w:rsidR="0006391A">
        <w:rPr>
          <w:szCs w:val="26"/>
          <w:shd w:val="clear" w:color="auto" w:fill="FFFFFF"/>
        </w:rPr>
        <w:t xml:space="preserve"> (May 30, 2019) Cal.P.U.C. Dec. No. 19-05-0</w:t>
      </w:r>
      <w:r w:rsidRPr="000773EF" w:rsidR="00B87E6A">
        <w:rPr>
          <w:szCs w:val="26"/>
          <w:shd w:val="clear" w:color="auto" w:fill="FFFFFF"/>
        </w:rPr>
        <w:t>37</w:t>
      </w:r>
      <w:r w:rsidRPr="000773EF" w:rsidR="0006391A">
        <w:rPr>
          <w:szCs w:val="26"/>
          <w:shd w:val="clear" w:color="auto" w:fill="FFFFFF"/>
        </w:rPr>
        <w:t xml:space="preserve"> [2019 Cal.P.U.C. Lexis 27</w:t>
      </w:r>
      <w:r w:rsidRPr="000773EF" w:rsidR="008B1D2D">
        <w:rPr>
          <w:szCs w:val="26"/>
          <w:shd w:val="clear" w:color="auto" w:fill="FFFFFF"/>
        </w:rPr>
        <w:t>2</w:t>
      </w:r>
      <w:r w:rsidR="002013F7">
        <w:rPr>
          <w:szCs w:val="26"/>
          <w:shd w:val="clear" w:color="auto" w:fill="FFFFFF"/>
        </w:rPr>
        <w:t>,</w:t>
      </w:r>
      <w:r w:rsidR="003E0791">
        <w:rPr>
          <w:rStyle w:val="CommentReference"/>
        </w:rPr>
        <w:t xml:space="preserve"> </w:t>
      </w:r>
      <w:r w:rsidRPr="000773EF" w:rsidR="0006391A">
        <w:rPr>
          <w:szCs w:val="26"/>
        </w:rPr>
        <w:t>*</w:t>
      </w:r>
      <w:r w:rsidRPr="000773EF" w:rsidR="008B1D2D">
        <w:rPr>
          <w:szCs w:val="26"/>
        </w:rPr>
        <w:t>1</w:t>
      </w:r>
      <w:r w:rsidRPr="000773EF" w:rsidR="00F37332">
        <w:rPr>
          <w:szCs w:val="26"/>
        </w:rPr>
        <w:t xml:space="preserve">, </w:t>
      </w:r>
      <w:r w:rsidRPr="000773EF" w:rsidR="00247155">
        <w:rPr>
          <w:szCs w:val="26"/>
        </w:rPr>
        <w:t>*29–*42</w:t>
      </w:r>
      <w:r w:rsidRPr="000773EF" w:rsidR="0006391A">
        <w:rPr>
          <w:szCs w:val="26"/>
        </w:rPr>
        <w:t>])</w:t>
      </w:r>
      <w:r w:rsidRPr="000773EF" w:rsidR="002B2358">
        <w:rPr>
          <w:szCs w:val="26"/>
        </w:rPr>
        <w:t>.</w:t>
      </w:r>
    </w:p>
    <w:p w:rsidR="000F77FE" w:rsidRPr="000773EF" w:rsidP="00BC7683" w14:paraId="4FB03EE3" w14:textId="77777777">
      <w:pPr>
        <w:shd w:val="clear" w:color="auto" w:fill="FFFFFF"/>
        <w:ind w:firstLine="720"/>
        <w:rPr>
          <w:szCs w:val="26"/>
        </w:rPr>
      </w:pPr>
      <w:r w:rsidRPr="000773EF">
        <w:rPr>
          <w:szCs w:val="26"/>
        </w:rPr>
        <w:t xml:space="preserve">The </w:t>
      </w:r>
      <w:r w:rsidRPr="000773EF" w:rsidR="0030772D">
        <w:rPr>
          <w:szCs w:val="26"/>
        </w:rPr>
        <w:t xml:space="preserve">current action </w:t>
      </w:r>
      <w:r w:rsidRPr="000773EF">
        <w:rPr>
          <w:szCs w:val="26"/>
        </w:rPr>
        <w:t xml:space="preserve">thus </w:t>
      </w:r>
      <w:r w:rsidRPr="000773EF" w:rsidR="0030772D">
        <w:rPr>
          <w:szCs w:val="26"/>
        </w:rPr>
        <w:t xml:space="preserve">seeks </w:t>
      </w:r>
      <w:r w:rsidRPr="000773EF" w:rsidR="00311723">
        <w:rPr>
          <w:szCs w:val="26"/>
        </w:rPr>
        <w:t>damages for</w:t>
      </w:r>
      <w:r w:rsidRPr="000773EF" w:rsidR="00046D9C">
        <w:rPr>
          <w:szCs w:val="26"/>
        </w:rPr>
        <w:t xml:space="preserve"> the effects of PSPS events </w:t>
      </w:r>
      <w:r w:rsidRPr="000773EF" w:rsidR="00281CD0">
        <w:rPr>
          <w:szCs w:val="26"/>
        </w:rPr>
        <w:t xml:space="preserve">without any allegation that </w:t>
      </w:r>
      <w:r w:rsidRPr="000773EF" w:rsidR="00046D9C">
        <w:rPr>
          <w:szCs w:val="26"/>
        </w:rPr>
        <w:t xml:space="preserve">those events </w:t>
      </w:r>
      <w:r w:rsidRPr="000773EF" w:rsidR="00281CD0">
        <w:rPr>
          <w:szCs w:val="26"/>
        </w:rPr>
        <w:t xml:space="preserve">were </w:t>
      </w:r>
      <w:r w:rsidRPr="000773EF" w:rsidR="00046D9C">
        <w:rPr>
          <w:szCs w:val="26"/>
        </w:rPr>
        <w:t xml:space="preserve">executed in </w:t>
      </w:r>
      <w:r w:rsidRPr="000773EF" w:rsidR="00281CD0">
        <w:rPr>
          <w:szCs w:val="26"/>
        </w:rPr>
        <w:t>violation of</w:t>
      </w:r>
      <w:r w:rsidRPr="000773EF" w:rsidR="00046D9C">
        <w:rPr>
          <w:szCs w:val="26"/>
        </w:rPr>
        <w:t xml:space="preserve"> PUC guidelines</w:t>
      </w:r>
      <w:r w:rsidRPr="000773EF" w:rsidR="00650D1E">
        <w:rPr>
          <w:szCs w:val="26"/>
        </w:rPr>
        <w:t xml:space="preserve">.  </w:t>
      </w:r>
      <w:r w:rsidRPr="000773EF" w:rsidR="001B1176">
        <w:rPr>
          <w:szCs w:val="26"/>
        </w:rPr>
        <w:t xml:space="preserve">Gantner’s argument </w:t>
      </w:r>
      <w:r w:rsidRPr="000773EF" w:rsidR="00D040B9">
        <w:rPr>
          <w:szCs w:val="26"/>
        </w:rPr>
        <w:t xml:space="preserve">instead </w:t>
      </w:r>
      <w:r w:rsidRPr="000773EF" w:rsidR="001B1176">
        <w:rPr>
          <w:szCs w:val="26"/>
        </w:rPr>
        <w:t xml:space="preserve">turns entirely on whether PG&amp;E breached its duty of care and whether any breach caused the alleged damages.  Because all </w:t>
      </w:r>
      <w:r w:rsidRPr="000773EF" w:rsidR="00A2665E">
        <w:rPr>
          <w:szCs w:val="26"/>
        </w:rPr>
        <w:t xml:space="preserve">alleged </w:t>
      </w:r>
      <w:r w:rsidRPr="000773EF" w:rsidR="001B1176">
        <w:rPr>
          <w:szCs w:val="26"/>
        </w:rPr>
        <w:t>damages stem from the PSPS events themselves, the</w:t>
      </w:r>
      <w:r w:rsidRPr="000773EF" w:rsidR="003D4B0D">
        <w:rPr>
          <w:szCs w:val="26"/>
        </w:rPr>
        <w:t xml:space="preserve"> </w:t>
      </w:r>
      <w:r w:rsidRPr="000773EF" w:rsidR="00CB79C4">
        <w:rPr>
          <w:szCs w:val="26"/>
        </w:rPr>
        <w:t>adjudication</w:t>
      </w:r>
      <w:r w:rsidRPr="000773EF" w:rsidR="003D0EFF">
        <w:rPr>
          <w:szCs w:val="26"/>
        </w:rPr>
        <w:t xml:space="preserve"> of </w:t>
      </w:r>
      <w:r w:rsidRPr="000773EF" w:rsidR="003D4B0D">
        <w:rPr>
          <w:szCs w:val="26"/>
        </w:rPr>
        <w:t xml:space="preserve">breach, </w:t>
      </w:r>
      <w:r w:rsidRPr="000773EF" w:rsidR="003D0EFF">
        <w:rPr>
          <w:szCs w:val="26"/>
        </w:rPr>
        <w:t>causation</w:t>
      </w:r>
      <w:r w:rsidRPr="000773EF" w:rsidR="003D4B0D">
        <w:rPr>
          <w:szCs w:val="26"/>
        </w:rPr>
        <w:t>,</w:t>
      </w:r>
      <w:r w:rsidRPr="000773EF" w:rsidR="003D0EFF">
        <w:rPr>
          <w:szCs w:val="26"/>
        </w:rPr>
        <w:t xml:space="preserve"> and damages</w:t>
      </w:r>
      <w:r w:rsidRPr="000773EF" w:rsidR="001B1176">
        <w:rPr>
          <w:szCs w:val="26"/>
        </w:rPr>
        <w:t xml:space="preserve"> will inevitably involve an assessment of why the PSPS events were implemented and whether they </w:t>
      </w:r>
      <w:r w:rsidRPr="000773EF" w:rsidR="000E0028">
        <w:rPr>
          <w:szCs w:val="26"/>
        </w:rPr>
        <w:t xml:space="preserve">could or </w:t>
      </w:r>
      <w:r w:rsidRPr="000773EF" w:rsidR="001B1176">
        <w:rPr>
          <w:szCs w:val="26"/>
        </w:rPr>
        <w:t>should have been avoided.  But the question</w:t>
      </w:r>
      <w:r w:rsidRPr="000773EF" w:rsidR="004567CF">
        <w:rPr>
          <w:szCs w:val="26"/>
        </w:rPr>
        <w:t>s</w:t>
      </w:r>
      <w:r w:rsidRPr="000773EF" w:rsidR="001B1176">
        <w:rPr>
          <w:szCs w:val="26"/>
        </w:rPr>
        <w:t xml:space="preserve"> of PSPS implementation and execution</w:t>
      </w:r>
      <w:r w:rsidRPr="000773EF" w:rsidR="004567CF">
        <w:rPr>
          <w:szCs w:val="26"/>
        </w:rPr>
        <w:t xml:space="preserve"> — along with the </w:t>
      </w:r>
      <w:r w:rsidRPr="000773EF" w:rsidR="00A57187">
        <w:rPr>
          <w:szCs w:val="26"/>
        </w:rPr>
        <w:t>policy choice to use PSPS to mitigate wildfire risk and protect public safety —</w:t>
      </w:r>
      <w:r w:rsidRPr="000773EF" w:rsidR="001B1176">
        <w:rPr>
          <w:szCs w:val="26"/>
        </w:rPr>
        <w:t xml:space="preserve"> </w:t>
      </w:r>
      <w:r w:rsidRPr="000773EF" w:rsidR="00A57187">
        <w:rPr>
          <w:szCs w:val="26"/>
        </w:rPr>
        <w:t>are</w:t>
      </w:r>
      <w:r w:rsidRPr="000773EF" w:rsidR="001B1176">
        <w:rPr>
          <w:szCs w:val="26"/>
        </w:rPr>
        <w:t xml:space="preserve"> reserved to the PUC, which has exercised its authority to delineate the factors relevant to these inquiries.  </w:t>
      </w:r>
      <w:r w:rsidR="005A5762">
        <w:rPr>
          <w:szCs w:val="26"/>
          <w:bdr w:val="none" w:sz="0" w:space="0" w:color="auto" w:frame="1"/>
        </w:rPr>
        <w:t>Section 1759 bars</w:t>
      </w:r>
      <w:r w:rsidRPr="000773EF" w:rsidR="005A5762">
        <w:rPr>
          <w:szCs w:val="26"/>
          <w:bdr w:val="none" w:sz="0" w:space="0" w:color="auto" w:frame="1"/>
        </w:rPr>
        <w:t xml:space="preserve"> </w:t>
      </w:r>
      <w:r w:rsidRPr="000773EF" w:rsidR="000C7BD0">
        <w:rPr>
          <w:szCs w:val="26"/>
          <w:bdr w:val="none" w:sz="0" w:space="0" w:color="auto" w:frame="1"/>
        </w:rPr>
        <w:t xml:space="preserve">Gantner </w:t>
      </w:r>
      <w:r w:rsidR="005A5762">
        <w:rPr>
          <w:szCs w:val="26"/>
          <w:bdr w:val="none" w:sz="0" w:space="0" w:color="auto" w:frame="1"/>
        </w:rPr>
        <w:t xml:space="preserve">from </w:t>
      </w:r>
      <w:r w:rsidRPr="000773EF" w:rsidR="001B1176">
        <w:rPr>
          <w:szCs w:val="26"/>
        </w:rPr>
        <w:t>seek</w:t>
      </w:r>
      <w:r w:rsidR="005A5762">
        <w:rPr>
          <w:szCs w:val="26"/>
        </w:rPr>
        <w:t>ing</w:t>
      </w:r>
      <w:r w:rsidRPr="000773EF" w:rsidR="001B1176">
        <w:rPr>
          <w:szCs w:val="26"/>
        </w:rPr>
        <w:t xml:space="preserve"> </w:t>
      </w:r>
      <w:r w:rsidRPr="000773EF" w:rsidR="0000640C">
        <w:rPr>
          <w:szCs w:val="26"/>
        </w:rPr>
        <w:t>a parallel review of PG&amp;E’s PSPS decision-making and implementation</w:t>
      </w:r>
      <w:r w:rsidR="005A5762">
        <w:rPr>
          <w:szCs w:val="26"/>
        </w:rPr>
        <w:t xml:space="preserve"> through his suit</w:t>
      </w:r>
      <w:r w:rsidRPr="000773EF" w:rsidR="001B1176">
        <w:rPr>
          <w:szCs w:val="26"/>
        </w:rPr>
        <w:t xml:space="preserve">.  (See </w:t>
      </w:r>
      <w:r w:rsidRPr="000773EF" w:rsidR="001B1176">
        <w:rPr>
          <w:i/>
          <w:iCs/>
          <w:szCs w:val="26"/>
        </w:rPr>
        <w:t>Covalt</w:t>
      </w:r>
      <w:r w:rsidRPr="000773EF" w:rsidR="001B1176">
        <w:rPr>
          <w:szCs w:val="26"/>
        </w:rPr>
        <w:t xml:space="preserve">, </w:t>
      </w:r>
      <w:r w:rsidRPr="000773EF" w:rsidR="001B1176">
        <w:rPr>
          <w:i/>
          <w:iCs/>
          <w:szCs w:val="26"/>
        </w:rPr>
        <w:t>supra</w:t>
      </w:r>
      <w:r w:rsidRPr="000773EF" w:rsidR="001B1176">
        <w:rPr>
          <w:szCs w:val="26"/>
        </w:rPr>
        <w:t xml:space="preserve">, 13 Cal.4th at p. 939 [section 1759 </w:t>
      </w:r>
      <w:r w:rsidRPr="000773EF" w:rsidR="0057046B">
        <w:rPr>
          <w:szCs w:val="26"/>
        </w:rPr>
        <w:t>bars</w:t>
      </w:r>
      <w:r w:rsidRPr="000773EF" w:rsidR="001B1176">
        <w:rPr>
          <w:szCs w:val="26"/>
        </w:rPr>
        <w:t xml:space="preserve"> an action seeking findings “inconsistent with the [PUC]’s conclusion”].)</w:t>
      </w:r>
    </w:p>
    <w:p w:rsidR="00B42F87" w:rsidRPr="000773EF" w:rsidP="00BC7683" w14:paraId="4FB03EE4" w14:textId="77777777">
      <w:pPr>
        <w:keepNext/>
        <w:tabs>
          <w:tab w:val="center" w:pos="4320"/>
        </w:tabs>
        <w:rPr>
          <w:b/>
          <w:bCs/>
          <w:szCs w:val="26"/>
        </w:rPr>
      </w:pPr>
      <w:r w:rsidRPr="000773EF">
        <w:rPr>
          <w:b/>
          <w:bCs/>
          <w:szCs w:val="26"/>
        </w:rPr>
        <w:tab/>
      </w:r>
      <w:r w:rsidRPr="000773EF" w:rsidR="00D3021A">
        <w:rPr>
          <w:b/>
          <w:bCs/>
          <w:szCs w:val="26"/>
        </w:rPr>
        <w:t>B.</w:t>
      </w:r>
    </w:p>
    <w:p w:rsidR="00ED740B" w:rsidRPr="000773EF" w:rsidP="00BC7683" w14:paraId="4FB03EE5" w14:textId="77777777">
      <w:pPr>
        <w:ind w:firstLine="720"/>
        <w:rPr>
          <w:szCs w:val="26"/>
        </w:rPr>
      </w:pPr>
      <w:r w:rsidRPr="000773EF">
        <w:rPr>
          <w:szCs w:val="26"/>
        </w:rPr>
        <w:t xml:space="preserve">Gantner argues that if </w:t>
      </w:r>
      <w:r w:rsidRPr="000773EF" w:rsidR="00B2050B">
        <w:rPr>
          <w:szCs w:val="26"/>
        </w:rPr>
        <w:t>t</w:t>
      </w:r>
      <w:r w:rsidRPr="000773EF">
        <w:rPr>
          <w:szCs w:val="26"/>
        </w:rPr>
        <w:t xml:space="preserve">his suit is </w:t>
      </w:r>
      <w:r w:rsidRPr="000773EF" w:rsidR="0057046B">
        <w:rPr>
          <w:szCs w:val="26"/>
        </w:rPr>
        <w:t>barred</w:t>
      </w:r>
      <w:r w:rsidRPr="000773EF">
        <w:rPr>
          <w:szCs w:val="26"/>
        </w:rPr>
        <w:t>, utilities like PG&amp;E will “get a free pass for their own negligence.”  But “section 1759 does not leave plaintiffs without a remedy” for utility negligence.  (</w:t>
      </w:r>
      <w:r w:rsidRPr="000773EF">
        <w:rPr>
          <w:i/>
          <w:iCs/>
          <w:szCs w:val="26"/>
          <w:bdr w:val="none" w:sz="0" w:space="0" w:color="auto" w:frame="1"/>
        </w:rPr>
        <w:t>Sarale</w:t>
      </w:r>
      <w:r w:rsidRPr="000773EF">
        <w:rPr>
          <w:szCs w:val="26"/>
          <w:bdr w:val="none" w:sz="0" w:space="0" w:color="auto" w:frame="1"/>
        </w:rPr>
        <w:t xml:space="preserve">, </w:t>
      </w:r>
      <w:r w:rsidRPr="000773EF">
        <w:rPr>
          <w:i/>
          <w:iCs/>
          <w:szCs w:val="26"/>
          <w:bdr w:val="none" w:sz="0" w:space="0" w:color="auto" w:frame="1"/>
        </w:rPr>
        <w:t>supra</w:t>
      </w:r>
      <w:r w:rsidRPr="000773EF">
        <w:rPr>
          <w:szCs w:val="26"/>
          <w:bdr w:val="none" w:sz="0" w:space="0" w:color="auto" w:frame="1"/>
        </w:rPr>
        <w:t>, 189 Cal.App.4th at p. 2</w:t>
      </w:r>
      <w:r w:rsidRPr="000773EF" w:rsidR="007C759E">
        <w:rPr>
          <w:szCs w:val="26"/>
          <w:bdr w:val="none" w:sz="0" w:space="0" w:color="auto" w:frame="1"/>
        </w:rPr>
        <w:t>44</w:t>
      </w:r>
      <w:r w:rsidRPr="000773EF">
        <w:rPr>
          <w:szCs w:val="26"/>
          <w:bdr w:val="none" w:sz="0" w:space="0" w:color="auto" w:frame="1"/>
        </w:rPr>
        <w:t>.)</w:t>
      </w:r>
      <w:r w:rsidRPr="000773EF">
        <w:rPr>
          <w:szCs w:val="26"/>
        </w:rPr>
        <w:t xml:space="preserve">  It simply means that the “remedy lies before the commission rather than in . . . court.”  (</w:t>
      </w:r>
      <w:r w:rsidRPr="000773EF">
        <w:rPr>
          <w:i/>
          <w:iCs/>
          <w:szCs w:val="26"/>
        </w:rPr>
        <w:t>Ibid.</w:t>
      </w:r>
      <w:r w:rsidRPr="000773EF">
        <w:rPr>
          <w:szCs w:val="26"/>
        </w:rPr>
        <w:t xml:space="preserve">)  As the PUC notes in </w:t>
      </w:r>
      <w:r w:rsidRPr="000773EF" w:rsidR="004124BD">
        <w:rPr>
          <w:szCs w:val="26"/>
        </w:rPr>
        <w:t xml:space="preserve">its </w:t>
      </w:r>
      <w:r w:rsidRPr="000773EF">
        <w:rPr>
          <w:szCs w:val="26"/>
        </w:rPr>
        <w:t>amicus curiae brief, “</w:t>
      </w:r>
      <w:r w:rsidR="00E67FEA">
        <w:rPr>
          <w:szCs w:val="26"/>
        </w:rPr>
        <w:t>T</w:t>
      </w:r>
      <w:r w:rsidRPr="000773EF">
        <w:rPr>
          <w:szCs w:val="26"/>
        </w:rPr>
        <w:t xml:space="preserve">he Legislature has . . . provided a statutory scheme that includes formal complaint procedures before the Commission.”  Customers concerned </w:t>
      </w:r>
      <w:r w:rsidRPr="000773EF" w:rsidR="004124BD">
        <w:rPr>
          <w:szCs w:val="26"/>
        </w:rPr>
        <w:t>that</w:t>
      </w:r>
      <w:r w:rsidRPr="000773EF">
        <w:rPr>
          <w:szCs w:val="26"/>
        </w:rPr>
        <w:t xml:space="preserve"> PG&amp;E</w:t>
      </w:r>
      <w:r w:rsidRPr="000773EF" w:rsidR="004124BD">
        <w:rPr>
          <w:szCs w:val="26"/>
        </w:rPr>
        <w:t xml:space="preserve"> may</w:t>
      </w:r>
      <w:r w:rsidRPr="000773EF">
        <w:rPr>
          <w:szCs w:val="26"/>
        </w:rPr>
        <w:t xml:space="preserve"> improperly implement PSPS could also “seek injunctive relief from the Commission” </w:t>
      </w:r>
      <w:r w:rsidRPr="000773EF" w:rsidR="00EF4FF0">
        <w:rPr>
          <w:szCs w:val="26"/>
        </w:rPr>
        <w:t xml:space="preserve">and </w:t>
      </w:r>
      <w:r w:rsidRPr="000773EF">
        <w:rPr>
          <w:szCs w:val="26"/>
        </w:rPr>
        <w:t>could intervene in PSPS rulemaking</w:t>
      </w:r>
      <w:r w:rsidRPr="000773EF" w:rsidR="004247F1">
        <w:rPr>
          <w:szCs w:val="26"/>
        </w:rPr>
        <w:t xml:space="preserve">.  </w:t>
      </w:r>
      <w:r w:rsidRPr="000773EF" w:rsidR="004A1811">
        <w:rPr>
          <w:szCs w:val="26"/>
        </w:rPr>
        <w:t xml:space="preserve">Moreover, </w:t>
      </w:r>
      <w:r w:rsidRPr="000773EF" w:rsidR="008076E4">
        <w:rPr>
          <w:szCs w:val="26"/>
        </w:rPr>
        <w:t xml:space="preserve">the PUC notes that </w:t>
      </w:r>
      <w:r w:rsidRPr="000773EF" w:rsidR="00481FE7">
        <w:rPr>
          <w:szCs w:val="26"/>
        </w:rPr>
        <w:t>a utility’s</w:t>
      </w:r>
      <w:r w:rsidRPr="000773EF" w:rsidR="004247F1">
        <w:rPr>
          <w:szCs w:val="26"/>
        </w:rPr>
        <w:t xml:space="preserve"> </w:t>
      </w:r>
      <w:r w:rsidRPr="000773EF" w:rsidR="00BB10F9">
        <w:rPr>
          <w:szCs w:val="26"/>
        </w:rPr>
        <w:t xml:space="preserve">annual </w:t>
      </w:r>
      <w:r w:rsidRPr="000773EF" w:rsidR="006E278A">
        <w:rPr>
          <w:szCs w:val="26"/>
        </w:rPr>
        <w:t>wildfire mitigation plan</w:t>
      </w:r>
      <w:r w:rsidRPr="000773EF" w:rsidR="00BB10F9">
        <w:rPr>
          <w:szCs w:val="26"/>
        </w:rPr>
        <w:t xml:space="preserve"> must </w:t>
      </w:r>
      <w:r w:rsidRPr="000773EF" w:rsidR="008076E4">
        <w:rPr>
          <w:szCs w:val="26"/>
        </w:rPr>
        <w:t>“address</w:t>
      </w:r>
      <w:r w:rsidRPr="000773EF" w:rsidR="006E278A">
        <w:rPr>
          <w:szCs w:val="26"/>
        </w:rPr>
        <w:t xml:space="preserve"> </w:t>
      </w:r>
      <w:r w:rsidRPr="000773EF" w:rsidR="009C6BF7">
        <w:rPr>
          <w:szCs w:val="26"/>
        </w:rPr>
        <w:t xml:space="preserve">all the actions a utility commits to take in the coming year to reduce wildfire risk — including system hardening, undergrounding lines, inspections, and vegetation management.”  </w:t>
      </w:r>
      <w:r w:rsidRPr="000773EF" w:rsidR="00841503">
        <w:rPr>
          <w:szCs w:val="26"/>
        </w:rPr>
        <w:t>(</w:t>
      </w:r>
      <w:r w:rsidR="005A5762">
        <w:rPr>
          <w:szCs w:val="26"/>
        </w:rPr>
        <w:t>S</w:t>
      </w:r>
      <w:r w:rsidRPr="000773EF" w:rsidR="00841503">
        <w:rPr>
          <w:szCs w:val="26"/>
        </w:rPr>
        <w:t>ee § 8386, subd. (c)</w:t>
      </w:r>
      <w:r w:rsidRPr="000773EF" w:rsidR="00ED231D">
        <w:rPr>
          <w:szCs w:val="26"/>
        </w:rPr>
        <w:t xml:space="preserve">(3), </w:t>
      </w:r>
      <w:r w:rsidRPr="000773EF" w:rsidR="003D6DE3">
        <w:rPr>
          <w:szCs w:val="26"/>
        </w:rPr>
        <w:t>(c)(8)</w:t>
      </w:r>
      <w:r w:rsidRPr="000773EF" w:rsidR="003B06A5">
        <w:rPr>
          <w:szCs w:val="26"/>
        </w:rPr>
        <w:t>–</w:t>
      </w:r>
      <w:r w:rsidRPr="000773EF" w:rsidR="003D6DE3">
        <w:rPr>
          <w:szCs w:val="26"/>
        </w:rPr>
        <w:t>(10),</w:t>
      </w:r>
      <w:r w:rsidRPr="000773EF" w:rsidR="00BD3CC7">
        <w:rPr>
          <w:szCs w:val="26"/>
        </w:rPr>
        <w:t xml:space="preserve"> (c)(12)</w:t>
      </w:r>
      <w:r w:rsidRPr="000773EF" w:rsidR="00BC0A44">
        <w:rPr>
          <w:szCs w:val="26"/>
        </w:rPr>
        <w:t>, (c)(14)</w:t>
      </w:r>
      <w:r w:rsidRPr="000773EF" w:rsidR="003B06A5">
        <w:rPr>
          <w:szCs w:val="26"/>
        </w:rPr>
        <w:t>–</w:t>
      </w:r>
      <w:r w:rsidRPr="000773EF" w:rsidR="00BC0A44">
        <w:rPr>
          <w:szCs w:val="26"/>
        </w:rPr>
        <w:t>(15)</w:t>
      </w:r>
      <w:r w:rsidRPr="000773EF" w:rsidR="003B06A5">
        <w:rPr>
          <w:szCs w:val="26"/>
        </w:rPr>
        <w:t xml:space="preserve"> [</w:t>
      </w:r>
      <w:r w:rsidRPr="000773EF" w:rsidR="00580C84">
        <w:rPr>
          <w:szCs w:val="26"/>
        </w:rPr>
        <w:t xml:space="preserve">listing </w:t>
      </w:r>
      <w:r w:rsidRPr="000773EF" w:rsidR="003B06A5">
        <w:rPr>
          <w:szCs w:val="26"/>
        </w:rPr>
        <w:t>re</w:t>
      </w:r>
      <w:r w:rsidRPr="000773EF" w:rsidR="00083D18">
        <w:rPr>
          <w:szCs w:val="26"/>
        </w:rPr>
        <w:t>quirements of wildfire mitigation plan</w:t>
      </w:r>
      <w:r w:rsidRPr="000773EF" w:rsidR="00580C84">
        <w:rPr>
          <w:szCs w:val="26"/>
        </w:rPr>
        <w:t>s</w:t>
      </w:r>
      <w:r w:rsidRPr="000773EF" w:rsidR="00083D18">
        <w:rPr>
          <w:szCs w:val="26"/>
        </w:rPr>
        <w:t xml:space="preserve">].)  These plans are </w:t>
      </w:r>
      <w:r w:rsidRPr="000773EF" w:rsidR="006E278A">
        <w:rPr>
          <w:szCs w:val="26"/>
        </w:rPr>
        <w:t>approved by OEIS and ratified by the PUC</w:t>
      </w:r>
      <w:r w:rsidRPr="000773EF" w:rsidR="00083D18">
        <w:rPr>
          <w:szCs w:val="26"/>
        </w:rPr>
        <w:t xml:space="preserve">, and </w:t>
      </w:r>
      <w:r w:rsidRPr="000773EF" w:rsidR="00941611">
        <w:rPr>
          <w:szCs w:val="26"/>
        </w:rPr>
        <w:t xml:space="preserve">members of the public </w:t>
      </w:r>
      <w:r w:rsidRPr="000773EF" w:rsidR="00281CD0">
        <w:rPr>
          <w:szCs w:val="26"/>
        </w:rPr>
        <w:t>may</w:t>
      </w:r>
      <w:r w:rsidRPr="000773EF" w:rsidR="00941611">
        <w:rPr>
          <w:szCs w:val="26"/>
        </w:rPr>
        <w:t xml:space="preserve"> </w:t>
      </w:r>
      <w:r w:rsidRPr="000773EF" w:rsidR="00574E83">
        <w:rPr>
          <w:szCs w:val="26"/>
        </w:rPr>
        <w:t>comment on the proposed plans prior to approval.  (§ 8386, subd. </w:t>
      </w:r>
      <w:r w:rsidRPr="000773EF" w:rsidR="00C439B2">
        <w:rPr>
          <w:szCs w:val="26"/>
        </w:rPr>
        <w:t>(d).)</w:t>
      </w:r>
      <w:r w:rsidRPr="000773EF" w:rsidR="00F147FE">
        <w:rPr>
          <w:szCs w:val="26"/>
        </w:rPr>
        <w:t xml:space="preserve">  </w:t>
      </w:r>
      <w:r w:rsidRPr="000773EF" w:rsidR="00F1091E">
        <w:rPr>
          <w:szCs w:val="26"/>
        </w:rPr>
        <w:t xml:space="preserve">Similarly, the PUC’s post hoc reasonableness review </w:t>
      </w:r>
      <w:r w:rsidRPr="000773EF" w:rsidR="009555A5">
        <w:rPr>
          <w:szCs w:val="26"/>
        </w:rPr>
        <w:t>includes an assessment of why the utility implemented a PSPS event (</w:t>
      </w:r>
      <w:r w:rsidRPr="000773EF" w:rsidR="00B73B4C">
        <w:rPr>
          <w:szCs w:val="26"/>
        </w:rPr>
        <w:t>Cal.</w:t>
      </w:r>
      <w:r w:rsidRPr="000773EF" w:rsidR="00055296">
        <w:rPr>
          <w:szCs w:val="26"/>
        </w:rPr>
        <w:t>P</w:t>
      </w:r>
      <w:r w:rsidRPr="000773EF" w:rsidR="00B73B4C">
        <w:rPr>
          <w:szCs w:val="26"/>
        </w:rPr>
        <w:t>.</w:t>
      </w:r>
      <w:r w:rsidRPr="000773EF" w:rsidR="00055296">
        <w:rPr>
          <w:szCs w:val="26"/>
        </w:rPr>
        <w:t>U</w:t>
      </w:r>
      <w:r w:rsidRPr="000773EF" w:rsidR="00B73B4C">
        <w:rPr>
          <w:szCs w:val="26"/>
        </w:rPr>
        <w:t>.</w:t>
      </w:r>
      <w:r w:rsidRPr="000773EF" w:rsidR="00055296">
        <w:rPr>
          <w:szCs w:val="26"/>
        </w:rPr>
        <w:t>C</w:t>
      </w:r>
      <w:r w:rsidRPr="000773EF" w:rsidR="00B73B4C">
        <w:rPr>
          <w:szCs w:val="26"/>
        </w:rPr>
        <w:t>.</w:t>
      </w:r>
      <w:r w:rsidRPr="000773EF" w:rsidR="00055296">
        <w:rPr>
          <w:szCs w:val="26"/>
        </w:rPr>
        <w:t xml:space="preserve"> Res. </w:t>
      </w:r>
      <w:r w:rsidRPr="000773EF" w:rsidR="00B73B4C">
        <w:rPr>
          <w:szCs w:val="26"/>
        </w:rPr>
        <w:t>No. </w:t>
      </w:r>
      <w:r w:rsidRPr="000773EF" w:rsidR="00055296">
        <w:rPr>
          <w:szCs w:val="26"/>
        </w:rPr>
        <w:t xml:space="preserve">ESRB-8, </w:t>
      </w:r>
      <w:r w:rsidRPr="000773EF" w:rsidR="00055296">
        <w:rPr>
          <w:i/>
          <w:iCs/>
          <w:szCs w:val="26"/>
        </w:rPr>
        <w:t>supra</w:t>
      </w:r>
      <w:r w:rsidR="00FE59D4">
        <w:rPr>
          <w:szCs w:val="26"/>
        </w:rPr>
        <w:t>,</w:t>
      </w:r>
      <w:r w:rsidRPr="000773EF" w:rsidR="00FF44E0">
        <w:rPr>
          <w:szCs w:val="26"/>
        </w:rPr>
        <w:t xml:space="preserve"> </w:t>
      </w:r>
      <w:r w:rsidRPr="000773EF" w:rsidR="00FF44E0">
        <w:rPr>
          <w:szCs w:val="26"/>
          <w:shd w:val="clear" w:color="auto" w:fill="FFFFFF"/>
        </w:rPr>
        <w:t>2018 Cal.P.U.C. Lexis 330</w:t>
      </w:r>
      <w:r w:rsidRPr="000773EF" w:rsidR="00055296">
        <w:rPr>
          <w:szCs w:val="26"/>
        </w:rPr>
        <w:t xml:space="preserve"> at p. *8</w:t>
      </w:r>
      <w:r w:rsidRPr="000773EF" w:rsidR="009555A5">
        <w:rPr>
          <w:szCs w:val="26"/>
        </w:rPr>
        <w:t>)</w:t>
      </w:r>
      <w:r w:rsidRPr="000773EF" w:rsidR="002C7A8A">
        <w:rPr>
          <w:szCs w:val="26"/>
        </w:rPr>
        <w:t>,</w:t>
      </w:r>
      <w:r w:rsidRPr="000773EF" w:rsidR="00055296">
        <w:rPr>
          <w:szCs w:val="26"/>
        </w:rPr>
        <w:t xml:space="preserve"> and where a utility </w:t>
      </w:r>
      <w:r w:rsidRPr="000773EF" w:rsidR="00F668BA">
        <w:rPr>
          <w:szCs w:val="26"/>
        </w:rPr>
        <w:t xml:space="preserve">fails to </w:t>
      </w:r>
      <w:r w:rsidRPr="000773EF" w:rsidR="00281CD0">
        <w:rPr>
          <w:szCs w:val="26"/>
        </w:rPr>
        <w:t>provide a sound basis</w:t>
      </w:r>
      <w:r w:rsidRPr="000773EF" w:rsidR="005C1618">
        <w:rPr>
          <w:szCs w:val="26"/>
        </w:rPr>
        <w:t xml:space="preserve"> for PSPS implementation, the PUC </w:t>
      </w:r>
      <w:r w:rsidRPr="000773EF" w:rsidR="00086DB4">
        <w:rPr>
          <w:szCs w:val="26"/>
        </w:rPr>
        <w:t>can</w:t>
      </w:r>
      <w:r w:rsidRPr="000773EF" w:rsidR="005C1618">
        <w:rPr>
          <w:szCs w:val="26"/>
        </w:rPr>
        <w:t xml:space="preserve"> assess penalties and </w:t>
      </w:r>
      <w:r w:rsidRPr="000773EF" w:rsidR="001958B7">
        <w:rPr>
          <w:szCs w:val="26"/>
        </w:rPr>
        <w:t>apply</w:t>
      </w:r>
      <w:r w:rsidRPr="000773EF" w:rsidR="00A85944">
        <w:rPr>
          <w:szCs w:val="26"/>
        </w:rPr>
        <w:t xml:space="preserve"> </w:t>
      </w:r>
      <w:r w:rsidRPr="000773EF" w:rsidR="005C1618">
        <w:rPr>
          <w:szCs w:val="26"/>
        </w:rPr>
        <w:t>other remedial measures (</w:t>
      </w:r>
      <w:r w:rsidRPr="000773EF" w:rsidR="000A137E">
        <w:rPr>
          <w:szCs w:val="26"/>
        </w:rPr>
        <w:t>Cal.</w:t>
      </w:r>
      <w:r w:rsidRPr="000773EF" w:rsidR="00064BF8">
        <w:rPr>
          <w:szCs w:val="26"/>
        </w:rPr>
        <w:t>P</w:t>
      </w:r>
      <w:r w:rsidRPr="000773EF" w:rsidR="000A137E">
        <w:rPr>
          <w:szCs w:val="26"/>
        </w:rPr>
        <w:t>.</w:t>
      </w:r>
      <w:r w:rsidRPr="000773EF" w:rsidR="00064BF8">
        <w:rPr>
          <w:szCs w:val="26"/>
        </w:rPr>
        <w:t>U</w:t>
      </w:r>
      <w:r w:rsidRPr="000773EF" w:rsidR="000A137E">
        <w:rPr>
          <w:szCs w:val="26"/>
        </w:rPr>
        <w:t>.</w:t>
      </w:r>
      <w:r w:rsidRPr="000773EF" w:rsidR="00064BF8">
        <w:rPr>
          <w:szCs w:val="26"/>
        </w:rPr>
        <w:t>C</w:t>
      </w:r>
      <w:r w:rsidRPr="000773EF" w:rsidR="000A137E">
        <w:rPr>
          <w:szCs w:val="26"/>
        </w:rPr>
        <w:t>.</w:t>
      </w:r>
      <w:r w:rsidRPr="000773EF" w:rsidR="00064BF8">
        <w:rPr>
          <w:szCs w:val="26"/>
        </w:rPr>
        <w:t xml:space="preserve"> Dec. </w:t>
      </w:r>
      <w:r w:rsidRPr="000773EF" w:rsidR="000A137E">
        <w:rPr>
          <w:szCs w:val="26"/>
        </w:rPr>
        <w:t>No. </w:t>
      </w:r>
      <w:r w:rsidRPr="000773EF" w:rsidR="00064BF8">
        <w:rPr>
          <w:szCs w:val="26"/>
        </w:rPr>
        <w:t xml:space="preserve">21-06-014, </w:t>
      </w:r>
      <w:r w:rsidRPr="000773EF" w:rsidR="00064BF8">
        <w:rPr>
          <w:i/>
          <w:iCs/>
          <w:szCs w:val="26"/>
        </w:rPr>
        <w:t>supra</w:t>
      </w:r>
      <w:r w:rsidR="00FA5257">
        <w:rPr>
          <w:szCs w:val="26"/>
        </w:rPr>
        <w:t>,</w:t>
      </w:r>
      <w:r w:rsidRPr="000773EF" w:rsidR="0026148C">
        <w:rPr>
          <w:szCs w:val="26"/>
        </w:rPr>
        <w:t xml:space="preserve"> </w:t>
      </w:r>
      <w:r w:rsidRPr="000773EF" w:rsidR="0026148C">
        <w:rPr>
          <w:szCs w:val="26"/>
          <w:shd w:val="clear" w:color="auto" w:fill="FFFFFF"/>
        </w:rPr>
        <w:t>2021 Cal.P.U.C. Lexis 278</w:t>
      </w:r>
      <w:r w:rsidRPr="000773EF" w:rsidR="00064BF8">
        <w:rPr>
          <w:szCs w:val="26"/>
        </w:rPr>
        <w:t xml:space="preserve"> at p</w:t>
      </w:r>
      <w:r w:rsidRPr="000773EF" w:rsidR="00A85944">
        <w:rPr>
          <w:szCs w:val="26"/>
        </w:rPr>
        <w:t>p</w:t>
      </w:r>
      <w:r w:rsidRPr="000773EF" w:rsidR="00064BF8">
        <w:rPr>
          <w:szCs w:val="26"/>
        </w:rPr>
        <w:t>. *67–*69 [</w:t>
      </w:r>
      <w:r w:rsidRPr="000773EF" w:rsidR="00184DB7">
        <w:rPr>
          <w:szCs w:val="26"/>
        </w:rPr>
        <w:t xml:space="preserve">assessing ratemaking remedy in lieu of penalties for PG&amp;E’s </w:t>
      </w:r>
      <w:r w:rsidRPr="000773EF" w:rsidR="00F720FF">
        <w:rPr>
          <w:szCs w:val="26"/>
        </w:rPr>
        <w:t xml:space="preserve">failure to consider the public risks of shutoffs before implementing its </w:t>
      </w:r>
      <w:r w:rsidRPr="000773EF" w:rsidR="00184DB7">
        <w:rPr>
          <w:szCs w:val="26"/>
        </w:rPr>
        <w:t>2019 PSPS</w:t>
      </w:r>
      <w:r w:rsidRPr="000773EF" w:rsidR="00F720FF">
        <w:rPr>
          <w:szCs w:val="26"/>
        </w:rPr>
        <w:t xml:space="preserve"> events]</w:t>
      </w:r>
      <w:r w:rsidRPr="000773EF" w:rsidR="005C1618">
        <w:rPr>
          <w:szCs w:val="26"/>
        </w:rPr>
        <w:t>)</w:t>
      </w:r>
      <w:r w:rsidRPr="000773EF" w:rsidR="00F720FF">
        <w:rPr>
          <w:szCs w:val="26"/>
        </w:rPr>
        <w:t>.</w:t>
      </w:r>
    </w:p>
    <w:p w:rsidR="00EB0A2A" w:rsidRPr="000773EF" w:rsidP="00BC7683" w14:paraId="4FB03EE6" w14:textId="77777777">
      <w:pPr>
        <w:ind w:firstLine="720"/>
        <w:rPr>
          <w:szCs w:val="26"/>
        </w:rPr>
      </w:pPr>
      <w:r w:rsidRPr="000773EF">
        <w:rPr>
          <w:szCs w:val="26"/>
        </w:rPr>
        <w:t xml:space="preserve">Gantner </w:t>
      </w:r>
      <w:r w:rsidRPr="000773EF" w:rsidR="00ED740B">
        <w:rPr>
          <w:szCs w:val="26"/>
        </w:rPr>
        <w:t xml:space="preserve">next </w:t>
      </w:r>
      <w:r w:rsidRPr="000773EF">
        <w:rPr>
          <w:szCs w:val="26"/>
        </w:rPr>
        <w:t>argu</w:t>
      </w:r>
      <w:r w:rsidRPr="000773EF" w:rsidR="00281CD0">
        <w:rPr>
          <w:szCs w:val="26"/>
        </w:rPr>
        <w:t>es</w:t>
      </w:r>
      <w:r w:rsidRPr="000773EF">
        <w:rPr>
          <w:szCs w:val="26"/>
        </w:rPr>
        <w:t xml:space="preserve"> that because the PUC cannot award damages to customers, this suit does not interfere with its authority over PSPS.  Gantner is correct that the PUC does not and cannot award tort damages to customers affected by the negligence of utilities.  (</w:t>
      </w:r>
      <w:r w:rsidRPr="000773EF" w:rsidR="000A137E">
        <w:rPr>
          <w:szCs w:val="26"/>
        </w:rPr>
        <w:t>Cal.</w:t>
      </w:r>
      <w:r w:rsidRPr="000773EF">
        <w:rPr>
          <w:szCs w:val="26"/>
        </w:rPr>
        <w:t>P</w:t>
      </w:r>
      <w:r w:rsidRPr="000773EF" w:rsidR="000A137E">
        <w:rPr>
          <w:szCs w:val="26"/>
        </w:rPr>
        <w:t>.</w:t>
      </w:r>
      <w:r w:rsidRPr="000773EF">
        <w:rPr>
          <w:szCs w:val="26"/>
        </w:rPr>
        <w:t>U</w:t>
      </w:r>
      <w:r w:rsidRPr="000773EF" w:rsidR="000A137E">
        <w:rPr>
          <w:szCs w:val="26"/>
        </w:rPr>
        <w:t>.</w:t>
      </w:r>
      <w:r w:rsidRPr="000773EF">
        <w:rPr>
          <w:szCs w:val="26"/>
        </w:rPr>
        <w:t>C</w:t>
      </w:r>
      <w:r w:rsidRPr="000773EF" w:rsidR="000A137E">
        <w:rPr>
          <w:szCs w:val="26"/>
        </w:rPr>
        <w:t>.</w:t>
      </w:r>
      <w:r w:rsidRPr="000773EF">
        <w:rPr>
          <w:szCs w:val="26"/>
        </w:rPr>
        <w:t xml:space="preserve"> Dec. </w:t>
      </w:r>
      <w:r w:rsidRPr="000773EF" w:rsidR="000A137E">
        <w:rPr>
          <w:szCs w:val="26"/>
        </w:rPr>
        <w:t>No. </w:t>
      </w:r>
      <w:r w:rsidRPr="000773EF">
        <w:rPr>
          <w:szCs w:val="26"/>
        </w:rPr>
        <w:t xml:space="preserve">21-06-014, </w:t>
      </w:r>
      <w:r w:rsidRPr="000773EF">
        <w:rPr>
          <w:i/>
          <w:iCs/>
          <w:szCs w:val="26"/>
        </w:rPr>
        <w:t>supra</w:t>
      </w:r>
      <w:r w:rsidR="009A760C">
        <w:rPr>
          <w:szCs w:val="26"/>
        </w:rPr>
        <w:t>,</w:t>
      </w:r>
      <w:r w:rsidRPr="000773EF" w:rsidR="0026148C">
        <w:rPr>
          <w:szCs w:val="26"/>
        </w:rPr>
        <w:t xml:space="preserve"> </w:t>
      </w:r>
      <w:r w:rsidRPr="000773EF" w:rsidR="0026148C">
        <w:rPr>
          <w:szCs w:val="26"/>
          <w:shd w:val="clear" w:color="auto" w:fill="FFFFFF"/>
        </w:rPr>
        <w:t>2021 Cal.P.U.C. Lexis 278</w:t>
      </w:r>
      <w:r w:rsidRPr="000773EF">
        <w:rPr>
          <w:szCs w:val="26"/>
        </w:rPr>
        <w:t xml:space="preserve"> at p. *68 [PUC “does not have jurisdiction to award damages to utility customers”].)  Gantner is also correct that our proposed holding might limit the ability of some customers harmed by PSPS events to seek compensation.  But </w:t>
      </w:r>
      <w:r w:rsidRPr="000773EF" w:rsidR="00476C22">
        <w:rPr>
          <w:szCs w:val="26"/>
        </w:rPr>
        <w:t xml:space="preserve">the possibility that some customers might not receive compensation for harms resulting from PSPS events is a result of the Legislature’s decision to adopt section 1759, which limits actions that interfere with PUC supervision despite the PUC’s inability to offer compensatory relief for utility negligence.  </w:t>
      </w:r>
      <w:r w:rsidRPr="000773EF">
        <w:rPr>
          <w:szCs w:val="26"/>
        </w:rPr>
        <w:t>Gantner’s argument that no claim seeking damages based on past negligence could ever</w:t>
      </w:r>
      <w:r w:rsidRPr="000773EF">
        <w:rPr>
          <w:i/>
          <w:iCs/>
          <w:szCs w:val="26"/>
        </w:rPr>
        <w:t xml:space="preserve"> </w:t>
      </w:r>
      <w:r w:rsidRPr="000773EF">
        <w:rPr>
          <w:szCs w:val="26"/>
        </w:rPr>
        <w:t xml:space="preserve">be </w:t>
      </w:r>
      <w:r w:rsidRPr="000773EF" w:rsidR="0057046B">
        <w:rPr>
          <w:szCs w:val="26"/>
        </w:rPr>
        <w:t>barred</w:t>
      </w:r>
      <w:r w:rsidRPr="000773EF">
        <w:rPr>
          <w:szCs w:val="26"/>
        </w:rPr>
        <w:t xml:space="preserve"> by section 1759 is unsupported by our precedent.  (See, e.g., </w:t>
      </w:r>
      <w:r w:rsidRPr="000773EF">
        <w:rPr>
          <w:i/>
          <w:iCs/>
          <w:szCs w:val="26"/>
        </w:rPr>
        <w:t>Waters</w:t>
      </w:r>
      <w:r w:rsidRPr="000773EF">
        <w:rPr>
          <w:szCs w:val="26"/>
        </w:rPr>
        <w:t xml:space="preserve">, </w:t>
      </w:r>
      <w:r w:rsidRPr="000773EF">
        <w:rPr>
          <w:i/>
          <w:iCs/>
          <w:szCs w:val="26"/>
        </w:rPr>
        <w:t>supra</w:t>
      </w:r>
      <w:r w:rsidRPr="000773EF">
        <w:rPr>
          <w:szCs w:val="26"/>
        </w:rPr>
        <w:t xml:space="preserve">, 12 Cal.3d at p. 10 [§ 1759 </w:t>
      </w:r>
      <w:r w:rsidRPr="000773EF" w:rsidR="0057046B">
        <w:rPr>
          <w:szCs w:val="26"/>
        </w:rPr>
        <w:t>barred</w:t>
      </w:r>
      <w:r w:rsidRPr="000773EF">
        <w:rPr>
          <w:szCs w:val="26"/>
        </w:rPr>
        <w:t xml:space="preserve"> claim seeking damages for telephone utility’s past negligence]; </w:t>
      </w:r>
      <w:r w:rsidRPr="000773EF">
        <w:rPr>
          <w:i/>
          <w:iCs/>
          <w:szCs w:val="26"/>
        </w:rPr>
        <w:t>Covalt</w:t>
      </w:r>
      <w:r w:rsidRPr="000773EF">
        <w:rPr>
          <w:szCs w:val="26"/>
        </w:rPr>
        <w:t>,</w:t>
      </w:r>
      <w:r w:rsidRPr="000773EF">
        <w:rPr>
          <w:i/>
          <w:iCs/>
          <w:szCs w:val="26"/>
        </w:rPr>
        <w:t xml:space="preserve"> supra</w:t>
      </w:r>
      <w:r w:rsidRPr="000773EF">
        <w:rPr>
          <w:szCs w:val="26"/>
        </w:rPr>
        <w:t xml:space="preserve">, 13 Cal.4th at p. 950 [damages based on negligence of electric utility “would plainly undermine” the PUC’s policies]; </w:t>
      </w:r>
      <w:r w:rsidRPr="000773EF">
        <w:rPr>
          <w:i/>
          <w:iCs/>
          <w:szCs w:val="26"/>
        </w:rPr>
        <w:t>Hartwell</w:t>
      </w:r>
      <w:r w:rsidRPr="000773EF">
        <w:rPr>
          <w:szCs w:val="26"/>
        </w:rPr>
        <w:t xml:space="preserve">, </w:t>
      </w:r>
      <w:r w:rsidRPr="000773EF">
        <w:rPr>
          <w:i/>
          <w:iCs/>
          <w:szCs w:val="26"/>
        </w:rPr>
        <w:t>supra</w:t>
      </w:r>
      <w:r w:rsidRPr="000773EF">
        <w:rPr>
          <w:szCs w:val="26"/>
        </w:rPr>
        <w:t xml:space="preserve">, 27 Cal.4th at p. 276 [§ 1759 </w:t>
      </w:r>
      <w:r w:rsidRPr="000773EF" w:rsidR="0057046B">
        <w:rPr>
          <w:szCs w:val="26"/>
        </w:rPr>
        <w:t>barred</w:t>
      </w:r>
      <w:r w:rsidRPr="000773EF">
        <w:rPr>
          <w:szCs w:val="26"/>
        </w:rPr>
        <w:t xml:space="preserve"> claim for damages based on utilities’ past provision of allegedly unhealthy drinking water].) </w:t>
      </w:r>
      <w:r w:rsidRPr="000773EF" w:rsidR="00791A08">
        <w:rPr>
          <w:szCs w:val="26"/>
        </w:rPr>
        <w:t xml:space="preserve"> </w:t>
      </w:r>
      <w:r w:rsidRPr="000773EF" w:rsidR="00F467AD">
        <w:rPr>
          <w:szCs w:val="26"/>
        </w:rPr>
        <w:t>To the extent that customers are left without recourse to seek compensation for the alleged negligence of utilities or the loss of power during PSPS events, such concerns are properly directed to the Legislature.</w:t>
      </w:r>
    </w:p>
    <w:p w:rsidR="002B2358" w:rsidRPr="000773EF" w:rsidP="00BC7683" w14:paraId="4FB03EE7" w14:textId="77777777">
      <w:pPr>
        <w:ind w:firstLine="720"/>
        <w:rPr>
          <w:szCs w:val="26"/>
        </w:rPr>
      </w:pPr>
      <w:r w:rsidRPr="000773EF">
        <w:rPr>
          <w:szCs w:val="26"/>
        </w:rPr>
        <w:t>B</w:t>
      </w:r>
      <w:r w:rsidRPr="000773EF" w:rsidR="00476F39">
        <w:rPr>
          <w:szCs w:val="26"/>
        </w:rPr>
        <w:t xml:space="preserve">ecause </w:t>
      </w:r>
      <w:r w:rsidRPr="000773EF" w:rsidR="00985516">
        <w:rPr>
          <w:szCs w:val="26"/>
        </w:rPr>
        <w:t xml:space="preserve">his suit </w:t>
      </w:r>
      <w:r w:rsidRPr="000773EF" w:rsidR="004257B2">
        <w:rPr>
          <w:szCs w:val="26"/>
        </w:rPr>
        <w:t>is based on allegations of negligent grid management</w:t>
      </w:r>
      <w:r w:rsidRPr="000773EF" w:rsidR="00EC2BD6">
        <w:rPr>
          <w:szCs w:val="26"/>
        </w:rPr>
        <w:t xml:space="preserve"> prohibited by PUC regulations</w:t>
      </w:r>
      <w:r w:rsidRPr="000773EF" w:rsidR="000F7BE9">
        <w:rPr>
          <w:szCs w:val="26"/>
        </w:rPr>
        <w:t>,</w:t>
      </w:r>
      <w:r w:rsidRPr="000773EF" w:rsidR="007B4768">
        <w:rPr>
          <w:szCs w:val="26"/>
        </w:rPr>
        <w:t xml:space="preserve"> </w:t>
      </w:r>
      <w:r w:rsidRPr="000773EF">
        <w:rPr>
          <w:szCs w:val="26"/>
        </w:rPr>
        <w:t xml:space="preserve">Gantner </w:t>
      </w:r>
      <w:r w:rsidRPr="000773EF" w:rsidR="00DA5622">
        <w:rPr>
          <w:szCs w:val="26"/>
        </w:rPr>
        <w:t>contends</w:t>
      </w:r>
      <w:r w:rsidRPr="000773EF">
        <w:rPr>
          <w:szCs w:val="26"/>
        </w:rPr>
        <w:t xml:space="preserve"> that </w:t>
      </w:r>
      <w:r w:rsidRPr="000773EF" w:rsidR="00EC2BD6">
        <w:rPr>
          <w:szCs w:val="26"/>
        </w:rPr>
        <w:t>this action</w:t>
      </w:r>
      <w:r w:rsidRPr="000773EF" w:rsidR="00205F3C">
        <w:rPr>
          <w:szCs w:val="26"/>
        </w:rPr>
        <w:t xml:space="preserve"> </w:t>
      </w:r>
      <w:r w:rsidRPr="000773EF" w:rsidR="008C015A">
        <w:rPr>
          <w:szCs w:val="26"/>
        </w:rPr>
        <w:t>supports</w:t>
      </w:r>
      <w:r w:rsidRPr="000773EF" w:rsidR="00205F3C">
        <w:rPr>
          <w:szCs w:val="26"/>
        </w:rPr>
        <w:t xml:space="preserve"> rather than hinders</w:t>
      </w:r>
      <w:r w:rsidRPr="000773EF" w:rsidR="008C015A">
        <w:rPr>
          <w:szCs w:val="26"/>
        </w:rPr>
        <w:t xml:space="preserve"> PUC authority</w:t>
      </w:r>
      <w:r w:rsidRPr="000773EF" w:rsidR="00476F39">
        <w:rPr>
          <w:szCs w:val="26"/>
        </w:rPr>
        <w:t>.</w:t>
      </w:r>
      <w:r w:rsidRPr="000773EF" w:rsidR="00C125A0">
        <w:rPr>
          <w:szCs w:val="26"/>
        </w:rPr>
        <w:t xml:space="preserve">  But </w:t>
      </w:r>
      <w:r w:rsidRPr="000773EF" w:rsidR="00412E60">
        <w:rPr>
          <w:szCs w:val="26"/>
        </w:rPr>
        <w:t>even if</w:t>
      </w:r>
      <w:r w:rsidRPr="000773EF" w:rsidR="004A1ACA">
        <w:rPr>
          <w:szCs w:val="26"/>
        </w:rPr>
        <w:t xml:space="preserve"> </w:t>
      </w:r>
      <w:r w:rsidRPr="000773EF" w:rsidR="00716804">
        <w:rPr>
          <w:szCs w:val="26"/>
        </w:rPr>
        <w:t>the current action</w:t>
      </w:r>
      <w:r w:rsidRPr="000773EF" w:rsidR="004A1ACA">
        <w:rPr>
          <w:szCs w:val="26"/>
        </w:rPr>
        <w:t xml:space="preserve"> might support the PUC’s supervisory role</w:t>
      </w:r>
      <w:r w:rsidRPr="000D61C0" w:rsidR="004A1ACA">
        <w:rPr>
          <w:szCs w:val="26"/>
        </w:rPr>
        <w:t xml:space="preserve"> </w:t>
      </w:r>
      <w:r w:rsidRPr="00BC7683" w:rsidR="004A1ACA">
        <w:rPr>
          <w:szCs w:val="26"/>
        </w:rPr>
        <w:t>over grid maintenance</w:t>
      </w:r>
      <w:r w:rsidRPr="000773EF" w:rsidR="004A1ACA">
        <w:rPr>
          <w:szCs w:val="26"/>
        </w:rPr>
        <w:t xml:space="preserve">, the </w:t>
      </w:r>
      <w:r w:rsidRPr="000773EF" w:rsidR="00262A81">
        <w:rPr>
          <w:szCs w:val="26"/>
        </w:rPr>
        <w:t xml:space="preserve">authority </w:t>
      </w:r>
      <w:r w:rsidRPr="000773EF" w:rsidR="00476C22">
        <w:rPr>
          <w:szCs w:val="26"/>
        </w:rPr>
        <w:t xml:space="preserve">it </w:t>
      </w:r>
      <w:r w:rsidRPr="000773EF" w:rsidR="00CF7D70">
        <w:rPr>
          <w:szCs w:val="26"/>
        </w:rPr>
        <w:t>interfere</w:t>
      </w:r>
      <w:r w:rsidRPr="000773EF" w:rsidR="00476C22">
        <w:rPr>
          <w:szCs w:val="26"/>
        </w:rPr>
        <w:t>s</w:t>
      </w:r>
      <w:r w:rsidRPr="000773EF" w:rsidR="00CF7D70">
        <w:rPr>
          <w:szCs w:val="26"/>
        </w:rPr>
        <w:t xml:space="preserve"> with</w:t>
      </w:r>
      <w:r w:rsidRPr="000773EF" w:rsidR="00262A81">
        <w:rPr>
          <w:szCs w:val="26"/>
        </w:rPr>
        <w:t xml:space="preserve"> relates to</w:t>
      </w:r>
      <w:r w:rsidRPr="000773EF" w:rsidR="00177852">
        <w:rPr>
          <w:szCs w:val="26"/>
        </w:rPr>
        <w:t xml:space="preserve"> the PUC’s supervision of</w:t>
      </w:r>
      <w:r w:rsidRPr="000773EF" w:rsidR="00262A81">
        <w:rPr>
          <w:szCs w:val="26"/>
        </w:rPr>
        <w:t xml:space="preserve"> PSPS. </w:t>
      </w:r>
      <w:r w:rsidRPr="000773EF" w:rsidR="00716804">
        <w:rPr>
          <w:szCs w:val="26"/>
        </w:rPr>
        <w:t xml:space="preserve"> </w:t>
      </w:r>
      <w:r w:rsidRPr="000773EF" w:rsidR="00177852">
        <w:rPr>
          <w:szCs w:val="26"/>
        </w:rPr>
        <w:t>Gantner is correct that imposing liability can alter a defendant’s behavior, and i</w:t>
      </w:r>
      <w:r w:rsidRPr="000773EF" w:rsidR="00165D15">
        <w:rPr>
          <w:szCs w:val="26"/>
        </w:rPr>
        <w:t xml:space="preserve">f this suit were allowed to proceed, Gantner may be right that </w:t>
      </w:r>
      <w:r w:rsidRPr="000773EF" w:rsidR="00DC6E46">
        <w:rPr>
          <w:szCs w:val="26"/>
        </w:rPr>
        <w:t xml:space="preserve">it would “incentivize[] PG&amp;E to provide safe and reliable electricity to its customers.”  </w:t>
      </w:r>
      <w:r w:rsidRPr="000773EF" w:rsidR="007D49C3">
        <w:rPr>
          <w:szCs w:val="26"/>
        </w:rPr>
        <w:t xml:space="preserve">But </w:t>
      </w:r>
      <w:r w:rsidRPr="000773EF" w:rsidR="00427B56">
        <w:rPr>
          <w:szCs w:val="26"/>
        </w:rPr>
        <w:t>Gantner did not</w:t>
      </w:r>
      <w:r w:rsidRPr="000773EF" w:rsidR="007D49C3">
        <w:rPr>
          <w:szCs w:val="26"/>
        </w:rPr>
        <w:t xml:space="preserve"> file</w:t>
      </w:r>
      <w:r w:rsidRPr="000773EF" w:rsidR="000C1B7E">
        <w:rPr>
          <w:szCs w:val="26"/>
        </w:rPr>
        <w:t xml:space="preserve"> suit based on harm </w:t>
      </w:r>
      <w:r w:rsidRPr="000773EF" w:rsidR="00DC6C53">
        <w:rPr>
          <w:szCs w:val="26"/>
        </w:rPr>
        <w:t>resulting directly</w:t>
      </w:r>
      <w:r w:rsidRPr="000773EF" w:rsidR="000C1B7E">
        <w:rPr>
          <w:szCs w:val="26"/>
        </w:rPr>
        <w:t xml:space="preserve"> </w:t>
      </w:r>
      <w:r w:rsidRPr="000773EF" w:rsidR="00DC6C53">
        <w:rPr>
          <w:szCs w:val="26"/>
        </w:rPr>
        <w:t>from</w:t>
      </w:r>
      <w:r w:rsidRPr="000773EF" w:rsidR="000C1B7E">
        <w:rPr>
          <w:szCs w:val="26"/>
        </w:rPr>
        <w:t xml:space="preserve"> underlying negligence in grid maintenance, </w:t>
      </w:r>
      <w:r w:rsidRPr="000773EF" w:rsidR="00427B56">
        <w:rPr>
          <w:szCs w:val="26"/>
        </w:rPr>
        <w:t xml:space="preserve">and he did not seek an administrative remedy through the PUC to </w:t>
      </w:r>
      <w:r w:rsidRPr="000773EF" w:rsidR="00D07AE4">
        <w:rPr>
          <w:szCs w:val="26"/>
        </w:rPr>
        <w:t>compel</w:t>
      </w:r>
      <w:r w:rsidRPr="000773EF" w:rsidR="00194079">
        <w:rPr>
          <w:szCs w:val="26"/>
        </w:rPr>
        <w:t xml:space="preserve"> PG&amp;E’s compliance with </w:t>
      </w:r>
      <w:r w:rsidRPr="000773EF" w:rsidR="00AB17CF">
        <w:rPr>
          <w:szCs w:val="26"/>
        </w:rPr>
        <w:t>maintenance regulations.</w:t>
      </w:r>
      <w:r w:rsidRPr="000773EF" w:rsidR="00194079">
        <w:rPr>
          <w:szCs w:val="26"/>
        </w:rPr>
        <w:t xml:space="preserve"> </w:t>
      </w:r>
      <w:r w:rsidRPr="000773EF" w:rsidR="00AB17CF">
        <w:rPr>
          <w:szCs w:val="26"/>
        </w:rPr>
        <w:t xml:space="preserve"> </w:t>
      </w:r>
      <w:r w:rsidRPr="000773EF" w:rsidR="005E6E03">
        <w:rPr>
          <w:szCs w:val="26"/>
        </w:rPr>
        <w:t xml:space="preserve">Rather, </w:t>
      </w:r>
      <w:r w:rsidRPr="000773EF" w:rsidR="000C1B7E">
        <w:rPr>
          <w:szCs w:val="26"/>
        </w:rPr>
        <w:t xml:space="preserve">Gantner </w:t>
      </w:r>
      <w:r w:rsidRPr="000773EF" w:rsidR="0069717E">
        <w:rPr>
          <w:szCs w:val="26"/>
        </w:rPr>
        <w:t>filed</w:t>
      </w:r>
      <w:r w:rsidRPr="000773EF" w:rsidR="005E6E03">
        <w:rPr>
          <w:szCs w:val="26"/>
        </w:rPr>
        <w:t xml:space="preserve"> </w:t>
      </w:r>
      <w:r w:rsidRPr="000773EF" w:rsidR="0069717E">
        <w:rPr>
          <w:szCs w:val="26"/>
        </w:rPr>
        <w:t>suit</w:t>
      </w:r>
      <w:r w:rsidRPr="000773EF" w:rsidR="005E6E03">
        <w:rPr>
          <w:szCs w:val="26"/>
        </w:rPr>
        <w:t xml:space="preserve"> for alleged harms that </w:t>
      </w:r>
      <w:r w:rsidRPr="000773EF" w:rsidR="00725D51">
        <w:rPr>
          <w:szCs w:val="26"/>
        </w:rPr>
        <w:t xml:space="preserve">resulted </w:t>
      </w:r>
      <w:r w:rsidRPr="000773EF" w:rsidR="000C1B7E">
        <w:rPr>
          <w:szCs w:val="26"/>
        </w:rPr>
        <w:t xml:space="preserve">directly and exclusively </w:t>
      </w:r>
      <w:r w:rsidRPr="000773EF" w:rsidR="005E6E03">
        <w:rPr>
          <w:szCs w:val="26"/>
        </w:rPr>
        <w:t xml:space="preserve">from </w:t>
      </w:r>
      <w:r w:rsidRPr="000773EF" w:rsidR="000C1B7E">
        <w:rPr>
          <w:szCs w:val="26"/>
        </w:rPr>
        <w:t>PSPS events</w:t>
      </w:r>
      <w:r w:rsidRPr="000773EF" w:rsidR="0050751F">
        <w:rPr>
          <w:szCs w:val="26"/>
        </w:rPr>
        <w:t xml:space="preserve">.  </w:t>
      </w:r>
      <w:r w:rsidRPr="000773EF" w:rsidR="00476C22">
        <w:rPr>
          <w:szCs w:val="26"/>
        </w:rPr>
        <w:t>As noted, b</w:t>
      </w:r>
      <w:r w:rsidRPr="000773EF" w:rsidR="009362BD">
        <w:rPr>
          <w:szCs w:val="26"/>
        </w:rPr>
        <w:t>ecause t</w:t>
      </w:r>
      <w:r w:rsidRPr="000773EF" w:rsidR="00BF1C31">
        <w:rPr>
          <w:szCs w:val="26"/>
        </w:rPr>
        <w:t xml:space="preserve">he </w:t>
      </w:r>
      <w:r w:rsidRPr="000773EF" w:rsidR="00FD31B1">
        <w:rPr>
          <w:szCs w:val="26"/>
        </w:rPr>
        <w:t>action</w:t>
      </w:r>
      <w:r w:rsidRPr="000773EF" w:rsidR="00555686">
        <w:rPr>
          <w:szCs w:val="26"/>
        </w:rPr>
        <w:t xml:space="preserve"> </w:t>
      </w:r>
      <w:r w:rsidRPr="000773EF" w:rsidR="001568E1">
        <w:rPr>
          <w:szCs w:val="26"/>
        </w:rPr>
        <w:t>heightens the risk that a utility’s PSPS decision</w:t>
      </w:r>
      <w:r w:rsidR="00C72B96">
        <w:rPr>
          <w:szCs w:val="26"/>
        </w:rPr>
        <w:t>-</w:t>
      </w:r>
      <w:r w:rsidRPr="000773EF" w:rsidR="001568E1">
        <w:rPr>
          <w:szCs w:val="26"/>
        </w:rPr>
        <w:t>making may be influenced by</w:t>
      </w:r>
      <w:r w:rsidRPr="000773EF" w:rsidR="009E2689">
        <w:rPr>
          <w:szCs w:val="26"/>
        </w:rPr>
        <w:t xml:space="preserve"> considerations</w:t>
      </w:r>
      <w:r w:rsidRPr="000773EF" w:rsidR="00FD31B1">
        <w:rPr>
          <w:szCs w:val="26"/>
        </w:rPr>
        <w:t xml:space="preserve"> </w:t>
      </w:r>
      <w:r w:rsidRPr="000773EF" w:rsidR="00864B1C">
        <w:rPr>
          <w:szCs w:val="26"/>
        </w:rPr>
        <w:t>outside</w:t>
      </w:r>
      <w:r w:rsidRPr="000773EF" w:rsidR="00555686">
        <w:rPr>
          <w:szCs w:val="26"/>
        </w:rPr>
        <w:t xml:space="preserve"> </w:t>
      </w:r>
      <w:r w:rsidRPr="000773EF" w:rsidR="00E10736">
        <w:rPr>
          <w:szCs w:val="26"/>
        </w:rPr>
        <w:t xml:space="preserve">the scope of </w:t>
      </w:r>
      <w:r w:rsidRPr="000773EF" w:rsidR="00FD31B1">
        <w:rPr>
          <w:szCs w:val="26"/>
        </w:rPr>
        <w:t xml:space="preserve">the cost-benefit analysis set forth by </w:t>
      </w:r>
      <w:r w:rsidRPr="000773EF" w:rsidR="00476C22">
        <w:rPr>
          <w:szCs w:val="26"/>
        </w:rPr>
        <w:t xml:space="preserve">the </w:t>
      </w:r>
      <w:r w:rsidRPr="000773EF" w:rsidR="00FD31B1">
        <w:rPr>
          <w:szCs w:val="26"/>
        </w:rPr>
        <w:t>PUC</w:t>
      </w:r>
      <w:r w:rsidRPr="000773EF" w:rsidR="00476C22">
        <w:rPr>
          <w:szCs w:val="26"/>
        </w:rPr>
        <w:t>, it works at cross</w:t>
      </w:r>
      <w:r w:rsidR="00B04795">
        <w:rPr>
          <w:szCs w:val="26"/>
        </w:rPr>
        <w:t>-</w:t>
      </w:r>
      <w:r w:rsidRPr="000773EF" w:rsidR="00476C22">
        <w:rPr>
          <w:szCs w:val="26"/>
        </w:rPr>
        <w:t>purposes with the PUC’s</w:t>
      </w:r>
      <w:r w:rsidRPr="000773EF" w:rsidR="00FD31B1">
        <w:rPr>
          <w:szCs w:val="26"/>
        </w:rPr>
        <w:t xml:space="preserve"> regulation, supervision, and guidelines</w:t>
      </w:r>
      <w:r w:rsidRPr="000773EF" w:rsidR="009362BD">
        <w:rPr>
          <w:szCs w:val="26"/>
        </w:rPr>
        <w:t xml:space="preserve">, </w:t>
      </w:r>
      <w:r w:rsidRPr="000773EF" w:rsidR="00476C22">
        <w:rPr>
          <w:szCs w:val="26"/>
        </w:rPr>
        <w:t xml:space="preserve">and thus </w:t>
      </w:r>
      <w:r w:rsidRPr="000773EF" w:rsidR="00FD31B1">
        <w:rPr>
          <w:szCs w:val="26"/>
        </w:rPr>
        <w:t>section 1759 bars this suit.</w:t>
      </w:r>
    </w:p>
    <w:p w:rsidR="0085583A" w:rsidRPr="000773EF" w:rsidP="00BC7683" w14:paraId="4FB03EE8" w14:textId="77777777">
      <w:pPr>
        <w:ind w:firstLine="720"/>
        <w:rPr>
          <w:szCs w:val="26"/>
        </w:rPr>
      </w:pPr>
      <w:r>
        <w:rPr>
          <w:szCs w:val="26"/>
        </w:rPr>
        <w:t>As noted, t</w:t>
      </w:r>
      <w:r w:rsidRPr="000773EF" w:rsidR="00B047A1">
        <w:rPr>
          <w:szCs w:val="26"/>
        </w:rPr>
        <w:t xml:space="preserve">oday’s decision </w:t>
      </w:r>
      <w:r w:rsidRPr="000773EF" w:rsidR="008D0F7B">
        <w:rPr>
          <w:szCs w:val="26"/>
        </w:rPr>
        <w:t xml:space="preserve">does not </w:t>
      </w:r>
      <w:r w:rsidRPr="000773EF" w:rsidR="00B047A1">
        <w:rPr>
          <w:szCs w:val="26"/>
        </w:rPr>
        <w:t xml:space="preserve">foreclose the possibility of a narrowly tailored suit </w:t>
      </w:r>
      <w:r w:rsidRPr="000773EF" w:rsidR="00D71243">
        <w:rPr>
          <w:szCs w:val="26"/>
        </w:rPr>
        <w:t xml:space="preserve">based </w:t>
      </w:r>
      <w:r w:rsidRPr="000773EF" w:rsidR="00B047A1">
        <w:rPr>
          <w:szCs w:val="26"/>
        </w:rPr>
        <w:t xml:space="preserve">on </w:t>
      </w:r>
      <w:r w:rsidRPr="000773EF" w:rsidR="005A5ED1">
        <w:rPr>
          <w:szCs w:val="26"/>
        </w:rPr>
        <w:t xml:space="preserve">allegations that a utility </w:t>
      </w:r>
      <w:r w:rsidRPr="000773EF" w:rsidR="008C1F36">
        <w:rPr>
          <w:szCs w:val="26"/>
        </w:rPr>
        <w:t>acted negligen</w:t>
      </w:r>
      <w:r w:rsidRPr="000773EF" w:rsidR="00D75082">
        <w:rPr>
          <w:szCs w:val="26"/>
        </w:rPr>
        <w:t>tly</w:t>
      </w:r>
      <w:r w:rsidRPr="000773EF" w:rsidR="008C1F36">
        <w:rPr>
          <w:szCs w:val="26"/>
        </w:rPr>
        <w:t xml:space="preserve"> and in violation of PUC guidelines in </w:t>
      </w:r>
      <w:r w:rsidRPr="000773EF" w:rsidR="00910FFC">
        <w:rPr>
          <w:szCs w:val="26"/>
        </w:rPr>
        <w:t>its decision to implement</w:t>
      </w:r>
      <w:r w:rsidRPr="000773EF" w:rsidR="00A46807">
        <w:rPr>
          <w:szCs w:val="26"/>
        </w:rPr>
        <w:t xml:space="preserve"> </w:t>
      </w:r>
      <w:r w:rsidRPr="000773EF" w:rsidR="00CA2510">
        <w:rPr>
          <w:szCs w:val="26"/>
        </w:rPr>
        <w:t xml:space="preserve">PSPS events </w:t>
      </w:r>
      <w:r w:rsidRPr="000773EF" w:rsidR="00A46807">
        <w:rPr>
          <w:szCs w:val="26"/>
        </w:rPr>
        <w:t xml:space="preserve">or the implementation </w:t>
      </w:r>
      <w:r w:rsidRPr="000773EF" w:rsidR="00CA2510">
        <w:rPr>
          <w:szCs w:val="26"/>
        </w:rPr>
        <w:t>of those</w:t>
      </w:r>
      <w:r w:rsidRPr="000773EF" w:rsidR="00910FFC">
        <w:rPr>
          <w:szCs w:val="26"/>
        </w:rPr>
        <w:t xml:space="preserve"> events</w:t>
      </w:r>
      <w:r w:rsidRPr="000773EF" w:rsidR="00CA2510">
        <w:rPr>
          <w:szCs w:val="26"/>
        </w:rPr>
        <w:t>.</w:t>
      </w:r>
      <w:r w:rsidRPr="000773EF" w:rsidR="00D71243">
        <w:rPr>
          <w:szCs w:val="26"/>
        </w:rPr>
        <w:t xml:space="preserve">  </w:t>
      </w:r>
      <w:r w:rsidRPr="000773EF" w:rsidR="002B2358">
        <w:rPr>
          <w:szCs w:val="26"/>
        </w:rPr>
        <w:t>W</w:t>
      </w:r>
      <w:r w:rsidRPr="000773EF" w:rsidR="00D71243">
        <w:rPr>
          <w:szCs w:val="26"/>
        </w:rPr>
        <w:t xml:space="preserve">e </w:t>
      </w:r>
      <w:r w:rsidRPr="000773EF" w:rsidR="002B2358">
        <w:rPr>
          <w:szCs w:val="26"/>
        </w:rPr>
        <w:t xml:space="preserve">also </w:t>
      </w:r>
      <w:r w:rsidRPr="000773EF" w:rsidR="00D71243">
        <w:rPr>
          <w:szCs w:val="26"/>
        </w:rPr>
        <w:t xml:space="preserve">decline to address whether a </w:t>
      </w:r>
      <w:r w:rsidR="00F0799B">
        <w:rPr>
          <w:szCs w:val="26"/>
        </w:rPr>
        <w:t xml:space="preserve">negligent </w:t>
      </w:r>
      <w:r w:rsidR="00D50A3A">
        <w:rPr>
          <w:szCs w:val="26"/>
        </w:rPr>
        <w:t xml:space="preserve">grid </w:t>
      </w:r>
      <w:r w:rsidR="00F0799B">
        <w:rPr>
          <w:szCs w:val="26"/>
        </w:rPr>
        <w:t xml:space="preserve">maintenance </w:t>
      </w:r>
      <w:r w:rsidRPr="000773EF" w:rsidR="00D71243">
        <w:rPr>
          <w:szCs w:val="26"/>
        </w:rPr>
        <w:t>suit could proceed on a narrow</w:t>
      </w:r>
      <w:r w:rsidR="0083515D">
        <w:rPr>
          <w:szCs w:val="26"/>
        </w:rPr>
        <w:t xml:space="preserve"> </w:t>
      </w:r>
      <w:r w:rsidRPr="000773EF" w:rsidR="00D71243">
        <w:rPr>
          <w:szCs w:val="26"/>
        </w:rPr>
        <w:t xml:space="preserve">claim for </w:t>
      </w:r>
      <w:r w:rsidR="004D1DB9">
        <w:rPr>
          <w:szCs w:val="26"/>
        </w:rPr>
        <w:t xml:space="preserve">damages or </w:t>
      </w:r>
      <w:r w:rsidRPr="000773EF" w:rsidR="00D71243">
        <w:rPr>
          <w:szCs w:val="26"/>
        </w:rPr>
        <w:t xml:space="preserve">injunctive relief that </w:t>
      </w:r>
      <w:r>
        <w:rPr>
          <w:szCs w:val="26"/>
        </w:rPr>
        <w:t>is</w:t>
      </w:r>
      <w:r w:rsidRPr="000773EF" w:rsidR="00D71243">
        <w:rPr>
          <w:szCs w:val="26"/>
        </w:rPr>
        <w:t xml:space="preserve"> properly tailored to avoid conflict with any Commission regulations over PSPS and wildfire safety.  </w:t>
      </w:r>
      <w:r w:rsidRPr="000773EF" w:rsidR="007F7E54">
        <w:rPr>
          <w:szCs w:val="26"/>
        </w:rPr>
        <w:t xml:space="preserve">Because </w:t>
      </w:r>
      <w:r w:rsidRPr="000773EF" w:rsidR="00910FFC">
        <w:rPr>
          <w:szCs w:val="26"/>
        </w:rPr>
        <w:t xml:space="preserve">Gantner’s complaint does not raise </w:t>
      </w:r>
      <w:r w:rsidRPr="000773EF" w:rsidR="002B2358">
        <w:rPr>
          <w:szCs w:val="26"/>
        </w:rPr>
        <w:t>such</w:t>
      </w:r>
      <w:r w:rsidRPr="000773EF" w:rsidR="00910FFC">
        <w:rPr>
          <w:szCs w:val="26"/>
        </w:rPr>
        <w:t xml:space="preserve"> claim</w:t>
      </w:r>
      <w:r w:rsidRPr="000773EF" w:rsidR="00D71243">
        <w:rPr>
          <w:szCs w:val="26"/>
        </w:rPr>
        <w:t>s</w:t>
      </w:r>
      <w:r w:rsidRPr="000773EF" w:rsidR="007F7E54">
        <w:rPr>
          <w:szCs w:val="26"/>
        </w:rPr>
        <w:t xml:space="preserve">, we need not decide whether </w:t>
      </w:r>
      <w:r w:rsidRPr="000773EF" w:rsidR="008258AD">
        <w:rPr>
          <w:szCs w:val="26"/>
        </w:rPr>
        <w:t>they</w:t>
      </w:r>
      <w:r w:rsidRPr="000773EF" w:rsidR="007F7E54">
        <w:rPr>
          <w:szCs w:val="26"/>
        </w:rPr>
        <w:t xml:space="preserve"> would be barred by section 1759.</w:t>
      </w:r>
    </w:p>
    <w:p w:rsidR="0066325B" w:rsidRPr="000773EF" w:rsidP="00BC7683" w14:paraId="4FB03EE9" w14:textId="77777777">
      <w:pPr>
        <w:ind w:firstLine="720"/>
        <w:rPr>
          <w:szCs w:val="26"/>
        </w:rPr>
      </w:pPr>
      <w:r w:rsidRPr="000773EF">
        <w:rPr>
          <w:szCs w:val="26"/>
        </w:rPr>
        <w:t xml:space="preserve">Gantner also argues that regardless of the PUC’s regulation of PSPS at the time of </w:t>
      </w:r>
      <w:r w:rsidRPr="000773EF" w:rsidR="00F54309">
        <w:rPr>
          <w:szCs w:val="26"/>
        </w:rPr>
        <w:t xml:space="preserve">the </w:t>
      </w:r>
      <w:r w:rsidRPr="000773EF">
        <w:rPr>
          <w:szCs w:val="26"/>
        </w:rPr>
        <w:t>fall 2019 PSPS events, subsequent legislation transfer</w:t>
      </w:r>
      <w:r w:rsidRPr="000773EF" w:rsidR="00400CA7">
        <w:rPr>
          <w:szCs w:val="26"/>
        </w:rPr>
        <w:t>ring</w:t>
      </w:r>
      <w:r w:rsidRPr="000773EF">
        <w:rPr>
          <w:szCs w:val="26"/>
        </w:rPr>
        <w:t xml:space="preserve"> </w:t>
      </w:r>
      <w:r w:rsidRPr="000773EF" w:rsidR="00802393">
        <w:rPr>
          <w:szCs w:val="26"/>
        </w:rPr>
        <w:t xml:space="preserve">PSPS </w:t>
      </w:r>
      <w:r w:rsidRPr="000773EF" w:rsidR="000C24AD">
        <w:rPr>
          <w:szCs w:val="26"/>
        </w:rPr>
        <w:t>supervisory authority</w:t>
      </w:r>
      <w:r w:rsidRPr="000773EF">
        <w:rPr>
          <w:szCs w:val="26"/>
        </w:rPr>
        <w:t xml:space="preserve"> to </w:t>
      </w:r>
      <w:r w:rsidRPr="000773EF" w:rsidR="000C24AD">
        <w:rPr>
          <w:szCs w:val="26"/>
        </w:rPr>
        <w:t>OEIS</w:t>
      </w:r>
      <w:r w:rsidRPr="000773EF" w:rsidR="00B6764E">
        <w:rPr>
          <w:szCs w:val="26"/>
        </w:rPr>
        <w:t xml:space="preserve"> </w:t>
      </w:r>
      <w:r w:rsidRPr="000773EF" w:rsidR="00A04162">
        <w:rPr>
          <w:szCs w:val="26"/>
        </w:rPr>
        <w:t xml:space="preserve">means the </w:t>
      </w:r>
      <w:r w:rsidRPr="000773EF" w:rsidR="00400CA7">
        <w:rPr>
          <w:szCs w:val="26"/>
        </w:rPr>
        <w:t xml:space="preserve">PUC </w:t>
      </w:r>
      <w:r w:rsidRPr="000773EF" w:rsidR="00A04162">
        <w:rPr>
          <w:szCs w:val="26"/>
        </w:rPr>
        <w:t xml:space="preserve">no longer </w:t>
      </w:r>
      <w:r w:rsidRPr="000773EF" w:rsidR="00802393">
        <w:rPr>
          <w:szCs w:val="26"/>
        </w:rPr>
        <w:t>possesses</w:t>
      </w:r>
      <w:r w:rsidRPr="000773EF" w:rsidR="00400CA7">
        <w:rPr>
          <w:szCs w:val="26"/>
        </w:rPr>
        <w:t xml:space="preserve"> </w:t>
      </w:r>
      <w:r w:rsidRPr="000773EF" w:rsidR="00133B9B">
        <w:rPr>
          <w:szCs w:val="26"/>
        </w:rPr>
        <w:t xml:space="preserve">any </w:t>
      </w:r>
      <w:r w:rsidRPr="000773EF" w:rsidR="00400CA7">
        <w:rPr>
          <w:szCs w:val="26"/>
        </w:rPr>
        <w:t>authority with which his suit could interfere.</w:t>
      </w:r>
      <w:r w:rsidRPr="000773EF" w:rsidR="000C24AD">
        <w:rPr>
          <w:szCs w:val="26"/>
        </w:rPr>
        <w:t xml:space="preserve">  </w:t>
      </w:r>
      <w:r w:rsidRPr="000773EF" w:rsidR="005614EC">
        <w:rPr>
          <w:szCs w:val="26"/>
        </w:rPr>
        <w:t>It is true</w:t>
      </w:r>
      <w:r w:rsidRPr="000773EF">
        <w:rPr>
          <w:szCs w:val="26"/>
        </w:rPr>
        <w:t xml:space="preserve"> that OEIS </w:t>
      </w:r>
      <w:r w:rsidRPr="000773EF" w:rsidR="00E71078">
        <w:rPr>
          <w:szCs w:val="26"/>
        </w:rPr>
        <w:t xml:space="preserve">now </w:t>
      </w:r>
      <w:r w:rsidRPr="000773EF">
        <w:rPr>
          <w:szCs w:val="26"/>
        </w:rPr>
        <w:t>has “</w:t>
      </w:r>
      <w:r w:rsidRPr="000773EF" w:rsidR="00EB59F9">
        <w:rPr>
          <w:szCs w:val="26"/>
        </w:rPr>
        <w:t xml:space="preserve">all </w:t>
      </w:r>
      <w:r w:rsidR="00253AED">
        <w:rPr>
          <w:szCs w:val="26"/>
        </w:rPr>
        <w:t>functions</w:t>
      </w:r>
      <w:r w:rsidRPr="000773EF">
        <w:rPr>
          <w:szCs w:val="26"/>
        </w:rPr>
        <w:t>”</w:t>
      </w:r>
      <w:r w:rsidRPr="000773EF" w:rsidR="00EB59F9">
        <w:rPr>
          <w:szCs w:val="26"/>
        </w:rPr>
        <w:t xml:space="preserve"> of the PUC’s former Wildfire Safety Division.</w:t>
      </w:r>
      <w:r w:rsidRPr="000773EF">
        <w:rPr>
          <w:szCs w:val="26"/>
        </w:rPr>
        <w:t xml:space="preserve">  </w:t>
      </w:r>
      <w:r w:rsidRPr="000773EF" w:rsidR="00E71078">
        <w:rPr>
          <w:szCs w:val="26"/>
        </w:rPr>
        <w:t>(§ 326</w:t>
      </w:r>
      <w:r w:rsidR="000D61C0">
        <w:rPr>
          <w:szCs w:val="26"/>
        </w:rPr>
        <w:t>, subd. </w:t>
      </w:r>
      <w:r w:rsidRPr="000773EF" w:rsidR="00E71078">
        <w:rPr>
          <w:szCs w:val="26"/>
        </w:rPr>
        <w:t xml:space="preserve">(b).)  </w:t>
      </w:r>
      <w:r w:rsidRPr="000773EF" w:rsidR="005614EC">
        <w:rPr>
          <w:szCs w:val="26"/>
        </w:rPr>
        <w:t xml:space="preserve">But </w:t>
      </w:r>
      <w:r w:rsidRPr="000773EF" w:rsidR="002A214E">
        <w:rPr>
          <w:szCs w:val="26"/>
        </w:rPr>
        <w:t xml:space="preserve">PG&amp;E notes that </w:t>
      </w:r>
      <w:r w:rsidRPr="000773EF" w:rsidR="00F13A96">
        <w:rPr>
          <w:szCs w:val="26"/>
        </w:rPr>
        <w:t xml:space="preserve">the statutory transfer of authority to OEIS </w:t>
      </w:r>
      <w:r w:rsidRPr="000773EF" w:rsidR="005C39C1">
        <w:rPr>
          <w:szCs w:val="26"/>
        </w:rPr>
        <w:t xml:space="preserve">occurred “well </w:t>
      </w:r>
      <w:r w:rsidRPr="000773EF" w:rsidR="005C39C1">
        <w:rPr>
          <w:i/>
          <w:iCs/>
          <w:szCs w:val="26"/>
        </w:rPr>
        <w:t>after</w:t>
      </w:r>
      <w:r w:rsidRPr="000773EF" w:rsidR="005C39C1">
        <w:rPr>
          <w:szCs w:val="26"/>
        </w:rPr>
        <w:t xml:space="preserve"> the filing of this lawsuit and the 2019 PSPS events.”  </w:t>
      </w:r>
      <w:r w:rsidRPr="000773EF" w:rsidR="004636D4">
        <w:rPr>
          <w:szCs w:val="26"/>
        </w:rPr>
        <w:t>The parties</w:t>
      </w:r>
      <w:r w:rsidRPr="000773EF" w:rsidR="00F94EB4">
        <w:rPr>
          <w:szCs w:val="26"/>
        </w:rPr>
        <w:t xml:space="preserve"> thus appear to</w:t>
      </w:r>
      <w:r w:rsidRPr="000773EF" w:rsidR="004636D4">
        <w:rPr>
          <w:szCs w:val="26"/>
        </w:rPr>
        <w:t xml:space="preserve"> disagree on whether </w:t>
      </w:r>
      <w:r w:rsidRPr="000773EF" w:rsidR="007806B7">
        <w:rPr>
          <w:szCs w:val="26"/>
        </w:rPr>
        <w:t>section</w:t>
      </w:r>
      <w:r w:rsidRPr="000773EF" w:rsidR="001A4BDA">
        <w:rPr>
          <w:szCs w:val="26"/>
        </w:rPr>
        <w:t xml:space="preserve"> </w:t>
      </w:r>
      <w:r w:rsidRPr="000773EF" w:rsidR="004636D4">
        <w:rPr>
          <w:szCs w:val="26"/>
        </w:rPr>
        <w:t xml:space="preserve">1759 preemption can occur where a </w:t>
      </w:r>
      <w:r w:rsidRPr="000773EF" w:rsidR="007E12EB">
        <w:rPr>
          <w:szCs w:val="26"/>
        </w:rPr>
        <w:t xml:space="preserve">supervisory </w:t>
      </w:r>
      <w:r w:rsidRPr="000773EF" w:rsidR="004636D4">
        <w:rPr>
          <w:szCs w:val="26"/>
        </w:rPr>
        <w:t xml:space="preserve">program </w:t>
      </w:r>
      <w:r w:rsidRPr="000773EF" w:rsidR="004636D4">
        <w:rPr>
          <w:i/>
          <w:iCs/>
          <w:szCs w:val="26"/>
        </w:rPr>
        <w:t xml:space="preserve">was </w:t>
      </w:r>
      <w:r w:rsidRPr="000773EF" w:rsidR="004636D4">
        <w:rPr>
          <w:szCs w:val="26"/>
        </w:rPr>
        <w:t xml:space="preserve">“broad and continuing” or whether it requires a program that </w:t>
      </w:r>
      <w:r w:rsidRPr="000773EF" w:rsidR="004636D4">
        <w:rPr>
          <w:i/>
          <w:iCs/>
          <w:szCs w:val="26"/>
        </w:rPr>
        <w:t>is</w:t>
      </w:r>
      <w:r w:rsidRPr="000773EF" w:rsidR="004636D4">
        <w:rPr>
          <w:szCs w:val="26"/>
        </w:rPr>
        <w:t xml:space="preserve"> “broad and continuing.”</w:t>
      </w:r>
    </w:p>
    <w:p w:rsidR="00D409DE" w:rsidRPr="000773EF" w:rsidP="00BC7683" w14:paraId="4FB03EEA" w14:textId="77777777">
      <w:pPr>
        <w:ind w:firstLine="720"/>
        <w:rPr>
          <w:szCs w:val="26"/>
        </w:rPr>
      </w:pPr>
      <w:r w:rsidRPr="000773EF">
        <w:rPr>
          <w:szCs w:val="26"/>
        </w:rPr>
        <w:t xml:space="preserve">We need not </w:t>
      </w:r>
      <w:r w:rsidRPr="000773EF" w:rsidR="00F74592">
        <w:rPr>
          <w:szCs w:val="26"/>
        </w:rPr>
        <w:t>resolve</w:t>
      </w:r>
      <w:r w:rsidRPr="000773EF">
        <w:rPr>
          <w:szCs w:val="26"/>
        </w:rPr>
        <w:t xml:space="preserve"> this </w:t>
      </w:r>
      <w:r w:rsidRPr="000773EF" w:rsidR="00F74592">
        <w:rPr>
          <w:szCs w:val="26"/>
        </w:rPr>
        <w:t>disagreement</w:t>
      </w:r>
      <w:r w:rsidRPr="000773EF" w:rsidR="0066325B">
        <w:rPr>
          <w:szCs w:val="26"/>
        </w:rPr>
        <w:t xml:space="preserve"> because i</w:t>
      </w:r>
      <w:r w:rsidRPr="000773EF">
        <w:rPr>
          <w:szCs w:val="26"/>
        </w:rPr>
        <w:t xml:space="preserve">n any event, the PUC </w:t>
      </w:r>
      <w:r w:rsidRPr="000773EF" w:rsidR="00E10736">
        <w:rPr>
          <w:szCs w:val="26"/>
        </w:rPr>
        <w:t xml:space="preserve">retains </w:t>
      </w:r>
      <w:r w:rsidRPr="000773EF">
        <w:rPr>
          <w:szCs w:val="26"/>
        </w:rPr>
        <w:t>a supervisory and regulatory role over PSPS</w:t>
      </w:r>
      <w:r w:rsidRPr="000773EF" w:rsidR="00777F22">
        <w:rPr>
          <w:szCs w:val="26"/>
        </w:rPr>
        <w:t xml:space="preserve"> such</w:t>
      </w:r>
      <w:r w:rsidRPr="000773EF">
        <w:rPr>
          <w:szCs w:val="26"/>
        </w:rPr>
        <w:t xml:space="preserve"> that </w:t>
      </w:r>
      <w:r w:rsidRPr="000773EF" w:rsidR="0066325B">
        <w:rPr>
          <w:szCs w:val="26"/>
        </w:rPr>
        <w:t xml:space="preserve">section 1759 </w:t>
      </w:r>
      <w:r w:rsidRPr="000773EF" w:rsidR="0057046B">
        <w:rPr>
          <w:szCs w:val="26"/>
        </w:rPr>
        <w:t>bars</w:t>
      </w:r>
      <w:r w:rsidRPr="000773EF" w:rsidR="0066325B">
        <w:rPr>
          <w:szCs w:val="26"/>
        </w:rPr>
        <w:t xml:space="preserve"> the current action.  The statute transferring authority to OEIS </w:t>
      </w:r>
      <w:r w:rsidRPr="000773EF">
        <w:rPr>
          <w:szCs w:val="26"/>
        </w:rPr>
        <w:t xml:space="preserve">noted that “[n]othing in this chapter affects the </w:t>
      </w:r>
      <w:r w:rsidRPr="000773EF" w:rsidR="00275B62">
        <w:rPr>
          <w:szCs w:val="26"/>
        </w:rPr>
        <w:t>c</w:t>
      </w:r>
      <w:r w:rsidRPr="000773EF">
        <w:rPr>
          <w:szCs w:val="26"/>
        </w:rPr>
        <w:t>ommission</w:t>
      </w:r>
      <w:r w:rsidRPr="000773EF" w:rsidR="00007ECB">
        <w:rPr>
          <w:szCs w:val="26"/>
        </w:rPr>
        <w:t>’</w:t>
      </w:r>
      <w:r w:rsidRPr="000773EF">
        <w:rPr>
          <w:szCs w:val="26"/>
        </w:rPr>
        <w:t>s authority or jurisdiction over an electrical corporation, electrical cooperative, or local publicly owned electric utility.”  (</w:t>
      </w:r>
      <w:r w:rsidRPr="000773EF">
        <w:rPr>
          <w:szCs w:val="26"/>
          <w:bdr w:val="none" w:sz="0" w:space="0" w:color="auto" w:frame="1"/>
        </w:rPr>
        <w:t>§</w:t>
      </w:r>
      <w:r w:rsidRPr="000773EF" w:rsidR="002B1DDC">
        <w:rPr>
          <w:szCs w:val="26"/>
          <w:bdr w:val="none" w:sz="0" w:space="0" w:color="auto" w:frame="1"/>
        </w:rPr>
        <w:t> </w:t>
      </w:r>
      <w:r w:rsidRPr="000773EF">
        <w:rPr>
          <w:szCs w:val="26"/>
          <w:bdr w:val="none" w:sz="0" w:space="0" w:color="auto" w:frame="1"/>
        </w:rPr>
        <w:t>8385</w:t>
      </w:r>
      <w:r w:rsidRPr="000773EF">
        <w:rPr>
          <w:szCs w:val="26"/>
        </w:rPr>
        <w:t xml:space="preserve">, subd. (b).)  And the PUC has continued to exercise control over various aspects of PSPS regulation and supervision.  The PUC ratifies wildfire safety plans approved by </w:t>
      </w:r>
      <w:r w:rsidRPr="000773EF" w:rsidR="00275B62">
        <w:rPr>
          <w:szCs w:val="26"/>
        </w:rPr>
        <w:t xml:space="preserve">OEIS </w:t>
      </w:r>
      <w:r w:rsidRPr="000773EF">
        <w:rPr>
          <w:szCs w:val="26"/>
        </w:rPr>
        <w:t>(</w:t>
      </w:r>
      <w:r w:rsidRPr="000773EF" w:rsidR="00467DC8">
        <w:rPr>
          <w:szCs w:val="26"/>
        </w:rPr>
        <w:t>§ 8386.3, subd. (a)</w:t>
      </w:r>
      <w:r w:rsidRPr="000773EF">
        <w:rPr>
          <w:szCs w:val="26"/>
        </w:rPr>
        <w:t xml:space="preserve">), conducts investigations and levies penalties following PSPS events </w:t>
      </w:r>
      <w:r w:rsidRPr="000773EF" w:rsidR="00205440">
        <w:rPr>
          <w:szCs w:val="26"/>
        </w:rPr>
        <w:t xml:space="preserve">(see, e.g., </w:t>
      </w:r>
      <w:r w:rsidRPr="000773EF" w:rsidR="000A137E">
        <w:rPr>
          <w:szCs w:val="26"/>
        </w:rPr>
        <w:t>Cal.</w:t>
      </w:r>
      <w:r w:rsidRPr="000773EF" w:rsidR="00205440">
        <w:rPr>
          <w:szCs w:val="26"/>
        </w:rPr>
        <w:t>P</w:t>
      </w:r>
      <w:r w:rsidRPr="000773EF" w:rsidR="000A137E">
        <w:rPr>
          <w:szCs w:val="26"/>
        </w:rPr>
        <w:t>.</w:t>
      </w:r>
      <w:r w:rsidRPr="000773EF" w:rsidR="00205440">
        <w:rPr>
          <w:szCs w:val="26"/>
        </w:rPr>
        <w:t>U</w:t>
      </w:r>
      <w:r w:rsidRPr="000773EF" w:rsidR="000A137E">
        <w:rPr>
          <w:szCs w:val="26"/>
        </w:rPr>
        <w:t>.</w:t>
      </w:r>
      <w:r w:rsidRPr="000773EF" w:rsidR="00205440">
        <w:rPr>
          <w:szCs w:val="26"/>
        </w:rPr>
        <w:t>C</w:t>
      </w:r>
      <w:r w:rsidRPr="000773EF" w:rsidR="000A137E">
        <w:rPr>
          <w:szCs w:val="26"/>
        </w:rPr>
        <w:t>.</w:t>
      </w:r>
      <w:r w:rsidRPr="000773EF" w:rsidR="00205440">
        <w:rPr>
          <w:szCs w:val="26"/>
        </w:rPr>
        <w:t xml:space="preserve"> Dec. </w:t>
      </w:r>
      <w:r w:rsidRPr="000773EF" w:rsidR="000A137E">
        <w:rPr>
          <w:szCs w:val="26"/>
        </w:rPr>
        <w:t>No. </w:t>
      </w:r>
      <w:r w:rsidRPr="000773EF" w:rsidR="00001082">
        <w:rPr>
          <w:szCs w:val="26"/>
        </w:rPr>
        <w:t xml:space="preserve">21-09-026, </w:t>
      </w:r>
      <w:r w:rsidRPr="000773EF" w:rsidR="00001082">
        <w:rPr>
          <w:i/>
          <w:iCs/>
          <w:szCs w:val="26"/>
        </w:rPr>
        <w:t>supra</w:t>
      </w:r>
      <w:r w:rsidR="00F73C5C">
        <w:rPr>
          <w:szCs w:val="26"/>
        </w:rPr>
        <w:t>,</w:t>
      </w:r>
      <w:r w:rsidRPr="000773EF" w:rsidR="00530548">
        <w:rPr>
          <w:szCs w:val="26"/>
        </w:rPr>
        <w:t xml:space="preserve"> </w:t>
      </w:r>
      <w:r w:rsidRPr="000773EF" w:rsidR="00530548">
        <w:rPr>
          <w:szCs w:val="26"/>
          <w:shd w:val="clear" w:color="auto" w:fill="FFFFFF"/>
        </w:rPr>
        <w:t>2021 Cal.P.U.C. Lexis 480</w:t>
      </w:r>
      <w:r w:rsidRPr="000773EF" w:rsidR="00640726">
        <w:rPr>
          <w:szCs w:val="26"/>
        </w:rPr>
        <w:t xml:space="preserve"> at pp. </w:t>
      </w:r>
      <w:r w:rsidRPr="000773EF" w:rsidR="005B2F6D">
        <w:rPr>
          <w:szCs w:val="26"/>
        </w:rPr>
        <w:t>*</w:t>
      </w:r>
      <w:r w:rsidRPr="000773EF" w:rsidR="00640726">
        <w:rPr>
          <w:szCs w:val="26"/>
        </w:rPr>
        <w:t>115–</w:t>
      </w:r>
      <w:r w:rsidRPr="000773EF" w:rsidR="005B2F6D">
        <w:rPr>
          <w:szCs w:val="26"/>
        </w:rPr>
        <w:t>*</w:t>
      </w:r>
      <w:r w:rsidRPr="000773EF" w:rsidR="00640726">
        <w:rPr>
          <w:szCs w:val="26"/>
        </w:rPr>
        <w:t>116</w:t>
      </w:r>
      <w:r w:rsidRPr="000773EF" w:rsidR="00B87B89">
        <w:rPr>
          <w:szCs w:val="26"/>
        </w:rPr>
        <w:t>)</w:t>
      </w:r>
      <w:r w:rsidRPr="000773EF">
        <w:rPr>
          <w:szCs w:val="26"/>
        </w:rPr>
        <w:t xml:space="preserve">, and continues to enforce its existing PSPS guidelines and </w:t>
      </w:r>
      <w:r w:rsidRPr="000773EF" w:rsidR="00275B62">
        <w:rPr>
          <w:szCs w:val="26"/>
        </w:rPr>
        <w:t>resolutions</w:t>
      </w:r>
      <w:r w:rsidRPr="000773EF">
        <w:rPr>
          <w:szCs w:val="26"/>
        </w:rPr>
        <w:t xml:space="preserve"> (</w:t>
      </w:r>
      <w:r w:rsidRPr="000773EF" w:rsidR="009F3176">
        <w:rPr>
          <w:i/>
          <w:iCs/>
          <w:szCs w:val="26"/>
        </w:rPr>
        <w:t>id</w:t>
      </w:r>
      <w:r w:rsidRPr="000773EF" w:rsidR="00B87B89">
        <w:rPr>
          <w:i/>
          <w:iCs/>
          <w:szCs w:val="26"/>
        </w:rPr>
        <w:t xml:space="preserve">. </w:t>
      </w:r>
      <w:r w:rsidRPr="000773EF" w:rsidR="00B87B89">
        <w:rPr>
          <w:szCs w:val="26"/>
        </w:rPr>
        <w:t>at pp. </w:t>
      </w:r>
      <w:r w:rsidRPr="000773EF" w:rsidR="00397927">
        <w:rPr>
          <w:szCs w:val="26"/>
        </w:rPr>
        <w:t>*</w:t>
      </w:r>
      <w:r w:rsidRPr="000773EF" w:rsidR="00DF65A6">
        <w:rPr>
          <w:szCs w:val="26"/>
        </w:rPr>
        <w:t>109–</w:t>
      </w:r>
      <w:r w:rsidRPr="000773EF" w:rsidR="00397927">
        <w:rPr>
          <w:szCs w:val="26"/>
        </w:rPr>
        <w:t>*</w:t>
      </w:r>
      <w:r w:rsidRPr="000773EF" w:rsidR="00DF65A6">
        <w:rPr>
          <w:szCs w:val="26"/>
        </w:rPr>
        <w:t>110</w:t>
      </w:r>
      <w:r w:rsidRPr="000773EF" w:rsidR="005F1EBA">
        <w:rPr>
          <w:szCs w:val="26"/>
        </w:rPr>
        <w:t>)</w:t>
      </w:r>
      <w:r w:rsidRPr="000773EF">
        <w:rPr>
          <w:szCs w:val="26"/>
        </w:rPr>
        <w:t xml:space="preserve">.  </w:t>
      </w:r>
      <w:r w:rsidRPr="000773EF" w:rsidR="005F1EBA">
        <w:rPr>
          <w:szCs w:val="26"/>
        </w:rPr>
        <w:t>T</w:t>
      </w:r>
      <w:r w:rsidRPr="000773EF">
        <w:rPr>
          <w:szCs w:val="26"/>
        </w:rPr>
        <w:t xml:space="preserve">he statute vesting supervisory powers </w:t>
      </w:r>
      <w:r w:rsidRPr="000773EF" w:rsidR="00275B62">
        <w:rPr>
          <w:szCs w:val="26"/>
        </w:rPr>
        <w:t xml:space="preserve">over PSPS </w:t>
      </w:r>
      <w:r w:rsidRPr="000773EF">
        <w:rPr>
          <w:szCs w:val="26"/>
        </w:rPr>
        <w:t xml:space="preserve">in </w:t>
      </w:r>
      <w:r w:rsidRPr="000773EF" w:rsidR="005F1EBA">
        <w:rPr>
          <w:szCs w:val="26"/>
        </w:rPr>
        <w:t>OEIS</w:t>
      </w:r>
      <w:r w:rsidRPr="000773EF" w:rsidR="00B87B89">
        <w:rPr>
          <w:szCs w:val="26"/>
        </w:rPr>
        <w:t xml:space="preserve"> </w:t>
      </w:r>
      <w:r w:rsidRPr="000773EF">
        <w:rPr>
          <w:szCs w:val="26"/>
        </w:rPr>
        <w:t xml:space="preserve">repeatedly refers to </w:t>
      </w:r>
      <w:r w:rsidRPr="000773EF" w:rsidR="005F1EBA">
        <w:rPr>
          <w:szCs w:val="26"/>
        </w:rPr>
        <w:t>the ongoing</w:t>
      </w:r>
      <w:r w:rsidRPr="000773EF">
        <w:rPr>
          <w:szCs w:val="26"/>
        </w:rPr>
        <w:t xml:space="preserve"> legal obligation </w:t>
      </w:r>
      <w:r w:rsidRPr="000773EF" w:rsidR="005F1EBA">
        <w:rPr>
          <w:szCs w:val="26"/>
        </w:rPr>
        <w:t xml:space="preserve">of utilities </w:t>
      </w:r>
      <w:r w:rsidRPr="000773EF">
        <w:rPr>
          <w:szCs w:val="26"/>
        </w:rPr>
        <w:t xml:space="preserve">to comply with PUC orders, rules, and requirements.  (See, e.g., § 8386, subd. (c)(11) [utilities’ de-energization protocols “shall comply with any order of the commission regarding </w:t>
      </w:r>
      <w:r w:rsidRPr="000773EF" w:rsidR="005F1EBA">
        <w:rPr>
          <w:szCs w:val="26"/>
        </w:rPr>
        <w:t>deenergization</w:t>
      </w:r>
      <w:r w:rsidRPr="000773EF">
        <w:rPr>
          <w:szCs w:val="26"/>
        </w:rPr>
        <w:t xml:space="preserve"> events”]; see also </w:t>
      </w:r>
      <w:r w:rsidRPr="000773EF">
        <w:rPr>
          <w:i/>
          <w:iCs/>
          <w:szCs w:val="26"/>
        </w:rPr>
        <w:t>id</w:t>
      </w:r>
      <w:r w:rsidRPr="000773EF" w:rsidR="00FD7ABF">
        <w:rPr>
          <w:i/>
          <w:iCs/>
          <w:szCs w:val="26"/>
        </w:rPr>
        <w:t>.</w:t>
      </w:r>
      <w:r w:rsidRPr="000773EF">
        <w:rPr>
          <w:szCs w:val="26"/>
        </w:rPr>
        <w:t>, subd. (c)(7) [mandating compliance with “</w:t>
      </w:r>
      <w:r w:rsidRPr="000773EF">
        <w:rPr>
          <w:szCs w:val="26"/>
          <w:shd w:val="clear" w:color="auto" w:fill="FFFFFF"/>
        </w:rPr>
        <w:t xml:space="preserve">orders of the commission regarding notifications of </w:t>
      </w:r>
      <w:r w:rsidRPr="000773EF" w:rsidR="005F1EBA">
        <w:rPr>
          <w:szCs w:val="26"/>
          <w:shd w:val="clear" w:color="auto" w:fill="FFFFFF"/>
        </w:rPr>
        <w:t>deenergization</w:t>
      </w:r>
      <w:r w:rsidRPr="000773EF">
        <w:rPr>
          <w:szCs w:val="26"/>
          <w:shd w:val="clear" w:color="auto" w:fill="FFFFFF"/>
        </w:rPr>
        <w:t xml:space="preserve"> events”]</w:t>
      </w:r>
      <w:r w:rsidRPr="000773EF" w:rsidR="006E4BB1">
        <w:rPr>
          <w:szCs w:val="26"/>
          <w:shd w:val="clear" w:color="auto" w:fill="FFFFFF"/>
        </w:rPr>
        <w:t>;</w:t>
      </w:r>
      <w:r w:rsidRPr="000773EF">
        <w:rPr>
          <w:szCs w:val="26"/>
          <w:shd w:val="clear" w:color="auto" w:fill="FFFFFF"/>
        </w:rPr>
        <w:t xml:space="preserve"> </w:t>
      </w:r>
      <w:r w:rsidRPr="00C23F82" w:rsidR="0002216E">
        <w:rPr>
          <w:i/>
          <w:iCs/>
          <w:szCs w:val="26"/>
          <w:shd w:val="clear" w:color="auto" w:fill="FFFFFF"/>
        </w:rPr>
        <w:t>i</w:t>
      </w:r>
      <w:r w:rsidRPr="00C23F82" w:rsidR="00101E31">
        <w:rPr>
          <w:i/>
          <w:iCs/>
          <w:szCs w:val="26"/>
          <w:shd w:val="clear" w:color="auto" w:fill="FFFFFF"/>
        </w:rPr>
        <w:t>d.</w:t>
      </w:r>
      <w:r w:rsidR="0002216E">
        <w:rPr>
          <w:szCs w:val="26"/>
          <w:shd w:val="clear" w:color="auto" w:fill="FFFFFF"/>
        </w:rPr>
        <w:t>,</w:t>
      </w:r>
      <w:r w:rsidR="00101E31">
        <w:rPr>
          <w:szCs w:val="26"/>
          <w:shd w:val="clear" w:color="auto" w:fill="FFFFFF"/>
        </w:rPr>
        <w:t xml:space="preserve"> sub</w:t>
      </w:r>
      <w:r w:rsidR="0002216E">
        <w:rPr>
          <w:szCs w:val="26"/>
          <w:shd w:val="clear" w:color="auto" w:fill="FFFFFF"/>
        </w:rPr>
        <w:t>d. </w:t>
      </w:r>
      <w:r w:rsidRPr="000773EF">
        <w:rPr>
          <w:szCs w:val="26"/>
          <w:shd w:val="clear" w:color="auto" w:fill="FFFFFF"/>
        </w:rPr>
        <w:t xml:space="preserve">(c)(12), (c)(15), (c)(16), (c)(18), (c)(19)(B), (c)(21), (c)(22)(C) [all referencing PUC rules, regulations, or decisions in establishing utilities’ </w:t>
      </w:r>
      <w:r w:rsidRPr="000773EF" w:rsidR="00345551">
        <w:rPr>
          <w:szCs w:val="26"/>
          <w:shd w:val="clear" w:color="auto" w:fill="FFFFFF"/>
        </w:rPr>
        <w:t xml:space="preserve">ongoing </w:t>
      </w:r>
      <w:r w:rsidRPr="000773EF">
        <w:rPr>
          <w:szCs w:val="26"/>
          <w:shd w:val="clear" w:color="auto" w:fill="FFFFFF"/>
        </w:rPr>
        <w:t>obligations].</w:t>
      </w:r>
      <w:r w:rsidRPr="000773EF">
        <w:rPr>
          <w:szCs w:val="26"/>
        </w:rPr>
        <w:t xml:space="preserve">)  </w:t>
      </w:r>
      <w:r w:rsidRPr="000773EF" w:rsidR="005F1EBA">
        <w:rPr>
          <w:szCs w:val="26"/>
        </w:rPr>
        <w:t>Moreover,</w:t>
      </w:r>
      <w:r w:rsidRPr="000773EF">
        <w:rPr>
          <w:szCs w:val="26"/>
        </w:rPr>
        <w:t xml:space="preserve"> section 1759 preemption can occur where the PUC shares supervisory or regulatory authority with another agency.  (</w:t>
      </w:r>
      <w:r w:rsidRPr="000773EF" w:rsidR="00345551">
        <w:rPr>
          <w:szCs w:val="26"/>
        </w:rPr>
        <w:t xml:space="preserve">See </w:t>
      </w:r>
      <w:r w:rsidRPr="000773EF">
        <w:rPr>
          <w:i/>
          <w:iCs/>
          <w:szCs w:val="26"/>
        </w:rPr>
        <w:t>Hartwell</w:t>
      </w:r>
      <w:r w:rsidRPr="000773EF">
        <w:rPr>
          <w:szCs w:val="26"/>
        </w:rPr>
        <w:t xml:space="preserve">, </w:t>
      </w:r>
      <w:r w:rsidRPr="000773EF">
        <w:rPr>
          <w:i/>
          <w:iCs/>
          <w:szCs w:val="26"/>
        </w:rPr>
        <w:t>supra</w:t>
      </w:r>
      <w:r w:rsidRPr="000773EF">
        <w:rPr>
          <w:szCs w:val="26"/>
        </w:rPr>
        <w:t xml:space="preserve">, 27 Cal.4th at p. 274 [PUC “continue[d] to exercise its jurisdiction to regulate drinking water quality” despite relying on contamination standards set by the Department of Health </w:t>
      </w:r>
      <w:r w:rsidRPr="000773EF" w:rsidR="00006215">
        <w:rPr>
          <w:szCs w:val="26"/>
        </w:rPr>
        <w:t>Services</w:t>
      </w:r>
      <w:r w:rsidRPr="000773EF">
        <w:rPr>
          <w:szCs w:val="26"/>
        </w:rPr>
        <w:t xml:space="preserve">].) </w:t>
      </w:r>
    </w:p>
    <w:p w:rsidR="003A7F58" w:rsidP="00BC7683" w14:paraId="4FB03EEB" w14:textId="033EFDB2">
      <w:pPr>
        <w:shd w:val="clear" w:color="auto" w:fill="FFFFFF"/>
        <w:ind w:firstLine="720"/>
        <w:rPr>
          <w:szCs w:val="26"/>
        </w:rPr>
      </w:pPr>
      <w:r w:rsidRPr="000773EF">
        <w:rPr>
          <w:szCs w:val="26"/>
        </w:rPr>
        <w:t xml:space="preserve">Finally, we note that the PUC has submitted an amicus brief asserting that allowing Gantner’s suit would “interfere with the Commission’s broad, general, and ongoing administration of PSPS policies.”  We have previously given weight to the PUC’s views regarding section 1759 preemption.  (See </w:t>
      </w:r>
      <w:r w:rsidRPr="000773EF">
        <w:rPr>
          <w:i/>
          <w:iCs/>
          <w:szCs w:val="26"/>
          <w:bdr w:val="none" w:sz="0" w:space="0" w:color="auto" w:frame="1"/>
        </w:rPr>
        <w:t>People ex rel. Orloff v. Pacific Bell</w:t>
      </w:r>
      <w:r w:rsidRPr="000773EF">
        <w:rPr>
          <w:szCs w:val="26"/>
          <w:bdr w:val="none" w:sz="0" w:space="0" w:color="auto" w:frame="1"/>
        </w:rPr>
        <w:t xml:space="preserve"> (2003) 31 Cal.4th 1132, 1153</w:t>
      </w:r>
      <w:r w:rsidRPr="000773EF">
        <w:rPr>
          <w:szCs w:val="26"/>
        </w:rPr>
        <w:t xml:space="preserve"> [“Indeed, the PUC itself, in an amicus curiae brief filed in this court in support of the People, agrees that nothing in the present action undermines or hinders any ongoing policy, program, or other aspect of its authority</w:t>
      </w:r>
      <w:r w:rsidRPr="000773EF" w:rsidR="00F6194B">
        <w:rPr>
          <w:szCs w:val="26"/>
        </w:rPr>
        <w:t>.</w:t>
      </w:r>
      <w:r w:rsidRPr="000773EF">
        <w:rPr>
          <w:szCs w:val="26"/>
        </w:rPr>
        <w:t xml:space="preserve">”].)  At the same time, </w:t>
      </w:r>
      <w:r w:rsidRPr="000773EF">
        <w:rPr>
          <w:szCs w:val="26"/>
          <w:bdr w:val="none" w:sz="0" w:space="0" w:color="auto" w:frame="1"/>
        </w:rPr>
        <w:t>“ ‘the PUC’s interpretation is not controlling</w:t>
      </w:r>
      <w:r w:rsidR="00A602D0">
        <w:rPr>
          <w:szCs w:val="26"/>
          <w:bdr w:val="none" w:sz="0" w:space="0" w:color="auto" w:frame="1"/>
        </w:rPr>
        <w:t xml:space="preserve"> but</w:t>
      </w:r>
      <w:r w:rsidRPr="000773EF">
        <w:rPr>
          <w:szCs w:val="26"/>
          <w:bdr w:val="none" w:sz="0" w:space="0" w:color="auto" w:frame="1"/>
        </w:rPr>
        <w:t> . . . is one of “among several tools available to the court.” ’ ”</w:t>
      </w:r>
      <w:r w:rsidRPr="000773EF">
        <w:rPr>
          <w:szCs w:val="26"/>
        </w:rPr>
        <w:t xml:space="preserve">  (</w:t>
      </w:r>
      <w:r w:rsidRPr="000773EF">
        <w:rPr>
          <w:i/>
          <w:iCs/>
          <w:szCs w:val="26"/>
          <w:bdr w:val="none" w:sz="0" w:space="0" w:color="auto" w:frame="1"/>
        </w:rPr>
        <w:t>Wilson v. Southern California Edison Co.</w:t>
      </w:r>
      <w:r w:rsidRPr="000773EF">
        <w:rPr>
          <w:szCs w:val="26"/>
          <w:bdr w:val="none" w:sz="0" w:space="0" w:color="auto" w:frame="1"/>
        </w:rPr>
        <w:t xml:space="preserve"> (2015) 234 Cal.App.4th 123, 147, fn. 23</w:t>
      </w:r>
      <w:r w:rsidR="004B7083">
        <w:rPr>
          <w:szCs w:val="26"/>
          <w:bdr w:val="none" w:sz="0" w:space="0" w:color="auto" w:frame="1"/>
        </w:rPr>
        <w:t>; see</w:t>
      </w:r>
      <w:r w:rsidR="00112391">
        <w:rPr>
          <w:szCs w:val="26"/>
          <w:bdr w:val="none" w:sz="0" w:space="0" w:color="auto" w:frame="1"/>
        </w:rPr>
        <w:t xml:space="preserve"> also</w:t>
      </w:r>
      <w:r w:rsidR="004B7083">
        <w:rPr>
          <w:szCs w:val="26"/>
          <w:bdr w:val="none" w:sz="0" w:space="0" w:color="auto" w:frame="1"/>
        </w:rPr>
        <w:t xml:space="preserve"> </w:t>
      </w:r>
      <w:r w:rsidR="0031200E">
        <w:rPr>
          <w:i/>
          <w:iCs/>
          <w:szCs w:val="26"/>
          <w:bdr w:val="none" w:sz="0" w:space="0" w:color="auto" w:frame="1"/>
        </w:rPr>
        <w:t xml:space="preserve">id. </w:t>
      </w:r>
      <w:r w:rsidR="0031200E">
        <w:rPr>
          <w:szCs w:val="26"/>
          <w:bdr w:val="none" w:sz="0" w:space="0" w:color="auto" w:frame="1"/>
        </w:rPr>
        <w:t>at p</w:t>
      </w:r>
      <w:r w:rsidR="0007436E">
        <w:rPr>
          <w:szCs w:val="26"/>
          <w:bdr w:val="none" w:sz="0" w:space="0" w:color="auto" w:frame="1"/>
        </w:rPr>
        <w:t>p</w:t>
      </w:r>
      <w:r w:rsidR="0031200E">
        <w:rPr>
          <w:szCs w:val="26"/>
          <w:bdr w:val="none" w:sz="0" w:space="0" w:color="auto" w:frame="1"/>
        </w:rPr>
        <w:t>. 147</w:t>
      </w:r>
      <w:r w:rsidR="0007436E">
        <w:rPr>
          <w:szCs w:val="26"/>
          <w:bdr w:val="none" w:sz="0" w:space="0" w:color="auto" w:frame="1"/>
        </w:rPr>
        <w:t>–1</w:t>
      </w:r>
      <w:r w:rsidR="004B510C">
        <w:rPr>
          <w:szCs w:val="26"/>
          <w:bdr w:val="none" w:sz="0" w:space="0" w:color="auto" w:frame="1"/>
        </w:rPr>
        <w:t>51</w:t>
      </w:r>
      <w:r w:rsidRPr="000773EF">
        <w:rPr>
          <w:szCs w:val="26"/>
          <w:bdr w:val="none" w:sz="0" w:space="0" w:color="auto" w:frame="1"/>
        </w:rPr>
        <w:t xml:space="preserve"> [declining to adopt the PUC’s view that </w:t>
      </w:r>
      <w:r w:rsidRPr="000773EF" w:rsidR="00554806">
        <w:rPr>
          <w:szCs w:val="26"/>
          <w:bdr w:val="none" w:sz="0" w:space="0" w:color="auto" w:frame="1"/>
        </w:rPr>
        <w:t>§ </w:t>
      </w:r>
      <w:r w:rsidRPr="000773EF">
        <w:rPr>
          <w:szCs w:val="26"/>
          <w:bdr w:val="none" w:sz="0" w:space="0" w:color="auto" w:frame="1"/>
        </w:rPr>
        <w:t xml:space="preserve">1759 </w:t>
      </w:r>
      <w:r w:rsidRPr="000773EF" w:rsidR="0057046B">
        <w:rPr>
          <w:szCs w:val="26"/>
          <w:bdr w:val="none" w:sz="0" w:space="0" w:color="auto" w:frame="1"/>
        </w:rPr>
        <w:t>barred</w:t>
      </w:r>
      <w:r w:rsidRPr="000773EF">
        <w:rPr>
          <w:szCs w:val="26"/>
          <w:bdr w:val="none" w:sz="0" w:space="0" w:color="auto" w:frame="1"/>
        </w:rPr>
        <w:t xml:space="preserve"> the action].) </w:t>
      </w:r>
      <w:r w:rsidRPr="000773EF">
        <w:rPr>
          <w:i/>
          <w:iCs/>
          <w:szCs w:val="26"/>
        </w:rPr>
        <w:t xml:space="preserve"> </w:t>
      </w:r>
      <w:r w:rsidRPr="000773EF">
        <w:rPr>
          <w:szCs w:val="26"/>
        </w:rPr>
        <w:t xml:space="preserve">We have no </w:t>
      </w:r>
      <w:r w:rsidRPr="000773EF" w:rsidR="00FD7ABF">
        <w:rPr>
          <w:szCs w:val="26"/>
        </w:rPr>
        <w:t xml:space="preserve">need </w:t>
      </w:r>
      <w:r w:rsidRPr="000773EF">
        <w:rPr>
          <w:szCs w:val="26"/>
        </w:rPr>
        <w:t xml:space="preserve">here to </w:t>
      </w:r>
      <w:r w:rsidR="00A063C3">
        <w:rPr>
          <w:szCs w:val="26"/>
        </w:rPr>
        <w:t>consider</w:t>
      </w:r>
      <w:r w:rsidRPr="000773EF" w:rsidR="00A063C3">
        <w:rPr>
          <w:szCs w:val="26"/>
        </w:rPr>
        <w:t xml:space="preserve"> </w:t>
      </w:r>
      <w:r w:rsidRPr="000773EF">
        <w:rPr>
          <w:szCs w:val="26"/>
        </w:rPr>
        <w:t>as a general matter how much weight is properly accorded to the PUC’s view.  We simply note that the PUC’s position</w:t>
      </w:r>
      <w:r w:rsidR="00A063C3">
        <w:rPr>
          <w:szCs w:val="26"/>
        </w:rPr>
        <w:t xml:space="preserve">, which </w:t>
      </w:r>
      <w:r w:rsidR="00505134">
        <w:rPr>
          <w:szCs w:val="26"/>
        </w:rPr>
        <w:t xml:space="preserve">is </w:t>
      </w:r>
      <w:r w:rsidRPr="000773EF">
        <w:rPr>
          <w:szCs w:val="26"/>
        </w:rPr>
        <w:t>supported by the facts and our section 1759 precedent</w:t>
      </w:r>
      <w:r w:rsidR="00A063C3">
        <w:rPr>
          <w:szCs w:val="26"/>
        </w:rPr>
        <w:t>,</w:t>
      </w:r>
      <w:r w:rsidRPr="000773EF" w:rsidR="00FD7ABF">
        <w:rPr>
          <w:szCs w:val="26"/>
        </w:rPr>
        <w:t xml:space="preserve"> </w:t>
      </w:r>
      <w:r w:rsidRPr="000773EF">
        <w:rPr>
          <w:szCs w:val="26"/>
        </w:rPr>
        <w:t xml:space="preserve">further </w:t>
      </w:r>
      <w:r w:rsidRPr="000773EF" w:rsidR="00FD7ABF">
        <w:rPr>
          <w:szCs w:val="26"/>
        </w:rPr>
        <w:t>bolsters</w:t>
      </w:r>
      <w:r w:rsidRPr="000773EF">
        <w:rPr>
          <w:szCs w:val="26"/>
        </w:rPr>
        <w:t xml:space="preserve"> our holding.</w:t>
      </w:r>
    </w:p>
    <w:p w:rsidR="003A7F58" w14:paraId="229744B9" w14:textId="08AA7978">
      <w:pPr>
        <w:spacing w:after="0" w:line="240" w:lineRule="auto"/>
        <w:jc w:val="left"/>
        <w:rPr>
          <w:szCs w:val="26"/>
        </w:rPr>
      </w:pPr>
    </w:p>
    <w:p w:rsidR="00576D30" w:rsidRPr="000773EF" w:rsidP="00BC7683" w14:paraId="4FB03EEC" w14:textId="77777777">
      <w:pPr>
        <w:jc w:val="center"/>
        <w:rPr>
          <w:b/>
          <w:bCs/>
          <w:szCs w:val="26"/>
        </w:rPr>
      </w:pPr>
      <w:r w:rsidRPr="000773EF">
        <w:rPr>
          <w:b/>
          <w:bCs/>
          <w:szCs w:val="26"/>
        </w:rPr>
        <w:t>CONCLUSION</w:t>
      </w:r>
    </w:p>
    <w:p w:rsidR="007F6042" w:rsidP="001D5DF7" w14:paraId="4FB03EED" w14:textId="43FB4D1C">
      <w:pPr>
        <w:ind w:firstLine="720"/>
        <w:rPr>
          <w:szCs w:val="26"/>
        </w:rPr>
      </w:pPr>
      <w:r>
        <w:rPr>
          <w:szCs w:val="26"/>
        </w:rPr>
        <w:t>W</w:t>
      </w:r>
      <w:r w:rsidRPr="000773EF" w:rsidR="00A967D1">
        <w:rPr>
          <w:szCs w:val="26"/>
        </w:rPr>
        <w:t xml:space="preserve">e hold that section 1759 </w:t>
      </w:r>
      <w:r w:rsidRPr="000773EF" w:rsidR="0057046B">
        <w:rPr>
          <w:szCs w:val="26"/>
        </w:rPr>
        <w:t>bars</w:t>
      </w:r>
      <w:r w:rsidRPr="000773EF" w:rsidR="00353F4B">
        <w:rPr>
          <w:szCs w:val="26"/>
        </w:rPr>
        <w:t xml:space="preserve"> Gantner’s action against PG&amp;E because </w:t>
      </w:r>
      <w:r w:rsidRPr="000773EF" w:rsidR="00EF5C5B">
        <w:rPr>
          <w:szCs w:val="26"/>
        </w:rPr>
        <w:t xml:space="preserve">the suit </w:t>
      </w:r>
      <w:r w:rsidRPr="000773EF" w:rsidR="00353F4B">
        <w:rPr>
          <w:szCs w:val="26"/>
        </w:rPr>
        <w:t>would interfere</w:t>
      </w:r>
      <w:r w:rsidRPr="000773EF" w:rsidR="00EF5C5B">
        <w:rPr>
          <w:szCs w:val="26"/>
        </w:rPr>
        <w:t xml:space="preserve"> with the PUC’s</w:t>
      </w:r>
      <w:r w:rsidRPr="000773EF" w:rsidR="00573721">
        <w:rPr>
          <w:szCs w:val="26"/>
        </w:rPr>
        <w:t xml:space="preserve"> broad and continuing supervision and regulation of PSPS</w:t>
      </w:r>
      <w:r w:rsidRPr="000773EF" w:rsidR="007536B4">
        <w:rPr>
          <w:szCs w:val="26"/>
        </w:rPr>
        <w:t xml:space="preserve"> implementation and review</w:t>
      </w:r>
      <w:r w:rsidRPr="000773EF" w:rsidR="00573721">
        <w:rPr>
          <w:szCs w:val="26"/>
        </w:rPr>
        <w:t xml:space="preserve">.  </w:t>
      </w:r>
      <w:r w:rsidRPr="000773EF" w:rsidR="000A5519">
        <w:rPr>
          <w:szCs w:val="26"/>
        </w:rPr>
        <w:t>W</w:t>
      </w:r>
      <w:r w:rsidRPr="000773EF" w:rsidR="00E572A2">
        <w:rPr>
          <w:szCs w:val="26"/>
        </w:rPr>
        <w:t xml:space="preserve">e express no </w:t>
      </w:r>
      <w:r w:rsidRPr="000773EF" w:rsidR="000A5519">
        <w:rPr>
          <w:szCs w:val="26"/>
        </w:rPr>
        <w:t xml:space="preserve">view </w:t>
      </w:r>
      <w:r w:rsidRPr="000773EF" w:rsidR="00E572A2">
        <w:rPr>
          <w:szCs w:val="26"/>
        </w:rPr>
        <w:t>on whether Tariff Rule</w:t>
      </w:r>
      <w:r w:rsidRPr="000773EF" w:rsidR="007A6E4C">
        <w:rPr>
          <w:szCs w:val="26"/>
        </w:rPr>
        <w:t xml:space="preserve"> 14 would also prohibit Gantner’s suit.</w:t>
      </w:r>
    </w:p>
    <w:p w:rsidR="007F6042" w14:paraId="1ACA15CC" w14:textId="77777777">
      <w:pPr>
        <w:spacing w:after="0" w:line="240" w:lineRule="auto"/>
        <w:jc w:val="left"/>
        <w:rPr>
          <w:szCs w:val="26"/>
        </w:rPr>
      </w:pPr>
      <w:r>
        <w:rPr>
          <w:szCs w:val="26"/>
        </w:rPr>
        <w:br w:type="page"/>
      </w:r>
    </w:p>
    <w:p w:rsidR="00666AB6" w:rsidP="00C97953" w14:paraId="4FB03EF1" w14:textId="77777777">
      <w:pPr>
        <w:jc w:val="left"/>
        <w:rPr>
          <w:rFonts w:cstheme="minorHAnsi"/>
          <w:b/>
          <w:szCs w:val="26"/>
          <w:shd w:val="clear" w:color="auto" w:fill="FFFFFF"/>
        </w:rPr>
      </w:pPr>
      <w:r w:rsidRPr="000773EF">
        <w:rPr>
          <w:szCs w:val="26"/>
        </w:rPr>
        <w:tab/>
      </w:r>
      <w:r w:rsidRPr="000773EF">
        <w:rPr>
          <w:szCs w:val="26"/>
        </w:rPr>
        <w:tab/>
      </w:r>
      <w:r w:rsidRPr="000773EF">
        <w:rPr>
          <w:szCs w:val="26"/>
        </w:rPr>
        <w:tab/>
      </w:r>
      <w:r w:rsidRPr="000773EF">
        <w:rPr>
          <w:szCs w:val="26"/>
        </w:rPr>
        <w:tab/>
      </w:r>
      <w:r w:rsidRPr="000773EF">
        <w:rPr>
          <w:szCs w:val="26"/>
        </w:rPr>
        <w:tab/>
      </w:r>
      <w:r w:rsidRPr="000773EF">
        <w:rPr>
          <w:szCs w:val="26"/>
        </w:rPr>
        <w:tab/>
      </w:r>
      <w:r w:rsidRPr="000773EF">
        <w:rPr>
          <w:szCs w:val="26"/>
        </w:rPr>
        <w:tab/>
      </w:r>
      <w:r w:rsidRPr="000773EF">
        <w:rPr>
          <w:szCs w:val="26"/>
        </w:rPr>
        <w:tab/>
      </w:r>
      <w:r w:rsidRPr="000773EF" w:rsidR="00F73871">
        <w:rPr>
          <w:b/>
          <w:bCs/>
          <w:smallCaps/>
          <w:szCs w:val="26"/>
        </w:rPr>
        <w:t>L</w:t>
      </w:r>
      <w:r w:rsidRPr="000773EF" w:rsidR="00151422">
        <w:rPr>
          <w:b/>
          <w:bCs/>
          <w:smallCaps/>
          <w:szCs w:val="26"/>
        </w:rPr>
        <w:t>IU</w:t>
      </w:r>
      <w:r w:rsidRPr="000773EF" w:rsidR="00F73871">
        <w:rPr>
          <w:b/>
          <w:bCs/>
          <w:smallCaps/>
          <w:szCs w:val="26"/>
        </w:rPr>
        <w:t>, J</w:t>
      </w:r>
      <w:r w:rsidRPr="000773EF">
        <w:rPr>
          <w:b/>
          <w:bCs/>
          <w:smallCaps/>
          <w:szCs w:val="26"/>
        </w:rPr>
        <w:t>.</w:t>
      </w:r>
    </w:p>
    <w:p w:rsidR="00666AB6" w:rsidP="00C97953" w14:paraId="4FB03EF2" w14:textId="77777777">
      <w:pPr>
        <w:jc w:val="left"/>
        <w:rPr>
          <w:rFonts w:cstheme="minorHAnsi"/>
          <w:b/>
          <w:szCs w:val="26"/>
          <w:shd w:val="clear" w:color="auto" w:fill="FFFFFF"/>
        </w:rPr>
      </w:pPr>
    </w:p>
    <w:p w:rsidR="00666AB6" w:rsidRPr="00146FD3" w:rsidP="00336C3E" w14:paraId="4FB03EF6" w14:textId="77777777">
      <w:pPr>
        <w:rPr>
          <w:b/>
        </w:rPr>
      </w:pPr>
      <w:bookmarkStart w:id="3" w:name="_Hlk134778552"/>
      <w:r w:rsidRPr="00146FD3">
        <w:rPr>
          <w:b/>
        </w:rPr>
        <w:t>We Concur:</w:t>
      </w:r>
    </w:p>
    <w:p w:rsidR="00666AB6" w:rsidRPr="000413AA" w:rsidP="00666AB6" w14:paraId="4FB03EF7" w14:textId="2154716A">
      <w:pPr>
        <w:spacing w:after="0" w:line="240" w:lineRule="auto"/>
        <w:rPr>
          <w:rFonts w:ascii="Calibri" w:hAnsi="Calibri"/>
          <w:b/>
          <w:sz w:val="22"/>
          <w:lang w:val="it-IT"/>
        </w:rPr>
      </w:pPr>
      <w:r w:rsidRPr="000413AA">
        <w:rPr>
          <w:b/>
        </w:rPr>
        <w:t>GUERRERO</w:t>
      </w:r>
      <w:r w:rsidRPr="000413AA">
        <w:rPr>
          <w:b/>
          <w:lang w:val="it-IT"/>
        </w:rPr>
        <w:t>, C.</w:t>
      </w:r>
      <w:r w:rsidR="00DA7032">
        <w:rPr>
          <w:b/>
          <w:lang w:val="it-IT"/>
        </w:rPr>
        <w:t> </w:t>
      </w:r>
      <w:r w:rsidRPr="000413AA">
        <w:rPr>
          <w:b/>
          <w:lang w:val="it-IT"/>
        </w:rPr>
        <w:t>J.</w:t>
      </w:r>
    </w:p>
    <w:p w:rsidR="00666AB6" w:rsidRPr="000413AA" w:rsidP="00666AB6" w14:paraId="4FB03EF8" w14:textId="77777777">
      <w:pPr>
        <w:spacing w:after="0" w:line="240" w:lineRule="auto"/>
        <w:rPr>
          <w:b/>
          <w:lang w:val="it-IT"/>
        </w:rPr>
      </w:pPr>
      <w:r w:rsidRPr="000413AA">
        <w:rPr>
          <w:b/>
          <w:lang w:val="it-IT"/>
        </w:rPr>
        <w:t>CORRIGAN, J.</w:t>
      </w:r>
    </w:p>
    <w:p w:rsidR="00666AB6" w:rsidRPr="000413AA" w:rsidP="00666AB6" w14:paraId="4FB03EF9" w14:textId="77777777">
      <w:pPr>
        <w:spacing w:after="0" w:line="240" w:lineRule="auto"/>
        <w:jc w:val="left"/>
        <w:rPr>
          <w:b/>
        </w:rPr>
      </w:pPr>
      <w:r w:rsidRPr="000413AA">
        <w:rPr>
          <w:b/>
        </w:rPr>
        <w:t>GROBAN, J.</w:t>
      </w:r>
    </w:p>
    <w:p w:rsidR="00666AB6" w:rsidRPr="000413AA" w:rsidP="00666AB6" w14:paraId="4FB03EFA" w14:textId="77777777">
      <w:pPr>
        <w:spacing w:after="0" w:line="240" w:lineRule="auto"/>
        <w:jc w:val="left"/>
        <w:rPr>
          <w:b/>
        </w:rPr>
      </w:pPr>
      <w:r w:rsidRPr="000413AA">
        <w:rPr>
          <w:b/>
        </w:rPr>
        <w:t>JENKINS, J.</w:t>
      </w:r>
    </w:p>
    <w:p w:rsidR="00666AB6" w:rsidRPr="000413AA" w:rsidP="00666AB6" w14:paraId="4FB03EFB" w14:textId="77777777">
      <w:pPr>
        <w:spacing w:after="0" w:line="240" w:lineRule="auto"/>
        <w:jc w:val="left"/>
        <w:rPr>
          <w:b/>
        </w:rPr>
      </w:pPr>
      <w:r w:rsidRPr="000413AA">
        <w:rPr>
          <w:b/>
        </w:rPr>
        <w:t>EVANS, J.</w:t>
      </w:r>
    </w:p>
    <w:bookmarkEnd w:id="3"/>
    <w:p w:rsidR="00666AB6" w:rsidRPr="00666AB6" w:rsidP="00666AB6" w14:paraId="4FB03EFC" w14:textId="77777777">
      <w:pPr>
        <w:spacing w:after="0" w:line="240" w:lineRule="auto"/>
        <w:jc w:val="left"/>
        <w:rPr>
          <w:rFonts w:cstheme="minorHAnsi"/>
          <w:b/>
          <w:szCs w:val="26"/>
          <w:shd w:val="clear" w:color="auto" w:fill="FFFFFF"/>
          <w:lang w:val="it-IT"/>
        </w:rPr>
      </w:pPr>
      <w:r w:rsidRPr="00666AB6">
        <w:rPr>
          <w:rFonts w:cstheme="minorHAnsi"/>
          <w:b/>
          <w:szCs w:val="26"/>
          <w:shd w:val="clear" w:color="auto" w:fill="FFFFFF"/>
          <w:lang w:val="it-IT"/>
        </w:rPr>
        <w:t>O’</w:t>
      </w:r>
      <w:r>
        <w:rPr>
          <w:rFonts w:cstheme="minorHAnsi"/>
          <w:b/>
          <w:szCs w:val="26"/>
          <w:shd w:val="clear" w:color="auto" w:fill="FFFFFF"/>
          <w:lang w:val="it-IT"/>
        </w:rPr>
        <w:t>ROURKE</w:t>
      </w:r>
      <w:r w:rsidRPr="00666AB6">
        <w:rPr>
          <w:rFonts w:cstheme="minorHAnsi"/>
          <w:b/>
          <w:szCs w:val="26"/>
          <w:shd w:val="clear" w:color="auto" w:fill="FFFFFF"/>
          <w:lang w:val="it-IT"/>
        </w:rPr>
        <w:t>, J.</w:t>
      </w:r>
      <w:r>
        <w:rPr>
          <w:rFonts w:cstheme="minorHAnsi"/>
          <w:b/>
          <w:szCs w:val="26"/>
          <w:shd w:val="clear" w:color="auto" w:fill="FFFFFF"/>
          <w:vertAlign w:val="superscript"/>
          <w:lang w:val="it-IT"/>
        </w:rPr>
        <w:footnoteReference w:customMarkFollows="1" w:id="4"/>
        <w:t xml:space="preserve">*</w:t>
      </w:r>
    </w:p>
    <w:p w:rsidR="00F6542C" w14:paraId="0A2B6BB5" w14:textId="77777777">
      <w:pPr>
        <w:spacing w:after="0" w:line="240" w:lineRule="auto"/>
        <w:jc w:val="left"/>
        <w:rPr>
          <w:rStyle w:val="normaltextrun"/>
          <w:rFonts w:cstheme="minorHAnsi"/>
          <w:b/>
          <w:szCs w:val="26"/>
          <w:shd w:val="clear" w:color="auto" w:fill="FFFFFF"/>
        </w:rPr>
        <w:sectPr w:rsidSect="000773EF">
          <w:footerReference w:type="first" r:id="rId9"/>
          <w:footnotePr>
            <w:numRestart w:val="eachSect"/>
          </w:footnotePr>
          <w:pgSz w:w="12240" w:h="15840"/>
          <w:pgMar w:top="1800" w:right="2160" w:bottom="1440" w:left="2160" w:header="720" w:footer="720" w:gutter="0"/>
          <w:pgNumType w:start="1"/>
          <w:cols w:space="720"/>
          <w:titlePg/>
          <w:docGrid w:linePitch="367"/>
        </w:sectPr>
      </w:pPr>
    </w:p>
    <w:p w:rsidR="0016596D" w:rsidRPr="0016596D" w:rsidP="0016596D" w14:paraId="5454AFC9" w14:textId="77777777">
      <w:pPr>
        <w:spacing w:after="0" w:line="240" w:lineRule="auto"/>
        <w:jc w:val="left"/>
        <w:rPr>
          <w:i/>
          <w:sz w:val="24"/>
          <w:szCs w:val="24"/>
        </w:rPr>
      </w:pPr>
      <w:r w:rsidRPr="0016596D">
        <w:rPr>
          <w:i/>
          <w:sz w:val="24"/>
          <w:szCs w:val="24"/>
        </w:rPr>
        <w:t>See next page for addresses and telephone numbers for counsel who argued in Supreme Court.</w:t>
      </w:r>
    </w:p>
    <w:p w:rsidR="0016596D" w:rsidRPr="0016596D" w:rsidP="0016596D" w14:paraId="4FE890BA" w14:textId="77777777">
      <w:pPr>
        <w:spacing w:after="0" w:line="240" w:lineRule="auto"/>
        <w:jc w:val="left"/>
        <w:rPr>
          <w:i/>
          <w:sz w:val="24"/>
          <w:szCs w:val="24"/>
        </w:rPr>
      </w:pPr>
    </w:p>
    <w:p w:rsidR="0016596D" w:rsidRPr="0016596D" w:rsidP="0016596D" w14:paraId="28052030" w14:textId="77777777">
      <w:pPr>
        <w:spacing w:after="0" w:line="240" w:lineRule="auto"/>
        <w:jc w:val="left"/>
        <w:rPr>
          <w:bCs/>
          <w:sz w:val="24"/>
          <w:szCs w:val="24"/>
        </w:rPr>
      </w:pPr>
      <w:r w:rsidRPr="0016596D">
        <w:rPr>
          <w:b/>
          <w:sz w:val="24"/>
          <w:szCs w:val="24"/>
        </w:rPr>
        <w:t xml:space="preserve">Name of Opinion  </w:t>
      </w:r>
      <w:r w:rsidRPr="0016596D">
        <w:rPr>
          <w:bCs/>
          <w:sz w:val="24"/>
          <w:szCs w:val="24"/>
        </w:rPr>
        <w:t>Gantner v. PG&amp;E Corporation</w:t>
      </w:r>
    </w:p>
    <w:p w:rsidR="0016596D" w:rsidRPr="0016596D" w:rsidP="0016596D" w14:paraId="67B0AB80" w14:textId="77777777">
      <w:pPr>
        <w:spacing w:after="0" w:line="240" w:lineRule="auto"/>
        <w:jc w:val="left"/>
        <w:rPr>
          <w:b/>
          <w:sz w:val="24"/>
          <w:szCs w:val="24"/>
        </w:rPr>
      </w:pPr>
      <w:r w:rsidRPr="0016596D">
        <w:rPr>
          <w:b/>
          <w:sz w:val="24"/>
          <w:szCs w:val="24"/>
        </w:rPr>
        <w:t xml:space="preserve">__________________________________________________________ </w:t>
      </w:r>
    </w:p>
    <w:p w:rsidR="0016596D" w:rsidRPr="0016596D" w:rsidP="0016596D" w14:paraId="7FB03413" w14:textId="77777777">
      <w:pPr>
        <w:spacing w:after="0" w:line="240" w:lineRule="auto"/>
        <w:jc w:val="left"/>
        <w:rPr>
          <w:b/>
          <w:sz w:val="24"/>
          <w:szCs w:val="24"/>
        </w:rPr>
      </w:pPr>
    </w:p>
    <w:p w:rsidR="0016596D" w:rsidRPr="0016596D" w:rsidP="0016596D" w14:paraId="25CAB04B" w14:textId="77777777">
      <w:pPr>
        <w:spacing w:after="0" w:line="240" w:lineRule="auto"/>
        <w:jc w:val="left"/>
        <w:rPr>
          <w:sz w:val="24"/>
          <w:szCs w:val="24"/>
        </w:rPr>
      </w:pPr>
      <w:r w:rsidRPr="0016596D">
        <w:rPr>
          <w:b/>
          <w:bCs/>
          <w:sz w:val="24"/>
          <w:szCs w:val="24"/>
          <w:u w:val="single"/>
        </w:rPr>
        <w:t>Procedural Posture</w:t>
      </w:r>
      <w:r w:rsidRPr="0016596D">
        <w:rPr>
          <w:b/>
          <w:bCs/>
          <w:sz w:val="24"/>
          <w:szCs w:val="24"/>
        </w:rPr>
        <w:t xml:space="preserve"> </w:t>
      </w:r>
      <w:r w:rsidRPr="0016596D">
        <w:rPr>
          <w:sz w:val="24"/>
          <w:szCs w:val="24"/>
        </w:rPr>
        <w:t>(see XX below)</w:t>
      </w:r>
    </w:p>
    <w:p w:rsidR="0016596D" w:rsidRPr="0016596D" w:rsidP="0016596D" w14:paraId="6BD9FC98" w14:textId="77777777">
      <w:pPr>
        <w:spacing w:after="0" w:line="240" w:lineRule="auto"/>
        <w:jc w:val="left"/>
        <w:rPr>
          <w:sz w:val="24"/>
          <w:szCs w:val="24"/>
        </w:rPr>
      </w:pPr>
      <w:r w:rsidRPr="0016596D">
        <w:rPr>
          <w:b/>
          <w:bCs/>
          <w:sz w:val="24"/>
          <w:szCs w:val="24"/>
        </w:rPr>
        <w:t>Original Appeal</w:t>
      </w:r>
      <w:r w:rsidRPr="0016596D">
        <w:rPr>
          <w:sz w:val="24"/>
          <w:szCs w:val="24"/>
        </w:rPr>
        <w:t xml:space="preserve"> </w:t>
      </w:r>
    </w:p>
    <w:p w:rsidR="0016596D" w:rsidRPr="0016596D" w:rsidP="0016596D" w14:paraId="24BC3AC6" w14:textId="77777777">
      <w:pPr>
        <w:spacing w:after="0" w:line="240" w:lineRule="auto"/>
        <w:jc w:val="left"/>
        <w:rPr>
          <w:sz w:val="24"/>
          <w:szCs w:val="24"/>
        </w:rPr>
      </w:pPr>
      <w:r w:rsidRPr="0016596D">
        <w:rPr>
          <w:b/>
          <w:bCs/>
          <w:sz w:val="24"/>
          <w:szCs w:val="24"/>
        </w:rPr>
        <w:t>Original Proceeding</w:t>
      </w:r>
      <w:r w:rsidRPr="0016596D">
        <w:rPr>
          <w:sz w:val="24"/>
          <w:szCs w:val="24"/>
        </w:rPr>
        <w:t xml:space="preserve">  XX on request by 9th Circuit (Cal. Rules of Court, rule 8.548)</w:t>
      </w:r>
    </w:p>
    <w:p w:rsidR="0016596D" w:rsidRPr="0016596D" w:rsidP="0016596D" w14:paraId="6427729A" w14:textId="77777777">
      <w:pPr>
        <w:spacing w:after="0" w:line="240" w:lineRule="auto"/>
        <w:jc w:val="left"/>
        <w:rPr>
          <w:sz w:val="24"/>
          <w:szCs w:val="24"/>
        </w:rPr>
      </w:pPr>
      <w:r w:rsidRPr="0016596D">
        <w:rPr>
          <w:b/>
          <w:bCs/>
          <w:sz w:val="24"/>
          <w:szCs w:val="24"/>
        </w:rPr>
        <w:t>Review Granted</w:t>
      </w:r>
      <w:r w:rsidRPr="0016596D">
        <w:rPr>
          <w:sz w:val="24"/>
          <w:szCs w:val="24"/>
        </w:rPr>
        <w:t xml:space="preserve"> </w:t>
      </w:r>
      <w:r w:rsidRPr="0016596D">
        <w:rPr>
          <w:b/>
          <w:bCs/>
          <w:sz w:val="24"/>
          <w:szCs w:val="24"/>
        </w:rPr>
        <w:t>(published)</w:t>
      </w:r>
    </w:p>
    <w:p w:rsidR="0016596D" w:rsidRPr="0016596D" w:rsidP="0016596D" w14:paraId="58647262" w14:textId="77777777">
      <w:pPr>
        <w:spacing w:after="0" w:line="240" w:lineRule="auto"/>
        <w:jc w:val="left"/>
        <w:rPr>
          <w:sz w:val="24"/>
          <w:szCs w:val="24"/>
        </w:rPr>
      </w:pPr>
      <w:r w:rsidRPr="0016596D">
        <w:rPr>
          <w:b/>
          <w:bCs/>
          <w:sz w:val="24"/>
          <w:szCs w:val="24"/>
        </w:rPr>
        <w:t xml:space="preserve">Review Granted (unpublished) </w:t>
      </w:r>
    </w:p>
    <w:p w:rsidR="0016596D" w:rsidRPr="0016596D" w:rsidP="0016596D" w14:paraId="2084FDC8" w14:textId="77777777">
      <w:pPr>
        <w:spacing w:after="0" w:line="240" w:lineRule="auto"/>
        <w:jc w:val="left"/>
        <w:rPr>
          <w:b/>
          <w:bCs/>
          <w:sz w:val="24"/>
          <w:szCs w:val="24"/>
        </w:rPr>
      </w:pPr>
      <w:r w:rsidRPr="0016596D">
        <w:rPr>
          <w:b/>
          <w:bCs/>
          <w:sz w:val="24"/>
          <w:szCs w:val="24"/>
        </w:rPr>
        <w:t>Rehearing Granted</w:t>
      </w:r>
    </w:p>
    <w:p w:rsidR="0016596D" w:rsidRPr="0016596D" w:rsidP="0016596D" w14:paraId="2908B5E1" w14:textId="77777777">
      <w:pPr>
        <w:spacing w:after="0" w:line="240" w:lineRule="auto"/>
        <w:jc w:val="left"/>
        <w:rPr>
          <w:b/>
          <w:sz w:val="24"/>
          <w:szCs w:val="24"/>
        </w:rPr>
      </w:pPr>
      <w:r w:rsidRPr="0016596D">
        <w:rPr>
          <w:b/>
          <w:sz w:val="24"/>
          <w:szCs w:val="24"/>
        </w:rPr>
        <w:t xml:space="preserve">__________________________________________________________ </w:t>
      </w:r>
    </w:p>
    <w:p w:rsidR="0016596D" w:rsidRPr="0016596D" w:rsidP="0016596D" w14:paraId="4E363282" w14:textId="77777777">
      <w:pPr>
        <w:spacing w:after="0" w:line="240" w:lineRule="auto"/>
        <w:jc w:val="left"/>
        <w:rPr>
          <w:b/>
          <w:sz w:val="24"/>
          <w:szCs w:val="24"/>
        </w:rPr>
      </w:pPr>
    </w:p>
    <w:p w:rsidR="0016596D" w:rsidRPr="0016596D" w:rsidP="0016596D" w14:paraId="103C80CB" w14:textId="77777777">
      <w:pPr>
        <w:spacing w:after="0" w:line="240" w:lineRule="auto"/>
        <w:jc w:val="left"/>
        <w:rPr>
          <w:bCs/>
          <w:sz w:val="24"/>
          <w:szCs w:val="24"/>
        </w:rPr>
      </w:pPr>
      <w:r w:rsidRPr="0016596D">
        <w:rPr>
          <w:b/>
          <w:sz w:val="24"/>
          <w:szCs w:val="24"/>
        </w:rPr>
        <w:t>Opinion No.</w:t>
      </w:r>
      <w:r w:rsidRPr="0016596D">
        <w:rPr>
          <w:sz w:val="24"/>
          <w:szCs w:val="24"/>
        </w:rPr>
        <w:t xml:space="preserve"> S273340</w:t>
      </w:r>
    </w:p>
    <w:p w:rsidR="0016596D" w:rsidRPr="0016596D" w:rsidP="0016596D" w14:paraId="7C259DDF" w14:textId="77777777">
      <w:pPr>
        <w:spacing w:after="0" w:line="240" w:lineRule="auto"/>
        <w:jc w:val="left"/>
        <w:rPr>
          <w:bCs/>
          <w:sz w:val="24"/>
          <w:szCs w:val="24"/>
        </w:rPr>
      </w:pPr>
      <w:r w:rsidRPr="0016596D">
        <w:rPr>
          <w:b/>
          <w:sz w:val="24"/>
          <w:szCs w:val="24"/>
        </w:rPr>
        <w:t>Date Filed:</w:t>
      </w:r>
      <w:r w:rsidRPr="0016596D">
        <w:rPr>
          <w:sz w:val="24"/>
          <w:szCs w:val="24"/>
        </w:rPr>
        <w:t xml:space="preserve">  November 20, 2023</w:t>
      </w:r>
    </w:p>
    <w:p w:rsidR="0016596D" w:rsidRPr="0016596D" w:rsidP="0016596D" w14:paraId="4A2661B5" w14:textId="77777777">
      <w:pPr>
        <w:spacing w:after="0" w:line="240" w:lineRule="auto"/>
        <w:jc w:val="left"/>
        <w:rPr>
          <w:b/>
          <w:sz w:val="24"/>
          <w:szCs w:val="24"/>
        </w:rPr>
      </w:pPr>
      <w:r w:rsidRPr="0016596D">
        <w:rPr>
          <w:b/>
          <w:sz w:val="24"/>
          <w:szCs w:val="24"/>
        </w:rPr>
        <w:t xml:space="preserve">__________________________________________________________ </w:t>
      </w:r>
    </w:p>
    <w:p w:rsidR="0016596D" w:rsidRPr="0016596D" w:rsidP="0016596D" w14:paraId="3D7F3399" w14:textId="77777777">
      <w:pPr>
        <w:spacing w:after="0" w:line="240" w:lineRule="auto"/>
        <w:jc w:val="left"/>
        <w:rPr>
          <w:b/>
          <w:sz w:val="24"/>
          <w:szCs w:val="24"/>
        </w:rPr>
      </w:pPr>
    </w:p>
    <w:p w:rsidR="0016596D" w:rsidRPr="0016596D" w:rsidP="0016596D" w14:paraId="53EB3C10" w14:textId="77777777">
      <w:pPr>
        <w:spacing w:after="0" w:line="240" w:lineRule="auto"/>
        <w:jc w:val="left"/>
        <w:rPr>
          <w:bCs/>
          <w:sz w:val="24"/>
          <w:szCs w:val="24"/>
        </w:rPr>
      </w:pPr>
      <w:r w:rsidRPr="0016596D">
        <w:rPr>
          <w:b/>
          <w:sz w:val="24"/>
          <w:szCs w:val="24"/>
        </w:rPr>
        <w:t xml:space="preserve">Court:  </w:t>
      </w:r>
    </w:p>
    <w:p w:rsidR="0016596D" w:rsidRPr="0016596D" w:rsidP="0016596D" w14:paraId="026C1698" w14:textId="77777777">
      <w:pPr>
        <w:spacing w:after="0" w:line="240" w:lineRule="auto"/>
        <w:jc w:val="left"/>
        <w:rPr>
          <w:bCs/>
          <w:sz w:val="24"/>
          <w:szCs w:val="24"/>
        </w:rPr>
      </w:pPr>
      <w:r w:rsidRPr="0016596D">
        <w:rPr>
          <w:b/>
          <w:sz w:val="24"/>
          <w:szCs w:val="24"/>
        </w:rPr>
        <w:t xml:space="preserve">County:  </w:t>
      </w:r>
    </w:p>
    <w:p w:rsidR="0016596D" w:rsidRPr="0016596D" w:rsidP="0016596D" w14:paraId="07AB8476" w14:textId="77777777">
      <w:pPr>
        <w:spacing w:after="0" w:line="240" w:lineRule="auto"/>
        <w:ind w:left="720" w:hanging="720"/>
        <w:jc w:val="left"/>
        <w:rPr>
          <w:bCs/>
          <w:sz w:val="24"/>
          <w:szCs w:val="24"/>
        </w:rPr>
      </w:pPr>
      <w:r w:rsidRPr="0016596D">
        <w:rPr>
          <w:b/>
          <w:sz w:val="24"/>
          <w:szCs w:val="24"/>
        </w:rPr>
        <w:t xml:space="preserve">Judge: </w:t>
      </w:r>
      <w:r w:rsidRPr="0016596D">
        <w:rPr>
          <w:bCs/>
          <w:sz w:val="24"/>
          <w:szCs w:val="24"/>
        </w:rPr>
        <w:t xml:space="preserve"> </w:t>
      </w:r>
    </w:p>
    <w:p w:rsidR="0016596D" w:rsidRPr="0016596D" w:rsidP="0016596D" w14:paraId="5A056208" w14:textId="77777777">
      <w:pPr>
        <w:spacing w:after="0" w:line="240" w:lineRule="auto"/>
        <w:jc w:val="left"/>
        <w:rPr>
          <w:b/>
          <w:sz w:val="24"/>
          <w:szCs w:val="24"/>
        </w:rPr>
      </w:pPr>
      <w:r w:rsidRPr="0016596D">
        <w:rPr>
          <w:b/>
          <w:sz w:val="24"/>
          <w:szCs w:val="24"/>
        </w:rPr>
        <w:t xml:space="preserve">__________________________________________________________  </w:t>
      </w:r>
    </w:p>
    <w:p w:rsidR="0016596D" w:rsidRPr="0016596D" w:rsidP="0016596D" w14:paraId="1B8EC276" w14:textId="77777777">
      <w:pPr>
        <w:spacing w:after="0" w:line="240" w:lineRule="auto"/>
        <w:jc w:val="left"/>
        <w:rPr>
          <w:b/>
          <w:sz w:val="24"/>
          <w:szCs w:val="24"/>
        </w:rPr>
      </w:pPr>
    </w:p>
    <w:p w:rsidR="0016596D" w:rsidRPr="0016596D" w:rsidP="0016596D" w14:paraId="4EC6F332" w14:textId="77777777">
      <w:pPr>
        <w:spacing w:after="0" w:line="240" w:lineRule="auto"/>
        <w:jc w:val="left"/>
        <w:rPr>
          <w:b/>
          <w:sz w:val="24"/>
          <w:szCs w:val="24"/>
        </w:rPr>
      </w:pPr>
      <w:r w:rsidRPr="0016596D">
        <w:rPr>
          <w:b/>
          <w:sz w:val="24"/>
          <w:szCs w:val="24"/>
        </w:rPr>
        <w:t>Counsel:</w:t>
      </w:r>
    </w:p>
    <w:p w:rsidR="0016596D" w:rsidRPr="0016596D" w:rsidP="0016596D" w14:paraId="416CA632" w14:textId="77777777">
      <w:pPr>
        <w:spacing w:after="0" w:line="240" w:lineRule="auto"/>
        <w:jc w:val="left"/>
        <w:rPr>
          <w:b/>
          <w:sz w:val="24"/>
          <w:szCs w:val="24"/>
        </w:rPr>
      </w:pPr>
    </w:p>
    <w:p w:rsidR="0016596D" w:rsidRPr="0016596D" w:rsidP="0016596D" w14:paraId="0030AEA0" w14:textId="77777777">
      <w:pPr>
        <w:spacing w:after="0" w:line="240" w:lineRule="auto"/>
        <w:jc w:val="left"/>
        <w:rPr>
          <w:bCs/>
          <w:sz w:val="24"/>
          <w:szCs w:val="24"/>
        </w:rPr>
      </w:pPr>
      <w:r w:rsidRPr="0016596D">
        <w:rPr>
          <w:bCs/>
          <w:sz w:val="24"/>
          <w:szCs w:val="24"/>
        </w:rPr>
        <w:t>Phillips, Erlewine, Given &amp; Carlin, Nicholas A. Carlin, Brian S. Conlon, Kyle P. O'Malley; Hausfeld, Bonny E. Sweeney, Seth R. Gassman and Tae H. Kim for Plaintiff and Appellant.</w:t>
      </w:r>
    </w:p>
    <w:p w:rsidR="0016596D" w:rsidRPr="0016596D" w:rsidP="0016596D" w14:paraId="66A7D729" w14:textId="77777777">
      <w:pPr>
        <w:spacing w:after="0" w:line="240" w:lineRule="auto"/>
        <w:jc w:val="left"/>
        <w:rPr>
          <w:bCs/>
          <w:sz w:val="24"/>
          <w:szCs w:val="24"/>
        </w:rPr>
      </w:pPr>
    </w:p>
    <w:p w:rsidR="0016596D" w:rsidRPr="0016596D" w:rsidP="0016596D" w14:paraId="4FF63216" w14:textId="77777777">
      <w:pPr>
        <w:spacing w:after="0" w:line="240" w:lineRule="auto"/>
        <w:jc w:val="left"/>
        <w:rPr>
          <w:bCs/>
          <w:sz w:val="24"/>
          <w:szCs w:val="24"/>
        </w:rPr>
      </w:pPr>
      <w:r w:rsidRPr="0016596D">
        <w:rPr>
          <w:bCs/>
          <w:sz w:val="24"/>
          <w:szCs w:val="24"/>
        </w:rPr>
        <w:t>Glancy Prongay &amp; Murray and Jonathan M. Rotter for Former President of the Public Utilities Commission Loretta Lynch, Former Administrative Law Judge Steven Weissman and Professor Seth Davis as Amici Curiae on behalf of Plaintiff and Appellant.</w:t>
      </w:r>
    </w:p>
    <w:p w:rsidR="0016596D" w:rsidRPr="0016596D" w:rsidP="0016596D" w14:paraId="32EC5753" w14:textId="77777777">
      <w:pPr>
        <w:spacing w:after="0" w:line="240" w:lineRule="auto"/>
        <w:jc w:val="left"/>
        <w:rPr>
          <w:color w:val="212121"/>
          <w:sz w:val="24"/>
          <w:szCs w:val="24"/>
          <w:shd w:val="clear" w:color="auto" w:fill="FFFFFF"/>
        </w:rPr>
      </w:pPr>
    </w:p>
    <w:p w:rsidR="0016596D" w:rsidRPr="0016596D" w:rsidP="0016596D" w14:paraId="2FDEE31F" w14:textId="77777777">
      <w:pPr>
        <w:spacing w:after="0" w:line="240" w:lineRule="auto"/>
        <w:jc w:val="left"/>
        <w:rPr>
          <w:color w:val="212121"/>
          <w:sz w:val="24"/>
          <w:szCs w:val="24"/>
          <w:shd w:val="clear" w:color="auto" w:fill="FFFFFF"/>
        </w:rPr>
      </w:pPr>
      <w:r w:rsidRPr="0016596D">
        <w:rPr>
          <w:color w:val="212121"/>
          <w:sz w:val="24"/>
          <w:szCs w:val="24"/>
          <w:shd w:val="clear" w:color="auto" w:fill="FFFFFF"/>
        </w:rPr>
        <w:t>Cravath, Swaine &amp; Moore, Omid H. Nasab; Horvitz &amp; Levy, Robert H. Wright and Jeremy B. Rosen for Defendants and Respondents.</w:t>
      </w:r>
    </w:p>
    <w:p w:rsidR="0016596D" w:rsidRPr="0016596D" w:rsidP="0016596D" w14:paraId="14BBD92E" w14:textId="77777777">
      <w:pPr>
        <w:spacing w:after="0" w:line="240" w:lineRule="auto"/>
        <w:jc w:val="left"/>
        <w:rPr>
          <w:color w:val="212121"/>
          <w:sz w:val="24"/>
          <w:szCs w:val="24"/>
          <w:shd w:val="clear" w:color="auto" w:fill="FFFFFF"/>
        </w:rPr>
      </w:pPr>
    </w:p>
    <w:p w:rsidR="0016596D" w:rsidRPr="0016596D" w:rsidP="0016596D" w14:paraId="0587870A" w14:textId="77777777">
      <w:pPr>
        <w:spacing w:after="0" w:line="240" w:lineRule="auto"/>
        <w:jc w:val="left"/>
        <w:rPr>
          <w:color w:val="212121"/>
          <w:sz w:val="24"/>
          <w:szCs w:val="24"/>
          <w:shd w:val="clear" w:color="auto" w:fill="FFFFFF"/>
        </w:rPr>
      </w:pPr>
      <w:r w:rsidRPr="0016596D">
        <w:rPr>
          <w:color w:val="212121"/>
          <w:sz w:val="24"/>
          <w:szCs w:val="24"/>
          <w:shd w:val="clear" w:color="auto" w:fill="FFFFFF"/>
        </w:rPr>
        <w:t>Munger, Tolles &amp; Olson, J. Kain Day and Henry Weissmann for Southern California Edison and San Diego Gas &amp; Electric as Amici Curiae on behalf of Defendants and Respondents.</w:t>
      </w:r>
    </w:p>
    <w:p w:rsidR="0016596D" w:rsidRPr="0016596D" w:rsidP="0016596D" w14:paraId="3B544F7E" w14:textId="77777777">
      <w:pPr>
        <w:spacing w:after="0" w:line="240" w:lineRule="auto"/>
        <w:jc w:val="left"/>
        <w:rPr>
          <w:color w:val="212121"/>
          <w:sz w:val="24"/>
          <w:szCs w:val="24"/>
          <w:shd w:val="clear" w:color="auto" w:fill="FFFFFF"/>
        </w:rPr>
      </w:pPr>
    </w:p>
    <w:p w:rsidR="0016596D" w:rsidRPr="0016596D" w:rsidP="0016596D" w14:paraId="2C7A6BD7" w14:textId="77777777">
      <w:pPr>
        <w:spacing w:after="0" w:line="240" w:lineRule="auto"/>
        <w:jc w:val="left"/>
        <w:rPr>
          <w:color w:val="212121"/>
          <w:sz w:val="24"/>
          <w:szCs w:val="24"/>
          <w:shd w:val="clear" w:color="auto" w:fill="FFFFFF"/>
        </w:rPr>
      </w:pPr>
      <w:r w:rsidRPr="0016596D">
        <w:rPr>
          <w:color w:val="212121"/>
          <w:sz w:val="24"/>
          <w:szCs w:val="24"/>
          <w:shd w:val="clear" w:color="auto" w:fill="FFFFFF"/>
        </w:rPr>
        <w:t>Vinson &amp; Elkins, Mortimer H. Hartwell, Jeremy C. Marwell, Matthew X. Etchemendy and Nathan T. Campbell for Edison Electric Institute as Amicus Curiae on behalf of Defendants and Respondents.</w:t>
      </w:r>
    </w:p>
    <w:p w:rsidR="0016596D" w:rsidRPr="0016596D" w:rsidP="0016596D" w14:paraId="6F87F37D" w14:textId="77777777">
      <w:pPr>
        <w:spacing w:after="0" w:line="240" w:lineRule="auto"/>
        <w:jc w:val="left"/>
        <w:rPr>
          <w:color w:val="212121"/>
          <w:sz w:val="24"/>
          <w:szCs w:val="24"/>
          <w:shd w:val="clear" w:color="auto" w:fill="FFFFFF"/>
        </w:rPr>
      </w:pPr>
    </w:p>
    <w:p w:rsidR="0016596D" w:rsidRPr="0016596D" w:rsidP="0016596D" w14:paraId="4D950130" w14:textId="77777777">
      <w:pPr>
        <w:spacing w:after="0" w:line="240" w:lineRule="auto"/>
        <w:jc w:val="left"/>
        <w:rPr>
          <w:color w:val="212121"/>
          <w:sz w:val="24"/>
          <w:szCs w:val="24"/>
          <w:shd w:val="clear" w:color="auto" w:fill="FFFFFF"/>
        </w:rPr>
      </w:pPr>
      <w:r w:rsidRPr="0016596D">
        <w:rPr>
          <w:color w:val="212121"/>
          <w:sz w:val="24"/>
          <w:szCs w:val="24"/>
          <w:shd w:val="clear" w:color="auto" w:fill="FFFFFF"/>
        </w:rPr>
        <w:t>Christine Jun Hammond, Candace J. Morey and Mary McKenzie for the California Public Utilities Commission as Amicus Curiae.</w:t>
      </w:r>
    </w:p>
    <w:p w:rsidR="0016596D" w:rsidRPr="0016596D" w:rsidP="0016596D" w14:paraId="685B7529" w14:textId="77777777">
      <w:pPr>
        <w:spacing w:after="0" w:line="240" w:lineRule="auto"/>
        <w:jc w:val="left"/>
        <w:rPr>
          <w:color w:val="212121"/>
          <w:sz w:val="24"/>
          <w:szCs w:val="24"/>
          <w:shd w:val="clear" w:color="auto" w:fill="FFFFFF"/>
        </w:rPr>
      </w:pPr>
    </w:p>
    <w:p w:rsidR="0016596D" w:rsidRPr="0016596D" w:rsidP="0016596D" w14:paraId="17AAA739" w14:textId="77777777">
      <w:pPr>
        <w:spacing w:after="0" w:line="240" w:lineRule="auto"/>
        <w:jc w:val="left"/>
        <w:rPr>
          <w:color w:val="212121"/>
          <w:sz w:val="24"/>
          <w:szCs w:val="24"/>
          <w:shd w:val="clear" w:color="auto" w:fill="FFFFFF"/>
        </w:rPr>
      </w:pPr>
      <w:r w:rsidRPr="0016596D">
        <w:rPr>
          <w:color w:val="212121"/>
          <w:sz w:val="24"/>
          <w:szCs w:val="24"/>
          <w:shd w:val="clear" w:color="auto" w:fill="FFFFFF"/>
        </w:rPr>
        <w:br w:type="page"/>
      </w:r>
      <w:r w:rsidRPr="0016596D">
        <w:rPr>
          <w:b/>
          <w:sz w:val="24"/>
          <w:szCs w:val="24"/>
        </w:rPr>
        <w:t>Counsel who argued in Supreme Court (not intended for publication with opinion):</w:t>
      </w:r>
    </w:p>
    <w:p w:rsidR="0016596D" w:rsidRPr="0016596D" w:rsidP="0016596D" w14:paraId="08DDFCD1" w14:textId="77777777">
      <w:pPr>
        <w:spacing w:after="0" w:line="240" w:lineRule="auto"/>
        <w:jc w:val="left"/>
        <w:rPr>
          <w:sz w:val="24"/>
          <w:szCs w:val="24"/>
        </w:rPr>
      </w:pPr>
    </w:p>
    <w:p w:rsidR="0016596D" w:rsidRPr="0016596D" w:rsidP="0016596D" w14:paraId="47389FDD" w14:textId="77777777">
      <w:pPr>
        <w:spacing w:after="0" w:line="240" w:lineRule="auto"/>
        <w:jc w:val="left"/>
        <w:rPr>
          <w:bCs/>
          <w:sz w:val="24"/>
          <w:szCs w:val="24"/>
        </w:rPr>
      </w:pPr>
      <w:r w:rsidRPr="0016596D">
        <w:rPr>
          <w:bCs/>
          <w:sz w:val="24"/>
          <w:szCs w:val="24"/>
        </w:rPr>
        <w:t>Nicholas A. Carlin</w:t>
      </w:r>
    </w:p>
    <w:p w:rsidR="0016596D" w:rsidRPr="0016596D" w:rsidP="0016596D" w14:paraId="6259B521" w14:textId="77777777">
      <w:pPr>
        <w:spacing w:after="0" w:line="240" w:lineRule="auto"/>
        <w:jc w:val="left"/>
        <w:rPr>
          <w:bCs/>
          <w:sz w:val="24"/>
          <w:szCs w:val="24"/>
        </w:rPr>
      </w:pPr>
      <w:r w:rsidRPr="0016596D">
        <w:rPr>
          <w:bCs/>
          <w:sz w:val="24"/>
          <w:szCs w:val="24"/>
        </w:rPr>
        <w:t>Phillips, Erlewine, Given &amp; Carlin LLP</w:t>
      </w:r>
    </w:p>
    <w:p w:rsidR="0016596D" w:rsidRPr="0016596D" w:rsidP="0016596D" w14:paraId="268696A5" w14:textId="77777777">
      <w:pPr>
        <w:spacing w:after="0" w:line="240" w:lineRule="auto"/>
        <w:jc w:val="left"/>
        <w:rPr>
          <w:sz w:val="24"/>
          <w:szCs w:val="24"/>
        </w:rPr>
      </w:pPr>
      <w:r w:rsidRPr="0016596D">
        <w:rPr>
          <w:sz w:val="24"/>
          <w:szCs w:val="24"/>
        </w:rPr>
        <w:t xml:space="preserve">39 Mesa Street, Suite 201 </w:t>
      </w:r>
    </w:p>
    <w:p w:rsidR="0016596D" w:rsidRPr="0016596D" w:rsidP="0016596D" w14:paraId="144E01C0" w14:textId="77777777">
      <w:pPr>
        <w:spacing w:after="0" w:line="240" w:lineRule="auto"/>
        <w:jc w:val="left"/>
        <w:rPr>
          <w:sz w:val="24"/>
          <w:szCs w:val="24"/>
        </w:rPr>
      </w:pPr>
      <w:r w:rsidRPr="0016596D">
        <w:rPr>
          <w:sz w:val="24"/>
          <w:szCs w:val="24"/>
        </w:rPr>
        <w:t>San Francisco, CA 94129</w:t>
      </w:r>
    </w:p>
    <w:p w:rsidR="0016596D" w:rsidRPr="0016596D" w:rsidP="0016596D" w14:paraId="0FA5D302" w14:textId="77777777">
      <w:pPr>
        <w:spacing w:after="0" w:line="240" w:lineRule="auto"/>
        <w:jc w:val="left"/>
        <w:rPr>
          <w:sz w:val="24"/>
          <w:szCs w:val="24"/>
        </w:rPr>
      </w:pPr>
      <w:r w:rsidRPr="0016596D">
        <w:rPr>
          <w:sz w:val="24"/>
          <w:szCs w:val="24"/>
        </w:rPr>
        <w:t>(415) 398-0900</w:t>
      </w:r>
    </w:p>
    <w:p w:rsidR="0016596D" w:rsidRPr="0016596D" w:rsidP="0016596D" w14:paraId="679CA64D" w14:textId="77777777">
      <w:pPr>
        <w:spacing w:after="0" w:line="240" w:lineRule="auto"/>
        <w:jc w:val="left"/>
        <w:rPr>
          <w:sz w:val="24"/>
          <w:szCs w:val="24"/>
        </w:rPr>
      </w:pPr>
    </w:p>
    <w:p w:rsidR="0016596D" w:rsidRPr="0016596D" w:rsidP="0016596D" w14:paraId="7FA4C91C" w14:textId="77777777">
      <w:pPr>
        <w:spacing w:after="0" w:line="240" w:lineRule="auto"/>
        <w:jc w:val="left"/>
        <w:rPr>
          <w:color w:val="212121"/>
          <w:sz w:val="24"/>
          <w:szCs w:val="24"/>
          <w:shd w:val="clear" w:color="auto" w:fill="FFFFFF"/>
        </w:rPr>
      </w:pPr>
      <w:r w:rsidRPr="0016596D">
        <w:rPr>
          <w:color w:val="212121"/>
          <w:sz w:val="24"/>
          <w:szCs w:val="24"/>
          <w:shd w:val="clear" w:color="auto" w:fill="FFFFFF"/>
        </w:rPr>
        <w:t>Omid H. Nasab</w:t>
      </w:r>
    </w:p>
    <w:p w:rsidR="0016596D" w:rsidRPr="0016596D" w:rsidP="0016596D" w14:paraId="6FC44203" w14:textId="77777777">
      <w:pPr>
        <w:spacing w:after="0" w:line="240" w:lineRule="auto"/>
        <w:jc w:val="left"/>
        <w:rPr>
          <w:color w:val="212121"/>
          <w:sz w:val="24"/>
          <w:szCs w:val="24"/>
          <w:shd w:val="clear" w:color="auto" w:fill="FFFFFF"/>
        </w:rPr>
      </w:pPr>
      <w:r w:rsidRPr="0016596D">
        <w:rPr>
          <w:color w:val="212121"/>
          <w:sz w:val="24"/>
          <w:szCs w:val="24"/>
          <w:shd w:val="clear" w:color="auto" w:fill="FFFFFF"/>
        </w:rPr>
        <w:t>Cravath, Swaine &amp; Moore LLP</w:t>
      </w:r>
    </w:p>
    <w:p w:rsidR="0016596D" w:rsidRPr="0016596D" w:rsidP="0016596D" w14:paraId="57255D42" w14:textId="77777777">
      <w:pPr>
        <w:spacing w:after="0" w:line="240" w:lineRule="auto"/>
        <w:jc w:val="left"/>
        <w:rPr>
          <w:color w:val="212121"/>
          <w:sz w:val="24"/>
          <w:szCs w:val="24"/>
          <w:shd w:val="clear" w:color="auto" w:fill="FFFFFF"/>
        </w:rPr>
      </w:pPr>
      <w:r w:rsidRPr="0016596D">
        <w:rPr>
          <w:color w:val="212121"/>
          <w:sz w:val="24"/>
          <w:szCs w:val="24"/>
          <w:shd w:val="clear" w:color="auto" w:fill="FFFFFF"/>
        </w:rPr>
        <w:t>Worldwide Plaza</w:t>
      </w:r>
    </w:p>
    <w:p w:rsidR="0016596D" w:rsidRPr="0016596D" w:rsidP="0016596D" w14:paraId="4F7783AB" w14:textId="77777777">
      <w:pPr>
        <w:spacing w:after="0" w:line="240" w:lineRule="auto"/>
        <w:jc w:val="left"/>
        <w:rPr>
          <w:color w:val="212121"/>
          <w:sz w:val="24"/>
          <w:szCs w:val="24"/>
          <w:shd w:val="clear" w:color="auto" w:fill="FFFFFF"/>
        </w:rPr>
      </w:pPr>
      <w:r w:rsidRPr="0016596D">
        <w:rPr>
          <w:color w:val="212121"/>
          <w:sz w:val="24"/>
          <w:szCs w:val="24"/>
          <w:shd w:val="clear" w:color="auto" w:fill="FFFFFF"/>
        </w:rPr>
        <w:t>825 8th Avenue</w:t>
      </w:r>
    </w:p>
    <w:p w:rsidR="0016596D" w:rsidRPr="0016596D" w:rsidP="0016596D" w14:paraId="37031708" w14:textId="77777777">
      <w:pPr>
        <w:spacing w:after="0" w:line="240" w:lineRule="auto"/>
        <w:jc w:val="left"/>
        <w:rPr>
          <w:color w:val="212121"/>
          <w:sz w:val="24"/>
          <w:szCs w:val="24"/>
          <w:shd w:val="clear" w:color="auto" w:fill="FFFFFF"/>
        </w:rPr>
      </w:pPr>
      <w:r w:rsidRPr="0016596D">
        <w:rPr>
          <w:color w:val="212121"/>
          <w:sz w:val="24"/>
          <w:szCs w:val="24"/>
          <w:shd w:val="clear" w:color="auto" w:fill="FFFFFF"/>
        </w:rPr>
        <w:t>New York, NY 10019</w:t>
      </w:r>
    </w:p>
    <w:p w:rsidR="0016596D" w:rsidRPr="0016596D" w:rsidP="0016596D" w14:paraId="0C975491" w14:textId="77777777">
      <w:pPr>
        <w:spacing w:after="0" w:line="240" w:lineRule="auto"/>
        <w:jc w:val="left"/>
        <w:rPr>
          <w:color w:val="212121"/>
          <w:sz w:val="24"/>
          <w:szCs w:val="24"/>
          <w:shd w:val="clear" w:color="auto" w:fill="FFFFFF"/>
        </w:rPr>
      </w:pPr>
      <w:r w:rsidRPr="0016596D">
        <w:rPr>
          <w:color w:val="212121"/>
          <w:sz w:val="24"/>
          <w:szCs w:val="24"/>
          <w:shd w:val="clear" w:color="auto" w:fill="FFFFFF"/>
        </w:rPr>
        <w:t>(212) 474-1972</w:t>
      </w:r>
    </w:p>
    <w:p w:rsidR="0016596D" w:rsidRPr="0016596D" w:rsidP="0016596D" w14:paraId="2493FD2B" w14:textId="77777777">
      <w:pPr>
        <w:spacing w:after="0" w:line="240" w:lineRule="auto"/>
        <w:jc w:val="left"/>
        <w:rPr>
          <w:color w:val="212121"/>
          <w:sz w:val="24"/>
          <w:szCs w:val="24"/>
          <w:shd w:val="clear" w:color="auto" w:fill="FFFFFF"/>
        </w:rPr>
      </w:pPr>
    </w:p>
    <w:p w:rsidR="0016596D" w:rsidRPr="0016596D" w:rsidP="0016596D" w14:paraId="5C6420D4" w14:textId="77777777">
      <w:pPr>
        <w:spacing w:after="0" w:line="240" w:lineRule="auto"/>
        <w:jc w:val="left"/>
        <w:rPr>
          <w:color w:val="212121"/>
          <w:sz w:val="24"/>
          <w:szCs w:val="24"/>
          <w:shd w:val="clear" w:color="auto" w:fill="FFFFFF"/>
        </w:rPr>
      </w:pPr>
      <w:r w:rsidRPr="0016596D">
        <w:rPr>
          <w:color w:val="212121"/>
          <w:sz w:val="24"/>
          <w:szCs w:val="24"/>
          <w:shd w:val="clear" w:color="auto" w:fill="FFFFFF"/>
        </w:rPr>
        <w:t>Candace J. Morey</w:t>
      </w:r>
    </w:p>
    <w:p w:rsidR="0016596D" w:rsidRPr="0016596D" w:rsidP="0016596D" w14:paraId="084C466D" w14:textId="77777777">
      <w:pPr>
        <w:spacing w:after="0" w:line="240" w:lineRule="auto"/>
        <w:jc w:val="left"/>
        <w:rPr>
          <w:color w:val="212121"/>
          <w:sz w:val="24"/>
          <w:szCs w:val="24"/>
          <w:shd w:val="clear" w:color="auto" w:fill="FFFFFF"/>
        </w:rPr>
      </w:pPr>
      <w:r w:rsidRPr="0016596D">
        <w:rPr>
          <w:color w:val="212121"/>
          <w:sz w:val="24"/>
          <w:szCs w:val="24"/>
          <w:shd w:val="clear" w:color="auto" w:fill="FFFFFF"/>
        </w:rPr>
        <w:t>California Public Utilities Commission</w:t>
      </w:r>
    </w:p>
    <w:p w:rsidR="0016596D" w:rsidRPr="0016596D" w:rsidP="0016596D" w14:paraId="71367C2A" w14:textId="77777777">
      <w:pPr>
        <w:spacing w:after="0" w:line="240" w:lineRule="auto"/>
        <w:jc w:val="left"/>
        <w:rPr>
          <w:color w:val="212121"/>
          <w:sz w:val="24"/>
          <w:szCs w:val="24"/>
          <w:shd w:val="clear" w:color="auto" w:fill="FFFFFF"/>
        </w:rPr>
      </w:pPr>
      <w:r w:rsidRPr="0016596D">
        <w:rPr>
          <w:color w:val="212121"/>
          <w:sz w:val="24"/>
          <w:szCs w:val="24"/>
          <w:shd w:val="clear" w:color="auto" w:fill="FFFFFF"/>
        </w:rPr>
        <w:t>505 Van Ness Avenue</w:t>
      </w:r>
    </w:p>
    <w:p w:rsidR="0016596D" w:rsidRPr="0016596D" w:rsidP="0016596D" w14:paraId="52465CC7" w14:textId="77777777">
      <w:pPr>
        <w:spacing w:after="0" w:line="240" w:lineRule="auto"/>
        <w:jc w:val="left"/>
        <w:rPr>
          <w:color w:val="212121"/>
          <w:sz w:val="24"/>
          <w:szCs w:val="24"/>
          <w:shd w:val="clear" w:color="auto" w:fill="FFFFFF"/>
        </w:rPr>
      </w:pPr>
      <w:r w:rsidRPr="0016596D">
        <w:rPr>
          <w:color w:val="212121"/>
          <w:sz w:val="24"/>
          <w:szCs w:val="24"/>
          <w:shd w:val="clear" w:color="auto" w:fill="FFFFFF"/>
        </w:rPr>
        <w:t>San Francisco, CA 94102</w:t>
      </w:r>
    </w:p>
    <w:p w:rsidR="0016596D" w:rsidRPr="0016596D" w:rsidP="0016596D" w14:paraId="70623281" w14:textId="77777777">
      <w:pPr>
        <w:spacing w:after="0" w:line="240" w:lineRule="auto"/>
        <w:jc w:val="left"/>
        <w:rPr>
          <w:sz w:val="24"/>
          <w:szCs w:val="24"/>
        </w:rPr>
      </w:pPr>
      <w:r w:rsidRPr="0016596D">
        <w:rPr>
          <w:color w:val="212121"/>
          <w:sz w:val="24"/>
          <w:szCs w:val="24"/>
          <w:shd w:val="clear" w:color="auto" w:fill="FFFFFF"/>
        </w:rPr>
        <w:t>(415) 703-3211</w:t>
      </w:r>
    </w:p>
    <w:p w:rsidR="001D5DF7" w:rsidP="0016596D" w14:paraId="4FB03EFD" w14:textId="77777777">
      <w:pPr>
        <w:spacing w:after="0" w:line="240" w:lineRule="auto"/>
        <w:jc w:val="left"/>
        <w:rPr>
          <w:rStyle w:val="normaltextrun"/>
          <w:rFonts w:cstheme="minorHAnsi"/>
          <w:b/>
          <w:szCs w:val="26"/>
          <w:shd w:val="clear" w:color="auto" w:fill="FFFFFF"/>
        </w:rPr>
      </w:pPr>
    </w:p>
    <w:sectPr w:rsidSect="00EC2BB8">
      <w:headerReference w:type="default" r:id="rId10"/>
      <w:footerReference w:type="default" r:id="rId11"/>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462" w14:paraId="4FB03F04"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3EF" w14:paraId="4FB03F06"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596D" w:rsidRPr="0016596D" w:rsidP="0016596D" w14:paraId="7F7F18AE" w14:textId="49E2B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6C5D" w14:paraId="4FB03EFE" w14:textId="77777777">
      <w:r>
        <w:separator/>
      </w:r>
    </w:p>
  </w:footnote>
  <w:footnote w:type="continuationSeparator" w:id="1">
    <w:p w:rsidR="003F6C5D" w14:paraId="4FB03EFF" w14:textId="77777777">
      <w:pPr>
        <w:rPr>
          <w:sz w:val="22"/>
        </w:rPr>
      </w:pPr>
      <w:r>
        <w:continuationSeparator/>
      </w:r>
    </w:p>
  </w:footnote>
  <w:footnote w:type="continuationNotice" w:id="2">
    <w:p w:rsidR="003F6C5D" w14:paraId="4FB03F00" w14:textId="77777777">
      <w:pPr>
        <w:jc w:val="right"/>
        <w:rPr>
          <w:i/>
          <w:sz w:val="20"/>
        </w:rPr>
      </w:pPr>
    </w:p>
  </w:footnote>
  <w:footnote w:id="3">
    <w:p w:rsidR="00666AB6" w:rsidP="00666AB6" w14:paraId="4FB03F07" w14:textId="77777777">
      <w:pPr>
        <w:pStyle w:val="FootnoteText"/>
      </w:pPr>
      <w:r>
        <w:rPr>
          <w:rStyle w:val="FootnoteReference"/>
        </w:rPr>
        <w:t>*</w:t>
      </w:r>
      <w:r>
        <w:t xml:space="preserve"> </w:t>
      </w:r>
      <w:r>
        <w:tab/>
      </w:r>
      <w:bookmarkStart w:id="0" w:name="_Hlk2089907"/>
      <w:r w:rsidRPr="00666AB6">
        <w:rPr>
          <w:lang w:bidi="en-US"/>
        </w:rPr>
        <w:t xml:space="preserve">Associate Justice of the Court of Appeal, Fourth Appellate District, Division One, assigned by the Chief Justice pursuant to article VI, section 6 of the California </w:t>
      </w:r>
      <w:bookmarkEnd w:id="0"/>
      <w:r w:rsidRPr="00666AB6" w:rsidR="003E31DF">
        <w:rPr>
          <w:lang w:bidi="en-US"/>
        </w:rPr>
        <w:t>Constitution.</w:t>
      </w:r>
    </w:p>
  </w:footnote>
  <w:footnote w:id="4">
    <w:p w:rsidR="00666AB6" w:rsidP="00666AB6" w14:paraId="4FB03F08" w14:textId="77777777">
      <w:pPr>
        <w:pStyle w:val="FootnoteText"/>
      </w:pPr>
      <w:r>
        <w:rPr>
          <w:rStyle w:val="FootnoteReference"/>
        </w:rPr>
        <w:t>*</w:t>
      </w:r>
      <w:r>
        <w:t xml:space="preserve"> </w:t>
      </w:r>
      <w:r>
        <w:tab/>
      </w:r>
      <w:r w:rsidRPr="00666AB6">
        <w:rPr>
          <w:lang w:bidi="en-US"/>
        </w:rPr>
        <w:t>Associate Justice of the Court of Appeal, Fourth Appellate District, Division One,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3EF" w14:paraId="4FB03F01" w14:textId="0BA19012">
    <w:pPr>
      <w:pStyle w:val="Header"/>
    </w:pPr>
    <w:r>
      <w:t>GANTNER v. PG&amp;E CORP</w:t>
    </w:r>
    <w:r w:rsidR="00087F8D">
      <w:t>ORATION</w:t>
    </w:r>
  </w:p>
  <w:p w:rsidR="000773EF" w14:paraId="4FB03F02" w14:textId="77777777">
    <w:pPr>
      <w:pStyle w:val="Header"/>
    </w:pPr>
    <w:r>
      <w:t xml:space="preserve">Opinion of the Court by Liu, J. </w:t>
    </w:r>
  </w:p>
  <w:p w:rsidR="000773EF" w14:paraId="4FB03F0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E48" w:rsidRPr="00677E48" w:rsidP="00677E48" w14:paraId="4FB03F05" w14:textId="77777777">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596D" w14:paraId="51E237B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C50BE6"/>
    <w:multiLevelType w:val="hybridMultilevel"/>
    <w:tmpl w:val="471418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190C9C"/>
    <w:multiLevelType w:val="hybridMultilevel"/>
    <w:tmpl w:val="D422C75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9215FBF"/>
    <w:multiLevelType w:val="hybridMultilevel"/>
    <w:tmpl w:val="E2E4C4DE"/>
    <w:lvl w:ilvl="0">
      <w:start w:val="1"/>
      <w:numFmt w:val="decimal"/>
      <w:lvlText w:val="%1."/>
      <w:lvlJc w:val="left"/>
      <w:pPr>
        <w:ind w:left="720" w:hanging="360"/>
      </w:pPr>
      <w:rPr>
        <w:rFonts w:ascii="Source Sans Pro" w:hAnsi="Source Sans Pro" w:hint="default"/>
        <w:color w:val="3D3D3D"/>
        <w:sz w:val="25"/>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AAA32A1"/>
    <w:multiLevelType w:val="hybridMultilevel"/>
    <w:tmpl w:val="9F48170A"/>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35F3B4D"/>
    <w:multiLevelType w:val="hybridMultilevel"/>
    <w:tmpl w:val="5E62636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6A2CDB"/>
    <w:multiLevelType w:val="hybridMultilevel"/>
    <w:tmpl w:val="3AE6FA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8E2AA1"/>
    <w:multiLevelType w:val="hybridMultilevel"/>
    <w:tmpl w:val="19DEE3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1A1C48"/>
    <w:multiLevelType w:val="hybridMultilevel"/>
    <w:tmpl w:val="A154B0F6"/>
    <w:lvl w:ilvl="0">
      <w:start w:val="1"/>
      <w:numFmt w:val="lowerRoman"/>
      <w:lvlText w:val="%1."/>
      <w:lvlJc w:val="left"/>
      <w:pPr>
        <w:ind w:left="1080" w:hanging="72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6B1267"/>
    <w:multiLevelType w:val="hybridMultilevel"/>
    <w:tmpl w:val="FAD686A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56B19D8"/>
    <w:multiLevelType w:val="hybridMultilevel"/>
    <w:tmpl w:val="1EC484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EC84F22"/>
    <w:multiLevelType w:val="hybridMultilevel"/>
    <w:tmpl w:val="2B3AA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F863BC2"/>
    <w:multiLevelType w:val="hybridMultilevel"/>
    <w:tmpl w:val="5FBACE84"/>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33D41A5"/>
    <w:multiLevelType w:val="hybridMultilevel"/>
    <w:tmpl w:val="596E455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9B32C5A"/>
    <w:multiLevelType w:val="hybridMultilevel"/>
    <w:tmpl w:val="45B46F1C"/>
    <w:lvl w:ilvl="0">
      <w:start w:val="3"/>
      <w:numFmt w:val="upperLetter"/>
      <w:lvlText w:val="%1."/>
      <w:lvlJc w:val="left"/>
      <w:pPr>
        <w:ind w:left="1440" w:hanging="360"/>
      </w:pPr>
      <w:rPr>
        <w:rFonts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4A880DD0"/>
    <w:multiLevelType w:val="hybridMultilevel"/>
    <w:tmpl w:val="C4AEF5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B925F71"/>
    <w:multiLevelType w:val="hybridMultilevel"/>
    <w:tmpl w:val="5DB8E6D4"/>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6">
    <w:nsid w:val="52403507"/>
    <w:multiLevelType w:val="hybridMultilevel"/>
    <w:tmpl w:val="E50EEF6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61E42B64"/>
    <w:multiLevelType w:val="hybridMultilevel"/>
    <w:tmpl w:val="A206481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6642044"/>
    <w:multiLevelType w:val="hybridMultilevel"/>
    <w:tmpl w:val="380EC2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9E509A5"/>
    <w:multiLevelType w:val="hybridMultilevel"/>
    <w:tmpl w:val="6E4E10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F245F2E"/>
    <w:multiLevelType w:val="hybridMultilevel"/>
    <w:tmpl w:val="5010DBE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6"/>
  </w:num>
  <w:num w:numId="2">
    <w:abstractNumId w:val="9"/>
  </w:num>
  <w:num w:numId="3">
    <w:abstractNumId w:val="15"/>
  </w:num>
  <w:num w:numId="4">
    <w:abstractNumId w:val="20"/>
  </w:num>
  <w:num w:numId="5">
    <w:abstractNumId w:val="8"/>
  </w:num>
  <w:num w:numId="6">
    <w:abstractNumId w:val="1"/>
  </w:num>
  <w:num w:numId="7">
    <w:abstractNumId w:val="10"/>
  </w:num>
  <w:num w:numId="8">
    <w:abstractNumId w:val="19"/>
  </w:num>
  <w:num w:numId="9">
    <w:abstractNumId w:val="3"/>
  </w:num>
  <w:num w:numId="10">
    <w:abstractNumId w:val="13"/>
  </w:num>
  <w:num w:numId="11">
    <w:abstractNumId w:val="7"/>
  </w:num>
  <w:num w:numId="12">
    <w:abstractNumId w:val="12"/>
  </w:num>
  <w:num w:numId="13">
    <w:abstractNumId w:val="4"/>
  </w:num>
  <w:num w:numId="14">
    <w:abstractNumId w:val="6"/>
  </w:num>
  <w:num w:numId="15">
    <w:abstractNumId w:val="17"/>
  </w:num>
  <w:num w:numId="16">
    <w:abstractNumId w:val="0"/>
  </w:num>
  <w:num w:numId="17">
    <w:abstractNumId w:val="5"/>
  </w:num>
  <w:num w:numId="18">
    <w:abstractNumId w:val="11"/>
  </w:num>
  <w:num w:numId="19">
    <w:abstractNumId w:val="14"/>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intFractionalCharacterWidth/>
  <w:defaultTabStop w:val="720"/>
  <w:characterSpacingControl w:val="doNotCompress"/>
  <w:footnotePr>
    <w:numFmt w:val="chicago"/>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21"/>
    <w:rsid w:val="000000C5"/>
    <w:rsid w:val="000009DD"/>
    <w:rsid w:val="00001082"/>
    <w:rsid w:val="00001DCD"/>
    <w:rsid w:val="00003562"/>
    <w:rsid w:val="00003A45"/>
    <w:rsid w:val="00003BFC"/>
    <w:rsid w:val="00004BBB"/>
    <w:rsid w:val="0000512C"/>
    <w:rsid w:val="000053EA"/>
    <w:rsid w:val="00006215"/>
    <w:rsid w:val="0000636F"/>
    <w:rsid w:val="0000640C"/>
    <w:rsid w:val="00006938"/>
    <w:rsid w:val="000078C2"/>
    <w:rsid w:val="00007C0D"/>
    <w:rsid w:val="00007ECB"/>
    <w:rsid w:val="000101E9"/>
    <w:rsid w:val="0001049D"/>
    <w:rsid w:val="00010794"/>
    <w:rsid w:val="00010F6D"/>
    <w:rsid w:val="00011D15"/>
    <w:rsid w:val="00011DD5"/>
    <w:rsid w:val="0001367B"/>
    <w:rsid w:val="000142F9"/>
    <w:rsid w:val="0001462D"/>
    <w:rsid w:val="00014731"/>
    <w:rsid w:val="00014AF4"/>
    <w:rsid w:val="00014CE8"/>
    <w:rsid w:val="0001515A"/>
    <w:rsid w:val="00015E10"/>
    <w:rsid w:val="000167BA"/>
    <w:rsid w:val="00016B02"/>
    <w:rsid w:val="00017CFA"/>
    <w:rsid w:val="000208AD"/>
    <w:rsid w:val="00020A43"/>
    <w:rsid w:val="00020AFF"/>
    <w:rsid w:val="000212D5"/>
    <w:rsid w:val="0002142E"/>
    <w:rsid w:val="000216C1"/>
    <w:rsid w:val="0002216E"/>
    <w:rsid w:val="00022D05"/>
    <w:rsid w:val="000236DF"/>
    <w:rsid w:val="000236E8"/>
    <w:rsid w:val="00023873"/>
    <w:rsid w:val="000239A3"/>
    <w:rsid w:val="00023BDD"/>
    <w:rsid w:val="00023CB3"/>
    <w:rsid w:val="00023FEA"/>
    <w:rsid w:val="0002482D"/>
    <w:rsid w:val="00024A76"/>
    <w:rsid w:val="000257F7"/>
    <w:rsid w:val="000258FF"/>
    <w:rsid w:val="000267C8"/>
    <w:rsid w:val="0002685C"/>
    <w:rsid w:val="00027076"/>
    <w:rsid w:val="000270D2"/>
    <w:rsid w:val="00030091"/>
    <w:rsid w:val="00030313"/>
    <w:rsid w:val="00030F88"/>
    <w:rsid w:val="00031030"/>
    <w:rsid w:val="0003108C"/>
    <w:rsid w:val="000310F5"/>
    <w:rsid w:val="000313B8"/>
    <w:rsid w:val="00031ABE"/>
    <w:rsid w:val="00031E76"/>
    <w:rsid w:val="00031F98"/>
    <w:rsid w:val="00032351"/>
    <w:rsid w:val="0003248A"/>
    <w:rsid w:val="000328F6"/>
    <w:rsid w:val="00034487"/>
    <w:rsid w:val="000344AD"/>
    <w:rsid w:val="00034653"/>
    <w:rsid w:val="000347C4"/>
    <w:rsid w:val="00034894"/>
    <w:rsid w:val="00034B20"/>
    <w:rsid w:val="00034B4E"/>
    <w:rsid w:val="00034CB9"/>
    <w:rsid w:val="00034D7C"/>
    <w:rsid w:val="00035128"/>
    <w:rsid w:val="000356EA"/>
    <w:rsid w:val="000359AF"/>
    <w:rsid w:val="00035E19"/>
    <w:rsid w:val="00036250"/>
    <w:rsid w:val="00036672"/>
    <w:rsid w:val="00036AD5"/>
    <w:rsid w:val="00036F75"/>
    <w:rsid w:val="00037668"/>
    <w:rsid w:val="00037779"/>
    <w:rsid w:val="000404ED"/>
    <w:rsid w:val="000406C2"/>
    <w:rsid w:val="000408F4"/>
    <w:rsid w:val="00041008"/>
    <w:rsid w:val="00041108"/>
    <w:rsid w:val="000413AA"/>
    <w:rsid w:val="000422D2"/>
    <w:rsid w:val="000425EB"/>
    <w:rsid w:val="000425F4"/>
    <w:rsid w:val="00042BBD"/>
    <w:rsid w:val="00042ED5"/>
    <w:rsid w:val="0004349E"/>
    <w:rsid w:val="000438AD"/>
    <w:rsid w:val="00043D92"/>
    <w:rsid w:val="00044304"/>
    <w:rsid w:val="0004454F"/>
    <w:rsid w:val="00044B2E"/>
    <w:rsid w:val="00045213"/>
    <w:rsid w:val="00045425"/>
    <w:rsid w:val="00045790"/>
    <w:rsid w:val="0004619C"/>
    <w:rsid w:val="0004696F"/>
    <w:rsid w:val="00046A22"/>
    <w:rsid w:val="00046ADE"/>
    <w:rsid w:val="00046D9C"/>
    <w:rsid w:val="00047255"/>
    <w:rsid w:val="00047550"/>
    <w:rsid w:val="00047798"/>
    <w:rsid w:val="00047EC8"/>
    <w:rsid w:val="00047FA5"/>
    <w:rsid w:val="00047FFC"/>
    <w:rsid w:val="00050921"/>
    <w:rsid w:val="00050960"/>
    <w:rsid w:val="000518A8"/>
    <w:rsid w:val="000518BC"/>
    <w:rsid w:val="00052401"/>
    <w:rsid w:val="00053F66"/>
    <w:rsid w:val="00054551"/>
    <w:rsid w:val="00054A43"/>
    <w:rsid w:val="00055296"/>
    <w:rsid w:val="00056D75"/>
    <w:rsid w:val="000574EF"/>
    <w:rsid w:val="000579E2"/>
    <w:rsid w:val="00057C79"/>
    <w:rsid w:val="00060342"/>
    <w:rsid w:val="000608E3"/>
    <w:rsid w:val="00060955"/>
    <w:rsid w:val="00060ED7"/>
    <w:rsid w:val="00061455"/>
    <w:rsid w:val="000614A3"/>
    <w:rsid w:val="000615F8"/>
    <w:rsid w:val="00061698"/>
    <w:rsid w:val="000617B8"/>
    <w:rsid w:val="00061FA8"/>
    <w:rsid w:val="00062899"/>
    <w:rsid w:val="00062D6E"/>
    <w:rsid w:val="00063253"/>
    <w:rsid w:val="0006362B"/>
    <w:rsid w:val="0006391A"/>
    <w:rsid w:val="00064BF8"/>
    <w:rsid w:val="00065035"/>
    <w:rsid w:val="000654A4"/>
    <w:rsid w:val="00065D4A"/>
    <w:rsid w:val="0006669D"/>
    <w:rsid w:val="00066752"/>
    <w:rsid w:val="00067B04"/>
    <w:rsid w:val="00070550"/>
    <w:rsid w:val="0007117F"/>
    <w:rsid w:val="0007119C"/>
    <w:rsid w:val="000718F0"/>
    <w:rsid w:val="0007200E"/>
    <w:rsid w:val="0007230C"/>
    <w:rsid w:val="00072CCF"/>
    <w:rsid w:val="000733D8"/>
    <w:rsid w:val="00073BB9"/>
    <w:rsid w:val="00074121"/>
    <w:rsid w:val="0007436E"/>
    <w:rsid w:val="000746AA"/>
    <w:rsid w:val="00074E6C"/>
    <w:rsid w:val="00075551"/>
    <w:rsid w:val="000755AA"/>
    <w:rsid w:val="000757A7"/>
    <w:rsid w:val="00075948"/>
    <w:rsid w:val="00075C50"/>
    <w:rsid w:val="00075CC7"/>
    <w:rsid w:val="0007674C"/>
    <w:rsid w:val="000767C0"/>
    <w:rsid w:val="00076FFE"/>
    <w:rsid w:val="000773EF"/>
    <w:rsid w:val="000811DE"/>
    <w:rsid w:val="00081901"/>
    <w:rsid w:val="00081F95"/>
    <w:rsid w:val="00082442"/>
    <w:rsid w:val="000825A1"/>
    <w:rsid w:val="0008264A"/>
    <w:rsid w:val="000831DC"/>
    <w:rsid w:val="0008356A"/>
    <w:rsid w:val="000837E1"/>
    <w:rsid w:val="000838EA"/>
    <w:rsid w:val="00083968"/>
    <w:rsid w:val="00083AE1"/>
    <w:rsid w:val="00083D18"/>
    <w:rsid w:val="00083EC1"/>
    <w:rsid w:val="00084967"/>
    <w:rsid w:val="00084B48"/>
    <w:rsid w:val="00084D50"/>
    <w:rsid w:val="00084EC1"/>
    <w:rsid w:val="0008509F"/>
    <w:rsid w:val="00085B33"/>
    <w:rsid w:val="00085EAD"/>
    <w:rsid w:val="000869EC"/>
    <w:rsid w:val="00086DB4"/>
    <w:rsid w:val="000873DC"/>
    <w:rsid w:val="00087F8D"/>
    <w:rsid w:val="000920E7"/>
    <w:rsid w:val="000925A0"/>
    <w:rsid w:val="00092751"/>
    <w:rsid w:val="00092B1E"/>
    <w:rsid w:val="00092BDB"/>
    <w:rsid w:val="00093637"/>
    <w:rsid w:val="00093E9D"/>
    <w:rsid w:val="00094131"/>
    <w:rsid w:val="000942EE"/>
    <w:rsid w:val="00094A5D"/>
    <w:rsid w:val="00094B96"/>
    <w:rsid w:val="00095506"/>
    <w:rsid w:val="000957BA"/>
    <w:rsid w:val="00095B78"/>
    <w:rsid w:val="00096214"/>
    <w:rsid w:val="00096CE7"/>
    <w:rsid w:val="00097920"/>
    <w:rsid w:val="000A023D"/>
    <w:rsid w:val="000A0279"/>
    <w:rsid w:val="000A0662"/>
    <w:rsid w:val="000A0B2D"/>
    <w:rsid w:val="000A0CE5"/>
    <w:rsid w:val="000A137E"/>
    <w:rsid w:val="000A1782"/>
    <w:rsid w:val="000A185D"/>
    <w:rsid w:val="000A1A58"/>
    <w:rsid w:val="000A2F15"/>
    <w:rsid w:val="000A36D3"/>
    <w:rsid w:val="000A4518"/>
    <w:rsid w:val="000A5305"/>
    <w:rsid w:val="000A5519"/>
    <w:rsid w:val="000A55E2"/>
    <w:rsid w:val="000A5EDD"/>
    <w:rsid w:val="000A621A"/>
    <w:rsid w:val="000A64AB"/>
    <w:rsid w:val="000A6753"/>
    <w:rsid w:val="000A69A9"/>
    <w:rsid w:val="000A7DCD"/>
    <w:rsid w:val="000B04E1"/>
    <w:rsid w:val="000B0D60"/>
    <w:rsid w:val="000B0F12"/>
    <w:rsid w:val="000B1215"/>
    <w:rsid w:val="000B14C7"/>
    <w:rsid w:val="000B14EF"/>
    <w:rsid w:val="000B159C"/>
    <w:rsid w:val="000B1A99"/>
    <w:rsid w:val="000B1E08"/>
    <w:rsid w:val="000B2129"/>
    <w:rsid w:val="000B28E8"/>
    <w:rsid w:val="000B2FD3"/>
    <w:rsid w:val="000B352F"/>
    <w:rsid w:val="000B49FB"/>
    <w:rsid w:val="000B4A59"/>
    <w:rsid w:val="000B546C"/>
    <w:rsid w:val="000B56DA"/>
    <w:rsid w:val="000B5D96"/>
    <w:rsid w:val="000B6339"/>
    <w:rsid w:val="000B68F3"/>
    <w:rsid w:val="000B7484"/>
    <w:rsid w:val="000C0445"/>
    <w:rsid w:val="000C0E7D"/>
    <w:rsid w:val="000C1B7E"/>
    <w:rsid w:val="000C2285"/>
    <w:rsid w:val="000C24AD"/>
    <w:rsid w:val="000C2F30"/>
    <w:rsid w:val="000C30E4"/>
    <w:rsid w:val="000C31D0"/>
    <w:rsid w:val="000C3222"/>
    <w:rsid w:val="000C3406"/>
    <w:rsid w:val="000C36F9"/>
    <w:rsid w:val="000C4340"/>
    <w:rsid w:val="000C5284"/>
    <w:rsid w:val="000C579B"/>
    <w:rsid w:val="000C6634"/>
    <w:rsid w:val="000C6AC9"/>
    <w:rsid w:val="000C76B0"/>
    <w:rsid w:val="000C7BD0"/>
    <w:rsid w:val="000D06F4"/>
    <w:rsid w:val="000D072E"/>
    <w:rsid w:val="000D091D"/>
    <w:rsid w:val="000D1092"/>
    <w:rsid w:val="000D1D8A"/>
    <w:rsid w:val="000D39A1"/>
    <w:rsid w:val="000D3A49"/>
    <w:rsid w:val="000D4018"/>
    <w:rsid w:val="000D4891"/>
    <w:rsid w:val="000D4C0F"/>
    <w:rsid w:val="000D4C85"/>
    <w:rsid w:val="000D4E06"/>
    <w:rsid w:val="000D530D"/>
    <w:rsid w:val="000D5E4B"/>
    <w:rsid w:val="000D61C0"/>
    <w:rsid w:val="000D65E8"/>
    <w:rsid w:val="000D70E8"/>
    <w:rsid w:val="000D71CE"/>
    <w:rsid w:val="000D71D3"/>
    <w:rsid w:val="000D7405"/>
    <w:rsid w:val="000D74DE"/>
    <w:rsid w:val="000D75E2"/>
    <w:rsid w:val="000D79E8"/>
    <w:rsid w:val="000E0028"/>
    <w:rsid w:val="000E0BF1"/>
    <w:rsid w:val="000E2808"/>
    <w:rsid w:val="000E28EC"/>
    <w:rsid w:val="000E30FA"/>
    <w:rsid w:val="000E40ED"/>
    <w:rsid w:val="000E51DD"/>
    <w:rsid w:val="000E573B"/>
    <w:rsid w:val="000E6241"/>
    <w:rsid w:val="000E754E"/>
    <w:rsid w:val="000E7994"/>
    <w:rsid w:val="000F1049"/>
    <w:rsid w:val="000F230C"/>
    <w:rsid w:val="000F2757"/>
    <w:rsid w:val="000F2BBF"/>
    <w:rsid w:val="000F2EB7"/>
    <w:rsid w:val="000F3241"/>
    <w:rsid w:val="000F39E4"/>
    <w:rsid w:val="000F3C95"/>
    <w:rsid w:val="000F4024"/>
    <w:rsid w:val="000F4956"/>
    <w:rsid w:val="000F4E3F"/>
    <w:rsid w:val="000F5266"/>
    <w:rsid w:val="000F560A"/>
    <w:rsid w:val="000F5778"/>
    <w:rsid w:val="000F65F5"/>
    <w:rsid w:val="000F687D"/>
    <w:rsid w:val="000F6CF3"/>
    <w:rsid w:val="000F6FA7"/>
    <w:rsid w:val="000F7788"/>
    <w:rsid w:val="000F77FE"/>
    <w:rsid w:val="000F7BE9"/>
    <w:rsid w:val="000F7E8A"/>
    <w:rsid w:val="000F7ECA"/>
    <w:rsid w:val="001000DF"/>
    <w:rsid w:val="0010090C"/>
    <w:rsid w:val="0010100A"/>
    <w:rsid w:val="001012F4"/>
    <w:rsid w:val="00101624"/>
    <w:rsid w:val="00101E31"/>
    <w:rsid w:val="00102224"/>
    <w:rsid w:val="0010277E"/>
    <w:rsid w:val="00102F79"/>
    <w:rsid w:val="00103841"/>
    <w:rsid w:val="00103E8B"/>
    <w:rsid w:val="0010439E"/>
    <w:rsid w:val="00105177"/>
    <w:rsid w:val="001054F4"/>
    <w:rsid w:val="001055A8"/>
    <w:rsid w:val="00105CAB"/>
    <w:rsid w:val="001061A1"/>
    <w:rsid w:val="001074BC"/>
    <w:rsid w:val="00112391"/>
    <w:rsid w:val="00114168"/>
    <w:rsid w:val="00114E04"/>
    <w:rsid w:val="0011593A"/>
    <w:rsid w:val="00116320"/>
    <w:rsid w:val="001174EA"/>
    <w:rsid w:val="00117C8D"/>
    <w:rsid w:val="00117F3B"/>
    <w:rsid w:val="00120634"/>
    <w:rsid w:val="00120934"/>
    <w:rsid w:val="00121347"/>
    <w:rsid w:val="00121842"/>
    <w:rsid w:val="0012214E"/>
    <w:rsid w:val="00122FE1"/>
    <w:rsid w:val="001234A4"/>
    <w:rsid w:val="001234DB"/>
    <w:rsid w:val="0012377B"/>
    <w:rsid w:val="00123FA5"/>
    <w:rsid w:val="001247F1"/>
    <w:rsid w:val="00124CBE"/>
    <w:rsid w:val="001250C3"/>
    <w:rsid w:val="00125DFD"/>
    <w:rsid w:val="00126341"/>
    <w:rsid w:val="001267B2"/>
    <w:rsid w:val="0012701D"/>
    <w:rsid w:val="0012757E"/>
    <w:rsid w:val="001279C3"/>
    <w:rsid w:val="00127DEB"/>
    <w:rsid w:val="001301B9"/>
    <w:rsid w:val="00130B0E"/>
    <w:rsid w:val="00130DAB"/>
    <w:rsid w:val="00131235"/>
    <w:rsid w:val="001319BF"/>
    <w:rsid w:val="00131C9F"/>
    <w:rsid w:val="00131D0E"/>
    <w:rsid w:val="00132312"/>
    <w:rsid w:val="00132696"/>
    <w:rsid w:val="00132BA4"/>
    <w:rsid w:val="0013332F"/>
    <w:rsid w:val="00133971"/>
    <w:rsid w:val="00133B9B"/>
    <w:rsid w:val="00134B55"/>
    <w:rsid w:val="00134F1F"/>
    <w:rsid w:val="0013535A"/>
    <w:rsid w:val="001353B2"/>
    <w:rsid w:val="00135618"/>
    <w:rsid w:val="00136686"/>
    <w:rsid w:val="001374A5"/>
    <w:rsid w:val="00137D25"/>
    <w:rsid w:val="00137F3B"/>
    <w:rsid w:val="0014007B"/>
    <w:rsid w:val="00140728"/>
    <w:rsid w:val="001409A6"/>
    <w:rsid w:val="00141206"/>
    <w:rsid w:val="00141427"/>
    <w:rsid w:val="00141E65"/>
    <w:rsid w:val="00141EF0"/>
    <w:rsid w:val="00142076"/>
    <w:rsid w:val="001422CF"/>
    <w:rsid w:val="001424DC"/>
    <w:rsid w:val="00142F37"/>
    <w:rsid w:val="00142F4C"/>
    <w:rsid w:val="00143867"/>
    <w:rsid w:val="001445FF"/>
    <w:rsid w:val="00144F2B"/>
    <w:rsid w:val="0014531B"/>
    <w:rsid w:val="001464F3"/>
    <w:rsid w:val="001465EC"/>
    <w:rsid w:val="00146A47"/>
    <w:rsid w:val="00146BB8"/>
    <w:rsid w:val="00146FD3"/>
    <w:rsid w:val="001470AA"/>
    <w:rsid w:val="00147A50"/>
    <w:rsid w:val="00150B34"/>
    <w:rsid w:val="00150E02"/>
    <w:rsid w:val="0015137C"/>
    <w:rsid w:val="00151422"/>
    <w:rsid w:val="00151D8D"/>
    <w:rsid w:val="00152725"/>
    <w:rsid w:val="00152988"/>
    <w:rsid w:val="00152D7A"/>
    <w:rsid w:val="00152E22"/>
    <w:rsid w:val="001545E0"/>
    <w:rsid w:val="001549EB"/>
    <w:rsid w:val="00154BED"/>
    <w:rsid w:val="001556F4"/>
    <w:rsid w:val="00155CFA"/>
    <w:rsid w:val="0015655D"/>
    <w:rsid w:val="00156577"/>
    <w:rsid w:val="001568E1"/>
    <w:rsid w:val="0015705D"/>
    <w:rsid w:val="00157445"/>
    <w:rsid w:val="00157EB4"/>
    <w:rsid w:val="001602D4"/>
    <w:rsid w:val="001605C6"/>
    <w:rsid w:val="00160E5C"/>
    <w:rsid w:val="00160FAB"/>
    <w:rsid w:val="001611C2"/>
    <w:rsid w:val="00161A14"/>
    <w:rsid w:val="00162C3F"/>
    <w:rsid w:val="00163109"/>
    <w:rsid w:val="00163B76"/>
    <w:rsid w:val="0016518B"/>
    <w:rsid w:val="0016596D"/>
    <w:rsid w:val="00165C42"/>
    <w:rsid w:val="00165D15"/>
    <w:rsid w:val="001665DD"/>
    <w:rsid w:val="0016668C"/>
    <w:rsid w:val="001669F2"/>
    <w:rsid w:val="00166CE6"/>
    <w:rsid w:val="00166E38"/>
    <w:rsid w:val="00167550"/>
    <w:rsid w:val="00171B34"/>
    <w:rsid w:val="00171CD9"/>
    <w:rsid w:val="00172A70"/>
    <w:rsid w:val="00172CF3"/>
    <w:rsid w:val="00172F1D"/>
    <w:rsid w:val="00173190"/>
    <w:rsid w:val="00173B48"/>
    <w:rsid w:val="00173CAA"/>
    <w:rsid w:val="00173E8F"/>
    <w:rsid w:val="00173EBF"/>
    <w:rsid w:val="00174642"/>
    <w:rsid w:val="001751B4"/>
    <w:rsid w:val="00176853"/>
    <w:rsid w:val="00176A38"/>
    <w:rsid w:val="00177342"/>
    <w:rsid w:val="001773CD"/>
    <w:rsid w:val="00177852"/>
    <w:rsid w:val="00180585"/>
    <w:rsid w:val="00180DE1"/>
    <w:rsid w:val="00182036"/>
    <w:rsid w:val="001825A9"/>
    <w:rsid w:val="0018353B"/>
    <w:rsid w:val="001835DC"/>
    <w:rsid w:val="001836BD"/>
    <w:rsid w:val="00183C04"/>
    <w:rsid w:val="00183E11"/>
    <w:rsid w:val="0018484D"/>
    <w:rsid w:val="00184874"/>
    <w:rsid w:val="00184A93"/>
    <w:rsid w:val="00184AAB"/>
    <w:rsid w:val="00184DB7"/>
    <w:rsid w:val="001859B3"/>
    <w:rsid w:val="00185A45"/>
    <w:rsid w:val="00185BF7"/>
    <w:rsid w:val="00186652"/>
    <w:rsid w:val="00186705"/>
    <w:rsid w:val="00187A27"/>
    <w:rsid w:val="00187EFC"/>
    <w:rsid w:val="001900B0"/>
    <w:rsid w:val="0019052E"/>
    <w:rsid w:val="0019088F"/>
    <w:rsid w:val="001920C8"/>
    <w:rsid w:val="001923B7"/>
    <w:rsid w:val="00192A5B"/>
    <w:rsid w:val="001933F4"/>
    <w:rsid w:val="00193710"/>
    <w:rsid w:val="00193A1F"/>
    <w:rsid w:val="00193B49"/>
    <w:rsid w:val="00194079"/>
    <w:rsid w:val="00194B02"/>
    <w:rsid w:val="0019560B"/>
    <w:rsid w:val="001958B7"/>
    <w:rsid w:val="00195990"/>
    <w:rsid w:val="00196236"/>
    <w:rsid w:val="0019642D"/>
    <w:rsid w:val="00197570"/>
    <w:rsid w:val="001A097E"/>
    <w:rsid w:val="001A10A3"/>
    <w:rsid w:val="001A11DB"/>
    <w:rsid w:val="001A1400"/>
    <w:rsid w:val="001A17CA"/>
    <w:rsid w:val="001A1D1A"/>
    <w:rsid w:val="001A2089"/>
    <w:rsid w:val="001A276E"/>
    <w:rsid w:val="001A2FC6"/>
    <w:rsid w:val="001A306C"/>
    <w:rsid w:val="001A454A"/>
    <w:rsid w:val="001A4BDA"/>
    <w:rsid w:val="001A4D85"/>
    <w:rsid w:val="001A5288"/>
    <w:rsid w:val="001A555C"/>
    <w:rsid w:val="001A5B75"/>
    <w:rsid w:val="001A5C45"/>
    <w:rsid w:val="001A60C8"/>
    <w:rsid w:val="001B0723"/>
    <w:rsid w:val="001B1176"/>
    <w:rsid w:val="001B19C9"/>
    <w:rsid w:val="001B1A5E"/>
    <w:rsid w:val="001B1EAC"/>
    <w:rsid w:val="001B2725"/>
    <w:rsid w:val="001B29DF"/>
    <w:rsid w:val="001B31AD"/>
    <w:rsid w:val="001B368B"/>
    <w:rsid w:val="001B3946"/>
    <w:rsid w:val="001B46E5"/>
    <w:rsid w:val="001B5068"/>
    <w:rsid w:val="001B562C"/>
    <w:rsid w:val="001B57E0"/>
    <w:rsid w:val="001B7081"/>
    <w:rsid w:val="001B72A3"/>
    <w:rsid w:val="001B78E8"/>
    <w:rsid w:val="001B796E"/>
    <w:rsid w:val="001C0031"/>
    <w:rsid w:val="001C0895"/>
    <w:rsid w:val="001C0B37"/>
    <w:rsid w:val="001C107A"/>
    <w:rsid w:val="001C2169"/>
    <w:rsid w:val="001C23C5"/>
    <w:rsid w:val="001C2AB4"/>
    <w:rsid w:val="001C2E5F"/>
    <w:rsid w:val="001C31E2"/>
    <w:rsid w:val="001C390C"/>
    <w:rsid w:val="001C5BBD"/>
    <w:rsid w:val="001C5C72"/>
    <w:rsid w:val="001C5CE5"/>
    <w:rsid w:val="001C6106"/>
    <w:rsid w:val="001C6A1B"/>
    <w:rsid w:val="001D091C"/>
    <w:rsid w:val="001D11F3"/>
    <w:rsid w:val="001D1719"/>
    <w:rsid w:val="001D1E74"/>
    <w:rsid w:val="001D1F78"/>
    <w:rsid w:val="001D3AD4"/>
    <w:rsid w:val="001D49E4"/>
    <w:rsid w:val="001D5053"/>
    <w:rsid w:val="001D5DF7"/>
    <w:rsid w:val="001D5EF6"/>
    <w:rsid w:val="001D62AC"/>
    <w:rsid w:val="001D6322"/>
    <w:rsid w:val="001E06C8"/>
    <w:rsid w:val="001E155A"/>
    <w:rsid w:val="001E2115"/>
    <w:rsid w:val="001E278A"/>
    <w:rsid w:val="001E2921"/>
    <w:rsid w:val="001E2AD6"/>
    <w:rsid w:val="001E2AED"/>
    <w:rsid w:val="001E35C9"/>
    <w:rsid w:val="001E4607"/>
    <w:rsid w:val="001E49B9"/>
    <w:rsid w:val="001E4A6A"/>
    <w:rsid w:val="001E57FA"/>
    <w:rsid w:val="001E6242"/>
    <w:rsid w:val="001E6B6F"/>
    <w:rsid w:val="001E73FF"/>
    <w:rsid w:val="001E7489"/>
    <w:rsid w:val="001F0056"/>
    <w:rsid w:val="001F0BE9"/>
    <w:rsid w:val="001F0CB0"/>
    <w:rsid w:val="001F200B"/>
    <w:rsid w:val="001F22DA"/>
    <w:rsid w:val="001F2871"/>
    <w:rsid w:val="001F2A53"/>
    <w:rsid w:val="001F4E6F"/>
    <w:rsid w:val="001F5DAC"/>
    <w:rsid w:val="001F6209"/>
    <w:rsid w:val="001F70DB"/>
    <w:rsid w:val="001F7574"/>
    <w:rsid w:val="00200860"/>
    <w:rsid w:val="00201241"/>
    <w:rsid w:val="002013F7"/>
    <w:rsid w:val="00201851"/>
    <w:rsid w:val="002019B2"/>
    <w:rsid w:val="002026DA"/>
    <w:rsid w:val="002027C9"/>
    <w:rsid w:val="002029BF"/>
    <w:rsid w:val="00203FF2"/>
    <w:rsid w:val="002053DE"/>
    <w:rsid w:val="00205440"/>
    <w:rsid w:val="00205F3C"/>
    <w:rsid w:val="00206298"/>
    <w:rsid w:val="00206322"/>
    <w:rsid w:val="0020636A"/>
    <w:rsid w:val="0020664F"/>
    <w:rsid w:val="00206776"/>
    <w:rsid w:val="0021064A"/>
    <w:rsid w:val="002108FD"/>
    <w:rsid w:val="00210CD2"/>
    <w:rsid w:val="00210D8C"/>
    <w:rsid w:val="00211BF7"/>
    <w:rsid w:val="002120BB"/>
    <w:rsid w:val="002123D1"/>
    <w:rsid w:val="00213F6F"/>
    <w:rsid w:val="002140F1"/>
    <w:rsid w:val="00214171"/>
    <w:rsid w:val="00216F63"/>
    <w:rsid w:val="00217A7E"/>
    <w:rsid w:val="00217C64"/>
    <w:rsid w:val="00217FE3"/>
    <w:rsid w:val="00220138"/>
    <w:rsid w:val="00221451"/>
    <w:rsid w:val="002221C9"/>
    <w:rsid w:val="00222869"/>
    <w:rsid w:val="00222B10"/>
    <w:rsid w:val="00223404"/>
    <w:rsid w:val="00223EF9"/>
    <w:rsid w:val="00224D88"/>
    <w:rsid w:val="00225002"/>
    <w:rsid w:val="00225136"/>
    <w:rsid w:val="002255FE"/>
    <w:rsid w:val="00225A3A"/>
    <w:rsid w:val="002263B9"/>
    <w:rsid w:val="00227276"/>
    <w:rsid w:val="00227384"/>
    <w:rsid w:val="002302A7"/>
    <w:rsid w:val="002303F1"/>
    <w:rsid w:val="002304EF"/>
    <w:rsid w:val="00230696"/>
    <w:rsid w:val="002307A3"/>
    <w:rsid w:val="002307E3"/>
    <w:rsid w:val="00230E4B"/>
    <w:rsid w:val="002310C4"/>
    <w:rsid w:val="00231B76"/>
    <w:rsid w:val="00231E3B"/>
    <w:rsid w:val="002321BF"/>
    <w:rsid w:val="002327DC"/>
    <w:rsid w:val="0023297A"/>
    <w:rsid w:val="002335C1"/>
    <w:rsid w:val="00233665"/>
    <w:rsid w:val="00234F5F"/>
    <w:rsid w:val="00234FE7"/>
    <w:rsid w:val="002352C7"/>
    <w:rsid w:val="00235604"/>
    <w:rsid w:val="00235721"/>
    <w:rsid w:val="0023609B"/>
    <w:rsid w:val="00236B80"/>
    <w:rsid w:val="0023786C"/>
    <w:rsid w:val="00237F0E"/>
    <w:rsid w:val="00240239"/>
    <w:rsid w:val="00240504"/>
    <w:rsid w:val="0024117A"/>
    <w:rsid w:val="002415EB"/>
    <w:rsid w:val="00242E21"/>
    <w:rsid w:val="002431FF"/>
    <w:rsid w:val="002432AD"/>
    <w:rsid w:val="002436AE"/>
    <w:rsid w:val="00244204"/>
    <w:rsid w:val="0024453F"/>
    <w:rsid w:val="00244778"/>
    <w:rsid w:val="00245946"/>
    <w:rsid w:val="002465DD"/>
    <w:rsid w:val="00246832"/>
    <w:rsid w:val="00246DEE"/>
    <w:rsid w:val="00247155"/>
    <w:rsid w:val="002474FB"/>
    <w:rsid w:val="002477A6"/>
    <w:rsid w:val="00247B9F"/>
    <w:rsid w:val="0025011A"/>
    <w:rsid w:val="00250889"/>
    <w:rsid w:val="002509B8"/>
    <w:rsid w:val="00250C3B"/>
    <w:rsid w:val="0025106B"/>
    <w:rsid w:val="00251086"/>
    <w:rsid w:val="00251A93"/>
    <w:rsid w:val="00252287"/>
    <w:rsid w:val="002523A2"/>
    <w:rsid w:val="002526BE"/>
    <w:rsid w:val="00252992"/>
    <w:rsid w:val="00253AED"/>
    <w:rsid w:val="00253B84"/>
    <w:rsid w:val="00254967"/>
    <w:rsid w:val="00254FC1"/>
    <w:rsid w:val="00255BB0"/>
    <w:rsid w:val="00255F79"/>
    <w:rsid w:val="00256F27"/>
    <w:rsid w:val="0025726F"/>
    <w:rsid w:val="00257D14"/>
    <w:rsid w:val="00257EF1"/>
    <w:rsid w:val="002600ED"/>
    <w:rsid w:val="00260302"/>
    <w:rsid w:val="00260336"/>
    <w:rsid w:val="00260424"/>
    <w:rsid w:val="00260541"/>
    <w:rsid w:val="0026148C"/>
    <w:rsid w:val="00261C31"/>
    <w:rsid w:val="002622B8"/>
    <w:rsid w:val="002628FC"/>
    <w:rsid w:val="00262A81"/>
    <w:rsid w:val="00263515"/>
    <w:rsid w:val="00263F3E"/>
    <w:rsid w:val="00264CB7"/>
    <w:rsid w:val="0026552D"/>
    <w:rsid w:val="00265DFB"/>
    <w:rsid w:val="00266446"/>
    <w:rsid w:val="00266CD6"/>
    <w:rsid w:val="00266FEF"/>
    <w:rsid w:val="00267034"/>
    <w:rsid w:val="002679AD"/>
    <w:rsid w:val="00270EA2"/>
    <w:rsid w:val="0027146F"/>
    <w:rsid w:val="0027234C"/>
    <w:rsid w:val="00272D2E"/>
    <w:rsid w:val="00273767"/>
    <w:rsid w:val="00273C5A"/>
    <w:rsid w:val="00275B1D"/>
    <w:rsid w:val="00275B62"/>
    <w:rsid w:val="00276268"/>
    <w:rsid w:val="002776B4"/>
    <w:rsid w:val="0028001C"/>
    <w:rsid w:val="00280252"/>
    <w:rsid w:val="00280510"/>
    <w:rsid w:val="00280843"/>
    <w:rsid w:val="00280D9D"/>
    <w:rsid w:val="00281060"/>
    <w:rsid w:val="00281129"/>
    <w:rsid w:val="0028181F"/>
    <w:rsid w:val="00281897"/>
    <w:rsid w:val="00281B52"/>
    <w:rsid w:val="00281BC4"/>
    <w:rsid w:val="00281CD0"/>
    <w:rsid w:val="00282929"/>
    <w:rsid w:val="002841B6"/>
    <w:rsid w:val="0028434C"/>
    <w:rsid w:val="00284894"/>
    <w:rsid w:val="00284914"/>
    <w:rsid w:val="002851F2"/>
    <w:rsid w:val="00285574"/>
    <w:rsid w:val="00285C36"/>
    <w:rsid w:val="00285D59"/>
    <w:rsid w:val="002871FE"/>
    <w:rsid w:val="00287303"/>
    <w:rsid w:val="00290754"/>
    <w:rsid w:val="002914FB"/>
    <w:rsid w:val="00292669"/>
    <w:rsid w:val="00293910"/>
    <w:rsid w:val="00293EAE"/>
    <w:rsid w:val="002943FF"/>
    <w:rsid w:val="002945D2"/>
    <w:rsid w:val="00294C97"/>
    <w:rsid w:val="00294D6B"/>
    <w:rsid w:val="00294E10"/>
    <w:rsid w:val="0029587C"/>
    <w:rsid w:val="00295977"/>
    <w:rsid w:val="00295B0F"/>
    <w:rsid w:val="00295B7D"/>
    <w:rsid w:val="00295D92"/>
    <w:rsid w:val="002A00A9"/>
    <w:rsid w:val="002A045B"/>
    <w:rsid w:val="002A0F08"/>
    <w:rsid w:val="002A1D35"/>
    <w:rsid w:val="002A1F7B"/>
    <w:rsid w:val="002A214E"/>
    <w:rsid w:val="002A32FC"/>
    <w:rsid w:val="002A3609"/>
    <w:rsid w:val="002A37AF"/>
    <w:rsid w:val="002A3D10"/>
    <w:rsid w:val="002A4014"/>
    <w:rsid w:val="002A4E90"/>
    <w:rsid w:val="002A5CB9"/>
    <w:rsid w:val="002A61FD"/>
    <w:rsid w:val="002A6C78"/>
    <w:rsid w:val="002A73F1"/>
    <w:rsid w:val="002A75F5"/>
    <w:rsid w:val="002B0A4E"/>
    <w:rsid w:val="002B0CEC"/>
    <w:rsid w:val="002B1DDC"/>
    <w:rsid w:val="002B2143"/>
    <w:rsid w:val="002B2358"/>
    <w:rsid w:val="002B3166"/>
    <w:rsid w:val="002B337E"/>
    <w:rsid w:val="002B55BD"/>
    <w:rsid w:val="002B57EE"/>
    <w:rsid w:val="002B596B"/>
    <w:rsid w:val="002B5F06"/>
    <w:rsid w:val="002B6803"/>
    <w:rsid w:val="002B6E6F"/>
    <w:rsid w:val="002C0054"/>
    <w:rsid w:val="002C10C4"/>
    <w:rsid w:val="002C12FD"/>
    <w:rsid w:val="002C1449"/>
    <w:rsid w:val="002C2112"/>
    <w:rsid w:val="002C23D7"/>
    <w:rsid w:val="002C2C7C"/>
    <w:rsid w:val="002C2FA9"/>
    <w:rsid w:val="002C43E0"/>
    <w:rsid w:val="002C465C"/>
    <w:rsid w:val="002C4A1F"/>
    <w:rsid w:val="002C4DA5"/>
    <w:rsid w:val="002C4E06"/>
    <w:rsid w:val="002C4E7F"/>
    <w:rsid w:val="002C51F6"/>
    <w:rsid w:val="002C596C"/>
    <w:rsid w:val="002C5D14"/>
    <w:rsid w:val="002C6898"/>
    <w:rsid w:val="002C6A4A"/>
    <w:rsid w:val="002C6FFC"/>
    <w:rsid w:val="002C70B6"/>
    <w:rsid w:val="002C7A8A"/>
    <w:rsid w:val="002C7F39"/>
    <w:rsid w:val="002D03FE"/>
    <w:rsid w:val="002D2246"/>
    <w:rsid w:val="002D255D"/>
    <w:rsid w:val="002D28A0"/>
    <w:rsid w:val="002D3999"/>
    <w:rsid w:val="002D3B10"/>
    <w:rsid w:val="002D3ED1"/>
    <w:rsid w:val="002D4522"/>
    <w:rsid w:val="002D4C46"/>
    <w:rsid w:val="002D4DA4"/>
    <w:rsid w:val="002D5E50"/>
    <w:rsid w:val="002D62A2"/>
    <w:rsid w:val="002D6A74"/>
    <w:rsid w:val="002D7E14"/>
    <w:rsid w:val="002D7F00"/>
    <w:rsid w:val="002E024A"/>
    <w:rsid w:val="002E2175"/>
    <w:rsid w:val="002E367C"/>
    <w:rsid w:val="002E3871"/>
    <w:rsid w:val="002E42D9"/>
    <w:rsid w:val="002E476E"/>
    <w:rsid w:val="002E4960"/>
    <w:rsid w:val="002E4A3A"/>
    <w:rsid w:val="002E5F76"/>
    <w:rsid w:val="002E675A"/>
    <w:rsid w:val="002E6B0C"/>
    <w:rsid w:val="002E6B13"/>
    <w:rsid w:val="002E71FA"/>
    <w:rsid w:val="002E7457"/>
    <w:rsid w:val="002F0188"/>
    <w:rsid w:val="002F0427"/>
    <w:rsid w:val="002F07DE"/>
    <w:rsid w:val="002F0B5A"/>
    <w:rsid w:val="002F0BAC"/>
    <w:rsid w:val="002F0D76"/>
    <w:rsid w:val="002F10E6"/>
    <w:rsid w:val="002F110B"/>
    <w:rsid w:val="002F11A5"/>
    <w:rsid w:val="002F1528"/>
    <w:rsid w:val="002F176E"/>
    <w:rsid w:val="002F185B"/>
    <w:rsid w:val="002F1B1A"/>
    <w:rsid w:val="002F1FED"/>
    <w:rsid w:val="002F2097"/>
    <w:rsid w:val="002F241F"/>
    <w:rsid w:val="002F2748"/>
    <w:rsid w:val="002F2871"/>
    <w:rsid w:val="002F2FE9"/>
    <w:rsid w:val="002F375A"/>
    <w:rsid w:val="002F4807"/>
    <w:rsid w:val="002F539E"/>
    <w:rsid w:val="002F5CE4"/>
    <w:rsid w:val="002F63CC"/>
    <w:rsid w:val="002F6404"/>
    <w:rsid w:val="002F651E"/>
    <w:rsid w:val="002F65B9"/>
    <w:rsid w:val="002F67C6"/>
    <w:rsid w:val="002F6BCC"/>
    <w:rsid w:val="002F7269"/>
    <w:rsid w:val="002F740C"/>
    <w:rsid w:val="002F7824"/>
    <w:rsid w:val="00300152"/>
    <w:rsid w:val="00300ED0"/>
    <w:rsid w:val="00301ABB"/>
    <w:rsid w:val="00302714"/>
    <w:rsid w:val="00302DA1"/>
    <w:rsid w:val="003032F7"/>
    <w:rsid w:val="00303E49"/>
    <w:rsid w:val="0030520A"/>
    <w:rsid w:val="00305922"/>
    <w:rsid w:val="0030665F"/>
    <w:rsid w:val="0030772D"/>
    <w:rsid w:val="00307ED7"/>
    <w:rsid w:val="00310202"/>
    <w:rsid w:val="00310255"/>
    <w:rsid w:val="00310408"/>
    <w:rsid w:val="00311723"/>
    <w:rsid w:val="00311909"/>
    <w:rsid w:val="0031197F"/>
    <w:rsid w:val="0031200E"/>
    <w:rsid w:val="003123C9"/>
    <w:rsid w:val="0031500F"/>
    <w:rsid w:val="003154C6"/>
    <w:rsid w:val="00315B2B"/>
    <w:rsid w:val="00315B2E"/>
    <w:rsid w:val="00315CE9"/>
    <w:rsid w:val="00316270"/>
    <w:rsid w:val="00317204"/>
    <w:rsid w:val="00317601"/>
    <w:rsid w:val="00317B1F"/>
    <w:rsid w:val="00317BF8"/>
    <w:rsid w:val="00317D23"/>
    <w:rsid w:val="0032075B"/>
    <w:rsid w:val="0032116B"/>
    <w:rsid w:val="0032367B"/>
    <w:rsid w:val="00323A45"/>
    <w:rsid w:val="003256BE"/>
    <w:rsid w:val="00325E39"/>
    <w:rsid w:val="00326278"/>
    <w:rsid w:val="00326960"/>
    <w:rsid w:val="003273E5"/>
    <w:rsid w:val="0033019E"/>
    <w:rsid w:val="003306FB"/>
    <w:rsid w:val="00330C85"/>
    <w:rsid w:val="00330F15"/>
    <w:rsid w:val="0033175E"/>
    <w:rsid w:val="00332042"/>
    <w:rsid w:val="00332A17"/>
    <w:rsid w:val="00332BE8"/>
    <w:rsid w:val="00332CA1"/>
    <w:rsid w:val="00333086"/>
    <w:rsid w:val="0033341F"/>
    <w:rsid w:val="00333910"/>
    <w:rsid w:val="00334397"/>
    <w:rsid w:val="0033557A"/>
    <w:rsid w:val="00335B17"/>
    <w:rsid w:val="00335D4E"/>
    <w:rsid w:val="00336488"/>
    <w:rsid w:val="00336C3E"/>
    <w:rsid w:val="00340280"/>
    <w:rsid w:val="00340DAD"/>
    <w:rsid w:val="003412F2"/>
    <w:rsid w:val="003416DD"/>
    <w:rsid w:val="00341A31"/>
    <w:rsid w:val="0034316B"/>
    <w:rsid w:val="00343B0C"/>
    <w:rsid w:val="00344DFD"/>
    <w:rsid w:val="00345551"/>
    <w:rsid w:val="00345A46"/>
    <w:rsid w:val="00345FB3"/>
    <w:rsid w:val="00346EAB"/>
    <w:rsid w:val="003472A0"/>
    <w:rsid w:val="00350078"/>
    <w:rsid w:val="003505B1"/>
    <w:rsid w:val="00350E59"/>
    <w:rsid w:val="003517D3"/>
    <w:rsid w:val="00351B31"/>
    <w:rsid w:val="00352389"/>
    <w:rsid w:val="00352A3A"/>
    <w:rsid w:val="00352F0B"/>
    <w:rsid w:val="00352FAD"/>
    <w:rsid w:val="003534EA"/>
    <w:rsid w:val="00353D88"/>
    <w:rsid w:val="00353F4B"/>
    <w:rsid w:val="00355002"/>
    <w:rsid w:val="00355588"/>
    <w:rsid w:val="00355BEA"/>
    <w:rsid w:val="00356422"/>
    <w:rsid w:val="0035690A"/>
    <w:rsid w:val="00356DE5"/>
    <w:rsid w:val="00357065"/>
    <w:rsid w:val="003572B1"/>
    <w:rsid w:val="00357B0C"/>
    <w:rsid w:val="00357E01"/>
    <w:rsid w:val="00360208"/>
    <w:rsid w:val="00360541"/>
    <w:rsid w:val="003606A7"/>
    <w:rsid w:val="00360B4A"/>
    <w:rsid w:val="00361C02"/>
    <w:rsid w:val="003622E7"/>
    <w:rsid w:val="00362648"/>
    <w:rsid w:val="00362C09"/>
    <w:rsid w:val="0036310C"/>
    <w:rsid w:val="003636D5"/>
    <w:rsid w:val="00363C52"/>
    <w:rsid w:val="0036454C"/>
    <w:rsid w:val="0036455E"/>
    <w:rsid w:val="00364885"/>
    <w:rsid w:val="003648EF"/>
    <w:rsid w:val="00364DD7"/>
    <w:rsid w:val="00365118"/>
    <w:rsid w:val="00365445"/>
    <w:rsid w:val="00365660"/>
    <w:rsid w:val="003656A4"/>
    <w:rsid w:val="00365759"/>
    <w:rsid w:val="00365CC1"/>
    <w:rsid w:val="00365E44"/>
    <w:rsid w:val="003669F6"/>
    <w:rsid w:val="00366B7A"/>
    <w:rsid w:val="00366C98"/>
    <w:rsid w:val="00367144"/>
    <w:rsid w:val="00367262"/>
    <w:rsid w:val="00367C59"/>
    <w:rsid w:val="00367D8D"/>
    <w:rsid w:val="00370CEC"/>
    <w:rsid w:val="00370E42"/>
    <w:rsid w:val="00371519"/>
    <w:rsid w:val="003718CE"/>
    <w:rsid w:val="003719AE"/>
    <w:rsid w:val="00371C9B"/>
    <w:rsid w:val="003729E5"/>
    <w:rsid w:val="00372EE1"/>
    <w:rsid w:val="0037473B"/>
    <w:rsid w:val="0037540C"/>
    <w:rsid w:val="00375788"/>
    <w:rsid w:val="00375CEF"/>
    <w:rsid w:val="00376106"/>
    <w:rsid w:val="00380438"/>
    <w:rsid w:val="003809ED"/>
    <w:rsid w:val="00380B48"/>
    <w:rsid w:val="00380F55"/>
    <w:rsid w:val="00381500"/>
    <w:rsid w:val="00381984"/>
    <w:rsid w:val="003825B4"/>
    <w:rsid w:val="00382CE3"/>
    <w:rsid w:val="0038311F"/>
    <w:rsid w:val="00383B31"/>
    <w:rsid w:val="00383CD3"/>
    <w:rsid w:val="00383DB4"/>
    <w:rsid w:val="00384315"/>
    <w:rsid w:val="003858E7"/>
    <w:rsid w:val="003859FC"/>
    <w:rsid w:val="00385A99"/>
    <w:rsid w:val="00386500"/>
    <w:rsid w:val="00386BFE"/>
    <w:rsid w:val="00386C19"/>
    <w:rsid w:val="00386E8C"/>
    <w:rsid w:val="003870D9"/>
    <w:rsid w:val="003877EF"/>
    <w:rsid w:val="00390058"/>
    <w:rsid w:val="0039075A"/>
    <w:rsid w:val="00390A46"/>
    <w:rsid w:val="0039136B"/>
    <w:rsid w:val="00392AA7"/>
    <w:rsid w:val="003934DE"/>
    <w:rsid w:val="003939FF"/>
    <w:rsid w:val="00393C8D"/>
    <w:rsid w:val="003943AF"/>
    <w:rsid w:val="00394BBF"/>
    <w:rsid w:val="003958C3"/>
    <w:rsid w:val="00395B1E"/>
    <w:rsid w:val="00395E67"/>
    <w:rsid w:val="0039612C"/>
    <w:rsid w:val="003966B7"/>
    <w:rsid w:val="00397134"/>
    <w:rsid w:val="00397554"/>
    <w:rsid w:val="00397927"/>
    <w:rsid w:val="00397ECE"/>
    <w:rsid w:val="003A029D"/>
    <w:rsid w:val="003A05DF"/>
    <w:rsid w:val="003A11C4"/>
    <w:rsid w:val="003A161C"/>
    <w:rsid w:val="003A1D5F"/>
    <w:rsid w:val="003A2290"/>
    <w:rsid w:val="003A22CA"/>
    <w:rsid w:val="003A239C"/>
    <w:rsid w:val="003A2C94"/>
    <w:rsid w:val="003A2CA4"/>
    <w:rsid w:val="003A2E28"/>
    <w:rsid w:val="003A4962"/>
    <w:rsid w:val="003A49CE"/>
    <w:rsid w:val="003A5096"/>
    <w:rsid w:val="003A60A2"/>
    <w:rsid w:val="003A69BA"/>
    <w:rsid w:val="003A6AC1"/>
    <w:rsid w:val="003A7F58"/>
    <w:rsid w:val="003B06A5"/>
    <w:rsid w:val="003B09B1"/>
    <w:rsid w:val="003B0E0D"/>
    <w:rsid w:val="003B15A7"/>
    <w:rsid w:val="003B1CF2"/>
    <w:rsid w:val="003B2255"/>
    <w:rsid w:val="003B2A6A"/>
    <w:rsid w:val="003B4D84"/>
    <w:rsid w:val="003B516E"/>
    <w:rsid w:val="003B6119"/>
    <w:rsid w:val="003B668F"/>
    <w:rsid w:val="003B6CE9"/>
    <w:rsid w:val="003B7336"/>
    <w:rsid w:val="003B77F9"/>
    <w:rsid w:val="003B7868"/>
    <w:rsid w:val="003C0360"/>
    <w:rsid w:val="003C12AA"/>
    <w:rsid w:val="003C192B"/>
    <w:rsid w:val="003C2AC2"/>
    <w:rsid w:val="003C2B66"/>
    <w:rsid w:val="003C39BC"/>
    <w:rsid w:val="003C3CA5"/>
    <w:rsid w:val="003C4864"/>
    <w:rsid w:val="003C4AAD"/>
    <w:rsid w:val="003C5272"/>
    <w:rsid w:val="003C52C2"/>
    <w:rsid w:val="003C5E21"/>
    <w:rsid w:val="003C7240"/>
    <w:rsid w:val="003C7595"/>
    <w:rsid w:val="003C7634"/>
    <w:rsid w:val="003D0EFF"/>
    <w:rsid w:val="003D1601"/>
    <w:rsid w:val="003D1DAE"/>
    <w:rsid w:val="003D207A"/>
    <w:rsid w:val="003D2144"/>
    <w:rsid w:val="003D28A7"/>
    <w:rsid w:val="003D2D17"/>
    <w:rsid w:val="003D333B"/>
    <w:rsid w:val="003D3D7A"/>
    <w:rsid w:val="003D4378"/>
    <w:rsid w:val="003D4B0D"/>
    <w:rsid w:val="003D50F6"/>
    <w:rsid w:val="003D5FAF"/>
    <w:rsid w:val="003D65F2"/>
    <w:rsid w:val="003D66D3"/>
    <w:rsid w:val="003D6720"/>
    <w:rsid w:val="003D6AEB"/>
    <w:rsid w:val="003D6DE3"/>
    <w:rsid w:val="003D7036"/>
    <w:rsid w:val="003D7C76"/>
    <w:rsid w:val="003E0791"/>
    <w:rsid w:val="003E12AD"/>
    <w:rsid w:val="003E196F"/>
    <w:rsid w:val="003E2385"/>
    <w:rsid w:val="003E2E0F"/>
    <w:rsid w:val="003E31DF"/>
    <w:rsid w:val="003E3632"/>
    <w:rsid w:val="003E3716"/>
    <w:rsid w:val="003E3B91"/>
    <w:rsid w:val="003E3D78"/>
    <w:rsid w:val="003E43F0"/>
    <w:rsid w:val="003E5E5F"/>
    <w:rsid w:val="003E715A"/>
    <w:rsid w:val="003E73E7"/>
    <w:rsid w:val="003E7604"/>
    <w:rsid w:val="003E7A12"/>
    <w:rsid w:val="003E7CBE"/>
    <w:rsid w:val="003F04A3"/>
    <w:rsid w:val="003F1055"/>
    <w:rsid w:val="003F13AE"/>
    <w:rsid w:val="003F21E1"/>
    <w:rsid w:val="003F2EBA"/>
    <w:rsid w:val="003F33ED"/>
    <w:rsid w:val="003F3A6B"/>
    <w:rsid w:val="003F3FA8"/>
    <w:rsid w:val="003F43DC"/>
    <w:rsid w:val="003F46C8"/>
    <w:rsid w:val="003F48CB"/>
    <w:rsid w:val="003F4C74"/>
    <w:rsid w:val="003F6C5D"/>
    <w:rsid w:val="003F6D96"/>
    <w:rsid w:val="003F7169"/>
    <w:rsid w:val="003F784F"/>
    <w:rsid w:val="003F78AA"/>
    <w:rsid w:val="003F79A0"/>
    <w:rsid w:val="003F7DC3"/>
    <w:rsid w:val="004004CD"/>
    <w:rsid w:val="00400956"/>
    <w:rsid w:val="00400CA7"/>
    <w:rsid w:val="00400CFE"/>
    <w:rsid w:val="00401DA6"/>
    <w:rsid w:val="00403089"/>
    <w:rsid w:val="004031E9"/>
    <w:rsid w:val="0040323E"/>
    <w:rsid w:val="00403D24"/>
    <w:rsid w:val="00403FF9"/>
    <w:rsid w:val="00405C5C"/>
    <w:rsid w:val="0040699E"/>
    <w:rsid w:val="00407303"/>
    <w:rsid w:val="004076E6"/>
    <w:rsid w:val="00407991"/>
    <w:rsid w:val="00407C51"/>
    <w:rsid w:val="00407FC3"/>
    <w:rsid w:val="0041093A"/>
    <w:rsid w:val="00410BB6"/>
    <w:rsid w:val="00411DCA"/>
    <w:rsid w:val="004120CF"/>
    <w:rsid w:val="004124BD"/>
    <w:rsid w:val="0041263E"/>
    <w:rsid w:val="00412E60"/>
    <w:rsid w:val="0041380E"/>
    <w:rsid w:val="00413CCA"/>
    <w:rsid w:val="00413D1C"/>
    <w:rsid w:val="0041451E"/>
    <w:rsid w:val="0041507E"/>
    <w:rsid w:val="004151DA"/>
    <w:rsid w:val="00415E81"/>
    <w:rsid w:val="0041637D"/>
    <w:rsid w:val="004167B4"/>
    <w:rsid w:val="00416D46"/>
    <w:rsid w:val="00417628"/>
    <w:rsid w:val="00420193"/>
    <w:rsid w:val="00420891"/>
    <w:rsid w:val="0042100C"/>
    <w:rsid w:val="00421AE2"/>
    <w:rsid w:val="00422276"/>
    <w:rsid w:val="00422D63"/>
    <w:rsid w:val="00422DB8"/>
    <w:rsid w:val="004247F1"/>
    <w:rsid w:val="00424C39"/>
    <w:rsid w:val="0042537C"/>
    <w:rsid w:val="004257B2"/>
    <w:rsid w:val="00425DA6"/>
    <w:rsid w:val="004264F1"/>
    <w:rsid w:val="00426CCA"/>
    <w:rsid w:val="00426F03"/>
    <w:rsid w:val="0042747C"/>
    <w:rsid w:val="00427B56"/>
    <w:rsid w:val="00427C43"/>
    <w:rsid w:val="0043062E"/>
    <w:rsid w:val="00430B54"/>
    <w:rsid w:val="00430F1E"/>
    <w:rsid w:val="00430F93"/>
    <w:rsid w:val="00431302"/>
    <w:rsid w:val="00431739"/>
    <w:rsid w:val="0043178E"/>
    <w:rsid w:val="00431999"/>
    <w:rsid w:val="004319D8"/>
    <w:rsid w:val="00431FED"/>
    <w:rsid w:val="00432867"/>
    <w:rsid w:val="00432D9E"/>
    <w:rsid w:val="0043372F"/>
    <w:rsid w:val="00433A19"/>
    <w:rsid w:val="00433A7A"/>
    <w:rsid w:val="0043413C"/>
    <w:rsid w:val="004349C3"/>
    <w:rsid w:val="004355FB"/>
    <w:rsid w:val="00435A3B"/>
    <w:rsid w:val="0043603B"/>
    <w:rsid w:val="004367B2"/>
    <w:rsid w:val="00436E86"/>
    <w:rsid w:val="00437BF0"/>
    <w:rsid w:val="004402A6"/>
    <w:rsid w:val="00440491"/>
    <w:rsid w:val="00440BB0"/>
    <w:rsid w:val="00441211"/>
    <w:rsid w:val="0044144F"/>
    <w:rsid w:val="00441591"/>
    <w:rsid w:val="00441635"/>
    <w:rsid w:val="0044187E"/>
    <w:rsid w:val="004419CA"/>
    <w:rsid w:val="00441A16"/>
    <w:rsid w:val="00441AD2"/>
    <w:rsid w:val="00442000"/>
    <w:rsid w:val="00442761"/>
    <w:rsid w:val="004429B3"/>
    <w:rsid w:val="00442AF3"/>
    <w:rsid w:val="00443018"/>
    <w:rsid w:val="0044322D"/>
    <w:rsid w:val="00443FD0"/>
    <w:rsid w:val="00445785"/>
    <w:rsid w:val="00446639"/>
    <w:rsid w:val="00446929"/>
    <w:rsid w:val="00446FE3"/>
    <w:rsid w:val="00447662"/>
    <w:rsid w:val="004508FE"/>
    <w:rsid w:val="00450B19"/>
    <w:rsid w:val="00451002"/>
    <w:rsid w:val="00451E29"/>
    <w:rsid w:val="004529F9"/>
    <w:rsid w:val="00453287"/>
    <w:rsid w:val="004533C5"/>
    <w:rsid w:val="00453506"/>
    <w:rsid w:val="00453771"/>
    <w:rsid w:val="00453E0F"/>
    <w:rsid w:val="00454091"/>
    <w:rsid w:val="0045425E"/>
    <w:rsid w:val="00454861"/>
    <w:rsid w:val="00455952"/>
    <w:rsid w:val="00455D0E"/>
    <w:rsid w:val="00456013"/>
    <w:rsid w:val="0045636C"/>
    <w:rsid w:val="004567CF"/>
    <w:rsid w:val="004567E4"/>
    <w:rsid w:val="004569C7"/>
    <w:rsid w:val="00456C8A"/>
    <w:rsid w:val="00457F42"/>
    <w:rsid w:val="0046055E"/>
    <w:rsid w:val="00460CC4"/>
    <w:rsid w:val="00461AE6"/>
    <w:rsid w:val="00461CC7"/>
    <w:rsid w:val="00462C7F"/>
    <w:rsid w:val="004636D4"/>
    <w:rsid w:val="004637B0"/>
    <w:rsid w:val="00464000"/>
    <w:rsid w:val="00465903"/>
    <w:rsid w:val="004662F3"/>
    <w:rsid w:val="00466DBB"/>
    <w:rsid w:val="00467224"/>
    <w:rsid w:val="00467450"/>
    <w:rsid w:val="00467DC8"/>
    <w:rsid w:val="00467FD9"/>
    <w:rsid w:val="00470990"/>
    <w:rsid w:val="004718DB"/>
    <w:rsid w:val="00471E10"/>
    <w:rsid w:val="00471EA0"/>
    <w:rsid w:val="0047271E"/>
    <w:rsid w:val="00472F9C"/>
    <w:rsid w:val="00473289"/>
    <w:rsid w:val="00473430"/>
    <w:rsid w:val="00473BE5"/>
    <w:rsid w:val="00474889"/>
    <w:rsid w:val="00474A94"/>
    <w:rsid w:val="00474E20"/>
    <w:rsid w:val="00474EB6"/>
    <w:rsid w:val="00475273"/>
    <w:rsid w:val="004754B1"/>
    <w:rsid w:val="00475CC8"/>
    <w:rsid w:val="00475F2C"/>
    <w:rsid w:val="0047640F"/>
    <w:rsid w:val="00476C22"/>
    <w:rsid w:val="00476EF7"/>
    <w:rsid w:val="00476F39"/>
    <w:rsid w:val="0047764E"/>
    <w:rsid w:val="00477ED8"/>
    <w:rsid w:val="00477F12"/>
    <w:rsid w:val="0048141F"/>
    <w:rsid w:val="00481DAE"/>
    <w:rsid w:val="00481EB3"/>
    <w:rsid w:val="00481FE7"/>
    <w:rsid w:val="00482B9F"/>
    <w:rsid w:val="00482F7E"/>
    <w:rsid w:val="00483035"/>
    <w:rsid w:val="004831AC"/>
    <w:rsid w:val="004838EE"/>
    <w:rsid w:val="00483E5E"/>
    <w:rsid w:val="00485D1B"/>
    <w:rsid w:val="004863A5"/>
    <w:rsid w:val="00486542"/>
    <w:rsid w:val="00486C5F"/>
    <w:rsid w:val="004877FE"/>
    <w:rsid w:val="0049036A"/>
    <w:rsid w:val="0049044B"/>
    <w:rsid w:val="00491871"/>
    <w:rsid w:val="00491C7E"/>
    <w:rsid w:val="00491D1C"/>
    <w:rsid w:val="00491F87"/>
    <w:rsid w:val="00492782"/>
    <w:rsid w:val="00492B65"/>
    <w:rsid w:val="00492EA3"/>
    <w:rsid w:val="00492F58"/>
    <w:rsid w:val="00493008"/>
    <w:rsid w:val="00493462"/>
    <w:rsid w:val="004935D9"/>
    <w:rsid w:val="00493CFB"/>
    <w:rsid w:val="004950F9"/>
    <w:rsid w:val="004953BC"/>
    <w:rsid w:val="004955D6"/>
    <w:rsid w:val="0049568E"/>
    <w:rsid w:val="004963B4"/>
    <w:rsid w:val="0049687E"/>
    <w:rsid w:val="00496BCA"/>
    <w:rsid w:val="00497C25"/>
    <w:rsid w:val="004A01E4"/>
    <w:rsid w:val="004A0BF2"/>
    <w:rsid w:val="004A1022"/>
    <w:rsid w:val="004A1409"/>
    <w:rsid w:val="004A1811"/>
    <w:rsid w:val="004A1ACA"/>
    <w:rsid w:val="004A1B19"/>
    <w:rsid w:val="004A260E"/>
    <w:rsid w:val="004A3D30"/>
    <w:rsid w:val="004A4276"/>
    <w:rsid w:val="004A4521"/>
    <w:rsid w:val="004A49BB"/>
    <w:rsid w:val="004A4C88"/>
    <w:rsid w:val="004A61EB"/>
    <w:rsid w:val="004A65F0"/>
    <w:rsid w:val="004A6B23"/>
    <w:rsid w:val="004A6F51"/>
    <w:rsid w:val="004A6F79"/>
    <w:rsid w:val="004A78B1"/>
    <w:rsid w:val="004B0B97"/>
    <w:rsid w:val="004B102D"/>
    <w:rsid w:val="004B15CF"/>
    <w:rsid w:val="004B18D9"/>
    <w:rsid w:val="004B2046"/>
    <w:rsid w:val="004B219C"/>
    <w:rsid w:val="004B2266"/>
    <w:rsid w:val="004B25CB"/>
    <w:rsid w:val="004B266C"/>
    <w:rsid w:val="004B3EEF"/>
    <w:rsid w:val="004B4B58"/>
    <w:rsid w:val="004B4BC6"/>
    <w:rsid w:val="004B4EA6"/>
    <w:rsid w:val="004B510C"/>
    <w:rsid w:val="004B6533"/>
    <w:rsid w:val="004B6C8E"/>
    <w:rsid w:val="004B7083"/>
    <w:rsid w:val="004B742F"/>
    <w:rsid w:val="004B7FBF"/>
    <w:rsid w:val="004C056C"/>
    <w:rsid w:val="004C0A5D"/>
    <w:rsid w:val="004C0F1F"/>
    <w:rsid w:val="004C1024"/>
    <w:rsid w:val="004C11C9"/>
    <w:rsid w:val="004C156D"/>
    <w:rsid w:val="004C1A29"/>
    <w:rsid w:val="004C1CD6"/>
    <w:rsid w:val="004C22F9"/>
    <w:rsid w:val="004C2785"/>
    <w:rsid w:val="004C3861"/>
    <w:rsid w:val="004C44B5"/>
    <w:rsid w:val="004C6758"/>
    <w:rsid w:val="004C6BCA"/>
    <w:rsid w:val="004C6CF0"/>
    <w:rsid w:val="004C6DD8"/>
    <w:rsid w:val="004D0DC7"/>
    <w:rsid w:val="004D1767"/>
    <w:rsid w:val="004D1DB9"/>
    <w:rsid w:val="004D3956"/>
    <w:rsid w:val="004D3CFD"/>
    <w:rsid w:val="004D51AD"/>
    <w:rsid w:val="004D530A"/>
    <w:rsid w:val="004D5617"/>
    <w:rsid w:val="004D6218"/>
    <w:rsid w:val="004D721C"/>
    <w:rsid w:val="004D72A3"/>
    <w:rsid w:val="004D72E4"/>
    <w:rsid w:val="004E17B6"/>
    <w:rsid w:val="004E1805"/>
    <w:rsid w:val="004E183F"/>
    <w:rsid w:val="004E24B6"/>
    <w:rsid w:val="004E25D1"/>
    <w:rsid w:val="004E4258"/>
    <w:rsid w:val="004E4261"/>
    <w:rsid w:val="004E43C7"/>
    <w:rsid w:val="004E47FC"/>
    <w:rsid w:val="004E4F1A"/>
    <w:rsid w:val="004E5F5F"/>
    <w:rsid w:val="004E6597"/>
    <w:rsid w:val="004E678B"/>
    <w:rsid w:val="004E718A"/>
    <w:rsid w:val="004E7A36"/>
    <w:rsid w:val="004F06CE"/>
    <w:rsid w:val="004F149D"/>
    <w:rsid w:val="004F2961"/>
    <w:rsid w:val="004F2B49"/>
    <w:rsid w:val="004F2FA5"/>
    <w:rsid w:val="004F2FEE"/>
    <w:rsid w:val="004F3195"/>
    <w:rsid w:val="004F37D8"/>
    <w:rsid w:val="004F3DB2"/>
    <w:rsid w:val="004F3EE6"/>
    <w:rsid w:val="004F3F74"/>
    <w:rsid w:val="004F58D4"/>
    <w:rsid w:val="004F5E0A"/>
    <w:rsid w:val="004F621F"/>
    <w:rsid w:val="004F75DA"/>
    <w:rsid w:val="00500276"/>
    <w:rsid w:val="00500814"/>
    <w:rsid w:val="00500B62"/>
    <w:rsid w:val="00501194"/>
    <w:rsid w:val="00503834"/>
    <w:rsid w:val="005039B1"/>
    <w:rsid w:val="00503D31"/>
    <w:rsid w:val="00503FFD"/>
    <w:rsid w:val="00504918"/>
    <w:rsid w:val="00504F8D"/>
    <w:rsid w:val="00505134"/>
    <w:rsid w:val="0050527D"/>
    <w:rsid w:val="00505B37"/>
    <w:rsid w:val="0050751F"/>
    <w:rsid w:val="005075EA"/>
    <w:rsid w:val="00507A9E"/>
    <w:rsid w:val="00507BD1"/>
    <w:rsid w:val="00510125"/>
    <w:rsid w:val="005113AB"/>
    <w:rsid w:val="00512005"/>
    <w:rsid w:val="005129EA"/>
    <w:rsid w:val="00512A24"/>
    <w:rsid w:val="00512E42"/>
    <w:rsid w:val="0051304D"/>
    <w:rsid w:val="00513310"/>
    <w:rsid w:val="005133C9"/>
    <w:rsid w:val="00513B27"/>
    <w:rsid w:val="00514415"/>
    <w:rsid w:val="00514502"/>
    <w:rsid w:val="00515116"/>
    <w:rsid w:val="0051534E"/>
    <w:rsid w:val="0051549A"/>
    <w:rsid w:val="00515B20"/>
    <w:rsid w:val="00515DB6"/>
    <w:rsid w:val="00515F53"/>
    <w:rsid w:val="005160F3"/>
    <w:rsid w:val="0051681E"/>
    <w:rsid w:val="00516E13"/>
    <w:rsid w:val="005178AF"/>
    <w:rsid w:val="00520205"/>
    <w:rsid w:val="005203EB"/>
    <w:rsid w:val="00520839"/>
    <w:rsid w:val="0052306C"/>
    <w:rsid w:val="00523AE1"/>
    <w:rsid w:val="00524C06"/>
    <w:rsid w:val="0052531A"/>
    <w:rsid w:val="00525376"/>
    <w:rsid w:val="00525CBF"/>
    <w:rsid w:val="00526638"/>
    <w:rsid w:val="005267BA"/>
    <w:rsid w:val="00526CA2"/>
    <w:rsid w:val="0052758C"/>
    <w:rsid w:val="00527697"/>
    <w:rsid w:val="00530075"/>
    <w:rsid w:val="00530548"/>
    <w:rsid w:val="00531572"/>
    <w:rsid w:val="00532072"/>
    <w:rsid w:val="00533A07"/>
    <w:rsid w:val="00535BF3"/>
    <w:rsid w:val="00536360"/>
    <w:rsid w:val="005400FE"/>
    <w:rsid w:val="005410BD"/>
    <w:rsid w:val="005416E5"/>
    <w:rsid w:val="00541E0D"/>
    <w:rsid w:val="00542679"/>
    <w:rsid w:val="00542CEF"/>
    <w:rsid w:val="0054314A"/>
    <w:rsid w:val="00543EF8"/>
    <w:rsid w:val="00544736"/>
    <w:rsid w:val="00544816"/>
    <w:rsid w:val="00544D6C"/>
    <w:rsid w:val="00545AE7"/>
    <w:rsid w:val="005467F7"/>
    <w:rsid w:val="005469BE"/>
    <w:rsid w:val="00546AD1"/>
    <w:rsid w:val="005471A9"/>
    <w:rsid w:val="005474AD"/>
    <w:rsid w:val="0054769C"/>
    <w:rsid w:val="00547B15"/>
    <w:rsid w:val="0055128A"/>
    <w:rsid w:val="00551658"/>
    <w:rsid w:val="00551684"/>
    <w:rsid w:val="00552401"/>
    <w:rsid w:val="00553931"/>
    <w:rsid w:val="00553B41"/>
    <w:rsid w:val="00554052"/>
    <w:rsid w:val="00554100"/>
    <w:rsid w:val="005541CD"/>
    <w:rsid w:val="005547D6"/>
    <w:rsid w:val="00554806"/>
    <w:rsid w:val="0055565A"/>
    <w:rsid w:val="00555686"/>
    <w:rsid w:val="00555862"/>
    <w:rsid w:val="00555D65"/>
    <w:rsid w:val="0055615C"/>
    <w:rsid w:val="00556714"/>
    <w:rsid w:val="00556931"/>
    <w:rsid w:val="00557A6C"/>
    <w:rsid w:val="00557C4E"/>
    <w:rsid w:val="00557E7A"/>
    <w:rsid w:val="005605F2"/>
    <w:rsid w:val="00561427"/>
    <w:rsid w:val="005614EC"/>
    <w:rsid w:val="00562166"/>
    <w:rsid w:val="005636F6"/>
    <w:rsid w:val="00563BFB"/>
    <w:rsid w:val="005641A0"/>
    <w:rsid w:val="00564EFD"/>
    <w:rsid w:val="00565113"/>
    <w:rsid w:val="0056529F"/>
    <w:rsid w:val="00565C75"/>
    <w:rsid w:val="0056633F"/>
    <w:rsid w:val="00566968"/>
    <w:rsid w:val="00567097"/>
    <w:rsid w:val="005673F6"/>
    <w:rsid w:val="005675F1"/>
    <w:rsid w:val="0056767B"/>
    <w:rsid w:val="0057046B"/>
    <w:rsid w:val="00571EC5"/>
    <w:rsid w:val="00572A9C"/>
    <w:rsid w:val="005733EF"/>
    <w:rsid w:val="00573432"/>
    <w:rsid w:val="00573721"/>
    <w:rsid w:val="00574721"/>
    <w:rsid w:val="005749D1"/>
    <w:rsid w:val="00574A9B"/>
    <w:rsid w:val="00574DDB"/>
    <w:rsid w:val="00574E83"/>
    <w:rsid w:val="00574F44"/>
    <w:rsid w:val="005753A8"/>
    <w:rsid w:val="0057553D"/>
    <w:rsid w:val="00575C32"/>
    <w:rsid w:val="00575E09"/>
    <w:rsid w:val="00576331"/>
    <w:rsid w:val="00576944"/>
    <w:rsid w:val="00576D30"/>
    <w:rsid w:val="00577060"/>
    <w:rsid w:val="00577490"/>
    <w:rsid w:val="00577AD2"/>
    <w:rsid w:val="005809CD"/>
    <w:rsid w:val="00580B62"/>
    <w:rsid w:val="00580C84"/>
    <w:rsid w:val="005811D1"/>
    <w:rsid w:val="005825BB"/>
    <w:rsid w:val="005828A8"/>
    <w:rsid w:val="00582B34"/>
    <w:rsid w:val="00583768"/>
    <w:rsid w:val="00583B46"/>
    <w:rsid w:val="005842D7"/>
    <w:rsid w:val="00584C60"/>
    <w:rsid w:val="00584EA7"/>
    <w:rsid w:val="00585AF1"/>
    <w:rsid w:val="00586643"/>
    <w:rsid w:val="005866E3"/>
    <w:rsid w:val="00586EA2"/>
    <w:rsid w:val="00586F09"/>
    <w:rsid w:val="005875E9"/>
    <w:rsid w:val="005879BB"/>
    <w:rsid w:val="00590AEC"/>
    <w:rsid w:val="00590B4A"/>
    <w:rsid w:val="00590BDA"/>
    <w:rsid w:val="00590C0E"/>
    <w:rsid w:val="005915C9"/>
    <w:rsid w:val="00591899"/>
    <w:rsid w:val="00591F8A"/>
    <w:rsid w:val="0059206B"/>
    <w:rsid w:val="00593363"/>
    <w:rsid w:val="005935F3"/>
    <w:rsid w:val="00595979"/>
    <w:rsid w:val="00595E4E"/>
    <w:rsid w:val="005962C2"/>
    <w:rsid w:val="00596F0F"/>
    <w:rsid w:val="005977DE"/>
    <w:rsid w:val="00597C81"/>
    <w:rsid w:val="00597E56"/>
    <w:rsid w:val="00597F49"/>
    <w:rsid w:val="005A0654"/>
    <w:rsid w:val="005A0FC7"/>
    <w:rsid w:val="005A18AE"/>
    <w:rsid w:val="005A2258"/>
    <w:rsid w:val="005A2259"/>
    <w:rsid w:val="005A37F0"/>
    <w:rsid w:val="005A3926"/>
    <w:rsid w:val="005A3CB1"/>
    <w:rsid w:val="005A4F85"/>
    <w:rsid w:val="005A5191"/>
    <w:rsid w:val="005A522B"/>
    <w:rsid w:val="005A5762"/>
    <w:rsid w:val="005A5ED1"/>
    <w:rsid w:val="005A62C7"/>
    <w:rsid w:val="005A6372"/>
    <w:rsid w:val="005A68C0"/>
    <w:rsid w:val="005A6F80"/>
    <w:rsid w:val="005A7168"/>
    <w:rsid w:val="005A7634"/>
    <w:rsid w:val="005A7887"/>
    <w:rsid w:val="005A7BED"/>
    <w:rsid w:val="005B1087"/>
    <w:rsid w:val="005B24AD"/>
    <w:rsid w:val="005B2B33"/>
    <w:rsid w:val="005B2E19"/>
    <w:rsid w:val="005B2F06"/>
    <w:rsid w:val="005B2F6D"/>
    <w:rsid w:val="005B3CDA"/>
    <w:rsid w:val="005B3EE9"/>
    <w:rsid w:val="005B5416"/>
    <w:rsid w:val="005B5C9D"/>
    <w:rsid w:val="005B61EC"/>
    <w:rsid w:val="005B74FF"/>
    <w:rsid w:val="005B7644"/>
    <w:rsid w:val="005B77B7"/>
    <w:rsid w:val="005C01B0"/>
    <w:rsid w:val="005C02BD"/>
    <w:rsid w:val="005C0B6F"/>
    <w:rsid w:val="005C0BBD"/>
    <w:rsid w:val="005C0FCE"/>
    <w:rsid w:val="005C106F"/>
    <w:rsid w:val="005C1618"/>
    <w:rsid w:val="005C1666"/>
    <w:rsid w:val="005C16AA"/>
    <w:rsid w:val="005C1BFF"/>
    <w:rsid w:val="005C212B"/>
    <w:rsid w:val="005C2459"/>
    <w:rsid w:val="005C2C2E"/>
    <w:rsid w:val="005C2C42"/>
    <w:rsid w:val="005C35A7"/>
    <w:rsid w:val="005C39C1"/>
    <w:rsid w:val="005C3CCA"/>
    <w:rsid w:val="005C3D81"/>
    <w:rsid w:val="005C3DA8"/>
    <w:rsid w:val="005C4208"/>
    <w:rsid w:val="005C4D6C"/>
    <w:rsid w:val="005C4DDC"/>
    <w:rsid w:val="005C4EA1"/>
    <w:rsid w:val="005C4F1E"/>
    <w:rsid w:val="005C56EA"/>
    <w:rsid w:val="005C62AF"/>
    <w:rsid w:val="005C6580"/>
    <w:rsid w:val="005C6800"/>
    <w:rsid w:val="005C6C4D"/>
    <w:rsid w:val="005C6F44"/>
    <w:rsid w:val="005C7334"/>
    <w:rsid w:val="005C75EA"/>
    <w:rsid w:val="005D0C59"/>
    <w:rsid w:val="005D2409"/>
    <w:rsid w:val="005D3A10"/>
    <w:rsid w:val="005D41BC"/>
    <w:rsid w:val="005D4B16"/>
    <w:rsid w:val="005D6502"/>
    <w:rsid w:val="005D6BFA"/>
    <w:rsid w:val="005D7082"/>
    <w:rsid w:val="005D74E5"/>
    <w:rsid w:val="005D798A"/>
    <w:rsid w:val="005E017C"/>
    <w:rsid w:val="005E0858"/>
    <w:rsid w:val="005E0A92"/>
    <w:rsid w:val="005E0C77"/>
    <w:rsid w:val="005E11C1"/>
    <w:rsid w:val="005E1A07"/>
    <w:rsid w:val="005E226B"/>
    <w:rsid w:val="005E28CB"/>
    <w:rsid w:val="005E3491"/>
    <w:rsid w:val="005E362F"/>
    <w:rsid w:val="005E371A"/>
    <w:rsid w:val="005E38D5"/>
    <w:rsid w:val="005E38F2"/>
    <w:rsid w:val="005E3E25"/>
    <w:rsid w:val="005E41D2"/>
    <w:rsid w:val="005E447A"/>
    <w:rsid w:val="005E4B91"/>
    <w:rsid w:val="005E4BBF"/>
    <w:rsid w:val="005E57F2"/>
    <w:rsid w:val="005E6E03"/>
    <w:rsid w:val="005E730D"/>
    <w:rsid w:val="005E745E"/>
    <w:rsid w:val="005E7C81"/>
    <w:rsid w:val="005F03CE"/>
    <w:rsid w:val="005F04E8"/>
    <w:rsid w:val="005F0970"/>
    <w:rsid w:val="005F0AE8"/>
    <w:rsid w:val="005F102C"/>
    <w:rsid w:val="005F1D68"/>
    <w:rsid w:val="005F1EBA"/>
    <w:rsid w:val="005F2B7A"/>
    <w:rsid w:val="005F3101"/>
    <w:rsid w:val="005F337B"/>
    <w:rsid w:val="005F3575"/>
    <w:rsid w:val="005F361E"/>
    <w:rsid w:val="005F3D6F"/>
    <w:rsid w:val="005F4166"/>
    <w:rsid w:val="005F4526"/>
    <w:rsid w:val="005F4796"/>
    <w:rsid w:val="005F50CB"/>
    <w:rsid w:val="005F515B"/>
    <w:rsid w:val="005F51B9"/>
    <w:rsid w:val="005F5216"/>
    <w:rsid w:val="005F5DE2"/>
    <w:rsid w:val="005F5F8B"/>
    <w:rsid w:val="005F6519"/>
    <w:rsid w:val="005F6760"/>
    <w:rsid w:val="005F70C3"/>
    <w:rsid w:val="005F7BF8"/>
    <w:rsid w:val="005F7C15"/>
    <w:rsid w:val="00600B52"/>
    <w:rsid w:val="00600BFF"/>
    <w:rsid w:val="00600E60"/>
    <w:rsid w:val="00601089"/>
    <w:rsid w:val="00601098"/>
    <w:rsid w:val="006018F6"/>
    <w:rsid w:val="00601956"/>
    <w:rsid w:val="00601D6B"/>
    <w:rsid w:val="00602316"/>
    <w:rsid w:val="006029A3"/>
    <w:rsid w:val="00602DED"/>
    <w:rsid w:val="00602F29"/>
    <w:rsid w:val="006039D4"/>
    <w:rsid w:val="00604173"/>
    <w:rsid w:val="00605F76"/>
    <w:rsid w:val="006068DF"/>
    <w:rsid w:val="00607287"/>
    <w:rsid w:val="00611277"/>
    <w:rsid w:val="006112D4"/>
    <w:rsid w:val="00612DAA"/>
    <w:rsid w:val="006130AC"/>
    <w:rsid w:val="0061451A"/>
    <w:rsid w:val="00614EFE"/>
    <w:rsid w:val="00615691"/>
    <w:rsid w:val="0061594A"/>
    <w:rsid w:val="006165AE"/>
    <w:rsid w:val="00616FA5"/>
    <w:rsid w:val="00617053"/>
    <w:rsid w:val="006175E8"/>
    <w:rsid w:val="0061798E"/>
    <w:rsid w:val="00617D39"/>
    <w:rsid w:val="0062037C"/>
    <w:rsid w:val="0062111C"/>
    <w:rsid w:val="0062125E"/>
    <w:rsid w:val="0062232C"/>
    <w:rsid w:val="00622675"/>
    <w:rsid w:val="00622986"/>
    <w:rsid w:val="00622EF9"/>
    <w:rsid w:val="00624B54"/>
    <w:rsid w:val="00624E2F"/>
    <w:rsid w:val="006258D9"/>
    <w:rsid w:val="00625C64"/>
    <w:rsid w:val="00626951"/>
    <w:rsid w:val="00631565"/>
    <w:rsid w:val="006323C1"/>
    <w:rsid w:val="00632E31"/>
    <w:rsid w:val="0063343B"/>
    <w:rsid w:val="00634103"/>
    <w:rsid w:val="006343E2"/>
    <w:rsid w:val="0063449F"/>
    <w:rsid w:val="00635390"/>
    <w:rsid w:val="00635B11"/>
    <w:rsid w:val="006362D8"/>
    <w:rsid w:val="0063668F"/>
    <w:rsid w:val="0063697D"/>
    <w:rsid w:val="006373AE"/>
    <w:rsid w:val="00640726"/>
    <w:rsid w:val="00640930"/>
    <w:rsid w:val="00641366"/>
    <w:rsid w:val="00641B8F"/>
    <w:rsid w:val="006429AC"/>
    <w:rsid w:val="006429EC"/>
    <w:rsid w:val="00642C15"/>
    <w:rsid w:val="0064300D"/>
    <w:rsid w:val="00643A58"/>
    <w:rsid w:val="00643BF7"/>
    <w:rsid w:val="00644B9F"/>
    <w:rsid w:val="006454E9"/>
    <w:rsid w:val="00645585"/>
    <w:rsid w:val="00645D58"/>
    <w:rsid w:val="00646803"/>
    <w:rsid w:val="00646D97"/>
    <w:rsid w:val="00646F83"/>
    <w:rsid w:val="006476E1"/>
    <w:rsid w:val="0064778C"/>
    <w:rsid w:val="00650457"/>
    <w:rsid w:val="00650D1E"/>
    <w:rsid w:val="00651F19"/>
    <w:rsid w:val="0065208A"/>
    <w:rsid w:val="00652727"/>
    <w:rsid w:val="00653F7C"/>
    <w:rsid w:val="00654287"/>
    <w:rsid w:val="00654445"/>
    <w:rsid w:val="006545DF"/>
    <w:rsid w:val="00655C85"/>
    <w:rsid w:val="00655E88"/>
    <w:rsid w:val="00656669"/>
    <w:rsid w:val="0065697F"/>
    <w:rsid w:val="00656B34"/>
    <w:rsid w:val="00657A8C"/>
    <w:rsid w:val="006607CC"/>
    <w:rsid w:val="00660C6C"/>
    <w:rsid w:val="00660DCB"/>
    <w:rsid w:val="00661948"/>
    <w:rsid w:val="00661C57"/>
    <w:rsid w:val="00661FD2"/>
    <w:rsid w:val="0066209B"/>
    <w:rsid w:val="006621AB"/>
    <w:rsid w:val="00662339"/>
    <w:rsid w:val="006626DD"/>
    <w:rsid w:val="00662C39"/>
    <w:rsid w:val="00662EFC"/>
    <w:rsid w:val="0066325B"/>
    <w:rsid w:val="006637EB"/>
    <w:rsid w:val="0066530E"/>
    <w:rsid w:val="00665E2D"/>
    <w:rsid w:val="00665F7E"/>
    <w:rsid w:val="00666AB6"/>
    <w:rsid w:val="00666E56"/>
    <w:rsid w:val="0066757D"/>
    <w:rsid w:val="00667BDE"/>
    <w:rsid w:val="006702B3"/>
    <w:rsid w:val="00670DA7"/>
    <w:rsid w:val="00671430"/>
    <w:rsid w:val="006717E5"/>
    <w:rsid w:val="00671C8D"/>
    <w:rsid w:val="00672421"/>
    <w:rsid w:val="0067288A"/>
    <w:rsid w:val="00673D33"/>
    <w:rsid w:val="006746D8"/>
    <w:rsid w:val="00674D7B"/>
    <w:rsid w:val="00675010"/>
    <w:rsid w:val="006751A4"/>
    <w:rsid w:val="00675A22"/>
    <w:rsid w:val="006761D2"/>
    <w:rsid w:val="006766DF"/>
    <w:rsid w:val="00676965"/>
    <w:rsid w:val="00677362"/>
    <w:rsid w:val="0067749F"/>
    <w:rsid w:val="006774A5"/>
    <w:rsid w:val="00677775"/>
    <w:rsid w:val="00677E48"/>
    <w:rsid w:val="0068000F"/>
    <w:rsid w:val="00680B96"/>
    <w:rsid w:val="00681691"/>
    <w:rsid w:val="00681747"/>
    <w:rsid w:val="00681FB4"/>
    <w:rsid w:val="006826B3"/>
    <w:rsid w:val="00682EDC"/>
    <w:rsid w:val="00683D9A"/>
    <w:rsid w:val="00684013"/>
    <w:rsid w:val="00684338"/>
    <w:rsid w:val="0068464A"/>
    <w:rsid w:val="006852CC"/>
    <w:rsid w:val="00685E6E"/>
    <w:rsid w:val="0068715D"/>
    <w:rsid w:val="0068716C"/>
    <w:rsid w:val="00687B94"/>
    <w:rsid w:val="006903DD"/>
    <w:rsid w:val="006905E3"/>
    <w:rsid w:val="00690E97"/>
    <w:rsid w:val="006915A8"/>
    <w:rsid w:val="006917D4"/>
    <w:rsid w:val="006921BA"/>
    <w:rsid w:val="0069310F"/>
    <w:rsid w:val="0069512E"/>
    <w:rsid w:val="006963B7"/>
    <w:rsid w:val="0069685D"/>
    <w:rsid w:val="00696994"/>
    <w:rsid w:val="0069717E"/>
    <w:rsid w:val="00697418"/>
    <w:rsid w:val="006976A8"/>
    <w:rsid w:val="00697DE3"/>
    <w:rsid w:val="00697E95"/>
    <w:rsid w:val="006A00F7"/>
    <w:rsid w:val="006A0DAB"/>
    <w:rsid w:val="006A1399"/>
    <w:rsid w:val="006A372E"/>
    <w:rsid w:val="006A3FC3"/>
    <w:rsid w:val="006A4F83"/>
    <w:rsid w:val="006A5B67"/>
    <w:rsid w:val="006A5FD5"/>
    <w:rsid w:val="006A60AB"/>
    <w:rsid w:val="006A7016"/>
    <w:rsid w:val="006A7537"/>
    <w:rsid w:val="006A79AA"/>
    <w:rsid w:val="006B0037"/>
    <w:rsid w:val="006B02A3"/>
    <w:rsid w:val="006B0933"/>
    <w:rsid w:val="006B0943"/>
    <w:rsid w:val="006B0C14"/>
    <w:rsid w:val="006B0C60"/>
    <w:rsid w:val="006B0D55"/>
    <w:rsid w:val="006B12D1"/>
    <w:rsid w:val="006B1460"/>
    <w:rsid w:val="006B2518"/>
    <w:rsid w:val="006B2645"/>
    <w:rsid w:val="006B312D"/>
    <w:rsid w:val="006B4D19"/>
    <w:rsid w:val="006B4F95"/>
    <w:rsid w:val="006B5050"/>
    <w:rsid w:val="006B58C4"/>
    <w:rsid w:val="006B603C"/>
    <w:rsid w:val="006B603E"/>
    <w:rsid w:val="006B698D"/>
    <w:rsid w:val="006B6DAE"/>
    <w:rsid w:val="006B71B4"/>
    <w:rsid w:val="006B727A"/>
    <w:rsid w:val="006B7298"/>
    <w:rsid w:val="006C0FE5"/>
    <w:rsid w:val="006C125F"/>
    <w:rsid w:val="006C1766"/>
    <w:rsid w:val="006C18EA"/>
    <w:rsid w:val="006C26D0"/>
    <w:rsid w:val="006C27F1"/>
    <w:rsid w:val="006C27FC"/>
    <w:rsid w:val="006C2B55"/>
    <w:rsid w:val="006C41DC"/>
    <w:rsid w:val="006C4B3A"/>
    <w:rsid w:val="006C4ED7"/>
    <w:rsid w:val="006C5997"/>
    <w:rsid w:val="006C5F65"/>
    <w:rsid w:val="006C6488"/>
    <w:rsid w:val="006C6701"/>
    <w:rsid w:val="006C6847"/>
    <w:rsid w:val="006C6AC8"/>
    <w:rsid w:val="006C6FC2"/>
    <w:rsid w:val="006C7419"/>
    <w:rsid w:val="006C7697"/>
    <w:rsid w:val="006C7F76"/>
    <w:rsid w:val="006D002F"/>
    <w:rsid w:val="006D11DF"/>
    <w:rsid w:val="006D1575"/>
    <w:rsid w:val="006D1A1F"/>
    <w:rsid w:val="006D2925"/>
    <w:rsid w:val="006D2C40"/>
    <w:rsid w:val="006D3036"/>
    <w:rsid w:val="006D3260"/>
    <w:rsid w:val="006D3BD9"/>
    <w:rsid w:val="006D47F5"/>
    <w:rsid w:val="006D4E60"/>
    <w:rsid w:val="006D57B2"/>
    <w:rsid w:val="006D5D99"/>
    <w:rsid w:val="006D656C"/>
    <w:rsid w:val="006D693E"/>
    <w:rsid w:val="006D6975"/>
    <w:rsid w:val="006D730A"/>
    <w:rsid w:val="006D7A2C"/>
    <w:rsid w:val="006D7CCF"/>
    <w:rsid w:val="006D7DD6"/>
    <w:rsid w:val="006E0324"/>
    <w:rsid w:val="006E05AD"/>
    <w:rsid w:val="006E18EF"/>
    <w:rsid w:val="006E1C03"/>
    <w:rsid w:val="006E2265"/>
    <w:rsid w:val="006E2376"/>
    <w:rsid w:val="006E2560"/>
    <w:rsid w:val="006E278A"/>
    <w:rsid w:val="006E2D6B"/>
    <w:rsid w:val="006E31F5"/>
    <w:rsid w:val="006E3732"/>
    <w:rsid w:val="006E387E"/>
    <w:rsid w:val="006E3F01"/>
    <w:rsid w:val="006E4BB1"/>
    <w:rsid w:val="006E58F8"/>
    <w:rsid w:val="006E6435"/>
    <w:rsid w:val="006E6951"/>
    <w:rsid w:val="006E7537"/>
    <w:rsid w:val="006E7639"/>
    <w:rsid w:val="006F01BD"/>
    <w:rsid w:val="006F0440"/>
    <w:rsid w:val="006F10B5"/>
    <w:rsid w:val="006F193D"/>
    <w:rsid w:val="006F223D"/>
    <w:rsid w:val="006F2723"/>
    <w:rsid w:val="006F2E59"/>
    <w:rsid w:val="006F3485"/>
    <w:rsid w:val="006F3752"/>
    <w:rsid w:val="006F3CF9"/>
    <w:rsid w:val="006F4479"/>
    <w:rsid w:val="006F4BC3"/>
    <w:rsid w:val="006F5274"/>
    <w:rsid w:val="006F54F2"/>
    <w:rsid w:val="006F5A7C"/>
    <w:rsid w:val="006F5D29"/>
    <w:rsid w:val="006F657E"/>
    <w:rsid w:val="006F7AF1"/>
    <w:rsid w:val="006F7E20"/>
    <w:rsid w:val="0070034D"/>
    <w:rsid w:val="00700553"/>
    <w:rsid w:val="00700587"/>
    <w:rsid w:val="00702E21"/>
    <w:rsid w:val="007034D1"/>
    <w:rsid w:val="00704841"/>
    <w:rsid w:val="00704FF9"/>
    <w:rsid w:val="007053B2"/>
    <w:rsid w:val="007054ED"/>
    <w:rsid w:val="00705C35"/>
    <w:rsid w:val="0070604C"/>
    <w:rsid w:val="00706168"/>
    <w:rsid w:val="007067C0"/>
    <w:rsid w:val="00706C9A"/>
    <w:rsid w:val="00707E64"/>
    <w:rsid w:val="00710620"/>
    <w:rsid w:val="00710729"/>
    <w:rsid w:val="007107C4"/>
    <w:rsid w:val="0071218B"/>
    <w:rsid w:val="00713808"/>
    <w:rsid w:val="00713D23"/>
    <w:rsid w:val="00713EA7"/>
    <w:rsid w:val="007142B3"/>
    <w:rsid w:val="007142BC"/>
    <w:rsid w:val="007150E2"/>
    <w:rsid w:val="007155AA"/>
    <w:rsid w:val="007161F4"/>
    <w:rsid w:val="0071658A"/>
    <w:rsid w:val="00716804"/>
    <w:rsid w:val="00717172"/>
    <w:rsid w:val="00717A5C"/>
    <w:rsid w:val="007200B2"/>
    <w:rsid w:val="00720315"/>
    <w:rsid w:val="007206A0"/>
    <w:rsid w:val="007214E5"/>
    <w:rsid w:val="007215B4"/>
    <w:rsid w:val="007215F7"/>
    <w:rsid w:val="00721967"/>
    <w:rsid w:val="00722296"/>
    <w:rsid w:val="00722E30"/>
    <w:rsid w:val="00722E8B"/>
    <w:rsid w:val="007233EA"/>
    <w:rsid w:val="0072445F"/>
    <w:rsid w:val="00724BBD"/>
    <w:rsid w:val="0072529A"/>
    <w:rsid w:val="00725654"/>
    <w:rsid w:val="007256D9"/>
    <w:rsid w:val="00725904"/>
    <w:rsid w:val="00725D51"/>
    <w:rsid w:val="00726D6D"/>
    <w:rsid w:val="00727537"/>
    <w:rsid w:val="00727E26"/>
    <w:rsid w:val="007305FD"/>
    <w:rsid w:val="00730AB6"/>
    <w:rsid w:val="007311D4"/>
    <w:rsid w:val="007314E9"/>
    <w:rsid w:val="00731669"/>
    <w:rsid w:val="0073174B"/>
    <w:rsid w:val="007318AD"/>
    <w:rsid w:val="00731AC0"/>
    <w:rsid w:val="00732084"/>
    <w:rsid w:val="00732191"/>
    <w:rsid w:val="0073238E"/>
    <w:rsid w:val="00732667"/>
    <w:rsid w:val="0073276A"/>
    <w:rsid w:val="00732A9B"/>
    <w:rsid w:val="00733075"/>
    <w:rsid w:val="00733874"/>
    <w:rsid w:val="00733E24"/>
    <w:rsid w:val="00734462"/>
    <w:rsid w:val="007348F3"/>
    <w:rsid w:val="007355BC"/>
    <w:rsid w:val="007362BB"/>
    <w:rsid w:val="0073658B"/>
    <w:rsid w:val="007366AD"/>
    <w:rsid w:val="0073672F"/>
    <w:rsid w:val="007378DC"/>
    <w:rsid w:val="0074051E"/>
    <w:rsid w:val="00740A8F"/>
    <w:rsid w:val="00740D84"/>
    <w:rsid w:val="00740DE0"/>
    <w:rsid w:val="00740F13"/>
    <w:rsid w:val="00741763"/>
    <w:rsid w:val="00741E47"/>
    <w:rsid w:val="00741FA5"/>
    <w:rsid w:val="00742034"/>
    <w:rsid w:val="007425E0"/>
    <w:rsid w:val="0074302D"/>
    <w:rsid w:val="007434C0"/>
    <w:rsid w:val="00743B10"/>
    <w:rsid w:val="0074516A"/>
    <w:rsid w:val="00745962"/>
    <w:rsid w:val="00746832"/>
    <w:rsid w:val="00746866"/>
    <w:rsid w:val="00746870"/>
    <w:rsid w:val="00747EA4"/>
    <w:rsid w:val="007512BF"/>
    <w:rsid w:val="00751CC9"/>
    <w:rsid w:val="00751FBA"/>
    <w:rsid w:val="0075367B"/>
    <w:rsid w:val="007536B4"/>
    <w:rsid w:val="00753D58"/>
    <w:rsid w:val="00754533"/>
    <w:rsid w:val="00754593"/>
    <w:rsid w:val="00754757"/>
    <w:rsid w:val="00754807"/>
    <w:rsid w:val="0075483A"/>
    <w:rsid w:val="0075665A"/>
    <w:rsid w:val="007566D2"/>
    <w:rsid w:val="00757830"/>
    <w:rsid w:val="00757BD2"/>
    <w:rsid w:val="0076041E"/>
    <w:rsid w:val="0076166A"/>
    <w:rsid w:val="007618A0"/>
    <w:rsid w:val="00761B2D"/>
    <w:rsid w:val="00761B4E"/>
    <w:rsid w:val="00761DAF"/>
    <w:rsid w:val="00761F21"/>
    <w:rsid w:val="00762B69"/>
    <w:rsid w:val="0076386F"/>
    <w:rsid w:val="007639B4"/>
    <w:rsid w:val="0076431C"/>
    <w:rsid w:val="007648DB"/>
    <w:rsid w:val="007662D8"/>
    <w:rsid w:val="0076748A"/>
    <w:rsid w:val="007713C5"/>
    <w:rsid w:val="00771A5F"/>
    <w:rsid w:val="00771ABB"/>
    <w:rsid w:val="007726AE"/>
    <w:rsid w:val="0077286C"/>
    <w:rsid w:val="00774418"/>
    <w:rsid w:val="00775486"/>
    <w:rsid w:val="00775DC6"/>
    <w:rsid w:val="00776C50"/>
    <w:rsid w:val="00776D80"/>
    <w:rsid w:val="007779DB"/>
    <w:rsid w:val="00777F22"/>
    <w:rsid w:val="007806B7"/>
    <w:rsid w:val="007823B3"/>
    <w:rsid w:val="00784C0C"/>
    <w:rsid w:val="00785443"/>
    <w:rsid w:val="007855EA"/>
    <w:rsid w:val="0078601F"/>
    <w:rsid w:val="007862DC"/>
    <w:rsid w:val="007862E6"/>
    <w:rsid w:val="007871FE"/>
    <w:rsid w:val="0078725F"/>
    <w:rsid w:val="00787A92"/>
    <w:rsid w:val="00787C62"/>
    <w:rsid w:val="007900D4"/>
    <w:rsid w:val="00790E72"/>
    <w:rsid w:val="00790EB5"/>
    <w:rsid w:val="00791577"/>
    <w:rsid w:val="007918AE"/>
    <w:rsid w:val="00791A08"/>
    <w:rsid w:val="00791C3E"/>
    <w:rsid w:val="00792E42"/>
    <w:rsid w:val="007932AF"/>
    <w:rsid w:val="00793B11"/>
    <w:rsid w:val="00793D16"/>
    <w:rsid w:val="007947E4"/>
    <w:rsid w:val="007948B0"/>
    <w:rsid w:val="00794DEB"/>
    <w:rsid w:val="00794EFC"/>
    <w:rsid w:val="00795F58"/>
    <w:rsid w:val="007977FF"/>
    <w:rsid w:val="00797D0A"/>
    <w:rsid w:val="00797F58"/>
    <w:rsid w:val="007A149A"/>
    <w:rsid w:val="007A156A"/>
    <w:rsid w:val="007A1FB6"/>
    <w:rsid w:val="007A22C8"/>
    <w:rsid w:val="007A359A"/>
    <w:rsid w:val="007A45F6"/>
    <w:rsid w:val="007A4C03"/>
    <w:rsid w:val="007A4E54"/>
    <w:rsid w:val="007A5BCA"/>
    <w:rsid w:val="007A69CD"/>
    <w:rsid w:val="007A6E4C"/>
    <w:rsid w:val="007A7C43"/>
    <w:rsid w:val="007B06FF"/>
    <w:rsid w:val="007B0FE1"/>
    <w:rsid w:val="007B13FC"/>
    <w:rsid w:val="007B154D"/>
    <w:rsid w:val="007B1C66"/>
    <w:rsid w:val="007B1CDD"/>
    <w:rsid w:val="007B1F11"/>
    <w:rsid w:val="007B209C"/>
    <w:rsid w:val="007B28B1"/>
    <w:rsid w:val="007B2B78"/>
    <w:rsid w:val="007B2D54"/>
    <w:rsid w:val="007B34A6"/>
    <w:rsid w:val="007B3D79"/>
    <w:rsid w:val="007B4250"/>
    <w:rsid w:val="007B4322"/>
    <w:rsid w:val="007B4768"/>
    <w:rsid w:val="007B5531"/>
    <w:rsid w:val="007B5DC5"/>
    <w:rsid w:val="007B5FE5"/>
    <w:rsid w:val="007B6C15"/>
    <w:rsid w:val="007B70D5"/>
    <w:rsid w:val="007B70D6"/>
    <w:rsid w:val="007B74B1"/>
    <w:rsid w:val="007B7894"/>
    <w:rsid w:val="007C0CD7"/>
    <w:rsid w:val="007C0E75"/>
    <w:rsid w:val="007C0F33"/>
    <w:rsid w:val="007C129E"/>
    <w:rsid w:val="007C174B"/>
    <w:rsid w:val="007C2BCA"/>
    <w:rsid w:val="007C2FDF"/>
    <w:rsid w:val="007C3D1A"/>
    <w:rsid w:val="007C480B"/>
    <w:rsid w:val="007C560C"/>
    <w:rsid w:val="007C5FF4"/>
    <w:rsid w:val="007C6E3F"/>
    <w:rsid w:val="007C759E"/>
    <w:rsid w:val="007C7786"/>
    <w:rsid w:val="007D0B3F"/>
    <w:rsid w:val="007D0E1F"/>
    <w:rsid w:val="007D1465"/>
    <w:rsid w:val="007D16AE"/>
    <w:rsid w:val="007D172B"/>
    <w:rsid w:val="007D22E8"/>
    <w:rsid w:val="007D35AE"/>
    <w:rsid w:val="007D49C3"/>
    <w:rsid w:val="007D5462"/>
    <w:rsid w:val="007D5876"/>
    <w:rsid w:val="007D5DBE"/>
    <w:rsid w:val="007D6068"/>
    <w:rsid w:val="007D6778"/>
    <w:rsid w:val="007D765E"/>
    <w:rsid w:val="007D768D"/>
    <w:rsid w:val="007E048A"/>
    <w:rsid w:val="007E08B9"/>
    <w:rsid w:val="007E12EB"/>
    <w:rsid w:val="007E141B"/>
    <w:rsid w:val="007E18EC"/>
    <w:rsid w:val="007E1B31"/>
    <w:rsid w:val="007E28C8"/>
    <w:rsid w:val="007E2960"/>
    <w:rsid w:val="007E3307"/>
    <w:rsid w:val="007E401E"/>
    <w:rsid w:val="007E4331"/>
    <w:rsid w:val="007E55F0"/>
    <w:rsid w:val="007E57F3"/>
    <w:rsid w:val="007E5C05"/>
    <w:rsid w:val="007E73C9"/>
    <w:rsid w:val="007E770F"/>
    <w:rsid w:val="007F09C0"/>
    <w:rsid w:val="007F184B"/>
    <w:rsid w:val="007F1D6F"/>
    <w:rsid w:val="007F2003"/>
    <w:rsid w:val="007F291D"/>
    <w:rsid w:val="007F33E1"/>
    <w:rsid w:val="007F387B"/>
    <w:rsid w:val="007F404F"/>
    <w:rsid w:val="007F411D"/>
    <w:rsid w:val="007F4FF3"/>
    <w:rsid w:val="007F56D2"/>
    <w:rsid w:val="007F5B20"/>
    <w:rsid w:val="007F5CE7"/>
    <w:rsid w:val="007F5D20"/>
    <w:rsid w:val="007F5F1C"/>
    <w:rsid w:val="007F6042"/>
    <w:rsid w:val="007F6610"/>
    <w:rsid w:val="007F670D"/>
    <w:rsid w:val="007F7965"/>
    <w:rsid w:val="007F7E54"/>
    <w:rsid w:val="00801B22"/>
    <w:rsid w:val="00801D0A"/>
    <w:rsid w:val="00802096"/>
    <w:rsid w:val="00802393"/>
    <w:rsid w:val="00802FAB"/>
    <w:rsid w:val="008030C8"/>
    <w:rsid w:val="008035DC"/>
    <w:rsid w:val="00804F0B"/>
    <w:rsid w:val="0080528E"/>
    <w:rsid w:val="008054F0"/>
    <w:rsid w:val="00805F86"/>
    <w:rsid w:val="0080623C"/>
    <w:rsid w:val="008064F1"/>
    <w:rsid w:val="008076E4"/>
    <w:rsid w:val="00807BDE"/>
    <w:rsid w:val="00810F3E"/>
    <w:rsid w:val="0081153E"/>
    <w:rsid w:val="00811817"/>
    <w:rsid w:val="00812D47"/>
    <w:rsid w:val="0081347C"/>
    <w:rsid w:val="00813F36"/>
    <w:rsid w:val="008148D8"/>
    <w:rsid w:val="00814C8D"/>
    <w:rsid w:val="0081504D"/>
    <w:rsid w:val="00815221"/>
    <w:rsid w:val="00815325"/>
    <w:rsid w:val="00815658"/>
    <w:rsid w:val="0081754E"/>
    <w:rsid w:val="00817E94"/>
    <w:rsid w:val="00820147"/>
    <w:rsid w:val="00820D2B"/>
    <w:rsid w:val="00821E94"/>
    <w:rsid w:val="00822421"/>
    <w:rsid w:val="00824D89"/>
    <w:rsid w:val="008258AD"/>
    <w:rsid w:val="00825A45"/>
    <w:rsid w:val="00825AD7"/>
    <w:rsid w:val="00826087"/>
    <w:rsid w:val="0082668A"/>
    <w:rsid w:val="00826695"/>
    <w:rsid w:val="00826BE5"/>
    <w:rsid w:val="00827007"/>
    <w:rsid w:val="00827199"/>
    <w:rsid w:val="008272E7"/>
    <w:rsid w:val="0082740F"/>
    <w:rsid w:val="00827D2F"/>
    <w:rsid w:val="00827D67"/>
    <w:rsid w:val="00827E10"/>
    <w:rsid w:val="008305C6"/>
    <w:rsid w:val="008317CD"/>
    <w:rsid w:val="00831F0C"/>
    <w:rsid w:val="00831F76"/>
    <w:rsid w:val="008324CD"/>
    <w:rsid w:val="0083252F"/>
    <w:rsid w:val="00832E11"/>
    <w:rsid w:val="00832F59"/>
    <w:rsid w:val="008341A8"/>
    <w:rsid w:val="0083427E"/>
    <w:rsid w:val="00834C85"/>
    <w:rsid w:val="00834F05"/>
    <w:rsid w:val="0083515D"/>
    <w:rsid w:val="00835E9F"/>
    <w:rsid w:val="00835FA9"/>
    <w:rsid w:val="00836B76"/>
    <w:rsid w:val="008372F9"/>
    <w:rsid w:val="008375B6"/>
    <w:rsid w:val="00837DC6"/>
    <w:rsid w:val="008400DB"/>
    <w:rsid w:val="00840C75"/>
    <w:rsid w:val="00840F66"/>
    <w:rsid w:val="00841503"/>
    <w:rsid w:val="0084198E"/>
    <w:rsid w:val="00841B8D"/>
    <w:rsid w:val="00841D5A"/>
    <w:rsid w:val="008423E7"/>
    <w:rsid w:val="00842529"/>
    <w:rsid w:val="00843151"/>
    <w:rsid w:val="00843B8E"/>
    <w:rsid w:val="008456ED"/>
    <w:rsid w:val="00845899"/>
    <w:rsid w:val="00845A19"/>
    <w:rsid w:val="008462F6"/>
    <w:rsid w:val="00846A3E"/>
    <w:rsid w:val="00846B6F"/>
    <w:rsid w:val="00846BDD"/>
    <w:rsid w:val="00851A54"/>
    <w:rsid w:val="00852498"/>
    <w:rsid w:val="00853236"/>
    <w:rsid w:val="008533AE"/>
    <w:rsid w:val="00853727"/>
    <w:rsid w:val="00854431"/>
    <w:rsid w:val="0085464D"/>
    <w:rsid w:val="00854A8C"/>
    <w:rsid w:val="00855413"/>
    <w:rsid w:val="0085559A"/>
    <w:rsid w:val="0085583A"/>
    <w:rsid w:val="008560EC"/>
    <w:rsid w:val="008562B2"/>
    <w:rsid w:val="00856ADE"/>
    <w:rsid w:val="00860BC3"/>
    <w:rsid w:val="00860E21"/>
    <w:rsid w:val="00861D32"/>
    <w:rsid w:val="00861E01"/>
    <w:rsid w:val="00861E27"/>
    <w:rsid w:val="00861E50"/>
    <w:rsid w:val="00861F3E"/>
    <w:rsid w:val="0086245E"/>
    <w:rsid w:val="00862734"/>
    <w:rsid w:val="00862E4A"/>
    <w:rsid w:val="008632FE"/>
    <w:rsid w:val="00863E1F"/>
    <w:rsid w:val="00863F11"/>
    <w:rsid w:val="0086416A"/>
    <w:rsid w:val="0086418B"/>
    <w:rsid w:val="00864497"/>
    <w:rsid w:val="00864B1C"/>
    <w:rsid w:val="008655A5"/>
    <w:rsid w:val="0086636E"/>
    <w:rsid w:val="0086742A"/>
    <w:rsid w:val="008674DC"/>
    <w:rsid w:val="00870A63"/>
    <w:rsid w:val="008721EC"/>
    <w:rsid w:val="00872EB9"/>
    <w:rsid w:val="00873028"/>
    <w:rsid w:val="008730E2"/>
    <w:rsid w:val="00874064"/>
    <w:rsid w:val="008740C2"/>
    <w:rsid w:val="00874E27"/>
    <w:rsid w:val="00875791"/>
    <w:rsid w:val="00875BB2"/>
    <w:rsid w:val="00875EB9"/>
    <w:rsid w:val="00877431"/>
    <w:rsid w:val="00877953"/>
    <w:rsid w:val="008800B3"/>
    <w:rsid w:val="008801A5"/>
    <w:rsid w:val="008803A5"/>
    <w:rsid w:val="00880EFE"/>
    <w:rsid w:val="00881214"/>
    <w:rsid w:val="00881341"/>
    <w:rsid w:val="00882C02"/>
    <w:rsid w:val="008838A0"/>
    <w:rsid w:val="00883A3C"/>
    <w:rsid w:val="00884359"/>
    <w:rsid w:val="00884DF4"/>
    <w:rsid w:val="008855D0"/>
    <w:rsid w:val="008856F0"/>
    <w:rsid w:val="0088599F"/>
    <w:rsid w:val="008859CB"/>
    <w:rsid w:val="00885D8D"/>
    <w:rsid w:val="00885E34"/>
    <w:rsid w:val="00886FD8"/>
    <w:rsid w:val="0088733B"/>
    <w:rsid w:val="0088759E"/>
    <w:rsid w:val="008875C7"/>
    <w:rsid w:val="00887B10"/>
    <w:rsid w:val="008914FA"/>
    <w:rsid w:val="008915BB"/>
    <w:rsid w:val="008919B5"/>
    <w:rsid w:val="00892454"/>
    <w:rsid w:val="00892DE7"/>
    <w:rsid w:val="00893696"/>
    <w:rsid w:val="00893864"/>
    <w:rsid w:val="00894A05"/>
    <w:rsid w:val="00895FDE"/>
    <w:rsid w:val="00896811"/>
    <w:rsid w:val="008970AD"/>
    <w:rsid w:val="0089798F"/>
    <w:rsid w:val="008A0298"/>
    <w:rsid w:val="008A0972"/>
    <w:rsid w:val="008A0CCD"/>
    <w:rsid w:val="008A0D38"/>
    <w:rsid w:val="008A0DFA"/>
    <w:rsid w:val="008A0E84"/>
    <w:rsid w:val="008A1046"/>
    <w:rsid w:val="008A12B8"/>
    <w:rsid w:val="008A13A0"/>
    <w:rsid w:val="008A1C70"/>
    <w:rsid w:val="008A1E3C"/>
    <w:rsid w:val="008A2836"/>
    <w:rsid w:val="008A2B02"/>
    <w:rsid w:val="008A2ED4"/>
    <w:rsid w:val="008A3A3D"/>
    <w:rsid w:val="008A462A"/>
    <w:rsid w:val="008A4AF9"/>
    <w:rsid w:val="008A4FED"/>
    <w:rsid w:val="008A50DA"/>
    <w:rsid w:val="008A6032"/>
    <w:rsid w:val="008A6DCA"/>
    <w:rsid w:val="008A6E79"/>
    <w:rsid w:val="008A782C"/>
    <w:rsid w:val="008A7851"/>
    <w:rsid w:val="008A7E48"/>
    <w:rsid w:val="008B0683"/>
    <w:rsid w:val="008B0C63"/>
    <w:rsid w:val="008B0D57"/>
    <w:rsid w:val="008B15E2"/>
    <w:rsid w:val="008B17F6"/>
    <w:rsid w:val="008B1D2D"/>
    <w:rsid w:val="008B1D9F"/>
    <w:rsid w:val="008B1E10"/>
    <w:rsid w:val="008B2F28"/>
    <w:rsid w:val="008B3A4C"/>
    <w:rsid w:val="008B5516"/>
    <w:rsid w:val="008B686A"/>
    <w:rsid w:val="008B6AC4"/>
    <w:rsid w:val="008B6F50"/>
    <w:rsid w:val="008B6F5D"/>
    <w:rsid w:val="008C015A"/>
    <w:rsid w:val="008C05C6"/>
    <w:rsid w:val="008C083E"/>
    <w:rsid w:val="008C1012"/>
    <w:rsid w:val="008C1101"/>
    <w:rsid w:val="008C16CF"/>
    <w:rsid w:val="008C19FB"/>
    <w:rsid w:val="008C1F36"/>
    <w:rsid w:val="008C2037"/>
    <w:rsid w:val="008C2AE0"/>
    <w:rsid w:val="008C4B0A"/>
    <w:rsid w:val="008C4D16"/>
    <w:rsid w:val="008C4E9A"/>
    <w:rsid w:val="008C54A5"/>
    <w:rsid w:val="008C7A2F"/>
    <w:rsid w:val="008C7D9A"/>
    <w:rsid w:val="008D0F7B"/>
    <w:rsid w:val="008D11B0"/>
    <w:rsid w:val="008D12A0"/>
    <w:rsid w:val="008D2C08"/>
    <w:rsid w:val="008D2F7A"/>
    <w:rsid w:val="008D3627"/>
    <w:rsid w:val="008D45D0"/>
    <w:rsid w:val="008D484B"/>
    <w:rsid w:val="008D4CEF"/>
    <w:rsid w:val="008D4D0F"/>
    <w:rsid w:val="008D5375"/>
    <w:rsid w:val="008D55F1"/>
    <w:rsid w:val="008D6967"/>
    <w:rsid w:val="008D6E88"/>
    <w:rsid w:val="008D7FAC"/>
    <w:rsid w:val="008E01BE"/>
    <w:rsid w:val="008E0931"/>
    <w:rsid w:val="008E0E78"/>
    <w:rsid w:val="008E15CE"/>
    <w:rsid w:val="008E1F9E"/>
    <w:rsid w:val="008E2A74"/>
    <w:rsid w:val="008E33FB"/>
    <w:rsid w:val="008E4762"/>
    <w:rsid w:val="008E4912"/>
    <w:rsid w:val="008E5183"/>
    <w:rsid w:val="008E5885"/>
    <w:rsid w:val="008E5930"/>
    <w:rsid w:val="008E59C5"/>
    <w:rsid w:val="008E6208"/>
    <w:rsid w:val="008E6CEA"/>
    <w:rsid w:val="008E7409"/>
    <w:rsid w:val="008E7C20"/>
    <w:rsid w:val="008F0234"/>
    <w:rsid w:val="008F03C5"/>
    <w:rsid w:val="008F0685"/>
    <w:rsid w:val="008F173B"/>
    <w:rsid w:val="008F1BC0"/>
    <w:rsid w:val="008F1C67"/>
    <w:rsid w:val="008F1FC7"/>
    <w:rsid w:val="008F3F0D"/>
    <w:rsid w:val="008F4533"/>
    <w:rsid w:val="008F45E2"/>
    <w:rsid w:val="008F4978"/>
    <w:rsid w:val="008F49C0"/>
    <w:rsid w:val="008F4A40"/>
    <w:rsid w:val="008F62F6"/>
    <w:rsid w:val="008F6ED8"/>
    <w:rsid w:val="008F6F47"/>
    <w:rsid w:val="008F7391"/>
    <w:rsid w:val="008F7C2E"/>
    <w:rsid w:val="008F7D69"/>
    <w:rsid w:val="008F7E24"/>
    <w:rsid w:val="00900206"/>
    <w:rsid w:val="0090072E"/>
    <w:rsid w:val="009007AD"/>
    <w:rsid w:val="00900AF2"/>
    <w:rsid w:val="00900C0B"/>
    <w:rsid w:val="0090117D"/>
    <w:rsid w:val="00901448"/>
    <w:rsid w:val="009015F9"/>
    <w:rsid w:val="00901A27"/>
    <w:rsid w:val="00902663"/>
    <w:rsid w:val="00904A70"/>
    <w:rsid w:val="00904B79"/>
    <w:rsid w:val="00904EFF"/>
    <w:rsid w:val="009053CF"/>
    <w:rsid w:val="0090613C"/>
    <w:rsid w:val="009066B3"/>
    <w:rsid w:val="00906BCB"/>
    <w:rsid w:val="00906F44"/>
    <w:rsid w:val="00907995"/>
    <w:rsid w:val="00907C9D"/>
    <w:rsid w:val="00910346"/>
    <w:rsid w:val="009103A8"/>
    <w:rsid w:val="00910FFC"/>
    <w:rsid w:val="00911677"/>
    <w:rsid w:val="00911E85"/>
    <w:rsid w:val="0091261D"/>
    <w:rsid w:val="00912633"/>
    <w:rsid w:val="00912764"/>
    <w:rsid w:val="0091309B"/>
    <w:rsid w:val="0091352C"/>
    <w:rsid w:val="00913718"/>
    <w:rsid w:val="00913853"/>
    <w:rsid w:val="00913CF0"/>
    <w:rsid w:val="009142E9"/>
    <w:rsid w:val="00914335"/>
    <w:rsid w:val="00914B3C"/>
    <w:rsid w:val="00914DE1"/>
    <w:rsid w:val="00915249"/>
    <w:rsid w:val="009152DE"/>
    <w:rsid w:val="009155C9"/>
    <w:rsid w:val="0091563B"/>
    <w:rsid w:val="00916D74"/>
    <w:rsid w:val="0091757A"/>
    <w:rsid w:val="009176CF"/>
    <w:rsid w:val="00920587"/>
    <w:rsid w:val="00920F69"/>
    <w:rsid w:val="0092268A"/>
    <w:rsid w:val="00922DEC"/>
    <w:rsid w:val="00922E21"/>
    <w:rsid w:val="009235B0"/>
    <w:rsid w:val="00923E69"/>
    <w:rsid w:val="00923FF6"/>
    <w:rsid w:val="009249AA"/>
    <w:rsid w:val="00924D3F"/>
    <w:rsid w:val="00924F23"/>
    <w:rsid w:val="0092520C"/>
    <w:rsid w:val="0092566F"/>
    <w:rsid w:val="00925957"/>
    <w:rsid w:val="00925D7F"/>
    <w:rsid w:val="0092645E"/>
    <w:rsid w:val="009279B3"/>
    <w:rsid w:val="00930706"/>
    <w:rsid w:val="00930A53"/>
    <w:rsid w:val="00930A77"/>
    <w:rsid w:val="00930ABA"/>
    <w:rsid w:val="00930BF3"/>
    <w:rsid w:val="00930F4F"/>
    <w:rsid w:val="00931988"/>
    <w:rsid w:val="00932371"/>
    <w:rsid w:val="009323A0"/>
    <w:rsid w:val="009326D0"/>
    <w:rsid w:val="00932855"/>
    <w:rsid w:val="009328D5"/>
    <w:rsid w:val="00932EE6"/>
    <w:rsid w:val="0093441D"/>
    <w:rsid w:val="009362BD"/>
    <w:rsid w:val="00936351"/>
    <w:rsid w:val="00936D9A"/>
    <w:rsid w:val="0093796D"/>
    <w:rsid w:val="0094132A"/>
    <w:rsid w:val="00941611"/>
    <w:rsid w:val="009418A6"/>
    <w:rsid w:val="00941B83"/>
    <w:rsid w:val="009429F2"/>
    <w:rsid w:val="00942D7A"/>
    <w:rsid w:val="00943A20"/>
    <w:rsid w:val="0094492F"/>
    <w:rsid w:val="0094589D"/>
    <w:rsid w:val="009464E9"/>
    <w:rsid w:val="0094770B"/>
    <w:rsid w:val="00947D59"/>
    <w:rsid w:val="00950235"/>
    <w:rsid w:val="009506DF"/>
    <w:rsid w:val="009510C4"/>
    <w:rsid w:val="00951308"/>
    <w:rsid w:val="00951B0A"/>
    <w:rsid w:val="0095231E"/>
    <w:rsid w:val="009528AA"/>
    <w:rsid w:val="009529A9"/>
    <w:rsid w:val="00953014"/>
    <w:rsid w:val="00953340"/>
    <w:rsid w:val="0095454D"/>
    <w:rsid w:val="009555A5"/>
    <w:rsid w:val="00955AC9"/>
    <w:rsid w:val="00956FB9"/>
    <w:rsid w:val="00956FC9"/>
    <w:rsid w:val="009571A6"/>
    <w:rsid w:val="009579EE"/>
    <w:rsid w:val="00957C53"/>
    <w:rsid w:val="00957D88"/>
    <w:rsid w:val="00960030"/>
    <w:rsid w:val="00960122"/>
    <w:rsid w:val="00960665"/>
    <w:rsid w:val="00960B40"/>
    <w:rsid w:val="009611B8"/>
    <w:rsid w:val="009614E8"/>
    <w:rsid w:val="009616B5"/>
    <w:rsid w:val="00961874"/>
    <w:rsid w:val="00961885"/>
    <w:rsid w:val="00961AD9"/>
    <w:rsid w:val="0096266B"/>
    <w:rsid w:val="00962779"/>
    <w:rsid w:val="0096281E"/>
    <w:rsid w:val="00962B44"/>
    <w:rsid w:val="00962D6A"/>
    <w:rsid w:val="009644AA"/>
    <w:rsid w:val="00964A3C"/>
    <w:rsid w:val="00965340"/>
    <w:rsid w:val="0096595C"/>
    <w:rsid w:val="00966520"/>
    <w:rsid w:val="009669E1"/>
    <w:rsid w:val="00966EF4"/>
    <w:rsid w:val="0096759C"/>
    <w:rsid w:val="00967A96"/>
    <w:rsid w:val="00970121"/>
    <w:rsid w:val="009705BD"/>
    <w:rsid w:val="00972DE1"/>
    <w:rsid w:val="009730F9"/>
    <w:rsid w:val="0097316E"/>
    <w:rsid w:val="00973913"/>
    <w:rsid w:val="00974161"/>
    <w:rsid w:val="00974A12"/>
    <w:rsid w:val="00974C8F"/>
    <w:rsid w:val="00974EF9"/>
    <w:rsid w:val="0097548B"/>
    <w:rsid w:val="009762D2"/>
    <w:rsid w:val="00976FBF"/>
    <w:rsid w:val="00977983"/>
    <w:rsid w:val="00977AAD"/>
    <w:rsid w:val="00977B3E"/>
    <w:rsid w:val="009803CA"/>
    <w:rsid w:val="0098078C"/>
    <w:rsid w:val="0098082E"/>
    <w:rsid w:val="009809C0"/>
    <w:rsid w:val="009817EF"/>
    <w:rsid w:val="00981D87"/>
    <w:rsid w:val="00981DB6"/>
    <w:rsid w:val="009826E4"/>
    <w:rsid w:val="0098270E"/>
    <w:rsid w:val="00982DE0"/>
    <w:rsid w:val="009844C4"/>
    <w:rsid w:val="00984EC3"/>
    <w:rsid w:val="00985265"/>
    <w:rsid w:val="00985516"/>
    <w:rsid w:val="009861E1"/>
    <w:rsid w:val="00986F15"/>
    <w:rsid w:val="009901FF"/>
    <w:rsid w:val="00991163"/>
    <w:rsid w:val="00991BCA"/>
    <w:rsid w:val="00991D14"/>
    <w:rsid w:val="00991FDB"/>
    <w:rsid w:val="0099237C"/>
    <w:rsid w:val="00992B56"/>
    <w:rsid w:val="0099402D"/>
    <w:rsid w:val="00994250"/>
    <w:rsid w:val="00994563"/>
    <w:rsid w:val="00994874"/>
    <w:rsid w:val="00994C1E"/>
    <w:rsid w:val="00995452"/>
    <w:rsid w:val="0099571F"/>
    <w:rsid w:val="00995BC2"/>
    <w:rsid w:val="00995E18"/>
    <w:rsid w:val="00995E94"/>
    <w:rsid w:val="00996654"/>
    <w:rsid w:val="00996C8B"/>
    <w:rsid w:val="0099754B"/>
    <w:rsid w:val="0099796A"/>
    <w:rsid w:val="009A0451"/>
    <w:rsid w:val="009A04FC"/>
    <w:rsid w:val="009A0B0F"/>
    <w:rsid w:val="009A111F"/>
    <w:rsid w:val="009A11F5"/>
    <w:rsid w:val="009A16C5"/>
    <w:rsid w:val="009A21BC"/>
    <w:rsid w:val="009A238D"/>
    <w:rsid w:val="009A2444"/>
    <w:rsid w:val="009A2D1A"/>
    <w:rsid w:val="009A4507"/>
    <w:rsid w:val="009A5A3D"/>
    <w:rsid w:val="009A61F3"/>
    <w:rsid w:val="009A632F"/>
    <w:rsid w:val="009A6CA6"/>
    <w:rsid w:val="009A6D27"/>
    <w:rsid w:val="009A760C"/>
    <w:rsid w:val="009A7A94"/>
    <w:rsid w:val="009B026F"/>
    <w:rsid w:val="009B02FF"/>
    <w:rsid w:val="009B10CA"/>
    <w:rsid w:val="009B1B34"/>
    <w:rsid w:val="009B2268"/>
    <w:rsid w:val="009B2A1D"/>
    <w:rsid w:val="009B2C03"/>
    <w:rsid w:val="009B2E53"/>
    <w:rsid w:val="009B2F89"/>
    <w:rsid w:val="009B305B"/>
    <w:rsid w:val="009B38A1"/>
    <w:rsid w:val="009B48E3"/>
    <w:rsid w:val="009B5878"/>
    <w:rsid w:val="009B6496"/>
    <w:rsid w:val="009B6648"/>
    <w:rsid w:val="009B71A2"/>
    <w:rsid w:val="009C0525"/>
    <w:rsid w:val="009C0993"/>
    <w:rsid w:val="009C213D"/>
    <w:rsid w:val="009C2348"/>
    <w:rsid w:val="009C2753"/>
    <w:rsid w:val="009C29AB"/>
    <w:rsid w:val="009C2B39"/>
    <w:rsid w:val="009C431B"/>
    <w:rsid w:val="009C4647"/>
    <w:rsid w:val="009C4CB0"/>
    <w:rsid w:val="009C4FF1"/>
    <w:rsid w:val="009C5532"/>
    <w:rsid w:val="009C6342"/>
    <w:rsid w:val="009C6732"/>
    <w:rsid w:val="009C6BF7"/>
    <w:rsid w:val="009C6EEF"/>
    <w:rsid w:val="009C6F30"/>
    <w:rsid w:val="009C765E"/>
    <w:rsid w:val="009D03D7"/>
    <w:rsid w:val="009D0475"/>
    <w:rsid w:val="009D0690"/>
    <w:rsid w:val="009D07F8"/>
    <w:rsid w:val="009D0B06"/>
    <w:rsid w:val="009D140F"/>
    <w:rsid w:val="009D1703"/>
    <w:rsid w:val="009D22D6"/>
    <w:rsid w:val="009D321F"/>
    <w:rsid w:val="009D3AE7"/>
    <w:rsid w:val="009D3D75"/>
    <w:rsid w:val="009D4054"/>
    <w:rsid w:val="009D4245"/>
    <w:rsid w:val="009D5FA1"/>
    <w:rsid w:val="009D6234"/>
    <w:rsid w:val="009D6281"/>
    <w:rsid w:val="009D648C"/>
    <w:rsid w:val="009D6D64"/>
    <w:rsid w:val="009D7A9B"/>
    <w:rsid w:val="009E06D8"/>
    <w:rsid w:val="009E11BC"/>
    <w:rsid w:val="009E138D"/>
    <w:rsid w:val="009E2689"/>
    <w:rsid w:val="009E2C6B"/>
    <w:rsid w:val="009E2F3E"/>
    <w:rsid w:val="009E3369"/>
    <w:rsid w:val="009E33DC"/>
    <w:rsid w:val="009E3543"/>
    <w:rsid w:val="009E408D"/>
    <w:rsid w:val="009E4D9A"/>
    <w:rsid w:val="009E517C"/>
    <w:rsid w:val="009E650F"/>
    <w:rsid w:val="009E693B"/>
    <w:rsid w:val="009E6DBF"/>
    <w:rsid w:val="009E740F"/>
    <w:rsid w:val="009E7A38"/>
    <w:rsid w:val="009E7C9D"/>
    <w:rsid w:val="009F04FB"/>
    <w:rsid w:val="009F0D87"/>
    <w:rsid w:val="009F0DEE"/>
    <w:rsid w:val="009F2B23"/>
    <w:rsid w:val="009F302C"/>
    <w:rsid w:val="009F3176"/>
    <w:rsid w:val="009F3B89"/>
    <w:rsid w:val="009F3ED9"/>
    <w:rsid w:val="009F42CB"/>
    <w:rsid w:val="009F4AD0"/>
    <w:rsid w:val="009F4F4A"/>
    <w:rsid w:val="009F502D"/>
    <w:rsid w:val="009F52EA"/>
    <w:rsid w:val="009F5684"/>
    <w:rsid w:val="009F5DB5"/>
    <w:rsid w:val="009F6256"/>
    <w:rsid w:val="009F6FC6"/>
    <w:rsid w:val="009F7090"/>
    <w:rsid w:val="009F75E6"/>
    <w:rsid w:val="009F76DF"/>
    <w:rsid w:val="009F7B07"/>
    <w:rsid w:val="00A0000B"/>
    <w:rsid w:val="00A00288"/>
    <w:rsid w:val="00A012DF"/>
    <w:rsid w:val="00A0162E"/>
    <w:rsid w:val="00A03619"/>
    <w:rsid w:val="00A04162"/>
    <w:rsid w:val="00A053C4"/>
    <w:rsid w:val="00A063C3"/>
    <w:rsid w:val="00A07BA1"/>
    <w:rsid w:val="00A1059F"/>
    <w:rsid w:val="00A108E0"/>
    <w:rsid w:val="00A10917"/>
    <w:rsid w:val="00A109B4"/>
    <w:rsid w:val="00A10BB8"/>
    <w:rsid w:val="00A10E84"/>
    <w:rsid w:val="00A10FD4"/>
    <w:rsid w:val="00A11734"/>
    <w:rsid w:val="00A118B9"/>
    <w:rsid w:val="00A11F60"/>
    <w:rsid w:val="00A1211D"/>
    <w:rsid w:val="00A133B9"/>
    <w:rsid w:val="00A13B83"/>
    <w:rsid w:val="00A14011"/>
    <w:rsid w:val="00A14495"/>
    <w:rsid w:val="00A1483C"/>
    <w:rsid w:val="00A14E22"/>
    <w:rsid w:val="00A14ED4"/>
    <w:rsid w:val="00A1515B"/>
    <w:rsid w:val="00A15163"/>
    <w:rsid w:val="00A1539C"/>
    <w:rsid w:val="00A15849"/>
    <w:rsid w:val="00A15F6D"/>
    <w:rsid w:val="00A16939"/>
    <w:rsid w:val="00A16A1A"/>
    <w:rsid w:val="00A16C52"/>
    <w:rsid w:val="00A179B5"/>
    <w:rsid w:val="00A2105C"/>
    <w:rsid w:val="00A2136B"/>
    <w:rsid w:val="00A21AEC"/>
    <w:rsid w:val="00A21C6A"/>
    <w:rsid w:val="00A2234F"/>
    <w:rsid w:val="00A223DA"/>
    <w:rsid w:val="00A234A5"/>
    <w:rsid w:val="00A23B73"/>
    <w:rsid w:val="00A23CD4"/>
    <w:rsid w:val="00A2435D"/>
    <w:rsid w:val="00A24BCD"/>
    <w:rsid w:val="00A24BED"/>
    <w:rsid w:val="00A25BD4"/>
    <w:rsid w:val="00A25BFE"/>
    <w:rsid w:val="00A2665E"/>
    <w:rsid w:val="00A26BF4"/>
    <w:rsid w:val="00A26E61"/>
    <w:rsid w:val="00A27484"/>
    <w:rsid w:val="00A31DDC"/>
    <w:rsid w:val="00A320DF"/>
    <w:rsid w:val="00A32B65"/>
    <w:rsid w:val="00A33241"/>
    <w:rsid w:val="00A33BF1"/>
    <w:rsid w:val="00A34820"/>
    <w:rsid w:val="00A35005"/>
    <w:rsid w:val="00A3510F"/>
    <w:rsid w:val="00A351E3"/>
    <w:rsid w:val="00A35872"/>
    <w:rsid w:val="00A359CA"/>
    <w:rsid w:val="00A35AEB"/>
    <w:rsid w:val="00A367A0"/>
    <w:rsid w:val="00A37205"/>
    <w:rsid w:val="00A3747B"/>
    <w:rsid w:val="00A37658"/>
    <w:rsid w:val="00A40069"/>
    <w:rsid w:val="00A404CC"/>
    <w:rsid w:val="00A4050D"/>
    <w:rsid w:val="00A40A3E"/>
    <w:rsid w:val="00A40AB3"/>
    <w:rsid w:val="00A4192B"/>
    <w:rsid w:val="00A41AB5"/>
    <w:rsid w:val="00A424CB"/>
    <w:rsid w:val="00A43FB7"/>
    <w:rsid w:val="00A44F33"/>
    <w:rsid w:val="00A452C1"/>
    <w:rsid w:val="00A45A93"/>
    <w:rsid w:val="00A46495"/>
    <w:rsid w:val="00A46807"/>
    <w:rsid w:val="00A50F96"/>
    <w:rsid w:val="00A51270"/>
    <w:rsid w:val="00A5184F"/>
    <w:rsid w:val="00A51D3A"/>
    <w:rsid w:val="00A524EE"/>
    <w:rsid w:val="00A536BD"/>
    <w:rsid w:val="00A5388E"/>
    <w:rsid w:val="00A53AFD"/>
    <w:rsid w:val="00A550DD"/>
    <w:rsid w:val="00A553B3"/>
    <w:rsid w:val="00A5620F"/>
    <w:rsid w:val="00A563AF"/>
    <w:rsid w:val="00A57187"/>
    <w:rsid w:val="00A573A7"/>
    <w:rsid w:val="00A576CF"/>
    <w:rsid w:val="00A602D0"/>
    <w:rsid w:val="00A60C2A"/>
    <w:rsid w:val="00A61126"/>
    <w:rsid w:val="00A6127F"/>
    <w:rsid w:val="00A6187C"/>
    <w:rsid w:val="00A61CED"/>
    <w:rsid w:val="00A621AA"/>
    <w:rsid w:val="00A621B3"/>
    <w:rsid w:val="00A62235"/>
    <w:rsid w:val="00A62246"/>
    <w:rsid w:val="00A62488"/>
    <w:rsid w:val="00A62C7D"/>
    <w:rsid w:val="00A62C92"/>
    <w:rsid w:val="00A62DD4"/>
    <w:rsid w:val="00A62DD6"/>
    <w:rsid w:val="00A62FA1"/>
    <w:rsid w:val="00A632CF"/>
    <w:rsid w:val="00A6346D"/>
    <w:rsid w:val="00A634B8"/>
    <w:rsid w:val="00A63B96"/>
    <w:rsid w:val="00A643C3"/>
    <w:rsid w:val="00A657F9"/>
    <w:rsid w:val="00A669D4"/>
    <w:rsid w:val="00A677FF"/>
    <w:rsid w:val="00A6797F"/>
    <w:rsid w:val="00A67D4F"/>
    <w:rsid w:val="00A7016A"/>
    <w:rsid w:val="00A701F9"/>
    <w:rsid w:val="00A70782"/>
    <w:rsid w:val="00A7128D"/>
    <w:rsid w:val="00A7155F"/>
    <w:rsid w:val="00A71A6C"/>
    <w:rsid w:val="00A7219F"/>
    <w:rsid w:val="00A72659"/>
    <w:rsid w:val="00A73711"/>
    <w:rsid w:val="00A7576E"/>
    <w:rsid w:val="00A75CE2"/>
    <w:rsid w:val="00A76025"/>
    <w:rsid w:val="00A81179"/>
    <w:rsid w:val="00A81252"/>
    <w:rsid w:val="00A812B0"/>
    <w:rsid w:val="00A81765"/>
    <w:rsid w:val="00A82CCB"/>
    <w:rsid w:val="00A83989"/>
    <w:rsid w:val="00A84086"/>
    <w:rsid w:val="00A848F4"/>
    <w:rsid w:val="00A84E26"/>
    <w:rsid w:val="00A85765"/>
    <w:rsid w:val="00A85944"/>
    <w:rsid w:val="00A86119"/>
    <w:rsid w:val="00A866F2"/>
    <w:rsid w:val="00A871DF"/>
    <w:rsid w:val="00A87C05"/>
    <w:rsid w:val="00A90D25"/>
    <w:rsid w:val="00A90E24"/>
    <w:rsid w:val="00A91957"/>
    <w:rsid w:val="00A9201A"/>
    <w:rsid w:val="00A921C4"/>
    <w:rsid w:val="00A92280"/>
    <w:rsid w:val="00A9256D"/>
    <w:rsid w:val="00A928CD"/>
    <w:rsid w:val="00A92F36"/>
    <w:rsid w:val="00A9312D"/>
    <w:rsid w:val="00A933F8"/>
    <w:rsid w:val="00A93418"/>
    <w:rsid w:val="00A9366E"/>
    <w:rsid w:val="00A940BE"/>
    <w:rsid w:val="00A95DB1"/>
    <w:rsid w:val="00A95F6B"/>
    <w:rsid w:val="00A960F2"/>
    <w:rsid w:val="00A966EB"/>
    <w:rsid w:val="00A967D1"/>
    <w:rsid w:val="00A96AD6"/>
    <w:rsid w:val="00A97045"/>
    <w:rsid w:val="00A97603"/>
    <w:rsid w:val="00A976C3"/>
    <w:rsid w:val="00A97A95"/>
    <w:rsid w:val="00A97BE7"/>
    <w:rsid w:val="00AA0637"/>
    <w:rsid w:val="00AA089C"/>
    <w:rsid w:val="00AA0F55"/>
    <w:rsid w:val="00AA12D2"/>
    <w:rsid w:val="00AA1A7E"/>
    <w:rsid w:val="00AA1C51"/>
    <w:rsid w:val="00AA3BB7"/>
    <w:rsid w:val="00AA4282"/>
    <w:rsid w:val="00AA4315"/>
    <w:rsid w:val="00AA4624"/>
    <w:rsid w:val="00AA47CE"/>
    <w:rsid w:val="00AA50A7"/>
    <w:rsid w:val="00AA52B2"/>
    <w:rsid w:val="00AA5356"/>
    <w:rsid w:val="00AA6066"/>
    <w:rsid w:val="00AA625A"/>
    <w:rsid w:val="00AA63B1"/>
    <w:rsid w:val="00AA6972"/>
    <w:rsid w:val="00AA6DC8"/>
    <w:rsid w:val="00AA7278"/>
    <w:rsid w:val="00AB0186"/>
    <w:rsid w:val="00AB027C"/>
    <w:rsid w:val="00AB029E"/>
    <w:rsid w:val="00AB0508"/>
    <w:rsid w:val="00AB16C1"/>
    <w:rsid w:val="00AB17CF"/>
    <w:rsid w:val="00AB1DBF"/>
    <w:rsid w:val="00AB240D"/>
    <w:rsid w:val="00AB2B16"/>
    <w:rsid w:val="00AB2BBD"/>
    <w:rsid w:val="00AB331C"/>
    <w:rsid w:val="00AB435E"/>
    <w:rsid w:val="00AB4FFE"/>
    <w:rsid w:val="00AB6324"/>
    <w:rsid w:val="00AB687D"/>
    <w:rsid w:val="00AB6A96"/>
    <w:rsid w:val="00AB6EBF"/>
    <w:rsid w:val="00AB7ABE"/>
    <w:rsid w:val="00AC086D"/>
    <w:rsid w:val="00AC1266"/>
    <w:rsid w:val="00AC14D9"/>
    <w:rsid w:val="00AC189A"/>
    <w:rsid w:val="00AC1D65"/>
    <w:rsid w:val="00AC1FC1"/>
    <w:rsid w:val="00AC2C71"/>
    <w:rsid w:val="00AC2CB4"/>
    <w:rsid w:val="00AC3874"/>
    <w:rsid w:val="00AC3DB1"/>
    <w:rsid w:val="00AC4311"/>
    <w:rsid w:val="00AC45FD"/>
    <w:rsid w:val="00AC48AE"/>
    <w:rsid w:val="00AC4CCC"/>
    <w:rsid w:val="00AC4D69"/>
    <w:rsid w:val="00AC4FBE"/>
    <w:rsid w:val="00AC571F"/>
    <w:rsid w:val="00AC5928"/>
    <w:rsid w:val="00AC619C"/>
    <w:rsid w:val="00AC6B30"/>
    <w:rsid w:val="00AC7510"/>
    <w:rsid w:val="00AC755E"/>
    <w:rsid w:val="00AC7A41"/>
    <w:rsid w:val="00AC7B20"/>
    <w:rsid w:val="00AC7C8E"/>
    <w:rsid w:val="00AD1317"/>
    <w:rsid w:val="00AD2150"/>
    <w:rsid w:val="00AD2BB3"/>
    <w:rsid w:val="00AD2D57"/>
    <w:rsid w:val="00AD2EA1"/>
    <w:rsid w:val="00AD356F"/>
    <w:rsid w:val="00AD364A"/>
    <w:rsid w:val="00AD3B68"/>
    <w:rsid w:val="00AD407B"/>
    <w:rsid w:val="00AD46EF"/>
    <w:rsid w:val="00AD4FE7"/>
    <w:rsid w:val="00AD55DB"/>
    <w:rsid w:val="00AD57DC"/>
    <w:rsid w:val="00AD6170"/>
    <w:rsid w:val="00AD712B"/>
    <w:rsid w:val="00AD713F"/>
    <w:rsid w:val="00AD74C5"/>
    <w:rsid w:val="00AE05B5"/>
    <w:rsid w:val="00AE0BD9"/>
    <w:rsid w:val="00AE0C9B"/>
    <w:rsid w:val="00AE12CD"/>
    <w:rsid w:val="00AE1C86"/>
    <w:rsid w:val="00AE23F8"/>
    <w:rsid w:val="00AE28E5"/>
    <w:rsid w:val="00AE3AEB"/>
    <w:rsid w:val="00AE3D12"/>
    <w:rsid w:val="00AE4F7F"/>
    <w:rsid w:val="00AE50CF"/>
    <w:rsid w:val="00AE51BD"/>
    <w:rsid w:val="00AE53ED"/>
    <w:rsid w:val="00AE559C"/>
    <w:rsid w:val="00AE5661"/>
    <w:rsid w:val="00AE600B"/>
    <w:rsid w:val="00AE6E83"/>
    <w:rsid w:val="00AE7B38"/>
    <w:rsid w:val="00AF1D11"/>
    <w:rsid w:val="00AF1F5A"/>
    <w:rsid w:val="00AF2972"/>
    <w:rsid w:val="00AF2CA0"/>
    <w:rsid w:val="00AF4675"/>
    <w:rsid w:val="00AF58A2"/>
    <w:rsid w:val="00AF6C54"/>
    <w:rsid w:val="00AF6C5C"/>
    <w:rsid w:val="00AF75A7"/>
    <w:rsid w:val="00B00CDF"/>
    <w:rsid w:val="00B00D4F"/>
    <w:rsid w:val="00B017A0"/>
    <w:rsid w:val="00B01B9E"/>
    <w:rsid w:val="00B01CBF"/>
    <w:rsid w:val="00B03DAF"/>
    <w:rsid w:val="00B04795"/>
    <w:rsid w:val="00B047A1"/>
    <w:rsid w:val="00B04C81"/>
    <w:rsid w:val="00B056F5"/>
    <w:rsid w:val="00B0691C"/>
    <w:rsid w:val="00B06A1C"/>
    <w:rsid w:val="00B07255"/>
    <w:rsid w:val="00B07574"/>
    <w:rsid w:val="00B078AC"/>
    <w:rsid w:val="00B079ED"/>
    <w:rsid w:val="00B07CFB"/>
    <w:rsid w:val="00B1070D"/>
    <w:rsid w:val="00B107F9"/>
    <w:rsid w:val="00B10A70"/>
    <w:rsid w:val="00B10E8C"/>
    <w:rsid w:val="00B10F88"/>
    <w:rsid w:val="00B1149A"/>
    <w:rsid w:val="00B13507"/>
    <w:rsid w:val="00B13BAA"/>
    <w:rsid w:val="00B14739"/>
    <w:rsid w:val="00B163B5"/>
    <w:rsid w:val="00B163D4"/>
    <w:rsid w:val="00B16B7D"/>
    <w:rsid w:val="00B17219"/>
    <w:rsid w:val="00B175B6"/>
    <w:rsid w:val="00B2050B"/>
    <w:rsid w:val="00B20887"/>
    <w:rsid w:val="00B2098C"/>
    <w:rsid w:val="00B22136"/>
    <w:rsid w:val="00B22250"/>
    <w:rsid w:val="00B22CE3"/>
    <w:rsid w:val="00B242E8"/>
    <w:rsid w:val="00B259F1"/>
    <w:rsid w:val="00B26086"/>
    <w:rsid w:val="00B277E6"/>
    <w:rsid w:val="00B33C2D"/>
    <w:rsid w:val="00B34ED7"/>
    <w:rsid w:val="00B353B2"/>
    <w:rsid w:val="00B3551B"/>
    <w:rsid w:val="00B367A9"/>
    <w:rsid w:val="00B36C35"/>
    <w:rsid w:val="00B37019"/>
    <w:rsid w:val="00B3756B"/>
    <w:rsid w:val="00B40090"/>
    <w:rsid w:val="00B405FE"/>
    <w:rsid w:val="00B411B0"/>
    <w:rsid w:val="00B41D97"/>
    <w:rsid w:val="00B42F87"/>
    <w:rsid w:val="00B43209"/>
    <w:rsid w:val="00B43BDA"/>
    <w:rsid w:val="00B44366"/>
    <w:rsid w:val="00B4461D"/>
    <w:rsid w:val="00B44F87"/>
    <w:rsid w:val="00B45AE5"/>
    <w:rsid w:val="00B463EA"/>
    <w:rsid w:val="00B47D7D"/>
    <w:rsid w:val="00B50012"/>
    <w:rsid w:val="00B50377"/>
    <w:rsid w:val="00B503C5"/>
    <w:rsid w:val="00B51179"/>
    <w:rsid w:val="00B511E4"/>
    <w:rsid w:val="00B52920"/>
    <w:rsid w:val="00B52D03"/>
    <w:rsid w:val="00B53CC6"/>
    <w:rsid w:val="00B554E7"/>
    <w:rsid w:val="00B55611"/>
    <w:rsid w:val="00B556EF"/>
    <w:rsid w:val="00B558F0"/>
    <w:rsid w:val="00B57828"/>
    <w:rsid w:val="00B57EBD"/>
    <w:rsid w:val="00B60320"/>
    <w:rsid w:val="00B603BD"/>
    <w:rsid w:val="00B60454"/>
    <w:rsid w:val="00B606BA"/>
    <w:rsid w:val="00B60AF6"/>
    <w:rsid w:val="00B60C34"/>
    <w:rsid w:val="00B60E4F"/>
    <w:rsid w:val="00B6107E"/>
    <w:rsid w:val="00B61849"/>
    <w:rsid w:val="00B620F7"/>
    <w:rsid w:val="00B62208"/>
    <w:rsid w:val="00B6287A"/>
    <w:rsid w:val="00B63C00"/>
    <w:rsid w:val="00B63E0B"/>
    <w:rsid w:val="00B641A7"/>
    <w:rsid w:val="00B64E0A"/>
    <w:rsid w:val="00B64E12"/>
    <w:rsid w:val="00B656C9"/>
    <w:rsid w:val="00B65C0F"/>
    <w:rsid w:val="00B66B85"/>
    <w:rsid w:val="00B6759E"/>
    <w:rsid w:val="00B6764E"/>
    <w:rsid w:val="00B678DC"/>
    <w:rsid w:val="00B67B0B"/>
    <w:rsid w:val="00B67B7E"/>
    <w:rsid w:val="00B67FB7"/>
    <w:rsid w:val="00B700B6"/>
    <w:rsid w:val="00B7015D"/>
    <w:rsid w:val="00B701B5"/>
    <w:rsid w:val="00B70308"/>
    <w:rsid w:val="00B70D5B"/>
    <w:rsid w:val="00B7122C"/>
    <w:rsid w:val="00B714E8"/>
    <w:rsid w:val="00B7198F"/>
    <w:rsid w:val="00B72F0D"/>
    <w:rsid w:val="00B732A9"/>
    <w:rsid w:val="00B7350C"/>
    <w:rsid w:val="00B73B4C"/>
    <w:rsid w:val="00B7426E"/>
    <w:rsid w:val="00B74956"/>
    <w:rsid w:val="00B74C58"/>
    <w:rsid w:val="00B74DF2"/>
    <w:rsid w:val="00B755E1"/>
    <w:rsid w:val="00B75C29"/>
    <w:rsid w:val="00B75C61"/>
    <w:rsid w:val="00B76983"/>
    <w:rsid w:val="00B770BB"/>
    <w:rsid w:val="00B77929"/>
    <w:rsid w:val="00B77E4E"/>
    <w:rsid w:val="00B77E84"/>
    <w:rsid w:val="00B800EA"/>
    <w:rsid w:val="00B80169"/>
    <w:rsid w:val="00B80454"/>
    <w:rsid w:val="00B8173B"/>
    <w:rsid w:val="00B82147"/>
    <w:rsid w:val="00B82752"/>
    <w:rsid w:val="00B82A3E"/>
    <w:rsid w:val="00B83384"/>
    <w:rsid w:val="00B835CD"/>
    <w:rsid w:val="00B83DC2"/>
    <w:rsid w:val="00B83F85"/>
    <w:rsid w:val="00B84094"/>
    <w:rsid w:val="00B840A5"/>
    <w:rsid w:val="00B845B6"/>
    <w:rsid w:val="00B847F6"/>
    <w:rsid w:val="00B85B62"/>
    <w:rsid w:val="00B85F78"/>
    <w:rsid w:val="00B86080"/>
    <w:rsid w:val="00B86FB4"/>
    <w:rsid w:val="00B872DE"/>
    <w:rsid w:val="00B8738D"/>
    <w:rsid w:val="00B87924"/>
    <w:rsid w:val="00B87B89"/>
    <w:rsid w:val="00B87CFA"/>
    <w:rsid w:val="00B87E6A"/>
    <w:rsid w:val="00B90459"/>
    <w:rsid w:val="00B90598"/>
    <w:rsid w:val="00B90BAF"/>
    <w:rsid w:val="00B90F32"/>
    <w:rsid w:val="00B910BE"/>
    <w:rsid w:val="00B93289"/>
    <w:rsid w:val="00B93E47"/>
    <w:rsid w:val="00B9417D"/>
    <w:rsid w:val="00B9477D"/>
    <w:rsid w:val="00B9495A"/>
    <w:rsid w:val="00B94A5C"/>
    <w:rsid w:val="00B94C38"/>
    <w:rsid w:val="00B95AE0"/>
    <w:rsid w:val="00B9600A"/>
    <w:rsid w:val="00B96218"/>
    <w:rsid w:val="00B962ED"/>
    <w:rsid w:val="00B96831"/>
    <w:rsid w:val="00B969A8"/>
    <w:rsid w:val="00B96E44"/>
    <w:rsid w:val="00B9724E"/>
    <w:rsid w:val="00B97F3E"/>
    <w:rsid w:val="00BA03B5"/>
    <w:rsid w:val="00BA0B8B"/>
    <w:rsid w:val="00BA0E03"/>
    <w:rsid w:val="00BA0E47"/>
    <w:rsid w:val="00BA10E7"/>
    <w:rsid w:val="00BA126B"/>
    <w:rsid w:val="00BA16FD"/>
    <w:rsid w:val="00BA1716"/>
    <w:rsid w:val="00BA171C"/>
    <w:rsid w:val="00BA213A"/>
    <w:rsid w:val="00BA21D0"/>
    <w:rsid w:val="00BA2504"/>
    <w:rsid w:val="00BA2BC8"/>
    <w:rsid w:val="00BA45B1"/>
    <w:rsid w:val="00BA4D3C"/>
    <w:rsid w:val="00BA529E"/>
    <w:rsid w:val="00BA54A5"/>
    <w:rsid w:val="00BA59D6"/>
    <w:rsid w:val="00BA5F0A"/>
    <w:rsid w:val="00BA623A"/>
    <w:rsid w:val="00BA6D0B"/>
    <w:rsid w:val="00BB0046"/>
    <w:rsid w:val="00BB0EAA"/>
    <w:rsid w:val="00BB1061"/>
    <w:rsid w:val="00BB10F9"/>
    <w:rsid w:val="00BB18C8"/>
    <w:rsid w:val="00BB2241"/>
    <w:rsid w:val="00BB238D"/>
    <w:rsid w:val="00BB2B23"/>
    <w:rsid w:val="00BB31F7"/>
    <w:rsid w:val="00BB3D1B"/>
    <w:rsid w:val="00BB3EB2"/>
    <w:rsid w:val="00BB4D91"/>
    <w:rsid w:val="00BB530F"/>
    <w:rsid w:val="00BB5D2A"/>
    <w:rsid w:val="00BB5DAD"/>
    <w:rsid w:val="00BB67A2"/>
    <w:rsid w:val="00BB6A6F"/>
    <w:rsid w:val="00BB71AC"/>
    <w:rsid w:val="00BB7AA3"/>
    <w:rsid w:val="00BB7DCD"/>
    <w:rsid w:val="00BC0541"/>
    <w:rsid w:val="00BC0A44"/>
    <w:rsid w:val="00BC0D34"/>
    <w:rsid w:val="00BC0FD3"/>
    <w:rsid w:val="00BC11CC"/>
    <w:rsid w:val="00BC14FF"/>
    <w:rsid w:val="00BC1AA3"/>
    <w:rsid w:val="00BC1DDD"/>
    <w:rsid w:val="00BC1F3A"/>
    <w:rsid w:val="00BC2372"/>
    <w:rsid w:val="00BC270C"/>
    <w:rsid w:val="00BC2C97"/>
    <w:rsid w:val="00BC3749"/>
    <w:rsid w:val="00BC44D2"/>
    <w:rsid w:val="00BC4F62"/>
    <w:rsid w:val="00BC51DE"/>
    <w:rsid w:val="00BC53E2"/>
    <w:rsid w:val="00BC5840"/>
    <w:rsid w:val="00BC593A"/>
    <w:rsid w:val="00BC69D5"/>
    <w:rsid w:val="00BC7195"/>
    <w:rsid w:val="00BC7683"/>
    <w:rsid w:val="00BD0209"/>
    <w:rsid w:val="00BD0AB3"/>
    <w:rsid w:val="00BD0EB3"/>
    <w:rsid w:val="00BD241B"/>
    <w:rsid w:val="00BD279D"/>
    <w:rsid w:val="00BD33F6"/>
    <w:rsid w:val="00BD3CC7"/>
    <w:rsid w:val="00BD4016"/>
    <w:rsid w:val="00BD408A"/>
    <w:rsid w:val="00BD4128"/>
    <w:rsid w:val="00BD4451"/>
    <w:rsid w:val="00BD469B"/>
    <w:rsid w:val="00BD46D4"/>
    <w:rsid w:val="00BD62CC"/>
    <w:rsid w:val="00BD66FA"/>
    <w:rsid w:val="00BD7000"/>
    <w:rsid w:val="00BD71B1"/>
    <w:rsid w:val="00BD73F4"/>
    <w:rsid w:val="00BD7656"/>
    <w:rsid w:val="00BE01CE"/>
    <w:rsid w:val="00BE0809"/>
    <w:rsid w:val="00BE1666"/>
    <w:rsid w:val="00BE1B93"/>
    <w:rsid w:val="00BE3B08"/>
    <w:rsid w:val="00BE4ABB"/>
    <w:rsid w:val="00BE5352"/>
    <w:rsid w:val="00BE616C"/>
    <w:rsid w:val="00BE6254"/>
    <w:rsid w:val="00BE6879"/>
    <w:rsid w:val="00BE697D"/>
    <w:rsid w:val="00BE7122"/>
    <w:rsid w:val="00BF02BE"/>
    <w:rsid w:val="00BF13D8"/>
    <w:rsid w:val="00BF1499"/>
    <w:rsid w:val="00BF166B"/>
    <w:rsid w:val="00BF1C31"/>
    <w:rsid w:val="00BF1E95"/>
    <w:rsid w:val="00BF1FD7"/>
    <w:rsid w:val="00BF2242"/>
    <w:rsid w:val="00BF27B8"/>
    <w:rsid w:val="00BF40E9"/>
    <w:rsid w:val="00BF47ED"/>
    <w:rsid w:val="00BF4C22"/>
    <w:rsid w:val="00BF5AD6"/>
    <w:rsid w:val="00BF60C6"/>
    <w:rsid w:val="00BF7699"/>
    <w:rsid w:val="00BF7FD9"/>
    <w:rsid w:val="00C0079E"/>
    <w:rsid w:val="00C009AB"/>
    <w:rsid w:val="00C01016"/>
    <w:rsid w:val="00C0154C"/>
    <w:rsid w:val="00C0210D"/>
    <w:rsid w:val="00C02173"/>
    <w:rsid w:val="00C0283B"/>
    <w:rsid w:val="00C02ED6"/>
    <w:rsid w:val="00C033E8"/>
    <w:rsid w:val="00C03451"/>
    <w:rsid w:val="00C03A96"/>
    <w:rsid w:val="00C03F4B"/>
    <w:rsid w:val="00C0405A"/>
    <w:rsid w:val="00C06535"/>
    <w:rsid w:val="00C0669D"/>
    <w:rsid w:val="00C068E5"/>
    <w:rsid w:val="00C07C89"/>
    <w:rsid w:val="00C1071A"/>
    <w:rsid w:val="00C118A5"/>
    <w:rsid w:val="00C11999"/>
    <w:rsid w:val="00C125A0"/>
    <w:rsid w:val="00C12648"/>
    <w:rsid w:val="00C127FF"/>
    <w:rsid w:val="00C12C93"/>
    <w:rsid w:val="00C12FB3"/>
    <w:rsid w:val="00C134D6"/>
    <w:rsid w:val="00C138D8"/>
    <w:rsid w:val="00C14FB6"/>
    <w:rsid w:val="00C15387"/>
    <w:rsid w:val="00C1629B"/>
    <w:rsid w:val="00C16AC8"/>
    <w:rsid w:val="00C16D60"/>
    <w:rsid w:val="00C16E4A"/>
    <w:rsid w:val="00C179E8"/>
    <w:rsid w:val="00C17B45"/>
    <w:rsid w:val="00C17BFD"/>
    <w:rsid w:val="00C2016B"/>
    <w:rsid w:val="00C217CB"/>
    <w:rsid w:val="00C21A56"/>
    <w:rsid w:val="00C21A87"/>
    <w:rsid w:val="00C2213F"/>
    <w:rsid w:val="00C226EE"/>
    <w:rsid w:val="00C22A46"/>
    <w:rsid w:val="00C22D52"/>
    <w:rsid w:val="00C23791"/>
    <w:rsid w:val="00C23F82"/>
    <w:rsid w:val="00C2536A"/>
    <w:rsid w:val="00C253E7"/>
    <w:rsid w:val="00C2601F"/>
    <w:rsid w:val="00C26124"/>
    <w:rsid w:val="00C278AD"/>
    <w:rsid w:val="00C30DC6"/>
    <w:rsid w:val="00C31686"/>
    <w:rsid w:val="00C31AEB"/>
    <w:rsid w:val="00C31C4C"/>
    <w:rsid w:val="00C31EA0"/>
    <w:rsid w:val="00C3209C"/>
    <w:rsid w:val="00C323D8"/>
    <w:rsid w:val="00C32500"/>
    <w:rsid w:val="00C33C95"/>
    <w:rsid w:val="00C34884"/>
    <w:rsid w:val="00C34F1B"/>
    <w:rsid w:val="00C34F83"/>
    <w:rsid w:val="00C35225"/>
    <w:rsid w:val="00C35512"/>
    <w:rsid w:val="00C35885"/>
    <w:rsid w:val="00C358C1"/>
    <w:rsid w:val="00C358D6"/>
    <w:rsid w:val="00C35F87"/>
    <w:rsid w:val="00C361BE"/>
    <w:rsid w:val="00C36454"/>
    <w:rsid w:val="00C36F6D"/>
    <w:rsid w:val="00C37199"/>
    <w:rsid w:val="00C4006B"/>
    <w:rsid w:val="00C40170"/>
    <w:rsid w:val="00C40299"/>
    <w:rsid w:val="00C41182"/>
    <w:rsid w:val="00C42ADE"/>
    <w:rsid w:val="00C42F73"/>
    <w:rsid w:val="00C439B2"/>
    <w:rsid w:val="00C43D7B"/>
    <w:rsid w:val="00C43DEB"/>
    <w:rsid w:val="00C442CC"/>
    <w:rsid w:val="00C44445"/>
    <w:rsid w:val="00C44757"/>
    <w:rsid w:val="00C44F47"/>
    <w:rsid w:val="00C467BA"/>
    <w:rsid w:val="00C46827"/>
    <w:rsid w:val="00C4713C"/>
    <w:rsid w:val="00C502F8"/>
    <w:rsid w:val="00C515AA"/>
    <w:rsid w:val="00C51C71"/>
    <w:rsid w:val="00C51E06"/>
    <w:rsid w:val="00C52892"/>
    <w:rsid w:val="00C529F2"/>
    <w:rsid w:val="00C52A46"/>
    <w:rsid w:val="00C52A4A"/>
    <w:rsid w:val="00C530D2"/>
    <w:rsid w:val="00C5311D"/>
    <w:rsid w:val="00C533FB"/>
    <w:rsid w:val="00C5356F"/>
    <w:rsid w:val="00C5367F"/>
    <w:rsid w:val="00C53BE9"/>
    <w:rsid w:val="00C54BD9"/>
    <w:rsid w:val="00C54E4E"/>
    <w:rsid w:val="00C556D7"/>
    <w:rsid w:val="00C559F7"/>
    <w:rsid w:val="00C55F33"/>
    <w:rsid w:val="00C562F1"/>
    <w:rsid w:val="00C56D9D"/>
    <w:rsid w:val="00C56EB1"/>
    <w:rsid w:val="00C57C47"/>
    <w:rsid w:val="00C57C60"/>
    <w:rsid w:val="00C604A2"/>
    <w:rsid w:val="00C60D43"/>
    <w:rsid w:val="00C60D94"/>
    <w:rsid w:val="00C60D9C"/>
    <w:rsid w:val="00C60E52"/>
    <w:rsid w:val="00C61221"/>
    <w:rsid w:val="00C61CD2"/>
    <w:rsid w:val="00C6243F"/>
    <w:rsid w:val="00C627CB"/>
    <w:rsid w:val="00C64180"/>
    <w:rsid w:val="00C646EA"/>
    <w:rsid w:val="00C64ADA"/>
    <w:rsid w:val="00C652E4"/>
    <w:rsid w:val="00C67946"/>
    <w:rsid w:val="00C6797F"/>
    <w:rsid w:val="00C712CD"/>
    <w:rsid w:val="00C713C6"/>
    <w:rsid w:val="00C71FC4"/>
    <w:rsid w:val="00C723FD"/>
    <w:rsid w:val="00C72B96"/>
    <w:rsid w:val="00C73E2B"/>
    <w:rsid w:val="00C74139"/>
    <w:rsid w:val="00C75B48"/>
    <w:rsid w:val="00C76355"/>
    <w:rsid w:val="00C7662E"/>
    <w:rsid w:val="00C767BD"/>
    <w:rsid w:val="00C76A85"/>
    <w:rsid w:val="00C77460"/>
    <w:rsid w:val="00C77A08"/>
    <w:rsid w:val="00C77F26"/>
    <w:rsid w:val="00C80198"/>
    <w:rsid w:val="00C80316"/>
    <w:rsid w:val="00C8082F"/>
    <w:rsid w:val="00C82331"/>
    <w:rsid w:val="00C8262E"/>
    <w:rsid w:val="00C82EA9"/>
    <w:rsid w:val="00C83A9E"/>
    <w:rsid w:val="00C83CA8"/>
    <w:rsid w:val="00C8570C"/>
    <w:rsid w:val="00C85FFC"/>
    <w:rsid w:val="00C861A3"/>
    <w:rsid w:val="00C86415"/>
    <w:rsid w:val="00C86647"/>
    <w:rsid w:val="00C86EDC"/>
    <w:rsid w:val="00C87DCA"/>
    <w:rsid w:val="00C90201"/>
    <w:rsid w:val="00C90E2D"/>
    <w:rsid w:val="00C90E88"/>
    <w:rsid w:val="00C91039"/>
    <w:rsid w:val="00C910AA"/>
    <w:rsid w:val="00C913FB"/>
    <w:rsid w:val="00C9147D"/>
    <w:rsid w:val="00C918F2"/>
    <w:rsid w:val="00C92433"/>
    <w:rsid w:val="00C928D9"/>
    <w:rsid w:val="00C92F4F"/>
    <w:rsid w:val="00C92FFF"/>
    <w:rsid w:val="00C93045"/>
    <w:rsid w:val="00C934ED"/>
    <w:rsid w:val="00C93631"/>
    <w:rsid w:val="00C936A2"/>
    <w:rsid w:val="00C948D5"/>
    <w:rsid w:val="00C953E0"/>
    <w:rsid w:val="00C953F2"/>
    <w:rsid w:val="00C9548A"/>
    <w:rsid w:val="00C956A1"/>
    <w:rsid w:val="00C95C2B"/>
    <w:rsid w:val="00C95CFF"/>
    <w:rsid w:val="00C969DB"/>
    <w:rsid w:val="00C96E09"/>
    <w:rsid w:val="00C96E33"/>
    <w:rsid w:val="00C970C6"/>
    <w:rsid w:val="00C9785D"/>
    <w:rsid w:val="00C97953"/>
    <w:rsid w:val="00C97ACD"/>
    <w:rsid w:val="00CA0786"/>
    <w:rsid w:val="00CA0BC8"/>
    <w:rsid w:val="00CA0D65"/>
    <w:rsid w:val="00CA1458"/>
    <w:rsid w:val="00CA147D"/>
    <w:rsid w:val="00CA1C28"/>
    <w:rsid w:val="00CA2510"/>
    <w:rsid w:val="00CA3029"/>
    <w:rsid w:val="00CA3190"/>
    <w:rsid w:val="00CA3B37"/>
    <w:rsid w:val="00CA3F57"/>
    <w:rsid w:val="00CA4507"/>
    <w:rsid w:val="00CA45C9"/>
    <w:rsid w:val="00CA49B3"/>
    <w:rsid w:val="00CA6559"/>
    <w:rsid w:val="00CA6F3B"/>
    <w:rsid w:val="00CA6F8B"/>
    <w:rsid w:val="00CA74D4"/>
    <w:rsid w:val="00CB011E"/>
    <w:rsid w:val="00CB09CC"/>
    <w:rsid w:val="00CB0BDB"/>
    <w:rsid w:val="00CB0EFE"/>
    <w:rsid w:val="00CB1823"/>
    <w:rsid w:val="00CB18B2"/>
    <w:rsid w:val="00CB1D89"/>
    <w:rsid w:val="00CB23AA"/>
    <w:rsid w:val="00CB2E31"/>
    <w:rsid w:val="00CB3148"/>
    <w:rsid w:val="00CB3740"/>
    <w:rsid w:val="00CB3754"/>
    <w:rsid w:val="00CB398F"/>
    <w:rsid w:val="00CB3F56"/>
    <w:rsid w:val="00CB4AFC"/>
    <w:rsid w:val="00CB536F"/>
    <w:rsid w:val="00CB53CB"/>
    <w:rsid w:val="00CB56E1"/>
    <w:rsid w:val="00CB57F6"/>
    <w:rsid w:val="00CB5EB7"/>
    <w:rsid w:val="00CB663F"/>
    <w:rsid w:val="00CB66AE"/>
    <w:rsid w:val="00CB7166"/>
    <w:rsid w:val="00CB72B3"/>
    <w:rsid w:val="00CB7455"/>
    <w:rsid w:val="00CB77C6"/>
    <w:rsid w:val="00CB79C4"/>
    <w:rsid w:val="00CB7ACE"/>
    <w:rsid w:val="00CB7F24"/>
    <w:rsid w:val="00CC0EC1"/>
    <w:rsid w:val="00CC1D49"/>
    <w:rsid w:val="00CC2040"/>
    <w:rsid w:val="00CC2F60"/>
    <w:rsid w:val="00CC307E"/>
    <w:rsid w:val="00CC3F90"/>
    <w:rsid w:val="00CC44F6"/>
    <w:rsid w:val="00CC68A4"/>
    <w:rsid w:val="00CC777B"/>
    <w:rsid w:val="00CC796F"/>
    <w:rsid w:val="00CC7D16"/>
    <w:rsid w:val="00CD0124"/>
    <w:rsid w:val="00CD0324"/>
    <w:rsid w:val="00CD0445"/>
    <w:rsid w:val="00CD17E1"/>
    <w:rsid w:val="00CD1B37"/>
    <w:rsid w:val="00CD2AB4"/>
    <w:rsid w:val="00CD2FF3"/>
    <w:rsid w:val="00CD324C"/>
    <w:rsid w:val="00CD3B83"/>
    <w:rsid w:val="00CD4132"/>
    <w:rsid w:val="00CD4F56"/>
    <w:rsid w:val="00CD55A0"/>
    <w:rsid w:val="00CD5708"/>
    <w:rsid w:val="00CD57B1"/>
    <w:rsid w:val="00CD62EA"/>
    <w:rsid w:val="00CD6AA8"/>
    <w:rsid w:val="00CD6B47"/>
    <w:rsid w:val="00CE0B21"/>
    <w:rsid w:val="00CE0FA0"/>
    <w:rsid w:val="00CE1965"/>
    <w:rsid w:val="00CE1C6B"/>
    <w:rsid w:val="00CE1DBA"/>
    <w:rsid w:val="00CE1EA7"/>
    <w:rsid w:val="00CE1F4A"/>
    <w:rsid w:val="00CE289F"/>
    <w:rsid w:val="00CE2E47"/>
    <w:rsid w:val="00CE35B0"/>
    <w:rsid w:val="00CE3B5F"/>
    <w:rsid w:val="00CE4389"/>
    <w:rsid w:val="00CE4418"/>
    <w:rsid w:val="00CE4A60"/>
    <w:rsid w:val="00CE5005"/>
    <w:rsid w:val="00CE524A"/>
    <w:rsid w:val="00CE5609"/>
    <w:rsid w:val="00CE5C16"/>
    <w:rsid w:val="00CE621A"/>
    <w:rsid w:val="00CE69F6"/>
    <w:rsid w:val="00CE7256"/>
    <w:rsid w:val="00CF0113"/>
    <w:rsid w:val="00CF1D64"/>
    <w:rsid w:val="00CF2276"/>
    <w:rsid w:val="00CF28D3"/>
    <w:rsid w:val="00CF2B0F"/>
    <w:rsid w:val="00CF2C2C"/>
    <w:rsid w:val="00CF2C88"/>
    <w:rsid w:val="00CF2DFC"/>
    <w:rsid w:val="00CF3676"/>
    <w:rsid w:val="00CF4258"/>
    <w:rsid w:val="00CF4B38"/>
    <w:rsid w:val="00CF5E0D"/>
    <w:rsid w:val="00CF717C"/>
    <w:rsid w:val="00CF75F9"/>
    <w:rsid w:val="00CF7D70"/>
    <w:rsid w:val="00D00667"/>
    <w:rsid w:val="00D00A52"/>
    <w:rsid w:val="00D015DB"/>
    <w:rsid w:val="00D017D5"/>
    <w:rsid w:val="00D017E1"/>
    <w:rsid w:val="00D03240"/>
    <w:rsid w:val="00D03E3E"/>
    <w:rsid w:val="00D040B9"/>
    <w:rsid w:val="00D046A5"/>
    <w:rsid w:val="00D04B3B"/>
    <w:rsid w:val="00D04C3F"/>
    <w:rsid w:val="00D05455"/>
    <w:rsid w:val="00D0563C"/>
    <w:rsid w:val="00D0585B"/>
    <w:rsid w:val="00D05C36"/>
    <w:rsid w:val="00D0616C"/>
    <w:rsid w:val="00D062D5"/>
    <w:rsid w:val="00D064CE"/>
    <w:rsid w:val="00D0664B"/>
    <w:rsid w:val="00D06B9F"/>
    <w:rsid w:val="00D06DEA"/>
    <w:rsid w:val="00D07664"/>
    <w:rsid w:val="00D07AE4"/>
    <w:rsid w:val="00D117E3"/>
    <w:rsid w:val="00D11D94"/>
    <w:rsid w:val="00D11F09"/>
    <w:rsid w:val="00D12122"/>
    <w:rsid w:val="00D1229F"/>
    <w:rsid w:val="00D12B26"/>
    <w:rsid w:val="00D13204"/>
    <w:rsid w:val="00D136FB"/>
    <w:rsid w:val="00D1384E"/>
    <w:rsid w:val="00D13AED"/>
    <w:rsid w:val="00D14545"/>
    <w:rsid w:val="00D14A29"/>
    <w:rsid w:val="00D14E71"/>
    <w:rsid w:val="00D1517D"/>
    <w:rsid w:val="00D15B70"/>
    <w:rsid w:val="00D1637F"/>
    <w:rsid w:val="00D176DF"/>
    <w:rsid w:val="00D17F34"/>
    <w:rsid w:val="00D20422"/>
    <w:rsid w:val="00D204DC"/>
    <w:rsid w:val="00D2108D"/>
    <w:rsid w:val="00D2167F"/>
    <w:rsid w:val="00D216F8"/>
    <w:rsid w:val="00D22190"/>
    <w:rsid w:val="00D23C1D"/>
    <w:rsid w:val="00D24B10"/>
    <w:rsid w:val="00D24C1A"/>
    <w:rsid w:val="00D253C6"/>
    <w:rsid w:val="00D25682"/>
    <w:rsid w:val="00D258DB"/>
    <w:rsid w:val="00D25D7D"/>
    <w:rsid w:val="00D272F0"/>
    <w:rsid w:val="00D27451"/>
    <w:rsid w:val="00D274E2"/>
    <w:rsid w:val="00D275AA"/>
    <w:rsid w:val="00D275DB"/>
    <w:rsid w:val="00D27D49"/>
    <w:rsid w:val="00D3021A"/>
    <w:rsid w:val="00D308BE"/>
    <w:rsid w:val="00D3133F"/>
    <w:rsid w:val="00D3164A"/>
    <w:rsid w:val="00D32247"/>
    <w:rsid w:val="00D32E8F"/>
    <w:rsid w:val="00D334D1"/>
    <w:rsid w:val="00D34012"/>
    <w:rsid w:val="00D34274"/>
    <w:rsid w:val="00D343E7"/>
    <w:rsid w:val="00D34497"/>
    <w:rsid w:val="00D35829"/>
    <w:rsid w:val="00D36238"/>
    <w:rsid w:val="00D364FA"/>
    <w:rsid w:val="00D37A75"/>
    <w:rsid w:val="00D40948"/>
    <w:rsid w:val="00D409DE"/>
    <w:rsid w:val="00D411AE"/>
    <w:rsid w:val="00D414C6"/>
    <w:rsid w:val="00D42541"/>
    <w:rsid w:val="00D4335D"/>
    <w:rsid w:val="00D45354"/>
    <w:rsid w:val="00D457A0"/>
    <w:rsid w:val="00D45B45"/>
    <w:rsid w:val="00D463D0"/>
    <w:rsid w:val="00D469B3"/>
    <w:rsid w:val="00D47BA6"/>
    <w:rsid w:val="00D50A3A"/>
    <w:rsid w:val="00D514FE"/>
    <w:rsid w:val="00D523BE"/>
    <w:rsid w:val="00D52ADA"/>
    <w:rsid w:val="00D532BA"/>
    <w:rsid w:val="00D5347A"/>
    <w:rsid w:val="00D53C61"/>
    <w:rsid w:val="00D54186"/>
    <w:rsid w:val="00D54699"/>
    <w:rsid w:val="00D54B49"/>
    <w:rsid w:val="00D560C8"/>
    <w:rsid w:val="00D564C9"/>
    <w:rsid w:val="00D56687"/>
    <w:rsid w:val="00D56A59"/>
    <w:rsid w:val="00D5702C"/>
    <w:rsid w:val="00D57AF0"/>
    <w:rsid w:val="00D60431"/>
    <w:rsid w:val="00D60980"/>
    <w:rsid w:val="00D60ACE"/>
    <w:rsid w:val="00D61BE9"/>
    <w:rsid w:val="00D625B1"/>
    <w:rsid w:val="00D62ACB"/>
    <w:rsid w:val="00D62EE9"/>
    <w:rsid w:val="00D62F04"/>
    <w:rsid w:val="00D631DB"/>
    <w:rsid w:val="00D63460"/>
    <w:rsid w:val="00D63614"/>
    <w:rsid w:val="00D63F99"/>
    <w:rsid w:val="00D64675"/>
    <w:rsid w:val="00D67070"/>
    <w:rsid w:val="00D671DB"/>
    <w:rsid w:val="00D67E9D"/>
    <w:rsid w:val="00D70CB3"/>
    <w:rsid w:val="00D71243"/>
    <w:rsid w:val="00D7160E"/>
    <w:rsid w:val="00D72F9B"/>
    <w:rsid w:val="00D731DE"/>
    <w:rsid w:val="00D73466"/>
    <w:rsid w:val="00D7373C"/>
    <w:rsid w:val="00D73D57"/>
    <w:rsid w:val="00D73EF6"/>
    <w:rsid w:val="00D74054"/>
    <w:rsid w:val="00D741E0"/>
    <w:rsid w:val="00D74321"/>
    <w:rsid w:val="00D7486E"/>
    <w:rsid w:val="00D74F46"/>
    <w:rsid w:val="00D75082"/>
    <w:rsid w:val="00D75139"/>
    <w:rsid w:val="00D754E7"/>
    <w:rsid w:val="00D76B7F"/>
    <w:rsid w:val="00D7763B"/>
    <w:rsid w:val="00D7765C"/>
    <w:rsid w:val="00D80B19"/>
    <w:rsid w:val="00D80F86"/>
    <w:rsid w:val="00D817FC"/>
    <w:rsid w:val="00D81853"/>
    <w:rsid w:val="00D8297E"/>
    <w:rsid w:val="00D8305B"/>
    <w:rsid w:val="00D833A6"/>
    <w:rsid w:val="00D8371F"/>
    <w:rsid w:val="00D83A28"/>
    <w:rsid w:val="00D840CC"/>
    <w:rsid w:val="00D8443C"/>
    <w:rsid w:val="00D848B2"/>
    <w:rsid w:val="00D84E7A"/>
    <w:rsid w:val="00D85A2F"/>
    <w:rsid w:val="00D8688D"/>
    <w:rsid w:val="00D86992"/>
    <w:rsid w:val="00D8701A"/>
    <w:rsid w:val="00D87368"/>
    <w:rsid w:val="00D874F0"/>
    <w:rsid w:val="00D87A12"/>
    <w:rsid w:val="00D9009E"/>
    <w:rsid w:val="00D907BE"/>
    <w:rsid w:val="00D90927"/>
    <w:rsid w:val="00D917B2"/>
    <w:rsid w:val="00D91849"/>
    <w:rsid w:val="00D91C27"/>
    <w:rsid w:val="00D9226F"/>
    <w:rsid w:val="00D92360"/>
    <w:rsid w:val="00D92478"/>
    <w:rsid w:val="00D9274A"/>
    <w:rsid w:val="00D9313D"/>
    <w:rsid w:val="00D9343B"/>
    <w:rsid w:val="00D93529"/>
    <w:rsid w:val="00D9414F"/>
    <w:rsid w:val="00D951DA"/>
    <w:rsid w:val="00D959FF"/>
    <w:rsid w:val="00D95DE6"/>
    <w:rsid w:val="00D96F27"/>
    <w:rsid w:val="00D97067"/>
    <w:rsid w:val="00D978E1"/>
    <w:rsid w:val="00D979FB"/>
    <w:rsid w:val="00DA0AC3"/>
    <w:rsid w:val="00DA0EDF"/>
    <w:rsid w:val="00DA144A"/>
    <w:rsid w:val="00DA1A46"/>
    <w:rsid w:val="00DA1DE6"/>
    <w:rsid w:val="00DA1F56"/>
    <w:rsid w:val="00DA2526"/>
    <w:rsid w:val="00DA2E54"/>
    <w:rsid w:val="00DA4CF0"/>
    <w:rsid w:val="00DA4FA9"/>
    <w:rsid w:val="00DA5622"/>
    <w:rsid w:val="00DA6DDA"/>
    <w:rsid w:val="00DA6E16"/>
    <w:rsid w:val="00DA7032"/>
    <w:rsid w:val="00DA7663"/>
    <w:rsid w:val="00DA7EE8"/>
    <w:rsid w:val="00DB02CB"/>
    <w:rsid w:val="00DB0369"/>
    <w:rsid w:val="00DB04C3"/>
    <w:rsid w:val="00DB0F9B"/>
    <w:rsid w:val="00DB12E2"/>
    <w:rsid w:val="00DB15B8"/>
    <w:rsid w:val="00DB22C4"/>
    <w:rsid w:val="00DB2682"/>
    <w:rsid w:val="00DB30CD"/>
    <w:rsid w:val="00DB4D95"/>
    <w:rsid w:val="00DB51D0"/>
    <w:rsid w:val="00DB5589"/>
    <w:rsid w:val="00DB597C"/>
    <w:rsid w:val="00DB61AC"/>
    <w:rsid w:val="00DB63AC"/>
    <w:rsid w:val="00DB7FC8"/>
    <w:rsid w:val="00DC021A"/>
    <w:rsid w:val="00DC1180"/>
    <w:rsid w:val="00DC14DE"/>
    <w:rsid w:val="00DC1E32"/>
    <w:rsid w:val="00DC20B3"/>
    <w:rsid w:val="00DC2689"/>
    <w:rsid w:val="00DC2786"/>
    <w:rsid w:val="00DC2C91"/>
    <w:rsid w:val="00DC301E"/>
    <w:rsid w:val="00DC317E"/>
    <w:rsid w:val="00DC32B6"/>
    <w:rsid w:val="00DC3A64"/>
    <w:rsid w:val="00DC42A6"/>
    <w:rsid w:val="00DC448E"/>
    <w:rsid w:val="00DC4A2B"/>
    <w:rsid w:val="00DC6C53"/>
    <w:rsid w:val="00DC6E46"/>
    <w:rsid w:val="00DC6F0C"/>
    <w:rsid w:val="00DC7132"/>
    <w:rsid w:val="00DC7339"/>
    <w:rsid w:val="00DC767F"/>
    <w:rsid w:val="00DC7C30"/>
    <w:rsid w:val="00DC7DD1"/>
    <w:rsid w:val="00DD0509"/>
    <w:rsid w:val="00DD2245"/>
    <w:rsid w:val="00DD2588"/>
    <w:rsid w:val="00DD2879"/>
    <w:rsid w:val="00DD293C"/>
    <w:rsid w:val="00DD3E23"/>
    <w:rsid w:val="00DD3F1C"/>
    <w:rsid w:val="00DD43FD"/>
    <w:rsid w:val="00DD4B49"/>
    <w:rsid w:val="00DD70B9"/>
    <w:rsid w:val="00DD70D1"/>
    <w:rsid w:val="00DD747E"/>
    <w:rsid w:val="00DD761E"/>
    <w:rsid w:val="00DD7893"/>
    <w:rsid w:val="00DD798B"/>
    <w:rsid w:val="00DE0409"/>
    <w:rsid w:val="00DE0EB2"/>
    <w:rsid w:val="00DE17C6"/>
    <w:rsid w:val="00DE2065"/>
    <w:rsid w:val="00DE2262"/>
    <w:rsid w:val="00DE2705"/>
    <w:rsid w:val="00DE2F31"/>
    <w:rsid w:val="00DE3074"/>
    <w:rsid w:val="00DE3850"/>
    <w:rsid w:val="00DE3CF2"/>
    <w:rsid w:val="00DE44F8"/>
    <w:rsid w:val="00DE462B"/>
    <w:rsid w:val="00DE4A80"/>
    <w:rsid w:val="00DE50A1"/>
    <w:rsid w:val="00DE53EB"/>
    <w:rsid w:val="00DE629D"/>
    <w:rsid w:val="00DE6B64"/>
    <w:rsid w:val="00DE746B"/>
    <w:rsid w:val="00DF0CA1"/>
    <w:rsid w:val="00DF1008"/>
    <w:rsid w:val="00DF1023"/>
    <w:rsid w:val="00DF113A"/>
    <w:rsid w:val="00DF1BAB"/>
    <w:rsid w:val="00DF28F1"/>
    <w:rsid w:val="00DF295A"/>
    <w:rsid w:val="00DF296F"/>
    <w:rsid w:val="00DF2ABB"/>
    <w:rsid w:val="00DF30BF"/>
    <w:rsid w:val="00DF3389"/>
    <w:rsid w:val="00DF4CC2"/>
    <w:rsid w:val="00DF528D"/>
    <w:rsid w:val="00DF52CC"/>
    <w:rsid w:val="00DF55FF"/>
    <w:rsid w:val="00DF5846"/>
    <w:rsid w:val="00DF5875"/>
    <w:rsid w:val="00DF58AB"/>
    <w:rsid w:val="00DF5F9C"/>
    <w:rsid w:val="00DF60B5"/>
    <w:rsid w:val="00DF62EC"/>
    <w:rsid w:val="00DF6321"/>
    <w:rsid w:val="00DF65A6"/>
    <w:rsid w:val="00DF690D"/>
    <w:rsid w:val="00DF6971"/>
    <w:rsid w:val="00DF7244"/>
    <w:rsid w:val="00DF77EE"/>
    <w:rsid w:val="00E01B3C"/>
    <w:rsid w:val="00E0254A"/>
    <w:rsid w:val="00E026A3"/>
    <w:rsid w:val="00E03ACF"/>
    <w:rsid w:val="00E041D4"/>
    <w:rsid w:val="00E043C5"/>
    <w:rsid w:val="00E0495B"/>
    <w:rsid w:val="00E04CA2"/>
    <w:rsid w:val="00E04F70"/>
    <w:rsid w:val="00E04F74"/>
    <w:rsid w:val="00E05123"/>
    <w:rsid w:val="00E0561D"/>
    <w:rsid w:val="00E056BD"/>
    <w:rsid w:val="00E058B3"/>
    <w:rsid w:val="00E05D90"/>
    <w:rsid w:val="00E05F4E"/>
    <w:rsid w:val="00E06564"/>
    <w:rsid w:val="00E065ED"/>
    <w:rsid w:val="00E067E4"/>
    <w:rsid w:val="00E0710E"/>
    <w:rsid w:val="00E0739A"/>
    <w:rsid w:val="00E073AA"/>
    <w:rsid w:val="00E074F1"/>
    <w:rsid w:val="00E1044A"/>
    <w:rsid w:val="00E10736"/>
    <w:rsid w:val="00E10A15"/>
    <w:rsid w:val="00E10A5D"/>
    <w:rsid w:val="00E10C75"/>
    <w:rsid w:val="00E10E4B"/>
    <w:rsid w:val="00E113BA"/>
    <w:rsid w:val="00E117B6"/>
    <w:rsid w:val="00E12491"/>
    <w:rsid w:val="00E128FF"/>
    <w:rsid w:val="00E12A94"/>
    <w:rsid w:val="00E12E4A"/>
    <w:rsid w:val="00E13256"/>
    <w:rsid w:val="00E13EEB"/>
    <w:rsid w:val="00E144A3"/>
    <w:rsid w:val="00E148CF"/>
    <w:rsid w:val="00E15268"/>
    <w:rsid w:val="00E15289"/>
    <w:rsid w:val="00E155B5"/>
    <w:rsid w:val="00E15C29"/>
    <w:rsid w:val="00E15E0D"/>
    <w:rsid w:val="00E15F1A"/>
    <w:rsid w:val="00E16656"/>
    <w:rsid w:val="00E204D4"/>
    <w:rsid w:val="00E209B4"/>
    <w:rsid w:val="00E21049"/>
    <w:rsid w:val="00E210AC"/>
    <w:rsid w:val="00E21645"/>
    <w:rsid w:val="00E21982"/>
    <w:rsid w:val="00E21CFC"/>
    <w:rsid w:val="00E22809"/>
    <w:rsid w:val="00E22844"/>
    <w:rsid w:val="00E22AD5"/>
    <w:rsid w:val="00E23070"/>
    <w:rsid w:val="00E23736"/>
    <w:rsid w:val="00E24360"/>
    <w:rsid w:val="00E2459E"/>
    <w:rsid w:val="00E2483B"/>
    <w:rsid w:val="00E24D00"/>
    <w:rsid w:val="00E25A2F"/>
    <w:rsid w:val="00E260A3"/>
    <w:rsid w:val="00E2644B"/>
    <w:rsid w:val="00E26785"/>
    <w:rsid w:val="00E26F7B"/>
    <w:rsid w:val="00E2749D"/>
    <w:rsid w:val="00E27545"/>
    <w:rsid w:val="00E30A93"/>
    <w:rsid w:val="00E310B3"/>
    <w:rsid w:val="00E3176C"/>
    <w:rsid w:val="00E328A1"/>
    <w:rsid w:val="00E32FC7"/>
    <w:rsid w:val="00E33DC8"/>
    <w:rsid w:val="00E3408F"/>
    <w:rsid w:val="00E34757"/>
    <w:rsid w:val="00E34763"/>
    <w:rsid w:val="00E347F2"/>
    <w:rsid w:val="00E3587F"/>
    <w:rsid w:val="00E3596E"/>
    <w:rsid w:val="00E36658"/>
    <w:rsid w:val="00E3679A"/>
    <w:rsid w:val="00E36E62"/>
    <w:rsid w:val="00E40B1D"/>
    <w:rsid w:val="00E41504"/>
    <w:rsid w:val="00E4256B"/>
    <w:rsid w:val="00E42909"/>
    <w:rsid w:val="00E430FC"/>
    <w:rsid w:val="00E43123"/>
    <w:rsid w:val="00E431D2"/>
    <w:rsid w:val="00E43233"/>
    <w:rsid w:val="00E4391C"/>
    <w:rsid w:val="00E44DEA"/>
    <w:rsid w:val="00E45407"/>
    <w:rsid w:val="00E466E4"/>
    <w:rsid w:val="00E475C5"/>
    <w:rsid w:val="00E47888"/>
    <w:rsid w:val="00E47B3C"/>
    <w:rsid w:val="00E47CEC"/>
    <w:rsid w:val="00E50A41"/>
    <w:rsid w:val="00E510C2"/>
    <w:rsid w:val="00E51A2B"/>
    <w:rsid w:val="00E521B5"/>
    <w:rsid w:val="00E522CA"/>
    <w:rsid w:val="00E52357"/>
    <w:rsid w:val="00E52809"/>
    <w:rsid w:val="00E528BE"/>
    <w:rsid w:val="00E53964"/>
    <w:rsid w:val="00E53FA1"/>
    <w:rsid w:val="00E54C16"/>
    <w:rsid w:val="00E54DAF"/>
    <w:rsid w:val="00E5616F"/>
    <w:rsid w:val="00E56561"/>
    <w:rsid w:val="00E56BB7"/>
    <w:rsid w:val="00E56F32"/>
    <w:rsid w:val="00E572A2"/>
    <w:rsid w:val="00E574DC"/>
    <w:rsid w:val="00E57997"/>
    <w:rsid w:val="00E57A1B"/>
    <w:rsid w:val="00E57C36"/>
    <w:rsid w:val="00E57E92"/>
    <w:rsid w:val="00E604DB"/>
    <w:rsid w:val="00E60C31"/>
    <w:rsid w:val="00E617E3"/>
    <w:rsid w:val="00E619F2"/>
    <w:rsid w:val="00E62F45"/>
    <w:rsid w:val="00E62FCE"/>
    <w:rsid w:val="00E63CC5"/>
    <w:rsid w:val="00E65825"/>
    <w:rsid w:val="00E65A01"/>
    <w:rsid w:val="00E6697D"/>
    <w:rsid w:val="00E66DAF"/>
    <w:rsid w:val="00E676CB"/>
    <w:rsid w:val="00E6795C"/>
    <w:rsid w:val="00E67DF1"/>
    <w:rsid w:val="00E67F87"/>
    <w:rsid w:val="00E67FEA"/>
    <w:rsid w:val="00E70CE7"/>
    <w:rsid w:val="00E70E32"/>
    <w:rsid w:val="00E70F15"/>
    <w:rsid w:val="00E71078"/>
    <w:rsid w:val="00E71C73"/>
    <w:rsid w:val="00E7231E"/>
    <w:rsid w:val="00E72DED"/>
    <w:rsid w:val="00E7319F"/>
    <w:rsid w:val="00E74E5F"/>
    <w:rsid w:val="00E74F81"/>
    <w:rsid w:val="00E7513A"/>
    <w:rsid w:val="00E75223"/>
    <w:rsid w:val="00E756A9"/>
    <w:rsid w:val="00E759EF"/>
    <w:rsid w:val="00E75CA1"/>
    <w:rsid w:val="00E760F1"/>
    <w:rsid w:val="00E770E7"/>
    <w:rsid w:val="00E7721B"/>
    <w:rsid w:val="00E77507"/>
    <w:rsid w:val="00E77710"/>
    <w:rsid w:val="00E800BB"/>
    <w:rsid w:val="00E808A6"/>
    <w:rsid w:val="00E808C9"/>
    <w:rsid w:val="00E80BB9"/>
    <w:rsid w:val="00E81ADF"/>
    <w:rsid w:val="00E820E1"/>
    <w:rsid w:val="00E827EF"/>
    <w:rsid w:val="00E83ADB"/>
    <w:rsid w:val="00E84C14"/>
    <w:rsid w:val="00E853C1"/>
    <w:rsid w:val="00E85839"/>
    <w:rsid w:val="00E869EF"/>
    <w:rsid w:val="00E86F81"/>
    <w:rsid w:val="00E877D9"/>
    <w:rsid w:val="00E90D44"/>
    <w:rsid w:val="00E91799"/>
    <w:rsid w:val="00E9283E"/>
    <w:rsid w:val="00E92B3B"/>
    <w:rsid w:val="00E92C87"/>
    <w:rsid w:val="00E9372E"/>
    <w:rsid w:val="00E942A2"/>
    <w:rsid w:val="00E944E4"/>
    <w:rsid w:val="00E9482E"/>
    <w:rsid w:val="00E95A91"/>
    <w:rsid w:val="00E95B59"/>
    <w:rsid w:val="00E96329"/>
    <w:rsid w:val="00E96E07"/>
    <w:rsid w:val="00E96EA3"/>
    <w:rsid w:val="00E97B5D"/>
    <w:rsid w:val="00EA00D3"/>
    <w:rsid w:val="00EA0C82"/>
    <w:rsid w:val="00EA16D9"/>
    <w:rsid w:val="00EA36BE"/>
    <w:rsid w:val="00EA4706"/>
    <w:rsid w:val="00EA5DD9"/>
    <w:rsid w:val="00EA6015"/>
    <w:rsid w:val="00EA65F8"/>
    <w:rsid w:val="00EA671D"/>
    <w:rsid w:val="00EA68B0"/>
    <w:rsid w:val="00EA73F8"/>
    <w:rsid w:val="00EB03D5"/>
    <w:rsid w:val="00EB0A2A"/>
    <w:rsid w:val="00EB0C78"/>
    <w:rsid w:val="00EB1075"/>
    <w:rsid w:val="00EB136A"/>
    <w:rsid w:val="00EB1B6B"/>
    <w:rsid w:val="00EB1D46"/>
    <w:rsid w:val="00EB27D7"/>
    <w:rsid w:val="00EB2A40"/>
    <w:rsid w:val="00EB2BF3"/>
    <w:rsid w:val="00EB31B3"/>
    <w:rsid w:val="00EB3C2D"/>
    <w:rsid w:val="00EB3D0C"/>
    <w:rsid w:val="00EB4567"/>
    <w:rsid w:val="00EB4796"/>
    <w:rsid w:val="00EB5063"/>
    <w:rsid w:val="00EB52CE"/>
    <w:rsid w:val="00EB5457"/>
    <w:rsid w:val="00EB59F9"/>
    <w:rsid w:val="00EB5ADE"/>
    <w:rsid w:val="00EB61A2"/>
    <w:rsid w:val="00EB6C54"/>
    <w:rsid w:val="00EB740D"/>
    <w:rsid w:val="00EB76BB"/>
    <w:rsid w:val="00EB7A49"/>
    <w:rsid w:val="00EB7F2C"/>
    <w:rsid w:val="00EB7F8B"/>
    <w:rsid w:val="00EC02C4"/>
    <w:rsid w:val="00EC099F"/>
    <w:rsid w:val="00EC0AC0"/>
    <w:rsid w:val="00EC0C6D"/>
    <w:rsid w:val="00EC1496"/>
    <w:rsid w:val="00EC1923"/>
    <w:rsid w:val="00EC280C"/>
    <w:rsid w:val="00EC2BD6"/>
    <w:rsid w:val="00EC2CFD"/>
    <w:rsid w:val="00EC2D6A"/>
    <w:rsid w:val="00EC5250"/>
    <w:rsid w:val="00EC5663"/>
    <w:rsid w:val="00EC57E2"/>
    <w:rsid w:val="00EC5B51"/>
    <w:rsid w:val="00EC67FD"/>
    <w:rsid w:val="00EC6DFF"/>
    <w:rsid w:val="00EC7FD0"/>
    <w:rsid w:val="00ED02C2"/>
    <w:rsid w:val="00ED11CD"/>
    <w:rsid w:val="00ED1230"/>
    <w:rsid w:val="00ED1643"/>
    <w:rsid w:val="00ED231D"/>
    <w:rsid w:val="00ED25D1"/>
    <w:rsid w:val="00ED2E9D"/>
    <w:rsid w:val="00ED3210"/>
    <w:rsid w:val="00ED3464"/>
    <w:rsid w:val="00ED3DBB"/>
    <w:rsid w:val="00ED43D9"/>
    <w:rsid w:val="00ED4848"/>
    <w:rsid w:val="00ED5003"/>
    <w:rsid w:val="00ED5193"/>
    <w:rsid w:val="00ED51EB"/>
    <w:rsid w:val="00ED56CE"/>
    <w:rsid w:val="00ED593B"/>
    <w:rsid w:val="00ED684C"/>
    <w:rsid w:val="00ED740B"/>
    <w:rsid w:val="00ED76F9"/>
    <w:rsid w:val="00EE0863"/>
    <w:rsid w:val="00EE0F2E"/>
    <w:rsid w:val="00EE189A"/>
    <w:rsid w:val="00EE1DD7"/>
    <w:rsid w:val="00EE200A"/>
    <w:rsid w:val="00EE2789"/>
    <w:rsid w:val="00EE2D18"/>
    <w:rsid w:val="00EE3905"/>
    <w:rsid w:val="00EE3E11"/>
    <w:rsid w:val="00EE44E4"/>
    <w:rsid w:val="00EE4E94"/>
    <w:rsid w:val="00EE584A"/>
    <w:rsid w:val="00EE64CB"/>
    <w:rsid w:val="00EE66B1"/>
    <w:rsid w:val="00EE6B3F"/>
    <w:rsid w:val="00EE6B7C"/>
    <w:rsid w:val="00EE779F"/>
    <w:rsid w:val="00EE7BB8"/>
    <w:rsid w:val="00EE7C20"/>
    <w:rsid w:val="00EE7D36"/>
    <w:rsid w:val="00EE7D9C"/>
    <w:rsid w:val="00EF0493"/>
    <w:rsid w:val="00EF06CF"/>
    <w:rsid w:val="00EF105E"/>
    <w:rsid w:val="00EF10FA"/>
    <w:rsid w:val="00EF272F"/>
    <w:rsid w:val="00EF2B0C"/>
    <w:rsid w:val="00EF319A"/>
    <w:rsid w:val="00EF4079"/>
    <w:rsid w:val="00EF4415"/>
    <w:rsid w:val="00EF4FF0"/>
    <w:rsid w:val="00EF52E4"/>
    <w:rsid w:val="00EF5339"/>
    <w:rsid w:val="00EF5880"/>
    <w:rsid w:val="00EF5C5B"/>
    <w:rsid w:val="00EF6848"/>
    <w:rsid w:val="00EF6EFE"/>
    <w:rsid w:val="00EF743C"/>
    <w:rsid w:val="00EF7555"/>
    <w:rsid w:val="00F00360"/>
    <w:rsid w:val="00F00819"/>
    <w:rsid w:val="00F00A41"/>
    <w:rsid w:val="00F0200B"/>
    <w:rsid w:val="00F02426"/>
    <w:rsid w:val="00F02CB0"/>
    <w:rsid w:val="00F037A6"/>
    <w:rsid w:val="00F03B5E"/>
    <w:rsid w:val="00F04A58"/>
    <w:rsid w:val="00F05C52"/>
    <w:rsid w:val="00F05FAE"/>
    <w:rsid w:val="00F06396"/>
    <w:rsid w:val="00F0680C"/>
    <w:rsid w:val="00F0799B"/>
    <w:rsid w:val="00F079B4"/>
    <w:rsid w:val="00F07D6E"/>
    <w:rsid w:val="00F1091E"/>
    <w:rsid w:val="00F10A9F"/>
    <w:rsid w:val="00F10F99"/>
    <w:rsid w:val="00F111C8"/>
    <w:rsid w:val="00F11242"/>
    <w:rsid w:val="00F113E8"/>
    <w:rsid w:val="00F1186E"/>
    <w:rsid w:val="00F11D16"/>
    <w:rsid w:val="00F11E3E"/>
    <w:rsid w:val="00F12209"/>
    <w:rsid w:val="00F12369"/>
    <w:rsid w:val="00F126A1"/>
    <w:rsid w:val="00F127BF"/>
    <w:rsid w:val="00F13A80"/>
    <w:rsid w:val="00F13A96"/>
    <w:rsid w:val="00F13B12"/>
    <w:rsid w:val="00F13C7F"/>
    <w:rsid w:val="00F141CC"/>
    <w:rsid w:val="00F14796"/>
    <w:rsid w:val="00F147FE"/>
    <w:rsid w:val="00F179A9"/>
    <w:rsid w:val="00F206EF"/>
    <w:rsid w:val="00F21547"/>
    <w:rsid w:val="00F217DE"/>
    <w:rsid w:val="00F22CB6"/>
    <w:rsid w:val="00F238E2"/>
    <w:rsid w:val="00F2391E"/>
    <w:rsid w:val="00F24EA2"/>
    <w:rsid w:val="00F252AC"/>
    <w:rsid w:val="00F254D9"/>
    <w:rsid w:val="00F2595D"/>
    <w:rsid w:val="00F25BF6"/>
    <w:rsid w:val="00F25D0D"/>
    <w:rsid w:val="00F2626D"/>
    <w:rsid w:val="00F2651A"/>
    <w:rsid w:val="00F26CCA"/>
    <w:rsid w:val="00F26FA2"/>
    <w:rsid w:val="00F274D3"/>
    <w:rsid w:val="00F274E7"/>
    <w:rsid w:val="00F27A4E"/>
    <w:rsid w:val="00F30387"/>
    <w:rsid w:val="00F30B8F"/>
    <w:rsid w:val="00F31B6B"/>
    <w:rsid w:val="00F32803"/>
    <w:rsid w:val="00F32911"/>
    <w:rsid w:val="00F33843"/>
    <w:rsid w:val="00F33B78"/>
    <w:rsid w:val="00F33C65"/>
    <w:rsid w:val="00F34581"/>
    <w:rsid w:val="00F347E3"/>
    <w:rsid w:val="00F34FD7"/>
    <w:rsid w:val="00F35E98"/>
    <w:rsid w:val="00F3600E"/>
    <w:rsid w:val="00F364F4"/>
    <w:rsid w:val="00F36AD8"/>
    <w:rsid w:val="00F36F3D"/>
    <w:rsid w:val="00F37295"/>
    <w:rsid w:val="00F37332"/>
    <w:rsid w:val="00F37935"/>
    <w:rsid w:val="00F37BF6"/>
    <w:rsid w:val="00F37D13"/>
    <w:rsid w:val="00F408F5"/>
    <w:rsid w:val="00F4129D"/>
    <w:rsid w:val="00F41918"/>
    <w:rsid w:val="00F41D03"/>
    <w:rsid w:val="00F422F7"/>
    <w:rsid w:val="00F43437"/>
    <w:rsid w:val="00F44F80"/>
    <w:rsid w:val="00F454D4"/>
    <w:rsid w:val="00F462DC"/>
    <w:rsid w:val="00F467AD"/>
    <w:rsid w:val="00F46E12"/>
    <w:rsid w:val="00F47F03"/>
    <w:rsid w:val="00F50FD8"/>
    <w:rsid w:val="00F514DF"/>
    <w:rsid w:val="00F51967"/>
    <w:rsid w:val="00F51E4F"/>
    <w:rsid w:val="00F5219D"/>
    <w:rsid w:val="00F52443"/>
    <w:rsid w:val="00F53290"/>
    <w:rsid w:val="00F537D2"/>
    <w:rsid w:val="00F54309"/>
    <w:rsid w:val="00F5468E"/>
    <w:rsid w:val="00F546AE"/>
    <w:rsid w:val="00F54F9A"/>
    <w:rsid w:val="00F55E95"/>
    <w:rsid w:val="00F5601A"/>
    <w:rsid w:val="00F562A6"/>
    <w:rsid w:val="00F567F2"/>
    <w:rsid w:val="00F57B6F"/>
    <w:rsid w:val="00F57DA6"/>
    <w:rsid w:val="00F604C8"/>
    <w:rsid w:val="00F6059C"/>
    <w:rsid w:val="00F6194B"/>
    <w:rsid w:val="00F61E83"/>
    <w:rsid w:val="00F625EE"/>
    <w:rsid w:val="00F62D16"/>
    <w:rsid w:val="00F6300C"/>
    <w:rsid w:val="00F632E9"/>
    <w:rsid w:val="00F63643"/>
    <w:rsid w:val="00F63A50"/>
    <w:rsid w:val="00F64318"/>
    <w:rsid w:val="00F64FC9"/>
    <w:rsid w:val="00F653A9"/>
    <w:rsid w:val="00F6542C"/>
    <w:rsid w:val="00F65474"/>
    <w:rsid w:val="00F655EC"/>
    <w:rsid w:val="00F6579F"/>
    <w:rsid w:val="00F65BC0"/>
    <w:rsid w:val="00F65DAA"/>
    <w:rsid w:val="00F660AC"/>
    <w:rsid w:val="00F668BA"/>
    <w:rsid w:val="00F668E2"/>
    <w:rsid w:val="00F66D3B"/>
    <w:rsid w:val="00F67BCD"/>
    <w:rsid w:val="00F67C8D"/>
    <w:rsid w:val="00F71D48"/>
    <w:rsid w:val="00F720FF"/>
    <w:rsid w:val="00F72181"/>
    <w:rsid w:val="00F73871"/>
    <w:rsid w:val="00F73C5C"/>
    <w:rsid w:val="00F73F3D"/>
    <w:rsid w:val="00F74592"/>
    <w:rsid w:val="00F74B1A"/>
    <w:rsid w:val="00F75A20"/>
    <w:rsid w:val="00F763BC"/>
    <w:rsid w:val="00F771F1"/>
    <w:rsid w:val="00F77777"/>
    <w:rsid w:val="00F77AF1"/>
    <w:rsid w:val="00F80EE0"/>
    <w:rsid w:val="00F82798"/>
    <w:rsid w:val="00F82A1E"/>
    <w:rsid w:val="00F82DCA"/>
    <w:rsid w:val="00F8309E"/>
    <w:rsid w:val="00F83F59"/>
    <w:rsid w:val="00F83F89"/>
    <w:rsid w:val="00F84002"/>
    <w:rsid w:val="00F84216"/>
    <w:rsid w:val="00F843A8"/>
    <w:rsid w:val="00F84BBB"/>
    <w:rsid w:val="00F84F63"/>
    <w:rsid w:val="00F85120"/>
    <w:rsid w:val="00F855A0"/>
    <w:rsid w:val="00F85A67"/>
    <w:rsid w:val="00F85CA8"/>
    <w:rsid w:val="00F86C18"/>
    <w:rsid w:val="00F876AC"/>
    <w:rsid w:val="00F87933"/>
    <w:rsid w:val="00F87A80"/>
    <w:rsid w:val="00F87B37"/>
    <w:rsid w:val="00F87C6A"/>
    <w:rsid w:val="00F87F9D"/>
    <w:rsid w:val="00F903EB"/>
    <w:rsid w:val="00F90A9E"/>
    <w:rsid w:val="00F90BA0"/>
    <w:rsid w:val="00F9176B"/>
    <w:rsid w:val="00F92610"/>
    <w:rsid w:val="00F93A4F"/>
    <w:rsid w:val="00F93C2D"/>
    <w:rsid w:val="00F94995"/>
    <w:rsid w:val="00F94EB4"/>
    <w:rsid w:val="00F968BB"/>
    <w:rsid w:val="00F97295"/>
    <w:rsid w:val="00F9795E"/>
    <w:rsid w:val="00F97BD2"/>
    <w:rsid w:val="00F97CB7"/>
    <w:rsid w:val="00FA09A4"/>
    <w:rsid w:val="00FA18C0"/>
    <w:rsid w:val="00FA1CC4"/>
    <w:rsid w:val="00FA1FD0"/>
    <w:rsid w:val="00FA2410"/>
    <w:rsid w:val="00FA28FB"/>
    <w:rsid w:val="00FA2B67"/>
    <w:rsid w:val="00FA353F"/>
    <w:rsid w:val="00FA3920"/>
    <w:rsid w:val="00FA3A65"/>
    <w:rsid w:val="00FA3F3F"/>
    <w:rsid w:val="00FA4145"/>
    <w:rsid w:val="00FA4B8C"/>
    <w:rsid w:val="00FA5257"/>
    <w:rsid w:val="00FA6F1D"/>
    <w:rsid w:val="00FA7C9C"/>
    <w:rsid w:val="00FA7F40"/>
    <w:rsid w:val="00FB026E"/>
    <w:rsid w:val="00FB19F6"/>
    <w:rsid w:val="00FB1ABA"/>
    <w:rsid w:val="00FB1BA0"/>
    <w:rsid w:val="00FB1BE0"/>
    <w:rsid w:val="00FB1DCA"/>
    <w:rsid w:val="00FB1F4D"/>
    <w:rsid w:val="00FB2359"/>
    <w:rsid w:val="00FB25DF"/>
    <w:rsid w:val="00FB3F93"/>
    <w:rsid w:val="00FB4C22"/>
    <w:rsid w:val="00FB5160"/>
    <w:rsid w:val="00FB5828"/>
    <w:rsid w:val="00FB60C3"/>
    <w:rsid w:val="00FB6933"/>
    <w:rsid w:val="00FC02BC"/>
    <w:rsid w:val="00FC090B"/>
    <w:rsid w:val="00FC0BEF"/>
    <w:rsid w:val="00FC1616"/>
    <w:rsid w:val="00FC2F96"/>
    <w:rsid w:val="00FC3936"/>
    <w:rsid w:val="00FC3F88"/>
    <w:rsid w:val="00FC45E9"/>
    <w:rsid w:val="00FC5DA3"/>
    <w:rsid w:val="00FC5DA9"/>
    <w:rsid w:val="00FC6A4D"/>
    <w:rsid w:val="00FC6A88"/>
    <w:rsid w:val="00FC7B62"/>
    <w:rsid w:val="00FC7B94"/>
    <w:rsid w:val="00FC7EB9"/>
    <w:rsid w:val="00FD0195"/>
    <w:rsid w:val="00FD0A9E"/>
    <w:rsid w:val="00FD0B6C"/>
    <w:rsid w:val="00FD1929"/>
    <w:rsid w:val="00FD1FB9"/>
    <w:rsid w:val="00FD263D"/>
    <w:rsid w:val="00FD2694"/>
    <w:rsid w:val="00FD2CE0"/>
    <w:rsid w:val="00FD31B1"/>
    <w:rsid w:val="00FD34A0"/>
    <w:rsid w:val="00FD3618"/>
    <w:rsid w:val="00FD36AD"/>
    <w:rsid w:val="00FD3859"/>
    <w:rsid w:val="00FD3D5F"/>
    <w:rsid w:val="00FD3D93"/>
    <w:rsid w:val="00FD3E4F"/>
    <w:rsid w:val="00FD3E6A"/>
    <w:rsid w:val="00FD3F79"/>
    <w:rsid w:val="00FD46BC"/>
    <w:rsid w:val="00FD566E"/>
    <w:rsid w:val="00FD5C47"/>
    <w:rsid w:val="00FD5E66"/>
    <w:rsid w:val="00FD6229"/>
    <w:rsid w:val="00FD7ABF"/>
    <w:rsid w:val="00FD7B9D"/>
    <w:rsid w:val="00FE0C81"/>
    <w:rsid w:val="00FE0DC8"/>
    <w:rsid w:val="00FE1E2A"/>
    <w:rsid w:val="00FE2BCE"/>
    <w:rsid w:val="00FE2CFD"/>
    <w:rsid w:val="00FE39CE"/>
    <w:rsid w:val="00FE402D"/>
    <w:rsid w:val="00FE40AC"/>
    <w:rsid w:val="00FE4C0B"/>
    <w:rsid w:val="00FE4CDC"/>
    <w:rsid w:val="00FE50A8"/>
    <w:rsid w:val="00FE577E"/>
    <w:rsid w:val="00FE59D4"/>
    <w:rsid w:val="00FE6109"/>
    <w:rsid w:val="00FE6FB8"/>
    <w:rsid w:val="00FE71FB"/>
    <w:rsid w:val="00FE7ABA"/>
    <w:rsid w:val="00FE7EA6"/>
    <w:rsid w:val="00FF0C94"/>
    <w:rsid w:val="00FF0DE0"/>
    <w:rsid w:val="00FF0F4E"/>
    <w:rsid w:val="00FF1293"/>
    <w:rsid w:val="00FF1349"/>
    <w:rsid w:val="00FF1C1E"/>
    <w:rsid w:val="00FF2243"/>
    <w:rsid w:val="00FF2C59"/>
    <w:rsid w:val="00FF3AA9"/>
    <w:rsid w:val="00FF3DF2"/>
    <w:rsid w:val="00FF44E0"/>
    <w:rsid w:val="00FF4841"/>
    <w:rsid w:val="00FF5182"/>
    <w:rsid w:val="00FF5E06"/>
    <w:rsid w:val="00FF62FB"/>
    <w:rsid w:val="00FF64EF"/>
    <w:rsid w:val="00FF68BB"/>
    <w:rsid w:val="00FF72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3EF"/>
    <w:pPr>
      <w:spacing w:after="100" w:line="400" w:lineRule="exact"/>
      <w:jc w:val="both"/>
    </w:pPr>
    <w:rPr>
      <w:rFonts w:ascii="Century Schoolbook" w:hAnsi="Century Schoolbook"/>
      <w:sz w:val="27"/>
    </w:rPr>
  </w:style>
  <w:style w:type="paragraph" w:styleId="Heading1">
    <w:name w:val="heading 1"/>
    <w:basedOn w:val="Normal"/>
    <w:next w:val="Normal"/>
    <w:qFormat/>
    <w:rsid w:val="000773EF"/>
    <w:pPr>
      <w:keepNext/>
      <w:spacing w:before="140" w:line="240" w:lineRule="atLeast"/>
      <w:jc w:val="center"/>
      <w:outlineLvl w:val="0"/>
    </w:pPr>
    <w:rPr>
      <w:b/>
      <w:smallCaps/>
    </w:rPr>
  </w:style>
  <w:style w:type="paragraph" w:styleId="Heading2">
    <w:name w:val="heading 2"/>
    <w:basedOn w:val="Normal"/>
    <w:next w:val="Normal"/>
    <w:qFormat/>
    <w:rsid w:val="000773EF"/>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0773EF"/>
    <w:pPr>
      <w:keepNext/>
      <w:tabs>
        <w:tab w:val="left" w:pos="1584"/>
      </w:tabs>
      <w:spacing w:before="140" w:line="240" w:lineRule="atLeast"/>
      <w:ind w:left="1584" w:hanging="432"/>
      <w:jc w:val="left"/>
      <w:outlineLvl w:val="2"/>
    </w:pPr>
    <w:rPr>
      <w:i/>
    </w:rPr>
  </w:style>
  <w:style w:type="paragraph" w:styleId="Heading4">
    <w:name w:val="heading 4"/>
    <w:basedOn w:val="Normal"/>
    <w:rsid w:val="000773EF"/>
    <w:pPr>
      <w:keepNext/>
      <w:tabs>
        <w:tab w:val="left" w:pos="2016"/>
      </w:tabs>
      <w:spacing w:before="140" w:line="240" w:lineRule="atLeast"/>
      <w:ind w:left="2016" w:hanging="432"/>
      <w:jc w:val="left"/>
      <w:outlineLvl w:val="3"/>
    </w:pPr>
    <w:rPr>
      <w:i/>
    </w:rPr>
  </w:style>
  <w:style w:type="paragraph" w:styleId="Heading5">
    <w:name w:val="heading 5"/>
    <w:basedOn w:val="Normal"/>
    <w:rsid w:val="000773EF"/>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0773EF"/>
    <w:pPr>
      <w:ind w:left="720"/>
    </w:pPr>
  </w:style>
  <w:style w:type="paragraph" w:styleId="Footer">
    <w:name w:val="footer"/>
    <w:basedOn w:val="Normal"/>
    <w:qFormat/>
    <w:rsid w:val="000773EF"/>
    <w:pPr>
      <w:tabs>
        <w:tab w:val="center" w:pos="3960"/>
        <w:tab w:val="right" w:pos="10080"/>
      </w:tabs>
      <w:spacing w:after="0" w:line="240" w:lineRule="auto"/>
      <w:jc w:val="center"/>
    </w:pPr>
    <w:rPr>
      <w:sz w:val="22"/>
    </w:rPr>
  </w:style>
  <w:style w:type="paragraph" w:styleId="Header">
    <w:name w:val="header"/>
    <w:basedOn w:val="Normal"/>
    <w:qFormat/>
    <w:rsid w:val="000773EF"/>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0773EF"/>
    <w:rPr>
      <w:rFonts w:ascii="Century Schoolbook" w:hAnsi="Century Schoolbook"/>
      <w:b/>
      <w:i w:val="0"/>
      <w:position w:val="4"/>
      <w:sz w:val="27"/>
      <w:vertAlign w:val="superscript"/>
    </w:rPr>
  </w:style>
  <w:style w:type="paragraph" w:styleId="FootnoteText">
    <w:name w:val="footnote text"/>
    <w:basedOn w:val="Normal"/>
    <w:link w:val="FootnoteTextChar"/>
    <w:rsid w:val="000773EF"/>
    <w:pPr>
      <w:spacing w:line="300" w:lineRule="exact"/>
    </w:pPr>
  </w:style>
  <w:style w:type="paragraph" w:customStyle="1" w:styleId="Title1">
    <w:name w:val="Title1"/>
    <w:basedOn w:val="Normal"/>
    <w:rsid w:val="000773EF"/>
    <w:pPr>
      <w:tabs>
        <w:tab w:val="left" w:pos="5760"/>
        <w:tab w:val="left" w:pos="6480"/>
      </w:tabs>
      <w:spacing w:line="240" w:lineRule="atLeast"/>
    </w:pPr>
  </w:style>
  <w:style w:type="paragraph" w:customStyle="1" w:styleId="Recommend">
    <w:name w:val="Recommend"/>
    <w:basedOn w:val="Normal"/>
    <w:rsid w:val="000773EF"/>
  </w:style>
  <w:style w:type="paragraph" w:customStyle="1" w:styleId="Summary">
    <w:name w:val="Summary"/>
    <w:basedOn w:val="Normal"/>
    <w:rsid w:val="000773EF"/>
    <w:pPr>
      <w:ind w:left="2160" w:hanging="2160"/>
    </w:pPr>
  </w:style>
  <w:style w:type="paragraph" w:customStyle="1" w:styleId="Text">
    <w:name w:val="Text"/>
    <w:basedOn w:val="Normal"/>
    <w:rsid w:val="000773EF"/>
    <w:pPr>
      <w:tabs>
        <w:tab w:val="left" w:pos="720"/>
        <w:tab w:val="left" w:pos="1440"/>
        <w:tab w:val="left" w:pos="2160"/>
        <w:tab w:val="center" w:pos="4320"/>
      </w:tabs>
      <w:spacing w:line="480" w:lineRule="atLeast"/>
      <w:ind w:firstLine="540"/>
    </w:pPr>
  </w:style>
  <w:style w:type="paragraph" w:styleId="Date">
    <w:name w:val="Date"/>
    <w:basedOn w:val="Normal"/>
    <w:semiHidden/>
    <w:rsid w:val="000773EF"/>
    <w:pPr>
      <w:jc w:val="right"/>
    </w:pPr>
  </w:style>
  <w:style w:type="character" w:styleId="PageNumber">
    <w:name w:val="page number"/>
    <w:basedOn w:val="DefaultParagraphFont"/>
    <w:rsid w:val="000773EF"/>
  </w:style>
  <w:style w:type="paragraph" w:customStyle="1" w:styleId="subject">
    <w:name w:val="subject"/>
    <w:basedOn w:val="Normal"/>
    <w:rsid w:val="000773EF"/>
    <w:pPr>
      <w:tabs>
        <w:tab w:val="left" w:pos="1008"/>
      </w:tabs>
      <w:ind w:left="990" w:hanging="990"/>
    </w:pPr>
    <w:rPr>
      <w:b/>
    </w:rPr>
  </w:style>
  <w:style w:type="paragraph" w:customStyle="1" w:styleId="Titles">
    <w:name w:val="Titles"/>
    <w:basedOn w:val="Normal"/>
    <w:rsid w:val="000773EF"/>
    <w:pPr>
      <w:tabs>
        <w:tab w:val="left" w:pos="2160"/>
      </w:tabs>
      <w:ind w:left="2160" w:hanging="2160"/>
    </w:pPr>
    <w:rPr>
      <w:b/>
    </w:rPr>
  </w:style>
  <w:style w:type="paragraph" w:styleId="TOAHeading">
    <w:name w:val="toa heading"/>
    <w:basedOn w:val="Normal"/>
    <w:next w:val="Normal"/>
    <w:semiHidden/>
    <w:rsid w:val="000773EF"/>
    <w:pPr>
      <w:spacing w:before="120"/>
    </w:pPr>
    <w:rPr>
      <w:b/>
    </w:rPr>
  </w:style>
  <w:style w:type="paragraph" w:styleId="TOC1">
    <w:name w:val="toc 1"/>
    <w:basedOn w:val="Normal"/>
    <w:next w:val="Normal"/>
    <w:autoRedefine/>
    <w:semiHidden/>
    <w:rsid w:val="000773EF"/>
  </w:style>
  <w:style w:type="paragraph" w:styleId="TOC2">
    <w:name w:val="toc 2"/>
    <w:basedOn w:val="Normal"/>
    <w:next w:val="Normal"/>
    <w:autoRedefine/>
    <w:semiHidden/>
    <w:rsid w:val="000773EF"/>
    <w:pPr>
      <w:ind w:left="259"/>
    </w:pPr>
  </w:style>
  <w:style w:type="paragraph" w:styleId="TOC3">
    <w:name w:val="toc 3"/>
    <w:basedOn w:val="Normal"/>
    <w:next w:val="Normal"/>
    <w:autoRedefine/>
    <w:semiHidden/>
    <w:rsid w:val="000773EF"/>
    <w:pPr>
      <w:ind w:left="520"/>
    </w:pPr>
  </w:style>
  <w:style w:type="paragraph" w:styleId="TOC4">
    <w:name w:val="toc 4"/>
    <w:basedOn w:val="Normal"/>
    <w:next w:val="Normal"/>
    <w:autoRedefine/>
    <w:semiHidden/>
    <w:rsid w:val="000773EF"/>
    <w:pPr>
      <w:ind w:left="780"/>
    </w:pPr>
  </w:style>
  <w:style w:type="paragraph" w:styleId="TOC5">
    <w:name w:val="toc 5"/>
    <w:basedOn w:val="Normal"/>
    <w:next w:val="Normal"/>
    <w:autoRedefine/>
    <w:semiHidden/>
    <w:rsid w:val="000773EF"/>
    <w:pPr>
      <w:ind w:left="1040"/>
    </w:pPr>
  </w:style>
  <w:style w:type="paragraph" w:styleId="TOC6">
    <w:name w:val="toc 6"/>
    <w:basedOn w:val="Normal"/>
    <w:next w:val="Normal"/>
    <w:autoRedefine/>
    <w:semiHidden/>
    <w:rsid w:val="000773EF"/>
    <w:pPr>
      <w:ind w:left="1300"/>
    </w:pPr>
  </w:style>
  <w:style w:type="paragraph" w:styleId="TOC7">
    <w:name w:val="toc 7"/>
    <w:basedOn w:val="Normal"/>
    <w:next w:val="Normal"/>
    <w:autoRedefine/>
    <w:semiHidden/>
    <w:rsid w:val="000773EF"/>
    <w:pPr>
      <w:ind w:left="1560"/>
    </w:pPr>
  </w:style>
  <w:style w:type="paragraph" w:styleId="TOC8">
    <w:name w:val="toc 8"/>
    <w:basedOn w:val="Normal"/>
    <w:next w:val="Normal"/>
    <w:autoRedefine/>
    <w:semiHidden/>
    <w:rsid w:val="000773EF"/>
    <w:pPr>
      <w:ind w:left="1820"/>
    </w:pPr>
  </w:style>
  <w:style w:type="paragraph" w:styleId="TOC9">
    <w:name w:val="toc 9"/>
    <w:basedOn w:val="Normal"/>
    <w:next w:val="Normal"/>
    <w:autoRedefine/>
    <w:semiHidden/>
    <w:rsid w:val="000773EF"/>
    <w:pPr>
      <w:ind w:left="2080"/>
    </w:pPr>
  </w:style>
  <w:style w:type="paragraph" w:customStyle="1" w:styleId="Contents">
    <w:name w:val="Contents"/>
    <w:basedOn w:val="Normal"/>
    <w:rsid w:val="000773EF"/>
    <w:pPr>
      <w:jc w:val="center"/>
    </w:pPr>
    <w:rPr>
      <w:b/>
      <w:spacing w:val="100"/>
    </w:rPr>
  </w:style>
  <w:style w:type="paragraph" w:styleId="ListParagraph">
    <w:name w:val="List Paragraph"/>
    <w:basedOn w:val="Normal"/>
    <w:uiPriority w:val="34"/>
    <w:qFormat/>
    <w:rsid w:val="00F85120"/>
    <w:pPr>
      <w:ind w:left="720"/>
      <w:contextualSpacing/>
    </w:pPr>
  </w:style>
  <w:style w:type="character" w:customStyle="1" w:styleId="FootnoteTextChar">
    <w:name w:val="Footnote Text Char"/>
    <w:basedOn w:val="DefaultParagraphFont"/>
    <w:link w:val="FootnoteText"/>
    <w:rsid w:val="00754593"/>
    <w:rPr>
      <w:rFonts w:ascii="Century Schoolbook" w:hAnsi="Century Schoolbook"/>
      <w:sz w:val="27"/>
    </w:rPr>
  </w:style>
  <w:style w:type="character" w:customStyle="1" w:styleId="cohl">
    <w:name w:val="co_hl"/>
    <w:basedOn w:val="DefaultParagraphFont"/>
    <w:rsid w:val="00455D0E"/>
  </w:style>
  <w:style w:type="character" w:styleId="Emphasis">
    <w:name w:val="Emphasis"/>
    <w:basedOn w:val="DefaultParagraphFont"/>
    <w:uiPriority w:val="20"/>
    <w:qFormat/>
    <w:rsid w:val="00455D0E"/>
    <w:rPr>
      <w:i/>
      <w:iCs/>
    </w:rPr>
  </w:style>
  <w:style w:type="character" w:customStyle="1" w:styleId="cohighlightpoints">
    <w:name w:val="co_highlightpoints"/>
    <w:basedOn w:val="DefaultParagraphFont"/>
    <w:rsid w:val="00400CFE"/>
  </w:style>
  <w:style w:type="character" w:customStyle="1" w:styleId="coinlinekeyciteflag">
    <w:name w:val="co_inlinekeyciteflag"/>
    <w:basedOn w:val="DefaultParagraphFont"/>
    <w:rsid w:val="00C95C2B"/>
  </w:style>
  <w:style w:type="character" w:customStyle="1" w:styleId="costarpage">
    <w:name w:val="co_starpage"/>
    <w:basedOn w:val="DefaultParagraphFont"/>
    <w:rsid w:val="00875BB2"/>
  </w:style>
  <w:style w:type="character" w:styleId="Hyperlink">
    <w:name w:val="Hyperlink"/>
    <w:basedOn w:val="DefaultParagraphFont"/>
    <w:uiPriority w:val="99"/>
    <w:unhideWhenUsed/>
    <w:rsid w:val="00875BB2"/>
    <w:rPr>
      <w:color w:val="0000FF"/>
      <w:u w:val="single"/>
    </w:rPr>
  </w:style>
  <w:style w:type="character" w:styleId="CommentReference">
    <w:name w:val="annotation reference"/>
    <w:basedOn w:val="DefaultParagraphFont"/>
    <w:uiPriority w:val="99"/>
    <w:semiHidden/>
    <w:unhideWhenUsed/>
    <w:rsid w:val="003B15A7"/>
    <w:rPr>
      <w:sz w:val="16"/>
      <w:szCs w:val="16"/>
    </w:rPr>
  </w:style>
  <w:style w:type="paragraph" w:styleId="CommentText">
    <w:name w:val="annotation text"/>
    <w:basedOn w:val="Normal"/>
    <w:link w:val="CommentTextChar"/>
    <w:uiPriority w:val="99"/>
    <w:unhideWhenUsed/>
    <w:rsid w:val="003B15A7"/>
    <w:rPr>
      <w:sz w:val="20"/>
    </w:rPr>
  </w:style>
  <w:style w:type="character" w:customStyle="1" w:styleId="CommentTextChar">
    <w:name w:val="Comment Text Char"/>
    <w:basedOn w:val="DefaultParagraphFont"/>
    <w:link w:val="CommentText"/>
    <w:uiPriority w:val="99"/>
    <w:rsid w:val="003B15A7"/>
  </w:style>
  <w:style w:type="paragraph" w:styleId="CommentSubject">
    <w:name w:val="annotation subject"/>
    <w:basedOn w:val="CommentText"/>
    <w:next w:val="CommentText"/>
    <w:link w:val="CommentSubjectChar"/>
    <w:uiPriority w:val="99"/>
    <w:semiHidden/>
    <w:unhideWhenUsed/>
    <w:rsid w:val="003B15A7"/>
    <w:rPr>
      <w:b/>
      <w:bCs/>
    </w:rPr>
  </w:style>
  <w:style w:type="character" w:customStyle="1" w:styleId="CommentSubjectChar">
    <w:name w:val="Comment Subject Char"/>
    <w:basedOn w:val="CommentTextChar"/>
    <w:link w:val="CommentSubject"/>
    <w:uiPriority w:val="99"/>
    <w:semiHidden/>
    <w:rsid w:val="003B15A7"/>
    <w:rPr>
      <w:b/>
      <w:bCs/>
    </w:rPr>
  </w:style>
  <w:style w:type="character" w:styleId="FollowedHyperlink">
    <w:name w:val="FollowedHyperlink"/>
    <w:basedOn w:val="DefaultParagraphFont"/>
    <w:uiPriority w:val="99"/>
    <w:semiHidden/>
    <w:unhideWhenUsed/>
    <w:rsid w:val="00C16D60"/>
    <w:rPr>
      <w:color w:val="800080" w:themeColor="followedHyperlink"/>
      <w:u w:val="single"/>
    </w:rPr>
  </w:style>
  <w:style w:type="paragraph" w:styleId="Revision">
    <w:name w:val="Revision"/>
    <w:hidden/>
    <w:uiPriority w:val="99"/>
    <w:semiHidden/>
    <w:rsid w:val="00995E18"/>
    <w:rPr>
      <w:sz w:val="26"/>
    </w:rPr>
  </w:style>
  <w:style w:type="character" w:customStyle="1" w:styleId="coconcept212">
    <w:name w:val="co_concept_2_12"/>
    <w:basedOn w:val="DefaultParagraphFont"/>
    <w:rsid w:val="00853727"/>
  </w:style>
  <w:style w:type="character" w:customStyle="1" w:styleId="UnresolvedMention1">
    <w:name w:val="Unresolved Mention1"/>
    <w:basedOn w:val="DefaultParagraphFont"/>
    <w:uiPriority w:val="99"/>
    <w:semiHidden/>
    <w:unhideWhenUsed/>
    <w:rsid w:val="00FC5DA9"/>
    <w:rPr>
      <w:color w:val="605E5C"/>
      <w:shd w:val="clear" w:color="auto" w:fill="E1DFDD"/>
    </w:rPr>
  </w:style>
  <w:style w:type="paragraph" w:customStyle="1" w:styleId="Default">
    <w:name w:val="Default"/>
    <w:rsid w:val="00442AF3"/>
    <w:pPr>
      <w:autoSpaceDE w:val="0"/>
      <w:autoSpaceDN w:val="0"/>
      <w:adjustRightInd w:val="0"/>
    </w:pPr>
    <w:rPr>
      <w:color w:val="000000"/>
      <w:sz w:val="24"/>
      <w:szCs w:val="24"/>
    </w:rPr>
  </w:style>
  <w:style w:type="character" w:customStyle="1" w:styleId="ssbf">
    <w:name w:val="ss_bf"/>
    <w:basedOn w:val="DefaultParagraphFont"/>
    <w:rsid w:val="00B64E12"/>
  </w:style>
  <w:style w:type="paragraph" w:styleId="BodyText">
    <w:name w:val="Body Text"/>
    <w:basedOn w:val="Normal"/>
    <w:link w:val="BodyTextChar"/>
    <w:qFormat/>
    <w:rsid w:val="000773EF"/>
  </w:style>
  <w:style w:type="character" w:customStyle="1" w:styleId="BodyTextChar">
    <w:name w:val="Body Text Char"/>
    <w:basedOn w:val="DefaultParagraphFont"/>
    <w:link w:val="BodyText"/>
    <w:rsid w:val="000773EF"/>
    <w:rPr>
      <w:rFonts w:ascii="Century Schoolbook" w:hAnsi="Century Schoolbook"/>
      <w:sz w:val="27"/>
    </w:rPr>
  </w:style>
  <w:style w:type="character" w:customStyle="1" w:styleId="normaltextrun">
    <w:name w:val="normaltextrun"/>
    <w:basedOn w:val="DefaultParagraphFont"/>
    <w:rsid w:val="003A2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E83F0-5D50-4167-AA89-39312E74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6788</Words>
  <Characters>38693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2023-11-20T17:49:55Z</dcterms:created>
  <dcterms:modified xsi:type="dcterms:W3CDTF">2023-11-20T17:49:55Z</dcterms:modified>
</cp:coreProperties>
</file>