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E788" w14:textId="77777777" w:rsidR="00B5359B" w:rsidRPr="009A586E" w:rsidRDefault="002E6832" w:rsidP="009A586E">
      <w:pPr>
        <w:spacing w:after="0"/>
        <w:jc w:val="center"/>
        <w:rPr>
          <w:sz w:val="36"/>
        </w:rPr>
      </w:pPr>
      <w:bookmarkStart w:id="0" w:name="MarkDocLoc"/>
      <w:bookmarkEnd w:id="0"/>
      <w:r w:rsidRPr="009A586E">
        <w:rPr>
          <w:b/>
          <w:sz w:val="36"/>
        </w:rPr>
        <w:t>IN THE SUPREME COURT OF CALIFORNIA</w:t>
      </w:r>
    </w:p>
    <w:p w14:paraId="0DB2E789" w14:textId="77777777" w:rsidR="00535A24" w:rsidRDefault="00535A24" w:rsidP="009A586E">
      <w:pPr>
        <w:spacing w:after="0"/>
        <w:jc w:val="center"/>
        <w:rPr>
          <w:rFonts w:ascii="Times New Roman" w:hAnsi="Times New Roman"/>
        </w:rPr>
      </w:pPr>
    </w:p>
    <w:p w14:paraId="0DB2E78A" w14:textId="77777777" w:rsidR="00535A24" w:rsidRPr="009A586E" w:rsidRDefault="002E6832" w:rsidP="009A586E">
      <w:pPr>
        <w:spacing w:after="0"/>
        <w:jc w:val="center"/>
      </w:pPr>
      <w:r w:rsidRPr="009A586E">
        <w:t>JANE S.D. DOE et al.,</w:t>
      </w:r>
    </w:p>
    <w:p w14:paraId="0DB2E78B" w14:textId="77777777" w:rsidR="00535A24" w:rsidRPr="009A586E" w:rsidRDefault="002E6832" w:rsidP="009A586E">
      <w:pPr>
        <w:spacing w:after="0"/>
        <w:jc w:val="center"/>
      </w:pPr>
      <w:r w:rsidRPr="009A586E">
        <w:t>Petitioners,</w:t>
      </w:r>
    </w:p>
    <w:p w14:paraId="0DB2E78C" w14:textId="77777777" w:rsidR="00535A24" w:rsidRPr="009A586E" w:rsidRDefault="002E6832" w:rsidP="009A586E">
      <w:pPr>
        <w:spacing w:after="0"/>
        <w:jc w:val="center"/>
      </w:pPr>
      <w:r w:rsidRPr="009A586E">
        <w:t>v.</w:t>
      </w:r>
    </w:p>
    <w:p w14:paraId="0DB2E78D" w14:textId="77777777" w:rsidR="00535A24" w:rsidRPr="009A586E" w:rsidRDefault="002E6832" w:rsidP="009A586E">
      <w:pPr>
        <w:spacing w:after="0"/>
        <w:jc w:val="center"/>
      </w:pPr>
      <w:r w:rsidRPr="009A586E">
        <w:t>THE SUPERIOR COURT OF LOS ANGELES COUNTY,</w:t>
      </w:r>
    </w:p>
    <w:p w14:paraId="0DB2E78E" w14:textId="77777777" w:rsidR="00535A24" w:rsidRPr="009A586E" w:rsidRDefault="002E6832" w:rsidP="00535A24">
      <w:pPr>
        <w:spacing w:after="0"/>
        <w:jc w:val="center"/>
      </w:pPr>
      <w:r w:rsidRPr="009A586E">
        <w:t>Respondent;</w:t>
      </w:r>
    </w:p>
    <w:p w14:paraId="0DB2E78F" w14:textId="77777777" w:rsidR="00535A24" w:rsidRPr="009A586E" w:rsidRDefault="002E6832" w:rsidP="00535A24">
      <w:pPr>
        <w:spacing w:after="0"/>
        <w:jc w:val="center"/>
      </w:pPr>
      <w:r w:rsidRPr="009A586E">
        <w:t>MOUNTAIN VIEW SCHOOL DISTRICT,</w:t>
      </w:r>
    </w:p>
    <w:p w14:paraId="0DB2E790" w14:textId="77777777" w:rsidR="00535A24" w:rsidRPr="009A586E" w:rsidRDefault="002E6832" w:rsidP="009A586E">
      <w:pPr>
        <w:spacing w:after="0"/>
        <w:jc w:val="center"/>
      </w:pPr>
      <w:r w:rsidRPr="009A586E">
        <w:t>Real Party in Interest.</w:t>
      </w:r>
    </w:p>
    <w:p w14:paraId="0DB2E791" w14:textId="77777777" w:rsidR="00535A24" w:rsidRPr="009A586E" w:rsidRDefault="00535A24" w:rsidP="009A586E">
      <w:pPr>
        <w:spacing w:after="0"/>
        <w:jc w:val="center"/>
      </w:pPr>
    </w:p>
    <w:p w14:paraId="0DB2E792" w14:textId="77777777" w:rsidR="00535A24" w:rsidRPr="009A586E" w:rsidRDefault="002E6832" w:rsidP="009A586E">
      <w:pPr>
        <w:spacing w:after="0"/>
        <w:jc w:val="center"/>
      </w:pPr>
      <w:r w:rsidRPr="009A586E">
        <w:t>S272166</w:t>
      </w:r>
    </w:p>
    <w:p w14:paraId="0DB2E793" w14:textId="77777777" w:rsidR="00535A24" w:rsidRPr="009A586E" w:rsidRDefault="00535A24" w:rsidP="009A586E">
      <w:pPr>
        <w:spacing w:after="0"/>
        <w:jc w:val="center"/>
      </w:pPr>
    </w:p>
    <w:p w14:paraId="0DB2E794" w14:textId="77777777" w:rsidR="00535A24" w:rsidRPr="009A586E" w:rsidRDefault="002E6832" w:rsidP="009A586E">
      <w:pPr>
        <w:spacing w:after="0"/>
        <w:jc w:val="center"/>
      </w:pPr>
      <w:r w:rsidRPr="009A586E">
        <w:t>Second Appellate District, Division Two</w:t>
      </w:r>
    </w:p>
    <w:p w14:paraId="0DB2E795" w14:textId="77777777" w:rsidR="00535A24" w:rsidRPr="009A586E" w:rsidRDefault="002E6832" w:rsidP="009A586E">
      <w:pPr>
        <w:spacing w:after="0"/>
        <w:jc w:val="center"/>
      </w:pPr>
      <w:r w:rsidRPr="009A586E">
        <w:t>B313874</w:t>
      </w:r>
    </w:p>
    <w:p w14:paraId="0DB2E796" w14:textId="77777777" w:rsidR="00535A24" w:rsidRPr="009A586E" w:rsidRDefault="00535A24" w:rsidP="009A586E">
      <w:pPr>
        <w:spacing w:after="0"/>
        <w:jc w:val="center"/>
      </w:pPr>
    </w:p>
    <w:p w14:paraId="0DB2E797" w14:textId="77777777" w:rsidR="00535A24" w:rsidRPr="009A586E" w:rsidRDefault="002E6832" w:rsidP="009A586E">
      <w:pPr>
        <w:spacing w:after="0"/>
        <w:jc w:val="center"/>
      </w:pPr>
      <w:r w:rsidRPr="009A586E">
        <w:t xml:space="preserve">Los </w:t>
      </w:r>
      <w:r w:rsidRPr="009A586E">
        <w:t>Angeles County Superior Court</w:t>
      </w:r>
    </w:p>
    <w:p w14:paraId="0DB2E798" w14:textId="77777777" w:rsidR="00535A24" w:rsidRPr="009A586E" w:rsidRDefault="002E6832" w:rsidP="009A586E">
      <w:pPr>
        <w:spacing w:after="0"/>
        <w:jc w:val="center"/>
      </w:pPr>
      <w:r w:rsidRPr="009A586E">
        <w:t>BC712514</w:t>
      </w:r>
    </w:p>
    <w:p w14:paraId="0DB2E799" w14:textId="77777777" w:rsidR="00535A24" w:rsidRPr="009A586E" w:rsidRDefault="00535A24" w:rsidP="009A586E">
      <w:pPr>
        <w:pBdr>
          <w:bottom w:val="single" w:sz="4" w:space="1" w:color="auto"/>
        </w:pBdr>
        <w:spacing w:after="0"/>
        <w:jc w:val="center"/>
      </w:pPr>
    </w:p>
    <w:p w14:paraId="0DB2E79A" w14:textId="77777777" w:rsidR="00535A24" w:rsidRPr="009A586E" w:rsidRDefault="00535A24" w:rsidP="009A586E">
      <w:pPr>
        <w:spacing w:after="0"/>
        <w:jc w:val="center"/>
      </w:pPr>
    </w:p>
    <w:p w14:paraId="0DB2E79B" w14:textId="77777777" w:rsidR="00535A24" w:rsidRPr="009A586E" w:rsidRDefault="002E6832" w:rsidP="009A586E">
      <w:pPr>
        <w:spacing w:after="0"/>
        <w:jc w:val="center"/>
      </w:pPr>
      <w:r>
        <w:t>July 27</w:t>
      </w:r>
      <w:r w:rsidRPr="009A586E">
        <w:t>, 2023</w:t>
      </w:r>
    </w:p>
    <w:p w14:paraId="0DB2E79C" w14:textId="77777777" w:rsidR="00535A24" w:rsidRPr="009A586E" w:rsidRDefault="00535A24" w:rsidP="009A586E">
      <w:pPr>
        <w:spacing w:after="0"/>
        <w:jc w:val="center"/>
      </w:pPr>
    </w:p>
    <w:p w14:paraId="0DB2E79D" w14:textId="77777777" w:rsidR="00535A24" w:rsidRPr="009A586E" w:rsidRDefault="002E6832" w:rsidP="009A586E">
      <w:pPr>
        <w:spacing w:after="0"/>
        <w:jc w:val="left"/>
      </w:pPr>
      <w:r w:rsidRPr="009A586E">
        <w:t xml:space="preserve">Chief Justice Guerrero authored the opinion of the Court, in which </w:t>
      </w:r>
      <w:r w:rsidR="00B3579B">
        <w:t>Justices Corrigan, Liu, Kruger, Groban, Jenkins, and Evans</w:t>
      </w:r>
      <w:r w:rsidRPr="009A586E">
        <w:t xml:space="preserve"> concurred.</w:t>
      </w:r>
    </w:p>
    <w:p w14:paraId="0DB2E79F" w14:textId="77777777" w:rsidR="00535A24" w:rsidRPr="00535A24" w:rsidRDefault="00535A24" w:rsidP="009A586E">
      <w:pPr>
        <w:pBdr>
          <w:bottom w:val="single" w:sz="4" w:space="1" w:color="auto"/>
        </w:pBdr>
        <w:jc w:val="left"/>
        <w:rPr>
          <w:rFonts w:ascii="Times New Roman" w:hAnsi="Times New Roman"/>
        </w:rPr>
      </w:pPr>
      <w:bookmarkStart w:id="1" w:name="Return"/>
      <w:bookmarkEnd w:id="1"/>
    </w:p>
    <w:p w14:paraId="0DB2E7A0" w14:textId="77777777" w:rsidR="00535A24" w:rsidRDefault="00535A24" w:rsidP="00B5359B">
      <w:pPr>
        <w:jc w:val="center"/>
        <w:rPr>
          <w:rFonts w:ascii="Times New Roman" w:hAnsi="Times New Roman"/>
        </w:rPr>
        <w:sectPr w:rsidR="00535A24" w:rsidSect="009A586E">
          <w:headerReference w:type="default" r:id="rId8"/>
          <w:footerReference w:type="default" r:id="rId9"/>
          <w:pgSz w:w="12240" w:h="15840"/>
          <w:pgMar w:top="1800" w:right="2160" w:bottom="1440" w:left="2160" w:header="720" w:footer="720" w:gutter="0"/>
          <w:cols w:space="720"/>
          <w:titlePg/>
          <w:docGrid w:linePitch="367"/>
        </w:sectPr>
      </w:pPr>
    </w:p>
    <w:p w14:paraId="0DB2E7A1" w14:textId="77777777" w:rsidR="00535A24" w:rsidRDefault="002E6832" w:rsidP="00CD0FD3">
      <w:pPr>
        <w:jc w:val="center"/>
        <w:rPr>
          <w:szCs w:val="26"/>
        </w:rPr>
      </w:pPr>
      <w:bookmarkStart w:id="2" w:name="plaintiff"/>
      <w:bookmarkStart w:id="3" w:name="LD"/>
      <w:bookmarkStart w:id="4" w:name="appealnum"/>
      <w:bookmarkStart w:id="5" w:name="defendant"/>
      <w:bookmarkStart w:id="6" w:name="VD"/>
      <w:bookmarkStart w:id="7" w:name="justice"/>
      <w:bookmarkEnd w:id="2"/>
      <w:bookmarkEnd w:id="3"/>
      <w:bookmarkEnd w:id="4"/>
      <w:bookmarkEnd w:id="5"/>
      <w:bookmarkEnd w:id="6"/>
      <w:bookmarkEnd w:id="7"/>
      <w:r>
        <w:rPr>
          <w:szCs w:val="26"/>
        </w:rPr>
        <w:lastRenderedPageBreak/>
        <w:t>JANE S.D. DOE v. SUPERIOR COURT</w:t>
      </w:r>
    </w:p>
    <w:p w14:paraId="0DB2E7A2" w14:textId="77777777" w:rsidR="00535A24" w:rsidRDefault="002E6832" w:rsidP="00B77E2B">
      <w:pPr>
        <w:jc w:val="center"/>
        <w:rPr>
          <w:szCs w:val="26"/>
        </w:rPr>
      </w:pPr>
      <w:r>
        <w:rPr>
          <w:szCs w:val="26"/>
        </w:rPr>
        <w:t>S272166</w:t>
      </w:r>
    </w:p>
    <w:p w14:paraId="0DB2E7A3" w14:textId="77777777" w:rsidR="00535A24" w:rsidRDefault="00535A24" w:rsidP="00B77E2B">
      <w:pPr>
        <w:jc w:val="center"/>
        <w:rPr>
          <w:szCs w:val="26"/>
        </w:rPr>
      </w:pPr>
    </w:p>
    <w:p w14:paraId="0DB2E7A4" w14:textId="77777777" w:rsidR="00535A24" w:rsidRDefault="002E6832" w:rsidP="00B77E2B">
      <w:pPr>
        <w:jc w:val="center"/>
        <w:rPr>
          <w:szCs w:val="26"/>
        </w:rPr>
      </w:pPr>
      <w:r>
        <w:rPr>
          <w:szCs w:val="26"/>
        </w:rPr>
        <w:t>Opinion of the Court by Guerrero, C. J.</w:t>
      </w:r>
    </w:p>
    <w:p w14:paraId="0DB2E7A5" w14:textId="77777777" w:rsidR="00535A24" w:rsidRDefault="00535A24" w:rsidP="00B77E2B">
      <w:pPr>
        <w:jc w:val="center"/>
        <w:rPr>
          <w:szCs w:val="26"/>
        </w:rPr>
      </w:pPr>
    </w:p>
    <w:p w14:paraId="0DB2E7A6" w14:textId="77777777" w:rsidR="007D7DE0" w:rsidRPr="00B77E2B" w:rsidRDefault="002E6832" w:rsidP="00B77E2B">
      <w:pPr>
        <w:ind w:firstLine="720"/>
        <w:rPr>
          <w:szCs w:val="26"/>
        </w:rPr>
      </w:pPr>
      <w:r>
        <w:rPr>
          <w:szCs w:val="26"/>
        </w:rPr>
        <w:t xml:space="preserve">Jane </w:t>
      </w:r>
      <w:r w:rsidRPr="00B77E2B">
        <w:rPr>
          <w:szCs w:val="26"/>
        </w:rPr>
        <w:t>S.D.</w:t>
      </w:r>
      <w:r>
        <w:rPr>
          <w:szCs w:val="26"/>
        </w:rPr>
        <w:t xml:space="preserve"> Doe</w:t>
      </w:r>
      <w:r w:rsidRPr="00B77E2B">
        <w:rPr>
          <w:szCs w:val="26"/>
        </w:rPr>
        <w:t xml:space="preserve"> (plaintiff) sued the Mountain View School District (</w:t>
      </w:r>
      <w:r w:rsidR="003D175F" w:rsidRPr="00B77E2B">
        <w:rPr>
          <w:szCs w:val="26"/>
        </w:rPr>
        <w:t>real party in interest, here</w:t>
      </w:r>
      <w:r w:rsidR="00441879" w:rsidRPr="00B77E2B">
        <w:rPr>
          <w:szCs w:val="26"/>
        </w:rPr>
        <w:t>in</w:t>
      </w:r>
      <w:r w:rsidR="003D175F" w:rsidRPr="00B77E2B">
        <w:rPr>
          <w:szCs w:val="26"/>
        </w:rPr>
        <w:t>after</w:t>
      </w:r>
      <w:r w:rsidR="00FE2A8A" w:rsidRPr="00B77E2B">
        <w:rPr>
          <w:szCs w:val="26"/>
        </w:rPr>
        <w:t xml:space="preserve"> </w:t>
      </w:r>
      <w:r w:rsidR="0094282E" w:rsidRPr="00B77E2B">
        <w:rPr>
          <w:szCs w:val="26"/>
        </w:rPr>
        <w:t xml:space="preserve">the </w:t>
      </w:r>
      <w:r w:rsidR="00963582" w:rsidRPr="00B77E2B">
        <w:rPr>
          <w:szCs w:val="26"/>
        </w:rPr>
        <w:t>D</w:t>
      </w:r>
      <w:r w:rsidR="00FE2A8A" w:rsidRPr="00B77E2B">
        <w:rPr>
          <w:szCs w:val="26"/>
        </w:rPr>
        <w:t>istrict</w:t>
      </w:r>
      <w:r w:rsidRPr="00B77E2B">
        <w:rPr>
          <w:szCs w:val="26"/>
        </w:rPr>
        <w:t xml:space="preserve">) </w:t>
      </w:r>
      <w:r w:rsidR="005E7A9F" w:rsidRPr="00B77E2B">
        <w:rPr>
          <w:szCs w:val="26"/>
        </w:rPr>
        <w:t>to recover for</w:t>
      </w:r>
      <w:r w:rsidR="00E24C4C" w:rsidRPr="00B77E2B">
        <w:rPr>
          <w:szCs w:val="26"/>
        </w:rPr>
        <w:t xml:space="preserve"> </w:t>
      </w:r>
      <w:r w:rsidRPr="00B77E2B">
        <w:rPr>
          <w:szCs w:val="26"/>
        </w:rPr>
        <w:t xml:space="preserve">sexual abuse </w:t>
      </w:r>
      <w:r w:rsidR="00441879" w:rsidRPr="00B77E2B">
        <w:rPr>
          <w:szCs w:val="26"/>
        </w:rPr>
        <w:t xml:space="preserve">committed </w:t>
      </w:r>
      <w:r w:rsidRPr="00B77E2B">
        <w:rPr>
          <w:szCs w:val="26"/>
        </w:rPr>
        <w:t xml:space="preserve">by her fourth-grade teacher when she was eight years old.  </w:t>
      </w:r>
      <w:r w:rsidR="0094282E" w:rsidRPr="00B77E2B">
        <w:rPr>
          <w:szCs w:val="26"/>
        </w:rPr>
        <w:t xml:space="preserve">The </w:t>
      </w:r>
      <w:r w:rsidR="005A5264" w:rsidRPr="00B77E2B">
        <w:rPr>
          <w:szCs w:val="26"/>
        </w:rPr>
        <w:t>D</w:t>
      </w:r>
      <w:r w:rsidR="00441879" w:rsidRPr="00B77E2B">
        <w:rPr>
          <w:szCs w:val="26"/>
        </w:rPr>
        <w:t>istrict</w:t>
      </w:r>
      <w:r w:rsidRPr="00B77E2B">
        <w:rPr>
          <w:szCs w:val="26"/>
        </w:rPr>
        <w:t>, seeking to undermine plaintiff’s claim for</w:t>
      </w:r>
      <w:r w:rsidRPr="00B77E2B">
        <w:rPr>
          <w:szCs w:val="26"/>
        </w:rPr>
        <w:t xml:space="preserve"> emotional distress damages resulting from the teacher’s conduct, </w:t>
      </w:r>
      <w:r w:rsidR="009E7665" w:rsidRPr="00B77E2B">
        <w:rPr>
          <w:szCs w:val="26"/>
        </w:rPr>
        <w:t xml:space="preserve">planned </w:t>
      </w:r>
      <w:r w:rsidRPr="00B77E2B">
        <w:rPr>
          <w:szCs w:val="26"/>
        </w:rPr>
        <w:t xml:space="preserve">to introduce evidence that plaintiff had </w:t>
      </w:r>
      <w:r w:rsidR="00E65A89" w:rsidRPr="00B77E2B">
        <w:rPr>
          <w:szCs w:val="26"/>
        </w:rPr>
        <w:t xml:space="preserve">been </w:t>
      </w:r>
      <w:r w:rsidRPr="00B77E2B">
        <w:rPr>
          <w:szCs w:val="26"/>
        </w:rPr>
        <w:t>molested a few years later by another person</w:t>
      </w:r>
      <w:r w:rsidR="00232509" w:rsidRPr="00B77E2B">
        <w:rPr>
          <w:szCs w:val="26"/>
        </w:rPr>
        <w:t> </w:t>
      </w:r>
      <w:r w:rsidRPr="00B77E2B">
        <w:rPr>
          <w:szCs w:val="26"/>
        </w:rPr>
        <w:t xml:space="preserve">— and that this </w:t>
      </w:r>
      <w:r w:rsidR="00806CF5" w:rsidRPr="00B77E2B">
        <w:rPr>
          <w:szCs w:val="26"/>
        </w:rPr>
        <w:t>s</w:t>
      </w:r>
      <w:r w:rsidR="00146CAC" w:rsidRPr="00B77E2B">
        <w:rPr>
          <w:szCs w:val="26"/>
        </w:rPr>
        <w:t xml:space="preserve">ubsequent </w:t>
      </w:r>
      <w:r w:rsidRPr="00B77E2B">
        <w:rPr>
          <w:szCs w:val="26"/>
        </w:rPr>
        <w:t>molestation caused at least some of plaintiff’s emotional distre</w:t>
      </w:r>
      <w:r w:rsidRPr="00B77E2B">
        <w:rPr>
          <w:szCs w:val="26"/>
        </w:rPr>
        <w:t>ss injuries</w:t>
      </w:r>
      <w:r w:rsidR="00947208" w:rsidRPr="00B77E2B">
        <w:rPr>
          <w:szCs w:val="26"/>
        </w:rPr>
        <w:t xml:space="preserve"> and related </w:t>
      </w:r>
      <w:r w:rsidR="00CF78BE" w:rsidRPr="00B77E2B">
        <w:rPr>
          <w:szCs w:val="26"/>
        </w:rPr>
        <w:t>damages</w:t>
      </w:r>
      <w:r w:rsidRPr="00B77E2B">
        <w:rPr>
          <w:szCs w:val="26"/>
        </w:rPr>
        <w:t xml:space="preserve">.  </w:t>
      </w:r>
    </w:p>
    <w:p w14:paraId="0DB2E7A7" w14:textId="77777777" w:rsidR="007D7DE0" w:rsidRPr="00B77E2B" w:rsidRDefault="002E6832" w:rsidP="00B77E2B">
      <w:pPr>
        <w:ind w:firstLine="720"/>
        <w:rPr>
          <w:szCs w:val="26"/>
        </w:rPr>
      </w:pPr>
      <w:r w:rsidRPr="00B77E2B">
        <w:rPr>
          <w:szCs w:val="26"/>
        </w:rPr>
        <w:t>Evidence Code section 1106, subdivision (a), generally protects</w:t>
      </w:r>
      <w:r w:rsidR="00AC1B59" w:rsidRPr="00B77E2B">
        <w:rPr>
          <w:szCs w:val="26"/>
        </w:rPr>
        <w:t> </w:t>
      </w:r>
      <w:r w:rsidR="0033414F" w:rsidRPr="00B77E2B">
        <w:rPr>
          <w:szCs w:val="26"/>
        </w:rPr>
        <w:t>— or shields</w:t>
      </w:r>
      <w:r w:rsidR="00AC1B59" w:rsidRPr="00B77E2B">
        <w:rPr>
          <w:szCs w:val="26"/>
        </w:rPr>
        <w:t> </w:t>
      </w:r>
      <w:r w:rsidR="0033414F" w:rsidRPr="00B77E2B">
        <w:rPr>
          <w:szCs w:val="26"/>
        </w:rPr>
        <w:t xml:space="preserve">— </w:t>
      </w:r>
      <w:r w:rsidRPr="00B77E2B">
        <w:rPr>
          <w:szCs w:val="26"/>
        </w:rPr>
        <w:t xml:space="preserve">civil </w:t>
      </w:r>
      <w:r w:rsidR="00E35DB6" w:rsidRPr="00B77E2B">
        <w:rPr>
          <w:szCs w:val="26"/>
        </w:rPr>
        <w:t xml:space="preserve">litigants </w:t>
      </w:r>
      <w:r w:rsidRPr="00B77E2B">
        <w:rPr>
          <w:szCs w:val="26"/>
        </w:rPr>
        <w:t xml:space="preserve">who allege “sexual harassment, sexual assault, or sexual battery” by barring evidence of a </w:t>
      </w:r>
      <w:r w:rsidR="004B2B36" w:rsidRPr="00B77E2B">
        <w:rPr>
          <w:szCs w:val="26"/>
        </w:rPr>
        <w:t>“</w:t>
      </w:r>
      <w:r w:rsidR="00E35DB6" w:rsidRPr="00B77E2B">
        <w:rPr>
          <w:szCs w:val="26"/>
        </w:rPr>
        <w:t xml:space="preserve">plaintiff’s </w:t>
      </w:r>
      <w:r w:rsidRPr="00B77E2B">
        <w:rPr>
          <w:szCs w:val="26"/>
        </w:rPr>
        <w:t>sexual conduct</w:t>
      </w:r>
      <w:r w:rsidR="00C75449" w:rsidRPr="00B77E2B">
        <w:rPr>
          <w:szCs w:val="26"/>
        </w:rPr>
        <w:t xml:space="preserve"> . . . </w:t>
      </w:r>
      <w:r w:rsidRPr="00B77E2B">
        <w:rPr>
          <w:szCs w:val="26"/>
        </w:rPr>
        <w:t xml:space="preserve">to prove </w:t>
      </w:r>
      <w:r w:rsidRPr="00B77E2B">
        <w:rPr>
          <w:szCs w:val="25"/>
        </w:rPr>
        <w:t xml:space="preserve">consent by the plaintiff or </w:t>
      </w:r>
      <w:r w:rsidRPr="00B77E2B">
        <w:rPr>
          <w:szCs w:val="26"/>
        </w:rPr>
        <w:t xml:space="preserve">the </w:t>
      </w:r>
      <w:r w:rsidRPr="00B77E2B">
        <w:rPr>
          <w:i/>
          <w:iCs/>
          <w:szCs w:val="26"/>
        </w:rPr>
        <w:t xml:space="preserve">absence of injury </w:t>
      </w:r>
      <w:r w:rsidRPr="00B77E2B">
        <w:rPr>
          <w:szCs w:val="26"/>
        </w:rPr>
        <w:t>to the plaintiff.”</w:t>
      </w:r>
      <w:r w:rsidR="004F5AAA" w:rsidRPr="00B77E2B">
        <w:rPr>
          <w:szCs w:val="26"/>
        </w:rPr>
        <w:t xml:space="preserve">  (Italics added.)</w:t>
      </w:r>
      <w:r>
        <w:rPr>
          <w:rStyle w:val="FootnoteReference"/>
          <w:bCs/>
          <w:szCs w:val="26"/>
        </w:rPr>
        <w:footnoteReference w:id="2"/>
      </w:r>
      <w:r w:rsidRPr="00B77E2B">
        <w:rPr>
          <w:szCs w:val="26"/>
        </w:rPr>
        <w:t xml:space="preserve">  Yet subdivision (e) </w:t>
      </w:r>
      <w:r w:rsidR="00284261">
        <w:rPr>
          <w:szCs w:val="26"/>
        </w:rPr>
        <w:t xml:space="preserve">of </w:t>
      </w:r>
      <w:r w:rsidR="00133315">
        <w:rPr>
          <w:szCs w:val="26"/>
        </w:rPr>
        <w:t>section 1106</w:t>
      </w:r>
      <w:r w:rsidR="00284261">
        <w:rPr>
          <w:szCs w:val="26"/>
        </w:rPr>
        <w:t xml:space="preserve"> </w:t>
      </w:r>
      <w:r w:rsidRPr="00B77E2B">
        <w:rPr>
          <w:szCs w:val="26"/>
        </w:rPr>
        <w:t xml:space="preserve">also specifies: </w:t>
      </w:r>
      <w:r w:rsidR="00365A3C" w:rsidRPr="00B77E2B">
        <w:rPr>
          <w:szCs w:val="26"/>
        </w:rPr>
        <w:t xml:space="preserve"> </w:t>
      </w:r>
      <w:r w:rsidRPr="00B77E2B">
        <w:rPr>
          <w:szCs w:val="26"/>
        </w:rPr>
        <w:t>“This section shall not be construed to make inadmissible any evidence offered to attack the credibility of the plaintiff as provided in Section 783.”  In turn</w:t>
      </w:r>
      <w:r w:rsidR="00C044C2" w:rsidRPr="00B77E2B">
        <w:rPr>
          <w:szCs w:val="26"/>
        </w:rPr>
        <w:t>,</w:t>
      </w:r>
      <w:r w:rsidRPr="00B77E2B">
        <w:rPr>
          <w:szCs w:val="26"/>
        </w:rPr>
        <w:t xml:space="preserve"> section 783, subdivision (d), provides</w:t>
      </w:r>
      <w:r w:rsidR="00C044C2" w:rsidRPr="00B77E2B">
        <w:rPr>
          <w:szCs w:val="26"/>
        </w:rPr>
        <w:t xml:space="preserve"> that </w:t>
      </w:r>
      <w:r w:rsidR="00AF3226" w:rsidRPr="00B77E2B">
        <w:rPr>
          <w:szCs w:val="26"/>
        </w:rPr>
        <w:t xml:space="preserve">a </w:t>
      </w:r>
      <w:r w:rsidR="00066BBA" w:rsidRPr="00B77E2B">
        <w:rPr>
          <w:szCs w:val="26"/>
        </w:rPr>
        <w:t xml:space="preserve">trial </w:t>
      </w:r>
      <w:r w:rsidR="00AF3226" w:rsidRPr="00B77E2B">
        <w:rPr>
          <w:szCs w:val="26"/>
        </w:rPr>
        <w:t xml:space="preserve">court may </w:t>
      </w:r>
      <w:r w:rsidR="00A35717" w:rsidRPr="00B77E2B">
        <w:rPr>
          <w:szCs w:val="26"/>
        </w:rPr>
        <w:t xml:space="preserve">allow introduction of </w:t>
      </w:r>
      <w:r w:rsidRPr="00B77E2B">
        <w:rPr>
          <w:szCs w:val="26"/>
        </w:rPr>
        <w:t xml:space="preserve">evidence </w:t>
      </w:r>
      <w:r w:rsidR="002D393A" w:rsidRPr="00B77E2B">
        <w:rPr>
          <w:szCs w:val="26"/>
        </w:rPr>
        <w:t>“</w:t>
      </w:r>
      <w:r w:rsidRPr="00B77E2B">
        <w:rPr>
          <w:szCs w:val="26"/>
        </w:rPr>
        <w:t>regarding the sexual conduct of the plaintiff</w:t>
      </w:r>
      <w:r w:rsidR="00A74E77" w:rsidRPr="00B77E2B">
        <w:rPr>
          <w:szCs w:val="26"/>
        </w:rPr>
        <w:t>,</w:t>
      </w:r>
      <w:r w:rsidR="002D393A" w:rsidRPr="00B77E2B">
        <w:rPr>
          <w:szCs w:val="26"/>
        </w:rPr>
        <w:t xml:space="preserve">” </w:t>
      </w:r>
      <w:r w:rsidR="00A74E77" w:rsidRPr="00B77E2B">
        <w:rPr>
          <w:szCs w:val="26"/>
        </w:rPr>
        <w:t xml:space="preserve">so long as that evidence </w:t>
      </w:r>
      <w:r w:rsidR="00051A73" w:rsidRPr="00B77E2B">
        <w:rPr>
          <w:szCs w:val="26"/>
        </w:rPr>
        <w:t>“</w:t>
      </w:r>
      <w:r w:rsidR="00F82BFE" w:rsidRPr="00B77E2B">
        <w:rPr>
          <w:szCs w:val="26"/>
        </w:rPr>
        <w:t>is</w:t>
      </w:r>
      <w:r w:rsidR="00FE2A8A" w:rsidRPr="00B77E2B">
        <w:rPr>
          <w:szCs w:val="26"/>
        </w:rPr>
        <w:t xml:space="preserve"> </w:t>
      </w:r>
      <w:r w:rsidR="00114904" w:rsidRPr="00B77E2B">
        <w:rPr>
          <w:szCs w:val="26"/>
        </w:rPr>
        <w:t>relevant</w:t>
      </w:r>
      <w:r w:rsidR="00FE2A8A" w:rsidRPr="00B77E2B">
        <w:rPr>
          <w:szCs w:val="26"/>
        </w:rPr>
        <w:t xml:space="preserve"> pursuant to </w:t>
      </w:r>
      <w:r w:rsidR="00051A73" w:rsidRPr="00B77E2B">
        <w:rPr>
          <w:szCs w:val="26"/>
        </w:rPr>
        <w:t>S</w:t>
      </w:r>
      <w:r w:rsidR="00FE2A8A" w:rsidRPr="00B77E2B">
        <w:rPr>
          <w:szCs w:val="26"/>
        </w:rPr>
        <w:t>ection 780</w:t>
      </w:r>
      <w:r w:rsidR="000A146D" w:rsidRPr="00B77E2B">
        <w:rPr>
          <w:szCs w:val="26"/>
        </w:rPr>
        <w:t>”</w:t>
      </w:r>
      <w:r w:rsidR="00FE2A8A" w:rsidRPr="00B77E2B">
        <w:rPr>
          <w:szCs w:val="26"/>
        </w:rPr>
        <w:t xml:space="preserve"> (governing </w:t>
      </w:r>
      <w:r w:rsidR="00FE2A8A" w:rsidRPr="00B77E2B">
        <w:rPr>
          <w:szCs w:val="26"/>
        </w:rPr>
        <w:lastRenderedPageBreak/>
        <w:t>witness credibility</w:t>
      </w:r>
      <w:r w:rsidR="008C20B7" w:rsidRPr="00B77E2B">
        <w:rPr>
          <w:szCs w:val="26"/>
        </w:rPr>
        <w:t>,</w:t>
      </w:r>
      <w:r w:rsidR="00FE2A8A" w:rsidRPr="00B77E2B">
        <w:rPr>
          <w:szCs w:val="26"/>
        </w:rPr>
        <w:t xml:space="preserve"> generally) and</w:t>
      </w:r>
      <w:r w:rsidR="00F82BFE" w:rsidRPr="00B77E2B">
        <w:rPr>
          <w:szCs w:val="26"/>
        </w:rPr>
        <w:t xml:space="preserve"> </w:t>
      </w:r>
      <w:r w:rsidR="00E56390" w:rsidRPr="00B77E2B">
        <w:rPr>
          <w:szCs w:val="26"/>
        </w:rPr>
        <w:t>“</w:t>
      </w:r>
      <w:r w:rsidRPr="00B77E2B">
        <w:rPr>
          <w:szCs w:val="26"/>
        </w:rPr>
        <w:t xml:space="preserve">not inadmissible pursuant to </w:t>
      </w:r>
      <w:r w:rsidR="004530D9" w:rsidRPr="00B77E2B">
        <w:rPr>
          <w:szCs w:val="26"/>
        </w:rPr>
        <w:t>S</w:t>
      </w:r>
      <w:r w:rsidRPr="00B77E2B">
        <w:rPr>
          <w:szCs w:val="26"/>
        </w:rPr>
        <w:t>ection 352</w:t>
      </w:r>
      <w:r w:rsidR="005F5529" w:rsidRPr="00B77E2B">
        <w:rPr>
          <w:szCs w:val="26"/>
        </w:rPr>
        <w:t>”</w:t>
      </w:r>
      <w:r w:rsidR="005214DD" w:rsidRPr="00B77E2B">
        <w:rPr>
          <w:szCs w:val="26"/>
        </w:rPr>
        <w:t xml:space="preserve"> </w:t>
      </w:r>
      <w:r w:rsidRPr="00B77E2B">
        <w:rPr>
          <w:szCs w:val="26"/>
        </w:rPr>
        <w:t xml:space="preserve">(governing a court’s </w:t>
      </w:r>
      <w:r w:rsidRPr="00B77E2B">
        <w:rPr>
          <w:szCs w:val="26"/>
        </w:rPr>
        <w:t>discretion to exclude</w:t>
      </w:r>
      <w:r w:rsidR="007C054E" w:rsidRPr="00B77E2B">
        <w:rPr>
          <w:szCs w:val="26"/>
        </w:rPr>
        <w:t xml:space="preserve"> relevant</w:t>
      </w:r>
      <w:r w:rsidRPr="00B77E2B">
        <w:rPr>
          <w:szCs w:val="26"/>
        </w:rPr>
        <w:t xml:space="preserve"> evidence</w:t>
      </w:r>
      <w:r w:rsidR="007C054E" w:rsidRPr="00B77E2B">
        <w:rPr>
          <w:szCs w:val="26"/>
        </w:rPr>
        <w:t xml:space="preserve"> </w:t>
      </w:r>
      <w:r w:rsidR="0045424D" w:rsidRPr="00B77E2B">
        <w:rPr>
          <w:szCs w:val="26"/>
        </w:rPr>
        <w:t>under certain circumstances</w:t>
      </w:r>
      <w:r w:rsidRPr="00B77E2B">
        <w:rPr>
          <w:szCs w:val="26"/>
        </w:rPr>
        <w:t>)</w:t>
      </w:r>
      <w:r w:rsidR="005214DD" w:rsidRPr="00B77E2B">
        <w:rPr>
          <w:szCs w:val="26"/>
        </w:rPr>
        <w:t>.</w:t>
      </w:r>
      <w:r w:rsidR="00C51803" w:rsidRPr="00B77E2B">
        <w:rPr>
          <w:szCs w:val="26"/>
        </w:rPr>
        <w:t xml:space="preserve"> </w:t>
      </w:r>
      <w:r w:rsidRPr="00B77E2B">
        <w:rPr>
          <w:szCs w:val="26"/>
        </w:rPr>
        <w:t xml:space="preserve"> </w:t>
      </w:r>
    </w:p>
    <w:p w14:paraId="0DB2E7A8" w14:textId="77777777" w:rsidR="007D7DE0" w:rsidRPr="00B77E2B" w:rsidRDefault="002E6832" w:rsidP="00B77E2B">
      <w:pPr>
        <w:ind w:firstLine="720"/>
        <w:rPr>
          <w:szCs w:val="26"/>
        </w:rPr>
      </w:pPr>
      <w:r w:rsidRPr="00B77E2B">
        <w:rPr>
          <w:szCs w:val="26"/>
        </w:rPr>
        <w:t>Plaintiff filed a pretrial motion seeking to exclude evidence</w:t>
      </w:r>
      <w:r w:rsidR="00CA25A7" w:rsidRPr="00B77E2B">
        <w:rPr>
          <w:szCs w:val="26"/>
        </w:rPr>
        <w:t xml:space="preserve"> of the subsequent molestation</w:t>
      </w:r>
      <w:r w:rsidRPr="00B77E2B">
        <w:rPr>
          <w:szCs w:val="26"/>
        </w:rPr>
        <w:t xml:space="preserve">.  The trial court </w:t>
      </w:r>
      <w:r w:rsidR="00206474" w:rsidRPr="00B77E2B">
        <w:rPr>
          <w:szCs w:val="26"/>
        </w:rPr>
        <w:t>ruled t</w:t>
      </w:r>
      <w:r w:rsidR="00981F05" w:rsidRPr="00B77E2B">
        <w:rPr>
          <w:szCs w:val="26"/>
        </w:rPr>
        <w:t xml:space="preserve">hat </w:t>
      </w:r>
      <w:r w:rsidR="00672163">
        <w:rPr>
          <w:szCs w:val="26"/>
        </w:rPr>
        <w:t xml:space="preserve">the challenged </w:t>
      </w:r>
      <w:r w:rsidR="00965523" w:rsidRPr="00B77E2B">
        <w:rPr>
          <w:szCs w:val="26"/>
        </w:rPr>
        <w:t xml:space="preserve">evidence </w:t>
      </w:r>
      <w:r w:rsidR="00D140DC" w:rsidRPr="00B77E2B">
        <w:rPr>
          <w:szCs w:val="26"/>
        </w:rPr>
        <w:t xml:space="preserve">was </w:t>
      </w:r>
      <w:r w:rsidR="00354C87" w:rsidRPr="00B77E2B">
        <w:rPr>
          <w:szCs w:val="26"/>
        </w:rPr>
        <w:t xml:space="preserve">(1) </w:t>
      </w:r>
      <w:r w:rsidR="00D140DC" w:rsidRPr="00B77E2B">
        <w:rPr>
          <w:szCs w:val="26"/>
        </w:rPr>
        <w:t>not protected by any shield</w:t>
      </w:r>
      <w:r w:rsidR="006C1AAC" w:rsidRPr="00B77E2B">
        <w:rPr>
          <w:szCs w:val="26"/>
        </w:rPr>
        <w:t xml:space="preserve"> </w:t>
      </w:r>
      <w:r w:rsidR="009A3212" w:rsidRPr="00B77E2B">
        <w:rPr>
          <w:szCs w:val="26"/>
        </w:rPr>
        <w:t>statute</w:t>
      </w:r>
      <w:r w:rsidR="00D140DC" w:rsidRPr="00B77E2B">
        <w:rPr>
          <w:szCs w:val="26"/>
        </w:rPr>
        <w:t xml:space="preserve">, and </w:t>
      </w:r>
      <w:r w:rsidR="00094005" w:rsidRPr="00B77E2B">
        <w:rPr>
          <w:szCs w:val="26"/>
        </w:rPr>
        <w:t xml:space="preserve">(2) </w:t>
      </w:r>
      <w:r w:rsidR="00D02385" w:rsidRPr="00B77E2B">
        <w:rPr>
          <w:szCs w:val="26"/>
        </w:rPr>
        <w:t>relevant</w:t>
      </w:r>
      <w:r w:rsidR="0069179E" w:rsidRPr="00B77E2B">
        <w:rPr>
          <w:szCs w:val="26"/>
        </w:rPr>
        <w:t xml:space="preserve"> </w:t>
      </w:r>
      <w:r w:rsidR="0019129F" w:rsidRPr="00B77E2B">
        <w:rPr>
          <w:szCs w:val="26"/>
        </w:rPr>
        <w:t xml:space="preserve">and admissible </w:t>
      </w:r>
      <w:r w:rsidR="0069179E" w:rsidRPr="00B77E2B">
        <w:rPr>
          <w:szCs w:val="26"/>
        </w:rPr>
        <w:t>with regard to</w:t>
      </w:r>
      <w:r w:rsidR="005E7A9F" w:rsidRPr="00B77E2B">
        <w:rPr>
          <w:szCs w:val="26"/>
        </w:rPr>
        <w:t xml:space="preserve"> </w:t>
      </w:r>
      <w:r w:rsidR="00D02385" w:rsidRPr="00B77E2B">
        <w:rPr>
          <w:szCs w:val="26"/>
        </w:rPr>
        <w:t>whether plaintiff’s emotional distress was caused solely by</w:t>
      </w:r>
      <w:r w:rsidR="00A306C4" w:rsidRPr="00B77E2B">
        <w:rPr>
          <w:szCs w:val="26"/>
        </w:rPr>
        <w:t xml:space="preserve"> the teacher’s </w:t>
      </w:r>
      <w:r w:rsidR="00D02385" w:rsidRPr="00B77E2B">
        <w:rPr>
          <w:szCs w:val="26"/>
        </w:rPr>
        <w:t>conduct</w:t>
      </w:r>
      <w:r w:rsidR="0061202F" w:rsidRPr="00B77E2B">
        <w:rPr>
          <w:szCs w:val="26"/>
        </w:rPr>
        <w:t xml:space="preserve"> </w:t>
      </w:r>
      <w:r w:rsidR="00D02385" w:rsidRPr="00B77E2B">
        <w:rPr>
          <w:szCs w:val="26"/>
        </w:rPr>
        <w:t xml:space="preserve">or by a combination of his conduct and the </w:t>
      </w:r>
      <w:r w:rsidR="00200BA2" w:rsidRPr="00B77E2B">
        <w:rPr>
          <w:szCs w:val="26"/>
        </w:rPr>
        <w:t xml:space="preserve">subsequent </w:t>
      </w:r>
      <w:r w:rsidR="00D02385" w:rsidRPr="00B77E2B">
        <w:rPr>
          <w:szCs w:val="26"/>
        </w:rPr>
        <w:t>molestation</w:t>
      </w:r>
      <w:r w:rsidR="0061202F" w:rsidRPr="00B77E2B">
        <w:rPr>
          <w:szCs w:val="26"/>
        </w:rPr>
        <w:t xml:space="preserve">.  </w:t>
      </w:r>
      <w:r w:rsidR="00094005" w:rsidRPr="00B77E2B">
        <w:rPr>
          <w:szCs w:val="26"/>
        </w:rPr>
        <w:t xml:space="preserve">In light of </w:t>
      </w:r>
      <w:r w:rsidR="00607772" w:rsidRPr="00B77E2B">
        <w:rPr>
          <w:szCs w:val="26"/>
        </w:rPr>
        <w:t>that r</w:t>
      </w:r>
      <w:r w:rsidR="003C3135" w:rsidRPr="00B77E2B">
        <w:rPr>
          <w:szCs w:val="26"/>
        </w:rPr>
        <w:t xml:space="preserve">uling, both parties referred to the subsequent </w:t>
      </w:r>
      <w:r w:rsidR="006C2C15" w:rsidRPr="00B77E2B">
        <w:rPr>
          <w:szCs w:val="26"/>
        </w:rPr>
        <w:t xml:space="preserve">molestation </w:t>
      </w:r>
      <w:r w:rsidR="00792E6E" w:rsidRPr="00B77E2B">
        <w:rPr>
          <w:szCs w:val="26"/>
        </w:rPr>
        <w:t xml:space="preserve">in </w:t>
      </w:r>
      <w:r w:rsidR="003C3135" w:rsidRPr="00B77E2B">
        <w:rPr>
          <w:szCs w:val="26"/>
        </w:rPr>
        <w:t xml:space="preserve">their </w:t>
      </w:r>
      <w:r w:rsidR="00792E6E" w:rsidRPr="00B77E2B">
        <w:rPr>
          <w:szCs w:val="26"/>
        </w:rPr>
        <w:t>opening statements to the jury</w:t>
      </w:r>
      <w:r w:rsidR="00031D04" w:rsidRPr="00B77E2B">
        <w:rPr>
          <w:szCs w:val="26"/>
        </w:rPr>
        <w:t xml:space="preserve">.  We </w:t>
      </w:r>
      <w:r w:rsidR="00FE4FEE" w:rsidRPr="00B77E2B">
        <w:rPr>
          <w:szCs w:val="26"/>
        </w:rPr>
        <w:t xml:space="preserve">then </w:t>
      </w:r>
      <w:r w:rsidR="00031D04" w:rsidRPr="00B77E2B">
        <w:rPr>
          <w:szCs w:val="26"/>
        </w:rPr>
        <w:t>stayed the</w:t>
      </w:r>
      <w:r w:rsidR="00FE4FEE" w:rsidRPr="00B77E2B">
        <w:rPr>
          <w:szCs w:val="26"/>
        </w:rPr>
        <w:t xml:space="preserve"> trial and directed the Court of Appeal to </w:t>
      </w:r>
      <w:r w:rsidR="00E80656" w:rsidRPr="00B77E2B">
        <w:rPr>
          <w:szCs w:val="26"/>
        </w:rPr>
        <w:t>issue an order to show cause</w:t>
      </w:r>
      <w:r w:rsidR="009B3102" w:rsidRPr="00B77E2B">
        <w:rPr>
          <w:szCs w:val="26"/>
        </w:rPr>
        <w:t xml:space="preserve">.  The appellate court </w:t>
      </w:r>
      <w:r w:rsidR="00203B79" w:rsidRPr="00B77E2B">
        <w:rPr>
          <w:szCs w:val="26"/>
        </w:rPr>
        <w:t xml:space="preserve">obtained briefing, held oral argument, and </w:t>
      </w:r>
      <w:r w:rsidR="000C0191" w:rsidRPr="00B77E2B">
        <w:rPr>
          <w:szCs w:val="26"/>
        </w:rPr>
        <w:t xml:space="preserve">published an opinion </w:t>
      </w:r>
      <w:r w:rsidR="00BD180C" w:rsidRPr="00B77E2B">
        <w:rPr>
          <w:szCs w:val="26"/>
        </w:rPr>
        <w:t xml:space="preserve">finding </w:t>
      </w:r>
      <w:r w:rsidR="00763571" w:rsidRPr="00B77E2B">
        <w:rPr>
          <w:szCs w:val="26"/>
        </w:rPr>
        <w:t xml:space="preserve">the </w:t>
      </w:r>
      <w:r w:rsidR="001A5E78" w:rsidRPr="00B77E2B">
        <w:rPr>
          <w:szCs w:val="26"/>
        </w:rPr>
        <w:t xml:space="preserve">evidence </w:t>
      </w:r>
      <w:r w:rsidR="003F1CC4" w:rsidRPr="00B77E2B">
        <w:rPr>
          <w:szCs w:val="26"/>
        </w:rPr>
        <w:t xml:space="preserve">regarding the </w:t>
      </w:r>
      <w:r w:rsidR="00DD5D6F" w:rsidRPr="00B77E2B">
        <w:rPr>
          <w:szCs w:val="26"/>
        </w:rPr>
        <w:t xml:space="preserve">subsequent </w:t>
      </w:r>
      <w:r w:rsidR="00834A88" w:rsidRPr="00B77E2B">
        <w:rPr>
          <w:szCs w:val="26"/>
        </w:rPr>
        <w:t xml:space="preserve">molestation </w:t>
      </w:r>
      <w:r w:rsidR="00763571" w:rsidRPr="00B77E2B">
        <w:rPr>
          <w:szCs w:val="26"/>
        </w:rPr>
        <w:t xml:space="preserve">admissible.  </w:t>
      </w:r>
      <w:r w:rsidR="000C0191" w:rsidRPr="00B77E2B">
        <w:rPr>
          <w:szCs w:val="26"/>
        </w:rPr>
        <w:t>(</w:t>
      </w:r>
      <w:r w:rsidR="003F7431" w:rsidRPr="00B77E2B">
        <w:rPr>
          <w:i/>
          <w:iCs/>
          <w:szCs w:val="26"/>
        </w:rPr>
        <w:t>Doe v. Superior Court</w:t>
      </w:r>
      <w:r w:rsidR="003F7431" w:rsidRPr="00B77E2B">
        <w:rPr>
          <w:szCs w:val="26"/>
        </w:rPr>
        <w:t xml:space="preserve"> (2021) 71 Cal.App.5th 227 (</w:t>
      </w:r>
      <w:r w:rsidR="003F7431" w:rsidRPr="00B77E2B">
        <w:rPr>
          <w:i/>
          <w:iCs/>
          <w:szCs w:val="26"/>
        </w:rPr>
        <w:t>Doe</w:t>
      </w:r>
      <w:r w:rsidR="003F7431" w:rsidRPr="00B77E2B">
        <w:rPr>
          <w:szCs w:val="26"/>
        </w:rPr>
        <w:t xml:space="preserve">).)  </w:t>
      </w:r>
      <w:r w:rsidRPr="00B77E2B">
        <w:rPr>
          <w:szCs w:val="26"/>
        </w:rPr>
        <w:t xml:space="preserve">We granted review </w:t>
      </w:r>
      <w:r w:rsidR="00637233" w:rsidRPr="00B77E2B">
        <w:rPr>
          <w:szCs w:val="26"/>
        </w:rPr>
        <w:t xml:space="preserve">of that decision </w:t>
      </w:r>
      <w:r w:rsidRPr="00B77E2B">
        <w:rPr>
          <w:szCs w:val="26"/>
        </w:rPr>
        <w:t>to address the interrelation</w:t>
      </w:r>
      <w:r w:rsidRPr="00B77E2B">
        <w:rPr>
          <w:szCs w:val="26"/>
        </w:rPr>
        <w:t>ship of the</w:t>
      </w:r>
      <w:r w:rsidR="0034377D" w:rsidRPr="00B77E2B">
        <w:rPr>
          <w:szCs w:val="26"/>
        </w:rPr>
        <w:t xml:space="preserve"> sta</w:t>
      </w:r>
      <w:r w:rsidR="005E012C" w:rsidRPr="00B77E2B">
        <w:rPr>
          <w:szCs w:val="26"/>
        </w:rPr>
        <w:t xml:space="preserve">tutory </w:t>
      </w:r>
      <w:r w:rsidRPr="00B77E2B">
        <w:rPr>
          <w:szCs w:val="26"/>
        </w:rPr>
        <w:t xml:space="preserve">provisions and the admissibility of the </w:t>
      </w:r>
      <w:r w:rsidR="003B18FD" w:rsidRPr="00B77E2B">
        <w:rPr>
          <w:szCs w:val="26"/>
        </w:rPr>
        <w:t xml:space="preserve">challenged </w:t>
      </w:r>
      <w:r w:rsidRPr="00B77E2B">
        <w:rPr>
          <w:szCs w:val="26"/>
        </w:rPr>
        <w:t>evidence.</w:t>
      </w:r>
      <w:r w:rsidR="001641B0" w:rsidRPr="00B77E2B">
        <w:rPr>
          <w:szCs w:val="26"/>
        </w:rPr>
        <w:t xml:space="preserve"> </w:t>
      </w:r>
      <w:r w:rsidRPr="00B77E2B">
        <w:rPr>
          <w:szCs w:val="26"/>
        </w:rPr>
        <w:t xml:space="preserve"> </w:t>
      </w:r>
    </w:p>
    <w:p w14:paraId="0DB2E7A9" w14:textId="77777777" w:rsidR="001A50CB" w:rsidRPr="009D29C4" w:rsidRDefault="002E6832" w:rsidP="00B77E2B">
      <w:pPr>
        <w:ind w:firstLine="720"/>
        <w:rPr>
          <w:szCs w:val="26"/>
        </w:rPr>
      </w:pPr>
      <w:r w:rsidRPr="00B77E2B">
        <w:rPr>
          <w:szCs w:val="26"/>
        </w:rPr>
        <w:t xml:space="preserve">We </w:t>
      </w:r>
      <w:r w:rsidR="00D3391A" w:rsidRPr="00B77E2B">
        <w:rPr>
          <w:szCs w:val="26"/>
        </w:rPr>
        <w:t>conclude</w:t>
      </w:r>
      <w:r w:rsidR="00B96D3D" w:rsidRPr="00B77E2B">
        <w:rPr>
          <w:szCs w:val="26"/>
        </w:rPr>
        <w:t xml:space="preserve"> that </w:t>
      </w:r>
      <w:r w:rsidR="007D7DE0" w:rsidRPr="00B77E2B">
        <w:rPr>
          <w:szCs w:val="26"/>
        </w:rPr>
        <w:t>section 1106</w:t>
      </w:r>
      <w:r w:rsidR="005E6FB8" w:rsidRPr="00B77E2B">
        <w:rPr>
          <w:szCs w:val="26"/>
        </w:rPr>
        <w:t xml:space="preserve">, </w:t>
      </w:r>
      <w:r w:rsidR="00643D34" w:rsidRPr="00B77E2B">
        <w:rPr>
          <w:szCs w:val="26"/>
        </w:rPr>
        <w:t>subdivision (e)</w:t>
      </w:r>
      <w:r w:rsidR="0048524E">
        <w:rPr>
          <w:szCs w:val="26"/>
        </w:rPr>
        <w:t>,</w:t>
      </w:r>
      <w:r w:rsidR="00B77E2B" w:rsidRPr="00B77E2B">
        <w:rPr>
          <w:i/>
          <w:iCs/>
          <w:szCs w:val="26"/>
        </w:rPr>
        <w:t xml:space="preserve"> </w:t>
      </w:r>
      <w:r w:rsidR="0010712C" w:rsidRPr="00B77E2B">
        <w:rPr>
          <w:i/>
          <w:iCs/>
          <w:szCs w:val="26"/>
        </w:rPr>
        <w:t>may</w:t>
      </w:r>
      <w:r w:rsidR="0010712C" w:rsidRPr="00B77E2B">
        <w:rPr>
          <w:szCs w:val="26"/>
        </w:rPr>
        <w:t xml:space="preserve"> </w:t>
      </w:r>
      <w:r w:rsidR="00DA19FC" w:rsidRPr="00B77E2B">
        <w:rPr>
          <w:szCs w:val="26"/>
        </w:rPr>
        <w:t>permit</w:t>
      </w:r>
      <w:r w:rsidR="0052006A" w:rsidRPr="00B77E2B">
        <w:rPr>
          <w:szCs w:val="26"/>
        </w:rPr>
        <w:t xml:space="preserve"> </w:t>
      </w:r>
      <w:r w:rsidR="00ED78E0" w:rsidRPr="00B77E2B">
        <w:rPr>
          <w:szCs w:val="26"/>
        </w:rPr>
        <w:t xml:space="preserve">admission </w:t>
      </w:r>
      <w:r w:rsidR="00184661" w:rsidRPr="00B77E2B">
        <w:rPr>
          <w:szCs w:val="26"/>
        </w:rPr>
        <w:t xml:space="preserve">of </w:t>
      </w:r>
      <w:r w:rsidR="00BD0E66" w:rsidRPr="00B77E2B">
        <w:rPr>
          <w:szCs w:val="26"/>
        </w:rPr>
        <w:t>evidence</w:t>
      </w:r>
      <w:r w:rsidR="006D4B08" w:rsidRPr="00B77E2B">
        <w:rPr>
          <w:szCs w:val="26"/>
        </w:rPr>
        <w:t xml:space="preserve"> that </w:t>
      </w:r>
      <w:r w:rsidR="00221E92" w:rsidRPr="00B77E2B">
        <w:rPr>
          <w:szCs w:val="26"/>
        </w:rPr>
        <w:t xml:space="preserve">would otherwise be excluded under </w:t>
      </w:r>
      <w:r w:rsidR="001C108C">
        <w:rPr>
          <w:szCs w:val="26"/>
        </w:rPr>
        <w:t xml:space="preserve">section 1106, </w:t>
      </w:r>
      <w:r w:rsidR="0076694B" w:rsidRPr="00B77E2B">
        <w:rPr>
          <w:szCs w:val="26"/>
        </w:rPr>
        <w:t xml:space="preserve">subdivision (a).  But </w:t>
      </w:r>
      <w:r w:rsidR="00E25F8A" w:rsidRPr="00B77E2B">
        <w:rPr>
          <w:szCs w:val="26"/>
        </w:rPr>
        <w:t xml:space="preserve">such admissibility </w:t>
      </w:r>
      <w:r w:rsidR="00CB636E" w:rsidRPr="00B77E2B">
        <w:rPr>
          <w:szCs w:val="26"/>
        </w:rPr>
        <w:t xml:space="preserve">is </w:t>
      </w:r>
      <w:r w:rsidR="00492A57" w:rsidRPr="00B77E2B">
        <w:rPr>
          <w:szCs w:val="26"/>
        </w:rPr>
        <w:t xml:space="preserve">subject to </w:t>
      </w:r>
      <w:r w:rsidR="00A17AC6" w:rsidRPr="00B77E2B">
        <w:rPr>
          <w:szCs w:val="26"/>
        </w:rPr>
        <w:t xml:space="preserve">the procedures set out in </w:t>
      </w:r>
      <w:r w:rsidR="00CB636E" w:rsidRPr="00B77E2B">
        <w:rPr>
          <w:szCs w:val="26"/>
        </w:rPr>
        <w:t>section 783</w:t>
      </w:r>
      <w:r w:rsidR="00CB0D1C" w:rsidRPr="00B77E2B">
        <w:rPr>
          <w:szCs w:val="26"/>
        </w:rPr>
        <w:t xml:space="preserve"> </w:t>
      </w:r>
      <w:r w:rsidR="003D63A8" w:rsidRPr="00B77E2B">
        <w:rPr>
          <w:szCs w:val="26"/>
        </w:rPr>
        <w:t xml:space="preserve">and </w:t>
      </w:r>
      <w:r w:rsidR="00BB4E26" w:rsidRPr="00B77E2B">
        <w:rPr>
          <w:szCs w:val="26"/>
        </w:rPr>
        <w:t xml:space="preserve">especially careful </w:t>
      </w:r>
      <w:r w:rsidR="00D248A3" w:rsidRPr="00B77E2B">
        <w:rPr>
          <w:szCs w:val="26"/>
        </w:rPr>
        <w:t xml:space="preserve">review </w:t>
      </w:r>
      <w:r w:rsidR="00B60943" w:rsidRPr="00B77E2B">
        <w:rPr>
          <w:szCs w:val="26"/>
        </w:rPr>
        <w:t xml:space="preserve">and scrutiny </w:t>
      </w:r>
      <w:r w:rsidR="00E56405" w:rsidRPr="00B77E2B">
        <w:rPr>
          <w:szCs w:val="26"/>
        </w:rPr>
        <w:t>under section</w:t>
      </w:r>
      <w:r w:rsidR="0075239B" w:rsidRPr="00B77E2B">
        <w:rPr>
          <w:szCs w:val="26"/>
        </w:rPr>
        <w:t> </w:t>
      </w:r>
      <w:r w:rsidR="00E56405" w:rsidRPr="00B77E2B">
        <w:rPr>
          <w:szCs w:val="26"/>
        </w:rPr>
        <w:t>352</w:t>
      </w:r>
      <w:r w:rsidR="00507F8B" w:rsidRPr="00B77E2B">
        <w:rPr>
          <w:szCs w:val="26"/>
        </w:rPr>
        <w:t xml:space="preserve">. </w:t>
      </w:r>
      <w:r w:rsidR="0016466D" w:rsidRPr="00B77E2B">
        <w:rPr>
          <w:szCs w:val="26"/>
        </w:rPr>
        <w:t xml:space="preserve"> As we shall explain, the Legislature devised section 783 to </w:t>
      </w:r>
      <w:r w:rsidR="00026CF4" w:rsidRPr="00B77E2B">
        <w:rPr>
          <w:szCs w:val="26"/>
        </w:rPr>
        <w:t xml:space="preserve">protect against unwarranted intrusion into </w:t>
      </w:r>
      <w:r w:rsidR="005028E5" w:rsidRPr="00B77E2B">
        <w:rPr>
          <w:rStyle w:val="cf01"/>
          <w:rFonts w:ascii="Century Schoolbook" w:hAnsi="Century Schoolbook" w:cs="Times New Roman"/>
          <w:sz w:val="27"/>
          <w:szCs w:val="26"/>
        </w:rPr>
        <w:t>the private life of a plaintiff</w:t>
      </w:r>
      <w:r w:rsidR="00E80EDD">
        <w:rPr>
          <w:rStyle w:val="cf01"/>
          <w:rFonts w:ascii="Century Schoolbook" w:hAnsi="Century Schoolbook" w:cs="Times New Roman"/>
          <w:sz w:val="27"/>
          <w:szCs w:val="26"/>
        </w:rPr>
        <w:t xml:space="preserve"> who sues for sexual assault</w:t>
      </w:r>
      <w:r w:rsidR="005028E5" w:rsidRPr="00B77E2B">
        <w:rPr>
          <w:rStyle w:val="cf01"/>
          <w:rFonts w:ascii="Century Schoolbook" w:hAnsi="Century Schoolbook" w:cs="Times New Roman"/>
          <w:sz w:val="27"/>
          <w:szCs w:val="26"/>
        </w:rPr>
        <w:t xml:space="preserve">, by identifying and circumscribing evidence that may be admitted to attack </w:t>
      </w:r>
      <w:r w:rsidR="008E4030" w:rsidRPr="00B77E2B">
        <w:rPr>
          <w:rStyle w:val="cf01"/>
          <w:rFonts w:ascii="Century Schoolbook" w:hAnsi="Century Schoolbook" w:cs="Times New Roman"/>
          <w:sz w:val="27"/>
          <w:szCs w:val="26"/>
        </w:rPr>
        <w:t xml:space="preserve">such a </w:t>
      </w:r>
      <w:r w:rsidR="00BD4D10" w:rsidRPr="00B77E2B">
        <w:rPr>
          <w:rStyle w:val="cf01"/>
          <w:rFonts w:ascii="Century Schoolbook" w:hAnsi="Century Schoolbook" w:cs="Times New Roman"/>
          <w:sz w:val="27"/>
          <w:szCs w:val="26"/>
        </w:rPr>
        <w:t xml:space="preserve">person’s </w:t>
      </w:r>
      <w:r w:rsidR="005028E5" w:rsidRPr="00B77E2B">
        <w:rPr>
          <w:rStyle w:val="cf01"/>
          <w:rFonts w:ascii="Century Schoolbook" w:hAnsi="Century Schoolbook" w:cs="Times New Roman"/>
          <w:sz w:val="27"/>
          <w:szCs w:val="26"/>
        </w:rPr>
        <w:t>credibility</w:t>
      </w:r>
      <w:r w:rsidR="00494579" w:rsidRPr="00B77E2B">
        <w:rPr>
          <w:rStyle w:val="cf01"/>
          <w:rFonts w:ascii="Century Schoolbook" w:hAnsi="Century Schoolbook" w:cs="Times New Roman"/>
          <w:sz w:val="27"/>
          <w:szCs w:val="26"/>
        </w:rPr>
        <w:t>.</w:t>
      </w:r>
      <w:r w:rsidR="00494579" w:rsidRPr="00B77E2B">
        <w:rPr>
          <w:rStyle w:val="cf01"/>
          <w:rFonts w:ascii="Century Schoolbook" w:hAnsi="Century Schoolbook"/>
          <w:sz w:val="27"/>
        </w:rPr>
        <w:t xml:space="preserve">  </w:t>
      </w:r>
      <w:r w:rsidR="00682F18" w:rsidRPr="00B77E2B">
        <w:rPr>
          <w:szCs w:val="26"/>
        </w:rPr>
        <w:t xml:space="preserve">Correspondingly, </w:t>
      </w:r>
      <w:r w:rsidR="0016466D" w:rsidRPr="00B77E2B">
        <w:rPr>
          <w:szCs w:val="26"/>
        </w:rPr>
        <w:t xml:space="preserve">section 352, as applied in this setting, requires special informed review and scrutiny, designed to protect such a plaintiff’s privacy rights and </w:t>
      </w:r>
      <w:r w:rsidR="0087222F">
        <w:rPr>
          <w:szCs w:val="26"/>
        </w:rPr>
        <w:t xml:space="preserve">to </w:t>
      </w:r>
      <w:r w:rsidR="0016466D" w:rsidRPr="00B77E2B">
        <w:rPr>
          <w:szCs w:val="26"/>
        </w:rPr>
        <w:t xml:space="preserve">limit </w:t>
      </w:r>
      <w:r w:rsidR="002509A8" w:rsidRPr="00B77E2B">
        <w:rPr>
          <w:szCs w:val="26"/>
        </w:rPr>
        <w:t xml:space="preserve">the </w:t>
      </w:r>
      <w:r w:rsidR="0016466D" w:rsidRPr="00B77E2B">
        <w:rPr>
          <w:szCs w:val="26"/>
        </w:rPr>
        <w:t xml:space="preserve">introduction of evidence </w:t>
      </w:r>
      <w:r w:rsidR="0016466D" w:rsidRPr="00B77E2B">
        <w:rPr>
          <w:szCs w:val="26"/>
        </w:rPr>
        <w:lastRenderedPageBreak/>
        <w:t xml:space="preserve">concerning </w:t>
      </w:r>
      <w:r w:rsidR="002509A8" w:rsidRPr="00B77E2B">
        <w:rPr>
          <w:szCs w:val="26"/>
        </w:rPr>
        <w:t xml:space="preserve">such a </w:t>
      </w:r>
      <w:r w:rsidR="0016466D" w:rsidRPr="00B77E2B">
        <w:rPr>
          <w:szCs w:val="26"/>
        </w:rPr>
        <w:t>person’s sexual conduct</w:t>
      </w:r>
      <w:r w:rsidR="002254AD" w:rsidRPr="00B77E2B">
        <w:rPr>
          <w:szCs w:val="26"/>
        </w:rPr>
        <w:t xml:space="preserve">.  </w:t>
      </w:r>
      <w:r w:rsidR="00DB46F3" w:rsidRPr="00B77E2B">
        <w:rPr>
          <w:szCs w:val="26"/>
        </w:rPr>
        <w:t>A</w:t>
      </w:r>
      <w:r w:rsidR="00D93076" w:rsidRPr="00B77E2B">
        <w:rPr>
          <w:szCs w:val="26"/>
        </w:rPr>
        <w:t xml:space="preserve">nd yet, </w:t>
      </w:r>
      <w:r w:rsidR="00F725D5" w:rsidRPr="00B77E2B">
        <w:rPr>
          <w:szCs w:val="26"/>
        </w:rPr>
        <w:t xml:space="preserve">these crucial protections </w:t>
      </w:r>
      <w:r w:rsidR="00264E11" w:rsidRPr="00B77E2B">
        <w:rPr>
          <w:szCs w:val="26"/>
        </w:rPr>
        <w:t xml:space="preserve">appear </w:t>
      </w:r>
      <w:r w:rsidR="00E30943" w:rsidRPr="00B77E2B">
        <w:rPr>
          <w:szCs w:val="26"/>
        </w:rPr>
        <w:t xml:space="preserve">not </w:t>
      </w:r>
      <w:r w:rsidR="00264E11" w:rsidRPr="00B77E2B">
        <w:rPr>
          <w:szCs w:val="26"/>
        </w:rPr>
        <w:t xml:space="preserve">to have </w:t>
      </w:r>
      <w:r w:rsidR="00F725D5" w:rsidRPr="00B77E2B">
        <w:rPr>
          <w:szCs w:val="26"/>
        </w:rPr>
        <w:t xml:space="preserve">been </w:t>
      </w:r>
      <w:r w:rsidR="00284261">
        <w:rPr>
          <w:szCs w:val="26"/>
        </w:rPr>
        <w:t xml:space="preserve">applied </w:t>
      </w:r>
      <w:r w:rsidR="00B67C17" w:rsidRPr="00B77E2B">
        <w:rPr>
          <w:szCs w:val="26"/>
        </w:rPr>
        <w:t xml:space="preserve">in this case.  </w:t>
      </w:r>
      <w:r w:rsidR="009F54FF" w:rsidRPr="00B77E2B">
        <w:rPr>
          <w:szCs w:val="26"/>
        </w:rPr>
        <w:t xml:space="preserve">Accordingly, </w:t>
      </w:r>
      <w:r w:rsidR="00D3391A" w:rsidRPr="00B77E2B">
        <w:rPr>
          <w:szCs w:val="26"/>
        </w:rPr>
        <w:t xml:space="preserve">we direct </w:t>
      </w:r>
      <w:r w:rsidR="00D46ECA" w:rsidRPr="00B77E2B">
        <w:rPr>
          <w:szCs w:val="26"/>
        </w:rPr>
        <w:t>th</w:t>
      </w:r>
      <w:r w:rsidR="001C2676" w:rsidRPr="00B77E2B">
        <w:rPr>
          <w:szCs w:val="26"/>
        </w:rPr>
        <w:t xml:space="preserve">e Court of Appeal </w:t>
      </w:r>
      <w:r w:rsidR="00D3391A" w:rsidRPr="00B77E2B">
        <w:rPr>
          <w:szCs w:val="26"/>
        </w:rPr>
        <w:t>to</w:t>
      </w:r>
      <w:r w:rsidR="00D46ECA" w:rsidRPr="00B77E2B">
        <w:rPr>
          <w:szCs w:val="26"/>
        </w:rPr>
        <w:t xml:space="preserve"> </w:t>
      </w:r>
      <w:r w:rsidR="00D3391A" w:rsidRPr="00B77E2B">
        <w:rPr>
          <w:szCs w:val="26"/>
        </w:rPr>
        <w:t>remand</w:t>
      </w:r>
      <w:r w:rsidR="00D46ECA" w:rsidRPr="00B77E2B">
        <w:rPr>
          <w:szCs w:val="26"/>
        </w:rPr>
        <w:t xml:space="preserve"> </w:t>
      </w:r>
      <w:r w:rsidR="00D3391A" w:rsidRPr="00B77E2B">
        <w:rPr>
          <w:szCs w:val="26"/>
        </w:rPr>
        <w:t xml:space="preserve">the matter </w:t>
      </w:r>
      <w:r w:rsidR="00D46ECA" w:rsidRPr="00B77E2B">
        <w:rPr>
          <w:szCs w:val="26"/>
        </w:rPr>
        <w:t xml:space="preserve">to the trial court </w:t>
      </w:r>
      <w:r w:rsidR="00D3391A" w:rsidRPr="00B77E2B">
        <w:rPr>
          <w:szCs w:val="26"/>
        </w:rPr>
        <w:t xml:space="preserve">for </w:t>
      </w:r>
      <w:r w:rsidR="000466DB" w:rsidRPr="00B77E2B">
        <w:rPr>
          <w:szCs w:val="26"/>
        </w:rPr>
        <w:t xml:space="preserve">further </w:t>
      </w:r>
      <w:r w:rsidR="00421FF3" w:rsidRPr="00B77E2B">
        <w:rPr>
          <w:szCs w:val="26"/>
        </w:rPr>
        <w:t xml:space="preserve">proceedings.  </w:t>
      </w:r>
      <w:r w:rsidR="00820848" w:rsidRPr="00B77E2B">
        <w:rPr>
          <w:szCs w:val="26"/>
        </w:rPr>
        <w:t>T</w:t>
      </w:r>
      <w:r w:rsidR="00E14BDB" w:rsidRPr="00B77E2B">
        <w:rPr>
          <w:szCs w:val="26"/>
        </w:rPr>
        <w:t>hereafter</w:t>
      </w:r>
      <w:r w:rsidR="00FE7DE1">
        <w:rPr>
          <w:szCs w:val="26"/>
        </w:rPr>
        <w:t>,</w:t>
      </w:r>
      <w:r w:rsidR="00E14BDB" w:rsidRPr="009D29C4">
        <w:rPr>
          <w:szCs w:val="26"/>
        </w:rPr>
        <w:t xml:space="preserve"> </w:t>
      </w:r>
      <w:r w:rsidR="00E778AB" w:rsidRPr="009D29C4">
        <w:rPr>
          <w:szCs w:val="26"/>
        </w:rPr>
        <w:t xml:space="preserve">the trial court will need </w:t>
      </w:r>
      <w:r w:rsidR="00734849" w:rsidRPr="009D29C4">
        <w:rPr>
          <w:szCs w:val="26"/>
        </w:rPr>
        <w:t>to determine</w:t>
      </w:r>
      <w:r w:rsidR="00F57D2E" w:rsidRPr="009D29C4">
        <w:rPr>
          <w:szCs w:val="26"/>
        </w:rPr>
        <w:t xml:space="preserve"> whether</w:t>
      </w:r>
      <w:r w:rsidR="00E14BDB" w:rsidRPr="009D29C4">
        <w:rPr>
          <w:szCs w:val="26"/>
        </w:rPr>
        <w:t>,</w:t>
      </w:r>
      <w:r w:rsidR="00F57D2E" w:rsidRPr="009D29C4">
        <w:rPr>
          <w:szCs w:val="26"/>
        </w:rPr>
        <w:t xml:space="preserve"> assuming </w:t>
      </w:r>
      <w:r w:rsidR="00C66A66" w:rsidRPr="009D29C4">
        <w:rPr>
          <w:szCs w:val="26"/>
        </w:rPr>
        <w:t xml:space="preserve">the </w:t>
      </w:r>
      <w:r w:rsidR="00FA6E23" w:rsidRPr="009D29C4">
        <w:rPr>
          <w:szCs w:val="26"/>
        </w:rPr>
        <w:t xml:space="preserve">jury remains </w:t>
      </w:r>
      <w:r w:rsidR="00734849" w:rsidRPr="009D29C4">
        <w:rPr>
          <w:szCs w:val="26"/>
        </w:rPr>
        <w:t>empaneled</w:t>
      </w:r>
      <w:r w:rsidR="00FA6E23" w:rsidRPr="009D29C4">
        <w:rPr>
          <w:szCs w:val="26"/>
        </w:rPr>
        <w:t xml:space="preserve">, trial </w:t>
      </w:r>
      <w:r w:rsidR="007F1334" w:rsidRPr="009D29C4">
        <w:rPr>
          <w:szCs w:val="26"/>
        </w:rPr>
        <w:t xml:space="preserve">with that jury should </w:t>
      </w:r>
      <w:r w:rsidR="00FA6E23" w:rsidRPr="009D29C4">
        <w:rPr>
          <w:szCs w:val="26"/>
        </w:rPr>
        <w:t>proceed.</w:t>
      </w:r>
      <w:r w:rsidR="00734849" w:rsidRPr="009D29C4">
        <w:rPr>
          <w:szCs w:val="26"/>
        </w:rPr>
        <w:t xml:space="preserve"> </w:t>
      </w:r>
      <w:r w:rsidR="00C66A66" w:rsidRPr="009D29C4">
        <w:rPr>
          <w:szCs w:val="26"/>
        </w:rPr>
        <w:t xml:space="preserve"> </w:t>
      </w:r>
    </w:p>
    <w:p w14:paraId="0DB2E7AA" w14:textId="77777777" w:rsidR="003C51C0" w:rsidRPr="00535A24" w:rsidRDefault="002E6832" w:rsidP="00535A24">
      <w:pPr>
        <w:pStyle w:val="Heading1"/>
      </w:pPr>
      <w:r w:rsidRPr="00535A24">
        <w:t>I.  Facts and Procedur</w:t>
      </w:r>
      <w:r w:rsidR="00254598" w:rsidRPr="00535A24">
        <w:t xml:space="preserve">e </w:t>
      </w:r>
    </w:p>
    <w:p w14:paraId="0DB2E7AB" w14:textId="77777777" w:rsidR="003C51C0" w:rsidRPr="00535A24" w:rsidRDefault="002E6832" w:rsidP="00535A24">
      <w:pPr>
        <w:pStyle w:val="Heading2"/>
      </w:pPr>
      <w:r w:rsidRPr="00535A24">
        <w:t xml:space="preserve">A.  </w:t>
      </w:r>
      <w:r w:rsidR="002B4C43" w:rsidRPr="00535A24">
        <w:t>Molest</w:t>
      </w:r>
      <w:r w:rsidR="009C2D13" w:rsidRPr="00535A24">
        <w:t xml:space="preserve">ation of Plaintiff </w:t>
      </w:r>
      <w:r w:rsidR="00204AE7" w:rsidRPr="00535A24">
        <w:t xml:space="preserve">by Her Teacher </w:t>
      </w:r>
      <w:r w:rsidR="009C2D13" w:rsidRPr="00535A24">
        <w:t xml:space="preserve">in </w:t>
      </w:r>
      <w:r w:rsidR="002B4C43" w:rsidRPr="00535A24">
        <w:t>2009–2010</w:t>
      </w:r>
      <w:r w:rsidRPr="00535A24">
        <w:t xml:space="preserve"> </w:t>
      </w:r>
    </w:p>
    <w:p w14:paraId="0DB2E7AC" w14:textId="77777777" w:rsidR="00F40E2D" w:rsidRPr="009D29C4" w:rsidRDefault="002E6832" w:rsidP="00632127">
      <w:pPr>
        <w:ind w:firstLine="720"/>
        <w:rPr>
          <w:szCs w:val="26"/>
        </w:rPr>
      </w:pPr>
      <w:r w:rsidRPr="009D29C4">
        <w:rPr>
          <w:szCs w:val="26"/>
        </w:rPr>
        <w:t xml:space="preserve">Plaintiff is one of </w:t>
      </w:r>
      <w:r w:rsidR="00392503" w:rsidRPr="009D29C4">
        <w:rPr>
          <w:szCs w:val="26"/>
        </w:rPr>
        <w:t xml:space="preserve">six former students </w:t>
      </w:r>
      <w:r w:rsidR="00C32D17" w:rsidRPr="009D29C4">
        <w:rPr>
          <w:szCs w:val="26"/>
        </w:rPr>
        <w:t xml:space="preserve">suing </w:t>
      </w:r>
      <w:r w:rsidR="00814F68" w:rsidRPr="009D29C4">
        <w:rPr>
          <w:szCs w:val="26"/>
        </w:rPr>
        <w:t xml:space="preserve">the </w:t>
      </w:r>
      <w:r w:rsidR="00963582" w:rsidRPr="009D29C4">
        <w:rPr>
          <w:szCs w:val="26"/>
        </w:rPr>
        <w:t>Di</w:t>
      </w:r>
      <w:r w:rsidR="00114904" w:rsidRPr="009D29C4">
        <w:rPr>
          <w:szCs w:val="26"/>
        </w:rPr>
        <w:t>strict</w:t>
      </w:r>
      <w:r w:rsidR="0045703E" w:rsidRPr="009D29C4">
        <w:rPr>
          <w:szCs w:val="26"/>
        </w:rPr>
        <w:t xml:space="preserve"> </w:t>
      </w:r>
      <w:r w:rsidR="007346A8" w:rsidRPr="009D29C4">
        <w:rPr>
          <w:szCs w:val="26"/>
        </w:rPr>
        <w:t xml:space="preserve">and its </w:t>
      </w:r>
      <w:r w:rsidR="00F24606" w:rsidRPr="009D29C4">
        <w:rPr>
          <w:szCs w:val="26"/>
        </w:rPr>
        <w:t xml:space="preserve">former </w:t>
      </w:r>
      <w:r w:rsidR="007346A8" w:rsidRPr="009D29C4">
        <w:rPr>
          <w:szCs w:val="26"/>
        </w:rPr>
        <w:t xml:space="preserve">employee, plaintiff’s teacher, Joseph Baldenebro, </w:t>
      </w:r>
      <w:r w:rsidR="00B811CE" w:rsidRPr="009D29C4">
        <w:rPr>
          <w:szCs w:val="26"/>
        </w:rPr>
        <w:t xml:space="preserve">concerning </w:t>
      </w:r>
      <w:r w:rsidR="00330875" w:rsidRPr="009D29C4">
        <w:rPr>
          <w:szCs w:val="26"/>
        </w:rPr>
        <w:t>sexual abuse committed by</w:t>
      </w:r>
      <w:r w:rsidR="0045703E" w:rsidRPr="009D29C4">
        <w:rPr>
          <w:szCs w:val="26"/>
        </w:rPr>
        <w:t xml:space="preserve"> Baldenebro</w:t>
      </w:r>
      <w:r w:rsidRPr="009D29C4">
        <w:rPr>
          <w:szCs w:val="26"/>
        </w:rPr>
        <w:t xml:space="preserve">.  </w:t>
      </w:r>
      <w:r w:rsidR="002D5145" w:rsidRPr="009D29C4">
        <w:rPr>
          <w:szCs w:val="26"/>
        </w:rPr>
        <w:t xml:space="preserve">A first amended </w:t>
      </w:r>
      <w:r w:rsidR="00182ED3" w:rsidRPr="009D29C4">
        <w:rPr>
          <w:szCs w:val="26"/>
        </w:rPr>
        <w:t>complaint</w:t>
      </w:r>
      <w:r w:rsidR="00C70DA1" w:rsidRPr="009D29C4">
        <w:rPr>
          <w:szCs w:val="26"/>
        </w:rPr>
        <w:t>, filed in October 20</w:t>
      </w:r>
      <w:r w:rsidR="00A32C56" w:rsidRPr="009D29C4">
        <w:rPr>
          <w:szCs w:val="26"/>
        </w:rPr>
        <w:t>2</w:t>
      </w:r>
      <w:r w:rsidR="00E255B3" w:rsidRPr="009D29C4">
        <w:rPr>
          <w:szCs w:val="26"/>
        </w:rPr>
        <w:t>0</w:t>
      </w:r>
      <w:r w:rsidR="00A32C56" w:rsidRPr="009D29C4">
        <w:rPr>
          <w:szCs w:val="26"/>
        </w:rPr>
        <w:t xml:space="preserve">, </w:t>
      </w:r>
      <w:r w:rsidR="00182ED3" w:rsidRPr="009D29C4">
        <w:rPr>
          <w:szCs w:val="26"/>
        </w:rPr>
        <w:t>alleges Bal</w:t>
      </w:r>
      <w:r w:rsidR="006C210E" w:rsidRPr="009D29C4">
        <w:rPr>
          <w:szCs w:val="26"/>
        </w:rPr>
        <w:t xml:space="preserve">denebro is “currently </w:t>
      </w:r>
      <w:r w:rsidR="000F6980" w:rsidRPr="009D29C4">
        <w:rPr>
          <w:szCs w:val="26"/>
        </w:rPr>
        <w:t xml:space="preserve">in the custody of the California Department of Corrections.”  </w:t>
      </w:r>
      <w:r w:rsidR="009A7A8A" w:rsidRPr="009D29C4">
        <w:rPr>
          <w:szCs w:val="26"/>
        </w:rPr>
        <w:t xml:space="preserve">The complaint </w:t>
      </w:r>
      <w:r w:rsidRPr="009D29C4">
        <w:rPr>
          <w:szCs w:val="26"/>
        </w:rPr>
        <w:t>assert</w:t>
      </w:r>
      <w:r w:rsidR="00E73A0F" w:rsidRPr="009D29C4">
        <w:rPr>
          <w:szCs w:val="26"/>
        </w:rPr>
        <w:t xml:space="preserve">s </w:t>
      </w:r>
      <w:r w:rsidRPr="009D29C4">
        <w:rPr>
          <w:szCs w:val="26"/>
        </w:rPr>
        <w:t xml:space="preserve">negligence based on </w:t>
      </w:r>
      <w:r w:rsidR="00814F68" w:rsidRPr="009D29C4">
        <w:rPr>
          <w:szCs w:val="26"/>
        </w:rPr>
        <w:t xml:space="preserve">the </w:t>
      </w:r>
      <w:r w:rsidR="00963582" w:rsidRPr="009D29C4">
        <w:rPr>
          <w:szCs w:val="26"/>
        </w:rPr>
        <w:t>D</w:t>
      </w:r>
      <w:r w:rsidR="00FA4E54" w:rsidRPr="009D29C4">
        <w:rPr>
          <w:szCs w:val="26"/>
        </w:rPr>
        <w:t>istrict</w:t>
      </w:r>
      <w:r w:rsidRPr="009D29C4">
        <w:rPr>
          <w:szCs w:val="26"/>
        </w:rPr>
        <w:t>’s hiring and retention of Baldenebro</w:t>
      </w:r>
      <w:r w:rsidR="00A567DD" w:rsidRPr="009D29C4">
        <w:rPr>
          <w:szCs w:val="26"/>
        </w:rPr>
        <w:t>;</w:t>
      </w:r>
      <w:r w:rsidRPr="009D29C4">
        <w:rPr>
          <w:szCs w:val="26"/>
        </w:rPr>
        <w:t xml:space="preserve"> </w:t>
      </w:r>
      <w:r w:rsidR="005E7A9F" w:rsidRPr="009D29C4">
        <w:rPr>
          <w:szCs w:val="26"/>
        </w:rPr>
        <w:t xml:space="preserve">its </w:t>
      </w:r>
      <w:r w:rsidRPr="009D29C4">
        <w:rPr>
          <w:szCs w:val="26"/>
        </w:rPr>
        <w:t>supervision of him</w:t>
      </w:r>
      <w:r w:rsidR="00A567DD" w:rsidRPr="009D29C4">
        <w:rPr>
          <w:szCs w:val="26"/>
        </w:rPr>
        <w:t>;</w:t>
      </w:r>
      <w:r w:rsidRPr="009D29C4">
        <w:rPr>
          <w:szCs w:val="26"/>
        </w:rPr>
        <w:t xml:space="preserve"> </w:t>
      </w:r>
      <w:r w:rsidR="005E7A9F" w:rsidRPr="009D29C4">
        <w:rPr>
          <w:szCs w:val="26"/>
        </w:rPr>
        <w:t xml:space="preserve">its </w:t>
      </w:r>
      <w:r w:rsidRPr="009D29C4">
        <w:rPr>
          <w:szCs w:val="26"/>
        </w:rPr>
        <w:t>failure to warn, train, and educate against his abuse</w:t>
      </w:r>
      <w:r w:rsidR="00A567DD" w:rsidRPr="009D29C4">
        <w:rPr>
          <w:szCs w:val="26"/>
        </w:rPr>
        <w:t>;</w:t>
      </w:r>
      <w:r w:rsidRPr="009D29C4">
        <w:rPr>
          <w:szCs w:val="26"/>
        </w:rPr>
        <w:t xml:space="preserve"> and </w:t>
      </w:r>
      <w:r w:rsidR="005E7A9F" w:rsidRPr="009D29C4">
        <w:rPr>
          <w:szCs w:val="26"/>
        </w:rPr>
        <w:t xml:space="preserve">its </w:t>
      </w:r>
      <w:r w:rsidR="006737AB" w:rsidRPr="009D29C4">
        <w:rPr>
          <w:szCs w:val="26"/>
        </w:rPr>
        <w:t xml:space="preserve">failure </w:t>
      </w:r>
      <w:r w:rsidR="00936535" w:rsidRPr="009D29C4">
        <w:rPr>
          <w:szCs w:val="26"/>
        </w:rPr>
        <w:t xml:space="preserve">to </w:t>
      </w:r>
      <w:r w:rsidRPr="009D29C4">
        <w:rPr>
          <w:szCs w:val="26"/>
        </w:rPr>
        <w:t>report</w:t>
      </w:r>
      <w:r w:rsidR="00936535" w:rsidRPr="009D29C4">
        <w:rPr>
          <w:szCs w:val="26"/>
        </w:rPr>
        <w:t xml:space="preserve"> </w:t>
      </w:r>
      <w:r w:rsidRPr="009D29C4">
        <w:rPr>
          <w:szCs w:val="26"/>
        </w:rPr>
        <w:t>his abuse</w:t>
      </w:r>
      <w:r w:rsidR="0070403B" w:rsidRPr="009D29C4">
        <w:rPr>
          <w:szCs w:val="26"/>
        </w:rPr>
        <w:t xml:space="preserve">.  </w:t>
      </w:r>
      <w:r w:rsidR="00346C8E" w:rsidRPr="009D29C4">
        <w:rPr>
          <w:szCs w:val="26"/>
        </w:rPr>
        <w:t>The complaint also a</w:t>
      </w:r>
      <w:r w:rsidR="00AF3797" w:rsidRPr="009D29C4">
        <w:rPr>
          <w:szCs w:val="26"/>
        </w:rPr>
        <w:t xml:space="preserve">lleges </w:t>
      </w:r>
      <w:r w:rsidRPr="009D29C4">
        <w:rPr>
          <w:szCs w:val="26"/>
        </w:rPr>
        <w:t>sexual harassme</w:t>
      </w:r>
      <w:r w:rsidRPr="009D29C4">
        <w:rPr>
          <w:szCs w:val="26"/>
        </w:rPr>
        <w:t>nt</w:t>
      </w:r>
      <w:r w:rsidR="00201395" w:rsidRPr="009D29C4">
        <w:rPr>
          <w:szCs w:val="26"/>
        </w:rPr>
        <w:t xml:space="preserve"> against the District and B</w:t>
      </w:r>
      <w:r w:rsidR="00A2769F" w:rsidRPr="009D29C4">
        <w:rPr>
          <w:szCs w:val="26"/>
        </w:rPr>
        <w:t>aldenebro</w:t>
      </w:r>
      <w:r w:rsidR="00D31232" w:rsidRPr="009D29C4">
        <w:rPr>
          <w:szCs w:val="26"/>
        </w:rPr>
        <w:t>.</w:t>
      </w:r>
      <w:r w:rsidRPr="009D29C4">
        <w:rPr>
          <w:szCs w:val="26"/>
        </w:rPr>
        <w:t xml:space="preserve"> </w:t>
      </w:r>
      <w:r w:rsidR="00A9754C" w:rsidRPr="009D29C4">
        <w:rPr>
          <w:szCs w:val="26"/>
        </w:rPr>
        <w:t xml:space="preserve"> </w:t>
      </w:r>
      <w:r w:rsidRPr="009D29C4">
        <w:rPr>
          <w:szCs w:val="26"/>
        </w:rPr>
        <w:t xml:space="preserve">(Civ. Code, </w:t>
      </w:r>
      <w:bookmarkStart w:id="8" w:name="_Hlk116544149"/>
      <w:r w:rsidRPr="009D29C4">
        <w:rPr>
          <w:szCs w:val="26"/>
        </w:rPr>
        <w:t>§</w:t>
      </w:r>
      <w:bookmarkEnd w:id="8"/>
      <w:r w:rsidRPr="009D29C4">
        <w:rPr>
          <w:szCs w:val="26"/>
        </w:rPr>
        <w:t> 51.9</w:t>
      </w:r>
      <w:r w:rsidR="00AA0995" w:rsidRPr="009D29C4">
        <w:rPr>
          <w:szCs w:val="26"/>
        </w:rPr>
        <w:t>.</w:t>
      </w:r>
      <w:r w:rsidRPr="009D29C4">
        <w:rPr>
          <w:szCs w:val="26"/>
        </w:rPr>
        <w:t>)</w:t>
      </w:r>
      <w:r w:rsidR="00963582" w:rsidRPr="009D29C4">
        <w:rPr>
          <w:szCs w:val="26"/>
        </w:rPr>
        <w:t xml:space="preserve">  </w:t>
      </w:r>
      <w:r w:rsidR="005507C1" w:rsidRPr="009D29C4">
        <w:rPr>
          <w:szCs w:val="26"/>
        </w:rPr>
        <w:t>Re</w:t>
      </w:r>
      <w:r w:rsidR="009B12E2" w:rsidRPr="009D29C4">
        <w:rPr>
          <w:szCs w:val="26"/>
        </w:rPr>
        <w:t>garding p</w:t>
      </w:r>
      <w:r w:rsidR="001D237A" w:rsidRPr="009D29C4">
        <w:rPr>
          <w:szCs w:val="26"/>
        </w:rPr>
        <w:t>laintiff</w:t>
      </w:r>
      <w:r w:rsidR="000F6F33" w:rsidRPr="009D29C4">
        <w:rPr>
          <w:szCs w:val="26"/>
        </w:rPr>
        <w:t>, who</w:t>
      </w:r>
      <w:r w:rsidR="00C750D6" w:rsidRPr="009D29C4">
        <w:rPr>
          <w:szCs w:val="26"/>
        </w:rPr>
        <w:t xml:space="preserve"> </w:t>
      </w:r>
      <w:r w:rsidR="00C724F4" w:rsidRPr="009D29C4">
        <w:rPr>
          <w:szCs w:val="26"/>
        </w:rPr>
        <w:t xml:space="preserve">was </w:t>
      </w:r>
      <w:r w:rsidR="009F70D5" w:rsidRPr="009D29C4">
        <w:rPr>
          <w:szCs w:val="26"/>
        </w:rPr>
        <w:t xml:space="preserve">born in May 2001, </w:t>
      </w:r>
      <w:r w:rsidR="00621882" w:rsidRPr="009D29C4">
        <w:rPr>
          <w:szCs w:val="26"/>
        </w:rPr>
        <w:t xml:space="preserve">the complaint alleges </w:t>
      </w:r>
      <w:r w:rsidR="00BC68D3" w:rsidRPr="009D29C4">
        <w:rPr>
          <w:szCs w:val="26"/>
        </w:rPr>
        <w:t xml:space="preserve">Baldenebro </w:t>
      </w:r>
      <w:r w:rsidR="001D237A" w:rsidRPr="009D29C4">
        <w:rPr>
          <w:szCs w:val="26"/>
        </w:rPr>
        <w:t>“molested [</w:t>
      </w:r>
      <w:r w:rsidR="003C65B4" w:rsidRPr="009D29C4">
        <w:rPr>
          <w:szCs w:val="26"/>
        </w:rPr>
        <w:t>her</w:t>
      </w:r>
      <w:r w:rsidR="001D237A" w:rsidRPr="009D29C4">
        <w:rPr>
          <w:szCs w:val="26"/>
        </w:rPr>
        <w:t>] on multiple occasions</w:t>
      </w:r>
      <w:r w:rsidR="00233722" w:rsidRPr="009D29C4">
        <w:rPr>
          <w:szCs w:val="26"/>
        </w:rPr>
        <w:t xml:space="preserve">” in </w:t>
      </w:r>
      <w:r w:rsidR="00732C4A" w:rsidRPr="009D29C4">
        <w:rPr>
          <w:szCs w:val="26"/>
        </w:rPr>
        <w:t>20</w:t>
      </w:r>
      <w:r w:rsidR="00EE4FFF" w:rsidRPr="009D29C4">
        <w:rPr>
          <w:szCs w:val="26"/>
        </w:rPr>
        <w:t>09</w:t>
      </w:r>
      <w:r w:rsidR="00732C4A" w:rsidRPr="009D29C4">
        <w:rPr>
          <w:szCs w:val="26"/>
        </w:rPr>
        <w:t>–201</w:t>
      </w:r>
      <w:r w:rsidR="002157D2" w:rsidRPr="009D29C4">
        <w:rPr>
          <w:szCs w:val="26"/>
        </w:rPr>
        <w:t>0</w:t>
      </w:r>
      <w:r w:rsidR="002E4460" w:rsidRPr="009D29C4">
        <w:rPr>
          <w:szCs w:val="26"/>
        </w:rPr>
        <w:t xml:space="preserve">.  </w:t>
      </w:r>
      <w:r w:rsidR="00C2692D" w:rsidRPr="009D29C4">
        <w:rPr>
          <w:szCs w:val="26"/>
        </w:rPr>
        <w:t xml:space="preserve">Although the complaint </w:t>
      </w:r>
      <w:r w:rsidR="00893E86" w:rsidRPr="009D29C4">
        <w:rPr>
          <w:szCs w:val="26"/>
        </w:rPr>
        <w:t xml:space="preserve">asserts generally that each </w:t>
      </w:r>
      <w:r w:rsidR="000403E9" w:rsidRPr="009D29C4">
        <w:rPr>
          <w:szCs w:val="26"/>
        </w:rPr>
        <w:t xml:space="preserve">minor </w:t>
      </w:r>
      <w:r w:rsidR="00893E86" w:rsidRPr="009D29C4">
        <w:rPr>
          <w:szCs w:val="26"/>
        </w:rPr>
        <w:t xml:space="preserve">victim was </w:t>
      </w:r>
      <w:r w:rsidR="00E80514" w:rsidRPr="009D29C4">
        <w:rPr>
          <w:szCs w:val="26"/>
        </w:rPr>
        <w:t xml:space="preserve">“molested” </w:t>
      </w:r>
      <w:r w:rsidR="00CC432B" w:rsidRPr="009D29C4">
        <w:rPr>
          <w:szCs w:val="26"/>
        </w:rPr>
        <w:t>by Balden</w:t>
      </w:r>
      <w:r w:rsidR="009F33CF" w:rsidRPr="009D29C4">
        <w:rPr>
          <w:szCs w:val="26"/>
        </w:rPr>
        <w:t>e</w:t>
      </w:r>
      <w:r w:rsidR="00CC432B" w:rsidRPr="009D29C4">
        <w:rPr>
          <w:szCs w:val="26"/>
        </w:rPr>
        <w:t>bro</w:t>
      </w:r>
      <w:r w:rsidR="001D1666" w:rsidRPr="009D29C4">
        <w:rPr>
          <w:szCs w:val="26"/>
        </w:rPr>
        <w:t xml:space="preserve"> </w:t>
      </w:r>
      <w:r w:rsidR="00F23591" w:rsidRPr="009D29C4">
        <w:rPr>
          <w:szCs w:val="26"/>
        </w:rPr>
        <w:t xml:space="preserve">between </w:t>
      </w:r>
      <w:r w:rsidR="00023F9C" w:rsidRPr="009D29C4">
        <w:rPr>
          <w:szCs w:val="26"/>
        </w:rPr>
        <w:t xml:space="preserve">2002 </w:t>
      </w:r>
      <w:r w:rsidR="00F23591" w:rsidRPr="009D29C4">
        <w:rPr>
          <w:szCs w:val="26"/>
        </w:rPr>
        <w:t>and 2017</w:t>
      </w:r>
      <w:r w:rsidR="00CC432B" w:rsidRPr="009D29C4">
        <w:rPr>
          <w:szCs w:val="26"/>
        </w:rPr>
        <w:t xml:space="preserve">, </w:t>
      </w:r>
      <w:r w:rsidR="00940FD9">
        <w:rPr>
          <w:szCs w:val="26"/>
        </w:rPr>
        <w:t xml:space="preserve">the complaint </w:t>
      </w:r>
      <w:r w:rsidR="007B1DF7">
        <w:rPr>
          <w:szCs w:val="26"/>
        </w:rPr>
        <w:t xml:space="preserve">further </w:t>
      </w:r>
      <w:r w:rsidR="00332425" w:rsidRPr="009D29C4">
        <w:rPr>
          <w:szCs w:val="26"/>
        </w:rPr>
        <w:t xml:space="preserve">alleges </w:t>
      </w:r>
      <w:r w:rsidR="00940FD9">
        <w:rPr>
          <w:szCs w:val="26"/>
        </w:rPr>
        <w:t xml:space="preserve">much </w:t>
      </w:r>
      <w:r w:rsidR="002A508E" w:rsidRPr="009D29C4">
        <w:rPr>
          <w:szCs w:val="26"/>
        </w:rPr>
        <w:t>more graphic conduct</w:t>
      </w:r>
      <w:r w:rsidR="00940FD9">
        <w:rPr>
          <w:szCs w:val="26"/>
        </w:rPr>
        <w:t xml:space="preserve"> as </w:t>
      </w:r>
      <w:r w:rsidR="00940FD9" w:rsidRPr="00215EAF">
        <w:rPr>
          <w:szCs w:val="26"/>
        </w:rPr>
        <w:t>to plaintiff in particular</w:t>
      </w:r>
      <w:r w:rsidR="00CD608C" w:rsidRPr="009D29C4">
        <w:rPr>
          <w:szCs w:val="26"/>
        </w:rPr>
        <w:t xml:space="preserve">. </w:t>
      </w:r>
      <w:r w:rsidR="00C77AA8" w:rsidRPr="009D29C4">
        <w:rPr>
          <w:szCs w:val="26"/>
        </w:rPr>
        <w:t xml:space="preserve"> </w:t>
      </w:r>
      <w:r w:rsidR="000403E9" w:rsidRPr="009D29C4">
        <w:rPr>
          <w:szCs w:val="26"/>
        </w:rPr>
        <w:t xml:space="preserve">The </w:t>
      </w:r>
      <w:r w:rsidR="00830E5B" w:rsidRPr="009D29C4">
        <w:rPr>
          <w:szCs w:val="26"/>
        </w:rPr>
        <w:t>complaint</w:t>
      </w:r>
      <w:r w:rsidR="000403E9" w:rsidRPr="009D29C4">
        <w:rPr>
          <w:szCs w:val="26"/>
        </w:rPr>
        <w:t xml:space="preserve"> </w:t>
      </w:r>
      <w:r w:rsidR="008755E9" w:rsidRPr="009D29C4">
        <w:rPr>
          <w:szCs w:val="26"/>
        </w:rPr>
        <w:t xml:space="preserve">contends </w:t>
      </w:r>
      <w:r w:rsidR="007B1DF7">
        <w:rPr>
          <w:szCs w:val="26"/>
        </w:rPr>
        <w:t xml:space="preserve">she </w:t>
      </w:r>
      <w:r w:rsidR="00C54CB0" w:rsidRPr="009D29C4">
        <w:rPr>
          <w:szCs w:val="26"/>
        </w:rPr>
        <w:t xml:space="preserve">has suffered </w:t>
      </w:r>
      <w:r w:rsidR="00E9189A" w:rsidRPr="009D29C4">
        <w:rPr>
          <w:szCs w:val="26"/>
        </w:rPr>
        <w:t>“extensive physical, psychological</w:t>
      </w:r>
      <w:r w:rsidR="00A30E36" w:rsidRPr="009D29C4">
        <w:rPr>
          <w:szCs w:val="26"/>
        </w:rPr>
        <w:t xml:space="preserve"> and emotional damages,” which she</w:t>
      </w:r>
      <w:r w:rsidR="00FB4ADA" w:rsidRPr="009D29C4">
        <w:rPr>
          <w:szCs w:val="26"/>
        </w:rPr>
        <w:t xml:space="preserve"> eventually</w:t>
      </w:r>
      <w:r w:rsidR="00A30E36" w:rsidRPr="009D29C4">
        <w:rPr>
          <w:szCs w:val="26"/>
        </w:rPr>
        <w:t xml:space="preserve"> </w:t>
      </w:r>
      <w:r w:rsidR="00AD672B" w:rsidRPr="009D29C4">
        <w:rPr>
          <w:szCs w:val="26"/>
        </w:rPr>
        <w:t xml:space="preserve">(in 2016) </w:t>
      </w:r>
      <w:r w:rsidR="00AB6BAC" w:rsidRPr="009D29C4">
        <w:rPr>
          <w:szCs w:val="26"/>
        </w:rPr>
        <w:t>“began to discover</w:t>
      </w:r>
      <w:r w:rsidR="00CB7EC3" w:rsidRPr="009D29C4">
        <w:rPr>
          <w:szCs w:val="26"/>
        </w:rPr>
        <w:t xml:space="preserve"> . . . were caused by </w:t>
      </w:r>
      <w:r w:rsidR="00FA5DF0" w:rsidRPr="009D29C4">
        <w:rPr>
          <w:szCs w:val="26"/>
        </w:rPr>
        <w:t>the</w:t>
      </w:r>
      <w:r w:rsidR="00043A3E" w:rsidRPr="009D29C4">
        <w:rPr>
          <w:szCs w:val="26"/>
        </w:rPr>
        <w:t xml:space="preserve"> childhood sexual harassment</w:t>
      </w:r>
      <w:r w:rsidR="00B7096B" w:rsidRPr="009D29C4">
        <w:rPr>
          <w:szCs w:val="26"/>
        </w:rPr>
        <w:t>” by Baldenebro</w:t>
      </w:r>
      <w:r w:rsidR="00EF3812" w:rsidRPr="009D29C4">
        <w:rPr>
          <w:szCs w:val="26"/>
        </w:rPr>
        <w:t xml:space="preserve">.  </w:t>
      </w:r>
    </w:p>
    <w:p w14:paraId="0DB2E7AD" w14:textId="77777777" w:rsidR="0084544E" w:rsidRPr="00535A24" w:rsidRDefault="002E6832" w:rsidP="00535A24">
      <w:pPr>
        <w:pStyle w:val="Heading2"/>
      </w:pPr>
      <w:r w:rsidRPr="00535A24">
        <w:lastRenderedPageBreak/>
        <w:t>B.  Discovery</w:t>
      </w:r>
      <w:r w:rsidR="001D78F5" w:rsidRPr="00535A24">
        <w:t xml:space="preserve"> Revealing </w:t>
      </w:r>
      <w:r w:rsidR="001F5141" w:rsidRPr="00535A24">
        <w:t>T</w:t>
      </w:r>
      <w:r w:rsidR="00245C5D" w:rsidRPr="00535A24">
        <w:t xml:space="preserve">hat </w:t>
      </w:r>
      <w:r w:rsidR="00B103D7" w:rsidRPr="00535A24">
        <w:t xml:space="preserve">in 2013 </w:t>
      </w:r>
      <w:r w:rsidR="00245C5D" w:rsidRPr="00535A24">
        <w:t xml:space="preserve">Plaintiff </w:t>
      </w:r>
      <w:r w:rsidR="00B103D7" w:rsidRPr="00535A24">
        <w:t xml:space="preserve">Suffered </w:t>
      </w:r>
      <w:r w:rsidR="003C751A" w:rsidRPr="00535A24">
        <w:t xml:space="preserve">a </w:t>
      </w:r>
      <w:r w:rsidR="00516E8D" w:rsidRPr="00535A24">
        <w:t xml:space="preserve">Subsequent </w:t>
      </w:r>
      <w:r w:rsidR="003C751A" w:rsidRPr="00535A24">
        <w:t>Sexual M</w:t>
      </w:r>
      <w:r w:rsidR="00245C5D" w:rsidRPr="00535A24">
        <w:t>olesta</w:t>
      </w:r>
      <w:r w:rsidR="003C751A" w:rsidRPr="00535A24">
        <w:t>tion</w:t>
      </w:r>
      <w:r w:rsidR="001D78F5" w:rsidRPr="00535A24">
        <w:t xml:space="preserve"> </w:t>
      </w:r>
      <w:r w:rsidR="008D4073" w:rsidRPr="00535A24">
        <w:t xml:space="preserve">by a </w:t>
      </w:r>
      <w:r w:rsidR="00487056" w:rsidRPr="00535A24">
        <w:t xml:space="preserve">“Teenaged Family Friend” </w:t>
      </w:r>
    </w:p>
    <w:p w14:paraId="0DB2E7AE" w14:textId="77777777" w:rsidR="00FF493D" w:rsidRPr="001801DE" w:rsidRDefault="002E6832" w:rsidP="001801DE">
      <w:pPr>
        <w:tabs>
          <w:tab w:val="left" w:pos="3609"/>
        </w:tabs>
        <w:ind w:firstLine="720"/>
        <w:rPr>
          <w:szCs w:val="26"/>
        </w:rPr>
      </w:pPr>
      <w:r w:rsidRPr="001801DE">
        <w:rPr>
          <w:szCs w:val="26"/>
        </w:rPr>
        <w:t xml:space="preserve">Through </w:t>
      </w:r>
      <w:r w:rsidR="0084544E" w:rsidRPr="001801DE">
        <w:rPr>
          <w:szCs w:val="26"/>
        </w:rPr>
        <w:t>discovery</w:t>
      </w:r>
      <w:r w:rsidR="000E4968" w:rsidRPr="001801DE">
        <w:rPr>
          <w:szCs w:val="26"/>
        </w:rPr>
        <w:t>,</w:t>
      </w:r>
      <w:r w:rsidR="00264DBB" w:rsidRPr="001801DE">
        <w:rPr>
          <w:szCs w:val="26"/>
        </w:rPr>
        <w:t xml:space="preserve"> </w:t>
      </w:r>
      <w:r w:rsidR="00CD4500" w:rsidRPr="001801DE">
        <w:rPr>
          <w:szCs w:val="26"/>
        </w:rPr>
        <w:t xml:space="preserve">the </w:t>
      </w:r>
      <w:r w:rsidR="00776052" w:rsidRPr="001801DE">
        <w:rPr>
          <w:szCs w:val="26"/>
        </w:rPr>
        <w:t>D</w:t>
      </w:r>
      <w:r w:rsidR="00FA4E54" w:rsidRPr="001801DE">
        <w:rPr>
          <w:szCs w:val="26"/>
        </w:rPr>
        <w:t>istrict</w:t>
      </w:r>
      <w:r w:rsidR="00264DBB" w:rsidRPr="001801DE">
        <w:rPr>
          <w:szCs w:val="26"/>
        </w:rPr>
        <w:t xml:space="preserve"> </w:t>
      </w:r>
      <w:r w:rsidR="00A64FC3" w:rsidRPr="001801DE">
        <w:rPr>
          <w:szCs w:val="26"/>
        </w:rPr>
        <w:t>learned that</w:t>
      </w:r>
      <w:r w:rsidR="005D0926" w:rsidRPr="001801DE">
        <w:rPr>
          <w:szCs w:val="26"/>
        </w:rPr>
        <w:t xml:space="preserve"> </w:t>
      </w:r>
      <w:r w:rsidR="004149A9" w:rsidRPr="001801DE">
        <w:rPr>
          <w:szCs w:val="26"/>
        </w:rPr>
        <w:t xml:space="preserve">approximately three </w:t>
      </w:r>
      <w:r w:rsidR="00AC75E2" w:rsidRPr="001801DE">
        <w:rPr>
          <w:szCs w:val="26"/>
        </w:rPr>
        <w:t xml:space="preserve">years after the original </w:t>
      </w:r>
      <w:r w:rsidR="00D1380C" w:rsidRPr="001801DE">
        <w:rPr>
          <w:szCs w:val="26"/>
        </w:rPr>
        <w:t>abuse</w:t>
      </w:r>
      <w:r w:rsidR="00250513">
        <w:rPr>
          <w:szCs w:val="26"/>
        </w:rPr>
        <w:t xml:space="preserve"> by Baldenebro</w:t>
      </w:r>
      <w:r w:rsidR="00AC75E2" w:rsidRPr="001801DE">
        <w:rPr>
          <w:szCs w:val="26"/>
        </w:rPr>
        <w:t xml:space="preserve">, </w:t>
      </w:r>
      <w:r w:rsidR="005D0926" w:rsidRPr="001801DE">
        <w:rPr>
          <w:szCs w:val="26"/>
        </w:rPr>
        <w:t xml:space="preserve">plaintiff </w:t>
      </w:r>
      <w:r w:rsidR="00940639" w:rsidRPr="001801DE">
        <w:rPr>
          <w:szCs w:val="26"/>
        </w:rPr>
        <w:t xml:space="preserve">suffered </w:t>
      </w:r>
      <w:r w:rsidR="00D25B0F" w:rsidRPr="001801DE">
        <w:rPr>
          <w:szCs w:val="26"/>
        </w:rPr>
        <w:t xml:space="preserve">“another </w:t>
      </w:r>
      <w:r w:rsidR="00D11C51" w:rsidRPr="001801DE">
        <w:rPr>
          <w:szCs w:val="26"/>
        </w:rPr>
        <w:t xml:space="preserve">sexual incident” </w:t>
      </w:r>
      <w:r w:rsidR="003B1B7C" w:rsidRPr="001801DE">
        <w:rPr>
          <w:szCs w:val="26"/>
        </w:rPr>
        <w:t>in 2013</w:t>
      </w:r>
      <w:r w:rsidR="0023447B" w:rsidRPr="001801DE">
        <w:rPr>
          <w:szCs w:val="26"/>
        </w:rPr>
        <w:t xml:space="preserve">, </w:t>
      </w:r>
      <w:r w:rsidR="003F205D" w:rsidRPr="001801DE">
        <w:rPr>
          <w:szCs w:val="26"/>
        </w:rPr>
        <w:t>perpetrated by a “teenaged family friend.”</w:t>
      </w:r>
      <w:r w:rsidR="001E6FAF" w:rsidRPr="001801DE">
        <w:rPr>
          <w:szCs w:val="26"/>
        </w:rPr>
        <w:t xml:space="preserve"> </w:t>
      </w:r>
      <w:r w:rsidR="0053295D" w:rsidRPr="001801DE">
        <w:rPr>
          <w:szCs w:val="26"/>
        </w:rPr>
        <w:t xml:space="preserve"> </w:t>
      </w:r>
      <w:r w:rsidR="002C4458" w:rsidRPr="001801DE">
        <w:rPr>
          <w:szCs w:val="26"/>
        </w:rPr>
        <w:t>No</w:t>
      </w:r>
      <w:r w:rsidR="00E55B31" w:rsidRPr="001801DE">
        <w:rPr>
          <w:szCs w:val="26"/>
        </w:rPr>
        <w:t xml:space="preserve">thing in the </w:t>
      </w:r>
      <w:r w:rsidR="00BF75FD" w:rsidRPr="001801DE">
        <w:rPr>
          <w:szCs w:val="26"/>
        </w:rPr>
        <w:t xml:space="preserve">record </w:t>
      </w:r>
      <w:r w:rsidR="002C4458" w:rsidRPr="001801DE">
        <w:rPr>
          <w:szCs w:val="26"/>
        </w:rPr>
        <w:t>shed</w:t>
      </w:r>
      <w:r w:rsidR="00E55B31" w:rsidRPr="001801DE">
        <w:rPr>
          <w:szCs w:val="26"/>
        </w:rPr>
        <w:t>s</w:t>
      </w:r>
      <w:r w:rsidR="002C4458" w:rsidRPr="001801DE">
        <w:rPr>
          <w:szCs w:val="26"/>
        </w:rPr>
        <w:t xml:space="preserve"> light on the </w:t>
      </w:r>
      <w:r w:rsidR="0030449B" w:rsidRPr="001801DE">
        <w:rPr>
          <w:szCs w:val="26"/>
        </w:rPr>
        <w:t xml:space="preserve">nature or </w:t>
      </w:r>
      <w:r w:rsidR="002C4458" w:rsidRPr="001801DE">
        <w:rPr>
          <w:szCs w:val="26"/>
        </w:rPr>
        <w:t>extent of the 2013 incident</w:t>
      </w:r>
      <w:r w:rsidR="00E55B31" w:rsidRPr="001801DE">
        <w:rPr>
          <w:szCs w:val="26"/>
        </w:rPr>
        <w:t>.</w:t>
      </w:r>
      <w:r w:rsidR="002C4458" w:rsidRPr="001801DE">
        <w:rPr>
          <w:szCs w:val="26"/>
        </w:rPr>
        <w:t xml:space="preserve">  </w:t>
      </w:r>
    </w:p>
    <w:p w14:paraId="0DB2E7AF" w14:textId="77777777" w:rsidR="00C90807" w:rsidRPr="00535A24" w:rsidRDefault="002E6832" w:rsidP="00535A24">
      <w:pPr>
        <w:pStyle w:val="Heading2"/>
      </w:pPr>
      <w:r w:rsidRPr="00535A24">
        <w:t xml:space="preserve">C.  Pretrial Rulings </w:t>
      </w:r>
      <w:r w:rsidR="00106FAD" w:rsidRPr="00535A24">
        <w:t xml:space="preserve">Regarding </w:t>
      </w:r>
      <w:r w:rsidRPr="00535A24">
        <w:t xml:space="preserve">Admissibility of </w:t>
      </w:r>
      <w:r w:rsidR="00800670" w:rsidRPr="00535A24">
        <w:t xml:space="preserve">Evidence </w:t>
      </w:r>
      <w:r w:rsidR="00DC37CB" w:rsidRPr="00535A24">
        <w:t>Concerning</w:t>
      </w:r>
      <w:r w:rsidR="00800670" w:rsidRPr="00535A24">
        <w:t xml:space="preserve"> </w:t>
      </w:r>
      <w:r w:rsidRPr="00535A24">
        <w:t xml:space="preserve">the 2013 Molestation </w:t>
      </w:r>
    </w:p>
    <w:p w14:paraId="0DB2E7B0" w14:textId="77777777" w:rsidR="0084544E" w:rsidRPr="003A6046" w:rsidRDefault="002E6832" w:rsidP="001801DE">
      <w:pPr>
        <w:tabs>
          <w:tab w:val="left" w:pos="3609"/>
        </w:tabs>
        <w:ind w:firstLine="720"/>
        <w:rPr>
          <w:szCs w:val="26"/>
        </w:rPr>
      </w:pPr>
      <w:r w:rsidRPr="001801DE">
        <w:rPr>
          <w:szCs w:val="26"/>
        </w:rPr>
        <w:t>In May 2021</w:t>
      </w:r>
      <w:r w:rsidR="00CD7133" w:rsidRPr="001801DE">
        <w:rPr>
          <w:szCs w:val="26"/>
        </w:rPr>
        <w:t>,</w:t>
      </w:r>
      <w:r w:rsidRPr="001801DE">
        <w:rPr>
          <w:szCs w:val="26"/>
        </w:rPr>
        <w:t xml:space="preserve"> plaintiff filed a motion in limine</w:t>
      </w:r>
      <w:r w:rsidR="00FF59C5">
        <w:rPr>
          <w:szCs w:val="26"/>
        </w:rPr>
        <w:t xml:space="preserve"> invoking </w:t>
      </w:r>
      <w:r w:rsidR="005D175E" w:rsidRPr="001801DE">
        <w:rPr>
          <w:szCs w:val="26"/>
        </w:rPr>
        <w:t xml:space="preserve">sections 1106 and 352 </w:t>
      </w:r>
      <w:r w:rsidR="00FF59C5">
        <w:rPr>
          <w:szCs w:val="26"/>
        </w:rPr>
        <w:t>as a</w:t>
      </w:r>
      <w:r w:rsidR="005D175E" w:rsidRPr="001801DE">
        <w:rPr>
          <w:szCs w:val="26"/>
        </w:rPr>
        <w:t xml:space="preserve"> shield against admission</w:t>
      </w:r>
      <w:r w:rsidR="00920158" w:rsidRPr="001801DE">
        <w:rPr>
          <w:szCs w:val="26"/>
        </w:rPr>
        <w:t xml:space="preserve"> </w:t>
      </w:r>
      <w:r w:rsidR="005D175E" w:rsidRPr="001801DE">
        <w:rPr>
          <w:szCs w:val="26"/>
        </w:rPr>
        <w:t>of</w:t>
      </w:r>
      <w:r w:rsidR="00360D99" w:rsidRPr="001801DE">
        <w:rPr>
          <w:szCs w:val="26"/>
        </w:rPr>
        <w:t xml:space="preserve"> evidence concerning the 2013 </w:t>
      </w:r>
      <w:r w:rsidR="005A3F8A" w:rsidRPr="001801DE">
        <w:rPr>
          <w:szCs w:val="26"/>
        </w:rPr>
        <w:t xml:space="preserve">molestation. </w:t>
      </w:r>
      <w:r w:rsidR="00C77AA8" w:rsidRPr="001801DE">
        <w:rPr>
          <w:szCs w:val="26"/>
        </w:rPr>
        <w:t xml:space="preserve"> </w:t>
      </w:r>
      <w:r w:rsidRPr="001801DE">
        <w:rPr>
          <w:szCs w:val="26"/>
        </w:rPr>
        <w:t>At a pretrial hearing in mid-July 2021, the trial court</w:t>
      </w:r>
      <w:r w:rsidR="003C6540" w:rsidRPr="001801DE">
        <w:rPr>
          <w:szCs w:val="26"/>
        </w:rPr>
        <w:t xml:space="preserve"> </w:t>
      </w:r>
      <w:r w:rsidR="006E3126" w:rsidRPr="001801DE">
        <w:rPr>
          <w:szCs w:val="26"/>
        </w:rPr>
        <w:t xml:space="preserve">raised </w:t>
      </w:r>
      <w:r w:rsidR="003C6540" w:rsidRPr="001801DE">
        <w:rPr>
          <w:szCs w:val="26"/>
        </w:rPr>
        <w:t xml:space="preserve">the </w:t>
      </w:r>
      <w:r w:rsidR="00471849" w:rsidRPr="001801DE">
        <w:rPr>
          <w:szCs w:val="26"/>
        </w:rPr>
        <w:t xml:space="preserve">applicability of </w:t>
      </w:r>
      <w:r w:rsidR="002D1BF8" w:rsidRPr="001801DE">
        <w:rPr>
          <w:szCs w:val="26"/>
        </w:rPr>
        <w:t>“</w:t>
      </w:r>
      <w:r w:rsidR="005E0716" w:rsidRPr="001801DE">
        <w:rPr>
          <w:szCs w:val="26"/>
        </w:rPr>
        <w:t xml:space="preserve">section </w:t>
      </w:r>
      <w:r w:rsidR="00850C35" w:rsidRPr="001801DE">
        <w:rPr>
          <w:szCs w:val="26"/>
        </w:rPr>
        <w:t>782”</w:t>
      </w:r>
      <w:r w:rsidR="00D56A8A" w:rsidRPr="001801DE">
        <w:rPr>
          <w:szCs w:val="26"/>
        </w:rPr>
        <w:t xml:space="preserve"> </w:t>
      </w:r>
      <w:r w:rsidR="007C74D6" w:rsidRPr="001801DE">
        <w:rPr>
          <w:szCs w:val="26"/>
        </w:rPr>
        <w:t>which</w:t>
      </w:r>
      <w:r w:rsidR="00B74244" w:rsidRPr="001801DE">
        <w:rPr>
          <w:szCs w:val="26"/>
        </w:rPr>
        <w:t xml:space="preserve">, </w:t>
      </w:r>
      <w:r w:rsidR="00B8356A" w:rsidRPr="001801DE">
        <w:rPr>
          <w:szCs w:val="26"/>
        </w:rPr>
        <w:t>along with corresponding section 1103,</w:t>
      </w:r>
      <w:r w:rsidR="007C74D6" w:rsidRPr="001801DE">
        <w:rPr>
          <w:szCs w:val="26"/>
        </w:rPr>
        <w:t xml:space="preserve"> governs </w:t>
      </w:r>
      <w:r w:rsidR="000D7EB6" w:rsidRPr="001801DE">
        <w:rPr>
          <w:szCs w:val="26"/>
        </w:rPr>
        <w:t xml:space="preserve">the </w:t>
      </w:r>
      <w:r w:rsidR="005C048E" w:rsidRPr="001801DE">
        <w:rPr>
          <w:szCs w:val="26"/>
        </w:rPr>
        <w:t xml:space="preserve">admissibility </w:t>
      </w:r>
      <w:r w:rsidR="00026F24" w:rsidRPr="001801DE">
        <w:rPr>
          <w:szCs w:val="26"/>
        </w:rPr>
        <w:t xml:space="preserve">of evidence </w:t>
      </w:r>
      <w:r w:rsidR="00DC37CB" w:rsidRPr="001801DE">
        <w:rPr>
          <w:szCs w:val="26"/>
        </w:rPr>
        <w:t xml:space="preserve">regarding </w:t>
      </w:r>
      <w:r w:rsidR="00026F24" w:rsidRPr="001801DE">
        <w:rPr>
          <w:szCs w:val="26"/>
        </w:rPr>
        <w:t xml:space="preserve">“sexual conduct” and </w:t>
      </w:r>
      <w:r w:rsidR="00D50CE2" w:rsidRPr="001801DE">
        <w:rPr>
          <w:szCs w:val="26"/>
        </w:rPr>
        <w:t xml:space="preserve">related procedures </w:t>
      </w:r>
      <w:r w:rsidR="000D7EB6" w:rsidRPr="001801DE">
        <w:rPr>
          <w:szCs w:val="26"/>
        </w:rPr>
        <w:t xml:space="preserve">to attack </w:t>
      </w:r>
      <w:r w:rsidR="00AD4593" w:rsidRPr="001801DE">
        <w:rPr>
          <w:szCs w:val="26"/>
        </w:rPr>
        <w:t>the “</w:t>
      </w:r>
      <w:r w:rsidR="000D7EB6" w:rsidRPr="001801DE">
        <w:rPr>
          <w:szCs w:val="26"/>
        </w:rPr>
        <w:t xml:space="preserve">credibility of the complaining witness” in </w:t>
      </w:r>
      <w:r w:rsidR="000D7EB6" w:rsidRPr="001801DE">
        <w:rPr>
          <w:i/>
          <w:iCs/>
          <w:szCs w:val="26"/>
        </w:rPr>
        <w:t>criminal</w:t>
      </w:r>
      <w:r w:rsidR="000D7EB6" w:rsidRPr="001801DE">
        <w:rPr>
          <w:szCs w:val="26"/>
        </w:rPr>
        <w:t xml:space="preserve"> cases</w:t>
      </w:r>
      <w:r w:rsidR="00067906" w:rsidRPr="001801DE">
        <w:rPr>
          <w:szCs w:val="26"/>
        </w:rPr>
        <w:t xml:space="preserve">.  </w:t>
      </w:r>
      <w:r w:rsidR="00D16461" w:rsidRPr="001801DE">
        <w:rPr>
          <w:szCs w:val="26"/>
        </w:rPr>
        <w:t>Clearly,</w:t>
      </w:r>
      <w:r w:rsidR="00471849" w:rsidRPr="001801DE">
        <w:rPr>
          <w:szCs w:val="26"/>
        </w:rPr>
        <w:t xml:space="preserve"> </w:t>
      </w:r>
      <w:r w:rsidR="00CF21E3" w:rsidRPr="001801DE">
        <w:rPr>
          <w:szCs w:val="26"/>
        </w:rPr>
        <w:t xml:space="preserve">the trial court </w:t>
      </w:r>
      <w:r w:rsidR="00471849" w:rsidRPr="001801DE">
        <w:rPr>
          <w:szCs w:val="26"/>
        </w:rPr>
        <w:t xml:space="preserve">meant to </w:t>
      </w:r>
      <w:r w:rsidR="00CC1BA9" w:rsidRPr="001801DE">
        <w:rPr>
          <w:szCs w:val="26"/>
        </w:rPr>
        <w:t xml:space="preserve">refer to </w:t>
      </w:r>
      <w:r w:rsidR="007C74D6" w:rsidRPr="001801DE">
        <w:rPr>
          <w:szCs w:val="26"/>
        </w:rPr>
        <w:t xml:space="preserve">section </w:t>
      </w:r>
      <w:r w:rsidR="0004066A" w:rsidRPr="001801DE">
        <w:rPr>
          <w:szCs w:val="26"/>
        </w:rPr>
        <w:t>783</w:t>
      </w:r>
      <w:r w:rsidR="00D56A8A" w:rsidRPr="001801DE">
        <w:rPr>
          <w:szCs w:val="26"/>
        </w:rPr>
        <w:t xml:space="preserve">, </w:t>
      </w:r>
      <w:r w:rsidR="0004066A" w:rsidRPr="001801DE">
        <w:rPr>
          <w:szCs w:val="26"/>
        </w:rPr>
        <w:t>which</w:t>
      </w:r>
      <w:r w:rsidR="00B8356A" w:rsidRPr="001801DE">
        <w:rPr>
          <w:szCs w:val="26"/>
        </w:rPr>
        <w:t>, along with corresponding section 1106</w:t>
      </w:r>
      <w:r w:rsidR="003A5D08" w:rsidRPr="001801DE">
        <w:rPr>
          <w:szCs w:val="26"/>
        </w:rPr>
        <w:t>,</w:t>
      </w:r>
      <w:r w:rsidR="0004066A" w:rsidRPr="001801DE">
        <w:rPr>
          <w:szCs w:val="26"/>
        </w:rPr>
        <w:t xml:space="preserve"> governs </w:t>
      </w:r>
      <w:r w:rsidR="00FF0063" w:rsidRPr="001801DE">
        <w:rPr>
          <w:szCs w:val="26"/>
        </w:rPr>
        <w:t xml:space="preserve">admissibility of evidence </w:t>
      </w:r>
      <w:r w:rsidR="00911144" w:rsidRPr="001801DE">
        <w:rPr>
          <w:szCs w:val="26"/>
        </w:rPr>
        <w:t xml:space="preserve">concerning </w:t>
      </w:r>
      <w:r w:rsidR="00FF0063" w:rsidRPr="001801DE">
        <w:rPr>
          <w:szCs w:val="26"/>
        </w:rPr>
        <w:t xml:space="preserve">“sexual conduct” and </w:t>
      </w:r>
      <w:r w:rsidR="00D50CE2" w:rsidRPr="001801DE">
        <w:rPr>
          <w:szCs w:val="26"/>
        </w:rPr>
        <w:t xml:space="preserve">related </w:t>
      </w:r>
      <w:r w:rsidR="00304E10" w:rsidRPr="001801DE">
        <w:rPr>
          <w:szCs w:val="26"/>
        </w:rPr>
        <w:t xml:space="preserve">procedures used to attack </w:t>
      </w:r>
      <w:r w:rsidR="00AD4593" w:rsidRPr="001801DE">
        <w:rPr>
          <w:szCs w:val="26"/>
        </w:rPr>
        <w:t>the “</w:t>
      </w:r>
      <w:r w:rsidR="00304E10" w:rsidRPr="001801DE">
        <w:rPr>
          <w:szCs w:val="26"/>
        </w:rPr>
        <w:t xml:space="preserve">credibility of the plaintiff” in </w:t>
      </w:r>
      <w:r w:rsidR="0004066A" w:rsidRPr="001801DE">
        <w:rPr>
          <w:i/>
          <w:iCs/>
          <w:szCs w:val="26"/>
        </w:rPr>
        <w:t>civil</w:t>
      </w:r>
      <w:r w:rsidR="0004066A" w:rsidRPr="001801DE">
        <w:rPr>
          <w:szCs w:val="26"/>
        </w:rPr>
        <w:t xml:space="preserve"> cases</w:t>
      </w:r>
      <w:r w:rsidR="00D56A8A" w:rsidRPr="001801DE">
        <w:rPr>
          <w:szCs w:val="26"/>
        </w:rPr>
        <w:t xml:space="preserve">.  </w:t>
      </w:r>
      <w:r w:rsidR="003B5FBA" w:rsidRPr="001801DE">
        <w:rPr>
          <w:szCs w:val="26"/>
        </w:rPr>
        <w:t xml:space="preserve">(Regarding the interrelationship and background of these four key statutes, see </w:t>
      </w:r>
      <w:r w:rsidR="006A4D03" w:rsidRPr="001801DE">
        <w:rPr>
          <w:szCs w:val="26"/>
        </w:rPr>
        <w:t>p</w:t>
      </w:r>
      <w:r w:rsidR="006A4D03">
        <w:rPr>
          <w:szCs w:val="26"/>
        </w:rPr>
        <w:t>t.</w:t>
      </w:r>
      <w:r w:rsidR="006A4D03" w:rsidRPr="001801DE">
        <w:rPr>
          <w:szCs w:val="26"/>
        </w:rPr>
        <w:t xml:space="preserve"> </w:t>
      </w:r>
      <w:r w:rsidR="003B5FBA" w:rsidRPr="001801DE">
        <w:rPr>
          <w:szCs w:val="26"/>
        </w:rPr>
        <w:t xml:space="preserve">II., </w:t>
      </w:r>
      <w:r w:rsidR="003B5FBA" w:rsidRPr="001801DE">
        <w:rPr>
          <w:i/>
          <w:iCs/>
          <w:szCs w:val="26"/>
        </w:rPr>
        <w:t>post</w:t>
      </w:r>
      <w:r w:rsidR="003B5FBA" w:rsidRPr="001801DE">
        <w:rPr>
          <w:szCs w:val="26"/>
        </w:rPr>
        <w:t xml:space="preserve">.)  </w:t>
      </w:r>
      <w:r w:rsidR="00CF21E3" w:rsidRPr="001801DE">
        <w:rPr>
          <w:szCs w:val="26"/>
        </w:rPr>
        <w:t xml:space="preserve">The trial court </w:t>
      </w:r>
      <w:r w:rsidR="00FE2ED5" w:rsidRPr="001801DE">
        <w:rPr>
          <w:szCs w:val="26"/>
        </w:rPr>
        <w:t xml:space="preserve">expressed doubt </w:t>
      </w:r>
      <w:r w:rsidR="00410DF8" w:rsidRPr="001801DE">
        <w:rPr>
          <w:szCs w:val="26"/>
        </w:rPr>
        <w:t xml:space="preserve">whether </w:t>
      </w:r>
      <w:r w:rsidR="00FE2ED5" w:rsidRPr="001801DE">
        <w:rPr>
          <w:szCs w:val="26"/>
        </w:rPr>
        <w:t xml:space="preserve">“section 782” </w:t>
      </w:r>
      <w:r w:rsidR="00EB67AA" w:rsidRPr="001801DE">
        <w:rPr>
          <w:szCs w:val="26"/>
        </w:rPr>
        <w:t>govern</w:t>
      </w:r>
      <w:r w:rsidR="00853907" w:rsidRPr="001801DE">
        <w:rPr>
          <w:szCs w:val="26"/>
        </w:rPr>
        <w:t>s</w:t>
      </w:r>
      <w:r w:rsidR="00EB67AA" w:rsidRPr="001801DE">
        <w:rPr>
          <w:szCs w:val="26"/>
        </w:rPr>
        <w:t xml:space="preserve"> </w:t>
      </w:r>
      <w:r w:rsidRPr="001801DE">
        <w:rPr>
          <w:szCs w:val="26"/>
        </w:rPr>
        <w:t xml:space="preserve">admission of the 2013 molestation </w:t>
      </w:r>
      <w:r w:rsidR="00EB67AA" w:rsidRPr="001801DE">
        <w:rPr>
          <w:szCs w:val="26"/>
        </w:rPr>
        <w:t xml:space="preserve">because, the court asserted, </w:t>
      </w:r>
      <w:r w:rsidR="00112E57" w:rsidRPr="001801DE">
        <w:rPr>
          <w:szCs w:val="26"/>
        </w:rPr>
        <w:t xml:space="preserve">that </w:t>
      </w:r>
      <w:r w:rsidR="0072096E" w:rsidRPr="001801DE">
        <w:rPr>
          <w:szCs w:val="26"/>
        </w:rPr>
        <w:t xml:space="preserve">statute </w:t>
      </w:r>
      <w:r w:rsidRPr="001801DE">
        <w:rPr>
          <w:szCs w:val="26"/>
        </w:rPr>
        <w:t>“[t]ypically . . . re</w:t>
      </w:r>
      <w:r w:rsidRPr="001801DE">
        <w:rPr>
          <w:szCs w:val="26"/>
        </w:rPr>
        <w:t xml:space="preserve">lates to </w:t>
      </w:r>
      <w:r w:rsidRPr="001801DE">
        <w:rPr>
          <w:i/>
          <w:iCs/>
          <w:szCs w:val="26"/>
        </w:rPr>
        <w:t>voluntary</w:t>
      </w:r>
      <w:r w:rsidRPr="001801DE">
        <w:rPr>
          <w:szCs w:val="26"/>
        </w:rPr>
        <w:t xml:space="preserve"> sexual activity</w:t>
      </w:r>
      <w:r w:rsidR="00751D83" w:rsidRPr="001801DE">
        <w:rPr>
          <w:szCs w:val="26"/>
        </w:rPr>
        <w:t xml:space="preserve"> of the victim</w:t>
      </w:r>
      <w:r w:rsidR="005E0716" w:rsidRPr="001801DE">
        <w:rPr>
          <w:szCs w:val="26"/>
        </w:rPr>
        <w:t>.</w:t>
      </w:r>
      <w:r w:rsidR="00960B93" w:rsidRPr="001801DE">
        <w:rPr>
          <w:szCs w:val="26"/>
        </w:rPr>
        <w:t xml:space="preserve">” </w:t>
      </w:r>
      <w:r w:rsidR="005E0716" w:rsidRPr="001801DE">
        <w:rPr>
          <w:szCs w:val="26"/>
        </w:rPr>
        <w:t xml:space="preserve"> </w:t>
      </w:r>
      <w:r w:rsidR="00692B7A" w:rsidRPr="001801DE">
        <w:rPr>
          <w:szCs w:val="26"/>
        </w:rPr>
        <w:t xml:space="preserve">But “just to be on the safe side,” the court asked </w:t>
      </w:r>
      <w:r w:rsidR="00BD6123" w:rsidRPr="001801DE">
        <w:rPr>
          <w:szCs w:val="26"/>
        </w:rPr>
        <w:t xml:space="preserve">the </w:t>
      </w:r>
      <w:r w:rsidR="00776052" w:rsidRPr="001801DE">
        <w:rPr>
          <w:szCs w:val="26"/>
        </w:rPr>
        <w:t>D</w:t>
      </w:r>
      <w:r w:rsidR="00C50A25" w:rsidRPr="001801DE">
        <w:rPr>
          <w:szCs w:val="26"/>
        </w:rPr>
        <w:t>istrict</w:t>
      </w:r>
      <w:r w:rsidRPr="001801DE">
        <w:rPr>
          <w:szCs w:val="26"/>
        </w:rPr>
        <w:t xml:space="preserve"> to </w:t>
      </w:r>
      <w:r w:rsidRPr="001801DE">
        <w:rPr>
          <w:szCs w:val="26"/>
        </w:rPr>
        <w:lastRenderedPageBreak/>
        <w:t xml:space="preserve">submit a motion seeking to introduce the evidence under </w:t>
      </w:r>
      <w:r w:rsidR="00392769" w:rsidRPr="001801DE">
        <w:rPr>
          <w:szCs w:val="26"/>
        </w:rPr>
        <w:t>“</w:t>
      </w:r>
      <w:r w:rsidRPr="001801DE">
        <w:rPr>
          <w:szCs w:val="26"/>
        </w:rPr>
        <w:t>section 78</w:t>
      </w:r>
      <w:r w:rsidR="001B6D60" w:rsidRPr="001801DE">
        <w:rPr>
          <w:szCs w:val="26"/>
        </w:rPr>
        <w:t>2</w:t>
      </w:r>
      <w:r w:rsidRPr="001801DE">
        <w:rPr>
          <w:szCs w:val="26"/>
        </w:rPr>
        <w:t>.</w:t>
      </w:r>
      <w:r w:rsidR="001B6D60" w:rsidRPr="001801DE">
        <w:rPr>
          <w:szCs w:val="26"/>
        </w:rPr>
        <w:t>”</w:t>
      </w:r>
      <w:r>
        <w:rPr>
          <w:rStyle w:val="FootnoteReference"/>
          <w:bCs/>
          <w:szCs w:val="26"/>
        </w:rPr>
        <w:footnoteReference w:id="3"/>
      </w:r>
      <w:r w:rsidRPr="003A6046">
        <w:rPr>
          <w:szCs w:val="26"/>
        </w:rPr>
        <w:t xml:space="preserve"> </w:t>
      </w:r>
      <w:r w:rsidR="00751D83" w:rsidRPr="003A6046">
        <w:rPr>
          <w:szCs w:val="26"/>
        </w:rPr>
        <w:t xml:space="preserve"> </w:t>
      </w:r>
    </w:p>
    <w:p w14:paraId="0DB2E7B1" w14:textId="77777777" w:rsidR="00BB16AE" w:rsidRPr="003A6046" w:rsidRDefault="002E6832" w:rsidP="001801DE">
      <w:pPr>
        <w:tabs>
          <w:tab w:val="left" w:pos="3609"/>
        </w:tabs>
        <w:ind w:firstLine="720"/>
        <w:rPr>
          <w:szCs w:val="27"/>
        </w:rPr>
      </w:pPr>
      <w:r w:rsidRPr="003A6046">
        <w:rPr>
          <w:szCs w:val="26"/>
        </w:rPr>
        <w:t xml:space="preserve">The </w:t>
      </w:r>
      <w:r w:rsidR="00776052" w:rsidRPr="003A6046">
        <w:rPr>
          <w:szCs w:val="26"/>
        </w:rPr>
        <w:t>D</w:t>
      </w:r>
      <w:r w:rsidR="00C50A25" w:rsidRPr="003A6046">
        <w:rPr>
          <w:szCs w:val="26"/>
        </w:rPr>
        <w:t>istrict</w:t>
      </w:r>
      <w:r w:rsidR="0084544E" w:rsidRPr="003A6046">
        <w:rPr>
          <w:szCs w:val="26"/>
        </w:rPr>
        <w:t xml:space="preserve"> </w:t>
      </w:r>
      <w:r w:rsidR="00965D57" w:rsidRPr="003A6046">
        <w:rPr>
          <w:szCs w:val="26"/>
        </w:rPr>
        <w:t xml:space="preserve">filed </w:t>
      </w:r>
      <w:r w:rsidR="003D5F09" w:rsidRPr="003A6046">
        <w:rPr>
          <w:szCs w:val="26"/>
        </w:rPr>
        <w:t>an application</w:t>
      </w:r>
      <w:r w:rsidR="00493A59" w:rsidRPr="003A6046">
        <w:rPr>
          <w:szCs w:val="26"/>
        </w:rPr>
        <w:t xml:space="preserve"> as directed, </w:t>
      </w:r>
      <w:r w:rsidRPr="003A6046">
        <w:rPr>
          <w:szCs w:val="26"/>
        </w:rPr>
        <w:t xml:space="preserve">arguing </w:t>
      </w:r>
      <w:r w:rsidR="002B4F1E" w:rsidRPr="003A6046">
        <w:rPr>
          <w:szCs w:val="26"/>
        </w:rPr>
        <w:t xml:space="preserve">that </w:t>
      </w:r>
      <w:r w:rsidR="00A74B21" w:rsidRPr="003A6046">
        <w:rPr>
          <w:szCs w:val="26"/>
        </w:rPr>
        <w:t>“</w:t>
      </w:r>
      <w:r w:rsidR="0084544E" w:rsidRPr="003A6046">
        <w:rPr>
          <w:szCs w:val="26"/>
        </w:rPr>
        <w:t xml:space="preserve">section </w:t>
      </w:r>
      <w:r w:rsidR="00E90E37" w:rsidRPr="003A6046">
        <w:rPr>
          <w:szCs w:val="26"/>
        </w:rPr>
        <w:t>782</w:t>
      </w:r>
      <w:r w:rsidR="00EC3882" w:rsidRPr="003A6046">
        <w:rPr>
          <w:szCs w:val="26"/>
        </w:rPr>
        <w:t xml:space="preserve">” </w:t>
      </w:r>
      <w:r w:rsidR="00D14CCD" w:rsidRPr="003A6046">
        <w:rPr>
          <w:szCs w:val="26"/>
        </w:rPr>
        <w:t xml:space="preserve">did not govern because </w:t>
      </w:r>
      <w:r w:rsidR="00DB1CF4" w:rsidRPr="003A6046">
        <w:rPr>
          <w:szCs w:val="26"/>
        </w:rPr>
        <w:t>“</w:t>
      </w:r>
      <w:r w:rsidR="00EF6028" w:rsidRPr="003A6046">
        <w:rPr>
          <w:szCs w:val="26"/>
        </w:rPr>
        <w:t>[</w:t>
      </w:r>
      <w:r w:rsidR="00DB1CF4" w:rsidRPr="003A6046">
        <w:rPr>
          <w:szCs w:val="26"/>
        </w:rPr>
        <w:t>t</w:t>
      </w:r>
      <w:r w:rsidR="00EF6028" w:rsidRPr="003A6046">
        <w:rPr>
          <w:szCs w:val="26"/>
        </w:rPr>
        <w:t>]</w:t>
      </w:r>
      <w:r w:rsidR="00DB1CF4" w:rsidRPr="003A6046">
        <w:rPr>
          <w:szCs w:val="26"/>
        </w:rPr>
        <w:t xml:space="preserve">his </w:t>
      </w:r>
      <w:r w:rsidR="00B40878" w:rsidRPr="003A6046">
        <w:rPr>
          <w:szCs w:val="26"/>
        </w:rPr>
        <w:t xml:space="preserve">action </w:t>
      </w:r>
      <w:r w:rsidR="00DB1CF4" w:rsidRPr="003A6046">
        <w:rPr>
          <w:szCs w:val="26"/>
        </w:rPr>
        <w:t>is not a criminal prosecution</w:t>
      </w:r>
      <w:r w:rsidR="005246E9" w:rsidRPr="003A6046">
        <w:rPr>
          <w:szCs w:val="26"/>
        </w:rPr>
        <w:t>.</w:t>
      </w:r>
      <w:r w:rsidR="00DB1CF4" w:rsidRPr="003A6046">
        <w:rPr>
          <w:szCs w:val="26"/>
        </w:rPr>
        <w:t>”</w:t>
      </w:r>
      <w:r w:rsidR="005246E9" w:rsidRPr="003A6046">
        <w:rPr>
          <w:szCs w:val="26"/>
        </w:rPr>
        <w:t xml:space="preserve"> </w:t>
      </w:r>
      <w:r w:rsidR="00DB1CF4" w:rsidRPr="003A6046">
        <w:rPr>
          <w:szCs w:val="26"/>
        </w:rPr>
        <w:t xml:space="preserve"> </w:t>
      </w:r>
      <w:r w:rsidR="00B22FEF" w:rsidRPr="003A6046">
        <w:rPr>
          <w:rStyle w:val="cf01"/>
          <w:rFonts w:ascii="Century Schoolbook" w:hAnsi="Century Schoolbook" w:cs="Times New Roman"/>
          <w:sz w:val="27"/>
          <w:szCs w:val="26"/>
        </w:rPr>
        <w:t xml:space="preserve">The District </w:t>
      </w:r>
      <w:r w:rsidR="007C2D83" w:rsidRPr="003A6046">
        <w:rPr>
          <w:rStyle w:val="cf01"/>
          <w:rFonts w:ascii="Century Schoolbook" w:hAnsi="Century Schoolbook" w:cs="Times New Roman"/>
          <w:sz w:val="27"/>
          <w:szCs w:val="26"/>
        </w:rPr>
        <w:t xml:space="preserve">also </w:t>
      </w:r>
      <w:r w:rsidR="00B22FEF" w:rsidRPr="003A6046">
        <w:rPr>
          <w:rStyle w:val="cf01"/>
          <w:rFonts w:ascii="Century Schoolbook" w:hAnsi="Century Schoolbook" w:cs="Times New Roman"/>
          <w:sz w:val="27"/>
          <w:szCs w:val="26"/>
        </w:rPr>
        <w:t xml:space="preserve">asserted </w:t>
      </w:r>
      <w:r w:rsidR="008772E4" w:rsidRPr="003A6046">
        <w:rPr>
          <w:rStyle w:val="cf01"/>
          <w:rFonts w:ascii="Century Schoolbook" w:hAnsi="Century Schoolbook" w:cs="Times New Roman"/>
          <w:sz w:val="27"/>
          <w:szCs w:val="26"/>
        </w:rPr>
        <w:t xml:space="preserve">it </w:t>
      </w:r>
      <w:r w:rsidR="00492A6E" w:rsidRPr="003A6046">
        <w:rPr>
          <w:rStyle w:val="cf01"/>
          <w:rFonts w:ascii="Century Schoolbook" w:hAnsi="Century Schoolbook" w:cs="Times New Roman"/>
          <w:sz w:val="27"/>
          <w:szCs w:val="26"/>
        </w:rPr>
        <w:t xml:space="preserve">did not </w:t>
      </w:r>
      <w:r w:rsidR="00B22FEF" w:rsidRPr="003A6046">
        <w:rPr>
          <w:rStyle w:val="cf01"/>
          <w:rFonts w:ascii="Century Schoolbook" w:hAnsi="Century Schoolbook" w:cs="Times New Roman"/>
          <w:sz w:val="27"/>
          <w:szCs w:val="26"/>
        </w:rPr>
        <w:t>plan</w:t>
      </w:r>
      <w:r w:rsidR="006C3335" w:rsidRPr="003A6046">
        <w:rPr>
          <w:rStyle w:val="cf01"/>
          <w:rFonts w:ascii="Century Schoolbook" w:hAnsi="Century Schoolbook" w:cs="Times New Roman"/>
          <w:sz w:val="27"/>
          <w:szCs w:val="26"/>
        </w:rPr>
        <w:t xml:space="preserve"> </w:t>
      </w:r>
      <w:r w:rsidR="00820A27" w:rsidRPr="003A6046">
        <w:rPr>
          <w:szCs w:val="26"/>
        </w:rPr>
        <w:t xml:space="preserve">to use the 2013 molestation </w:t>
      </w:r>
      <w:r w:rsidR="008C46F7" w:rsidRPr="003A6046">
        <w:rPr>
          <w:szCs w:val="26"/>
        </w:rPr>
        <w:t xml:space="preserve">evidence </w:t>
      </w:r>
      <w:r w:rsidR="00820A27" w:rsidRPr="003A6046">
        <w:rPr>
          <w:szCs w:val="26"/>
        </w:rPr>
        <w:t xml:space="preserve">to </w:t>
      </w:r>
      <w:r w:rsidR="00B1157B" w:rsidRPr="003A6046">
        <w:rPr>
          <w:szCs w:val="26"/>
        </w:rPr>
        <w:t xml:space="preserve">impeach </w:t>
      </w:r>
      <w:r w:rsidR="00820A27" w:rsidRPr="003A6046">
        <w:rPr>
          <w:szCs w:val="26"/>
        </w:rPr>
        <w:t>the</w:t>
      </w:r>
      <w:r w:rsidR="00B1157B" w:rsidRPr="003A6046">
        <w:rPr>
          <w:szCs w:val="26"/>
        </w:rPr>
        <w:t xml:space="preserve"> </w:t>
      </w:r>
      <w:r w:rsidR="00820A27" w:rsidRPr="003A6046">
        <w:rPr>
          <w:szCs w:val="26"/>
        </w:rPr>
        <w:t>plaintiff</w:t>
      </w:r>
      <w:r w:rsidR="00B1157B" w:rsidRPr="003A6046">
        <w:rPr>
          <w:szCs w:val="26"/>
        </w:rPr>
        <w:t xml:space="preserve">, </w:t>
      </w:r>
      <w:r w:rsidR="002669B2" w:rsidRPr="003A6046">
        <w:rPr>
          <w:szCs w:val="26"/>
        </w:rPr>
        <w:t xml:space="preserve">yet sought </w:t>
      </w:r>
      <w:r w:rsidR="00DA6B74" w:rsidRPr="003A6046">
        <w:rPr>
          <w:szCs w:val="26"/>
        </w:rPr>
        <w:t xml:space="preserve">to introduce the evidence </w:t>
      </w:r>
      <w:r w:rsidR="009818A6" w:rsidRPr="003A6046">
        <w:rPr>
          <w:szCs w:val="26"/>
        </w:rPr>
        <w:t>“out of an abundance of caution</w:t>
      </w:r>
      <w:r w:rsidR="004C23D6" w:rsidRPr="003A6046">
        <w:rPr>
          <w:szCs w:val="26"/>
        </w:rPr>
        <w:t>.</w:t>
      </w:r>
      <w:r w:rsidR="009818A6" w:rsidRPr="003A6046">
        <w:rPr>
          <w:szCs w:val="26"/>
        </w:rPr>
        <w:t xml:space="preserve">” </w:t>
      </w:r>
      <w:r w:rsidR="004C23D6" w:rsidRPr="003A6046">
        <w:rPr>
          <w:szCs w:val="26"/>
        </w:rPr>
        <w:t xml:space="preserve"> </w:t>
      </w:r>
      <w:r w:rsidR="00B4518C" w:rsidRPr="003A6046">
        <w:rPr>
          <w:szCs w:val="26"/>
        </w:rPr>
        <w:t xml:space="preserve">In sealed </w:t>
      </w:r>
      <w:r w:rsidR="00A81A64" w:rsidRPr="003A6046">
        <w:rPr>
          <w:szCs w:val="26"/>
        </w:rPr>
        <w:t xml:space="preserve">filings </w:t>
      </w:r>
      <w:r w:rsidR="00C566D4" w:rsidRPr="003A6046">
        <w:rPr>
          <w:szCs w:val="26"/>
        </w:rPr>
        <w:t>it</w:t>
      </w:r>
      <w:r w:rsidR="009818A6" w:rsidRPr="003A6046">
        <w:rPr>
          <w:szCs w:val="26"/>
        </w:rPr>
        <w:t xml:space="preserve"> </w:t>
      </w:r>
      <w:r w:rsidR="00834894" w:rsidRPr="003A6046">
        <w:rPr>
          <w:szCs w:val="26"/>
        </w:rPr>
        <w:t xml:space="preserve">set out </w:t>
      </w:r>
      <w:r w:rsidR="009818A6" w:rsidRPr="003A6046">
        <w:rPr>
          <w:szCs w:val="26"/>
        </w:rPr>
        <w:t xml:space="preserve">what it knew about </w:t>
      </w:r>
      <w:r w:rsidR="00922756" w:rsidRPr="003A6046">
        <w:rPr>
          <w:szCs w:val="26"/>
        </w:rPr>
        <w:t xml:space="preserve">the 2013 </w:t>
      </w:r>
      <w:r w:rsidR="00D50008" w:rsidRPr="003A6046">
        <w:rPr>
          <w:szCs w:val="26"/>
        </w:rPr>
        <w:t>molestation</w:t>
      </w:r>
      <w:r w:rsidR="00572B3F" w:rsidRPr="003A6046">
        <w:rPr>
          <w:szCs w:val="26"/>
        </w:rPr>
        <w:t xml:space="preserve"> and </w:t>
      </w:r>
      <w:r w:rsidR="007372EE" w:rsidRPr="003A6046">
        <w:rPr>
          <w:szCs w:val="26"/>
        </w:rPr>
        <w:t xml:space="preserve">included </w:t>
      </w:r>
      <w:r w:rsidR="00376182" w:rsidRPr="003A6046">
        <w:rPr>
          <w:szCs w:val="26"/>
        </w:rPr>
        <w:t xml:space="preserve">a </w:t>
      </w:r>
      <w:r w:rsidR="00A8667B" w:rsidRPr="003A6046">
        <w:rPr>
          <w:szCs w:val="26"/>
        </w:rPr>
        <w:t>declaration concerning the relevanc</w:t>
      </w:r>
      <w:r w:rsidR="00527801" w:rsidRPr="003A6046">
        <w:rPr>
          <w:szCs w:val="26"/>
        </w:rPr>
        <w:t xml:space="preserve">e </w:t>
      </w:r>
      <w:r w:rsidR="00A8667B" w:rsidRPr="003A6046">
        <w:rPr>
          <w:szCs w:val="26"/>
        </w:rPr>
        <w:t>of th</w:t>
      </w:r>
      <w:r w:rsidR="00376182" w:rsidRPr="003A6046">
        <w:rPr>
          <w:szCs w:val="26"/>
        </w:rPr>
        <w:t xml:space="preserve">at </w:t>
      </w:r>
      <w:r w:rsidR="00BB4E3D" w:rsidRPr="003A6046">
        <w:rPr>
          <w:szCs w:val="26"/>
        </w:rPr>
        <w:t>evidence</w:t>
      </w:r>
      <w:r w:rsidR="0031168C" w:rsidRPr="00376818">
        <w:rPr>
          <w:szCs w:val="27"/>
        </w:rPr>
        <w:t xml:space="preserve">:  </w:t>
      </w:r>
      <w:r w:rsidR="00E162DD" w:rsidRPr="003A6046">
        <w:rPr>
          <w:szCs w:val="27"/>
        </w:rPr>
        <w:t>“</w:t>
      </w:r>
      <w:r w:rsidR="00C55B6D" w:rsidRPr="003A6046">
        <w:rPr>
          <w:szCs w:val="27"/>
        </w:rPr>
        <w:t xml:space="preserve">to establish </w:t>
      </w:r>
      <w:r w:rsidR="00E162DD" w:rsidRPr="003A6046">
        <w:rPr>
          <w:szCs w:val="27"/>
        </w:rPr>
        <w:t xml:space="preserve">an </w:t>
      </w:r>
      <w:r w:rsidR="00C55B6D" w:rsidRPr="003A6046">
        <w:rPr>
          <w:szCs w:val="27"/>
        </w:rPr>
        <w:t xml:space="preserve">alternative </w:t>
      </w:r>
      <w:r w:rsidR="00021923" w:rsidRPr="003A6046">
        <w:rPr>
          <w:szCs w:val="27"/>
        </w:rPr>
        <w:t xml:space="preserve">explanation </w:t>
      </w:r>
      <w:r w:rsidR="0001614D" w:rsidRPr="003A6046">
        <w:rPr>
          <w:szCs w:val="27"/>
        </w:rPr>
        <w:t xml:space="preserve">for </w:t>
      </w:r>
      <w:r w:rsidR="000368F6" w:rsidRPr="003A6046">
        <w:rPr>
          <w:szCs w:val="27"/>
        </w:rPr>
        <w:t>[</w:t>
      </w:r>
      <w:r w:rsidR="0001614D" w:rsidRPr="003A6046">
        <w:rPr>
          <w:szCs w:val="27"/>
        </w:rPr>
        <w:t>plaintiff’s</w:t>
      </w:r>
      <w:r w:rsidR="000368F6" w:rsidRPr="003A6046">
        <w:rPr>
          <w:szCs w:val="27"/>
        </w:rPr>
        <w:t>] psychological harm and condition</w:t>
      </w:r>
      <w:r w:rsidR="00346295" w:rsidRPr="003A6046">
        <w:rPr>
          <w:szCs w:val="27"/>
        </w:rPr>
        <w:t xml:space="preserve">.”  </w:t>
      </w:r>
      <w:r w:rsidR="00214531" w:rsidRPr="003A6046">
        <w:rPr>
          <w:szCs w:val="27"/>
        </w:rPr>
        <w:t xml:space="preserve">Specifically, </w:t>
      </w:r>
      <w:r w:rsidR="00767F20" w:rsidRPr="003A6046">
        <w:rPr>
          <w:szCs w:val="27"/>
        </w:rPr>
        <w:t xml:space="preserve">the </w:t>
      </w:r>
      <w:r w:rsidR="009818A6" w:rsidRPr="003A6046">
        <w:rPr>
          <w:szCs w:val="27"/>
        </w:rPr>
        <w:t>District a</w:t>
      </w:r>
      <w:r w:rsidR="0090505A" w:rsidRPr="003A6046">
        <w:rPr>
          <w:szCs w:val="27"/>
        </w:rPr>
        <w:t>sserted</w:t>
      </w:r>
      <w:r w:rsidR="009818A6" w:rsidRPr="003A6046">
        <w:rPr>
          <w:szCs w:val="27"/>
        </w:rPr>
        <w:t xml:space="preserve">, </w:t>
      </w:r>
      <w:r w:rsidR="00BA19B6" w:rsidRPr="003A6046">
        <w:rPr>
          <w:szCs w:val="27"/>
        </w:rPr>
        <w:t>whereas plaintiff “</w:t>
      </w:r>
      <w:r w:rsidR="00356F69" w:rsidRPr="003A6046">
        <w:rPr>
          <w:szCs w:val="27"/>
        </w:rPr>
        <w:t xml:space="preserve">alleges past and future emotional distress and psychological </w:t>
      </w:r>
      <w:r w:rsidR="00565D48" w:rsidRPr="003A6046">
        <w:rPr>
          <w:szCs w:val="27"/>
        </w:rPr>
        <w:t xml:space="preserve">injuries from the </w:t>
      </w:r>
      <w:r w:rsidR="00805EB3" w:rsidRPr="003A6046">
        <w:rPr>
          <w:szCs w:val="27"/>
        </w:rPr>
        <w:t>Baldenebro</w:t>
      </w:r>
      <w:r w:rsidR="00565D48" w:rsidRPr="003A6046">
        <w:rPr>
          <w:szCs w:val="27"/>
        </w:rPr>
        <w:t xml:space="preserve"> molestation</w:t>
      </w:r>
      <w:r w:rsidR="00CC0A0A" w:rsidRPr="003A6046">
        <w:rPr>
          <w:szCs w:val="27"/>
        </w:rPr>
        <w:t>”</w:t>
      </w:r>
      <w:r w:rsidR="00565D48" w:rsidRPr="003A6046">
        <w:rPr>
          <w:szCs w:val="27"/>
        </w:rPr>
        <w:t xml:space="preserve"> </w:t>
      </w:r>
      <w:r w:rsidR="003F4E03">
        <w:rPr>
          <w:szCs w:val="27"/>
        </w:rPr>
        <w:t xml:space="preserve">in </w:t>
      </w:r>
      <w:r w:rsidR="00FA128B" w:rsidRPr="003A6046">
        <w:rPr>
          <w:szCs w:val="27"/>
        </w:rPr>
        <w:t>20</w:t>
      </w:r>
      <w:r w:rsidR="00CC0A0A" w:rsidRPr="003A6046">
        <w:rPr>
          <w:szCs w:val="27"/>
        </w:rPr>
        <w:t>09</w:t>
      </w:r>
      <w:r w:rsidR="00C328A4" w:rsidRPr="003A6046">
        <w:rPr>
          <w:szCs w:val="27"/>
        </w:rPr>
        <w:t>–</w:t>
      </w:r>
      <w:r w:rsidR="00FA128B" w:rsidRPr="003A6046">
        <w:rPr>
          <w:szCs w:val="27"/>
        </w:rPr>
        <w:t>201</w:t>
      </w:r>
      <w:r w:rsidR="00CC0A0A" w:rsidRPr="003A6046">
        <w:rPr>
          <w:szCs w:val="27"/>
        </w:rPr>
        <w:t>0</w:t>
      </w:r>
      <w:r w:rsidR="00FA128B" w:rsidRPr="003A6046">
        <w:rPr>
          <w:szCs w:val="27"/>
        </w:rPr>
        <w:t xml:space="preserve">, </w:t>
      </w:r>
      <w:r w:rsidR="000F67F4" w:rsidRPr="003A6046">
        <w:rPr>
          <w:szCs w:val="27"/>
        </w:rPr>
        <w:t>“</w:t>
      </w:r>
      <w:r w:rsidR="00D165DC" w:rsidRPr="003A6046">
        <w:rPr>
          <w:szCs w:val="27"/>
        </w:rPr>
        <w:t>[</w:t>
      </w:r>
      <w:r w:rsidR="00D91F21" w:rsidRPr="003A6046">
        <w:rPr>
          <w:szCs w:val="27"/>
        </w:rPr>
        <w:t>t</w:t>
      </w:r>
      <w:r w:rsidR="00D165DC" w:rsidRPr="003A6046">
        <w:rPr>
          <w:szCs w:val="27"/>
        </w:rPr>
        <w:t>]</w:t>
      </w:r>
      <w:r w:rsidR="00D91F21" w:rsidRPr="003A6046">
        <w:rPr>
          <w:szCs w:val="27"/>
        </w:rPr>
        <w:t>he 2013 incident</w:t>
      </w:r>
      <w:r w:rsidR="00166989">
        <w:rPr>
          <w:szCs w:val="27"/>
        </w:rPr>
        <w:t> </w:t>
      </w:r>
      <w:r w:rsidR="00D91F21" w:rsidRPr="003A6046">
        <w:rPr>
          <w:szCs w:val="27"/>
        </w:rPr>
        <w:t>. . .</w:t>
      </w:r>
      <w:r w:rsidR="00166989">
        <w:rPr>
          <w:szCs w:val="27"/>
        </w:rPr>
        <w:t> </w:t>
      </w:r>
      <w:r w:rsidR="00D91F21" w:rsidRPr="003A6046">
        <w:rPr>
          <w:szCs w:val="27"/>
        </w:rPr>
        <w:t>may be th</w:t>
      </w:r>
      <w:r w:rsidR="00992054" w:rsidRPr="003A6046">
        <w:rPr>
          <w:szCs w:val="27"/>
        </w:rPr>
        <w:t xml:space="preserve">e cause of harm from </w:t>
      </w:r>
      <w:r w:rsidR="004C1F3B" w:rsidRPr="003A6046">
        <w:rPr>
          <w:szCs w:val="27"/>
        </w:rPr>
        <w:t xml:space="preserve">2013 forward.”  </w:t>
      </w:r>
    </w:p>
    <w:p w14:paraId="0DB2E7B2" w14:textId="77777777" w:rsidR="00E44C17" w:rsidRPr="003A6046" w:rsidRDefault="002E6832" w:rsidP="001801DE">
      <w:pPr>
        <w:tabs>
          <w:tab w:val="left" w:pos="3609"/>
        </w:tabs>
        <w:ind w:firstLine="720"/>
        <w:rPr>
          <w:szCs w:val="27"/>
        </w:rPr>
      </w:pPr>
      <w:r w:rsidRPr="003A6046">
        <w:rPr>
          <w:szCs w:val="27"/>
        </w:rPr>
        <w:t xml:space="preserve">After considering this </w:t>
      </w:r>
      <w:r w:rsidR="0084544E" w:rsidRPr="003A6046">
        <w:rPr>
          <w:szCs w:val="27"/>
        </w:rPr>
        <w:t>additional briefing, the trial court held a further hearing during jury selection</w:t>
      </w:r>
      <w:r w:rsidR="002D2B8B" w:rsidRPr="003A6046">
        <w:rPr>
          <w:szCs w:val="27"/>
        </w:rPr>
        <w:t xml:space="preserve">, </w:t>
      </w:r>
      <w:r w:rsidR="00641B3B" w:rsidRPr="003A6046">
        <w:rPr>
          <w:szCs w:val="27"/>
        </w:rPr>
        <w:t xml:space="preserve">just a few days </w:t>
      </w:r>
      <w:r w:rsidR="0084544E" w:rsidRPr="003A6046">
        <w:rPr>
          <w:szCs w:val="27"/>
        </w:rPr>
        <w:t xml:space="preserve">before </w:t>
      </w:r>
      <w:r w:rsidR="007620D2" w:rsidRPr="003A6046">
        <w:rPr>
          <w:szCs w:val="27"/>
        </w:rPr>
        <w:t xml:space="preserve">the parties were set to make </w:t>
      </w:r>
      <w:r w:rsidR="0084544E" w:rsidRPr="003A6046">
        <w:rPr>
          <w:szCs w:val="27"/>
        </w:rPr>
        <w:t xml:space="preserve">opening statements.  </w:t>
      </w:r>
      <w:r w:rsidR="00D93539" w:rsidRPr="003A6046">
        <w:rPr>
          <w:szCs w:val="27"/>
        </w:rPr>
        <w:t xml:space="preserve">Counsel for </w:t>
      </w:r>
      <w:r w:rsidR="00055C01" w:rsidRPr="003A6046">
        <w:rPr>
          <w:szCs w:val="27"/>
        </w:rPr>
        <w:t xml:space="preserve">the </w:t>
      </w:r>
      <w:r w:rsidR="00277A82" w:rsidRPr="003A6046">
        <w:rPr>
          <w:szCs w:val="27"/>
        </w:rPr>
        <w:t xml:space="preserve">District </w:t>
      </w:r>
      <w:r w:rsidR="00D93539" w:rsidRPr="003A6046">
        <w:rPr>
          <w:szCs w:val="27"/>
        </w:rPr>
        <w:t xml:space="preserve">acknowledged </w:t>
      </w:r>
      <w:r w:rsidR="00C22A68" w:rsidRPr="003A6046">
        <w:rPr>
          <w:szCs w:val="27"/>
        </w:rPr>
        <w:t>that its briefing</w:t>
      </w:r>
      <w:r w:rsidR="00885D50" w:rsidRPr="003A6046">
        <w:rPr>
          <w:szCs w:val="27"/>
        </w:rPr>
        <w:t xml:space="preserve"> concerning the </w:t>
      </w:r>
      <w:r w:rsidR="0097735D" w:rsidRPr="003A6046">
        <w:rPr>
          <w:szCs w:val="27"/>
        </w:rPr>
        <w:t xml:space="preserve">court’s requested motion </w:t>
      </w:r>
      <w:r w:rsidR="00C22A68" w:rsidRPr="003A6046">
        <w:rPr>
          <w:szCs w:val="27"/>
        </w:rPr>
        <w:t xml:space="preserve">had been </w:t>
      </w:r>
      <w:r w:rsidR="00F67E7A" w:rsidRPr="003A6046">
        <w:rPr>
          <w:szCs w:val="27"/>
        </w:rPr>
        <w:t>“a little ambiguous</w:t>
      </w:r>
      <w:r w:rsidR="0052419B" w:rsidRPr="003A6046">
        <w:rPr>
          <w:szCs w:val="27"/>
        </w:rPr>
        <w:t>,” and sought to “</w:t>
      </w:r>
      <w:r w:rsidR="00055C01" w:rsidRPr="003A6046">
        <w:rPr>
          <w:szCs w:val="27"/>
        </w:rPr>
        <w:t>clarify</w:t>
      </w:r>
      <w:r w:rsidR="0052419B" w:rsidRPr="003A6046">
        <w:rPr>
          <w:szCs w:val="27"/>
        </w:rPr>
        <w:t xml:space="preserve">” that it </w:t>
      </w:r>
      <w:r w:rsidR="0052419B" w:rsidRPr="003A6046">
        <w:rPr>
          <w:i/>
          <w:iCs/>
          <w:szCs w:val="27"/>
        </w:rPr>
        <w:t>did indeed</w:t>
      </w:r>
      <w:r w:rsidR="0052419B" w:rsidRPr="003A6046">
        <w:rPr>
          <w:szCs w:val="27"/>
        </w:rPr>
        <w:t xml:space="preserve"> seek to </w:t>
      </w:r>
      <w:r w:rsidR="00D17A57" w:rsidRPr="003A6046">
        <w:rPr>
          <w:szCs w:val="27"/>
        </w:rPr>
        <w:t>question plaintiff</w:t>
      </w:r>
      <w:r w:rsidR="00E134C2" w:rsidRPr="003A6046">
        <w:rPr>
          <w:szCs w:val="27"/>
        </w:rPr>
        <w:t xml:space="preserve"> </w:t>
      </w:r>
      <w:r w:rsidR="0060199B" w:rsidRPr="003A6046">
        <w:rPr>
          <w:szCs w:val="27"/>
        </w:rPr>
        <w:t>con</w:t>
      </w:r>
      <w:r w:rsidR="00093E77" w:rsidRPr="003A6046">
        <w:rPr>
          <w:szCs w:val="27"/>
        </w:rPr>
        <w:t xml:space="preserve">cerning </w:t>
      </w:r>
      <w:r w:rsidR="002B4D63" w:rsidRPr="003A6046">
        <w:rPr>
          <w:szCs w:val="27"/>
        </w:rPr>
        <w:t>“concurrent cause</w:t>
      </w:r>
      <w:r w:rsidR="0067194A" w:rsidRPr="003A6046">
        <w:rPr>
          <w:szCs w:val="27"/>
        </w:rPr>
        <w:t>[s]</w:t>
      </w:r>
      <w:r w:rsidR="002B4D63" w:rsidRPr="003A6046">
        <w:rPr>
          <w:szCs w:val="27"/>
        </w:rPr>
        <w:t xml:space="preserve"> of harm</w:t>
      </w:r>
      <w:r w:rsidR="00C554B7" w:rsidRPr="003A6046">
        <w:rPr>
          <w:szCs w:val="27"/>
        </w:rPr>
        <w:t xml:space="preserve">.” </w:t>
      </w:r>
      <w:r w:rsidR="00580332" w:rsidRPr="003A6046">
        <w:rPr>
          <w:szCs w:val="27"/>
        </w:rPr>
        <w:t xml:space="preserve"> </w:t>
      </w:r>
      <w:r w:rsidRPr="003A6046">
        <w:rPr>
          <w:szCs w:val="27"/>
        </w:rPr>
        <w:lastRenderedPageBreak/>
        <w:t xml:space="preserve">Counsel </w:t>
      </w:r>
      <w:r w:rsidR="00055C01" w:rsidRPr="003A6046">
        <w:rPr>
          <w:szCs w:val="27"/>
        </w:rPr>
        <w:t>explained</w:t>
      </w:r>
      <w:r w:rsidR="007A62FE" w:rsidRPr="003A6046">
        <w:rPr>
          <w:szCs w:val="27"/>
        </w:rPr>
        <w:t xml:space="preserve"> that he </w:t>
      </w:r>
      <w:r w:rsidR="003B73A2" w:rsidRPr="003A6046">
        <w:rPr>
          <w:szCs w:val="27"/>
        </w:rPr>
        <w:t>intend</w:t>
      </w:r>
      <w:r w:rsidR="008D6ADD" w:rsidRPr="003A6046">
        <w:rPr>
          <w:szCs w:val="27"/>
        </w:rPr>
        <w:t>ed</w:t>
      </w:r>
      <w:r w:rsidR="003B73A2" w:rsidRPr="003A6046">
        <w:rPr>
          <w:szCs w:val="27"/>
        </w:rPr>
        <w:t xml:space="preserve"> </w:t>
      </w:r>
      <w:r w:rsidR="00400EA4" w:rsidRPr="003A6046">
        <w:rPr>
          <w:szCs w:val="27"/>
        </w:rPr>
        <w:t>to ask</w:t>
      </w:r>
      <w:r w:rsidR="008D6ADD" w:rsidRPr="003A6046">
        <w:rPr>
          <w:szCs w:val="27"/>
        </w:rPr>
        <w:t xml:space="preserve"> the </w:t>
      </w:r>
      <w:r w:rsidR="00400EA4" w:rsidRPr="003A6046">
        <w:rPr>
          <w:szCs w:val="27"/>
        </w:rPr>
        <w:t>plaintiff</w:t>
      </w:r>
      <w:r w:rsidR="00613CCC" w:rsidRPr="003A6046">
        <w:rPr>
          <w:szCs w:val="27"/>
        </w:rPr>
        <w:t xml:space="preserve"> if she was </w:t>
      </w:r>
      <w:r w:rsidR="001C6B3C" w:rsidRPr="003A6046">
        <w:rPr>
          <w:szCs w:val="27"/>
        </w:rPr>
        <w:t>“the victim of a sexual abuse episode” in 2013</w:t>
      </w:r>
      <w:r w:rsidR="00915782" w:rsidRPr="003A6046">
        <w:rPr>
          <w:szCs w:val="27"/>
        </w:rPr>
        <w:t xml:space="preserve"> but would </w:t>
      </w:r>
      <w:r w:rsidR="00ED5E4B" w:rsidRPr="003A6046">
        <w:rPr>
          <w:szCs w:val="27"/>
        </w:rPr>
        <w:t xml:space="preserve">“not examine her about </w:t>
      </w:r>
      <w:r w:rsidR="003D08F8" w:rsidRPr="003A6046">
        <w:rPr>
          <w:szCs w:val="27"/>
        </w:rPr>
        <w:t xml:space="preserve">the </w:t>
      </w:r>
      <w:r w:rsidR="00ED5E4B" w:rsidRPr="003A6046">
        <w:rPr>
          <w:szCs w:val="27"/>
        </w:rPr>
        <w:t xml:space="preserve">details </w:t>
      </w:r>
      <w:r w:rsidR="003D08F8" w:rsidRPr="003A6046">
        <w:rPr>
          <w:szCs w:val="27"/>
        </w:rPr>
        <w:t xml:space="preserve">or </w:t>
      </w:r>
      <w:r w:rsidR="00F53D6C" w:rsidRPr="003A6046">
        <w:rPr>
          <w:szCs w:val="27"/>
        </w:rPr>
        <w:t xml:space="preserve">the </w:t>
      </w:r>
      <w:r w:rsidR="003D08F8" w:rsidRPr="003A6046">
        <w:rPr>
          <w:szCs w:val="27"/>
        </w:rPr>
        <w:t>specifics of the incident</w:t>
      </w:r>
      <w:r w:rsidR="004B65C2" w:rsidRPr="003A6046">
        <w:rPr>
          <w:szCs w:val="27"/>
        </w:rPr>
        <w:t>.</w:t>
      </w:r>
      <w:r w:rsidR="00A85828" w:rsidRPr="003A6046">
        <w:rPr>
          <w:szCs w:val="27"/>
        </w:rPr>
        <w:t xml:space="preserve">” </w:t>
      </w:r>
      <w:r w:rsidR="004B65C2" w:rsidRPr="003A6046">
        <w:rPr>
          <w:szCs w:val="27"/>
        </w:rPr>
        <w:t xml:space="preserve"> </w:t>
      </w:r>
      <w:r w:rsidR="00E8186F" w:rsidRPr="003A6046">
        <w:rPr>
          <w:szCs w:val="27"/>
        </w:rPr>
        <w:t>Counsel</w:t>
      </w:r>
      <w:r w:rsidR="00693A9E" w:rsidRPr="003A6046">
        <w:rPr>
          <w:szCs w:val="27"/>
        </w:rPr>
        <w:t xml:space="preserve"> acknowledged </w:t>
      </w:r>
      <w:r w:rsidR="00635045" w:rsidRPr="003A6046">
        <w:rPr>
          <w:szCs w:val="27"/>
        </w:rPr>
        <w:t>plaintiff’s “right to privacy,</w:t>
      </w:r>
      <w:r w:rsidR="003D5D73" w:rsidRPr="003A6046">
        <w:rPr>
          <w:szCs w:val="27"/>
        </w:rPr>
        <w:t>” but a</w:t>
      </w:r>
      <w:r w:rsidR="000E36B6" w:rsidRPr="003A6046">
        <w:rPr>
          <w:szCs w:val="27"/>
        </w:rPr>
        <w:t xml:space="preserve">rgued that </w:t>
      </w:r>
      <w:r w:rsidR="006016F1" w:rsidRPr="003A6046">
        <w:rPr>
          <w:szCs w:val="27"/>
        </w:rPr>
        <w:t xml:space="preserve">the </w:t>
      </w:r>
      <w:r w:rsidR="00BC598D" w:rsidRPr="003A6046">
        <w:rPr>
          <w:szCs w:val="27"/>
        </w:rPr>
        <w:t xml:space="preserve">District has a right </w:t>
      </w:r>
      <w:r w:rsidR="00A27204" w:rsidRPr="003A6046">
        <w:rPr>
          <w:szCs w:val="27"/>
        </w:rPr>
        <w:t xml:space="preserve">“to show alternative causes of that harm.”  </w:t>
      </w:r>
    </w:p>
    <w:p w14:paraId="0DB2E7B3" w14:textId="77777777" w:rsidR="005E04F1" w:rsidRPr="003A6046" w:rsidRDefault="002E6832" w:rsidP="001801DE">
      <w:pPr>
        <w:tabs>
          <w:tab w:val="left" w:pos="3609"/>
        </w:tabs>
        <w:ind w:firstLine="720"/>
        <w:rPr>
          <w:szCs w:val="27"/>
        </w:rPr>
      </w:pPr>
      <w:r w:rsidRPr="003A6046">
        <w:rPr>
          <w:szCs w:val="27"/>
        </w:rPr>
        <w:t>The trial court</w:t>
      </w:r>
      <w:r w:rsidR="002374C7" w:rsidRPr="003A6046">
        <w:rPr>
          <w:szCs w:val="27"/>
        </w:rPr>
        <w:t xml:space="preserve">, still </w:t>
      </w:r>
      <w:r w:rsidR="00417D9D" w:rsidRPr="003A6046">
        <w:rPr>
          <w:szCs w:val="27"/>
        </w:rPr>
        <w:t xml:space="preserve">erroneously </w:t>
      </w:r>
      <w:r w:rsidR="002374C7" w:rsidRPr="003A6046">
        <w:rPr>
          <w:szCs w:val="27"/>
        </w:rPr>
        <w:t xml:space="preserve">referring to sections 1103 and 782 </w:t>
      </w:r>
      <w:r w:rsidR="00D867F9" w:rsidRPr="003A6046">
        <w:rPr>
          <w:szCs w:val="27"/>
        </w:rPr>
        <w:t xml:space="preserve">instead of </w:t>
      </w:r>
      <w:r w:rsidR="002374C7" w:rsidRPr="003A6046">
        <w:rPr>
          <w:szCs w:val="27"/>
        </w:rPr>
        <w:t>sections 1106 and 783</w:t>
      </w:r>
      <w:r w:rsidR="00F2264E" w:rsidRPr="003A6046">
        <w:rPr>
          <w:szCs w:val="27"/>
        </w:rPr>
        <w:t xml:space="preserve">, </w:t>
      </w:r>
      <w:r w:rsidRPr="003A6046">
        <w:rPr>
          <w:szCs w:val="27"/>
        </w:rPr>
        <w:t>ruled</w:t>
      </w:r>
      <w:r w:rsidR="00CA0981" w:rsidRPr="003A6046">
        <w:rPr>
          <w:szCs w:val="27"/>
        </w:rPr>
        <w:t xml:space="preserve"> </w:t>
      </w:r>
      <w:r w:rsidR="0084544E" w:rsidRPr="003A6046">
        <w:rPr>
          <w:szCs w:val="27"/>
        </w:rPr>
        <w:t xml:space="preserve">that </w:t>
      </w:r>
      <w:r w:rsidR="0099656B" w:rsidRPr="003A6046">
        <w:rPr>
          <w:szCs w:val="27"/>
        </w:rPr>
        <w:t xml:space="preserve">the evidence of the 2013 molestation fell outside the scope of </w:t>
      </w:r>
      <w:r w:rsidR="00147B79" w:rsidRPr="003A6046">
        <w:rPr>
          <w:szCs w:val="27"/>
        </w:rPr>
        <w:t xml:space="preserve">any </w:t>
      </w:r>
      <w:r w:rsidR="00B774AD" w:rsidRPr="003A6046">
        <w:rPr>
          <w:szCs w:val="27"/>
        </w:rPr>
        <w:t xml:space="preserve">shield </w:t>
      </w:r>
      <w:r w:rsidR="00B82E82" w:rsidRPr="003A6046">
        <w:rPr>
          <w:szCs w:val="27"/>
        </w:rPr>
        <w:t>statute</w:t>
      </w:r>
      <w:r w:rsidR="001E7CC1" w:rsidRPr="003A6046">
        <w:rPr>
          <w:szCs w:val="27"/>
        </w:rPr>
        <w:t xml:space="preserve">. </w:t>
      </w:r>
      <w:r w:rsidR="00484A48" w:rsidRPr="003A6046">
        <w:rPr>
          <w:szCs w:val="27"/>
        </w:rPr>
        <w:t xml:space="preserve"> </w:t>
      </w:r>
      <w:r w:rsidR="00DC4A8A" w:rsidRPr="003A6046">
        <w:rPr>
          <w:szCs w:val="27"/>
        </w:rPr>
        <w:t xml:space="preserve">The court </w:t>
      </w:r>
      <w:r w:rsidR="00481666" w:rsidRPr="003A6046">
        <w:rPr>
          <w:szCs w:val="27"/>
        </w:rPr>
        <w:t xml:space="preserve">reasoned that </w:t>
      </w:r>
      <w:r w:rsidR="0084544E" w:rsidRPr="003A6046">
        <w:rPr>
          <w:szCs w:val="27"/>
        </w:rPr>
        <w:t>th</w:t>
      </w:r>
      <w:r w:rsidR="001E7CC1" w:rsidRPr="003A6046">
        <w:rPr>
          <w:szCs w:val="27"/>
        </w:rPr>
        <w:t xml:space="preserve">e </w:t>
      </w:r>
      <w:r w:rsidR="00737E16" w:rsidRPr="003A6046">
        <w:rPr>
          <w:szCs w:val="27"/>
        </w:rPr>
        <w:t xml:space="preserve">statutory </w:t>
      </w:r>
      <w:r w:rsidR="001E7CC1" w:rsidRPr="003A6046">
        <w:rPr>
          <w:szCs w:val="27"/>
        </w:rPr>
        <w:t xml:space="preserve">term “sexual conduct” </w:t>
      </w:r>
      <w:r w:rsidR="00EB6BE4" w:rsidRPr="003A6046">
        <w:rPr>
          <w:szCs w:val="27"/>
        </w:rPr>
        <w:t xml:space="preserve">(which is </w:t>
      </w:r>
      <w:r w:rsidR="00C86F77" w:rsidRPr="003A6046">
        <w:rPr>
          <w:szCs w:val="27"/>
        </w:rPr>
        <w:t>used</w:t>
      </w:r>
      <w:r w:rsidR="00EB6BE4" w:rsidRPr="003A6046">
        <w:rPr>
          <w:szCs w:val="27"/>
        </w:rPr>
        <w:t xml:space="preserve"> </w:t>
      </w:r>
      <w:r w:rsidR="009049BE" w:rsidRPr="003A6046">
        <w:rPr>
          <w:szCs w:val="27"/>
        </w:rPr>
        <w:t xml:space="preserve">in </w:t>
      </w:r>
      <w:r w:rsidR="00C86F77" w:rsidRPr="003A6046">
        <w:rPr>
          <w:szCs w:val="27"/>
        </w:rPr>
        <w:t>all</w:t>
      </w:r>
      <w:r w:rsidR="009049BE" w:rsidRPr="003A6046">
        <w:rPr>
          <w:szCs w:val="27"/>
        </w:rPr>
        <w:t xml:space="preserve"> </w:t>
      </w:r>
      <w:r w:rsidR="00EB6BE4" w:rsidRPr="003A6046">
        <w:rPr>
          <w:szCs w:val="27"/>
        </w:rPr>
        <w:t xml:space="preserve">four </w:t>
      </w:r>
      <w:r w:rsidR="009049BE" w:rsidRPr="003A6046">
        <w:rPr>
          <w:szCs w:val="27"/>
        </w:rPr>
        <w:t xml:space="preserve">statutes) </w:t>
      </w:r>
      <w:r w:rsidR="000D06EF" w:rsidRPr="003A6046">
        <w:rPr>
          <w:szCs w:val="27"/>
        </w:rPr>
        <w:t>shou</w:t>
      </w:r>
      <w:r w:rsidR="00BA43B4" w:rsidRPr="003A6046">
        <w:rPr>
          <w:szCs w:val="27"/>
        </w:rPr>
        <w:t xml:space="preserve">ld be understood to </w:t>
      </w:r>
      <w:r w:rsidR="00373680" w:rsidRPr="003A6046">
        <w:rPr>
          <w:szCs w:val="27"/>
        </w:rPr>
        <w:t xml:space="preserve">cover </w:t>
      </w:r>
      <w:r w:rsidR="00BA43B4" w:rsidRPr="003A6046">
        <w:rPr>
          <w:szCs w:val="27"/>
        </w:rPr>
        <w:t xml:space="preserve">only </w:t>
      </w:r>
      <w:r w:rsidR="0084544E" w:rsidRPr="003A6046">
        <w:rPr>
          <w:i/>
          <w:iCs/>
          <w:szCs w:val="27"/>
        </w:rPr>
        <w:t>voluntary</w:t>
      </w:r>
      <w:r w:rsidR="0084544E" w:rsidRPr="003A6046">
        <w:rPr>
          <w:szCs w:val="27"/>
        </w:rPr>
        <w:t xml:space="preserve"> conduct or a “willingness to engage in</w:t>
      </w:r>
      <w:r w:rsidR="004773D8" w:rsidRPr="003A6046">
        <w:rPr>
          <w:szCs w:val="27"/>
        </w:rPr>
        <w:t xml:space="preserve">” such </w:t>
      </w:r>
      <w:r w:rsidR="0084544E" w:rsidRPr="003A6046">
        <w:rPr>
          <w:szCs w:val="27"/>
        </w:rPr>
        <w:t>conduct</w:t>
      </w:r>
      <w:r w:rsidR="00B954C5" w:rsidRPr="003A6046">
        <w:rPr>
          <w:szCs w:val="27"/>
        </w:rPr>
        <w:t>.</w:t>
      </w:r>
      <w:r w:rsidR="0084544E" w:rsidRPr="003A6046">
        <w:rPr>
          <w:szCs w:val="27"/>
        </w:rPr>
        <w:t xml:space="preserve"> </w:t>
      </w:r>
      <w:r w:rsidR="00B954C5" w:rsidRPr="003A6046">
        <w:rPr>
          <w:szCs w:val="27"/>
        </w:rPr>
        <w:t xml:space="preserve"> </w:t>
      </w:r>
      <w:r w:rsidR="00835E19" w:rsidRPr="003A6046">
        <w:rPr>
          <w:szCs w:val="27"/>
        </w:rPr>
        <w:t>The</w:t>
      </w:r>
      <w:r w:rsidR="001E7CC1" w:rsidRPr="003A6046">
        <w:rPr>
          <w:szCs w:val="27"/>
        </w:rPr>
        <w:t xml:space="preserve"> </w:t>
      </w:r>
      <w:r w:rsidR="00B954C5" w:rsidRPr="003A6046">
        <w:rPr>
          <w:szCs w:val="27"/>
        </w:rPr>
        <w:t>cou</w:t>
      </w:r>
      <w:r w:rsidR="00ED0E02" w:rsidRPr="003A6046">
        <w:rPr>
          <w:szCs w:val="27"/>
        </w:rPr>
        <w:t xml:space="preserve">rt </w:t>
      </w:r>
      <w:r w:rsidR="005D7FAA" w:rsidRPr="003A6046">
        <w:rPr>
          <w:szCs w:val="27"/>
        </w:rPr>
        <w:t>determined</w:t>
      </w:r>
      <w:r w:rsidR="00835E19" w:rsidRPr="003A6046">
        <w:rPr>
          <w:szCs w:val="27"/>
        </w:rPr>
        <w:t xml:space="preserve"> the </w:t>
      </w:r>
      <w:r w:rsidR="0084544E" w:rsidRPr="003A6046">
        <w:rPr>
          <w:szCs w:val="27"/>
        </w:rPr>
        <w:t xml:space="preserve">2013 molestation necessarily </w:t>
      </w:r>
      <w:r w:rsidR="00835E19" w:rsidRPr="003A6046">
        <w:rPr>
          <w:szCs w:val="27"/>
        </w:rPr>
        <w:t xml:space="preserve">reflects </w:t>
      </w:r>
      <w:r w:rsidR="0084544E" w:rsidRPr="003A6046">
        <w:rPr>
          <w:szCs w:val="27"/>
        </w:rPr>
        <w:t xml:space="preserve">“involuntary” </w:t>
      </w:r>
      <w:r w:rsidR="008107F5" w:rsidRPr="003A6046">
        <w:rPr>
          <w:szCs w:val="27"/>
        </w:rPr>
        <w:t xml:space="preserve">conduct, falling outside </w:t>
      </w:r>
      <w:r w:rsidR="00AE2C03" w:rsidRPr="003A6046">
        <w:rPr>
          <w:szCs w:val="27"/>
        </w:rPr>
        <w:t xml:space="preserve">those </w:t>
      </w:r>
      <w:r w:rsidR="008107F5" w:rsidRPr="003A6046">
        <w:rPr>
          <w:szCs w:val="27"/>
        </w:rPr>
        <w:t xml:space="preserve">sections, </w:t>
      </w:r>
      <w:r w:rsidR="0084544E" w:rsidRPr="003A6046">
        <w:rPr>
          <w:szCs w:val="27"/>
        </w:rPr>
        <w:t xml:space="preserve">because plaintiff was </w:t>
      </w:r>
      <w:r w:rsidR="003B2BD8" w:rsidRPr="003A6046">
        <w:rPr>
          <w:szCs w:val="27"/>
        </w:rPr>
        <w:t xml:space="preserve">an unwilling </w:t>
      </w:r>
      <w:r w:rsidR="0084544E" w:rsidRPr="003A6046">
        <w:rPr>
          <w:szCs w:val="27"/>
        </w:rPr>
        <w:t>“victim of inappropriate sexual behavior</w:t>
      </w:r>
      <w:r w:rsidR="00A20F93" w:rsidRPr="003A6046">
        <w:rPr>
          <w:szCs w:val="27"/>
        </w:rPr>
        <w:t>.</w:t>
      </w:r>
      <w:r w:rsidR="0084544E" w:rsidRPr="003A6046">
        <w:rPr>
          <w:szCs w:val="27"/>
        </w:rPr>
        <w:t>”</w:t>
      </w:r>
      <w:r w:rsidR="00A20F93" w:rsidRPr="003A6046">
        <w:rPr>
          <w:szCs w:val="27"/>
        </w:rPr>
        <w:t xml:space="preserve"> </w:t>
      </w:r>
      <w:r w:rsidR="00D173C2" w:rsidRPr="003A6046">
        <w:rPr>
          <w:szCs w:val="27"/>
        </w:rPr>
        <w:t xml:space="preserve"> </w:t>
      </w:r>
      <w:r w:rsidR="00A20F93" w:rsidRPr="003A6046">
        <w:rPr>
          <w:szCs w:val="27"/>
        </w:rPr>
        <w:t>H</w:t>
      </w:r>
      <w:r w:rsidR="004A30FA" w:rsidRPr="003A6046">
        <w:rPr>
          <w:szCs w:val="27"/>
        </w:rPr>
        <w:t>ence</w:t>
      </w:r>
      <w:r w:rsidR="00B152CC" w:rsidRPr="003A6046">
        <w:rPr>
          <w:szCs w:val="27"/>
        </w:rPr>
        <w:t xml:space="preserve">, the court </w:t>
      </w:r>
      <w:r w:rsidR="00365E4B" w:rsidRPr="003A6046">
        <w:rPr>
          <w:szCs w:val="27"/>
        </w:rPr>
        <w:t xml:space="preserve">held, </w:t>
      </w:r>
      <w:r w:rsidR="004A30FA" w:rsidRPr="003A6046">
        <w:rPr>
          <w:szCs w:val="27"/>
        </w:rPr>
        <w:t xml:space="preserve">the “2013 . . . incident </w:t>
      </w:r>
      <w:r w:rsidR="00965ABB" w:rsidRPr="003A6046">
        <w:rPr>
          <w:szCs w:val="27"/>
        </w:rPr>
        <w:t>is not . . . sexual conduct within the meaning of</w:t>
      </w:r>
      <w:r w:rsidR="002F2098" w:rsidRPr="003A6046">
        <w:rPr>
          <w:szCs w:val="27"/>
        </w:rPr>
        <w:t xml:space="preserve">” </w:t>
      </w:r>
      <w:r w:rsidR="00AE2C03" w:rsidRPr="003A6046">
        <w:rPr>
          <w:szCs w:val="27"/>
        </w:rPr>
        <w:t>th</w:t>
      </w:r>
      <w:r w:rsidR="00556870" w:rsidRPr="003A6046">
        <w:rPr>
          <w:szCs w:val="27"/>
        </w:rPr>
        <w:t>e</w:t>
      </w:r>
      <w:r w:rsidR="00AE2C03" w:rsidRPr="003A6046">
        <w:rPr>
          <w:szCs w:val="27"/>
        </w:rPr>
        <w:t xml:space="preserve"> </w:t>
      </w:r>
      <w:r w:rsidR="00766E87" w:rsidRPr="003A6046">
        <w:rPr>
          <w:szCs w:val="27"/>
        </w:rPr>
        <w:t xml:space="preserve">shield </w:t>
      </w:r>
      <w:r w:rsidR="00556870" w:rsidRPr="003A6046">
        <w:rPr>
          <w:szCs w:val="27"/>
        </w:rPr>
        <w:t>statutes</w:t>
      </w:r>
      <w:r w:rsidR="002F2098" w:rsidRPr="003A6046">
        <w:rPr>
          <w:szCs w:val="27"/>
        </w:rPr>
        <w:t xml:space="preserve">.  </w:t>
      </w:r>
    </w:p>
    <w:p w14:paraId="0DB2E7B4" w14:textId="77777777" w:rsidR="009348E8" w:rsidRPr="003A6046" w:rsidRDefault="002E6832" w:rsidP="001801DE">
      <w:pPr>
        <w:tabs>
          <w:tab w:val="left" w:pos="3609"/>
        </w:tabs>
        <w:ind w:firstLine="720"/>
        <w:rPr>
          <w:szCs w:val="27"/>
        </w:rPr>
      </w:pPr>
      <w:r w:rsidRPr="003A6046">
        <w:rPr>
          <w:szCs w:val="27"/>
        </w:rPr>
        <w:t xml:space="preserve">Having </w:t>
      </w:r>
      <w:r w:rsidR="001F34E6" w:rsidRPr="003A6046">
        <w:rPr>
          <w:szCs w:val="27"/>
        </w:rPr>
        <w:t xml:space="preserve">so concluded, </w:t>
      </w:r>
      <w:r w:rsidRPr="003A6046">
        <w:rPr>
          <w:szCs w:val="27"/>
        </w:rPr>
        <w:t xml:space="preserve">the </w:t>
      </w:r>
      <w:r w:rsidR="003E530E" w:rsidRPr="003A6046">
        <w:rPr>
          <w:szCs w:val="27"/>
        </w:rPr>
        <w:t xml:space="preserve">trial </w:t>
      </w:r>
      <w:r w:rsidR="0084544E" w:rsidRPr="003A6046">
        <w:rPr>
          <w:szCs w:val="27"/>
        </w:rPr>
        <w:t xml:space="preserve">court </w:t>
      </w:r>
      <w:r w:rsidR="00160D5A" w:rsidRPr="003A6046">
        <w:rPr>
          <w:szCs w:val="27"/>
        </w:rPr>
        <w:t xml:space="preserve">next </w:t>
      </w:r>
      <w:r w:rsidR="0084544E" w:rsidRPr="003A6046">
        <w:rPr>
          <w:szCs w:val="27"/>
        </w:rPr>
        <w:t xml:space="preserve">proceeded to </w:t>
      </w:r>
      <w:r w:rsidR="00393259" w:rsidRPr="003A6046">
        <w:rPr>
          <w:szCs w:val="27"/>
        </w:rPr>
        <w:t xml:space="preserve">consider </w:t>
      </w:r>
      <w:r w:rsidR="0084544E" w:rsidRPr="003A6046">
        <w:rPr>
          <w:szCs w:val="27"/>
        </w:rPr>
        <w:t xml:space="preserve">the admissibility of </w:t>
      </w:r>
      <w:r w:rsidR="00EC2DFC" w:rsidRPr="003A6046">
        <w:rPr>
          <w:szCs w:val="27"/>
        </w:rPr>
        <w:t xml:space="preserve">evidence concerning </w:t>
      </w:r>
      <w:r w:rsidR="0084544E" w:rsidRPr="003A6046">
        <w:rPr>
          <w:szCs w:val="27"/>
        </w:rPr>
        <w:t xml:space="preserve">the 2013 molestation under </w:t>
      </w:r>
      <w:r w:rsidR="00F70FC9" w:rsidRPr="003A6046">
        <w:rPr>
          <w:szCs w:val="27"/>
        </w:rPr>
        <w:t>section 780</w:t>
      </w:r>
      <w:r w:rsidR="0084544E" w:rsidRPr="003A6046">
        <w:rPr>
          <w:szCs w:val="27"/>
        </w:rPr>
        <w:t xml:space="preserve">, </w:t>
      </w:r>
      <w:r w:rsidR="008477F1" w:rsidRPr="003A6046">
        <w:rPr>
          <w:szCs w:val="27"/>
        </w:rPr>
        <w:t>which</w:t>
      </w:r>
      <w:r w:rsidR="00B10A5C" w:rsidRPr="003A6046">
        <w:rPr>
          <w:szCs w:val="27"/>
        </w:rPr>
        <w:t xml:space="preserve"> as previously noted</w:t>
      </w:r>
      <w:r w:rsidR="008477F1" w:rsidRPr="003A6046">
        <w:rPr>
          <w:szCs w:val="27"/>
        </w:rPr>
        <w:t xml:space="preserve"> sets out grounds the finder of fact may rely upon to assess witness credibility; </w:t>
      </w:r>
      <w:r w:rsidR="00FB1605" w:rsidRPr="003A6046">
        <w:rPr>
          <w:szCs w:val="27"/>
        </w:rPr>
        <w:t xml:space="preserve">and </w:t>
      </w:r>
      <w:r w:rsidR="001B6D86" w:rsidRPr="003A6046">
        <w:rPr>
          <w:szCs w:val="27"/>
        </w:rPr>
        <w:t>under</w:t>
      </w:r>
      <w:r w:rsidR="008477F1" w:rsidRPr="003A6046">
        <w:rPr>
          <w:szCs w:val="27"/>
        </w:rPr>
        <w:t xml:space="preserve"> section 352, which prescribes</w:t>
      </w:r>
      <w:r w:rsidR="001B6D86" w:rsidRPr="003A6046">
        <w:rPr>
          <w:szCs w:val="27"/>
        </w:rPr>
        <w:t xml:space="preserve"> </w:t>
      </w:r>
      <w:r w:rsidR="008477F1" w:rsidRPr="003A6046">
        <w:rPr>
          <w:szCs w:val="27"/>
        </w:rPr>
        <w:t>a balancing test for relevant evidence that may create a substantial danger of</w:t>
      </w:r>
      <w:r w:rsidR="005E7A9F" w:rsidRPr="003A6046">
        <w:rPr>
          <w:szCs w:val="27"/>
        </w:rPr>
        <w:t xml:space="preserve"> </w:t>
      </w:r>
      <w:r w:rsidR="00FC2C2E" w:rsidRPr="003A6046">
        <w:rPr>
          <w:szCs w:val="27"/>
        </w:rPr>
        <w:t>undue prejudice</w:t>
      </w:r>
      <w:r w:rsidR="008477F1" w:rsidRPr="003A6046">
        <w:rPr>
          <w:szCs w:val="27"/>
        </w:rPr>
        <w:t xml:space="preserve"> if admitted.</w:t>
      </w:r>
      <w:r w:rsidR="00676FFA" w:rsidRPr="003A6046">
        <w:rPr>
          <w:szCs w:val="27"/>
        </w:rPr>
        <w:t xml:space="preserve"> </w:t>
      </w:r>
      <w:r w:rsidR="00284261">
        <w:rPr>
          <w:szCs w:val="27"/>
        </w:rPr>
        <w:t xml:space="preserve"> </w:t>
      </w:r>
    </w:p>
    <w:p w14:paraId="0DB2E7B5" w14:textId="77777777" w:rsidR="00FF658A" w:rsidRPr="003A6046" w:rsidRDefault="002E6832" w:rsidP="001801DE">
      <w:pPr>
        <w:tabs>
          <w:tab w:val="left" w:pos="3609"/>
        </w:tabs>
        <w:ind w:firstLine="720"/>
        <w:rPr>
          <w:szCs w:val="27"/>
        </w:rPr>
      </w:pPr>
      <w:r w:rsidRPr="003A6046">
        <w:rPr>
          <w:szCs w:val="27"/>
        </w:rPr>
        <w:t xml:space="preserve">Regarding </w:t>
      </w:r>
      <w:r w:rsidR="00466B37" w:rsidRPr="003A6046">
        <w:rPr>
          <w:szCs w:val="27"/>
        </w:rPr>
        <w:t xml:space="preserve">witness </w:t>
      </w:r>
      <w:r w:rsidR="002A67DF" w:rsidRPr="003A6046">
        <w:rPr>
          <w:szCs w:val="27"/>
        </w:rPr>
        <w:t>credibility</w:t>
      </w:r>
      <w:r w:rsidR="00D90BE2" w:rsidRPr="003A6046">
        <w:rPr>
          <w:szCs w:val="27"/>
        </w:rPr>
        <w:t xml:space="preserve">, </w:t>
      </w:r>
      <w:r w:rsidR="008234D3" w:rsidRPr="003A6046">
        <w:rPr>
          <w:szCs w:val="27"/>
        </w:rPr>
        <w:t>the court a</w:t>
      </w:r>
      <w:r w:rsidR="00040A0B" w:rsidRPr="003A6046">
        <w:rPr>
          <w:szCs w:val="27"/>
        </w:rPr>
        <w:t>ddress</w:t>
      </w:r>
      <w:r w:rsidR="008234D3" w:rsidRPr="003A6046">
        <w:rPr>
          <w:szCs w:val="27"/>
        </w:rPr>
        <w:t xml:space="preserve">ed </w:t>
      </w:r>
      <w:r w:rsidR="00B73439" w:rsidRPr="003A6046">
        <w:rPr>
          <w:szCs w:val="27"/>
        </w:rPr>
        <w:t xml:space="preserve">the </w:t>
      </w:r>
      <w:r w:rsidR="00C43AF3" w:rsidRPr="003A6046">
        <w:rPr>
          <w:szCs w:val="27"/>
        </w:rPr>
        <w:t xml:space="preserve">District’s argument that the </w:t>
      </w:r>
      <w:r w:rsidR="00F830DF" w:rsidRPr="003A6046">
        <w:rPr>
          <w:szCs w:val="27"/>
        </w:rPr>
        <w:t xml:space="preserve">jury </w:t>
      </w:r>
      <w:r w:rsidR="00854659" w:rsidRPr="003A6046">
        <w:rPr>
          <w:szCs w:val="27"/>
        </w:rPr>
        <w:t xml:space="preserve">should learn </w:t>
      </w:r>
      <w:r w:rsidR="00D06901" w:rsidRPr="003A6046">
        <w:rPr>
          <w:szCs w:val="27"/>
        </w:rPr>
        <w:t xml:space="preserve">about </w:t>
      </w:r>
      <w:r w:rsidR="00C13214" w:rsidRPr="003A6046">
        <w:rPr>
          <w:szCs w:val="27"/>
        </w:rPr>
        <w:t>th</w:t>
      </w:r>
      <w:r w:rsidR="00572334" w:rsidRPr="003A6046">
        <w:rPr>
          <w:szCs w:val="27"/>
        </w:rPr>
        <w:t xml:space="preserve">e </w:t>
      </w:r>
      <w:r w:rsidR="00C13214" w:rsidRPr="003A6046">
        <w:rPr>
          <w:szCs w:val="27"/>
        </w:rPr>
        <w:t xml:space="preserve">subsequent molestation </w:t>
      </w:r>
      <w:r w:rsidR="00351548" w:rsidRPr="003A6046">
        <w:rPr>
          <w:szCs w:val="27"/>
        </w:rPr>
        <w:t xml:space="preserve">insofar </w:t>
      </w:r>
      <w:r w:rsidR="005711F0" w:rsidRPr="003A6046">
        <w:rPr>
          <w:szCs w:val="27"/>
        </w:rPr>
        <w:t xml:space="preserve">as </w:t>
      </w:r>
      <w:r w:rsidR="00482D92" w:rsidRPr="003A6046">
        <w:rPr>
          <w:szCs w:val="27"/>
        </w:rPr>
        <w:t xml:space="preserve">it relates </w:t>
      </w:r>
      <w:r w:rsidR="005711F0" w:rsidRPr="003A6046">
        <w:rPr>
          <w:szCs w:val="27"/>
        </w:rPr>
        <w:t xml:space="preserve">to </w:t>
      </w:r>
      <w:r w:rsidR="009C3402" w:rsidRPr="003A6046">
        <w:rPr>
          <w:szCs w:val="27"/>
        </w:rPr>
        <w:t xml:space="preserve">plaintiff’s emotional distress </w:t>
      </w:r>
      <w:r w:rsidR="005711F0" w:rsidRPr="003A6046">
        <w:rPr>
          <w:szCs w:val="27"/>
        </w:rPr>
        <w:t>damages</w:t>
      </w:r>
      <w:r w:rsidR="008234D3" w:rsidRPr="003A6046">
        <w:rPr>
          <w:szCs w:val="27"/>
        </w:rPr>
        <w:t xml:space="preserve">.  </w:t>
      </w:r>
      <w:r w:rsidR="00A709AD" w:rsidRPr="003A6046">
        <w:rPr>
          <w:szCs w:val="27"/>
        </w:rPr>
        <w:t>In this respect, t</w:t>
      </w:r>
      <w:r w:rsidR="008234D3" w:rsidRPr="003A6046">
        <w:rPr>
          <w:szCs w:val="27"/>
        </w:rPr>
        <w:t xml:space="preserve">he </w:t>
      </w:r>
      <w:r w:rsidR="002B3B3B" w:rsidRPr="003A6046">
        <w:rPr>
          <w:szCs w:val="27"/>
        </w:rPr>
        <w:t xml:space="preserve">court </w:t>
      </w:r>
      <w:r w:rsidR="004B4F3D" w:rsidRPr="003A6046">
        <w:rPr>
          <w:szCs w:val="27"/>
        </w:rPr>
        <w:t xml:space="preserve">analogized </w:t>
      </w:r>
      <w:r w:rsidR="009C3402" w:rsidRPr="003A6046">
        <w:rPr>
          <w:szCs w:val="27"/>
        </w:rPr>
        <w:t xml:space="preserve">the </w:t>
      </w:r>
      <w:r w:rsidR="00180D22" w:rsidRPr="003A6046">
        <w:rPr>
          <w:szCs w:val="27"/>
        </w:rPr>
        <w:t xml:space="preserve">2009–2010 </w:t>
      </w:r>
      <w:r w:rsidR="00516F09" w:rsidRPr="003A6046">
        <w:rPr>
          <w:szCs w:val="27"/>
        </w:rPr>
        <w:t xml:space="preserve">abuse </w:t>
      </w:r>
      <w:r w:rsidR="00180D22" w:rsidRPr="003A6046">
        <w:rPr>
          <w:szCs w:val="27"/>
        </w:rPr>
        <w:t xml:space="preserve">by </w:t>
      </w:r>
      <w:r w:rsidR="003A7172" w:rsidRPr="003A6046">
        <w:rPr>
          <w:szCs w:val="27"/>
        </w:rPr>
        <w:t xml:space="preserve">Baldenebro and the </w:t>
      </w:r>
      <w:r w:rsidR="00C56F50" w:rsidRPr="003A6046">
        <w:rPr>
          <w:szCs w:val="27"/>
        </w:rPr>
        <w:lastRenderedPageBreak/>
        <w:t xml:space="preserve">subsequent </w:t>
      </w:r>
      <w:r w:rsidR="003A7172" w:rsidRPr="003A6046">
        <w:rPr>
          <w:szCs w:val="27"/>
        </w:rPr>
        <w:t xml:space="preserve">2013 </w:t>
      </w:r>
      <w:r w:rsidR="004B4F3D" w:rsidRPr="003A6046">
        <w:rPr>
          <w:szCs w:val="27"/>
        </w:rPr>
        <w:t>molestation</w:t>
      </w:r>
      <w:r w:rsidR="00C56F50" w:rsidRPr="003A6046">
        <w:rPr>
          <w:szCs w:val="27"/>
        </w:rPr>
        <w:t xml:space="preserve"> </w:t>
      </w:r>
      <w:r w:rsidR="004B4F3D" w:rsidRPr="003A6046">
        <w:rPr>
          <w:szCs w:val="27"/>
        </w:rPr>
        <w:t xml:space="preserve">to </w:t>
      </w:r>
      <w:r w:rsidR="004D768E" w:rsidRPr="003A6046">
        <w:rPr>
          <w:szCs w:val="27"/>
        </w:rPr>
        <w:t xml:space="preserve">a </w:t>
      </w:r>
      <w:r w:rsidR="002341BB" w:rsidRPr="003A6046">
        <w:rPr>
          <w:szCs w:val="27"/>
        </w:rPr>
        <w:t>situation pos</w:t>
      </w:r>
      <w:r w:rsidR="00954578" w:rsidRPr="003A6046">
        <w:rPr>
          <w:szCs w:val="27"/>
        </w:rPr>
        <w:t xml:space="preserve">ed </w:t>
      </w:r>
      <w:r w:rsidR="00155468" w:rsidRPr="003A6046">
        <w:rPr>
          <w:szCs w:val="27"/>
        </w:rPr>
        <w:t xml:space="preserve">when a litigant is </w:t>
      </w:r>
      <w:r w:rsidR="00C21815" w:rsidRPr="003A6046">
        <w:rPr>
          <w:szCs w:val="27"/>
        </w:rPr>
        <w:t>i</w:t>
      </w:r>
      <w:r w:rsidR="004B4F3D" w:rsidRPr="003A6046">
        <w:rPr>
          <w:szCs w:val="27"/>
        </w:rPr>
        <w:t xml:space="preserve">nvolved in </w:t>
      </w:r>
      <w:r w:rsidR="00540E94" w:rsidRPr="003A6046">
        <w:rPr>
          <w:szCs w:val="27"/>
        </w:rPr>
        <w:t>su</w:t>
      </w:r>
      <w:r w:rsidR="00572334" w:rsidRPr="003A6046">
        <w:rPr>
          <w:szCs w:val="27"/>
        </w:rPr>
        <w:t xml:space="preserve">ccessive </w:t>
      </w:r>
      <w:r w:rsidR="003B732B" w:rsidRPr="003A6046">
        <w:rPr>
          <w:szCs w:val="27"/>
        </w:rPr>
        <w:t xml:space="preserve">automobile </w:t>
      </w:r>
      <w:r w:rsidR="004B4F3D" w:rsidRPr="003A6046">
        <w:rPr>
          <w:szCs w:val="27"/>
        </w:rPr>
        <w:t xml:space="preserve">accidents, </w:t>
      </w:r>
      <w:r w:rsidR="00BA5FA3" w:rsidRPr="003A6046">
        <w:rPr>
          <w:szCs w:val="27"/>
        </w:rPr>
        <w:t xml:space="preserve">and asserted that </w:t>
      </w:r>
      <w:r w:rsidR="001E79CB" w:rsidRPr="003A6046">
        <w:rPr>
          <w:szCs w:val="27"/>
        </w:rPr>
        <w:t>“</w:t>
      </w:r>
      <w:r w:rsidR="004B4F3D" w:rsidRPr="003A6046">
        <w:rPr>
          <w:szCs w:val="27"/>
        </w:rPr>
        <w:t xml:space="preserve">if there’s a subsequent auto case . . . and the plaintiff is injured and the judge excludes evidence of that, I think it would be reversible error.” </w:t>
      </w:r>
      <w:r w:rsidR="00CA1245" w:rsidRPr="003A6046">
        <w:rPr>
          <w:szCs w:val="27"/>
        </w:rPr>
        <w:t xml:space="preserve"> </w:t>
      </w:r>
      <w:r w:rsidRPr="003A6046">
        <w:rPr>
          <w:szCs w:val="27"/>
        </w:rPr>
        <w:t xml:space="preserve">The </w:t>
      </w:r>
      <w:r w:rsidRPr="007B6E15">
        <w:rPr>
          <w:szCs w:val="27"/>
        </w:rPr>
        <w:t xml:space="preserve">court </w:t>
      </w:r>
      <w:r w:rsidR="00E0170C">
        <w:rPr>
          <w:szCs w:val="27"/>
        </w:rPr>
        <w:t xml:space="preserve">highlighted </w:t>
      </w:r>
      <w:r w:rsidR="005F04C0" w:rsidRPr="00C1026E">
        <w:rPr>
          <w:rFonts w:cs="Segoe UI"/>
          <w:szCs w:val="27"/>
        </w:rPr>
        <w:t xml:space="preserve">some of the issues </w:t>
      </w:r>
      <w:r w:rsidR="00E0170C">
        <w:rPr>
          <w:rFonts w:cs="Segoe UI"/>
          <w:szCs w:val="27"/>
        </w:rPr>
        <w:t xml:space="preserve">facing </w:t>
      </w:r>
      <w:r w:rsidR="005F04C0" w:rsidRPr="00C1026E">
        <w:rPr>
          <w:rFonts w:cs="Segoe UI"/>
          <w:szCs w:val="27"/>
        </w:rPr>
        <w:t>plaintiff in the wake of the molestation by Baldenebro</w:t>
      </w:r>
      <w:r w:rsidR="000A18C8" w:rsidRPr="00C1026E">
        <w:rPr>
          <w:rFonts w:cs="Segoe UI"/>
          <w:szCs w:val="27"/>
        </w:rPr>
        <w:t xml:space="preserve"> — </w:t>
      </w:r>
      <w:r w:rsidR="005F04C0" w:rsidRPr="00C1026E">
        <w:rPr>
          <w:rFonts w:cs="Segoe UI"/>
          <w:szCs w:val="27"/>
        </w:rPr>
        <w:t>namely</w:t>
      </w:r>
      <w:r w:rsidR="000A18C8" w:rsidRPr="00C1026E">
        <w:rPr>
          <w:rFonts w:cs="Segoe UI"/>
          <w:szCs w:val="27"/>
        </w:rPr>
        <w:t>,</w:t>
      </w:r>
      <w:r w:rsidR="005F04C0" w:rsidRPr="00C1026E">
        <w:rPr>
          <w:rFonts w:cs="Segoe UI"/>
          <w:szCs w:val="27"/>
        </w:rPr>
        <w:t xml:space="preserve"> anger with her parents and “issues with boys.” </w:t>
      </w:r>
      <w:r w:rsidR="00194A7A" w:rsidRPr="00C1026E">
        <w:rPr>
          <w:rFonts w:cs="Segoe UI"/>
          <w:szCs w:val="27"/>
        </w:rPr>
        <w:t xml:space="preserve"> </w:t>
      </w:r>
      <w:r w:rsidR="005104E1">
        <w:rPr>
          <w:rFonts w:cs="Segoe UI"/>
          <w:szCs w:val="27"/>
        </w:rPr>
        <w:t xml:space="preserve">The court </w:t>
      </w:r>
      <w:r w:rsidR="005F04C0" w:rsidRPr="00C1026E">
        <w:rPr>
          <w:rFonts w:cs="Segoe UI"/>
          <w:szCs w:val="27"/>
        </w:rPr>
        <w:t xml:space="preserve">surmised that the “second incident” may have exacerbated these issues </w:t>
      </w:r>
      <w:r w:rsidR="00194A7A" w:rsidRPr="00C1026E">
        <w:rPr>
          <w:rFonts w:cs="Segoe UI"/>
          <w:szCs w:val="27"/>
        </w:rPr>
        <w:t xml:space="preserve">and that </w:t>
      </w:r>
      <w:r w:rsidR="005F04C0" w:rsidRPr="00C1026E">
        <w:rPr>
          <w:rFonts w:cs="Segoe UI"/>
          <w:szCs w:val="27"/>
        </w:rPr>
        <w:t xml:space="preserve">the District should be entitled to elicit information about </w:t>
      </w:r>
      <w:r w:rsidR="00FB2A32">
        <w:rPr>
          <w:rFonts w:cs="Segoe UI"/>
          <w:szCs w:val="27"/>
        </w:rPr>
        <w:t xml:space="preserve">them </w:t>
      </w:r>
      <w:r w:rsidR="005F04C0" w:rsidRPr="00C1026E">
        <w:rPr>
          <w:rFonts w:cs="Segoe UI"/>
          <w:szCs w:val="27"/>
        </w:rPr>
        <w:t xml:space="preserve">in “the most minimally invasive manner by asking </w:t>
      </w:r>
      <w:r w:rsidR="0026379A">
        <w:rPr>
          <w:rFonts w:cs="Segoe UI"/>
          <w:szCs w:val="27"/>
        </w:rPr>
        <w:t xml:space="preserve">[plaintiff] </w:t>
      </w:r>
      <w:r w:rsidR="005F04C0" w:rsidRPr="00C1026E">
        <w:rPr>
          <w:rFonts w:cs="Segoe UI"/>
          <w:szCs w:val="27"/>
        </w:rPr>
        <w:t xml:space="preserve">hopefully one single question.” </w:t>
      </w:r>
      <w:r w:rsidR="00846553" w:rsidRPr="00C1026E">
        <w:rPr>
          <w:rFonts w:cs="Segoe UI"/>
          <w:szCs w:val="27"/>
        </w:rPr>
        <w:t xml:space="preserve"> </w:t>
      </w:r>
      <w:r w:rsidR="005F04C0" w:rsidRPr="00C1026E">
        <w:rPr>
          <w:rFonts w:cs="Segoe UI"/>
          <w:szCs w:val="27"/>
        </w:rPr>
        <w:t xml:space="preserve">The court acknowledged </w:t>
      </w:r>
      <w:r w:rsidR="00397BB0">
        <w:rPr>
          <w:rFonts w:cs="Segoe UI"/>
          <w:szCs w:val="27"/>
        </w:rPr>
        <w:t xml:space="preserve">plaintiff’s </w:t>
      </w:r>
      <w:r w:rsidR="005F04C0" w:rsidRPr="00C1026E">
        <w:rPr>
          <w:rFonts w:cs="Segoe UI"/>
          <w:szCs w:val="27"/>
        </w:rPr>
        <w:t xml:space="preserve">“right to privacy,” but found </w:t>
      </w:r>
      <w:r w:rsidRPr="003A6046">
        <w:rPr>
          <w:szCs w:val="27"/>
        </w:rPr>
        <w:t>the 2013 molestation “highly and</w:t>
      </w:r>
      <w:r w:rsidRPr="003A6046">
        <w:rPr>
          <w:szCs w:val="27"/>
        </w:rPr>
        <w:t xml:space="preserve"> directly relevant</w:t>
      </w:r>
      <w:r w:rsidR="000D10E1" w:rsidRPr="003A6046">
        <w:rPr>
          <w:szCs w:val="27"/>
        </w:rPr>
        <w:t xml:space="preserve"> on the defense </w:t>
      </w:r>
      <w:r w:rsidR="00111504" w:rsidRPr="003A6046">
        <w:rPr>
          <w:szCs w:val="27"/>
        </w:rPr>
        <w:t>damage case</w:t>
      </w:r>
      <w:r w:rsidRPr="003A6046">
        <w:rPr>
          <w:szCs w:val="27"/>
        </w:rPr>
        <w:t xml:space="preserve">” concerning whether plaintiff’s emotional distress was caused solely by Baldenebro’s conduct or by a combination of his conduct and the 2013 molestation.  </w:t>
      </w:r>
    </w:p>
    <w:p w14:paraId="0DB2E7B6" w14:textId="77777777" w:rsidR="00300FAF" w:rsidRPr="00E0567D" w:rsidRDefault="002E6832" w:rsidP="001801DE">
      <w:pPr>
        <w:tabs>
          <w:tab w:val="left" w:pos="3609"/>
        </w:tabs>
        <w:ind w:firstLine="720"/>
        <w:rPr>
          <w:rFonts w:ascii="Times New Roman" w:hAnsi="Times New Roman"/>
          <w:sz w:val="26"/>
          <w:szCs w:val="26"/>
        </w:rPr>
      </w:pPr>
      <w:r w:rsidRPr="003A6046">
        <w:rPr>
          <w:szCs w:val="27"/>
        </w:rPr>
        <w:t xml:space="preserve">Turning to </w:t>
      </w:r>
      <w:r w:rsidR="009348E8" w:rsidRPr="003A6046">
        <w:rPr>
          <w:szCs w:val="27"/>
        </w:rPr>
        <w:t xml:space="preserve">undue prejudice </w:t>
      </w:r>
      <w:r w:rsidR="006800ED" w:rsidRPr="003A6046">
        <w:rPr>
          <w:szCs w:val="27"/>
        </w:rPr>
        <w:t>under s</w:t>
      </w:r>
      <w:r w:rsidRPr="003A6046">
        <w:rPr>
          <w:szCs w:val="27"/>
        </w:rPr>
        <w:t>ection 352, t</w:t>
      </w:r>
      <w:r w:rsidR="0084544E" w:rsidRPr="003A6046">
        <w:rPr>
          <w:szCs w:val="27"/>
        </w:rPr>
        <w:t xml:space="preserve">he </w:t>
      </w:r>
      <w:r w:rsidR="00577077" w:rsidRPr="003A6046">
        <w:rPr>
          <w:szCs w:val="27"/>
        </w:rPr>
        <w:t xml:space="preserve">trial </w:t>
      </w:r>
      <w:r w:rsidR="0084544E" w:rsidRPr="003A6046">
        <w:rPr>
          <w:szCs w:val="27"/>
        </w:rPr>
        <w:t>court</w:t>
      </w:r>
      <w:r w:rsidR="002A1CA5" w:rsidRPr="003A6046">
        <w:rPr>
          <w:szCs w:val="27"/>
        </w:rPr>
        <w:t xml:space="preserve"> stated it would </w:t>
      </w:r>
      <w:r w:rsidR="00B400A4" w:rsidRPr="003A6046">
        <w:rPr>
          <w:szCs w:val="27"/>
        </w:rPr>
        <w:t xml:space="preserve">exercise its discretion to allow the evidence concerning the </w:t>
      </w:r>
      <w:r w:rsidR="005B5A6F" w:rsidRPr="003A6046">
        <w:rPr>
          <w:szCs w:val="27"/>
        </w:rPr>
        <w:t>2013 molestation</w:t>
      </w:r>
      <w:r w:rsidR="00425875" w:rsidRPr="003A6046">
        <w:rPr>
          <w:szCs w:val="27"/>
        </w:rPr>
        <w:t xml:space="preserve">, reasoning that </w:t>
      </w:r>
      <w:r w:rsidR="00756944" w:rsidRPr="003A6046">
        <w:rPr>
          <w:szCs w:val="27"/>
        </w:rPr>
        <w:t xml:space="preserve">its </w:t>
      </w:r>
      <w:r w:rsidR="00425875" w:rsidRPr="003A6046">
        <w:rPr>
          <w:szCs w:val="27"/>
        </w:rPr>
        <w:t>“</w:t>
      </w:r>
      <w:r w:rsidR="0084544E" w:rsidRPr="003A6046">
        <w:rPr>
          <w:szCs w:val="27"/>
        </w:rPr>
        <w:t xml:space="preserve">probative value </w:t>
      </w:r>
      <w:r w:rsidR="00065A2F" w:rsidRPr="003A6046">
        <w:rPr>
          <w:szCs w:val="27"/>
        </w:rPr>
        <w:t xml:space="preserve">is </w:t>
      </w:r>
      <w:r w:rsidR="0084544E" w:rsidRPr="003A6046">
        <w:rPr>
          <w:szCs w:val="27"/>
        </w:rPr>
        <w:t>not substantially outweighed by the probability</w:t>
      </w:r>
      <w:r w:rsidR="00283389" w:rsidRPr="003A6046">
        <w:rPr>
          <w:szCs w:val="27"/>
        </w:rPr>
        <w:t>”</w:t>
      </w:r>
      <w:r w:rsidR="0084544E" w:rsidRPr="003A6046">
        <w:rPr>
          <w:szCs w:val="27"/>
        </w:rPr>
        <w:t xml:space="preserve"> that admission </w:t>
      </w:r>
      <w:r w:rsidR="00283389" w:rsidRPr="003A6046">
        <w:rPr>
          <w:szCs w:val="27"/>
        </w:rPr>
        <w:t xml:space="preserve">would </w:t>
      </w:r>
      <w:r w:rsidR="00727C80" w:rsidRPr="003A6046">
        <w:rPr>
          <w:szCs w:val="27"/>
        </w:rPr>
        <w:t>cause undue delay</w:t>
      </w:r>
      <w:r w:rsidR="00343346" w:rsidRPr="003A6046">
        <w:rPr>
          <w:szCs w:val="27"/>
        </w:rPr>
        <w:t xml:space="preserve"> or prejudice, </w:t>
      </w:r>
      <w:r w:rsidR="0084544E" w:rsidRPr="003A6046">
        <w:rPr>
          <w:szCs w:val="27"/>
        </w:rPr>
        <w:t>confus</w:t>
      </w:r>
      <w:r w:rsidR="00343346" w:rsidRPr="003A6046">
        <w:rPr>
          <w:szCs w:val="27"/>
        </w:rPr>
        <w:t xml:space="preserve">ion, </w:t>
      </w:r>
      <w:r w:rsidR="0084544E" w:rsidRPr="003A6046">
        <w:rPr>
          <w:szCs w:val="27"/>
        </w:rPr>
        <w:t xml:space="preserve">or </w:t>
      </w:r>
      <w:r w:rsidR="00F85887" w:rsidRPr="003A6046">
        <w:rPr>
          <w:szCs w:val="27"/>
        </w:rPr>
        <w:t xml:space="preserve">otherwise </w:t>
      </w:r>
      <w:r w:rsidR="0084544E" w:rsidRPr="003A6046">
        <w:rPr>
          <w:szCs w:val="27"/>
        </w:rPr>
        <w:t>mislead the jury</w:t>
      </w:r>
      <w:r w:rsidR="006A0B98" w:rsidRPr="003A6046">
        <w:rPr>
          <w:szCs w:val="27"/>
        </w:rPr>
        <w:t>.</w:t>
      </w:r>
      <w:r w:rsidR="0084544E" w:rsidRPr="003A6046">
        <w:rPr>
          <w:szCs w:val="27"/>
        </w:rPr>
        <w:t xml:space="preserve"> </w:t>
      </w:r>
      <w:r w:rsidR="003B2CDE" w:rsidRPr="003A6046">
        <w:rPr>
          <w:szCs w:val="27"/>
        </w:rPr>
        <w:t xml:space="preserve"> </w:t>
      </w:r>
    </w:p>
    <w:p w14:paraId="0DB2E7B7" w14:textId="77777777" w:rsidR="00E8571D" w:rsidRPr="00535A24" w:rsidRDefault="002E6832" w:rsidP="00535A24">
      <w:pPr>
        <w:pStyle w:val="Heading2"/>
        <w:keepLines/>
      </w:pPr>
      <w:r w:rsidRPr="00535A24">
        <w:t xml:space="preserve">D.  Writ Proceedings </w:t>
      </w:r>
      <w:r w:rsidR="00534C1E" w:rsidRPr="00535A24">
        <w:t xml:space="preserve">and Opening Statements </w:t>
      </w:r>
      <w:r w:rsidR="00C16C34" w:rsidRPr="00535A24">
        <w:t>at Trial</w:t>
      </w:r>
    </w:p>
    <w:p w14:paraId="0DB2E7B8" w14:textId="77777777" w:rsidR="00E8571D" w:rsidRPr="003751BB" w:rsidRDefault="002E6832" w:rsidP="003751BB">
      <w:pPr>
        <w:tabs>
          <w:tab w:val="left" w:pos="3609"/>
        </w:tabs>
        <w:ind w:firstLine="720"/>
        <w:rPr>
          <w:szCs w:val="26"/>
        </w:rPr>
      </w:pPr>
      <w:r w:rsidRPr="003751BB">
        <w:rPr>
          <w:szCs w:val="26"/>
        </w:rPr>
        <w:t xml:space="preserve">Immediately after the </w:t>
      </w:r>
      <w:r w:rsidR="001F5D00" w:rsidRPr="003751BB">
        <w:rPr>
          <w:szCs w:val="26"/>
        </w:rPr>
        <w:t xml:space="preserve">trial court’s </w:t>
      </w:r>
      <w:r w:rsidRPr="003751BB">
        <w:rPr>
          <w:szCs w:val="26"/>
        </w:rPr>
        <w:t xml:space="preserve">ruling, </w:t>
      </w:r>
      <w:r w:rsidR="00C4677D" w:rsidRPr="003751BB">
        <w:rPr>
          <w:szCs w:val="26"/>
        </w:rPr>
        <w:t xml:space="preserve">counsel for </w:t>
      </w:r>
      <w:r w:rsidRPr="003751BB">
        <w:rPr>
          <w:szCs w:val="26"/>
        </w:rPr>
        <w:t>plaintiff</w:t>
      </w:r>
      <w:r w:rsidR="00C4677D" w:rsidRPr="003751BB">
        <w:rPr>
          <w:szCs w:val="26"/>
        </w:rPr>
        <w:t>s</w:t>
      </w:r>
      <w:r w:rsidR="00130AB1" w:rsidRPr="003751BB">
        <w:rPr>
          <w:szCs w:val="26"/>
        </w:rPr>
        <w:t xml:space="preserve"> </w:t>
      </w:r>
      <w:r w:rsidRPr="003751BB">
        <w:rPr>
          <w:szCs w:val="26"/>
        </w:rPr>
        <w:t xml:space="preserve">petitioned the Court of Appeal for a writ of mandate ordering the </w:t>
      </w:r>
      <w:r w:rsidR="00CD2855" w:rsidRPr="003751BB">
        <w:rPr>
          <w:szCs w:val="26"/>
        </w:rPr>
        <w:t xml:space="preserve">lower </w:t>
      </w:r>
      <w:r w:rsidRPr="003751BB">
        <w:rPr>
          <w:szCs w:val="26"/>
        </w:rPr>
        <w:t>court</w:t>
      </w:r>
      <w:r w:rsidRPr="003751BB">
        <w:rPr>
          <w:szCs w:val="26"/>
        </w:rPr>
        <w:t xml:space="preserve"> to exclude evidence </w:t>
      </w:r>
      <w:r w:rsidR="00A3787A" w:rsidRPr="003751BB">
        <w:rPr>
          <w:szCs w:val="26"/>
        </w:rPr>
        <w:t xml:space="preserve">regarding </w:t>
      </w:r>
      <w:r w:rsidRPr="003751BB">
        <w:rPr>
          <w:szCs w:val="26"/>
        </w:rPr>
        <w:t>the 2013 molestation</w:t>
      </w:r>
      <w:r w:rsidR="001B3CA4" w:rsidRPr="003751BB">
        <w:rPr>
          <w:szCs w:val="26"/>
        </w:rPr>
        <w:t xml:space="preserve"> and </w:t>
      </w:r>
      <w:r w:rsidRPr="003751BB">
        <w:rPr>
          <w:szCs w:val="26"/>
        </w:rPr>
        <w:t xml:space="preserve">requested a stay of the trial proceedings pending </w:t>
      </w:r>
      <w:r w:rsidR="00AD7672" w:rsidRPr="003751BB">
        <w:rPr>
          <w:szCs w:val="26"/>
        </w:rPr>
        <w:t xml:space="preserve">the appellate court’s </w:t>
      </w:r>
      <w:r w:rsidRPr="003751BB">
        <w:rPr>
          <w:szCs w:val="26"/>
        </w:rPr>
        <w:t xml:space="preserve">review.  </w:t>
      </w:r>
      <w:r w:rsidR="002C6F19" w:rsidRPr="003751BB">
        <w:rPr>
          <w:szCs w:val="26"/>
        </w:rPr>
        <w:t xml:space="preserve">In a hearing </w:t>
      </w:r>
      <w:r w:rsidR="002B4810" w:rsidRPr="003751BB">
        <w:rPr>
          <w:szCs w:val="26"/>
        </w:rPr>
        <w:t xml:space="preserve">in the </w:t>
      </w:r>
      <w:r w:rsidR="00057677" w:rsidRPr="003751BB">
        <w:rPr>
          <w:szCs w:val="26"/>
        </w:rPr>
        <w:t xml:space="preserve">trial </w:t>
      </w:r>
      <w:r w:rsidR="002B4810" w:rsidRPr="003751BB">
        <w:rPr>
          <w:szCs w:val="26"/>
        </w:rPr>
        <w:t xml:space="preserve">court on that </w:t>
      </w:r>
      <w:r w:rsidR="009713C6" w:rsidRPr="003751BB">
        <w:rPr>
          <w:szCs w:val="26"/>
        </w:rPr>
        <w:t>same</w:t>
      </w:r>
      <w:r w:rsidR="002C6F19" w:rsidRPr="003751BB">
        <w:rPr>
          <w:szCs w:val="26"/>
        </w:rPr>
        <w:t xml:space="preserve"> day, the court confirmed that the District would be permitted </w:t>
      </w:r>
      <w:r w:rsidR="00BE4853" w:rsidRPr="003751BB">
        <w:rPr>
          <w:szCs w:val="26"/>
        </w:rPr>
        <w:t xml:space="preserve">to </w:t>
      </w:r>
      <w:r w:rsidR="00E17B7F" w:rsidRPr="003751BB">
        <w:rPr>
          <w:szCs w:val="26"/>
        </w:rPr>
        <w:t>“</w:t>
      </w:r>
      <w:r w:rsidR="00CE29AD" w:rsidRPr="003751BB">
        <w:rPr>
          <w:szCs w:val="26"/>
        </w:rPr>
        <w:t>mention</w:t>
      </w:r>
      <w:r w:rsidR="00E17B7F" w:rsidRPr="003751BB">
        <w:rPr>
          <w:szCs w:val="26"/>
        </w:rPr>
        <w:t>”</w:t>
      </w:r>
      <w:r w:rsidR="00CE29AD" w:rsidRPr="003751BB">
        <w:rPr>
          <w:szCs w:val="26"/>
        </w:rPr>
        <w:t xml:space="preserve"> the 2013 molestation in its </w:t>
      </w:r>
      <w:r w:rsidR="00CE29AD" w:rsidRPr="003751BB">
        <w:rPr>
          <w:szCs w:val="26"/>
        </w:rPr>
        <w:lastRenderedPageBreak/>
        <w:t>opening statemen</w:t>
      </w:r>
      <w:r w:rsidR="000E58DA" w:rsidRPr="003751BB">
        <w:rPr>
          <w:szCs w:val="26"/>
        </w:rPr>
        <w:t>t</w:t>
      </w:r>
      <w:r w:rsidR="00CE29AD" w:rsidRPr="003751BB">
        <w:rPr>
          <w:szCs w:val="26"/>
        </w:rPr>
        <w:t xml:space="preserve">.  </w:t>
      </w:r>
      <w:r w:rsidR="000225F3">
        <w:rPr>
          <w:szCs w:val="26"/>
        </w:rPr>
        <w:t>T</w:t>
      </w:r>
      <w:r w:rsidRPr="003751BB">
        <w:rPr>
          <w:szCs w:val="26"/>
        </w:rPr>
        <w:t xml:space="preserve">he </w:t>
      </w:r>
      <w:r w:rsidR="00AD7672" w:rsidRPr="003751BB">
        <w:rPr>
          <w:szCs w:val="26"/>
        </w:rPr>
        <w:t xml:space="preserve">Court of </w:t>
      </w:r>
      <w:r w:rsidR="00001F4A" w:rsidRPr="003751BB">
        <w:rPr>
          <w:szCs w:val="26"/>
        </w:rPr>
        <w:t xml:space="preserve">Appeal </w:t>
      </w:r>
      <w:r w:rsidR="00A909AE" w:rsidRPr="003751BB">
        <w:rPr>
          <w:szCs w:val="26"/>
        </w:rPr>
        <w:t xml:space="preserve">initially </w:t>
      </w:r>
      <w:r w:rsidRPr="003751BB">
        <w:rPr>
          <w:szCs w:val="26"/>
        </w:rPr>
        <w:t>granted a</w:t>
      </w:r>
      <w:r w:rsidR="006269BD" w:rsidRPr="003751BB">
        <w:rPr>
          <w:szCs w:val="26"/>
        </w:rPr>
        <w:t xml:space="preserve">n immediate </w:t>
      </w:r>
      <w:r w:rsidRPr="003751BB">
        <w:rPr>
          <w:szCs w:val="26"/>
        </w:rPr>
        <w:t>stay</w:t>
      </w:r>
      <w:r w:rsidR="000E58DA" w:rsidRPr="003751BB">
        <w:rPr>
          <w:szCs w:val="26"/>
        </w:rPr>
        <w:t xml:space="preserve"> of the trial</w:t>
      </w:r>
      <w:r w:rsidR="006D2B4D">
        <w:rPr>
          <w:szCs w:val="26"/>
        </w:rPr>
        <w:t xml:space="preserve"> later that day</w:t>
      </w:r>
      <w:r w:rsidR="009A40CB" w:rsidRPr="003751BB">
        <w:rPr>
          <w:szCs w:val="26"/>
        </w:rPr>
        <w:t>,</w:t>
      </w:r>
      <w:r w:rsidR="00041FD1" w:rsidRPr="003751BB">
        <w:rPr>
          <w:szCs w:val="26"/>
        </w:rPr>
        <w:t xml:space="preserve"> but </w:t>
      </w:r>
      <w:r w:rsidR="006D2B4D">
        <w:rPr>
          <w:szCs w:val="26"/>
        </w:rPr>
        <w:t xml:space="preserve">ultimately </w:t>
      </w:r>
      <w:r w:rsidRPr="003751BB">
        <w:rPr>
          <w:szCs w:val="26"/>
        </w:rPr>
        <w:t>denied the writ and dissolved th</w:t>
      </w:r>
      <w:r w:rsidRPr="003751BB">
        <w:rPr>
          <w:szCs w:val="26"/>
        </w:rPr>
        <w:t>e stay</w:t>
      </w:r>
      <w:r w:rsidR="0076253C" w:rsidRPr="003751BB">
        <w:rPr>
          <w:szCs w:val="26"/>
        </w:rPr>
        <w:t xml:space="preserve"> the following day</w:t>
      </w:r>
      <w:r w:rsidRPr="003751BB">
        <w:rPr>
          <w:szCs w:val="26"/>
        </w:rPr>
        <w:t xml:space="preserve">.  </w:t>
      </w:r>
    </w:p>
    <w:p w14:paraId="0DB2E7B9" w14:textId="77777777" w:rsidR="009F02E1" w:rsidRPr="002A755E" w:rsidRDefault="002E6832" w:rsidP="003751BB">
      <w:pPr>
        <w:tabs>
          <w:tab w:val="left" w:pos="3609"/>
        </w:tabs>
        <w:ind w:firstLine="720"/>
        <w:rPr>
          <w:szCs w:val="26"/>
        </w:rPr>
      </w:pPr>
      <w:r w:rsidRPr="003751BB">
        <w:rPr>
          <w:szCs w:val="26"/>
        </w:rPr>
        <w:t>O</w:t>
      </w:r>
      <w:r w:rsidR="002A7ED8" w:rsidRPr="003751BB">
        <w:rPr>
          <w:szCs w:val="26"/>
        </w:rPr>
        <w:t xml:space="preserve">n the </w:t>
      </w:r>
      <w:r w:rsidR="00AF20B4" w:rsidRPr="003751BB">
        <w:rPr>
          <w:szCs w:val="26"/>
        </w:rPr>
        <w:t xml:space="preserve">next </w:t>
      </w:r>
      <w:r w:rsidR="00E8571D" w:rsidRPr="003751BB">
        <w:rPr>
          <w:szCs w:val="26"/>
        </w:rPr>
        <w:t>court day</w:t>
      </w:r>
      <w:r w:rsidR="00300C83" w:rsidRPr="003751BB">
        <w:rPr>
          <w:szCs w:val="26"/>
        </w:rPr>
        <w:t>,</w:t>
      </w:r>
      <w:r w:rsidR="00382348" w:rsidRPr="003751BB">
        <w:rPr>
          <w:szCs w:val="26"/>
        </w:rPr>
        <w:t xml:space="preserve"> </w:t>
      </w:r>
      <w:r w:rsidR="005D4396" w:rsidRPr="003751BB">
        <w:rPr>
          <w:szCs w:val="26"/>
        </w:rPr>
        <w:t>plaintiff</w:t>
      </w:r>
      <w:r w:rsidR="005059F9" w:rsidRPr="003751BB">
        <w:rPr>
          <w:szCs w:val="26"/>
        </w:rPr>
        <w:t>s</w:t>
      </w:r>
      <w:r w:rsidR="00F95AA5" w:rsidRPr="003751BB">
        <w:rPr>
          <w:szCs w:val="26"/>
        </w:rPr>
        <w:t xml:space="preserve">’ counsel </w:t>
      </w:r>
      <w:r w:rsidR="00216E09" w:rsidRPr="003751BB">
        <w:rPr>
          <w:szCs w:val="26"/>
        </w:rPr>
        <w:t xml:space="preserve">advised the trial court and the District </w:t>
      </w:r>
      <w:r w:rsidR="009A7F0E" w:rsidRPr="003751BB">
        <w:rPr>
          <w:szCs w:val="26"/>
        </w:rPr>
        <w:t>that he</w:t>
      </w:r>
      <w:r w:rsidR="007E16F3" w:rsidRPr="003751BB">
        <w:rPr>
          <w:szCs w:val="26"/>
        </w:rPr>
        <w:t xml:space="preserve"> </w:t>
      </w:r>
      <w:r w:rsidR="00F56899" w:rsidRPr="003751BB">
        <w:rPr>
          <w:szCs w:val="26"/>
        </w:rPr>
        <w:t>had</w:t>
      </w:r>
      <w:r w:rsidR="00AF52F2" w:rsidRPr="003751BB">
        <w:rPr>
          <w:szCs w:val="26"/>
        </w:rPr>
        <w:t xml:space="preserve"> </w:t>
      </w:r>
      <w:r w:rsidR="00F56899" w:rsidRPr="003751BB">
        <w:rPr>
          <w:szCs w:val="26"/>
        </w:rPr>
        <w:t xml:space="preserve">filed a petition for </w:t>
      </w:r>
      <w:r w:rsidR="001D747A" w:rsidRPr="003751BB">
        <w:rPr>
          <w:szCs w:val="26"/>
        </w:rPr>
        <w:t xml:space="preserve">review </w:t>
      </w:r>
      <w:r w:rsidR="00242D62" w:rsidRPr="003751BB">
        <w:rPr>
          <w:szCs w:val="26"/>
        </w:rPr>
        <w:t xml:space="preserve">in this court </w:t>
      </w:r>
      <w:r w:rsidR="00E661CE" w:rsidRPr="003751BB">
        <w:rPr>
          <w:szCs w:val="26"/>
        </w:rPr>
        <w:t xml:space="preserve">and </w:t>
      </w:r>
      <w:r w:rsidR="009E225E" w:rsidRPr="003751BB">
        <w:rPr>
          <w:szCs w:val="26"/>
        </w:rPr>
        <w:t xml:space="preserve">request </w:t>
      </w:r>
      <w:r w:rsidR="00E661CE" w:rsidRPr="003751BB">
        <w:rPr>
          <w:szCs w:val="26"/>
        </w:rPr>
        <w:t xml:space="preserve">for </w:t>
      </w:r>
      <w:r w:rsidR="009E225E" w:rsidRPr="003751BB">
        <w:rPr>
          <w:szCs w:val="26"/>
        </w:rPr>
        <w:t>an immediate stay</w:t>
      </w:r>
      <w:r w:rsidR="00B55CC8" w:rsidRPr="003751BB">
        <w:rPr>
          <w:szCs w:val="26"/>
        </w:rPr>
        <w:t xml:space="preserve">.  </w:t>
      </w:r>
      <w:r w:rsidR="00FB4B5E" w:rsidRPr="003751BB">
        <w:rPr>
          <w:szCs w:val="26"/>
        </w:rPr>
        <w:t>C</w:t>
      </w:r>
      <w:r w:rsidR="00653C4A" w:rsidRPr="003751BB">
        <w:rPr>
          <w:szCs w:val="26"/>
        </w:rPr>
        <w:t xml:space="preserve">ounsel </w:t>
      </w:r>
      <w:r w:rsidR="00840C80" w:rsidRPr="003751BB">
        <w:rPr>
          <w:szCs w:val="26"/>
        </w:rPr>
        <w:t xml:space="preserve">confirmed </w:t>
      </w:r>
      <w:r w:rsidR="007007B3" w:rsidRPr="003751BB">
        <w:rPr>
          <w:szCs w:val="26"/>
        </w:rPr>
        <w:t xml:space="preserve">that </w:t>
      </w:r>
      <w:r w:rsidR="00D32910" w:rsidRPr="003751BB">
        <w:rPr>
          <w:szCs w:val="26"/>
        </w:rPr>
        <w:t xml:space="preserve">he was “not requesting a </w:t>
      </w:r>
      <w:r w:rsidR="008A5DDC" w:rsidRPr="003751BB">
        <w:rPr>
          <w:szCs w:val="26"/>
        </w:rPr>
        <w:t>stay of this trial”</w:t>
      </w:r>
      <w:r w:rsidR="003A0F20">
        <w:rPr>
          <w:szCs w:val="26"/>
        </w:rPr>
        <w:t xml:space="preserve"> from the trial court</w:t>
      </w:r>
      <w:r w:rsidR="00FB4B5E" w:rsidRPr="002A755E">
        <w:rPr>
          <w:szCs w:val="26"/>
        </w:rPr>
        <w:t xml:space="preserve"> </w:t>
      </w:r>
      <w:r w:rsidR="00C415B5" w:rsidRPr="002A755E">
        <w:rPr>
          <w:szCs w:val="26"/>
        </w:rPr>
        <w:t xml:space="preserve">and </w:t>
      </w:r>
      <w:r w:rsidR="00455C21" w:rsidRPr="002A755E">
        <w:rPr>
          <w:szCs w:val="26"/>
        </w:rPr>
        <w:t>“</w:t>
      </w:r>
      <w:r w:rsidR="00B74817" w:rsidRPr="002A755E">
        <w:rPr>
          <w:szCs w:val="26"/>
        </w:rPr>
        <w:t>preserv</w:t>
      </w:r>
      <w:r w:rsidR="00C415B5" w:rsidRPr="002A755E">
        <w:rPr>
          <w:szCs w:val="26"/>
        </w:rPr>
        <w:t xml:space="preserve">[ed] </w:t>
      </w:r>
      <w:r w:rsidR="00B74817" w:rsidRPr="002A755E">
        <w:rPr>
          <w:szCs w:val="26"/>
        </w:rPr>
        <w:t xml:space="preserve">our objection to </w:t>
      </w:r>
      <w:r w:rsidR="00047C04" w:rsidRPr="002A755E">
        <w:rPr>
          <w:szCs w:val="26"/>
        </w:rPr>
        <w:t>the subsequent sexual abuse incident</w:t>
      </w:r>
      <w:r w:rsidR="00E110AC" w:rsidRPr="002A755E">
        <w:rPr>
          <w:szCs w:val="26"/>
        </w:rPr>
        <w:t xml:space="preserve"> . . .</w:t>
      </w:r>
      <w:r w:rsidR="00455C21" w:rsidRPr="002A755E">
        <w:rPr>
          <w:szCs w:val="26"/>
        </w:rPr>
        <w:t xml:space="preserve"> </w:t>
      </w:r>
      <w:r w:rsidR="00811F73" w:rsidRPr="002A755E">
        <w:rPr>
          <w:szCs w:val="26"/>
        </w:rPr>
        <w:t xml:space="preserve">but </w:t>
      </w:r>
      <w:r w:rsidR="00177E65" w:rsidRPr="002A755E">
        <w:rPr>
          <w:szCs w:val="26"/>
        </w:rPr>
        <w:t>in</w:t>
      </w:r>
      <w:r w:rsidR="00A66565" w:rsidRPr="002A755E">
        <w:rPr>
          <w:szCs w:val="26"/>
        </w:rPr>
        <w:t xml:space="preserve"> light of the Court of Appeal’s ruling, </w:t>
      </w:r>
      <w:r w:rsidR="00A84632" w:rsidRPr="002A755E">
        <w:rPr>
          <w:szCs w:val="26"/>
        </w:rPr>
        <w:t xml:space="preserve">we will go forward and we will address </w:t>
      </w:r>
      <w:r w:rsidR="007F1394" w:rsidRPr="002A755E">
        <w:rPr>
          <w:szCs w:val="26"/>
        </w:rPr>
        <w:t>that in our opening as well because of the ruling</w:t>
      </w:r>
      <w:r w:rsidRPr="002A755E">
        <w:rPr>
          <w:szCs w:val="26"/>
        </w:rPr>
        <w:t xml:space="preserve">.”  </w:t>
      </w:r>
    </w:p>
    <w:p w14:paraId="0DB2E7BA" w14:textId="77777777" w:rsidR="00406FF7" w:rsidRPr="002A755E" w:rsidRDefault="002E6832" w:rsidP="003751BB">
      <w:pPr>
        <w:tabs>
          <w:tab w:val="left" w:pos="3609"/>
        </w:tabs>
        <w:ind w:firstLine="720"/>
        <w:rPr>
          <w:szCs w:val="26"/>
        </w:rPr>
      </w:pPr>
      <w:r w:rsidRPr="002A755E">
        <w:rPr>
          <w:szCs w:val="26"/>
        </w:rPr>
        <w:t xml:space="preserve">In the </w:t>
      </w:r>
      <w:r w:rsidR="0040046D" w:rsidRPr="002A755E">
        <w:rPr>
          <w:szCs w:val="26"/>
        </w:rPr>
        <w:t xml:space="preserve">ensuing opening statements, </w:t>
      </w:r>
      <w:r w:rsidR="00C9016B" w:rsidRPr="002A755E">
        <w:rPr>
          <w:szCs w:val="26"/>
        </w:rPr>
        <w:t xml:space="preserve">counsel </w:t>
      </w:r>
      <w:r w:rsidR="00F053D6" w:rsidRPr="002A755E">
        <w:rPr>
          <w:szCs w:val="26"/>
        </w:rPr>
        <w:t>for plaintiff</w:t>
      </w:r>
      <w:r w:rsidR="003537BF" w:rsidRPr="002A755E">
        <w:rPr>
          <w:szCs w:val="26"/>
        </w:rPr>
        <w:t xml:space="preserve">s </w:t>
      </w:r>
      <w:r w:rsidR="003D1FCD" w:rsidRPr="002A755E">
        <w:rPr>
          <w:szCs w:val="26"/>
        </w:rPr>
        <w:t xml:space="preserve">told the jury that </w:t>
      </w:r>
      <w:r w:rsidR="002A5BDB" w:rsidRPr="002A755E">
        <w:rPr>
          <w:szCs w:val="26"/>
        </w:rPr>
        <w:t xml:space="preserve">his </w:t>
      </w:r>
      <w:r w:rsidR="001F394A" w:rsidRPr="002A755E">
        <w:rPr>
          <w:szCs w:val="26"/>
        </w:rPr>
        <w:t>clients</w:t>
      </w:r>
      <w:r w:rsidR="002A5BDB" w:rsidRPr="002A755E">
        <w:rPr>
          <w:szCs w:val="26"/>
        </w:rPr>
        <w:t xml:space="preserve"> would </w:t>
      </w:r>
      <w:r w:rsidR="00726B98" w:rsidRPr="002A755E">
        <w:rPr>
          <w:szCs w:val="26"/>
        </w:rPr>
        <w:t>recount</w:t>
      </w:r>
      <w:r w:rsidR="003D1FCD" w:rsidRPr="002A755E">
        <w:rPr>
          <w:szCs w:val="26"/>
        </w:rPr>
        <w:t xml:space="preserve"> </w:t>
      </w:r>
      <w:r w:rsidR="002A5BDB" w:rsidRPr="002A755E">
        <w:rPr>
          <w:szCs w:val="26"/>
        </w:rPr>
        <w:t>“inappropriate be</w:t>
      </w:r>
      <w:r w:rsidR="0007765B" w:rsidRPr="002A755E">
        <w:rPr>
          <w:szCs w:val="26"/>
        </w:rPr>
        <w:t xml:space="preserve">havior” by </w:t>
      </w:r>
      <w:r w:rsidR="006133E9" w:rsidRPr="002A755E">
        <w:rPr>
          <w:szCs w:val="26"/>
        </w:rPr>
        <w:t xml:space="preserve">teacher </w:t>
      </w:r>
      <w:r w:rsidR="0007765B" w:rsidRPr="002A755E">
        <w:rPr>
          <w:szCs w:val="26"/>
        </w:rPr>
        <w:t xml:space="preserve">Baldenebro </w:t>
      </w:r>
      <w:r w:rsidR="006133E9" w:rsidRPr="002A755E">
        <w:rPr>
          <w:szCs w:val="26"/>
        </w:rPr>
        <w:t xml:space="preserve">dating from the </w:t>
      </w:r>
      <w:r w:rsidR="00CE3EFD" w:rsidRPr="002A755E">
        <w:rPr>
          <w:szCs w:val="26"/>
        </w:rPr>
        <w:t>early 2000</w:t>
      </w:r>
      <w:r w:rsidR="005E648B" w:rsidRPr="002A755E">
        <w:rPr>
          <w:szCs w:val="26"/>
        </w:rPr>
        <w:t>’</w:t>
      </w:r>
      <w:r w:rsidR="00CE3EFD" w:rsidRPr="002A755E">
        <w:rPr>
          <w:szCs w:val="26"/>
        </w:rPr>
        <w:t>s</w:t>
      </w:r>
      <w:r w:rsidR="004073F6" w:rsidRPr="002A755E">
        <w:rPr>
          <w:szCs w:val="26"/>
        </w:rPr>
        <w:t xml:space="preserve"> </w:t>
      </w:r>
      <w:r w:rsidR="000D218A" w:rsidRPr="002A755E">
        <w:rPr>
          <w:szCs w:val="26"/>
        </w:rPr>
        <w:t xml:space="preserve">until </w:t>
      </w:r>
      <w:r w:rsidR="00FE0281" w:rsidRPr="002A755E">
        <w:rPr>
          <w:szCs w:val="26"/>
        </w:rPr>
        <w:t>2017</w:t>
      </w:r>
      <w:r w:rsidR="001773B4" w:rsidRPr="002A755E">
        <w:rPr>
          <w:szCs w:val="26"/>
        </w:rPr>
        <w:t xml:space="preserve">.  </w:t>
      </w:r>
      <w:r w:rsidR="002E4EEF" w:rsidRPr="002A755E">
        <w:rPr>
          <w:szCs w:val="26"/>
        </w:rPr>
        <w:t xml:space="preserve">Counsel </w:t>
      </w:r>
      <w:r w:rsidR="0097749B" w:rsidRPr="002A755E">
        <w:rPr>
          <w:szCs w:val="26"/>
        </w:rPr>
        <w:t xml:space="preserve">briefly </w:t>
      </w:r>
      <w:r w:rsidR="002E4EEF" w:rsidRPr="002A755E">
        <w:rPr>
          <w:szCs w:val="26"/>
        </w:rPr>
        <w:t>describe</w:t>
      </w:r>
      <w:r w:rsidR="000F5329" w:rsidRPr="002A755E">
        <w:rPr>
          <w:szCs w:val="26"/>
        </w:rPr>
        <w:t>d</w:t>
      </w:r>
      <w:r w:rsidR="00E7258E">
        <w:rPr>
          <w:szCs w:val="26"/>
        </w:rPr>
        <w:t xml:space="preserve"> </w:t>
      </w:r>
      <w:r w:rsidR="00180CEB" w:rsidRPr="002A755E">
        <w:rPr>
          <w:szCs w:val="26"/>
        </w:rPr>
        <w:t xml:space="preserve">the conduct </w:t>
      </w:r>
      <w:r w:rsidR="00E7258E" w:rsidRPr="002A755E">
        <w:rPr>
          <w:szCs w:val="26"/>
        </w:rPr>
        <w:t xml:space="preserve">each of the six </w:t>
      </w:r>
      <w:r w:rsidR="0014210B">
        <w:rPr>
          <w:szCs w:val="26"/>
        </w:rPr>
        <w:t>student plaintiffs</w:t>
      </w:r>
      <w:r w:rsidR="00E7258E" w:rsidRPr="002A755E">
        <w:rPr>
          <w:szCs w:val="26"/>
        </w:rPr>
        <w:t xml:space="preserve"> </w:t>
      </w:r>
      <w:r w:rsidR="003F4909" w:rsidRPr="002A755E">
        <w:rPr>
          <w:szCs w:val="26"/>
        </w:rPr>
        <w:t xml:space="preserve">had </w:t>
      </w:r>
      <w:r w:rsidR="00180CEB" w:rsidRPr="002A755E">
        <w:rPr>
          <w:szCs w:val="26"/>
        </w:rPr>
        <w:t>experienced</w:t>
      </w:r>
      <w:r w:rsidR="003F4909" w:rsidRPr="002A755E">
        <w:rPr>
          <w:szCs w:val="26"/>
        </w:rPr>
        <w:t xml:space="preserve"> </w:t>
      </w:r>
      <w:r w:rsidR="00081B33">
        <w:rPr>
          <w:szCs w:val="26"/>
        </w:rPr>
        <w:t xml:space="preserve">with </w:t>
      </w:r>
      <w:r w:rsidR="00457AA1" w:rsidRPr="002A755E">
        <w:rPr>
          <w:szCs w:val="26"/>
        </w:rPr>
        <w:t>Baldenebro</w:t>
      </w:r>
      <w:r w:rsidR="00946C06" w:rsidRPr="002A755E">
        <w:rPr>
          <w:szCs w:val="26"/>
        </w:rPr>
        <w:t>:</w:t>
      </w:r>
      <w:r w:rsidR="00EA765C" w:rsidRPr="002A755E">
        <w:rPr>
          <w:szCs w:val="26"/>
        </w:rPr>
        <w:t xml:space="preserve"> </w:t>
      </w:r>
      <w:r w:rsidR="00ED3609" w:rsidRPr="002A755E">
        <w:rPr>
          <w:szCs w:val="26"/>
        </w:rPr>
        <w:t xml:space="preserve"> </w:t>
      </w:r>
      <w:r w:rsidR="00EA765C" w:rsidRPr="002A755E">
        <w:rPr>
          <w:szCs w:val="26"/>
        </w:rPr>
        <w:t>i</w:t>
      </w:r>
      <w:r w:rsidR="00A364E6" w:rsidRPr="002A755E">
        <w:rPr>
          <w:szCs w:val="26"/>
        </w:rPr>
        <w:t xml:space="preserve">nappropriate touching, </w:t>
      </w:r>
      <w:r w:rsidR="00F16C93" w:rsidRPr="002A755E">
        <w:rPr>
          <w:szCs w:val="26"/>
        </w:rPr>
        <w:t xml:space="preserve">kisses, being made to sit on Baldenebro’s lap, and </w:t>
      </w:r>
      <w:r w:rsidR="000C0D9A" w:rsidRPr="002A755E">
        <w:rPr>
          <w:szCs w:val="26"/>
        </w:rPr>
        <w:t xml:space="preserve">feeling a bulge in </w:t>
      </w:r>
      <w:r w:rsidR="000F3476" w:rsidRPr="002A755E">
        <w:rPr>
          <w:szCs w:val="26"/>
        </w:rPr>
        <w:t xml:space="preserve">his </w:t>
      </w:r>
      <w:r w:rsidR="000C0D9A" w:rsidRPr="002A755E">
        <w:rPr>
          <w:szCs w:val="26"/>
        </w:rPr>
        <w:t xml:space="preserve">pants.  </w:t>
      </w:r>
      <w:r w:rsidR="00F44EEA" w:rsidRPr="002A755E">
        <w:rPr>
          <w:szCs w:val="26"/>
        </w:rPr>
        <w:t>But</w:t>
      </w:r>
      <w:r w:rsidR="00565FFD" w:rsidRPr="002A755E">
        <w:rPr>
          <w:szCs w:val="26"/>
        </w:rPr>
        <w:t>, counsel asserted, “</w:t>
      </w:r>
      <w:r w:rsidR="00242D62">
        <w:rPr>
          <w:szCs w:val="26"/>
        </w:rPr>
        <w:t>[U]</w:t>
      </w:r>
      <w:r w:rsidR="00565FFD" w:rsidRPr="002A755E">
        <w:rPr>
          <w:szCs w:val="26"/>
        </w:rPr>
        <w:t>nfortunately [</w:t>
      </w:r>
      <w:r w:rsidR="00CB7CAE" w:rsidRPr="002A755E">
        <w:rPr>
          <w:szCs w:val="26"/>
        </w:rPr>
        <w:t>plaintiff</w:t>
      </w:r>
      <w:r w:rsidR="00565FFD" w:rsidRPr="002A755E">
        <w:rPr>
          <w:szCs w:val="26"/>
        </w:rPr>
        <w:t>] got the worst ab</w:t>
      </w:r>
      <w:r w:rsidR="00DE0AFB" w:rsidRPr="002A755E">
        <w:rPr>
          <w:szCs w:val="26"/>
        </w:rPr>
        <w:t>use.</w:t>
      </w:r>
      <w:r w:rsidR="001C5831" w:rsidRPr="002A755E">
        <w:rPr>
          <w:szCs w:val="26"/>
        </w:rPr>
        <w:t xml:space="preserve">”  </w:t>
      </w:r>
      <w:r w:rsidR="002556AC" w:rsidRPr="002A755E">
        <w:rPr>
          <w:szCs w:val="26"/>
        </w:rPr>
        <w:t xml:space="preserve">In addition to being </w:t>
      </w:r>
      <w:r w:rsidR="00D32D6A" w:rsidRPr="002A755E">
        <w:rPr>
          <w:szCs w:val="26"/>
        </w:rPr>
        <w:t>su</w:t>
      </w:r>
      <w:r w:rsidR="002F45E9" w:rsidRPr="002A755E">
        <w:rPr>
          <w:szCs w:val="26"/>
        </w:rPr>
        <w:t xml:space="preserve">bjected to conduct like the </w:t>
      </w:r>
      <w:r w:rsidR="00DE0AFB" w:rsidRPr="002A755E">
        <w:rPr>
          <w:szCs w:val="26"/>
        </w:rPr>
        <w:t>others</w:t>
      </w:r>
      <w:r w:rsidR="005E648B" w:rsidRPr="002A755E">
        <w:rPr>
          <w:szCs w:val="26"/>
        </w:rPr>
        <w:t>,</w:t>
      </w:r>
      <w:r w:rsidR="002F45E9" w:rsidRPr="002A755E">
        <w:rPr>
          <w:szCs w:val="26"/>
        </w:rPr>
        <w:t xml:space="preserve"> </w:t>
      </w:r>
      <w:r w:rsidR="008D36F6" w:rsidRPr="002A755E">
        <w:rPr>
          <w:szCs w:val="26"/>
        </w:rPr>
        <w:t xml:space="preserve">counsel told </w:t>
      </w:r>
      <w:r w:rsidR="005947F3" w:rsidRPr="002A755E">
        <w:rPr>
          <w:szCs w:val="26"/>
        </w:rPr>
        <w:t xml:space="preserve">the </w:t>
      </w:r>
      <w:r w:rsidR="008D36F6" w:rsidRPr="002A755E">
        <w:rPr>
          <w:szCs w:val="26"/>
        </w:rPr>
        <w:t xml:space="preserve">jury, </w:t>
      </w:r>
      <w:r w:rsidR="00242D62">
        <w:rPr>
          <w:szCs w:val="26"/>
        </w:rPr>
        <w:t>plaintiff</w:t>
      </w:r>
      <w:r w:rsidR="00242D62" w:rsidRPr="002A755E">
        <w:rPr>
          <w:szCs w:val="26"/>
        </w:rPr>
        <w:t xml:space="preserve"> </w:t>
      </w:r>
      <w:r w:rsidR="005947F3" w:rsidRPr="002A755E">
        <w:rPr>
          <w:szCs w:val="26"/>
        </w:rPr>
        <w:t xml:space="preserve">also </w:t>
      </w:r>
      <w:r w:rsidR="00CA40A6" w:rsidRPr="002A755E">
        <w:rPr>
          <w:szCs w:val="26"/>
        </w:rPr>
        <w:t xml:space="preserve">was subjected to </w:t>
      </w:r>
      <w:r w:rsidR="004A669B" w:rsidRPr="002A755E">
        <w:rPr>
          <w:szCs w:val="26"/>
        </w:rPr>
        <w:t xml:space="preserve">Baldenebro </w:t>
      </w:r>
      <w:r w:rsidR="00901EBE" w:rsidRPr="002A755E">
        <w:rPr>
          <w:szCs w:val="26"/>
        </w:rPr>
        <w:t>ma</w:t>
      </w:r>
      <w:r w:rsidR="00CA40A6" w:rsidRPr="002A755E">
        <w:rPr>
          <w:szCs w:val="26"/>
        </w:rPr>
        <w:t>king</w:t>
      </w:r>
      <w:r w:rsidR="00901EBE" w:rsidRPr="002A755E">
        <w:rPr>
          <w:szCs w:val="26"/>
        </w:rPr>
        <w:t xml:space="preserve"> her rub his penis until he ejaculated; </w:t>
      </w:r>
      <w:r w:rsidR="006837AC" w:rsidRPr="002A755E">
        <w:rPr>
          <w:szCs w:val="26"/>
        </w:rPr>
        <w:t>insert</w:t>
      </w:r>
      <w:r w:rsidR="00CA40A6" w:rsidRPr="002A755E">
        <w:rPr>
          <w:szCs w:val="26"/>
        </w:rPr>
        <w:t>ing</w:t>
      </w:r>
      <w:r w:rsidR="006837AC" w:rsidRPr="002A755E">
        <w:rPr>
          <w:szCs w:val="26"/>
        </w:rPr>
        <w:t xml:space="preserve"> his fingers into her </w:t>
      </w:r>
      <w:r w:rsidR="006E6BB7" w:rsidRPr="002A755E">
        <w:rPr>
          <w:szCs w:val="26"/>
        </w:rPr>
        <w:t xml:space="preserve">vagina; </w:t>
      </w:r>
      <w:r w:rsidR="00886861">
        <w:rPr>
          <w:szCs w:val="26"/>
        </w:rPr>
        <w:t xml:space="preserve">and </w:t>
      </w:r>
      <w:r w:rsidR="00FD28D7" w:rsidRPr="002A755E">
        <w:rPr>
          <w:szCs w:val="26"/>
        </w:rPr>
        <w:t>insert</w:t>
      </w:r>
      <w:r w:rsidR="00CA40A6" w:rsidRPr="002A755E">
        <w:rPr>
          <w:szCs w:val="26"/>
        </w:rPr>
        <w:t>ing</w:t>
      </w:r>
      <w:r w:rsidR="00FD28D7" w:rsidRPr="002A755E">
        <w:rPr>
          <w:szCs w:val="26"/>
        </w:rPr>
        <w:t xml:space="preserve"> his penis into her </w:t>
      </w:r>
      <w:r w:rsidR="00F1009F" w:rsidRPr="002A755E">
        <w:rPr>
          <w:szCs w:val="26"/>
        </w:rPr>
        <w:t xml:space="preserve">mouth </w:t>
      </w:r>
      <w:r w:rsidR="009916AC" w:rsidRPr="002A755E">
        <w:rPr>
          <w:szCs w:val="26"/>
        </w:rPr>
        <w:t xml:space="preserve">and </w:t>
      </w:r>
      <w:r w:rsidR="00E50182" w:rsidRPr="002A755E">
        <w:rPr>
          <w:szCs w:val="26"/>
        </w:rPr>
        <w:t>ejaculat</w:t>
      </w:r>
      <w:r w:rsidR="00CA40A6" w:rsidRPr="002A755E">
        <w:rPr>
          <w:szCs w:val="26"/>
        </w:rPr>
        <w:t>ing</w:t>
      </w:r>
      <w:r w:rsidR="00A76CB8" w:rsidRPr="002A755E">
        <w:rPr>
          <w:szCs w:val="26"/>
        </w:rPr>
        <w:t>.</w:t>
      </w:r>
      <w:r w:rsidR="00976EEB" w:rsidRPr="002A755E">
        <w:rPr>
          <w:szCs w:val="26"/>
        </w:rPr>
        <w:t xml:space="preserve"> </w:t>
      </w:r>
      <w:r w:rsidR="00886861">
        <w:rPr>
          <w:szCs w:val="26"/>
        </w:rPr>
        <w:t xml:space="preserve"> </w:t>
      </w:r>
      <w:r w:rsidR="00F34501">
        <w:rPr>
          <w:szCs w:val="26"/>
        </w:rPr>
        <w:t xml:space="preserve">Further, </w:t>
      </w:r>
      <w:r w:rsidR="00671E1B" w:rsidRPr="002A755E">
        <w:rPr>
          <w:szCs w:val="26"/>
        </w:rPr>
        <w:t xml:space="preserve">counsel </w:t>
      </w:r>
      <w:r w:rsidR="00552E24" w:rsidRPr="002A755E">
        <w:rPr>
          <w:szCs w:val="26"/>
        </w:rPr>
        <w:t xml:space="preserve">asserted, </w:t>
      </w:r>
      <w:r w:rsidR="00CD730B" w:rsidRPr="002A755E">
        <w:rPr>
          <w:szCs w:val="26"/>
        </w:rPr>
        <w:t xml:space="preserve">Baldenebro </w:t>
      </w:r>
      <w:r w:rsidR="00CA18F7" w:rsidRPr="002A755E">
        <w:rPr>
          <w:szCs w:val="26"/>
        </w:rPr>
        <w:t xml:space="preserve">admonished plaintiff:  </w:t>
      </w:r>
      <w:r w:rsidR="00976EEB" w:rsidRPr="002A755E">
        <w:rPr>
          <w:szCs w:val="26"/>
        </w:rPr>
        <w:t>“</w:t>
      </w:r>
      <w:r w:rsidR="009C5132" w:rsidRPr="002A755E">
        <w:rPr>
          <w:szCs w:val="26"/>
        </w:rPr>
        <w:t>I</w:t>
      </w:r>
      <w:r w:rsidR="00976EEB" w:rsidRPr="002A755E">
        <w:rPr>
          <w:szCs w:val="26"/>
        </w:rPr>
        <w:t xml:space="preserve">f you ever </w:t>
      </w:r>
      <w:r w:rsidR="009C5132" w:rsidRPr="002A755E">
        <w:rPr>
          <w:szCs w:val="26"/>
        </w:rPr>
        <w:t xml:space="preserve">tell anybody, I’ll tell them that you let </w:t>
      </w:r>
      <w:r w:rsidR="002F5BB6" w:rsidRPr="002A755E">
        <w:rPr>
          <w:szCs w:val="26"/>
        </w:rPr>
        <w:t xml:space="preserve">me do this to you.”  </w:t>
      </w:r>
    </w:p>
    <w:p w14:paraId="0DB2E7BB" w14:textId="77777777" w:rsidR="001062FE" w:rsidRPr="002A755E" w:rsidRDefault="002E6832" w:rsidP="003751BB">
      <w:pPr>
        <w:tabs>
          <w:tab w:val="left" w:pos="3609"/>
        </w:tabs>
        <w:ind w:firstLine="720"/>
        <w:rPr>
          <w:szCs w:val="26"/>
        </w:rPr>
      </w:pPr>
      <w:r w:rsidRPr="002A755E">
        <w:rPr>
          <w:szCs w:val="26"/>
        </w:rPr>
        <w:t>Plaintiff’s c</w:t>
      </w:r>
      <w:r w:rsidR="00AA7CE2" w:rsidRPr="002A755E">
        <w:rPr>
          <w:szCs w:val="26"/>
        </w:rPr>
        <w:t xml:space="preserve">ounsel </w:t>
      </w:r>
      <w:r w:rsidR="00643199" w:rsidRPr="002A755E">
        <w:rPr>
          <w:szCs w:val="26"/>
        </w:rPr>
        <w:t xml:space="preserve">eventually </w:t>
      </w:r>
      <w:r w:rsidR="00F04829" w:rsidRPr="002A755E">
        <w:rPr>
          <w:szCs w:val="26"/>
        </w:rPr>
        <w:t xml:space="preserve">briefly </w:t>
      </w:r>
      <w:r w:rsidR="00643199" w:rsidRPr="002A755E">
        <w:rPr>
          <w:szCs w:val="26"/>
        </w:rPr>
        <w:t>foresha</w:t>
      </w:r>
      <w:r w:rsidR="009439F6" w:rsidRPr="002A755E">
        <w:rPr>
          <w:szCs w:val="26"/>
        </w:rPr>
        <w:t>dowed</w:t>
      </w:r>
      <w:r w:rsidR="00643199" w:rsidRPr="002A755E">
        <w:rPr>
          <w:szCs w:val="26"/>
        </w:rPr>
        <w:t xml:space="preserve"> </w:t>
      </w:r>
      <w:r w:rsidR="00AA7CE2" w:rsidRPr="002A755E">
        <w:rPr>
          <w:szCs w:val="26"/>
        </w:rPr>
        <w:t>the</w:t>
      </w:r>
      <w:r w:rsidR="000E7F0D" w:rsidRPr="002A755E">
        <w:rPr>
          <w:szCs w:val="26"/>
        </w:rPr>
        <w:t xml:space="preserve"> </w:t>
      </w:r>
      <w:r w:rsidR="00A53597" w:rsidRPr="002A755E">
        <w:rPr>
          <w:szCs w:val="26"/>
        </w:rPr>
        <w:t xml:space="preserve">additional </w:t>
      </w:r>
      <w:r w:rsidR="000336A7" w:rsidRPr="002A755E">
        <w:rPr>
          <w:szCs w:val="26"/>
        </w:rPr>
        <w:t xml:space="preserve">sexual </w:t>
      </w:r>
      <w:r w:rsidR="00CD730B" w:rsidRPr="002A755E">
        <w:rPr>
          <w:szCs w:val="26"/>
        </w:rPr>
        <w:t xml:space="preserve">molestation </w:t>
      </w:r>
      <w:r w:rsidR="000361A3" w:rsidRPr="002A755E">
        <w:rPr>
          <w:szCs w:val="26"/>
        </w:rPr>
        <w:t>plaintiff</w:t>
      </w:r>
      <w:r w:rsidR="001818F0" w:rsidRPr="002A755E">
        <w:rPr>
          <w:szCs w:val="26"/>
        </w:rPr>
        <w:t xml:space="preserve"> had suffered</w:t>
      </w:r>
      <w:r w:rsidR="009439F6" w:rsidRPr="002A755E">
        <w:rPr>
          <w:szCs w:val="26"/>
        </w:rPr>
        <w:t xml:space="preserve">, telling the jury:  </w:t>
      </w:r>
      <w:r w:rsidR="00612BE2" w:rsidRPr="002A755E">
        <w:rPr>
          <w:szCs w:val="26"/>
        </w:rPr>
        <w:t>“</w:t>
      </w:r>
      <w:r w:rsidR="008F2E1B" w:rsidRPr="002A755E">
        <w:rPr>
          <w:szCs w:val="26"/>
        </w:rPr>
        <w:t xml:space="preserve">The evidence will </w:t>
      </w:r>
      <w:r w:rsidR="00D20419" w:rsidRPr="002A755E">
        <w:rPr>
          <w:szCs w:val="26"/>
        </w:rPr>
        <w:t>show that unfortunately [</w:t>
      </w:r>
      <w:r w:rsidR="009540C3" w:rsidRPr="002A755E">
        <w:rPr>
          <w:szCs w:val="26"/>
        </w:rPr>
        <w:t>plaintiff</w:t>
      </w:r>
      <w:r w:rsidR="00D20419" w:rsidRPr="002A755E">
        <w:rPr>
          <w:szCs w:val="26"/>
        </w:rPr>
        <w:t xml:space="preserve">] </w:t>
      </w:r>
      <w:r w:rsidR="001D361A" w:rsidRPr="002A755E">
        <w:rPr>
          <w:szCs w:val="26"/>
        </w:rPr>
        <w:t>had a subsequent incident</w:t>
      </w:r>
      <w:r w:rsidR="00593EAC" w:rsidRPr="002A755E">
        <w:rPr>
          <w:szCs w:val="26"/>
        </w:rPr>
        <w:t xml:space="preserve"> </w:t>
      </w:r>
      <w:r w:rsidR="001D361A" w:rsidRPr="002A755E">
        <w:rPr>
          <w:szCs w:val="26"/>
        </w:rPr>
        <w:t xml:space="preserve">with a </w:t>
      </w:r>
      <w:r w:rsidR="00911713" w:rsidRPr="002A755E">
        <w:rPr>
          <w:szCs w:val="26"/>
        </w:rPr>
        <w:t xml:space="preserve">. . . </w:t>
      </w:r>
      <w:r w:rsidR="001D361A" w:rsidRPr="002A755E">
        <w:rPr>
          <w:szCs w:val="26"/>
        </w:rPr>
        <w:t>boy</w:t>
      </w:r>
      <w:r w:rsidR="00D7644A" w:rsidRPr="002A755E">
        <w:rPr>
          <w:szCs w:val="26"/>
        </w:rPr>
        <w:t>” in 2013</w:t>
      </w:r>
      <w:r w:rsidR="00511E0D" w:rsidRPr="002A755E">
        <w:rPr>
          <w:szCs w:val="26"/>
        </w:rPr>
        <w:t>.</w:t>
      </w:r>
      <w:r w:rsidR="009060A5" w:rsidRPr="002A755E">
        <w:rPr>
          <w:szCs w:val="26"/>
        </w:rPr>
        <w:t xml:space="preserve"> </w:t>
      </w:r>
      <w:r w:rsidR="00511E0D" w:rsidRPr="002A755E">
        <w:rPr>
          <w:szCs w:val="26"/>
        </w:rPr>
        <w:t xml:space="preserve"> Moreover, </w:t>
      </w:r>
      <w:r w:rsidR="000361A3" w:rsidRPr="002A755E">
        <w:rPr>
          <w:szCs w:val="26"/>
        </w:rPr>
        <w:lastRenderedPageBreak/>
        <w:t xml:space="preserve">counsel acknowledged, </w:t>
      </w:r>
      <w:r w:rsidR="009060A5" w:rsidRPr="002A755E">
        <w:rPr>
          <w:szCs w:val="26"/>
        </w:rPr>
        <w:t xml:space="preserve">when </w:t>
      </w:r>
      <w:r w:rsidR="000361A3" w:rsidRPr="002A755E">
        <w:rPr>
          <w:szCs w:val="26"/>
        </w:rPr>
        <w:t xml:space="preserve">plaintiff </w:t>
      </w:r>
      <w:r w:rsidR="009060A5" w:rsidRPr="002A755E">
        <w:rPr>
          <w:szCs w:val="26"/>
        </w:rPr>
        <w:t>first rep</w:t>
      </w:r>
      <w:r w:rsidR="00A941EF" w:rsidRPr="002A755E">
        <w:rPr>
          <w:szCs w:val="26"/>
        </w:rPr>
        <w:t>orted Baldenebro</w:t>
      </w:r>
      <w:r w:rsidR="00E86B21" w:rsidRPr="002A755E">
        <w:rPr>
          <w:szCs w:val="26"/>
        </w:rPr>
        <w:t>’s conduct</w:t>
      </w:r>
      <w:r w:rsidR="00A941EF" w:rsidRPr="002A755E">
        <w:rPr>
          <w:szCs w:val="26"/>
        </w:rPr>
        <w:t xml:space="preserve"> </w:t>
      </w:r>
      <w:r w:rsidR="00D837CA" w:rsidRPr="002A755E">
        <w:rPr>
          <w:szCs w:val="26"/>
        </w:rPr>
        <w:t xml:space="preserve">to the police, she did not </w:t>
      </w:r>
      <w:r w:rsidR="00480628" w:rsidRPr="002A755E">
        <w:rPr>
          <w:szCs w:val="26"/>
        </w:rPr>
        <w:t xml:space="preserve">reveal “the entirety of the trauma that </w:t>
      </w:r>
      <w:r w:rsidR="000371BE" w:rsidRPr="002A755E">
        <w:rPr>
          <w:szCs w:val="26"/>
        </w:rPr>
        <w:t>she went through</w:t>
      </w:r>
      <w:r w:rsidR="00127154" w:rsidRPr="002A755E">
        <w:rPr>
          <w:szCs w:val="26"/>
        </w:rPr>
        <w:t>.</w:t>
      </w:r>
      <w:r w:rsidR="000371BE" w:rsidRPr="002A755E">
        <w:rPr>
          <w:szCs w:val="26"/>
        </w:rPr>
        <w:t xml:space="preserve">” </w:t>
      </w:r>
      <w:r w:rsidR="00127154" w:rsidRPr="002A755E">
        <w:rPr>
          <w:szCs w:val="26"/>
        </w:rPr>
        <w:t xml:space="preserve"> Finally, </w:t>
      </w:r>
      <w:r w:rsidR="00FE4214" w:rsidRPr="002A755E">
        <w:rPr>
          <w:szCs w:val="26"/>
        </w:rPr>
        <w:t>counsel implied</w:t>
      </w:r>
      <w:r w:rsidR="006777D0" w:rsidRPr="002A755E">
        <w:rPr>
          <w:szCs w:val="26"/>
        </w:rPr>
        <w:t xml:space="preserve">ly </w:t>
      </w:r>
      <w:r w:rsidR="00C31FEA" w:rsidRPr="002A755E">
        <w:rPr>
          <w:szCs w:val="26"/>
        </w:rPr>
        <w:t xml:space="preserve">acknowledged </w:t>
      </w:r>
      <w:r w:rsidR="00EA6C29" w:rsidRPr="002A755E">
        <w:rPr>
          <w:szCs w:val="26"/>
        </w:rPr>
        <w:t>that plaintiff’s</w:t>
      </w:r>
      <w:r w:rsidR="00F41F70" w:rsidRPr="002A755E">
        <w:rPr>
          <w:szCs w:val="26"/>
        </w:rPr>
        <w:t xml:space="preserve"> p</w:t>
      </w:r>
      <w:r w:rsidR="00E07D55" w:rsidRPr="002A755E">
        <w:rPr>
          <w:szCs w:val="26"/>
        </w:rPr>
        <w:t xml:space="preserve">sychotherapy </w:t>
      </w:r>
      <w:r w:rsidR="001C0B60" w:rsidRPr="002A755E">
        <w:rPr>
          <w:szCs w:val="26"/>
        </w:rPr>
        <w:t xml:space="preserve">treatment records </w:t>
      </w:r>
      <w:r w:rsidR="000D68BA" w:rsidRPr="002A755E">
        <w:rPr>
          <w:szCs w:val="26"/>
        </w:rPr>
        <w:t xml:space="preserve">related to the 2013 incident </w:t>
      </w:r>
      <w:r w:rsidR="00EC582A" w:rsidRPr="002A755E">
        <w:rPr>
          <w:szCs w:val="26"/>
        </w:rPr>
        <w:t xml:space="preserve">would </w:t>
      </w:r>
      <w:r w:rsidR="009806C9" w:rsidRPr="002A755E">
        <w:rPr>
          <w:szCs w:val="26"/>
        </w:rPr>
        <w:t xml:space="preserve">not </w:t>
      </w:r>
      <w:r w:rsidR="00A1049B" w:rsidRPr="002A755E">
        <w:rPr>
          <w:szCs w:val="26"/>
        </w:rPr>
        <w:t xml:space="preserve">mention </w:t>
      </w:r>
      <w:r w:rsidR="00BB0605" w:rsidRPr="002A755E">
        <w:rPr>
          <w:szCs w:val="26"/>
        </w:rPr>
        <w:t>Baldenebro</w:t>
      </w:r>
      <w:r w:rsidR="00EF121D" w:rsidRPr="002A755E">
        <w:rPr>
          <w:szCs w:val="26"/>
        </w:rPr>
        <w:t>’s conduct</w:t>
      </w:r>
      <w:r w:rsidR="00841B9A" w:rsidRPr="002A755E">
        <w:rPr>
          <w:szCs w:val="26"/>
        </w:rPr>
        <w:t>.</w:t>
      </w:r>
      <w:r w:rsidR="00BC3937" w:rsidRPr="002A755E">
        <w:rPr>
          <w:szCs w:val="26"/>
        </w:rPr>
        <w:t xml:space="preserve"> </w:t>
      </w:r>
    </w:p>
    <w:p w14:paraId="0DB2E7BC" w14:textId="77777777" w:rsidR="0045035F" w:rsidRPr="00CA5D95" w:rsidRDefault="002E6832" w:rsidP="003751BB">
      <w:pPr>
        <w:tabs>
          <w:tab w:val="left" w:pos="3609"/>
        </w:tabs>
        <w:ind w:firstLine="720"/>
        <w:rPr>
          <w:szCs w:val="26"/>
        </w:rPr>
      </w:pPr>
      <w:r w:rsidRPr="002A755E">
        <w:rPr>
          <w:szCs w:val="26"/>
        </w:rPr>
        <w:t>Thereafter</w:t>
      </w:r>
      <w:r w:rsidR="00EF121D" w:rsidRPr="002A755E">
        <w:rPr>
          <w:szCs w:val="26"/>
        </w:rPr>
        <w:t>,</w:t>
      </w:r>
      <w:r w:rsidRPr="002A755E">
        <w:rPr>
          <w:szCs w:val="26"/>
        </w:rPr>
        <w:t xml:space="preserve"> c</w:t>
      </w:r>
      <w:r w:rsidR="00E1538C" w:rsidRPr="002A755E">
        <w:rPr>
          <w:szCs w:val="26"/>
        </w:rPr>
        <w:t xml:space="preserve">ounsel </w:t>
      </w:r>
      <w:r w:rsidR="0056330F" w:rsidRPr="002A755E">
        <w:rPr>
          <w:szCs w:val="26"/>
        </w:rPr>
        <w:t xml:space="preserve">for the District </w:t>
      </w:r>
      <w:r w:rsidR="001F43C0" w:rsidRPr="002A755E">
        <w:rPr>
          <w:szCs w:val="26"/>
        </w:rPr>
        <w:t xml:space="preserve">began </w:t>
      </w:r>
      <w:r w:rsidR="00E156AF" w:rsidRPr="002A755E">
        <w:rPr>
          <w:szCs w:val="26"/>
        </w:rPr>
        <w:t xml:space="preserve">his opening statement by conceding that </w:t>
      </w:r>
      <w:r w:rsidR="007008EC" w:rsidRPr="002A755E">
        <w:rPr>
          <w:szCs w:val="26"/>
        </w:rPr>
        <w:t>“Baldenebro did most of the t</w:t>
      </w:r>
      <w:r w:rsidR="00893399" w:rsidRPr="002A755E">
        <w:rPr>
          <w:szCs w:val="26"/>
        </w:rPr>
        <w:t>h</w:t>
      </w:r>
      <w:r w:rsidR="007008EC" w:rsidRPr="002A755E">
        <w:rPr>
          <w:szCs w:val="26"/>
        </w:rPr>
        <w:t>i</w:t>
      </w:r>
      <w:r w:rsidR="00893399" w:rsidRPr="002A755E">
        <w:rPr>
          <w:szCs w:val="26"/>
        </w:rPr>
        <w:t>ngs claimed by the plaintiffs</w:t>
      </w:r>
      <w:r w:rsidR="00974599" w:rsidRPr="002A755E">
        <w:rPr>
          <w:szCs w:val="26"/>
        </w:rPr>
        <w:t>”</w:t>
      </w:r>
      <w:r w:rsidR="0075187D" w:rsidRPr="002A755E">
        <w:rPr>
          <w:szCs w:val="26"/>
        </w:rPr>
        <w:t xml:space="preserve"> and </w:t>
      </w:r>
      <w:r w:rsidR="001D747A" w:rsidRPr="002A755E">
        <w:rPr>
          <w:szCs w:val="26"/>
        </w:rPr>
        <w:t>acknowledg</w:t>
      </w:r>
      <w:r w:rsidR="0032312B">
        <w:rPr>
          <w:szCs w:val="26"/>
        </w:rPr>
        <w:t>ing</w:t>
      </w:r>
      <w:r w:rsidR="001D747A" w:rsidRPr="00CA5D95">
        <w:rPr>
          <w:szCs w:val="26"/>
        </w:rPr>
        <w:t xml:space="preserve">, “Baldenebro caused the plaintiffs emotional distress, and as I’ve said from the outset, the District has already admitted it was negligent and </w:t>
      </w:r>
      <w:r w:rsidR="00FD6C2A" w:rsidRPr="00CA5D95">
        <w:rPr>
          <w:szCs w:val="26"/>
        </w:rPr>
        <w:t xml:space="preserve">. . . </w:t>
      </w:r>
      <w:r w:rsidR="001D747A" w:rsidRPr="00CA5D95">
        <w:rPr>
          <w:szCs w:val="26"/>
        </w:rPr>
        <w:t xml:space="preserve">should have supervised him better.”  </w:t>
      </w:r>
      <w:r w:rsidR="00115687" w:rsidRPr="00CA5D95">
        <w:rPr>
          <w:szCs w:val="26"/>
        </w:rPr>
        <w:t xml:space="preserve">The </w:t>
      </w:r>
      <w:r w:rsidR="00EE54BC" w:rsidRPr="00CA5D95">
        <w:rPr>
          <w:szCs w:val="26"/>
        </w:rPr>
        <w:t>issue before the jury</w:t>
      </w:r>
      <w:r w:rsidR="001D747A" w:rsidRPr="00CA5D95">
        <w:rPr>
          <w:szCs w:val="26"/>
        </w:rPr>
        <w:t xml:space="preserve">, counsel </w:t>
      </w:r>
      <w:r w:rsidR="004B130B" w:rsidRPr="00CA5D95">
        <w:rPr>
          <w:szCs w:val="26"/>
        </w:rPr>
        <w:t xml:space="preserve">for the District </w:t>
      </w:r>
      <w:r w:rsidR="001D747A" w:rsidRPr="00CA5D95">
        <w:rPr>
          <w:szCs w:val="26"/>
        </w:rPr>
        <w:t>asserted, i</w:t>
      </w:r>
      <w:r w:rsidR="00CE3EFD" w:rsidRPr="00CA5D95">
        <w:rPr>
          <w:szCs w:val="26"/>
        </w:rPr>
        <w:t>s</w:t>
      </w:r>
      <w:r w:rsidR="001D747A" w:rsidRPr="00CA5D95">
        <w:rPr>
          <w:szCs w:val="26"/>
        </w:rPr>
        <w:t xml:space="preserve"> the extent to which the District caused </w:t>
      </w:r>
      <w:r w:rsidR="00CE3EFD" w:rsidRPr="00CA5D95">
        <w:rPr>
          <w:szCs w:val="26"/>
        </w:rPr>
        <w:t xml:space="preserve">each </w:t>
      </w:r>
      <w:r w:rsidR="001D747A" w:rsidRPr="00CA5D95">
        <w:rPr>
          <w:szCs w:val="26"/>
        </w:rPr>
        <w:t>plaintiff</w:t>
      </w:r>
      <w:r w:rsidR="00CE3EFD" w:rsidRPr="00CA5D95">
        <w:rPr>
          <w:szCs w:val="26"/>
        </w:rPr>
        <w:t xml:space="preserve">’s </w:t>
      </w:r>
      <w:r w:rsidR="001D747A" w:rsidRPr="00CA5D95">
        <w:rPr>
          <w:szCs w:val="26"/>
        </w:rPr>
        <w:t>harm</w:t>
      </w:r>
      <w:r w:rsidR="00CE3EFD" w:rsidRPr="00CA5D95">
        <w:rPr>
          <w:szCs w:val="26"/>
        </w:rPr>
        <w:t xml:space="preserve">.  Counsel previewed the </w:t>
      </w:r>
      <w:r w:rsidR="00321F62" w:rsidRPr="00CA5D95">
        <w:rPr>
          <w:szCs w:val="26"/>
        </w:rPr>
        <w:t xml:space="preserve">events </w:t>
      </w:r>
      <w:r w:rsidR="00CE3EFD" w:rsidRPr="00CA5D95">
        <w:rPr>
          <w:szCs w:val="26"/>
        </w:rPr>
        <w:t>that all six student</w:t>
      </w:r>
      <w:r w:rsidR="00676D08" w:rsidRPr="00CA5D95">
        <w:rPr>
          <w:szCs w:val="26"/>
        </w:rPr>
        <w:t xml:space="preserve"> </w:t>
      </w:r>
      <w:r w:rsidR="00C4753E" w:rsidRPr="00CA5D95">
        <w:rPr>
          <w:szCs w:val="26"/>
        </w:rPr>
        <w:t>pla</w:t>
      </w:r>
      <w:r w:rsidR="004A2163" w:rsidRPr="00CA5D95">
        <w:rPr>
          <w:szCs w:val="26"/>
        </w:rPr>
        <w:t xml:space="preserve">intiffs </w:t>
      </w:r>
      <w:r w:rsidR="00CE3EFD" w:rsidRPr="00CA5D95">
        <w:rPr>
          <w:szCs w:val="26"/>
        </w:rPr>
        <w:t xml:space="preserve">allege occurred </w:t>
      </w:r>
      <w:r w:rsidR="00912D6B" w:rsidRPr="00CA5D95">
        <w:rPr>
          <w:szCs w:val="26"/>
        </w:rPr>
        <w:t xml:space="preserve">with respect </w:t>
      </w:r>
      <w:r w:rsidR="00CE3EFD" w:rsidRPr="00CA5D95">
        <w:rPr>
          <w:szCs w:val="26"/>
        </w:rPr>
        <w:t xml:space="preserve">to </w:t>
      </w:r>
      <w:r w:rsidR="00912D6B" w:rsidRPr="00CA5D95">
        <w:rPr>
          <w:szCs w:val="26"/>
        </w:rPr>
        <w:t xml:space="preserve">each of </w:t>
      </w:r>
      <w:r w:rsidR="00CE3EFD" w:rsidRPr="00CA5D95">
        <w:rPr>
          <w:szCs w:val="26"/>
        </w:rPr>
        <w:t>them, and the corresponding a</w:t>
      </w:r>
      <w:r w:rsidR="0084479E" w:rsidRPr="00CA5D95">
        <w:rPr>
          <w:szCs w:val="26"/>
        </w:rPr>
        <w:t xml:space="preserve">sserted </w:t>
      </w:r>
      <w:r w:rsidR="00CE3EFD" w:rsidRPr="00CA5D95">
        <w:rPr>
          <w:szCs w:val="26"/>
        </w:rPr>
        <w:t xml:space="preserve">emotional injuries of each.  </w:t>
      </w:r>
      <w:r w:rsidR="001D3210" w:rsidRPr="00CA5D95">
        <w:rPr>
          <w:szCs w:val="26"/>
        </w:rPr>
        <w:t xml:space="preserve">With regard to </w:t>
      </w:r>
      <w:r w:rsidR="00783ED5" w:rsidRPr="00CA5D95">
        <w:rPr>
          <w:szCs w:val="26"/>
        </w:rPr>
        <w:t xml:space="preserve">five of the six student </w:t>
      </w:r>
      <w:r w:rsidR="004A2163" w:rsidRPr="00CA5D95">
        <w:rPr>
          <w:szCs w:val="26"/>
        </w:rPr>
        <w:t>plaintiffs</w:t>
      </w:r>
      <w:r w:rsidR="00783ED5" w:rsidRPr="00CA5D95">
        <w:rPr>
          <w:szCs w:val="26"/>
        </w:rPr>
        <w:t xml:space="preserve">, counsel </w:t>
      </w:r>
      <w:r w:rsidR="00022B79" w:rsidRPr="00CA5D95">
        <w:rPr>
          <w:szCs w:val="26"/>
        </w:rPr>
        <w:t xml:space="preserve">generally conceded that their allegations </w:t>
      </w:r>
      <w:r w:rsidR="00BC7245" w:rsidRPr="00CA5D95">
        <w:rPr>
          <w:szCs w:val="26"/>
        </w:rPr>
        <w:t xml:space="preserve">established some level of depression and resulting </w:t>
      </w:r>
      <w:r w:rsidR="00F04375" w:rsidRPr="00CA5D95">
        <w:rPr>
          <w:szCs w:val="26"/>
        </w:rPr>
        <w:t>psychological harm, but pointed ou</w:t>
      </w:r>
      <w:r w:rsidR="00862F32" w:rsidRPr="00CA5D95">
        <w:rPr>
          <w:szCs w:val="26"/>
        </w:rPr>
        <w:t>t</w:t>
      </w:r>
      <w:r w:rsidR="00F04375" w:rsidRPr="00CA5D95">
        <w:rPr>
          <w:szCs w:val="26"/>
        </w:rPr>
        <w:t xml:space="preserve"> that </w:t>
      </w:r>
      <w:r w:rsidR="00862F32" w:rsidRPr="00CA5D95">
        <w:rPr>
          <w:szCs w:val="26"/>
        </w:rPr>
        <w:t xml:space="preserve">in most instances </w:t>
      </w:r>
      <w:r w:rsidR="00F04375" w:rsidRPr="00CA5D95">
        <w:rPr>
          <w:i/>
          <w:iCs/>
          <w:szCs w:val="26"/>
        </w:rPr>
        <w:t>other</w:t>
      </w:r>
      <w:r w:rsidR="00F04375" w:rsidRPr="00CA5D95">
        <w:rPr>
          <w:szCs w:val="26"/>
        </w:rPr>
        <w:t xml:space="preserve"> </w:t>
      </w:r>
      <w:r w:rsidR="0085081F" w:rsidRPr="00CA5D95">
        <w:rPr>
          <w:szCs w:val="26"/>
        </w:rPr>
        <w:t xml:space="preserve">unrelated </w:t>
      </w:r>
      <w:r w:rsidR="007F0C82" w:rsidRPr="00CA5D95">
        <w:rPr>
          <w:szCs w:val="26"/>
        </w:rPr>
        <w:t>stresso</w:t>
      </w:r>
      <w:r w:rsidR="00862F32" w:rsidRPr="00CA5D95">
        <w:rPr>
          <w:szCs w:val="26"/>
        </w:rPr>
        <w:t>rs</w:t>
      </w:r>
      <w:r w:rsidR="00D04E19" w:rsidRPr="00CA5D95">
        <w:rPr>
          <w:szCs w:val="26"/>
        </w:rPr>
        <w:t> — such as dealing with a sibling’s</w:t>
      </w:r>
      <w:r w:rsidR="004F593C" w:rsidRPr="00CA5D95">
        <w:rPr>
          <w:szCs w:val="26"/>
        </w:rPr>
        <w:t xml:space="preserve"> drug abuse</w:t>
      </w:r>
      <w:r w:rsidR="009C1DC5" w:rsidRPr="00CA5D95">
        <w:rPr>
          <w:szCs w:val="26"/>
        </w:rPr>
        <w:t>, a brother’s death</w:t>
      </w:r>
      <w:r w:rsidR="00A8786D" w:rsidRPr="00CA5D95">
        <w:rPr>
          <w:szCs w:val="26"/>
        </w:rPr>
        <w:t>,</w:t>
      </w:r>
      <w:r w:rsidR="00DA5DF4" w:rsidRPr="00CA5D95">
        <w:rPr>
          <w:szCs w:val="26"/>
        </w:rPr>
        <w:t xml:space="preserve"> </w:t>
      </w:r>
      <w:r w:rsidR="00A8786D" w:rsidRPr="00CA5D95">
        <w:rPr>
          <w:szCs w:val="26"/>
        </w:rPr>
        <w:t xml:space="preserve">a father’s incarceration, or </w:t>
      </w:r>
      <w:r w:rsidR="00B86DE2" w:rsidRPr="00CA5D95">
        <w:rPr>
          <w:szCs w:val="26"/>
        </w:rPr>
        <w:t>anxiety</w:t>
      </w:r>
      <w:r w:rsidR="00A8786D" w:rsidRPr="00CA5D95">
        <w:rPr>
          <w:szCs w:val="26"/>
        </w:rPr>
        <w:t xml:space="preserve"> </w:t>
      </w:r>
      <w:r w:rsidR="00402E26" w:rsidRPr="00CA5D95">
        <w:rPr>
          <w:szCs w:val="26"/>
        </w:rPr>
        <w:t>caused by being a new mother</w:t>
      </w:r>
      <w:r w:rsidR="00A8786D" w:rsidRPr="00CA5D95">
        <w:rPr>
          <w:szCs w:val="26"/>
        </w:rPr>
        <w:t xml:space="preserve"> — </w:t>
      </w:r>
      <w:r w:rsidR="00862F32" w:rsidRPr="00CA5D95">
        <w:rPr>
          <w:szCs w:val="26"/>
        </w:rPr>
        <w:t xml:space="preserve">contributed </w:t>
      </w:r>
      <w:r w:rsidR="00B86DE2" w:rsidRPr="00CA5D95">
        <w:rPr>
          <w:szCs w:val="26"/>
        </w:rPr>
        <w:t xml:space="preserve">in some manner </w:t>
      </w:r>
      <w:r w:rsidR="00862F32" w:rsidRPr="00CA5D95">
        <w:rPr>
          <w:szCs w:val="26"/>
        </w:rPr>
        <w:t xml:space="preserve">to each </w:t>
      </w:r>
      <w:r w:rsidR="00CC5265" w:rsidRPr="00CA5D95">
        <w:rPr>
          <w:szCs w:val="26"/>
        </w:rPr>
        <w:t xml:space="preserve">plaintiff’s </w:t>
      </w:r>
      <w:r w:rsidR="00B86DE2" w:rsidRPr="00CA5D95">
        <w:rPr>
          <w:szCs w:val="26"/>
        </w:rPr>
        <w:t xml:space="preserve">cumulative </w:t>
      </w:r>
      <w:r w:rsidR="00CC5265" w:rsidRPr="00CA5D95">
        <w:rPr>
          <w:szCs w:val="26"/>
        </w:rPr>
        <w:t xml:space="preserve">psychological harm.  </w:t>
      </w:r>
    </w:p>
    <w:p w14:paraId="0DB2E7BD" w14:textId="77777777" w:rsidR="00EB49FB" w:rsidRPr="00CA5D95" w:rsidRDefault="002E6832" w:rsidP="003751BB">
      <w:pPr>
        <w:tabs>
          <w:tab w:val="left" w:pos="3609"/>
        </w:tabs>
        <w:ind w:firstLine="720"/>
        <w:rPr>
          <w:szCs w:val="26"/>
        </w:rPr>
      </w:pPr>
      <w:r w:rsidRPr="00CA5D95">
        <w:rPr>
          <w:szCs w:val="26"/>
        </w:rPr>
        <w:t xml:space="preserve">Counsel for the District then turned to plaintiff </w:t>
      </w:r>
      <w:r w:rsidR="00593B52" w:rsidRPr="00CA5D95">
        <w:rPr>
          <w:szCs w:val="26"/>
        </w:rPr>
        <w:t>a</w:t>
      </w:r>
      <w:r w:rsidR="001056AE" w:rsidRPr="00CA5D95">
        <w:rPr>
          <w:szCs w:val="26"/>
        </w:rPr>
        <w:t>nd observed</w:t>
      </w:r>
      <w:r w:rsidR="004B4211" w:rsidRPr="00CA5D95">
        <w:rPr>
          <w:szCs w:val="26"/>
        </w:rPr>
        <w:t xml:space="preserve"> that she</w:t>
      </w:r>
      <w:r w:rsidR="00183A87" w:rsidRPr="00CA5D95">
        <w:rPr>
          <w:szCs w:val="26"/>
        </w:rPr>
        <w:t xml:space="preserve"> is</w:t>
      </w:r>
      <w:r w:rsidR="001056AE" w:rsidRPr="00CA5D95">
        <w:rPr>
          <w:szCs w:val="26"/>
        </w:rPr>
        <w:t xml:space="preserve"> “</w:t>
      </w:r>
      <w:r w:rsidR="00105AB1" w:rsidRPr="00CA5D95">
        <w:rPr>
          <w:szCs w:val="26"/>
        </w:rPr>
        <w:t xml:space="preserve">the only </w:t>
      </w:r>
      <w:r w:rsidR="001F5F63" w:rsidRPr="00CA5D95">
        <w:rPr>
          <w:szCs w:val="26"/>
        </w:rPr>
        <w:t>one who makes</w:t>
      </w:r>
      <w:r w:rsidR="00183A87" w:rsidRPr="00CA5D95">
        <w:rPr>
          <w:szCs w:val="26"/>
        </w:rPr>
        <w:t xml:space="preserve">” more </w:t>
      </w:r>
      <w:r w:rsidR="001B4C53" w:rsidRPr="00CA5D95">
        <w:rPr>
          <w:szCs w:val="26"/>
        </w:rPr>
        <w:t>“</w:t>
      </w:r>
      <w:r w:rsidR="00D31EE1" w:rsidRPr="00CA5D95">
        <w:rPr>
          <w:szCs w:val="26"/>
        </w:rPr>
        <w:t>graphic alle</w:t>
      </w:r>
      <w:r w:rsidR="00AB4B73" w:rsidRPr="00CA5D95">
        <w:rPr>
          <w:szCs w:val="26"/>
        </w:rPr>
        <w:t>g</w:t>
      </w:r>
      <w:r w:rsidR="00D31EE1" w:rsidRPr="00CA5D95">
        <w:rPr>
          <w:szCs w:val="26"/>
        </w:rPr>
        <w:t xml:space="preserve">ations.”  </w:t>
      </w:r>
      <w:r w:rsidR="00297335" w:rsidRPr="00CA5D95">
        <w:rPr>
          <w:szCs w:val="26"/>
        </w:rPr>
        <w:t xml:space="preserve">Counsel </w:t>
      </w:r>
      <w:r w:rsidR="00140112" w:rsidRPr="00CA5D95">
        <w:rPr>
          <w:szCs w:val="26"/>
        </w:rPr>
        <w:t>asserted</w:t>
      </w:r>
      <w:r w:rsidR="00F335DC" w:rsidRPr="00CA5D95">
        <w:rPr>
          <w:szCs w:val="26"/>
        </w:rPr>
        <w:t xml:space="preserve"> that when </w:t>
      </w:r>
      <w:r w:rsidR="00C03B34" w:rsidRPr="00CA5D95">
        <w:rPr>
          <w:szCs w:val="26"/>
        </w:rPr>
        <w:t xml:space="preserve">plaintiff, at </w:t>
      </w:r>
      <w:r w:rsidR="00ED3609" w:rsidRPr="00CA5D95">
        <w:rPr>
          <w:szCs w:val="26"/>
        </w:rPr>
        <w:t xml:space="preserve">the age of </w:t>
      </w:r>
      <w:r w:rsidR="00C03B34" w:rsidRPr="00CA5D95">
        <w:rPr>
          <w:szCs w:val="26"/>
        </w:rPr>
        <w:t xml:space="preserve">18, became </w:t>
      </w:r>
      <w:r w:rsidR="007644AC" w:rsidRPr="00CA5D95">
        <w:rPr>
          <w:szCs w:val="26"/>
        </w:rPr>
        <w:t xml:space="preserve">aware </w:t>
      </w:r>
      <w:r w:rsidR="00F23C7A" w:rsidRPr="00CA5D95">
        <w:rPr>
          <w:szCs w:val="26"/>
        </w:rPr>
        <w:t xml:space="preserve">of </w:t>
      </w:r>
      <w:r w:rsidR="00AE55F2" w:rsidRPr="00CA5D95">
        <w:rPr>
          <w:szCs w:val="26"/>
        </w:rPr>
        <w:t>Baldenebro</w:t>
      </w:r>
      <w:r w:rsidR="00F23C7A" w:rsidRPr="00CA5D95">
        <w:rPr>
          <w:szCs w:val="26"/>
        </w:rPr>
        <w:t xml:space="preserve">’s </w:t>
      </w:r>
      <w:r w:rsidR="00AE55F2" w:rsidRPr="00CA5D95">
        <w:rPr>
          <w:szCs w:val="26"/>
        </w:rPr>
        <w:t>arrest</w:t>
      </w:r>
      <w:r w:rsidR="00F23C7A" w:rsidRPr="00CA5D95">
        <w:rPr>
          <w:szCs w:val="26"/>
        </w:rPr>
        <w:t xml:space="preserve">, she </w:t>
      </w:r>
      <w:r w:rsidR="007E61F5" w:rsidRPr="00CA5D95">
        <w:rPr>
          <w:szCs w:val="26"/>
        </w:rPr>
        <w:t xml:space="preserve">reported his abuse </w:t>
      </w:r>
      <w:r w:rsidR="000204F3" w:rsidRPr="00CA5D95">
        <w:rPr>
          <w:szCs w:val="26"/>
        </w:rPr>
        <w:t>t</w:t>
      </w:r>
      <w:r w:rsidR="00297D0D" w:rsidRPr="00CA5D95">
        <w:rPr>
          <w:szCs w:val="26"/>
        </w:rPr>
        <w:t xml:space="preserve">o the </w:t>
      </w:r>
      <w:r w:rsidR="00242D62">
        <w:rPr>
          <w:szCs w:val="26"/>
        </w:rPr>
        <w:t>s</w:t>
      </w:r>
      <w:r w:rsidR="00297D0D" w:rsidRPr="00CA5D95">
        <w:rPr>
          <w:szCs w:val="26"/>
        </w:rPr>
        <w:t xml:space="preserve">heriff’s </w:t>
      </w:r>
      <w:r w:rsidR="00242D62">
        <w:rPr>
          <w:szCs w:val="26"/>
        </w:rPr>
        <w:t>d</w:t>
      </w:r>
      <w:r w:rsidR="00297D0D" w:rsidRPr="00CA5D95">
        <w:rPr>
          <w:szCs w:val="26"/>
        </w:rPr>
        <w:t>epartment</w:t>
      </w:r>
      <w:r w:rsidR="00DB63D4" w:rsidRPr="00CA5D95">
        <w:rPr>
          <w:szCs w:val="26"/>
        </w:rPr>
        <w:t xml:space="preserve">, </w:t>
      </w:r>
      <w:r w:rsidR="00C00A25" w:rsidRPr="00CA5D95">
        <w:rPr>
          <w:szCs w:val="26"/>
        </w:rPr>
        <w:t xml:space="preserve">where she was </w:t>
      </w:r>
      <w:r w:rsidR="009817C6" w:rsidRPr="00CA5D95">
        <w:rPr>
          <w:szCs w:val="26"/>
        </w:rPr>
        <w:t xml:space="preserve">interviewed by a </w:t>
      </w:r>
      <w:r w:rsidR="00B44A31" w:rsidRPr="00CA5D95">
        <w:rPr>
          <w:szCs w:val="26"/>
        </w:rPr>
        <w:t>female de</w:t>
      </w:r>
      <w:r w:rsidR="009E543A" w:rsidRPr="00CA5D95">
        <w:rPr>
          <w:szCs w:val="26"/>
        </w:rPr>
        <w:t>p</w:t>
      </w:r>
      <w:r w:rsidR="00B44A31" w:rsidRPr="00CA5D95">
        <w:rPr>
          <w:szCs w:val="26"/>
        </w:rPr>
        <w:t>uty</w:t>
      </w:r>
      <w:r w:rsidR="001A6B01" w:rsidRPr="00CA5D95">
        <w:rPr>
          <w:szCs w:val="26"/>
        </w:rPr>
        <w:t xml:space="preserve">.  </w:t>
      </w:r>
      <w:r w:rsidR="00CB172D" w:rsidRPr="00CA5D95">
        <w:rPr>
          <w:szCs w:val="26"/>
        </w:rPr>
        <w:t>At that time,</w:t>
      </w:r>
      <w:r w:rsidR="00A678BD" w:rsidRPr="00CA5D95">
        <w:rPr>
          <w:szCs w:val="26"/>
        </w:rPr>
        <w:t xml:space="preserve"> counsel </w:t>
      </w:r>
      <w:r w:rsidR="003A607E" w:rsidRPr="00CA5D95">
        <w:rPr>
          <w:szCs w:val="26"/>
        </w:rPr>
        <w:t xml:space="preserve">told the jury, </w:t>
      </w:r>
      <w:r w:rsidR="00C715B1">
        <w:rPr>
          <w:szCs w:val="26"/>
        </w:rPr>
        <w:t xml:space="preserve">plaintiff </w:t>
      </w:r>
      <w:r w:rsidR="009748F5" w:rsidRPr="00CA5D95">
        <w:rPr>
          <w:szCs w:val="26"/>
        </w:rPr>
        <w:lastRenderedPageBreak/>
        <w:t>“</w:t>
      </w:r>
      <w:r w:rsidR="004F180E" w:rsidRPr="00CA5D95">
        <w:rPr>
          <w:szCs w:val="26"/>
        </w:rPr>
        <w:t>didn’t say anything about</w:t>
      </w:r>
      <w:r w:rsidR="001D22B3" w:rsidRPr="00CA5D95">
        <w:rPr>
          <w:szCs w:val="26"/>
        </w:rPr>
        <w:t>” the more graphic allegations</w:t>
      </w:r>
      <w:r w:rsidR="006B0617" w:rsidRPr="00CA5D95">
        <w:rPr>
          <w:szCs w:val="26"/>
        </w:rPr>
        <w:t xml:space="preserve"> described by her trial counsel.</w:t>
      </w:r>
      <w:r w:rsidR="00EB1508" w:rsidRPr="00CA5D95">
        <w:rPr>
          <w:szCs w:val="26"/>
        </w:rPr>
        <w:t xml:space="preserve"> </w:t>
      </w:r>
      <w:r w:rsidR="00CE630D" w:rsidRPr="00CA5D95">
        <w:rPr>
          <w:szCs w:val="26"/>
        </w:rPr>
        <w:t xml:space="preserve"> </w:t>
      </w:r>
    </w:p>
    <w:p w14:paraId="0DB2E7BE" w14:textId="77777777" w:rsidR="00B51BF3" w:rsidRPr="00CA5D95" w:rsidRDefault="002E6832" w:rsidP="003751BB">
      <w:pPr>
        <w:tabs>
          <w:tab w:val="left" w:pos="3609"/>
        </w:tabs>
        <w:ind w:firstLine="720"/>
        <w:rPr>
          <w:szCs w:val="26"/>
        </w:rPr>
      </w:pPr>
      <w:r w:rsidRPr="00CA5D95">
        <w:rPr>
          <w:szCs w:val="26"/>
        </w:rPr>
        <w:t xml:space="preserve">Counsel for the District </w:t>
      </w:r>
      <w:r w:rsidR="002E1CE1" w:rsidRPr="00CA5D95">
        <w:rPr>
          <w:szCs w:val="26"/>
        </w:rPr>
        <w:t xml:space="preserve">next </w:t>
      </w:r>
      <w:r w:rsidR="002F7BDE" w:rsidRPr="00CA5D95">
        <w:rPr>
          <w:szCs w:val="26"/>
        </w:rPr>
        <w:t>stated that plaintiff</w:t>
      </w:r>
      <w:r w:rsidR="005826C6" w:rsidRPr="00CA5D95">
        <w:rPr>
          <w:szCs w:val="26"/>
        </w:rPr>
        <w:t xml:space="preserve"> </w:t>
      </w:r>
      <w:r w:rsidR="00063395" w:rsidRPr="00CA5D95">
        <w:rPr>
          <w:szCs w:val="26"/>
        </w:rPr>
        <w:t>“</w:t>
      </w:r>
      <w:r w:rsidR="00ED20E7" w:rsidRPr="00CA5D95">
        <w:rPr>
          <w:szCs w:val="26"/>
        </w:rPr>
        <w:t>und</w:t>
      </w:r>
      <w:r w:rsidR="008250F3" w:rsidRPr="00CA5D95">
        <w:rPr>
          <w:szCs w:val="26"/>
        </w:rPr>
        <w:t xml:space="preserve">erwent </w:t>
      </w:r>
      <w:r w:rsidR="00BD61C9" w:rsidRPr="00CA5D95">
        <w:rPr>
          <w:szCs w:val="26"/>
        </w:rPr>
        <w:t xml:space="preserve">therapy from October 2016 </w:t>
      </w:r>
      <w:r w:rsidR="00907001" w:rsidRPr="00CA5D95">
        <w:rPr>
          <w:szCs w:val="26"/>
        </w:rPr>
        <w:t>to April 2017</w:t>
      </w:r>
      <w:r w:rsidR="00063395" w:rsidRPr="00CA5D95">
        <w:rPr>
          <w:szCs w:val="26"/>
        </w:rPr>
        <w:t xml:space="preserve">” but </w:t>
      </w:r>
      <w:r w:rsidR="00A9344B" w:rsidRPr="00CA5D95">
        <w:rPr>
          <w:szCs w:val="26"/>
        </w:rPr>
        <w:t xml:space="preserve">during those sessions </w:t>
      </w:r>
      <w:r w:rsidR="00DA3A25" w:rsidRPr="00CA5D95">
        <w:rPr>
          <w:szCs w:val="26"/>
        </w:rPr>
        <w:t>“</w:t>
      </w:r>
      <w:r w:rsidR="0015048A" w:rsidRPr="00CA5D95">
        <w:rPr>
          <w:szCs w:val="26"/>
        </w:rPr>
        <w:t>never mention</w:t>
      </w:r>
      <w:r w:rsidR="00DA3A25" w:rsidRPr="00CA5D95">
        <w:rPr>
          <w:szCs w:val="26"/>
        </w:rPr>
        <w:t>[ed]</w:t>
      </w:r>
      <w:r w:rsidR="0015048A" w:rsidRPr="00CA5D95">
        <w:rPr>
          <w:szCs w:val="26"/>
        </w:rPr>
        <w:t xml:space="preserve"> </w:t>
      </w:r>
      <w:r w:rsidR="00822552" w:rsidRPr="00CA5D95">
        <w:rPr>
          <w:szCs w:val="26"/>
        </w:rPr>
        <w:t>or stat</w:t>
      </w:r>
      <w:r w:rsidR="00DA3A25" w:rsidRPr="00CA5D95">
        <w:rPr>
          <w:szCs w:val="26"/>
        </w:rPr>
        <w:t>[ed]</w:t>
      </w:r>
      <w:r w:rsidR="00822552" w:rsidRPr="00CA5D95">
        <w:rPr>
          <w:szCs w:val="26"/>
        </w:rPr>
        <w:t xml:space="preserve"> anything about </w:t>
      </w:r>
      <w:r w:rsidR="004B4BC2" w:rsidRPr="00CA5D95">
        <w:rPr>
          <w:szCs w:val="26"/>
        </w:rPr>
        <w:t>Baldenebro</w:t>
      </w:r>
      <w:r w:rsidR="00237598" w:rsidRPr="00CA5D95">
        <w:rPr>
          <w:szCs w:val="26"/>
        </w:rPr>
        <w:t>.</w:t>
      </w:r>
      <w:r w:rsidR="00375B5B" w:rsidRPr="00CA5D95">
        <w:rPr>
          <w:szCs w:val="26"/>
        </w:rPr>
        <w:t>”</w:t>
      </w:r>
      <w:r w:rsidR="00237598" w:rsidRPr="00CA5D95">
        <w:rPr>
          <w:szCs w:val="26"/>
        </w:rPr>
        <w:t xml:space="preserve">  </w:t>
      </w:r>
      <w:r w:rsidR="00E37999" w:rsidRPr="00CA5D95">
        <w:rPr>
          <w:szCs w:val="26"/>
        </w:rPr>
        <w:t xml:space="preserve">Moreover, </w:t>
      </w:r>
      <w:r w:rsidR="00432B7E" w:rsidRPr="00CA5D95">
        <w:rPr>
          <w:szCs w:val="26"/>
        </w:rPr>
        <w:t>cou</w:t>
      </w:r>
      <w:r w:rsidR="004B6D41" w:rsidRPr="00CA5D95">
        <w:rPr>
          <w:szCs w:val="26"/>
        </w:rPr>
        <w:t xml:space="preserve">nsel </w:t>
      </w:r>
      <w:r w:rsidR="000D3989" w:rsidRPr="00CA5D95">
        <w:rPr>
          <w:szCs w:val="26"/>
        </w:rPr>
        <w:t xml:space="preserve">asserted, </w:t>
      </w:r>
      <w:r w:rsidR="001575F9" w:rsidRPr="00CA5D95">
        <w:rPr>
          <w:szCs w:val="26"/>
        </w:rPr>
        <w:t xml:space="preserve">when plaintiff resumed </w:t>
      </w:r>
      <w:r w:rsidR="00976012" w:rsidRPr="00CA5D95">
        <w:rPr>
          <w:szCs w:val="26"/>
        </w:rPr>
        <w:t xml:space="preserve">therapy in </w:t>
      </w:r>
      <w:r w:rsidR="00BC5FF4" w:rsidRPr="00CA5D95">
        <w:rPr>
          <w:szCs w:val="26"/>
        </w:rPr>
        <w:t>April 2019</w:t>
      </w:r>
      <w:r w:rsidR="001575F9" w:rsidRPr="00CA5D95">
        <w:rPr>
          <w:szCs w:val="26"/>
        </w:rPr>
        <w:t xml:space="preserve">, </w:t>
      </w:r>
      <w:r w:rsidR="00B67AA1" w:rsidRPr="00CA5D95">
        <w:rPr>
          <w:szCs w:val="26"/>
        </w:rPr>
        <w:t xml:space="preserve">and at that time </w:t>
      </w:r>
      <w:r w:rsidR="002B12E2" w:rsidRPr="00CA5D95">
        <w:rPr>
          <w:szCs w:val="26"/>
        </w:rPr>
        <w:t xml:space="preserve">mentioned </w:t>
      </w:r>
      <w:r w:rsidR="007D0B4D" w:rsidRPr="00CA5D95">
        <w:rPr>
          <w:szCs w:val="26"/>
        </w:rPr>
        <w:t>“</w:t>
      </w:r>
      <w:r w:rsidR="00DC35A4" w:rsidRPr="00CA5D95">
        <w:rPr>
          <w:szCs w:val="26"/>
        </w:rPr>
        <w:t>abuse by a school teacher</w:t>
      </w:r>
      <w:r w:rsidR="009A7591" w:rsidRPr="00CA5D95">
        <w:rPr>
          <w:szCs w:val="26"/>
        </w:rPr>
        <w:t>,</w:t>
      </w:r>
      <w:r w:rsidR="007D0B4D" w:rsidRPr="00CA5D95">
        <w:rPr>
          <w:szCs w:val="26"/>
        </w:rPr>
        <w:t>”</w:t>
      </w:r>
      <w:r w:rsidR="009A7591" w:rsidRPr="00CA5D95">
        <w:rPr>
          <w:szCs w:val="26"/>
        </w:rPr>
        <w:t xml:space="preserve"> she </w:t>
      </w:r>
      <w:r w:rsidR="00190088" w:rsidRPr="00CA5D95">
        <w:rPr>
          <w:szCs w:val="26"/>
        </w:rPr>
        <w:t xml:space="preserve">did not </w:t>
      </w:r>
      <w:r w:rsidR="00B67AA1" w:rsidRPr="00CA5D95">
        <w:rPr>
          <w:szCs w:val="26"/>
        </w:rPr>
        <w:t xml:space="preserve">describe </w:t>
      </w:r>
      <w:r w:rsidR="0049092B" w:rsidRPr="00CA5D95">
        <w:rPr>
          <w:szCs w:val="26"/>
        </w:rPr>
        <w:t xml:space="preserve">any </w:t>
      </w:r>
      <w:r w:rsidR="00190088" w:rsidRPr="00CA5D95">
        <w:rPr>
          <w:szCs w:val="26"/>
        </w:rPr>
        <w:t xml:space="preserve">graphic </w:t>
      </w:r>
      <w:r w:rsidR="0049092B" w:rsidRPr="00CA5D95">
        <w:rPr>
          <w:szCs w:val="26"/>
        </w:rPr>
        <w:t xml:space="preserve">conduct </w:t>
      </w:r>
      <w:r w:rsidR="001F1AE3">
        <w:rPr>
          <w:szCs w:val="26"/>
        </w:rPr>
        <w:t xml:space="preserve">like that </w:t>
      </w:r>
      <w:r w:rsidR="00935B05" w:rsidRPr="00CA5D95">
        <w:rPr>
          <w:szCs w:val="26"/>
        </w:rPr>
        <w:t xml:space="preserve">highlighted by her counsel.  </w:t>
      </w:r>
    </w:p>
    <w:p w14:paraId="0DB2E7BF" w14:textId="77777777" w:rsidR="00EB49FB" w:rsidRPr="00CA5D95" w:rsidRDefault="002E6832" w:rsidP="003751BB">
      <w:pPr>
        <w:tabs>
          <w:tab w:val="left" w:pos="3609"/>
        </w:tabs>
        <w:ind w:firstLine="720"/>
        <w:rPr>
          <w:szCs w:val="26"/>
        </w:rPr>
      </w:pPr>
      <w:r w:rsidRPr="00CA5D95">
        <w:rPr>
          <w:szCs w:val="26"/>
        </w:rPr>
        <w:t xml:space="preserve">Counsel for the District </w:t>
      </w:r>
      <w:r w:rsidR="007875C7" w:rsidRPr="00CA5D95">
        <w:rPr>
          <w:szCs w:val="26"/>
        </w:rPr>
        <w:t xml:space="preserve">told the </w:t>
      </w:r>
      <w:r w:rsidR="003F3170" w:rsidRPr="00CA5D95">
        <w:rPr>
          <w:szCs w:val="26"/>
        </w:rPr>
        <w:t xml:space="preserve">jury that </w:t>
      </w:r>
      <w:r w:rsidR="00E85133" w:rsidRPr="00CA5D95">
        <w:rPr>
          <w:szCs w:val="26"/>
        </w:rPr>
        <w:t>discovery</w:t>
      </w:r>
      <w:r w:rsidR="00F83662" w:rsidRPr="00CA5D95">
        <w:rPr>
          <w:szCs w:val="26"/>
        </w:rPr>
        <w:t xml:space="preserve"> showed</w:t>
      </w:r>
      <w:r w:rsidR="00E85133" w:rsidRPr="00CA5D95">
        <w:rPr>
          <w:szCs w:val="26"/>
        </w:rPr>
        <w:t xml:space="preserve"> that </w:t>
      </w:r>
      <w:r w:rsidR="001A4FC7" w:rsidRPr="00CA5D95">
        <w:rPr>
          <w:szCs w:val="26"/>
        </w:rPr>
        <w:t>plaintiff</w:t>
      </w:r>
      <w:r w:rsidR="004C3F74" w:rsidRPr="00CA5D95">
        <w:rPr>
          <w:szCs w:val="26"/>
        </w:rPr>
        <w:t xml:space="preserve"> </w:t>
      </w:r>
      <w:r w:rsidR="00B44153" w:rsidRPr="00CA5D95">
        <w:rPr>
          <w:szCs w:val="26"/>
        </w:rPr>
        <w:t xml:space="preserve">stated, under oath, that she </w:t>
      </w:r>
      <w:r w:rsidR="007A5CC0" w:rsidRPr="00CA5D95">
        <w:rPr>
          <w:szCs w:val="26"/>
        </w:rPr>
        <w:t>attribut</w:t>
      </w:r>
      <w:r w:rsidR="00137DC1" w:rsidRPr="00CA5D95">
        <w:rPr>
          <w:szCs w:val="26"/>
        </w:rPr>
        <w:t>es h</w:t>
      </w:r>
      <w:r w:rsidR="007A5CC0" w:rsidRPr="00CA5D95">
        <w:rPr>
          <w:szCs w:val="26"/>
        </w:rPr>
        <w:t xml:space="preserve">er </w:t>
      </w:r>
      <w:r w:rsidR="001415E5" w:rsidRPr="00CA5D95">
        <w:rPr>
          <w:szCs w:val="26"/>
        </w:rPr>
        <w:t xml:space="preserve">emotional </w:t>
      </w:r>
      <w:r w:rsidR="00867766" w:rsidRPr="00CA5D95">
        <w:rPr>
          <w:szCs w:val="26"/>
        </w:rPr>
        <w:t>dist</w:t>
      </w:r>
      <w:r w:rsidR="00D45AAF" w:rsidRPr="00CA5D95">
        <w:rPr>
          <w:szCs w:val="26"/>
        </w:rPr>
        <w:t xml:space="preserve">ress </w:t>
      </w:r>
      <w:r w:rsidR="00EA19AE" w:rsidRPr="00CA5D95">
        <w:rPr>
          <w:szCs w:val="26"/>
        </w:rPr>
        <w:t xml:space="preserve">to </w:t>
      </w:r>
      <w:r w:rsidR="00F96CEB" w:rsidRPr="00CA5D95">
        <w:rPr>
          <w:szCs w:val="26"/>
        </w:rPr>
        <w:t>“</w:t>
      </w:r>
      <w:r w:rsidR="00EA19AE" w:rsidRPr="00CA5D95">
        <w:rPr>
          <w:szCs w:val="26"/>
        </w:rPr>
        <w:t xml:space="preserve">the </w:t>
      </w:r>
      <w:r w:rsidR="00B1688B" w:rsidRPr="00CA5D95">
        <w:rPr>
          <w:szCs w:val="26"/>
        </w:rPr>
        <w:t xml:space="preserve">abuse and conduct </w:t>
      </w:r>
      <w:r w:rsidR="00F96CEB" w:rsidRPr="00CA5D95">
        <w:rPr>
          <w:szCs w:val="26"/>
        </w:rPr>
        <w:t>[</w:t>
      </w:r>
      <w:r w:rsidR="00B1688B" w:rsidRPr="00CA5D95">
        <w:rPr>
          <w:szCs w:val="26"/>
        </w:rPr>
        <w:t>of</w:t>
      </w:r>
      <w:r w:rsidR="00F96CEB" w:rsidRPr="00CA5D95">
        <w:rPr>
          <w:szCs w:val="26"/>
        </w:rPr>
        <w:t>]</w:t>
      </w:r>
      <w:r w:rsidR="00B1688B" w:rsidRPr="00CA5D95">
        <w:rPr>
          <w:szCs w:val="26"/>
        </w:rPr>
        <w:t xml:space="preserve"> </w:t>
      </w:r>
      <w:r w:rsidR="00BD57C5" w:rsidRPr="00CA5D95">
        <w:rPr>
          <w:szCs w:val="26"/>
        </w:rPr>
        <w:t>Baldenebro</w:t>
      </w:r>
      <w:r w:rsidR="00695259" w:rsidRPr="00CA5D95">
        <w:rPr>
          <w:szCs w:val="26"/>
        </w:rPr>
        <w:t>”</w:t>
      </w:r>
      <w:r w:rsidR="009965A0" w:rsidRPr="00CA5D95">
        <w:rPr>
          <w:szCs w:val="26"/>
        </w:rPr>
        <w:t xml:space="preserve"> </w:t>
      </w:r>
      <w:r w:rsidR="00A60810" w:rsidRPr="00CA5D95">
        <w:rPr>
          <w:szCs w:val="26"/>
        </w:rPr>
        <w:t xml:space="preserve">in the “2009–2010 time frame.”  </w:t>
      </w:r>
      <w:r w:rsidR="00C7291A" w:rsidRPr="00CA5D95">
        <w:rPr>
          <w:szCs w:val="26"/>
        </w:rPr>
        <w:t xml:space="preserve">Counsel then addressed the evidence </w:t>
      </w:r>
      <w:r w:rsidR="007A6178" w:rsidRPr="00CA5D95">
        <w:rPr>
          <w:szCs w:val="26"/>
        </w:rPr>
        <w:t xml:space="preserve">concerning </w:t>
      </w:r>
      <w:r w:rsidR="00C7291A" w:rsidRPr="00CA5D95">
        <w:rPr>
          <w:szCs w:val="26"/>
        </w:rPr>
        <w:t xml:space="preserve">the 2013 molestation:  </w:t>
      </w:r>
      <w:r w:rsidR="005B70DC" w:rsidRPr="00CA5D95">
        <w:rPr>
          <w:szCs w:val="26"/>
        </w:rPr>
        <w:t>“</w:t>
      </w:r>
      <w:r w:rsidR="00E53EDE" w:rsidRPr="00CA5D95">
        <w:rPr>
          <w:szCs w:val="26"/>
        </w:rPr>
        <w:t xml:space="preserve">[C]ompletely </w:t>
      </w:r>
      <w:r w:rsidR="008454D7" w:rsidRPr="00CA5D95">
        <w:rPr>
          <w:szCs w:val="26"/>
        </w:rPr>
        <w:t xml:space="preserve">unrelated to this, </w:t>
      </w:r>
      <w:r w:rsidR="00265D5D" w:rsidRPr="00CA5D95">
        <w:rPr>
          <w:szCs w:val="26"/>
        </w:rPr>
        <w:t>and tragically in 2013</w:t>
      </w:r>
      <w:r w:rsidR="0058373C" w:rsidRPr="00CA5D95">
        <w:rPr>
          <w:szCs w:val="26"/>
        </w:rPr>
        <w:t>[</w:t>
      </w:r>
      <w:r w:rsidR="00265D5D" w:rsidRPr="00CA5D95">
        <w:rPr>
          <w:szCs w:val="26"/>
        </w:rPr>
        <w:t>,</w:t>
      </w:r>
      <w:r w:rsidR="0058373C" w:rsidRPr="00CA5D95">
        <w:rPr>
          <w:szCs w:val="26"/>
        </w:rPr>
        <w:t>]</w:t>
      </w:r>
      <w:r w:rsidR="00265D5D" w:rsidRPr="00CA5D95">
        <w:rPr>
          <w:szCs w:val="26"/>
        </w:rPr>
        <w:t xml:space="preserve"> she </w:t>
      </w:r>
      <w:r w:rsidR="00F32481" w:rsidRPr="00CA5D95">
        <w:rPr>
          <w:szCs w:val="26"/>
        </w:rPr>
        <w:t xml:space="preserve">was </w:t>
      </w:r>
      <w:r w:rsidR="000C7711" w:rsidRPr="00CA5D95">
        <w:rPr>
          <w:szCs w:val="26"/>
        </w:rPr>
        <w:t>sexually molested and abused unrelated to</w:t>
      </w:r>
      <w:r w:rsidR="0095080D" w:rsidRPr="00CA5D95">
        <w:rPr>
          <w:szCs w:val="26"/>
        </w:rPr>
        <w:t xml:space="preserve"> . . . </w:t>
      </w:r>
      <w:r w:rsidR="00536A11" w:rsidRPr="00CA5D95">
        <w:rPr>
          <w:szCs w:val="26"/>
        </w:rPr>
        <w:t xml:space="preserve">the school district or </w:t>
      </w:r>
      <w:r w:rsidR="00DB5E0A" w:rsidRPr="00CA5D95">
        <w:rPr>
          <w:szCs w:val="26"/>
        </w:rPr>
        <w:t>Baldenebro</w:t>
      </w:r>
      <w:r w:rsidR="002776FD" w:rsidRPr="00CA5D95">
        <w:rPr>
          <w:szCs w:val="26"/>
        </w:rPr>
        <w:t xml:space="preserve"> — </w:t>
      </w:r>
      <w:r w:rsidR="004C43A0" w:rsidRPr="00CA5D95">
        <w:rPr>
          <w:szCs w:val="26"/>
        </w:rPr>
        <w:t>by a family frie</w:t>
      </w:r>
      <w:r w:rsidR="001E16CD" w:rsidRPr="00CA5D95">
        <w:rPr>
          <w:szCs w:val="26"/>
        </w:rPr>
        <w:t>nd or re</w:t>
      </w:r>
      <w:r w:rsidR="00B310A0" w:rsidRPr="00CA5D95">
        <w:rPr>
          <w:szCs w:val="26"/>
        </w:rPr>
        <w:t>l</w:t>
      </w:r>
      <w:r w:rsidR="001E16CD" w:rsidRPr="00CA5D95">
        <w:rPr>
          <w:szCs w:val="26"/>
        </w:rPr>
        <w:t>ati</w:t>
      </w:r>
      <w:r w:rsidR="00B310A0" w:rsidRPr="00CA5D95">
        <w:rPr>
          <w:szCs w:val="26"/>
        </w:rPr>
        <w:t>v</w:t>
      </w:r>
      <w:r w:rsidR="001E16CD" w:rsidRPr="00CA5D95">
        <w:rPr>
          <w:szCs w:val="26"/>
        </w:rPr>
        <w:t>e</w:t>
      </w:r>
      <w:r w:rsidR="00B310A0" w:rsidRPr="00CA5D95">
        <w:rPr>
          <w:szCs w:val="26"/>
        </w:rPr>
        <w:t xml:space="preserve">.”  </w:t>
      </w:r>
      <w:r w:rsidR="00177C47" w:rsidRPr="00CA5D95">
        <w:rPr>
          <w:szCs w:val="26"/>
        </w:rPr>
        <w:t>“</w:t>
      </w:r>
      <w:r w:rsidR="00D71A4C" w:rsidRPr="00CA5D95">
        <w:rPr>
          <w:szCs w:val="26"/>
        </w:rPr>
        <w:t>[O]</w:t>
      </w:r>
      <w:r w:rsidR="00B17100" w:rsidRPr="00CA5D95">
        <w:rPr>
          <w:szCs w:val="26"/>
        </w:rPr>
        <w:t xml:space="preserve">ur </w:t>
      </w:r>
      <w:r w:rsidR="00C2150F" w:rsidRPr="00CA5D95">
        <w:rPr>
          <w:szCs w:val="26"/>
        </w:rPr>
        <w:t xml:space="preserve">expert </w:t>
      </w:r>
      <w:r w:rsidR="0031508F" w:rsidRPr="00CA5D95">
        <w:rPr>
          <w:szCs w:val="26"/>
        </w:rPr>
        <w:t>[</w:t>
      </w:r>
      <w:r w:rsidR="00A26A27" w:rsidRPr="00CA5D95">
        <w:rPr>
          <w:szCs w:val="26"/>
        </w:rPr>
        <w:t>psychiatrist</w:t>
      </w:r>
      <w:r w:rsidR="0031508F" w:rsidRPr="00CA5D95">
        <w:rPr>
          <w:szCs w:val="26"/>
        </w:rPr>
        <w:t>]</w:t>
      </w:r>
      <w:r w:rsidR="00A26A27" w:rsidRPr="00CA5D95">
        <w:rPr>
          <w:szCs w:val="26"/>
        </w:rPr>
        <w:t xml:space="preserve"> </w:t>
      </w:r>
      <w:r w:rsidR="00954725" w:rsidRPr="00CA5D95">
        <w:rPr>
          <w:szCs w:val="26"/>
        </w:rPr>
        <w:t xml:space="preserve">. . . </w:t>
      </w:r>
      <w:r w:rsidR="00A26A27" w:rsidRPr="00CA5D95">
        <w:rPr>
          <w:szCs w:val="26"/>
        </w:rPr>
        <w:t>will</w:t>
      </w:r>
      <w:r w:rsidR="00954725" w:rsidRPr="00CA5D95">
        <w:rPr>
          <w:szCs w:val="26"/>
        </w:rPr>
        <w:t xml:space="preserve"> tell you </w:t>
      </w:r>
      <w:r w:rsidR="0057652D" w:rsidRPr="00CA5D95">
        <w:rPr>
          <w:szCs w:val="26"/>
        </w:rPr>
        <w:t xml:space="preserve">you </w:t>
      </w:r>
      <w:r w:rsidR="003D60E1" w:rsidRPr="00CA5D95">
        <w:rPr>
          <w:szCs w:val="26"/>
        </w:rPr>
        <w:t xml:space="preserve">can’t just separate </w:t>
      </w:r>
      <w:r w:rsidR="00023A09" w:rsidRPr="00CA5D95">
        <w:rPr>
          <w:szCs w:val="26"/>
        </w:rPr>
        <w:t xml:space="preserve">them, that </w:t>
      </w:r>
      <w:r w:rsidR="00776EDA" w:rsidRPr="00CA5D95">
        <w:rPr>
          <w:szCs w:val="26"/>
        </w:rPr>
        <w:t xml:space="preserve">the mental issues she’s got </w:t>
      </w:r>
      <w:r w:rsidR="006D16C1" w:rsidRPr="00CA5D95">
        <w:rPr>
          <w:szCs w:val="26"/>
        </w:rPr>
        <w:t xml:space="preserve">are </w:t>
      </w:r>
      <w:r w:rsidR="006D16C1" w:rsidRPr="00CA5D95">
        <w:rPr>
          <w:i/>
          <w:iCs/>
          <w:szCs w:val="26"/>
        </w:rPr>
        <w:t xml:space="preserve">in part caused by </w:t>
      </w:r>
      <w:r w:rsidR="009B0EFB" w:rsidRPr="00CA5D95">
        <w:rPr>
          <w:i/>
          <w:iCs/>
          <w:szCs w:val="26"/>
        </w:rPr>
        <w:t>her interaction with Baldenebro</w:t>
      </w:r>
      <w:r w:rsidR="009B0EFB" w:rsidRPr="00CA5D95">
        <w:rPr>
          <w:szCs w:val="26"/>
        </w:rPr>
        <w:t xml:space="preserve">, </w:t>
      </w:r>
      <w:r w:rsidR="00276C8E" w:rsidRPr="00CA5D95">
        <w:rPr>
          <w:szCs w:val="26"/>
        </w:rPr>
        <w:t xml:space="preserve">whatever that was, </w:t>
      </w:r>
      <w:r w:rsidR="00276C8E" w:rsidRPr="00CA5D95">
        <w:rPr>
          <w:i/>
          <w:iCs/>
          <w:szCs w:val="26"/>
        </w:rPr>
        <w:t xml:space="preserve">and </w:t>
      </w:r>
      <w:r w:rsidR="00896A9F" w:rsidRPr="00CA5D95">
        <w:rPr>
          <w:i/>
          <w:iCs/>
          <w:szCs w:val="26"/>
        </w:rPr>
        <w:t xml:space="preserve">the completely unrelated molestation in 2013 </w:t>
      </w:r>
      <w:r w:rsidR="00D53351" w:rsidRPr="00CA5D95">
        <w:rPr>
          <w:i/>
          <w:iCs/>
          <w:szCs w:val="26"/>
        </w:rPr>
        <w:t>t</w:t>
      </w:r>
      <w:r w:rsidR="00DB1AF3" w:rsidRPr="00CA5D95">
        <w:rPr>
          <w:i/>
          <w:iCs/>
          <w:szCs w:val="26"/>
        </w:rPr>
        <w:t>hat s</w:t>
      </w:r>
      <w:r w:rsidR="00D53351" w:rsidRPr="00CA5D95">
        <w:rPr>
          <w:i/>
          <w:iCs/>
          <w:szCs w:val="26"/>
        </w:rPr>
        <w:t>he</w:t>
      </w:r>
      <w:r w:rsidR="00DB1AF3" w:rsidRPr="00CA5D95">
        <w:rPr>
          <w:i/>
          <w:iCs/>
          <w:szCs w:val="26"/>
        </w:rPr>
        <w:t xml:space="preserve">’s </w:t>
      </w:r>
      <w:r w:rsidR="00D53351" w:rsidRPr="00CA5D95">
        <w:rPr>
          <w:i/>
          <w:iCs/>
          <w:szCs w:val="26"/>
        </w:rPr>
        <w:t xml:space="preserve">still </w:t>
      </w:r>
      <w:r w:rsidR="00403298" w:rsidRPr="00CA5D95">
        <w:rPr>
          <w:i/>
          <w:iCs/>
          <w:szCs w:val="26"/>
        </w:rPr>
        <w:t xml:space="preserve">suffering </w:t>
      </w:r>
      <w:r w:rsidR="00DB1AF3" w:rsidRPr="00CA5D95">
        <w:rPr>
          <w:szCs w:val="26"/>
        </w:rPr>
        <w:t>[</w:t>
      </w:r>
      <w:r w:rsidR="00DB1AF3" w:rsidRPr="00CA5D95">
        <w:rPr>
          <w:i/>
          <w:iCs/>
          <w:szCs w:val="26"/>
        </w:rPr>
        <w:t>from</w:t>
      </w:r>
      <w:r w:rsidR="00DB1AF3" w:rsidRPr="00CA5D95">
        <w:rPr>
          <w:szCs w:val="26"/>
        </w:rPr>
        <w:t>]</w:t>
      </w:r>
      <w:r w:rsidR="00DB1AF3" w:rsidRPr="00CA5D95">
        <w:rPr>
          <w:i/>
          <w:iCs/>
          <w:szCs w:val="26"/>
        </w:rPr>
        <w:t xml:space="preserve"> </w:t>
      </w:r>
      <w:r w:rsidR="00F167FF" w:rsidRPr="00CA5D95">
        <w:rPr>
          <w:i/>
          <w:iCs/>
          <w:szCs w:val="26"/>
        </w:rPr>
        <w:t xml:space="preserve">separately and </w:t>
      </w:r>
      <w:r w:rsidR="00827BA6" w:rsidRPr="00CA5D95">
        <w:rPr>
          <w:i/>
          <w:iCs/>
          <w:szCs w:val="26"/>
        </w:rPr>
        <w:t>apart</w:t>
      </w:r>
      <w:r w:rsidR="00827BA6" w:rsidRPr="00CA5D95">
        <w:rPr>
          <w:szCs w:val="26"/>
        </w:rPr>
        <w:t>.</w:t>
      </w:r>
      <w:r w:rsidR="001F0082" w:rsidRPr="00CA5D95">
        <w:rPr>
          <w:szCs w:val="26"/>
        </w:rPr>
        <w:t xml:space="preserve">”  </w:t>
      </w:r>
      <w:r w:rsidR="00242D62">
        <w:rPr>
          <w:szCs w:val="26"/>
        </w:rPr>
        <w:t>(Italics added.)</w:t>
      </w:r>
    </w:p>
    <w:p w14:paraId="0DB2E7C0" w14:textId="77777777" w:rsidR="00F508AA" w:rsidRPr="00CA5D95" w:rsidRDefault="002E6832" w:rsidP="003751BB">
      <w:pPr>
        <w:tabs>
          <w:tab w:val="left" w:pos="3609"/>
        </w:tabs>
        <w:ind w:firstLine="720"/>
        <w:rPr>
          <w:szCs w:val="26"/>
        </w:rPr>
      </w:pPr>
      <w:r w:rsidRPr="00CA5D95">
        <w:rPr>
          <w:szCs w:val="26"/>
        </w:rPr>
        <w:t xml:space="preserve">Counsel </w:t>
      </w:r>
      <w:r w:rsidR="00640427" w:rsidRPr="00CA5D95">
        <w:rPr>
          <w:szCs w:val="26"/>
        </w:rPr>
        <w:t>concluded</w:t>
      </w:r>
      <w:r w:rsidR="008B194D" w:rsidRPr="00CA5D95">
        <w:rPr>
          <w:szCs w:val="26"/>
        </w:rPr>
        <w:t xml:space="preserve"> by </w:t>
      </w:r>
      <w:r w:rsidR="00BC36EA" w:rsidRPr="00CA5D95">
        <w:rPr>
          <w:szCs w:val="26"/>
        </w:rPr>
        <w:t>te</w:t>
      </w:r>
      <w:r w:rsidR="008B3E96" w:rsidRPr="00CA5D95">
        <w:rPr>
          <w:szCs w:val="26"/>
        </w:rPr>
        <w:t xml:space="preserve">lling </w:t>
      </w:r>
      <w:r w:rsidR="00E20CB5" w:rsidRPr="00CA5D95">
        <w:rPr>
          <w:szCs w:val="26"/>
        </w:rPr>
        <w:t xml:space="preserve">the jury </w:t>
      </w:r>
      <w:r w:rsidR="008B3E96" w:rsidRPr="00CA5D95">
        <w:rPr>
          <w:szCs w:val="26"/>
        </w:rPr>
        <w:t xml:space="preserve">that the District’s </w:t>
      </w:r>
      <w:r w:rsidR="00E22D37" w:rsidRPr="00CA5D95">
        <w:rPr>
          <w:szCs w:val="26"/>
        </w:rPr>
        <w:t xml:space="preserve">psychiatrist </w:t>
      </w:r>
      <w:r w:rsidR="008C21C6" w:rsidRPr="00CA5D95">
        <w:rPr>
          <w:szCs w:val="26"/>
        </w:rPr>
        <w:t xml:space="preserve">expert </w:t>
      </w:r>
      <w:r w:rsidR="000F326A" w:rsidRPr="00CA5D95">
        <w:rPr>
          <w:szCs w:val="26"/>
        </w:rPr>
        <w:t xml:space="preserve">interviewed </w:t>
      </w:r>
      <w:r w:rsidR="00D5125B" w:rsidRPr="00CA5D95">
        <w:rPr>
          <w:szCs w:val="26"/>
        </w:rPr>
        <w:t>plaintiff</w:t>
      </w:r>
      <w:r w:rsidR="00A56402" w:rsidRPr="00CA5D95">
        <w:rPr>
          <w:szCs w:val="26"/>
        </w:rPr>
        <w:t xml:space="preserve"> </w:t>
      </w:r>
      <w:r w:rsidR="00590DAF" w:rsidRPr="00CA5D95">
        <w:rPr>
          <w:szCs w:val="26"/>
        </w:rPr>
        <w:t>five months earlier</w:t>
      </w:r>
      <w:r w:rsidR="00A56402" w:rsidRPr="00CA5D95">
        <w:rPr>
          <w:szCs w:val="26"/>
        </w:rPr>
        <w:t xml:space="preserve"> for </w:t>
      </w:r>
      <w:r w:rsidR="00C07ED9" w:rsidRPr="00CA5D95">
        <w:rPr>
          <w:szCs w:val="26"/>
        </w:rPr>
        <w:t>“</w:t>
      </w:r>
      <w:r w:rsidR="00A56402" w:rsidRPr="00CA5D95">
        <w:rPr>
          <w:szCs w:val="26"/>
        </w:rPr>
        <w:t>three hours</w:t>
      </w:r>
      <w:r w:rsidR="00304511" w:rsidRPr="00CA5D95">
        <w:rPr>
          <w:szCs w:val="26"/>
        </w:rPr>
        <w:t xml:space="preserve"> . . . </w:t>
      </w:r>
      <w:r w:rsidR="00A56402" w:rsidRPr="00CA5D95">
        <w:rPr>
          <w:szCs w:val="26"/>
        </w:rPr>
        <w:t xml:space="preserve">and </w:t>
      </w:r>
      <w:r w:rsidR="000D3D83" w:rsidRPr="00CA5D95">
        <w:rPr>
          <w:szCs w:val="26"/>
        </w:rPr>
        <w:t xml:space="preserve">diagnosed </w:t>
      </w:r>
      <w:r w:rsidR="00F26710" w:rsidRPr="00CA5D95">
        <w:rPr>
          <w:szCs w:val="26"/>
        </w:rPr>
        <w:t>[</w:t>
      </w:r>
      <w:r w:rsidR="00F26710" w:rsidRPr="002F4D28">
        <w:rPr>
          <w:szCs w:val="26"/>
        </w:rPr>
        <w:t>plaintiff</w:t>
      </w:r>
      <w:r w:rsidR="00F26710" w:rsidRPr="00CA5D95">
        <w:rPr>
          <w:szCs w:val="26"/>
        </w:rPr>
        <w:t xml:space="preserve">] </w:t>
      </w:r>
      <w:r w:rsidR="000D3D83" w:rsidRPr="00CA5D95">
        <w:rPr>
          <w:szCs w:val="26"/>
        </w:rPr>
        <w:t>with posttraumatic s</w:t>
      </w:r>
      <w:r w:rsidR="00CA715F" w:rsidRPr="00CA5D95">
        <w:rPr>
          <w:szCs w:val="26"/>
        </w:rPr>
        <w:t>tress disorder</w:t>
      </w:r>
      <w:r w:rsidR="00E46E55" w:rsidRPr="00CA5D95">
        <w:rPr>
          <w:szCs w:val="26"/>
        </w:rPr>
        <w:t>, PTSD</w:t>
      </w:r>
      <w:r w:rsidR="008210CB" w:rsidRPr="00CA5D95">
        <w:rPr>
          <w:szCs w:val="26"/>
        </w:rPr>
        <w:t xml:space="preserve">.  </w:t>
      </w:r>
      <w:r w:rsidR="00E76532" w:rsidRPr="00CA5D95">
        <w:rPr>
          <w:szCs w:val="26"/>
        </w:rPr>
        <w:t>[Th</w:t>
      </w:r>
      <w:r w:rsidR="009A59BB" w:rsidRPr="00CA5D95">
        <w:rPr>
          <w:szCs w:val="26"/>
        </w:rPr>
        <w:t>e District’s ps</w:t>
      </w:r>
      <w:r w:rsidR="00FE3674" w:rsidRPr="00CA5D95">
        <w:rPr>
          <w:szCs w:val="26"/>
        </w:rPr>
        <w:t>ychiatrist</w:t>
      </w:r>
      <w:r w:rsidR="00E043AE" w:rsidRPr="00CA5D95">
        <w:rPr>
          <w:szCs w:val="26"/>
        </w:rPr>
        <w:t xml:space="preserve">] </w:t>
      </w:r>
      <w:r w:rsidR="00E73534" w:rsidRPr="00CA5D95">
        <w:rPr>
          <w:szCs w:val="26"/>
        </w:rPr>
        <w:t xml:space="preserve">believes </w:t>
      </w:r>
      <w:r w:rsidR="00394C09" w:rsidRPr="00CA5D95">
        <w:rPr>
          <w:szCs w:val="26"/>
        </w:rPr>
        <w:t xml:space="preserve">it </w:t>
      </w:r>
      <w:r w:rsidR="00A97A0A" w:rsidRPr="00CA5D95">
        <w:rPr>
          <w:szCs w:val="26"/>
        </w:rPr>
        <w:t xml:space="preserve">was </w:t>
      </w:r>
      <w:r w:rsidR="004F281C" w:rsidRPr="00CA5D95">
        <w:rPr>
          <w:szCs w:val="26"/>
        </w:rPr>
        <w:t xml:space="preserve">caused by the unrelated </w:t>
      </w:r>
      <w:r w:rsidR="003E2BF4" w:rsidRPr="00CA5D95">
        <w:rPr>
          <w:szCs w:val="26"/>
        </w:rPr>
        <w:t xml:space="preserve">2013 </w:t>
      </w:r>
      <w:r w:rsidR="00BD4AF1" w:rsidRPr="00CA5D95">
        <w:rPr>
          <w:szCs w:val="26"/>
        </w:rPr>
        <w:t>sexua</w:t>
      </w:r>
      <w:r w:rsidR="00F007A0" w:rsidRPr="00CA5D95">
        <w:rPr>
          <w:szCs w:val="26"/>
        </w:rPr>
        <w:t>l</w:t>
      </w:r>
      <w:r w:rsidR="00BD4AF1" w:rsidRPr="00CA5D95">
        <w:rPr>
          <w:szCs w:val="26"/>
        </w:rPr>
        <w:t xml:space="preserve"> abuse </w:t>
      </w:r>
      <w:r w:rsidR="00F007A0" w:rsidRPr="00CA5D95">
        <w:rPr>
          <w:szCs w:val="26"/>
        </w:rPr>
        <w:t xml:space="preserve">incident and by </w:t>
      </w:r>
      <w:r w:rsidR="00BE3A48" w:rsidRPr="00CA5D95">
        <w:rPr>
          <w:szCs w:val="26"/>
        </w:rPr>
        <w:t>Balden</w:t>
      </w:r>
      <w:r w:rsidR="002215BC" w:rsidRPr="00CA5D95">
        <w:rPr>
          <w:szCs w:val="26"/>
        </w:rPr>
        <w:t>eb</w:t>
      </w:r>
      <w:r w:rsidR="00A07706" w:rsidRPr="00CA5D95">
        <w:rPr>
          <w:szCs w:val="26"/>
        </w:rPr>
        <w:t>r</w:t>
      </w:r>
      <w:r w:rsidR="00A51031" w:rsidRPr="00CA5D95">
        <w:rPr>
          <w:szCs w:val="26"/>
        </w:rPr>
        <w:t>o.</w:t>
      </w:r>
      <w:r w:rsidR="002215BC" w:rsidRPr="00CA5D95">
        <w:rPr>
          <w:szCs w:val="26"/>
        </w:rPr>
        <w:t xml:space="preserve">  Both.”  </w:t>
      </w:r>
      <w:r w:rsidR="00F533D5" w:rsidRPr="00CA5D95">
        <w:rPr>
          <w:szCs w:val="26"/>
        </w:rPr>
        <w:t xml:space="preserve">And </w:t>
      </w:r>
      <w:r w:rsidR="000E37E6" w:rsidRPr="00CA5D95">
        <w:rPr>
          <w:szCs w:val="26"/>
        </w:rPr>
        <w:t>so, counsel</w:t>
      </w:r>
      <w:r w:rsidR="00307B88" w:rsidRPr="00CA5D95">
        <w:rPr>
          <w:szCs w:val="26"/>
        </w:rPr>
        <w:t xml:space="preserve"> </w:t>
      </w:r>
      <w:r w:rsidR="00A92A06" w:rsidRPr="00CA5D95">
        <w:rPr>
          <w:szCs w:val="26"/>
        </w:rPr>
        <w:t xml:space="preserve">argued, </w:t>
      </w:r>
      <w:r w:rsidR="00394EC0" w:rsidRPr="00CA5D95">
        <w:rPr>
          <w:szCs w:val="26"/>
        </w:rPr>
        <w:t>Bal</w:t>
      </w:r>
      <w:r w:rsidR="00E649AE" w:rsidRPr="00CA5D95">
        <w:rPr>
          <w:szCs w:val="26"/>
        </w:rPr>
        <w:t>denebro</w:t>
      </w:r>
      <w:r w:rsidR="00635475" w:rsidRPr="00CA5D95">
        <w:rPr>
          <w:szCs w:val="26"/>
        </w:rPr>
        <w:t xml:space="preserve"> is </w:t>
      </w:r>
      <w:r w:rsidR="00394C09" w:rsidRPr="00CA5D95">
        <w:rPr>
          <w:szCs w:val="26"/>
        </w:rPr>
        <w:t xml:space="preserve">indeed </w:t>
      </w:r>
      <w:r w:rsidR="00635475" w:rsidRPr="00CA5D95">
        <w:rPr>
          <w:szCs w:val="26"/>
        </w:rPr>
        <w:t>part</w:t>
      </w:r>
      <w:r w:rsidR="002B2B4D" w:rsidRPr="00CA5D95">
        <w:rPr>
          <w:szCs w:val="26"/>
        </w:rPr>
        <w:t xml:space="preserve"> of the cause of </w:t>
      </w:r>
      <w:r w:rsidR="009A6881" w:rsidRPr="00CA5D95">
        <w:rPr>
          <w:szCs w:val="26"/>
        </w:rPr>
        <w:t xml:space="preserve">plaintiff’s </w:t>
      </w:r>
      <w:r w:rsidR="002B2B4D" w:rsidRPr="00CA5D95">
        <w:rPr>
          <w:szCs w:val="26"/>
        </w:rPr>
        <w:t>emotional distress, but “</w:t>
      </w:r>
      <w:r w:rsidR="00004CC9" w:rsidRPr="00CA5D95">
        <w:rPr>
          <w:szCs w:val="26"/>
        </w:rPr>
        <w:t>it’s a whole other stress</w:t>
      </w:r>
      <w:r w:rsidR="00C05305" w:rsidRPr="00CA5D95">
        <w:rPr>
          <w:szCs w:val="26"/>
        </w:rPr>
        <w:t xml:space="preserve">or </w:t>
      </w:r>
      <w:r w:rsidR="00E35443" w:rsidRPr="00CA5D95">
        <w:rPr>
          <w:szCs w:val="26"/>
        </w:rPr>
        <w:t xml:space="preserve">going on in this life </w:t>
      </w:r>
      <w:r w:rsidR="00BB43E0" w:rsidRPr="00CA5D95">
        <w:rPr>
          <w:szCs w:val="26"/>
        </w:rPr>
        <w:t>that was t</w:t>
      </w:r>
      <w:r w:rsidR="00DD5D11" w:rsidRPr="00CA5D95">
        <w:rPr>
          <w:szCs w:val="26"/>
        </w:rPr>
        <w:t xml:space="preserve">raumatic </w:t>
      </w:r>
      <w:r w:rsidR="00DD5D11" w:rsidRPr="00CA5D95">
        <w:rPr>
          <w:szCs w:val="26"/>
        </w:rPr>
        <w:lastRenderedPageBreak/>
        <w:t xml:space="preserve">and awful </w:t>
      </w:r>
      <w:r w:rsidR="00F45D6D" w:rsidRPr="00CA5D95">
        <w:rPr>
          <w:szCs w:val="26"/>
        </w:rPr>
        <w:t xml:space="preserve">that </w:t>
      </w:r>
      <w:r w:rsidR="00E95B6A" w:rsidRPr="00CA5D95">
        <w:rPr>
          <w:szCs w:val="26"/>
        </w:rPr>
        <w:t xml:space="preserve">she experienced </w:t>
      </w:r>
      <w:r w:rsidR="00527B7B" w:rsidRPr="00CA5D95">
        <w:rPr>
          <w:szCs w:val="26"/>
        </w:rPr>
        <w:t xml:space="preserve">unrelated to </w:t>
      </w:r>
      <w:r w:rsidR="008B6B83" w:rsidRPr="00CA5D95">
        <w:rPr>
          <w:szCs w:val="26"/>
        </w:rPr>
        <w:t xml:space="preserve">[the District] and </w:t>
      </w:r>
      <w:r w:rsidR="00CB7FF8" w:rsidRPr="00CA5D95">
        <w:rPr>
          <w:szCs w:val="26"/>
        </w:rPr>
        <w:t>Baldenebro</w:t>
      </w:r>
      <w:r w:rsidR="007B1901" w:rsidRPr="00CA5D95">
        <w:rPr>
          <w:szCs w:val="26"/>
        </w:rPr>
        <w:t>.</w:t>
      </w:r>
      <w:r w:rsidR="00A20A63" w:rsidRPr="00CA5D95">
        <w:rPr>
          <w:szCs w:val="26"/>
        </w:rPr>
        <w:t xml:space="preserve">” </w:t>
      </w:r>
      <w:r w:rsidR="00CC1C29" w:rsidRPr="00CA5D95">
        <w:rPr>
          <w:szCs w:val="26"/>
        </w:rPr>
        <w:t xml:space="preserve"> </w:t>
      </w:r>
    </w:p>
    <w:p w14:paraId="0DB2E7C1" w14:textId="77777777" w:rsidR="00E8571D" w:rsidRPr="00CA5D95" w:rsidRDefault="002E6832" w:rsidP="003751BB">
      <w:pPr>
        <w:tabs>
          <w:tab w:val="left" w:pos="3609"/>
        </w:tabs>
        <w:ind w:firstLine="720"/>
        <w:rPr>
          <w:szCs w:val="26"/>
        </w:rPr>
      </w:pPr>
      <w:r w:rsidRPr="00CA5D95">
        <w:rPr>
          <w:szCs w:val="26"/>
        </w:rPr>
        <w:t xml:space="preserve">After opening statements, </w:t>
      </w:r>
      <w:r w:rsidR="003D6399" w:rsidRPr="00CA5D95">
        <w:rPr>
          <w:szCs w:val="26"/>
        </w:rPr>
        <w:t xml:space="preserve">four </w:t>
      </w:r>
      <w:r w:rsidR="00720AB5" w:rsidRPr="00CA5D95">
        <w:rPr>
          <w:szCs w:val="26"/>
        </w:rPr>
        <w:t>of</w:t>
      </w:r>
      <w:r w:rsidR="006500A2" w:rsidRPr="00CA5D95">
        <w:rPr>
          <w:szCs w:val="26"/>
        </w:rPr>
        <w:t xml:space="preserve"> the </w:t>
      </w:r>
      <w:r w:rsidR="00B65FFF" w:rsidRPr="00CA5D95">
        <w:rPr>
          <w:szCs w:val="26"/>
        </w:rPr>
        <w:t xml:space="preserve">witnesses for </w:t>
      </w:r>
      <w:r w:rsidR="00E75D68">
        <w:rPr>
          <w:szCs w:val="26"/>
        </w:rPr>
        <w:t xml:space="preserve">the student </w:t>
      </w:r>
      <w:r w:rsidR="00074C42" w:rsidRPr="00CA5D95">
        <w:rPr>
          <w:szCs w:val="26"/>
        </w:rPr>
        <w:t>plaintiff</w:t>
      </w:r>
      <w:r w:rsidR="00AA3827" w:rsidRPr="00CA5D95">
        <w:rPr>
          <w:szCs w:val="26"/>
        </w:rPr>
        <w:t>s</w:t>
      </w:r>
      <w:r w:rsidR="00B65FFF" w:rsidRPr="00CA5D95">
        <w:rPr>
          <w:szCs w:val="26"/>
        </w:rPr>
        <w:t xml:space="preserve"> and </w:t>
      </w:r>
      <w:r w:rsidR="00317428" w:rsidRPr="00CA5D95">
        <w:rPr>
          <w:szCs w:val="26"/>
        </w:rPr>
        <w:t xml:space="preserve">the other claimants </w:t>
      </w:r>
      <w:r w:rsidR="0024053D" w:rsidRPr="00CA5D95">
        <w:rPr>
          <w:szCs w:val="26"/>
        </w:rPr>
        <w:t>testified</w:t>
      </w:r>
      <w:r w:rsidR="004B2C33" w:rsidRPr="00CA5D95">
        <w:rPr>
          <w:szCs w:val="26"/>
        </w:rPr>
        <w:t xml:space="preserve">.  </w:t>
      </w:r>
      <w:r w:rsidR="00C409EB" w:rsidRPr="00CA5D95">
        <w:rPr>
          <w:szCs w:val="26"/>
        </w:rPr>
        <w:t xml:space="preserve">Before trial resumed the next morning, </w:t>
      </w:r>
      <w:r w:rsidR="00B71F60" w:rsidRPr="00CA5D95">
        <w:rPr>
          <w:szCs w:val="26"/>
        </w:rPr>
        <w:t>this court</w:t>
      </w:r>
      <w:r w:rsidR="002B6BB7" w:rsidRPr="00CA5D95">
        <w:rPr>
          <w:szCs w:val="26"/>
        </w:rPr>
        <w:t xml:space="preserve">, </w:t>
      </w:r>
      <w:r w:rsidR="00E8175E" w:rsidRPr="00CA5D95">
        <w:rPr>
          <w:szCs w:val="26"/>
        </w:rPr>
        <w:t xml:space="preserve">acting </w:t>
      </w:r>
      <w:r w:rsidR="00D94A47" w:rsidRPr="00CA5D95">
        <w:rPr>
          <w:szCs w:val="26"/>
        </w:rPr>
        <w:t>in connection with</w:t>
      </w:r>
      <w:r w:rsidR="00E8175E" w:rsidRPr="00CA5D95">
        <w:rPr>
          <w:szCs w:val="26"/>
        </w:rPr>
        <w:t xml:space="preserve"> </w:t>
      </w:r>
      <w:r w:rsidR="001C0CE3" w:rsidRPr="00CA5D95">
        <w:rPr>
          <w:szCs w:val="26"/>
        </w:rPr>
        <w:t>p</w:t>
      </w:r>
      <w:r w:rsidRPr="00CA5D95">
        <w:rPr>
          <w:szCs w:val="26"/>
        </w:rPr>
        <w:t>laintiff</w:t>
      </w:r>
      <w:r w:rsidR="001C0CE3" w:rsidRPr="00CA5D95">
        <w:rPr>
          <w:szCs w:val="26"/>
        </w:rPr>
        <w:t xml:space="preserve">’s </w:t>
      </w:r>
      <w:r w:rsidR="001F27D7" w:rsidRPr="00CA5D95">
        <w:rPr>
          <w:szCs w:val="26"/>
        </w:rPr>
        <w:t>then</w:t>
      </w:r>
      <w:r w:rsidR="00087A47" w:rsidRPr="00CA5D95">
        <w:rPr>
          <w:szCs w:val="26"/>
        </w:rPr>
        <w:t xml:space="preserve">-pending </w:t>
      </w:r>
      <w:r w:rsidRPr="00CA5D95">
        <w:rPr>
          <w:szCs w:val="26"/>
        </w:rPr>
        <w:t>petition</w:t>
      </w:r>
      <w:r w:rsidR="001C0CE3" w:rsidRPr="00CA5D95">
        <w:rPr>
          <w:szCs w:val="26"/>
        </w:rPr>
        <w:t xml:space="preserve"> for </w:t>
      </w:r>
      <w:r w:rsidR="000F3427" w:rsidRPr="00CA5D95">
        <w:rPr>
          <w:szCs w:val="26"/>
        </w:rPr>
        <w:t>review</w:t>
      </w:r>
      <w:r w:rsidR="009E7D7E" w:rsidRPr="00CA5D95">
        <w:rPr>
          <w:szCs w:val="26"/>
        </w:rPr>
        <w:t xml:space="preserve">, </w:t>
      </w:r>
      <w:r w:rsidRPr="00CA5D95">
        <w:rPr>
          <w:szCs w:val="26"/>
        </w:rPr>
        <w:t>stay</w:t>
      </w:r>
      <w:r w:rsidR="00715BDD" w:rsidRPr="00CA5D95">
        <w:rPr>
          <w:szCs w:val="26"/>
        </w:rPr>
        <w:t xml:space="preserve">ed </w:t>
      </w:r>
      <w:r w:rsidR="00635531" w:rsidRPr="00CA5D95">
        <w:rPr>
          <w:szCs w:val="26"/>
        </w:rPr>
        <w:t xml:space="preserve">further </w:t>
      </w:r>
      <w:r w:rsidR="000842B5" w:rsidRPr="00CA5D95">
        <w:rPr>
          <w:szCs w:val="26"/>
        </w:rPr>
        <w:t xml:space="preserve">trial </w:t>
      </w:r>
      <w:r w:rsidRPr="00CA5D95">
        <w:rPr>
          <w:szCs w:val="26"/>
        </w:rPr>
        <w:t>proceedings</w:t>
      </w:r>
      <w:r w:rsidR="00087A47" w:rsidRPr="00CA5D95">
        <w:rPr>
          <w:szCs w:val="26"/>
        </w:rPr>
        <w:t xml:space="preserve">.  </w:t>
      </w:r>
      <w:r w:rsidR="008566E3" w:rsidRPr="00CA5D95">
        <w:rPr>
          <w:szCs w:val="26"/>
        </w:rPr>
        <w:t xml:space="preserve">Two </w:t>
      </w:r>
      <w:r w:rsidR="00717520" w:rsidRPr="00CA5D95">
        <w:rPr>
          <w:szCs w:val="26"/>
        </w:rPr>
        <w:t xml:space="preserve">days </w:t>
      </w:r>
      <w:r w:rsidRPr="00CA5D95">
        <w:rPr>
          <w:szCs w:val="26"/>
        </w:rPr>
        <w:t>later</w:t>
      </w:r>
      <w:r w:rsidR="00B012C0" w:rsidRPr="00CA5D95">
        <w:rPr>
          <w:szCs w:val="26"/>
        </w:rPr>
        <w:t>,</w:t>
      </w:r>
      <w:r w:rsidRPr="00CA5D95">
        <w:rPr>
          <w:szCs w:val="26"/>
        </w:rPr>
        <w:t xml:space="preserve"> </w:t>
      </w:r>
      <w:r w:rsidR="00717520" w:rsidRPr="00CA5D95">
        <w:rPr>
          <w:szCs w:val="26"/>
        </w:rPr>
        <w:t xml:space="preserve">we </w:t>
      </w:r>
      <w:r w:rsidRPr="00CA5D95">
        <w:rPr>
          <w:szCs w:val="26"/>
        </w:rPr>
        <w:t xml:space="preserve">granted the petition for review and </w:t>
      </w:r>
      <w:r w:rsidR="006775AD" w:rsidRPr="00CA5D95">
        <w:rPr>
          <w:szCs w:val="26"/>
        </w:rPr>
        <w:t xml:space="preserve">immediately transferred </w:t>
      </w:r>
      <w:r w:rsidRPr="00CA5D95">
        <w:rPr>
          <w:szCs w:val="26"/>
        </w:rPr>
        <w:t xml:space="preserve">the matter </w:t>
      </w:r>
      <w:r w:rsidR="006775AD" w:rsidRPr="00CA5D95">
        <w:rPr>
          <w:szCs w:val="26"/>
        </w:rPr>
        <w:t xml:space="preserve">back </w:t>
      </w:r>
      <w:r w:rsidRPr="00CA5D95">
        <w:rPr>
          <w:szCs w:val="26"/>
        </w:rPr>
        <w:t xml:space="preserve">to the Court of Appeal with directions to issue an order to show cause.  </w:t>
      </w:r>
      <w:r w:rsidR="00C01B04" w:rsidRPr="00CA5D95">
        <w:rPr>
          <w:szCs w:val="26"/>
        </w:rPr>
        <w:t xml:space="preserve">The </w:t>
      </w:r>
      <w:r w:rsidR="00D239C7" w:rsidRPr="00CA5D95">
        <w:rPr>
          <w:szCs w:val="26"/>
        </w:rPr>
        <w:t xml:space="preserve">Court of Appeal </w:t>
      </w:r>
      <w:r w:rsidR="00E63459" w:rsidRPr="00CA5D95">
        <w:rPr>
          <w:szCs w:val="26"/>
        </w:rPr>
        <w:t xml:space="preserve">expeditiously </w:t>
      </w:r>
      <w:r w:rsidR="00D239C7" w:rsidRPr="00CA5D95">
        <w:rPr>
          <w:szCs w:val="26"/>
        </w:rPr>
        <w:t>did so</w:t>
      </w:r>
      <w:r w:rsidR="006A25D3" w:rsidRPr="00CA5D95">
        <w:rPr>
          <w:szCs w:val="26"/>
        </w:rPr>
        <w:t>.  T</w:t>
      </w:r>
      <w:r w:rsidR="00EA4923" w:rsidRPr="00CA5D95">
        <w:rPr>
          <w:szCs w:val="26"/>
        </w:rPr>
        <w:t xml:space="preserve">he </w:t>
      </w:r>
      <w:r w:rsidR="00920C21" w:rsidRPr="00CA5D95">
        <w:rPr>
          <w:szCs w:val="26"/>
        </w:rPr>
        <w:t xml:space="preserve">trial court </w:t>
      </w:r>
      <w:r w:rsidR="005E0A5D" w:rsidRPr="00CA5D95">
        <w:rPr>
          <w:szCs w:val="26"/>
        </w:rPr>
        <w:t xml:space="preserve">then </w:t>
      </w:r>
      <w:r w:rsidR="002535CD" w:rsidRPr="00CA5D95">
        <w:rPr>
          <w:szCs w:val="26"/>
        </w:rPr>
        <w:t xml:space="preserve">advised the jury that </w:t>
      </w:r>
      <w:r w:rsidR="00EA4923" w:rsidRPr="00CA5D95">
        <w:rPr>
          <w:szCs w:val="26"/>
        </w:rPr>
        <w:t>the mat</w:t>
      </w:r>
      <w:r w:rsidR="006D3450" w:rsidRPr="00CA5D95">
        <w:rPr>
          <w:szCs w:val="26"/>
        </w:rPr>
        <w:t xml:space="preserve">ter </w:t>
      </w:r>
      <w:r w:rsidR="00D94C58" w:rsidRPr="00CA5D95">
        <w:rPr>
          <w:szCs w:val="26"/>
        </w:rPr>
        <w:t>had been s</w:t>
      </w:r>
      <w:r w:rsidR="006D3450" w:rsidRPr="00CA5D95">
        <w:rPr>
          <w:szCs w:val="26"/>
        </w:rPr>
        <w:t xml:space="preserve">tayed, but </w:t>
      </w:r>
      <w:r w:rsidR="006A25D3" w:rsidRPr="00CA5D95">
        <w:rPr>
          <w:szCs w:val="26"/>
        </w:rPr>
        <w:t>admonished</w:t>
      </w:r>
      <w:r w:rsidR="006712E3" w:rsidRPr="00CA5D95">
        <w:rPr>
          <w:szCs w:val="26"/>
        </w:rPr>
        <w:t>:</w:t>
      </w:r>
      <w:r w:rsidR="00ED3609" w:rsidRPr="00CA5D95">
        <w:rPr>
          <w:szCs w:val="26"/>
        </w:rPr>
        <w:t xml:space="preserve"> </w:t>
      </w:r>
      <w:r w:rsidR="006A25D3" w:rsidRPr="00CA5D95">
        <w:rPr>
          <w:szCs w:val="26"/>
        </w:rPr>
        <w:t xml:space="preserve"> </w:t>
      </w:r>
      <w:r w:rsidR="006D3450" w:rsidRPr="00CA5D95">
        <w:rPr>
          <w:szCs w:val="26"/>
        </w:rPr>
        <w:t>“</w:t>
      </w:r>
      <w:r w:rsidR="006712E3" w:rsidRPr="00CA5D95">
        <w:rPr>
          <w:szCs w:val="26"/>
        </w:rPr>
        <w:t>Y</w:t>
      </w:r>
      <w:r w:rsidR="006D3450" w:rsidRPr="00CA5D95">
        <w:rPr>
          <w:szCs w:val="26"/>
        </w:rPr>
        <w:t xml:space="preserve">ou are </w:t>
      </w:r>
      <w:r w:rsidR="007C2E78" w:rsidRPr="00CA5D95">
        <w:rPr>
          <w:szCs w:val="26"/>
        </w:rPr>
        <w:t>still jurors in this cas</w:t>
      </w:r>
      <w:r w:rsidR="00D94C58" w:rsidRPr="00CA5D95">
        <w:rPr>
          <w:szCs w:val="26"/>
        </w:rPr>
        <w:t>e</w:t>
      </w:r>
      <w:r w:rsidR="007C2E78" w:rsidRPr="00CA5D95">
        <w:rPr>
          <w:szCs w:val="26"/>
        </w:rPr>
        <w:t>”</w:t>
      </w:r>
      <w:r w:rsidR="00086DA6" w:rsidRPr="00CA5D95">
        <w:rPr>
          <w:szCs w:val="26"/>
        </w:rPr>
        <w:t xml:space="preserve"> and </w:t>
      </w:r>
      <w:r w:rsidR="008477F1" w:rsidRPr="00CA5D95">
        <w:rPr>
          <w:szCs w:val="26"/>
        </w:rPr>
        <w:t xml:space="preserve">would </w:t>
      </w:r>
      <w:r w:rsidR="00EC70A7" w:rsidRPr="00CA5D95">
        <w:rPr>
          <w:szCs w:val="26"/>
        </w:rPr>
        <w:t xml:space="preserve">be </w:t>
      </w:r>
      <w:r w:rsidR="004E2BCA" w:rsidRPr="00CA5D95">
        <w:rPr>
          <w:szCs w:val="26"/>
        </w:rPr>
        <w:t>advise</w:t>
      </w:r>
      <w:r w:rsidR="00EC70A7" w:rsidRPr="00CA5D95">
        <w:rPr>
          <w:szCs w:val="26"/>
        </w:rPr>
        <w:t>d</w:t>
      </w:r>
      <w:r w:rsidR="00DF4351" w:rsidRPr="00CA5D95">
        <w:rPr>
          <w:szCs w:val="26"/>
        </w:rPr>
        <w:t xml:space="preserve"> “</w:t>
      </w:r>
      <w:r w:rsidR="004E2BCA" w:rsidRPr="00CA5D95">
        <w:rPr>
          <w:szCs w:val="26"/>
        </w:rPr>
        <w:t>when proceedings do resume and when you will be required to appear</w:t>
      </w:r>
      <w:r w:rsidR="00A24D6C" w:rsidRPr="00CA5D95">
        <w:rPr>
          <w:szCs w:val="26"/>
        </w:rPr>
        <w:t xml:space="preserve"> . . . for </w:t>
      </w:r>
      <w:r w:rsidR="00EB6567" w:rsidRPr="00CA5D95">
        <w:rPr>
          <w:szCs w:val="26"/>
        </w:rPr>
        <w:t xml:space="preserve">[resumption of] </w:t>
      </w:r>
      <w:r w:rsidR="00A24D6C" w:rsidRPr="00CA5D95">
        <w:rPr>
          <w:szCs w:val="26"/>
        </w:rPr>
        <w:t xml:space="preserve">this trial.”  </w:t>
      </w:r>
      <w:r w:rsidR="00D94C58" w:rsidRPr="00CA5D95">
        <w:rPr>
          <w:szCs w:val="26"/>
        </w:rPr>
        <w:t xml:space="preserve"> </w:t>
      </w:r>
    </w:p>
    <w:p w14:paraId="0DB2E7C2" w14:textId="77777777" w:rsidR="0083406C" w:rsidRPr="00535A24" w:rsidRDefault="002E6832" w:rsidP="0083406C">
      <w:pPr>
        <w:pStyle w:val="Heading2"/>
        <w:keepLines/>
      </w:pPr>
      <w:r w:rsidRPr="00CA5D95">
        <w:rPr>
          <w:bCs/>
          <w:szCs w:val="26"/>
        </w:rPr>
        <w:t xml:space="preserve">E.  </w:t>
      </w:r>
      <w:r w:rsidR="005F484E" w:rsidRPr="00CA5D95">
        <w:rPr>
          <w:bCs/>
          <w:szCs w:val="26"/>
        </w:rPr>
        <w:t>Proceedings</w:t>
      </w:r>
      <w:r w:rsidR="00253074" w:rsidRPr="00CA5D95">
        <w:rPr>
          <w:bCs/>
          <w:szCs w:val="26"/>
        </w:rPr>
        <w:t xml:space="preserve"> in the Court of Appeal</w:t>
      </w:r>
      <w:r w:rsidRPr="00CA5D95">
        <w:rPr>
          <w:bCs/>
          <w:szCs w:val="26"/>
        </w:rPr>
        <w:t xml:space="preserve"> </w:t>
      </w:r>
    </w:p>
    <w:p w14:paraId="0DB2E7C3" w14:textId="77777777" w:rsidR="00253074" w:rsidRPr="00CA5D95" w:rsidRDefault="002E6832" w:rsidP="00CA5D95">
      <w:pPr>
        <w:tabs>
          <w:tab w:val="left" w:pos="3609"/>
        </w:tabs>
        <w:ind w:firstLine="720"/>
        <w:rPr>
          <w:szCs w:val="26"/>
        </w:rPr>
      </w:pPr>
      <w:r w:rsidRPr="00CA5D95">
        <w:rPr>
          <w:szCs w:val="26"/>
        </w:rPr>
        <w:t>T</w:t>
      </w:r>
      <w:r w:rsidR="00F218C8" w:rsidRPr="00CA5D95">
        <w:rPr>
          <w:szCs w:val="26"/>
        </w:rPr>
        <w:t>he Court of Appeal continued our stay of trial proceedings</w:t>
      </w:r>
      <w:r w:rsidR="009145F6" w:rsidRPr="00CA5D95">
        <w:rPr>
          <w:szCs w:val="26"/>
        </w:rPr>
        <w:t xml:space="preserve"> and </w:t>
      </w:r>
      <w:r w:rsidR="00F218C8" w:rsidRPr="00CA5D95">
        <w:rPr>
          <w:szCs w:val="26"/>
        </w:rPr>
        <w:t>obtained further briefing</w:t>
      </w:r>
      <w:r w:rsidR="009145F6" w:rsidRPr="00CA5D95">
        <w:rPr>
          <w:szCs w:val="26"/>
        </w:rPr>
        <w:t xml:space="preserve">.  </w:t>
      </w:r>
      <w:r w:rsidR="004325C9" w:rsidRPr="00CA5D95">
        <w:rPr>
          <w:szCs w:val="26"/>
        </w:rPr>
        <w:t>The District</w:t>
      </w:r>
      <w:r w:rsidR="007A1E3E" w:rsidRPr="00CA5D95">
        <w:rPr>
          <w:szCs w:val="26"/>
        </w:rPr>
        <w:t xml:space="preserve"> </w:t>
      </w:r>
      <w:r w:rsidR="00CA36EE" w:rsidRPr="00CA5D95">
        <w:rPr>
          <w:szCs w:val="26"/>
        </w:rPr>
        <w:t xml:space="preserve">did </w:t>
      </w:r>
      <w:r w:rsidR="000246DB" w:rsidRPr="00CA5D95">
        <w:rPr>
          <w:szCs w:val="26"/>
        </w:rPr>
        <w:t xml:space="preserve">not </w:t>
      </w:r>
      <w:r w:rsidR="00CE66E3" w:rsidRPr="00CA5D95">
        <w:rPr>
          <w:szCs w:val="26"/>
        </w:rPr>
        <w:t xml:space="preserve">defend </w:t>
      </w:r>
      <w:r w:rsidR="00DA550A" w:rsidRPr="00CA5D95">
        <w:rPr>
          <w:szCs w:val="26"/>
        </w:rPr>
        <w:t xml:space="preserve">the trial court’s view that </w:t>
      </w:r>
      <w:r w:rsidR="002915EA" w:rsidRPr="00CA5D95">
        <w:rPr>
          <w:szCs w:val="26"/>
        </w:rPr>
        <w:t xml:space="preserve">the </w:t>
      </w:r>
      <w:r w:rsidR="00C570A0" w:rsidRPr="00CA5D95">
        <w:rPr>
          <w:szCs w:val="26"/>
        </w:rPr>
        <w:t xml:space="preserve">evidence </w:t>
      </w:r>
      <w:r w:rsidR="002C7DA6" w:rsidRPr="00CA5D95">
        <w:rPr>
          <w:szCs w:val="26"/>
        </w:rPr>
        <w:t xml:space="preserve">failed to </w:t>
      </w:r>
      <w:r w:rsidR="00702B71" w:rsidRPr="00CA5D95">
        <w:rPr>
          <w:szCs w:val="26"/>
        </w:rPr>
        <w:t xml:space="preserve">qualify as “sexual conduct” </w:t>
      </w:r>
      <w:r w:rsidR="00BB5662" w:rsidRPr="00CA5D95">
        <w:rPr>
          <w:szCs w:val="26"/>
        </w:rPr>
        <w:t>under</w:t>
      </w:r>
      <w:r w:rsidR="005425D8" w:rsidRPr="00CA5D95">
        <w:rPr>
          <w:szCs w:val="26"/>
        </w:rPr>
        <w:t xml:space="preserve"> what the </w:t>
      </w:r>
      <w:r w:rsidR="00B821DD" w:rsidRPr="00CA5D95">
        <w:rPr>
          <w:szCs w:val="26"/>
        </w:rPr>
        <w:t xml:space="preserve">District </w:t>
      </w:r>
      <w:r w:rsidR="006E5E4C" w:rsidRPr="00CA5D95">
        <w:rPr>
          <w:szCs w:val="26"/>
        </w:rPr>
        <w:t xml:space="preserve">belatedly </w:t>
      </w:r>
      <w:r w:rsidR="00B821DD" w:rsidRPr="00CA5D95">
        <w:rPr>
          <w:szCs w:val="26"/>
        </w:rPr>
        <w:t xml:space="preserve">acknowledged as the relevant </w:t>
      </w:r>
      <w:r w:rsidR="008F2B20" w:rsidRPr="00CA5D95">
        <w:rPr>
          <w:szCs w:val="26"/>
        </w:rPr>
        <w:t>statutes,</w:t>
      </w:r>
      <w:r w:rsidR="00BB5662" w:rsidRPr="00CA5D95">
        <w:rPr>
          <w:szCs w:val="26"/>
        </w:rPr>
        <w:t xml:space="preserve"> sections 1106 and 783</w:t>
      </w:r>
      <w:r w:rsidR="00A86AB6" w:rsidRPr="00CA5D95">
        <w:rPr>
          <w:szCs w:val="26"/>
        </w:rPr>
        <w:t>.</w:t>
      </w:r>
      <w:r w:rsidR="007C2D98" w:rsidRPr="00CA5D95">
        <w:rPr>
          <w:szCs w:val="26"/>
        </w:rPr>
        <w:t xml:space="preserve">  Instead, the District asserted the evidence is admissible to attack plaintiff’s credibility under section 783.</w:t>
      </w:r>
      <w:r w:rsidR="00A86AB6" w:rsidRPr="00CA5D95">
        <w:rPr>
          <w:szCs w:val="26"/>
        </w:rPr>
        <w:t xml:space="preserve">  </w:t>
      </w:r>
    </w:p>
    <w:p w14:paraId="0DB2E7C4" w14:textId="77777777" w:rsidR="00936B4D" w:rsidRPr="00B77E2B" w:rsidRDefault="002E6832" w:rsidP="00CA5D95">
      <w:pPr>
        <w:tabs>
          <w:tab w:val="left" w:pos="3609"/>
        </w:tabs>
        <w:ind w:firstLine="720"/>
        <w:rPr>
          <w:szCs w:val="26"/>
        </w:rPr>
      </w:pPr>
      <w:r w:rsidRPr="00CA5D95">
        <w:rPr>
          <w:szCs w:val="26"/>
        </w:rPr>
        <w:t xml:space="preserve">In its opinion denying </w:t>
      </w:r>
      <w:r w:rsidR="00516121" w:rsidRPr="00CA5D95">
        <w:rPr>
          <w:szCs w:val="26"/>
        </w:rPr>
        <w:t xml:space="preserve">plaintiff’s </w:t>
      </w:r>
      <w:r w:rsidR="00CE66E3" w:rsidRPr="00CA5D95">
        <w:rPr>
          <w:szCs w:val="26"/>
        </w:rPr>
        <w:t xml:space="preserve">petition </w:t>
      </w:r>
      <w:r w:rsidR="00516121" w:rsidRPr="00CA5D95">
        <w:rPr>
          <w:szCs w:val="26"/>
        </w:rPr>
        <w:t>for a writ of mandate</w:t>
      </w:r>
      <w:r w:rsidR="004F248A" w:rsidRPr="00CA5D95">
        <w:rPr>
          <w:szCs w:val="26"/>
        </w:rPr>
        <w:t>, t</w:t>
      </w:r>
      <w:r w:rsidRPr="00CA5D95">
        <w:rPr>
          <w:szCs w:val="26"/>
        </w:rPr>
        <w:t xml:space="preserve">he </w:t>
      </w:r>
      <w:r w:rsidR="000C7DB8" w:rsidRPr="00CA5D95">
        <w:rPr>
          <w:szCs w:val="26"/>
        </w:rPr>
        <w:t xml:space="preserve">Court of Appeal </w:t>
      </w:r>
      <w:r w:rsidR="00354D99" w:rsidRPr="00CA5D95">
        <w:rPr>
          <w:szCs w:val="26"/>
        </w:rPr>
        <w:t xml:space="preserve">held that </w:t>
      </w:r>
      <w:r w:rsidR="00EE3BC4" w:rsidRPr="00CA5D95">
        <w:rPr>
          <w:szCs w:val="26"/>
        </w:rPr>
        <w:t>the trial court</w:t>
      </w:r>
      <w:r w:rsidR="000C7DB8" w:rsidRPr="00CA5D95">
        <w:rPr>
          <w:szCs w:val="26"/>
        </w:rPr>
        <w:t xml:space="preserve"> err</w:t>
      </w:r>
      <w:r w:rsidR="00354D99" w:rsidRPr="00CA5D95">
        <w:rPr>
          <w:szCs w:val="26"/>
        </w:rPr>
        <w:t>ed</w:t>
      </w:r>
      <w:r w:rsidR="000C7DB8" w:rsidRPr="00CA5D95">
        <w:rPr>
          <w:szCs w:val="26"/>
        </w:rPr>
        <w:t xml:space="preserve"> in </w:t>
      </w:r>
      <w:r w:rsidR="00EE3BC4" w:rsidRPr="00CA5D95">
        <w:rPr>
          <w:szCs w:val="26"/>
        </w:rPr>
        <w:t xml:space="preserve">referring </w:t>
      </w:r>
      <w:r w:rsidR="001C0016" w:rsidRPr="00CA5D95">
        <w:rPr>
          <w:szCs w:val="26"/>
        </w:rPr>
        <w:t xml:space="preserve">to </w:t>
      </w:r>
      <w:r w:rsidR="00032832" w:rsidRPr="00CA5D95">
        <w:rPr>
          <w:szCs w:val="26"/>
        </w:rPr>
        <w:t xml:space="preserve">inapplicable </w:t>
      </w:r>
      <w:r w:rsidR="001C0016" w:rsidRPr="00CA5D95">
        <w:rPr>
          <w:szCs w:val="26"/>
        </w:rPr>
        <w:t xml:space="preserve">sections </w:t>
      </w:r>
      <w:r w:rsidR="00032832" w:rsidRPr="00CA5D95">
        <w:rPr>
          <w:szCs w:val="26"/>
        </w:rPr>
        <w:t>1103 and 782</w:t>
      </w:r>
      <w:r w:rsidR="0069185A" w:rsidRPr="00CA5D95">
        <w:rPr>
          <w:szCs w:val="26"/>
        </w:rPr>
        <w:t xml:space="preserve"> </w:t>
      </w:r>
      <w:r w:rsidR="00CA58EF" w:rsidRPr="00CA5D95">
        <w:rPr>
          <w:szCs w:val="26"/>
        </w:rPr>
        <w:t xml:space="preserve">(governing criminal cases) </w:t>
      </w:r>
      <w:r w:rsidR="0069185A" w:rsidRPr="00CA5D95">
        <w:rPr>
          <w:szCs w:val="26"/>
        </w:rPr>
        <w:t xml:space="preserve">instead of </w:t>
      </w:r>
      <w:r w:rsidR="005B0166" w:rsidRPr="00CA5D95">
        <w:rPr>
          <w:szCs w:val="26"/>
        </w:rPr>
        <w:t>sections 1106 and 783</w:t>
      </w:r>
      <w:r w:rsidR="00CA58EF" w:rsidRPr="00CA5D95">
        <w:rPr>
          <w:szCs w:val="26"/>
        </w:rPr>
        <w:t xml:space="preserve"> (governing civil cases)</w:t>
      </w:r>
      <w:r w:rsidR="00DC7B59" w:rsidRPr="00CA5D95">
        <w:rPr>
          <w:szCs w:val="26"/>
        </w:rPr>
        <w:t xml:space="preserve">, and </w:t>
      </w:r>
      <w:r w:rsidR="00920522" w:rsidRPr="00CA5D95">
        <w:rPr>
          <w:szCs w:val="26"/>
        </w:rPr>
        <w:t xml:space="preserve">more significantly, </w:t>
      </w:r>
      <w:r w:rsidR="00DC7B59" w:rsidRPr="00CA5D95">
        <w:rPr>
          <w:szCs w:val="26"/>
        </w:rPr>
        <w:t xml:space="preserve">by </w:t>
      </w:r>
      <w:r w:rsidR="00942674" w:rsidRPr="00CA5D95">
        <w:rPr>
          <w:szCs w:val="26"/>
        </w:rPr>
        <w:t xml:space="preserve">ultimately </w:t>
      </w:r>
      <w:r w:rsidR="00751F22" w:rsidRPr="00CA5D95">
        <w:rPr>
          <w:szCs w:val="26"/>
        </w:rPr>
        <w:t>rul</w:t>
      </w:r>
      <w:r w:rsidR="003E4862" w:rsidRPr="00CA5D95">
        <w:rPr>
          <w:szCs w:val="26"/>
        </w:rPr>
        <w:t xml:space="preserve">ing that </w:t>
      </w:r>
      <w:r w:rsidR="006C4DEA" w:rsidRPr="00CA5D95">
        <w:rPr>
          <w:i/>
          <w:iCs/>
          <w:szCs w:val="26"/>
        </w:rPr>
        <w:t>no</w:t>
      </w:r>
      <w:r w:rsidR="006C4DEA" w:rsidRPr="00CA5D95">
        <w:rPr>
          <w:szCs w:val="26"/>
        </w:rPr>
        <w:t xml:space="preserve"> shield </w:t>
      </w:r>
      <w:r w:rsidR="00DD0893" w:rsidRPr="00CA5D95">
        <w:rPr>
          <w:szCs w:val="26"/>
        </w:rPr>
        <w:t xml:space="preserve">statute </w:t>
      </w:r>
      <w:r w:rsidR="00FC10EA" w:rsidRPr="00CA5D95">
        <w:rPr>
          <w:szCs w:val="26"/>
        </w:rPr>
        <w:t>govern</w:t>
      </w:r>
      <w:r w:rsidR="00DD0893" w:rsidRPr="00CA5D95">
        <w:rPr>
          <w:szCs w:val="26"/>
        </w:rPr>
        <w:t>ed</w:t>
      </w:r>
      <w:r w:rsidR="00DC7B59" w:rsidRPr="00CA5D95">
        <w:rPr>
          <w:szCs w:val="26"/>
        </w:rPr>
        <w:t xml:space="preserve">. </w:t>
      </w:r>
      <w:r w:rsidR="006E0DFC" w:rsidRPr="00CA5D95">
        <w:rPr>
          <w:szCs w:val="26"/>
        </w:rPr>
        <w:t xml:space="preserve"> The </w:t>
      </w:r>
      <w:r w:rsidR="00C66285" w:rsidRPr="00CA5D95">
        <w:rPr>
          <w:szCs w:val="26"/>
        </w:rPr>
        <w:t xml:space="preserve">Court of Appeal explained that </w:t>
      </w:r>
      <w:r w:rsidR="006E0DFC" w:rsidRPr="00CA5D95">
        <w:rPr>
          <w:szCs w:val="26"/>
        </w:rPr>
        <w:t xml:space="preserve">contrary to the trial court’s understanding, the term “sexual conduct” as used in </w:t>
      </w:r>
      <w:r w:rsidR="004811E1" w:rsidRPr="00CA5D95">
        <w:rPr>
          <w:szCs w:val="26"/>
        </w:rPr>
        <w:t>the shi</w:t>
      </w:r>
      <w:r w:rsidR="006006DF" w:rsidRPr="00CA5D95">
        <w:rPr>
          <w:szCs w:val="26"/>
        </w:rPr>
        <w:t xml:space="preserve">eld statutes </w:t>
      </w:r>
      <w:r w:rsidR="006E0DFC" w:rsidRPr="00CA5D95">
        <w:rPr>
          <w:szCs w:val="26"/>
        </w:rPr>
        <w:t xml:space="preserve">encompasses both a </w:t>
      </w:r>
      <w:r w:rsidR="006E0DFC" w:rsidRPr="00CA5D95">
        <w:rPr>
          <w:szCs w:val="26"/>
        </w:rPr>
        <w:lastRenderedPageBreak/>
        <w:t>plaintiff’s voluntary conduct and sexual abuse to which a plaintiff has been involuntarily subjected</w:t>
      </w:r>
      <w:r w:rsidR="00144487" w:rsidRPr="00CA5D95">
        <w:rPr>
          <w:szCs w:val="26"/>
        </w:rPr>
        <w:t>;</w:t>
      </w:r>
      <w:r w:rsidR="006E0DFC" w:rsidRPr="00CA5D95">
        <w:rPr>
          <w:szCs w:val="26"/>
        </w:rPr>
        <w:t xml:space="preserve"> hence</w:t>
      </w:r>
      <w:r w:rsidR="00144487" w:rsidRPr="00CA5D95">
        <w:rPr>
          <w:szCs w:val="26"/>
        </w:rPr>
        <w:t>,</w:t>
      </w:r>
      <w:r w:rsidR="006E0DFC" w:rsidRPr="00CA5D95">
        <w:rPr>
          <w:szCs w:val="26"/>
        </w:rPr>
        <w:t xml:space="preserve"> admission </w:t>
      </w:r>
      <w:r w:rsidR="00E34B55" w:rsidRPr="00CA5D95">
        <w:rPr>
          <w:szCs w:val="26"/>
        </w:rPr>
        <w:t xml:space="preserve">of the evidence regarding the 2013 molestation </w:t>
      </w:r>
      <w:r w:rsidR="006E0DFC" w:rsidRPr="00CA5D95">
        <w:rPr>
          <w:szCs w:val="26"/>
        </w:rPr>
        <w:t xml:space="preserve">must be analyzed under </w:t>
      </w:r>
      <w:r w:rsidR="003164E9" w:rsidRPr="00CA5D95">
        <w:rPr>
          <w:szCs w:val="26"/>
        </w:rPr>
        <w:t>sections 1106 and 783</w:t>
      </w:r>
      <w:r w:rsidR="006E0DFC" w:rsidRPr="00CA5D95">
        <w:rPr>
          <w:szCs w:val="26"/>
        </w:rPr>
        <w:t>.  (</w:t>
      </w:r>
      <w:r w:rsidR="006E0DFC" w:rsidRPr="00CA5D95">
        <w:rPr>
          <w:i/>
          <w:iCs/>
          <w:szCs w:val="26"/>
        </w:rPr>
        <w:t>Doe</w:t>
      </w:r>
      <w:r w:rsidR="006E0DFC" w:rsidRPr="00CA5D95">
        <w:rPr>
          <w:szCs w:val="26"/>
        </w:rPr>
        <w:t>,</w:t>
      </w:r>
      <w:r w:rsidR="00CA58EF" w:rsidRPr="00CA5D95">
        <w:rPr>
          <w:szCs w:val="26"/>
        </w:rPr>
        <w:t xml:space="preserve"> </w:t>
      </w:r>
      <w:r w:rsidR="006E0DFC" w:rsidRPr="00CA5D95">
        <w:rPr>
          <w:i/>
          <w:iCs/>
          <w:szCs w:val="26"/>
        </w:rPr>
        <w:t>supra</w:t>
      </w:r>
      <w:r w:rsidR="006E0DFC" w:rsidRPr="00CA5D95">
        <w:rPr>
          <w:szCs w:val="26"/>
        </w:rPr>
        <w:t>,</w:t>
      </w:r>
      <w:r w:rsidR="00CA58EF" w:rsidRPr="00CA5D95">
        <w:rPr>
          <w:szCs w:val="26"/>
        </w:rPr>
        <w:t xml:space="preserve"> </w:t>
      </w:r>
      <w:r w:rsidR="006E0DFC" w:rsidRPr="00CA5D95">
        <w:rPr>
          <w:szCs w:val="26"/>
        </w:rPr>
        <w:t>71</w:t>
      </w:r>
      <w:r w:rsidR="00D1176D">
        <w:rPr>
          <w:szCs w:val="26"/>
        </w:rPr>
        <w:t> </w:t>
      </w:r>
      <w:r w:rsidR="006E0DFC" w:rsidRPr="00B77E2B">
        <w:rPr>
          <w:szCs w:val="26"/>
        </w:rPr>
        <w:t xml:space="preserve">Cal.App.5th </w:t>
      </w:r>
      <w:r w:rsidR="00CA58EF" w:rsidRPr="00B77E2B">
        <w:rPr>
          <w:szCs w:val="26"/>
        </w:rPr>
        <w:t>at pp. </w:t>
      </w:r>
      <w:r w:rsidR="006E0DFC" w:rsidRPr="00B77E2B">
        <w:rPr>
          <w:szCs w:val="26"/>
        </w:rPr>
        <w:t>236–240</w:t>
      </w:r>
      <w:r w:rsidR="003A2BFF" w:rsidRPr="00B77E2B">
        <w:rPr>
          <w:szCs w:val="26"/>
        </w:rPr>
        <w:t xml:space="preserve">.)  </w:t>
      </w:r>
      <w:r w:rsidR="005E195B" w:rsidRPr="00B77E2B">
        <w:rPr>
          <w:szCs w:val="26"/>
        </w:rPr>
        <w:t xml:space="preserve">The </w:t>
      </w:r>
      <w:r w:rsidR="00C44A23" w:rsidRPr="00B77E2B">
        <w:rPr>
          <w:szCs w:val="26"/>
        </w:rPr>
        <w:t xml:space="preserve">appellate court </w:t>
      </w:r>
      <w:r w:rsidR="005E195B" w:rsidRPr="00B77E2B">
        <w:rPr>
          <w:szCs w:val="26"/>
        </w:rPr>
        <w:t xml:space="preserve">nonetheless </w:t>
      </w:r>
      <w:r w:rsidR="00C44A23" w:rsidRPr="00B77E2B">
        <w:rPr>
          <w:szCs w:val="26"/>
        </w:rPr>
        <w:t>determined</w:t>
      </w:r>
      <w:r w:rsidR="005E195B" w:rsidRPr="00B77E2B">
        <w:rPr>
          <w:szCs w:val="26"/>
        </w:rPr>
        <w:t xml:space="preserve"> that</w:t>
      </w:r>
      <w:r w:rsidR="0039333C" w:rsidRPr="00B77E2B">
        <w:rPr>
          <w:szCs w:val="26"/>
        </w:rPr>
        <w:t xml:space="preserve"> </w:t>
      </w:r>
      <w:r w:rsidR="00C44A23" w:rsidRPr="00B77E2B">
        <w:rPr>
          <w:szCs w:val="26"/>
        </w:rPr>
        <w:t>the trial court had</w:t>
      </w:r>
      <w:r w:rsidR="00E13740" w:rsidRPr="00B77E2B">
        <w:rPr>
          <w:szCs w:val="26"/>
        </w:rPr>
        <w:t xml:space="preserve">, in essence, “conducted a hearing </w:t>
      </w:r>
      <w:r w:rsidR="008A15AC" w:rsidRPr="00B77E2B">
        <w:rPr>
          <w:szCs w:val="26"/>
        </w:rPr>
        <w:t xml:space="preserve">[under section 783] </w:t>
      </w:r>
      <w:r w:rsidR="00E13740" w:rsidRPr="00B77E2B">
        <w:rPr>
          <w:szCs w:val="26"/>
        </w:rPr>
        <w:t>as statutorily required</w:t>
      </w:r>
      <w:r w:rsidR="003634FC" w:rsidRPr="00B77E2B">
        <w:rPr>
          <w:szCs w:val="26"/>
        </w:rPr>
        <w:t>.</w:t>
      </w:r>
      <w:r w:rsidR="008A15AC" w:rsidRPr="00B77E2B">
        <w:rPr>
          <w:szCs w:val="26"/>
        </w:rPr>
        <w:t xml:space="preserve">” </w:t>
      </w:r>
      <w:r w:rsidR="003634FC" w:rsidRPr="00B77E2B">
        <w:rPr>
          <w:szCs w:val="26"/>
        </w:rPr>
        <w:t xml:space="preserve"> </w:t>
      </w:r>
      <w:r w:rsidR="004B05FE" w:rsidRPr="00B77E2B">
        <w:rPr>
          <w:szCs w:val="26"/>
        </w:rPr>
        <w:t>(</w:t>
      </w:r>
      <w:r w:rsidR="003634FC" w:rsidRPr="00B77E2B">
        <w:rPr>
          <w:i/>
          <w:iCs/>
          <w:szCs w:val="26"/>
        </w:rPr>
        <w:t>I</w:t>
      </w:r>
      <w:r w:rsidR="004B05FE" w:rsidRPr="00B77E2B">
        <w:rPr>
          <w:i/>
          <w:iCs/>
          <w:szCs w:val="26"/>
        </w:rPr>
        <w:t>d</w:t>
      </w:r>
      <w:r w:rsidR="004B05FE" w:rsidRPr="00B77E2B">
        <w:rPr>
          <w:szCs w:val="26"/>
        </w:rPr>
        <w:t xml:space="preserve">. at </w:t>
      </w:r>
      <w:r w:rsidR="00E13740" w:rsidRPr="00B77E2B">
        <w:rPr>
          <w:szCs w:val="26"/>
        </w:rPr>
        <w:t>p. 235</w:t>
      </w:r>
      <w:r w:rsidR="003634FC" w:rsidRPr="00B77E2B">
        <w:rPr>
          <w:szCs w:val="26"/>
        </w:rPr>
        <w:t xml:space="preserve">.)  </w:t>
      </w:r>
      <w:r w:rsidR="006569B0" w:rsidRPr="00B77E2B">
        <w:rPr>
          <w:szCs w:val="26"/>
        </w:rPr>
        <w:t xml:space="preserve">The </w:t>
      </w:r>
      <w:r w:rsidR="009E1499" w:rsidRPr="00B77E2B">
        <w:rPr>
          <w:szCs w:val="26"/>
        </w:rPr>
        <w:t xml:space="preserve">Court of Appeal </w:t>
      </w:r>
      <w:r w:rsidR="00565AA3" w:rsidRPr="00B77E2B">
        <w:rPr>
          <w:szCs w:val="26"/>
        </w:rPr>
        <w:t xml:space="preserve">“anticipated” that </w:t>
      </w:r>
      <w:r w:rsidR="00264DD1" w:rsidRPr="00B77E2B">
        <w:rPr>
          <w:szCs w:val="26"/>
        </w:rPr>
        <w:t xml:space="preserve">plaintiff would eventually testify that </w:t>
      </w:r>
      <w:r w:rsidR="009E1499" w:rsidRPr="00B77E2B">
        <w:rPr>
          <w:szCs w:val="26"/>
        </w:rPr>
        <w:t xml:space="preserve">all </w:t>
      </w:r>
      <w:r w:rsidR="00264DD1" w:rsidRPr="00B77E2B">
        <w:rPr>
          <w:szCs w:val="26"/>
        </w:rPr>
        <w:t xml:space="preserve">of her </w:t>
      </w:r>
      <w:r w:rsidR="001B6222" w:rsidRPr="00B77E2B">
        <w:rPr>
          <w:szCs w:val="26"/>
        </w:rPr>
        <w:t xml:space="preserve">present </w:t>
      </w:r>
      <w:r w:rsidR="00264DD1" w:rsidRPr="00B77E2B">
        <w:rPr>
          <w:szCs w:val="26"/>
        </w:rPr>
        <w:t>em</w:t>
      </w:r>
      <w:r w:rsidR="001B6222" w:rsidRPr="00B77E2B">
        <w:rPr>
          <w:szCs w:val="26"/>
        </w:rPr>
        <w:t xml:space="preserve">otional distress is attributable to Baldenebro and </w:t>
      </w:r>
      <w:r w:rsidR="00265B64" w:rsidRPr="00B77E2B">
        <w:rPr>
          <w:szCs w:val="26"/>
        </w:rPr>
        <w:t xml:space="preserve">to </w:t>
      </w:r>
      <w:r w:rsidR="00F67E88" w:rsidRPr="00B77E2B">
        <w:rPr>
          <w:szCs w:val="26"/>
        </w:rPr>
        <w:t>no other cause</w:t>
      </w:r>
      <w:r w:rsidR="00BD1E71" w:rsidRPr="00B77E2B">
        <w:rPr>
          <w:szCs w:val="26"/>
        </w:rPr>
        <w:t>.  (</w:t>
      </w:r>
      <w:r w:rsidR="00273B6A" w:rsidRPr="00B77E2B">
        <w:rPr>
          <w:i/>
          <w:iCs/>
          <w:szCs w:val="26"/>
        </w:rPr>
        <w:t>Id</w:t>
      </w:r>
      <w:r w:rsidR="00273B6A" w:rsidRPr="00B77E2B">
        <w:rPr>
          <w:szCs w:val="26"/>
        </w:rPr>
        <w:t>. at p. 23</w:t>
      </w:r>
      <w:r w:rsidR="00A61E6C" w:rsidRPr="00B77E2B">
        <w:rPr>
          <w:szCs w:val="26"/>
        </w:rPr>
        <w:t>2</w:t>
      </w:r>
      <w:r w:rsidR="00273B6A" w:rsidRPr="00B77E2B">
        <w:rPr>
          <w:szCs w:val="26"/>
        </w:rPr>
        <w:t xml:space="preserve">.)  </w:t>
      </w:r>
      <w:r w:rsidR="00317FBB" w:rsidRPr="00B77E2B">
        <w:rPr>
          <w:szCs w:val="26"/>
        </w:rPr>
        <w:t xml:space="preserve">The court then </w:t>
      </w:r>
      <w:r w:rsidR="00C6030C" w:rsidRPr="00B77E2B">
        <w:rPr>
          <w:szCs w:val="26"/>
        </w:rPr>
        <w:t xml:space="preserve">characterized </w:t>
      </w:r>
      <w:r w:rsidR="00FB5FE5" w:rsidRPr="00B77E2B">
        <w:rPr>
          <w:szCs w:val="26"/>
        </w:rPr>
        <w:t xml:space="preserve">the trial court’s </w:t>
      </w:r>
      <w:r w:rsidR="009544DE" w:rsidRPr="00B77E2B">
        <w:rPr>
          <w:szCs w:val="26"/>
        </w:rPr>
        <w:t xml:space="preserve">ultimate </w:t>
      </w:r>
      <w:r w:rsidR="004D11B8" w:rsidRPr="00B77E2B">
        <w:rPr>
          <w:szCs w:val="26"/>
        </w:rPr>
        <w:t xml:space="preserve">evidentiary </w:t>
      </w:r>
      <w:r w:rsidR="009544DE" w:rsidRPr="00B77E2B">
        <w:rPr>
          <w:szCs w:val="26"/>
        </w:rPr>
        <w:t>ruling</w:t>
      </w:r>
      <w:r w:rsidR="00197C2F" w:rsidRPr="00B77E2B">
        <w:rPr>
          <w:szCs w:val="26"/>
        </w:rPr>
        <w:t xml:space="preserve"> </w:t>
      </w:r>
      <w:r w:rsidR="00C6030C" w:rsidRPr="00B77E2B">
        <w:rPr>
          <w:szCs w:val="26"/>
        </w:rPr>
        <w:t xml:space="preserve">as </w:t>
      </w:r>
      <w:r w:rsidRPr="00B77E2B">
        <w:rPr>
          <w:szCs w:val="26"/>
        </w:rPr>
        <w:t>ambiguous</w:t>
      </w:r>
      <w:r w:rsidR="00D35F07" w:rsidRPr="00B77E2B">
        <w:rPr>
          <w:szCs w:val="26"/>
        </w:rPr>
        <w:t xml:space="preserve"> </w:t>
      </w:r>
      <w:r w:rsidR="00AD6B5C" w:rsidRPr="00B77E2B">
        <w:rPr>
          <w:szCs w:val="26"/>
        </w:rPr>
        <w:t>and</w:t>
      </w:r>
      <w:r w:rsidR="00C6030C" w:rsidRPr="00B77E2B">
        <w:rPr>
          <w:szCs w:val="26"/>
        </w:rPr>
        <w:t xml:space="preserve"> </w:t>
      </w:r>
      <w:r w:rsidR="00317FBB" w:rsidRPr="00B77E2B">
        <w:rPr>
          <w:szCs w:val="26"/>
        </w:rPr>
        <w:t xml:space="preserve">proceeded to </w:t>
      </w:r>
      <w:r w:rsidR="005A3832" w:rsidRPr="00B77E2B">
        <w:rPr>
          <w:szCs w:val="26"/>
        </w:rPr>
        <w:t xml:space="preserve">interpret </w:t>
      </w:r>
      <w:r w:rsidR="00317FBB" w:rsidRPr="00B77E2B">
        <w:rPr>
          <w:szCs w:val="26"/>
        </w:rPr>
        <w:t xml:space="preserve">that </w:t>
      </w:r>
      <w:r w:rsidR="00C6030C" w:rsidRPr="00B77E2B">
        <w:rPr>
          <w:szCs w:val="26"/>
        </w:rPr>
        <w:t xml:space="preserve">ruling </w:t>
      </w:r>
      <w:r w:rsidR="00955134" w:rsidRPr="00B77E2B">
        <w:rPr>
          <w:szCs w:val="26"/>
        </w:rPr>
        <w:t xml:space="preserve">narrowly, </w:t>
      </w:r>
      <w:r w:rsidR="006D5C2A" w:rsidRPr="00B77E2B">
        <w:rPr>
          <w:szCs w:val="26"/>
        </w:rPr>
        <w:t xml:space="preserve">viewing </w:t>
      </w:r>
      <w:r w:rsidR="00062889" w:rsidRPr="00B77E2B">
        <w:rPr>
          <w:szCs w:val="26"/>
        </w:rPr>
        <w:t xml:space="preserve">it </w:t>
      </w:r>
      <w:r w:rsidRPr="00B77E2B">
        <w:rPr>
          <w:szCs w:val="26"/>
        </w:rPr>
        <w:t>as</w:t>
      </w:r>
      <w:r w:rsidR="006E78F0" w:rsidRPr="00B77E2B">
        <w:rPr>
          <w:szCs w:val="26"/>
        </w:rPr>
        <w:t xml:space="preserve"> </w:t>
      </w:r>
      <w:r w:rsidR="008834CE" w:rsidRPr="00B77E2B">
        <w:rPr>
          <w:szCs w:val="26"/>
        </w:rPr>
        <w:t xml:space="preserve">“admitting the 2013 molestation </w:t>
      </w:r>
      <w:r w:rsidR="008834CE" w:rsidRPr="00B77E2B">
        <w:rPr>
          <w:i/>
          <w:iCs/>
          <w:szCs w:val="26"/>
        </w:rPr>
        <w:t>for impeachment purposes only</w:t>
      </w:r>
      <w:r w:rsidR="008834CE" w:rsidRPr="00B77E2B">
        <w:rPr>
          <w:szCs w:val="26"/>
        </w:rPr>
        <w:t>.”  (</w:t>
      </w:r>
      <w:r w:rsidR="008834CE" w:rsidRPr="00B77E2B">
        <w:rPr>
          <w:i/>
          <w:iCs/>
          <w:szCs w:val="26"/>
        </w:rPr>
        <w:t>Id</w:t>
      </w:r>
      <w:r w:rsidR="008834CE" w:rsidRPr="00B77E2B">
        <w:rPr>
          <w:szCs w:val="26"/>
        </w:rPr>
        <w:t>.</w:t>
      </w:r>
      <w:r w:rsidR="00BD5281" w:rsidRPr="00B77E2B">
        <w:rPr>
          <w:szCs w:val="26"/>
        </w:rPr>
        <w:t xml:space="preserve"> at p. </w:t>
      </w:r>
      <w:r w:rsidR="00012C85" w:rsidRPr="00B77E2B">
        <w:rPr>
          <w:szCs w:val="26"/>
        </w:rPr>
        <w:t>235</w:t>
      </w:r>
      <w:r w:rsidR="008834CE" w:rsidRPr="00B77E2B">
        <w:rPr>
          <w:szCs w:val="26"/>
        </w:rPr>
        <w:t xml:space="preserve">, italics added; see also </w:t>
      </w:r>
      <w:r w:rsidR="008834CE" w:rsidRPr="00B77E2B">
        <w:rPr>
          <w:i/>
          <w:iCs/>
          <w:szCs w:val="26"/>
        </w:rPr>
        <w:t>id</w:t>
      </w:r>
      <w:r w:rsidR="008834CE" w:rsidRPr="00B77E2B">
        <w:rPr>
          <w:szCs w:val="26"/>
        </w:rPr>
        <w:t>. at p.</w:t>
      </w:r>
      <w:r w:rsidR="002F0C98">
        <w:rPr>
          <w:szCs w:val="26"/>
        </w:rPr>
        <w:t> </w:t>
      </w:r>
      <w:r w:rsidR="008834CE" w:rsidRPr="00B77E2B">
        <w:rPr>
          <w:szCs w:val="26"/>
        </w:rPr>
        <w:t>241.)</w:t>
      </w:r>
    </w:p>
    <w:p w14:paraId="0DB2E7C5" w14:textId="77777777" w:rsidR="004E4B16" w:rsidRPr="00B77E2B" w:rsidRDefault="002E6832" w:rsidP="00CA5D95">
      <w:pPr>
        <w:tabs>
          <w:tab w:val="left" w:pos="3609"/>
        </w:tabs>
        <w:ind w:firstLine="720"/>
        <w:rPr>
          <w:szCs w:val="26"/>
        </w:rPr>
      </w:pPr>
      <w:r w:rsidRPr="00B77E2B">
        <w:rPr>
          <w:szCs w:val="26"/>
        </w:rPr>
        <w:t xml:space="preserve">Having construed the </w:t>
      </w:r>
      <w:r w:rsidR="00EE1F0B" w:rsidRPr="00B77E2B">
        <w:rPr>
          <w:szCs w:val="26"/>
        </w:rPr>
        <w:t xml:space="preserve">record and the </w:t>
      </w:r>
      <w:r w:rsidRPr="00B77E2B">
        <w:rPr>
          <w:szCs w:val="26"/>
        </w:rPr>
        <w:t>trial court’s ruling</w:t>
      </w:r>
      <w:r w:rsidR="00CA5D95">
        <w:rPr>
          <w:szCs w:val="26"/>
        </w:rPr>
        <w:t xml:space="preserve"> in this manner</w:t>
      </w:r>
      <w:r w:rsidRPr="00B77E2B">
        <w:rPr>
          <w:szCs w:val="26"/>
        </w:rPr>
        <w:t xml:space="preserve">, the Court of Appeal </w:t>
      </w:r>
      <w:r w:rsidR="000725CB" w:rsidRPr="00B77E2B">
        <w:rPr>
          <w:szCs w:val="26"/>
        </w:rPr>
        <w:t xml:space="preserve">proceeded to address </w:t>
      </w:r>
      <w:r w:rsidR="00E8571D" w:rsidRPr="00B77E2B">
        <w:rPr>
          <w:szCs w:val="26"/>
        </w:rPr>
        <w:t>the section</w:t>
      </w:r>
      <w:r w:rsidR="00CA5D95">
        <w:rPr>
          <w:szCs w:val="26"/>
        </w:rPr>
        <w:t> </w:t>
      </w:r>
      <w:r w:rsidR="00E8571D" w:rsidRPr="00B77E2B">
        <w:rPr>
          <w:szCs w:val="26"/>
        </w:rPr>
        <w:t>352 balancing inquiry</w:t>
      </w:r>
      <w:r w:rsidR="00A12BC3" w:rsidRPr="00B77E2B">
        <w:rPr>
          <w:szCs w:val="26"/>
        </w:rPr>
        <w:t xml:space="preserve">.  The </w:t>
      </w:r>
      <w:r w:rsidR="00E8571D" w:rsidRPr="00B77E2B">
        <w:rPr>
          <w:szCs w:val="26"/>
        </w:rPr>
        <w:t xml:space="preserve">appellate court determined that the trial court </w:t>
      </w:r>
      <w:r w:rsidR="00126E01" w:rsidRPr="00B77E2B">
        <w:rPr>
          <w:szCs w:val="26"/>
        </w:rPr>
        <w:t xml:space="preserve">had </w:t>
      </w:r>
      <w:r w:rsidR="00FF6447" w:rsidRPr="00B77E2B">
        <w:rPr>
          <w:szCs w:val="26"/>
        </w:rPr>
        <w:t xml:space="preserve">“applied </w:t>
      </w:r>
      <w:r w:rsidR="00FF6447" w:rsidRPr="00B77E2B">
        <w:rPr>
          <w:i/>
          <w:iCs/>
          <w:szCs w:val="26"/>
        </w:rPr>
        <w:t>the same section 352 anal</w:t>
      </w:r>
      <w:r w:rsidR="003E1484" w:rsidRPr="00B77E2B">
        <w:rPr>
          <w:i/>
          <w:iCs/>
          <w:szCs w:val="26"/>
        </w:rPr>
        <w:t>ysis called for by</w:t>
      </w:r>
      <w:r w:rsidR="001E679A" w:rsidRPr="00B77E2B">
        <w:rPr>
          <w:szCs w:val="26"/>
        </w:rPr>
        <w:t>” sections 1106 and 783</w:t>
      </w:r>
      <w:r w:rsidR="00B00CA0" w:rsidRPr="00B77E2B">
        <w:rPr>
          <w:i/>
          <w:iCs/>
          <w:szCs w:val="26"/>
        </w:rPr>
        <w:t>.</w:t>
      </w:r>
      <w:r w:rsidR="00482A59" w:rsidRPr="00B77E2B">
        <w:rPr>
          <w:szCs w:val="26"/>
        </w:rPr>
        <w:t xml:space="preserve"> </w:t>
      </w:r>
      <w:r w:rsidR="00B00CA0" w:rsidRPr="00B77E2B">
        <w:rPr>
          <w:szCs w:val="26"/>
        </w:rPr>
        <w:t xml:space="preserve"> </w:t>
      </w:r>
      <w:r w:rsidR="00482A59" w:rsidRPr="00B77E2B">
        <w:rPr>
          <w:szCs w:val="26"/>
        </w:rPr>
        <w:t>(</w:t>
      </w:r>
      <w:r w:rsidR="00482A59" w:rsidRPr="00B77E2B">
        <w:rPr>
          <w:i/>
          <w:iCs/>
          <w:szCs w:val="26"/>
        </w:rPr>
        <w:t>Doe</w:t>
      </w:r>
      <w:r w:rsidR="00482A59" w:rsidRPr="00B77E2B">
        <w:rPr>
          <w:szCs w:val="26"/>
        </w:rPr>
        <w:t>,</w:t>
      </w:r>
      <w:r w:rsidR="00482A59" w:rsidRPr="00B77E2B">
        <w:rPr>
          <w:i/>
          <w:iCs/>
          <w:szCs w:val="26"/>
        </w:rPr>
        <w:t xml:space="preserve"> supra</w:t>
      </w:r>
      <w:r w:rsidR="00482A59" w:rsidRPr="00B77E2B">
        <w:rPr>
          <w:szCs w:val="26"/>
        </w:rPr>
        <w:t>,</w:t>
      </w:r>
      <w:r w:rsidR="00482A59" w:rsidRPr="00B77E2B">
        <w:rPr>
          <w:i/>
          <w:iCs/>
          <w:szCs w:val="26"/>
        </w:rPr>
        <w:t xml:space="preserve"> </w:t>
      </w:r>
      <w:r w:rsidR="00482A59" w:rsidRPr="00B77E2B">
        <w:rPr>
          <w:szCs w:val="26"/>
        </w:rPr>
        <w:t>71 Cal.App.5th at p.</w:t>
      </w:r>
      <w:r w:rsidR="00CA5D95">
        <w:rPr>
          <w:szCs w:val="26"/>
        </w:rPr>
        <w:t> </w:t>
      </w:r>
      <w:r w:rsidR="00A403D6" w:rsidRPr="00B77E2B">
        <w:rPr>
          <w:szCs w:val="26"/>
        </w:rPr>
        <w:t>235, italics added</w:t>
      </w:r>
      <w:r w:rsidR="00B00CA0" w:rsidRPr="00B77E2B">
        <w:rPr>
          <w:szCs w:val="26"/>
        </w:rPr>
        <w:t>.</w:t>
      </w:r>
      <w:r w:rsidR="0021479D" w:rsidRPr="00B77E2B">
        <w:rPr>
          <w:szCs w:val="26"/>
        </w:rPr>
        <w:t>)</w:t>
      </w:r>
      <w:r w:rsidR="00B00CA0" w:rsidRPr="00B77E2B">
        <w:rPr>
          <w:szCs w:val="26"/>
        </w:rPr>
        <w:t xml:space="preserve">  </w:t>
      </w:r>
      <w:r w:rsidR="00946B83" w:rsidRPr="00B77E2B">
        <w:rPr>
          <w:szCs w:val="26"/>
        </w:rPr>
        <w:t xml:space="preserve">Moreover, </w:t>
      </w:r>
      <w:r w:rsidR="001536A8" w:rsidRPr="00B77E2B">
        <w:rPr>
          <w:szCs w:val="26"/>
        </w:rPr>
        <w:t xml:space="preserve">the </w:t>
      </w:r>
      <w:r w:rsidR="00AC49A5" w:rsidRPr="00B77E2B">
        <w:rPr>
          <w:szCs w:val="26"/>
        </w:rPr>
        <w:t>C</w:t>
      </w:r>
      <w:r w:rsidR="001536A8" w:rsidRPr="00B77E2B">
        <w:rPr>
          <w:szCs w:val="26"/>
        </w:rPr>
        <w:t xml:space="preserve">ourt </w:t>
      </w:r>
      <w:r w:rsidR="00AC49A5" w:rsidRPr="00B77E2B">
        <w:rPr>
          <w:szCs w:val="26"/>
        </w:rPr>
        <w:t xml:space="preserve">of Appeal </w:t>
      </w:r>
      <w:r w:rsidR="001536A8" w:rsidRPr="00B77E2B">
        <w:rPr>
          <w:szCs w:val="26"/>
        </w:rPr>
        <w:t>conclud</w:t>
      </w:r>
      <w:r w:rsidR="006F5D3A" w:rsidRPr="00B77E2B">
        <w:rPr>
          <w:szCs w:val="26"/>
        </w:rPr>
        <w:t xml:space="preserve">ed, the trial court </w:t>
      </w:r>
      <w:r w:rsidR="00946B83" w:rsidRPr="00B77E2B">
        <w:rPr>
          <w:szCs w:val="26"/>
        </w:rPr>
        <w:t xml:space="preserve">did not </w:t>
      </w:r>
      <w:r w:rsidR="00E8571D" w:rsidRPr="00B77E2B">
        <w:rPr>
          <w:szCs w:val="26"/>
        </w:rPr>
        <w:t xml:space="preserve">abuse its discretion in </w:t>
      </w:r>
      <w:r w:rsidR="00591C16" w:rsidRPr="00B77E2B">
        <w:rPr>
          <w:szCs w:val="26"/>
        </w:rPr>
        <w:t xml:space="preserve">declining to exclude the </w:t>
      </w:r>
      <w:r w:rsidR="002A40DC" w:rsidRPr="00B77E2B">
        <w:rPr>
          <w:szCs w:val="26"/>
        </w:rPr>
        <w:t xml:space="preserve">challenged </w:t>
      </w:r>
      <w:r w:rsidR="00591C16" w:rsidRPr="00B77E2B">
        <w:rPr>
          <w:szCs w:val="26"/>
        </w:rPr>
        <w:t xml:space="preserve">evidence under </w:t>
      </w:r>
      <w:r w:rsidR="003A2CD6" w:rsidRPr="00B77E2B">
        <w:rPr>
          <w:szCs w:val="26"/>
        </w:rPr>
        <w:t xml:space="preserve">section </w:t>
      </w:r>
      <w:r w:rsidR="00E50C72" w:rsidRPr="00B77E2B">
        <w:rPr>
          <w:szCs w:val="26"/>
        </w:rPr>
        <w:t>352</w:t>
      </w:r>
      <w:r w:rsidR="00E8571D" w:rsidRPr="00B77E2B">
        <w:rPr>
          <w:szCs w:val="26"/>
        </w:rPr>
        <w:t xml:space="preserve">. </w:t>
      </w:r>
      <w:r w:rsidR="00881325" w:rsidRPr="00B77E2B">
        <w:rPr>
          <w:szCs w:val="26"/>
        </w:rPr>
        <w:t xml:space="preserve"> </w:t>
      </w:r>
      <w:r w:rsidR="003008BC" w:rsidRPr="00B77E2B">
        <w:rPr>
          <w:szCs w:val="26"/>
        </w:rPr>
        <w:t>(</w:t>
      </w:r>
      <w:r w:rsidR="009914CD" w:rsidRPr="00B77E2B">
        <w:rPr>
          <w:i/>
          <w:iCs/>
          <w:szCs w:val="26"/>
        </w:rPr>
        <w:t>Doe</w:t>
      </w:r>
      <w:r w:rsidR="009914CD" w:rsidRPr="00B77E2B">
        <w:rPr>
          <w:szCs w:val="26"/>
        </w:rPr>
        <w:t>,</w:t>
      </w:r>
      <w:r w:rsidR="003008BC" w:rsidRPr="00B77E2B">
        <w:rPr>
          <w:szCs w:val="26"/>
        </w:rPr>
        <w:t xml:space="preserve"> at p</w:t>
      </w:r>
      <w:r w:rsidR="00CD1657" w:rsidRPr="00B77E2B">
        <w:rPr>
          <w:szCs w:val="26"/>
        </w:rPr>
        <w:t>p. 240–</w:t>
      </w:r>
      <w:r w:rsidR="00FF0BC4" w:rsidRPr="00B77E2B">
        <w:rPr>
          <w:szCs w:val="26"/>
        </w:rPr>
        <w:t>242</w:t>
      </w:r>
      <w:r w:rsidR="003008BC" w:rsidRPr="00B77E2B">
        <w:rPr>
          <w:szCs w:val="26"/>
        </w:rPr>
        <w:t xml:space="preserve">.) </w:t>
      </w:r>
      <w:r w:rsidR="00E8571D" w:rsidRPr="00B77E2B">
        <w:rPr>
          <w:szCs w:val="26"/>
        </w:rPr>
        <w:t xml:space="preserve"> The </w:t>
      </w:r>
      <w:r w:rsidR="00AC49A5" w:rsidRPr="00B77E2B">
        <w:rPr>
          <w:szCs w:val="26"/>
        </w:rPr>
        <w:t xml:space="preserve">appellate </w:t>
      </w:r>
      <w:r w:rsidR="00C805E4" w:rsidRPr="00B77E2B">
        <w:rPr>
          <w:szCs w:val="26"/>
        </w:rPr>
        <w:t xml:space="preserve">court </w:t>
      </w:r>
      <w:r w:rsidR="00E8571D" w:rsidRPr="00B77E2B">
        <w:rPr>
          <w:szCs w:val="26"/>
        </w:rPr>
        <w:t xml:space="preserve">lifted the stay of trial proceedings and instructed the trial court to either assess any prejudice flowing from the empaneled jury’s exposure to the mentioning of the 2013 incident during opening statements or </w:t>
      </w:r>
      <w:r w:rsidR="00406DF6" w:rsidRPr="00B77E2B">
        <w:rPr>
          <w:szCs w:val="26"/>
        </w:rPr>
        <w:t xml:space="preserve">to </w:t>
      </w:r>
      <w:r w:rsidR="00917D2F" w:rsidRPr="00B77E2B">
        <w:rPr>
          <w:szCs w:val="26"/>
        </w:rPr>
        <w:t xml:space="preserve">restart </w:t>
      </w:r>
      <w:r w:rsidR="00E8571D" w:rsidRPr="00B77E2B">
        <w:rPr>
          <w:szCs w:val="26"/>
        </w:rPr>
        <w:t xml:space="preserve">the trial with a new jury.  </w:t>
      </w:r>
    </w:p>
    <w:p w14:paraId="0DB2E7C6" w14:textId="77777777" w:rsidR="00AB4B73" w:rsidRPr="00B77E2B" w:rsidRDefault="002E6832" w:rsidP="00CA5D95">
      <w:pPr>
        <w:tabs>
          <w:tab w:val="left" w:pos="3609"/>
        </w:tabs>
        <w:ind w:firstLine="720"/>
        <w:rPr>
          <w:szCs w:val="26"/>
        </w:rPr>
      </w:pPr>
      <w:r w:rsidRPr="00B77E2B">
        <w:rPr>
          <w:szCs w:val="26"/>
        </w:rPr>
        <w:t>Plaint</w:t>
      </w:r>
      <w:r w:rsidRPr="00B77E2B">
        <w:rPr>
          <w:szCs w:val="26"/>
        </w:rPr>
        <w:t xml:space="preserve">iff and </w:t>
      </w:r>
      <w:r w:rsidR="0073548C" w:rsidRPr="00B77E2B">
        <w:rPr>
          <w:szCs w:val="26"/>
        </w:rPr>
        <w:t>the other claim</w:t>
      </w:r>
      <w:r w:rsidR="00A07223" w:rsidRPr="00B77E2B">
        <w:rPr>
          <w:szCs w:val="26"/>
        </w:rPr>
        <w:t xml:space="preserve">ants filed a second </w:t>
      </w:r>
      <w:r w:rsidR="00766604" w:rsidRPr="00B77E2B">
        <w:rPr>
          <w:szCs w:val="26"/>
        </w:rPr>
        <w:t>petition for review</w:t>
      </w:r>
      <w:r w:rsidR="00A07223" w:rsidRPr="00B77E2B">
        <w:rPr>
          <w:szCs w:val="26"/>
        </w:rPr>
        <w:t>, which we granted</w:t>
      </w:r>
      <w:r w:rsidR="00766604" w:rsidRPr="00B77E2B">
        <w:rPr>
          <w:szCs w:val="26"/>
        </w:rPr>
        <w:t xml:space="preserve">.  </w:t>
      </w:r>
    </w:p>
    <w:p w14:paraId="0DB2E7C7" w14:textId="77777777" w:rsidR="003D69F2" w:rsidRPr="00535A24" w:rsidRDefault="002E6832" w:rsidP="00535A24">
      <w:pPr>
        <w:pStyle w:val="Heading1"/>
      </w:pPr>
      <w:r w:rsidRPr="00535A24">
        <w:lastRenderedPageBreak/>
        <w:t xml:space="preserve">II.  </w:t>
      </w:r>
      <w:r w:rsidR="008C1289" w:rsidRPr="00535A24">
        <w:t>General</w:t>
      </w:r>
      <w:r w:rsidR="00B844C5" w:rsidRPr="00535A24">
        <w:t xml:space="preserve"> </w:t>
      </w:r>
      <w:r w:rsidR="002970B5" w:rsidRPr="00535A24">
        <w:t xml:space="preserve">and Statutory </w:t>
      </w:r>
      <w:r w:rsidR="008C1289" w:rsidRPr="00535A24">
        <w:t>B</w:t>
      </w:r>
      <w:r w:rsidR="000B06BA" w:rsidRPr="00535A24">
        <w:t>ackground</w:t>
      </w:r>
    </w:p>
    <w:p w14:paraId="0DB2E7C8" w14:textId="77777777" w:rsidR="002B44AE" w:rsidRPr="00867380" w:rsidRDefault="002E6832" w:rsidP="00867380">
      <w:pPr>
        <w:ind w:firstLine="720"/>
        <w:rPr>
          <w:szCs w:val="26"/>
        </w:rPr>
      </w:pPr>
      <w:r w:rsidRPr="00867380">
        <w:rPr>
          <w:szCs w:val="26"/>
        </w:rPr>
        <w:t xml:space="preserve">In order to understand and </w:t>
      </w:r>
      <w:r w:rsidR="00335FF8" w:rsidRPr="00867380">
        <w:rPr>
          <w:szCs w:val="26"/>
        </w:rPr>
        <w:t>place into perspective the</w:t>
      </w:r>
      <w:r w:rsidR="00EA3251" w:rsidRPr="00867380">
        <w:rPr>
          <w:szCs w:val="26"/>
        </w:rPr>
        <w:t xml:space="preserve"> </w:t>
      </w:r>
      <w:r w:rsidR="00023DE3" w:rsidRPr="00867380">
        <w:rPr>
          <w:szCs w:val="26"/>
        </w:rPr>
        <w:t xml:space="preserve">key </w:t>
      </w:r>
      <w:r w:rsidR="00EA3251" w:rsidRPr="00867380">
        <w:rPr>
          <w:szCs w:val="26"/>
        </w:rPr>
        <w:t>statutes at issue here</w:t>
      </w:r>
      <w:r w:rsidR="005A0610" w:rsidRPr="00867380">
        <w:rPr>
          <w:szCs w:val="26"/>
        </w:rPr>
        <w:t> —</w:t>
      </w:r>
      <w:r w:rsidR="00EA3251" w:rsidRPr="00867380">
        <w:rPr>
          <w:szCs w:val="26"/>
        </w:rPr>
        <w:t xml:space="preserve"> sections 1106 and </w:t>
      </w:r>
      <w:r w:rsidR="0073265F" w:rsidRPr="00867380">
        <w:rPr>
          <w:szCs w:val="26"/>
        </w:rPr>
        <w:t>783</w:t>
      </w:r>
      <w:r w:rsidR="005A0610" w:rsidRPr="00867380">
        <w:rPr>
          <w:szCs w:val="26"/>
        </w:rPr>
        <w:t xml:space="preserve"> — </w:t>
      </w:r>
      <w:r w:rsidR="00B924CE" w:rsidRPr="00867380">
        <w:rPr>
          <w:szCs w:val="26"/>
        </w:rPr>
        <w:t xml:space="preserve">we </w:t>
      </w:r>
      <w:r w:rsidR="0073265F" w:rsidRPr="00867380">
        <w:rPr>
          <w:szCs w:val="26"/>
        </w:rPr>
        <w:t xml:space="preserve">find it useful to briefly survey the </w:t>
      </w:r>
      <w:r w:rsidR="009D3282" w:rsidRPr="00867380">
        <w:rPr>
          <w:szCs w:val="26"/>
        </w:rPr>
        <w:t>history that led to them</w:t>
      </w:r>
      <w:r w:rsidR="00A75CF2" w:rsidRPr="00867380">
        <w:rPr>
          <w:szCs w:val="26"/>
        </w:rPr>
        <w:t xml:space="preserve">. </w:t>
      </w:r>
      <w:r w:rsidR="00391ACF" w:rsidRPr="00867380">
        <w:rPr>
          <w:szCs w:val="26"/>
        </w:rPr>
        <w:t xml:space="preserve"> </w:t>
      </w:r>
      <w:r w:rsidRPr="00867380">
        <w:rPr>
          <w:szCs w:val="26"/>
        </w:rPr>
        <w:t>As show</w:t>
      </w:r>
      <w:r w:rsidR="00E2408E" w:rsidRPr="00867380">
        <w:rPr>
          <w:szCs w:val="26"/>
        </w:rPr>
        <w:t>n</w:t>
      </w:r>
      <w:r w:rsidRPr="00867380">
        <w:rPr>
          <w:szCs w:val="26"/>
        </w:rPr>
        <w:t xml:space="preserve"> below</w:t>
      </w:r>
      <w:r w:rsidR="00345D90" w:rsidRPr="00867380">
        <w:rPr>
          <w:szCs w:val="26"/>
        </w:rPr>
        <w:t xml:space="preserve">, </w:t>
      </w:r>
      <w:r w:rsidR="0070116A" w:rsidRPr="00867380">
        <w:rPr>
          <w:szCs w:val="26"/>
        </w:rPr>
        <w:t>by</w:t>
      </w:r>
      <w:r w:rsidR="00CF6AD4" w:rsidRPr="00867380">
        <w:rPr>
          <w:szCs w:val="26"/>
        </w:rPr>
        <w:t xml:space="preserve"> enac</w:t>
      </w:r>
      <w:r w:rsidR="00D9708D" w:rsidRPr="00867380">
        <w:rPr>
          <w:szCs w:val="26"/>
        </w:rPr>
        <w:t xml:space="preserve">ting these </w:t>
      </w:r>
      <w:r w:rsidR="00DE31A5" w:rsidRPr="00867380">
        <w:rPr>
          <w:szCs w:val="26"/>
        </w:rPr>
        <w:t>provisions</w:t>
      </w:r>
      <w:r w:rsidR="00D9708D" w:rsidRPr="00867380">
        <w:rPr>
          <w:szCs w:val="26"/>
        </w:rPr>
        <w:t xml:space="preserve">, </w:t>
      </w:r>
      <w:r w:rsidR="00CA58EF" w:rsidRPr="00867380">
        <w:rPr>
          <w:szCs w:val="26"/>
        </w:rPr>
        <w:t>the</w:t>
      </w:r>
      <w:r w:rsidR="00D9708D" w:rsidRPr="00867380">
        <w:rPr>
          <w:szCs w:val="26"/>
        </w:rPr>
        <w:t xml:space="preserve"> Legislature sought to </w:t>
      </w:r>
      <w:r w:rsidR="009F7A84" w:rsidRPr="00867380">
        <w:rPr>
          <w:szCs w:val="26"/>
        </w:rPr>
        <w:t xml:space="preserve">extend </w:t>
      </w:r>
      <w:r w:rsidR="003E395E" w:rsidRPr="00867380">
        <w:rPr>
          <w:szCs w:val="26"/>
        </w:rPr>
        <w:t xml:space="preserve">reforms </w:t>
      </w:r>
      <w:r w:rsidR="00414648" w:rsidRPr="00867380">
        <w:rPr>
          <w:szCs w:val="26"/>
        </w:rPr>
        <w:t xml:space="preserve">governing </w:t>
      </w:r>
      <w:r w:rsidR="00DA02A4" w:rsidRPr="00867380">
        <w:rPr>
          <w:i/>
          <w:iCs/>
          <w:szCs w:val="26"/>
        </w:rPr>
        <w:t>criminal</w:t>
      </w:r>
      <w:r w:rsidR="00DA02A4" w:rsidRPr="00867380">
        <w:rPr>
          <w:szCs w:val="26"/>
        </w:rPr>
        <w:t xml:space="preserve"> prosec</w:t>
      </w:r>
      <w:r w:rsidR="009E7895" w:rsidRPr="00867380">
        <w:rPr>
          <w:szCs w:val="26"/>
        </w:rPr>
        <w:t>u</w:t>
      </w:r>
      <w:r w:rsidR="00DA02A4" w:rsidRPr="00867380">
        <w:rPr>
          <w:szCs w:val="26"/>
        </w:rPr>
        <w:t xml:space="preserve">tion of </w:t>
      </w:r>
      <w:r w:rsidR="009E7895" w:rsidRPr="00867380">
        <w:rPr>
          <w:szCs w:val="26"/>
        </w:rPr>
        <w:t xml:space="preserve">sexual assault crimes </w:t>
      </w:r>
      <w:r w:rsidR="0061566B" w:rsidRPr="00867380">
        <w:rPr>
          <w:szCs w:val="26"/>
        </w:rPr>
        <w:t xml:space="preserve">by making corresponding </w:t>
      </w:r>
      <w:r w:rsidR="006F2829" w:rsidRPr="00867380">
        <w:rPr>
          <w:szCs w:val="26"/>
        </w:rPr>
        <w:t xml:space="preserve">reforms </w:t>
      </w:r>
      <w:r w:rsidR="0061566B" w:rsidRPr="00867380">
        <w:rPr>
          <w:szCs w:val="26"/>
        </w:rPr>
        <w:t xml:space="preserve">to the </w:t>
      </w:r>
      <w:r w:rsidR="00750E24" w:rsidRPr="00867380">
        <w:rPr>
          <w:szCs w:val="26"/>
        </w:rPr>
        <w:t>Evidence Code</w:t>
      </w:r>
      <w:r w:rsidR="005F3A48" w:rsidRPr="00867380">
        <w:rPr>
          <w:szCs w:val="26"/>
        </w:rPr>
        <w:t xml:space="preserve">’s treatment of </w:t>
      </w:r>
      <w:r w:rsidR="005F3A48" w:rsidRPr="00867380">
        <w:rPr>
          <w:i/>
          <w:iCs/>
          <w:szCs w:val="26"/>
        </w:rPr>
        <w:t>civil</w:t>
      </w:r>
      <w:r w:rsidR="005F3A48" w:rsidRPr="00867380">
        <w:rPr>
          <w:szCs w:val="26"/>
        </w:rPr>
        <w:t xml:space="preserve"> </w:t>
      </w:r>
      <w:r w:rsidR="00A02476" w:rsidRPr="00867380">
        <w:rPr>
          <w:szCs w:val="26"/>
        </w:rPr>
        <w:t xml:space="preserve">suits for </w:t>
      </w:r>
      <w:r w:rsidR="002E7287" w:rsidRPr="00867380">
        <w:rPr>
          <w:szCs w:val="26"/>
        </w:rPr>
        <w:t>sexual assault</w:t>
      </w:r>
      <w:r w:rsidR="00F34825" w:rsidRPr="00867380">
        <w:rPr>
          <w:szCs w:val="26"/>
        </w:rPr>
        <w:t xml:space="preserve"> or </w:t>
      </w:r>
      <w:r w:rsidR="00CF47CD" w:rsidRPr="00867380">
        <w:rPr>
          <w:szCs w:val="26"/>
        </w:rPr>
        <w:t>harassment</w:t>
      </w:r>
      <w:r w:rsidR="002E7287" w:rsidRPr="00867380">
        <w:rPr>
          <w:szCs w:val="26"/>
        </w:rPr>
        <w:t xml:space="preserve">.  </w:t>
      </w:r>
    </w:p>
    <w:p w14:paraId="0DB2E7C9" w14:textId="77777777" w:rsidR="00A72571" w:rsidRPr="00867380" w:rsidRDefault="002E6832" w:rsidP="00867380">
      <w:pPr>
        <w:ind w:firstLine="720"/>
        <w:rPr>
          <w:szCs w:val="26"/>
        </w:rPr>
      </w:pPr>
      <w:r w:rsidRPr="00867380">
        <w:rPr>
          <w:szCs w:val="26"/>
        </w:rPr>
        <w:t xml:space="preserve">Early </w:t>
      </w:r>
      <w:r w:rsidR="009032A1" w:rsidRPr="00867380">
        <w:rPr>
          <w:szCs w:val="26"/>
        </w:rPr>
        <w:t xml:space="preserve">California </w:t>
      </w:r>
      <w:r w:rsidR="00135A79" w:rsidRPr="00867380">
        <w:rPr>
          <w:szCs w:val="26"/>
        </w:rPr>
        <w:t xml:space="preserve">statutes and </w:t>
      </w:r>
      <w:r w:rsidRPr="00867380">
        <w:rPr>
          <w:szCs w:val="26"/>
        </w:rPr>
        <w:t>decisions</w:t>
      </w:r>
      <w:r w:rsidR="00285761" w:rsidRPr="00867380">
        <w:rPr>
          <w:szCs w:val="26"/>
        </w:rPr>
        <w:t xml:space="preserve"> concerning criminal prosecutions for rape</w:t>
      </w:r>
      <w:r w:rsidR="003974DF" w:rsidRPr="00867380">
        <w:rPr>
          <w:szCs w:val="26"/>
        </w:rPr>
        <w:t xml:space="preserve"> </w:t>
      </w:r>
      <w:r w:rsidR="00D10F88" w:rsidRPr="00867380">
        <w:rPr>
          <w:szCs w:val="26"/>
        </w:rPr>
        <w:t xml:space="preserve">evinced </w:t>
      </w:r>
      <w:r w:rsidR="003B59DC" w:rsidRPr="00867380">
        <w:rPr>
          <w:szCs w:val="26"/>
        </w:rPr>
        <w:t>considerable solicitude toward the accused</w:t>
      </w:r>
      <w:r w:rsidR="00B52191" w:rsidRPr="00867380">
        <w:rPr>
          <w:szCs w:val="26"/>
        </w:rPr>
        <w:t xml:space="preserve"> </w:t>
      </w:r>
      <w:r w:rsidR="003B59DC" w:rsidRPr="00867380">
        <w:rPr>
          <w:szCs w:val="26"/>
        </w:rPr>
        <w:t xml:space="preserve">and skepticism </w:t>
      </w:r>
      <w:r w:rsidR="001C1941" w:rsidRPr="00867380">
        <w:rPr>
          <w:szCs w:val="26"/>
        </w:rPr>
        <w:t xml:space="preserve">regarding </w:t>
      </w:r>
      <w:r w:rsidR="006D6E62" w:rsidRPr="00867380">
        <w:rPr>
          <w:szCs w:val="26"/>
        </w:rPr>
        <w:t>the alleged victim.</w:t>
      </w:r>
      <w:r>
        <w:rPr>
          <w:rStyle w:val="FootnoteReference"/>
          <w:bCs/>
          <w:szCs w:val="26"/>
        </w:rPr>
        <w:footnoteReference w:id="4"/>
      </w:r>
      <w:r w:rsidR="006D6E62" w:rsidRPr="00867380">
        <w:rPr>
          <w:szCs w:val="26"/>
        </w:rPr>
        <w:t xml:space="preserve">  </w:t>
      </w:r>
      <w:r w:rsidR="00F3089A" w:rsidRPr="00867380">
        <w:rPr>
          <w:szCs w:val="26"/>
        </w:rPr>
        <w:t xml:space="preserve">Relatedly, </w:t>
      </w:r>
      <w:r w:rsidR="00414BB3" w:rsidRPr="00867380">
        <w:rPr>
          <w:szCs w:val="26"/>
        </w:rPr>
        <w:t>c</w:t>
      </w:r>
      <w:r w:rsidR="00DC1D71" w:rsidRPr="00867380">
        <w:rPr>
          <w:szCs w:val="26"/>
        </w:rPr>
        <w:t>ourt</w:t>
      </w:r>
      <w:r w:rsidR="00414BB3" w:rsidRPr="00867380">
        <w:rPr>
          <w:szCs w:val="26"/>
        </w:rPr>
        <w:t>s</w:t>
      </w:r>
      <w:r w:rsidR="00541CD8" w:rsidRPr="00867380">
        <w:rPr>
          <w:szCs w:val="26"/>
        </w:rPr>
        <w:t xml:space="preserve"> permitted de</w:t>
      </w:r>
      <w:r w:rsidR="000A5549" w:rsidRPr="00867380">
        <w:rPr>
          <w:szCs w:val="26"/>
        </w:rPr>
        <w:t>fendants</w:t>
      </w:r>
      <w:r w:rsidR="00D32C6B" w:rsidRPr="00867380">
        <w:rPr>
          <w:szCs w:val="26"/>
        </w:rPr>
        <w:t xml:space="preserve"> </w:t>
      </w:r>
      <w:r w:rsidR="00541CD8" w:rsidRPr="00867380">
        <w:rPr>
          <w:szCs w:val="26"/>
        </w:rPr>
        <w:t>to</w:t>
      </w:r>
      <w:r w:rsidR="000A5549" w:rsidRPr="00867380">
        <w:rPr>
          <w:szCs w:val="26"/>
        </w:rPr>
        <w:t xml:space="preserve"> present evidence of a rape victim’s past sexual history </w:t>
      </w:r>
      <w:r w:rsidR="00BD2585" w:rsidRPr="00867380">
        <w:rPr>
          <w:szCs w:val="26"/>
        </w:rPr>
        <w:t>to</w:t>
      </w:r>
      <w:r w:rsidR="000A5549" w:rsidRPr="00867380">
        <w:rPr>
          <w:szCs w:val="26"/>
        </w:rPr>
        <w:t xml:space="preserve"> refute </w:t>
      </w:r>
      <w:r w:rsidR="00CA0C74" w:rsidRPr="00867380">
        <w:rPr>
          <w:szCs w:val="26"/>
        </w:rPr>
        <w:t xml:space="preserve">the prosecution’s </w:t>
      </w:r>
      <w:r w:rsidR="00414BB3" w:rsidRPr="00867380">
        <w:rPr>
          <w:szCs w:val="26"/>
        </w:rPr>
        <w:t xml:space="preserve">charge </w:t>
      </w:r>
      <w:r w:rsidR="000A5549" w:rsidRPr="00867380">
        <w:rPr>
          <w:szCs w:val="26"/>
        </w:rPr>
        <w:t xml:space="preserve">that </w:t>
      </w:r>
      <w:r w:rsidR="00414BB3" w:rsidRPr="00867380">
        <w:rPr>
          <w:szCs w:val="26"/>
        </w:rPr>
        <w:t xml:space="preserve">a </w:t>
      </w:r>
      <w:r w:rsidR="000A5549" w:rsidRPr="00867380">
        <w:rPr>
          <w:szCs w:val="26"/>
        </w:rPr>
        <w:t>sexual act was nonconsensual.</w:t>
      </w:r>
      <w:r>
        <w:rPr>
          <w:rStyle w:val="FootnoteReference"/>
          <w:bCs/>
          <w:szCs w:val="26"/>
        </w:rPr>
        <w:footnoteReference w:id="5"/>
      </w:r>
      <w:r w:rsidR="005814A8" w:rsidRPr="00867380">
        <w:rPr>
          <w:szCs w:val="26"/>
        </w:rPr>
        <w:t xml:space="preserve"> </w:t>
      </w:r>
      <w:r w:rsidR="000A5549" w:rsidRPr="00867380">
        <w:rPr>
          <w:szCs w:val="26"/>
        </w:rPr>
        <w:t xml:space="preserve"> </w:t>
      </w:r>
    </w:p>
    <w:p w14:paraId="0DB2E7CA" w14:textId="77777777" w:rsidR="006E055D" w:rsidRPr="00867380" w:rsidRDefault="002E6832" w:rsidP="00867380">
      <w:pPr>
        <w:ind w:firstLine="720"/>
        <w:rPr>
          <w:szCs w:val="26"/>
        </w:rPr>
      </w:pPr>
      <w:r w:rsidRPr="00867380">
        <w:rPr>
          <w:szCs w:val="26"/>
        </w:rPr>
        <w:lastRenderedPageBreak/>
        <w:t>I</w:t>
      </w:r>
      <w:r w:rsidR="00D31FE9" w:rsidRPr="00867380">
        <w:rPr>
          <w:szCs w:val="26"/>
        </w:rPr>
        <w:t xml:space="preserve">n 1981, </w:t>
      </w:r>
      <w:r w:rsidR="0062738B" w:rsidRPr="00867380">
        <w:rPr>
          <w:szCs w:val="26"/>
        </w:rPr>
        <w:t>our Legislature</w:t>
      </w:r>
      <w:r w:rsidR="005F66C5" w:rsidRPr="00867380">
        <w:rPr>
          <w:szCs w:val="26"/>
        </w:rPr>
        <w:t xml:space="preserve">, apparently </w:t>
      </w:r>
      <w:r w:rsidR="00123905" w:rsidRPr="00867380">
        <w:rPr>
          <w:szCs w:val="26"/>
        </w:rPr>
        <w:t xml:space="preserve">spurred by </w:t>
      </w:r>
      <w:r w:rsidR="00F12B33" w:rsidRPr="00867380">
        <w:rPr>
          <w:szCs w:val="26"/>
        </w:rPr>
        <w:t>then-</w:t>
      </w:r>
      <w:r w:rsidR="00EC6CF3" w:rsidRPr="00867380">
        <w:rPr>
          <w:szCs w:val="26"/>
        </w:rPr>
        <w:t>recent</w:t>
      </w:r>
      <w:r w:rsidR="00AC1F41" w:rsidRPr="00867380">
        <w:rPr>
          <w:szCs w:val="26"/>
        </w:rPr>
        <w:t xml:space="preserve"> corresponding</w:t>
      </w:r>
      <w:r w:rsidR="00EC6CF3" w:rsidRPr="00867380">
        <w:rPr>
          <w:szCs w:val="26"/>
        </w:rPr>
        <w:t xml:space="preserve"> </w:t>
      </w:r>
      <w:r w:rsidR="00E13554" w:rsidRPr="00867380">
        <w:rPr>
          <w:szCs w:val="26"/>
        </w:rPr>
        <w:t>federal reforms</w:t>
      </w:r>
      <w:r w:rsidR="00302235" w:rsidRPr="00867380">
        <w:rPr>
          <w:szCs w:val="26"/>
        </w:rPr>
        <w:t>,</w:t>
      </w:r>
      <w:r>
        <w:rPr>
          <w:rStyle w:val="FootnoteReference"/>
          <w:bCs/>
          <w:szCs w:val="26"/>
        </w:rPr>
        <w:footnoteReference w:id="6"/>
      </w:r>
      <w:r w:rsidR="00FB090F" w:rsidRPr="00867380">
        <w:rPr>
          <w:szCs w:val="26"/>
        </w:rPr>
        <w:t xml:space="preserve"> </w:t>
      </w:r>
      <w:r w:rsidR="00992B1F" w:rsidRPr="00867380">
        <w:rPr>
          <w:szCs w:val="26"/>
        </w:rPr>
        <w:t>amend</w:t>
      </w:r>
      <w:r w:rsidR="002126AF" w:rsidRPr="00867380">
        <w:rPr>
          <w:szCs w:val="26"/>
        </w:rPr>
        <w:t xml:space="preserve">ed </w:t>
      </w:r>
      <w:r w:rsidR="00992B1F" w:rsidRPr="00867380">
        <w:rPr>
          <w:szCs w:val="26"/>
        </w:rPr>
        <w:t>section</w:t>
      </w:r>
      <w:r w:rsidR="00284312" w:rsidRPr="00867380">
        <w:rPr>
          <w:szCs w:val="26"/>
        </w:rPr>
        <w:t>s</w:t>
      </w:r>
      <w:r w:rsidR="00992B1F" w:rsidRPr="00867380">
        <w:rPr>
          <w:szCs w:val="26"/>
        </w:rPr>
        <w:t xml:space="preserve"> 1103</w:t>
      </w:r>
      <w:r w:rsidR="004C0E42" w:rsidRPr="00867380">
        <w:rPr>
          <w:szCs w:val="26"/>
        </w:rPr>
        <w:t xml:space="preserve"> and </w:t>
      </w:r>
      <w:r w:rsidR="00284312" w:rsidRPr="00867380">
        <w:rPr>
          <w:szCs w:val="26"/>
        </w:rPr>
        <w:t>7</w:t>
      </w:r>
      <w:r w:rsidR="002358A3" w:rsidRPr="00867380">
        <w:rPr>
          <w:szCs w:val="26"/>
        </w:rPr>
        <w:t>8</w:t>
      </w:r>
      <w:r w:rsidR="00284312" w:rsidRPr="00867380">
        <w:rPr>
          <w:szCs w:val="26"/>
        </w:rPr>
        <w:t xml:space="preserve">2 to </w:t>
      </w:r>
      <w:r w:rsidR="009B4AC7" w:rsidRPr="00867380">
        <w:rPr>
          <w:szCs w:val="26"/>
        </w:rPr>
        <w:t xml:space="preserve">restrict the ability of a </w:t>
      </w:r>
      <w:r w:rsidR="009B4AC7" w:rsidRPr="00867380">
        <w:rPr>
          <w:i/>
          <w:iCs/>
          <w:szCs w:val="26"/>
        </w:rPr>
        <w:t>criminal</w:t>
      </w:r>
      <w:r w:rsidR="009B4AC7" w:rsidRPr="00867380">
        <w:rPr>
          <w:szCs w:val="26"/>
        </w:rPr>
        <w:t xml:space="preserve"> </w:t>
      </w:r>
      <w:r w:rsidR="00871354" w:rsidRPr="00867380">
        <w:rPr>
          <w:szCs w:val="26"/>
        </w:rPr>
        <w:t xml:space="preserve">defendant to present evidence of a </w:t>
      </w:r>
      <w:r w:rsidR="009B4AC7" w:rsidRPr="00867380">
        <w:rPr>
          <w:szCs w:val="26"/>
        </w:rPr>
        <w:t xml:space="preserve">sexual assault </w:t>
      </w:r>
      <w:r w:rsidR="00871354" w:rsidRPr="00867380">
        <w:rPr>
          <w:szCs w:val="26"/>
        </w:rPr>
        <w:t>victim’s past sexual history</w:t>
      </w:r>
      <w:r w:rsidR="00905C9E" w:rsidRPr="00867380">
        <w:rPr>
          <w:szCs w:val="26"/>
        </w:rPr>
        <w:t>.</w:t>
      </w:r>
      <w:r w:rsidR="008047C8" w:rsidRPr="00867380">
        <w:rPr>
          <w:szCs w:val="26"/>
        </w:rPr>
        <w:t xml:space="preserve"> </w:t>
      </w:r>
      <w:r w:rsidR="00D12A5B" w:rsidRPr="00867380">
        <w:rPr>
          <w:szCs w:val="26"/>
        </w:rPr>
        <w:t xml:space="preserve"> </w:t>
      </w:r>
      <w:r w:rsidR="00ED3A9F" w:rsidRPr="00867380">
        <w:rPr>
          <w:szCs w:val="26"/>
        </w:rPr>
        <w:t>(Stats.</w:t>
      </w:r>
      <w:r w:rsidR="00CD10CC" w:rsidRPr="00867380">
        <w:rPr>
          <w:szCs w:val="26"/>
        </w:rPr>
        <w:t xml:space="preserve"> </w:t>
      </w:r>
      <w:r w:rsidR="00ED3A9F" w:rsidRPr="00867380">
        <w:rPr>
          <w:szCs w:val="26"/>
        </w:rPr>
        <w:t>1981, ch. 726</w:t>
      </w:r>
      <w:r w:rsidR="00393336" w:rsidRPr="00867380">
        <w:rPr>
          <w:szCs w:val="26"/>
        </w:rPr>
        <w:t xml:space="preserve">, </w:t>
      </w:r>
      <w:r w:rsidR="00DB27CD">
        <w:rPr>
          <w:szCs w:val="26"/>
        </w:rPr>
        <w:t xml:space="preserve">§§ 1–2, </w:t>
      </w:r>
      <w:r w:rsidR="006C51A4" w:rsidRPr="00867380">
        <w:rPr>
          <w:szCs w:val="26"/>
        </w:rPr>
        <w:t>p</w:t>
      </w:r>
      <w:r w:rsidR="00393336" w:rsidRPr="00867380">
        <w:rPr>
          <w:szCs w:val="26"/>
        </w:rPr>
        <w:t xml:space="preserve">p. </w:t>
      </w:r>
      <w:r w:rsidR="00E4148F" w:rsidRPr="00867380">
        <w:rPr>
          <w:szCs w:val="26"/>
        </w:rPr>
        <w:t>2875</w:t>
      </w:r>
      <w:r w:rsidR="000A1EFD" w:rsidRPr="00867380">
        <w:rPr>
          <w:szCs w:val="26"/>
        </w:rPr>
        <w:t>–2877</w:t>
      </w:r>
      <w:r w:rsidR="00E4148F" w:rsidRPr="00867380">
        <w:rPr>
          <w:szCs w:val="26"/>
        </w:rPr>
        <w:t>;</w:t>
      </w:r>
      <w:r w:rsidR="00393336" w:rsidRPr="00867380">
        <w:rPr>
          <w:szCs w:val="26"/>
        </w:rPr>
        <w:t xml:space="preserve"> </w:t>
      </w:r>
      <w:r w:rsidR="00F14E41" w:rsidRPr="00867380">
        <w:rPr>
          <w:szCs w:val="26"/>
        </w:rPr>
        <w:t xml:space="preserve">see generally </w:t>
      </w:r>
      <w:r w:rsidR="00F54590" w:rsidRPr="00867380">
        <w:rPr>
          <w:i/>
          <w:iCs/>
          <w:szCs w:val="26"/>
        </w:rPr>
        <w:t>People v. Fontana</w:t>
      </w:r>
      <w:r w:rsidR="00F54590" w:rsidRPr="00867380">
        <w:rPr>
          <w:szCs w:val="26"/>
        </w:rPr>
        <w:t xml:space="preserve"> (2010) 49 Cal.4th </w:t>
      </w:r>
      <w:r w:rsidR="00B50049" w:rsidRPr="00867380">
        <w:rPr>
          <w:szCs w:val="26"/>
        </w:rPr>
        <w:t xml:space="preserve">351, </w:t>
      </w:r>
      <w:r w:rsidR="00427E88" w:rsidRPr="00867380">
        <w:rPr>
          <w:szCs w:val="26"/>
        </w:rPr>
        <w:t>362</w:t>
      </w:r>
      <w:r w:rsidR="004E375C" w:rsidRPr="00867380">
        <w:rPr>
          <w:szCs w:val="26"/>
        </w:rPr>
        <w:t xml:space="preserve"> </w:t>
      </w:r>
      <w:r w:rsidR="00D53367" w:rsidRPr="00867380">
        <w:rPr>
          <w:szCs w:val="26"/>
        </w:rPr>
        <w:t>(</w:t>
      </w:r>
      <w:r w:rsidR="00D53367" w:rsidRPr="00867380">
        <w:rPr>
          <w:i/>
          <w:iCs/>
          <w:szCs w:val="26"/>
        </w:rPr>
        <w:t>Fontana</w:t>
      </w:r>
      <w:r w:rsidR="00D53367" w:rsidRPr="00867380">
        <w:rPr>
          <w:szCs w:val="26"/>
        </w:rPr>
        <w:t xml:space="preserve">) </w:t>
      </w:r>
      <w:r w:rsidR="004E375C" w:rsidRPr="00867380">
        <w:rPr>
          <w:szCs w:val="26"/>
        </w:rPr>
        <w:t>[</w:t>
      </w:r>
      <w:r w:rsidR="004E2935" w:rsidRPr="00867380">
        <w:rPr>
          <w:szCs w:val="26"/>
        </w:rPr>
        <w:t>“</w:t>
      </w:r>
      <w:r w:rsidR="00C301D3" w:rsidRPr="00867380">
        <w:rPr>
          <w:szCs w:val="26"/>
        </w:rPr>
        <w:t>The Legislature’s purpose in crafting these limitations is manifest and represents a valid determination that victims of sex-related offenses deserve heightened protection against surprise, harassment, and unnecessary invasions of privacy</w:t>
      </w:r>
      <w:r w:rsidR="007B2C6C" w:rsidRPr="00867380">
        <w:rPr>
          <w:szCs w:val="26"/>
        </w:rPr>
        <w:t>”]</w:t>
      </w:r>
      <w:r w:rsidR="00652D8B" w:rsidRPr="00867380">
        <w:rPr>
          <w:szCs w:val="26"/>
        </w:rPr>
        <w:t>.</w:t>
      </w:r>
      <w:r w:rsidR="00CD10CC" w:rsidRPr="00867380">
        <w:rPr>
          <w:szCs w:val="26"/>
        </w:rPr>
        <w:t xml:space="preserve">)  </w:t>
      </w:r>
      <w:r w:rsidR="008047C8" w:rsidRPr="00867380">
        <w:rPr>
          <w:szCs w:val="26"/>
        </w:rPr>
        <w:t xml:space="preserve">Under section </w:t>
      </w:r>
      <w:r w:rsidR="00312DA9" w:rsidRPr="00867380">
        <w:rPr>
          <w:szCs w:val="26"/>
        </w:rPr>
        <w:t xml:space="preserve">1103 as amended, </w:t>
      </w:r>
      <w:r w:rsidR="00FE28AD" w:rsidRPr="00867380">
        <w:rPr>
          <w:szCs w:val="26"/>
        </w:rPr>
        <w:t>evidence</w:t>
      </w:r>
      <w:r w:rsidR="00D31BDC" w:rsidRPr="00867380">
        <w:rPr>
          <w:szCs w:val="26"/>
        </w:rPr>
        <w:t xml:space="preserve"> of “</w:t>
      </w:r>
      <w:r w:rsidR="00FE28AD" w:rsidRPr="00867380">
        <w:rPr>
          <w:szCs w:val="26"/>
        </w:rPr>
        <w:t>the complaining witness</w:t>
      </w:r>
      <w:r w:rsidR="00D31BDC" w:rsidRPr="00867380">
        <w:rPr>
          <w:szCs w:val="26"/>
        </w:rPr>
        <w:t>’</w:t>
      </w:r>
      <w:r w:rsidR="003006E7" w:rsidRPr="00867380">
        <w:rPr>
          <w:szCs w:val="26"/>
        </w:rPr>
        <w:t xml:space="preserve"> </w:t>
      </w:r>
      <w:r w:rsidR="00FE28AD" w:rsidRPr="00867380">
        <w:rPr>
          <w:szCs w:val="26"/>
        </w:rPr>
        <w:t>sexual conduct</w:t>
      </w:r>
      <w:r w:rsidR="00867380">
        <w:rPr>
          <w:szCs w:val="26"/>
        </w:rPr>
        <w:t> </w:t>
      </w:r>
      <w:r w:rsidR="008B7396" w:rsidRPr="00867380">
        <w:rPr>
          <w:szCs w:val="26"/>
        </w:rPr>
        <w:t>. . .</w:t>
      </w:r>
      <w:r w:rsidR="00FE28AD" w:rsidRPr="00867380">
        <w:rPr>
          <w:szCs w:val="26"/>
        </w:rPr>
        <w:t xml:space="preserve"> is not admissible by the defendant in order to prove consent by the complaining witness.”</w:t>
      </w:r>
      <w:r w:rsidR="008B7396" w:rsidRPr="00867380">
        <w:rPr>
          <w:szCs w:val="26"/>
        </w:rPr>
        <w:t xml:space="preserve">  (</w:t>
      </w:r>
      <w:r w:rsidR="0047306D" w:rsidRPr="00867380">
        <w:rPr>
          <w:szCs w:val="26"/>
        </w:rPr>
        <w:t>§</w:t>
      </w:r>
      <w:r w:rsidR="003F43AB" w:rsidRPr="00867380">
        <w:rPr>
          <w:szCs w:val="26"/>
        </w:rPr>
        <w:t> </w:t>
      </w:r>
      <w:r w:rsidR="0047306D" w:rsidRPr="00867380">
        <w:rPr>
          <w:szCs w:val="26"/>
        </w:rPr>
        <w:t xml:space="preserve">1103, </w:t>
      </w:r>
      <w:r w:rsidR="00CA221F" w:rsidRPr="00867380">
        <w:rPr>
          <w:szCs w:val="26"/>
        </w:rPr>
        <w:t xml:space="preserve">former </w:t>
      </w:r>
      <w:r w:rsidR="008B7396" w:rsidRPr="00867380">
        <w:rPr>
          <w:szCs w:val="26"/>
        </w:rPr>
        <w:t>subd.</w:t>
      </w:r>
      <w:r w:rsidR="00867380">
        <w:rPr>
          <w:szCs w:val="26"/>
        </w:rPr>
        <w:t> </w:t>
      </w:r>
      <w:r w:rsidR="00761AF9" w:rsidRPr="00867380">
        <w:rPr>
          <w:szCs w:val="26"/>
        </w:rPr>
        <w:t>(</w:t>
      </w:r>
      <w:r w:rsidR="007270A5" w:rsidRPr="00867380">
        <w:rPr>
          <w:szCs w:val="26"/>
        </w:rPr>
        <w:t>b</w:t>
      </w:r>
      <w:r w:rsidR="00761AF9" w:rsidRPr="00867380">
        <w:rPr>
          <w:szCs w:val="26"/>
        </w:rPr>
        <w:t>)(</w:t>
      </w:r>
      <w:r w:rsidR="00605737" w:rsidRPr="00867380">
        <w:rPr>
          <w:szCs w:val="26"/>
        </w:rPr>
        <w:t>1</w:t>
      </w:r>
      <w:r w:rsidR="00761AF9" w:rsidRPr="00867380">
        <w:rPr>
          <w:szCs w:val="26"/>
        </w:rPr>
        <w:t>)</w:t>
      </w:r>
      <w:r w:rsidR="003A12AB" w:rsidRPr="00867380">
        <w:rPr>
          <w:szCs w:val="26"/>
        </w:rPr>
        <w:t>, renumbered</w:t>
      </w:r>
      <w:r w:rsidR="00CA221F" w:rsidRPr="00867380">
        <w:rPr>
          <w:szCs w:val="26"/>
        </w:rPr>
        <w:t xml:space="preserve"> </w:t>
      </w:r>
      <w:r w:rsidR="00B272AD" w:rsidRPr="00867380">
        <w:rPr>
          <w:szCs w:val="26"/>
        </w:rPr>
        <w:t>as</w:t>
      </w:r>
      <w:r w:rsidR="00D81E69">
        <w:rPr>
          <w:szCs w:val="26"/>
        </w:rPr>
        <w:t xml:space="preserve"> § 1103,</w:t>
      </w:r>
      <w:r w:rsidR="00B272AD" w:rsidRPr="00867380">
        <w:rPr>
          <w:szCs w:val="26"/>
        </w:rPr>
        <w:t xml:space="preserve"> subd. (c)(</w:t>
      </w:r>
      <w:r w:rsidR="00607FF7" w:rsidRPr="00867380">
        <w:rPr>
          <w:szCs w:val="26"/>
        </w:rPr>
        <w:t>1</w:t>
      </w:r>
      <w:r w:rsidR="00B272AD" w:rsidRPr="00867380">
        <w:rPr>
          <w:szCs w:val="26"/>
        </w:rPr>
        <w:t>)</w:t>
      </w:r>
      <w:r w:rsidR="00761AF9" w:rsidRPr="00867380">
        <w:rPr>
          <w:szCs w:val="26"/>
        </w:rPr>
        <w:t xml:space="preserve">.)  And yet the </w:t>
      </w:r>
      <w:r w:rsidR="000C5DF0" w:rsidRPr="00867380">
        <w:rPr>
          <w:szCs w:val="26"/>
        </w:rPr>
        <w:lastRenderedPageBreak/>
        <w:t xml:space="preserve">amended statute provided an exception:  </w:t>
      </w:r>
      <w:r w:rsidR="000B78BE" w:rsidRPr="00867380">
        <w:rPr>
          <w:szCs w:val="26"/>
        </w:rPr>
        <w:t xml:space="preserve">“This </w:t>
      </w:r>
      <w:r w:rsidR="00FE28AD" w:rsidRPr="00867380">
        <w:rPr>
          <w:szCs w:val="26"/>
        </w:rPr>
        <w:t>subdivision</w:t>
      </w:r>
      <w:r w:rsidR="007C055A" w:rsidRPr="00867380">
        <w:rPr>
          <w:szCs w:val="26"/>
        </w:rPr>
        <w:t xml:space="preserve"> does not </w:t>
      </w:r>
      <w:r w:rsidR="00FE28AD" w:rsidRPr="00867380">
        <w:rPr>
          <w:szCs w:val="26"/>
        </w:rPr>
        <w:t>make inadmissible any evidence offered to attack the credibility of the complaining witness as provided in</w:t>
      </w:r>
      <w:r w:rsidR="007C055A" w:rsidRPr="00867380">
        <w:rPr>
          <w:szCs w:val="26"/>
        </w:rPr>
        <w:t xml:space="preserve"> Section</w:t>
      </w:r>
      <w:r w:rsidR="00867380">
        <w:rPr>
          <w:szCs w:val="26"/>
        </w:rPr>
        <w:t> </w:t>
      </w:r>
      <w:r w:rsidR="007C055A" w:rsidRPr="00867380">
        <w:rPr>
          <w:szCs w:val="26"/>
        </w:rPr>
        <w:t xml:space="preserve">782.”  </w:t>
      </w:r>
      <w:r w:rsidR="00A4075A" w:rsidRPr="00867380">
        <w:rPr>
          <w:szCs w:val="26"/>
        </w:rPr>
        <w:t>(</w:t>
      </w:r>
      <w:r w:rsidR="00D47845" w:rsidRPr="00867380">
        <w:rPr>
          <w:i/>
          <w:iCs/>
          <w:szCs w:val="26"/>
        </w:rPr>
        <w:t>Id</w:t>
      </w:r>
      <w:r w:rsidR="00D47845" w:rsidRPr="00867380">
        <w:rPr>
          <w:szCs w:val="26"/>
        </w:rPr>
        <w:t xml:space="preserve">., </w:t>
      </w:r>
      <w:r w:rsidR="004F1872" w:rsidRPr="00867380">
        <w:rPr>
          <w:szCs w:val="26"/>
        </w:rPr>
        <w:t xml:space="preserve">former </w:t>
      </w:r>
      <w:r w:rsidR="00D47845" w:rsidRPr="00867380">
        <w:rPr>
          <w:szCs w:val="26"/>
        </w:rPr>
        <w:t>subd. (</w:t>
      </w:r>
      <w:r w:rsidR="004F1872" w:rsidRPr="00867380">
        <w:rPr>
          <w:szCs w:val="26"/>
        </w:rPr>
        <w:t>b</w:t>
      </w:r>
      <w:r w:rsidR="00D47845" w:rsidRPr="00867380">
        <w:rPr>
          <w:szCs w:val="26"/>
        </w:rPr>
        <w:t>)(</w:t>
      </w:r>
      <w:r w:rsidR="009F4AB0" w:rsidRPr="00867380">
        <w:rPr>
          <w:szCs w:val="26"/>
        </w:rPr>
        <w:t>4)</w:t>
      </w:r>
      <w:r w:rsidR="00D81E69">
        <w:rPr>
          <w:szCs w:val="26"/>
        </w:rPr>
        <w:t>,</w:t>
      </w:r>
      <w:r w:rsidR="00225B1F">
        <w:rPr>
          <w:szCs w:val="26"/>
        </w:rPr>
        <w:t xml:space="preserve"> </w:t>
      </w:r>
      <w:r w:rsidR="009F4AB0" w:rsidRPr="00867380">
        <w:rPr>
          <w:szCs w:val="26"/>
        </w:rPr>
        <w:t>renumbered</w:t>
      </w:r>
      <w:r w:rsidR="00D81E69">
        <w:rPr>
          <w:szCs w:val="26"/>
        </w:rPr>
        <w:t xml:space="preserve"> as § 1103,</w:t>
      </w:r>
      <w:r w:rsidR="009F4AB0" w:rsidRPr="00867380">
        <w:rPr>
          <w:szCs w:val="26"/>
        </w:rPr>
        <w:t xml:space="preserve"> subd. (c)(</w:t>
      </w:r>
      <w:r w:rsidR="00FB6AD6" w:rsidRPr="00867380">
        <w:rPr>
          <w:szCs w:val="26"/>
        </w:rPr>
        <w:t>5</w:t>
      </w:r>
      <w:r w:rsidR="009F4AB0" w:rsidRPr="00867380">
        <w:rPr>
          <w:szCs w:val="26"/>
        </w:rPr>
        <w:t>)</w:t>
      </w:r>
      <w:r w:rsidR="00D47845" w:rsidRPr="00867380">
        <w:rPr>
          <w:szCs w:val="26"/>
        </w:rPr>
        <w:t>.)</w:t>
      </w:r>
      <w:r w:rsidR="009045A7" w:rsidRPr="00867380">
        <w:rPr>
          <w:szCs w:val="26"/>
        </w:rPr>
        <w:t xml:space="preserve"> </w:t>
      </w:r>
      <w:r w:rsidR="00D47845" w:rsidRPr="00867380">
        <w:rPr>
          <w:szCs w:val="26"/>
        </w:rPr>
        <w:t xml:space="preserve"> </w:t>
      </w:r>
    </w:p>
    <w:p w14:paraId="0DB2E7CB" w14:textId="77777777" w:rsidR="00D47845" w:rsidRPr="00867380" w:rsidRDefault="002E6832" w:rsidP="00867380">
      <w:pPr>
        <w:ind w:firstLine="720"/>
        <w:rPr>
          <w:szCs w:val="26"/>
        </w:rPr>
      </w:pPr>
      <w:r w:rsidRPr="00867380">
        <w:rPr>
          <w:szCs w:val="26"/>
        </w:rPr>
        <w:t>Section 782</w:t>
      </w:r>
      <w:r w:rsidR="00D1126F" w:rsidRPr="00867380">
        <w:rPr>
          <w:szCs w:val="26"/>
        </w:rPr>
        <w:t>,</w:t>
      </w:r>
      <w:r w:rsidRPr="00867380">
        <w:rPr>
          <w:szCs w:val="26"/>
        </w:rPr>
        <w:t xml:space="preserve"> as </w:t>
      </w:r>
      <w:r w:rsidR="009F45DE" w:rsidRPr="00867380">
        <w:rPr>
          <w:szCs w:val="26"/>
        </w:rPr>
        <w:t xml:space="preserve">correspondingly </w:t>
      </w:r>
      <w:r w:rsidRPr="00867380">
        <w:rPr>
          <w:szCs w:val="26"/>
        </w:rPr>
        <w:t xml:space="preserve">amended </w:t>
      </w:r>
      <w:r w:rsidR="00160290" w:rsidRPr="00867380">
        <w:rPr>
          <w:szCs w:val="26"/>
        </w:rPr>
        <w:t>in 1981</w:t>
      </w:r>
      <w:r w:rsidR="003E4D6B" w:rsidRPr="00867380">
        <w:rPr>
          <w:szCs w:val="26"/>
        </w:rPr>
        <w:t xml:space="preserve">, </w:t>
      </w:r>
      <w:r w:rsidR="00DB60D9" w:rsidRPr="00867380">
        <w:rPr>
          <w:szCs w:val="26"/>
        </w:rPr>
        <w:t xml:space="preserve">in turn </w:t>
      </w:r>
      <w:r w:rsidR="00074900" w:rsidRPr="00867380">
        <w:rPr>
          <w:szCs w:val="26"/>
        </w:rPr>
        <w:t xml:space="preserve">establishes procedures </w:t>
      </w:r>
      <w:r w:rsidR="00A21A68" w:rsidRPr="00867380">
        <w:rPr>
          <w:szCs w:val="26"/>
        </w:rPr>
        <w:t xml:space="preserve">to be followed </w:t>
      </w:r>
      <w:r w:rsidR="0041741A" w:rsidRPr="00867380">
        <w:rPr>
          <w:szCs w:val="26"/>
        </w:rPr>
        <w:t xml:space="preserve">in criminal cases </w:t>
      </w:r>
      <w:r w:rsidR="00FB02B9" w:rsidRPr="00867380">
        <w:rPr>
          <w:szCs w:val="26"/>
        </w:rPr>
        <w:t xml:space="preserve">when </w:t>
      </w:r>
      <w:r w:rsidR="00074900" w:rsidRPr="00867380">
        <w:rPr>
          <w:szCs w:val="26"/>
        </w:rPr>
        <w:t>“evidence of sexual conduct of the complaining witness is offered to attack the credibility of the complaining witness</w:t>
      </w:r>
      <w:r w:rsidR="00DB60D9" w:rsidRPr="00867380">
        <w:rPr>
          <w:szCs w:val="26"/>
        </w:rPr>
        <w:t xml:space="preserve">.”  </w:t>
      </w:r>
      <w:r w:rsidR="00BB13BE" w:rsidRPr="00867380">
        <w:rPr>
          <w:szCs w:val="26"/>
        </w:rPr>
        <w:t>(</w:t>
      </w:r>
      <w:r w:rsidR="00BB13BE" w:rsidRPr="00867380">
        <w:rPr>
          <w:i/>
          <w:iCs/>
          <w:szCs w:val="26"/>
        </w:rPr>
        <w:t>Id</w:t>
      </w:r>
      <w:r w:rsidR="00BB13BE" w:rsidRPr="00867380">
        <w:rPr>
          <w:szCs w:val="26"/>
        </w:rPr>
        <w:t>.</w:t>
      </w:r>
      <w:r w:rsidR="00A16922" w:rsidRPr="00867380">
        <w:rPr>
          <w:szCs w:val="26"/>
        </w:rPr>
        <w:t>, subd.</w:t>
      </w:r>
      <w:r w:rsidR="006A7544">
        <w:rPr>
          <w:szCs w:val="26"/>
        </w:rPr>
        <w:t> </w:t>
      </w:r>
      <w:r w:rsidR="00A16922" w:rsidRPr="00867380">
        <w:rPr>
          <w:szCs w:val="26"/>
        </w:rPr>
        <w:t xml:space="preserve">(a).) </w:t>
      </w:r>
      <w:r w:rsidR="00BB13BE" w:rsidRPr="00867380">
        <w:rPr>
          <w:szCs w:val="26"/>
        </w:rPr>
        <w:t xml:space="preserve"> </w:t>
      </w:r>
      <w:r w:rsidR="002724E8" w:rsidRPr="00867380">
        <w:rPr>
          <w:szCs w:val="26"/>
        </w:rPr>
        <w:t xml:space="preserve">The </w:t>
      </w:r>
      <w:r w:rsidR="00C274A7" w:rsidRPr="00867380">
        <w:rPr>
          <w:szCs w:val="26"/>
        </w:rPr>
        <w:t xml:space="preserve">statute </w:t>
      </w:r>
      <w:r w:rsidR="002724E8" w:rsidRPr="00867380">
        <w:rPr>
          <w:szCs w:val="26"/>
        </w:rPr>
        <w:t xml:space="preserve">calls for </w:t>
      </w:r>
      <w:r w:rsidR="00E807B1" w:rsidRPr="00867380">
        <w:rPr>
          <w:szCs w:val="26"/>
        </w:rPr>
        <w:t>a wr</w:t>
      </w:r>
      <w:r w:rsidR="00C3606A" w:rsidRPr="00867380">
        <w:rPr>
          <w:szCs w:val="26"/>
        </w:rPr>
        <w:t xml:space="preserve">itten </w:t>
      </w:r>
      <w:r w:rsidR="000B7B15" w:rsidRPr="00867380">
        <w:rPr>
          <w:szCs w:val="26"/>
        </w:rPr>
        <w:t>motion</w:t>
      </w:r>
      <w:r w:rsidR="00784EBE" w:rsidRPr="00867380">
        <w:rPr>
          <w:szCs w:val="26"/>
        </w:rPr>
        <w:t>;</w:t>
      </w:r>
      <w:r w:rsidR="000B7B15" w:rsidRPr="00867380">
        <w:rPr>
          <w:szCs w:val="26"/>
        </w:rPr>
        <w:t xml:space="preserve"> </w:t>
      </w:r>
      <w:r w:rsidR="00191055" w:rsidRPr="00867380">
        <w:rPr>
          <w:szCs w:val="26"/>
        </w:rPr>
        <w:t xml:space="preserve">an affidavit </w:t>
      </w:r>
      <w:r w:rsidR="009E6391" w:rsidRPr="00867380">
        <w:rPr>
          <w:szCs w:val="26"/>
        </w:rPr>
        <w:t xml:space="preserve">filed under seal </w:t>
      </w:r>
      <w:r w:rsidR="004F6575" w:rsidRPr="00867380">
        <w:rPr>
          <w:szCs w:val="26"/>
        </w:rPr>
        <w:t xml:space="preserve">accompanied by an </w:t>
      </w:r>
      <w:r w:rsidR="00191055" w:rsidRPr="00867380">
        <w:rPr>
          <w:szCs w:val="26"/>
        </w:rPr>
        <w:t>offer of proof</w:t>
      </w:r>
      <w:r w:rsidR="00784EBE" w:rsidRPr="00867380">
        <w:rPr>
          <w:szCs w:val="26"/>
        </w:rPr>
        <w:t>;</w:t>
      </w:r>
      <w:r w:rsidR="00191055" w:rsidRPr="00867380">
        <w:rPr>
          <w:szCs w:val="26"/>
        </w:rPr>
        <w:t xml:space="preserve"> </w:t>
      </w:r>
      <w:r w:rsidR="006F1CC4" w:rsidRPr="00867380">
        <w:rPr>
          <w:szCs w:val="26"/>
        </w:rPr>
        <w:t xml:space="preserve">a hearing </w:t>
      </w:r>
      <w:r w:rsidR="002D53B0" w:rsidRPr="00867380">
        <w:rPr>
          <w:szCs w:val="26"/>
        </w:rPr>
        <w:t>outside the presence of any jury</w:t>
      </w:r>
      <w:r w:rsidR="00766D1E" w:rsidRPr="00867380">
        <w:rPr>
          <w:szCs w:val="26"/>
        </w:rPr>
        <w:t xml:space="preserve"> at which there may be </w:t>
      </w:r>
      <w:r w:rsidR="006B0548" w:rsidRPr="00867380">
        <w:rPr>
          <w:szCs w:val="26"/>
        </w:rPr>
        <w:t xml:space="preserve">questioning </w:t>
      </w:r>
      <w:r w:rsidR="00884313" w:rsidRPr="00867380">
        <w:rPr>
          <w:szCs w:val="26"/>
        </w:rPr>
        <w:t xml:space="preserve">of the </w:t>
      </w:r>
      <w:r w:rsidR="00241F9C" w:rsidRPr="00867380">
        <w:rPr>
          <w:szCs w:val="26"/>
        </w:rPr>
        <w:t>alleged crime victim</w:t>
      </w:r>
      <w:r w:rsidR="00784EBE" w:rsidRPr="00867380">
        <w:rPr>
          <w:szCs w:val="26"/>
        </w:rPr>
        <w:t>;</w:t>
      </w:r>
      <w:r w:rsidR="00884313" w:rsidRPr="00867380">
        <w:rPr>
          <w:szCs w:val="26"/>
        </w:rPr>
        <w:t xml:space="preserve"> </w:t>
      </w:r>
      <w:r w:rsidR="00766D1E" w:rsidRPr="00867380">
        <w:rPr>
          <w:szCs w:val="26"/>
        </w:rPr>
        <w:t xml:space="preserve">and finally, </w:t>
      </w:r>
      <w:r w:rsidR="00D51A78" w:rsidRPr="00867380">
        <w:rPr>
          <w:szCs w:val="26"/>
        </w:rPr>
        <w:t>an</w:t>
      </w:r>
      <w:r w:rsidR="00571AF0" w:rsidRPr="00867380">
        <w:rPr>
          <w:szCs w:val="26"/>
        </w:rPr>
        <w:t xml:space="preserve"> assessment of </w:t>
      </w:r>
      <w:r w:rsidR="00855514" w:rsidRPr="00867380">
        <w:rPr>
          <w:szCs w:val="26"/>
        </w:rPr>
        <w:t xml:space="preserve">admissibility under section </w:t>
      </w:r>
      <w:r w:rsidR="00F40FAE" w:rsidRPr="00867380">
        <w:rPr>
          <w:szCs w:val="26"/>
        </w:rPr>
        <w:t>352</w:t>
      </w:r>
      <w:r w:rsidR="000F5664" w:rsidRPr="00867380">
        <w:rPr>
          <w:szCs w:val="26"/>
        </w:rPr>
        <w:t xml:space="preserve">, </w:t>
      </w:r>
      <w:r w:rsidR="003168D5" w:rsidRPr="00867380">
        <w:rPr>
          <w:szCs w:val="26"/>
        </w:rPr>
        <w:t xml:space="preserve">followed by </w:t>
      </w:r>
      <w:r w:rsidR="000F5664" w:rsidRPr="00867380">
        <w:rPr>
          <w:szCs w:val="26"/>
        </w:rPr>
        <w:t>an order specify</w:t>
      </w:r>
      <w:r w:rsidR="0011282E" w:rsidRPr="00867380">
        <w:rPr>
          <w:szCs w:val="26"/>
        </w:rPr>
        <w:t>ing</w:t>
      </w:r>
      <w:r w:rsidR="000F5664" w:rsidRPr="00867380">
        <w:rPr>
          <w:szCs w:val="26"/>
        </w:rPr>
        <w:t xml:space="preserve"> what evidence may be</w:t>
      </w:r>
      <w:r w:rsidR="00BB3636" w:rsidRPr="00867380">
        <w:rPr>
          <w:szCs w:val="26"/>
        </w:rPr>
        <w:t xml:space="preserve"> introduced by the defendant and the nature of questions permitted</w:t>
      </w:r>
      <w:r w:rsidR="002724E8" w:rsidRPr="00867380">
        <w:rPr>
          <w:szCs w:val="26"/>
        </w:rPr>
        <w:t>.</w:t>
      </w:r>
      <w:r w:rsidR="005A29CD" w:rsidRPr="00867380">
        <w:rPr>
          <w:szCs w:val="26"/>
        </w:rPr>
        <w:t xml:space="preserve">  (</w:t>
      </w:r>
      <w:r w:rsidR="004B142B" w:rsidRPr="00867380">
        <w:rPr>
          <w:szCs w:val="26"/>
        </w:rPr>
        <w:t>§ 782</w:t>
      </w:r>
      <w:r w:rsidR="005A29CD" w:rsidRPr="00867380">
        <w:rPr>
          <w:szCs w:val="26"/>
        </w:rPr>
        <w:t xml:space="preserve">, </w:t>
      </w:r>
      <w:r w:rsidR="000C18CA" w:rsidRPr="00867380">
        <w:rPr>
          <w:szCs w:val="26"/>
        </w:rPr>
        <w:t>subd.</w:t>
      </w:r>
      <w:r w:rsidR="006A7544">
        <w:rPr>
          <w:szCs w:val="26"/>
        </w:rPr>
        <w:t> </w:t>
      </w:r>
      <w:r w:rsidR="000C18CA" w:rsidRPr="00867380">
        <w:rPr>
          <w:szCs w:val="26"/>
        </w:rPr>
        <w:t>(a)(1)–(</w:t>
      </w:r>
      <w:r w:rsidR="00A20588" w:rsidRPr="00867380">
        <w:rPr>
          <w:szCs w:val="26"/>
        </w:rPr>
        <w:t>4</w:t>
      </w:r>
      <w:r w:rsidR="004F746F" w:rsidRPr="00867380">
        <w:rPr>
          <w:szCs w:val="26"/>
        </w:rPr>
        <w:t>)</w:t>
      </w:r>
      <w:r w:rsidR="0004337D" w:rsidRPr="00867380">
        <w:rPr>
          <w:szCs w:val="26"/>
        </w:rPr>
        <w:t>.</w:t>
      </w:r>
      <w:r w:rsidR="00A20588" w:rsidRPr="00867380">
        <w:rPr>
          <w:szCs w:val="26"/>
        </w:rPr>
        <w:t>)</w:t>
      </w:r>
      <w:r w:rsidR="002724E8" w:rsidRPr="00867380">
        <w:rPr>
          <w:szCs w:val="26"/>
        </w:rPr>
        <w:t xml:space="preserve">  </w:t>
      </w:r>
    </w:p>
    <w:p w14:paraId="0DB2E7CC" w14:textId="77777777" w:rsidR="00104D06" w:rsidRPr="006A7544" w:rsidRDefault="002E6832" w:rsidP="00867380">
      <w:pPr>
        <w:ind w:firstLine="720"/>
        <w:rPr>
          <w:szCs w:val="26"/>
        </w:rPr>
      </w:pPr>
      <w:r w:rsidRPr="00867380">
        <w:rPr>
          <w:szCs w:val="26"/>
        </w:rPr>
        <w:t xml:space="preserve">Most recently, and directly relevant </w:t>
      </w:r>
      <w:r w:rsidR="00841368" w:rsidRPr="00867380">
        <w:rPr>
          <w:szCs w:val="26"/>
        </w:rPr>
        <w:t>here</w:t>
      </w:r>
      <w:r w:rsidRPr="00867380">
        <w:rPr>
          <w:szCs w:val="26"/>
        </w:rPr>
        <w:t xml:space="preserve">, in 1985 our </w:t>
      </w:r>
      <w:r w:rsidR="00A47CD4" w:rsidRPr="00867380">
        <w:rPr>
          <w:szCs w:val="26"/>
        </w:rPr>
        <w:t xml:space="preserve">Legislature enacted </w:t>
      </w:r>
      <w:r w:rsidR="00A47CD4" w:rsidRPr="00867380">
        <w:rPr>
          <w:i/>
          <w:iCs/>
          <w:szCs w:val="26"/>
        </w:rPr>
        <w:t>civil</w:t>
      </w:r>
      <w:r w:rsidR="00A47CD4" w:rsidRPr="00867380">
        <w:rPr>
          <w:szCs w:val="26"/>
        </w:rPr>
        <w:t xml:space="preserve"> law reforms</w:t>
      </w:r>
      <w:r w:rsidR="00A513D0" w:rsidRPr="00867380">
        <w:rPr>
          <w:szCs w:val="26"/>
        </w:rPr>
        <w:t xml:space="preserve"> extending the above-described protections afforded by the criminal rape shield statutes</w:t>
      </w:r>
      <w:r w:rsidR="00A873AE" w:rsidRPr="00867380">
        <w:rPr>
          <w:szCs w:val="26"/>
        </w:rPr>
        <w:t xml:space="preserve"> </w:t>
      </w:r>
      <w:r w:rsidR="00A513D0" w:rsidRPr="00867380">
        <w:rPr>
          <w:szCs w:val="26"/>
        </w:rPr>
        <w:t>to the civil context</w:t>
      </w:r>
      <w:r w:rsidR="00A873AE" w:rsidRPr="00867380">
        <w:rPr>
          <w:szCs w:val="26"/>
        </w:rPr>
        <w:t xml:space="preserve">.  </w:t>
      </w:r>
      <w:r w:rsidR="000F335C" w:rsidRPr="00867380">
        <w:rPr>
          <w:szCs w:val="26"/>
        </w:rPr>
        <w:t>(</w:t>
      </w:r>
      <w:r w:rsidR="00876B86" w:rsidRPr="00867380">
        <w:rPr>
          <w:szCs w:val="26"/>
        </w:rPr>
        <w:t>S</w:t>
      </w:r>
      <w:r w:rsidR="00A873AE" w:rsidRPr="00867380">
        <w:rPr>
          <w:szCs w:val="26"/>
        </w:rPr>
        <w:t>tat</w:t>
      </w:r>
      <w:r w:rsidR="000F335C" w:rsidRPr="00867380">
        <w:rPr>
          <w:szCs w:val="26"/>
        </w:rPr>
        <w:t xml:space="preserve">s. </w:t>
      </w:r>
      <w:r w:rsidR="00A873AE" w:rsidRPr="00867380">
        <w:rPr>
          <w:szCs w:val="26"/>
        </w:rPr>
        <w:t>1985, ch</w:t>
      </w:r>
      <w:r w:rsidR="000F335C" w:rsidRPr="00867380">
        <w:rPr>
          <w:szCs w:val="26"/>
        </w:rPr>
        <w:t xml:space="preserve">. </w:t>
      </w:r>
      <w:r w:rsidR="00A873AE" w:rsidRPr="00867380">
        <w:rPr>
          <w:szCs w:val="26"/>
        </w:rPr>
        <w:t>1328</w:t>
      </w:r>
      <w:r w:rsidR="006F2721" w:rsidRPr="00867380">
        <w:rPr>
          <w:szCs w:val="26"/>
        </w:rPr>
        <w:t xml:space="preserve">, </w:t>
      </w:r>
      <w:r w:rsidR="00FC0547">
        <w:rPr>
          <w:szCs w:val="26"/>
        </w:rPr>
        <w:t xml:space="preserve">§ 1, </w:t>
      </w:r>
      <w:r w:rsidR="006F2721" w:rsidRPr="00867380">
        <w:rPr>
          <w:szCs w:val="26"/>
        </w:rPr>
        <w:t>p. 4654</w:t>
      </w:r>
      <w:r w:rsidR="001803F0" w:rsidRPr="00867380">
        <w:rPr>
          <w:szCs w:val="26"/>
        </w:rPr>
        <w:t>.)  Th</w:t>
      </w:r>
      <w:r w:rsidR="002D7F1D" w:rsidRPr="00867380">
        <w:rPr>
          <w:szCs w:val="26"/>
        </w:rPr>
        <w:t>e</w:t>
      </w:r>
      <w:r w:rsidR="001803F0" w:rsidRPr="00867380">
        <w:rPr>
          <w:szCs w:val="26"/>
        </w:rPr>
        <w:t xml:space="preserve"> legislation</w:t>
      </w:r>
      <w:r w:rsidR="001771CF" w:rsidRPr="00867380">
        <w:rPr>
          <w:szCs w:val="26"/>
        </w:rPr>
        <w:t xml:space="preserve">, </w:t>
      </w:r>
      <w:r w:rsidR="00AA0C41" w:rsidRPr="00867380">
        <w:rPr>
          <w:szCs w:val="26"/>
        </w:rPr>
        <w:t xml:space="preserve">Senate Bill </w:t>
      </w:r>
      <w:r w:rsidR="004A3081" w:rsidRPr="00867380">
        <w:rPr>
          <w:szCs w:val="26"/>
        </w:rPr>
        <w:t xml:space="preserve">No. </w:t>
      </w:r>
      <w:r w:rsidR="00E9188B" w:rsidRPr="00867380">
        <w:rPr>
          <w:szCs w:val="26"/>
        </w:rPr>
        <w:t>1057</w:t>
      </w:r>
      <w:r w:rsidR="006D5536" w:rsidRPr="00867380">
        <w:rPr>
          <w:szCs w:val="26"/>
        </w:rPr>
        <w:t xml:space="preserve"> (1985</w:t>
      </w:r>
      <w:r w:rsidR="0097765B" w:rsidRPr="00867380">
        <w:rPr>
          <w:szCs w:val="26"/>
        </w:rPr>
        <w:t>–</w:t>
      </w:r>
      <w:r w:rsidR="006D5536" w:rsidRPr="00867380">
        <w:rPr>
          <w:szCs w:val="26"/>
        </w:rPr>
        <w:t>1986 Reg. Sess.)</w:t>
      </w:r>
      <w:r w:rsidR="001771CF" w:rsidRPr="00867380">
        <w:rPr>
          <w:szCs w:val="26"/>
        </w:rPr>
        <w:t>,</w:t>
      </w:r>
      <w:r w:rsidR="00E9188B" w:rsidRPr="00867380">
        <w:rPr>
          <w:szCs w:val="26"/>
        </w:rPr>
        <w:t xml:space="preserve"> </w:t>
      </w:r>
      <w:r w:rsidR="00D10C1A" w:rsidRPr="00867380">
        <w:rPr>
          <w:szCs w:val="26"/>
        </w:rPr>
        <w:t xml:space="preserve">added </w:t>
      </w:r>
      <w:r w:rsidR="00B85D4A" w:rsidRPr="00867380">
        <w:rPr>
          <w:szCs w:val="26"/>
        </w:rPr>
        <w:t xml:space="preserve">sections 1106 and 783 </w:t>
      </w:r>
      <w:r w:rsidR="00611110" w:rsidRPr="00867380">
        <w:rPr>
          <w:szCs w:val="26"/>
        </w:rPr>
        <w:t>to the Evidence Code</w:t>
      </w:r>
      <w:r w:rsidR="00980812" w:rsidRPr="00867380">
        <w:rPr>
          <w:szCs w:val="26"/>
        </w:rPr>
        <w:t xml:space="preserve">, </w:t>
      </w:r>
      <w:r w:rsidR="00607A8A" w:rsidRPr="00867380">
        <w:rPr>
          <w:szCs w:val="26"/>
        </w:rPr>
        <w:t xml:space="preserve">which </w:t>
      </w:r>
      <w:r w:rsidR="00F406FB" w:rsidRPr="00867380">
        <w:rPr>
          <w:szCs w:val="26"/>
        </w:rPr>
        <w:t xml:space="preserve">substantially track </w:t>
      </w:r>
      <w:r w:rsidR="00E920D5" w:rsidRPr="00867380">
        <w:rPr>
          <w:szCs w:val="26"/>
        </w:rPr>
        <w:t>the</w:t>
      </w:r>
      <w:r w:rsidR="00482A12" w:rsidRPr="00867380">
        <w:rPr>
          <w:szCs w:val="26"/>
        </w:rPr>
        <w:t>ir</w:t>
      </w:r>
      <w:r w:rsidR="00E920D5" w:rsidRPr="00867380">
        <w:rPr>
          <w:szCs w:val="26"/>
        </w:rPr>
        <w:t xml:space="preserve"> </w:t>
      </w:r>
      <w:r w:rsidR="00880247" w:rsidRPr="00867380">
        <w:rPr>
          <w:szCs w:val="26"/>
        </w:rPr>
        <w:t xml:space="preserve">criminal </w:t>
      </w:r>
      <w:r w:rsidR="00482A12" w:rsidRPr="00867380">
        <w:rPr>
          <w:szCs w:val="26"/>
        </w:rPr>
        <w:t>counterparts</w:t>
      </w:r>
      <w:r w:rsidR="004A3081" w:rsidRPr="00867380">
        <w:rPr>
          <w:szCs w:val="26"/>
        </w:rPr>
        <w:t>,</w:t>
      </w:r>
      <w:r w:rsidR="00FB555F" w:rsidRPr="00867380">
        <w:rPr>
          <w:szCs w:val="26"/>
        </w:rPr>
        <w:t xml:space="preserve"> </w:t>
      </w:r>
      <w:r w:rsidR="00DA7832" w:rsidRPr="00867380">
        <w:rPr>
          <w:szCs w:val="26"/>
        </w:rPr>
        <w:t xml:space="preserve">and made </w:t>
      </w:r>
      <w:r w:rsidR="009C086C" w:rsidRPr="00867380">
        <w:rPr>
          <w:szCs w:val="26"/>
        </w:rPr>
        <w:t>corresponding amend</w:t>
      </w:r>
      <w:r w:rsidR="00D834AF" w:rsidRPr="00867380">
        <w:rPr>
          <w:szCs w:val="26"/>
        </w:rPr>
        <w:t>m</w:t>
      </w:r>
      <w:r w:rsidR="00C66778" w:rsidRPr="00867380">
        <w:rPr>
          <w:szCs w:val="26"/>
        </w:rPr>
        <w:t xml:space="preserve">ents to </w:t>
      </w:r>
      <w:r w:rsidR="00253F04" w:rsidRPr="00867380">
        <w:rPr>
          <w:szCs w:val="26"/>
        </w:rPr>
        <w:t xml:space="preserve">the </w:t>
      </w:r>
      <w:r w:rsidR="009C086C" w:rsidRPr="00867380">
        <w:rPr>
          <w:szCs w:val="26"/>
        </w:rPr>
        <w:t>Code of Civil Procedure</w:t>
      </w:r>
      <w:r w:rsidR="00C407B5" w:rsidRPr="00867380">
        <w:rPr>
          <w:szCs w:val="26"/>
        </w:rPr>
        <w:t xml:space="preserve"> (</w:t>
      </w:r>
      <w:r w:rsidR="003330BD" w:rsidRPr="00867380">
        <w:rPr>
          <w:szCs w:val="26"/>
        </w:rPr>
        <w:t xml:space="preserve">placing limitations on </w:t>
      </w:r>
      <w:r w:rsidR="00C407B5" w:rsidRPr="00867380">
        <w:rPr>
          <w:szCs w:val="26"/>
        </w:rPr>
        <w:t>civil discovery</w:t>
      </w:r>
      <w:r w:rsidR="003330BD" w:rsidRPr="00867380">
        <w:rPr>
          <w:szCs w:val="26"/>
        </w:rPr>
        <w:t xml:space="preserve"> concerning sexual conduct</w:t>
      </w:r>
      <w:r w:rsidR="00DC2A3D" w:rsidRPr="00867380">
        <w:rPr>
          <w:szCs w:val="26"/>
        </w:rPr>
        <w:t>)</w:t>
      </w:r>
      <w:r>
        <w:rPr>
          <w:rStyle w:val="FootnoteReference"/>
          <w:bCs/>
          <w:szCs w:val="26"/>
        </w:rPr>
        <w:footnoteReference w:id="7"/>
      </w:r>
      <w:r w:rsidR="00DC2A3D" w:rsidRPr="006A7544">
        <w:rPr>
          <w:szCs w:val="26"/>
        </w:rPr>
        <w:t xml:space="preserve"> </w:t>
      </w:r>
      <w:r w:rsidR="009E6F6E" w:rsidRPr="006A7544">
        <w:rPr>
          <w:szCs w:val="26"/>
        </w:rPr>
        <w:t>and the Government Code (</w:t>
      </w:r>
      <w:r w:rsidR="00E025EC" w:rsidRPr="006A7544">
        <w:rPr>
          <w:szCs w:val="26"/>
        </w:rPr>
        <w:t xml:space="preserve">addressing </w:t>
      </w:r>
      <w:r w:rsidR="00C3148D" w:rsidRPr="006A7544">
        <w:rPr>
          <w:szCs w:val="26"/>
        </w:rPr>
        <w:t xml:space="preserve">administrative </w:t>
      </w:r>
      <w:r w:rsidR="00C3148D" w:rsidRPr="006A7544">
        <w:rPr>
          <w:szCs w:val="26"/>
        </w:rPr>
        <w:lastRenderedPageBreak/>
        <w:t xml:space="preserve">adjudications, and </w:t>
      </w:r>
      <w:r w:rsidR="009E6F6E" w:rsidRPr="006A7544">
        <w:rPr>
          <w:szCs w:val="26"/>
        </w:rPr>
        <w:t xml:space="preserve">imposing substantially similar </w:t>
      </w:r>
      <w:r w:rsidR="002D4492" w:rsidRPr="006A7544">
        <w:rPr>
          <w:szCs w:val="26"/>
        </w:rPr>
        <w:t xml:space="preserve">limitations </w:t>
      </w:r>
      <w:r w:rsidR="009E6F6E" w:rsidRPr="006A7544">
        <w:rPr>
          <w:szCs w:val="26"/>
        </w:rPr>
        <w:t xml:space="preserve">on discovery </w:t>
      </w:r>
      <w:r w:rsidR="007046C6" w:rsidRPr="006A7544">
        <w:rPr>
          <w:szCs w:val="26"/>
        </w:rPr>
        <w:t xml:space="preserve">concerning sexual conduct </w:t>
      </w:r>
      <w:r w:rsidR="009E6F6E" w:rsidRPr="006A7544">
        <w:rPr>
          <w:szCs w:val="26"/>
        </w:rPr>
        <w:t xml:space="preserve">and </w:t>
      </w:r>
      <w:r w:rsidR="002D4492" w:rsidRPr="006A7544">
        <w:rPr>
          <w:szCs w:val="26"/>
        </w:rPr>
        <w:t xml:space="preserve">on </w:t>
      </w:r>
      <w:r w:rsidR="009E6F6E" w:rsidRPr="006A7544">
        <w:rPr>
          <w:szCs w:val="26"/>
        </w:rPr>
        <w:t xml:space="preserve">admission of </w:t>
      </w:r>
      <w:r w:rsidR="007046C6" w:rsidRPr="006A7544">
        <w:rPr>
          <w:szCs w:val="26"/>
        </w:rPr>
        <w:t xml:space="preserve">such </w:t>
      </w:r>
      <w:r w:rsidR="009E6F6E" w:rsidRPr="006A7544">
        <w:rPr>
          <w:szCs w:val="26"/>
        </w:rPr>
        <w:t>evidence).</w:t>
      </w:r>
      <w:r>
        <w:rPr>
          <w:rStyle w:val="FootnoteReference"/>
          <w:bCs/>
          <w:szCs w:val="26"/>
        </w:rPr>
        <w:footnoteReference w:id="8"/>
      </w:r>
      <w:r w:rsidR="009E6F6E" w:rsidRPr="006A7544">
        <w:rPr>
          <w:szCs w:val="26"/>
        </w:rPr>
        <w:t xml:space="preserve"> </w:t>
      </w:r>
      <w:r w:rsidR="00DC2A3D" w:rsidRPr="006A7544">
        <w:rPr>
          <w:szCs w:val="26"/>
        </w:rPr>
        <w:t xml:space="preserve"> </w:t>
      </w:r>
    </w:p>
    <w:p w14:paraId="0DB2E7CD" w14:textId="77777777" w:rsidR="004A7ABD" w:rsidRPr="006A7544" w:rsidRDefault="002E6832" w:rsidP="00867380">
      <w:pPr>
        <w:ind w:firstLine="720"/>
        <w:rPr>
          <w:szCs w:val="26"/>
        </w:rPr>
      </w:pPr>
      <w:r w:rsidRPr="006A7544">
        <w:rPr>
          <w:szCs w:val="26"/>
        </w:rPr>
        <w:t xml:space="preserve">Within </w:t>
      </w:r>
      <w:r w:rsidR="00974734" w:rsidRPr="006A7544">
        <w:rPr>
          <w:szCs w:val="26"/>
        </w:rPr>
        <w:t xml:space="preserve">Senate Bill </w:t>
      </w:r>
      <w:r w:rsidR="000A3A7C" w:rsidRPr="006A7544">
        <w:rPr>
          <w:szCs w:val="26"/>
        </w:rPr>
        <w:t xml:space="preserve">No. </w:t>
      </w:r>
      <w:r w:rsidR="00974734" w:rsidRPr="006A7544">
        <w:rPr>
          <w:szCs w:val="26"/>
        </w:rPr>
        <w:t>1057</w:t>
      </w:r>
      <w:r w:rsidR="0029452D">
        <w:rPr>
          <w:szCs w:val="26"/>
        </w:rPr>
        <w:t xml:space="preserve"> </w:t>
      </w:r>
      <w:r w:rsidR="0029452D" w:rsidRPr="00867380">
        <w:rPr>
          <w:szCs w:val="26"/>
        </w:rPr>
        <w:t>(1985–1986 Reg. Sess.)</w:t>
      </w:r>
      <w:r w:rsidR="00C67E16" w:rsidRPr="006A7544">
        <w:rPr>
          <w:szCs w:val="26"/>
        </w:rPr>
        <w:t>, o</w:t>
      </w:r>
      <w:r w:rsidR="0057440E" w:rsidRPr="006A7544">
        <w:rPr>
          <w:szCs w:val="26"/>
        </w:rPr>
        <w:t xml:space="preserve">ur </w:t>
      </w:r>
      <w:r w:rsidR="00E7138D" w:rsidRPr="006A7544">
        <w:rPr>
          <w:szCs w:val="26"/>
        </w:rPr>
        <w:t>Legislature</w:t>
      </w:r>
      <w:r w:rsidR="00B31D78" w:rsidRPr="006A7544">
        <w:rPr>
          <w:szCs w:val="26"/>
        </w:rPr>
        <w:t xml:space="preserve"> set out</w:t>
      </w:r>
      <w:r w:rsidR="008E0C7C" w:rsidRPr="006A7544">
        <w:rPr>
          <w:szCs w:val="26"/>
        </w:rPr>
        <w:t xml:space="preserve"> to c</w:t>
      </w:r>
      <w:r w:rsidR="00850493" w:rsidRPr="006A7544">
        <w:rPr>
          <w:szCs w:val="26"/>
        </w:rPr>
        <w:t>lari</w:t>
      </w:r>
      <w:r w:rsidR="00544BEC" w:rsidRPr="006A7544">
        <w:rPr>
          <w:szCs w:val="26"/>
        </w:rPr>
        <w:t>f</w:t>
      </w:r>
      <w:r w:rsidR="00850493" w:rsidRPr="006A7544">
        <w:rPr>
          <w:szCs w:val="26"/>
        </w:rPr>
        <w:t>y</w:t>
      </w:r>
      <w:r w:rsidR="00B31D78" w:rsidRPr="006A7544">
        <w:rPr>
          <w:szCs w:val="26"/>
        </w:rPr>
        <w:t xml:space="preserve">, in uncodified section 1 of its enactment, </w:t>
      </w:r>
      <w:r w:rsidR="004F414A" w:rsidRPr="006A7544">
        <w:rPr>
          <w:szCs w:val="26"/>
        </w:rPr>
        <w:t>its purpos</w:t>
      </w:r>
      <w:r w:rsidR="002E2755" w:rsidRPr="006A7544">
        <w:rPr>
          <w:szCs w:val="26"/>
        </w:rPr>
        <w:t>e</w:t>
      </w:r>
      <w:r w:rsidR="004F414A" w:rsidRPr="006A7544">
        <w:rPr>
          <w:szCs w:val="26"/>
        </w:rPr>
        <w:t xml:space="preserve"> and the policy </w:t>
      </w:r>
      <w:r w:rsidR="00E40334" w:rsidRPr="006A7544">
        <w:rPr>
          <w:szCs w:val="26"/>
        </w:rPr>
        <w:t xml:space="preserve">it </w:t>
      </w:r>
      <w:r w:rsidR="00F77A46" w:rsidRPr="006A7544">
        <w:rPr>
          <w:szCs w:val="26"/>
        </w:rPr>
        <w:t>sought to achieve</w:t>
      </w:r>
      <w:r w:rsidR="002E2755" w:rsidRPr="006A7544">
        <w:rPr>
          <w:szCs w:val="26"/>
        </w:rPr>
        <w:t xml:space="preserve">.  </w:t>
      </w:r>
      <w:r w:rsidR="00260E83" w:rsidRPr="006A7544">
        <w:rPr>
          <w:szCs w:val="26"/>
        </w:rPr>
        <w:t xml:space="preserve">It recounted </w:t>
      </w:r>
      <w:r w:rsidR="00061814" w:rsidRPr="006A7544">
        <w:rPr>
          <w:szCs w:val="26"/>
        </w:rPr>
        <w:t>that</w:t>
      </w:r>
      <w:r w:rsidR="008C2E20" w:rsidRPr="006A7544">
        <w:rPr>
          <w:szCs w:val="26"/>
        </w:rPr>
        <w:t xml:space="preserve"> prior to </w:t>
      </w:r>
      <w:r w:rsidR="00260E83" w:rsidRPr="006A7544">
        <w:rPr>
          <w:szCs w:val="26"/>
        </w:rPr>
        <w:t xml:space="preserve">the </w:t>
      </w:r>
      <w:r w:rsidR="008C2E20" w:rsidRPr="006A7544">
        <w:rPr>
          <w:szCs w:val="26"/>
        </w:rPr>
        <w:t>amendment of sections 1103 an</w:t>
      </w:r>
      <w:r w:rsidR="00904C9D" w:rsidRPr="006A7544">
        <w:rPr>
          <w:szCs w:val="26"/>
        </w:rPr>
        <w:t>d</w:t>
      </w:r>
      <w:r w:rsidR="008C2E20" w:rsidRPr="006A7544">
        <w:rPr>
          <w:szCs w:val="26"/>
        </w:rPr>
        <w:t xml:space="preserve"> </w:t>
      </w:r>
      <w:r w:rsidR="00904C9D" w:rsidRPr="006A7544">
        <w:rPr>
          <w:szCs w:val="26"/>
        </w:rPr>
        <w:t>782, “</w:t>
      </w:r>
      <w:r w:rsidR="002E0A9F" w:rsidRPr="006A7544">
        <w:rPr>
          <w:szCs w:val="26"/>
        </w:rPr>
        <w:t>victims in criminal prosecutions for rape</w:t>
      </w:r>
      <w:r w:rsidR="000A3A7C" w:rsidRPr="006A7544">
        <w:rPr>
          <w:szCs w:val="26"/>
        </w:rPr>
        <w:t> </w:t>
      </w:r>
      <w:r w:rsidR="00904C9D" w:rsidRPr="006A7544">
        <w:rPr>
          <w:szCs w:val="26"/>
        </w:rPr>
        <w:t>.</w:t>
      </w:r>
      <w:r w:rsidR="005D6EEA" w:rsidRPr="006A7544">
        <w:rPr>
          <w:szCs w:val="26"/>
        </w:rPr>
        <w:t> . .</w:t>
      </w:r>
      <w:r w:rsidR="008B27E4">
        <w:rPr>
          <w:szCs w:val="26"/>
        </w:rPr>
        <w:t xml:space="preserve"> </w:t>
      </w:r>
      <w:r w:rsidR="002E0A9F" w:rsidRPr="006A7544">
        <w:rPr>
          <w:szCs w:val="26"/>
        </w:rPr>
        <w:t>often ran the risk of finding their own moral characters on trial during the prosecution of their assailants</w:t>
      </w:r>
      <w:r w:rsidR="005D6EEA" w:rsidRPr="006A7544">
        <w:rPr>
          <w:szCs w:val="26"/>
        </w:rPr>
        <w:t>” and explained</w:t>
      </w:r>
      <w:r w:rsidR="00415896" w:rsidRPr="006A7544">
        <w:rPr>
          <w:szCs w:val="26"/>
        </w:rPr>
        <w:t xml:space="preserve">: </w:t>
      </w:r>
      <w:r w:rsidR="00073D98" w:rsidRPr="006A7544">
        <w:rPr>
          <w:szCs w:val="26"/>
        </w:rPr>
        <w:t xml:space="preserve"> </w:t>
      </w:r>
      <w:r w:rsidR="00415896" w:rsidRPr="006A7544">
        <w:rPr>
          <w:szCs w:val="26"/>
        </w:rPr>
        <w:t>“</w:t>
      </w:r>
      <w:r w:rsidR="002E0A9F" w:rsidRPr="006A7544">
        <w:rPr>
          <w:szCs w:val="26"/>
        </w:rPr>
        <w:t>It is the intent of the Legislature to take similar measures</w:t>
      </w:r>
      <w:r w:rsidR="00AD4B21">
        <w:rPr>
          <w:szCs w:val="26"/>
        </w:rPr>
        <w:t xml:space="preserve">” </w:t>
      </w:r>
      <w:r w:rsidR="0067009E">
        <w:rPr>
          <w:szCs w:val="26"/>
        </w:rPr>
        <w:t xml:space="preserve">as specified in </w:t>
      </w:r>
      <w:r w:rsidR="000B5D78">
        <w:rPr>
          <w:szCs w:val="26"/>
        </w:rPr>
        <w:t xml:space="preserve">those </w:t>
      </w:r>
      <w:r w:rsidR="005F30F5">
        <w:rPr>
          <w:szCs w:val="26"/>
        </w:rPr>
        <w:t>sections “</w:t>
      </w:r>
      <w:r w:rsidR="002E0A9F" w:rsidRPr="006A7544">
        <w:rPr>
          <w:szCs w:val="26"/>
        </w:rPr>
        <w:t>in sexual harassment, sexual assault, or sexual battery cases.</w:t>
      </w:r>
      <w:r w:rsidR="00415896" w:rsidRPr="006A7544">
        <w:rPr>
          <w:szCs w:val="26"/>
        </w:rPr>
        <w:t>”  (Stats. 1985, ch.</w:t>
      </w:r>
      <w:r w:rsidR="000A3A7C" w:rsidRPr="006A7544">
        <w:rPr>
          <w:szCs w:val="26"/>
        </w:rPr>
        <w:t> </w:t>
      </w:r>
      <w:r w:rsidR="00415896" w:rsidRPr="006A7544">
        <w:rPr>
          <w:szCs w:val="26"/>
        </w:rPr>
        <w:t>1328, §</w:t>
      </w:r>
      <w:r w:rsidR="00FE387C" w:rsidRPr="006A7544">
        <w:rPr>
          <w:szCs w:val="26"/>
        </w:rPr>
        <w:t> 1</w:t>
      </w:r>
      <w:r w:rsidR="00B70E76" w:rsidRPr="006A7544">
        <w:rPr>
          <w:szCs w:val="26"/>
        </w:rPr>
        <w:t xml:space="preserve">, p. </w:t>
      </w:r>
      <w:r w:rsidR="003137CD" w:rsidRPr="006A7544">
        <w:rPr>
          <w:szCs w:val="26"/>
        </w:rPr>
        <w:t>4655</w:t>
      </w:r>
      <w:r w:rsidR="00FE387C" w:rsidRPr="006A7544">
        <w:rPr>
          <w:szCs w:val="26"/>
        </w:rPr>
        <w:t xml:space="preserve">.)  </w:t>
      </w:r>
      <w:r w:rsidR="0065292D" w:rsidRPr="006A7544">
        <w:rPr>
          <w:szCs w:val="26"/>
        </w:rPr>
        <w:t>In this regard, t</w:t>
      </w:r>
      <w:r w:rsidR="009968D7" w:rsidRPr="006A7544">
        <w:rPr>
          <w:szCs w:val="26"/>
        </w:rPr>
        <w:t xml:space="preserve">he Legislature </w:t>
      </w:r>
      <w:r w:rsidR="00104D06" w:rsidRPr="006A7544">
        <w:rPr>
          <w:szCs w:val="26"/>
        </w:rPr>
        <w:t>declared:  “The discovery of sexual aspects of complainant[s’] lives, as well as those of their past and current friends and acquaintances, has the clear potential to discourage complaints and to annoy and harass litigants.  That annoyance and discomfort, as a result of defendant or respondent inquiries, is unnecessary and deplorable.  Without protection against it, individuals whose intimate lives are unjustifiably and offensively intruded upon might face the ‘Catch-22’ of invoking their remedy only at the risk of enduring further intrusions into details of their personal lives in discovery, and in open quasi-judicial or judicial proceedings.</w:t>
      </w:r>
      <w:r w:rsidR="009968D7" w:rsidRPr="006A7544">
        <w:rPr>
          <w:szCs w:val="26"/>
        </w:rPr>
        <w:t>”  (</w:t>
      </w:r>
      <w:r w:rsidR="00CC128D">
        <w:rPr>
          <w:i/>
          <w:iCs/>
          <w:szCs w:val="26"/>
        </w:rPr>
        <w:t>Id</w:t>
      </w:r>
      <w:r w:rsidR="00CC128D" w:rsidRPr="008A7189">
        <w:rPr>
          <w:szCs w:val="26"/>
        </w:rPr>
        <w:t>.</w:t>
      </w:r>
      <w:r w:rsidR="009968D7" w:rsidRPr="006A7544">
        <w:rPr>
          <w:szCs w:val="26"/>
        </w:rPr>
        <w:t>, p</w:t>
      </w:r>
      <w:r w:rsidR="00A53556" w:rsidRPr="006A7544">
        <w:rPr>
          <w:szCs w:val="26"/>
        </w:rPr>
        <w:t>p</w:t>
      </w:r>
      <w:r w:rsidR="009968D7" w:rsidRPr="006A7544">
        <w:rPr>
          <w:szCs w:val="26"/>
        </w:rPr>
        <w:t>.</w:t>
      </w:r>
      <w:r w:rsidR="006A7544">
        <w:rPr>
          <w:szCs w:val="26"/>
        </w:rPr>
        <w:t> </w:t>
      </w:r>
      <w:r w:rsidR="00A53556" w:rsidRPr="006A7544">
        <w:rPr>
          <w:szCs w:val="26"/>
        </w:rPr>
        <w:t>4654–</w:t>
      </w:r>
      <w:r w:rsidR="009968D7" w:rsidRPr="006A7544">
        <w:rPr>
          <w:szCs w:val="26"/>
        </w:rPr>
        <w:t xml:space="preserve">4655.) </w:t>
      </w:r>
      <w:r w:rsidR="00104D06" w:rsidRPr="006A7544">
        <w:rPr>
          <w:szCs w:val="26"/>
        </w:rPr>
        <w:t xml:space="preserve"> </w:t>
      </w:r>
      <w:r w:rsidR="00A53556" w:rsidRPr="006A7544">
        <w:rPr>
          <w:szCs w:val="26"/>
        </w:rPr>
        <w:t xml:space="preserve">Finally, </w:t>
      </w:r>
      <w:r w:rsidR="00506BD7" w:rsidRPr="006A7544">
        <w:rPr>
          <w:szCs w:val="26"/>
        </w:rPr>
        <w:lastRenderedPageBreak/>
        <w:t xml:space="preserve">echoing </w:t>
      </w:r>
      <w:r w:rsidR="00FA6623" w:rsidRPr="006A7544">
        <w:rPr>
          <w:szCs w:val="26"/>
        </w:rPr>
        <w:t xml:space="preserve">the </w:t>
      </w:r>
      <w:r w:rsidR="00284031" w:rsidRPr="006A7544">
        <w:rPr>
          <w:szCs w:val="26"/>
        </w:rPr>
        <w:t>then</w:t>
      </w:r>
      <w:r w:rsidR="006978E4" w:rsidRPr="006A7544">
        <w:rPr>
          <w:szCs w:val="26"/>
        </w:rPr>
        <w:t>-</w:t>
      </w:r>
      <w:r w:rsidR="00284031" w:rsidRPr="006A7544">
        <w:rPr>
          <w:szCs w:val="26"/>
        </w:rPr>
        <w:t xml:space="preserve">recent </w:t>
      </w:r>
      <w:r w:rsidR="004D53BB" w:rsidRPr="006A7544">
        <w:rPr>
          <w:szCs w:val="26"/>
        </w:rPr>
        <w:t>f</w:t>
      </w:r>
      <w:r w:rsidR="00284031" w:rsidRPr="006A7544">
        <w:rPr>
          <w:szCs w:val="26"/>
        </w:rPr>
        <w:t xml:space="preserve">ederal </w:t>
      </w:r>
      <w:r w:rsidR="004D53BB" w:rsidRPr="006A7544">
        <w:rPr>
          <w:szCs w:val="26"/>
        </w:rPr>
        <w:t>c</w:t>
      </w:r>
      <w:r w:rsidR="00284031" w:rsidRPr="006A7544">
        <w:rPr>
          <w:szCs w:val="26"/>
        </w:rPr>
        <w:t xml:space="preserve">ourt decision in </w:t>
      </w:r>
      <w:r w:rsidR="00506BD7" w:rsidRPr="006A7544">
        <w:rPr>
          <w:i/>
          <w:iCs/>
          <w:szCs w:val="26"/>
        </w:rPr>
        <w:t>Priest</w:t>
      </w:r>
      <w:r w:rsidR="00C4763E" w:rsidRPr="006A7544">
        <w:rPr>
          <w:szCs w:val="26"/>
        </w:rPr>
        <w:t>,</w:t>
      </w:r>
      <w:r w:rsidR="00C4763E" w:rsidRPr="006A7544">
        <w:rPr>
          <w:i/>
          <w:iCs/>
          <w:szCs w:val="26"/>
        </w:rPr>
        <w:t xml:space="preserve"> supra</w:t>
      </w:r>
      <w:r w:rsidR="00C4763E" w:rsidRPr="006A7544">
        <w:rPr>
          <w:szCs w:val="26"/>
        </w:rPr>
        <w:t>,</w:t>
      </w:r>
      <w:r w:rsidR="00C4763E" w:rsidRPr="006A7544">
        <w:rPr>
          <w:i/>
          <w:iCs/>
          <w:szCs w:val="26"/>
        </w:rPr>
        <w:t xml:space="preserve"> </w:t>
      </w:r>
      <w:r w:rsidR="00506BD7" w:rsidRPr="006A7544">
        <w:rPr>
          <w:szCs w:val="26"/>
        </w:rPr>
        <w:t xml:space="preserve">98 F.R.D. </w:t>
      </w:r>
      <w:r w:rsidR="00287360" w:rsidRPr="006A7544">
        <w:rPr>
          <w:szCs w:val="26"/>
        </w:rPr>
        <w:t xml:space="preserve">at page </w:t>
      </w:r>
      <w:r w:rsidR="00506BD7" w:rsidRPr="006A7544">
        <w:rPr>
          <w:szCs w:val="26"/>
        </w:rPr>
        <w:t>762</w:t>
      </w:r>
      <w:r w:rsidR="00C4763E" w:rsidRPr="006A7544">
        <w:rPr>
          <w:szCs w:val="26"/>
        </w:rPr>
        <w:t>,</w:t>
      </w:r>
      <w:r w:rsidR="00A53556" w:rsidRPr="006A7544">
        <w:rPr>
          <w:szCs w:val="26"/>
        </w:rPr>
        <w:t xml:space="preserve"> </w:t>
      </w:r>
      <w:r w:rsidR="007D6540" w:rsidRPr="006A7544">
        <w:rPr>
          <w:szCs w:val="26"/>
        </w:rPr>
        <w:t xml:space="preserve">the Legislature </w:t>
      </w:r>
      <w:r w:rsidR="008300C7" w:rsidRPr="006A7544">
        <w:rPr>
          <w:szCs w:val="26"/>
        </w:rPr>
        <w:t>concluded</w:t>
      </w:r>
      <w:r w:rsidR="00C841A8" w:rsidRPr="006A7544">
        <w:rPr>
          <w:szCs w:val="26"/>
        </w:rPr>
        <w:t xml:space="preserve">:  </w:t>
      </w:r>
      <w:r w:rsidR="008300C7" w:rsidRPr="006A7544">
        <w:rPr>
          <w:szCs w:val="26"/>
        </w:rPr>
        <w:t>“</w:t>
      </w:r>
      <w:r w:rsidR="00E258C5" w:rsidRPr="006A7544">
        <w:rPr>
          <w:szCs w:val="26"/>
        </w:rPr>
        <w:t>[T]he use of evidence of a complainant’s sexual behavior is more often harassing and intimidating than genuinely probative, and the potential for prejudice outweighs whatever probative value that evidence may have.  Absent extraordinary circumstances, inquiry into those areas should not be permitted, either in discovery or at trial.”  (Stats. 1985, ch.</w:t>
      </w:r>
      <w:r w:rsidR="000A3A7C" w:rsidRPr="006A7544">
        <w:rPr>
          <w:szCs w:val="26"/>
        </w:rPr>
        <w:t> </w:t>
      </w:r>
      <w:r w:rsidR="00E258C5" w:rsidRPr="006A7544">
        <w:rPr>
          <w:szCs w:val="26"/>
        </w:rPr>
        <w:t>1328, § 1, p. 4655.)</w:t>
      </w:r>
      <w:r w:rsidR="00AD7109" w:rsidRPr="006A7544">
        <w:rPr>
          <w:szCs w:val="26"/>
        </w:rPr>
        <w:t xml:space="preserve">  </w:t>
      </w:r>
    </w:p>
    <w:p w14:paraId="0DB2E7CE" w14:textId="77777777" w:rsidR="00F10761" w:rsidRPr="00535A24" w:rsidRDefault="002E6832" w:rsidP="00535A24">
      <w:pPr>
        <w:pStyle w:val="Heading1"/>
      </w:pPr>
      <w:r w:rsidRPr="00535A24">
        <w:t>I</w:t>
      </w:r>
      <w:r w:rsidR="00C77F2D" w:rsidRPr="00535A24">
        <w:t>II.  Discussion</w:t>
      </w:r>
    </w:p>
    <w:p w14:paraId="0DB2E7CF" w14:textId="77777777" w:rsidR="009D6B9E" w:rsidRPr="006A7544" w:rsidRDefault="002E6832" w:rsidP="006A7544">
      <w:pPr>
        <w:pStyle w:val="ListParagraph"/>
        <w:ind w:left="0" w:firstLine="720"/>
        <w:rPr>
          <w:szCs w:val="26"/>
        </w:rPr>
      </w:pPr>
      <w:r w:rsidRPr="006A7544">
        <w:rPr>
          <w:szCs w:val="26"/>
        </w:rPr>
        <w:t>P</w:t>
      </w:r>
      <w:r w:rsidR="002D6B1B" w:rsidRPr="006A7544">
        <w:rPr>
          <w:szCs w:val="26"/>
        </w:rPr>
        <w:t>reliminarily</w:t>
      </w:r>
      <w:r w:rsidRPr="006A7544">
        <w:rPr>
          <w:szCs w:val="26"/>
        </w:rPr>
        <w:t xml:space="preserve">, </w:t>
      </w:r>
      <w:r w:rsidR="00182A1A" w:rsidRPr="006A7544">
        <w:rPr>
          <w:szCs w:val="26"/>
        </w:rPr>
        <w:t>we</w:t>
      </w:r>
      <w:r w:rsidRPr="006A7544">
        <w:rPr>
          <w:szCs w:val="26"/>
        </w:rPr>
        <w:t xml:space="preserve"> </w:t>
      </w:r>
      <w:r w:rsidR="001A1BCD" w:rsidRPr="006A7544">
        <w:rPr>
          <w:szCs w:val="26"/>
        </w:rPr>
        <w:t xml:space="preserve">observe that </w:t>
      </w:r>
      <w:r w:rsidR="002D6B1B" w:rsidRPr="006A7544">
        <w:rPr>
          <w:szCs w:val="26"/>
        </w:rPr>
        <w:t xml:space="preserve">the </w:t>
      </w:r>
      <w:r w:rsidR="003367DD" w:rsidRPr="006A7544">
        <w:rPr>
          <w:szCs w:val="26"/>
        </w:rPr>
        <w:t xml:space="preserve">threshold issue </w:t>
      </w:r>
      <w:r w:rsidR="00D222DE" w:rsidRPr="006A7544">
        <w:rPr>
          <w:szCs w:val="26"/>
        </w:rPr>
        <w:t xml:space="preserve">addressed </w:t>
      </w:r>
      <w:r w:rsidR="00FA3113" w:rsidRPr="006A7544">
        <w:rPr>
          <w:szCs w:val="26"/>
        </w:rPr>
        <w:t>by the</w:t>
      </w:r>
      <w:r w:rsidR="002D6B1B" w:rsidRPr="006A7544">
        <w:rPr>
          <w:szCs w:val="26"/>
        </w:rPr>
        <w:t xml:space="preserve"> Court of Appeal</w:t>
      </w:r>
      <w:r w:rsidR="000B1C89" w:rsidRPr="006A7544">
        <w:rPr>
          <w:szCs w:val="26"/>
        </w:rPr>
        <w:t> —</w:t>
      </w:r>
      <w:r w:rsidR="007A3591" w:rsidRPr="006A7544">
        <w:rPr>
          <w:szCs w:val="26"/>
        </w:rPr>
        <w:t xml:space="preserve"> de</w:t>
      </w:r>
      <w:r w:rsidR="00EC072F" w:rsidRPr="006A7544">
        <w:rPr>
          <w:szCs w:val="26"/>
        </w:rPr>
        <w:t>termining that</w:t>
      </w:r>
      <w:r w:rsidR="000B1C89" w:rsidRPr="006A7544">
        <w:rPr>
          <w:szCs w:val="26"/>
        </w:rPr>
        <w:t>, contrary to the trial court’s understanding,</w:t>
      </w:r>
      <w:r w:rsidR="00EC072F" w:rsidRPr="006A7544">
        <w:rPr>
          <w:szCs w:val="26"/>
        </w:rPr>
        <w:t xml:space="preserve"> </w:t>
      </w:r>
      <w:r w:rsidR="007A3591" w:rsidRPr="006A7544">
        <w:rPr>
          <w:szCs w:val="26"/>
        </w:rPr>
        <w:t>the term “sexual conduct” as used in sections 1106 and 783</w:t>
      </w:r>
      <w:r w:rsidR="00EC072F" w:rsidRPr="006A7544">
        <w:rPr>
          <w:szCs w:val="26"/>
        </w:rPr>
        <w:t xml:space="preserve"> </w:t>
      </w:r>
      <w:r w:rsidR="007A3591" w:rsidRPr="006A7544">
        <w:rPr>
          <w:szCs w:val="26"/>
        </w:rPr>
        <w:t xml:space="preserve">encompasses both a plaintiff’s </w:t>
      </w:r>
      <w:r w:rsidR="007A3591" w:rsidRPr="006A7544">
        <w:rPr>
          <w:i/>
          <w:iCs/>
          <w:szCs w:val="26"/>
        </w:rPr>
        <w:t>voluntary</w:t>
      </w:r>
      <w:r w:rsidR="007A3591" w:rsidRPr="006A7544">
        <w:rPr>
          <w:szCs w:val="26"/>
        </w:rPr>
        <w:t xml:space="preserve"> conduct and sexual abuse to which a plaintiff has been </w:t>
      </w:r>
      <w:r w:rsidR="007A3591" w:rsidRPr="006A7544">
        <w:rPr>
          <w:i/>
          <w:iCs/>
          <w:szCs w:val="26"/>
        </w:rPr>
        <w:t>involuntarily subjected</w:t>
      </w:r>
      <w:r w:rsidR="007A3591" w:rsidRPr="006A7544">
        <w:rPr>
          <w:szCs w:val="26"/>
        </w:rPr>
        <w:t xml:space="preserve"> — </w:t>
      </w:r>
      <w:r w:rsidR="0060039A" w:rsidRPr="006A7544">
        <w:rPr>
          <w:szCs w:val="26"/>
        </w:rPr>
        <w:t xml:space="preserve">is uncontested </w:t>
      </w:r>
      <w:r w:rsidR="009D1EB0" w:rsidRPr="006A7544">
        <w:rPr>
          <w:szCs w:val="26"/>
        </w:rPr>
        <w:t xml:space="preserve">by the parties </w:t>
      </w:r>
      <w:r w:rsidR="0060039A" w:rsidRPr="006A7544">
        <w:rPr>
          <w:szCs w:val="26"/>
        </w:rPr>
        <w:t xml:space="preserve">now.  </w:t>
      </w:r>
      <w:r w:rsidR="0008655D" w:rsidRPr="006A7544">
        <w:rPr>
          <w:szCs w:val="26"/>
        </w:rPr>
        <w:t>(</w:t>
      </w:r>
      <w:r w:rsidR="0008655D" w:rsidRPr="006A7544">
        <w:rPr>
          <w:i/>
          <w:iCs/>
          <w:szCs w:val="26"/>
        </w:rPr>
        <w:t>Doe</w:t>
      </w:r>
      <w:r w:rsidR="0052775F" w:rsidRPr="006A7544">
        <w:rPr>
          <w:szCs w:val="26"/>
        </w:rPr>
        <w:t>,</w:t>
      </w:r>
      <w:r w:rsidR="00217554" w:rsidRPr="006A7544">
        <w:rPr>
          <w:szCs w:val="26"/>
        </w:rPr>
        <w:t xml:space="preserve"> </w:t>
      </w:r>
      <w:r w:rsidR="0052775F" w:rsidRPr="006A7544">
        <w:rPr>
          <w:i/>
          <w:iCs/>
          <w:szCs w:val="26"/>
        </w:rPr>
        <w:t>supra</w:t>
      </w:r>
      <w:r w:rsidR="0052775F" w:rsidRPr="006A7544">
        <w:rPr>
          <w:szCs w:val="26"/>
        </w:rPr>
        <w:t>,</w:t>
      </w:r>
      <w:r w:rsidR="00217554" w:rsidRPr="006A7544">
        <w:rPr>
          <w:szCs w:val="26"/>
        </w:rPr>
        <w:t xml:space="preserve"> </w:t>
      </w:r>
      <w:r w:rsidR="0008655D" w:rsidRPr="006A7544">
        <w:rPr>
          <w:szCs w:val="26"/>
        </w:rPr>
        <w:t xml:space="preserve">71 Cal.App.5th </w:t>
      </w:r>
      <w:r w:rsidR="0052775F" w:rsidRPr="006A7544">
        <w:rPr>
          <w:szCs w:val="26"/>
        </w:rPr>
        <w:t xml:space="preserve">at pp. </w:t>
      </w:r>
      <w:r w:rsidR="0008655D" w:rsidRPr="006A7544">
        <w:rPr>
          <w:szCs w:val="26"/>
        </w:rPr>
        <w:t>236–240</w:t>
      </w:r>
      <w:r w:rsidR="0052775F" w:rsidRPr="006A7544">
        <w:rPr>
          <w:szCs w:val="26"/>
        </w:rPr>
        <w:t>.</w:t>
      </w:r>
      <w:r w:rsidR="0008655D" w:rsidRPr="006A7544">
        <w:rPr>
          <w:szCs w:val="26"/>
        </w:rPr>
        <w:t xml:space="preserve">)  </w:t>
      </w:r>
      <w:r w:rsidR="00217554" w:rsidRPr="006A7544">
        <w:rPr>
          <w:szCs w:val="26"/>
        </w:rPr>
        <w:t xml:space="preserve">The District has also abandoned its </w:t>
      </w:r>
      <w:r w:rsidR="00AE19BD" w:rsidRPr="006A7544">
        <w:rPr>
          <w:szCs w:val="26"/>
        </w:rPr>
        <w:t>“</w:t>
      </w:r>
      <w:r w:rsidR="001D4759" w:rsidRPr="006A7544">
        <w:rPr>
          <w:szCs w:val="26"/>
        </w:rPr>
        <w:t xml:space="preserve">argument that the 2013 molestation should have been admitted for all purposes.”  </w:t>
      </w:r>
      <w:r w:rsidR="000A0734" w:rsidRPr="006A7544">
        <w:rPr>
          <w:szCs w:val="26"/>
        </w:rPr>
        <w:t>(</w:t>
      </w:r>
      <w:r w:rsidR="000A0734" w:rsidRPr="006A7544">
        <w:rPr>
          <w:i/>
          <w:iCs/>
          <w:szCs w:val="26"/>
        </w:rPr>
        <w:t>Id</w:t>
      </w:r>
      <w:r w:rsidR="000A0734" w:rsidRPr="006A7544">
        <w:rPr>
          <w:szCs w:val="26"/>
        </w:rPr>
        <w:t xml:space="preserve">. at p. 240.)  </w:t>
      </w:r>
      <w:r w:rsidR="002C3836" w:rsidRPr="006A7544">
        <w:rPr>
          <w:szCs w:val="26"/>
        </w:rPr>
        <w:t xml:space="preserve">Accordingly, as the appellate court held, admission of the </w:t>
      </w:r>
      <w:r w:rsidR="00F30CFD" w:rsidRPr="006A7544">
        <w:rPr>
          <w:szCs w:val="26"/>
        </w:rPr>
        <w:t xml:space="preserve">evidence </w:t>
      </w:r>
      <w:r w:rsidR="006C6D07" w:rsidRPr="006A7544">
        <w:rPr>
          <w:szCs w:val="26"/>
        </w:rPr>
        <w:t xml:space="preserve">regarding the </w:t>
      </w:r>
      <w:r w:rsidR="002C3836" w:rsidRPr="006A7544">
        <w:rPr>
          <w:szCs w:val="26"/>
        </w:rPr>
        <w:t xml:space="preserve">2013 </w:t>
      </w:r>
      <w:r w:rsidR="005B4EB2" w:rsidRPr="006A7544">
        <w:rPr>
          <w:szCs w:val="26"/>
        </w:rPr>
        <w:t xml:space="preserve">molestation </w:t>
      </w:r>
      <w:r w:rsidR="002C3836" w:rsidRPr="006A7544">
        <w:rPr>
          <w:szCs w:val="26"/>
        </w:rPr>
        <w:t xml:space="preserve">must be analyzed under </w:t>
      </w:r>
      <w:r w:rsidR="00ED592B" w:rsidRPr="006A7544">
        <w:rPr>
          <w:szCs w:val="26"/>
        </w:rPr>
        <w:t>sections 1106 and 783</w:t>
      </w:r>
      <w:r w:rsidR="002C3836" w:rsidRPr="006A7544">
        <w:rPr>
          <w:szCs w:val="26"/>
        </w:rPr>
        <w:t xml:space="preserve">.  </w:t>
      </w:r>
    </w:p>
    <w:p w14:paraId="0DB2E7D0" w14:textId="77777777" w:rsidR="00F743BD" w:rsidRDefault="002E6832">
      <w:pPr>
        <w:pStyle w:val="ListParagraph"/>
        <w:ind w:left="0" w:firstLine="720"/>
        <w:rPr>
          <w:szCs w:val="26"/>
        </w:rPr>
      </w:pPr>
      <w:r w:rsidRPr="006A7544">
        <w:rPr>
          <w:szCs w:val="26"/>
        </w:rPr>
        <w:t xml:space="preserve">As </w:t>
      </w:r>
      <w:r w:rsidR="002C1840" w:rsidRPr="006A7544">
        <w:rPr>
          <w:szCs w:val="26"/>
        </w:rPr>
        <w:t xml:space="preserve">explained below, </w:t>
      </w:r>
      <w:r w:rsidR="00EB7098" w:rsidRPr="006A7544">
        <w:rPr>
          <w:szCs w:val="26"/>
        </w:rPr>
        <w:t xml:space="preserve">we conclude </w:t>
      </w:r>
      <w:r w:rsidR="00590C61" w:rsidRPr="006A7544">
        <w:rPr>
          <w:szCs w:val="26"/>
        </w:rPr>
        <w:t xml:space="preserve">that section 1106, subdivision (e), </w:t>
      </w:r>
      <w:r w:rsidR="00590C61" w:rsidRPr="006A7544">
        <w:rPr>
          <w:i/>
          <w:iCs/>
          <w:szCs w:val="26"/>
        </w:rPr>
        <w:t>may</w:t>
      </w:r>
      <w:r w:rsidR="00590C61" w:rsidRPr="006A7544">
        <w:rPr>
          <w:szCs w:val="26"/>
        </w:rPr>
        <w:t xml:space="preserve"> permit admission of evidence that would otherwise be excluded under </w:t>
      </w:r>
      <w:r w:rsidR="00CC128D">
        <w:rPr>
          <w:szCs w:val="26"/>
        </w:rPr>
        <w:t xml:space="preserve">section 1106, </w:t>
      </w:r>
      <w:r w:rsidR="00590C61" w:rsidRPr="006A7544">
        <w:rPr>
          <w:szCs w:val="26"/>
        </w:rPr>
        <w:t xml:space="preserve">subdivision (a).  But such admissibility is subject to the procedures set out in section 783, </w:t>
      </w:r>
      <w:r w:rsidR="009627A5" w:rsidRPr="006A7544">
        <w:rPr>
          <w:szCs w:val="26"/>
        </w:rPr>
        <w:t xml:space="preserve">together with </w:t>
      </w:r>
      <w:r w:rsidR="00C462F0" w:rsidRPr="006A7544">
        <w:rPr>
          <w:szCs w:val="26"/>
        </w:rPr>
        <w:t>careful</w:t>
      </w:r>
      <w:r w:rsidR="00F60BBA" w:rsidRPr="006A7544">
        <w:rPr>
          <w:szCs w:val="26"/>
        </w:rPr>
        <w:t xml:space="preserve"> </w:t>
      </w:r>
      <w:r w:rsidR="00590C61" w:rsidRPr="006A7544">
        <w:rPr>
          <w:szCs w:val="26"/>
        </w:rPr>
        <w:t xml:space="preserve">review and scrutiny under section 352.  </w:t>
      </w:r>
      <w:r w:rsidR="00B6657B" w:rsidRPr="006A7544">
        <w:rPr>
          <w:szCs w:val="26"/>
        </w:rPr>
        <w:t xml:space="preserve">The </w:t>
      </w:r>
      <w:r w:rsidR="00DF01AF" w:rsidRPr="006A7544">
        <w:rPr>
          <w:szCs w:val="26"/>
        </w:rPr>
        <w:t xml:space="preserve">Legislature </w:t>
      </w:r>
      <w:r w:rsidR="00845482" w:rsidRPr="006A7544">
        <w:rPr>
          <w:szCs w:val="26"/>
        </w:rPr>
        <w:t xml:space="preserve">devised </w:t>
      </w:r>
      <w:r w:rsidR="009D6B9E" w:rsidRPr="006A7544">
        <w:rPr>
          <w:szCs w:val="26"/>
        </w:rPr>
        <w:t>section 783</w:t>
      </w:r>
      <w:r w:rsidR="00845482" w:rsidRPr="006A7544">
        <w:rPr>
          <w:szCs w:val="26"/>
        </w:rPr>
        <w:t xml:space="preserve"> to </w:t>
      </w:r>
      <w:r w:rsidR="001443ED" w:rsidRPr="006A7544">
        <w:rPr>
          <w:szCs w:val="26"/>
        </w:rPr>
        <w:t>i</w:t>
      </w:r>
      <w:r w:rsidR="00C01CE0" w:rsidRPr="006A7544">
        <w:rPr>
          <w:szCs w:val="26"/>
        </w:rPr>
        <w:t xml:space="preserve">dentify </w:t>
      </w:r>
      <w:r w:rsidR="001443ED" w:rsidRPr="006A7544">
        <w:rPr>
          <w:szCs w:val="26"/>
        </w:rPr>
        <w:t xml:space="preserve">and </w:t>
      </w:r>
      <w:r w:rsidR="008C03BD" w:rsidRPr="006A7544">
        <w:rPr>
          <w:szCs w:val="26"/>
        </w:rPr>
        <w:t xml:space="preserve">circumscribe </w:t>
      </w:r>
      <w:r w:rsidR="006B5CB3" w:rsidRPr="006A7544">
        <w:rPr>
          <w:szCs w:val="26"/>
        </w:rPr>
        <w:t xml:space="preserve">evidence that may be </w:t>
      </w:r>
      <w:r w:rsidR="00AB7659" w:rsidRPr="006A7544">
        <w:rPr>
          <w:szCs w:val="26"/>
        </w:rPr>
        <w:t xml:space="preserve">admitted to attack </w:t>
      </w:r>
      <w:r w:rsidR="00C94B16" w:rsidRPr="006A7544">
        <w:rPr>
          <w:szCs w:val="26"/>
        </w:rPr>
        <w:t>a</w:t>
      </w:r>
      <w:r w:rsidR="00432C68" w:rsidRPr="006A7544">
        <w:rPr>
          <w:szCs w:val="26"/>
        </w:rPr>
        <w:t xml:space="preserve"> sexual assault plaintiff’s </w:t>
      </w:r>
      <w:r w:rsidR="00AB7659" w:rsidRPr="006A7544">
        <w:rPr>
          <w:szCs w:val="26"/>
        </w:rPr>
        <w:t>credibility</w:t>
      </w:r>
      <w:r w:rsidR="00084882" w:rsidRPr="006A7544">
        <w:rPr>
          <w:szCs w:val="26"/>
        </w:rPr>
        <w:t xml:space="preserve">.  </w:t>
      </w:r>
      <w:r w:rsidR="00A9675F" w:rsidRPr="006A7544">
        <w:rPr>
          <w:szCs w:val="26"/>
        </w:rPr>
        <w:t xml:space="preserve">Correspondingly, </w:t>
      </w:r>
      <w:r w:rsidR="009D6B9E" w:rsidRPr="006A7544">
        <w:rPr>
          <w:szCs w:val="26"/>
        </w:rPr>
        <w:t>section</w:t>
      </w:r>
      <w:r w:rsidR="00704E24" w:rsidRPr="006A7544">
        <w:rPr>
          <w:szCs w:val="26"/>
        </w:rPr>
        <w:t xml:space="preserve"> </w:t>
      </w:r>
      <w:r w:rsidR="009D6B9E" w:rsidRPr="006A7544">
        <w:rPr>
          <w:szCs w:val="26"/>
        </w:rPr>
        <w:t>352</w:t>
      </w:r>
      <w:r w:rsidR="00084882" w:rsidRPr="006A7544">
        <w:rPr>
          <w:szCs w:val="26"/>
        </w:rPr>
        <w:t xml:space="preserve">, as </w:t>
      </w:r>
      <w:r w:rsidR="003C3774" w:rsidRPr="006A7544">
        <w:rPr>
          <w:szCs w:val="26"/>
        </w:rPr>
        <w:t>applie</w:t>
      </w:r>
      <w:r w:rsidR="00DC7196" w:rsidRPr="006A7544">
        <w:rPr>
          <w:szCs w:val="26"/>
        </w:rPr>
        <w:t>d</w:t>
      </w:r>
      <w:r w:rsidR="003C3774" w:rsidRPr="006A7544">
        <w:rPr>
          <w:szCs w:val="26"/>
        </w:rPr>
        <w:t xml:space="preserve"> in this setting, </w:t>
      </w:r>
      <w:r w:rsidR="0091588B" w:rsidRPr="006A7544">
        <w:rPr>
          <w:szCs w:val="26"/>
        </w:rPr>
        <w:t>requires special informed review and scrutiny</w:t>
      </w:r>
      <w:r w:rsidR="00B00ED1" w:rsidRPr="006A7544">
        <w:rPr>
          <w:szCs w:val="26"/>
        </w:rPr>
        <w:t xml:space="preserve"> designed to </w:t>
      </w:r>
      <w:r w:rsidR="000353DD" w:rsidRPr="006A7544">
        <w:rPr>
          <w:szCs w:val="26"/>
        </w:rPr>
        <w:t xml:space="preserve">protect </w:t>
      </w:r>
      <w:r w:rsidR="00FA74C7" w:rsidRPr="006A7544">
        <w:rPr>
          <w:szCs w:val="26"/>
        </w:rPr>
        <w:t xml:space="preserve">such </w:t>
      </w:r>
      <w:r w:rsidR="000353DD" w:rsidRPr="006A7544">
        <w:rPr>
          <w:szCs w:val="26"/>
        </w:rPr>
        <w:t xml:space="preserve">a </w:t>
      </w:r>
      <w:r w:rsidR="0059539A" w:rsidRPr="006A7544">
        <w:rPr>
          <w:szCs w:val="26"/>
        </w:rPr>
        <w:t>plaintiff</w:t>
      </w:r>
      <w:r w:rsidR="000353DD" w:rsidRPr="006A7544">
        <w:rPr>
          <w:szCs w:val="26"/>
        </w:rPr>
        <w:t xml:space="preserve">’s privacy rights and </w:t>
      </w:r>
      <w:r w:rsidR="008C03BD" w:rsidRPr="006A7544">
        <w:rPr>
          <w:szCs w:val="26"/>
        </w:rPr>
        <w:lastRenderedPageBreak/>
        <w:t xml:space="preserve">limit </w:t>
      </w:r>
      <w:r w:rsidR="009D6B9E" w:rsidRPr="006A7544">
        <w:rPr>
          <w:szCs w:val="26"/>
        </w:rPr>
        <w:t xml:space="preserve">introduction of evidence concerning </w:t>
      </w:r>
      <w:r w:rsidR="0059539A" w:rsidRPr="006A7544">
        <w:rPr>
          <w:szCs w:val="26"/>
        </w:rPr>
        <w:t xml:space="preserve">that person’s </w:t>
      </w:r>
      <w:r w:rsidR="009D6B9E" w:rsidRPr="006A7544">
        <w:rPr>
          <w:szCs w:val="26"/>
        </w:rPr>
        <w:t xml:space="preserve">sexual conduct.  </w:t>
      </w:r>
    </w:p>
    <w:p w14:paraId="0DB2E7D1" w14:textId="77777777" w:rsidR="00816B3B" w:rsidRPr="00535A24" w:rsidRDefault="002E6832" w:rsidP="00270FDE">
      <w:pPr>
        <w:pStyle w:val="Heading2"/>
        <w:keepLines/>
      </w:pPr>
      <w:r w:rsidRPr="00535A24">
        <w:t>A</w:t>
      </w:r>
      <w:r w:rsidR="007B49CD" w:rsidRPr="00535A24">
        <w:t xml:space="preserve">.  </w:t>
      </w:r>
      <w:r w:rsidR="009B3399" w:rsidRPr="00535A24">
        <w:t xml:space="preserve">Does </w:t>
      </w:r>
      <w:r w:rsidR="00C94F49" w:rsidRPr="00535A24">
        <w:t>S</w:t>
      </w:r>
      <w:r w:rsidR="009E5DE4" w:rsidRPr="00535A24">
        <w:t xml:space="preserve">ection 1106, </w:t>
      </w:r>
      <w:r w:rsidR="00C94F49" w:rsidRPr="00535A24">
        <w:t>S</w:t>
      </w:r>
      <w:r w:rsidR="009E5DE4" w:rsidRPr="00535A24">
        <w:t>ubdivision (e)</w:t>
      </w:r>
      <w:r w:rsidR="006022AA">
        <w:t>,</w:t>
      </w:r>
      <w:r w:rsidR="00384131" w:rsidRPr="00535A24">
        <w:t xml:space="preserve"> </w:t>
      </w:r>
      <w:r w:rsidR="00C94F49" w:rsidRPr="00535A24">
        <w:t>A</w:t>
      </w:r>
      <w:r w:rsidR="00384131" w:rsidRPr="00535A24">
        <w:t>llow</w:t>
      </w:r>
      <w:r w:rsidR="005C012E" w:rsidRPr="00535A24">
        <w:t xml:space="preserve"> </w:t>
      </w:r>
      <w:r w:rsidR="00C94F49" w:rsidRPr="00535A24">
        <w:t>A</w:t>
      </w:r>
      <w:r w:rsidR="009E5DE4" w:rsidRPr="00535A24">
        <w:t xml:space="preserve">dmission of the </w:t>
      </w:r>
      <w:r w:rsidR="00C94F49" w:rsidRPr="00535A24">
        <w:rPr>
          <w:i/>
          <w:iCs/>
        </w:rPr>
        <w:t>S</w:t>
      </w:r>
      <w:r w:rsidR="009E5DE4" w:rsidRPr="00535A24">
        <w:rPr>
          <w:i/>
          <w:iCs/>
        </w:rPr>
        <w:t>ame</w:t>
      </w:r>
      <w:r w:rsidR="009E5DE4" w:rsidRPr="00535A24">
        <w:t xml:space="preserve"> </w:t>
      </w:r>
      <w:r w:rsidR="00C94F49" w:rsidRPr="00535A24">
        <w:t>E</w:t>
      </w:r>
      <w:r w:rsidR="009E5DE4" w:rsidRPr="00535A24">
        <w:t xml:space="preserve">vidence </w:t>
      </w:r>
      <w:r w:rsidR="00C94F49" w:rsidRPr="00535A24">
        <w:t>P</w:t>
      </w:r>
      <w:r w:rsidR="00143031" w:rsidRPr="00535A24">
        <w:t xml:space="preserve">rohibited </w:t>
      </w:r>
      <w:r w:rsidR="00C94F49" w:rsidRPr="00535A24">
        <w:t>U</w:t>
      </w:r>
      <w:r w:rsidR="00143031" w:rsidRPr="00535A24">
        <w:t xml:space="preserve">nder </w:t>
      </w:r>
      <w:r w:rsidR="00C94F49" w:rsidRPr="00535A24">
        <w:t>S</w:t>
      </w:r>
      <w:r w:rsidR="00143031" w:rsidRPr="00535A24">
        <w:t>ubdivision (a)</w:t>
      </w:r>
      <w:r w:rsidR="00D678E5" w:rsidRPr="00535A24">
        <w:t xml:space="preserve"> </w:t>
      </w:r>
      <w:r w:rsidR="008951E1">
        <w:t>T</w:t>
      </w:r>
      <w:r w:rsidR="0024792D" w:rsidRPr="00535A24">
        <w:t xml:space="preserve">o </w:t>
      </w:r>
      <w:r w:rsidR="00C94F49" w:rsidRPr="00535A24">
        <w:t>A</w:t>
      </w:r>
      <w:r w:rsidR="009E5DE4" w:rsidRPr="00535A24">
        <w:t xml:space="preserve">ttack the </w:t>
      </w:r>
      <w:r w:rsidR="00C94F49" w:rsidRPr="00535A24">
        <w:t>C</w:t>
      </w:r>
      <w:r w:rsidR="009E5DE4" w:rsidRPr="00535A24">
        <w:t xml:space="preserve">redibility of a </w:t>
      </w:r>
      <w:r w:rsidR="00C94F49" w:rsidRPr="00535A24">
        <w:t>W</w:t>
      </w:r>
      <w:r w:rsidR="009E5DE4" w:rsidRPr="00535A24">
        <w:t xml:space="preserve">itness’s </w:t>
      </w:r>
      <w:r w:rsidR="00C94F49" w:rsidRPr="00535A24">
        <w:t>T</w:t>
      </w:r>
      <w:r w:rsidR="009E5DE4" w:rsidRPr="00535A24">
        <w:t xml:space="preserve">estimony as it </w:t>
      </w:r>
      <w:r w:rsidR="00C94F49" w:rsidRPr="00535A24">
        <w:t>R</w:t>
      </w:r>
      <w:r w:rsidR="009E5DE4" w:rsidRPr="00535A24">
        <w:t xml:space="preserve">elates to </w:t>
      </w:r>
      <w:r w:rsidR="00C94F49" w:rsidRPr="00535A24">
        <w:t>A</w:t>
      </w:r>
      <w:r w:rsidR="009E5DE4" w:rsidRPr="00535A24">
        <w:t xml:space="preserve">pportionment of </w:t>
      </w:r>
      <w:r w:rsidR="00C94F49" w:rsidRPr="00535A24">
        <w:t>I</w:t>
      </w:r>
      <w:r w:rsidR="009E5DE4" w:rsidRPr="00535A24">
        <w:t xml:space="preserve">njury in the </w:t>
      </w:r>
      <w:r w:rsidR="00C94F49" w:rsidRPr="00535A24">
        <w:t>C</w:t>
      </w:r>
      <w:r w:rsidR="009E5DE4" w:rsidRPr="00535A24">
        <w:t xml:space="preserve">alculation of </w:t>
      </w:r>
      <w:r w:rsidR="00C94F49" w:rsidRPr="00535A24">
        <w:t>D</w:t>
      </w:r>
      <w:r w:rsidR="009E5DE4" w:rsidRPr="00535A24">
        <w:t>amages?</w:t>
      </w:r>
      <w:r w:rsidR="00D66A9C" w:rsidRPr="00535A24">
        <w:t xml:space="preserve"> </w:t>
      </w:r>
    </w:p>
    <w:p w14:paraId="0DB2E7D2" w14:textId="77777777" w:rsidR="005072DE" w:rsidRPr="00270FDE" w:rsidRDefault="002E6832" w:rsidP="00270FDE">
      <w:pPr>
        <w:ind w:firstLine="720"/>
        <w:rPr>
          <w:szCs w:val="26"/>
        </w:rPr>
      </w:pPr>
      <w:r w:rsidRPr="00270FDE">
        <w:rPr>
          <w:szCs w:val="26"/>
        </w:rPr>
        <w:t xml:space="preserve">As </w:t>
      </w:r>
      <w:r w:rsidR="008E3895" w:rsidRPr="00270FDE">
        <w:rPr>
          <w:szCs w:val="26"/>
        </w:rPr>
        <w:t xml:space="preserve">noted </w:t>
      </w:r>
      <w:r w:rsidR="000D0BA1" w:rsidRPr="00270FDE">
        <w:rPr>
          <w:szCs w:val="26"/>
        </w:rPr>
        <w:t xml:space="preserve">earlier, </w:t>
      </w:r>
      <w:r w:rsidR="00EF3826" w:rsidRPr="00270FDE">
        <w:rPr>
          <w:szCs w:val="26"/>
        </w:rPr>
        <w:t xml:space="preserve">section </w:t>
      </w:r>
      <w:r w:rsidR="00343E43" w:rsidRPr="00270FDE">
        <w:rPr>
          <w:szCs w:val="26"/>
        </w:rPr>
        <w:t>1106, subdivision (a)</w:t>
      </w:r>
      <w:r w:rsidR="00CC128D">
        <w:rPr>
          <w:szCs w:val="26"/>
        </w:rPr>
        <w:t>,</w:t>
      </w:r>
      <w:r w:rsidR="00343E43" w:rsidRPr="00270FDE">
        <w:rPr>
          <w:szCs w:val="26"/>
        </w:rPr>
        <w:t xml:space="preserve"> provides </w:t>
      </w:r>
      <w:r w:rsidR="004A3885" w:rsidRPr="00270FDE">
        <w:rPr>
          <w:szCs w:val="26"/>
        </w:rPr>
        <w:t xml:space="preserve">generally that </w:t>
      </w:r>
      <w:r w:rsidR="001350BF" w:rsidRPr="00270FDE">
        <w:rPr>
          <w:szCs w:val="26"/>
        </w:rPr>
        <w:t>“[i]n any civil action alleging conduct which constitutes sexual harassment, sexual assault, or sexual battery</w:t>
      </w:r>
      <w:r w:rsidR="00D31F05" w:rsidRPr="00270FDE">
        <w:rPr>
          <w:szCs w:val="26"/>
        </w:rPr>
        <w:t>,</w:t>
      </w:r>
      <w:r w:rsidR="00123B4C" w:rsidRPr="00270FDE">
        <w:rPr>
          <w:szCs w:val="26"/>
        </w:rPr>
        <w:t xml:space="preserve"> . .</w:t>
      </w:r>
      <w:r w:rsidR="009C15CA" w:rsidRPr="00270FDE">
        <w:rPr>
          <w:szCs w:val="26"/>
        </w:rPr>
        <w:t xml:space="preserve"> . </w:t>
      </w:r>
      <w:r w:rsidR="00343E43" w:rsidRPr="00270FDE">
        <w:rPr>
          <w:szCs w:val="26"/>
        </w:rPr>
        <w:t>evidence of specific instances of the plaintiff’s sexual conduct</w:t>
      </w:r>
      <w:r w:rsidR="004A3885" w:rsidRPr="00270FDE">
        <w:rPr>
          <w:szCs w:val="26"/>
        </w:rPr>
        <w:t xml:space="preserve"> </w:t>
      </w:r>
      <w:r w:rsidR="004A3885" w:rsidRPr="00270FDE">
        <w:rPr>
          <w:szCs w:val="28"/>
        </w:rPr>
        <w:t xml:space="preserve">. . . </w:t>
      </w:r>
      <w:r w:rsidR="00343E43" w:rsidRPr="00270FDE">
        <w:rPr>
          <w:i/>
          <w:iCs/>
          <w:szCs w:val="26"/>
        </w:rPr>
        <w:t>is not admissible</w:t>
      </w:r>
      <w:r w:rsidR="00343E43" w:rsidRPr="00270FDE">
        <w:rPr>
          <w:szCs w:val="26"/>
        </w:rPr>
        <w:t xml:space="preserve"> by the defendant in order to prove consent by the plaintiff </w:t>
      </w:r>
      <w:r w:rsidR="00343E43" w:rsidRPr="00270FDE">
        <w:rPr>
          <w:i/>
          <w:iCs/>
          <w:szCs w:val="26"/>
        </w:rPr>
        <w:t>or the absence of injury to the plaintiff</w:t>
      </w:r>
      <w:r w:rsidR="00CC128D">
        <w:rPr>
          <w:i/>
          <w:iCs/>
          <w:szCs w:val="26"/>
        </w:rPr>
        <w:t> </w:t>
      </w:r>
      <w:r w:rsidR="004616AD" w:rsidRPr="00270FDE">
        <w:rPr>
          <w:i/>
          <w:iCs/>
          <w:szCs w:val="26"/>
        </w:rPr>
        <w:t>.</w:t>
      </w:r>
      <w:r w:rsidR="00CC128D">
        <w:rPr>
          <w:i/>
          <w:iCs/>
          <w:szCs w:val="26"/>
        </w:rPr>
        <w:t> . . .</w:t>
      </w:r>
      <w:r w:rsidR="00AA614F" w:rsidRPr="00270FDE">
        <w:rPr>
          <w:szCs w:val="26"/>
        </w:rPr>
        <w:t xml:space="preserve">” </w:t>
      </w:r>
      <w:r w:rsidR="004616AD" w:rsidRPr="00270FDE">
        <w:rPr>
          <w:szCs w:val="26"/>
        </w:rPr>
        <w:t xml:space="preserve"> </w:t>
      </w:r>
      <w:r w:rsidR="009C15CA" w:rsidRPr="00270FDE">
        <w:rPr>
          <w:szCs w:val="26"/>
        </w:rPr>
        <w:t>(</w:t>
      </w:r>
      <w:r w:rsidR="004616AD" w:rsidRPr="00270FDE">
        <w:rPr>
          <w:szCs w:val="26"/>
        </w:rPr>
        <w:t>I</w:t>
      </w:r>
      <w:r w:rsidR="009C15CA" w:rsidRPr="00270FDE">
        <w:rPr>
          <w:szCs w:val="26"/>
        </w:rPr>
        <w:t>talics added</w:t>
      </w:r>
      <w:r w:rsidR="004616AD" w:rsidRPr="00270FDE">
        <w:rPr>
          <w:szCs w:val="26"/>
        </w:rPr>
        <w:t xml:space="preserve">.)  </w:t>
      </w:r>
      <w:r w:rsidR="008B4B86" w:rsidRPr="00270FDE">
        <w:rPr>
          <w:szCs w:val="26"/>
        </w:rPr>
        <w:t xml:space="preserve">Yet </w:t>
      </w:r>
      <w:r w:rsidR="004907DD" w:rsidRPr="00270FDE">
        <w:rPr>
          <w:szCs w:val="26"/>
        </w:rPr>
        <w:t>th</w:t>
      </w:r>
      <w:r w:rsidR="0053120D" w:rsidRPr="00270FDE">
        <w:rPr>
          <w:szCs w:val="26"/>
        </w:rPr>
        <w:t xml:space="preserve">e </w:t>
      </w:r>
      <w:r w:rsidR="004907DD" w:rsidRPr="00270FDE">
        <w:rPr>
          <w:szCs w:val="26"/>
        </w:rPr>
        <w:t xml:space="preserve">same statute’s </w:t>
      </w:r>
      <w:r w:rsidR="00A44CCC" w:rsidRPr="00270FDE">
        <w:rPr>
          <w:szCs w:val="26"/>
        </w:rPr>
        <w:t>subdivision (</w:t>
      </w:r>
      <w:r w:rsidRPr="00270FDE">
        <w:rPr>
          <w:szCs w:val="26"/>
        </w:rPr>
        <w:t>e</w:t>
      </w:r>
      <w:r w:rsidR="00A44CCC" w:rsidRPr="00270FDE">
        <w:rPr>
          <w:szCs w:val="26"/>
        </w:rPr>
        <w:t xml:space="preserve">) </w:t>
      </w:r>
      <w:r w:rsidR="00B804FA" w:rsidRPr="00270FDE">
        <w:rPr>
          <w:szCs w:val="26"/>
        </w:rPr>
        <w:t>states</w:t>
      </w:r>
      <w:r w:rsidR="0024534B" w:rsidRPr="00270FDE">
        <w:rPr>
          <w:szCs w:val="26"/>
        </w:rPr>
        <w:t xml:space="preserve">:  </w:t>
      </w:r>
      <w:r w:rsidR="000D0BA1" w:rsidRPr="00270FDE">
        <w:rPr>
          <w:szCs w:val="26"/>
        </w:rPr>
        <w:t xml:space="preserve">“This section shall not be construed to make inadmissible any evidence offered to attack the credibility of the plaintiff as provided in Section 783.”  </w:t>
      </w:r>
    </w:p>
    <w:p w14:paraId="0DB2E7D3" w14:textId="77777777" w:rsidR="004235CB" w:rsidRPr="00FF5C62" w:rsidRDefault="002E6832" w:rsidP="00270FDE">
      <w:pPr>
        <w:ind w:firstLine="720"/>
        <w:rPr>
          <w:szCs w:val="26"/>
        </w:rPr>
      </w:pPr>
      <w:r w:rsidRPr="00270FDE">
        <w:rPr>
          <w:szCs w:val="26"/>
        </w:rPr>
        <w:t xml:space="preserve">In turn, </w:t>
      </w:r>
      <w:r w:rsidR="00F2258E" w:rsidRPr="00270FDE">
        <w:rPr>
          <w:szCs w:val="26"/>
        </w:rPr>
        <w:t>section 783</w:t>
      </w:r>
      <w:r w:rsidR="00A5249A" w:rsidRPr="00270FDE">
        <w:rPr>
          <w:szCs w:val="26"/>
        </w:rPr>
        <w:t xml:space="preserve"> </w:t>
      </w:r>
      <w:r w:rsidR="00F95BBE" w:rsidRPr="00270FDE">
        <w:rPr>
          <w:szCs w:val="26"/>
        </w:rPr>
        <w:t xml:space="preserve">lists </w:t>
      </w:r>
      <w:r w:rsidR="0041379A">
        <w:rPr>
          <w:szCs w:val="26"/>
        </w:rPr>
        <w:t xml:space="preserve">detailed </w:t>
      </w:r>
      <w:r w:rsidR="003B186C" w:rsidRPr="00270FDE">
        <w:rPr>
          <w:szCs w:val="26"/>
        </w:rPr>
        <w:t xml:space="preserve">procedures to be followed </w:t>
      </w:r>
      <w:r w:rsidR="00233A2F" w:rsidRPr="00270FDE">
        <w:rPr>
          <w:szCs w:val="26"/>
        </w:rPr>
        <w:t>“</w:t>
      </w:r>
      <w:r w:rsidR="003B186C" w:rsidRPr="00270FDE">
        <w:rPr>
          <w:szCs w:val="26"/>
        </w:rPr>
        <w:t>[i]</w:t>
      </w:r>
      <w:r w:rsidR="00326EAC" w:rsidRPr="00270FDE">
        <w:rPr>
          <w:szCs w:val="26"/>
        </w:rPr>
        <w:t>n any civil action alleging conduct which constitutes sexual harassment, sexual assault, or sexual battery, if evidence of sexual conduct of the plaintiff is offered to attack credibility of the plaintiff unde</w:t>
      </w:r>
      <w:r w:rsidR="00B47342" w:rsidRPr="00270FDE">
        <w:rPr>
          <w:szCs w:val="26"/>
        </w:rPr>
        <w:t>r Section 780</w:t>
      </w:r>
      <w:r w:rsidR="00AB0CCF" w:rsidRPr="00270FDE">
        <w:rPr>
          <w:szCs w:val="26"/>
        </w:rPr>
        <w:t>,</w:t>
      </w:r>
      <w:r w:rsidR="003B186C" w:rsidRPr="00270FDE">
        <w:rPr>
          <w:szCs w:val="26"/>
        </w:rPr>
        <w:t>”</w:t>
      </w:r>
      <w:r w:rsidR="0055586E" w:rsidRPr="00270FDE">
        <w:rPr>
          <w:szCs w:val="26"/>
        </w:rPr>
        <w:t xml:space="preserve"> which </w:t>
      </w:r>
      <w:r w:rsidR="008855D5" w:rsidRPr="00270FDE">
        <w:rPr>
          <w:szCs w:val="26"/>
        </w:rPr>
        <w:t xml:space="preserve">governs witness credibility </w:t>
      </w:r>
      <w:r w:rsidR="005C2767" w:rsidRPr="00270FDE">
        <w:rPr>
          <w:szCs w:val="26"/>
        </w:rPr>
        <w:t>generally</w:t>
      </w:r>
      <w:r w:rsidR="0055586E" w:rsidRPr="00270FDE">
        <w:rPr>
          <w:szCs w:val="26"/>
        </w:rPr>
        <w:t xml:space="preserve">. </w:t>
      </w:r>
      <w:r w:rsidR="00B47342" w:rsidRPr="00270FDE">
        <w:rPr>
          <w:szCs w:val="26"/>
        </w:rPr>
        <w:t xml:space="preserve"> </w:t>
      </w:r>
      <w:r w:rsidR="0055586E" w:rsidRPr="00270FDE">
        <w:rPr>
          <w:szCs w:val="26"/>
        </w:rPr>
        <w:t xml:space="preserve">The procedures </w:t>
      </w:r>
      <w:r w:rsidR="00490E39" w:rsidRPr="00270FDE">
        <w:rPr>
          <w:szCs w:val="26"/>
        </w:rPr>
        <w:t>set out in section 78</w:t>
      </w:r>
      <w:r w:rsidR="003F64D2" w:rsidRPr="00270FDE">
        <w:rPr>
          <w:szCs w:val="26"/>
        </w:rPr>
        <w:t>3, subdivisions (a)</w:t>
      </w:r>
      <w:r w:rsidR="002C0615" w:rsidRPr="00270FDE">
        <w:rPr>
          <w:szCs w:val="26"/>
        </w:rPr>
        <w:t>–</w:t>
      </w:r>
      <w:r w:rsidR="003F64D2" w:rsidRPr="00270FDE">
        <w:rPr>
          <w:szCs w:val="26"/>
        </w:rPr>
        <w:t>(c)</w:t>
      </w:r>
      <w:r w:rsidR="00C46EC0">
        <w:rPr>
          <w:szCs w:val="26"/>
        </w:rPr>
        <w:t>,</w:t>
      </w:r>
      <w:r w:rsidR="003F64D2" w:rsidRPr="00270FDE">
        <w:rPr>
          <w:szCs w:val="26"/>
        </w:rPr>
        <w:t xml:space="preserve"> </w:t>
      </w:r>
      <w:r w:rsidR="00B408D1" w:rsidRPr="00270FDE">
        <w:rPr>
          <w:szCs w:val="26"/>
        </w:rPr>
        <w:t xml:space="preserve">call for a written motion, an affidavit accompanied by an offer of proof, </w:t>
      </w:r>
      <w:r w:rsidR="00C814E9" w:rsidRPr="00270FDE">
        <w:rPr>
          <w:szCs w:val="26"/>
        </w:rPr>
        <w:t xml:space="preserve">and </w:t>
      </w:r>
      <w:r w:rsidR="00B408D1" w:rsidRPr="00270FDE">
        <w:rPr>
          <w:szCs w:val="26"/>
        </w:rPr>
        <w:t>a hearing outside the presence of any jury</w:t>
      </w:r>
      <w:r w:rsidR="00EA7722" w:rsidRPr="00270FDE">
        <w:rPr>
          <w:szCs w:val="26"/>
        </w:rPr>
        <w:t xml:space="preserve"> at which there may be </w:t>
      </w:r>
      <w:r w:rsidR="00B408D1" w:rsidRPr="00270FDE">
        <w:rPr>
          <w:szCs w:val="26"/>
        </w:rPr>
        <w:t xml:space="preserve">questioning of the </w:t>
      </w:r>
      <w:r w:rsidR="000F4A3D" w:rsidRPr="00270FDE">
        <w:rPr>
          <w:szCs w:val="26"/>
        </w:rPr>
        <w:lastRenderedPageBreak/>
        <w:t>plaintiff</w:t>
      </w:r>
      <w:r w:rsidR="00E220F2" w:rsidRPr="00270FDE">
        <w:rPr>
          <w:szCs w:val="26"/>
        </w:rPr>
        <w:t>.</w:t>
      </w:r>
      <w:r>
        <w:rPr>
          <w:rStyle w:val="FootnoteReference"/>
          <w:bCs/>
          <w:szCs w:val="26"/>
        </w:rPr>
        <w:footnoteReference w:id="9"/>
      </w:r>
      <w:r w:rsidR="00E220F2" w:rsidRPr="00FF5C62">
        <w:rPr>
          <w:szCs w:val="26"/>
        </w:rPr>
        <w:t xml:space="preserve"> </w:t>
      </w:r>
      <w:r w:rsidR="005E0406" w:rsidRPr="00FF5C62">
        <w:rPr>
          <w:szCs w:val="26"/>
        </w:rPr>
        <w:t xml:space="preserve"> Next</w:t>
      </w:r>
      <w:r w:rsidR="00354516" w:rsidRPr="00FF5C62">
        <w:rPr>
          <w:szCs w:val="26"/>
        </w:rPr>
        <w:t xml:space="preserve">, </w:t>
      </w:r>
      <w:r w:rsidR="0074592E" w:rsidRPr="00FF5C62">
        <w:rPr>
          <w:szCs w:val="26"/>
        </w:rPr>
        <w:t xml:space="preserve">section 783, </w:t>
      </w:r>
      <w:r w:rsidR="00F2258E" w:rsidRPr="00FF5C62">
        <w:rPr>
          <w:szCs w:val="26"/>
        </w:rPr>
        <w:t>subdivision (d),</w:t>
      </w:r>
      <w:r w:rsidR="00082771" w:rsidRPr="00FF5C62">
        <w:rPr>
          <w:szCs w:val="26"/>
        </w:rPr>
        <w:t xml:space="preserve"> </w:t>
      </w:r>
      <w:r w:rsidR="00F2258E" w:rsidRPr="00FF5C62">
        <w:rPr>
          <w:szCs w:val="26"/>
        </w:rPr>
        <w:t xml:space="preserve">provides:  </w:t>
      </w:r>
      <w:r w:rsidR="00D71235" w:rsidRPr="00FF5C62">
        <w:rPr>
          <w:szCs w:val="26"/>
        </w:rPr>
        <w:t>“</w:t>
      </w:r>
      <w:r w:rsidR="00A2560F" w:rsidRPr="00FF5C62">
        <w:rPr>
          <w:szCs w:val="26"/>
        </w:rPr>
        <w:t>At the conclusion of the hearing, if the court finds that evidence proposed to be offered by the defendant regarding the sexual conduct of the plaintiff is relevant pursuant to</w:t>
      </w:r>
      <w:r w:rsidR="00FB369F" w:rsidRPr="00FF5C62">
        <w:rPr>
          <w:szCs w:val="26"/>
        </w:rPr>
        <w:t xml:space="preserve"> Section</w:t>
      </w:r>
      <w:r w:rsidR="00217554" w:rsidRPr="00FF5C62">
        <w:rPr>
          <w:szCs w:val="26"/>
        </w:rPr>
        <w:t> </w:t>
      </w:r>
      <w:r w:rsidR="00FB369F" w:rsidRPr="00FF5C62">
        <w:rPr>
          <w:szCs w:val="26"/>
        </w:rPr>
        <w:t xml:space="preserve">780, </w:t>
      </w:r>
      <w:r w:rsidR="00A2560F" w:rsidRPr="00FF5C62">
        <w:rPr>
          <w:szCs w:val="26"/>
        </w:rPr>
        <w:t xml:space="preserve">and is not inadmissible pursuant </w:t>
      </w:r>
      <w:r w:rsidR="00FB369F" w:rsidRPr="00FF5C62">
        <w:rPr>
          <w:szCs w:val="26"/>
        </w:rPr>
        <w:t xml:space="preserve">to Section </w:t>
      </w:r>
      <w:r w:rsidR="00662123" w:rsidRPr="00FF5C62">
        <w:rPr>
          <w:szCs w:val="26"/>
        </w:rPr>
        <w:t xml:space="preserve">352, </w:t>
      </w:r>
      <w:r w:rsidR="00A2560F" w:rsidRPr="00FF5C62">
        <w:rPr>
          <w:szCs w:val="26"/>
        </w:rPr>
        <w:t xml:space="preserve">the court may make an order stating what evidence may be introduced by the defendant, and the nature of the questions to be permitted. </w:t>
      </w:r>
      <w:r w:rsidR="00662123" w:rsidRPr="00FF5C62">
        <w:rPr>
          <w:szCs w:val="26"/>
        </w:rPr>
        <w:t xml:space="preserve"> </w:t>
      </w:r>
      <w:r w:rsidR="00A2560F" w:rsidRPr="00FF5C62">
        <w:rPr>
          <w:szCs w:val="26"/>
        </w:rPr>
        <w:t>The defendant may then offer evidence pursuant to the order of the court.</w:t>
      </w:r>
      <w:r w:rsidR="00662123" w:rsidRPr="00FF5C62">
        <w:rPr>
          <w:szCs w:val="26"/>
        </w:rPr>
        <w:t>”</w:t>
      </w:r>
      <w:r w:rsidR="00AA5E4B" w:rsidRPr="00FF5C62">
        <w:rPr>
          <w:strike/>
          <w:szCs w:val="26"/>
        </w:rPr>
        <w:t xml:space="preserve">  </w:t>
      </w:r>
    </w:p>
    <w:p w14:paraId="0DB2E7D4" w14:textId="77777777" w:rsidR="004C09D8" w:rsidRPr="00E46396" w:rsidRDefault="002E6832" w:rsidP="00270FDE">
      <w:pPr>
        <w:ind w:firstLine="720"/>
        <w:rPr>
          <w:szCs w:val="26"/>
        </w:rPr>
      </w:pPr>
      <w:r w:rsidRPr="00FF5C62">
        <w:rPr>
          <w:szCs w:val="26"/>
        </w:rPr>
        <w:t xml:space="preserve">Viewing this scheme </w:t>
      </w:r>
      <w:r w:rsidR="00A82CE6" w:rsidRPr="00FF5C62">
        <w:rPr>
          <w:szCs w:val="26"/>
        </w:rPr>
        <w:t xml:space="preserve">as adopted in 1985 </w:t>
      </w:r>
      <w:r w:rsidRPr="00FF5C62">
        <w:rPr>
          <w:szCs w:val="26"/>
        </w:rPr>
        <w:t>as a whole and giv</w:t>
      </w:r>
      <w:r w:rsidR="0098595E" w:rsidRPr="00FF5C62">
        <w:rPr>
          <w:szCs w:val="26"/>
        </w:rPr>
        <w:t xml:space="preserve">ing full </w:t>
      </w:r>
      <w:r w:rsidRPr="00FF5C62">
        <w:rPr>
          <w:szCs w:val="26"/>
        </w:rPr>
        <w:t>effect</w:t>
      </w:r>
      <w:r w:rsidR="007433C3" w:rsidRPr="00FF5C62">
        <w:rPr>
          <w:szCs w:val="26"/>
        </w:rPr>
        <w:t xml:space="preserve"> </w:t>
      </w:r>
      <w:r w:rsidRPr="00FF5C62">
        <w:rPr>
          <w:szCs w:val="26"/>
        </w:rPr>
        <w:t xml:space="preserve">to all of its </w:t>
      </w:r>
      <w:r w:rsidR="00E1465B" w:rsidRPr="00FF5C62">
        <w:rPr>
          <w:szCs w:val="26"/>
        </w:rPr>
        <w:t xml:space="preserve">words and </w:t>
      </w:r>
      <w:r w:rsidRPr="00FF5C62">
        <w:rPr>
          <w:szCs w:val="26"/>
        </w:rPr>
        <w:t>parts</w:t>
      </w:r>
      <w:r w:rsidR="0098595E" w:rsidRPr="00FF5C62">
        <w:rPr>
          <w:szCs w:val="26"/>
        </w:rPr>
        <w:t xml:space="preserve"> </w:t>
      </w:r>
      <w:r w:rsidR="005C012E" w:rsidRPr="00FF5C62">
        <w:rPr>
          <w:szCs w:val="26"/>
        </w:rPr>
        <w:t>(</w:t>
      </w:r>
      <w:r w:rsidR="005C012E" w:rsidRPr="00FF5C62">
        <w:rPr>
          <w:i/>
          <w:iCs/>
          <w:szCs w:val="26"/>
        </w:rPr>
        <w:t>Smith v. LoanMe, Inc.</w:t>
      </w:r>
      <w:r w:rsidR="005C012E" w:rsidRPr="00FF5C62">
        <w:rPr>
          <w:szCs w:val="26"/>
        </w:rPr>
        <w:t xml:space="preserve"> (2021) 11 Cal.5th 183, 190)</w:t>
      </w:r>
      <w:r w:rsidR="004920FD" w:rsidRPr="00FF5C62">
        <w:rPr>
          <w:szCs w:val="26"/>
        </w:rPr>
        <w:t xml:space="preserve">, </w:t>
      </w:r>
      <w:r w:rsidR="00B72B32" w:rsidRPr="00FF5C62">
        <w:rPr>
          <w:szCs w:val="26"/>
        </w:rPr>
        <w:t xml:space="preserve">it </w:t>
      </w:r>
      <w:r w:rsidR="00C70E0A" w:rsidRPr="00FF5C62">
        <w:rPr>
          <w:szCs w:val="26"/>
        </w:rPr>
        <w:t xml:space="preserve">is </w:t>
      </w:r>
      <w:r w:rsidR="00B72B32" w:rsidRPr="00FF5C62">
        <w:rPr>
          <w:szCs w:val="26"/>
        </w:rPr>
        <w:t xml:space="preserve">clear that </w:t>
      </w:r>
      <w:r w:rsidR="00232D23" w:rsidRPr="00FF5C62">
        <w:rPr>
          <w:szCs w:val="26"/>
        </w:rPr>
        <w:t xml:space="preserve">section </w:t>
      </w:r>
      <w:r w:rsidR="0020043D" w:rsidRPr="00FF5C62">
        <w:rPr>
          <w:szCs w:val="26"/>
        </w:rPr>
        <w:t>1</w:t>
      </w:r>
      <w:r w:rsidR="0093565D" w:rsidRPr="00FF5C62">
        <w:rPr>
          <w:szCs w:val="26"/>
        </w:rPr>
        <w:t>1</w:t>
      </w:r>
      <w:r w:rsidR="0020043D" w:rsidRPr="00FF5C62">
        <w:rPr>
          <w:szCs w:val="26"/>
        </w:rPr>
        <w:t>06</w:t>
      </w:r>
      <w:r w:rsidR="0093565D" w:rsidRPr="00FF5C62">
        <w:rPr>
          <w:szCs w:val="26"/>
        </w:rPr>
        <w:t xml:space="preserve">, </w:t>
      </w:r>
      <w:r w:rsidR="00206A7F" w:rsidRPr="00FF5C62">
        <w:rPr>
          <w:szCs w:val="26"/>
        </w:rPr>
        <w:t>subdivision (a)</w:t>
      </w:r>
      <w:r w:rsidR="00C46EC0">
        <w:rPr>
          <w:szCs w:val="26"/>
        </w:rPr>
        <w:t>,</w:t>
      </w:r>
      <w:r w:rsidR="00B72B32" w:rsidRPr="00FF5C62">
        <w:rPr>
          <w:szCs w:val="26"/>
        </w:rPr>
        <w:t xml:space="preserve"> </w:t>
      </w:r>
      <w:r w:rsidR="008E2EC6" w:rsidRPr="00FF5C62">
        <w:rPr>
          <w:szCs w:val="26"/>
        </w:rPr>
        <w:t>preclud</w:t>
      </w:r>
      <w:r w:rsidR="00B72B32" w:rsidRPr="00FF5C62">
        <w:rPr>
          <w:szCs w:val="26"/>
        </w:rPr>
        <w:t xml:space="preserve">es </w:t>
      </w:r>
      <w:r w:rsidR="00863E7B" w:rsidRPr="00FF5C62">
        <w:rPr>
          <w:szCs w:val="26"/>
        </w:rPr>
        <w:t xml:space="preserve">admission of </w:t>
      </w:r>
      <w:r w:rsidR="00E60111" w:rsidRPr="00FF5C62">
        <w:rPr>
          <w:szCs w:val="26"/>
        </w:rPr>
        <w:t xml:space="preserve">evidence </w:t>
      </w:r>
      <w:r w:rsidR="00893BF2" w:rsidRPr="00FF5C62">
        <w:rPr>
          <w:szCs w:val="26"/>
        </w:rPr>
        <w:t xml:space="preserve">concerning a plaintiff </w:t>
      </w:r>
      <w:r w:rsidR="00A75618" w:rsidRPr="00FF5C62">
        <w:rPr>
          <w:szCs w:val="26"/>
        </w:rPr>
        <w:t>victim’s sexual conduct</w:t>
      </w:r>
      <w:r w:rsidR="00203116" w:rsidRPr="00FF5C62">
        <w:rPr>
          <w:szCs w:val="26"/>
        </w:rPr>
        <w:t xml:space="preserve"> </w:t>
      </w:r>
      <w:r w:rsidR="00F2047F" w:rsidRPr="00FF5C62">
        <w:rPr>
          <w:i/>
          <w:iCs/>
          <w:szCs w:val="26"/>
        </w:rPr>
        <w:t xml:space="preserve">as substantive </w:t>
      </w:r>
      <w:r w:rsidR="004677D1" w:rsidRPr="00FF5C62">
        <w:rPr>
          <w:i/>
          <w:iCs/>
          <w:szCs w:val="26"/>
        </w:rPr>
        <w:t>evidence</w:t>
      </w:r>
      <w:r w:rsidR="004677D1" w:rsidRPr="00FF5C62">
        <w:rPr>
          <w:szCs w:val="26"/>
        </w:rPr>
        <w:t xml:space="preserve"> </w:t>
      </w:r>
      <w:r w:rsidR="008E2EC6" w:rsidRPr="00FF5C62">
        <w:rPr>
          <w:szCs w:val="26"/>
        </w:rPr>
        <w:t xml:space="preserve">“in order to prove consent by the plaintiff </w:t>
      </w:r>
      <w:r w:rsidR="008E2EC6" w:rsidRPr="00FF5C62">
        <w:rPr>
          <w:i/>
          <w:iCs/>
          <w:szCs w:val="26"/>
        </w:rPr>
        <w:t>or the absence of injury to the plaintiff</w:t>
      </w:r>
      <w:r w:rsidR="009C25D6" w:rsidRPr="00FF5C62">
        <w:rPr>
          <w:szCs w:val="26"/>
        </w:rPr>
        <w:t>.</w:t>
      </w:r>
      <w:r w:rsidR="008E2EC6" w:rsidRPr="00FF5C62">
        <w:rPr>
          <w:szCs w:val="26"/>
        </w:rPr>
        <w:t>”</w:t>
      </w:r>
      <w:r w:rsidR="009C25D6" w:rsidRPr="00FF5C62">
        <w:rPr>
          <w:szCs w:val="26"/>
        </w:rPr>
        <w:t xml:space="preserve">  </w:t>
      </w:r>
      <w:r w:rsidR="004056A6" w:rsidRPr="00FF5C62">
        <w:rPr>
          <w:szCs w:val="26"/>
        </w:rPr>
        <w:t>(Italics added</w:t>
      </w:r>
      <w:r w:rsidR="007053A8" w:rsidRPr="00FF5C62">
        <w:rPr>
          <w:szCs w:val="26"/>
        </w:rPr>
        <w:t xml:space="preserve">; </w:t>
      </w:r>
      <w:r w:rsidR="00CF4033" w:rsidRPr="00FF5C62">
        <w:rPr>
          <w:szCs w:val="26"/>
        </w:rPr>
        <w:t xml:space="preserve">see also Black’s Law Dict. (11th ed. 2019) </w:t>
      </w:r>
      <w:r w:rsidR="00CF4033" w:rsidRPr="00571886">
        <w:rPr>
          <w:szCs w:val="26"/>
        </w:rPr>
        <w:t>p.</w:t>
      </w:r>
      <w:r w:rsidR="00350799" w:rsidRPr="00571886">
        <w:rPr>
          <w:szCs w:val="26"/>
        </w:rPr>
        <w:t> </w:t>
      </w:r>
      <w:r w:rsidR="00CF4033" w:rsidRPr="00571886">
        <w:rPr>
          <w:szCs w:val="26"/>
        </w:rPr>
        <w:t>703</w:t>
      </w:r>
      <w:r w:rsidR="00D437F0" w:rsidRPr="00571886">
        <w:rPr>
          <w:szCs w:val="26"/>
        </w:rPr>
        <w:t>, col. 1</w:t>
      </w:r>
      <w:r w:rsidR="00CF4033" w:rsidRPr="00FF5C62">
        <w:rPr>
          <w:szCs w:val="26"/>
        </w:rPr>
        <w:t xml:space="preserve"> [defining substantive evidence</w:t>
      </w:r>
      <w:r w:rsidR="00217554" w:rsidRPr="00FF5C62">
        <w:rPr>
          <w:szCs w:val="26"/>
        </w:rPr>
        <w:t xml:space="preserve"> </w:t>
      </w:r>
      <w:r w:rsidR="00CF4033" w:rsidRPr="00FF5C62">
        <w:rPr>
          <w:szCs w:val="26"/>
        </w:rPr>
        <w:t>as that “offered to help establish a fact in issue”]</w:t>
      </w:r>
      <w:r w:rsidR="004056A6" w:rsidRPr="00FF5C62">
        <w:rPr>
          <w:szCs w:val="26"/>
        </w:rPr>
        <w:t xml:space="preserve">.)  </w:t>
      </w:r>
      <w:r w:rsidR="00C03014" w:rsidRPr="00FF5C62">
        <w:rPr>
          <w:szCs w:val="26"/>
        </w:rPr>
        <w:t xml:space="preserve">In spite of this, </w:t>
      </w:r>
      <w:r w:rsidR="00F07879" w:rsidRPr="00FF5C62">
        <w:rPr>
          <w:szCs w:val="26"/>
        </w:rPr>
        <w:t>the Court of Appeal below co</w:t>
      </w:r>
      <w:r w:rsidR="007E57A8" w:rsidRPr="00FF5C62">
        <w:rPr>
          <w:szCs w:val="26"/>
        </w:rPr>
        <w:t>nclude</w:t>
      </w:r>
      <w:r w:rsidR="004D1627" w:rsidRPr="00FF5C62">
        <w:rPr>
          <w:szCs w:val="26"/>
        </w:rPr>
        <w:t>d</w:t>
      </w:r>
      <w:r w:rsidR="00795251" w:rsidRPr="00FF5C62">
        <w:rPr>
          <w:szCs w:val="26"/>
        </w:rPr>
        <w:t xml:space="preserve"> </w:t>
      </w:r>
      <w:r w:rsidR="00206A7F" w:rsidRPr="00FF5C62">
        <w:rPr>
          <w:szCs w:val="26"/>
        </w:rPr>
        <w:t>section</w:t>
      </w:r>
      <w:r w:rsidR="00217554" w:rsidRPr="00FF5C62">
        <w:rPr>
          <w:szCs w:val="26"/>
        </w:rPr>
        <w:t> </w:t>
      </w:r>
      <w:r w:rsidR="00206A7F" w:rsidRPr="00FF5C62">
        <w:rPr>
          <w:szCs w:val="26"/>
        </w:rPr>
        <w:t>1106, subdivision (e)</w:t>
      </w:r>
      <w:r w:rsidR="00C46EC0">
        <w:rPr>
          <w:szCs w:val="26"/>
        </w:rPr>
        <w:t>,</w:t>
      </w:r>
      <w:r w:rsidR="00CE32CC" w:rsidRPr="00FF5C62">
        <w:rPr>
          <w:szCs w:val="26"/>
        </w:rPr>
        <w:t xml:space="preserve"> and </w:t>
      </w:r>
      <w:r w:rsidR="00881441" w:rsidRPr="00FF5C62">
        <w:rPr>
          <w:szCs w:val="26"/>
        </w:rPr>
        <w:t xml:space="preserve">section </w:t>
      </w:r>
      <w:r w:rsidR="00135F3C" w:rsidRPr="00FF5C62">
        <w:rPr>
          <w:szCs w:val="26"/>
        </w:rPr>
        <w:t>783</w:t>
      </w:r>
      <w:r w:rsidR="00206A7F" w:rsidRPr="00FF5C62">
        <w:rPr>
          <w:szCs w:val="26"/>
        </w:rPr>
        <w:t xml:space="preserve"> </w:t>
      </w:r>
      <w:r w:rsidR="00BB75F0" w:rsidRPr="00FF5C62">
        <w:rPr>
          <w:szCs w:val="26"/>
        </w:rPr>
        <w:t xml:space="preserve">establish </w:t>
      </w:r>
      <w:r w:rsidR="00602DD8" w:rsidRPr="00FF5C62">
        <w:rPr>
          <w:szCs w:val="26"/>
        </w:rPr>
        <w:t>pro</w:t>
      </w:r>
      <w:r w:rsidR="00035DC5" w:rsidRPr="00FF5C62">
        <w:rPr>
          <w:szCs w:val="26"/>
        </w:rPr>
        <w:t xml:space="preserve">cedures </w:t>
      </w:r>
      <w:r w:rsidR="000759E0" w:rsidRPr="00FF5C62">
        <w:rPr>
          <w:szCs w:val="26"/>
        </w:rPr>
        <w:t xml:space="preserve">under which </w:t>
      </w:r>
      <w:r w:rsidR="000E6B95" w:rsidRPr="00FF5C62">
        <w:rPr>
          <w:szCs w:val="26"/>
        </w:rPr>
        <w:t xml:space="preserve">“the very </w:t>
      </w:r>
      <w:r w:rsidR="000E6B95" w:rsidRPr="00FF5C62">
        <w:rPr>
          <w:szCs w:val="26"/>
        </w:rPr>
        <w:lastRenderedPageBreak/>
        <w:t xml:space="preserve">same evidence” </w:t>
      </w:r>
      <w:r w:rsidR="008F372A" w:rsidRPr="00FF5C62">
        <w:rPr>
          <w:szCs w:val="26"/>
        </w:rPr>
        <w:t>of a victim’s sexual conduct may be admitted</w:t>
      </w:r>
      <w:r w:rsidR="0047614E" w:rsidRPr="00FF5C62">
        <w:rPr>
          <w:szCs w:val="26"/>
        </w:rPr>
        <w:t> </w:t>
      </w:r>
      <w:r w:rsidR="00D13F49" w:rsidRPr="00FF5C62">
        <w:rPr>
          <w:szCs w:val="26"/>
        </w:rPr>
        <w:t>—</w:t>
      </w:r>
      <w:r w:rsidR="00D56857" w:rsidRPr="00FF5C62">
        <w:rPr>
          <w:szCs w:val="26"/>
        </w:rPr>
        <w:t xml:space="preserve"> </w:t>
      </w:r>
      <w:r w:rsidR="00B023BC" w:rsidRPr="00FF5C62">
        <w:rPr>
          <w:szCs w:val="26"/>
        </w:rPr>
        <w:t xml:space="preserve">when </w:t>
      </w:r>
      <w:r w:rsidR="00CE00BC" w:rsidRPr="00FF5C62">
        <w:rPr>
          <w:szCs w:val="26"/>
        </w:rPr>
        <w:t xml:space="preserve">relevant under section 780 and </w:t>
      </w:r>
      <w:r w:rsidR="00B023BC" w:rsidRPr="00FF5C62">
        <w:rPr>
          <w:szCs w:val="26"/>
        </w:rPr>
        <w:t xml:space="preserve">necessary and appropriate </w:t>
      </w:r>
      <w:r w:rsidR="00B33693" w:rsidRPr="00FF5C62">
        <w:rPr>
          <w:szCs w:val="26"/>
        </w:rPr>
        <w:t xml:space="preserve">under </w:t>
      </w:r>
      <w:r w:rsidR="00316F7B" w:rsidRPr="00FF5C62">
        <w:rPr>
          <w:szCs w:val="26"/>
        </w:rPr>
        <w:t xml:space="preserve">section </w:t>
      </w:r>
      <w:r w:rsidR="000520A2" w:rsidRPr="00FF5C62">
        <w:rPr>
          <w:szCs w:val="26"/>
        </w:rPr>
        <w:t>352</w:t>
      </w:r>
      <w:r w:rsidR="0047614E" w:rsidRPr="00FF5C62">
        <w:rPr>
          <w:szCs w:val="26"/>
        </w:rPr>
        <w:t> </w:t>
      </w:r>
      <w:r w:rsidR="00D13F49" w:rsidRPr="00FF5C62">
        <w:rPr>
          <w:szCs w:val="26"/>
        </w:rPr>
        <w:t>—</w:t>
      </w:r>
      <w:r w:rsidR="00524E0F" w:rsidRPr="00FF5C62">
        <w:rPr>
          <w:szCs w:val="26"/>
        </w:rPr>
        <w:t xml:space="preserve"> </w:t>
      </w:r>
      <w:r w:rsidR="003666BB" w:rsidRPr="00FF5C62">
        <w:rPr>
          <w:szCs w:val="26"/>
        </w:rPr>
        <w:t xml:space="preserve">to </w:t>
      </w:r>
      <w:r w:rsidR="00640320" w:rsidRPr="00FF5C62">
        <w:rPr>
          <w:szCs w:val="26"/>
        </w:rPr>
        <w:t xml:space="preserve">permit a defendant </w:t>
      </w:r>
      <w:r w:rsidR="00524E0F" w:rsidRPr="00FF5C62">
        <w:rPr>
          <w:i/>
          <w:iCs/>
          <w:szCs w:val="26"/>
        </w:rPr>
        <w:t xml:space="preserve">to </w:t>
      </w:r>
      <w:r w:rsidR="001A55B2" w:rsidRPr="00FF5C62">
        <w:rPr>
          <w:i/>
          <w:iCs/>
          <w:szCs w:val="26"/>
        </w:rPr>
        <w:t xml:space="preserve">impeach </w:t>
      </w:r>
      <w:r w:rsidR="00640320" w:rsidRPr="00FF5C62">
        <w:rPr>
          <w:i/>
          <w:iCs/>
          <w:szCs w:val="26"/>
        </w:rPr>
        <w:t xml:space="preserve">the credibility of </w:t>
      </w:r>
      <w:r w:rsidR="00B023BC" w:rsidRPr="00FF5C62">
        <w:rPr>
          <w:i/>
          <w:iCs/>
          <w:szCs w:val="26"/>
        </w:rPr>
        <w:t xml:space="preserve">a </w:t>
      </w:r>
      <w:r w:rsidR="00640320" w:rsidRPr="00FF5C62">
        <w:rPr>
          <w:i/>
          <w:iCs/>
          <w:szCs w:val="26"/>
        </w:rPr>
        <w:t>plaintiff</w:t>
      </w:r>
      <w:r w:rsidR="001C733A" w:rsidRPr="00FF5C62">
        <w:rPr>
          <w:i/>
          <w:iCs/>
          <w:szCs w:val="26"/>
        </w:rPr>
        <w:t>’s testimony</w:t>
      </w:r>
      <w:r w:rsidR="00726477" w:rsidRPr="00FF5C62">
        <w:rPr>
          <w:szCs w:val="26"/>
        </w:rPr>
        <w:t xml:space="preserve"> concerning </w:t>
      </w:r>
      <w:r w:rsidR="003D0312" w:rsidRPr="00FF5C62">
        <w:rPr>
          <w:szCs w:val="26"/>
        </w:rPr>
        <w:t>causation of injury or apportionment of damages</w:t>
      </w:r>
      <w:r w:rsidR="00640320" w:rsidRPr="00FF5C62">
        <w:rPr>
          <w:szCs w:val="26"/>
        </w:rPr>
        <w:t xml:space="preserve">.  </w:t>
      </w:r>
      <w:r w:rsidR="004B2B89" w:rsidRPr="00FF5C62">
        <w:rPr>
          <w:szCs w:val="26"/>
        </w:rPr>
        <w:t>(</w:t>
      </w:r>
      <w:r w:rsidR="004D1627" w:rsidRPr="00FF5C62">
        <w:rPr>
          <w:i/>
          <w:iCs/>
          <w:szCs w:val="26"/>
        </w:rPr>
        <w:t>Doe</w:t>
      </w:r>
      <w:r w:rsidR="004D1627" w:rsidRPr="00FF5C62">
        <w:rPr>
          <w:szCs w:val="26"/>
        </w:rPr>
        <w:t xml:space="preserve">, </w:t>
      </w:r>
      <w:r w:rsidR="004D1627" w:rsidRPr="00FF5C62">
        <w:rPr>
          <w:i/>
          <w:iCs/>
          <w:szCs w:val="26"/>
        </w:rPr>
        <w:t>supra</w:t>
      </w:r>
      <w:r w:rsidR="004D1627" w:rsidRPr="00FF5C62">
        <w:rPr>
          <w:szCs w:val="26"/>
        </w:rPr>
        <w:t xml:space="preserve">, </w:t>
      </w:r>
      <w:r w:rsidR="00DC7F34" w:rsidRPr="00FF5C62">
        <w:rPr>
          <w:szCs w:val="26"/>
        </w:rPr>
        <w:t>71</w:t>
      </w:r>
      <w:r w:rsidR="00412D59">
        <w:rPr>
          <w:szCs w:val="26"/>
        </w:rPr>
        <w:t> </w:t>
      </w:r>
      <w:r w:rsidR="00DC7F34" w:rsidRPr="00E46396">
        <w:rPr>
          <w:szCs w:val="26"/>
        </w:rPr>
        <w:t xml:space="preserve">Cal.App.5th at p. </w:t>
      </w:r>
      <w:r w:rsidR="002A3A02" w:rsidRPr="00E46396">
        <w:rPr>
          <w:szCs w:val="26"/>
        </w:rPr>
        <w:t>240</w:t>
      </w:r>
      <w:r w:rsidR="002045D8" w:rsidRPr="00E46396">
        <w:rPr>
          <w:szCs w:val="26"/>
        </w:rPr>
        <w:t xml:space="preserve">; </w:t>
      </w:r>
      <w:r w:rsidR="00A92D33" w:rsidRPr="00E46396">
        <w:rPr>
          <w:szCs w:val="26"/>
        </w:rPr>
        <w:t xml:space="preserve">see also </w:t>
      </w:r>
      <w:r w:rsidR="00C018F1" w:rsidRPr="00E46396">
        <w:rPr>
          <w:szCs w:val="26"/>
        </w:rPr>
        <w:t>Black’s Law Dict.</w:t>
      </w:r>
      <w:r w:rsidR="00A92D33" w:rsidRPr="00E46396">
        <w:rPr>
          <w:szCs w:val="26"/>
        </w:rPr>
        <w:t xml:space="preserve">, </w:t>
      </w:r>
      <w:r w:rsidR="00A92D33" w:rsidRPr="00E46396">
        <w:rPr>
          <w:i/>
          <w:iCs/>
          <w:szCs w:val="26"/>
        </w:rPr>
        <w:t>supra</w:t>
      </w:r>
      <w:r w:rsidR="00A92D33" w:rsidRPr="00E46396">
        <w:rPr>
          <w:szCs w:val="26"/>
        </w:rPr>
        <w:t>,</w:t>
      </w:r>
      <w:r w:rsidR="008F0C03" w:rsidRPr="00E46396">
        <w:rPr>
          <w:szCs w:val="26"/>
        </w:rPr>
        <w:t xml:space="preserve"> </w:t>
      </w:r>
      <w:r w:rsidR="00B3583D">
        <w:rPr>
          <w:szCs w:val="26"/>
        </w:rPr>
        <w:t xml:space="preserve">at </w:t>
      </w:r>
      <w:r w:rsidR="008F0C03" w:rsidRPr="00571886">
        <w:rPr>
          <w:szCs w:val="26"/>
        </w:rPr>
        <w:t>p.</w:t>
      </w:r>
      <w:r w:rsidR="009D1641" w:rsidRPr="00571886">
        <w:rPr>
          <w:szCs w:val="26"/>
        </w:rPr>
        <w:t> </w:t>
      </w:r>
      <w:r w:rsidR="008F0C03" w:rsidRPr="00571886">
        <w:rPr>
          <w:szCs w:val="26"/>
        </w:rPr>
        <w:t>700</w:t>
      </w:r>
      <w:r w:rsidR="00D437F0" w:rsidRPr="00571886">
        <w:rPr>
          <w:szCs w:val="26"/>
        </w:rPr>
        <w:t>, col. 2</w:t>
      </w:r>
      <w:r w:rsidR="008F0C03" w:rsidRPr="00E46396">
        <w:rPr>
          <w:szCs w:val="26"/>
        </w:rPr>
        <w:t xml:space="preserve"> [defining </w:t>
      </w:r>
      <w:r w:rsidR="00C018F1" w:rsidRPr="00E46396">
        <w:rPr>
          <w:szCs w:val="26"/>
        </w:rPr>
        <w:t>impeachment evidence</w:t>
      </w:r>
      <w:r w:rsidR="006E06E4" w:rsidRPr="00E46396">
        <w:rPr>
          <w:i/>
          <w:iCs/>
          <w:szCs w:val="26"/>
        </w:rPr>
        <w:t xml:space="preserve"> </w:t>
      </w:r>
      <w:r w:rsidR="008F0C03" w:rsidRPr="00E46396">
        <w:rPr>
          <w:szCs w:val="26"/>
        </w:rPr>
        <w:t>as</w:t>
      </w:r>
      <w:r w:rsidR="00C018F1" w:rsidRPr="00E46396">
        <w:rPr>
          <w:szCs w:val="26"/>
        </w:rPr>
        <w:t xml:space="preserve"> that “used to undermine a witness’s credibility”</w:t>
      </w:r>
      <w:r w:rsidR="002822A6" w:rsidRPr="00E46396">
        <w:rPr>
          <w:szCs w:val="26"/>
        </w:rPr>
        <w:t>]</w:t>
      </w:r>
      <w:r w:rsidR="009E5472" w:rsidRPr="00E46396">
        <w:rPr>
          <w:szCs w:val="26"/>
        </w:rPr>
        <w:t xml:space="preserve">; </w:t>
      </w:r>
      <w:r w:rsidR="00A769B6">
        <w:rPr>
          <w:szCs w:val="26"/>
        </w:rPr>
        <w:t xml:space="preserve">McDermott, </w:t>
      </w:r>
      <w:r w:rsidR="00C92195" w:rsidRPr="00E46396">
        <w:rPr>
          <w:szCs w:val="26"/>
        </w:rPr>
        <w:t xml:space="preserve">Note, </w:t>
      </w:r>
      <w:r w:rsidR="00DE71B6" w:rsidRPr="00E46396">
        <w:rPr>
          <w:i/>
          <w:iCs/>
          <w:szCs w:val="26"/>
        </w:rPr>
        <w:t xml:space="preserve">California Rape Evidence Reform: </w:t>
      </w:r>
      <w:r w:rsidR="00CC7C26">
        <w:rPr>
          <w:i/>
          <w:iCs/>
          <w:szCs w:val="26"/>
        </w:rPr>
        <w:t xml:space="preserve"> </w:t>
      </w:r>
      <w:r w:rsidR="00DE71B6" w:rsidRPr="00E46396">
        <w:rPr>
          <w:i/>
          <w:iCs/>
          <w:szCs w:val="26"/>
        </w:rPr>
        <w:t xml:space="preserve">An Analysis of Senate Bill 1678 </w:t>
      </w:r>
      <w:r w:rsidR="00DE71B6" w:rsidRPr="00E46396">
        <w:rPr>
          <w:szCs w:val="26"/>
        </w:rPr>
        <w:t>(1975)</w:t>
      </w:r>
      <w:r w:rsidR="00D67B00" w:rsidRPr="00E46396">
        <w:rPr>
          <w:szCs w:val="26"/>
        </w:rPr>
        <w:t xml:space="preserve"> 26</w:t>
      </w:r>
      <w:r w:rsidR="00412D59">
        <w:rPr>
          <w:szCs w:val="26"/>
        </w:rPr>
        <w:t> </w:t>
      </w:r>
      <w:r w:rsidR="00D67B00" w:rsidRPr="00E46396">
        <w:rPr>
          <w:szCs w:val="26"/>
        </w:rPr>
        <w:t>Hastings L.J. 1551, 1557</w:t>
      </w:r>
      <w:r w:rsidR="00CD67AF" w:rsidRPr="00E46396">
        <w:rPr>
          <w:szCs w:val="26"/>
        </w:rPr>
        <w:t xml:space="preserve"> [</w:t>
      </w:r>
      <w:r w:rsidR="00864C7A" w:rsidRPr="00E46396">
        <w:rPr>
          <w:szCs w:val="26"/>
        </w:rPr>
        <w:t>“</w:t>
      </w:r>
      <w:r w:rsidR="00A769B6" w:rsidRPr="008A7189">
        <w:rPr>
          <w:i/>
          <w:iCs/>
          <w:szCs w:val="26"/>
        </w:rPr>
        <w:t>s</w:t>
      </w:r>
      <w:r w:rsidR="00864C7A" w:rsidRPr="00E46396">
        <w:rPr>
          <w:i/>
          <w:iCs/>
          <w:szCs w:val="26"/>
        </w:rPr>
        <w:t>ubstantive evidence</w:t>
      </w:r>
      <w:r w:rsidR="00864C7A" w:rsidRPr="00E46396">
        <w:rPr>
          <w:szCs w:val="26"/>
        </w:rPr>
        <w:t xml:space="preserve"> is admitted to prove or disprove any disputed fact or issue that is of consequence to the determination of the action, while </w:t>
      </w:r>
      <w:r w:rsidR="00864C7A" w:rsidRPr="00E46396">
        <w:rPr>
          <w:i/>
          <w:iCs/>
          <w:szCs w:val="26"/>
        </w:rPr>
        <w:t xml:space="preserve">credibility evidence </w:t>
      </w:r>
      <w:r w:rsidR="00864C7A" w:rsidRPr="00E46396">
        <w:rPr>
          <w:szCs w:val="26"/>
        </w:rPr>
        <w:t>is that which supports or attacks the credibility</w:t>
      </w:r>
      <w:r w:rsidR="0050301A" w:rsidRPr="00E46396">
        <w:rPr>
          <w:szCs w:val="26"/>
        </w:rPr>
        <w:t xml:space="preserve"> of the witness”</w:t>
      </w:r>
      <w:r w:rsidR="00CD67AF" w:rsidRPr="00E46396">
        <w:rPr>
          <w:szCs w:val="26"/>
        </w:rPr>
        <w:t>]</w:t>
      </w:r>
      <w:r w:rsidR="002822A6" w:rsidRPr="00E46396">
        <w:rPr>
          <w:szCs w:val="26"/>
        </w:rPr>
        <w:t xml:space="preserve">.) </w:t>
      </w:r>
    </w:p>
    <w:p w14:paraId="0DB2E7D5" w14:textId="77777777" w:rsidR="0060770B" w:rsidRPr="00E46396" w:rsidRDefault="002E6832" w:rsidP="00270FDE">
      <w:pPr>
        <w:ind w:firstLine="720"/>
        <w:rPr>
          <w:szCs w:val="26"/>
        </w:rPr>
      </w:pPr>
      <w:r w:rsidRPr="00E46396">
        <w:rPr>
          <w:szCs w:val="26"/>
        </w:rPr>
        <w:t xml:space="preserve">Plaintiff </w:t>
      </w:r>
      <w:r w:rsidR="000849AC" w:rsidRPr="00E46396">
        <w:rPr>
          <w:szCs w:val="26"/>
        </w:rPr>
        <w:t xml:space="preserve">and </w:t>
      </w:r>
      <w:r w:rsidR="00442A42" w:rsidRPr="00E46396">
        <w:rPr>
          <w:szCs w:val="26"/>
        </w:rPr>
        <w:t xml:space="preserve">amicus </w:t>
      </w:r>
      <w:r w:rsidR="000849AC" w:rsidRPr="00E46396">
        <w:rPr>
          <w:szCs w:val="26"/>
        </w:rPr>
        <w:t>curiae on her behalf</w:t>
      </w:r>
      <w:r w:rsidR="00DA5B30" w:rsidRPr="00E46396">
        <w:rPr>
          <w:szCs w:val="26"/>
        </w:rPr>
        <w:t xml:space="preserve">, </w:t>
      </w:r>
      <w:r w:rsidR="004404E6" w:rsidRPr="00E46396">
        <w:rPr>
          <w:szCs w:val="26"/>
        </w:rPr>
        <w:t xml:space="preserve">Consumer Attorneys </w:t>
      </w:r>
      <w:r w:rsidR="00D04F26" w:rsidRPr="00E46396">
        <w:rPr>
          <w:szCs w:val="26"/>
        </w:rPr>
        <w:t>of California,</w:t>
      </w:r>
      <w:r w:rsidR="00DA5B30" w:rsidRPr="00E46396">
        <w:rPr>
          <w:szCs w:val="26"/>
        </w:rPr>
        <w:t xml:space="preserve"> </w:t>
      </w:r>
      <w:r w:rsidR="00E2363B" w:rsidRPr="00E46396">
        <w:rPr>
          <w:szCs w:val="26"/>
        </w:rPr>
        <w:t xml:space="preserve">assert </w:t>
      </w:r>
      <w:r w:rsidR="00870C19" w:rsidRPr="00E46396">
        <w:rPr>
          <w:szCs w:val="26"/>
        </w:rPr>
        <w:t xml:space="preserve">that </w:t>
      </w:r>
      <w:r w:rsidR="00C81C99" w:rsidRPr="00E46396">
        <w:rPr>
          <w:szCs w:val="26"/>
        </w:rPr>
        <w:t xml:space="preserve">the Court of Appeal’s </w:t>
      </w:r>
      <w:r w:rsidR="00CC466B" w:rsidRPr="00E46396">
        <w:rPr>
          <w:szCs w:val="26"/>
        </w:rPr>
        <w:t xml:space="preserve">interpretation </w:t>
      </w:r>
      <w:r w:rsidR="00D72F1D" w:rsidRPr="00E46396">
        <w:rPr>
          <w:szCs w:val="26"/>
        </w:rPr>
        <w:t xml:space="preserve">renders </w:t>
      </w:r>
      <w:r w:rsidR="00AF248E" w:rsidRPr="00E46396">
        <w:rPr>
          <w:szCs w:val="26"/>
        </w:rPr>
        <w:t>subdivis</w:t>
      </w:r>
      <w:r w:rsidR="00FB295A" w:rsidRPr="00E46396">
        <w:rPr>
          <w:szCs w:val="26"/>
        </w:rPr>
        <w:t xml:space="preserve">ion (a) </w:t>
      </w:r>
      <w:r w:rsidR="001E3531" w:rsidRPr="00E46396">
        <w:rPr>
          <w:szCs w:val="26"/>
        </w:rPr>
        <w:t xml:space="preserve">of section 1106 “a nullity” </w:t>
      </w:r>
      <w:r w:rsidR="00BD05D9" w:rsidRPr="00E46396">
        <w:rPr>
          <w:szCs w:val="26"/>
        </w:rPr>
        <w:t xml:space="preserve">and </w:t>
      </w:r>
      <w:r w:rsidR="00D342F2" w:rsidRPr="00E46396">
        <w:rPr>
          <w:szCs w:val="26"/>
        </w:rPr>
        <w:t>that “</w:t>
      </w:r>
      <w:r w:rsidR="006D1B07" w:rsidRPr="00E46396">
        <w:rPr>
          <w:szCs w:val="26"/>
        </w:rPr>
        <w:t>[</w:t>
      </w:r>
      <w:r w:rsidR="00D342F2" w:rsidRPr="00E46396">
        <w:rPr>
          <w:szCs w:val="26"/>
        </w:rPr>
        <w:t>t</w:t>
      </w:r>
      <w:r w:rsidR="006D1B07" w:rsidRPr="00E46396">
        <w:rPr>
          <w:szCs w:val="26"/>
        </w:rPr>
        <w:t>]</w:t>
      </w:r>
      <w:r w:rsidR="00D342F2" w:rsidRPr="00E46396">
        <w:rPr>
          <w:szCs w:val="26"/>
        </w:rPr>
        <w:t>he state</w:t>
      </w:r>
      <w:r w:rsidR="00370AB7" w:rsidRPr="00E46396">
        <w:rPr>
          <w:szCs w:val="26"/>
        </w:rPr>
        <w:t>ment to be impeached</w:t>
      </w:r>
      <w:r w:rsidR="00C56F24" w:rsidRPr="00E46396">
        <w:rPr>
          <w:szCs w:val="26"/>
        </w:rPr>
        <w:t>” pursuant to subdivision (e) of section 1106 “</w:t>
      </w:r>
      <w:r w:rsidR="00370AB7" w:rsidRPr="00E46396">
        <w:rPr>
          <w:szCs w:val="26"/>
        </w:rPr>
        <w:t>cannot be one that is inadmissible und</w:t>
      </w:r>
      <w:r w:rsidR="007C115C" w:rsidRPr="00E46396">
        <w:rPr>
          <w:szCs w:val="26"/>
        </w:rPr>
        <w:t xml:space="preserve">er” subdivision (a) of </w:t>
      </w:r>
      <w:r w:rsidR="00C56F24" w:rsidRPr="00E46396">
        <w:rPr>
          <w:szCs w:val="26"/>
        </w:rPr>
        <w:t xml:space="preserve">that same </w:t>
      </w:r>
      <w:r w:rsidR="007C115C" w:rsidRPr="00E46396">
        <w:rPr>
          <w:szCs w:val="26"/>
        </w:rPr>
        <w:t xml:space="preserve">section.  </w:t>
      </w:r>
    </w:p>
    <w:p w14:paraId="0DB2E7D6" w14:textId="77777777" w:rsidR="00865314" w:rsidRPr="00535A24" w:rsidRDefault="002E6832" w:rsidP="00A62F09">
      <w:pPr>
        <w:pStyle w:val="Heading3"/>
      </w:pPr>
      <w:r w:rsidRPr="00535A24">
        <w:rPr>
          <w:i w:val="0"/>
        </w:rPr>
        <w:t>1</w:t>
      </w:r>
      <w:r w:rsidRPr="00535A24">
        <w:t xml:space="preserve">.  The appellate opinion </w:t>
      </w:r>
      <w:r w:rsidR="00F913C4" w:rsidRPr="00535A24">
        <w:t xml:space="preserve">in </w:t>
      </w:r>
      <w:r w:rsidR="00F913C4" w:rsidRPr="00535A24">
        <w:rPr>
          <w:i w:val="0"/>
        </w:rPr>
        <w:t>Rio</w:t>
      </w:r>
      <w:r w:rsidR="00390891" w:rsidRPr="00535A24">
        <w:rPr>
          <w:i w:val="0"/>
        </w:rPr>
        <w:t>z</w:t>
      </w:r>
      <w:r w:rsidR="00F913C4" w:rsidRPr="00535A24">
        <w:t xml:space="preserve"> provides guidance</w:t>
      </w:r>
      <w:r w:rsidRPr="00535A24">
        <w:t xml:space="preserve"> </w:t>
      </w:r>
    </w:p>
    <w:p w14:paraId="0DB2E7D7" w14:textId="77777777" w:rsidR="00EE5D14" w:rsidRPr="00A62F09" w:rsidRDefault="002E6832" w:rsidP="00A62F09">
      <w:pPr>
        <w:ind w:firstLine="720"/>
        <w:rPr>
          <w:szCs w:val="26"/>
        </w:rPr>
      </w:pPr>
      <w:r w:rsidRPr="00A62F09">
        <w:rPr>
          <w:szCs w:val="26"/>
        </w:rPr>
        <w:t xml:space="preserve">In </w:t>
      </w:r>
      <w:r w:rsidR="00220F73" w:rsidRPr="00A62F09">
        <w:rPr>
          <w:szCs w:val="26"/>
        </w:rPr>
        <w:t xml:space="preserve">considering </w:t>
      </w:r>
      <w:r w:rsidR="00091C50" w:rsidRPr="00A62F09">
        <w:rPr>
          <w:szCs w:val="26"/>
        </w:rPr>
        <w:t>these</w:t>
      </w:r>
      <w:r w:rsidR="008113ED" w:rsidRPr="00A62F09">
        <w:rPr>
          <w:szCs w:val="26"/>
        </w:rPr>
        <w:t xml:space="preserve"> objections to the </w:t>
      </w:r>
      <w:r w:rsidR="00426CDD" w:rsidRPr="00A62F09">
        <w:rPr>
          <w:szCs w:val="26"/>
        </w:rPr>
        <w:t>appellate</w:t>
      </w:r>
      <w:r w:rsidR="004728EF" w:rsidRPr="00A62F09">
        <w:rPr>
          <w:szCs w:val="26"/>
        </w:rPr>
        <w:t xml:space="preserve"> </w:t>
      </w:r>
      <w:r w:rsidR="00426CDD" w:rsidRPr="00A62F09">
        <w:rPr>
          <w:szCs w:val="26"/>
        </w:rPr>
        <w:t>court’s interpretation of the statutory language,</w:t>
      </w:r>
      <w:r w:rsidRPr="00A62F09">
        <w:rPr>
          <w:szCs w:val="26"/>
        </w:rPr>
        <w:t xml:space="preserve"> </w:t>
      </w:r>
      <w:r w:rsidR="00A35511" w:rsidRPr="00A62F09">
        <w:rPr>
          <w:szCs w:val="26"/>
        </w:rPr>
        <w:t xml:space="preserve">we </w:t>
      </w:r>
      <w:r w:rsidR="00765AFD" w:rsidRPr="00A62F09">
        <w:rPr>
          <w:szCs w:val="26"/>
        </w:rPr>
        <w:t xml:space="preserve">find an early Court of Appeal opinion addressing the criminal statutory counterpart, section </w:t>
      </w:r>
      <w:r w:rsidR="000C1E63" w:rsidRPr="00A62F09">
        <w:rPr>
          <w:szCs w:val="26"/>
        </w:rPr>
        <w:t>782, to be particularly instructive</w:t>
      </w:r>
      <w:r w:rsidR="008C7D3D" w:rsidRPr="00A62F09">
        <w:rPr>
          <w:szCs w:val="26"/>
        </w:rPr>
        <w:t xml:space="preserve">.  </w:t>
      </w:r>
    </w:p>
    <w:p w14:paraId="0DB2E7D8" w14:textId="77777777" w:rsidR="004A3ABE" w:rsidRPr="00A62F09" w:rsidRDefault="002E6832" w:rsidP="00A62F09">
      <w:pPr>
        <w:ind w:firstLine="720"/>
        <w:rPr>
          <w:szCs w:val="26"/>
        </w:rPr>
      </w:pPr>
      <w:r w:rsidRPr="00A62F09">
        <w:rPr>
          <w:i/>
          <w:iCs/>
          <w:szCs w:val="26"/>
        </w:rPr>
        <w:t>People v. Rioz</w:t>
      </w:r>
      <w:r w:rsidRPr="00A62F09">
        <w:rPr>
          <w:szCs w:val="26"/>
        </w:rPr>
        <w:t xml:space="preserve"> (1984) 161 Cal.App.3d 905</w:t>
      </w:r>
      <w:r w:rsidR="0084739A" w:rsidRPr="00A62F09">
        <w:rPr>
          <w:szCs w:val="26"/>
        </w:rPr>
        <w:t xml:space="preserve"> (</w:t>
      </w:r>
      <w:r w:rsidR="0084739A" w:rsidRPr="00A62F09">
        <w:rPr>
          <w:i/>
          <w:iCs/>
          <w:szCs w:val="26"/>
        </w:rPr>
        <w:t>Rioz</w:t>
      </w:r>
      <w:r w:rsidR="0084739A" w:rsidRPr="00A62F09">
        <w:rPr>
          <w:szCs w:val="26"/>
        </w:rPr>
        <w:t>)</w:t>
      </w:r>
      <w:r w:rsidRPr="00A62F09">
        <w:rPr>
          <w:szCs w:val="26"/>
        </w:rPr>
        <w:t xml:space="preserve">, </w:t>
      </w:r>
      <w:r w:rsidR="008C7D3D" w:rsidRPr="00A62F09">
        <w:rPr>
          <w:szCs w:val="26"/>
        </w:rPr>
        <w:t>which was decided</w:t>
      </w:r>
      <w:r w:rsidR="00B30A29" w:rsidRPr="00A62F09">
        <w:rPr>
          <w:szCs w:val="26"/>
        </w:rPr>
        <w:t xml:space="preserve"> a few months before the bill that enacted the 1985 </w:t>
      </w:r>
      <w:r w:rsidR="00A95601" w:rsidRPr="00A62F09">
        <w:rPr>
          <w:szCs w:val="26"/>
        </w:rPr>
        <w:t xml:space="preserve">corresponding civil legislation was first introduced, </w:t>
      </w:r>
      <w:r w:rsidR="009E4F47" w:rsidRPr="00A62F09">
        <w:rPr>
          <w:szCs w:val="26"/>
        </w:rPr>
        <w:t xml:space="preserve">recognized the tension </w:t>
      </w:r>
      <w:r w:rsidR="00625A5C" w:rsidRPr="00A62F09">
        <w:rPr>
          <w:szCs w:val="26"/>
        </w:rPr>
        <w:t>with</w:t>
      </w:r>
      <w:r w:rsidR="009E4F47" w:rsidRPr="00A62F09">
        <w:rPr>
          <w:szCs w:val="26"/>
        </w:rPr>
        <w:t>in the</w:t>
      </w:r>
      <w:r w:rsidR="00B03136" w:rsidRPr="00A62F09">
        <w:rPr>
          <w:szCs w:val="26"/>
        </w:rPr>
        <w:t xml:space="preserve"> </w:t>
      </w:r>
      <w:r w:rsidR="009E4F47" w:rsidRPr="00A62F09">
        <w:rPr>
          <w:szCs w:val="26"/>
        </w:rPr>
        <w:t>statutory scheme</w:t>
      </w:r>
      <w:r w:rsidR="0015726E" w:rsidRPr="00A62F09">
        <w:rPr>
          <w:szCs w:val="26"/>
        </w:rPr>
        <w:t xml:space="preserve"> created by sections</w:t>
      </w:r>
      <w:r w:rsidR="00A62F09">
        <w:rPr>
          <w:szCs w:val="26"/>
        </w:rPr>
        <w:t> </w:t>
      </w:r>
      <w:r w:rsidR="0015726E" w:rsidRPr="00A62F09">
        <w:rPr>
          <w:szCs w:val="26"/>
        </w:rPr>
        <w:t>1103</w:t>
      </w:r>
      <w:r w:rsidR="003B1E01" w:rsidRPr="00A62F09">
        <w:rPr>
          <w:szCs w:val="26"/>
        </w:rPr>
        <w:t xml:space="preserve"> </w:t>
      </w:r>
      <w:r w:rsidR="0015726E" w:rsidRPr="00A62F09">
        <w:rPr>
          <w:szCs w:val="26"/>
        </w:rPr>
        <w:t>and 782</w:t>
      </w:r>
      <w:r w:rsidR="00883DA0" w:rsidRPr="00A62F09">
        <w:rPr>
          <w:szCs w:val="26"/>
        </w:rPr>
        <w:t xml:space="preserve">.  </w:t>
      </w:r>
      <w:r w:rsidR="006056F2" w:rsidRPr="00A62F09">
        <w:rPr>
          <w:szCs w:val="26"/>
        </w:rPr>
        <w:t>Significantly</w:t>
      </w:r>
      <w:r w:rsidR="00EE4EE9" w:rsidRPr="00A62F09">
        <w:rPr>
          <w:szCs w:val="26"/>
        </w:rPr>
        <w:t xml:space="preserve">, the court </w:t>
      </w:r>
      <w:r w:rsidR="001D0FA7" w:rsidRPr="00A62F09">
        <w:rPr>
          <w:szCs w:val="26"/>
        </w:rPr>
        <w:t xml:space="preserve">in </w:t>
      </w:r>
      <w:r w:rsidR="001D0FA7" w:rsidRPr="00A62F09">
        <w:rPr>
          <w:i/>
          <w:iCs/>
          <w:szCs w:val="26"/>
        </w:rPr>
        <w:t>Rioz</w:t>
      </w:r>
      <w:r w:rsidR="001D0FA7" w:rsidRPr="00A62F09">
        <w:rPr>
          <w:szCs w:val="26"/>
        </w:rPr>
        <w:t xml:space="preserve"> </w:t>
      </w:r>
      <w:r w:rsidR="00E724DF" w:rsidRPr="00A62F09">
        <w:rPr>
          <w:szCs w:val="26"/>
        </w:rPr>
        <w:lastRenderedPageBreak/>
        <w:t xml:space="preserve">reconciled </w:t>
      </w:r>
      <w:r w:rsidR="00E67C0F" w:rsidRPr="00A62F09">
        <w:rPr>
          <w:szCs w:val="26"/>
        </w:rPr>
        <w:t xml:space="preserve">that tension </w:t>
      </w:r>
      <w:r w:rsidR="00E724DF" w:rsidRPr="00A62F09">
        <w:rPr>
          <w:szCs w:val="26"/>
        </w:rPr>
        <w:t>i</w:t>
      </w:r>
      <w:r w:rsidR="00890425" w:rsidRPr="00A62F09">
        <w:rPr>
          <w:szCs w:val="26"/>
        </w:rPr>
        <w:t>n</w:t>
      </w:r>
      <w:r w:rsidR="00E724DF" w:rsidRPr="00A62F09">
        <w:rPr>
          <w:szCs w:val="26"/>
        </w:rPr>
        <w:t xml:space="preserve"> a manner that allow</w:t>
      </w:r>
      <w:r w:rsidR="00E67C0F" w:rsidRPr="00A62F09">
        <w:rPr>
          <w:szCs w:val="26"/>
        </w:rPr>
        <w:t>ed</w:t>
      </w:r>
      <w:r w:rsidR="00E724DF" w:rsidRPr="00A62F09">
        <w:rPr>
          <w:szCs w:val="26"/>
        </w:rPr>
        <w:t xml:space="preserve"> </w:t>
      </w:r>
      <w:r w:rsidR="008E296B" w:rsidRPr="00A62F09">
        <w:rPr>
          <w:szCs w:val="26"/>
        </w:rPr>
        <w:t xml:space="preserve">admission </w:t>
      </w:r>
      <w:r w:rsidR="00540E26" w:rsidRPr="00A62F09">
        <w:rPr>
          <w:szCs w:val="26"/>
        </w:rPr>
        <w:t xml:space="preserve">under </w:t>
      </w:r>
      <w:r w:rsidR="00F31F7B" w:rsidRPr="00A62F09">
        <w:rPr>
          <w:szCs w:val="26"/>
        </w:rPr>
        <w:t>section 1103</w:t>
      </w:r>
      <w:r w:rsidR="00913558" w:rsidRPr="00A62F09">
        <w:rPr>
          <w:szCs w:val="26"/>
        </w:rPr>
        <w:t xml:space="preserve">, </w:t>
      </w:r>
      <w:r w:rsidR="00C14550" w:rsidRPr="00A62F09">
        <w:rPr>
          <w:szCs w:val="26"/>
        </w:rPr>
        <w:t xml:space="preserve">former </w:t>
      </w:r>
      <w:r w:rsidR="00913558" w:rsidRPr="00A62F09">
        <w:rPr>
          <w:szCs w:val="26"/>
        </w:rPr>
        <w:t>subdivision (</w:t>
      </w:r>
      <w:r w:rsidR="00DA079B" w:rsidRPr="00A62F09">
        <w:rPr>
          <w:szCs w:val="26"/>
        </w:rPr>
        <w:t>b</w:t>
      </w:r>
      <w:r w:rsidR="00913558" w:rsidRPr="00A62F09">
        <w:rPr>
          <w:szCs w:val="26"/>
        </w:rPr>
        <w:t>)(</w:t>
      </w:r>
      <w:r w:rsidR="00DA079B" w:rsidRPr="00A62F09">
        <w:rPr>
          <w:szCs w:val="26"/>
        </w:rPr>
        <w:t>4</w:t>
      </w:r>
      <w:r w:rsidR="00AD76EE" w:rsidRPr="00A62F09">
        <w:rPr>
          <w:szCs w:val="26"/>
        </w:rPr>
        <w:t>)</w:t>
      </w:r>
      <w:r w:rsidR="00913558" w:rsidRPr="00A62F09">
        <w:rPr>
          <w:szCs w:val="26"/>
        </w:rPr>
        <w:t xml:space="preserve"> </w:t>
      </w:r>
      <w:r w:rsidR="00A769B6">
        <w:rPr>
          <w:szCs w:val="26"/>
        </w:rPr>
        <w:t>(</w:t>
      </w:r>
      <w:r w:rsidR="00DA079B" w:rsidRPr="00A62F09">
        <w:rPr>
          <w:szCs w:val="26"/>
        </w:rPr>
        <w:t>now subd. (c)(5)</w:t>
      </w:r>
      <w:r w:rsidR="00A769B6">
        <w:rPr>
          <w:szCs w:val="26"/>
        </w:rPr>
        <w:t>)</w:t>
      </w:r>
      <w:r w:rsidR="00EC279D">
        <w:rPr>
          <w:szCs w:val="26"/>
        </w:rPr>
        <w:t>,</w:t>
      </w:r>
      <w:r w:rsidR="00DA079B" w:rsidRPr="00A62F09">
        <w:rPr>
          <w:szCs w:val="26"/>
        </w:rPr>
        <w:t xml:space="preserve"> </w:t>
      </w:r>
      <w:r w:rsidR="00F31F7B" w:rsidRPr="00A62F09">
        <w:rPr>
          <w:szCs w:val="26"/>
        </w:rPr>
        <w:t xml:space="preserve">and </w:t>
      </w:r>
      <w:r w:rsidR="008E296B" w:rsidRPr="00A62F09">
        <w:rPr>
          <w:szCs w:val="26"/>
        </w:rPr>
        <w:t xml:space="preserve">782 of </w:t>
      </w:r>
      <w:r w:rsidR="008E296B" w:rsidRPr="00A62F09">
        <w:rPr>
          <w:i/>
          <w:iCs/>
          <w:szCs w:val="26"/>
        </w:rPr>
        <w:t xml:space="preserve">the </w:t>
      </w:r>
      <w:r w:rsidR="00AB61E2" w:rsidRPr="00A62F09">
        <w:rPr>
          <w:i/>
          <w:iCs/>
          <w:szCs w:val="26"/>
        </w:rPr>
        <w:t>very same</w:t>
      </w:r>
      <w:r w:rsidR="00AB61E2" w:rsidRPr="00A62F09">
        <w:rPr>
          <w:szCs w:val="26"/>
        </w:rPr>
        <w:t xml:space="preserve"> type of consent evidence </w:t>
      </w:r>
      <w:r w:rsidR="00D9572F" w:rsidRPr="00A62F09">
        <w:rPr>
          <w:szCs w:val="26"/>
        </w:rPr>
        <w:t xml:space="preserve">that was </w:t>
      </w:r>
      <w:r w:rsidR="00AB61E2" w:rsidRPr="00A62F09">
        <w:rPr>
          <w:szCs w:val="26"/>
        </w:rPr>
        <w:t xml:space="preserve">inadmissible </w:t>
      </w:r>
      <w:r w:rsidR="00EE7589" w:rsidRPr="00A62F09">
        <w:rPr>
          <w:szCs w:val="26"/>
        </w:rPr>
        <w:t>as substantive evidence under section 1103</w:t>
      </w:r>
      <w:r w:rsidR="0010467E" w:rsidRPr="00A62F09">
        <w:rPr>
          <w:szCs w:val="26"/>
        </w:rPr>
        <w:t xml:space="preserve">, </w:t>
      </w:r>
      <w:r w:rsidR="00566FC5" w:rsidRPr="00A62F09">
        <w:rPr>
          <w:szCs w:val="26"/>
        </w:rPr>
        <w:t xml:space="preserve">former </w:t>
      </w:r>
      <w:r w:rsidR="0010467E" w:rsidRPr="00A62F09">
        <w:rPr>
          <w:szCs w:val="26"/>
        </w:rPr>
        <w:t>subdivision (</w:t>
      </w:r>
      <w:r w:rsidR="00566FC5" w:rsidRPr="00A62F09">
        <w:rPr>
          <w:szCs w:val="26"/>
        </w:rPr>
        <w:t>b</w:t>
      </w:r>
      <w:r w:rsidR="0010467E" w:rsidRPr="00A62F09">
        <w:rPr>
          <w:szCs w:val="26"/>
        </w:rPr>
        <w:t>)</w:t>
      </w:r>
      <w:r w:rsidR="00E17179" w:rsidRPr="00A62F09">
        <w:rPr>
          <w:szCs w:val="26"/>
        </w:rPr>
        <w:t>(1)</w:t>
      </w:r>
      <w:r w:rsidR="00424217" w:rsidRPr="00A62F09">
        <w:rPr>
          <w:szCs w:val="26"/>
        </w:rPr>
        <w:t xml:space="preserve"> </w:t>
      </w:r>
      <w:r w:rsidR="00A769B6">
        <w:rPr>
          <w:szCs w:val="26"/>
        </w:rPr>
        <w:t>(</w:t>
      </w:r>
      <w:r w:rsidR="00424217" w:rsidRPr="00A62F09">
        <w:rPr>
          <w:szCs w:val="26"/>
        </w:rPr>
        <w:t>now subd. (c)(1)</w:t>
      </w:r>
      <w:r w:rsidR="00A769B6">
        <w:rPr>
          <w:szCs w:val="26"/>
        </w:rPr>
        <w:t>)</w:t>
      </w:r>
      <w:r w:rsidR="00EE7589" w:rsidRPr="00A62F09">
        <w:rPr>
          <w:szCs w:val="26"/>
        </w:rPr>
        <w:t xml:space="preserve">.  </w:t>
      </w:r>
    </w:p>
    <w:p w14:paraId="0DB2E7D9" w14:textId="77777777" w:rsidR="00E96FF4" w:rsidRPr="00A62F09" w:rsidRDefault="002E6832" w:rsidP="00A62F09">
      <w:pPr>
        <w:ind w:firstLine="720"/>
        <w:rPr>
          <w:szCs w:val="26"/>
        </w:rPr>
      </w:pPr>
      <w:r w:rsidRPr="00A62F09">
        <w:rPr>
          <w:szCs w:val="26"/>
        </w:rPr>
        <w:t xml:space="preserve">In </w:t>
      </w:r>
      <w:r w:rsidRPr="00A62F09">
        <w:rPr>
          <w:i/>
          <w:iCs/>
          <w:szCs w:val="26"/>
        </w:rPr>
        <w:t>Rioz</w:t>
      </w:r>
      <w:r w:rsidRPr="00A62F09">
        <w:rPr>
          <w:szCs w:val="26"/>
        </w:rPr>
        <w:t xml:space="preserve">, </w:t>
      </w:r>
      <w:r w:rsidRPr="00A62F09">
        <w:rPr>
          <w:i/>
          <w:iCs/>
          <w:szCs w:val="26"/>
        </w:rPr>
        <w:t>supra</w:t>
      </w:r>
      <w:r w:rsidRPr="00A62F09">
        <w:rPr>
          <w:szCs w:val="26"/>
        </w:rPr>
        <w:t>, 161 Cal.App.3d 905</w:t>
      </w:r>
      <w:r w:rsidR="00F84F33" w:rsidRPr="00A62F09">
        <w:rPr>
          <w:szCs w:val="26"/>
        </w:rPr>
        <w:t>, it was alleged that</w:t>
      </w:r>
      <w:r w:rsidR="000A471F" w:rsidRPr="00A62F09">
        <w:rPr>
          <w:szCs w:val="26"/>
        </w:rPr>
        <w:t xml:space="preserve"> the defendants raped the victim.  The defendants </w:t>
      </w:r>
      <w:r w:rsidR="00CF351D" w:rsidRPr="00A62F09">
        <w:rPr>
          <w:szCs w:val="26"/>
        </w:rPr>
        <w:t xml:space="preserve">asserted the victim had agreed to have sex with them for </w:t>
      </w:r>
      <w:r w:rsidR="007B54BB" w:rsidRPr="00A62F09">
        <w:rPr>
          <w:szCs w:val="26"/>
        </w:rPr>
        <w:t>pay, and a</w:t>
      </w:r>
      <w:r w:rsidR="002534C7" w:rsidRPr="00A62F09">
        <w:rPr>
          <w:szCs w:val="26"/>
        </w:rPr>
        <w:t>t</w:t>
      </w:r>
      <w:r w:rsidR="007B54BB" w:rsidRPr="00A62F09">
        <w:rPr>
          <w:szCs w:val="26"/>
        </w:rPr>
        <w:t xml:space="preserve"> trial sou</w:t>
      </w:r>
      <w:r w:rsidR="00554FAF" w:rsidRPr="00A62F09">
        <w:rPr>
          <w:szCs w:val="26"/>
        </w:rPr>
        <w:t xml:space="preserve">ght to </w:t>
      </w:r>
      <w:r w:rsidR="007B54BB" w:rsidRPr="00A62F09">
        <w:rPr>
          <w:szCs w:val="26"/>
        </w:rPr>
        <w:t>introd</w:t>
      </w:r>
      <w:r w:rsidR="00554FAF" w:rsidRPr="00A62F09">
        <w:rPr>
          <w:szCs w:val="26"/>
        </w:rPr>
        <w:t>uce evidence that the victim had been</w:t>
      </w:r>
      <w:r w:rsidR="00FD2C0E" w:rsidRPr="00A62F09">
        <w:rPr>
          <w:szCs w:val="26"/>
        </w:rPr>
        <w:t xml:space="preserve"> convicted </w:t>
      </w:r>
      <w:r w:rsidR="001B0C25" w:rsidRPr="00A62F09">
        <w:rPr>
          <w:szCs w:val="26"/>
        </w:rPr>
        <w:t xml:space="preserve">of prostitution “as well as </w:t>
      </w:r>
      <w:r w:rsidR="001B0AB6" w:rsidRPr="00A62F09">
        <w:rPr>
          <w:szCs w:val="26"/>
        </w:rPr>
        <w:t xml:space="preserve">certain </w:t>
      </w:r>
      <w:r w:rsidR="001B0C25" w:rsidRPr="00A62F09">
        <w:rPr>
          <w:szCs w:val="26"/>
        </w:rPr>
        <w:t>aspects of her activities</w:t>
      </w:r>
      <w:r w:rsidR="0089356C" w:rsidRPr="00A62F09">
        <w:rPr>
          <w:szCs w:val="26"/>
        </w:rPr>
        <w:t xml:space="preserve"> as a </w:t>
      </w:r>
      <w:r w:rsidR="0032316D" w:rsidRPr="00A62F09">
        <w:rPr>
          <w:szCs w:val="26"/>
        </w:rPr>
        <w:t>prostitute.</w:t>
      </w:r>
      <w:r w:rsidR="0089356C" w:rsidRPr="00A62F09">
        <w:rPr>
          <w:szCs w:val="26"/>
        </w:rPr>
        <w:t>”</w:t>
      </w:r>
      <w:r w:rsidR="0032316D" w:rsidRPr="00A62F09">
        <w:rPr>
          <w:szCs w:val="26"/>
        </w:rPr>
        <w:t xml:space="preserve">  (</w:t>
      </w:r>
      <w:r w:rsidR="0032316D" w:rsidRPr="00A62F09">
        <w:rPr>
          <w:i/>
          <w:iCs/>
          <w:szCs w:val="26"/>
        </w:rPr>
        <w:t>Id</w:t>
      </w:r>
      <w:r w:rsidR="00071F5C" w:rsidRPr="00A62F09">
        <w:rPr>
          <w:szCs w:val="26"/>
        </w:rPr>
        <w:t xml:space="preserve">. at p. 914.)  </w:t>
      </w:r>
      <w:r w:rsidR="000A0B12" w:rsidRPr="00A62F09">
        <w:rPr>
          <w:szCs w:val="26"/>
        </w:rPr>
        <w:t xml:space="preserve">The </w:t>
      </w:r>
      <w:r w:rsidR="009A080C" w:rsidRPr="00A62F09">
        <w:rPr>
          <w:szCs w:val="26"/>
        </w:rPr>
        <w:t>trial court excluded the evidence</w:t>
      </w:r>
      <w:r w:rsidR="00B02E72" w:rsidRPr="00A62F09">
        <w:rPr>
          <w:szCs w:val="26"/>
        </w:rPr>
        <w:t xml:space="preserve"> under </w:t>
      </w:r>
      <w:r w:rsidR="00D45446" w:rsidRPr="00A62F09">
        <w:rPr>
          <w:szCs w:val="26"/>
        </w:rPr>
        <w:t xml:space="preserve">what is now subdivision (c)(1) of </w:t>
      </w:r>
      <w:r w:rsidR="00480D6D" w:rsidRPr="00A62F09">
        <w:rPr>
          <w:szCs w:val="26"/>
        </w:rPr>
        <w:t>section 1103.  (</w:t>
      </w:r>
      <w:r w:rsidR="00FF3F9C" w:rsidRPr="00A62F09">
        <w:rPr>
          <w:i/>
          <w:iCs/>
          <w:szCs w:val="26"/>
        </w:rPr>
        <w:t>Rioz</w:t>
      </w:r>
      <w:r w:rsidR="00FF3F9C" w:rsidRPr="00A62F09">
        <w:rPr>
          <w:szCs w:val="26"/>
        </w:rPr>
        <w:t>, at p. 914</w:t>
      </w:r>
      <w:r w:rsidR="00480D6D" w:rsidRPr="00A62F09">
        <w:rPr>
          <w:szCs w:val="26"/>
        </w:rPr>
        <w:t xml:space="preserve">.)  </w:t>
      </w:r>
      <w:r w:rsidR="00B924CE" w:rsidRPr="00A62F09">
        <w:rPr>
          <w:szCs w:val="26"/>
        </w:rPr>
        <w:t xml:space="preserve">We </w:t>
      </w:r>
      <w:r w:rsidR="00550E29" w:rsidRPr="00A62F09">
        <w:rPr>
          <w:szCs w:val="26"/>
        </w:rPr>
        <w:t xml:space="preserve">will quote in some detail the </w:t>
      </w:r>
      <w:r w:rsidR="002505E8" w:rsidRPr="00A62F09">
        <w:rPr>
          <w:szCs w:val="26"/>
        </w:rPr>
        <w:t xml:space="preserve">Court </w:t>
      </w:r>
      <w:r w:rsidR="005B7D02" w:rsidRPr="00A62F09">
        <w:rPr>
          <w:szCs w:val="26"/>
        </w:rPr>
        <w:t>of Appeal</w:t>
      </w:r>
      <w:r w:rsidR="00550E29" w:rsidRPr="00A62F09">
        <w:rPr>
          <w:szCs w:val="26"/>
        </w:rPr>
        <w:t xml:space="preserve">’s </w:t>
      </w:r>
      <w:r w:rsidR="0072474D" w:rsidRPr="00A62F09">
        <w:rPr>
          <w:szCs w:val="26"/>
        </w:rPr>
        <w:t xml:space="preserve">discussion </w:t>
      </w:r>
      <w:r w:rsidR="005B7D02" w:rsidRPr="00A62F09">
        <w:rPr>
          <w:szCs w:val="26"/>
        </w:rPr>
        <w:t>address</w:t>
      </w:r>
      <w:r w:rsidR="0072474D" w:rsidRPr="00A62F09">
        <w:rPr>
          <w:szCs w:val="26"/>
        </w:rPr>
        <w:t xml:space="preserve">ing </w:t>
      </w:r>
      <w:r w:rsidR="00D3786D" w:rsidRPr="00A62F09">
        <w:rPr>
          <w:szCs w:val="26"/>
        </w:rPr>
        <w:t xml:space="preserve">what it termed </w:t>
      </w:r>
      <w:r w:rsidR="00113BF0" w:rsidRPr="00A62F09">
        <w:rPr>
          <w:szCs w:val="26"/>
        </w:rPr>
        <w:t>“the inherent tension”</w:t>
      </w:r>
      <w:r w:rsidR="0072474D" w:rsidRPr="00A62F09">
        <w:rPr>
          <w:szCs w:val="26"/>
        </w:rPr>
        <w:t xml:space="preserve"> (</w:t>
      </w:r>
      <w:r w:rsidR="0072474D" w:rsidRPr="00A62F09">
        <w:rPr>
          <w:i/>
          <w:iCs/>
          <w:szCs w:val="26"/>
        </w:rPr>
        <w:t>id</w:t>
      </w:r>
      <w:r w:rsidR="0072474D" w:rsidRPr="00A62F09">
        <w:rPr>
          <w:szCs w:val="26"/>
        </w:rPr>
        <w:t>. at p.</w:t>
      </w:r>
      <w:r w:rsidR="00412D59">
        <w:rPr>
          <w:szCs w:val="26"/>
        </w:rPr>
        <w:t> </w:t>
      </w:r>
      <w:r w:rsidR="0072474D" w:rsidRPr="00A62F09">
        <w:rPr>
          <w:szCs w:val="26"/>
        </w:rPr>
        <w:t>91</w:t>
      </w:r>
      <w:r w:rsidR="00922088" w:rsidRPr="00A62F09">
        <w:rPr>
          <w:szCs w:val="26"/>
        </w:rPr>
        <w:t>5</w:t>
      </w:r>
      <w:r w:rsidR="0072474D" w:rsidRPr="00A62F09">
        <w:rPr>
          <w:szCs w:val="26"/>
        </w:rPr>
        <w:t xml:space="preserve">) </w:t>
      </w:r>
      <w:r w:rsidR="009A1DE6" w:rsidRPr="00A62F09">
        <w:rPr>
          <w:szCs w:val="26"/>
        </w:rPr>
        <w:t>between</w:t>
      </w:r>
      <w:r w:rsidR="00D41C9A" w:rsidRPr="00A62F09">
        <w:rPr>
          <w:szCs w:val="26"/>
        </w:rPr>
        <w:t xml:space="preserve"> </w:t>
      </w:r>
      <w:r w:rsidR="003E2D02" w:rsidRPr="00A62F09">
        <w:rPr>
          <w:szCs w:val="26"/>
        </w:rPr>
        <w:t xml:space="preserve">that statute and </w:t>
      </w:r>
      <w:r w:rsidR="00D41C9A" w:rsidRPr="00A62F09">
        <w:rPr>
          <w:szCs w:val="26"/>
        </w:rPr>
        <w:t xml:space="preserve">section </w:t>
      </w:r>
      <w:r w:rsidR="002B4B11" w:rsidRPr="00A62F09">
        <w:rPr>
          <w:szCs w:val="26"/>
        </w:rPr>
        <w:t>782</w:t>
      </w:r>
      <w:r w:rsidRPr="00A62F09">
        <w:rPr>
          <w:szCs w:val="26"/>
        </w:rPr>
        <w:t>.</w:t>
      </w:r>
    </w:p>
    <w:p w14:paraId="0DB2E7DA" w14:textId="77777777" w:rsidR="00846271" w:rsidRPr="008102E7" w:rsidRDefault="002E6832" w:rsidP="00A62F09">
      <w:pPr>
        <w:ind w:firstLine="720"/>
        <w:rPr>
          <w:szCs w:val="26"/>
        </w:rPr>
      </w:pPr>
      <w:r w:rsidRPr="00A62F09">
        <w:rPr>
          <w:szCs w:val="26"/>
        </w:rPr>
        <w:t xml:space="preserve">The appellate court </w:t>
      </w:r>
      <w:r w:rsidR="00895075" w:rsidRPr="00A62F09">
        <w:rPr>
          <w:szCs w:val="26"/>
        </w:rPr>
        <w:t xml:space="preserve">began </w:t>
      </w:r>
      <w:r w:rsidRPr="00A62F09">
        <w:rPr>
          <w:szCs w:val="26"/>
        </w:rPr>
        <w:t xml:space="preserve">by </w:t>
      </w:r>
      <w:r w:rsidR="006B64B3" w:rsidRPr="00A62F09">
        <w:rPr>
          <w:szCs w:val="26"/>
        </w:rPr>
        <w:t>comment</w:t>
      </w:r>
      <w:r w:rsidRPr="00A62F09">
        <w:rPr>
          <w:szCs w:val="26"/>
        </w:rPr>
        <w:t>ing</w:t>
      </w:r>
      <w:r w:rsidR="002B4B11" w:rsidRPr="00A62F09">
        <w:rPr>
          <w:szCs w:val="26"/>
        </w:rPr>
        <w:t xml:space="preserve">:  </w:t>
      </w:r>
      <w:r w:rsidR="006B64B3" w:rsidRPr="00A62F09">
        <w:rPr>
          <w:szCs w:val="26"/>
        </w:rPr>
        <w:t>“</w:t>
      </w:r>
      <w:r w:rsidR="009A1DE6" w:rsidRPr="00A62F09">
        <w:rPr>
          <w:szCs w:val="26"/>
        </w:rPr>
        <w:t>There is necessarily a certain amount of overlap between the issues of the victim</w:t>
      </w:r>
      <w:r w:rsidR="006B64B3" w:rsidRPr="00A62F09">
        <w:rPr>
          <w:szCs w:val="26"/>
        </w:rPr>
        <w:t>’</w:t>
      </w:r>
      <w:r w:rsidR="009A1DE6" w:rsidRPr="00A62F09">
        <w:rPr>
          <w:szCs w:val="26"/>
        </w:rPr>
        <w:t>s consent in a rape or other sex offense case and the victim</w:t>
      </w:r>
      <w:r w:rsidR="006B64B3" w:rsidRPr="00A62F09">
        <w:rPr>
          <w:szCs w:val="26"/>
        </w:rPr>
        <w:t>’</w:t>
      </w:r>
      <w:r w:rsidR="009A1DE6" w:rsidRPr="00A62F09">
        <w:rPr>
          <w:szCs w:val="26"/>
        </w:rPr>
        <w:t>s credibility.</w:t>
      </w:r>
      <w:r w:rsidR="006B64B3" w:rsidRPr="00A62F09">
        <w:rPr>
          <w:szCs w:val="26"/>
        </w:rPr>
        <w:t xml:space="preserve"> </w:t>
      </w:r>
      <w:r w:rsidR="009A1DE6" w:rsidRPr="00A62F09">
        <w:rPr>
          <w:szCs w:val="26"/>
        </w:rPr>
        <w:t xml:space="preserve"> Presumably, any complaining witness in a rape case will deny consent to the sexual acts complained of; to avoid the harassment which had traditionally plagued complaining witnesses in cases of this type, the Legislature excluded evidence of prior sexual activity by the complaining witness with persons other than the defendant in order to prove consent.</w:t>
      </w:r>
      <w:r w:rsidR="006E1131" w:rsidRPr="00A62F09">
        <w:rPr>
          <w:szCs w:val="26"/>
        </w:rPr>
        <w:t>”  (</w:t>
      </w:r>
      <w:r w:rsidR="006E1131" w:rsidRPr="00A62F09">
        <w:rPr>
          <w:i/>
          <w:iCs/>
          <w:szCs w:val="26"/>
        </w:rPr>
        <w:t>Rioz</w:t>
      </w:r>
      <w:r w:rsidR="006E1131" w:rsidRPr="00A62F09">
        <w:rPr>
          <w:szCs w:val="26"/>
        </w:rPr>
        <w:t>,</w:t>
      </w:r>
      <w:r w:rsidR="007142E0" w:rsidRPr="00A62F09">
        <w:rPr>
          <w:szCs w:val="26"/>
        </w:rPr>
        <w:t xml:space="preserve"> </w:t>
      </w:r>
      <w:r w:rsidR="006E1131" w:rsidRPr="00A62F09">
        <w:rPr>
          <w:i/>
          <w:iCs/>
          <w:szCs w:val="26"/>
        </w:rPr>
        <w:t>supra</w:t>
      </w:r>
      <w:r w:rsidR="006E1131" w:rsidRPr="00A62F09">
        <w:rPr>
          <w:szCs w:val="26"/>
        </w:rPr>
        <w:t>,</w:t>
      </w:r>
      <w:r w:rsidR="007142E0" w:rsidRPr="00A62F09">
        <w:rPr>
          <w:szCs w:val="26"/>
        </w:rPr>
        <w:t xml:space="preserve"> </w:t>
      </w:r>
      <w:r w:rsidR="006E1131" w:rsidRPr="00A62F09">
        <w:rPr>
          <w:szCs w:val="26"/>
        </w:rPr>
        <w:t xml:space="preserve">161 Cal.App.3d at p. </w:t>
      </w:r>
      <w:r w:rsidR="00720C3D" w:rsidRPr="00A62F09">
        <w:rPr>
          <w:szCs w:val="26"/>
        </w:rPr>
        <w:t xml:space="preserve">916.)  The court observed that </w:t>
      </w:r>
      <w:r w:rsidR="009A1DE6" w:rsidRPr="00A62F09">
        <w:rPr>
          <w:szCs w:val="26"/>
        </w:rPr>
        <w:t>under</w:t>
      </w:r>
      <w:r w:rsidR="00203B1B" w:rsidRPr="00A62F09">
        <w:rPr>
          <w:szCs w:val="26"/>
        </w:rPr>
        <w:t xml:space="preserve"> </w:t>
      </w:r>
      <w:r w:rsidR="00BA7429" w:rsidRPr="00A62F09">
        <w:rPr>
          <w:szCs w:val="26"/>
        </w:rPr>
        <w:t>what is now subdivision (c)(1)</w:t>
      </w:r>
      <w:r w:rsidR="001943BF" w:rsidRPr="00A62F09">
        <w:rPr>
          <w:szCs w:val="26"/>
        </w:rPr>
        <w:t xml:space="preserve"> of </w:t>
      </w:r>
      <w:r w:rsidR="00203B1B" w:rsidRPr="00A62F09">
        <w:rPr>
          <w:szCs w:val="26"/>
        </w:rPr>
        <w:t>section</w:t>
      </w:r>
      <w:r w:rsidR="008102E7">
        <w:rPr>
          <w:szCs w:val="26"/>
        </w:rPr>
        <w:t> </w:t>
      </w:r>
      <w:r w:rsidR="00203B1B" w:rsidRPr="00A62F09">
        <w:rPr>
          <w:szCs w:val="26"/>
        </w:rPr>
        <w:t>1103</w:t>
      </w:r>
      <w:r w:rsidR="00EF4FE7" w:rsidRPr="00A62F09">
        <w:rPr>
          <w:szCs w:val="26"/>
        </w:rPr>
        <w:t>, “</w:t>
      </w:r>
      <w:r w:rsidR="009A1DE6" w:rsidRPr="00A62F09">
        <w:rPr>
          <w:szCs w:val="26"/>
        </w:rPr>
        <w:t>a defendant in a rape case cannot, based solely upon the victim</w:t>
      </w:r>
      <w:r w:rsidR="00470172" w:rsidRPr="00A62F09">
        <w:rPr>
          <w:szCs w:val="26"/>
        </w:rPr>
        <w:t>’</w:t>
      </w:r>
      <w:r w:rsidR="009A1DE6" w:rsidRPr="00A62F09">
        <w:rPr>
          <w:szCs w:val="26"/>
        </w:rPr>
        <w:t>s testimony and</w:t>
      </w:r>
      <w:r w:rsidR="00FF3F9C" w:rsidRPr="00A62F09">
        <w:rPr>
          <w:szCs w:val="26"/>
        </w:rPr>
        <w:t> </w:t>
      </w:r>
      <w:r w:rsidR="00FA38E8" w:rsidRPr="00A62F09">
        <w:rPr>
          <w:szCs w:val="26"/>
        </w:rPr>
        <w:t>.</w:t>
      </w:r>
      <w:r w:rsidR="00D3784C" w:rsidRPr="00A62F09">
        <w:rPr>
          <w:szCs w:val="26"/>
        </w:rPr>
        <w:t> </w:t>
      </w:r>
      <w:r w:rsidR="00FA38E8" w:rsidRPr="00A62F09">
        <w:rPr>
          <w:szCs w:val="26"/>
        </w:rPr>
        <w:t>.</w:t>
      </w:r>
      <w:r w:rsidR="00D3784C" w:rsidRPr="00A62F09">
        <w:rPr>
          <w:szCs w:val="26"/>
        </w:rPr>
        <w:t> </w:t>
      </w:r>
      <w:r w:rsidR="00FA38E8" w:rsidRPr="00A62F09">
        <w:rPr>
          <w:szCs w:val="26"/>
        </w:rPr>
        <w:t>.</w:t>
      </w:r>
      <w:r w:rsidR="00E04AE5">
        <w:rPr>
          <w:szCs w:val="26"/>
        </w:rPr>
        <w:t xml:space="preserve"> </w:t>
      </w:r>
      <w:r w:rsidR="009A1DE6" w:rsidRPr="008102E7">
        <w:rPr>
          <w:szCs w:val="26"/>
        </w:rPr>
        <w:t xml:space="preserve">presumed denial of consent, introduce evidence that </w:t>
      </w:r>
      <w:r w:rsidR="00CE5DBD" w:rsidRPr="008102E7">
        <w:rPr>
          <w:szCs w:val="26"/>
        </w:rPr>
        <w:t xml:space="preserve">[the victim] </w:t>
      </w:r>
      <w:r w:rsidR="009A1DE6" w:rsidRPr="008102E7">
        <w:rPr>
          <w:szCs w:val="26"/>
        </w:rPr>
        <w:t>engaged in sexual activity with</w:t>
      </w:r>
      <w:r w:rsidR="001309FB" w:rsidRPr="008102E7">
        <w:rPr>
          <w:szCs w:val="26"/>
        </w:rPr>
        <w:t>” one, 10</w:t>
      </w:r>
      <w:r w:rsidR="004B5B08" w:rsidRPr="008102E7">
        <w:rPr>
          <w:szCs w:val="26"/>
        </w:rPr>
        <w:t>,</w:t>
      </w:r>
      <w:r w:rsidR="001309FB" w:rsidRPr="008102E7">
        <w:rPr>
          <w:szCs w:val="26"/>
        </w:rPr>
        <w:t xml:space="preserve"> or 100 other persons,</w:t>
      </w:r>
      <w:r w:rsidR="00E772D0" w:rsidRPr="008102E7">
        <w:rPr>
          <w:szCs w:val="26"/>
        </w:rPr>
        <w:t xml:space="preserve"> “</w:t>
      </w:r>
      <w:r w:rsidR="009A1DE6" w:rsidRPr="008102E7">
        <w:rPr>
          <w:szCs w:val="26"/>
        </w:rPr>
        <w:t xml:space="preserve">nor that </w:t>
      </w:r>
      <w:r w:rsidR="00CE5DBD" w:rsidRPr="008102E7">
        <w:rPr>
          <w:szCs w:val="26"/>
        </w:rPr>
        <w:t>[the victim]</w:t>
      </w:r>
      <w:r w:rsidR="009A1DE6" w:rsidRPr="008102E7">
        <w:rPr>
          <w:szCs w:val="26"/>
        </w:rPr>
        <w:t xml:space="preserve"> engaged in such activity freely or for monetary compensation.</w:t>
      </w:r>
      <w:r w:rsidR="007500C0" w:rsidRPr="008102E7">
        <w:rPr>
          <w:szCs w:val="26"/>
        </w:rPr>
        <w:t xml:space="preserve">  </w:t>
      </w:r>
      <w:r w:rsidR="007500C0" w:rsidRPr="008102E7">
        <w:rPr>
          <w:szCs w:val="26"/>
        </w:rPr>
        <w:lastRenderedPageBreak/>
        <w:t>This rule properly prevents the victim of sexual assault from being</w:t>
      </w:r>
      <w:r w:rsidR="007C2879" w:rsidRPr="008102E7">
        <w:rPr>
          <w:szCs w:val="26"/>
        </w:rPr>
        <w:t xml:space="preserve"> .</w:t>
      </w:r>
      <w:r w:rsidR="003342AE" w:rsidRPr="008102E7">
        <w:rPr>
          <w:szCs w:val="26"/>
        </w:rPr>
        <w:t> </w:t>
      </w:r>
      <w:r w:rsidR="007C2879" w:rsidRPr="008102E7">
        <w:rPr>
          <w:szCs w:val="26"/>
        </w:rPr>
        <w:t>.</w:t>
      </w:r>
      <w:r w:rsidR="003342AE" w:rsidRPr="008102E7">
        <w:rPr>
          <w:szCs w:val="26"/>
        </w:rPr>
        <w:t> </w:t>
      </w:r>
      <w:r w:rsidR="007C2879" w:rsidRPr="008102E7">
        <w:rPr>
          <w:szCs w:val="26"/>
        </w:rPr>
        <w:t xml:space="preserve">. </w:t>
      </w:r>
      <w:r w:rsidR="00980B91" w:rsidRPr="008102E7">
        <w:rPr>
          <w:szCs w:val="26"/>
        </w:rPr>
        <w:t>plac</w:t>
      </w:r>
      <w:r w:rsidR="007500C0" w:rsidRPr="008102E7">
        <w:rPr>
          <w:szCs w:val="26"/>
        </w:rPr>
        <w:t>ed on trial.</w:t>
      </w:r>
      <w:r w:rsidR="00EF4FE7" w:rsidRPr="008102E7">
        <w:rPr>
          <w:szCs w:val="26"/>
        </w:rPr>
        <w:t>”  (</w:t>
      </w:r>
      <w:r w:rsidR="00EF4FE7" w:rsidRPr="008102E7">
        <w:rPr>
          <w:i/>
          <w:iCs/>
          <w:szCs w:val="26"/>
        </w:rPr>
        <w:t>Rioz</w:t>
      </w:r>
      <w:r w:rsidR="00EF4FE7" w:rsidRPr="008102E7">
        <w:rPr>
          <w:szCs w:val="26"/>
        </w:rPr>
        <w:t>,</w:t>
      </w:r>
      <w:r w:rsidR="007142E0" w:rsidRPr="008102E7">
        <w:rPr>
          <w:szCs w:val="26"/>
        </w:rPr>
        <w:t xml:space="preserve"> </w:t>
      </w:r>
      <w:r w:rsidR="00EF4FE7" w:rsidRPr="008102E7">
        <w:rPr>
          <w:szCs w:val="26"/>
        </w:rPr>
        <w:t xml:space="preserve">at p. 916.) </w:t>
      </w:r>
      <w:r w:rsidR="007142E0" w:rsidRPr="008102E7">
        <w:rPr>
          <w:szCs w:val="26"/>
        </w:rPr>
        <w:t xml:space="preserve"> </w:t>
      </w:r>
    </w:p>
    <w:p w14:paraId="0DB2E7DB" w14:textId="77777777" w:rsidR="009A1DE6" w:rsidRPr="008102E7" w:rsidRDefault="002E6832" w:rsidP="00A62F09">
      <w:pPr>
        <w:ind w:firstLine="720"/>
        <w:rPr>
          <w:szCs w:val="26"/>
        </w:rPr>
      </w:pPr>
      <w:r w:rsidRPr="008102E7">
        <w:rPr>
          <w:szCs w:val="26"/>
        </w:rPr>
        <w:t>Nevertheless, the Cour</w:t>
      </w:r>
      <w:r w:rsidR="00E6271B" w:rsidRPr="008102E7">
        <w:rPr>
          <w:szCs w:val="26"/>
        </w:rPr>
        <w:t>t</w:t>
      </w:r>
      <w:r w:rsidRPr="008102E7">
        <w:rPr>
          <w:szCs w:val="26"/>
        </w:rPr>
        <w:t xml:space="preserve"> of Appeal </w:t>
      </w:r>
      <w:r w:rsidR="00E6271B" w:rsidRPr="008102E7">
        <w:rPr>
          <w:szCs w:val="26"/>
        </w:rPr>
        <w:t xml:space="preserve">in </w:t>
      </w:r>
      <w:r w:rsidR="00E6271B" w:rsidRPr="008102E7">
        <w:rPr>
          <w:i/>
          <w:iCs/>
          <w:szCs w:val="26"/>
        </w:rPr>
        <w:t>Rioz</w:t>
      </w:r>
      <w:r w:rsidR="00356147" w:rsidRPr="008102E7">
        <w:rPr>
          <w:i/>
          <w:iCs/>
          <w:szCs w:val="26"/>
        </w:rPr>
        <w:t xml:space="preserve"> </w:t>
      </w:r>
      <w:r w:rsidR="00356147" w:rsidRPr="008102E7">
        <w:rPr>
          <w:szCs w:val="26"/>
        </w:rPr>
        <w:t>recogn</w:t>
      </w:r>
      <w:r w:rsidR="006E229D" w:rsidRPr="008102E7">
        <w:rPr>
          <w:szCs w:val="26"/>
        </w:rPr>
        <w:t>ized</w:t>
      </w:r>
      <w:r w:rsidR="0064460C" w:rsidRPr="008102E7">
        <w:rPr>
          <w:szCs w:val="26"/>
        </w:rPr>
        <w:t xml:space="preserve"> that</w:t>
      </w:r>
      <w:r w:rsidR="006E229D" w:rsidRPr="008102E7">
        <w:rPr>
          <w:szCs w:val="26"/>
        </w:rPr>
        <w:t xml:space="preserve"> </w:t>
      </w:r>
      <w:r w:rsidR="00B66075" w:rsidRPr="008102E7">
        <w:rPr>
          <w:szCs w:val="26"/>
        </w:rPr>
        <w:t xml:space="preserve">what is </w:t>
      </w:r>
      <w:r w:rsidR="004257FE" w:rsidRPr="008102E7">
        <w:rPr>
          <w:szCs w:val="26"/>
        </w:rPr>
        <w:t>inadmissible under</w:t>
      </w:r>
      <w:r w:rsidR="00D45231" w:rsidRPr="008102E7">
        <w:rPr>
          <w:szCs w:val="26"/>
        </w:rPr>
        <w:t xml:space="preserve"> what is now subdivision (c)(1)</w:t>
      </w:r>
      <w:r w:rsidR="004257FE" w:rsidRPr="008102E7">
        <w:rPr>
          <w:szCs w:val="26"/>
        </w:rPr>
        <w:t xml:space="preserve"> </w:t>
      </w:r>
      <w:r w:rsidR="004D5E7C" w:rsidRPr="008102E7">
        <w:rPr>
          <w:szCs w:val="26"/>
        </w:rPr>
        <w:t xml:space="preserve">of section 1103 </w:t>
      </w:r>
      <w:r w:rsidR="004257FE" w:rsidRPr="008102E7">
        <w:rPr>
          <w:i/>
          <w:szCs w:val="26"/>
        </w:rPr>
        <w:t>can</w:t>
      </w:r>
      <w:r w:rsidR="00EA2345" w:rsidRPr="008102E7">
        <w:rPr>
          <w:szCs w:val="26"/>
        </w:rPr>
        <w:t xml:space="preserve"> become admissible for impeachment under </w:t>
      </w:r>
      <w:r w:rsidR="00172237" w:rsidRPr="008102E7">
        <w:rPr>
          <w:szCs w:val="26"/>
        </w:rPr>
        <w:t>what is now subdivision (c)(5) of section 1103</w:t>
      </w:r>
      <w:r w:rsidR="00EA2345" w:rsidRPr="008102E7">
        <w:rPr>
          <w:szCs w:val="26"/>
        </w:rPr>
        <w:t xml:space="preserve">.  The court </w:t>
      </w:r>
      <w:r w:rsidR="007A066D" w:rsidRPr="008102E7">
        <w:rPr>
          <w:szCs w:val="26"/>
        </w:rPr>
        <w:t>reasoned</w:t>
      </w:r>
      <w:r w:rsidR="00E6271B" w:rsidRPr="008102E7">
        <w:rPr>
          <w:szCs w:val="26"/>
        </w:rPr>
        <w:t xml:space="preserve">:  </w:t>
      </w:r>
      <w:r w:rsidR="007500C0" w:rsidRPr="008102E7">
        <w:rPr>
          <w:szCs w:val="26"/>
        </w:rPr>
        <w:t>“</w:t>
      </w:r>
      <w:r w:rsidR="008130FE" w:rsidRPr="008102E7">
        <w:rPr>
          <w:szCs w:val="26"/>
        </w:rPr>
        <w:t>[O]</w:t>
      </w:r>
      <w:r w:rsidRPr="008102E7">
        <w:rPr>
          <w:szCs w:val="26"/>
        </w:rPr>
        <w:t>nce the defendant, in accordance with the procedural requirements of</w:t>
      </w:r>
      <w:r w:rsidR="00462558" w:rsidRPr="008102E7">
        <w:rPr>
          <w:szCs w:val="26"/>
        </w:rPr>
        <w:t xml:space="preserve"> . . .</w:t>
      </w:r>
      <w:r w:rsidR="000A61CF" w:rsidRPr="008102E7">
        <w:rPr>
          <w:szCs w:val="26"/>
        </w:rPr>
        <w:t xml:space="preserve"> section 782, </w:t>
      </w:r>
      <w:r w:rsidRPr="008102E7">
        <w:rPr>
          <w:szCs w:val="26"/>
        </w:rPr>
        <w:t>makes a</w:t>
      </w:r>
      <w:r w:rsidR="000A61CF" w:rsidRPr="008102E7">
        <w:rPr>
          <w:szCs w:val="26"/>
        </w:rPr>
        <w:t xml:space="preserve"> </w:t>
      </w:r>
      <w:r w:rsidRPr="008102E7">
        <w:rPr>
          <w:szCs w:val="26"/>
          <w:bdr w:val="none" w:sz="0" w:space="0" w:color="auto" w:frame="1"/>
        </w:rPr>
        <w:t>sworn</w:t>
      </w:r>
      <w:r w:rsidR="000A61CF" w:rsidRPr="008102E7">
        <w:rPr>
          <w:szCs w:val="26"/>
          <w:bdr w:val="none" w:sz="0" w:space="0" w:color="auto" w:frame="1"/>
        </w:rPr>
        <w:t xml:space="preserve"> </w:t>
      </w:r>
      <w:r w:rsidRPr="008102E7">
        <w:rPr>
          <w:szCs w:val="26"/>
        </w:rPr>
        <w:t xml:space="preserve">offer of proof concerning the relevance of the sexual conduct of the complaining witness to attack her credibility, </w:t>
      </w:r>
      <w:r w:rsidRPr="008102E7">
        <w:rPr>
          <w:i/>
          <w:iCs/>
          <w:szCs w:val="26"/>
        </w:rPr>
        <w:t>even though it is the underlying issue of consent which is being challenged</w:t>
      </w:r>
      <w:r w:rsidRPr="008102E7">
        <w:rPr>
          <w:szCs w:val="26"/>
        </w:rPr>
        <w:t>, then the absolute protection afforded by</w:t>
      </w:r>
      <w:r w:rsidR="002F572F" w:rsidRPr="008102E7">
        <w:rPr>
          <w:szCs w:val="26"/>
        </w:rPr>
        <w:t xml:space="preserve"> </w:t>
      </w:r>
      <w:r w:rsidR="007629D4" w:rsidRPr="008102E7">
        <w:rPr>
          <w:szCs w:val="26"/>
        </w:rPr>
        <w:t xml:space="preserve">. . . </w:t>
      </w:r>
      <w:r w:rsidR="006235D6" w:rsidRPr="008102E7">
        <w:rPr>
          <w:szCs w:val="26"/>
        </w:rPr>
        <w:t xml:space="preserve">section 1103, [former] </w:t>
      </w:r>
      <w:r w:rsidR="00C332EB" w:rsidRPr="008102E7">
        <w:rPr>
          <w:szCs w:val="26"/>
        </w:rPr>
        <w:t>subdivision (</w:t>
      </w:r>
      <w:r w:rsidR="003279AE" w:rsidRPr="008102E7">
        <w:rPr>
          <w:szCs w:val="26"/>
        </w:rPr>
        <w:t>b</w:t>
      </w:r>
      <w:r w:rsidR="00C332EB" w:rsidRPr="008102E7">
        <w:rPr>
          <w:szCs w:val="26"/>
        </w:rPr>
        <w:t xml:space="preserve">)(1) </w:t>
      </w:r>
      <w:r w:rsidR="003279AE" w:rsidRPr="008102E7">
        <w:rPr>
          <w:szCs w:val="26"/>
        </w:rPr>
        <w:t>[now subd</w:t>
      </w:r>
      <w:r w:rsidR="00052CD8">
        <w:rPr>
          <w:szCs w:val="26"/>
        </w:rPr>
        <w:t>ivision</w:t>
      </w:r>
      <w:r w:rsidR="003279AE" w:rsidRPr="008102E7">
        <w:rPr>
          <w:szCs w:val="26"/>
        </w:rPr>
        <w:t xml:space="preserve"> (c)(1)</w:t>
      </w:r>
      <w:r w:rsidR="001E5311" w:rsidRPr="008102E7">
        <w:rPr>
          <w:szCs w:val="26"/>
        </w:rPr>
        <w:t>]</w:t>
      </w:r>
      <w:r w:rsidR="003279AE" w:rsidRPr="008102E7">
        <w:rPr>
          <w:szCs w:val="26"/>
        </w:rPr>
        <w:t xml:space="preserve"> </w:t>
      </w:r>
      <w:r w:rsidRPr="008102E7">
        <w:rPr>
          <w:i/>
          <w:iCs/>
          <w:szCs w:val="26"/>
        </w:rPr>
        <w:t xml:space="preserve">gives way </w:t>
      </w:r>
      <w:r w:rsidRPr="008102E7">
        <w:rPr>
          <w:szCs w:val="26"/>
        </w:rPr>
        <w:t xml:space="preserve">to the detailed procedural safeguards inherent </w:t>
      </w:r>
      <w:r w:rsidR="00636262" w:rsidRPr="008102E7">
        <w:rPr>
          <w:szCs w:val="26"/>
        </w:rPr>
        <w:t>in</w:t>
      </w:r>
      <w:r w:rsidR="00786A19" w:rsidRPr="008102E7">
        <w:rPr>
          <w:szCs w:val="26"/>
        </w:rPr>
        <w:t xml:space="preserve"> </w:t>
      </w:r>
      <w:r w:rsidR="00EB4040" w:rsidRPr="008102E7">
        <w:rPr>
          <w:szCs w:val="26"/>
        </w:rPr>
        <w:t>.</w:t>
      </w:r>
      <w:r w:rsidR="005315D5" w:rsidRPr="008102E7">
        <w:rPr>
          <w:szCs w:val="26"/>
        </w:rPr>
        <w:t xml:space="preserve"> . . </w:t>
      </w:r>
      <w:r w:rsidR="00636262" w:rsidRPr="008102E7">
        <w:rPr>
          <w:szCs w:val="26"/>
        </w:rPr>
        <w:t xml:space="preserve">section </w:t>
      </w:r>
      <w:r w:rsidR="00397365" w:rsidRPr="008102E7">
        <w:rPr>
          <w:szCs w:val="26"/>
        </w:rPr>
        <w:t>782.</w:t>
      </w:r>
      <w:r w:rsidR="00101B21" w:rsidRPr="008102E7">
        <w:rPr>
          <w:szCs w:val="26"/>
        </w:rPr>
        <w:t>”</w:t>
      </w:r>
      <w:r w:rsidR="00397365" w:rsidRPr="008102E7">
        <w:rPr>
          <w:szCs w:val="26"/>
        </w:rPr>
        <w:t xml:space="preserve">  </w:t>
      </w:r>
      <w:r w:rsidR="008420EB" w:rsidRPr="008102E7">
        <w:rPr>
          <w:szCs w:val="26"/>
        </w:rPr>
        <w:t>(</w:t>
      </w:r>
      <w:r w:rsidR="008420EB" w:rsidRPr="008102E7">
        <w:rPr>
          <w:i/>
          <w:iCs/>
          <w:szCs w:val="26"/>
        </w:rPr>
        <w:t>Rioz</w:t>
      </w:r>
      <w:r w:rsidR="008420EB" w:rsidRPr="008102E7">
        <w:rPr>
          <w:szCs w:val="26"/>
        </w:rPr>
        <w:t>,</w:t>
      </w:r>
      <w:r w:rsidR="007142E0" w:rsidRPr="008102E7">
        <w:rPr>
          <w:szCs w:val="26"/>
        </w:rPr>
        <w:t xml:space="preserve"> </w:t>
      </w:r>
      <w:r w:rsidR="008420EB" w:rsidRPr="008102E7">
        <w:rPr>
          <w:i/>
          <w:iCs/>
          <w:szCs w:val="26"/>
        </w:rPr>
        <w:t>supra</w:t>
      </w:r>
      <w:r w:rsidR="008420EB" w:rsidRPr="008102E7">
        <w:rPr>
          <w:szCs w:val="26"/>
        </w:rPr>
        <w:t>,</w:t>
      </w:r>
      <w:r w:rsidR="007142E0" w:rsidRPr="008102E7">
        <w:rPr>
          <w:szCs w:val="26"/>
        </w:rPr>
        <w:t xml:space="preserve"> </w:t>
      </w:r>
      <w:r w:rsidR="008420EB" w:rsidRPr="008102E7">
        <w:rPr>
          <w:szCs w:val="26"/>
        </w:rPr>
        <w:t>161 Cal.App.3d at p. 916</w:t>
      </w:r>
      <w:r w:rsidR="00C267BC" w:rsidRPr="008102E7">
        <w:rPr>
          <w:szCs w:val="26"/>
        </w:rPr>
        <w:t xml:space="preserve">, italics </w:t>
      </w:r>
      <w:r w:rsidR="003F4904" w:rsidRPr="008102E7">
        <w:rPr>
          <w:szCs w:val="26"/>
        </w:rPr>
        <w:t>omitted</w:t>
      </w:r>
      <w:r w:rsidR="00A0462B" w:rsidRPr="008102E7">
        <w:rPr>
          <w:szCs w:val="26"/>
        </w:rPr>
        <w:t xml:space="preserve"> </w:t>
      </w:r>
      <w:r w:rsidR="00804A97">
        <w:rPr>
          <w:szCs w:val="26"/>
        </w:rPr>
        <w:t>&amp;</w:t>
      </w:r>
      <w:r w:rsidR="00A0462B" w:rsidRPr="008102E7">
        <w:rPr>
          <w:szCs w:val="26"/>
        </w:rPr>
        <w:t xml:space="preserve"> added.</w:t>
      </w:r>
      <w:r w:rsidR="008420EB" w:rsidRPr="008102E7">
        <w:rPr>
          <w:szCs w:val="26"/>
        </w:rPr>
        <w:t>)</w:t>
      </w:r>
      <w:r w:rsidR="00A0462B" w:rsidRPr="008102E7">
        <w:rPr>
          <w:szCs w:val="26"/>
        </w:rPr>
        <w:t xml:space="preserve">  </w:t>
      </w:r>
    </w:p>
    <w:p w14:paraId="0DB2E7DC" w14:textId="77777777" w:rsidR="00AC0253" w:rsidRPr="007E0F01" w:rsidRDefault="002E6832" w:rsidP="00A62F09">
      <w:pPr>
        <w:ind w:firstLine="720"/>
        <w:rPr>
          <w:szCs w:val="26"/>
        </w:rPr>
      </w:pPr>
      <w:r w:rsidRPr="008102E7">
        <w:rPr>
          <w:szCs w:val="26"/>
        </w:rPr>
        <w:t xml:space="preserve">The </w:t>
      </w:r>
      <w:r w:rsidR="00B9642C" w:rsidRPr="008102E7">
        <w:rPr>
          <w:szCs w:val="26"/>
        </w:rPr>
        <w:t xml:space="preserve">court in </w:t>
      </w:r>
      <w:r w:rsidR="0097170C" w:rsidRPr="008102E7">
        <w:rPr>
          <w:i/>
          <w:iCs/>
          <w:szCs w:val="26"/>
        </w:rPr>
        <w:t>Rioz</w:t>
      </w:r>
      <w:r w:rsidR="0097170C" w:rsidRPr="008102E7">
        <w:rPr>
          <w:szCs w:val="26"/>
        </w:rPr>
        <w:t xml:space="preserve"> </w:t>
      </w:r>
      <w:r w:rsidR="00491D17" w:rsidRPr="008102E7">
        <w:rPr>
          <w:szCs w:val="26"/>
        </w:rPr>
        <w:t>explained:  “</w:t>
      </w:r>
      <w:r w:rsidR="009A1DE6" w:rsidRPr="008102E7">
        <w:rPr>
          <w:szCs w:val="26"/>
        </w:rPr>
        <w:t>It is significant that the express provisions of</w:t>
      </w:r>
      <w:r w:rsidR="004B5B08" w:rsidRPr="008102E7">
        <w:rPr>
          <w:szCs w:val="26"/>
        </w:rPr>
        <w:t> </w:t>
      </w:r>
      <w:r w:rsidR="00491D17" w:rsidRPr="008102E7">
        <w:rPr>
          <w:szCs w:val="26"/>
        </w:rPr>
        <w:t>. . .</w:t>
      </w:r>
      <w:r w:rsidR="00AF2CC2">
        <w:rPr>
          <w:szCs w:val="26"/>
        </w:rPr>
        <w:t xml:space="preserve"> </w:t>
      </w:r>
      <w:r w:rsidR="00491D17" w:rsidRPr="008102E7">
        <w:rPr>
          <w:szCs w:val="26"/>
        </w:rPr>
        <w:t>section 782</w:t>
      </w:r>
      <w:r w:rsidR="00491D17" w:rsidRPr="008102E7">
        <w:rPr>
          <w:szCs w:val="28"/>
        </w:rPr>
        <w:t xml:space="preserve"> </w:t>
      </w:r>
      <w:r w:rsidR="009A1DE6" w:rsidRPr="008102E7">
        <w:rPr>
          <w:szCs w:val="26"/>
        </w:rPr>
        <w:t>vest broad discretion in the trial court to weigh the defendant</w:t>
      </w:r>
      <w:r w:rsidR="00B65AE5" w:rsidRPr="008102E7">
        <w:rPr>
          <w:szCs w:val="26"/>
        </w:rPr>
        <w:t>’</w:t>
      </w:r>
      <w:r w:rsidR="009A1DE6" w:rsidRPr="008102E7">
        <w:rPr>
          <w:szCs w:val="26"/>
        </w:rPr>
        <w:t xml:space="preserve">s proffered evidence, prior to its submission to the jury, </w:t>
      </w:r>
      <w:r w:rsidR="009A1DE6" w:rsidRPr="008102E7">
        <w:rPr>
          <w:i/>
          <w:iCs/>
          <w:szCs w:val="26"/>
        </w:rPr>
        <w:t>and to resolve the conflicting interests of the complaining witness and the defendant</w:t>
      </w:r>
      <w:r w:rsidR="009A1DE6" w:rsidRPr="008102E7">
        <w:rPr>
          <w:szCs w:val="26"/>
        </w:rPr>
        <w:t xml:space="preserve">. </w:t>
      </w:r>
      <w:r w:rsidR="00B65AE5" w:rsidRPr="008102E7">
        <w:rPr>
          <w:szCs w:val="26"/>
        </w:rPr>
        <w:t xml:space="preserve"> </w:t>
      </w:r>
      <w:r w:rsidR="009A1DE6" w:rsidRPr="008102E7">
        <w:rPr>
          <w:szCs w:val="26"/>
        </w:rPr>
        <w:t>Initially, the trial court need not even hold a hearing unless it first determines that the defendant</w:t>
      </w:r>
      <w:r w:rsidR="00B65AE5" w:rsidRPr="008102E7">
        <w:rPr>
          <w:szCs w:val="26"/>
        </w:rPr>
        <w:t>’</w:t>
      </w:r>
      <w:r w:rsidR="009A1DE6" w:rsidRPr="008102E7">
        <w:rPr>
          <w:szCs w:val="26"/>
        </w:rPr>
        <w:t xml:space="preserve">s sworn offer of proof is sufficient. </w:t>
      </w:r>
      <w:r w:rsidR="00B65AE5" w:rsidRPr="008102E7">
        <w:rPr>
          <w:szCs w:val="26"/>
        </w:rPr>
        <w:t xml:space="preserve"> </w:t>
      </w:r>
      <w:r w:rsidR="009A1DE6" w:rsidRPr="008102E7">
        <w:rPr>
          <w:szCs w:val="26"/>
        </w:rPr>
        <w:t xml:space="preserve">Moreover, even after a hearing outside the presence of the jury </w:t>
      </w:r>
      <w:r w:rsidR="009A1DE6" w:rsidRPr="008102E7">
        <w:rPr>
          <w:i/>
          <w:iCs/>
          <w:szCs w:val="26"/>
        </w:rPr>
        <w:t>at which the complaining witness is questioned about the defendant</w:t>
      </w:r>
      <w:r w:rsidR="003B7EED" w:rsidRPr="008102E7">
        <w:rPr>
          <w:i/>
          <w:iCs/>
          <w:szCs w:val="26"/>
        </w:rPr>
        <w:t>’</w:t>
      </w:r>
      <w:r w:rsidR="009A1DE6" w:rsidRPr="008102E7">
        <w:rPr>
          <w:i/>
          <w:iCs/>
          <w:szCs w:val="26"/>
        </w:rPr>
        <w:t>s offer of proof</w:t>
      </w:r>
      <w:r w:rsidR="009A1DE6" w:rsidRPr="008102E7">
        <w:rPr>
          <w:szCs w:val="26"/>
        </w:rPr>
        <w:t>, the statute specifically reaffirms the trial court</w:t>
      </w:r>
      <w:r w:rsidR="003B7EED" w:rsidRPr="008102E7">
        <w:rPr>
          <w:szCs w:val="26"/>
        </w:rPr>
        <w:t>’</w:t>
      </w:r>
      <w:r w:rsidR="009A1DE6" w:rsidRPr="008102E7">
        <w:rPr>
          <w:szCs w:val="26"/>
        </w:rPr>
        <w:t>s discretion, pursuant to</w:t>
      </w:r>
      <w:r w:rsidR="003B7EED" w:rsidRPr="008102E7">
        <w:rPr>
          <w:szCs w:val="26"/>
        </w:rPr>
        <w:t xml:space="preserve"> . . . section </w:t>
      </w:r>
      <w:r w:rsidR="00B10704" w:rsidRPr="008102E7">
        <w:rPr>
          <w:szCs w:val="26"/>
        </w:rPr>
        <w:t xml:space="preserve">352, </w:t>
      </w:r>
      <w:r w:rsidR="009A1DE6" w:rsidRPr="008102E7">
        <w:rPr>
          <w:szCs w:val="26"/>
        </w:rPr>
        <w:t xml:space="preserve">to exclude relevant </w:t>
      </w:r>
      <w:r w:rsidR="009A1DE6" w:rsidRPr="008102E7">
        <w:rPr>
          <w:szCs w:val="26"/>
        </w:rPr>
        <w:lastRenderedPageBreak/>
        <w:t>evidence which is more prejudicial than probative</w:t>
      </w:r>
      <w:r w:rsidRPr="008102E7">
        <w:rPr>
          <w:szCs w:val="26"/>
        </w:rPr>
        <w:t>.”  (</w:t>
      </w:r>
      <w:r w:rsidRPr="008102E7">
        <w:rPr>
          <w:i/>
          <w:iCs/>
          <w:szCs w:val="26"/>
        </w:rPr>
        <w:t>Rioz</w:t>
      </w:r>
      <w:r w:rsidRPr="008102E7">
        <w:rPr>
          <w:szCs w:val="26"/>
        </w:rPr>
        <w:t>,</w:t>
      </w:r>
      <w:r w:rsidR="007142E0" w:rsidRPr="008102E7">
        <w:rPr>
          <w:szCs w:val="26"/>
        </w:rPr>
        <w:t xml:space="preserve"> </w:t>
      </w:r>
      <w:r w:rsidRPr="008102E7">
        <w:rPr>
          <w:i/>
          <w:iCs/>
          <w:szCs w:val="26"/>
        </w:rPr>
        <w:t>supra</w:t>
      </w:r>
      <w:r w:rsidRPr="008102E7">
        <w:rPr>
          <w:szCs w:val="26"/>
        </w:rPr>
        <w:t>,</w:t>
      </w:r>
      <w:r w:rsidR="007142E0" w:rsidRPr="008102E7">
        <w:rPr>
          <w:szCs w:val="26"/>
        </w:rPr>
        <w:t xml:space="preserve"> </w:t>
      </w:r>
      <w:r w:rsidRPr="008102E7">
        <w:rPr>
          <w:szCs w:val="26"/>
        </w:rPr>
        <w:t>161</w:t>
      </w:r>
      <w:r w:rsidR="00215027" w:rsidRPr="008102E7">
        <w:rPr>
          <w:szCs w:val="26"/>
        </w:rPr>
        <w:t> </w:t>
      </w:r>
      <w:r w:rsidRPr="008102E7">
        <w:rPr>
          <w:szCs w:val="26"/>
        </w:rPr>
        <w:t>Cal.App.3</w:t>
      </w:r>
      <w:r w:rsidRPr="008102E7">
        <w:rPr>
          <w:szCs w:val="26"/>
        </w:rPr>
        <w:t>d at p.</w:t>
      </w:r>
      <w:r w:rsidR="009653EF" w:rsidRPr="008102E7">
        <w:rPr>
          <w:szCs w:val="26"/>
        </w:rPr>
        <w:t> </w:t>
      </w:r>
      <w:r w:rsidRPr="008102E7">
        <w:rPr>
          <w:szCs w:val="26"/>
        </w:rPr>
        <w:t>916</w:t>
      </w:r>
      <w:r w:rsidR="006B2010" w:rsidRPr="008102E7">
        <w:rPr>
          <w:szCs w:val="26"/>
        </w:rPr>
        <w:t>, italics added</w:t>
      </w:r>
      <w:r w:rsidRPr="008102E7">
        <w:rPr>
          <w:szCs w:val="26"/>
        </w:rPr>
        <w:t>.)</w:t>
      </w:r>
      <w:r>
        <w:rPr>
          <w:rStyle w:val="FootnoteReference"/>
          <w:bCs/>
          <w:szCs w:val="26"/>
        </w:rPr>
        <w:footnoteReference w:id="10"/>
      </w:r>
      <w:r w:rsidRPr="007E0F01">
        <w:rPr>
          <w:szCs w:val="26"/>
        </w:rPr>
        <w:t xml:space="preserve">  </w:t>
      </w:r>
    </w:p>
    <w:p w14:paraId="0DB2E7DD" w14:textId="77777777" w:rsidR="00B97AA4" w:rsidRPr="007E0F01" w:rsidRDefault="002E6832" w:rsidP="00A62F09">
      <w:pPr>
        <w:ind w:firstLine="720"/>
        <w:rPr>
          <w:szCs w:val="26"/>
        </w:rPr>
      </w:pPr>
      <w:r w:rsidRPr="007E0F01">
        <w:rPr>
          <w:szCs w:val="26"/>
        </w:rPr>
        <w:t xml:space="preserve">The appellate court in </w:t>
      </w:r>
      <w:r w:rsidRPr="007E0F01">
        <w:rPr>
          <w:i/>
          <w:iCs/>
          <w:szCs w:val="26"/>
        </w:rPr>
        <w:t>Rioz</w:t>
      </w:r>
      <w:r w:rsidRPr="007E0F01">
        <w:rPr>
          <w:szCs w:val="26"/>
        </w:rPr>
        <w:t xml:space="preserve"> concluded:  “</w:t>
      </w:r>
      <w:r w:rsidR="009A1DE6" w:rsidRPr="007E0F01">
        <w:rPr>
          <w:szCs w:val="26"/>
        </w:rPr>
        <w:t>This discretion in the trial court, along with the other safeguards inherent in</w:t>
      </w:r>
      <w:r w:rsidR="00A033AF">
        <w:rPr>
          <w:szCs w:val="26"/>
        </w:rPr>
        <w:t> </w:t>
      </w:r>
      <w:r w:rsidR="003A200D" w:rsidRPr="007E0F01">
        <w:rPr>
          <w:szCs w:val="26"/>
        </w:rPr>
        <w:t>. . .</w:t>
      </w:r>
      <w:r w:rsidR="00A033AF">
        <w:rPr>
          <w:szCs w:val="26"/>
        </w:rPr>
        <w:t> </w:t>
      </w:r>
      <w:r w:rsidR="003A200D" w:rsidRPr="007E0F01">
        <w:rPr>
          <w:szCs w:val="26"/>
        </w:rPr>
        <w:t xml:space="preserve">section 782, </w:t>
      </w:r>
      <w:r w:rsidR="009A1DE6" w:rsidRPr="007E0F01">
        <w:rPr>
          <w:szCs w:val="26"/>
        </w:rPr>
        <w:t>including the requirement that the defendant tender a sworn offer of proof of the relevancy of the complaining witness</w:t>
      </w:r>
      <w:r w:rsidR="003A200D" w:rsidRPr="007E0F01">
        <w:rPr>
          <w:szCs w:val="26"/>
        </w:rPr>
        <w:t>’</w:t>
      </w:r>
      <w:r w:rsidR="00F539E4" w:rsidRPr="007E0F01">
        <w:rPr>
          <w:szCs w:val="26"/>
        </w:rPr>
        <w:t xml:space="preserve"> </w:t>
      </w:r>
      <w:r w:rsidR="009A1DE6" w:rsidRPr="007E0F01">
        <w:rPr>
          <w:szCs w:val="26"/>
        </w:rPr>
        <w:t xml:space="preserve">sexual conduct to attack her credibility, all operate to provide a </w:t>
      </w:r>
      <w:r w:rsidR="009A1DE6" w:rsidRPr="007E0F01">
        <w:rPr>
          <w:i/>
          <w:iCs/>
          <w:szCs w:val="26"/>
        </w:rPr>
        <w:t>rational resolution of the tension</w:t>
      </w:r>
      <w:r w:rsidR="009A1DE6" w:rsidRPr="007E0F01">
        <w:rPr>
          <w:szCs w:val="26"/>
        </w:rPr>
        <w:t xml:space="preserve"> existing between</w:t>
      </w:r>
      <w:r w:rsidR="00F03790" w:rsidRPr="007E0F01">
        <w:rPr>
          <w:szCs w:val="26"/>
        </w:rPr>
        <w:t>”</w:t>
      </w:r>
      <w:r w:rsidR="003A200D" w:rsidRPr="007E0F01">
        <w:rPr>
          <w:szCs w:val="26"/>
        </w:rPr>
        <w:t xml:space="preserve"> </w:t>
      </w:r>
      <w:r w:rsidR="00380035" w:rsidRPr="007E0F01">
        <w:rPr>
          <w:szCs w:val="26"/>
        </w:rPr>
        <w:t xml:space="preserve">section 782 and </w:t>
      </w:r>
      <w:r w:rsidR="00F03790" w:rsidRPr="007E0F01">
        <w:rPr>
          <w:szCs w:val="26"/>
        </w:rPr>
        <w:t xml:space="preserve">what is now set out in subdivision (c)(5) of section </w:t>
      </w:r>
      <w:r w:rsidR="00380035" w:rsidRPr="007E0F01">
        <w:rPr>
          <w:szCs w:val="26"/>
        </w:rPr>
        <w:t xml:space="preserve">1103.  </w:t>
      </w:r>
      <w:r w:rsidR="00F92155" w:rsidRPr="007E0F01">
        <w:rPr>
          <w:szCs w:val="26"/>
        </w:rPr>
        <w:t>(</w:t>
      </w:r>
      <w:r w:rsidR="00F92155" w:rsidRPr="007E0F01">
        <w:rPr>
          <w:i/>
          <w:iCs/>
          <w:szCs w:val="26"/>
        </w:rPr>
        <w:t>Rioz</w:t>
      </w:r>
      <w:r w:rsidR="00F92155" w:rsidRPr="007E0F01">
        <w:rPr>
          <w:szCs w:val="26"/>
        </w:rPr>
        <w:t>,</w:t>
      </w:r>
      <w:r w:rsidR="00F92155" w:rsidRPr="007E0F01">
        <w:rPr>
          <w:i/>
          <w:iCs/>
          <w:szCs w:val="26"/>
        </w:rPr>
        <w:t xml:space="preserve"> supra</w:t>
      </w:r>
      <w:r w:rsidR="00F92155" w:rsidRPr="007E0F01">
        <w:rPr>
          <w:szCs w:val="26"/>
        </w:rPr>
        <w:t>,</w:t>
      </w:r>
      <w:r w:rsidR="00484EAE" w:rsidRPr="007E0F01">
        <w:rPr>
          <w:szCs w:val="26"/>
        </w:rPr>
        <w:t xml:space="preserve"> </w:t>
      </w:r>
      <w:r w:rsidR="00F92155" w:rsidRPr="007E0F01">
        <w:rPr>
          <w:szCs w:val="26"/>
        </w:rPr>
        <w:t>161 Cal.App.3d at p. 917</w:t>
      </w:r>
      <w:r w:rsidR="0062221E" w:rsidRPr="007E0F01">
        <w:rPr>
          <w:szCs w:val="26"/>
        </w:rPr>
        <w:t>, italics added</w:t>
      </w:r>
      <w:r w:rsidR="00F92155" w:rsidRPr="007E0F01">
        <w:rPr>
          <w:szCs w:val="26"/>
        </w:rPr>
        <w:t xml:space="preserve">.)  The </w:t>
      </w:r>
      <w:r w:rsidR="0043435D" w:rsidRPr="007E0F01">
        <w:rPr>
          <w:szCs w:val="26"/>
        </w:rPr>
        <w:t>court continued:  “</w:t>
      </w:r>
      <w:r w:rsidR="009A1DE6" w:rsidRPr="007E0F01">
        <w:rPr>
          <w:szCs w:val="26"/>
        </w:rPr>
        <w:t xml:space="preserve">Such a resolution recognizes both the right of the victim to be free from unwarranted intrusion into </w:t>
      </w:r>
      <w:r w:rsidR="003C0032" w:rsidRPr="007E0F01">
        <w:rPr>
          <w:szCs w:val="26"/>
        </w:rPr>
        <w:t>[th</w:t>
      </w:r>
      <w:r w:rsidR="00142016" w:rsidRPr="007E0F01">
        <w:rPr>
          <w:szCs w:val="26"/>
        </w:rPr>
        <w:t xml:space="preserve">at person’s] </w:t>
      </w:r>
      <w:r w:rsidR="009A1DE6" w:rsidRPr="007E0F01">
        <w:rPr>
          <w:szCs w:val="26"/>
        </w:rPr>
        <w:t xml:space="preserve">privacy and sexual life beyond the offense charged and the right of a defendant who makes the necessary sworn offer of proof in order to place the credibility of the </w:t>
      </w:r>
      <w:r w:rsidR="009A1DE6" w:rsidRPr="007E0F01">
        <w:rPr>
          <w:szCs w:val="26"/>
        </w:rPr>
        <w:lastRenderedPageBreak/>
        <w:t>complaining witness at issue to fully establish the proffered defense.</w:t>
      </w:r>
      <w:r w:rsidRPr="007E0F01">
        <w:rPr>
          <w:szCs w:val="26"/>
        </w:rPr>
        <w:t>”  (</w:t>
      </w:r>
      <w:r w:rsidRPr="007E0F01">
        <w:rPr>
          <w:i/>
          <w:iCs/>
          <w:szCs w:val="26"/>
        </w:rPr>
        <w:t>I</w:t>
      </w:r>
      <w:r w:rsidR="00756C30">
        <w:rPr>
          <w:i/>
          <w:iCs/>
          <w:szCs w:val="26"/>
        </w:rPr>
        <w:t>bi</w:t>
      </w:r>
      <w:r w:rsidRPr="007E0F01">
        <w:rPr>
          <w:i/>
          <w:iCs/>
          <w:szCs w:val="26"/>
        </w:rPr>
        <w:t>d</w:t>
      </w:r>
      <w:r w:rsidRPr="007E0F01">
        <w:rPr>
          <w:szCs w:val="26"/>
        </w:rPr>
        <w:t xml:space="preserve">.)  </w:t>
      </w:r>
    </w:p>
    <w:p w14:paraId="0DB2E7DE" w14:textId="77777777" w:rsidR="009A1DE6" w:rsidRPr="00814C2F" w:rsidRDefault="002E6832" w:rsidP="00A62F09">
      <w:pPr>
        <w:ind w:firstLine="720"/>
        <w:rPr>
          <w:szCs w:val="26"/>
        </w:rPr>
      </w:pPr>
      <w:r w:rsidRPr="007E0F01">
        <w:rPr>
          <w:szCs w:val="26"/>
        </w:rPr>
        <w:t xml:space="preserve">Finally, the Court of Appeal in </w:t>
      </w:r>
      <w:r w:rsidRPr="007E0F01">
        <w:rPr>
          <w:i/>
          <w:iCs/>
          <w:szCs w:val="26"/>
        </w:rPr>
        <w:t>Rioz</w:t>
      </w:r>
      <w:r w:rsidRPr="007E0F01">
        <w:rPr>
          <w:szCs w:val="26"/>
        </w:rPr>
        <w:t xml:space="preserve"> cautioned</w:t>
      </w:r>
      <w:r w:rsidR="007E1BFE" w:rsidRPr="007E0F01">
        <w:rPr>
          <w:szCs w:val="26"/>
        </w:rPr>
        <w:t xml:space="preserve"> that </w:t>
      </w:r>
      <w:r w:rsidR="00E84796" w:rsidRPr="007E0F01">
        <w:rPr>
          <w:szCs w:val="26"/>
        </w:rPr>
        <w:t>“</w:t>
      </w:r>
      <w:r w:rsidR="00196BE2" w:rsidRPr="007E0F01">
        <w:rPr>
          <w:szCs w:val="26"/>
        </w:rPr>
        <w:t xml:space="preserve">section 782 </w:t>
      </w:r>
      <w:r w:rsidRPr="007E0F01">
        <w:rPr>
          <w:szCs w:val="26"/>
        </w:rPr>
        <w:t xml:space="preserve">applies only </w:t>
      </w:r>
      <w:r w:rsidRPr="007E0F01">
        <w:rPr>
          <w:szCs w:val="26"/>
        </w:rPr>
        <w:t>when the credibility of the complaining witness is attacked.</w:t>
      </w:r>
      <w:r w:rsidR="00196BE2" w:rsidRPr="007E0F01">
        <w:rPr>
          <w:szCs w:val="26"/>
        </w:rPr>
        <w:t xml:space="preserve"> </w:t>
      </w:r>
      <w:r w:rsidRPr="007E0F01">
        <w:rPr>
          <w:szCs w:val="26"/>
        </w:rPr>
        <w:t xml:space="preserve"> </w:t>
      </w:r>
      <w:r w:rsidRPr="007E0F01">
        <w:rPr>
          <w:i/>
          <w:iCs/>
          <w:szCs w:val="26"/>
        </w:rPr>
        <w:t>Great care must be taken to insure that this exception to the general rule barring evidence of a complaining witness</w:t>
      </w:r>
      <w:r w:rsidR="00446487" w:rsidRPr="007E0F01">
        <w:rPr>
          <w:i/>
          <w:iCs/>
          <w:szCs w:val="26"/>
        </w:rPr>
        <w:t>’</w:t>
      </w:r>
      <w:r w:rsidRPr="007E0F01">
        <w:rPr>
          <w:i/>
          <w:iCs/>
          <w:szCs w:val="26"/>
        </w:rPr>
        <w:t xml:space="preserve"> prior sexual conduct</w:t>
      </w:r>
      <w:r w:rsidR="00446487" w:rsidRPr="007E0F01">
        <w:rPr>
          <w:i/>
          <w:iCs/>
          <w:szCs w:val="26"/>
        </w:rPr>
        <w:t xml:space="preserve">, </w:t>
      </w:r>
      <w:r w:rsidR="003D6C16" w:rsidRPr="007E0F01">
        <w:rPr>
          <w:i/>
          <w:iCs/>
          <w:szCs w:val="26"/>
        </w:rPr>
        <w:t>i.e.,</w:t>
      </w:r>
      <w:r w:rsidR="001175A5" w:rsidRPr="007E0F01">
        <w:rPr>
          <w:i/>
          <w:iCs/>
          <w:szCs w:val="26"/>
        </w:rPr>
        <w:t xml:space="preserve"> </w:t>
      </w:r>
      <w:r w:rsidR="001175A5" w:rsidRPr="007E0F01">
        <w:rPr>
          <w:szCs w:val="26"/>
        </w:rPr>
        <w:t xml:space="preserve">. . . </w:t>
      </w:r>
      <w:r w:rsidR="00446487" w:rsidRPr="007E0F01">
        <w:rPr>
          <w:i/>
          <w:iCs/>
          <w:szCs w:val="26"/>
        </w:rPr>
        <w:t xml:space="preserve">section </w:t>
      </w:r>
      <w:r w:rsidR="006D3D9E" w:rsidRPr="007E0F01">
        <w:rPr>
          <w:i/>
          <w:iCs/>
          <w:szCs w:val="26"/>
        </w:rPr>
        <w:t>1103</w:t>
      </w:r>
      <w:r w:rsidR="006D3D9E" w:rsidRPr="007E0F01">
        <w:rPr>
          <w:szCs w:val="26"/>
        </w:rPr>
        <w:t xml:space="preserve">, </w:t>
      </w:r>
      <w:r w:rsidRPr="007E0F01">
        <w:rPr>
          <w:i/>
          <w:iCs/>
          <w:szCs w:val="26"/>
        </w:rPr>
        <w:t>subdivision</w:t>
      </w:r>
      <w:r w:rsidRPr="007E0F01">
        <w:rPr>
          <w:szCs w:val="26"/>
        </w:rPr>
        <w:t xml:space="preserve"> </w:t>
      </w:r>
      <w:r w:rsidRPr="00EA20BF">
        <w:rPr>
          <w:i/>
          <w:iCs/>
          <w:szCs w:val="26"/>
        </w:rPr>
        <w:t>(</w:t>
      </w:r>
      <w:r w:rsidR="000936FC" w:rsidRPr="007E0F01">
        <w:rPr>
          <w:i/>
          <w:iCs/>
          <w:szCs w:val="26"/>
        </w:rPr>
        <w:t>b</w:t>
      </w:r>
      <w:r w:rsidRPr="00EA20BF">
        <w:rPr>
          <w:i/>
          <w:iCs/>
          <w:szCs w:val="26"/>
        </w:rPr>
        <w:t>)</w:t>
      </w:r>
      <w:r w:rsidR="00052CD8">
        <w:rPr>
          <w:i/>
          <w:iCs/>
          <w:szCs w:val="26"/>
        </w:rPr>
        <w:t>(1)</w:t>
      </w:r>
      <w:r w:rsidR="004D162B">
        <w:rPr>
          <w:szCs w:val="26"/>
        </w:rPr>
        <w:t xml:space="preserve"> </w:t>
      </w:r>
      <w:r w:rsidR="000936FC" w:rsidRPr="00814C2F">
        <w:rPr>
          <w:szCs w:val="26"/>
        </w:rPr>
        <w:t>[now (c)</w:t>
      </w:r>
      <w:r w:rsidRPr="00814C2F">
        <w:rPr>
          <w:szCs w:val="26"/>
        </w:rPr>
        <w:t>(</w:t>
      </w:r>
      <w:r w:rsidRPr="00814C2F">
        <w:rPr>
          <w:szCs w:val="26"/>
        </w:rPr>
        <w:t>1)</w:t>
      </w:r>
      <w:r w:rsidR="006212B2" w:rsidRPr="00814C2F">
        <w:rPr>
          <w:szCs w:val="26"/>
        </w:rPr>
        <w:t>]</w:t>
      </w:r>
      <w:r w:rsidRPr="00814C2F">
        <w:rPr>
          <w:szCs w:val="26"/>
        </w:rPr>
        <w:t xml:space="preserve">, </w:t>
      </w:r>
      <w:r w:rsidRPr="00814C2F">
        <w:rPr>
          <w:i/>
          <w:iCs/>
          <w:szCs w:val="26"/>
        </w:rPr>
        <w:t xml:space="preserve">does not impermissibly encroach upon the rule itself and become a </w:t>
      </w:r>
      <w:r w:rsidR="004D6BFB" w:rsidRPr="00814C2F">
        <w:rPr>
          <w:i/>
          <w:iCs/>
          <w:szCs w:val="26"/>
        </w:rPr>
        <w:t>‘</w:t>
      </w:r>
      <w:r w:rsidRPr="00814C2F">
        <w:rPr>
          <w:i/>
          <w:iCs/>
          <w:szCs w:val="26"/>
        </w:rPr>
        <w:t>back door</w:t>
      </w:r>
      <w:r w:rsidR="004D6BFB" w:rsidRPr="00814C2F">
        <w:rPr>
          <w:i/>
          <w:iCs/>
          <w:szCs w:val="26"/>
        </w:rPr>
        <w:t>’</w:t>
      </w:r>
      <w:r w:rsidRPr="00814C2F">
        <w:rPr>
          <w:i/>
          <w:iCs/>
          <w:szCs w:val="26"/>
        </w:rPr>
        <w:t xml:space="preserve"> for admitting otherwise inadmissible evidence</w:t>
      </w:r>
      <w:r w:rsidRPr="00814C2F">
        <w:rPr>
          <w:szCs w:val="26"/>
        </w:rPr>
        <w:t>.</w:t>
      </w:r>
      <w:r w:rsidR="004D6BFB" w:rsidRPr="00814C2F">
        <w:rPr>
          <w:szCs w:val="26"/>
        </w:rPr>
        <w:t>”  (</w:t>
      </w:r>
      <w:r w:rsidR="004D6BFB" w:rsidRPr="00814C2F">
        <w:rPr>
          <w:i/>
          <w:iCs/>
          <w:szCs w:val="26"/>
        </w:rPr>
        <w:t>Rioz</w:t>
      </w:r>
      <w:r w:rsidR="004D6BFB" w:rsidRPr="00814C2F">
        <w:rPr>
          <w:szCs w:val="26"/>
        </w:rPr>
        <w:t>,</w:t>
      </w:r>
      <w:r w:rsidR="004D6BFB" w:rsidRPr="00814C2F">
        <w:rPr>
          <w:i/>
          <w:iCs/>
          <w:szCs w:val="26"/>
        </w:rPr>
        <w:t xml:space="preserve"> supra</w:t>
      </w:r>
      <w:r w:rsidR="004D6BFB" w:rsidRPr="00814C2F">
        <w:rPr>
          <w:szCs w:val="26"/>
        </w:rPr>
        <w:t>,</w:t>
      </w:r>
      <w:r w:rsidR="00016504" w:rsidRPr="00814C2F">
        <w:rPr>
          <w:szCs w:val="26"/>
        </w:rPr>
        <w:t xml:space="preserve"> </w:t>
      </w:r>
      <w:r w:rsidR="004D6BFB" w:rsidRPr="00814C2F">
        <w:rPr>
          <w:szCs w:val="26"/>
        </w:rPr>
        <w:t>161 Cal.App.3d at pp. 91</w:t>
      </w:r>
      <w:r w:rsidR="00513B63" w:rsidRPr="00814C2F">
        <w:rPr>
          <w:szCs w:val="26"/>
        </w:rPr>
        <w:t>8</w:t>
      </w:r>
      <w:r w:rsidR="004D6BFB" w:rsidRPr="00814C2F">
        <w:rPr>
          <w:szCs w:val="26"/>
        </w:rPr>
        <w:t>–91</w:t>
      </w:r>
      <w:r w:rsidR="00513B63" w:rsidRPr="00814C2F">
        <w:rPr>
          <w:szCs w:val="26"/>
        </w:rPr>
        <w:t>9</w:t>
      </w:r>
      <w:r w:rsidR="00120890" w:rsidRPr="00814C2F">
        <w:rPr>
          <w:szCs w:val="26"/>
        </w:rPr>
        <w:t>, italics added</w:t>
      </w:r>
      <w:r w:rsidR="004D6BFB" w:rsidRPr="00814C2F">
        <w:rPr>
          <w:szCs w:val="26"/>
        </w:rPr>
        <w:t>.)</w:t>
      </w:r>
      <w:r w:rsidR="00A8308C" w:rsidRPr="00814C2F">
        <w:rPr>
          <w:szCs w:val="26"/>
        </w:rPr>
        <w:t xml:space="preserve">  </w:t>
      </w:r>
    </w:p>
    <w:p w14:paraId="0DB2E7DF" w14:textId="77777777" w:rsidR="00F06DEB" w:rsidRPr="00814C2F" w:rsidRDefault="002E6832" w:rsidP="00A62F09">
      <w:pPr>
        <w:ind w:firstLine="720"/>
        <w:rPr>
          <w:szCs w:val="26"/>
        </w:rPr>
      </w:pPr>
      <w:r w:rsidRPr="00814C2F">
        <w:rPr>
          <w:szCs w:val="26"/>
        </w:rPr>
        <w:t xml:space="preserve">The District </w:t>
      </w:r>
      <w:r w:rsidR="00551343">
        <w:rPr>
          <w:szCs w:val="26"/>
        </w:rPr>
        <w:t xml:space="preserve">extracts </w:t>
      </w:r>
      <w:r w:rsidR="00944AB8">
        <w:rPr>
          <w:szCs w:val="26"/>
        </w:rPr>
        <w:t xml:space="preserve">the following lesson </w:t>
      </w:r>
      <w:r w:rsidRPr="00814C2F">
        <w:rPr>
          <w:szCs w:val="26"/>
        </w:rPr>
        <w:t xml:space="preserve">from </w:t>
      </w:r>
      <w:r w:rsidR="004B0B67" w:rsidRPr="00814C2F">
        <w:rPr>
          <w:i/>
          <w:iCs/>
          <w:szCs w:val="26"/>
        </w:rPr>
        <w:t>Rioz</w:t>
      </w:r>
      <w:r w:rsidR="005D4420" w:rsidRPr="00814C2F">
        <w:rPr>
          <w:szCs w:val="26"/>
        </w:rPr>
        <w:t xml:space="preserve">:  “Just as there is necessarily a certain amount of overlap </w:t>
      </w:r>
      <w:r w:rsidR="00180196" w:rsidRPr="00814C2F">
        <w:rPr>
          <w:szCs w:val="26"/>
        </w:rPr>
        <w:t>between a criminal co</w:t>
      </w:r>
      <w:r w:rsidR="00AC3198" w:rsidRPr="00814C2F">
        <w:rPr>
          <w:szCs w:val="26"/>
        </w:rPr>
        <w:t>m</w:t>
      </w:r>
      <w:r w:rsidR="00180196" w:rsidRPr="00814C2F">
        <w:rPr>
          <w:szCs w:val="26"/>
        </w:rPr>
        <w:t>plainant</w:t>
      </w:r>
      <w:r w:rsidR="00AC3198" w:rsidRPr="00814C2F">
        <w:rPr>
          <w:szCs w:val="26"/>
        </w:rPr>
        <w:t xml:space="preserve">’s </w:t>
      </w:r>
      <w:r w:rsidR="00FB53D8" w:rsidRPr="00814C2F">
        <w:rPr>
          <w:szCs w:val="26"/>
        </w:rPr>
        <w:t xml:space="preserve">or </w:t>
      </w:r>
      <w:r w:rsidR="00AC3198" w:rsidRPr="00814C2F">
        <w:rPr>
          <w:szCs w:val="26"/>
        </w:rPr>
        <w:t xml:space="preserve">a civil </w:t>
      </w:r>
      <w:r w:rsidR="00C71878" w:rsidRPr="00814C2F">
        <w:rPr>
          <w:szCs w:val="26"/>
        </w:rPr>
        <w:t xml:space="preserve">plaintiff’s </w:t>
      </w:r>
      <w:r w:rsidR="00AC3198" w:rsidRPr="00814C2F">
        <w:rPr>
          <w:szCs w:val="26"/>
        </w:rPr>
        <w:t xml:space="preserve">consent in a criminal or civil </w:t>
      </w:r>
      <w:r w:rsidR="00DF5DA4" w:rsidRPr="00814C2F">
        <w:rPr>
          <w:szCs w:val="26"/>
        </w:rPr>
        <w:t xml:space="preserve">sexual assault case and her credibility, there is necessarily </w:t>
      </w:r>
      <w:r w:rsidR="00E61E9D" w:rsidRPr="00814C2F">
        <w:rPr>
          <w:szCs w:val="26"/>
        </w:rPr>
        <w:t xml:space="preserve">a certain amount of overlap between </w:t>
      </w:r>
      <w:r w:rsidR="00E4010E" w:rsidRPr="00814C2F">
        <w:rPr>
          <w:szCs w:val="26"/>
        </w:rPr>
        <w:t>the issues of a civil plaintiff’s [emotional distress] damages and her credibility</w:t>
      </w:r>
      <w:r w:rsidR="00603F41" w:rsidRPr="00814C2F">
        <w:rPr>
          <w:szCs w:val="26"/>
        </w:rPr>
        <w:t xml:space="preserve">. </w:t>
      </w:r>
      <w:r w:rsidR="00684DE2" w:rsidRPr="00814C2F">
        <w:rPr>
          <w:szCs w:val="26"/>
        </w:rPr>
        <w:t xml:space="preserve"> </w:t>
      </w:r>
      <w:r w:rsidR="00603F41" w:rsidRPr="00814C2F">
        <w:rPr>
          <w:szCs w:val="26"/>
        </w:rPr>
        <w:t xml:space="preserve">To be sure, </w:t>
      </w:r>
      <w:r w:rsidR="002F0586" w:rsidRPr="00814C2F">
        <w:rPr>
          <w:szCs w:val="26"/>
        </w:rPr>
        <w:t>there will be some overlap between [plaintiff’s</w:t>
      </w:r>
      <w:r w:rsidR="0060562E" w:rsidRPr="00814C2F">
        <w:rPr>
          <w:szCs w:val="26"/>
        </w:rPr>
        <w:t xml:space="preserve"> emotional distress</w:t>
      </w:r>
      <w:r w:rsidR="002F0586" w:rsidRPr="00814C2F">
        <w:rPr>
          <w:szCs w:val="26"/>
        </w:rPr>
        <w:t xml:space="preserve">] </w:t>
      </w:r>
      <w:r w:rsidR="0060562E" w:rsidRPr="00814C2F">
        <w:rPr>
          <w:szCs w:val="26"/>
        </w:rPr>
        <w:t>damages and her credibility</w:t>
      </w:r>
      <w:r w:rsidR="0093524D" w:rsidRPr="00814C2F">
        <w:rPr>
          <w:szCs w:val="26"/>
        </w:rPr>
        <w:t>. . </w:t>
      </w:r>
      <w:r w:rsidR="00DE66B7" w:rsidRPr="00814C2F">
        <w:rPr>
          <w:szCs w:val="26"/>
        </w:rPr>
        <w:t xml:space="preserve">. .  Thus, once a defendant makes a sworn offer of proof </w:t>
      </w:r>
      <w:r w:rsidR="000B0FB1" w:rsidRPr="00814C2F">
        <w:rPr>
          <w:szCs w:val="26"/>
        </w:rPr>
        <w:t xml:space="preserve">concerning the relevance </w:t>
      </w:r>
      <w:r w:rsidR="00F14E03" w:rsidRPr="00814C2F">
        <w:rPr>
          <w:szCs w:val="26"/>
        </w:rPr>
        <w:t>o</w:t>
      </w:r>
      <w:r w:rsidR="00DB45B2" w:rsidRPr="00814C2F">
        <w:rPr>
          <w:szCs w:val="26"/>
        </w:rPr>
        <w:t xml:space="preserve">f the sexual conduct to attack the plaintiff’s credibility,” the </w:t>
      </w:r>
      <w:r w:rsidR="001E7976" w:rsidRPr="00814C2F">
        <w:rPr>
          <w:szCs w:val="26"/>
        </w:rPr>
        <w:t>p</w:t>
      </w:r>
      <w:r w:rsidR="00682217" w:rsidRPr="00814C2F">
        <w:rPr>
          <w:szCs w:val="26"/>
        </w:rPr>
        <w:t>rotection afforded by section 1106, subdivision (a</w:t>
      </w:r>
      <w:r w:rsidR="00B24F38" w:rsidRPr="00814C2F">
        <w:rPr>
          <w:szCs w:val="26"/>
        </w:rPr>
        <w:t>)</w:t>
      </w:r>
      <w:r w:rsidR="00540B9D" w:rsidRPr="00814C2F">
        <w:rPr>
          <w:szCs w:val="26"/>
        </w:rPr>
        <w:t xml:space="preserve"> </w:t>
      </w:r>
      <w:r w:rsidR="00691624" w:rsidRPr="00814C2F">
        <w:rPr>
          <w:szCs w:val="26"/>
        </w:rPr>
        <w:t>“</w:t>
      </w:r>
      <w:r w:rsidR="00256C39" w:rsidRPr="00814C2F">
        <w:rPr>
          <w:szCs w:val="26"/>
        </w:rPr>
        <w:t> ‘</w:t>
      </w:r>
      <w:r w:rsidR="00540B9D" w:rsidRPr="00814C2F">
        <w:rPr>
          <w:szCs w:val="26"/>
        </w:rPr>
        <w:t xml:space="preserve">gives way </w:t>
      </w:r>
      <w:r w:rsidR="008A0EC6" w:rsidRPr="00814C2F">
        <w:rPr>
          <w:szCs w:val="26"/>
        </w:rPr>
        <w:t xml:space="preserve">[under </w:t>
      </w:r>
      <w:r w:rsidR="006D7C9F" w:rsidRPr="00814C2F">
        <w:rPr>
          <w:szCs w:val="26"/>
        </w:rPr>
        <w:t xml:space="preserve">the exception articulated </w:t>
      </w:r>
      <w:r w:rsidR="00476A47" w:rsidRPr="00814C2F">
        <w:rPr>
          <w:szCs w:val="26"/>
        </w:rPr>
        <w:t>in that</w:t>
      </w:r>
      <w:r w:rsidR="006D7C9F" w:rsidRPr="00814C2F">
        <w:rPr>
          <w:szCs w:val="26"/>
        </w:rPr>
        <w:t xml:space="preserve"> </w:t>
      </w:r>
      <w:r w:rsidR="008A0EC6" w:rsidRPr="00814C2F">
        <w:rPr>
          <w:szCs w:val="26"/>
        </w:rPr>
        <w:t>section</w:t>
      </w:r>
      <w:r w:rsidR="00476A47" w:rsidRPr="00814C2F">
        <w:rPr>
          <w:szCs w:val="26"/>
        </w:rPr>
        <w:t xml:space="preserve">’s </w:t>
      </w:r>
      <w:r w:rsidR="008A0EC6" w:rsidRPr="00814C2F">
        <w:rPr>
          <w:szCs w:val="26"/>
        </w:rPr>
        <w:t>su</w:t>
      </w:r>
      <w:r w:rsidR="007D0F1C" w:rsidRPr="00814C2F">
        <w:rPr>
          <w:szCs w:val="26"/>
        </w:rPr>
        <w:t xml:space="preserve">bdivision (e)] </w:t>
      </w:r>
      <w:r w:rsidR="00540B9D" w:rsidRPr="00814C2F">
        <w:rPr>
          <w:szCs w:val="26"/>
        </w:rPr>
        <w:t>to the detailed pro</w:t>
      </w:r>
      <w:r w:rsidR="00547277" w:rsidRPr="00814C2F">
        <w:rPr>
          <w:szCs w:val="26"/>
        </w:rPr>
        <w:t>cedural safeguards inherent in</w:t>
      </w:r>
      <w:r w:rsidR="00256C39" w:rsidRPr="00814C2F">
        <w:rPr>
          <w:szCs w:val="26"/>
        </w:rPr>
        <w:t>’ </w:t>
      </w:r>
      <w:r w:rsidR="00547277" w:rsidRPr="00814C2F">
        <w:rPr>
          <w:szCs w:val="26"/>
        </w:rPr>
        <w:t xml:space="preserve">” section </w:t>
      </w:r>
      <w:r w:rsidR="003D2FCB" w:rsidRPr="00814C2F">
        <w:rPr>
          <w:szCs w:val="26"/>
        </w:rPr>
        <w:t xml:space="preserve">783.  </w:t>
      </w:r>
      <w:r w:rsidR="00A10FBB" w:rsidRPr="00814C2F">
        <w:rPr>
          <w:szCs w:val="26"/>
        </w:rPr>
        <w:t xml:space="preserve">(Quoting </w:t>
      </w:r>
      <w:r w:rsidR="00A10FBB" w:rsidRPr="00814C2F">
        <w:rPr>
          <w:i/>
          <w:iCs/>
          <w:szCs w:val="26"/>
        </w:rPr>
        <w:t>Rioz</w:t>
      </w:r>
      <w:r w:rsidR="00A10FBB" w:rsidRPr="00814C2F">
        <w:rPr>
          <w:szCs w:val="26"/>
        </w:rPr>
        <w:t>,</w:t>
      </w:r>
      <w:r w:rsidR="00A10FBB" w:rsidRPr="00814C2F">
        <w:rPr>
          <w:i/>
          <w:iCs/>
          <w:szCs w:val="26"/>
        </w:rPr>
        <w:t xml:space="preserve"> supra</w:t>
      </w:r>
      <w:r w:rsidR="00A10FBB" w:rsidRPr="00814C2F">
        <w:rPr>
          <w:szCs w:val="26"/>
        </w:rPr>
        <w:t>,</w:t>
      </w:r>
      <w:r w:rsidR="00B76EE1" w:rsidRPr="00814C2F">
        <w:rPr>
          <w:szCs w:val="26"/>
        </w:rPr>
        <w:t xml:space="preserve"> </w:t>
      </w:r>
      <w:r w:rsidR="00A10FBB" w:rsidRPr="00814C2F">
        <w:rPr>
          <w:szCs w:val="26"/>
        </w:rPr>
        <w:t>161 Cal.App.3d at p.</w:t>
      </w:r>
      <w:r w:rsidR="004A4A00">
        <w:rPr>
          <w:szCs w:val="26"/>
        </w:rPr>
        <w:t> </w:t>
      </w:r>
      <w:r w:rsidR="00A10FBB" w:rsidRPr="00814C2F">
        <w:rPr>
          <w:szCs w:val="26"/>
        </w:rPr>
        <w:t>91</w:t>
      </w:r>
      <w:r w:rsidRPr="00814C2F">
        <w:rPr>
          <w:szCs w:val="26"/>
        </w:rPr>
        <w:t xml:space="preserve">6.)  </w:t>
      </w:r>
    </w:p>
    <w:p w14:paraId="0DB2E7E0" w14:textId="77777777" w:rsidR="00827653" w:rsidRPr="004A4A00" w:rsidRDefault="002E6832" w:rsidP="00A62F09">
      <w:pPr>
        <w:ind w:firstLine="720"/>
        <w:rPr>
          <w:szCs w:val="26"/>
        </w:rPr>
      </w:pPr>
      <w:r w:rsidRPr="00814C2F">
        <w:rPr>
          <w:szCs w:val="26"/>
        </w:rPr>
        <w:t xml:space="preserve">Indeed, this </w:t>
      </w:r>
      <w:r w:rsidR="00720665" w:rsidRPr="00814C2F">
        <w:rPr>
          <w:szCs w:val="26"/>
        </w:rPr>
        <w:t xml:space="preserve">is ultimately </w:t>
      </w:r>
      <w:r w:rsidR="00973954" w:rsidRPr="00814C2F">
        <w:rPr>
          <w:szCs w:val="26"/>
        </w:rPr>
        <w:t xml:space="preserve">the </w:t>
      </w:r>
      <w:r w:rsidR="001575A8" w:rsidRPr="00814C2F">
        <w:rPr>
          <w:szCs w:val="26"/>
        </w:rPr>
        <w:t xml:space="preserve">understanding </w:t>
      </w:r>
      <w:r w:rsidR="00D4243C" w:rsidRPr="00814C2F">
        <w:rPr>
          <w:szCs w:val="26"/>
        </w:rPr>
        <w:t>arrived at b</w:t>
      </w:r>
      <w:r w:rsidR="00F25D33" w:rsidRPr="00814C2F">
        <w:rPr>
          <w:szCs w:val="26"/>
        </w:rPr>
        <w:t xml:space="preserve">y the Court of Appeal below.  </w:t>
      </w:r>
      <w:r w:rsidR="001575E6" w:rsidRPr="00814C2F">
        <w:rPr>
          <w:szCs w:val="26"/>
        </w:rPr>
        <w:t>Th</w:t>
      </w:r>
      <w:r w:rsidR="008974DE" w:rsidRPr="00814C2F">
        <w:rPr>
          <w:szCs w:val="26"/>
        </w:rPr>
        <w:t xml:space="preserve">e appellate court </w:t>
      </w:r>
      <w:r w:rsidR="00F61F85" w:rsidRPr="00814C2F">
        <w:rPr>
          <w:szCs w:val="26"/>
        </w:rPr>
        <w:t>observ</w:t>
      </w:r>
      <w:r w:rsidR="0095770D" w:rsidRPr="00814C2F">
        <w:rPr>
          <w:szCs w:val="26"/>
        </w:rPr>
        <w:t xml:space="preserve">ed </w:t>
      </w:r>
      <w:r w:rsidR="00CC1DBA" w:rsidRPr="00814C2F">
        <w:rPr>
          <w:szCs w:val="26"/>
        </w:rPr>
        <w:t xml:space="preserve">that </w:t>
      </w:r>
      <w:r w:rsidR="00226D3A" w:rsidRPr="00814C2F">
        <w:rPr>
          <w:szCs w:val="26"/>
        </w:rPr>
        <w:t>corres</w:t>
      </w:r>
      <w:r w:rsidR="001A052F" w:rsidRPr="00814C2F">
        <w:rPr>
          <w:szCs w:val="26"/>
        </w:rPr>
        <w:t xml:space="preserve">ponding </w:t>
      </w:r>
      <w:r w:rsidR="000A739A" w:rsidRPr="00814C2F">
        <w:rPr>
          <w:szCs w:val="26"/>
        </w:rPr>
        <w:t xml:space="preserve">key </w:t>
      </w:r>
      <w:r w:rsidR="001A052F" w:rsidRPr="00814C2F">
        <w:rPr>
          <w:szCs w:val="26"/>
        </w:rPr>
        <w:t xml:space="preserve">parts of the </w:t>
      </w:r>
      <w:r w:rsidR="00226D3A" w:rsidRPr="00814C2F">
        <w:rPr>
          <w:szCs w:val="26"/>
        </w:rPr>
        <w:t>1985 legislation</w:t>
      </w:r>
      <w:r w:rsidR="00D145D2" w:rsidRPr="00814C2F">
        <w:rPr>
          <w:szCs w:val="26"/>
        </w:rPr>
        <w:t> —</w:t>
      </w:r>
      <w:r w:rsidR="001A052F" w:rsidRPr="00814C2F">
        <w:rPr>
          <w:szCs w:val="26"/>
        </w:rPr>
        <w:t xml:space="preserve"> </w:t>
      </w:r>
      <w:r w:rsidR="00FD67BC" w:rsidRPr="00814C2F">
        <w:rPr>
          <w:szCs w:val="26"/>
        </w:rPr>
        <w:t xml:space="preserve">Evidence Code </w:t>
      </w:r>
      <w:r w:rsidR="00F61F85" w:rsidRPr="00814C2F">
        <w:rPr>
          <w:szCs w:val="26"/>
        </w:rPr>
        <w:t>section 783</w:t>
      </w:r>
      <w:r w:rsidR="000A739A" w:rsidRPr="00814C2F">
        <w:rPr>
          <w:szCs w:val="26"/>
        </w:rPr>
        <w:t xml:space="preserve">, as well as </w:t>
      </w:r>
      <w:r w:rsidR="00FF780A" w:rsidRPr="00814C2F">
        <w:rPr>
          <w:szCs w:val="26"/>
        </w:rPr>
        <w:t xml:space="preserve">Code of Civil Procedure </w:t>
      </w:r>
      <w:r w:rsidR="0058502B" w:rsidRPr="00814C2F">
        <w:rPr>
          <w:szCs w:val="26"/>
        </w:rPr>
        <w:t>2017.220</w:t>
      </w:r>
      <w:r w:rsidR="0031486C" w:rsidRPr="00814C2F">
        <w:rPr>
          <w:szCs w:val="26"/>
        </w:rPr>
        <w:t xml:space="preserve"> </w:t>
      </w:r>
      <w:r w:rsidR="0031486C" w:rsidRPr="00814C2F">
        <w:rPr>
          <w:szCs w:val="26"/>
        </w:rPr>
        <w:lastRenderedPageBreak/>
        <w:t>(governing discovery</w:t>
      </w:r>
      <w:r w:rsidR="00DE7637" w:rsidRPr="00814C2F">
        <w:rPr>
          <w:szCs w:val="26"/>
        </w:rPr>
        <w:t xml:space="preserve">; see </w:t>
      </w:r>
      <w:r w:rsidR="00DE7637" w:rsidRPr="00814C2F">
        <w:rPr>
          <w:i/>
          <w:iCs/>
          <w:szCs w:val="26"/>
        </w:rPr>
        <w:t>ante</w:t>
      </w:r>
      <w:r w:rsidR="00DE7637" w:rsidRPr="00814C2F">
        <w:rPr>
          <w:szCs w:val="26"/>
        </w:rPr>
        <w:t xml:space="preserve">, </w:t>
      </w:r>
      <w:r w:rsidR="00DE7637" w:rsidRPr="004A4A00">
        <w:rPr>
          <w:szCs w:val="26"/>
        </w:rPr>
        <w:t xml:space="preserve">fn. </w:t>
      </w:r>
      <w:r w:rsidR="00DF6B1D">
        <w:rPr>
          <w:szCs w:val="26"/>
        </w:rPr>
        <w:t>6</w:t>
      </w:r>
      <w:r w:rsidR="0031486C" w:rsidRPr="004A4A00">
        <w:rPr>
          <w:szCs w:val="26"/>
        </w:rPr>
        <w:t>)</w:t>
      </w:r>
      <w:r w:rsidR="00190585" w:rsidRPr="004A4A00">
        <w:rPr>
          <w:szCs w:val="26"/>
        </w:rPr>
        <w:t> —</w:t>
      </w:r>
      <w:r w:rsidR="001A052F" w:rsidRPr="004A4A00">
        <w:rPr>
          <w:szCs w:val="26"/>
        </w:rPr>
        <w:t xml:space="preserve"> </w:t>
      </w:r>
      <w:r w:rsidR="000A739A" w:rsidRPr="004A4A00">
        <w:rPr>
          <w:szCs w:val="26"/>
        </w:rPr>
        <w:t xml:space="preserve">each </w:t>
      </w:r>
      <w:r w:rsidR="005F05BC" w:rsidRPr="004A4A00">
        <w:rPr>
          <w:szCs w:val="26"/>
        </w:rPr>
        <w:t xml:space="preserve">call </w:t>
      </w:r>
      <w:r w:rsidR="006058B0" w:rsidRPr="004A4A00">
        <w:rPr>
          <w:szCs w:val="26"/>
        </w:rPr>
        <w:t>“</w:t>
      </w:r>
      <w:r w:rsidR="005F05BC" w:rsidRPr="004A4A00">
        <w:rPr>
          <w:szCs w:val="26"/>
        </w:rPr>
        <w:t xml:space="preserve">for </w:t>
      </w:r>
      <w:r w:rsidR="009A5A4B" w:rsidRPr="004A4A00">
        <w:rPr>
          <w:szCs w:val="26"/>
        </w:rPr>
        <w:t>a case-by-case approach that sometimes allows for the discovery and limited admissibility of a plaintiff’s sexual conduct</w:t>
      </w:r>
      <w:r w:rsidR="00BF3FE3" w:rsidRPr="004A4A00">
        <w:rPr>
          <w:szCs w:val="26"/>
        </w:rPr>
        <w:t>,</w:t>
      </w:r>
      <w:r w:rsidR="006F18A5" w:rsidRPr="004A4A00">
        <w:rPr>
          <w:szCs w:val="26"/>
        </w:rPr>
        <w:t xml:space="preserve"> which puts them in some </w:t>
      </w:r>
      <w:r w:rsidR="00CA326E" w:rsidRPr="004A4A00">
        <w:rPr>
          <w:szCs w:val="26"/>
        </w:rPr>
        <w:t>‘</w:t>
      </w:r>
      <w:r w:rsidR="006F18A5" w:rsidRPr="004A4A00">
        <w:rPr>
          <w:szCs w:val="26"/>
        </w:rPr>
        <w:t>tension</w:t>
      </w:r>
      <w:r w:rsidR="00CA326E" w:rsidRPr="004A4A00">
        <w:rPr>
          <w:szCs w:val="26"/>
        </w:rPr>
        <w:t xml:space="preserve">’ </w:t>
      </w:r>
      <w:r w:rsidR="006F18A5" w:rsidRPr="004A4A00">
        <w:rPr>
          <w:szCs w:val="26"/>
        </w:rPr>
        <w:t>with section 1106,</w:t>
      </w:r>
      <w:r w:rsidR="00BD1556" w:rsidRPr="004A4A00">
        <w:rPr>
          <w:szCs w:val="26"/>
        </w:rPr>
        <w:t>”</w:t>
      </w:r>
      <w:r w:rsidR="006F18A5" w:rsidRPr="004A4A00">
        <w:rPr>
          <w:szCs w:val="26"/>
        </w:rPr>
        <w:t xml:space="preserve"> subdivision (a).  (</w:t>
      </w:r>
      <w:r w:rsidR="006F18A5" w:rsidRPr="004A4A00">
        <w:rPr>
          <w:i/>
          <w:iCs/>
          <w:szCs w:val="26"/>
        </w:rPr>
        <w:t>Doe</w:t>
      </w:r>
      <w:r w:rsidR="006F18A5" w:rsidRPr="004A4A00">
        <w:rPr>
          <w:szCs w:val="26"/>
        </w:rPr>
        <w:t xml:space="preserve">, </w:t>
      </w:r>
      <w:r w:rsidR="006F18A5" w:rsidRPr="004A4A00">
        <w:rPr>
          <w:i/>
          <w:iCs/>
          <w:szCs w:val="26"/>
        </w:rPr>
        <w:t>supra</w:t>
      </w:r>
      <w:r w:rsidR="006F18A5" w:rsidRPr="004A4A00">
        <w:rPr>
          <w:szCs w:val="26"/>
        </w:rPr>
        <w:t>, 71</w:t>
      </w:r>
      <w:r w:rsidR="00D12BC7" w:rsidRPr="004A4A00">
        <w:rPr>
          <w:szCs w:val="26"/>
        </w:rPr>
        <w:t> </w:t>
      </w:r>
      <w:r w:rsidR="006F18A5" w:rsidRPr="004A4A00">
        <w:rPr>
          <w:szCs w:val="26"/>
        </w:rPr>
        <w:t>Cal.App.5th at p. 239</w:t>
      </w:r>
      <w:r w:rsidR="008D5600" w:rsidRPr="004A4A00">
        <w:rPr>
          <w:szCs w:val="26"/>
        </w:rPr>
        <w:t xml:space="preserve">.)  </w:t>
      </w:r>
      <w:r w:rsidR="004B6534" w:rsidRPr="004A4A00">
        <w:rPr>
          <w:szCs w:val="26"/>
        </w:rPr>
        <w:t xml:space="preserve">The </w:t>
      </w:r>
      <w:r w:rsidR="00344E92" w:rsidRPr="004A4A00">
        <w:rPr>
          <w:szCs w:val="26"/>
        </w:rPr>
        <w:t xml:space="preserve">appellate court </w:t>
      </w:r>
      <w:r w:rsidR="00E027CC">
        <w:rPr>
          <w:szCs w:val="26"/>
        </w:rPr>
        <w:t xml:space="preserve">reasoned </w:t>
      </w:r>
      <w:r w:rsidR="00C10E06" w:rsidRPr="004A4A00">
        <w:rPr>
          <w:szCs w:val="26"/>
        </w:rPr>
        <w:t>that “</w:t>
      </w:r>
      <w:r w:rsidR="00131378" w:rsidRPr="004A4A00">
        <w:rPr>
          <w:szCs w:val="26"/>
        </w:rPr>
        <w:t>in cases like this one,</w:t>
      </w:r>
      <w:r w:rsidR="00E97B02" w:rsidRPr="004A4A00">
        <w:rPr>
          <w:szCs w:val="26"/>
        </w:rPr>
        <w:t xml:space="preserve">” in which </w:t>
      </w:r>
      <w:r w:rsidR="00131378" w:rsidRPr="004A4A00">
        <w:rPr>
          <w:szCs w:val="26"/>
        </w:rPr>
        <w:t xml:space="preserve">a plaintiff </w:t>
      </w:r>
      <w:r w:rsidR="00325054" w:rsidRPr="004A4A00">
        <w:rPr>
          <w:szCs w:val="26"/>
        </w:rPr>
        <w:t>who seeks “</w:t>
      </w:r>
      <w:r w:rsidR="00131378" w:rsidRPr="004A4A00">
        <w:rPr>
          <w:szCs w:val="26"/>
        </w:rPr>
        <w:t>to recover emotional distress damages will typically need to testify to establish that the defendant</w:t>
      </w:r>
      <w:r w:rsidR="001425B9" w:rsidRPr="004A4A00">
        <w:rPr>
          <w:szCs w:val="26"/>
        </w:rPr>
        <w:t>’</w:t>
      </w:r>
      <w:r w:rsidR="00131378" w:rsidRPr="004A4A00">
        <w:rPr>
          <w:szCs w:val="26"/>
        </w:rPr>
        <w:t>s conduct has inflicted emotional distress,</w:t>
      </w:r>
      <w:r w:rsidR="00C0744E" w:rsidRPr="004A4A00">
        <w:rPr>
          <w:szCs w:val="26"/>
        </w:rPr>
        <w:t>” such “</w:t>
      </w:r>
      <w:r w:rsidR="00131378" w:rsidRPr="004A4A00">
        <w:rPr>
          <w:szCs w:val="26"/>
        </w:rPr>
        <w:t xml:space="preserve">testimony </w:t>
      </w:r>
      <w:r w:rsidR="00131378" w:rsidRPr="004A4A00">
        <w:rPr>
          <w:i/>
          <w:iCs/>
          <w:szCs w:val="26"/>
        </w:rPr>
        <w:t>will make</w:t>
      </w:r>
      <w:r w:rsidR="001425B9" w:rsidRPr="004A4A00">
        <w:rPr>
          <w:i/>
          <w:iCs/>
          <w:szCs w:val="26"/>
        </w:rPr>
        <w:t xml:space="preserve"> </w:t>
      </w:r>
      <w:r w:rsidR="00131378" w:rsidRPr="004A4A00">
        <w:rPr>
          <w:i/>
          <w:iCs/>
          <w:szCs w:val="26"/>
          <w:bdr w:val="none" w:sz="0" w:space="0" w:color="auto" w:frame="1"/>
        </w:rPr>
        <w:t>evidence</w:t>
      </w:r>
      <w:r w:rsidR="00FF3186" w:rsidRPr="004A4A00">
        <w:rPr>
          <w:i/>
          <w:iCs/>
          <w:szCs w:val="26"/>
          <w:bdr w:val="none" w:sz="0" w:space="0" w:color="auto" w:frame="1"/>
        </w:rPr>
        <w:t xml:space="preserve"> </w:t>
      </w:r>
      <w:r w:rsidR="00131378" w:rsidRPr="004A4A00">
        <w:rPr>
          <w:i/>
          <w:iCs/>
          <w:szCs w:val="26"/>
        </w:rPr>
        <w:t>of emotional distress involuntarily inflicted by others through sexual abuse relevant to impeach her testimony</w:t>
      </w:r>
      <w:r w:rsidR="0056036E" w:rsidRPr="004A4A00">
        <w:rPr>
          <w:szCs w:val="26"/>
        </w:rPr>
        <w:t>.</w:t>
      </w:r>
      <w:r w:rsidR="00073087" w:rsidRPr="004A4A00">
        <w:rPr>
          <w:szCs w:val="26"/>
        </w:rPr>
        <w:t xml:space="preserve">” </w:t>
      </w:r>
      <w:r w:rsidR="0056036E" w:rsidRPr="004A4A00">
        <w:rPr>
          <w:szCs w:val="26"/>
        </w:rPr>
        <w:t xml:space="preserve"> (</w:t>
      </w:r>
      <w:r w:rsidR="00E10A62" w:rsidRPr="004A4A00">
        <w:rPr>
          <w:i/>
          <w:iCs/>
          <w:szCs w:val="26"/>
        </w:rPr>
        <w:t>Ibid</w:t>
      </w:r>
      <w:r w:rsidR="0056036E" w:rsidRPr="004A4A00">
        <w:rPr>
          <w:szCs w:val="26"/>
        </w:rPr>
        <w:t>.</w:t>
      </w:r>
      <w:r w:rsidR="003832C5" w:rsidRPr="004A4A00">
        <w:rPr>
          <w:szCs w:val="26"/>
        </w:rPr>
        <w:t>, italics added.</w:t>
      </w:r>
      <w:r w:rsidR="0056036E" w:rsidRPr="004A4A00">
        <w:rPr>
          <w:szCs w:val="26"/>
        </w:rPr>
        <w:t>)</w:t>
      </w:r>
      <w:r w:rsidR="00D173A4" w:rsidRPr="004A4A00">
        <w:rPr>
          <w:szCs w:val="26"/>
        </w:rPr>
        <w:t xml:space="preserve"> </w:t>
      </w:r>
      <w:r w:rsidR="00AD67D5" w:rsidRPr="004A4A00">
        <w:rPr>
          <w:szCs w:val="26"/>
        </w:rPr>
        <w:t xml:space="preserve"> </w:t>
      </w:r>
      <w:r w:rsidR="00CC180A" w:rsidRPr="004A4A00">
        <w:rPr>
          <w:szCs w:val="26"/>
        </w:rPr>
        <w:t xml:space="preserve">Significantly, the appellate court acknowledged, </w:t>
      </w:r>
      <w:r w:rsidR="007C604A" w:rsidRPr="004A4A00">
        <w:rPr>
          <w:szCs w:val="26"/>
        </w:rPr>
        <w:t>“</w:t>
      </w:r>
      <w:r w:rsidR="002F635B" w:rsidRPr="004A4A00">
        <w:rPr>
          <w:szCs w:val="26"/>
        </w:rPr>
        <w:t>I</w:t>
      </w:r>
      <w:r w:rsidR="000603FA" w:rsidRPr="004A4A00">
        <w:rPr>
          <w:szCs w:val="26"/>
        </w:rPr>
        <w:t xml:space="preserve">n such </w:t>
      </w:r>
      <w:r w:rsidR="004C26DE" w:rsidRPr="004A4A00">
        <w:rPr>
          <w:szCs w:val="26"/>
        </w:rPr>
        <w:t>cases</w:t>
      </w:r>
      <w:r w:rsidR="000603FA" w:rsidRPr="004A4A00">
        <w:rPr>
          <w:szCs w:val="26"/>
        </w:rPr>
        <w:t xml:space="preserve">, </w:t>
      </w:r>
      <w:r w:rsidR="00344E92" w:rsidRPr="004A4A00">
        <w:rPr>
          <w:szCs w:val="26"/>
        </w:rPr>
        <w:t xml:space="preserve">the </w:t>
      </w:r>
      <w:r w:rsidR="00344E92" w:rsidRPr="004A4A00">
        <w:rPr>
          <w:i/>
          <w:iCs/>
          <w:szCs w:val="26"/>
        </w:rPr>
        <w:t>very same</w:t>
      </w:r>
      <w:r w:rsidR="00D84C19" w:rsidRPr="004A4A00">
        <w:rPr>
          <w:szCs w:val="26"/>
        </w:rPr>
        <w:t xml:space="preserve"> </w:t>
      </w:r>
      <w:r w:rsidR="00344E92" w:rsidRPr="004A4A00">
        <w:rPr>
          <w:szCs w:val="26"/>
          <w:bdr w:val="none" w:sz="0" w:space="0" w:color="auto" w:frame="1"/>
        </w:rPr>
        <w:t>evidence</w:t>
      </w:r>
      <w:r w:rsidR="001D1BF2" w:rsidRPr="004A4A00">
        <w:rPr>
          <w:szCs w:val="26"/>
          <w:bdr w:val="none" w:sz="0" w:space="0" w:color="auto" w:frame="1"/>
        </w:rPr>
        <w:t xml:space="preserve">” that </w:t>
      </w:r>
      <w:r w:rsidR="00D84C19" w:rsidRPr="004A4A00">
        <w:rPr>
          <w:szCs w:val="26"/>
          <w:bdr w:val="none" w:sz="0" w:space="0" w:color="auto" w:frame="1"/>
        </w:rPr>
        <w:t xml:space="preserve">section </w:t>
      </w:r>
      <w:r w:rsidR="001D1BF2" w:rsidRPr="004A4A00">
        <w:rPr>
          <w:szCs w:val="26"/>
          <w:bdr w:val="none" w:sz="0" w:space="0" w:color="auto" w:frame="1"/>
        </w:rPr>
        <w:t xml:space="preserve">1106, subdivision (a) </w:t>
      </w:r>
      <w:r w:rsidR="004D49AF" w:rsidRPr="004A4A00">
        <w:rPr>
          <w:szCs w:val="26"/>
        </w:rPr>
        <w:t>“</w:t>
      </w:r>
      <w:r w:rsidR="00344E92" w:rsidRPr="004A4A00">
        <w:rPr>
          <w:szCs w:val="26"/>
        </w:rPr>
        <w:t xml:space="preserve">excludes </w:t>
      </w:r>
      <w:r w:rsidR="00344E92" w:rsidRPr="004A4A00">
        <w:rPr>
          <w:i/>
          <w:iCs/>
          <w:szCs w:val="26"/>
        </w:rPr>
        <w:t>becomes admissible</w:t>
      </w:r>
      <w:r w:rsidR="004D49AF" w:rsidRPr="004A4A00">
        <w:rPr>
          <w:szCs w:val="26"/>
        </w:rPr>
        <w:t> </w:t>
      </w:r>
      <w:r w:rsidR="00344E92" w:rsidRPr="004A4A00">
        <w:rPr>
          <w:szCs w:val="26"/>
        </w:rPr>
        <w:t>—</w:t>
      </w:r>
      <w:r w:rsidR="00736A3B" w:rsidRPr="004A4A00">
        <w:rPr>
          <w:szCs w:val="26"/>
        </w:rPr>
        <w:t xml:space="preserve"> </w:t>
      </w:r>
      <w:r w:rsidR="00344E92" w:rsidRPr="004A4A00">
        <w:rPr>
          <w:szCs w:val="26"/>
        </w:rPr>
        <w:t>subject to balancing under</w:t>
      </w:r>
      <w:r w:rsidR="004D49AF" w:rsidRPr="004A4A00">
        <w:rPr>
          <w:szCs w:val="26"/>
        </w:rPr>
        <w:t xml:space="preserve"> section 352</w:t>
      </w:r>
      <w:r w:rsidR="00496539" w:rsidRPr="004A4A00">
        <w:rPr>
          <w:szCs w:val="26"/>
        </w:rPr>
        <w:t> — under section 783</w:t>
      </w:r>
      <w:r w:rsidR="0084238E" w:rsidRPr="004A4A00">
        <w:rPr>
          <w:szCs w:val="26"/>
        </w:rPr>
        <w:t xml:space="preserve"> </w:t>
      </w:r>
      <w:r w:rsidR="00344E92" w:rsidRPr="004A4A00">
        <w:rPr>
          <w:szCs w:val="26"/>
        </w:rPr>
        <w:t>to impeach</w:t>
      </w:r>
      <w:r w:rsidR="0084238E" w:rsidRPr="004A4A00">
        <w:rPr>
          <w:szCs w:val="26"/>
        </w:rPr>
        <w:t xml:space="preserve">” the </w:t>
      </w:r>
      <w:r w:rsidR="00720665" w:rsidRPr="004A4A00">
        <w:rPr>
          <w:szCs w:val="26"/>
        </w:rPr>
        <w:t>plaintiff</w:t>
      </w:r>
      <w:r w:rsidR="00B9477D" w:rsidRPr="004A4A00">
        <w:rPr>
          <w:szCs w:val="26"/>
        </w:rPr>
        <w:t>/</w:t>
      </w:r>
      <w:r w:rsidR="00720665" w:rsidRPr="004A4A00">
        <w:rPr>
          <w:szCs w:val="26"/>
        </w:rPr>
        <w:t xml:space="preserve">victim witness.  </w:t>
      </w:r>
      <w:r w:rsidR="00073087" w:rsidRPr="004A4A00">
        <w:rPr>
          <w:szCs w:val="26"/>
        </w:rPr>
        <w:t>(</w:t>
      </w:r>
      <w:r w:rsidR="001235F5" w:rsidRPr="004A4A00">
        <w:rPr>
          <w:i/>
          <w:iCs/>
          <w:szCs w:val="26"/>
        </w:rPr>
        <w:t>Doe</w:t>
      </w:r>
      <w:r w:rsidR="001235F5" w:rsidRPr="004A4A00">
        <w:rPr>
          <w:szCs w:val="26"/>
        </w:rPr>
        <w:t>,</w:t>
      </w:r>
      <w:r w:rsidR="00892708" w:rsidRPr="004A4A00">
        <w:rPr>
          <w:szCs w:val="26"/>
        </w:rPr>
        <w:t xml:space="preserve"> at p</w:t>
      </w:r>
      <w:r w:rsidR="00477BC3" w:rsidRPr="004A4A00">
        <w:rPr>
          <w:szCs w:val="26"/>
        </w:rPr>
        <w:t>p</w:t>
      </w:r>
      <w:r w:rsidR="00892708" w:rsidRPr="004A4A00">
        <w:rPr>
          <w:szCs w:val="26"/>
        </w:rPr>
        <w:t xml:space="preserve">. </w:t>
      </w:r>
      <w:r w:rsidR="00477BC3" w:rsidRPr="004A4A00">
        <w:rPr>
          <w:szCs w:val="26"/>
        </w:rPr>
        <w:t>239–</w:t>
      </w:r>
      <w:r w:rsidR="00D84C19" w:rsidRPr="004A4A00">
        <w:rPr>
          <w:szCs w:val="26"/>
        </w:rPr>
        <w:t>240</w:t>
      </w:r>
      <w:r w:rsidR="004A7ACC" w:rsidRPr="004A4A00">
        <w:rPr>
          <w:szCs w:val="26"/>
        </w:rPr>
        <w:t>, italics added</w:t>
      </w:r>
      <w:r w:rsidR="00073087" w:rsidRPr="004A4A00">
        <w:rPr>
          <w:szCs w:val="26"/>
        </w:rPr>
        <w:t xml:space="preserve">.)  </w:t>
      </w:r>
    </w:p>
    <w:p w14:paraId="0DB2E7E1" w14:textId="77777777" w:rsidR="00AA480C" w:rsidRPr="004A4A00" w:rsidRDefault="002E6832" w:rsidP="00A62F09">
      <w:pPr>
        <w:ind w:firstLine="720"/>
        <w:rPr>
          <w:szCs w:val="26"/>
        </w:rPr>
      </w:pPr>
      <w:r w:rsidRPr="004A4A00">
        <w:rPr>
          <w:szCs w:val="26"/>
        </w:rPr>
        <w:t>T</w:t>
      </w:r>
      <w:r w:rsidR="00130B7E" w:rsidRPr="004A4A00">
        <w:rPr>
          <w:szCs w:val="26"/>
        </w:rPr>
        <w:t xml:space="preserve">he </w:t>
      </w:r>
      <w:r w:rsidR="009D1C7F" w:rsidRPr="004A4A00">
        <w:rPr>
          <w:szCs w:val="26"/>
        </w:rPr>
        <w:t>Court of Appeal</w:t>
      </w:r>
      <w:r w:rsidR="00130B7E" w:rsidRPr="004A4A00">
        <w:rPr>
          <w:szCs w:val="26"/>
        </w:rPr>
        <w:t xml:space="preserve"> </w:t>
      </w:r>
      <w:r w:rsidRPr="004A4A00">
        <w:rPr>
          <w:szCs w:val="26"/>
        </w:rPr>
        <w:t xml:space="preserve">conceded that </w:t>
      </w:r>
      <w:r w:rsidR="00130B7E" w:rsidRPr="004A4A00">
        <w:rPr>
          <w:szCs w:val="26"/>
        </w:rPr>
        <w:t>plaintiff</w:t>
      </w:r>
      <w:r w:rsidR="001E578E" w:rsidRPr="004A4A00">
        <w:rPr>
          <w:szCs w:val="26"/>
        </w:rPr>
        <w:t xml:space="preserve">’s </w:t>
      </w:r>
      <w:r w:rsidR="00E30EF9" w:rsidRPr="004A4A00">
        <w:rPr>
          <w:szCs w:val="26"/>
        </w:rPr>
        <w:t>restrictive view of the statutory scheme</w:t>
      </w:r>
      <w:r w:rsidR="007F3B3C" w:rsidRPr="004A4A00">
        <w:rPr>
          <w:szCs w:val="26"/>
        </w:rPr>
        <w:t xml:space="preserve"> — under which </w:t>
      </w:r>
      <w:r w:rsidR="0030177E" w:rsidRPr="004A4A00">
        <w:rPr>
          <w:szCs w:val="26"/>
        </w:rPr>
        <w:t xml:space="preserve">the exception </w:t>
      </w:r>
      <w:r w:rsidR="00FF336A" w:rsidRPr="004A4A00">
        <w:rPr>
          <w:szCs w:val="26"/>
        </w:rPr>
        <w:t>articulated in section 1106, subdivision (e)</w:t>
      </w:r>
      <w:r w:rsidR="002540F4" w:rsidRPr="004A4A00">
        <w:rPr>
          <w:szCs w:val="26"/>
        </w:rPr>
        <w:t xml:space="preserve">, and section 783 would be </w:t>
      </w:r>
      <w:r w:rsidR="001C345D" w:rsidRPr="004A4A00">
        <w:rPr>
          <w:szCs w:val="26"/>
        </w:rPr>
        <w:t>“</w:t>
      </w:r>
      <w:r w:rsidRPr="004A4A00">
        <w:rPr>
          <w:szCs w:val="26"/>
        </w:rPr>
        <w:t>categorically unavailable when the proposed impeachment regards the plaintiff</w:t>
      </w:r>
      <w:r w:rsidR="001C345D" w:rsidRPr="004A4A00">
        <w:rPr>
          <w:szCs w:val="26"/>
        </w:rPr>
        <w:t>’</w:t>
      </w:r>
      <w:r w:rsidRPr="004A4A00">
        <w:rPr>
          <w:szCs w:val="26"/>
        </w:rPr>
        <w:t>s consent or the absence of injury pr</w:t>
      </w:r>
      <w:r w:rsidRPr="004A4A00">
        <w:rPr>
          <w:szCs w:val="26"/>
        </w:rPr>
        <w:t>ohibited as substantive</w:t>
      </w:r>
      <w:r w:rsidR="001C345D" w:rsidRPr="004A4A00">
        <w:rPr>
          <w:szCs w:val="26"/>
        </w:rPr>
        <w:t xml:space="preserve"> </w:t>
      </w:r>
      <w:r w:rsidRPr="004A4A00">
        <w:rPr>
          <w:szCs w:val="26"/>
          <w:bdr w:val="none" w:sz="0" w:space="0" w:color="auto" w:frame="1"/>
        </w:rPr>
        <w:t>evidence</w:t>
      </w:r>
      <w:r w:rsidR="001C345D" w:rsidRPr="004A4A00">
        <w:rPr>
          <w:szCs w:val="26"/>
          <w:bdr w:val="none" w:sz="0" w:space="0" w:color="auto" w:frame="1"/>
        </w:rPr>
        <w:t xml:space="preserve"> </w:t>
      </w:r>
      <w:r w:rsidRPr="004A4A00">
        <w:rPr>
          <w:szCs w:val="26"/>
        </w:rPr>
        <w:t>under</w:t>
      </w:r>
      <w:r w:rsidR="001C345D" w:rsidRPr="004A4A00">
        <w:rPr>
          <w:szCs w:val="26"/>
        </w:rPr>
        <w:t xml:space="preserve"> [subdivision (a)</w:t>
      </w:r>
      <w:r w:rsidR="00B8396C" w:rsidRPr="004A4A00">
        <w:rPr>
          <w:szCs w:val="26"/>
        </w:rPr>
        <w:t xml:space="preserve"> of] </w:t>
      </w:r>
      <w:r w:rsidR="001C345D" w:rsidRPr="004A4A00">
        <w:rPr>
          <w:szCs w:val="26"/>
        </w:rPr>
        <w:t xml:space="preserve">section </w:t>
      </w:r>
      <w:r w:rsidR="00B8396C" w:rsidRPr="004A4A00">
        <w:rPr>
          <w:szCs w:val="26"/>
        </w:rPr>
        <w:t>1106”</w:t>
      </w:r>
      <w:r w:rsidR="008436CA" w:rsidRPr="004A4A00">
        <w:rPr>
          <w:szCs w:val="26"/>
        </w:rPr>
        <w:t xml:space="preserve"> — </w:t>
      </w:r>
      <w:r w:rsidR="00782AA9" w:rsidRPr="004A4A00">
        <w:rPr>
          <w:szCs w:val="26"/>
        </w:rPr>
        <w:t xml:space="preserve">might </w:t>
      </w:r>
      <w:r w:rsidR="00981CF3" w:rsidRPr="004A4A00">
        <w:rPr>
          <w:szCs w:val="26"/>
        </w:rPr>
        <w:t>“</w:t>
      </w:r>
      <w:r w:rsidR="00782AA9" w:rsidRPr="004A4A00">
        <w:rPr>
          <w:szCs w:val="26"/>
        </w:rPr>
        <w:t xml:space="preserve">be </w:t>
      </w:r>
      <w:r w:rsidRPr="004A4A00">
        <w:rPr>
          <w:szCs w:val="26"/>
        </w:rPr>
        <w:t>one way to try to harmonize the inherent tension between</w:t>
      </w:r>
      <w:r w:rsidR="00782AA9" w:rsidRPr="004A4A00">
        <w:rPr>
          <w:szCs w:val="26"/>
        </w:rPr>
        <w:t xml:space="preserve"> section</w:t>
      </w:r>
      <w:r w:rsidR="001235F5" w:rsidRPr="004A4A00">
        <w:rPr>
          <w:szCs w:val="26"/>
        </w:rPr>
        <w:t>s</w:t>
      </w:r>
      <w:r w:rsidR="00782AA9" w:rsidRPr="004A4A00">
        <w:rPr>
          <w:szCs w:val="26"/>
        </w:rPr>
        <w:t xml:space="preserve"> 1106 and 783</w:t>
      </w:r>
      <w:r w:rsidR="000619D6" w:rsidRPr="004A4A00">
        <w:rPr>
          <w:szCs w:val="26"/>
        </w:rPr>
        <w:t xml:space="preserve">.”  </w:t>
      </w:r>
      <w:r w:rsidR="001D0196" w:rsidRPr="004A4A00">
        <w:rPr>
          <w:szCs w:val="26"/>
        </w:rPr>
        <w:t>(</w:t>
      </w:r>
      <w:r w:rsidR="001D0196" w:rsidRPr="004A4A00">
        <w:rPr>
          <w:i/>
          <w:iCs/>
          <w:szCs w:val="26"/>
        </w:rPr>
        <w:t>Doe</w:t>
      </w:r>
      <w:r w:rsidR="001D0196" w:rsidRPr="004A4A00">
        <w:rPr>
          <w:szCs w:val="26"/>
        </w:rPr>
        <w:t xml:space="preserve">, </w:t>
      </w:r>
      <w:r w:rsidR="001D0196" w:rsidRPr="004A4A00">
        <w:rPr>
          <w:i/>
          <w:iCs/>
          <w:szCs w:val="26"/>
        </w:rPr>
        <w:t>supra</w:t>
      </w:r>
      <w:r w:rsidR="001D0196" w:rsidRPr="004A4A00">
        <w:rPr>
          <w:szCs w:val="26"/>
        </w:rPr>
        <w:t>, 71 Cal.App.5th at p.</w:t>
      </w:r>
      <w:r w:rsidR="002F635B" w:rsidRPr="004A4A00">
        <w:rPr>
          <w:szCs w:val="26"/>
        </w:rPr>
        <w:t> </w:t>
      </w:r>
      <w:r w:rsidR="001D0196" w:rsidRPr="004A4A00">
        <w:rPr>
          <w:szCs w:val="26"/>
        </w:rPr>
        <w:t xml:space="preserve">242.)  </w:t>
      </w:r>
      <w:r w:rsidR="00CD42EB" w:rsidRPr="004A4A00">
        <w:rPr>
          <w:szCs w:val="26"/>
        </w:rPr>
        <w:t xml:space="preserve">But, the court </w:t>
      </w:r>
      <w:r w:rsidR="008F1246" w:rsidRPr="004A4A00">
        <w:rPr>
          <w:szCs w:val="26"/>
        </w:rPr>
        <w:t xml:space="preserve">concluded, that interpretation </w:t>
      </w:r>
      <w:r w:rsidR="00981CF3" w:rsidRPr="004A4A00">
        <w:rPr>
          <w:szCs w:val="26"/>
        </w:rPr>
        <w:t>“</w:t>
      </w:r>
      <w:r w:rsidR="008F1246" w:rsidRPr="004A4A00">
        <w:rPr>
          <w:szCs w:val="26"/>
        </w:rPr>
        <w:t xml:space="preserve">is </w:t>
      </w:r>
      <w:r w:rsidRPr="004A4A00">
        <w:rPr>
          <w:szCs w:val="26"/>
        </w:rPr>
        <w:t xml:space="preserve">not </w:t>
      </w:r>
      <w:r w:rsidR="00981CF3" w:rsidRPr="004A4A00">
        <w:rPr>
          <w:szCs w:val="26"/>
        </w:rPr>
        <w:t xml:space="preserve">one </w:t>
      </w:r>
      <w:r w:rsidRPr="004A4A00">
        <w:rPr>
          <w:szCs w:val="26"/>
        </w:rPr>
        <w:t xml:space="preserve">supported by the </w:t>
      </w:r>
      <w:r w:rsidR="004D37D3" w:rsidRPr="004A4A00">
        <w:rPr>
          <w:szCs w:val="26"/>
        </w:rPr>
        <w:t>plain text</w:t>
      </w:r>
      <w:r w:rsidR="00847CFB" w:rsidRPr="004A4A00">
        <w:rPr>
          <w:szCs w:val="26"/>
        </w:rPr>
        <w:t xml:space="preserve"> </w:t>
      </w:r>
      <w:r w:rsidR="000645E3" w:rsidRPr="004A4A00">
        <w:rPr>
          <w:szCs w:val="26"/>
        </w:rPr>
        <w:t xml:space="preserve">of </w:t>
      </w:r>
      <w:r w:rsidRPr="004A4A00">
        <w:rPr>
          <w:szCs w:val="26"/>
        </w:rPr>
        <w:t>either statute:</w:t>
      </w:r>
      <w:r w:rsidR="000645E3" w:rsidRPr="004A4A00">
        <w:rPr>
          <w:szCs w:val="26"/>
        </w:rPr>
        <w:t xml:space="preserve">  Section 1106 </w:t>
      </w:r>
      <w:r w:rsidRPr="004A4A00">
        <w:rPr>
          <w:szCs w:val="26"/>
        </w:rPr>
        <w:t>expressly names</w:t>
      </w:r>
      <w:r w:rsidR="000645E3" w:rsidRPr="004A4A00">
        <w:rPr>
          <w:szCs w:val="26"/>
        </w:rPr>
        <w:t xml:space="preserve"> section 783 </w:t>
      </w:r>
      <w:r w:rsidRPr="004A4A00">
        <w:rPr>
          <w:szCs w:val="26"/>
        </w:rPr>
        <w:t>as an exception to its prohibitions, and</w:t>
      </w:r>
      <w:r w:rsidR="000645E3" w:rsidRPr="004A4A00">
        <w:rPr>
          <w:szCs w:val="26"/>
        </w:rPr>
        <w:t xml:space="preserve"> section 783 </w:t>
      </w:r>
      <w:r w:rsidRPr="004A4A00">
        <w:rPr>
          <w:szCs w:val="26"/>
        </w:rPr>
        <w:t>looks to a case-by-case balancing of considerations under</w:t>
      </w:r>
      <w:r w:rsidR="000645E3" w:rsidRPr="004A4A00">
        <w:rPr>
          <w:szCs w:val="26"/>
        </w:rPr>
        <w:t xml:space="preserve"> section </w:t>
      </w:r>
      <w:r w:rsidR="00471114" w:rsidRPr="004A4A00">
        <w:rPr>
          <w:szCs w:val="26"/>
        </w:rPr>
        <w:t>352</w:t>
      </w:r>
      <w:r w:rsidRPr="004A4A00">
        <w:rPr>
          <w:szCs w:val="26"/>
        </w:rPr>
        <w:t>.</w:t>
      </w:r>
      <w:r w:rsidR="00471114" w:rsidRPr="004A4A00">
        <w:rPr>
          <w:szCs w:val="26"/>
        </w:rPr>
        <w:t>”  (</w:t>
      </w:r>
      <w:r w:rsidR="00C92371" w:rsidRPr="004A4A00">
        <w:rPr>
          <w:i/>
          <w:iCs/>
          <w:szCs w:val="26"/>
        </w:rPr>
        <w:t>Ibid</w:t>
      </w:r>
      <w:r w:rsidR="00C92371" w:rsidRPr="004A4A00">
        <w:rPr>
          <w:szCs w:val="26"/>
        </w:rPr>
        <w:t>.</w:t>
      </w:r>
      <w:r w:rsidR="00471114" w:rsidRPr="004A4A00">
        <w:rPr>
          <w:szCs w:val="26"/>
        </w:rPr>
        <w:t xml:space="preserve">)  </w:t>
      </w:r>
    </w:p>
    <w:p w14:paraId="0DB2E7E2" w14:textId="77777777" w:rsidR="0012086F" w:rsidRPr="000E4B9C" w:rsidRDefault="002E6832" w:rsidP="00A62F09">
      <w:pPr>
        <w:ind w:firstLine="720"/>
        <w:rPr>
          <w:szCs w:val="26"/>
        </w:rPr>
      </w:pPr>
      <w:r w:rsidRPr="00E027CC">
        <w:rPr>
          <w:szCs w:val="26"/>
        </w:rPr>
        <w:t>We agree</w:t>
      </w:r>
      <w:r w:rsidR="00B37D76" w:rsidRPr="00E027CC">
        <w:rPr>
          <w:szCs w:val="26"/>
        </w:rPr>
        <w:t>,</w:t>
      </w:r>
      <w:r w:rsidR="00B37D76" w:rsidRPr="004A4A00">
        <w:rPr>
          <w:szCs w:val="26"/>
        </w:rPr>
        <w:t xml:space="preserve"> as </w:t>
      </w:r>
      <w:r w:rsidR="00141DDB" w:rsidRPr="004A4A00">
        <w:rPr>
          <w:szCs w:val="26"/>
        </w:rPr>
        <w:t>recognized</w:t>
      </w:r>
      <w:r w:rsidR="003128DA" w:rsidRPr="004A4A00">
        <w:rPr>
          <w:szCs w:val="26"/>
        </w:rPr>
        <w:t xml:space="preserve"> in</w:t>
      </w:r>
      <w:r w:rsidR="00B37D76" w:rsidRPr="004A4A00">
        <w:rPr>
          <w:szCs w:val="26"/>
        </w:rPr>
        <w:t xml:space="preserve"> </w:t>
      </w:r>
      <w:r w:rsidR="00216DD8" w:rsidRPr="004A4A00">
        <w:rPr>
          <w:i/>
          <w:iCs/>
          <w:szCs w:val="26"/>
        </w:rPr>
        <w:t>Rioz</w:t>
      </w:r>
      <w:r w:rsidR="00216DD8" w:rsidRPr="004A4A00">
        <w:rPr>
          <w:szCs w:val="26"/>
        </w:rPr>
        <w:t xml:space="preserve">, </w:t>
      </w:r>
      <w:r w:rsidR="00216DD8" w:rsidRPr="004A4A00">
        <w:rPr>
          <w:i/>
          <w:iCs/>
          <w:szCs w:val="26"/>
        </w:rPr>
        <w:t>supra</w:t>
      </w:r>
      <w:r w:rsidR="00216DD8" w:rsidRPr="004A4A00">
        <w:rPr>
          <w:szCs w:val="26"/>
        </w:rPr>
        <w:t xml:space="preserve">, </w:t>
      </w:r>
      <w:r w:rsidR="00D30562" w:rsidRPr="004A4A00">
        <w:rPr>
          <w:szCs w:val="26"/>
        </w:rPr>
        <w:t>161 Cal.App.3d 905</w:t>
      </w:r>
      <w:r w:rsidR="00B37D76" w:rsidRPr="004A4A00">
        <w:rPr>
          <w:szCs w:val="26"/>
        </w:rPr>
        <w:t xml:space="preserve"> </w:t>
      </w:r>
      <w:r w:rsidR="00966810" w:rsidRPr="004A4A00">
        <w:rPr>
          <w:szCs w:val="26"/>
        </w:rPr>
        <w:t xml:space="preserve">and </w:t>
      </w:r>
      <w:r w:rsidR="00DE6D93" w:rsidRPr="004A4A00">
        <w:rPr>
          <w:szCs w:val="26"/>
        </w:rPr>
        <w:t xml:space="preserve">by </w:t>
      </w:r>
      <w:r w:rsidR="00B37D76" w:rsidRPr="004A4A00">
        <w:rPr>
          <w:szCs w:val="26"/>
        </w:rPr>
        <w:t xml:space="preserve">the Court of Appeal </w:t>
      </w:r>
      <w:r w:rsidR="000459D1" w:rsidRPr="004A4A00">
        <w:rPr>
          <w:szCs w:val="26"/>
        </w:rPr>
        <w:t>below</w:t>
      </w:r>
      <w:r w:rsidR="00D30562" w:rsidRPr="004A4A00">
        <w:rPr>
          <w:szCs w:val="26"/>
        </w:rPr>
        <w:t xml:space="preserve">, </w:t>
      </w:r>
      <w:r>
        <w:rPr>
          <w:szCs w:val="26"/>
        </w:rPr>
        <w:t xml:space="preserve">that </w:t>
      </w:r>
      <w:r w:rsidR="00CC35E2" w:rsidRPr="004A4A00">
        <w:rPr>
          <w:szCs w:val="26"/>
        </w:rPr>
        <w:t xml:space="preserve">there is </w:t>
      </w:r>
      <w:r w:rsidR="000459D1" w:rsidRPr="004A4A00">
        <w:rPr>
          <w:szCs w:val="26"/>
        </w:rPr>
        <w:t xml:space="preserve">inherent </w:t>
      </w:r>
      <w:r w:rsidR="00CC35E2" w:rsidRPr="004A4A00">
        <w:rPr>
          <w:szCs w:val="26"/>
        </w:rPr>
        <w:lastRenderedPageBreak/>
        <w:t xml:space="preserve">tension </w:t>
      </w:r>
      <w:r w:rsidR="00A10FEE" w:rsidRPr="004A4A00">
        <w:rPr>
          <w:szCs w:val="26"/>
        </w:rPr>
        <w:t>within the criminal (</w:t>
      </w:r>
      <w:r w:rsidR="00996F0C" w:rsidRPr="004A4A00">
        <w:rPr>
          <w:szCs w:val="26"/>
        </w:rPr>
        <w:t>§§ </w:t>
      </w:r>
      <w:r w:rsidR="00A10FEE" w:rsidRPr="004A4A00">
        <w:rPr>
          <w:szCs w:val="26"/>
        </w:rPr>
        <w:t>1103</w:t>
      </w:r>
      <w:r w:rsidR="00A7193A">
        <w:rPr>
          <w:szCs w:val="26"/>
        </w:rPr>
        <w:t>,</w:t>
      </w:r>
      <w:r w:rsidR="00B70348" w:rsidRPr="004A4A00">
        <w:rPr>
          <w:szCs w:val="26"/>
        </w:rPr>
        <w:t xml:space="preserve"> </w:t>
      </w:r>
      <w:r w:rsidR="00302C62" w:rsidRPr="004A4A00">
        <w:rPr>
          <w:szCs w:val="26"/>
        </w:rPr>
        <w:t>782) and civil (</w:t>
      </w:r>
      <w:r w:rsidR="00996F0C" w:rsidRPr="004A4A00">
        <w:rPr>
          <w:szCs w:val="26"/>
        </w:rPr>
        <w:t>§§ </w:t>
      </w:r>
      <w:r w:rsidR="00302C62" w:rsidRPr="004A4A00">
        <w:rPr>
          <w:szCs w:val="26"/>
        </w:rPr>
        <w:t>1106</w:t>
      </w:r>
      <w:r w:rsidR="00A7193A">
        <w:rPr>
          <w:szCs w:val="26"/>
        </w:rPr>
        <w:t>,</w:t>
      </w:r>
      <w:r w:rsidR="00B70348" w:rsidRPr="004A4A00">
        <w:rPr>
          <w:szCs w:val="26"/>
        </w:rPr>
        <w:t xml:space="preserve"> </w:t>
      </w:r>
      <w:r w:rsidR="00302C62" w:rsidRPr="004A4A00">
        <w:rPr>
          <w:szCs w:val="26"/>
        </w:rPr>
        <w:t>783)</w:t>
      </w:r>
      <w:r w:rsidR="00A10FEE" w:rsidRPr="004A4A00">
        <w:rPr>
          <w:szCs w:val="26"/>
        </w:rPr>
        <w:t xml:space="preserve"> shield </w:t>
      </w:r>
      <w:r w:rsidR="00CC35E2" w:rsidRPr="004A4A00">
        <w:rPr>
          <w:szCs w:val="26"/>
        </w:rPr>
        <w:t>provisions</w:t>
      </w:r>
      <w:r w:rsidR="00C54DDD" w:rsidRPr="004A4A00">
        <w:rPr>
          <w:szCs w:val="26"/>
        </w:rPr>
        <w:t>.</w:t>
      </w:r>
      <w:r w:rsidR="00A0642C" w:rsidRPr="004A4A00">
        <w:rPr>
          <w:szCs w:val="26"/>
        </w:rPr>
        <w:t xml:space="preserve">  </w:t>
      </w:r>
      <w:r w:rsidR="00944395" w:rsidRPr="004A4A00">
        <w:rPr>
          <w:szCs w:val="26"/>
        </w:rPr>
        <w:t xml:space="preserve">The </w:t>
      </w:r>
      <w:r w:rsidR="00A0642C" w:rsidRPr="004A4A00">
        <w:rPr>
          <w:szCs w:val="26"/>
        </w:rPr>
        <w:t xml:space="preserve">tension </w:t>
      </w:r>
      <w:r w:rsidR="001C525A" w:rsidRPr="004A4A00">
        <w:rPr>
          <w:szCs w:val="26"/>
        </w:rPr>
        <w:t xml:space="preserve">within </w:t>
      </w:r>
      <w:r w:rsidR="00856B15" w:rsidRPr="004A4A00">
        <w:rPr>
          <w:szCs w:val="26"/>
        </w:rPr>
        <w:t xml:space="preserve">the criminal provisions </w:t>
      </w:r>
      <w:r w:rsidR="009D6F76" w:rsidRPr="004A4A00">
        <w:rPr>
          <w:szCs w:val="26"/>
        </w:rPr>
        <w:t>w</w:t>
      </w:r>
      <w:r w:rsidR="00BA234E" w:rsidRPr="004A4A00">
        <w:rPr>
          <w:szCs w:val="26"/>
        </w:rPr>
        <w:t>as</w:t>
      </w:r>
      <w:r w:rsidR="009D6F76" w:rsidRPr="004A4A00">
        <w:rPr>
          <w:szCs w:val="26"/>
        </w:rPr>
        <w:t xml:space="preserve"> highlighted </w:t>
      </w:r>
      <w:r w:rsidR="00E24473" w:rsidRPr="004A4A00">
        <w:rPr>
          <w:szCs w:val="26"/>
        </w:rPr>
        <w:t xml:space="preserve">soon after the </w:t>
      </w:r>
      <w:r w:rsidR="00A0642C" w:rsidRPr="004A4A00">
        <w:rPr>
          <w:szCs w:val="26"/>
        </w:rPr>
        <w:t xml:space="preserve">Legislature </w:t>
      </w:r>
      <w:r w:rsidR="00E24473" w:rsidRPr="004A4A00">
        <w:rPr>
          <w:szCs w:val="26"/>
        </w:rPr>
        <w:t xml:space="preserve">enacted </w:t>
      </w:r>
      <w:r w:rsidR="00A0642C" w:rsidRPr="004A4A00">
        <w:rPr>
          <w:szCs w:val="26"/>
        </w:rPr>
        <w:t>the original version of section 782.  (</w:t>
      </w:r>
      <w:r w:rsidR="00DF6B1D" w:rsidRPr="00EF724E">
        <w:rPr>
          <w:i/>
          <w:iCs/>
          <w:szCs w:val="26"/>
        </w:rPr>
        <w:t>Review of Selected</w:t>
      </w:r>
      <w:r w:rsidR="00DF6B1D">
        <w:rPr>
          <w:szCs w:val="26"/>
        </w:rPr>
        <w:t xml:space="preserve"> </w:t>
      </w:r>
      <w:r w:rsidR="00A0642C" w:rsidRPr="004A4A00">
        <w:rPr>
          <w:i/>
          <w:iCs/>
          <w:szCs w:val="26"/>
        </w:rPr>
        <w:t>1974 California Legislation</w:t>
      </w:r>
      <w:r w:rsidR="000B2B79">
        <w:rPr>
          <w:i/>
          <w:iCs/>
          <w:szCs w:val="26"/>
        </w:rPr>
        <w:t>, Criminal Procedure</w:t>
      </w:r>
      <w:r w:rsidR="00A0642C" w:rsidRPr="004A4A00">
        <w:rPr>
          <w:szCs w:val="26"/>
        </w:rPr>
        <w:t xml:space="preserve"> (1975) 6 Pac</w:t>
      </w:r>
      <w:r w:rsidR="00DF6B1D">
        <w:rPr>
          <w:szCs w:val="26"/>
        </w:rPr>
        <w:t>ific</w:t>
      </w:r>
      <w:r w:rsidR="00A0642C" w:rsidRPr="004A4A00">
        <w:rPr>
          <w:szCs w:val="26"/>
        </w:rPr>
        <w:t xml:space="preserve"> L.J. </w:t>
      </w:r>
      <w:r w:rsidR="00A0642C" w:rsidRPr="00DF6B1D">
        <w:rPr>
          <w:szCs w:val="26"/>
        </w:rPr>
        <w:t>125</w:t>
      </w:r>
      <w:r w:rsidR="00A0642C" w:rsidRPr="004A4A00">
        <w:rPr>
          <w:szCs w:val="26"/>
        </w:rPr>
        <w:t xml:space="preserve">, 265 [observing that because “the procedures enacted by section 782 may in some cases permit the trier of fact to hear evidence of the victim’s sexual conduct under the procedures delineated above and for the purpose of determining </w:t>
      </w:r>
      <w:r w:rsidR="00A0642C" w:rsidRPr="004A4A00">
        <w:rPr>
          <w:i/>
          <w:iCs/>
          <w:szCs w:val="26"/>
        </w:rPr>
        <w:t>credibility</w:t>
      </w:r>
      <w:r w:rsidR="00A0642C" w:rsidRPr="004A4A00">
        <w:rPr>
          <w:szCs w:val="26"/>
        </w:rPr>
        <w:t xml:space="preserve">, section 782 has the effect of permitting the trier of fact to hear the same evidence which section 1103 (relating to </w:t>
      </w:r>
      <w:r w:rsidR="00A0642C" w:rsidRPr="004A4A00">
        <w:rPr>
          <w:i/>
          <w:iCs/>
          <w:szCs w:val="26"/>
        </w:rPr>
        <w:t>consent</w:t>
      </w:r>
      <w:r w:rsidR="00A0642C" w:rsidRPr="004A4A00">
        <w:rPr>
          <w:szCs w:val="26"/>
        </w:rPr>
        <w:t>) will normally serve to exclude”]</w:t>
      </w:r>
      <w:r w:rsidR="00E24473" w:rsidRPr="004A4A00">
        <w:rPr>
          <w:szCs w:val="26"/>
        </w:rPr>
        <w:t>.</w:t>
      </w:r>
      <w:r w:rsidR="00C75E2E" w:rsidRPr="004A4A00">
        <w:rPr>
          <w:szCs w:val="26"/>
        </w:rPr>
        <w:t>)</w:t>
      </w:r>
      <w:r w:rsidR="00E24473" w:rsidRPr="00535A24">
        <w:t xml:space="preserve">  </w:t>
      </w:r>
      <w:r w:rsidR="004A5E88" w:rsidRPr="00B70D49">
        <w:rPr>
          <w:szCs w:val="26"/>
        </w:rPr>
        <w:t xml:space="preserve">The </w:t>
      </w:r>
      <w:r w:rsidR="003E5088" w:rsidRPr="00B70D49">
        <w:rPr>
          <w:szCs w:val="26"/>
        </w:rPr>
        <w:t xml:space="preserve">Court of </w:t>
      </w:r>
      <w:r w:rsidR="002A533C" w:rsidRPr="00B70D49">
        <w:rPr>
          <w:szCs w:val="26"/>
        </w:rPr>
        <w:t>A</w:t>
      </w:r>
      <w:r w:rsidR="003E5088" w:rsidRPr="00B70D49">
        <w:rPr>
          <w:szCs w:val="26"/>
        </w:rPr>
        <w:t xml:space="preserve">ppeal in </w:t>
      </w:r>
      <w:r w:rsidR="003E5088" w:rsidRPr="00B70D49">
        <w:rPr>
          <w:i/>
          <w:iCs/>
          <w:szCs w:val="26"/>
        </w:rPr>
        <w:t>People v. Chandler</w:t>
      </w:r>
      <w:r w:rsidR="003E5088" w:rsidRPr="00B70D49">
        <w:rPr>
          <w:szCs w:val="26"/>
        </w:rPr>
        <w:t xml:space="preserve"> (1997) 56</w:t>
      </w:r>
      <w:r w:rsidR="00FF3186" w:rsidRPr="00B70D49">
        <w:rPr>
          <w:szCs w:val="26"/>
        </w:rPr>
        <w:t> </w:t>
      </w:r>
      <w:r w:rsidR="003E5088" w:rsidRPr="00B70D49">
        <w:rPr>
          <w:szCs w:val="26"/>
        </w:rPr>
        <w:t>Cal.App.4th 703, 708 (</w:t>
      </w:r>
      <w:r w:rsidR="003E5088" w:rsidRPr="00B70D49">
        <w:rPr>
          <w:i/>
          <w:iCs/>
          <w:szCs w:val="26"/>
        </w:rPr>
        <w:t>Chandler</w:t>
      </w:r>
      <w:r w:rsidR="003E5088" w:rsidRPr="00B70D49">
        <w:rPr>
          <w:szCs w:val="26"/>
        </w:rPr>
        <w:t xml:space="preserve">) </w:t>
      </w:r>
      <w:r w:rsidR="004A5E88" w:rsidRPr="00B70D49">
        <w:rPr>
          <w:szCs w:val="26"/>
        </w:rPr>
        <w:t>implicitly acknowledged th</w:t>
      </w:r>
      <w:r w:rsidR="00FD3566" w:rsidRPr="00B70D49">
        <w:rPr>
          <w:szCs w:val="26"/>
        </w:rPr>
        <w:t xml:space="preserve">is </w:t>
      </w:r>
      <w:r w:rsidR="00763A15" w:rsidRPr="00B70D49">
        <w:rPr>
          <w:szCs w:val="26"/>
        </w:rPr>
        <w:t xml:space="preserve">tension </w:t>
      </w:r>
      <w:r w:rsidR="004A5E88" w:rsidRPr="00B70D49">
        <w:rPr>
          <w:szCs w:val="26"/>
        </w:rPr>
        <w:t xml:space="preserve">in the course of </w:t>
      </w:r>
      <w:r w:rsidR="003E5088" w:rsidRPr="00B70D49">
        <w:rPr>
          <w:szCs w:val="26"/>
        </w:rPr>
        <w:t>stress</w:t>
      </w:r>
      <w:r w:rsidR="00626BE0" w:rsidRPr="00B70D49">
        <w:rPr>
          <w:szCs w:val="26"/>
        </w:rPr>
        <w:t xml:space="preserve">ing </w:t>
      </w:r>
      <w:r w:rsidR="003E5088" w:rsidRPr="00B70D49">
        <w:rPr>
          <w:szCs w:val="26"/>
        </w:rPr>
        <w:t>the need to “narrowly exercis[e]” and “sparingly” employ the discretion to admit evidence under the criminal provisions</w:t>
      </w:r>
      <w:r w:rsidR="00626BE0" w:rsidRPr="00B70D49">
        <w:rPr>
          <w:szCs w:val="26"/>
        </w:rPr>
        <w:t xml:space="preserve">.  </w:t>
      </w:r>
      <w:r w:rsidR="0096526C" w:rsidRPr="00B70D49">
        <w:rPr>
          <w:szCs w:val="26"/>
        </w:rPr>
        <w:t xml:space="preserve">More recently, we reiterated </w:t>
      </w:r>
      <w:r w:rsidR="0096526C" w:rsidRPr="00B70D49">
        <w:rPr>
          <w:i/>
          <w:iCs/>
          <w:szCs w:val="26"/>
        </w:rPr>
        <w:t>Rioz</w:t>
      </w:r>
      <w:r w:rsidR="0096526C" w:rsidRPr="00B70D49">
        <w:rPr>
          <w:szCs w:val="26"/>
        </w:rPr>
        <w:t>’s</w:t>
      </w:r>
      <w:r w:rsidR="0096526C" w:rsidRPr="00B70D49">
        <w:rPr>
          <w:i/>
          <w:iCs/>
          <w:szCs w:val="26"/>
        </w:rPr>
        <w:t xml:space="preserve"> </w:t>
      </w:r>
      <w:r w:rsidR="0096526C" w:rsidRPr="00B70D49">
        <w:rPr>
          <w:szCs w:val="26"/>
        </w:rPr>
        <w:t>admonition concerning admission of evidence under the criminal shield statutes:  “</w:t>
      </w:r>
      <w:r w:rsidR="00E00FEC" w:rsidRPr="00B70D49">
        <w:rPr>
          <w:szCs w:val="26"/>
        </w:rPr>
        <w:t>[</w:t>
      </w:r>
      <w:r w:rsidR="0096526C" w:rsidRPr="00B70D49">
        <w:rPr>
          <w:szCs w:val="26"/>
        </w:rPr>
        <w:t>W</w:t>
      </w:r>
      <w:r w:rsidR="00E00FEC" w:rsidRPr="00B70D49">
        <w:rPr>
          <w:szCs w:val="26"/>
        </w:rPr>
        <w:t>]</w:t>
      </w:r>
      <w:r w:rsidR="0096526C" w:rsidRPr="00B70D49">
        <w:rPr>
          <w:szCs w:val="26"/>
        </w:rPr>
        <w:t xml:space="preserve">e emphasize that </w:t>
      </w:r>
      <w:r w:rsidR="00B44DBB" w:rsidRPr="00B70D49">
        <w:rPr>
          <w:szCs w:val="26"/>
        </w:rPr>
        <w:t>‘</w:t>
      </w:r>
      <w:r w:rsidR="0096526C" w:rsidRPr="00B70D49">
        <w:rPr>
          <w:szCs w:val="26"/>
        </w:rPr>
        <w:t>[g]reat care must be taken to insure that this exception to the general rule barring evidence of a complaining witness’</w:t>
      </w:r>
      <w:r w:rsidR="00B44DBB" w:rsidRPr="00B70D49">
        <w:rPr>
          <w:szCs w:val="26"/>
        </w:rPr>
        <w:t xml:space="preserve"> </w:t>
      </w:r>
      <w:r w:rsidR="0096526C" w:rsidRPr="00B70D49">
        <w:rPr>
          <w:szCs w:val="26"/>
        </w:rPr>
        <w:t xml:space="preserve">prior sexual conduct . . . does not impermissibly encroach upon the rule itself and become a </w:t>
      </w:r>
      <w:r w:rsidR="00CD5A11" w:rsidRPr="00B70D49">
        <w:rPr>
          <w:szCs w:val="26"/>
        </w:rPr>
        <w:t>“</w:t>
      </w:r>
      <w:r w:rsidR="0096526C" w:rsidRPr="00B70D49">
        <w:rPr>
          <w:szCs w:val="26"/>
        </w:rPr>
        <w:t>back door</w:t>
      </w:r>
      <w:r w:rsidR="00CD5A11" w:rsidRPr="00B70D49">
        <w:rPr>
          <w:szCs w:val="26"/>
        </w:rPr>
        <w:t>”</w:t>
      </w:r>
      <w:r w:rsidR="0096526C" w:rsidRPr="00B70D49">
        <w:rPr>
          <w:szCs w:val="26"/>
        </w:rPr>
        <w:t xml:space="preserve"> for admitting otherwise inadmissible evidence.’ ”  (</w:t>
      </w:r>
      <w:r w:rsidR="0096526C" w:rsidRPr="00B70D49">
        <w:rPr>
          <w:i/>
          <w:iCs/>
          <w:szCs w:val="26"/>
        </w:rPr>
        <w:t>Fontana</w:t>
      </w:r>
      <w:r w:rsidR="0096526C" w:rsidRPr="00B70D49">
        <w:rPr>
          <w:szCs w:val="26"/>
        </w:rPr>
        <w:t xml:space="preserve">, </w:t>
      </w:r>
      <w:r w:rsidR="0096526C" w:rsidRPr="00B70D49">
        <w:rPr>
          <w:i/>
          <w:iCs/>
          <w:szCs w:val="26"/>
        </w:rPr>
        <w:t>supra</w:t>
      </w:r>
      <w:r w:rsidR="0096526C" w:rsidRPr="00B70D49">
        <w:rPr>
          <w:szCs w:val="26"/>
        </w:rPr>
        <w:t xml:space="preserve">, 49 Cal.4th </w:t>
      </w:r>
      <w:r w:rsidR="008A52E0" w:rsidRPr="00B70D49">
        <w:rPr>
          <w:szCs w:val="26"/>
        </w:rPr>
        <w:t>at p.</w:t>
      </w:r>
      <w:r w:rsidR="00412D59">
        <w:rPr>
          <w:szCs w:val="26"/>
        </w:rPr>
        <w:t> </w:t>
      </w:r>
      <w:r w:rsidR="0096526C" w:rsidRPr="000B62B6">
        <w:rPr>
          <w:szCs w:val="26"/>
        </w:rPr>
        <w:t xml:space="preserve">363, quoting </w:t>
      </w:r>
      <w:r w:rsidR="0096526C" w:rsidRPr="000B62B6">
        <w:rPr>
          <w:i/>
          <w:iCs/>
          <w:szCs w:val="26"/>
        </w:rPr>
        <w:t>Rioz</w:t>
      </w:r>
      <w:r w:rsidR="0096526C" w:rsidRPr="000B62B6">
        <w:rPr>
          <w:szCs w:val="26"/>
        </w:rPr>
        <w:t xml:space="preserve">, </w:t>
      </w:r>
      <w:r w:rsidR="0096526C" w:rsidRPr="000B62B6">
        <w:rPr>
          <w:i/>
          <w:iCs/>
          <w:szCs w:val="26"/>
        </w:rPr>
        <w:t>supra</w:t>
      </w:r>
      <w:r w:rsidR="0096526C" w:rsidRPr="000B62B6">
        <w:rPr>
          <w:szCs w:val="26"/>
        </w:rPr>
        <w:t>, 161</w:t>
      </w:r>
      <w:r>
        <w:rPr>
          <w:szCs w:val="26"/>
        </w:rPr>
        <w:t> </w:t>
      </w:r>
      <w:r w:rsidR="0096526C" w:rsidRPr="000B62B6">
        <w:rPr>
          <w:szCs w:val="26"/>
        </w:rPr>
        <w:t xml:space="preserve">Cal.App.3d at pp. 918–919.)  </w:t>
      </w:r>
      <w:r w:rsidR="00F57570" w:rsidRPr="000B62B6">
        <w:rPr>
          <w:szCs w:val="26"/>
        </w:rPr>
        <w:t>Other decisions</w:t>
      </w:r>
      <w:r w:rsidR="004A72D3" w:rsidRPr="000B62B6">
        <w:rPr>
          <w:szCs w:val="26"/>
        </w:rPr>
        <w:t xml:space="preserve"> </w:t>
      </w:r>
      <w:r w:rsidR="001E0A4C" w:rsidRPr="000B62B6">
        <w:rPr>
          <w:szCs w:val="26"/>
        </w:rPr>
        <w:t xml:space="preserve">applying </w:t>
      </w:r>
      <w:r w:rsidR="00D47FF4" w:rsidRPr="000B62B6">
        <w:rPr>
          <w:szCs w:val="26"/>
        </w:rPr>
        <w:t xml:space="preserve">the </w:t>
      </w:r>
      <w:r w:rsidR="0086255A" w:rsidRPr="000B62B6">
        <w:rPr>
          <w:szCs w:val="26"/>
        </w:rPr>
        <w:t xml:space="preserve">discovery shield </w:t>
      </w:r>
      <w:r w:rsidR="001E0A4C" w:rsidRPr="000B62B6">
        <w:rPr>
          <w:szCs w:val="26"/>
        </w:rPr>
        <w:t>statutes</w:t>
      </w:r>
      <w:r w:rsidR="00C668FE" w:rsidRPr="000B62B6">
        <w:rPr>
          <w:szCs w:val="26"/>
        </w:rPr>
        <w:t xml:space="preserve"> (see </w:t>
      </w:r>
      <w:r w:rsidR="00C668FE" w:rsidRPr="000B62B6">
        <w:rPr>
          <w:i/>
          <w:iCs/>
          <w:szCs w:val="26"/>
        </w:rPr>
        <w:t>ante</w:t>
      </w:r>
      <w:r w:rsidR="00C668FE" w:rsidRPr="000E4B9C">
        <w:rPr>
          <w:szCs w:val="26"/>
        </w:rPr>
        <w:t xml:space="preserve">, </w:t>
      </w:r>
      <w:r w:rsidR="00A94CEC" w:rsidRPr="000E4B9C">
        <w:rPr>
          <w:szCs w:val="26"/>
        </w:rPr>
        <w:t>fn.</w:t>
      </w:r>
      <w:r w:rsidR="00EF724E">
        <w:rPr>
          <w:szCs w:val="26"/>
        </w:rPr>
        <w:t> </w:t>
      </w:r>
      <w:r w:rsidR="006E5CAE">
        <w:rPr>
          <w:szCs w:val="26"/>
        </w:rPr>
        <w:t>6</w:t>
      </w:r>
      <w:r>
        <w:rPr>
          <w:szCs w:val="26"/>
        </w:rPr>
        <w:t>)</w:t>
      </w:r>
      <w:r w:rsidR="00A94CEC" w:rsidRPr="000E4B9C">
        <w:rPr>
          <w:szCs w:val="26"/>
        </w:rPr>
        <w:t>,</w:t>
      </w:r>
      <w:r w:rsidR="001E0A4C" w:rsidRPr="000E4B9C">
        <w:rPr>
          <w:szCs w:val="26"/>
        </w:rPr>
        <w:t xml:space="preserve"> </w:t>
      </w:r>
      <w:r w:rsidR="00F57570" w:rsidRPr="000E4B9C">
        <w:rPr>
          <w:szCs w:val="26"/>
        </w:rPr>
        <w:t xml:space="preserve">have </w:t>
      </w:r>
      <w:r w:rsidR="007B0152" w:rsidRPr="000E4B9C">
        <w:rPr>
          <w:szCs w:val="26"/>
        </w:rPr>
        <w:t xml:space="preserve">echoed this </w:t>
      </w:r>
      <w:r w:rsidR="002F1C1C" w:rsidRPr="000E4B9C">
        <w:rPr>
          <w:szCs w:val="26"/>
        </w:rPr>
        <w:t xml:space="preserve">caution </w:t>
      </w:r>
      <w:r w:rsidR="005C2795" w:rsidRPr="000E4B9C">
        <w:rPr>
          <w:szCs w:val="26"/>
        </w:rPr>
        <w:t xml:space="preserve">in the course of </w:t>
      </w:r>
      <w:r w:rsidR="006224A5" w:rsidRPr="000E4B9C">
        <w:rPr>
          <w:szCs w:val="26"/>
        </w:rPr>
        <w:t xml:space="preserve">warning </w:t>
      </w:r>
      <w:r w:rsidR="005A6783" w:rsidRPr="000E4B9C">
        <w:rPr>
          <w:szCs w:val="26"/>
        </w:rPr>
        <w:t xml:space="preserve">against </w:t>
      </w:r>
      <w:r w:rsidR="005C303D" w:rsidRPr="000E4B9C">
        <w:rPr>
          <w:szCs w:val="26"/>
        </w:rPr>
        <w:t xml:space="preserve">allowing unwarranted </w:t>
      </w:r>
      <w:r w:rsidR="001E0A4C" w:rsidRPr="000E4B9C">
        <w:rPr>
          <w:szCs w:val="26"/>
        </w:rPr>
        <w:t>discovery</w:t>
      </w:r>
      <w:r w:rsidR="00CD335B" w:rsidRPr="000E4B9C">
        <w:rPr>
          <w:szCs w:val="26"/>
        </w:rPr>
        <w:t xml:space="preserve"> of such evidence</w:t>
      </w:r>
      <w:r w:rsidR="001E0A4C" w:rsidRPr="000E4B9C">
        <w:rPr>
          <w:szCs w:val="26"/>
        </w:rPr>
        <w:t>.</w:t>
      </w:r>
      <w:r>
        <w:rPr>
          <w:rStyle w:val="FootnoteReference"/>
          <w:bCs/>
          <w:szCs w:val="26"/>
        </w:rPr>
        <w:footnoteReference w:id="11"/>
      </w:r>
      <w:r w:rsidR="001E0A4C" w:rsidRPr="000E4B9C">
        <w:rPr>
          <w:szCs w:val="26"/>
        </w:rPr>
        <w:t xml:space="preserve">  </w:t>
      </w:r>
    </w:p>
    <w:p w14:paraId="0DB2E7E3" w14:textId="77777777" w:rsidR="006F3307" w:rsidRPr="00EF0C33" w:rsidRDefault="002E6832" w:rsidP="00A62F09">
      <w:pPr>
        <w:ind w:firstLine="720"/>
        <w:rPr>
          <w:szCs w:val="26"/>
        </w:rPr>
      </w:pPr>
      <w:r w:rsidRPr="000E4B9C">
        <w:rPr>
          <w:szCs w:val="26"/>
        </w:rPr>
        <w:lastRenderedPageBreak/>
        <w:t xml:space="preserve">And yet </w:t>
      </w:r>
      <w:r w:rsidR="00692755" w:rsidRPr="000E4B9C">
        <w:rPr>
          <w:szCs w:val="26"/>
        </w:rPr>
        <w:t>great ca</w:t>
      </w:r>
      <w:r w:rsidR="00E3544F" w:rsidRPr="000E4B9C">
        <w:rPr>
          <w:szCs w:val="26"/>
        </w:rPr>
        <w:t xml:space="preserve">re does not mean that </w:t>
      </w:r>
      <w:r w:rsidR="005548EA" w:rsidRPr="000E4B9C">
        <w:rPr>
          <w:szCs w:val="26"/>
        </w:rPr>
        <w:t xml:space="preserve">an </w:t>
      </w:r>
      <w:r w:rsidR="00BB546D" w:rsidRPr="000E4B9C">
        <w:rPr>
          <w:szCs w:val="26"/>
        </w:rPr>
        <w:t xml:space="preserve">express </w:t>
      </w:r>
      <w:r w:rsidR="009C1CC2" w:rsidRPr="000E4B9C">
        <w:rPr>
          <w:szCs w:val="26"/>
        </w:rPr>
        <w:t xml:space="preserve">exception </w:t>
      </w:r>
      <w:r w:rsidR="00512B35" w:rsidRPr="000E4B9C">
        <w:rPr>
          <w:szCs w:val="26"/>
        </w:rPr>
        <w:t>prominently a</w:t>
      </w:r>
      <w:r w:rsidR="005548EA" w:rsidRPr="000E4B9C">
        <w:rPr>
          <w:szCs w:val="26"/>
        </w:rPr>
        <w:t xml:space="preserve">rticulated in the </w:t>
      </w:r>
      <w:r w:rsidR="00512B35" w:rsidRPr="000E4B9C">
        <w:rPr>
          <w:szCs w:val="26"/>
        </w:rPr>
        <w:t xml:space="preserve">statutory scheme should </w:t>
      </w:r>
      <w:r w:rsidR="00EC3694" w:rsidRPr="000E4B9C">
        <w:rPr>
          <w:szCs w:val="26"/>
        </w:rPr>
        <w:t>n</w:t>
      </w:r>
      <w:r w:rsidR="00421E36" w:rsidRPr="000E4B9C">
        <w:rPr>
          <w:szCs w:val="26"/>
        </w:rPr>
        <w:t xml:space="preserve">ot </w:t>
      </w:r>
      <w:r w:rsidR="00EC3694" w:rsidRPr="000E4B9C">
        <w:rPr>
          <w:szCs w:val="26"/>
        </w:rPr>
        <w:t xml:space="preserve">be given </w:t>
      </w:r>
      <w:r w:rsidR="003F7AAF" w:rsidRPr="000E4B9C">
        <w:rPr>
          <w:szCs w:val="26"/>
        </w:rPr>
        <w:t xml:space="preserve">full </w:t>
      </w:r>
      <w:r w:rsidR="00EC3694" w:rsidRPr="000E4B9C">
        <w:rPr>
          <w:szCs w:val="26"/>
        </w:rPr>
        <w:t>effect</w:t>
      </w:r>
      <w:r w:rsidR="00223989" w:rsidRPr="000E4B9C">
        <w:rPr>
          <w:szCs w:val="26"/>
        </w:rPr>
        <w:t xml:space="preserve"> in appropriate circumstances</w:t>
      </w:r>
      <w:r w:rsidR="00EC3694" w:rsidRPr="000E4B9C">
        <w:rPr>
          <w:szCs w:val="26"/>
        </w:rPr>
        <w:t xml:space="preserve">.  </w:t>
      </w:r>
      <w:r w:rsidR="001C41CA" w:rsidRPr="000E4B9C">
        <w:rPr>
          <w:szCs w:val="26"/>
        </w:rPr>
        <w:t xml:space="preserve">We </w:t>
      </w:r>
      <w:r w:rsidR="0020047E" w:rsidRPr="000E4B9C">
        <w:rPr>
          <w:szCs w:val="26"/>
        </w:rPr>
        <w:t xml:space="preserve">conclude that </w:t>
      </w:r>
      <w:r w:rsidR="00FD287C" w:rsidRPr="000E4B9C">
        <w:rPr>
          <w:szCs w:val="26"/>
        </w:rPr>
        <w:t xml:space="preserve">contrary to </w:t>
      </w:r>
      <w:r w:rsidR="00DE3DAB" w:rsidRPr="000E4B9C">
        <w:rPr>
          <w:szCs w:val="26"/>
        </w:rPr>
        <w:t>plaintiff’s reading</w:t>
      </w:r>
      <w:r w:rsidR="00DE162B" w:rsidRPr="000E4B9C">
        <w:rPr>
          <w:szCs w:val="26"/>
        </w:rPr>
        <w:t xml:space="preserve">, </w:t>
      </w:r>
      <w:r w:rsidR="005142F3" w:rsidRPr="000E4B9C">
        <w:rPr>
          <w:szCs w:val="26"/>
        </w:rPr>
        <w:t>subdivision (a)</w:t>
      </w:r>
      <w:r w:rsidR="008E0DAF" w:rsidRPr="000E4B9C">
        <w:rPr>
          <w:szCs w:val="26"/>
        </w:rPr>
        <w:t xml:space="preserve"> of section 1106</w:t>
      </w:r>
      <w:r w:rsidR="005142F3" w:rsidRPr="000E4B9C">
        <w:rPr>
          <w:szCs w:val="26"/>
        </w:rPr>
        <w:t xml:space="preserve"> </w:t>
      </w:r>
      <w:r w:rsidR="00C52521" w:rsidRPr="000E4B9C">
        <w:rPr>
          <w:szCs w:val="26"/>
        </w:rPr>
        <w:t xml:space="preserve">does </w:t>
      </w:r>
      <w:r w:rsidR="00944D12" w:rsidRPr="000E4B9C">
        <w:rPr>
          <w:szCs w:val="26"/>
        </w:rPr>
        <w:t xml:space="preserve">not </w:t>
      </w:r>
      <w:r w:rsidR="00163E8A" w:rsidRPr="000E4B9C">
        <w:rPr>
          <w:szCs w:val="26"/>
        </w:rPr>
        <w:t>contemplate</w:t>
      </w:r>
      <w:r w:rsidR="00C52521" w:rsidRPr="000E4B9C">
        <w:rPr>
          <w:szCs w:val="26"/>
        </w:rPr>
        <w:t xml:space="preserve"> </w:t>
      </w:r>
      <w:r w:rsidR="00BC0BB3" w:rsidRPr="000E4B9C">
        <w:rPr>
          <w:szCs w:val="26"/>
        </w:rPr>
        <w:t xml:space="preserve">categorical </w:t>
      </w:r>
      <w:r w:rsidR="007142E0" w:rsidRPr="000E4B9C">
        <w:rPr>
          <w:szCs w:val="26"/>
        </w:rPr>
        <w:t xml:space="preserve">exclusion </w:t>
      </w:r>
      <w:r w:rsidR="00BC0BB3" w:rsidRPr="000E4B9C">
        <w:rPr>
          <w:szCs w:val="26"/>
        </w:rPr>
        <w:t xml:space="preserve">of </w:t>
      </w:r>
      <w:r w:rsidR="00D667FE" w:rsidRPr="000E4B9C">
        <w:rPr>
          <w:szCs w:val="26"/>
        </w:rPr>
        <w:t xml:space="preserve">evidence concerning “other sexual conduct” when </w:t>
      </w:r>
      <w:r w:rsidR="00BD6BDE" w:rsidRPr="000E4B9C">
        <w:rPr>
          <w:szCs w:val="26"/>
        </w:rPr>
        <w:t xml:space="preserve">that evidence is sought to be admitted </w:t>
      </w:r>
      <w:r w:rsidR="005142F3" w:rsidRPr="000E4B9C">
        <w:rPr>
          <w:szCs w:val="26"/>
        </w:rPr>
        <w:t xml:space="preserve">under </w:t>
      </w:r>
      <w:r w:rsidR="008E0DAF" w:rsidRPr="000E4B9C">
        <w:rPr>
          <w:szCs w:val="26"/>
        </w:rPr>
        <w:t>th</w:t>
      </w:r>
      <w:r w:rsidR="006568B4" w:rsidRPr="000E4B9C">
        <w:rPr>
          <w:szCs w:val="26"/>
        </w:rPr>
        <w:t xml:space="preserve">e </w:t>
      </w:r>
      <w:r w:rsidR="008E0DAF" w:rsidRPr="000E4B9C">
        <w:rPr>
          <w:szCs w:val="26"/>
        </w:rPr>
        <w:t>same section</w:t>
      </w:r>
      <w:r w:rsidR="00AB1328" w:rsidRPr="000E4B9C">
        <w:rPr>
          <w:szCs w:val="26"/>
        </w:rPr>
        <w:t xml:space="preserve">’s subdivision (e) </w:t>
      </w:r>
      <w:r w:rsidR="00BD6BDE" w:rsidRPr="000E4B9C">
        <w:rPr>
          <w:szCs w:val="26"/>
        </w:rPr>
        <w:t xml:space="preserve">to </w:t>
      </w:r>
      <w:r w:rsidR="00083BA3" w:rsidRPr="000E4B9C">
        <w:rPr>
          <w:szCs w:val="26"/>
        </w:rPr>
        <w:t xml:space="preserve">challenge the credibility of </w:t>
      </w:r>
      <w:r w:rsidR="004077CA" w:rsidRPr="000E4B9C">
        <w:rPr>
          <w:szCs w:val="26"/>
        </w:rPr>
        <w:t xml:space="preserve">the plaintiff </w:t>
      </w:r>
      <w:r w:rsidR="00C8041A" w:rsidRPr="000E4B9C">
        <w:rPr>
          <w:szCs w:val="26"/>
        </w:rPr>
        <w:t>as provided in section</w:t>
      </w:r>
      <w:r w:rsidR="00EF0C33">
        <w:rPr>
          <w:szCs w:val="26"/>
        </w:rPr>
        <w:t> </w:t>
      </w:r>
      <w:r w:rsidR="00C8041A" w:rsidRPr="000E4B9C">
        <w:rPr>
          <w:szCs w:val="26"/>
        </w:rPr>
        <w:t>783</w:t>
      </w:r>
      <w:r w:rsidR="002938C6" w:rsidRPr="00EF0C33">
        <w:rPr>
          <w:szCs w:val="26"/>
        </w:rPr>
        <w:t>.</w:t>
      </w:r>
      <w:r>
        <w:rPr>
          <w:rStyle w:val="FootnoteReference"/>
          <w:szCs w:val="26"/>
        </w:rPr>
        <w:footnoteReference w:id="12"/>
      </w:r>
    </w:p>
    <w:p w14:paraId="0DB2E7E4" w14:textId="77777777" w:rsidR="00085294" w:rsidRPr="00535A24" w:rsidRDefault="002E6832" w:rsidP="00EF0C33">
      <w:pPr>
        <w:pStyle w:val="Heading3"/>
      </w:pPr>
      <w:r w:rsidRPr="00535A24">
        <w:rPr>
          <w:i w:val="0"/>
        </w:rPr>
        <w:t>2</w:t>
      </w:r>
      <w:r w:rsidR="00E62A7E" w:rsidRPr="00535A24">
        <w:t xml:space="preserve">.  </w:t>
      </w:r>
      <w:bookmarkStart w:id="9" w:name="_Hlk127888769"/>
      <w:r w:rsidRPr="00535A24">
        <w:t>Section</w:t>
      </w:r>
      <w:r w:rsidR="00343FE6" w:rsidRPr="00535A24">
        <w:t>s</w:t>
      </w:r>
      <w:r w:rsidRPr="00535A24">
        <w:t xml:space="preserve"> </w:t>
      </w:r>
      <w:r w:rsidR="00343FE6" w:rsidRPr="00535A24">
        <w:t xml:space="preserve">1106, subdivision (e) and 783 </w:t>
      </w:r>
      <w:r w:rsidR="00284B42" w:rsidRPr="00535A24">
        <w:t xml:space="preserve">address </w:t>
      </w:r>
      <w:r w:rsidR="00FB6DBB">
        <w:t xml:space="preserve">overall </w:t>
      </w:r>
      <w:r w:rsidR="00284B42" w:rsidRPr="00535A24">
        <w:t>witness credibility</w:t>
      </w:r>
      <w:r w:rsidR="0035134A" w:rsidRPr="00535A24">
        <w:t xml:space="preserve"> — </w:t>
      </w:r>
      <w:r w:rsidR="00284B42" w:rsidRPr="00535A24">
        <w:t xml:space="preserve">not </w:t>
      </w:r>
      <w:r w:rsidR="00FB6DBB">
        <w:t xml:space="preserve">exclusively </w:t>
      </w:r>
      <w:r w:rsidRPr="00535A24">
        <w:t>false testimony</w:t>
      </w:r>
    </w:p>
    <w:p w14:paraId="0DB2E7E5" w14:textId="77777777" w:rsidR="00C9684D" w:rsidRPr="00EF0C33" w:rsidRDefault="002E6832" w:rsidP="00EF0C33">
      <w:pPr>
        <w:tabs>
          <w:tab w:val="left" w:pos="5220"/>
        </w:tabs>
        <w:ind w:firstLine="720"/>
        <w:rPr>
          <w:szCs w:val="26"/>
        </w:rPr>
      </w:pPr>
      <w:r w:rsidRPr="00EF0C33">
        <w:rPr>
          <w:szCs w:val="26"/>
        </w:rPr>
        <w:t>Plaintiff also suggest</w:t>
      </w:r>
      <w:r w:rsidR="002C0D98" w:rsidRPr="00EF0C33">
        <w:rPr>
          <w:szCs w:val="26"/>
        </w:rPr>
        <w:t xml:space="preserve">s </w:t>
      </w:r>
      <w:r w:rsidR="00883590" w:rsidRPr="00EF0C33">
        <w:rPr>
          <w:szCs w:val="26"/>
        </w:rPr>
        <w:t xml:space="preserve">in her opening brief </w:t>
      </w:r>
      <w:r w:rsidRPr="00EF0C33">
        <w:rPr>
          <w:szCs w:val="26"/>
        </w:rPr>
        <w:t xml:space="preserve">that evidence </w:t>
      </w:r>
      <w:r w:rsidR="00D65DDC" w:rsidRPr="00EF0C33">
        <w:rPr>
          <w:szCs w:val="26"/>
        </w:rPr>
        <w:t>admi</w:t>
      </w:r>
      <w:r w:rsidR="005066C7" w:rsidRPr="00EF0C33">
        <w:rPr>
          <w:szCs w:val="26"/>
        </w:rPr>
        <w:t xml:space="preserve">ssible </w:t>
      </w:r>
      <w:r w:rsidR="00D65DDC" w:rsidRPr="00EF0C33">
        <w:rPr>
          <w:szCs w:val="26"/>
        </w:rPr>
        <w:t xml:space="preserve">under </w:t>
      </w:r>
      <w:r w:rsidRPr="00EF0C33">
        <w:rPr>
          <w:szCs w:val="26"/>
        </w:rPr>
        <w:t>section</w:t>
      </w:r>
      <w:r w:rsidR="000C0B31" w:rsidRPr="00EF0C33">
        <w:rPr>
          <w:szCs w:val="26"/>
        </w:rPr>
        <w:t> </w:t>
      </w:r>
      <w:r w:rsidRPr="00EF0C33">
        <w:rPr>
          <w:szCs w:val="26"/>
        </w:rPr>
        <w:t>1106, subdivision (</w:t>
      </w:r>
      <w:r w:rsidR="00D65DDC" w:rsidRPr="00EF0C33">
        <w:rPr>
          <w:szCs w:val="26"/>
        </w:rPr>
        <w:t>e</w:t>
      </w:r>
      <w:r w:rsidRPr="00EF0C33">
        <w:rPr>
          <w:szCs w:val="26"/>
        </w:rPr>
        <w:t xml:space="preserve">) </w:t>
      </w:r>
      <w:r w:rsidR="00426E3B" w:rsidRPr="00EF0C33">
        <w:rPr>
          <w:szCs w:val="26"/>
        </w:rPr>
        <w:t xml:space="preserve">and section 783 should be “reserved for when the conduct being placed before the jury has bearing on credibility because it tends to call into </w:t>
      </w:r>
      <w:r w:rsidR="00426E3B" w:rsidRPr="00EF0C33">
        <w:rPr>
          <w:szCs w:val="26"/>
        </w:rPr>
        <w:lastRenderedPageBreak/>
        <w:t xml:space="preserve">question whether the victim is offering </w:t>
      </w:r>
      <w:r w:rsidR="00426E3B" w:rsidRPr="00EF0C33">
        <w:rPr>
          <w:i/>
          <w:iCs/>
          <w:szCs w:val="26"/>
        </w:rPr>
        <w:t>false testimony</w:t>
      </w:r>
      <w:r w:rsidR="007671A0" w:rsidRPr="00EF0C33">
        <w:rPr>
          <w:szCs w:val="26"/>
        </w:rPr>
        <w:t>.</w:t>
      </w:r>
      <w:r w:rsidR="00C97D23" w:rsidRPr="00EF0C33">
        <w:rPr>
          <w:szCs w:val="26"/>
        </w:rPr>
        <w:t xml:space="preserve">” </w:t>
      </w:r>
      <w:r w:rsidR="007671A0" w:rsidRPr="00EF0C33">
        <w:rPr>
          <w:szCs w:val="26"/>
        </w:rPr>
        <w:t xml:space="preserve"> </w:t>
      </w:r>
      <w:r w:rsidR="00241A19">
        <w:rPr>
          <w:szCs w:val="26"/>
        </w:rPr>
        <w:t>(It</w:t>
      </w:r>
      <w:r w:rsidR="0040118F">
        <w:rPr>
          <w:szCs w:val="26"/>
        </w:rPr>
        <w:t xml:space="preserve">alics added.)  </w:t>
      </w:r>
      <w:r w:rsidR="004B2FA3" w:rsidRPr="00EF0C33">
        <w:rPr>
          <w:szCs w:val="26"/>
        </w:rPr>
        <w:t xml:space="preserve">In support, plaintiff relies on </w:t>
      </w:r>
      <w:r w:rsidR="004B2FA3" w:rsidRPr="00EF0C33">
        <w:rPr>
          <w:i/>
          <w:iCs/>
          <w:szCs w:val="26"/>
        </w:rPr>
        <w:t xml:space="preserve">People v. Franklin </w:t>
      </w:r>
      <w:r w:rsidR="004B2FA3" w:rsidRPr="00EF0C33">
        <w:rPr>
          <w:szCs w:val="26"/>
        </w:rPr>
        <w:t>(1994) 25</w:t>
      </w:r>
      <w:r w:rsidR="00EF0C33">
        <w:rPr>
          <w:szCs w:val="26"/>
        </w:rPr>
        <w:t> </w:t>
      </w:r>
      <w:r w:rsidR="004B2FA3" w:rsidRPr="00EF0C33">
        <w:rPr>
          <w:szCs w:val="26"/>
        </w:rPr>
        <w:t>Cal.App.4th 328 (</w:t>
      </w:r>
      <w:r w:rsidR="004B2FA3" w:rsidRPr="00EF0C33">
        <w:rPr>
          <w:i/>
          <w:iCs/>
          <w:szCs w:val="26"/>
        </w:rPr>
        <w:t>Franklin</w:t>
      </w:r>
      <w:r w:rsidR="004B2FA3" w:rsidRPr="00EF0C33">
        <w:rPr>
          <w:szCs w:val="26"/>
        </w:rPr>
        <w:t>), in which the Court of Appeal briefly addressed the criminal statutory counterpart, section</w:t>
      </w:r>
      <w:r w:rsidR="000C0B31" w:rsidRPr="00EF0C33">
        <w:rPr>
          <w:szCs w:val="26"/>
        </w:rPr>
        <w:t> </w:t>
      </w:r>
      <w:r w:rsidR="004B2FA3" w:rsidRPr="00EF0C33">
        <w:rPr>
          <w:szCs w:val="26"/>
        </w:rPr>
        <w:t xml:space="preserve">782 — and then ultimately allowed, without applying that statute, evidence that a crime victim had previously made false complaints of molestation.  </w:t>
      </w:r>
      <w:r w:rsidR="00C47F93" w:rsidRPr="00EF0C33">
        <w:rPr>
          <w:szCs w:val="26"/>
        </w:rPr>
        <w:t xml:space="preserve">In </w:t>
      </w:r>
      <w:r w:rsidR="00426E3B" w:rsidRPr="00EF0C33">
        <w:rPr>
          <w:szCs w:val="26"/>
        </w:rPr>
        <w:t xml:space="preserve">her reply brief, </w:t>
      </w:r>
      <w:r w:rsidR="0088720A" w:rsidRPr="00EF0C33">
        <w:rPr>
          <w:szCs w:val="26"/>
        </w:rPr>
        <w:t xml:space="preserve">plaintiff </w:t>
      </w:r>
      <w:r w:rsidR="00426E3B" w:rsidRPr="00EF0C33">
        <w:rPr>
          <w:szCs w:val="26"/>
        </w:rPr>
        <w:t xml:space="preserve">appears to </w:t>
      </w:r>
      <w:r w:rsidR="00196CC1" w:rsidRPr="00EF0C33">
        <w:rPr>
          <w:szCs w:val="26"/>
        </w:rPr>
        <w:t xml:space="preserve">retreat </w:t>
      </w:r>
      <w:r w:rsidR="00426E3B" w:rsidRPr="00EF0C33">
        <w:rPr>
          <w:szCs w:val="26"/>
        </w:rPr>
        <w:t xml:space="preserve">from her prior assertions, stating that she has “never argued” that the credibility exception is reserved for </w:t>
      </w:r>
      <w:r w:rsidR="000B4EDD" w:rsidRPr="00EF0C33">
        <w:rPr>
          <w:szCs w:val="26"/>
        </w:rPr>
        <w:t xml:space="preserve">probing </w:t>
      </w:r>
      <w:r w:rsidR="00426E3B" w:rsidRPr="00EF0C33">
        <w:rPr>
          <w:szCs w:val="26"/>
        </w:rPr>
        <w:t xml:space="preserve">whether </w:t>
      </w:r>
      <w:r w:rsidR="00A5740D" w:rsidRPr="00EF0C33">
        <w:rPr>
          <w:szCs w:val="26"/>
        </w:rPr>
        <w:t xml:space="preserve">a </w:t>
      </w:r>
      <w:r w:rsidR="00426E3B" w:rsidRPr="00EF0C33">
        <w:rPr>
          <w:szCs w:val="26"/>
        </w:rPr>
        <w:t>victim is offering false testimony.</w:t>
      </w:r>
      <w:r w:rsidR="00883590" w:rsidRPr="00EF0C33">
        <w:rPr>
          <w:szCs w:val="26"/>
        </w:rPr>
        <w:t xml:space="preserve">  </w:t>
      </w:r>
    </w:p>
    <w:p w14:paraId="0DB2E7E6" w14:textId="77777777" w:rsidR="00DE0357" w:rsidRPr="00EF0C33" w:rsidRDefault="002E6832" w:rsidP="00EF0C33">
      <w:pPr>
        <w:tabs>
          <w:tab w:val="left" w:pos="5220"/>
        </w:tabs>
        <w:ind w:firstLine="720"/>
        <w:rPr>
          <w:szCs w:val="26"/>
        </w:rPr>
      </w:pPr>
      <w:r w:rsidRPr="00EF0C33">
        <w:rPr>
          <w:szCs w:val="26"/>
        </w:rPr>
        <w:t>In any event, s</w:t>
      </w:r>
      <w:r w:rsidR="00BC41D9" w:rsidRPr="00EF0C33">
        <w:rPr>
          <w:szCs w:val="26"/>
        </w:rPr>
        <w:t xml:space="preserve">uch a narrow reading </w:t>
      </w:r>
      <w:r w:rsidR="00364BC3" w:rsidRPr="00EF0C33">
        <w:rPr>
          <w:szCs w:val="26"/>
        </w:rPr>
        <w:t>of the stat</w:t>
      </w:r>
      <w:r w:rsidR="00144FA5" w:rsidRPr="00EF0C33">
        <w:rPr>
          <w:szCs w:val="26"/>
        </w:rPr>
        <w:t>ute</w:t>
      </w:r>
      <w:r w:rsidR="001A4AA4" w:rsidRPr="00EF0C33">
        <w:rPr>
          <w:szCs w:val="26"/>
        </w:rPr>
        <w:t>s</w:t>
      </w:r>
      <w:r w:rsidR="00144FA5" w:rsidRPr="00EF0C33">
        <w:rPr>
          <w:szCs w:val="26"/>
        </w:rPr>
        <w:t xml:space="preserve"> </w:t>
      </w:r>
      <w:r w:rsidR="000C0B31" w:rsidRPr="00EF0C33">
        <w:rPr>
          <w:szCs w:val="26"/>
        </w:rPr>
        <w:t xml:space="preserve">is </w:t>
      </w:r>
      <w:r w:rsidR="00BC41D9" w:rsidRPr="00EF0C33">
        <w:rPr>
          <w:szCs w:val="26"/>
        </w:rPr>
        <w:t xml:space="preserve">not supported by the language of section 1106, subdivision (e), which allows </w:t>
      </w:r>
      <w:r w:rsidR="0024709E" w:rsidRPr="00EF0C33">
        <w:rPr>
          <w:szCs w:val="26"/>
        </w:rPr>
        <w:t xml:space="preserve">admission of </w:t>
      </w:r>
      <w:r w:rsidR="00BC41D9" w:rsidRPr="00EF0C33">
        <w:rPr>
          <w:szCs w:val="26"/>
        </w:rPr>
        <w:t xml:space="preserve">evidence to address </w:t>
      </w:r>
      <w:r w:rsidRPr="00EF0C33">
        <w:rPr>
          <w:szCs w:val="26"/>
        </w:rPr>
        <w:t>“</w:t>
      </w:r>
      <w:r w:rsidR="00BC41D9" w:rsidRPr="00EF0C33">
        <w:rPr>
          <w:szCs w:val="26"/>
        </w:rPr>
        <w:t>the credibility of the plaintiff” when the safeguards of section 783 are followed.</w:t>
      </w:r>
      <w:r w:rsidR="00C9684D" w:rsidRPr="00EF0C33">
        <w:rPr>
          <w:szCs w:val="26"/>
        </w:rPr>
        <w:t xml:space="preserve">  </w:t>
      </w:r>
      <w:r w:rsidR="005E2EAB" w:rsidRPr="00EF0C33">
        <w:rPr>
          <w:szCs w:val="26"/>
        </w:rPr>
        <w:t xml:space="preserve">The </w:t>
      </w:r>
      <w:r w:rsidR="00CD55A8" w:rsidRPr="00EF0C33">
        <w:rPr>
          <w:szCs w:val="26"/>
        </w:rPr>
        <w:t>s</w:t>
      </w:r>
      <w:r w:rsidR="0024709E" w:rsidRPr="00EF0C33">
        <w:rPr>
          <w:szCs w:val="26"/>
        </w:rPr>
        <w:t>ection</w:t>
      </w:r>
      <w:r w:rsidR="00CD55A8" w:rsidRPr="00EF0C33">
        <w:rPr>
          <w:szCs w:val="26"/>
        </w:rPr>
        <w:t xml:space="preserve">s </w:t>
      </w:r>
      <w:r w:rsidR="0024709E" w:rsidRPr="00EF0C33">
        <w:rPr>
          <w:szCs w:val="26"/>
        </w:rPr>
        <w:t>appl</w:t>
      </w:r>
      <w:r w:rsidR="00CD55A8" w:rsidRPr="00EF0C33">
        <w:rPr>
          <w:szCs w:val="26"/>
        </w:rPr>
        <w:t>y</w:t>
      </w:r>
      <w:r w:rsidR="0024709E" w:rsidRPr="00EF0C33">
        <w:rPr>
          <w:szCs w:val="26"/>
        </w:rPr>
        <w:t xml:space="preserve"> </w:t>
      </w:r>
      <w:r w:rsidR="00A46B3A" w:rsidRPr="00EF0C33">
        <w:rPr>
          <w:szCs w:val="26"/>
        </w:rPr>
        <w:t xml:space="preserve">whenever </w:t>
      </w:r>
      <w:r w:rsidR="00586E42" w:rsidRPr="00EF0C33">
        <w:rPr>
          <w:szCs w:val="26"/>
        </w:rPr>
        <w:t xml:space="preserve">a </w:t>
      </w:r>
      <w:r w:rsidR="00284B42" w:rsidRPr="00EF0C33">
        <w:rPr>
          <w:szCs w:val="26"/>
        </w:rPr>
        <w:t xml:space="preserve">plaintiff’s </w:t>
      </w:r>
      <w:r w:rsidR="0024709E" w:rsidRPr="00EF0C33">
        <w:rPr>
          <w:szCs w:val="26"/>
        </w:rPr>
        <w:t xml:space="preserve">credibility </w:t>
      </w:r>
      <w:r w:rsidR="00284B42" w:rsidRPr="00EF0C33">
        <w:rPr>
          <w:i/>
          <w:iCs/>
          <w:szCs w:val="26"/>
        </w:rPr>
        <w:t>as a witness</w:t>
      </w:r>
      <w:r w:rsidR="00284B42" w:rsidRPr="00EF0C33">
        <w:rPr>
          <w:szCs w:val="26"/>
        </w:rPr>
        <w:t xml:space="preserve"> </w:t>
      </w:r>
      <w:r w:rsidR="0024709E" w:rsidRPr="00EF0C33">
        <w:rPr>
          <w:szCs w:val="26"/>
        </w:rPr>
        <w:t>is at issue</w:t>
      </w:r>
      <w:r w:rsidR="00CE6053" w:rsidRPr="00EF0C33">
        <w:rPr>
          <w:szCs w:val="26"/>
        </w:rPr>
        <w:t xml:space="preserve"> — </w:t>
      </w:r>
      <w:r w:rsidR="0024709E" w:rsidRPr="00EF0C33">
        <w:rPr>
          <w:szCs w:val="26"/>
        </w:rPr>
        <w:t xml:space="preserve">such as when </w:t>
      </w:r>
      <w:r w:rsidR="00284B42" w:rsidRPr="00EF0C33">
        <w:rPr>
          <w:szCs w:val="26"/>
        </w:rPr>
        <w:t>memory or accuracy may be disputed.  Whe</w:t>
      </w:r>
      <w:r w:rsidR="007A1F00" w:rsidRPr="00EF0C33">
        <w:rPr>
          <w:szCs w:val="26"/>
        </w:rPr>
        <w:t xml:space="preserve">n </w:t>
      </w:r>
      <w:r w:rsidR="00284B42" w:rsidRPr="00EF0C33">
        <w:rPr>
          <w:szCs w:val="26"/>
        </w:rPr>
        <w:t xml:space="preserve">evidence </w:t>
      </w:r>
      <w:r w:rsidR="00D170D4" w:rsidRPr="00EF0C33">
        <w:rPr>
          <w:szCs w:val="26"/>
        </w:rPr>
        <w:t xml:space="preserve">regarding </w:t>
      </w:r>
      <w:r w:rsidR="00284D1B" w:rsidRPr="00EF0C33">
        <w:rPr>
          <w:szCs w:val="26"/>
        </w:rPr>
        <w:t xml:space="preserve">a </w:t>
      </w:r>
      <w:r w:rsidR="00284B42" w:rsidRPr="00EF0C33">
        <w:rPr>
          <w:szCs w:val="26"/>
        </w:rPr>
        <w:t xml:space="preserve">plaintiff’s credibility </w:t>
      </w:r>
      <w:r w:rsidR="00881236" w:rsidRPr="00EF0C33">
        <w:rPr>
          <w:szCs w:val="26"/>
        </w:rPr>
        <w:t xml:space="preserve">concerns </w:t>
      </w:r>
      <w:r w:rsidR="00D17979" w:rsidRPr="00EF0C33">
        <w:rPr>
          <w:szCs w:val="26"/>
        </w:rPr>
        <w:t xml:space="preserve">that person’s </w:t>
      </w:r>
      <w:r w:rsidR="00284B42" w:rsidRPr="00EF0C33">
        <w:rPr>
          <w:szCs w:val="26"/>
        </w:rPr>
        <w:t xml:space="preserve">sexual </w:t>
      </w:r>
      <w:r w:rsidR="00E179A6" w:rsidRPr="00EF0C33">
        <w:rPr>
          <w:szCs w:val="26"/>
        </w:rPr>
        <w:t>conduct</w:t>
      </w:r>
      <w:r w:rsidR="00284B42" w:rsidRPr="00EF0C33">
        <w:rPr>
          <w:szCs w:val="26"/>
        </w:rPr>
        <w:t xml:space="preserve">, the requirements of sections 783, 780, and 352 work together to prevent admission of evidence that is unnecessarily harassing, irrelevant, or unduly prejudicial.  </w:t>
      </w:r>
      <w:r w:rsidR="00EA5E5A" w:rsidRPr="00EF0C33">
        <w:rPr>
          <w:szCs w:val="26"/>
        </w:rPr>
        <w:t>But c</w:t>
      </w:r>
      <w:r w:rsidR="0097627D" w:rsidRPr="00EF0C33">
        <w:rPr>
          <w:szCs w:val="26"/>
        </w:rPr>
        <w:t>ontrary to pla</w:t>
      </w:r>
      <w:r w:rsidR="0082197F" w:rsidRPr="00EF0C33">
        <w:rPr>
          <w:szCs w:val="26"/>
        </w:rPr>
        <w:t xml:space="preserve">intiff’s suggestion, </w:t>
      </w:r>
      <w:r w:rsidR="00BB2872" w:rsidRPr="00EF0C33">
        <w:rPr>
          <w:szCs w:val="26"/>
        </w:rPr>
        <w:t xml:space="preserve">section </w:t>
      </w:r>
      <w:r w:rsidR="00971010" w:rsidRPr="00EF0C33">
        <w:rPr>
          <w:szCs w:val="26"/>
        </w:rPr>
        <w:t xml:space="preserve">783 </w:t>
      </w:r>
      <w:r w:rsidR="007A375A" w:rsidRPr="00EF0C33">
        <w:rPr>
          <w:szCs w:val="26"/>
        </w:rPr>
        <w:t xml:space="preserve">is not </w:t>
      </w:r>
      <w:r w:rsidR="00784324" w:rsidRPr="00EF0C33">
        <w:rPr>
          <w:szCs w:val="26"/>
        </w:rPr>
        <w:t>address</w:t>
      </w:r>
      <w:r w:rsidR="007A375A" w:rsidRPr="00EF0C33">
        <w:rPr>
          <w:szCs w:val="26"/>
        </w:rPr>
        <w:t xml:space="preserve">ed to </w:t>
      </w:r>
      <w:r w:rsidR="00A90F2D" w:rsidRPr="00EF0C33">
        <w:rPr>
          <w:szCs w:val="26"/>
        </w:rPr>
        <w:t>“</w:t>
      </w:r>
      <w:r w:rsidR="006E1C19" w:rsidRPr="00EF0C33">
        <w:rPr>
          <w:szCs w:val="26"/>
        </w:rPr>
        <w:t>f</w:t>
      </w:r>
      <w:r w:rsidR="005A29D6" w:rsidRPr="00EF0C33">
        <w:rPr>
          <w:szCs w:val="26"/>
        </w:rPr>
        <w:t>alse testimony</w:t>
      </w:r>
      <w:r w:rsidR="00A90F2D" w:rsidRPr="00EF0C33">
        <w:rPr>
          <w:szCs w:val="26"/>
        </w:rPr>
        <w:t>”</w:t>
      </w:r>
      <w:r w:rsidR="00971010" w:rsidRPr="00EF0C33">
        <w:rPr>
          <w:szCs w:val="26"/>
        </w:rPr>
        <w:t xml:space="preserve"> </w:t>
      </w:r>
      <w:r w:rsidR="00E60F8B" w:rsidRPr="00EF0C33">
        <w:rPr>
          <w:szCs w:val="26"/>
        </w:rPr>
        <w:t xml:space="preserve">in </w:t>
      </w:r>
      <w:r w:rsidR="005A29D6" w:rsidRPr="00EF0C33">
        <w:rPr>
          <w:szCs w:val="26"/>
        </w:rPr>
        <w:t>the form of an assertion that a witness previously made, but which has been determined to be untrue</w:t>
      </w:r>
      <w:r w:rsidR="00784324" w:rsidRPr="00EF0C33">
        <w:rPr>
          <w:szCs w:val="26"/>
        </w:rPr>
        <w:t xml:space="preserve">. </w:t>
      </w:r>
      <w:r w:rsidR="00F134F2" w:rsidRPr="00EF0C33">
        <w:rPr>
          <w:szCs w:val="26"/>
        </w:rPr>
        <w:t xml:space="preserve"> </w:t>
      </w:r>
      <w:r w:rsidR="005A29D6" w:rsidRPr="00EF0C33">
        <w:rPr>
          <w:szCs w:val="26"/>
        </w:rPr>
        <w:t>(</w:t>
      </w:r>
      <w:r w:rsidR="006E1C19" w:rsidRPr="00EF0C33">
        <w:rPr>
          <w:szCs w:val="26"/>
        </w:rPr>
        <w:t xml:space="preserve">See </w:t>
      </w:r>
      <w:r w:rsidR="005A29D6" w:rsidRPr="00EF0C33">
        <w:rPr>
          <w:i/>
          <w:iCs/>
          <w:szCs w:val="26"/>
        </w:rPr>
        <w:t>People v. Tidwell</w:t>
      </w:r>
      <w:r w:rsidR="005A29D6" w:rsidRPr="00EF0C33">
        <w:rPr>
          <w:szCs w:val="26"/>
        </w:rPr>
        <w:t xml:space="preserve"> (2008) 163</w:t>
      </w:r>
      <w:r w:rsidR="000C0B31" w:rsidRPr="00EF0C33">
        <w:rPr>
          <w:szCs w:val="26"/>
        </w:rPr>
        <w:t> </w:t>
      </w:r>
      <w:r w:rsidR="005A29D6" w:rsidRPr="00EF0C33">
        <w:rPr>
          <w:szCs w:val="26"/>
        </w:rPr>
        <w:t>Cal.App.4th 1447, 1456 [</w:t>
      </w:r>
      <w:r w:rsidR="008E0853" w:rsidRPr="00EF0C33">
        <w:rPr>
          <w:szCs w:val="26"/>
        </w:rPr>
        <w:t>discussing</w:t>
      </w:r>
      <w:r w:rsidR="00AF79AD" w:rsidRPr="00EF0C33">
        <w:rPr>
          <w:szCs w:val="26"/>
        </w:rPr>
        <w:t xml:space="preserve"> and applying </w:t>
      </w:r>
      <w:r w:rsidR="008E0853" w:rsidRPr="00EF0C33">
        <w:rPr>
          <w:i/>
          <w:iCs/>
          <w:szCs w:val="26"/>
        </w:rPr>
        <w:t>Franklin</w:t>
      </w:r>
      <w:r w:rsidR="008E0853" w:rsidRPr="00EF0C33">
        <w:rPr>
          <w:szCs w:val="26"/>
        </w:rPr>
        <w:t>,</w:t>
      </w:r>
      <w:r w:rsidR="000C0B31" w:rsidRPr="00EF0C33">
        <w:rPr>
          <w:szCs w:val="26"/>
        </w:rPr>
        <w:t xml:space="preserve"> </w:t>
      </w:r>
      <w:r w:rsidR="008E0853" w:rsidRPr="00EF0C33">
        <w:rPr>
          <w:i/>
          <w:iCs/>
          <w:szCs w:val="26"/>
        </w:rPr>
        <w:t>supra</w:t>
      </w:r>
      <w:r w:rsidR="008E0853" w:rsidRPr="00EF0C33">
        <w:rPr>
          <w:szCs w:val="26"/>
        </w:rPr>
        <w:t>,</w:t>
      </w:r>
      <w:r w:rsidR="000C0B31" w:rsidRPr="00EF0C33">
        <w:rPr>
          <w:szCs w:val="26"/>
        </w:rPr>
        <w:t xml:space="preserve"> </w:t>
      </w:r>
      <w:r w:rsidR="008E0853" w:rsidRPr="00EF0C33">
        <w:rPr>
          <w:szCs w:val="26"/>
        </w:rPr>
        <w:t xml:space="preserve">25 Cal.App.4th </w:t>
      </w:r>
      <w:r w:rsidR="00D7092B" w:rsidRPr="00EF0C33">
        <w:rPr>
          <w:szCs w:val="26"/>
        </w:rPr>
        <w:t xml:space="preserve">328 </w:t>
      </w:r>
      <w:r w:rsidR="008E0853" w:rsidRPr="00EF0C33">
        <w:rPr>
          <w:szCs w:val="26"/>
        </w:rPr>
        <w:t xml:space="preserve">and </w:t>
      </w:r>
      <w:r w:rsidR="005A29D6" w:rsidRPr="00EF0C33">
        <w:rPr>
          <w:szCs w:val="26"/>
        </w:rPr>
        <w:t xml:space="preserve">holding corresponding </w:t>
      </w:r>
      <w:r w:rsidR="00973CEC">
        <w:rPr>
          <w:szCs w:val="26"/>
        </w:rPr>
        <w:t>§</w:t>
      </w:r>
      <w:r w:rsidR="00057A3F">
        <w:rPr>
          <w:szCs w:val="26"/>
        </w:rPr>
        <w:t> </w:t>
      </w:r>
      <w:r w:rsidR="005A29D6" w:rsidRPr="00EF0C33">
        <w:rPr>
          <w:szCs w:val="26"/>
        </w:rPr>
        <w:t>782 “inapplicable” when the defense sought to use a complaining witness’s “allegedly false complaints”</w:t>
      </w:r>
      <w:r w:rsidR="00B50C7C" w:rsidRPr="00EF0C33">
        <w:rPr>
          <w:szCs w:val="26"/>
        </w:rPr>
        <w:t xml:space="preserve"> </w:t>
      </w:r>
      <w:r w:rsidR="00AA2C9B" w:rsidRPr="00EF0C33">
        <w:rPr>
          <w:szCs w:val="26"/>
        </w:rPr>
        <w:t>(con</w:t>
      </w:r>
      <w:r w:rsidR="008B43FE" w:rsidRPr="00EF0C33">
        <w:rPr>
          <w:szCs w:val="26"/>
        </w:rPr>
        <w:t xml:space="preserve">trasted with the witness’s </w:t>
      </w:r>
      <w:r w:rsidR="005A29D6" w:rsidRPr="00EF0C33">
        <w:rPr>
          <w:szCs w:val="26"/>
        </w:rPr>
        <w:t>prior sexual conduct</w:t>
      </w:r>
      <w:r w:rsidR="008B43FE" w:rsidRPr="00EF0C33">
        <w:rPr>
          <w:szCs w:val="26"/>
        </w:rPr>
        <w:t xml:space="preserve">) </w:t>
      </w:r>
      <w:r w:rsidR="005A29D6" w:rsidRPr="00EF0C33">
        <w:rPr>
          <w:szCs w:val="26"/>
        </w:rPr>
        <w:t xml:space="preserve">“as impeachment evidence”].)  </w:t>
      </w:r>
    </w:p>
    <w:p w14:paraId="0DB2E7E7" w14:textId="77777777" w:rsidR="00284B42" w:rsidRPr="00EF0C33" w:rsidRDefault="002E6832" w:rsidP="00EF0C33">
      <w:pPr>
        <w:tabs>
          <w:tab w:val="left" w:pos="5220"/>
        </w:tabs>
        <w:ind w:firstLine="720"/>
        <w:rPr>
          <w:szCs w:val="26"/>
        </w:rPr>
      </w:pPr>
      <w:r w:rsidRPr="00EF0C33">
        <w:rPr>
          <w:szCs w:val="26"/>
        </w:rPr>
        <w:t xml:space="preserve">We perceive nothing in the statutory language that purports to limit the credibility exception </w:t>
      </w:r>
      <w:r w:rsidR="00FB36D6" w:rsidRPr="00EF0C33">
        <w:rPr>
          <w:szCs w:val="26"/>
        </w:rPr>
        <w:t xml:space="preserve">as plaintiff suggests.  </w:t>
      </w:r>
      <w:r w:rsidR="00611AB5" w:rsidRPr="00EF0C33">
        <w:rPr>
          <w:szCs w:val="26"/>
        </w:rPr>
        <w:lastRenderedPageBreak/>
        <w:t xml:space="preserve">Instead, </w:t>
      </w:r>
      <w:r w:rsidR="004B68DC" w:rsidRPr="00EF0C33">
        <w:rPr>
          <w:szCs w:val="26"/>
        </w:rPr>
        <w:t>we</w:t>
      </w:r>
      <w:r w:rsidR="00611AB5" w:rsidRPr="00EF0C33">
        <w:rPr>
          <w:szCs w:val="26"/>
        </w:rPr>
        <w:t xml:space="preserve"> read the scheme as contemplating that in appropriate and limited circumstances, admission of “other sexual conduct” evidence may indeed be warranted under section 1106, subdivision (e)</w:t>
      </w:r>
      <w:r w:rsidR="000D16A2">
        <w:rPr>
          <w:szCs w:val="26"/>
        </w:rPr>
        <w:t>,</w:t>
      </w:r>
      <w:r w:rsidR="00611AB5" w:rsidRPr="00EF0C33">
        <w:rPr>
          <w:szCs w:val="26"/>
        </w:rPr>
        <w:t xml:space="preserve"> and section 783 for impeachment — even when that </w:t>
      </w:r>
      <w:r w:rsidR="00611AB5" w:rsidRPr="00EF0C33">
        <w:rPr>
          <w:i/>
          <w:iCs/>
          <w:szCs w:val="26"/>
        </w:rPr>
        <w:t>same</w:t>
      </w:r>
      <w:r w:rsidR="00611AB5" w:rsidRPr="00EF0C33">
        <w:rPr>
          <w:szCs w:val="26"/>
        </w:rPr>
        <w:t xml:space="preserve"> evidence is inadmissible as substantive evidence under section 1106</w:t>
      </w:r>
      <w:r w:rsidR="00E179A6" w:rsidRPr="00EF0C33">
        <w:rPr>
          <w:szCs w:val="26"/>
        </w:rPr>
        <w:t>,</w:t>
      </w:r>
      <w:r w:rsidR="00611AB5" w:rsidRPr="00EF0C33">
        <w:rPr>
          <w:szCs w:val="26"/>
        </w:rPr>
        <w:t xml:space="preserve"> subdivision (a) — subject, of course, to the credibility and section</w:t>
      </w:r>
      <w:r w:rsidR="00E179A6" w:rsidRPr="00EF0C33">
        <w:rPr>
          <w:szCs w:val="26"/>
        </w:rPr>
        <w:t> </w:t>
      </w:r>
      <w:r w:rsidR="00611AB5" w:rsidRPr="00EF0C33">
        <w:rPr>
          <w:szCs w:val="26"/>
        </w:rPr>
        <w:t>352 analysis contemplated by the Legislature’s scheme.</w:t>
      </w:r>
    </w:p>
    <w:bookmarkEnd w:id="9"/>
    <w:p w14:paraId="0DB2E7E8" w14:textId="77777777" w:rsidR="0030797A" w:rsidRPr="00535A24" w:rsidRDefault="002E6832" w:rsidP="00057A3F">
      <w:pPr>
        <w:pStyle w:val="Heading3"/>
      </w:pPr>
      <w:r w:rsidRPr="00535A24">
        <w:rPr>
          <w:i w:val="0"/>
        </w:rPr>
        <w:t>3</w:t>
      </w:r>
      <w:r w:rsidRPr="00535A24">
        <w:t xml:space="preserve">.  </w:t>
      </w:r>
      <w:r w:rsidR="0079247B" w:rsidRPr="00535A24">
        <w:t>Legislative history</w:t>
      </w:r>
      <w:r w:rsidR="0026311D" w:rsidRPr="00535A24">
        <w:t xml:space="preserve"> does not alter</w:t>
      </w:r>
      <w:r w:rsidR="00F35EE7" w:rsidRPr="00535A24">
        <w:t xml:space="preserve">, but supports, </w:t>
      </w:r>
      <w:r w:rsidR="00361F7D" w:rsidRPr="00535A24">
        <w:t xml:space="preserve">this </w:t>
      </w:r>
      <w:r w:rsidR="00F06E47" w:rsidRPr="00535A24">
        <w:t xml:space="preserve">interpretation </w:t>
      </w:r>
    </w:p>
    <w:p w14:paraId="0DB2E7E9" w14:textId="77777777" w:rsidR="00262792" w:rsidRPr="00057A3F" w:rsidRDefault="002E6832" w:rsidP="00057A3F">
      <w:pPr>
        <w:tabs>
          <w:tab w:val="left" w:pos="5220"/>
        </w:tabs>
        <w:ind w:firstLine="720"/>
        <w:rPr>
          <w:szCs w:val="26"/>
        </w:rPr>
      </w:pPr>
      <w:r w:rsidRPr="00057A3F">
        <w:rPr>
          <w:szCs w:val="26"/>
        </w:rPr>
        <w:t>To the extent the statutory language might be deemed ambiguous in this respect, no</w:t>
      </w:r>
      <w:r w:rsidR="00747C21" w:rsidRPr="00057A3F">
        <w:rPr>
          <w:szCs w:val="26"/>
        </w:rPr>
        <w:t xml:space="preserve">thing in the legislative history </w:t>
      </w:r>
      <w:r w:rsidRPr="00057A3F">
        <w:rPr>
          <w:szCs w:val="26"/>
        </w:rPr>
        <w:t xml:space="preserve">calls into question this </w:t>
      </w:r>
      <w:r w:rsidR="000E7058" w:rsidRPr="00057A3F">
        <w:rPr>
          <w:szCs w:val="26"/>
        </w:rPr>
        <w:t>interpretation</w:t>
      </w:r>
      <w:r w:rsidRPr="00057A3F">
        <w:rPr>
          <w:szCs w:val="26"/>
        </w:rPr>
        <w:t xml:space="preserve">.  </w:t>
      </w:r>
      <w:r w:rsidR="00EC2B6B" w:rsidRPr="00057A3F">
        <w:rPr>
          <w:szCs w:val="26"/>
        </w:rPr>
        <w:t xml:space="preserve">A key </w:t>
      </w:r>
      <w:r w:rsidRPr="00057A3F">
        <w:rPr>
          <w:szCs w:val="26"/>
        </w:rPr>
        <w:t xml:space="preserve">analysis prepared </w:t>
      </w:r>
      <w:r w:rsidR="00EC2B6B" w:rsidRPr="00057A3F">
        <w:rPr>
          <w:szCs w:val="26"/>
        </w:rPr>
        <w:t>by the Senate Committee on the Judiciary</w:t>
      </w:r>
      <w:r w:rsidRPr="00057A3F">
        <w:rPr>
          <w:szCs w:val="26"/>
        </w:rPr>
        <w:t xml:space="preserve"> </w:t>
      </w:r>
      <w:r w:rsidR="009179F8" w:rsidRPr="00057A3F">
        <w:rPr>
          <w:szCs w:val="26"/>
        </w:rPr>
        <w:t>reveal</w:t>
      </w:r>
      <w:r w:rsidR="00EC2B6B" w:rsidRPr="00057A3F">
        <w:rPr>
          <w:szCs w:val="26"/>
        </w:rPr>
        <w:t xml:space="preserve">ed </w:t>
      </w:r>
      <w:r w:rsidR="009179F8" w:rsidRPr="00057A3F">
        <w:rPr>
          <w:szCs w:val="26"/>
        </w:rPr>
        <w:t>an understanding and intent</w:t>
      </w:r>
      <w:r w:rsidR="0086706A" w:rsidRPr="00057A3F">
        <w:rPr>
          <w:szCs w:val="26"/>
        </w:rPr>
        <w:t xml:space="preserve"> </w:t>
      </w:r>
      <w:r w:rsidR="0086706A" w:rsidRPr="00057A3F">
        <w:rPr>
          <w:i/>
          <w:iCs/>
          <w:szCs w:val="26"/>
        </w:rPr>
        <w:t>not</w:t>
      </w:r>
      <w:r w:rsidR="0086706A" w:rsidRPr="00057A3F">
        <w:rPr>
          <w:szCs w:val="26"/>
        </w:rPr>
        <w:t xml:space="preserve"> to completely </w:t>
      </w:r>
      <w:r w:rsidR="007F65F0" w:rsidRPr="00057A3F">
        <w:rPr>
          <w:szCs w:val="26"/>
        </w:rPr>
        <w:t xml:space="preserve">or categorically </w:t>
      </w:r>
      <w:r w:rsidR="0086706A" w:rsidRPr="00057A3F">
        <w:rPr>
          <w:szCs w:val="26"/>
        </w:rPr>
        <w:t xml:space="preserve">bar such evidence, but instead, </w:t>
      </w:r>
      <w:r w:rsidR="00340E66" w:rsidRPr="00057A3F">
        <w:rPr>
          <w:szCs w:val="26"/>
        </w:rPr>
        <w:t xml:space="preserve">simply </w:t>
      </w:r>
      <w:r w:rsidR="0086706A" w:rsidRPr="00057A3F">
        <w:rPr>
          <w:szCs w:val="26"/>
        </w:rPr>
        <w:t xml:space="preserve">to extend the Legislature’s </w:t>
      </w:r>
      <w:r w:rsidR="003067EB" w:rsidRPr="00057A3F">
        <w:rPr>
          <w:szCs w:val="26"/>
        </w:rPr>
        <w:t xml:space="preserve">earlier reforms governing criminal prosecution of sexual assault crimes </w:t>
      </w:r>
      <w:r w:rsidRPr="00057A3F">
        <w:rPr>
          <w:szCs w:val="26"/>
        </w:rPr>
        <w:t>to the</w:t>
      </w:r>
      <w:r w:rsidR="003067EB" w:rsidRPr="00057A3F">
        <w:rPr>
          <w:szCs w:val="26"/>
        </w:rPr>
        <w:t xml:space="preserve"> civil </w:t>
      </w:r>
      <w:r w:rsidRPr="00057A3F">
        <w:rPr>
          <w:szCs w:val="26"/>
        </w:rPr>
        <w:t>arena</w:t>
      </w:r>
      <w:r w:rsidR="00533790" w:rsidRPr="00057A3F">
        <w:rPr>
          <w:szCs w:val="26"/>
        </w:rPr>
        <w:t xml:space="preserve">. </w:t>
      </w:r>
      <w:r w:rsidRPr="00057A3F">
        <w:rPr>
          <w:szCs w:val="26"/>
        </w:rPr>
        <w:t xml:space="preserve"> </w:t>
      </w:r>
      <w:r w:rsidR="003067EB" w:rsidRPr="00294C04">
        <w:rPr>
          <w:szCs w:val="26"/>
        </w:rPr>
        <w:t xml:space="preserve">(Sen. Com. on Judiciary, Analysis of </w:t>
      </w:r>
      <w:bookmarkStart w:id="10" w:name="_Hlk137822639"/>
      <w:r w:rsidR="003067EB" w:rsidRPr="00294C04">
        <w:rPr>
          <w:szCs w:val="26"/>
        </w:rPr>
        <w:t>Sen. Bill No. 1057 (1985–</w:t>
      </w:r>
      <w:r w:rsidR="00826632" w:rsidRPr="00294C04">
        <w:rPr>
          <w:szCs w:val="26"/>
        </w:rPr>
        <w:t>19</w:t>
      </w:r>
      <w:r w:rsidR="003067EB" w:rsidRPr="00294C04">
        <w:rPr>
          <w:szCs w:val="26"/>
        </w:rPr>
        <w:t>86 Reg. Sess.)</w:t>
      </w:r>
      <w:bookmarkEnd w:id="10"/>
      <w:r w:rsidR="003067EB" w:rsidRPr="00294C04">
        <w:rPr>
          <w:szCs w:val="26"/>
        </w:rPr>
        <w:t xml:space="preserve"> </w:t>
      </w:r>
      <w:r w:rsidR="00294C04">
        <w:rPr>
          <w:szCs w:val="26"/>
        </w:rPr>
        <w:t xml:space="preserve">as introduced Mar. 7, 1985, </w:t>
      </w:r>
      <w:r w:rsidR="003067EB" w:rsidRPr="00294C04">
        <w:rPr>
          <w:szCs w:val="26"/>
        </w:rPr>
        <w:t>pp. 1–2 (hereinafter Senate Committee Analysis)</w:t>
      </w:r>
      <w:r w:rsidR="00533790" w:rsidRPr="00294C04">
        <w:rPr>
          <w:szCs w:val="26"/>
        </w:rPr>
        <w:t>.</w:t>
      </w:r>
      <w:r w:rsidR="00671430" w:rsidRPr="00294C04">
        <w:rPr>
          <w:szCs w:val="26"/>
        </w:rPr>
        <w:t>)</w:t>
      </w:r>
      <w:r w:rsidR="00533790" w:rsidRPr="00057A3F">
        <w:rPr>
          <w:szCs w:val="26"/>
        </w:rPr>
        <w:t xml:space="preserve">  The objective was</w:t>
      </w:r>
      <w:r w:rsidR="003067EB" w:rsidRPr="00057A3F">
        <w:rPr>
          <w:szCs w:val="26"/>
        </w:rPr>
        <w:t xml:space="preserve"> to prevent “</w:t>
      </w:r>
      <w:r w:rsidR="003067EB" w:rsidRPr="00294C04">
        <w:rPr>
          <w:i/>
          <w:iCs/>
          <w:szCs w:val="26"/>
        </w:rPr>
        <w:t>unjustifi</w:t>
      </w:r>
      <w:r w:rsidR="00E235ED" w:rsidRPr="00294C04">
        <w:rPr>
          <w:i/>
          <w:iCs/>
          <w:szCs w:val="26"/>
        </w:rPr>
        <w:t>ed</w:t>
      </w:r>
      <w:r w:rsidR="003067EB" w:rsidRPr="00294C04">
        <w:rPr>
          <w:szCs w:val="26"/>
        </w:rPr>
        <w:t xml:space="preserve"> inquiry into the prior conduct of sexual harassment complainants</w:t>
      </w:r>
      <w:r w:rsidR="00533790" w:rsidRPr="00294C04">
        <w:rPr>
          <w:szCs w:val="26"/>
        </w:rPr>
        <w:t>,</w:t>
      </w:r>
      <w:r w:rsidR="003067EB" w:rsidRPr="00294C04">
        <w:rPr>
          <w:szCs w:val="26"/>
        </w:rPr>
        <w:t>”</w:t>
      </w:r>
      <w:r w:rsidR="00533790" w:rsidRPr="00294C04">
        <w:rPr>
          <w:szCs w:val="26"/>
        </w:rPr>
        <w:t xml:space="preserve"> not to foreclose all inquiry entirely. </w:t>
      </w:r>
      <w:r w:rsidR="003067EB" w:rsidRPr="00294C04">
        <w:rPr>
          <w:szCs w:val="26"/>
        </w:rPr>
        <w:t xml:space="preserve"> (</w:t>
      </w:r>
      <w:r w:rsidR="003067EB" w:rsidRPr="00294C04">
        <w:rPr>
          <w:i/>
          <w:iCs/>
          <w:szCs w:val="26"/>
        </w:rPr>
        <w:t>Id</w:t>
      </w:r>
      <w:r w:rsidR="00AE437C" w:rsidRPr="00294C04">
        <w:rPr>
          <w:szCs w:val="26"/>
        </w:rPr>
        <w:t>.</w:t>
      </w:r>
      <w:r w:rsidR="003067EB" w:rsidRPr="00294C04">
        <w:rPr>
          <w:szCs w:val="26"/>
        </w:rPr>
        <w:t xml:space="preserve"> at p. 2, italics added.)</w:t>
      </w:r>
      <w:r w:rsidR="003067EB" w:rsidRPr="00057A3F">
        <w:rPr>
          <w:szCs w:val="26"/>
        </w:rPr>
        <w:t xml:space="preserve">  The </w:t>
      </w:r>
      <w:r w:rsidR="00F00DC5" w:rsidRPr="00057A3F">
        <w:rPr>
          <w:szCs w:val="26"/>
        </w:rPr>
        <w:t xml:space="preserve">committee </w:t>
      </w:r>
      <w:r w:rsidRPr="00057A3F">
        <w:rPr>
          <w:szCs w:val="26"/>
        </w:rPr>
        <w:t xml:space="preserve">analysis </w:t>
      </w:r>
      <w:r w:rsidR="003067EB" w:rsidRPr="00057A3F">
        <w:rPr>
          <w:szCs w:val="26"/>
        </w:rPr>
        <w:t>described the proposed legislation</w:t>
      </w:r>
      <w:r w:rsidR="000C362E" w:rsidRPr="00057A3F">
        <w:rPr>
          <w:szCs w:val="26"/>
        </w:rPr>
        <w:t>, and what eventually was enacted as section</w:t>
      </w:r>
      <w:r w:rsidR="00C06051" w:rsidRPr="00057A3F">
        <w:rPr>
          <w:szCs w:val="26"/>
        </w:rPr>
        <w:t>s</w:t>
      </w:r>
      <w:r w:rsidR="000C362E" w:rsidRPr="00057A3F">
        <w:rPr>
          <w:szCs w:val="26"/>
        </w:rPr>
        <w:t xml:space="preserve"> 1106</w:t>
      </w:r>
      <w:r w:rsidR="00C06051" w:rsidRPr="00057A3F">
        <w:rPr>
          <w:szCs w:val="26"/>
        </w:rPr>
        <w:t xml:space="preserve"> and 783</w:t>
      </w:r>
      <w:r w:rsidR="000C362E" w:rsidRPr="00057A3F">
        <w:rPr>
          <w:szCs w:val="26"/>
        </w:rPr>
        <w:t>, a</w:t>
      </w:r>
      <w:r w:rsidR="003067EB" w:rsidRPr="00057A3F">
        <w:rPr>
          <w:szCs w:val="26"/>
        </w:rPr>
        <w:t xml:space="preserve">s designed to </w:t>
      </w:r>
      <w:r w:rsidR="009179F8" w:rsidRPr="00057A3F">
        <w:rPr>
          <w:szCs w:val="26"/>
        </w:rPr>
        <w:t>“</w:t>
      </w:r>
      <w:r w:rsidR="009179F8" w:rsidRPr="00294C04">
        <w:rPr>
          <w:szCs w:val="26"/>
        </w:rPr>
        <w:t xml:space="preserve">control </w:t>
      </w:r>
      <w:r w:rsidR="009179F8" w:rsidRPr="00294C04">
        <w:rPr>
          <w:i/>
          <w:iCs/>
          <w:szCs w:val="26"/>
        </w:rPr>
        <w:t xml:space="preserve">unnecessary </w:t>
      </w:r>
      <w:r w:rsidR="009179F8" w:rsidRPr="00294C04">
        <w:rPr>
          <w:szCs w:val="26"/>
        </w:rPr>
        <w:t xml:space="preserve">inquiry into the sexual lives of alleged harassment victims,” </w:t>
      </w:r>
      <w:r w:rsidR="003F6F6B" w:rsidRPr="00294C04">
        <w:rPr>
          <w:szCs w:val="26"/>
        </w:rPr>
        <w:t>to provide “</w:t>
      </w:r>
      <w:r w:rsidR="003F6F6B" w:rsidRPr="00294C04">
        <w:rPr>
          <w:i/>
          <w:iCs/>
          <w:szCs w:val="26"/>
        </w:rPr>
        <w:t>some</w:t>
      </w:r>
      <w:r w:rsidR="003F6F6B" w:rsidRPr="00294C04">
        <w:rPr>
          <w:szCs w:val="26"/>
        </w:rPr>
        <w:t xml:space="preserve"> protection” to victims</w:t>
      </w:r>
      <w:r w:rsidR="00EC2B6B" w:rsidRPr="00294C04">
        <w:rPr>
          <w:szCs w:val="26"/>
        </w:rPr>
        <w:t xml:space="preserve"> </w:t>
      </w:r>
      <w:r w:rsidR="003F6F6B" w:rsidRPr="00294C04">
        <w:rPr>
          <w:szCs w:val="26"/>
        </w:rPr>
        <w:t>who faced “</w:t>
      </w:r>
      <w:r w:rsidR="003F6F6B" w:rsidRPr="00294C04">
        <w:rPr>
          <w:i/>
          <w:iCs/>
          <w:szCs w:val="26"/>
        </w:rPr>
        <w:t>unjustified</w:t>
      </w:r>
      <w:r w:rsidR="003F6F6B" w:rsidRPr="00294C04">
        <w:rPr>
          <w:szCs w:val="26"/>
        </w:rPr>
        <w:t xml:space="preserve"> intrusion</w:t>
      </w:r>
      <w:r w:rsidR="00FE4825" w:rsidRPr="00294C04">
        <w:rPr>
          <w:szCs w:val="26"/>
        </w:rPr>
        <w:t xml:space="preserve"> </w:t>
      </w:r>
      <w:r w:rsidR="003F6F6B" w:rsidRPr="00294C04">
        <w:rPr>
          <w:szCs w:val="26"/>
        </w:rPr>
        <w:t>into their personal lives</w:t>
      </w:r>
      <w:r w:rsidR="00E60378" w:rsidRPr="00294C04">
        <w:rPr>
          <w:szCs w:val="26"/>
        </w:rPr>
        <w:t>,</w:t>
      </w:r>
      <w:r w:rsidR="003F6F6B" w:rsidRPr="00294C04">
        <w:rPr>
          <w:szCs w:val="26"/>
        </w:rPr>
        <w:t>” and to “curb</w:t>
      </w:r>
      <w:r w:rsidR="0021238C" w:rsidRPr="00294C04">
        <w:rPr>
          <w:szCs w:val="26"/>
        </w:rPr>
        <w:t>[]</w:t>
      </w:r>
      <w:r w:rsidR="003F6F6B" w:rsidRPr="00294C04">
        <w:rPr>
          <w:szCs w:val="26"/>
        </w:rPr>
        <w:t xml:space="preserve"> </w:t>
      </w:r>
      <w:r w:rsidR="00EC2B6B" w:rsidRPr="00294C04">
        <w:rPr>
          <w:szCs w:val="26"/>
        </w:rPr>
        <w:t>such abuse.</w:t>
      </w:r>
      <w:r w:rsidR="004400E4" w:rsidRPr="00294C04">
        <w:rPr>
          <w:szCs w:val="26"/>
        </w:rPr>
        <w:t>”</w:t>
      </w:r>
      <w:r w:rsidR="00EC2B6B" w:rsidRPr="00294C04">
        <w:rPr>
          <w:szCs w:val="26"/>
        </w:rPr>
        <w:t xml:space="preserve">  (</w:t>
      </w:r>
      <w:r w:rsidR="00302251" w:rsidRPr="00294C04">
        <w:rPr>
          <w:szCs w:val="26"/>
        </w:rPr>
        <w:t>Sen</w:t>
      </w:r>
      <w:r w:rsidR="00756C30">
        <w:rPr>
          <w:szCs w:val="26"/>
        </w:rPr>
        <w:t>.</w:t>
      </w:r>
      <w:r w:rsidR="00302251" w:rsidRPr="00294C04">
        <w:rPr>
          <w:szCs w:val="26"/>
        </w:rPr>
        <w:t xml:space="preserve"> Com</w:t>
      </w:r>
      <w:r w:rsidR="00756C30">
        <w:rPr>
          <w:szCs w:val="26"/>
        </w:rPr>
        <w:t>.</w:t>
      </w:r>
      <w:r w:rsidR="00302251" w:rsidRPr="00294C04">
        <w:rPr>
          <w:szCs w:val="26"/>
        </w:rPr>
        <w:t xml:space="preserve"> Analysis, at p. 2</w:t>
      </w:r>
      <w:r w:rsidR="00F02739" w:rsidRPr="00294C04">
        <w:rPr>
          <w:szCs w:val="26"/>
        </w:rPr>
        <w:t>, italics added.</w:t>
      </w:r>
      <w:r w:rsidR="00EC2B6B" w:rsidRPr="00294C04">
        <w:rPr>
          <w:szCs w:val="26"/>
        </w:rPr>
        <w:t>)</w:t>
      </w:r>
      <w:r w:rsidR="00EC2B6B" w:rsidRPr="00057A3F">
        <w:rPr>
          <w:szCs w:val="26"/>
        </w:rPr>
        <w:t xml:space="preserve">  The same </w:t>
      </w:r>
      <w:r w:rsidRPr="00057A3F">
        <w:rPr>
          <w:szCs w:val="26"/>
        </w:rPr>
        <w:t xml:space="preserve">analysis </w:t>
      </w:r>
      <w:r w:rsidR="00020953" w:rsidRPr="00057A3F">
        <w:rPr>
          <w:szCs w:val="26"/>
        </w:rPr>
        <w:t xml:space="preserve">cited and described </w:t>
      </w:r>
      <w:r w:rsidR="0077328A" w:rsidRPr="00057A3F">
        <w:rPr>
          <w:szCs w:val="26"/>
        </w:rPr>
        <w:t>two then-recent decisions</w:t>
      </w:r>
      <w:r w:rsidR="00656029" w:rsidRPr="00057A3F">
        <w:rPr>
          <w:szCs w:val="26"/>
        </w:rPr>
        <w:t> </w:t>
      </w:r>
      <w:r w:rsidR="00867556" w:rsidRPr="00057A3F">
        <w:rPr>
          <w:szCs w:val="26"/>
        </w:rPr>
        <w:t xml:space="preserve">— </w:t>
      </w:r>
      <w:r w:rsidR="00533790" w:rsidRPr="00057A3F">
        <w:rPr>
          <w:szCs w:val="26"/>
        </w:rPr>
        <w:t>United States</w:t>
      </w:r>
      <w:r w:rsidR="00020953" w:rsidRPr="00057A3F">
        <w:rPr>
          <w:szCs w:val="26"/>
        </w:rPr>
        <w:t xml:space="preserve"> District Court </w:t>
      </w:r>
      <w:r w:rsidR="0077328A" w:rsidRPr="00057A3F">
        <w:rPr>
          <w:szCs w:val="26"/>
        </w:rPr>
        <w:t xml:space="preserve">Judge Thelton Henderson’s opinion </w:t>
      </w:r>
      <w:r w:rsidR="0077328A" w:rsidRPr="00057A3F">
        <w:rPr>
          <w:szCs w:val="26"/>
        </w:rPr>
        <w:lastRenderedPageBreak/>
        <w:t xml:space="preserve">in </w:t>
      </w:r>
      <w:r w:rsidR="0077328A" w:rsidRPr="00057A3F">
        <w:rPr>
          <w:i/>
          <w:iCs/>
          <w:szCs w:val="26"/>
        </w:rPr>
        <w:t>Priest</w:t>
      </w:r>
      <w:r w:rsidR="0077328A" w:rsidRPr="00057A3F">
        <w:rPr>
          <w:szCs w:val="26"/>
        </w:rPr>
        <w:t xml:space="preserve">, </w:t>
      </w:r>
      <w:r w:rsidR="0077328A" w:rsidRPr="00057A3F">
        <w:rPr>
          <w:i/>
          <w:iCs/>
          <w:szCs w:val="26"/>
        </w:rPr>
        <w:t>supra</w:t>
      </w:r>
      <w:r w:rsidR="0077328A" w:rsidRPr="00057A3F">
        <w:rPr>
          <w:szCs w:val="26"/>
        </w:rPr>
        <w:t>, 98</w:t>
      </w:r>
      <w:r w:rsidR="00057A3F">
        <w:rPr>
          <w:szCs w:val="26"/>
        </w:rPr>
        <w:t> </w:t>
      </w:r>
      <w:r w:rsidR="0077328A" w:rsidRPr="00057A3F">
        <w:rPr>
          <w:szCs w:val="26"/>
        </w:rPr>
        <w:t>F.R.D</w:t>
      </w:r>
      <w:r w:rsidR="00A23714" w:rsidRPr="00057A3F">
        <w:rPr>
          <w:szCs w:val="26"/>
        </w:rPr>
        <w:t>.</w:t>
      </w:r>
      <w:r w:rsidR="0077328A" w:rsidRPr="00057A3F">
        <w:rPr>
          <w:szCs w:val="26"/>
        </w:rPr>
        <w:t xml:space="preserve"> 755</w:t>
      </w:r>
      <w:r w:rsidR="002B0084" w:rsidRPr="00057A3F">
        <w:rPr>
          <w:szCs w:val="26"/>
        </w:rPr>
        <w:t xml:space="preserve"> </w:t>
      </w:r>
      <w:r w:rsidR="0077328A" w:rsidRPr="00057A3F">
        <w:rPr>
          <w:szCs w:val="26"/>
        </w:rPr>
        <w:t xml:space="preserve">and the administrative decision in </w:t>
      </w:r>
      <w:r w:rsidR="0077328A" w:rsidRPr="00057A3F">
        <w:rPr>
          <w:i/>
          <w:iCs/>
          <w:szCs w:val="26"/>
        </w:rPr>
        <w:t>D</w:t>
      </w:r>
      <w:r w:rsidR="00A244CE" w:rsidRPr="00057A3F">
        <w:rPr>
          <w:i/>
          <w:iCs/>
          <w:szCs w:val="26"/>
        </w:rPr>
        <w:t xml:space="preserve">epartment of </w:t>
      </w:r>
      <w:r w:rsidR="0077328A" w:rsidRPr="00057A3F">
        <w:rPr>
          <w:i/>
          <w:iCs/>
          <w:szCs w:val="26"/>
        </w:rPr>
        <w:t>F</w:t>
      </w:r>
      <w:r w:rsidR="00A244CE" w:rsidRPr="00057A3F">
        <w:rPr>
          <w:i/>
          <w:iCs/>
          <w:szCs w:val="26"/>
        </w:rPr>
        <w:t xml:space="preserve">air </w:t>
      </w:r>
      <w:r w:rsidR="0077328A" w:rsidRPr="00057A3F">
        <w:rPr>
          <w:i/>
          <w:iCs/>
          <w:szCs w:val="26"/>
        </w:rPr>
        <w:t>E</w:t>
      </w:r>
      <w:r w:rsidR="00A244CE" w:rsidRPr="00057A3F">
        <w:rPr>
          <w:i/>
          <w:iCs/>
          <w:szCs w:val="26"/>
        </w:rPr>
        <w:t xml:space="preserve">mployment and Housing </w:t>
      </w:r>
      <w:r w:rsidR="0077328A" w:rsidRPr="00057A3F">
        <w:rPr>
          <w:i/>
          <w:iCs/>
          <w:szCs w:val="26"/>
        </w:rPr>
        <w:t>v. Fresno Hilton Hotel</w:t>
      </w:r>
      <w:r w:rsidR="0077328A" w:rsidRPr="00057A3F">
        <w:rPr>
          <w:szCs w:val="26"/>
        </w:rPr>
        <w:t xml:space="preserve"> (1984) No.</w:t>
      </w:r>
      <w:r w:rsidR="006E5CAE">
        <w:rPr>
          <w:szCs w:val="26"/>
        </w:rPr>
        <w:t> </w:t>
      </w:r>
      <w:r w:rsidR="0077328A" w:rsidRPr="00057A3F">
        <w:rPr>
          <w:szCs w:val="26"/>
        </w:rPr>
        <w:t>84-03</w:t>
      </w:r>
      <w:r w:rsidR="00587E5D" w:rsidRPr="00057A3F">
        <w:rPr>
          <w:szCs w:val="26"/>
        </w:rPr>
        <w:t xml:space="preserve">, </w:t>
      </w:r>
      <w:r w:rsidR="001A3238" w:rsidRPr="00057A3F">
        <w:rPr>
          <w:szCs w:val="26"/>
        </w:rPr>
        <w:t>FEHC Precedential Dec</w:t>
      </w:r>
      <w:r w:rsidR="00294C04">
        <w:rPr>
          <w:szCs w:val="26"/>
        </w:rPr>
        <w:t>isions</w:t>
      </w:r>
      <w:r w:rsidR="001A3238" w:rsidRPr="00057A3F">
        <w:rPr>
          <w:szCs w:val="26"/>
        </w:rPr>
        <w:t xml:space="preserve"> 1984–1985</w:t>
      </w:r>
      <w:r w:rsidR="00FE577D" w:rsidRPr="00057A3F">
        <w:rPr>
          <w:szCs w:val="26"/>
        </w:rPr>
        <w:t>, CEB 2</w:t>
      </w:r>
      <w:r w:rsidR="00294C04">
        <w:rPr>
          <w:szCs w:val="26"/>
        </w:rPr>
        <w:t xml:space="preserve">, p. </w:t>
      </w:r>
      <w:r w:rsidR="008B5FFC">
        <w:rPr>
          <w:szCs w:val="26"/>
        </w:rPr>
        <w:t>1</w:t>
      </w:r>
      <w:r w:rsidR="00BD1456" w:rsidRPr="00057A3F">
        <w:rPr>
          <w:szCs w:val="26"/>
        </w:rPr>
        <w:t xml:space="preserve"> — </w:t>
      </w:r>
      <w:r w:rsidR="00867556" w:rsidRPr="00057A3F">
        <w:rPr>
          <w:szCs w:val="26"/>
        </w:rPr>
        <w:t xml:space="preserve">and </w:t>
      </w:r>
      <w:r w:rsidR="000011F5" w:rsidRPr="00057A3F">
        <w:rPr>
          <w:szCs w:val="26"/>
        </w:rPr>
        <w:t>characteriz</w:t>
      </w:r>
      <w:r w:rsidR="00867556" w:rsidRPr="00057A3F">
        <w:rPr>
          <w:szCs w:val="26"/>
        </w:rPr>
        <w:t>ed</w:t>
      </w:r>
      <w:r w:rsidR="000011F5" w:rsidRPr="00057A3F">
        <w:rPr>
          <w:szCs w:val="26"/>
        </w:rPr>
        <w:t xml:space="preserve"> </w:t>
      </w:r>
      <w:r w:rsidR="00020953" w:rsidRPr="00057A3F">
        <w:rPr>
          <w:szCs w:val="26"/>
        </w:rPr>
        <w:t xml:space="preserve">them as </w:t>
      </w:r>
      <w:r w:rsidR="0077328A" w:rsidRPr="00294C04">
        <w:rPr>
          <w:szCs w:val="26"/>
        </w:rPr>
        <w:t>“</w:t>
      </w:r>
      <w:r w:rsidR="00667FA8" w:rsidRPr="00294C04">
        <w:rPr>
          <w:szCs w:val="26"/>
        </w:rPr>
        <w:t>[</w:t>
      </w:r>
      <w:r w:rsidR="0077328A" w:rsidRPr="00294C04">
        <w:rPr>
          <w:szCs w:val="26"/>
        </w:rPr>
        <w:t>p</w:t>
      </w:r>
      <w:r w:rsidR="00667FA8" w:rsidRPr="00294C04">
        <w:rPr>
          <w:szCs w:val="26"/>
        </w:rPr>
        <w:t>]</w:t>
      </w:r>
      <w:r w:rsidR="0077328A" w:rsidRPr="00294C04">
        <w:rPr>
          <w:szCs w:val="26"/>
        </w:rPr>
        <w:t xml:space="preserve">recedent for </w:t>
      </w:r>
      <w:r w:rsidR="0077328A" w:rsidRPr="00294C04">
        <w:rPr>
          <w:i/>
          <w:iCs/>
          <w:szCs w:val="26"/>
        </w:rPr>
        <w:t>limiting</w:t>
      </w:r>
      <w:r w:rsidR="0077328A" w:rsidRPr="00294C04">
        <w:rPr>
          <w:szCs w:val="26"/>
        </w:rPr>
        <w:t xml:space="preserve"> inquiry</w:t>
      </w:r>
      <w:r w:rsidR="002A32A2" w:rsidRPr="00294C04">
        <w:rPr>
          <w:szCs w:val="26"/>
        </w:rPr>
        <w:t>.</w:t>
      </w:r>
      <w:r w:rsidR="0077328A" w:rsidRPr="00294C04">
        <w:rPr>
          <w:szCs w:val="26"/>
        </w:rPr>
        <w:t>”</w:t>
      </w:r>
      <w:r w:rsidR="0077328A" w:rsidRPr="00057A3F">
        <w:rPr>
          <w:szCs w:val="26"/>
        </w:rPr>
        <w:t xml:space="preserve">  (Sen</w:t>
      </w:r>
      <w:r w:rsidR="00756C30">
        <w:rPr>
          <w:szCs w:val="26"/>
        </w:rPr>
        <w:t>.</w:t>
      </w:r>
      <w:r w:rsidR="0077328A" w:rsidRPr="00057A3F">
        <w:rPr>
          <w:szCs w:val="26"/>
        </w:rPr>
        <w:t xml:space="preserve"> Com</w:t>
      </w:r>
      <w:r w:rsidR="00756C30">
        <w:rPr>
          <w:szCs w:val="26"/>
        </w:rPr>
        <w:t>.</w:t>
      </w:r>
      <w:r w:rsidR="0077328A" w:rsidRPr="00057A3F">
        <w:rPr>
          <w:szCs w:val="26"/>
        </w:rPr>
        <w:t xml:space="preserve"> Analysis, at p. 2</w:t>
      </w:r>
      <w:r w:rsidR="005C79A9" w:rsidRPr="00057A3F">
        <w:rPr>
          <w:szCs w:val="26"/>
        </w:rPr>
        <w:t>, italics added</w:t>
      </w:r>
      <w:r w:rsidR="0077328A" w:rsidRPr="00057A3F">
        <w:rPr>
          <w:szCs w:val="26"/>
        </w:rPr>
        <w:t xml:space="preserve">.)  </w:t>
      </w:r>
      <w:r w:rsidR="00020953" w:rsidRPr="00057A3F">
        <w:rPr>
          <w:szCs w:val="26"/>
        </w:rPr>
        <w:t xml:space="preserve">The </w:t>
      </w:r>
      <w:r w:rsidR="002A32A2" w:rsidRPr="00057A3F">
        <w:rPr>
          <w:szCs w:val="26"/>
        </w:rPr>
        <w:t xml:space="preserve">committee </w:t>
      </w:r>
      <w:r w:rsidRPr="00057A3F">
        <w:rPr>
          <w:szCs w:val="26"/>
        </w:rPr>
        <w:t xml:space="preserve">analysis </w:t>
      </w:r>
      <w:r w:rsidR="00020953" w:rsidRPr="00057A3F">
        <w:rPr>
          <w:szCs w:val="26"/>
        </w:rPr>
        <w:t>noted that, just as criminal defendants remained able to attac</w:t>
      </w:r>
      <w:r w:rsidR="000C362E" w:rsidRPr="00057A3F">
        <w:rPr>
          <w:szCs w:val="26"/>
        </w:rPr>
        <w:t>k</w:t>
      </w:r>
      <w:r w:rsidR="00020953" w:rsidRPr="00057A3F">
        <w:rPr>
          <w:szCs w:val="26"/>
        </w:rPr>
        <w:t xml:space="preserve"> the credibility of a</w:t>
      </w:r>
      <w:r w:rsidR="004B6E28" w:rsidRPr="00057A3F">
        <w:rPr>
          <w:szCs w:val="26"/>
        </w:rPr>
        <w:t>n</w:t>
      </w:r>
      <w:r w:rsidR="00020953" w:rsidRPr="00057A3F">
        <w:rPr>
          <w:szCs w:val="26"/>
        </w:rPr>
        <w:t xml:space="preserve"> alleged victim</w:t>
      </w:r>
      <w:r w:rsidR="004B6E28" w:rsidRPr="00057A3F">
        <w:rPr>
          <w:szCs w:val="26"/>
        </w:rPr>
        <w:t xml:space="preserve"> by following specified procedures, </w:t>
      </w:r>
      <w:r w:rsidR="00020953" w:rsidRPr="00057A3F">
        <w:rPr>
          <w:szCs w:val="26"/>
        </w:rPr>
        <w:t>so to</w:t>
      </w:r>
      <w:r w:rsidR="002D144D" w:rsidRPr="00057A3F">
        <w:rPr>
          <w:szCs w:val="26"/>
        </w:rPr>
        <w:t>o</w:t>
      </w:r>
      <w:r w:rsidR="00020953" w:rsidRPr="00057A3F">
        <w:rPr>
          <w:szCs w:val="26"/>
        </w:rPr>
        <w:t xml:space="preserve"> would </w:t>
      </w:r>
      <w:r w:rsidR="004B6E28" w:rsidRPr="00057A3F">
        <w:rPr>
          <w:szCs w:val="26"/>
        </w:rPr>
        <w:t>civil defendants under the proposed legislation.  (</w:t>
      </w:r>
      <w:r w:rsidR="004B6E28" w:rsidRPr="00057A3F">
        <w:rPr>
          <w:i/>
          <w:iCs/>
          <w:szCs w:val="26"/>
        </w:rPr>
        <w:t>Id</w:t>
      </w:r>
      <w:r w:rsidR="004B6E28" w:rsidRPr="00057A3F">
        <w:rPr>
          <w:szCs w:val="26"/>
        </w:rPr>
        <w:t xml:space="preserve">. at pp. 3–4.)  The </w:t>
      </w:r>
      <w:r w:rsidRPr="00057A3F">
        <w:rPr>
          <w:szCs w:val="26"/>
        </w:rPr>
        <w:t xml:space="preserve">analysis </w:t>
      </w:r>
      <w:r w:rsidR="004B6E28" w:rsidRPr="00057A3F">
        <w:rPr>
          <w:szCs w:val="26"/>
        </w:rPr>
        <w:t>observed that</w:t>
      </w:r>
      <w:r w:rsidR="00493F54" w:rsidRPr="00057A3F">
        <w:rPr>
          <w:szCs w:val="26"/>
        </w:rPr>
        <w:t xml:space="preserve"> </w:t>
      </w:r>
      <w:r w:rsidR="004B6E28" w:rsidRPr="00057A3F">
        <w:rPr>
          <w:szCs w:val="26"/>
        </w:rPr>
        <w:t xml:space="preserve">under the existing law governing criminal cases, “specific instances of </w:t>
      </w:r>
      <w:r w:rsidR="00DC1489" w:rsidRPr="00057A3F">
        <w:rPr>
          <w:szCs w:val="26"/>
        </w:rPr>
        <w:t xml:space="preserve">the </w:t>
      </w:r>
      <w:r w:rsidR="004B6E28" w:rsidRPr="00057A3F">
        <w:rPr>
          <w:szCs w:val="26"/>
        </w:rPr>
        <w:t xml:space="preserve">complaining witness’ sexual conduct is </w:t>
      </w:r>
      <w:r w:rsidR="004B6E28" w:rsidRPr="00057A3F">
        <w:rPr>
          <w:i/>
          <w:iCs/>
          <w:szCs w:val="26"/>
        </w:rPr>
        <w:t>generally</w:t>
      </w:r>
      <w:r w:rsidR="004B6E28" w:rsidRPr="00057A3F">
        <w:rPr>
          <w:szCs w:val="26"/>
        </w:rPr>
        <w:t xml:space="preserve"> not admissible to prove consent” </w:t>
      </w:r>
      <w:r w:rsidR="00600F63" w:rsidRPr="00057A3F">
        <w:rPr>
          <w:szCs w:val="26"/>
        </w:rPr>
        <w:t>(</w:t>
      </w:r>
      <w:r w:rsidR="00600F63" w:rsidRPr="00057A3F">
        <w:rPr>
          <w:i/>
          <w:iCs/>
          <w:szCs w:val="26"/>
        </w:rPr>
        <w:t>id</w:t>
      </w:r>
      <w:r w:rsidR="00600F63" w:rsidRPr="00057A3F">
        <w:rPr>
          <w:szCs w:val="26"/>
        </w:rPr>
        <w:t>. at p. 4,</w:t>
      </w:r>
      <w:r w:rsidR="00600F63" w:rsidRPr="00057A3F">
        <w:rPr>
          <w:i/>
          <w:iCs/>
          <w:szCs w:val="26"/>
        </w:rPr>
        <w:t xml:space="preserve"> </w:t>
      </w:r>
      <w:r w:rsidR="00600F63" w:rsidRPr="00057A3F">
        <w:rPr>
          <w:szCs w:val="26"/>
        </w:rPr>
        <w:t>italics added)</w:t>
      </w:r>
      <w:r w:rsidR="00FF4A38">
        <w:rPr>
          <w:szCs w:val="26"/>
        </w:rPr>
        <w:t>,</w:t>
      </w:r>
      <w:r w:rsidR="00600F63" w:rsidRPr="00057A3F">
        <w:rPr>
          <w:szCs w:val="26"/>
        </w:rPr>
        <w:t xml:space="preserve"> </w:t>
      </w:r>
      <w:r w:rsidR="00272487" w:rsidRPr="00057A3F">
        <w:rPr>
          <w:szCs w:val="26"/>
        </w:rPr>
        <w:t xml:space="preserve">and </w:t>
      </w:r>
      <w:r w:rsidR="004B6E28" w:rsidRPr="00057A3F">
        <w:rPr>
          <w:szCs w:val="26"/>
        </w:rPr>
        <w:t>the proposed legislation “would extend this protection to</w:t>
      </w:r>
      <w:r w:rsidR="00A37728" w:rsidRPr="00057A3F">
        <w:rPr>
          <w:szCs w:val="26"/>
        </w:rPr>
        <w:t>”</w:t>
      </w:r>
      <w:r w:rsidR="004B6E28" w:rsidRPr="00057A3F">
        <w:rPr>
          <w:szCs w:val="26"/>
        </w:rPr>
        <w:t xml:space="preserve"> civil victims</w:t>
      </w:r>
      <w:r w:rsidR="00493F54" w:rsidRPr="00057A3F">
        <w:rPr>
          <w:szCs w:val="26"/>
        </w:rPr>
        <w:t>.  (</w:t>
      </w:r>
      <w:r w:rsidR="00FF4A38">
        <w:rPr>
          <w:i/>
          <w:iCs/>
          <w:szCs w:val="26"/>
        </w:rPr>
        <w:t>Ibid</w:t>
      </w:r>
      <w:r w:rsidR="00EC655C">
        <w:rPr>
          <w:szCs w:val="26"/>
        </w:rPr>
        <w:t>.</w:t>
      </w:r>
      <w:r w:rsidR="00493F54" w:rsidRPr="00057A3F">
        <w:rPr>
          <w:szCs w:val="26"/>
        </w:rPr>
        <w:t>)  N</w:t>
      </w:r>
      <w:r w:rsidR="00272487" w:rsidRPr="00057A3F">
        <w:rPr>
          <w:szCs w:val="26"/>
        </w:rPr>
        <w:t>evertheless</w:t>
      </w:r>
      <w:r w:rsidR="00493F54" w:rsidRPr="00057A3F">
        <w:rPr>
          <w:szCs w:val="26"/>
        </w:rPr>
        <w:t xml:space="preserve">, the </w:t>
      </w:r>
      <w:r w:rsidR="002A4286" w:rsidRPr="00057A3F">
        <w:rPr>
          <w:szCs w:val="26"/>
        </w:rPr>
        <w:t xml:space="preserve">analysis stated, </w:t>
      </w:r>
      <w:r w:rsidR="004B6E28" w:rsidRPr="00057A3F">
        <w:rPr>
          <w:szCs w:val="26"/>
        </w:rPr>
        <w:t>civil defendants, like criminal defendants, would be permitted to intr</w:t>
      </w:r>
      <w:r w:rsidRPr="00057A3F">
        <w:rPr>
          <w:szCs w:val="26"/>
        </w:rPr>
        <w:t xml:space="preserve">oduce such evidence to “attack the credibility of witnesses” under procedures </w:t>
      </w:r>
      <w:r w:rsidR="000C362E" w:rsidRPr="00057A3F">
        <w:rPr>
          <w:szCs w:val="26"/>
        </w:rPr>
        <w:t xml:space="preserve">that eventually </w:t>
      </w:r>
      <w:r w:rsidR="005F0D9F" w:rsidRPr="00057A3F">
        <w:rPr>
          <w:szCs w:val="26"/>
        </w:rPr>
        <w:t>w</w:t>
      </w:r>
      <w:r w:rsidR="006A121E" w:rsidRPr="00057A3F">
        <w:rPr>
          <w:szCs w:val="26"/>
        </w:rPr>
        <w:t xml:space="preserve">ould be </w:t>
      </w:r>
      <w:r w:rsidR="000C362E" w:rsidRPr="00057A3F">
        <w:rPr>
          <w:szCs w:val="26"/>
        </w:rPr>
        <w:t>enacted as section 783</w:t>
      </w:r>
      <w:r w:rsidRPr="00057A3F">
        <w:rPr>
          <w:szCs w:val="26"/>
        </w:rPr>
        <w:t>.  (</w:t>
      </w:r>
      <w:r w:rsidR="00612899" w:rsidRPr="00057A3F">
        <w:rPr>
          <w:szCs w:val="26"/>
        </w:rPr>
        <w:t>Sen</w:t>
      </w:r>
      <w:r w:rsidR="00756C30">
        <w:rPr>
          <w:szCs w:val="26"/>
        </w:rPr>
        <w:t>.</w:t>
      </w:r>
      <w:r w:rsidR="00612899" w:rsidRPr="00057A3F">
        <w:rPr>
          <w:szCs w:val="26"/>
        </w:rPr>
        <w:t xml:space="preserve"> Com</w:t>
      </w:r>
      <w:r w:rsidR="00756C30">
        <w:rPr>
          <w:szCs w:val="26"/>
        </w:rPr>
        <w:t>.</w:t>
      </w:r>
      <w:r w:rsidR="00612899" w:rsidRPr="00057A3F">
        <w:rPr>
          <w:szCs w:val="26"/>
        </w:rPr>
        <w:t xml:space="preserve"> Analysis</w:t>
      </w:r>
      <w:r w:rsidR="005D6540" w:rsidRPr="00057A3F">
        <w:rPr>
          <w:szCs w:val="26"/>
        </w:rPr>
        <w:t>, at p. </w:t>
      </w:r>
      <w:r w:rsidR="002C1F28" w:rsidRPr="00057A3F">
        <w:rPr>
          <w:szCs w:val="26"/>
        </w:rPr>
        <w:t>4</w:t>
      </w:r>
      <w:r w:rsidRPr="00057A3F">
        <w:rPr>
          <w:szCs w:val="26"/>
        </w:rPr>
        <w:t>.)</w:t>
      </w:r>
      <w:r w:rsidR="001C733A" w:rsidRPr="00057A3F">
        <w:rPr>
          <w:szCs w:val="26"/>
        </w:rPr>
        <w:t xml:space="preserve">  </w:t>
      </w:r>
      <w:r w:rsidR="000C362E" w:rsidRPr="00057A3F">
        <w:rPr>
          <w:szCs w:val="26"/>
        </w:rPr>
        <w:t xml:space="preserve">It </w:t>
      </w:r>
      <w:r w:rsidR="0083773F" w:rsidRPr="00057A3F">
        <w:rPr>
          <w:szCs w:val="26"/>
        </w:rPr>
        <w:t>a</w:t>
      </w:r>
      <w:r w:rsidR="000C362E" w:rsidRPr="00057A3F">
        <w:rPr>
          <w:szCs w:val="26"/>
        </w:rPr>
        <w:t>pp</w:t>
      </w:r>
      <w:r w:rsidR="0083773F" w:rsidRPr="00057A3F">
        <w:rPr>
          <w:szCs w:val="26"/>
        </w:rPr>
        <w:t xml:space="preserve">ears </w:t>
      </w:r>
      <w:r w:rsidR="000C362E" w:rsidRPr="00057A3F">
        <w:rPr>
          <w:szCs w:val="26"/>
        </w:rPr>
        <w:t xml:space="preserve">from this and related history materials that </w:t>
      </w:r>
      <w:r w:rsidR="00AE7C7E" w:rsidRPr="00057A3F">
        <w:rPr>
          <w:szCs w:val="26"/>
        </w:rPr>
        <w:t xml:space="preserve">the Legislature </w:t>
      </w:r>
      <w:r w:rsidR="000C362E" w:rsidRPr="00057A3F">
        <w:rPr>
          <w:szCs w:val="26"/>
        </w:rPr>
        <w:t xml:space="preserve">viewed the </w:t>
      </w:r>
      <w:r w:rsidR="00A313B9" w:rsidRPr="00057A3F">
        <w:rPr>
          <w:szCs w:val="26"/>
        </w:rPr>
        <w:t xml:space="preserve">1985 </w:t>
      </w:r>
      <w:r w:rsidR="000C362E" w:rsidRPr="00057A3F">
        <w:rPr>
          <w:szCs w:val="26"/>
        </w:rPr>
        <w:t>legislation as limiting</w:t>
      </w:r>
      <w:r w:rsidR="005C27FD" w:rsidRPr="00057A3F">
        <w:rPr>
          <w:szCs w:val="26"/>
        </w:rPr>
        <w:t> —</w:t>
      </w:r>
      <w:r w:rsidR="000C362E" w:rsidRPr="00057A3F">
        <w:rPr>
          <w:szCs w:val="26"/>
        </w:rPr>
        <w:t xml:space="preserve"> but n</w:t>
      </w:r>
      <w:r w:rsidR="00574624" w:rsidRPr="00057A3F">
        <w:rPr>
          <w:szCs w:val="26"/>
        </w:rPr>
        <w:t xml:space="preserve">ot </w:t>
      </w:r>
      <w:r w:rsidR="001C733A" w:rsidRPr="00057A3F">
        <w:rPr>
          <w:szCs w:val="26"/>
        </w:rPr>
        <w:t>categorically barring</w:t>
      </w:r>
      <w:r w:rsidR="007B78C6" w:rsidRPr="00057A3F">
        <w:rPr>
          <w:szCs w:val="26"/>
        </w:rPr>
        <w:t xml:space="preserve">, </w:t>
      </w:r>
      <w:r w:rsidR="006C2ABB" w:rsidRPr="00057A3F">
        <w:rPr>
          <w:szCs w:val="26"/>
        </w:rPr>
        <w:t>n</w:t>
      </w:r>
      <w:r w:rsidR="00940284" w:rsidRPr="00057A3F">
        <w:rPr>
          <w:szCs w:val="26"/>
        </w:rPr>
        <w:t xml:space="preserve">or </w:t>
      </w:r>
      <w:r w:rsidR="00574624" w:rsidRPr="00057A3F">
        <w:rPr>
          <w:szCs w:val="26"/>
        </w:rPr>
        <w:t xml:space="preserve">as </w:t>
      </w:r>
      <w:r w:rsidR="001218BB" w:rsidRPr="00057A3F">
        <w:rPr>
          <w:szCs w:val="26"/>
        </w:rPr>
        <w:t xml:space="preserve">reserved </w:t>
      </w:r>
      <w:r w:rsidR="00800DA8" w:rsidRPr="00057A3F">
        <w:rPr>
          <w:szCs w:val="26"/>
        </w:rPr>
        <w:t>for</w:t>
      </w:r>
      <w:r w:rsidR="003E4183" w:rsidRPr="00057A3F">
        <w:rPr>
          <w:szCs w:val="26"/>
        </w:rPr>
        <w:t xml:space="preserve"> </w:t>
      </w:r>
      <w:r w:rsidR="00AB7AF9" w:rsidRPr="00057A3F">
        <w:rPr>
          <w:szCs w:val="26"/>
        </w:rPr>
        <w:t>addressing “</w:t>
      </w:r>
      <w:r w:rsidR="007B78C6" w:rsidRPr="00057A3F">
        <w:rPr>
          <w:szCs w:val="26"/>
        </w:rPr>
        <w:t>false testimony</w:t>
      </w:r>
      <w:r w:rsidR="00AB7AF9" w:rsidRPr="00057A3F">
        <w:rPr>
          <w:szCs w:val="26"/>
        </w:rPr>
        <w:t>”</w:t>
      </w:r>
      <w:r w:rsidR="003E4183" w:rsidRPr="00057A3F">
        <w:rPr>
          <w:szCs w:val="26"/>
        </w:rPr>
        <w:t> —</w:t>
      </w:r>
      <w:r w:rsidR="00AB7AF9" w:rsidRPr="00057A3F">
        <w:rPr>
          <w:szCs w:val="26"/>
        </w:rPr>
        <w:t xml:space="preserve"> </w:t>
      </w:r>
      <w:r w:rsidR="001C733A" w:rsidRPr="00057A3F">
        <w:rPr>
          <w:szCs w:val="26"/>
        </w:rPr>
        <w:t xml:space="preserve">evidence concerning a plaintiff victim’s sexual conduct when offered to attack the credibility of </w:t>
      </w:r>
      <w:r w:rsidR="00533790" w:rsidRPr="00057A3F">
        <w:rPr>
          <w:szCs w:val="26"/>
        </w:rPr>
        <w:t>the</w:t>
      </w:r>
      <w:r w:rsidR="001C733A" w:rsidRPr="00057A3F">
        <w:rPr>
          <w:szCs w:val="26"/>
        </w:rPr>
        <w:t xml:space="preserve"> witness’s testimony.  </w:t>
      </w:r>
    </w:p>
    <w:p w14:paraId="0DB2E7EA" w14:textId="77777777" w:rsidR="0016168B" w:rsidRPr="00535A24" w:rsidRDefault="002E6832" w:rsidP="00535A24">
      <w:pPr>
        <w:pStyle w:val="Heading2"/>
      </w:pPr>
      <w:r w:rsidRPr="00535A24">
        <w:t>B.  D</w:t>
      </w:r>
      <w:r w:rsidR="00813645" w:rsidRPr="00535A24">
        <w:t xml:space="preserve">id the </w:t>
      </w:r>
      <w:r w:rsidR="00BD4420" w:rsidRPr="00535A24">
        <w:t xml:space="preserve">Court of Appeal </w:t>
      </w:r>
      <w:r w:rsidR="00FB3443" w:rsidRPr="00535A24">
        <w:t xml:space="preserve">Properly </w:t>
      </w:r>
      <w:r w:rsidR="00E313CF" w:rsidRPr="00535A24">
        <w:t xml:space="preserve">Determine </w:t>
      </w:r>
      <w:r w:rsidR="00FB3443" w:rsidRPr="00535A24">
        <w:t xml:space="preserve">That the Trial Court </w:t>
      </w:r>
      <w:r w:rsidR="00FB48C3" w:rsidRPr="00535A24">
        <w:t>E</w:t>
      </w:r>
      <w:r w:rsidR="00E7244C" w:rsidRPr="00535A24">
        <w:t xml:space="preserve">ssentially </w:t>
      </w:r>
      <w:r w:rsidR="00FB48C3" w:rsidRPr="00535A24">
        <w:t>C</w:t>
      </w:r>
      <w:r w:rsidR="00E7244C" w:rsidRPr="00535A24">
        <w:t>ompl</w:t>
      </w:r>
      <w:r w:rsidR="00FB3443" w:rsidRPr="00535A24">
        <w:t xml:space="preserve">ied </w:t>
      </w:r>
      <w:r w:rsidR="00E7244C" w:rsidRPr="00535A24">
        <w:t xml:space="preserve">with </w:t>
      </w:r>
      <w:r w:rsidR="00FB48C3" w:rsidRPr="00535A24">
        <w:t>S</w:t>
      </w:r>
      <w:r w:rsidR="00E7244C" w:rsidRPr="00535A24">
        <w:t>ection 783</w:t>
      </w:r>
      <w:r w:rsidR="007808CB" w:rsidRPr="00535A24">
        <w:t xml:space="preserve">?  </w:t>
      </w:r>
    </w:p>
    <w:p w14:paraId="0DB2E7EB" w14:textId="77777777" w:rsidR="00B56218" w:rsidRPr="00C91CA6" w:rsidRDefault="002E6832" w:rsidP="00C91CA6">
      <w:pPr>
        <w:tabs>
          <w:tab w:val="left" w:pos="5220"/>
        </w:tabs>
        <w:ind w:firstLine="720"/>
        <w:rPr>
          <w:szCs w:val="26"/>
        </w:rPr>
      </w:pPr>
      <w:r w:rsidRPr="00C91CA6">
        <w:rPr>
          <w:szCs w:val="26"/>
        </w:rPr>
        <w:t>A</w:t>
      </w:r>
      <w:r w:rsidR="00AD2595" w:rsidRPr="00C91CA6">
        <w:rPr>
          <w:szCs w:val="26"/>
        </w:rPr>
        <w:t xml:space="preserve">s </w:t>
      </w:r>
      <w:r w:rsidRPr="00C91CA6">
        <w:rPr>
          <w:szCs w:val="26"/>
        </w:rPr>
        <w:t xml:space="preserve">observed </w:t>
      </w:r>
      <w:r w:rsidRPr="00C91CA6">
        <w:rPr>
          <w:szCs w:val="26"/>
        </w:rPr>
        <w:t>earlier</w:t>
      </w:r>
      <w:r w:rsidR="00F07980" w:rsidRPr="00C91CA6">
        <w:rPr>
          <w:szCs w:val="26"/>
        </w:rPr>
        <w:t>,</w:t>
      </w:r>
      <w:r w:rsidRPr="00C91CA6">
        <w:rPr>
          <w:szCs w:val="26"/>
        </w:rPr>
        <w:t xml:space="preserve"> the </w:t>
      </w:r>
      <w:r w:rsidR="008E0311" w:rsidRPr="00C91CA6">
        <w:rPr>
          <w:szCs w:val="26"/>
        </w:rPr>
        <w:t>Court of Appeal</w:t>
      </w:r>
      <w:r w:rsidR="00F07980" w:rsidRPr="00C91CA6">
        <w:rPr>
          <w:szCs w:val="26"/>
        </w:rPr>
        <w:t xml:space="preserve"> </w:t>
      </w:r>
      <w:r w:rsidR="00086876" w:rsidRPr="00C91CA6">
        <w:rPr>
          <w:szCs w:val="26"/>
        </w:rPr>
        <w:t xml:space="preserve">acknowledged </w:t>
      </w:r>
      <w:r w:rsidR="005A0755" w:rsidRPr="00C91CA6">
        <w:rPr>
          <w:szCs w:val="26"/>
        </w:rPr>
        <w:t xml:space="preserve">the </w:t>
      </w:r>
      <w:r w:rsidR="00E43C8B" w:rsidRPr="00C91CA6">
        <w:rPr>
          <w:szCs w:val="26"/>
        </w:rPr>
        <w:t>trial court</w:t>
      </w:r>
      <w:r w:rsidR="00AB1586" w:rsidRPr="00C91CA6">
        <w:rPr>
          <w:szCs w:val="26"/>
        </w:rPr>
        <w:t>’</w:t>
      </w:r>
      <w:r w:rsidR="00E43C8B" w:rsidRPr="00C91CA6">
        <w:rPr>
          <w:szCs w:val="26"/>
        </w:rPr>
        <w:t xml:space="preserve">s </w:t>
      </w:r>
      <w:r w:rsidR="009A3789" w:rsidRPr="00C91CA6">
        <w:rPr>
          <w:szCs w:val="26"/>
        </w:rPr>
        <w:t xml:space="preserve">key </w:t>
      </w:r>
      <w:r w:rsidR="00E43C8B" w:rsidRPr="00C91CA6">
        <w:rPr>
          <w:szCs w:val="26"/>
        </w:rPr>
        <w:t>errors</w:t>
      </w:r>
      <w:r w:rsidR="00F34BB1" w:rsidRPr="00C91CA6">
        <w:rPr>
          <w:szCs w:val="26"/>
        </w:rPr>
        <w:t xml:space="preserve"> with respect to section</w:t>
      </w:r>
      <w:r w:rsidR="00765BD3" w:rsidRPr="00C91CA6">
        <w:rPr>
          <w:szCs w:val="26"/>
        </w:rPr>
        <w:t>s</w:t>
      </w:r>
      <w:r w:rsidR="00F34BB1" w:rsidRPr="00C91CA6">
        <w:rPr>
          <w:szCs w:val="26"/>
        </w:rPr>
        <w:t xml:space="preserve"> </w:t>
      </w:r>
      <w:r w:rsidR="00765BD3" w:rsidRPr="00C91CA6">
        <w:rPr>
          <w:szCs w:val="26"/>
        </w:rPr>
        <w:t xml:space="preserve">1106 and </w:t>
      </w:r>
      <w:r w:rsidR="00F34BB1" w:rsidRPr="00C91CA6">
        <w:rPr>
          <w:szCs w:val="26"/>
        </w:rPr>
        <w:t xml:space="preserve">783 — </w:t>
      </w:r>
      <w:r w:rsidR="0025166C" w:rsidRPr="00C91CA6">
        <w:rPr>
          <w:szCs w:val="26"/>
        </w:rPr>
        <w:t xml:space="preserve">namely, its </w:t>
      </w:r>
      <w:r w:rsidR="00883B86" w:rsidRPr="00C91CA6">
        <w:rPr>
          <w:szCs w:val="26"/>
        </w:rPr>
        <w:t xml:space="preserve">failure to focus on </w:t>
      </w:r>
      <w:r w:rsidR="00765BD3" w:rsidRPr="00C91CA6">
        <w:rPr>
          <w:szCs w:val="26"/>
        </w:rPr>
        <w:t xml:space="preserve">those </w:t>
      </w:r>
      <w:r w:rsidR="00E75FD0" w:rsidRPr="00C91CA6">
        <w:rPr>
          <w:szCs w:val="26"/>
        </w:rPr>
        <w:t>statute</w:t>
      </w:r>
      <w:r w:rsidR="00765BD3" w:rsidRPr="00C91CA6">
        <w:rPr>
          <w:szCs w:val="26"/>
        </w:rPr>
        <w:t xml:space="preserve">s, instead of </w:t>
      </w:r>
      <w:r w:rsidR="00E75FD0" w:rsidRPr="00C91CA6">
        <w:rPr>
          <w:szCs w:val="26"/>
        </w:rPr>
        <w:t>sections</w:t>
      </w:r>
      <w:r w:rsidR="00C91CA6">
        <w:rPr>
          <w:szCs w:val="26"/>
        </w:rPr>
        <w:t> </w:t>
      </w:r>
      <w:r w:rsidR="00E75FD0" w:rsidRPr="00C91CA6">
        <w:rPr>
          <w:szCs w:val="26"/>
        </w:rPr>
        <w:t>110</w:t>
      </w:r>
      <w:r w:rsidR="00765BD3" w:rsidRPr="00C91CA6">
        <w:rPr>
          <w:szCs w:val="26"/>
        </w:rPr>
        <w:t>3</w:t>
      </w:r>
      <w:r w:rsidR="00E75FD0" w:rsidRPr="00C91CA6">
        <w:rPr>
          <w:szCs w:val="26"/>
        </w:rPr>
        <w:t xml:space="preserve"> and </w:t>
      </w:r>
      <w:r w:rsidR="00793F66" w:rsidRPr="00C91CA6">
        <w:rPr>
          <w:szCs w:val="26"/>
        </w:rPr>
        <w:t>78</w:t>
      </w:r>
      <w:r w:rsidR="00765BD3" w:rsidRPr="00C91CA6">
        <w:rPr>
          <w:szCs w:val="26"/>
        </w:rPr>
        <w:t>2</w:t>
      </w:r>
      <w:r w:rsidR="00B36848" w:rsidRPr="00C91CA6">
        <w:rPr>
          <w:szCs w:val="26"/>
        </w:rPr>
        <w:t>,</w:t>
      </w:r>
      <w:r w:rsidR="00883B86" w:rsidRPr="00C91CA6">
        <w:rPr>
          <w:szCs w:val="26"/>
        </w:rPr>
        <w:t xml:space="preserve"> and </w:t>
      </w:r>
      <w:r w:rsidR="0025166C" w:rsidRPr="00C91CA6">
        <w:rPr>
          <w:szCs w:val="26"/>
        </w:rPr>
        <w:t xml:space="preserve">its conclusion </w:t>
      </w:r>
      <w:r w:rsidR="00AB1586" w:rsidRPr="00C91CA6">
        <w:rPr>
          <w:szCs w:val="26"/>
        </w:rPr>
        <w:t xml:space="preserve">that, </w:t>
      </w:r>
      <w:r w:rsidR="00D132F8" w:rsidRPr="00C91CA6">
        <w:rPr>
          <w:szCs w:val="26"/>
        </w:rPr>
        <w:t xml:space="preserve">in any event, no </w:t>
      </w:r>
      <w:r w:rsidR="00D132F8" w:rsidRPr="00C91CA6">
        <w:rPr>
          <w:szCs w:val="26"/>
        </w:rPr>
        <w:lastRenderedPageBreak/>
        <w:t>shield law applies here</w:t>
      </w:r>
      <w:r w:rsidR="00E819E3" w:rsidRPr="00C91CA6">
        <w:rPr>
          <w:szCs w:val="26"/>
        </w:rPr>
        <w:t xml:space="preserve"> </w:t>
      </w:r>
      <w:r w:rsidR="007F094A" w:rsidRPr="00C91CA6">
        <w:rPr>
          <w:szCs w:val="26"/>
        </w:rPr>
        <w:t xml:space="preserve">because </w:t>
      </w:r>
      <w:r w:rsidR="00E819E3" w:rsidRPr="00C91CA6">
        <w:rPr>
          <w:szCs w:val="26"/>
        </w:rPr>
        <w:t xml:space="preserve">the 2013 molestation </w:t>
      </w:r>
      <w:r w:rsidR="00E215C0" w:rsidRPr="00C91CA6">
        <w:rPr>
          <w:szCs w:val="26"/>
        </w:rPr>
        <w:t xml:space="preserve">reflects plaintiff’s </w:t>
      </w:r>
      <w:r w:rsidR="00E215C0" w:rsidRPr="00C91CA6">
        <w:rPr>
          <w:i/>
          <w:iCs/>
          <w:szCs w:val="26"/>
        </w:rPr>
        <w:t>involuntary</w:t>
      </w:r>
      <w:r w:rsidR="00E215C0" w:rsidRPr="00C91CA6">
        <w:rPr>
          <w:szCs w:val="26"/>
        </w:rPr>
        <w:t xml:space="preserve"> sexual conduct.  </w:t>
      </w:r>
      <w:r w:rsidR="008047A0" w:rsidRPr="00C91CA6">
        <w:rPr>
          <w:szCs w:val="26"/>
        </w:rPr>
        <w:t>Yet</w:t>
      </w:r>
      <w:r w:rsidR="00191A3F" w:rsidRPr="00C91CA6">
        <w:rPr>
          <w:szCs w:val="26"/>
        </w:rPr>
        <w:t xml:space="preserve">, the appellate court reasoned, </w:t>
      </w:r>
      <w:r w:rsidR="00552949" w:rsidRPr="00C91CA6">
        <w:rPr>
          <w:szCs w:val="26"/>
        </w:rPr>
        <w:t>it was “tasked with reviewing the court’s ruling — not the rationale it used to get there</w:t>
      </w:r>
      <w:r w:rsidR="007D74CC" w:rsidRPr="00C91CA6">
        <w:rPr>
          <w:szCs w:val="26"/>
        </w:rPr>
        <w:t>.</w:t>
      </w:r>
      <w:r w:rsidR="00552949" w:rsidRPr="00C91CA6">
        <w:rPr>
          <w:szCs w:val="26"/>
        </w:rPr>
        <w:t>”</w:t>
      </w:r>
      <w:r w:rsidR="007D74CC" w:rsidRPr="00C91CA6">
        <w:rPr>
          <w:szCs w:val="26"/>
        </w:rPr>
        <w:t xml:space="preserve"> </w:t>
      </w:r>
      <w:r w:rsidR="00552949" w:rsidRPr="00C91CA6">
        <w:rPr>
          <w:szCs w:val="26"/>
        </w:rPr>
        <w:t xml:space="preserve"> (</w:t>
      </w:r>
      <w:r w:rsidR="00552949" w:rsidRPr="00C91CA6">
        <w:rPr>
          <w:i/>
          <w:iCs/>
          <w:szCs w:val="26"/>
        </w:rPr>
        <w:t>Doe</w:t>
      </w:r>
      <w:r w:rsidR="00552949" w:rsidRPr="00C91CA6">
        <w:rPr>
          <w:szCs w:val="26"/>
        </w:rPr>
        <w:t xml:space="preserve">, </w:t>
      </w:r>
      <w:r w:rsidR="00552949" w:rsidRPr="00C91CA6">
        <w:rPr>
          <w:i/>
          <w:iCs/>
          <w:szCs w:val="26"/>
        </w:rPr>
        <w:t>supra</w:t>
      </w:r>
      <w:r w:rsidR="00552949" w:rsidRPr="00C91CA6">
        <w:rPr>
          <w:szCs w:val="26"/>
        </w:rPr>
        <w:t>, 71 Cal.App.5th at p. 241</w:t>
      </w:r>
      <w:r w:rsidR="00A315E7">
        <w:rPr>
          <w:szCs w:val="26"/>
        </w:rPr>
        <w:t>.</w:t>
      </w:r>
      <w:r w:rsidR="00552949" w:rsidRPr="00C91CA6">
        <w:rPr>
          <w:szCs w:val="26"/>
        </w:rPr>
        <w:t>)</w:t>
      </w:r>
      <w:r w:rsidR="007D74CC" w:rsidRPr="00C91CA6">
        <w:rPr>
          <w:szCs w:val="26"/>
        </w:rPr>
        <w:t xml:space="preserve">  </w:t>
      </w:r>
      <w:r w:rsidR="00592B65" w:rsidRPr="00C91CA6">
        <w:rPr>
          <w:szCs w:val="26"/>
        </w:rPr>
        <w:t>In that regard,</w:t>
      </w:r>
      <w:r w:rsidR="00601B41" w:rsidRPr="00C91CA6">
        <w:rPr>
          <w:szCs w:val="26"/>
        </w:rPr>
        <w:t xml:space="preserve"> t</w:t>
      </w:r>
      <w:r w:rsidR="00020F50" w:rsidRPr="00C91CA6">
        <w:rPr>
          <w:szCs w:val="26"/>
        </w:rPr>
        <w:t xml:space="preserve">he appellate court </w:t>
      </w:r>
      <w:r w:rsidR="00020BB0" w:rsidRPr="00C91CA6">
        <w:rPr>
          <w:szCs w:val="26"/>
        </w:rPr>
        <w:t xml:space="preserve">concluded, </w:t>
      </w:r>
      <w:r w:rsidR="00720860" w:rsidRPr="00C91CA6">
        <w:rPr>
          <w:szCs w:val="26"/>
        </w:rPr>
        <w:t>the trial court</w:t>
      </w:r>
      <w:r w:rsidR="00802ACA" w:rsidRPr="00C91CA6">
        <w:rPr>
          <w:szCs w:val="26"/>
        </w:rPr>
        <w:t xml:space="preserve"> </w:t>
      </w:r>
      <w:r w:rsidR="0077764B" w:rsidRPr="00C91CA6">
        <w:rPr>
          <w:szCs w:val="26"/>
        </w:rPr>
        <w:t xml:space="preserve">ultimately </w:t>
      </w:r>
      <w:r w:rsidR="00720860" w:rsidRPr="00C91CA6">
        <w:rPr>
          <w:szCs w:val="26"/>
        </w:rPr>
        <w:t>“</w:t>
      </w:r>
      <w:r w:rsidR="00720860" w:rsidRPr="00C91CA6">
        <w:rPr>
          <w:i/>
          <w:iCs/>
          <w:szCs w:val="26"/>
        </w:rPr>
        <w:t>conducted a hearing as statutorily required</w:t>
      </w:r>
      <w:r w:rsidR="00720860" w:rsidRPr="00C91CA6">
        <w:rPr>
          <w:szCs w:val="26"/>
        </w:rPr>
        <w:t>” under sections 1106 and 783</w:t>
      </w:r>
      <w:r w:rsidR="002A04C4" w:rsidRPr="00C91CA6">
        <w:rPr>
          <w:szCs w:val="26"/>
        </w:rPr>
        <w:t xml:space="preserve">. </w:t>
      </w:r>
      <w:r w:rsidR="001410C4" w:rsidRPr="00C91CA6">
        <w:rPr>
          <w:szCs w:val="26"/>
        </w:rPr>
        <w:t xml:space="preserve"> </w:t>
      </w:r>
      <w:r w:rsidR="00720860" w:rsidRPr="00C91CA6">
        <w:rPr>
          <w:szCs w:val="26"/>
        </w:rPr>
        <w:t>(</w:t>
      </w:r>
      <w:r w:rsidR="00720860" w:rsidRPr="00C91CA6">
        <w:rPr>
          <w:i/>
          <w:iCs/>
          <w:szCs w:val="26"/>
        </w:rPr>
        <w:t>Doe</w:t>
      </w:r>
      <w:r w:rsidR="00720860" w:rsidRPr="00C91CA6">
        <w:rPr>
          <w:szCs w:val="26"/>
        </w:rPr>
        <w:t>,</w:t>
      </w:r>
      <w:r w:rsidR="00720860" w:rsidRPr="00C91CA6">
        <w:rPr>
          <w:i/>
          <w:iCs/>
          <w:szCs w:val="26"/>
        </w:rPr>
        <w:t xml:space="preserve"> </w:t>
      </w:r>
      <w:r w:rsidR="00720860" w:rsidRPr="00C91CA6">
        <w:rPr>
          <w:szCs w:val="26"/>
        </w:rPr>
        <w:t>at p. 235</w:t>
      </w:r>
      <w:r w:rsidR="000A123D" w:rsidRPr="00C91CA6">
        <w:rPr>
          <w:szCs w:val="26"/>
        </w:rPr>
        <w:t>, italics added</w:t>
      </w:r>
      <w:r w:rsidR="00557794" w:rsidRPr="00C91CA6">
        <w:rPr>
          <w:szCs w:val="26"/>
        </w:rPr>
        <w:t xml:space="preserve">; see also </w:t>
      </w:r>
      <w:r w:rsidR="00557794" w:rsidRPr="00C91CA6">
        <w:rPr>
          <w:i/>
          <w:iCs/>
          <w:szCs w:val="26"/>
        </w:rPr>
        <w:t>id</w:t>
      </w:r>
      <w:r w:rsidR="00557794" w:rsidRPr="00C91CA6">
        <w:rPr>
          <w:szCs w:val="26"/>
        </w:rPr>
        <w:t>. at pp. 240–241</w:t>
      </w:r>
      <w:r w:rsidR="002A04C4" w:rsidRPr="00C91CA6">
        <w:rPr>
          <w:szCs w:val="26"/>
        </w:rPr>
        <w:t>.</w:t>
      </w:r>
      <w:r w:rsidR="00720860" w:rsidRPr="00C91CA6">
        <w:rPr>
          <w:szCs w:val="26"/>
        </w:rPr>
        <w:t>)</w:t>
      </w:r>
      <w:r>
        <w:rPr>
          <w:rStyle w:val="FootnoteReference"/>
          <w:bCs/>
          <w:szCs w:val="26"/>
        </w:rPr>
        <w:footnoteReference w:id="13"/>
      </w:r>
      <w:r w:rsidR="0051049E" w:rsidRPr="00C91CA6">
        <w:rPr>
          <w:szCs w:val="26"/>
        </w:rPr>
        <w:t xml:space="preserve"> </w:t>
      </w:r>
      <w:r w:rsidR="007F6804" w:rsidRPr="00C91CA6">
        <w:rPr>
          <w:szCs w:val="26"/>
        </w:rPr>
        <w:t xml:space="preserve"> </w:t>
      </w:r>
      <w:r w:rsidR="00C91CA6">
        <w:rPr>
          <w:szCs w:val="26"/>
        </w:rPr>
        <w:t>W</w:t>
      </w:r>
      <w:r w:rsidR="006D6585" w:rsidRPr="00C91CA6">
        <w:rPr>
          <w:szCs w:val="26"/>
        </w:rPr>
        <w:t>e</w:t>
      </w:r>
      <w:r w:rsidR="0046009A" w:rsidRPr="00C91CA6">
        <w:rPr>
          <w:szCs w:val="26"/>
        </w:rPr>
        <w:t xml:space="preserve"> </w:t>
      </w:r>
      <w:r w:rsidR="00C91CA6">
        <w:rPr>
          <w:szCs w:val="26"/>
        </w:rPr>
        <w:t xml:space="preserve">do not </w:t>
      </w:r>
      <w:r w:rsidR="0046009A" w:rsidRPr="00C91CA6">
        <w:rPr>
          <w:szCs w:val="26"/>
        </w:rPr>
        <w:t>agree with the Court of Appeal</w:t>
      </w:r>
      <w:r w:rsidR="003A2105" w:rsidRPr="00C91CA6">
        <w:rPr>
          <w:szCs w:val="26"/>
        </w:rPr>
        <w:t xml:space="preserve"> that the trial court, </w:t>
      </w:r>
      <w:r w:rsidR="005A60E2" w:rsidRPr="00C91CA6">
        <w:rPr>
          <w:szCs w:val="26"/>
        </w:rPr>
        <w:t xml:space="preserve">in essence, conducted a proper hearing under section </w:t>
      </w:r>
      <w:r w:rsidR="00FD24C7" w:rsidRPr="00C91CA6">
        <w:rPr>
          <w:szCs w:val="26"/>
        </w:rPr>
        <w:t xml:space="preserve">783.  </w:t>
      </w:r>
    </w:p>
    <w:p w14:paraId="0DB2E7EC" w14:textId="77777777" w:rsidR="006C62E4" w:rsidRPr="00C91CA6" w:rsidRDefault="002E6832" w:rsidP="00C91CA6">
      <w:pPr>
        <w:pStyle w:val="PlainText"/>
        <w:ind w:firstLine="720"/>
        <w:rPr>
          <w:rFonts w:ascii="Century Schoolbook" w:hAnsi="Century Schoolbook"/>
          <w:sz w:val="27"/>
          <w:szCs w:val="26"/>
        </w:rPr>
      </w:pPr>
      <w:r w:rsidRPr="00C91CA6">
        <w:rPr>
          <w:rFonts w:ascii="Century Schoolbook" w:hAnsi="Century Schoolbook"/>
          <w:sz w:val="27"/>
          <w:szCs w:val="26"/>
        </w:rPr>
        <w:t>As a preliminary matter, i</w:t>
      </w:r>
      <w:r w:rsidR="00A42299" w:rsidRPr="00C91CA6">
        <w:rPr>
          <w:rFonts w:ascii="Century Schoolbook" w:hAnsi="Century Schoolbook"/>
          <w:sz w:val="27"/>
          <w:szCs w:val="26"/>
        </w:rPr>
        <w:t xml:space="preserve">t is apparent from the record that the trial court, having invested considerable resources </w:t>
      </w:r>
      <w:r w:rsidR="00ED69EB" w:rsidRPr="00C91CA6">
        <w:rPr>
          <w:rFonts w:ascii="Century Schoolbook" w:hAnsi="Century Schoolbook"/>
          <w:sz w:val="27"/>
          <w:szCs w:val="26"/>
        </w:rPr>
        <w:t xml:space="preserve">over </w:t>
      </w:r>
      <w:r w:rsidR="00A667E1" w:rsidRPr="00C91CA6">
        <w:rPr>
          <w:rFonts w:ascii="Century Schoolbook" w:hAnsi="Century Schoolbook"/>
          <w:sz w:val="27"/>
          <w:szCs w:val="26"/>
        </w:rPr>
        <w:t>ni</w:t>
      </w:r>
      <w:r w:rsidR="00E46BCC" w:rsidRPr="00C91CA6">
        <w:rPr>
          <w:rFonts w:ascii="Century Schoolbook" w:hAnsi="Century Schoolbook"/>
          <w:sz w:val="27"/>
          <w:szCs w:val="26"/>
        </w:rPr>
        <w:t xml:space="preserve">ne </w:t>
      </w:r>
      <w:r w:rsidR="00ED69EB" w:rsidRPr="00C91CA6">
        <w:rPr>
          <w:rFonts w:ascii="Century Schoolbook" w:hAnsi="Century Schoolbook"/>
          <w:sz w:val="27"/>
          <w:szCs w:val="26"/>
        </w:rPr>
        <w:t>days in the midst of the C</w:t>
      </w:r>
      <w:r w:rsidR="00E46592" w:rsidRPr="00C91CA6">
        <w:rPr>
          <w:rFonts w:ascii="Century Schoolbook" w:hAnsi="Century Schoolbook"/>
          <w:sz w:val="27"/>
          <w:szCs w:val="26"/>
        </w:rPr>
        <w:t>OVID</w:t>
      </w:r>
      <w:r w:rsidR="00ED69EB" w:rsidRPr="00C91CA6">
        <w:rPr>
          <w:rFonts w:ascii="Century Schoolbook" w:hAnsi="Century Schoolbook"/>
          <w:sz w:val="27"/>
          <w:szCs w:val="26"/>
        </w:rPr>
        <w:t xml:space="preserve">-19 pandemic in </w:t>
      </w:r>
      <w:r w:rsidR="00C73D6D" w:rsidRPr="00C91CA6">
        <w:rPr>
          <w:rFonts w:ascii="Century Schoolbook" w:hAnsi="Century Schoolbook"/>
          <w:sz w:val="27"/>
          <w:szCs w:val="26"/>
        </w:rPr>
        <w:t xml:space="preserve">the </w:t>
      </w:r>
      <w:r w:rsidR="00C91270" w:rsidRPr="00C91CA6">
        <w:rPr>
          <w:rFonts w:ascii="Century Schoolbook" w:hAnsi="Century Schoolbook"/>
          <w:sz w:val="27"/>
          <w:szCs w:val="26"/>
        </w:rPr>
        <w:t xml:space="preserve">challenging </w:t>
      </w:r>
      <w:r w:rsidR="00C73D6D" w:rsidRPr="00C91CA6">
        <w:rPr>
          <w:rFonts w:ascii="Century Schoolbook" w:hAnsi="Century Schoolbook"/>
          <w:sz w:val="27"/>
          <w:szCs w:val="26"/>
        </w:rPr>
        <w:t xml:space="preserve">task of </w:t>
      </w:r>
      <w:r w:rsidR="00C91270" w:rsidRPr="00C91CA6">
        <w:rPr>
          <w:rFonts w:ascii="Century Schoolbook" w:hAnsi="Century Schoolbook"/>
          <w:sz w:val="27"/>
          <w:szCs w:val="26"/>
        </w:rPr>
        <w:t xml:space="preserve">selecting </w:t>
      </w:r>
      <w:r w:rsidR="00204F26" w:rsidRPr="00C91CA6">
        <w:rPr>
          <w:rFonts w:ascii="Century Schoolbook" w:hAnsi="Century Schoolbook"/>
          <w:sz w:val="27"/>
          <w:szCs w:val="26"/>
        </w:rPr>
        <w:t>12</w:t>
      </w:r>
      <w:r w:rsidR="00ED69EB" w:rsidRPr="00C91CA6">
        <w:rPr>
          <w:rFonts w:ascii="Century Schoolbook" w:hAnsi="Century Schoolbook"/>
          <w:sz w:val="27"/>
          <w:szCs w:val="26"/>
        </w:rPr>
        <w:t xml:space="preserve"> </w:t>
      </w:r>
      <w:r w:rsidR="00204F26" w:rsidRPr="00C91CA6">
        <w:rPr>
          <w:rFonts w:ascii="Century Schoolbook" w:hAnsi="Century Schoolbook"/>
          <w:sz w:val="27"/>
          <w:szCs w:val="26"/>
        </w:rPr>
        <w:t xml:space="preserve">jurors and </w:t>
      </w:r>
      <w:r w:rsidR="00FF4A38">
        <w:rPr>
          <w:rFonts w:ascii="Century Schoolbook" w:hAnsi="Century Schoolbook"/>
          <w:sz w:val="27"/>
          <w:szCs w:val="26"/>
        </w:rPr>
        <w:t>eight</w:t>
      </w:r>
      <w:r w:rsidR="00FF4A38" w:rsidRPr="00C91CA6">
        <w:rPr>
          <w:rFonts w:ascii="Century Schoolbook" w:hAnsi="Century Schoolbook"/>
          <w:sz w:val="27"/>
          <w:szCs w:val="26"/>
        </w:rPr>
        <w:t xml:space="preserve"> </w:t>
      </w:r>
      <w:r w:rsidR="00204F26" w:rsidRPr="00C91CA6">
        <w:rPr>
          <w:rFonts w:ascii="Century Schoolbook" w:hAnsi="Century Schoolbook"/>
          <w:sz w:val="27"/>
          <w:szCs w:val="26"/>
        </w:rPr>
        <w:t>a</w:t>
      </w:r>
      <w:r w:rsidR="00745DDE" w:rsidRPr="00C91CA6">
        <w:rPr>
          <w:rFonts w:ascii="Century Schoolbook" w:hAnsi="Century Schoolbook"/>
          <w:sz w:val="27"/>
          <w:szCs w:val="26"/>
        </w:rPr>
        <w:t>lternate jurors</w:t>
      </w:r>
      <w:r w:rsidR="00CF27FE" w:rsidRPr="00C91CA6">
        <w:rPr>
          <w:rFonts w:ascii="Century Schoolbook" w:hAnsi="Century Schoolbook"/>
          <w:sz w:val="27"/>
          <w:szCs w:val="26"/>
        </w:rPr>
        <w:t>,</w:t>
      </w:r>
      <w:r w:rsidR="00745DDE" w:rsidRPr="00C91CA6">
        <w:rPr>
          <w:rFonts w:ascii="Century Schoolbook" w:hAnsi="Century Schoolbook"/>
          <w:sz w:val="27"/>
          <w:szCs w:val="26"/>
        </w:rPr>
        <w:t xml:space="preserve"> </w:t>
      </w:r>
      <w:r w:rsidR="00ED69EB" w:rsidRPr="00C91CA6">
        <w:rPr>
          <w:rFonts w:ascii="Century Schoolbook" w:hAnsi="Century Schoolbook"/>
          <w:sz w:val="27"/>
          <w:szCs w:val="26"/>
        </w:rPr>
        <w:t xml:space="preserve">was </w:t>
      </w:r>
      <w:r w:rsidR="004A4E86" w:rsidRPr="00C91CA6">
        <w:rPr>
          <w:rFonts w:ascii="Century Schoolbook" w:hAnsi="Century Schoolbook"/>
          <w:sz w:val="27"/>
          <w:szCs w:val="26"/>
        </w:rPr>
        <w:t>understandably</w:t>
      </w:r>
      <w:r w:rsidR="004B1735" w:rsidRPr="00C91CA6">
        <w:rPr>
          <w:rFonts w:ascii="Century Schoolbook" w:hAnsi="Century Schoolbook"/>
          <w:sz w:val="27"/>
          <w:szCs w:val="26"/>
        </w:rPr>
        <w:t xml:space="preserve"> </w:t>
      </w:r>
      <w:r w:rsidR="00FD552C" w:rsidRPr="00C91CA6">
        <w:rPr>
          <w:rFonts w:ascii="Century Schoolbook" w:hAnsi="Century Schoolbook"/>
          <w:sz w:val="27"/>
          <w:szCs w:val="26"/>
        </w:rPr>
        <w:t xml:space="preserve">and indeed admirably </w:t>
      </w:r>
      <w:r w:rsidR="001720E6" w:rsidRPr="00C91CA6">
        <w:rPr>
          <w:rFonts w:ascii="Century Schoolbook" w:hAnsi="Century Schoolbook"/>
          <w:sz w:val="27"/>
          <w:szCs w:val="26"/>
        </w:rPr>
        <w:t xml:space="preserve">focused on </w:t>
      </w:r>
      <w:r w:rsidR="004B1735" w:rsidRPr="00C91CA6">
        <w:rPr>
          <w:rFonts w:ascii="Century Schoolbook" w:hAnsi="Century Schoolbook"/>
          <w:sz w:val="27"/>
          <w:szCs w:val="26"/>
        </w:rPr>
        <w:t>expeditiously resolv</w:t>
      </w:r>
      <w:r w:rsidR="000772A2" w:rsidRPr="00C91CA6">
        <w:rPr>
          <w:rFonts w:ascii="Century Schoolbook" w:hAnsi="Century Schoolbook"/>
          <w:sz w:val="27"/>
          <w:szCs w:val="26"/>
        </w:rPr>
        <w:t xml:space="preserve">ing </w:t>
      </w:r>
      <w:r w:rsidR="00D56280" w:rsidRPr="00C91CA6">
        <w:rPr>
          <w:rFonts w:ascii="Century Schoolbook" w:hAnsi="Century Schoolbook"/>
          <w:sz w:val="27"/>
          <w:szCs w:val="26"/>
        </w:rPr>
        <w:t xml:space="preserve">numerous </w:t>
      </w:r>
      <w:r w:rsidR="004A4E86" w:rsidRPr="00C91CA6">
        <w:rPr>
          <w:rFonts w:ascii="Century Schoolbook" w:hAnsi="Century Schoolbook"/>
          <w:sz w:val="27"/>
          <w:szCs w:val="26"/>
        </w:rPr>
        <w:t>pretrial matters</w:t>
      </w:r>
      <w:r w:rsidR="004B1735" w:rsidRPr="00C91CA6">
        <w:rPr>
          <w:rFonts w:ascii="Century Schoolbook" w:hAnsi="Century Schoolbook"/>
          <w:sz w:val="27"/>
          <w:szCs w:val="26"/>
        </w:rPr>
        <w:t xml:space="preserve"> in order to</w:t>
      </w:r>
      <w:r w:rsidR="004A4E86" w:rsidRPr="00C91CA6">
        <w:rPr>
          <w:rFonts w:ascii="Century Schoolbook" w:hAnsi="Century Schoolbook"/>
          <w:sz w:val="27"/>
          <w:szCs w:val="26"/>
        </w:rPr>
        <w:t xml:space="preserve"> proceed with trial.  </w:t>
      </w:r>
      <w:r w:rsidR="00622447" w:rsidRPr="00C91CA6">
        <w:rPr>
          <w:rFonts w:ascii="Century Schoolbook" w:hAnsi="Century Schoolbook"/>
          <w:sz w:val="27"/>
          <w:szCs w:val="26"/>
        </w:rPr>
        <w:t xml:space="preserve">But </w:t>
      </w:r>
      <w:r w:rsidR="009F07E7" w:rsidRPr="00C91CA6">
        <w:rPr>
          <w:rFonts w:ascii="Century Schoolbook" w:hAnsi="Century Schoolbook"/>
          <w:sz w:val="27"/>
          <w:szCs w:val="26"/>
        </w:rPr>
        <w:t xml:space="preserve">having </w:t>
      </w:r>
      <w:r w:rsidR="00622447" w:rsidRPr="00C91CA6">
        <w:rPr>
          <w:rFonts w:ascii="Century Schoolbook" w:hAnsi="Century Schoolbook"/>
          <w:sz w:val="27"/>
          <w:szCs w:val="26"/>
        </w:rPr>
        <w:t xml:space="preserve">erroneously </w:t>
      </w:r>
      <w:r w:rsidR="009F07E7" w:rsidRPr="00C91CA6">
        <w:rPr>
          <w:rFonts w:ascii="Century Schoolbook" w:hAnsi="Century Schoolbook"/>
          <w:sz w:val="27"/>
          <w:szCs w:val="26"/>
        </w:rPr>
        <w:t xml:space="preserve">found </w:t>
      </w:r>
      <w:r w:rsidR="00481411" w:rsidRPr="00C91CA6">
        <w:rPr>
          <w:rFonts w:ascii="Century Schoolbook" w:hAnsi="Century Schoolbook"/>
          <w:sz w:val="27"/>
          <w:szCs w:val="26"/>
        </w:rPr>
        <w:t xml:space="preserve">no shield statute to be applicable, </w:t>
      </w:r>
      <w:r w:rsidR="002639A0" w:rsidRPr="00C91CA6">
        <w:rPr>
          <w:rFonts w:ascii="Century Schoolbook" w:hAnsi="Century Schoolbook"/>
          <w:sz w:val="27"/>
          <w:szCs w:val="26"/>
        </w:rPr>
        <w:t xml:space="preserve">the trial </w:t>
      </w:r>
      <w:r w:rsidR="001654E0" w:rsidRPr="00C91CA6">
        <w:rPr>
          <w:rFonts w:ascii="Century Schoolbook" w:hAnsi="Century Schoolbook"/>
          <w:sz w:val="27"/>
          <w:szCs w:val="26"/>
        </w:rPr>
        <w:t xml:space="preserve">court </w:t>
      </w:r>
      <w:r w:rsidR="00622447" w:rsidRPr="00C91CA6">
        <w:rPr>
          <w:rFonts w:ascii="Century Schoolbook" w:hAnsi="Century Schoolbook"/>
          <w:sz w:val="27"/>
          <w:szCs w:val="26"/>
        </w:rPr>
        <w:t xml:space="preserve">neglected to </w:t>
      </w:r>
      <w:r w:rsidR="00D32CC6" w:rsidRPr="00C91CA6">
        <w:rPr>
          <w:rFonts w:ascii="Century Schoolbook" w:hAnsi="Century Schoolbook"/>
          <w:sz w:val="27"/>
          <w:szCs w:val="26"/>
        </w:rPr>
        <w:t>focus on</w:t>
      </w:r>
      <w:r w:rsidR="00BA5C79" w:rsidRPr="00C91CA6">
        <w:rPr>
          <w:rFonts w:ascii="Century Schoolbook" w:hAnsi="Century Schoolbook"/>
          <w:sz w:val="27"/>
          <w:szCs w:val="26"/>
        </w:rPr>
        <w:t>, and</w:t>
      </w:r>
      <w:r w:rsidR="0077230D" w:rsidRPr="00C91CA6">
        <w:rPr>
          <w:rFonts w:ascii="Century Schoolbook" w:hAnsi="Century Schoolbook"/>
          <w:sz w:val="27"/>
          <w:szCs w:val="26"/>
        </w:rPr>
        <w:t xml:space="preserve"> benefit </w:t>
      </w:r>
      <w:r w:rsidR="005A4A4F" w:rsidRPr="00C91CA6">
        <w:rPr>
          <w:rFonts w:ascii="Century Schoolbook" w:hAnsi="Century Schoolbook"/>
          <w:sz w:val="27"/>
          <w:szCs w:val="26"/>
        </w:rPr>
        <w:t>from</w:t>
      </w:r>
      <w:r w:rsidR="00F76700" w:rsidRPr="00C91CA6">
        <w:rPr>
          <w:rFonts w:ascii="Century Schoolbook" w:hAnsi="Century Schoolbook"/>
          <w:sz w:val="27"/>
          <w:szCs w:val="26"/>
        </w:rPr>
        <w:t>, the</w:t>
      </w:r>
      <w:r w:rsidR="0077230D" w:rsidRPr="00C91CA6">
        <w:rPr>
          <w:rFonts w:ascii="Century Schoolbook" w:hAnsi="Century Schoolbook"/>
          <w:sz w:val="27"/>
          <w:szCs w:val="26"/>
        </w:rPr>
        <w:t xml:space="preserve"> </w:t>
      </w:r>
      <w:r w:rsidR="00AD002F" w:rsidRPr="00C91CA6">
        <w:rPr>
          <w:rFonts w:ascii="Century Schoolbook" w:hAnsi="Century Schoolbook"/>
          <w:sz w:val="27"/>
          <w:szCs w:val="26"/>
        </w:rPr>
        <w:t xml:space="preserve">key </w:t>
      </w:r>
      <w:r w:rsidR="00D32CC6" w:rsidRPr="00C91CA6">
        <w:rPr>
          <w:rFonts w:ascii="Century Schoolbook" w:hAnsi="Century Schoolbook"/>
          <w:sz w:val="27"/>
          <w:szCs w:val="26"/>
        </w:rPr>
        <w:t xml:space="preserve">procedural </w:t>
      </w:r>
      <w:r w:rsidR="00F76700" w:rsidRPr="00C91CA6">
        <w:rPr>
          <w:rFonts w:ascii="Century Schoolbook" w:hAnsi="Century Schoolbook"/>
          <w:sz w:val="27"/>
          <w:szCs w:val="26"/>
        </w:rPr>
        <w:t xml:space="preserve">and structural </w:t>
      </w:r>
      <w:r w:rsidR="00AD002F" w:rsidRPr="00C91CA6">
        <w:rPr>
          <w:rFonts w:ascii="Century Schoolbook" w:hAnsi="Century Schoolbook"/>
          <w:sz w:val="27"/>
          <w:szCs w:val="26"/>
        </w:rPr>
        <w:t>protections set out in section 783</w:t>
      </w:r>
      <w:r w:rsidR="00481411" w:rsidRPr="00C91CA6">
        <w:rPr>
          <w:rFonts w:ascii="Century Schoolbook" w:hAnsi="Century Schoolbook"/>
          <w:sz w:val="27"/>
          <w:szCs w:val="26"/>
        </w:rPr>
        <w:t xml:space="preserve">. </w:t>
      </w:r>
      <w:r w:rsidR="00B10968" w:rsidRPr="00C91CA6">
        <w:rPr>
          <w:rFonts w:ascii="Century Schoolbook" w:hAnsi="Century Schoolbook"/>
          <w:sz w:val="27"/>
          <w:szCs w:val="26"/>
        </w:rPr>
        <w:t xml:space="preserve"> </w:t>
      </w:r>
    </w:p>
    <w:p w14:paraId="0DB2E7ED" w14:textId="77777777" w:rsidR="00846DF7" w:rsidRPr="00535A24" w:rsidRDefault="002E6832" w:rsidP="00C91CA6">
      <w:pPr>
        <w:pStyle w:val="Heading3"/>
      </w:pPr>
      <w:r w:rsidRPr="00535A24">
        <w:rPr>
          <w:i w:val="0"/>
        </w:rPr>
        <w:lastRenderedPageBreak/>
        <w:t>1.</w:t>
      </w:r>
      <w:r w:rsidRPr="00535A24">
        <w:t xml:space="preserve">  </w:t>
      </w:r>
      <w:r w:rsidR="00BB7866" w:rsidRPr="00535A24">
        <w:t xml:space="preserve">Failure to </w:t>
      </w:r>
      <w:r w:rsidR="00661297" w:rsidRPr="00535A24">
        <w:t xml:space="preserve">hold a </w:t>
      </w:r>
      <w:r w:rsidR="00BB7866" w:rsidRPr="00535A24">
        <w:t>hearing out of the presence of the jury,</w:t>
      </w:r>
      <w:r w:rsidR="00661297" w:rsidRPr="00535A24">
        <w:t xml:space="preserve"> </w:t>
      </w:r>
      <w:r w:rsidR="00BB7866" w:rsidRPr="00535A24">
        <w:t>allow</w:t>
      </w:r>
      <w:r w:rsidR="006C62E4" w:rsidRPr="00535A24">
        <w:t xml:space="preserve">ing </w:t>
      </w:r>
      <w:r w:rsidR="00BB7866" w:rsidRPr="00535A24">
        <w:t xml:space="preserve">questioning of plaintiff regarding the </w:t>
      </w:r>
      <w:r w:rsidR="006C62E4" w:rsidRPr="00535A24">
        <w:t xml:space="preserve">District’s </w:t>
      </w:r>
      <w:r w:rsidR="00BB7866" w:rsidRPr="00535A24">
        <w:t>offer of proof</w:t>
      </w:r>
      <w:r w:rsidR="00AB643D" w:rsidRPr="00535A24">
        <w:t xml:space="preserve"> </w:t>
      </w:r>
    </w:p>
    <w:p w14:paraId="0DB2E7EE" w14:textId="77777777" w:rsidR="009D6BB3" w:rsidRPr="001260D8" w:rsidRDefault="002E6832" w:rsidP="001260D8">
      <w:pPr>
        <w:pStyle w:val="PlainText"/>
        <w:ind w:firstLine="720"/>
        <w:rPr>
          <w:rFonts w:ascii="Century Schoolbook" w:hAnsi="Century Schoolbook"/>
          <w:sz w:val="27"/>
          <w:szCs w:val="26"/>
        </w:rPr>
      </w:pPr>
      <w:r w:rsidRPr="001260D8">
        <w:rPr>
          <w:rFonts w:ascii="Century Schoolbook" w:hAnsi="Century Schoolbook"/>
          <w:sz w:val="27"/>
          <w:szCs w:val="26"/>
        </w:rPr>
        <w:t>T</w:t>
      </w:r>
      <w:r w:rsidR="006E7929" w:rsidRPr="001260D8">
        <w:rPr>
          <w:rFonts w:ascii="Century Schoolbook" w:hAnsi="Century Schoolbook"/>
          <w:sz w:val="27"/>
          <w:szCs w:val="26"/>
        </w:rPr>
        <w:t xml:space="preserve">he </w:t>
      </w:r>
      <w:r w:rsidR="009972AC" w:rsidRPr="001260D8">
        <w:rPr>
          <w:rFonts w:ascii="Century Schoolbook" w:hAnsi="Century Schoolbook"/>
          <w:sz w:val="27"/>
          <w:szCs w:val="26"/>
        </w:rPr>
        <w:t xml:space="preserve">trial </w:t>
      </w:r>
      <w:r w:rsidR="006E7929" w:rsidRPr="001260D8">
        <w:rPr>
          <w:rFonts w:ascii="Century Schoolbook" w:hAnsi="Century Schoolbook"/>
          <w:sz w:val="27"/>
          <w:szCs w:val="26"/>
        </w:rPr>
        <w:t xml:space="preserve">court </w:t>
      </w:r>
      <w:r w:rsidR="00016F9A" w:rsidRPr="001260D8">
        <w:rPr>
          <w:rFonts w:ascii="Century Schoolbook" w:hAnsi="Century Schoolbook"/>
          <w:sz w:val="27"/>
          <w:szCs w:val="26"/>
        </w:rPr>
        <w:t xml:space="preserve">did not </w:t>
      </w:r>
      <w:r w:rsidR="00FE7131" w:rsidRPr="001260D8">
        <w:rPr>
          <w:rFonts w:ascii="Century Schoolbook" w:hAnsi="Century Schoolbook"/>
          <w:sz w:val="27"/>
          <w:szCs w:val="26"/>
        </w:rPr>
        <w:t xml:space="preserve">hold </w:t>
      </w:r>
      <w:r w:rsidR="00E56652" w:rsidRPr="001260D8">
        <w:rPr>
          <w:rFonts w:ascii="Century Schoolbook" w:hAnsi="Century Schoolbook"/>
          <w:sz w:val="27"/>
          <w:szCs w:val="26"/>
        </w:rPr>
        <w:t xml:space="preserve">a </w:t>
      </w:r>
      <w:r w:rsidR="00777974" w:rsidRPr="001260D8">
        <w:rPr>
          <w:rFonts w:ascii="Century Schoolbook" w:hAnsi="Century Schoolbook"/>
          <w:sz w:val="27"/>
          <w:szCs w:val="26"/>
        </w:rPr>
        <w:t xml:space="preserve">more robust </w:t>
      </w:r>
      <w:r w:rsidR="00640C9B" w:rsidRPr="001260D8">
        <w:rPr>
          <w:rFonts w:ascii="Century Schoolbook" w:hAnsi="Century Schoolbook"/>
          <w:sz w:val="27"/>
          <w:szCs w:val="26"/>
        </w:rPr>
        <w:t>“hearing out of the presence of the jury,</w:t>
      </w:r>
      <w:r w:rsidR="00751061" w:rsidRPr="001260D8">
        <w:rPr>
          <w:rFonts w:ascii="Century Schoolbook" w:hAnsi="Century Schoolbook"/>
          <w:sz w:val="27"/>
          <w:szCs w:val="26"/>
        </w:rPr>
        <w:t xml:space="preserve">” </w:t>
      </w:r>
      <w:r w:rsidR="00396EB6" w:rsidRPr="001260D8">
        <w:rPr>
          <w:rFonts w:ascii="Century Schoolbook" w:hAnsi="Century Schoolbook"/>
          <w:sz w:val="27"/>
          <w:szCs w:val="26"/>
        </w:rPr>
        <w:t xml:space="preserve">at which it would </w:t>
      </w:r>
      <w:r w:rsidR="00D41FF7" w:rsidRPr="001260D8">
        <w:rPr>
          <w:rFonts w:ascii="Century Schoolbook" w:hAnsi="Century Schoolbook"/>
          <w:sz w:val="27"/>
          <w:szCs w:val="26"/>
        </w:rPr>
        <w:t>“</w:t>
      </w:r>
      <w:r w:rsidR="00640C9B" w:rsidRPr="001260D8">
        <w:rPr>
          <w:rFonts w:ascii="Century Schoolbook" w:hAnsi="Century Schoolbook"/>
          <w:i/>
          <w:iCs/>
          <w:sz w:val="27"/>
          <w:szCs w:val="26"/>
        </w:rPr>
        <w:t>allow the questioning of the plaintiff regarding the offer of proof made by the defendant</w:t>
      </w:r>
      <w:r w:rsidR="00D41FF7" w:rsidRPr="001260D8">
        <w:rPr>
          <w:rFonts w:ascii="Century Schoolbook" w:hAnsi="Century Schoolbook"/>
          <w:sz w:val="27"/>
          <w:szCs w:val="26"/>
        </w:rPr>
        <w:t>.”  (§ </w:t>
      </w:r>
      <w:r w:rsidR="009F07E7" w:rsidRPr="001260D8">
        <w:rPr>
          <w:rFonts w:ascii="Century Schoolbook" w:hAnsi="Century Schoolbook"/>
          <w:sz w:val="27"/>
          <w:szCs w:val="26"/>
        </w:rPr>
        <w:t>783, subd. (c)</w:t>
      </w:r>
      <w:r w:rsidR="00BB6217" w:rsidRPr="001260D8">
        <w:rPr>
          <w:rFonts w:ascii="Century Schoolbook" w:hAnsi="Century Schoolbook"/>
          <w:sz w:val="27"/>
          <w:szCs w:val="26"/>
        </w:rPr>
        <w:t>, italics added</w:t>
      </w:r>
      <w:r w:rsidR="009F07E7" w:rsidRPr="001260D8">
        <w:rPr>
          <w:rFonts w:ascii="Century Schoolbook" w:hAnsi="Century Schoolbook"/>
          <w:sz w:val="27"/>
          <w:szCs w:val="26"/>
        </w:rPr>
        <w:t xml:space="preserve">.)  </w:t>
      </w:r>
      <w:r w:rsidR="003F5286" w:rsidRPr="001260D8">
        <w:rPr>
          <w:rFonts w:ascii="Century Schoolbook" w:hAnsi="Century Schoolbook"/>
          <w:sz w:val="27"/>
          <w:szCs w:val="26"/>
        </w:rPr>
        <w:t xml:space="preserve">Consequently, </w:t>
      </w:r>
      <w:r w:rsidR="00E90D5B" w:rsidRPr="001260D8">
        <w:rPr>
          <w:rFonts w:ascii="Century Schoolbook" w:hAnsi="Century Schoolbook"/>
          <w:sz w:val="27"/>
          <w:szCs w:val="26"/>
        </w:rPr>
        <w:t>the record reflect</w:t>
      </w:r>
      <w:r w:rsidR="00443D8C" w:rsidRPr="001260D8">
        <w:rPr>
          <w:rFonts w:ascii="Century Schoolbook" w:hAnsi="Century Schoolbook"/>
          <w:sz w:val="27"/>
          <w:szCs w:val="26"/>
        </w:rPr>
        <w:t xml:space="preserve">s no </w:t>
      </w:r>
      <w:r w:rsidR="00C20CA5" w:rsidRPr="001260D8">
        <w:rPr>
          <w:rFonts w:ascii="Century Schoolbook" w:hAnsi="Century Schoolbook"/>
          <w:sz w:val="27"/>
          <w:szCs w:val="26"/>
        </w:rPr>
        <w:t>information about t</w:t>
      </w:r>
      <w:r w:rsidR="00892BB8" w:rsidRPr="001260D8">
        <w:rPr>
          <w:rFonts w:ascii="Century Schoolbook" w:hAnsi="Century Schoolbook"/>
          <w:sz w:val="27"/>
          <w:szCs w:val="26"/>
        </w:rPr>
        <w:t>he nature of the 2013 molestation</w:t>
      </w:r>
      <w:r w:rsidR="004C06CB" w:rsidRPr="001260D8">
        <w:rPr>
          <w:rFonts w:ascii="Century Schoolbook" w:hAnsi="Century Schoolbook"/>
          <w:sz w:val="27"/>
          <w:szCs w:val="26"/>
        </w:rPr>
        <w:t xml:space="preserve">, how </w:t>
      </w:r>
      <w:r w:rsidR="0033633D" w:rsidRPr="001260D8">
        <w:rPr>
          <w:rFonts w:ascii="Century Schoolbook" w:hAnsi="Century Schoolbook"/>
          <w:sz w:val="27"/>
          <w:szCs w:val="26"/>
        </w:rPr>
        <w:t xml:space="preserve">the </w:t>
      </w:r>
      <w:r w:rsidR="007F4B53" w:rsidRPr="001260D8">
        <w:rPr>
          <w:rFonts w:ascii="Century Schoolbook" w:hAnsi="Century Schoolbook"/>
          <w:sz w:val="27"/>
          <w:szCs w:val="26"/>
        </w:rPr>
        <w:t xml:space="preserve">evidence </w:t>
      </w:r>
      <w:r w:rsidR="0033633D" w:rsidRPr="001260D8">
        <w:rPr>
          <w:rFonts w:ascii="Century Schoolbook" w:hAnsi="Century Schoolbook"/>
          <w:sz w:val="27"/>
          <w:szCs w:val="26"/>
        </w:rPr>
        <w:t xml:space="preserve">regarding that </w:t>
      </w:r>
      <w:r w:rsidR="00AE5B9A" w:rsidRPr="001260D8">
        <w:rPr>
          <w:rFonts w:ascii="Century Schoolbook" w:hAnsi="Century Schoolbook"/>
          <w:sz w:val="27"/>
          <w:szCs w:val="26"/>
        </w:rPr>
        <w:t xml:space="preserve">molestation </w:t>
      </w:r>
      <w:r w:rsidR="004C06CB" w:rsidRPr="001260D8">
        <w:rPr>
          <w:rFonts w:ascii="Century Schoolbook" w:hAnsi="Century Schoolbook"/>
          <w:sz w:val="27"/>
          <w:szCs w:val="26"/>
        </w:rPr>
        <w:t xml:space="preserve">compares </w:t>
      </w:r>
      <w:r w:rsidR="00D01AC3" w:rsidRPr="001260D8">
        <w:rPr>
          <w:rFonts w:ascii="Century Schoolbook" w:hAnsi="Century Schoolbook"/>
          <w:sz w:val="27"/>
          <w:szCs w:val="26"/>
        </w:rPr>
        <w:t xml:space="preserve">with the </w:t>
      </w:r>
      <w:r w:rsidR="007F4B53" w:rsidRPr="001260D8">
        <w:rPr>
          <w:rFonts w:ascii="Century Schoolbook" w:hAnsi="Century Schoolbook"/>
          <w:sz w:val="27"/>
          <w:szCs w:val="26"/>
        </w:rPr>
        <w:t xml:space="preserve">evidence </w:t>
      </w:r>
      <w:r w:rsidR="00E153CE" w:rsidRPr="001260D8">
        <w:rPr>
          <w:rFonts w:ascii="Century Schoolbook" w:hAnsi="Century Schoolbook"/>
          <w:sz w:val="27"/>
          <w:szCs w:val="26"/>
        </w:rPr>
        <w:t xml:space="preserve">concerning </w:t>
      </w:r>
      <w:r w:rsidR="007F4B53" w:rsidRPr="001260D8">
        <w:rPr>
          <w:rFonts w:ascii="Century Schoolbook" w:hAnsi="Century Schoolbook"/>
          <w:sz w:val="27"/>
          <w:szCs w:val="26"/>
        </w:rPr>
        <w:t xml:space="preserve">the </w:t>
      </w:r>
      <w:r w:rsidR="00D01AC3" w:rsidRPr="001260D8">
        <w:rPr>
          <w:rFonts w:ascii="Century Schoolbook" w:hAnsi="Century Schoolbook"/>
          <w:sz w:val="27"/>
          <w:szCs w:val="26"/>
        </w:rPr>
        <w:t xml:space="preserve">2009–2010 </w:t>
      </w:r>
      <w:r w:rsidR="004B382D" w:rsidRPr="001260D8">
        <w:rPr>
          <w:rFonts w:ascii="Century Schoolbook" w:hAnsi="Century Schoolbook"/>
          <w:sz w:val="27"/>
          <w:szCs w:val="26"/>
        </w:rPr>
        <w:t xml:space="preserve">abuse, </w:t>
      </w:r>
      <w:r w:rsidR="006A2739" w:rsidRPr="001260D8">
        <w:rPr>
          <w:rFonts w:ascii="Century Schoolbook" w:hAnsi="Century Schoolbook"/>
          <w:sz w:val="27"/>
          <w:szCs w:val="26"/>
        </w:rPr>
        <w:t xml:space="preserve">or how plaintiff </w:t>
      </w:r>
      <w:r w:rsidR="00DE1CB3" w:rsidRPr="001260D8">
        <w:rPr>
          <w:rFonts w:ascii="Century Schoolbook" w:hAnsi="Century Schoolbook"/>
          <w:sz w:val="27"/>
          <w:szCs w:val="26"/>
        </w:rPr>
        <w:t xml:space="preserve">might characterize and </w:t>
      </w:r>
      <w:r w:rsidR="00F12463" w:rsidRPr="001260D8">
        <w:rPr>
          <w:rFonts w:ascii="Century Schoolbook" w:hAnsi="Century Schoolbook"/>
          <w:sz w:val="27"/>
          <w:szCs w:val="26"/>
        </w:rPr>
        <w:t xml:space="preserve">testify regarding </w:t>
      </w:r>
      <w:r w:rsidR="00B405A5" w:rsidRPr="001260D8">
        <w:rPr>
          <w:rFonts w:ascii="Century Schoolbook" w:hAnsi="Century Schoolbook"/>
          <w:sz w:val="27"/>
          <w:szCs w:val="26"/>
        </w:rPr>
        <w:t>those events</w:t>
      </w:r>
      <w:r w:rsidR="00654D21" w:rsidRPr="001260D8">
        <w:rPr>
          <w:rFonts w:ascii="Century Schoolbook" w:hAnsi="Century Schoolbook"/>
          <w:sz w:val="27"/>
          <w:szCs w:val="26"/>
        </w:rPr>
        <w:t xml:space="preserve">.  Most significantly, such questioning </w:t>
      </w:r>
      <w:r w:rsidR="000E4F6B" w:rsidRPr="001260D8">
        <w:rPr>
          <w:rFonts w:ascii="Century Schoolbook" w:hAnsi="Century Schoolbook"/>
          <w:sz w:val="27"/>
          <w:szCs w:val="26"/>
        </w:rPr>
        <w:t xml:space="preserve">of plaintiff </w:t>
      </w:r>
      <w:r w:rsidR="00922B86" w:rsidRPr="001260D8">
        <w:rPr>
          <w:rFonts w:ascii="Century Schoolbook" w:hAnsi="Century Schoolbook"/>
          <w:sz w:val="27"/>
          <w:szCs w:val="26"/>
        </w:rPr>
        <w:t xml:space="preserve">would </w:t>
      </w:r>
      <w:r w:rsidR="00E25063" w:rsidRPr="001260D8">
        <w:rPr>
          <w:rFonts w:ascii="Century Schoolbook" w:hAnsi="Century Schoolbook"/>
          <w:sz w:val="27"/>
          <w:szCs w:val="26"/>
        </w:rPr>
        <w:t xml:space="preserve">have </w:t>
      </w:r>
      <w:r w:rsidR="00922B86" w:rsidRPr="001260D8">
        <w:rPr>
          <w:rFonts w:ascii="Century Schoolbook" w:hAnsi="Century Schoolbook"/>
          <w:sz w:val="27"/>
          <w:szCs w:val="26"/>
        </w:rPr>
        <w:t>be</w:t>
      </w:r>
      <w:r w:rsidR="00E25063" w:rsidRPr="001260D8">
        <w:rPr>
          <w:rFonts w:ascii="Century Schoolbook" w:hAnsi="Century Schoolbook"/>
          <w:sz w:val="27"/>
          <w:szCs w:val="26"/>
        </w:rPr>
        <w:t xml:space="preserve">en </w:t>
      </w:r>
      <w:r w:rsidR="00654D21" w:rsidRPr="001260D8">
        <w:rPr>
          <w:rFonts w:ascii="Century Schoolbook" w:hAnsi="Century Schoolbook"/>
          <w:sz w:val="27"/>
          <w:szCs w:val="26"/>
        </w:rPr>
        <w:t>expected to address</w:t>
      </w:r>
      <w:r w:rsidR="00E57106" w:rsidRPr="001260D8">
        <w:rPr>
          <w:rFonts w:ascii="Century Schoolbook" w:hAnsi="Century Schoolbook"/>
          <w:sz w:val="27"/>
          <w:szCs w:val="26"/>
        </w:rPr>
        <w:t xml:space="preserve"> the</w:t>
      </w:r>
      <w:r w:rsidR="00FC746F" w:rsidRPr="001260D8">
        <w:rPr>
          <w:rFonts w:ascii="Century Schoolbook" w:hAnsi="Century Schoolbook"/>
          <w:sz w:val="27"/>
          <w:szCs w:val="26"/>
        </w:rPr>
        <w:t xml:space="preserve"> </w:t>
      </w:r>
      <w:r w:rsidR="00E57106" w:rsidRPr="001260D8">
        <w:rPr>
          <w:rFonts w:ascii="Century Schoolbook" w:hAnsi="Century Schoolbook"/>
          <w:sz w:val="27"/>
          <w:szCs w:val="26"/>
        </w:rPr>
        <w:t xml:space="preserve">issue of whether </w:t>
      </w:r>
      <w:r w:rsidR="000E4F6B" w:rsidRPr="001260D8">
        <w:rPr>
          <w:rFonts w:ascii="Century Schoolbook" w:hAnsi="Century Schoolbook"/>
          <w:sz w:val="27"/>
          <w:szCs w:val="26"/>
        </w:rPr>
        <w:t xml:space="preserve">she </w:t>
      </w:r>
      <w:r w:rsidR="00E57106" w:rsidRPr="001260D8">
        <w:rPr>
          <w:rFonts w:ascii="Century Schoolbook" w:hAnsi="Century Schoolbook"/>
          <w:sz w:val="27"/>
          <w:szCs w:val="26"/>
        </w:rPr>
        <w:t>will</w:t>
      </w:r>
      <w:r w:rsidR="00180E52" w:rsidRPr="001260D8">
        <w:rPr>
          <w:rFonts w:ascii="Century Schoolbook" w:hAnsi="Century Schoolbook"/>
          <w:sz w:val="27"/>
          <w:szCs w:val="26"/>
        </w:rPr>
        <w:t xml:space="preserve"> claim </w:t>
      </w:r>
      <w:bookmarkStart w:id="11" w:name="_Hlk122705366"/>
      <w:r w:rsidR="00180E52" w:rsidRPr="001260D8">
        <w:rPr>
          <w:rFonts w:ascii="Century Schoolbook" w:hAnsi="Century Schoolbook"/>
          <w:sz w:val="27"/>
          <w:szCs w:val="26"/>
        </w:rPr>
        <w:t xml:space="preserve">that 100 percent of her emotional distress damages </w:t>
      </w:r>
      <w:r w:rsidR="00180E52" w:rsidRPr="00A408F7">
        <w:rPr>
          <w:rFonts w:ascii="Century Schoolbook" w:hAnsi="Century Schoolbook"/>
          <w:sz w:val="27"/>
          <w:szCs w:val="26"/>
        </w:rPr>
        <w:t>is</w:t>
      </w:r>
      <w:r w:rsidR="00180E52" w:rsidRPr="001260D8">
        <w:rPr>
          <w:rFonts w:ascii="Century Schoolbook" w:hAnsi="Century Schoolbook"/>
          <w:sz w:val="27"/>
          <w:szCs w:val="26"/>
        </w:rPr>
        <w:t xml:space="preserve"> attributable to the 2009–2010 Baldenebro </w:t>
      </w:r>
      <w:r w:rsidR="00CA6246" w:rsidRPr="001260D8">
        <w:rPr>
          <w:rFonts w:ascii="Century Schoolbook" w:hAnsi="Century Schoolbook"/>
          <w:sz w:val="27"/>
          <w:szCs w:val="26"/>
        </w:rPr>
        <w:t xml:space="preserve">abuse </w:t>
      </w:r>
      <w:r w:rsidR="00180E52" w:rsidRPr="001260D8">
        <w:rPr>
          <w:rFonts w:ascii="Century Schoolbook" w:hAnsi="Century Schoolbook"/>
          <w:sz w:val="27"/>
          <w:szCs w:val="26"/>
        </w:rPr>
        <w:t>and none to any other factor, including the 2013 molestation</w:t>
      </w:r>
      <w:bookmarkEnd w:id="11"/>
      <w:r w:rsidR="00180E52" w:rsidRPr="001260D8">
        <w:rPr>
          <w:rFonts w:ascii="Century Schoolbook" w:hAnsi="Century Schoolbook"/>
          <w:sz w:val="27"/>
          <w:szCs w:val="26"/>
        </w:rPr>
        <w:t xml:space="preserve">.  </w:t>
      </w:r>
    </w:p>
    <w:p w14:paraId="0DB2E7EF" w14:textId="77777777" w:rsidR="002C236B" w:rsidRPr="002F5DEC" w:rsidRDefault="002E6832" w:rsidP="001260D8">
      <w:pPr>
        <w:pStyle w:val="PlainText"/>
        <w:ind w:firstLine="720"/>
        <w:rPr>
          <w:rFonts w:ascii="Century Schoolbook" w:hAnsi="Century Schoolbook"/>
          <w:sz w:val="27"/>
          <w:szCs w:val="26"/>
        </w:rPr>
      </w:pPr>
      <w:r w:rsidRPr="001260D8">
        <w:rPr>
          <w:rFonts w:ascii="Century Schoolbook" w:hAnsi="Century Schoolbook"/>
          <w:sz w:val="27"/>
          <w:szCs w:val="26"/>
        </w:rPr>
        <w:t xml:space="preserve">The Court of Appeal acknowledged that there had been no </w:t>
      </w:r>
      <w:r w:rsidR="004C6EA3" w:rsidRPr="001260D8">
        <w:rPr>
          <w:rFonts w:ascii="Century Schoolbook" w:hAnsi="Century Schoolbook"/>
          <w:sz w:val="27"/>
          <w:szCs w:val="26"/>
        </w:rPr>
        <w:t xml:space="preserve">such </w:t>
      </w:r>
      <w:r w:rsidRPr="001260D8">
        <w:rPr>
          <w:rFonts w:ascii="Century Schoolbook" w:hAnsi="Century Schoolbook"/>
          <w:sz w:val="27"/>
          <w:szCs w:val="26"/>
        </w:rPr>
        <w:t xml:space="preserve">questioning of plaintiff, but </w:t>
      </w:r>
      <w:r w:rsidRPr="001260D8">
        <w:rPr>
          <w:rFonts w:ascii="Century Schoolbook" w:hAnsi="Century Schoolbook"/>
          <w:sz w:val="27"/>
          <w:szCs w:val="26"/>
        </w:rPr>
        <w:t>reasoned that the parties must have been aware of</w:t>
      </w:r>
      <w:r w:rsidR="000D1B36">
        <w:rPr>
          <w:rFonts w:ascii="Century Schoolbook" w:hAnsi="Century Schoolbook"/>
          <w:sz w:val="27"/>
          <w:szCs w:val="26"/>
        </w:rPr>
        <w:t> </w:t>
      </w:r>
      <w:r w:rsidR="00B01D28">
        <w:rPr>
          <w:rFonts w:ascii="Century Schoolbook" w:hAnsi="Century Schoolbook"/>
          <w:sz w:val="27"/>
          <w:szCs w:val="26"/>
        </w:rPr>
        <w:t xml:space="preserve">— </w:t>
      </w:r>
      <w:r w:rsidRPr="00943FF5">
        <w:rPr>
          <w:rFonts w:ascii="Century Schoolbook" w:hAnsi="Century Schoolbook"/>
          <w:sz w:val="27"/>
          <w:szCs w:val="26"/>
        </w:rPr>
        <w:t>and waived</w:t>
      </w:r>
      <w:r w:rsidR="000D1B36">
        <w:rPr>
          <w:rFonts w:ascii="Century Schoolbook" w:hAnsi="Century Schoolbook"/>
          <w:sz w:val="27"/>
          <w:szCs w:val="26"/>
        </w:rPr>
        <w:t> </w:t>
      </w:r>
      <w:r w:rsidR="00B01D28">
        <w:rPr>
          <w:rFonts w:ascii="Century Schoolbook" w:hAnsi="Century Schoolbook"/>
          <w:sz w:val="27"/>
          <w:szCs w:val="26"/>
        </w:rPr>
        <w:t>—</w:t>
      </w:r>
      <w:r w:rsidRPr="00943FF5">
        <w:rPr>
          <w:rFonts w:ascii="Century Schoolbook" w:hAnsi="Century Schoolbook"/>
          <w:sz w:val="27"/>
          <w:szCs w:val="26"/>
        </w:rPr>
        <w:t xml:space="preserve"> that </w:t>
      </w:r>
      <w:r w:rsidR="00BF264D" w:rsidRPr="00943FF5">
        <w:rPr>
          <w:rFonts w:ascii="Century Schoolbook" w:hAnsi="Century Schoolbook"/>
          <w:sz w:val="27"/>
          <w:szCs w:val="26"/>
        </w:rPr>
        <w:t xml:space="preserve">statutory </w:t>
      </w:r>
      <w:r w:rsidRPr="00943FF5">
        <w:rPr>
          <w:rFonts w:ascii="Century Schoolbook" w:hAnsi="Century Schoolbook"/>
          <w:sz w:val="27"/>
          <w:szCs w:val="26"/>
        </w:rPr>
        <w:t>right and</w:t>
      </w:r>
      <w:r w:rsidR="00B01D28">
        <w:rPr>
          <w:rFonts w:ascii="Century Schoolbook" w:hAnsi="Century Schoolbook"/>
          <w:sz w:val="27"/>
          <w:szCs w:val="26"/>
        </w:rPr>
        <w:t xml:space="preserve"> thus</w:t>
      </w:r>
      <w:r w:rsidRPr="00943FF5">
        <w:rPr>
          <w:rFonts w:ascii="Century Schoolbook" w:hAnsi="Century Schoolbook"/>
          <w:sz w:val="27"/>
          <w:szCs w:val="26"/>
        </w:rPr>
        <w:t xml:space="preserve"> were not prejudiced.  (</w:t>
      </w:r>
      <w:r w:rsidRPr="00943FF5">
        <w:rPr>
          <w:rFonts w:ascii="Century Schoolbook" w:hAnsi="Century Schoolbook"/>
          <w:i/>
          <w:iCs/>
          <w:sz w:val="27"/>
          <w:szCs w:val="26"/>
        </w:rPr>
        <w:t>Doe</w:t>
      </w:r>
      <w:r w:rsidRPr="00943FF5">
        <w:rPr>
          <w:rFonts w:ascii="Century Schoolbook" w:hAnsi="Century Schoolbook"/>
          <w:sz w:val="27"/>
          <w:szCs w:val="26"/>
        </w:rPr>
        <w:t xml:space="preserve">, </w:t>
      </w:r>
      <w:r w:rsidRPr="00943FF5">
        <w:rPr>
          <w:rFonts w:ascii="Century Schoolbook" w:hAnsi="Century Schoolbook"/>
          <w:i/>
          <w:iCs/>
          <w:sz w:val="27"/>
          <w:szCs w:val="26"/>
        </w:rPr>
        <w:t>supra</w:t>
      </w:r>
      <w:r w:rsidRPr="00943FF5">
        <w:rPr>
          <w:rFonts w:ascii="Century Schoolbook" w:hAnsi="Century Schoolbook"/>
          <w:sz w:val="27"/>
          <w:szCs w:val="26"/>
        </w:rPr>
        <w:t>, 71 Cal.App.5th at p.</w:t>
      </w:r>
      <w:r w:rsidR="00412D59">
        <w:rPr>
          <w:rFonts w:ascii="Century Schoolbook" w:hAnsi="Century Schoolbook"/>
          <w:sz w:val="27"/>
          <w:szCs w:val="26"/>
        </w:rPr>
        <w:t> </w:t>
      </w:r>
      <w:r w:rsidRPr="00943FF5">
        <w:rPr>
          <w:rFonts w:ascii="Century Schoolbook" w:hAnsi="Century Schoolbook"/>
          <w:sz w:val="27"/>
          <w:szCs w:val="26"/>
        </w:rPr>
        <w:t>241.)</w:t>
      </w:r>
      <w:r>
        <w:rPr>
          <w:rStyle w:val="FootnoteReference"/>
          <w:bCs/>
          <w:szCs w:val="26"/>
        </w:rPr>
        <w:footnoteReference w:id="14"/>
      </w:r>
      <w:r w:rsidRPr="002F5DEC">
        <w:rPr>
          <w:rFonts w:ascii="Century Schoolbook" w:hAnsi="Century Schoolbook"/>
          <w:sz w:val="27"/>
          <w:szCs w:val="26"/>
        </w:rPr>
        <w:t xml:space="preserve">  </w:t>
      </w:r>
      <w:r w:rsidR="000A2557" w:rsidRPr="002F5DEC">
        <w:rPr>
          <w:rFonts w:ascii="Century Schoolbook" w:hAnsi="Century Schoolbook"/>
          <w:sz w:val="27"/>
          <w:szCs w:val="26"/>
        </w:rPr>
        <w:t xml:space="preserve">We disagree with the appellate court’s </w:t>
      </w:r>
      <w:r w:rsidR="002A4EED" w:rsidRPr="002F5DEC">
        <w:rPr>
          <w:rFonts w:ascii="Century Schoolbook" w:hAnsi="Century Schoolbook"/>
          <w:sz w:val="27"/>
          <w:szCs w:val="26"/>
        </w:rPr>
        <w:t>analysis</w:t>
      </w:r>
      <w:r w:rsidR="000A2557" w:rsidRPr="002F5DEC">
        <w:rPr>
          <w:rFonts w:ascii="Century Schoolbook" w:hAnsi="Century Schoolbook"/>
          <w:sz w:val="27"/>
          <w:szCs w:val="26"/>
        </w:rPr>
        <w:t>.  The initial issue at the trial court’s in limine</w:t>
      </w:r>
      <w:r w:rsidR="000A2557" w:rsidRPr="002F5DEC">
        <w:rPr>
          <w:rFonts w:ascii="Century Schoolbook" w:hAnsi="Century Schoolbook"/>
          <w:i/>
          <w:iCs/>
          <w:sz w:val="27"/>
          <w:szCs w:val="26"/>
        </w:rPr>
        <w:t xml:space="preserve"> </w:t>
      </w:r>
      <w:r w:rsidR="000A2557" w:rsidRPr="002F5DEC">
        <w:rPr>
          <w:rFonts w:ascii="Century Schoolbook" w:hAnsi="Century Schoolbook"/>
          <w:sz w:val="27"/>
          <w:szCs w:val="26"/>
        </w:rPr>
        <w:t xml:space="preserve">hearing was the applicability of the shield law.  Once the court </w:t>
      </w:r>
      <w:r w:rsidR="001E0456">
        <w:rPr>
          <w:rFonts w:ascii="Century Schoolbook" w:hAnsi="Century Schoolbook"/>
          <w:sz w:val="27"/>
          <w:szCs w:val="26"/>
        </w:rPr>
        <w:t xml:space="preserve">found </w:t>
      </w:r>
      <w:r w:rsidR="000A2557" w:rsidRPr="002F5DEC">
        <w:rPr>
          <w:rFonts w:ascii="Century Schoolbook" w:hAnsi="Century Schoolbook"/>
          <w:sz w:val="27"/>
          <w:szCs w:val="26"/>
        </w:rPr>
        <w:t>the shield law inapplicable, the parties had no</w:t>
      </w:r>
      <w:r w:rsidR="00913FC0" w:rsidRPr="002F5DEC">
        <w:rPr>
          <w:rFonts w:ascii="Century Schoolbook" w:hAnsi="Century Schoolbook"/>
          <w:sz w:val="27"/>
          <w:szCs w:val="26"/>
        </w:rPr>
        <w:t xml:space="preserve"> rea</w:t>
      </w:r>
      <w:r w:rsidR="003E5A8F" w:rsidRPr="002F5DEC">
        <w:rPr>
          <w:rFonts w:ascii="Century Schoolbook" w:hAnsi="Century Schoolbook"/>
          <w:sz w:val="27"/>
          <w:szCs w:val="26"/>
        </w:rPr>
        <w:t xml:space="preserve">son or clear mechanism </w:t>
      </w:r>
      <w:r w:rsidR="000A2557" w:rsidRPr="002F5DEC">
        <w:rPr>
          <w:rFonts w:ascii="Century Schoolbook" w:hAnsi="Century Schoolbook"/>
          <w:sz w:val="27"/>
          <w:szCs w:val="26"/>
        </w:rPr>
        <w:lastRenderedPageBreak/>
        <w:t xml:space="preserve">to invoke their right to question plaintiff under that law.  The Court of Appeal erred in construing their failure to do so as a waiver.  </w:t>
      </w:r>
      <w:r w:rsidR="000B3BE1" w:rsidRPr="002F5DEC">
        <w:rPr>
          <w:rFonts w:ascii="Century Schoolbook" w:hAnsi="Century Schoolbook"/>
          <w:sz w:val="27"/>
          <w:szCs w:val="26"/>
        </w:rPr>
        <w:t xml:space="preserve">Moreover, it </w:t>
      </w:r>
      <w:r w:rsidR="005718D6" w:rsidRPr="002F5DEC">
        <w:rPr>
          <w:rFonts w:ascii="Century Schoolbook" w:hAnsi="Century Schoolbook"/>
          <w:sz w:val="27"/>
          <w:szCs w:val="26"/>
        </w:rPr>
        <w:t xml:space="preserve">is </w:t>
      </w:r>
      <w:r w:rsidR="00894129" w:rsidRPr="002F5DEC">
        <w:rPr>
          <w:rFonts w:ascii="Century Schoolbook" w:hAnsi="Century Schoolbook"/>
          <w:sz w:val="27"/>
          <w:szCs w:val="26"/>
        </w:rPr>
        <w:t>not apparent wh</w:t>
      </w:r>
      <w:r w:rsidR="00A03BE1" w:rsidRPr="002F5DEC">
        <w:rPr>
          <w:rFonts w:ascii="Century Schoolbook" w:hAnsi="Century Schoolbook"/>
          <w:sz w:val="27"/>
          <w:szCs w:val="26"/>
        </w:rPr>
        <w:t>y</w:t>
      </w:r>
      <w:r w:rsidR="00357B17" w:rsidRPr="002F5DEC">
        <w:rPr>
          <w:rFonts w:ascii="Century Schoolbook" w:hAnsi="Century Schoolbook"/>
          <w:sz w:val="27"/>
          <w:szCs w:val="26"/>
        </w:rPr>
        <w:t xml:space="preserve"> the parties</w:t>
      </w:r>
      <w:r w:rsidR="00A45CCB" w:rsidRPr="002F5DEC">
        <w:rPr>
          <w:rFonts w:ascii="Century Schoolbook" w:hAnsi="Century Schoolbook"/>
          <w:sz w:val="27"/>
          <w:szCs w:val="26"/>
        </w:rPr>
        <w:t xml:space="preserve"> </w:t>
      </w:r>
      <w:r w:rsidR="00A03BE1" w:rsidRPr="002F5DEC">
        <w:rPr>
          <w:rFonts w:ascii="Century Schoolbook" w:hAnsi="Century Schoolbook"/>
          <w:sz w:val="27"/>
          <w:szCs w:val="26"/>
        </w:rPr>
        <w:t xml:space="preserve">would have waived such an opportunity to </w:t>
      </w:r>
      <w:r w:rsidR="005D62EC" w:rsidRPr="002F5DEC">
        <w:rPr>
          <w:rFonts w:ascii="Century Schoolbook" w:hAnsi="Century Schoolbook"/>
          <w:sz w:val="27"/>
          <w:szCs w:val="26"/>
        </w:rPr>
        <w:t xml:space="preserve">flesh out </w:t>
      </w:r>
      <w:r w:rsidR="00A03BE1" w:rsidRPr="002F5DEC">
        <w:rPr>
          <w:rFonts w:ascii="Century Schoolbook" w:hAnsi="Century Schoolbook"/>
          <w:sz w:val="27"/>
          <w:szCs w:val="26"/>
        </w:rPr>
        <w:t>the record</w:t>
      </w:r>
      <w:r w:rsidR="00101F89" w:rsidRPr="002F5DEC">
        <w:rPr>
          <w:rFonts w:ascii="Century Schoolbook" w:hAnsi="Century Schoolbook"/>
          <w:sz w:val="27"/>
          <w:szCs w:val="26"/>
        </w:rPr>
        <w:t xml:space="preserve">.  </w:t>
      </w:r>
      <w:r w:rsidR="002E0CAB" w:rsidRPr="002F5DEC">
        <w:rPr>
          <w:rFonts w:ascii="Century Schoolbook" w:hAnsi="Century Schoolbook"/>
          <w:sz w:val="27"/>
          <w:szCs w:val="26"/>
        </w:rPr>
        <w:t>N</w:t>
      </w:r>
      <w:r w:rsidR="00203724" w:rsidRPr="002F5DEC">
        <w:rPr>
          <w:rFonts w:ascii="Century Schoolbook" w:hAnsi="Century Schoolbook"/>
          <w:sz w:val="27"/>
          <w:szCs w:val="26"/>
        </w:rPr>
        <w:t xml:space="preserve">or is </w:t>
      </w:r>
      <w:r w:rsidR="00E87828" w:rsidRPr="002F5DEC">
        <w:rPr>
          <w:rFonts w:ascii="Century Schoolbook" w:hAnsi="Century Schoolbook"/>
          <w:sz w:val="27"/>
          <w:szCs w:val="26"/>
        </w:rPr>
        <w:t xml:space="preserve">it </w:t>
      </w:r>
      <w:r w:rsidR="00836FBF" w:rsidRPr="002F5DEC">
        <w:rPr>
          <w:rFonts w:ascii="Century Schoolbook" w:hAnsi="Century Schoolbook"/>
          <w:sz w:val="27"/>
          <w:szCs w:val="26"/>
        </w:rPr>
        <w:t xml:space="preserve">evident </w:t>
      </w:r>
      <w:r w:rsidR="00B87436" w:rsidRPr="002F5DEC">
        <w:rPr>
          <w:rFonts w:ascii="Century Schoolbook" w:hAnsi="Century Schoolbook"/>
          <w:sz w:val="27"/>
          <w:szCs w:val="26"/>
        </w:rPr>
        <w:t xml:space="preserve">why the trial court </w:t>
      </w:r>
      <w:r w:rsidR="00C03CC0" w:rsidRPr="002F5DEC">
        <w:rPr>
          <w:rFonts w:ascii="Century Schoolbook" w:hAnsi="Century Schoolbook"/>
          <w:sz w:val="27"/>
          <w:szCs w:val="26"/>
        </w:rPr>
        <w:t>fail</w:t>
      </w:r>
      <w:r w:rsidR="000433F0" w:rsidRPr="002F5DEC">
        <w:rPr>
          <w:rFonts w:ascii="Century Schoolbook" w:hAnsi="Century Schoolbook"/>
          <w:sz w:val="27"/>
          <w:szCs w:val="26"/>
        </w:rPr>
        <w:t>ed</w:t>
      </w:r>
      <w:r w:rsidR="00E87828" w:rsidRPr="002F5DEC">
        <w:rPr>
          <w:rFonts w:ascii="Century Schoolbook" w:hAnsi="Century Schoolbook"/>
          <w:sz w:val="27"/>
          <w:szCs w:val="26"/>
        </w:rPr>
        <w:t xml:space="preserve"> </w:t>
      </w:r>
      <w:r w:rsidR="00C03CC0" w:rsidRPr="002F5DEC">
        <w:rPr>
          <w:rFonts w:ascii="Century Schoolbook" w:hAnsi="Century Schoolbook"/>
          <w:sz w:val="27"/>
          <w:szCs w:val="26"/>
        </w:rPr>
        <w:t>to prompt the</w:t>
      </w:r>
      <w:r w:rsidR="00E87828" w:rsidRPr="002F5DEC">
        <w:rPr>
          <w:rFonts w:ascii="Century Schoolbook" w:hAnsi="Century Schoolbook"/>
          <w:sz w:val="27"/>
          <w:szCs w:val="26"/>
        </w:rPr>
        <w:t xml:space="preserve"> parties to take advantage of the </w:t>
      </w:r>
      <w:r w:rsidR="007A4CE1" w:rsidRPr="002F5DEC">
        <w:rPr>
          <w:rFonts w:ascii="Century Schoolbook" w:hAnsi="Century Schoolbook"/>
          <w:sz w:val="27"/>
          <w:szCs w:val="26"/>
        </w:rPr>
        <w:t>statutory procedure</w:t>
      </w:r>
      <w:r w:rsidR="002A2ECC" w:rsidRPr="002F5DEC">
        <w:rPr>
          <w:rFonts w:ascii="Century Schoolbook" w:hAnsi="Century Schoolbook"/>
          <w:sz w:val="27"/>
          <w:szCs w:val="26"/>
        </w:rPr>
        <w:t xml:space="preserve"> in order </w:t>
      </w:r>
      <w:r w:rsidR="00C03CC0" w:rsidRPr="002F5DEC">
        <w:rPr>
          <w:rFonts w:ascii="Century Schoolbook" w:hAnsi="Century Schoolbook"/>
          <w:sz w:val="27"/>
          <w:szCs w:val="26"/>
        </w:rPr>
        <w:t xml:space="preserve">to </w:t>
      </w:r>
      <w:r w:rsidR="008E4B0E" w:rsidRPr="002F5DEC">
        <w:rPr>
          <w:rFonts w:ascii="Century Schoolbook" w:hAnsi="Century Schoolbook"/>
          <w:sz w:val="27"/>
          <w:szCs w:val="26"/>
        </w:rPr>
        <w:t xml:space="preserve">achieve </w:t>
      </w:r>
      <w:r w:rsidR="00C03CC0" w:rsidRPr="002F5DEC">
        <w:rPr>
          <w:rFonts w:ascii="Century Schoolbook" w:hAnsi="Century Schoolbook"/>
          <w:sz w:val="27"/>
          <w:szCs w:val="26"/>
        </w:rPr>
        <w:t>clari</w:t>
      </w:r>
      <w:r w:rsidR="008E4B0E" w:rsidRPr="002F5DEC">
        <w:rPr>
          <w:rFonts w:ascii="Century Schoolbook" w:hAnsi="Century Schoolbook"/>
          <w:sz w:val="27"/>
          <w:szCs w:val="26"/>
        </w:rPr>
        <w:t xml:space="preserve">ty </w:t>
      </w:r>
      <w:r w:rsidR="00252A4E" w:rsidRPr="002F5DEC">
        <w:rPr>
          <w:rFonts w:ascii="Century Schoolbook" w:hAnsi="Century Schoolbook"/>
          <w:sz w:val="27"/>
          <w:szCs w:val="26"/>
        </w:rPr>
        <w:t xml:space="preserve">in these </w:t>
      </w:r>
      <w:r w:rsidR="008E4B0E" w:rsidRPr="002F5DEC">
        <w:rPr>
          <w:rFonts w:ascii="Century Schoolbook" w:hAnsi="Century Schoolbook"/>
          <w:sz w:val="27"/>
          <w:szCs w:val="26"/>
        </w:rPr>
        <w:t xml:space="preserve">crucial </w:t>
      </w:r>
      <w:r w:rsidR="00252A4E" w:rsidRPr="002F5DEC">
        <w:rPr>
          <w:rFonts w:ascii="Century Schoolbook" w:hAnsi="Century Schoolbook"/>
          <w:sz w:val="27"/>
          <w:szCs w:val="26"/>
        </w:rPr>
        <w:t>respects</w:t>
      </w:r>
      <w:r w:rsidR="00C03CC0" w:rsidRPr="002F5DEC">
        <w:rPr>
          <w:rFonts w:ascii="Century Schoolbook" w:hAnsi="Century Schoolbook"/>
          <w:sz w:val="27"/>
          <w:szCs w:val="26"/>
        </w:rPr>
        <w:t xml:space="preserve">.  </w:t>
      </w:r>
      <w:r w:rsidR="002A2ECC" w:rsidRPr="002F5DEC">
        <w:rPr>
          <w:rFonts w:ascii="Century Schoolbook" w:hAnsi="Century Schoolbook"/>
          <w:sz w:val="27"/>
          <w:szCs w:val="26"/>
        </w:rPr>
        <w:t xml:space="preserve">But </w:t>
      </w:r>
      <w:r w:rsidR="00DE72C2" w:rsidRPr="002F5DEC">
        <w:rPr>
          <w:rFonts w:ascii="Century Schoolbook" w:hAnsi="Century Schoolbook"/>
          <w:sz w:val="27"/>
          <w:szCs w:val="26"/>
        </w:rPr>
        <w:t xml:space="preserve">precisely because there was no such </w:t>
      </w:r>
      <w:r w:rsidR="00B937AB" w:rsidRPr="002F5DEC">
        <w:rPr>
          <w:rFonts w:ascii="Century Schoolbook" w:hAnsi="Century Schoolbook"/>
          <w:sz w:val="27"/>
          <w:szCs w:val="26"/>
        </w:rPr>
        <w:t xml:space="preserve">elucidation </w:t>
      </w:r>
      <w:r w:rsidR="00B94EE4" w:rsidRPr="002F5DEC">
        <w:rPr>
          <w:rFonts w:ascii="Century Schoolbook" w:hAnsi="Century Schoolbook"/>
          <w:sz w:val="27"/>
          <w:szCs w:val="26"/>
        </w:rPr>
        <w:t>on the record</w:t>
      </w:r>
      <w:r w:rsidR="00357B17" w:rsidRPr="002F5DEC">
        <w:rPr>
          <w:rFonts w:ascii="Century Schoolbook" w:hAnsi="Century Schoolbook"/>
          <w:sz w:val="27"/>
          <w:szCs w:val="26"/>
        </w:rPr>
        <w:t xml:space="preserve">, </w:t>
      </w:r>
      <w:r w:rsidR="00B34422" w:rsidRPr="002F5DEC">
        <w:rPr>
          <w:rFonts w:ascii="Century Schoolbook" w:hAnsi="Century Schoolbook"/>
          <w:sz w:val="27"/>
          <w:szCs w:val="26"/>
        </w:rPr>
        <w:t xml:space="preserve">the Court of Appeal </w:t>
      </w:r>
      <w:r w:rsidR="00DE72C2" w:rsidRPr="002F5DEC">
        <w:rPr>
          <w:rFonts w:ascii="Century Schoolbook" w:hAnsi="Century Schoolbook"/>
          <w:sz w:val="27"/>
          <w:szCs w:val="26"/>
        </w:rPr>
        <w:t>f</w:t>
      </w:r>
      <w:r w:rsidR="00BE2442" w:rsidRPr="002F5DEC">
        <w:rPr>
          <w:rFonts w:ascii="Century Schoolbook" w:hAnsi="Century Schoolbook"/>
          <w:sz w:val="27"/>
          <w:szCs w:val="26"/>
        </w:rPr>
        <w:t>ound it</w:t>
      </w:r>
      <w:r w:rsidR="005B2116" w:rsidRPr="002F5DEC">
        <w:rPr>
          <w:rFonts w:ascii="Century Schoolbook" w:hAnsi="Century Schoolbook"/>
          <w:sz w:val="27"/>
          <w:szCs w:val="26"/>
        </w:rPr>
        <w:t>se</w:t>
      </w:r>
      <w:r w:rsidR="000E2B60" w:rsidRPr="002F5DEC">
        <w:rPr>
          <w:rFonts w:ascii="Century Schoolbook" w:hAnsi="Century Schoolbook"/>
          <w:sz w:val="27"/>
          <w:szCs w:val="26"/>
        </w:rPr>
        <w:t>lf forced</w:t>
      </w:r>
      <w:r w:rsidR="00BE2442" w:rsidRPr="002F5DEC">
        <w:rPr>
          <w:rFonts w:ascii="Century Schoolbook" w:hAnsi="Century Schoolbook"/>
          <w:sz w:val="27"/>
          <w:szCs w:val="26"/>
        </w:rPr>
        <w:t xml:space="preserve"> to </w:t>
      </w:r>
      <w:r w:rsidR="00B34422" w:rsidRPr="002F5DEC">
        <w:rPr>
          <w:rFonts w:ascii="Century Schoolbook" w:hAnsi="Century Schoolbook"/>
          <w:sz w:val="27"/>
          <w:szCs w:val="26"/>
        </w:rPr>
        <w:t>fill</w:t>
      </w:r>
      <w:r w:rsidR="00BE2442" w:rsidRPr="002F5DEC">
        <w:rPr>
          <w:rFonts w:ascii="Century Schoolbook" w:hAnsi="Century Schoolbook"/>
          <w:sz w:val="27"/>
          <w:szCs w:val="26"/>
        </w:rPr>
        <w:t xml:space="preserve"> </w:t>
      </w:r>
      <w:r w:rsidR="00B34422" w:rsidRPr="002F5DEC">
        <w:rPr>
          <w:rFonts w:ascii="Century Schoolbook" w:hAnsi="Century Schoolbook"/>
          <w:sz w:val="27"/>
          <w:szCs w:val="26"/>
        </w:rPr>
        <w:t>the gaps</w:t>
      </w:r>
      <w:r w:rsidR="005F367C" w:rsidRPr="002F5DEC">
        <w:rPr>
          <w:rFonts w:ascii="Century Schoolbook" w:hAnsi="Century Schoolbook"/>
          <w:sz w:val="27"/>
          <w:szCs w:val="26"/>
        </w:rPr>
        <w:t xml:space="preserve">:  The </w:t>
      </w:r>
      <w:r w:rsidR="00207BF1" w:rsidRPr="002F5DEC">
        <w:rPr>
          <w:rFonts w:ascii="Century Schoolbook" w:hAnsi="Century Schoolbook"/>
          <w:sz w:val="27"/>
          <w:szCs w:val="26"/>
        </w:rPr>
        <w:t xml:space="preserve">appellate court </w:t>
      </w:r>
      <w:r w:rsidR="00440397" w:rsidRPr="002F5DEC">
        <w:rPr>
          <w:rFonts w:ascii="Century Schoolbook" w:hAnsi="Century Schoolbook"/>
          <w:sz w:val="27"/>
          <w:szCs w:val="26"/>
        </w:rPr>
        <w:t xml:space="preserve">found </w:t>
      </w:r>
      <w:r w:rsidR="00B34422" w:rsidRPr="002F5DEC">
        <w:rPr>
          <w:rFonts w:ascii="Century Schoolbook" w:hAnsi="Century Schoolbook"/>
          <w:sz w:val="27"/>
          <w:szCs w:val="26"/>
        </w:rPr>
        <w:t xml:space="preserve">it </w:t>
      </w:r>
      <w:r w:rsidR="00322E4B" w:rsidRPr="002F5DEC">
        <w:rPr>
          <w:rFonts w:ascii="Century Schoolbook" w:hAnsi="Century Schoolbook"/>
          <w:sz w:val="27"/>
          <w:szCs w:val="26"/>
        </w:rPr>
        <w:t xml:space="preserve">necessary </w:t>
      </w:r>
      <w:r w:rsidR="003906D8" w:rsidRPr="002F5DEC">
        <w:rPr>
          <w:rFonts w:ascii="Century Schoolbook" w:hAnsi="Century Schoolbook"/>
          <w:sz w:val="27"/>
          <w:szCs w:val="26"/>
        </w:rPr>
        <w:t xml:space="preserve">to </w:t>
      </w:r>
      <w:r w:rsidR="00A13A9F" w:rsidRPr="002F5DEC">
        <w:rPr>
          <w:rFonts w:ascii="Century Schoolbook" w:hAnsi="Century Schoolbook"/>
          <w:i/>
          <w:iCs/>
          <w:sz w:val="27"/>
          <w:szCs w:val="26"/>
        </w:rPr>
        <w:t>assume</w:t>
      </w:r>
      <w:r w:rsidR="003251E2" w:rsidRPr="002F5DEC">
        <w:rPr>
          <w:rFonts w:ascii="Century Schoolbook" w:hAnsi="Century Schoolbook"/>
          <w:sz w:val="27"/>
          <w:szCs w:val="26"/>
        </w:rPr>
        <w:t xml:space="preserve"> </w:t>
      </w:r>
      <w:r w:rsidR="003906D8" w:rsidRPr="002F5DEC">
        <w:rPr>
          <w:rFonts w:ascii="Century Schoolbook" w:hAnsi="Century Schoolbook"/>
          <w:sz w:val="27"/>
          <w:szCs w:val="26"/>
        </w:rPr>
        <w:t>that in fact plaintiff will testify</w:t>
      </w:r>
      <w:r w:rsidR="00AE4E26" w:rsidRPr="002F5DEC">
        <w:rPr>
          <w:rFonts w:ascii="Century Schoolbook" w:hAnsi="Century Schoolbook"/>
          <w:sz w:val="27"/>
          <w:szCs w:val="26"/>
        </w:rPr>
        <w:t xml:space="preserve"> that 100 percent of her emotional distress damages is attributable to the 2009–2010 Baldenebro abuse and none to any other factor, including the 2013 molestation</w:t>
      </w:r>
      <w:r w:rsidR="003906D8" w:rsidRPr="002F5DEC">
        <w:rPr>
          <w:rFonts w:ascii="Century Schoolbook" w:hAnsi="Century Schoolbook"/>
          <w:sz w:val="27"/>
          <w:szCs w:val="26"/>
        </w:rPr>
        <w:t xml:space="preserve">.  </w:t>
      </w:r>
      <w:r w:rsidR="003251E2" w:rsidRPr="002F5DEC">
        <w:rPr>
          <w:rFonts w:ascii="Century Schoolbook" w:hAnsi="Century Schoolbook"/>
          <w:sz w:val="27"/>
          <w:szCs w:val="26"/>
        </w:rPr>
        <w:t>(</w:t>
      </w:r>
      <w:r w:rsidR="003251E2" w:rsidRPr="002F5DEC">
        <w:rPr>
          <w:rFonts w:ascii="Century Schoolbook" w:hAnsi="Century Schoolbook"/>
          <w:i/>
          <w:iCs/>
          <w:sz w:val="27"/>
          <w:szCs w:val="26"/>
        </w:rPr>
        <w:t>Doe</w:t>
      </w:r>
      <w:r w:rsidR="003251E2" w:rsidRPr="002F5DEC">
        <w:rPr>
          <w:rFonts w:ascii="Century Schoolbook" w:hAnsi="Century Schoolbook"/>
          <w:sz w:val="27"/>
          <w:szCs w:val="26"/>
        </w:rPr>
        <w:t xml:space="preserve">, </w:t>
      </w:r>
      <w:r w:rsidR="00444C9F" w:rsidRPr="002F5DEC">
        <w:rPr>
          <w:rFonts w:ascii="Century Schoolbook" w:hAnsi="Century Schoolbook"/>
          <w:sz w:val="27"/>
          <w:szCs w:val="26"/>
        </w:rPr>
        <w:t xml:space="preserve">at p. </w:t>
      </w:r>
      <w:r w:rsidR="00F9600F" w:rsidRPr="002F5DEC">
        <w:rPr>
          <w:rFonts w:ascii="Century Schoolbook" w:hAnsi="Century Schoolbook"/>
          <w:sz w:val="27"/>
          <w:szCs w:val="26"/>
        </w:rPr>
        <w:t>232</w:t>
      </w:r>
      <w:r w:rsidR="003906D8" w:rsidRPr="002F5DEC">
        <w:rPr>
          <w:rFonts w:ascii="Century Schoolbook" w:hAnsi="Century Schoolbook"/>
          <w:sz w:val="27"/>
          <w:szCs w:val="26"/>
        </w:rPr>
        <w:t xml:space="preserve">.)  </w:t>
      </w:r>
    </w:p>
    <w:p w14:paraId="0DB2E7F0" w14:textId="77777777" w:rsidR="00565BE5" w:rsidRPr="00535A24" w:rsidRDefault="002E6832" w:rsidP="00B17AB4">
      <w:pPr>
        <w:pStyle w:val="Heading3"/>
      </w:pPr>
      <w:r w:rsidRPr="00535A24">
        <w:rPr>
          <w:i w:val="0"/>
        </w:rPr>
        <w:t>2.</w:t>
      </w:r>
      <w:r w:rsidRPr="00535A24">
        <w:t xml:space="preserve">  Failure to make an order stating what evidence may be introduced by the District and the nature of the questions to be permitted</w:t>
      </w:r>
    </w:p>
    <w:p w14:paraId="0DB2E7F1" w14:textId="77777777" w:rsidR="00D81F30" w:rsidRPr="00391446" w:rsidRDefault="002E6832" w:rsidP="00B17AB4">
      <w:pPr>
        <w:pStyle w:val="PlainText"/>
        <w:ind w:firstLine="720"/>
        <w:rPr>
          <w:rFonts w:ascii="Century Schoolbook" w:hAnsi="Century Schoolbook"/>
          <w:sz w:val="27"/>
          <w:szCs w:val="26"/>
        </w:rPr>
      </w:pPr>
      <w:r w:rsidRPr="00B17AB4">
        <w:rPr>
          <w:rFonts w:ascii="Century Schoolbook" w:hAnsi="Century Schoolbook"/>
          <w:sz w:val="27"/>
          <w:szCs w:val="26"/>
        </w:rPr>
        <w:t>T</w:t>
      </w:r>
      <w:r w:rsidR="00396EB6" w:rsidRPr="00B17AB4">
        <w:rPr>
          <w:rFonts w:ascii="Century Schoolbook" w:hAnsi="Century Schoolbook"/>
          <w:sz w:val="27"/>
          <w:szCs w:val="26"/>
        </w:rPr>
        <w:t xml:space="preserve">he trial court </w:t>
      </w:r>
      <w:r w:rsidRPr="00B17AB4">
        <w:rPr>
          <w:rFonts w:ascii="Century Schoolbook" w:hAnsi="Century Schoolbook"/>
          <w:sz w:val="27"/>
          <w:szCs w:val="26"/>
        </w:rPr>
        <w:t xml:space="preserve">also failed to </w:t>
      </w:r>
      <w:r w:rsidR="0041285E" w:rsidRPr="00B17AB4">
        <w:rPr>
          <w:rFonts w:ascii="Century Schoolbook" w:hAnsi="Century Schoolbook"/>
          <w:sz w:val="27"/>
          <w:szCs w:val="26"/>
        </w:rPr>
        <w:t xml:space="preserve">properly </w:t>
      </w:r>
      <w:r w:rsidR="00D66A5F" w:rsidRPr="00B17AB4">
        <w:rPr>
          <w:rFonts w:ascii="Century Schoolbook" w:hAnsi="Century Schoolbook"/>
          <w:sz w:val="27"/>
          <w:szCs w:val="26"/>
        </w:rPr>
        <w:t xml:space="preserve">undertake to </w:t>
      </w:r>
      <w:r w:rsidR="00F07658" w:rsidRPr="00B17AB4">
        <w:rPr>
          <w:rFonts w:ascii="Century Schoolbook" w:hAnsi="Century Schoolbook"/>
          <w:sz w:val="27"/>
          <w:szCs w:val="26"/>
        </w:rPr>
        <w:t>“make an order stating what evidence may be introduced by the defendant, and the nature of the questions to be permitted</w:t>
      </w:r>
      <w:r w:rsidR="00787029" w:rsidRPr="00B17AB4">
        <w:rPr>
          <w:rFonts w:ascii="Century Schoolbook" w:hAnsi="Century Schoolbook"/>
          <w:sz w:val="27"/>
          <w:szCs w:val="26"/>
        </w:rPr>
        <w:t>,</w:t>
      </w:r>
      <w:r w:rsidR="00F07658" w:rsidRPr="00B17AB4">
        <w:rPr>
          <w:rFonts w:ascii="Century Schoolbook" w:hAnsi="Century Schoolbook"/>
          <w:sz w:val="27"/>
          <w:szCs w:val="26"/>
        </w:rPr>
        <w:t>”</w:t>
      </w:r>
      <w:r w:rsidR="00CF5592" w:rsidRPr="00B17AB4">
        <w:rPr>
          <w:rFonts w:ascii="Century Schoolbook" w:hAnsi="Century Schoolbook"/>
          <w:sz w:val="27"/>
          <w:szCs w:val="26"/>
        </w:rPr>
        <w:t xml:space="preserve"> which </w:t>
      </w:r>
      <w:r w:rsidR="00034A05" w:rsidRPr="00B17AB4">
        <w:rPr>
          <w:rFonts w:ascii="Century Schoolbook" w:hAnsi="Century Schoolbook"/>
          <w:sz w:val="27"/>
          <w:szCs w:val="26"/>
        </w:rPr>
        <w:t xml:space="preserve">in turn </w:t>
      </w:r>
      <w:r w:rsidR="00CF5592" w:rsidRPr="00B17AB4">
        <w:rPr>
          <w:rFonts w:ascii="Century Schoolbook" w:hAnsi="Century Schoolbook"/>
          <w:sz w:val="27"/>
          <w:szCs w:val="26"/>
        </w:rPr>
        <w:t xml:space="preserve">would have </w:t>
      </w:r>
      <w:r w:rsidR="00B75576" w:rsidRPr="00B17AB4">
        <w:rPr>
          <w:rFonts w:ascii="Century Schoolbook" w:hAnsi="Century Schoolbook"/>
          <w:sz w:val="27"/>
          <w:szCs w:val="26"/>
        </w:rPr>
        <w:t>allow</w:t>
      </w:r>
      <w:r w:rsidR="00E07E67" w:rsidRPr="00B17AB4">
        <w:rPr>
          <w:rFonts w:ascii="Century Schoolbook" w:hAnsi="Century Schoolbook"/>
          <w:sz w:val="27"/>
          <w:szCs w:val="26"/>
        </w:rPr>
        <w:t xml:space="preserve">ed the District </w:t>
      </w:r>
      <w:r w:rsidR="00B10968" w:rsidRPr="00B17AB4">
        <w:rPr>
          <w:rFonts w:ascii="Century Schoolbook" w:hAnsi="Century Schoolbook"/>
          <w:sz w:val="27"/>
          <w:szCs w:val="26"/>
        </w:rPr>
        <w:t>to</w:t>
      </w:r>
      <w:r w:rsidR="00CF5592" w:rsidRPr="00B17AB4">
        <w:rPr>
          <w:rFonts w:ascii="Century Schoolbook" w:hAnsi="Century Schoolbook"/>
          <w:sz w:val="27"/>
          <w:szCs w:val="26"/>
        </w:rPr>
        <w:t xml:space="preserve"> </w:t>
      </w:r>
      <w:r w:rsidR="00577C65" w:rsidRPr="00B17AB4">
        <w:rPr>
          <w:rFonts w:ascii="Century Schoolbook" w:hAnsi="Century Schoolbook"/>
          <w:sz w:val="27"/>
          <w:szCs w:val="26"/>
        </w:rPr>
        <w:t xml:space="preserve">later </w:t>
      </w:r>
      <w:r w:rsidR="00CF5592" w:rsidRPr="00B17AB4">
        <w:rPr>
          <w:rFonts w:ascii="Century Schoolbook" w:hAnsi="Century Schoolbook"/>
          <w:sz w:val="27"/>
          <w:szCs w:val="26"/>
        </w:rPr>
        <w:t>“</w:t>
      </w:r>
      <w:r w:rsidR="00F07658" w:rsidRPr="00B17AB4">
        <w:rPr>
          <w:rFonts w:ascii="Century Schoolbook" w:hAnsi="Century Schoolbook"/>
          <w:sz w:val="27"/>
          <w:szCs w:val="26"/>
        </w:rPr>
        <w:t>offer evidence pursuant to the order of the court.</w:t>
      </w:r>
      <w:r w:rsidR="00B10968" w:rsidRPr="00B17AB4">
        <w:rPr>
          <w:rFonts w:ascii="Century Schoolbook" w:hAnsi="Century Schoolbook"/>
          <w:sz w:val="27"/>
          <w:szCs w:val="26"/>
        </w:rPr>
        <w:t xml:space="preserve">”  (§ 783, subd. (d).)  </w:t>
      </w:r>
      <w:r w:rsidR="003E2E97" w:rsidRPr="00B17AB4">
        <w:rPr>
          <w:rFonts w:ascii="Century Schoolbook" w:hAnsi="Century Schoolbook"/>
          <w:sz w:val="27"/>
          <w:szCs w:val="26"/>
        </w:rPr>
        <w:t xml:space="preserve">Consequently, </w:t>
      </w:r>
      <w:r w:rsidR="005761C5" w:rsidRPr="00B17AB4">
        <w:rPr>
          <w:rFonts w:ascii="Century Schoolbook" w:hAnsi="Century Schoolbook"/>
          <w:sz w:val="27"/>
          <w:szCs w:val="26"/>
        </w:rPr>
        <w:t xml:space="preserve">the record </w:t>
      </w:r>
      <w:r w:rsidR="00D66A5F" w:rsidRPr="00B17AB4">
        <w:rPr>
          <w:rFonts w:ascii="Century Schoolbook" w:hAnsi="Century Schoolbook"/>
          <w:sz w:val="27"/>
          <w:szCs w:val="26"/>
        </w:rPr>
        <w:t xml:space="preserve">reflects no </w:t>
      </w:r>
      <w:r w:rsidR="001F33D0" w:rsidRPr="00B17AB4">
        <w:rPr>
          <w:rFonts w:ascii="Century Schoolbook" w:hAnsi="Century Schoolbook"/>
          <w:sz w:val="27"/>
          <w:szCs w:val="26"/>
        </w:rPr>
        <w:t xml:space="preserve">understanding between the court and the parties about </w:t>
      </w:r>
      <w:r w:rsidR="00BC33DE">
        <w:rPr>
          <w:rFonts w:ascii="Century Schoolbook" w:hAnsi="Century Schoolbook"/>
          <w:sz w:val="27"/>
          <w:szCs w:val="26"/>
        </w:rPr>
        <w:t xml:space="preserve">the governing constraints on </w:t>
      </w:r>
      <w:r w:rsidR="007E3E54" w:rsidRPr="00B17AB4">
        <w:rPr>
          <w:rFonts w:ascii="Century Schoolbook" w:hAnsi="Century Schoolbook"/>
          <w:sz w:val="27"/>
          <w:szCs w:val="26"/>
        </w:rPr>
        <w:t xml:space="preserve">what evidence may be introduced and what questions may be asked </w:t>
      </w:r>
      <w:r w:rsidRPr="00B17AB4">
        <w:rPr>
          <w:rFonts w:ascii="Century Schoolbook" w:hAnsi="Century Schoolbook"/>
          <w:sz w:val="27"/>
          <w:szCs w:val="26"/>
        </w:rPr>
        <w:t>regarding that evidence.</w:t>
      </w:r>
      <w:r w:rsidR="009E7318" w:rsidRPr="00B17AB4">
        <w:rPr>
          <w:rFonts w:ascii="Century Schoolbook" w:hAnsi="Century Schoolbook"/>
          <w:sz w:val="27"/>
          <w:szCs w:val="26"/>
        </w:rPr>
        <w:t xml:space="preserve">  </w:t>
      </w:r>
      <w:r w:rsidR="00940B55" w:rsidRPr="00B17AB4">
        <w:rPr>
          <w:rFonts w:ascii="Century Schoolbook" w:hAnsi="Century Schoolbook"/>
          <w:sz w:val="27"/>
          <w:szCs w:val="26"/>
        </w:rPr>
        <w:t>Again,</w:t>
      </w:r>
      <w:r w:rsidR="00200FB6" w:rsidRPr="00B17AB4">
        <w:rPr>
          <w:rFonts w:ascii="Century Schoolbook" w:hAnsi="Century Schoolbook"/>
          <w:sz w:val="27"/>
          <w:szCs w:val="26"/>
        </w:rPr>
        <w:t xml:space="preserve"> t</w:t>
      </w:r>
      <w:r w:rsidR="00940B55" w:rsidRPr="00B17AB4">
        <w:rPr>
          <w:rFonts w:ascii="Century Schoolbook" w:hAnsi="Century Schoolbook"/>
          <w:sz w:val="27"/>
          <w:szCs w:val="26"/>
        </w:rPr>
        <w:t xml:space="preserve">he </w:t>
      </w:r>
      <w:r w:rsidR="00940B55" w:rsidRPr="00B17AB4">
        <w:rPr>
          <w:rStyle w:val="cf01"/>
          <w:rFonts w:ascii="Century Schoolbook" w:hAnsi="Century Schoolbook" w:cs="Times New Roman"/>
          <w:sz w:val="27"/>
          <w:szCs w:val="26"/>
        </w:rPr>
        <w:t>Court of Appeal found it</w:t>
      </w:r>
      <w:r w:rsidR="00D825DE" w:rsidRPr="00B17AB4">
        <w:rPr>
          <w:rStyle w:val="cf01"/>
          <w:rFonts w:ascii="Century Schoolbook" w:hAnsi="Century Schoolbook" w:cs="Times New Roman"/>
          <w:sz w:val="27"/>
          <w:szCs w:val="26"/>
        </w:rPr>
        <w:t xml:space="preserve">self forced </w:t>
      </w:r>
      <w:r w:rsidR="000E1A7C" w:rsidRPr="00B17AB4">
        <w:rPr>
          <w:rStyle w:val="cf01"/>
          <w:rFonts w:ascii="Century Schoolbook" w:hAnsi="Century Schoolbook" w:cs="Times New Roman"/>
          <w:sz w:val="27"/>
          <w:szCs w:val="26"/>
        </w:rPr>
        <w:t xml:space="preserve">to </w:t>
      </w:r>
      <w:r w:rsidR="002032B1" w:rsidRPr="00B17AB4">
        <w:rPr>
          <w:rStyle w:val="cf01"/>
          <w:rFonts w:ascii="Century Schoolbook" w:hAnsi="Century Schoolbook" w:cs="Times New Roman"/>
          <w:sz w:val="27"/>
          <w:szCs w:val="26"/>
        </w:rPr>
        <w:t xml:space="preserve">address </w:t>
      </w:r>
      <w:r w:rsidR="00140D03" w:rsidRPr="00B17AB4">
        <w:rPr>
          <w:rStyle w:val="cf01"/>
          <w:rFonts w:ascii="Century Schoolbook" w:hAnsi="Century Schoolbook" w:cs="Times New Roman"/>
          <w:sz w:val="27"/>
          <w:szCs w:val="26"/>
        </w:rPr>
        <w:t xml:space="preserve">one of the consequences of this </w:t>
      </w:r>
      <w:r w:rsidR="00AC6BE6" w:rsidRPr="00B17AB4">
        <w:rPr>
          <w:rStyle w:val="cf01"/>
          <w:rFonts w:ascii="Century Schoolbook" w:hAnsi="Century Schoolbook" w:cs="Times New Roman"/>
          <w:sz w:val="27"/>
          <w:szCs w:val="26"/>
        </w:rPr>
        <w:t>void</w:t>
      </w:r>
      <w:r w:rsidR="00140D03" w:rsidRPr="00B17AB4">
        <w:rPr>
          <w:rStyle w:val="cf01"/>
          <w:rFonts w:ascii="Century Schoolbook" w:hAnsi="Century Schoolbook" w:cs="Times New Roman"/>
          <w:sz w:val="27"/>
          <w:szCs w:val="26"/>
        </w:rPr>
        <w:t xml:space="preserve"> </w:t>
      </w:r>
      <w:r w:rsidR="00D87FBC" w:rsidRPr="00B17AB4">
        <w:rPr>
          <w:rStyle w:val="cf01"/>
          <w:rFonts w:ascii="Century Schoolbook" w:hAnsi="Century Schoolbook" w:cs="Times New Roman"/>
          <w:sz w:val="27"/>
          <w:szCs w:val="26"/>
        </w:rPr>
        <w:t xml:space="preserve">by </w:t>
      </w:r>
      <w:r w:rsidR="00210867" w:rsidRPr="00B17AB4">
        <w:rPr>
          <w:rStyle w:val="cf01"/>
          <w:rFonts w:ascii="Century Schoolbook" w:hAnsi="Century Schoolbook" w:cs="Times New Roman"/>
          <w:sz w:val="27"/>
          <w:szCs w:val="26"/>
        </w:rPr>
        <w:t xml:space="preserve">characterizing the </w:t>
      </w:r>
      <w:r w:rsidR="00940B55" w:rsidRPr="00B17AB4">
        <w:rPr>
          <w:rStyle w:val="cf01"/>
          <w:rFonts w:ascii="Century Schoolbook" w:hAnsi="Century Schoolbook" w:cs="Times New Roman"/>
          <w:sz w:val="27"/>
          <w:szCs w:val="26"/>
        </w:rPr>
        <w:t>trial court</w:t>
      </w:r>
      <w:r w:rsidR="00E018D6" w:rsidRPr="00B17AB4">
        <w:rPr>
          <w:rStyle w:val="cf01"/>
          <w:rFonts w:ascii="Century Schoolbook" w:hAnsi="Century Schoolbook" w:cs="Times New Roman"/>
          <w:sz w:val="27"/>
          <w:szCs w:val="26"/>
        </w:rPr>
        <w:t xml:space="preserve">’s </w:t>
      </w:r>
      <w:r w:rsidR="00940B55" w:rsidRPr="00B17AB4">
        <w:rPr>
          <w:rStyle w:val="cf01"/>
          <w:rFonts w:ascii="Century Schoolbook" w:hAnsi="Century Schoolbook" w:cs="Times New Roman"/>
          <w:sz w:val="27"/>
          <w:szCs w:val="26"/>
        </w:rPr>
        <w:t xml:space="preserve">ruling as </w:t>
      </w:r>
      <w:r w:rsidR="00210867" w:rsidRPr="00B17AB4">
        <w:rPr>
          <w:rStyle w:val="cf01"/>
          <w:rFonts w:ascii="Century Schoolbook" w:hAnsi="Century Schoolbook" w:cs="Times New Roman"/>
          <w:sz w:val="27"/>
          <w:szCs w:val="26"/>
        </w:rPr>
        <w:t xml:space="preserve">ambiguous and </w:t>
      </w:r>
      <w:r w:rsidR="00212A7D" w:rsidRPr="00B17AB4">
        <w:rPr>
          <w:rStyle w:val="cf01"/>
          <w:rFonts w:ascii="Century Schoolbook" w:hAnsi="Century Schoolbook" w:cs="Times New Roman"/>
          <w:sz w:val="27"/>
          <w:szCs w:val="26"/>
        </w:rPr>
        <w:t xml:space="preserve">then </w:t>
      </w:r>
      <w:r w:rsidR="00FA578B" w:rsidRPr="00B17AB4">
        <w:rPr>
          <w:rStyle w:val="cf01"/>
          <w:rFonts w:ascii="Century Schoolbook" w:hAnsi="Century Schoolbook" w:cs="Times New Roman"/>
          <w:sz w:val="27"/>
          <w:szCs w:val="26"/>
        </w:rPr>
        <w:t xml:space="preserve">by </w:t>
      </w:r>
      <w:r w:rsidR="007D3004" w:rsidRPr="00B17AB4">
        <w:rPr>
          <w:rStyle w:val="cf01"/>
          <w:rFonts w:ascii="Century Schoolbook" w:hAnsi="Century Schoolbook" w:cs="Times New Roman"/>
          <w:sz w:val="27"/>
          <w:szCs w:val="26"/>
        </w:rPr>
        <w:t xml:space="preserve">interpreting </w:t>
      </w:r>
      <w:r w:rsidR="0008081B" w:rsidRPr="00B17AB4">
        <w:rPr>
          <w:rStyle w:val="cf01"/>
          <w:rFonts w:ascii="Century Schoolbook" w:hAnsi="Century Schoolbook" w:cs="Times New Roman"/>
          <w:sz w:val="27"/>
          <w:szCs w:val="26"/>
        </w:rPr>
        <w:t xml:space="preserve">it </w:t>
      </w:r>
      <w:r w:rsidR="00FD7B23" w:rsidRPr="00B17AB4">
        <w:rPr>
          <w:rStyle w:val="cf01"/>
          <w:rFonts w:ascii="Century Schoolbook" w:hAnsi="Century Schoolbook" w:cs="Times New Roman"/>
          <w:sz w:val="27"/>
          <w:szCs w:val="26"/>
        </w:rPr>
        <w:t>“</w:t>
      </w:r>
      <w:r w:rsidR="007D3004" w:rsidRPr="00B17AB4">
        <w:rPr>
          <w:rStyle w:val="cf01"/>
          <w:rFonts w:ascii="Century Schoolbook" w:hAnsi="Century Schoolbook" w:cs="Times New Roman"/>
          <w:sz w:val="27"/>
          <w:szCs w:val="26"/>
        </w:rPr>
        <w:t xml:space="preserve">as </w:t>
      </w:r>
      <w:r w:rsidR="001758DB" w:rsidRPr="00B17AB4">
        <w:rPr>
          <w:rStyle w:val="cf01"/>
          <w:rFonts w:ascii="Century Schoolbook" w:hAnsi="Century Schoolbook" w:cs="Times New Roman"/>
          <w:sz w:val="27"/>
          <w:szCs w:val="26"/>
        </w:rPr>
        <w:t xml:space="preserve">admitting </w:t>
      </w:r>
      <w:r w:rsidR="00882C26" w:rsidRPr="00B17AB4">
        <w:rPr>
          <w:rStyle w:val="cf01"/>
          <w:rFonts w:ascii="Century Schoolbook" w:hAnsi="Century Schoolbook" w:cs="Times New Roman"/>
          <w:sz w:val="27"/>
          <w:szCs w:val="26"/>
        </w:rPr>
        <w:t xml:space="preserve">evidence of the 2013 molestation </w:t>
      </w:r>
      <w:r w:rsidR="00551CA1" w:rsidRPr="00B17AB4">
        <w:rPr>
          <w:rStyle w:val="cf01"/>
          <w:rFonts w:ascii="Century Schoolbook" w:hAnsi="Century Schoolbook" w:cs="Times New Roman"/>
          <w:i/>
          <w:iCs/>
          <w:sz w:val="27"/>
          <w:szCs w:val="26"/>
        </w:rPr>
        <w:t>sol</w:t>
      </w:r>
      <w:r w:rsidR="00D77D1F" w:rsidRPr="00B17AB4">
        <w:rPr>
          <w:rStyle w:val="cf01"/>
          <w:rFonts w:ascii="Century Schoolbook" w:hAnsi="Century Schoolbook" w:cs="Times New Roman"/>
          <w:i/>
          <w:iCs/>
          <w:sz w:val="27"/>
          <w:szCs w:val="26"/>
        </w:rPr>
        <w:t>el</w:t>
      </w:r>
      <w:r w:rsidR="00551CA1" w:rsidRPr="00B17AB4">
        <w:rPr>
          <w:rStyle w:val="cf01"/>
          <w:rFonts w:ascii="Century Schoolbook" w:hAnsi="Century Schoolbook" w:cs="Times New Roman"/>
          <w:i/>
          <w:iCs/>
          <w:sz w:val="27"/>
          <w:szCs w:val="26"/>
        </w:rPr>
        <w:t>y for purposes of impeaching</w:t>
      </w:r>
      <w:r w:rsidR="007D6436">
        <w:rPr>
          <w:rStyle w:val="cf01"/>
          <w:rFonts w:ascii="Century Schoolbook" w:hAnsi="Century Schoolbook" w:cs="Times New Roman"/>
          <w:i/>
          <w:iCs/>
          <w:sz w:val="27"/>
          <w:szCs w:val="26"/>
        </w:rPr>
        <w:t xml:space="preserve"> </w:t>
      </w:r>
      <w:r w:rsidR="00551CA1" w:rsidRPr="00391446">
        <w:rPr>
          <w:rStyle w:val="cf01"/>
          <w:rFonts w:ascii="Century Schoolbook" w:hAnsi="Century Schoolbook" w:cs="Times New Roman"/>
          <w:i/>
          <w:iCs/>
          <w:sz w:val="27"/>
          <w:szCs w:val="26"/>
        </w:rPr>
        <w:t>. . .</w:t>
      </w:r>
      <w:r w:rsidR="00707689">
        <w:rPr>
          <w:rStyle w:val="cf01"/>
          <w:rFonts w:ascii="Century Schoolbook" w:hAnsi="Century Schoolbook" w:cs="Times New Roman"/>
          <w:i/>
          <w:iCs/>
          <w:sz w:val="27"/>
          <w:szCs w:val="26"/>
        </w:rPr>
        <w:t xml:space="preserve"> </w:t>
      </w:r>
      <w:r w:rsidR="00202F90" w:rsidRPr="00391446">
        <w:rPr>
          <w:rStyle w:val="cf01"/>
          <w:rFonts w:ascii="Century Schoolbook" w:hAnsi="Century Schoolbook" w:cs="Times New Roman"/>
          <w:i/>
          <w:iCs/>
          <w:sz w:val="27"/>
          <w:szCs w:val="26"/>
        </w:rPr>
        <w:t>plaintiff</w:t>
      </w:r>
      <w:r w:rsidR="00551CA1" w:rsidRPr="00391446">
        <w:rPr>
          <w:rStyle w:val="cf01"/>
          <w:rFonts w:ascii="Century Schoolbook" w:hAnsi="Century Schoolbook" w:cs="Times New Roman"/>
          <w:sz w:val="27"/>
          <w:szCs w:val="26"/>
        </w:rPr>
        <w:t>”</w:t>
      </w:r>
      <w:r w:rsidR="00202F90" w:rsidRPr="00391446">
        <w:rPr>
          <w:rStyle w:val="cf01"/>
          <w:rFonts w:ascii="Century Schoolbook" w:hAnsi="Century Schoolbook" w:cs="Times New Roman"/>
          <w:sz w:val="27"/>
          <w:szCs w:val="26"/>
        </w:rPr>
        <w:t xml:space="preserve"> </w:t>
      </w:r>
      <w:r w:rsidR="00940B55" w:rsidRPr="00391446">
        <w:rPr>
          <w:rStyle w:val="cf01"/>
          <w:rFonts w:ascii="Century Schoolbook" w:hAnsi="Century Schoolbook" w:cs="Times New Roman"/>
          <w:sz w:val="27"/>
          <w:szCs w:val="26"/>
        </w:rPr>
        <w:t>regarding damages.</w:t>
      </w:r>
      <w:r w:rsidR="007D3004" w:rsidRPr="00391446">
        <w:rPr>
          <w:rStyle w:val="cf01"/>
          <w:rFonts w:ascii="Century Schoolbook" w:hAnsi="Century Schoolbook" w:cs="Times New Roman"/>
          <w:sz w:val="27"/>
          <w:szCs w:val="26"/>
        </w:rPr>
        <w:t xml:space="preserve">  </w:t>
      </w:r>
      <w:r w:rsidR="007D3004" w:rsidRPr="00391446">
        <w:rPr>
          <w:rFonts w:ascii="Century Schoolbook" w:hAnsi="Century Schoolbook"/>
          <w:sz w:val="27"/>
          <w:szCs w:val="26"/>
        </w:rPr>
        <w:t>(</w:t>
      </w:r>
      <w:r w:rsidR="007D3004" w:rsidRPr="00391446">
        <w:rPr>
          <w:rFonts w:ascii="Century Schoolbook" w:hAnsi="Century Schoolbook"/>
          <w:i/>
          <w:iCs/>
          <w:sz w:val="27"/>
          <w:szCs w:val="26"/>
        </w:rPr>
        <w:t>Doe</w:t>
      </w:r>
      <w:r w:rsidR="007D3004" w:rsidRPr="00391446">
        <w:rPr>
          <w:rFonts w:ascii="Century Schoolbook" w:hAnsi="Century Schoolbook"/>
          <w:sz w:val="27"/>
          <w:szCs w:val="26"/>
        </w:rPr>
        <w:t xml:space="preserve">, </w:t>
      </w:r>
      <w:r w:rsidR="007D3004" w:rsidRPr="00391446">
        <w:rPr>
          <w:rFonts w:ascii="Century Schoolbook" w:hAnsi="Century Schoolbook"/>
          <w:i/>
          <w:iCs/>
          <w:sz w:val="27"/>
          <w:szCs w:val="26"/>
        </w:rPr>
        <w:t>supra</w:t>
      </w:r>
      <w:r w:rsidR="007D3004" w:rsidRPr="00391446">
        <w:rPr>
          <w:rFonts w:ascii="Century Schoolbook" w:hAnsi="Century Schoolbook"/>
          <w:sz w:val="27"/>
          <w:szCs w:val="26"/>
        </w:rPr>
        <w:t>, 71</w:t>
      </w:r>
      <w:r w:rsidR="00412D59">
        <w:rPr>
          <w:rFonts w:ascii="Century Schoolbook" w:hAnsi="Century Schoolbook"/>
          <w:sz w:val="27"/>
          <w:szCs w:val="26"/>
        </w:rPr>
        <w:t> </w:t>
      </w:r>
      <w:r w:rsidR="007D3004" w:rsidRPr="00391446">
        <w:rPr>
          <w:rFonts w:ascii="Century Schoolbook" w:hAnsi="Century Schoolbook"/>
          <w:sz w:val="27"/>
          <w:szCs w:val="26"/>
        </w:rPr>
        <w:t xml:space="preserve">Cal.App.5th at p. </w:t>
      </w:r>
      <w:r w:rsidR="00D70FA1" w:rsidRPr="00391446">
        <w:rPr>
          <w:rFonts w:ascii="Century Schoolbook" w:hAnsi="Century Schoolbook"/>
          <w:sz w:val="27"/>
          <w:szCs w:val="26"/>
        </w:rPr>
        <w:t>241</w:t>
      </w:r>
      <w:r w:rsidR="00D77D1F" w:rsidRPr="00391446">
        <w:rPr>
          <w:rFonts w:ascii="Century Schoolbook" w:hAnsi="Century Schoolbook"/>
          <w:sz w:val="27"/>
          <w:szCs w:val="26"/>
        </w:rPr>
        <w:t>, italics added</w:t>
      </w:r>
      <w:r w:rsidR="00D70FA1" w:rsidRPr="00391446">
        <w:rPr>
          <w:rFonts w:ascii="Century Schoolbook" w:hAnsi="Century Schoolbook"/>
          <w:sz w:val="27"/>
          <w:szCs w:val="26"/>
        </w:rPr>
        <w:t xml:space="preserve">; see also </w:t>
      </w:r>
      <w:r w:rsidR="00D70FA1" w:rsidRPr="00391446">
        <w:rPr>
          <w:rFonts w:ascii="Century Schoolbook" w:hAnsi="Century Schoolbook"/>
          <w:i/>
          <w:iCs/>
          <w:sz w:val="27"/>
          <w:szCs w:val="26"/>
        </w:rPr>
        <w:t>id</w:t>
      </w:r>
      <w:r w:rsidR="00D70FA1" w:rsidRPr="00391446">
        <w:rPr>
          <w:rFonts w:ascii="Century Schoolbook" w:hAnsi="Century Schoolbook"/>
          <w:sz w:val="27"/>
          <w:szCs w:val="26"/>
        </w:rPr>
        <w:t xml:space="preserve">. at p. </w:t>
      </w:r>
      <w:r w:rsidR="00563146" w:rsidRPr="00391446">
        <w:rPr>
          <w:rFonts w:ascii="Century Schoolbook" w:hAnsi="Century Schoolbook"/>
          <w:sz w:val="27"/>
          <w:szCs w:val="26"/>
        </w:rPr>
        <w:t>235</w:t>
      </w:r>
      <w:r w:rsidR="007D3004" w:rsidRPr="00391446">
        <w:rPr>
          <w:rFonts w:ascii="Century Schoolbook" w:hAnsi="Century Schoolbook"/>
          <w:sz w:val="27"/>
          <w:szCs w:val="26"/>
        </w:rPr>
        <w:t xml:space="preserve">.)  </w:t>
      </w:r>
    </w:p>
    <w:p w14:paraId="0DB2E7F2" w14:textId="77777777" w:rsidR="00DF5A10" w:rsidRPr="00177416" w:rsidRDefault="002E6832" w:rsidP="00B17AB4">
      <w:pPr>
        <w:pStyle w:val="PlainText"/>
        <w:ind w:firstLine="720"/>
        <w:rPr>
          <w:rFonts w:ascii="Century Schoolbook" w:hAnsi="Century Schoolbook"/>
          <w:sz w:val="27"/>
          <w:szCs w:val="26"/>
        </w:rPr>
      </w:pPr>
      <w:r w:rsidRPr="00391446">
        <w:rPr>
          <w:rFonts w:ascii="Century Schoolbook" w:hAnsi="Century Schoolbook"/>
          <w:sz w:val="27"/>
          <w:szCs w:val="26"/>
        </w:rPr>
        <w:lastRenderedPageBreak/>
        <w:t xml:space="preserve">The </w:t>
      </w:r>
      <w:r w:rsidR="00D81F30" w:rsidRPr="00391446">
        <w:rPr>
          <w:rFonts w:ascii="Century Schoolbook" w:hAnsi="Century Schoolbook"/>
          <w:sz w:val="27"/>
          <w:szCs w:val="26"/>
        </w:rPr>
        <w:t xml:space="preserve">record </w:t>
      </w:r>
      <w:r w:rsidR="00253D1A" w:rsidRPr="00391446">
        <w:rPr>
          <w:rFonts w:ascii="Century Schoolbook" w:hAnsi="Century Schoolbook"/>
          <w:sz w:val="27"/>
          <w:szCs w:val="26"/>
        </w:rPr>
        <w:t xml:space="preserve">and briefing </w:t>
      </w:r>
      <w:r w:rsidR="00D81F30" w:rsidRPr="00391446">
        <w:rPr>
          <w:rFonts w:ascii="Century Schoolbook" w:hAnsi="Century Schoolbook"/>
          <w:sz w:val="27"/>
          <w:szCs w:val="26"/>
        </w:rPr>
        <w:t xml:space="preserve">reflect </w:t>
      </w:r>
      <w:r w:rsidRPr="00391446">
        <w:rPr>
          <w:rFonts w:ascii="Century Schoolbook" w:hAnsi="Century Schoolbook"/>
          <w:sz w:val="27"/>
          <w:szCs w:val="26"/>
        </w:rPr>
        <w:t xml:space="preserve">a related </w:t>
      </w:r>
      <w:r w:rsidR="00253D1A" w:rsidRPr="00391446">
        <w:rPr>
          <w:rFonts w:ascii="Century Schoolbook" w:hAnsi="Century Schoolbook"/>
          <w:sz w:val="27"/>
          <w:szCs w:val="26"/>
        </w:rPr>
        <w:t xml:space="preserve">problem flowing from the trial court’s failure to </w:t>
      </w:r>
      <w:r w:rsidR="00381D48" w:rsidRPr="00391446">
        <w:rPr>
          <w:rFonts w:ascii="Century Schoolbook" w:hAnsi="Century Schoolbook"/>
          <w:sz w:val="27"/>
          <w:szCs w:val="26"/>
        </w:rPr>
        <w:t>pin down what evidence may be introduced and what questions may be asked regarding th</w:t>
      </w:r>
      <w:r w:rsidR="003B273E" w:rsidRPr="00391446">
        <w:rPr>
          <w:rFonts w:ascii="Century Schoolbook" w:hAnsi="Century Schoolbook"/>
          <w:sz w:val="27"/>
          <w:szCs w:val="26"/>
        </w:rPr>
        <w:t>e</w:t>
      </w:r>
      <w:r w:rsidR="00381D48" w:rsidRPr="00391446">
        <w:rPr>
          <w:rFonts w:ascii="Century Schoolbook" w:hAnsi="Century Schoolbook"/>
          <w:sz w:val="27"/>
          <w:szCs w:val="26"/>
        </w:rPr>
        <w:t xml:space="preserve"> evidence</w:t>
      </w:r>
      <w:r w:rsidR="009B2468" w:rsidRPr="00391446">
        <w:rPr>
          <w:rFonts w:ascii="Century Schoolbook" w:hAnsi="Century Schoolbook"/>
          <w:sz w:val="27"/>
          <w:szCs w:val="26"/>
        </w:rPr>
        <w:t xml:space="preserve"> </w:t>
      </w:r>
      <w:r w:rsidR="00906E12" w:rsidRPr="00391446">
        <w:rPr>
          <w:rFonts w:ascii="Century Schoolbook" w:hAnsi="Century Schoolbook"/>
          <w:sz w:val="27"/>
          <w:szCs w:val="26"/>
        </w:rPr>
        <w:t xml:space="preserve">concerning </w:t>
      </w:r>
      <w:r w:rsidR="009B2468" w:rsidRPr="00391446">
        <w:rPr>
          <w:rFonts w:ascii="Century Schoolbook" w:hAnsi="Century Schoolbook"/>
          <w:sz w:val="27"/>
          <w:szCs w:val="26"/>
        </w:rPr>
        <w:t xml:space="preserve">the 2013 molestation.  </w:t>
      </w:r>
      <w:r w:rsidR="00617DDF" w:rsidRPr="00391446">
        <w:rPr>
          <w:rFonts w:ascii="Century Schoolbook" w:hAnsi="Century Schoolbook"/>
          <w:sz w:val="27"/>
          <w:szCs w:val="26"/>
        </w:rPr>
        <w:t>Th</w:t>
      </w:r>
      <w:r w:rsidR="00CA2425" w:rsidRPr="00391446">
        <w:rPr>
          <w:rFonts w:ascii="Century Schoolbook" w:hAnsi="Century Schoolbook"/>
          <w:sz w:val="27"/>
          <w:szCs w:val="26"/>
        </w:rPr>
        <w:t xml:space="preserve">ese </w:t>
      </w:r>
      <w:r w:rsidR="005777DE" w:rsidRPr="00391446">
        <w:rPr>
          <w:rFonts w:ascii="Century Schoolbook" w:hAnsi="Century Schoolbook"/>
          <w:sz w:val="27"/>
          <w:szCs w:val="26"/>
        </w:rPr>
        <w:t>omission</w:t>
      </w:r>
      <w:r w:rsidR="00CA2425" w:rsidRPr="00391446">
        <w:rPr>
          <w:rFonts w:ascii="Century Schoolbook" w:hAnsi="Century Schoolbook"/>
          <w:sz w:val="27"/>
          <w:szCs w:val="26"/>
        </w:rPr>
        <w:t xml:space="preserve">s </w:t>
      </w:r>
      <w:r w:rsidR="00853225" w:rsidRPr="00391446">
        <w:rPr>
          <w:rFonts w:ascii="Century Schoolbook" w:hAnsi="Century Schoolbook"/>
          <w:sz w:val="27"/>
          <w:szCs w:val="26"/>
        </w:rPr>
        <w:t xml:space="preserve">in turn </w:t>
      </w:r>
      <w:r w:rsidR="001F5E7F" w:rsidRPr="00391446">
        <w:rPr>
          <w:rFonts w:ascii="Century Schoolbook" w:hAnsi="Century Schoolbook"/>
          <w:sz w:val="27"/>
          <w:szCs w:val="26"/>
        </w:rPr>
        <w:t xml:space="preserve">allowed </w:t>
      </w:r>
      <w:r w:rsidR="00656873" w:rsidRPr="00391446">
        <w:rPr>
          <w:rFonts w:ascii="Century Schoolbook" w:hAnsi="Century Schoolbook"/>
          <w:sz w:val="27"/>
          <w:szCs w:val="26"/>
        </w:rPr>
        <w:t xml:space="preserve">the </w:t>
      </w:r>
      <w:r w:rsidR="004A4E86" w:rsidRPr="00391446">
        <w:rPr>
          <w:rFonts w:ascii="Century Schoolbook" w:hAnsi="Century Schoolbook"/>
          <w:sz w:val="27"/>
          <w:szCs w:val="26"/>
        </w:rPr>
        <w:t>District</w:t>
      </w:r>
      <w:r w:rsidR="001F5E7F" w:rsidRPr="00391446">
        <w:rPr>
          <w:rFonts w:ascii="Century Schoolbook" w:hAnsi="Century Schoolbook"/>
          <w:sz w:val="27"/>
          <w:szCs w:val="26"/>
        </w:rPr>
        <w:t xml:space="preserve"> </w:t>
      </w:r>
      <w:r w:rsidR="005777DE" w:rsidRPr="00391446">
        <w:rPr>
          <w:rFonts w:ascii="Century Schoolbook" w:hAnsi="Century Schoolbook"/>
          <w:sz w:val="27"/>
          <w:szCs w:val="26"/>
        </w:rPr>
        <w:t>to</w:t>
      </w:r>
      <w:r w:rsidR="00C12B84" w:rsidRPr="00391446">
        <w:rPr>
          <w:rFonts w:ascii="Century Schoolbook" w:hAnsi="Century Schoolbook"/>
          <w:sz w:val="27"/>
          <w:szCs w:val="26"/>
        </w:rPr>
        <w:t xml:space="preserve"> </w:t>
      </w:r>
      <w:r w:rsidR="00E34955" w:rsidRPr="00391446">
        <w:rPr>
          <w:rFonts w:ascii="Century Schoolbook" w:hAnsi="Century Schoolbook"/>
          <w:sz w:val="27"/>
          <w:szCs w:val="26"/>
        </w:rPr>
        <w:t xml:space="preserve">repeatedly </w:t>
      </w:r>
      <w:r w:rsidR="00853225" w:rsidRPr="00391446">
        <w:rPr>
          <w:rFonts w:ascii="Century Schoolbook" w:hAnsi="Century Schoolbook"/>
          <w:sz w:val="27"/>
          <w:szCs w:val="26"/>
        </w:rPr>
        <w:t xml:space="preserve">change </w:t>
      </w:r>
      <w:r w:rsidR="00E34955" w:rsidRPr="00391446">
        <w:rPr>
          <w:rFonts w:ascii="Century Schoolbook" w:hAnsi="Century Schoolbook"/>
          <w:sz w:val="27"/>
          <w:szCs w:val="26"/>
        </w:rPr>
        <w:t xml:space="preserve">its legal reasoning supporting </w:t>
      </w:r>
      <w:r w:rsidR="00D14F67" w:rsidRPr="00391446">
        <w:rPr>
          <w:rFonts w:ascii="Century Schoolbook" w:hAnsi="Century Schoolbook"/>
          <w:sz w:val="27"/>
          <w:szCs w:val="26"/>
        </w:rPr>
        <w:t xml:space="preserve">relevance and </w:t>
      </w:r>
      <w:r w:rsidR="00E34955" w:rsidRPr="00391446">
        <w:rPr>
          <w:rFonts w:ascii="Century Schoolbook" w:hAnsi="Century Schoolbook"/>
          <w:sz w:val="27"/>
          <w:szCs w:val="26"/>
        </w:rPr>
        <w:t xml:space="preserve">admission </w:t>
      </w:r>
      <w:r w:rsidR="007316EF" w:rsidRPr="00391446">
        <w:rPr>
          <w:rFonts w:ascii="Century Schoolbook" w:hAnsi="Century Schoolbook"/>
          <w:sz w:val="27"/>
          <w:szCs w:val="26"/>
        </w:rPr>
        <w:t xml:space="preserve">of </w:t>
      </w:r>
      <w:r w:rsidR="00906E12" w:rsidRPr="00391446">
        <w:rPr>
          <w:rFonts w:ascii="Century Schoolbook" w:hAnsi="Century Schoolbook"/>
          <w:sz w:val="27"/>
          <w:szCs w:val="26"/>
        </w:rPr>
        <w:t xml:space="preserve">that </w:t>
      </w:r>
      <w:r w:rsidR="00E34955" w:rsidRPr="00391446">
        <w:rPr>
          <w:rFonts w:ascii="Century Schoolbook" w:hAnsi="Century Schoolbook"/>
          <w:sz w:val="27"/>
          <w:szCs w:val="26"/>
        </w:rPr>
        <w:t>evidence</w:t>
      </w:r>
      <w:r w:rsidR="00547381" w:rsidRPr="00391446">
        <w:rPr>
          <w:rFonts w:ascii="Century Schoolbook" w:hAnsi="Century Schoolbook"/>
          <w:sz w:val="27"/>
          <w:szCs w:val="26"/>
        </w:rPr>
        <w:t>.</w:t>
      </w:r>
      <w:r w:rsidR="00332256" w:rsidRPr="00391446">
        <w:rPr>
          <w:rFonts w:ascii="Century Schoolbook" w:hAnsi="Century Schoolbook"/>
          <w:sz w:val="27"/>
          <w:szCs w:val="26"/>
        </w:rPr>
        <w:t xml:space="preserve">  </w:t>
      </w:r>
      <w:r w:rsidR="00CA2425" w:rsidRPr="00391446">
        <w:rPr>
          <w:rFonts w:ascii="Century Schoolbook" w:hAnsi="Century Schoolbook"/>
          <w:sz w:val="27"/>
          <w:szCs w:val="26"/>
        </w:rPr>
        <w:t xml:space="preserve">In the absence of any </w:t>
      </w:r>
      <w:r w:rsidR="00802DC4" w:rsidRPr="00391446">
        <w:rPr>
          <w:rFonts w:ascii="Century Schoolbook" w:hAnsi="Century Schoolbook"/>
          <w:sz w:val="27"/>
          <w:szCs w:val="26"/>
        </w:rPr>
        <w:t xml:space="preserve">structured </w:t>
      </w:r>
      <w:r w:rsidR="00071F2C" w:rsidRPr="00391446">
        <w:rPr>
          <w:rFonts w:ascii="Century Schoolbook" w:hAnsi="Century Schoolbook"/>
          <w:sz w:val="27"/>
          <w:szCs w:val="26"/>
        </w:rPr>
        <w:t xml:space="preserve">focusing and narrowing, </w:t>
      </w:r>
      <w:r w:rsidR="009A26B0" w:rsidRPr="00391446">
        <w:rPr>
          <w:rFonts w:ascii="Century Schoolbook" w:hAnsi="Century Schoolbook"/>
          <w:sz w:val="27"/>
          <w:szCs w:val="26"/>
        </w:rPr>
        <w:t xml:space="preserve">the District’s </w:t>
      </w:r>
      <w:r w:rsidR="00802DC4" w:rsidRPr="00391446">
        <w:rPr>
          <w:rFonts w:ascii="Century Schoolbook" w:hAnsi="Century Schoolbook"/>
          <w:sz w:val="27"/>
          <w:szCs w:val="26"/>
        </w:rPr>
        <w:t xml:space="preserve">legal </w:t>
      </w:r>
      <w:r w:rsidR="00EC6EAD" w:rsidRPr="00391446">
        <w:rPr>
          <w:rFonts w:ascii="Century Schoolbook" w:hAnsi="Century Schoolbook"/>
          <w:sz w:val="27"/>
          <w:szCs w:val="26"/>
        </w:rPr>
        <w:t xml:space="preserve">arguments </w:t>
      </w:r>
      <w:r w:rsidR="00802DC4" w:rsidRPr="00391446">
        <w:rPr>
          <w:rFonts w:ascii="Century Schoolbook" w:hAnsi="Century Schoolbook"/>
          <w:sz w:val="27"/>
          <w:szCs w:val="26"/>
        </w:rPr>
        <w:t>throu</w:t>
      </w:r>
      <w:r w:rsidR="000D3F9F" w:rsidRPr="00391446">
        <w:rPr>
          <w:rFonts w:ascii="Century Schoolbook" w:hAnsi="Century Schoolbook"/>
          <w:sz w:val="27"/>
          <w:szCs w:val="26"/>
        </w:rPr>
        <w:t xml:space="preserve">ghout this litigation </w:t>
      </w:r>
      <w:r w:rsidR="008E1B73" w:rsidRPr="00391446">
        <w:rPr>
          <w:rFonts w:ascii="Century Schoolbook" w:hAnsi="Century Schoolbook"/>
          <w:sz w:val="27"/>
          <w:szCs w:val="26"/>
        </w:rPr>
        <w:t xml:space="preserve">have </w:t>
      </w:r>
      <w:r w:rsidR="000D3F9F" w:rsidRPr="00391446">
        <w:rPr>
          <w:rFonts w:ascii="Century Schoolbook" w:hAnsi="Century Schoolbook"/>
          <w:sz w:val="27"/>
          <w:szCs w:val="26"/>
        </w:rPr>
        <w:t xml:space="preserve">been </w:t>
      </w:r>
      <w:r w:rsidR="00EC6EAD" w:rsidRPr="00391446">
        <w:rPr>
          <w:rFonts w:ascii="Century Schoolbook" w:hAnsi="Century Schoolbook"/>
          <w:sz w:val="27"/>
          <w:szCs w:val="26"/>
        </w:rPr>
        <w:t>a</w:t>
      </w:r>
      <w:r w:rsidR="008D1775" w:rsidRPr="00391446">
        <w:rPr>
          <w:rFonts w:ascii="Century Schoolbook" w:hAnsi="Century Schoolbook"/>
          <w:sz w:val="27"/>
          <w:szCs w:val="26"/>
        </w:rPr>
        <w:t xml:space="preserve">n evolving </w:t>
      </w:r>
      <w:r w:rsidR="00EC6EAD" w:rsidRPr="00391446">
        <w:rPr>
          <w:rFonts w:ascii="Century Schoolbook" w:hAnsi="Century Schoolbook"/>
          <w:sz w:val="27"/>
          <w:szCs w:val="26"/>
        </w:rPr>
        <w:t>target</w:t>
      </w:r>
      <w:r w:rsidR="001F5591" w:rsidRPr="00391446">
        <w:rPr>
          <w:rFonts w:ascii="Century Schoolbook" w:hAnsi="Century Schoolbook"/>
          <w:sz w:val="27"/>
          <w:szCs w:val="26"/>
        </w:rPr>
        <w:t>:</w:t>
      </w:r>
      <w:r w:rsidR="00360C41" w:rsidRPr="00391446">
        <w:rPr>
          <w:rFonts w:ascii="Century Schoolbook" w:hAnsi="Century Schoolbook"/>
          <w:sz w:val="27"/>
          <w:szCs w:val="26"/>
        </w:rPr>
        <w:t xml:space="preserve">  </w:t>
      </w:r>
      <w:r w:rsidR="002E7612" w:rsidRPr="00391446">
        <w:rPr>
          <w:rFonts w:ascii="Century Schoolbook" w:hAnsi="Century Schoolbook"/>
          <w:sz w:val="27"/>
          <w:szCs w:val="26"/>
        </w:rPr>
        <w:t>(</w:t>
      </w:r>
      <w:r w:rsidR="00BF286F" w:rsidRPr="00391446">
        <w:rPr>
          <w:rFonts w:ascii="Century Schoolbook" w:hAnsi="Century Schoolbook"/>
          <w:sz w:val="27"/>
          <w:szCs w:val="26"/>
        </w:rPr>
        <w:t>1</w:t>
      </w:r>
      <w:r w:rsidR="001F5591" w:rsidRPr="00391446">
        <w:rPr>
          <w:rFonts w:ascii="Century Schoolbook" w:hAnsi="Century Schoolbook"/>
          <w:sz w:val="27"/>
          <w:szCs w:val="26"/>
        </w:rPr>
        <w:t>)</w:t>
      </w:r>
      <w:r w:rsidR="00565BE5" w:rsidRPr="00391446">
        <w:rPr>
          <w:rFonts w:ascii="Century Schoolbook" w:hAnsi="Century Schoolbook"/>
          <w:sz w:val="27"/>
          <w:szCs w:val="26"/>
        </w:rPr>
        <w:t> </w:t>
      </w:r>
      <w:r w:rsidR="00B85442" w:rsidRPr="00391446">
        <w:rPr>
          <w:rFonts w:ascii="Century Schoolbook" w:hAnsi="Century Schoolbook"/>
          <w:sz w:val="27"/>
          <w:szCs w:val="26"/>
        </w:rPr>
        <w:t>In</w:t>
      </w:r>
      <w:r w:rsidR="008E1B73" w:rsidRPr="00391446">
        <w:rPr>
          <w:rFonts w:ascii="Century Schoolbook" w:hAnsi="Century Schoolbook"/>
          <w:sz w:val="27"/>
          <w:szCs w:val="26"/>
        </w:rPr>
        <w:t xml:space="preserve"> </w:t>
      </w:r>
      <w:r w:rsidR="00AA3D45" w:rsidRPr="00391446">
        <w:rPr>
          <w:rFonts w:ascii="Century Schoolbook" w:hAnsi="Century Schoolbook"/>
          <w:sz w:val="27"/>
          <w:szCs w:val="26"/>
        </w:rPr>
        <w:t xml:space="preserve">the trial </w:t>
      </w:r>
      <w:r w:rsidR="008E1B73" w:rsidRPr="00391446">
        <w:rPr>
          <w:rFonts w:ascii="Century Schoolbook" w:hAnsi="Century Schoolbook"/>
          <w:sz w:val="27"/>
          <w:szCs w:val="26"/>
        </w:rPr>
        <w:t xml:space="preserve">court, the </w:t>
      </w:r>
      <w:r w:rsidR="009A26B0" w:rsidRPr="00391446">
        <w:rPr>
          <w:rFonts w:ascii="Century Schoolbook" w:hAnsi="Century Schoolbook"/>
          <w:sz w:val="27"/>
          <w:szCs w:val="26"/>
        </w:rPr>
        <w:t xml:space="preserve">District </w:t>
      </w:r>
      <w:r w:rsidR="008A72CD" w:rsidRPr="00391446">
        <w:rPr>
          <w:rFonts w:ascii="Century Schoolbook" w:hAnsi="Century Schoolbook"/>
          <w:sz w:val="27"/>
          <w:szCs w:val="26"/>
        </w:rPr>
        <w:t xml:space="preserve">initially </w:t>
      </w:r>
      <w:r w:rsidR="009A26B0" w:rsidRPr="00391446">
        <w:rPr>
          <w:rFonts w:ascii="Century Schoolbook" w:hAnsi="Century Schoolbook"/>
          <w:sz w:val="27"/>
          <w:szCs w:val="26"/>
        </w:rPr>
        <w:t>asserted</w:t>
      </w:r>
      <w:r w:rsidR="00D963C3" w:rsidRPr="00391446">
        <w:rPr>
          <w:rFonts w:ascii="Century Schoolbook" w:hAnsi="Century Schoolbook"/>
          <w:sz w:val="27"/>
          <w:szCs w:val="26"/>
        </w:rPr>
        <w:t xml:space="preserve"> that it had no plan </w:t>
      </w:r>
      <w:r w:rsidR="0087271F" w:rsidRPr="00391446">
        <w:rPr>
          <w:rFonts w:ascii="Century Schoolbook" w:hAnsi="Century Schoolbook"/>
          <w:sz w:val="27"/>
          <w:szCs w:val="26"/>
        </w:rPr>
        <w:t>“</w:t>
      </w:r>
      <w:r w:rsidR="00D963C3" w:rsidRPr="00391446">
        <w:rPr>
          <w:rFonts w:ascii="Century Schoolbook" w:hAnsi="Century Schoolbook"/>
          <w:sz w:val="27"/>
          <w:szCs w:val="26"/>
        </w:rPr>
        <w:t xml:space="preserve">to use the 2013 molestation </w:t>
      </w:r>
      <w:r w:rsidR="00ED7526" w:rsidRPr="00391446">
        <w:rPr>
          <w:rFonts w:ascii="Century Schoolbook" w:hAnsi="Century Schoolbook"/>
          <w:sz w:val="27"/>
          <w:szCs w:val="26"/>
        </w:rPr>
        <w:t xml:space="preserve">evidence </w:t>
      </w:r>
      <w:r w:rsidR="00D963C3" w:rsidRPr="00391446">
        <w:rPr>
          <w:rFonts w:ascii="Century Schoolbook" w:hAnsi="Century Schoolbook"/>
          <w:sz w:val="27"/>
          <w:szCs w:val="26"/>
        </w:rPr>
        <w:t xml:space="preserve">to ‘attack the credibility’ of [plaintiff]” for impeachment purposes.  </w:t>
      </w:r>
      <w:r w:rsidR="00611CD0" w:rsidRPr="00391446">
        <w:rPr>
          <w:rFonts w:ascii="Century Schoolbook" w:hAnsi="Century Schoolbook"/>
          <w:sz w:val="27"/>
          <w:szCs w:val="26"/>
        </w:rPr>
        <w:t xml:space="preserve">Still, </w:t>
      </w:r>
      <w:r w:rsidR="008A647F" w:rsidRPr="00391446">
        <w:rPr>
          <w:rFonts w:ascii="Century Schoolbook" w:hAnsi="Century Schoolbook"/>
          <w:sz w:val="27"/>
          <w:szCs w:val="26"/>
        </w:rPr>
        <w:t>the Dist</w:t>
      </w:r>
      <w:r w:rsidR="00EF2334" w:rsidRPr="00391446">
        <w:rPr>
          <w:rFonts w:ascii="Century Schoolbook" w:hAnsi="Century Schoolbook"/>
          <w:sz w:val="27"/>
          <w:szCs w:val="26"/>
        </w:rPr>
        <w:t>r</w:t>
      </w:r>
      <w:r w:rsidR="008A647F" w:rsidRPr="00391446">
        <w:rPr>
          <w:rFonts w:ascii="Century Schoolbook" w:hAnsi="Century Schoolbook"/>
          <w:sz w:val="27"/>
          <w:szCs w:val="26"/>
        </w:rPr>
        <w:t xml:space="preserve">ict </w:t>
      </w:r>
      <w:r w:rsidR="00695947" w:rsidRPr="00391446">
        <w:rPr>
          <w:rFonts w:ascii="Century Schoolbook" w:hAnsi="Century Schoolbook"/>
          <w:sz w:val="27"/>
          <w:szCs w:val="26"/>
        </w:rPr>
        <w:t>maintained</w:t>
      </w:r>
      <w:r w:rsidR="00EF2334" w:rsidRPr="00391446">
        <w:rPr>
          <w:rFonts w:ascii="Century Schoolbook" w:hAnsi="Century Schoolbook"/>
          <w:sz w:val="27"/>
          <w:szCs w:val="26"/>
        </w:rPr>
        <w:t xml:space="preserve">, </w:t>
      </w:r>
      <w:r w:rsidR="00483774" w:rsidRPr="00391446">
        <w:rPr>
          <w:rFonts w:ascii="Century Schoolbook" w:hAnsi="Century Schoolbook"/>
          <w:sz w:val="27"/>
          <w:szCs w:val="26"/>
        </w:rPr>
        <w:t xml:space="preserve">that </w:t>
      </w:r>
      <w:r w:rsidR="006C4F5B" w:rsidRPr="00391446">
        <w:rPr>
          <w:rFonts w:ascii="Century Schoolbook" w:hAnsi="Century Schoolbook"/>
          <w:sz w:val="27"/>
          <w:szCs w:val="26"/>
        </w:rPr>
        <w:t xml:space="preserve">molestation </w:t>
      </w:r>
      <w:r w:rsidR="005B3440" w:rsidRPr="00391446">
        <w:rPr>
          <w:rFonts w:ascii="Century Schoolbook" w:hAnsi="Century Schoolbook"/>
          <w:sz w:val="27"/>
          <w:szCs w:val="26"/>
        </w:rPr>
        <w:t xml:space="preserve">evidence is relevant </w:t>
      </w:r>
      <w:r w:rsidR="00ED7526" w:rsidRPr="00391446">
        <w:rPr>
          <w:rFonts w:ascii="Century Schoolbook" w:hAnsi="Century Schoolbook"/>
          <w:sz w:val="27"/>
          <w:szCs w:val="26"/>
        </w:rPr>
        <w:t>“</w:t>
      </w:r>
      <w:r w:rsidR="005B3440" w:rsidRPr="00391446">
        <w:rPr>
          <w:rFonts w:ascii="Century Schoolbook" w:hAnsi="Century Schoolbook"/>
          <w:sz w:val="27"/>
          <w:szCs w:val="26"/>
        </w:rPr>
        <w:t xml:space="preserve">to establish </w:t>
      </w:r>
      <w:r w:rsidR="00E82953" w:rsidRPr="00391446">
        <w:rPr>
          <w:rFonts w:ascii="Century Schoolbook" w:hAnsi="Century Schoolbook"/>
          <w:sz w:val="27"/>
          <w:szCs w:val="26"/>
        </w:rPr>
        <w:t xml:space="preserve">an </w:t>
      </w:r>
      <w:r w:rsidR="005B3440" w:rsidRPr="00391446">
        <w:rPr>
          <w:rFonts w:ascii="Century Schoolbook" w:hAnsi="Century Schoolbook"/>
          <w:sz w:val="27"/>
          <w:szCs w:val="26"/>
        </w:rPr>
        <w:t xml:space="preserve">alternative </w:t>
      </w:r>
      <w:r w:rsidR="00C77E84" w:rsidRPr="00391446">
        <w:rPr>
          <w:rFonts w:ascii="Century Schoolbook" w:hAnsi="Century Schoolbook"/>
          <w:sz w:val="27"/>
          <w:szCs w:val="26"/>
        </w:rPr>
        <w:t xml:space="preserve">explanation </w:t>
      </w:r>
      <w:r w:rsidR="005B3440" w:rsidRPr="00391446">
        <w:rPr>
          <w:rFonts w:ascii="Century Schoolbook" w:hAnsi="Century Schoolbook"/>
          <w:sz w:val="27"/>
          <w:szCs w:val="26"/>
        </w:rPr>
        <w:t>for [plaintiff’s] psychological harm and condition</w:t>
      </w:r>
      <w:r w:rsidR="00412D59">
        <w:rPr>
          <w:rFonts w:ascii="Century Schoolbook" w:hAnsi="Century Schoolbook"/>
          <w:sz w:val="27"/>
          <w:szCs w:val="26"/>
        </w:rPr>
        <w:t>,</w:t>
      </w:r>
      <w:r w:rsidR="005B3440" w:rsidRPr="008A02AC">
        <w:rPr>
          <w:rFonts w:ascii="Century Schoolbook" w:hAnsi="Century Schoolbook"/>
          <w:sz w:val="27"/>
          <w:szCs w:val="26"/>
        </w:rPr>
        <w:t>”</w:t>
      </w:r>
      <w:r w:rsidR="00582BD0" w:rsidRPr="008A02AC">
        <w:rPr>
          <w:rFonts w:ascii="Century Schoolbook" w:hAnsi="Century Schoolbook"/>
          <w:sz w:val="27"/>
          <w:szCs w:val="26"/>
        </w:rPr>
        <w:t xml:space="preserve"> and</w:t>
      </w:r>
      <w:r w:rsidR="00295BA1" w:rsidRPr="008A02AC">
        <w:rPr>
          <w:rFonts w:ascii="Century Schoolbook" w:hAnsi="Century Schoolbook"/>
          <w:sz w:val="27"/>
          <w:szCs w:val="26"/>
        </w:rPr>
        <w:t xml:space="preserve"> </w:t>
      </w:r>
      <w:r w:rsidR="00A363C1" w:rsidRPr="008A02AC">
        <w:rPr>
          <w:rFonts w:ascii="Century Schoolbook" w:hAnsi="Century Schoolbook"/>
          <w:sz w:val="27"/>
          <w:szCs w:val="26"/>
        </w:rPr>
        <w:t>“</w:t>
      </w:r>
      <w:r w:rsidR="00226E1F" w:rsidRPr="008A02AC">
        <w:rPr>
          <w:rFonts w:ascii="Century Schoolbook" w:hAnsi="Century Schoolbook"/>
          <w:sz w:val="27"/>
          <w:szCs w:val="26"/>
        </w:rPr>
        <w:t>[</w:t>
      </w:r>
      <w:r w:rsidR="00914C14" w:rsidRPr="008A02AC">
        <w:rPr>
          <w:rFonts w:ascii="Century Schoolbook" w:hAnsi="Century Schoolbook"/>
          <w:sz w:val="27"/>
          <w:szCs w:val="26"/>
        </w:rPr>
        <w:t>t</w:t>
      </w:r>
      <w:r w:rsidR="00226E1F" w:rsidRPr="008A02AC">
        <w:rPr>
          <w:rFonts w:ascii="Century Schoolbook" w:hAnsi="Century Schoolbook"/>
          <w:sz w:val="27"/>
          <w:szCs w:val="26"/>
        </w:rPr>
        <w:t>]</w:t>
      </w:r>
      <w:r w:rsidR="00914C14" w:rsidRPr="008A02AC">
        <w:rPr>
          <w:rFonts w:ascii="Century Schoolbook" w:hAnsi="Century Schoolbook"/>
          <w:sz w:val="27"/>
          <w:szCs w:val="26"/>
        </w:rPr>
        <w:t xml:space="preserve">he </w:t>
      </w:r>
      <w:r w:rsidR="005B3440" w:rsidRPr="008A02AC">
        <w:rPr>
          <w:rFonts w:ascii="Century Schoolbook" w:hAnsi="Century Schoolbook"/>
          <w:sz w:val="27"/>
          <w:szCs w:val="26"/>
        </w:rPr>
        <w:t xml:space="preserve">2013 incident . . . may be the cause of harm from 2013 forward.”  </w:t>
      </w:r>
      <w:r w:rsidR="00596BA8" w:rsidRPr="008A02AC">
        <w:rPr>
          <w:rFonts w:ascii="Century Schoolbook" w:hAnsi="Century Schoolbook"/>
          <w:sz w:val="27"/>
          <w:szCs w:val="26"/>
        </w:rPr>
        <w:t>(</w:t>
      </w:r>
      <w:r w:rsidR="00021D14" w:rsidRPr="008A02AC">
        <w:rPr>
          <w:rFonts w:ascii="Century Schoolbook" w:hAnsi="Century Schoolbook"/>
          <w:sz w:val="27"/>
          <w:szCs w:val="26"/>
        </w:rPr>
        <w:t>2</w:t>
      </w:r>
      <w:r w:rsidR="00596BA8" w:rsidRPr="008A02AC">
        <w:rPr>
          <w:rFonts w:ascii="Century Schoolbook" w:hAnsi="Century Schoolbook"/>
          <w:sz w:val="27"/>
          <w:szCs w:val="26"/>
        </w:rPr>
        <w:t>)</w:t>
      </w:r>
      <w:r w:rsidR="00565BE5" w:rsidRPr="008A02AC">
        <w:rPr>
          <w:rFonts w:ascii="Century Schoolbook" w:hAnsi="Century Schoolbook"/>
          <w:sz w:val="27"/>
          <w:szCs w:val="26"/>
        </w:rPr>
        <w:t> </w:t>
      </w:r>
      <w:r w:rsidR="00BA0B9C" w:rsidRPr="008A02AC">
        <w:rPr>
          <w:rFonts w:ascii="Century Schoolbook" w:hAnsi="Century Schoolbook"/>
          <w:sz w:val="27"/>
          <w:szCs w:val="26"/>
        </w:rPr>
        <w:t xml:space="preserve">In </w:t>
      </w:r>
      <w:r w:rsidR="009A26B0" w:rsidRPr="008A02AC">
        <w:rPr>
          <w:rFonts w:ascii="Century Schoolbook" w:hAnsi="Century Schoolbook"/>
          <w:sz w:val="27"/>
          <w:szCs w:val="26"/>
        </w:rPr>
        <w:t xml:space="preserve">the hearing on its “section </w:t>
      </w:r>
      <w:r w:rsidR="00E70CDB" w:rsidRPr="008A02AC">
        <w:rPr>
          <w:rFonts w:ascii="Century Schoolbook" w:hAnsi="Century Schoolbook"/>
          <w:sz w:val="27"/>
          <w:szCs w:val="26"/>
        </w:rPr>
        <w:t xml:space="preserve">782” motion, the District </w:t>
      </w:r>
      <w:r w:rsidR="00F44730" w:rsidRPr="008A02AC">
        <w:rPr>
          <w:rFonts w:ascii="Century Schoolbook" w:hAnsi="Century Schoolbook"/>
          <w:sz w:val="27"/>
          <w:szCs w:val="26"/>
        </w:rPr>
        <w:t xml:space="preserve">sought to clarify that it did indeed seek to question plaintiff </w:t>
      </w:r>
      <w:r w:rsidR="00B7353D" w:rsidRPr="008A02AC">
        <w:rPr>
          <w:rFonts w:ascii="Century Schoolbook" w:hAnsi="Century Schoolbook"/>
          <w:sz w:val="27"/>
          <w:szCs w:val="26"/>
        </w:rPr>
        <w:t xml:space="preserve">in order </w:t>
      </w:r>
      <w:r w:rsidR="00785197" w:rsidRPr="008A02AC">
        <w:rPr>
          <w:rFonts w:ascii="Century Schoolbook" w:hAnsi="Century Schoolbook"/>
          <w:sz w:val="27"/>
          <w:szCs w:val="26"/>
        </w:rPr>
        <w:t xml:space="preserve">to </w:t>
      </w:r>
      <w:r w:rsidR="00F44730" w:rsidRPr="008A02AC">
        <w:rPr>
          <w:rFonts w:ascii="Century Schoolbook" w:hAnsi="Century Schoolbook"/>
          <w:sz w:val="27"/>
          <w:szCs w:val="26"/>
        </w:rPr>
        <w:t xml:space="preserve">impeach her </w:t>
      </w:r>
      <w:r w:rsidR="00F44730" w:rsidRPr="008A02AC">
        <w:rPr>
          <w:rFonts w:ascii="Century Schoolbook" w:hAnsi="Century Schoolbook"/>
          <w:i/>
          <w:iCs/>
          <w:sz w:val="27"/>
          <w:szCs w:val="26"/>
        </w:rPr>
        <w:t>anticipated</w:t>
      </w:r>
      <w:r w:rsidR="00F44730" w:rsidRPr="008A02AC">
        <w:rPr>
          <w:rFonts w:ascii="Century Schoolbook" w:hAnsi="Century Schoolbook"/>
          <w:sz w:val="27"/>
          <w:szCs w:val="26"/>
        </w:rPr>
        <w:t xml:space="preserve"> testimony concerning “concurrent cause</w:t>
      </w:r>
      <w:r w:rsidR="00DA117D" w:rsidRPr="008A02AC">
        <w:rPr>
          <w:rFonts w:ascii="Century Schoolbook" w:hAnsi="Century Schoolbook"/>
          <w:sz w:val="27"/>
          <w:szCs w:val="26"/>
        </w:rPr>
        <w:t>[s]</w:t>
      </w:r>
      <w:r w:rsidR="00F44730" w:rsidRPr="008A02AC">
        <w:rPr>
          <w:rFonts w:ascii="Century Schoolbook" w:hAnsi="Century Schoolbook"/>
          <w:sz w:val="27"/>
          <w:szCs w:val="26"/>
        </w:rPr>
        <w:t xml:space="preserve"> of harm.”  </w:t>
      </w:r>
      <w:r w:rsidR="00E7403D" w:rsidRPr="008A02AC">
        <w:rPr>
          <w:rFonts w:ascii="Century Schoolbook" w:hAnsi="Century Schoolbook"/>
          <w:sz w:val="27"/>
          <w:szCs w:val="26"/>
        </w:rPr>
        <w:t>But, c</w:t>
      </w:r>
      <w:r w:rsidR="00F44730" w:rsidRPr="008A02AC">
        <w:rPr>
          <w:rFonts w:ascii="Century Schoolbook" w:hAnsi="Century Schoolbook"/>
          <w:sz w:val="27"/>
          <w:szCs w:val="26"/>
        </w:rPr>
        <w:t xml:space="preserve">ounsel for the District </w:t>
      </w:r>
      <w:r w:rsidR="00E7403D" w:rsidRPr="008A02AC">
        <w:rPr>
          <w:rFonts w:ascii="Century Schoolbook" w:hAnsi="Century Schoolbook"/>
          <w:sz w:val="27"/>
          <w:szCs w:val="26"/>
        </w:rPr>
        <w:t>assured the trial court</w:t>
      </w:r>
      <w:r w:rsidR="0087191E" w:rsidRPr="008A02AC">
        <w:rPr>
          <w:rFonts w:ascii="Century Schoolbook" w:hAnsi="Century Schoolbook"/>
          <w:sz w:val="27"/>
          <w:szCs w:val="26"/>
        </w:rPr>
        <w:t xml:space="preserve">, he </w:t>
      </w:r>
      <w:r w:rsidR="00F44730" w:rsidRPr="008A02AC">
        <w:rPr>
          <w:rFonts w:ascii="Century Schoolbook" w:hAnsi="Century Schoolbook"/>
          <w:sz w:val="27"/>
          <w:szCs w:val="26"/>
        </w:rPr>
        <w:t>intend</w:t>
      </w:r>
      <w:r w:rsidR="0087191E" w:rsidRPr="008A02AC">
        <w:rPr>
          <w:rFonts w:ascii="Century Schoolbook" w:hAnsi="Century Schoolbook"/>
          <w:sz w:val="27"/>
          <w:szCs w:val="26"/>
        </w:rPr>
        <w:t>ed</w:t>
      </w:r>
      <w:r w:rsidR="00F44730" w:rsidRPr="008A02AC">
        <w:rPr>
          <w:rFonts w:ascii="Century Schoolbook" w:hAnsi="Century Schoolbook"/>
          <w:sz w:val="27"/>
          <w:szCs w:val="26"/>
        </w:rPr>
        <w:t xml:space="preserve"> to ask plaintiff </w:t>
      </w:r>
      <w:r w:rsidR="0087191E" w:rsidRPr="008A02AC">
        <w:rPr>
          <w:rFonts w:ascii="Century Schoolbook" w:hAnsi="Century Schoolbook"/>
          <w:sz w:val="27"/>
          <w:szCs w:val="26"/>
        </w:rPr>
        <w:t xml:space="preserve">simply </w:t>
      </w:r>
      <w:r w:rsidR="00F44730" w:rsidRPr="008A02AC">
        <w:rPr>
          <w:rFonts w:ascii="Century Schoolbook" w:hAnsi="Century Schoolbook"/>
          <w:sz w:val="27"/>
          <w:szCs w:val="26"/>
        </w:rPr>
        <w:t>if she was “the victim of a sexual abuse episode” in 2013</w:t>
      </w:r>
      <w:r w:rsidR="0001768E" w:rsidRPr="008A02AC">
        <w:rPr>
          <w:rFonts w:ascii="Century Schoolbook" w:hAnsi="Century Schoolbook"/>
          <w:sz w:val="27"/>
          <w:szCs w:val="26"/>
        </w:rPr>
        <w:t> — and no more</w:t>
      </w:r>
      <w:r w:rsidR="00D735FB" w:rsidRPr="008A02AC">
        <w:rPr>
          <w:rFonts w:ascii="Century Schoolbook" w:hAnsi="Century Schoolbook"/>
          <w:sz w:val="27"/>
          <w:szCs w:val="26"/>
        </w:rPr>
        <w:t>.</w:t>
      </w:r>
      <w:r w:rsidR="00F44730" w:rsidRPr="008A02AC">
        <w:rPr>
          <w:rFonts w:ascii="Century Schoolbook" w:hAnsi="Century Schoolbook"/>
          <w:sz w:val="27"/>
          <w:szCs w:val="26"/>
        </w:rPr>
        <w:t xml:space="preserve">  </w:t>
      </w:r>
      <w:r w:rsidR="000E77F5" w:rsidRPr="008A02AC">
        <w:rPr>
          <w:rFonts w:ascii="Century Schoolbook" w:hAnsi="Century Schoolbook"/>
          <w:sz w:val="27"/>
          <w:szCs w:val="26"/>
        </w:rPr>
        <w:t>(</w:t>
      </w:r>
      <w:r w:rsidR="004C3D16" w:rsidRPr="008A02AC">
        <w:rPr>
          <w:rFonts w:ascii="Century Schoolbook" w:hAnsi="Century Schoolbook"/>
          <w:sz w:val="27"/>
          <w:szCs w:val="26"/>
        </w:rPr>
        <w:t>3</w:t>
      </w:r>
      <w:r w:rsidR="000E77F5" w:rsidRPr="008A02AC">
        <w:rPr>
          <w:rFonts w:ascii="Century Schoolbook" w:hAnsi="Century Schoolbook"/>
          <w:sz w:val="27"/>
          <w:szCs w:val="26"/>
        </w:rPr>
        <w:t>)</w:t>
      </w:r>
      <w:r w:rsidR="0013100B" w:rsidRPr="008A02AC">
        <w:rPr>
          <w:rFonts w:ascii="Century Schoolbook" w:hAnsi="Century Schoolbook"/>
          <w:sz w:val="27"/>
          <w:szCs w:val="26"/>
        </w:rPr>
        <w:t xml:space="preserve"> </w:t>
      </w:r>
      <w:r w:rsidR="00820B6F" w:rsidRPr="008A02AC">
        <w:rPr>
          <w:rFonts w:ascii="Century Schoolbook" w:hAnsi="Century Schoolbook"/>
          <w:sz w:val="27"/>
          <w:szCs w:val="26"/>
        </w:rPr>
        <w:t xml:space="preserve">The </w:t>
      </w:r>
      <w:r w:rsidR="009B2985" w:rsidRPr="008A02AC">
        <w:rPr>
          <w:rFonts w:ascii="Century Schoolbook" w:hAnsi="Century Schoolbook"/>
          <w:sz w:val="27"/>
          <w:szCs w:val="26"/>
        </w:rPr>
        <w:t xml:space="preserve">trial court </w:t>
      </w:r>
      <w:r w:rsidR="00820B6F" w:rsidRPr="008A02AC">
        <w:rPr>
          <w:rFonts w:ascii="Century Schoolbook" w:hAnsi="Century Schoolbook"/>
          <w:sz w:val="27"/>
          <w:szCs w:val="26"/>
        </w:rPr>
        <w:t xml:space="preserve">apparently </w:t>
      </w:r>
      <w:r w:rsidR="00133CCB" w:rsidRPr="008A02AC">
        <w:rPr>
          <w:rFonts w:ascii="Century Schoolbook" w:hAnsi="Century Schoolbook"/>
          <w:sz w:val="27"/>
          <w:szCs w:val="26"/>
        </w:rPr>
        <w:t xml:space="preserve">understood the District </w:t>
      </w:r>
      <w:r w:rsidR="00DF03FD" w:rsidRPr="008A02AC">
        <w:rPr>
          <w:rFonts w:ascii="Century Schoolbook" w:hAnsi="Century Schoolbook"/>
          <w:sz w:val="27"/>
          <w:szCs w:val="26"/>
        </w:rPr>
        <w:t xml:space="preserve">as </w:t>
      </w:r>
      <w:r w:rsidR="00133CCB" w:rsidRPr="008A02AC">
        <w:rPr>
          <w:rFonts w:ascii="Century Schoolbook" w:hAnsi="Century Schoolbook"/>
          <w:sz w:val="27"/>
          <w:szCs w:val="26"/>
        </w:rPr>
        <w:t>seek</w:t>
      </w:r>
      <w:r w:rsidR="00DF03FD" w:rsidRPr="008A02AC">
        <w:rPr>
          <w:rFonts w:ascii="Century Schoolbook" w:hAnsi="Century Schoolbook"/>
          <w:sz w:val="27"/>
          <w:szCs w:val="26"/>
        </w:rPr>
        <w:t xml:space="preserve">ing </w:t>
      </w:r>
      <w:r w:rsidR="00133CCB" w:rsidRPr="008A02AC">
        <w:rPr>
          <w:rFonts w:ascii="Century Schoolbook" w:hAnsi="Century Schoolbook"/>
          <w:sz w:val="27"/>
          <w:szCs w:val="26"/>
        </w:rPr>
        <w:t xml:space="preserve">to admit </w:t>
      </w:r>
      <w:r w:rsidR="00DF03FD" w:rsidRPr="008A02AC">
        <w:rPr>
          <w:rFonts w:ascii="Century Schoolbook" w:hAnsi="Century Schoolbook"/>
          <w:sz w:val="27"/>
          <w:szCs w:val="26"/>
        </w:rPr>
        <w:t xml:space="preserve">evidence concerning </w:t>
      </w:r>
      <w:r w:rsidR="00133CCB" w:rsidRPr="008A02AC">
        <w:rPr>
          <w:rFonts w:ascii="Century Schoolbook" w:hAnsi="Century Schoolbook"/>
          <w:sz w:val="27"/>
          <w:szCs w:val="26"/>
        </w:rPr>
        <w:t xml:space="preserve">plaintiff’s 2013 molestation as relevant concerning </w:t>
      </w:r>
      <w:r w:rsidR="00153A9B">
        <w:rPr>
          <w:rFonts w:ascii="Century Schoolbook" w:hAnsi="Century Schoolbook"/>
          <w:sz w:val="27"/>
          <w:szCs w:val="26"/>
        </w:rPr>
        <w:t xml:space="preserve">only </w:t>
      </w:r>
      <w:r w:rsidR="00133CCB" w:rsidRPr="00177416">
        <w:rPr>
          <w:rFonts w:ascii="Century Schoolbook" w:hAnsi="Century Schoolbook"/>
          <w:sz w:val="27"/>
          <w:szCs w:val="26"/>
        </w:rPr>
        <w:t>damages</w:t>
      </w:r>
      <w:r w:rsidR="002D24AC" w:rsidRPr="00177416">
        <w:rPr>
          <w:rFonts w:ascii="Century Schoolbook" w:hAnsi="Century Schoolbook"/>
          <w:sz w:val="27"/>
          <w:szCs w:val="26"/>
        </w:rPr>
        <w:t xml:space="preserve"> </w:t>
      </w:r>
      <w:r w:rsidR="00DF03FD" w:rsidRPr="00177416">
        <w:rPr>
          <w:rFonts w:ascii="Century Schoolbook" w:hAnsi="Century Schoolbook"/>
          <w:sz w:val="27"/>
          <w:szCs w:val="26"/>
        </w:rPr>
        <w:t xml:space="preserve">and </w:t>
      </w:r>
      <w:r w:rsidR="003C6D8B" w:rsidRPr="00177416">
        <w:rPr>
          <w:rFonts w:ascii="Century Schoolbook" w:hAnsi="Century Schoolbook"/>
          <w:sz w:val="27"/>
          <w:szCs w:val="26"/>
        </w:rPr>
        <w:t>via a single minimally invasive question</w:t>
      </w:r>
      <w:r w:rsidR="009012D2" w:rsidRPr="00177416">
        <w:rPr>
          <w:rFonts w:ascii="Century Schoolbook" w:hAnsi="Century Schoolbook"/>
          <w:sz w:val="27"/>
          <w:szCs w:val="26"/>
        </w:rPr>
        <w:t xml:space="preserve">.  And yet </w:t>
      </w:r>
      <w:r w:rsidR="00D55CEA" w:rsidRPr="00177416">
        <w:rPr>
          <w:rFonts w:ascii="Century Schoolbook" w:hAnsi="Century Schoolbook"/>
          <w:sz w:val="27"/>
          <w:szCs w:val="26"/>
        </w:rPr>
        <w:t>the District’s opening statement before the jury</w:t>
      </w:r>
      <w:r w:rsidR="00E53670" w:rsidRPr="00177416">
        <w:rPr>
          <w:rFonts w:ascii="Century Schoolbook" w:hAnsi="Century Schoolbook"/>
          <w:sz w:val="27"/>
          <w:szCs w:val="26"/>
        </w:rPr>
        <w:t xml:space="preserve"> </w:t>
      </w:r>
      <w:r w:rsidR="00564F82" w:rsidRPr="00177416">
        <w:rPr>
          <w:rFonts w:ascii="Century Schoolbook" w:hAnsi="Century Schoolbook"/>
          <w:sz w:val="27"/>
          <w:szCs w:val="26"/>
        </w:rPr>
        <w:t>was much more expansive</w:t>
      </w:r>
      <w:r w:rsidR="00B278C1" w:rsidRPr="00177416">
        <w:rPr>
          <w:rFonts w:ascii="Century Schoolbook" w:hAnsi="Century Schoolbook"/>
          <w:sz w:val="27"/>
          <w:szCs w:val="26"/>
        </w:rPr>
        <w:t xml:space="preserve">, </w:t>
      </w:r>
      <w:r w:rsidR="006E4A6D" w:rsidRPr="00177416">
        <w:rPr>
          <w:rFonts w:ascii="Century Schoolbook" w:hAnsi="Century Schoolbook"/>
          <w:sz w:val="27"/>
          <w:szCs w:val="26"/>
        </w:rPr>
        <w:t xml:space="preserve">encouraging the panel </w:t>
      </w:r>
      <w:r w:rsidR="002D5C30" w:rsidRPr="00177416">
        <w:rPr>
          <w:rFonts w:ascii="Century Schoolbook" w:hAnsi="Century Schoolbook"/>
          <w:sz w:val="27"/>
          <w:szCs w:val="26"/>
        </w:rPr>
        <w:t xml:space="preserve">to </w:t>
      </w:r>
      <w:r w:rsidR="003E394D" w:rsidRPr="00177416">
        <w:rPr>
          <w:rFonts w:ascii="Century Schoolbook" w:hAnsi="Century Schoolbook"/>
          <w:sz w:val="27"/>
          <w:szCs w:val="26"/>
        </w:rPr>
        <w:t xml:space="preserve">use the </w:t>
      </w:r>
      <w:r w:rsidR="006E4A6D" w:rsidRPr="00177416">
        <w:rPr>
          <w:rFonts w:ascii="Century Schoolbook" w:hAnsi="Century Schoolbook"/>
          <w:sz w:val="27"/>
          <w:szCs w:val="26"/>
        </w:rPr>
        <w:t xml:space="preserve">evidence of the </w:t>
      </w:r>
      <w:r w:rsidR="003E394D" w:rsidRPr="00177416">
        <w:rPr>
          <w:rFonts w:ascii="Century Schoolbook" w:hAnsi="Century Schoolbook"/>
          <w:sz w:val="27"/>
          <w:szCs w:val="26"/>
        </w:rPr>
        <w:t>2013 molestation to question the credibility of petitioner’s description of the specific abuse by Baldenebro in 2009</w:t>
      </w:r>
      <w:r w:rsidR="00B015FE">
        <w:rPr>
          <w:rFonts w:ascii="Century Schoolbook" w:hAnsi="Century Schoolbook"/>
          <w:sz w:val="27"/>
          <w:szCs w:val="26"/>
        </w:rPr>
        <w:t>–</w:t>
      </w:r>
      <w:r w:rsidR="00FB2C75">
        <w:rPr>
          <w:rFonts w:ascii="Century Schoolbook" w:hAnsi="Century Schoolbook"/>
          <w:sz w:val="27"/>
          <w:szCs w:val="26"/>
        </w:rPr>
        <w:t>2</w:t>
      </w:r>
      <w:r w:rsidR="003E394D" w:rsidRPr="00177416">
        <w:rPr>
          <w:rFonts w:ascii="Century Schoolbook" w:hAnsi="Century Schoolbook"/>
          <w:sz w:val="27"/>
          <w:szCs w:val="26"/>
        </w:rPr>
        <w:t>010</w:t>
      </w:r>
      <w:r w:rsidR="00B67DED" w:rsidRPr="00177416">
        <w:rPr>
          <w:rFonts w:ascii="Century Schoolbook" w:hAnsi="Century Schoolbook"/>
          <w:sz w:val="27"/>
          <w:szCs w:val="26"/>
        </w:rPr>
        <w:t xml:space="preserve">. </w:t>
      </w:r>
      <w:r w:rsidR="00177416">
        <w:rPr>
          <w:rFonts w:ascii="Century Schoolbook" w:hAnsi="Century Schoolbook"/>
          <w:sz w:val="27"/>
          <w:szCs w:val="26"/>
        </w:rPr>
        <w:t xml:space="preserve"> </w:t>
      </w:r>
      <w:r w:rsidR="0013100B" w:rsidRPr="00177416">
        <w:rPr>
          <w:rFonts w:ascii="Century Schoolbook" w:hAnsi="Century Schoolbook"/>
          <w:sz w:val="27"/>
          <w:szCs w:val="26"/>
        </w:rPr>
        <w:t xml:space="preserve">(4) </w:t>
      </w:r>
      <w:r w:rsidR="00345700" w:rsidRPr="00177416">
        <w:rPr>
          <w:rFonts w:ascii="Century Schoolbook" w:hAnsi="Century Schoolbook"/>
          <w:sz w:val="27"/>
          <w:szCs w:val="26"/>
        </w:rPr>
        <w:t xml:space="preserve">Now, </w:t>
      </w:r>
      <w:r w:rsidR="00C377F0" w:rsidRPr="00177416">
        <w:rPr>
          <w:rFonts w:ascii="Century Schoolbook" w:hAnsi="Century Schoolbook"/>
          <w:sz w:val="27"/>
          <w:szCs w:val="26"/>
        </w:rPr>
        <w:t xml:space="preserve">further </w:t>
      </w:r>
      <w:r w:rsidR="008C1308" w:rsidRPr="00177416">
        <w:rPr>
          <w:rFonts w:ascii="Century Schoolbook" w:hAnsi="Century Schoolbook"/>
          <w:sz w:val="27"/>
          <w:szCs w:val="26"/>
        </w:rPr>
        <w:t xml:space="preserve">expanding on </w:t>
      </w:r>
      <w:r w:rsidR="001846E8" w:rsidRPr="00177416">
        <w:rPr>
          <w:rFonts w:ascii="Century Schoolbook" w:hAnsi="Century Schoolbook"/>
          <w:sz w:val="27"/>
          <w:szCs w:val="26"/>
        </w:rPr>
        <w:t xml:space="preserve">the theme suggested in its </w:t>
      </w:r>
      <w:r w:rsidR="00C377F0" w:rsidRPr="00177416">
        <w:rPr>
          <w:rFonts w:ascii="Century Schoolbook" w:hAnsi="Century Schoolbook"/>
          <w:sz w:val="27"/>
          <w:szCs w:val="26"/>
        </w:rPr>
        <w:t xml:space="preserve">opening statement to the jury, </w:t>
      </w:r>
      <w:r w:rsidR="00454A21" w:rsidRPr="00177416">
        <w:rPr>
          <w:rFonts w:ascii="Century Schoolbook" w:hAnsi="Century Schoolbook"/>
          <w:sz w:val="27"/>
          <w:szCs w:val="26"/>
        </w:rPr>
        <w:t>in its answer brief file</w:t>
      </w:r>
      <w:r w:rsidR="00C16666" w:rsidRPr="00177416">
        <w:rPr>
          <w:rFonts w:ascii="Century Schoolbook" w:hAnsi="Century Schoolbook"/>
          <w:sz w:val="27"/>
          <w:szCs w:val="26"/>
        </w:rPr>
        <w:t>d</w:t>
      </w:r>
      <w:r w:rsidR="00454A21" w:rsidRPr="00177416">
        <w:rPr>
          <w:rFonts w:ascii="Century Schoolbook" w:hAnsi="Century Schoolbook"/>
          <w:sz w:val="27"/>
          <w:szCs w:val="26"/>
        </w:rPr>
        <w:t xml:space="preserve"> in th</w:t>
      </w:r>
      <w:r w:rsidR="00486F04" w:rsidRPr="00177416">
        <w:rPr>
          <w:rFonts w:ascii="Century Schoolbook" w:hAnsi="Century Schoolbook"/>
          <w:sz w:val="27"/>
          <w:szCs w:val="26"/>
        </w:rPr>
        <w:t xml:space="preserve">is </w:t>
      </w:r>
      <w:r w:rsidR="00454A21" w:rsidRPr="00177416">
        <w:rPr>
          <w:rFonts w:ascii="Century Schoolbook" w:hAnsi="Century Schoolbook"/>
          <w:sz w:val="27"/>
          <w:szCs w:val="26"/>
        </w:rPr>
        <w:t>court</w:t>
      </w:r>
      <w:r w:rsidR="006C0BA6">
        <w:rPr>
          <w:rFonts w:ascii="Century Schoolbook" w:hAnsi="Century Schoolbook"/>
          <w:sz w:val="27"/>
          <w:szCs w:val="26"/>
        </w:rPr>
        <w:t>,</w:t>
      </w:r>
      <w:r w:rsidR="00454A21" w:rsidRPr="00177416">
        <w:rPr>
          <w:rFonts w:ascii="Century Schoolbook" w:hAnsi="Century Schoolbook"/>
          <w:sz w:val="27"/>
          <w:szCs w:val="26"/>
        </w:rPr>
        <w:t xml:space="preserve"> the District</w:t>
      </w:r>
      <w:r w:rsidR="00F3432F" w:rsidRPr="00177416">
        <w:rPr>
          <w:rFonts w:ascii="Century Schoolbook" w:hAnsi="Century Schoolbook"/>
          <w:sz w:val="27"/>
          <w:szCs w:val="26"/>
        </w:rPr>
        <w:t xml:space="preserve"> </w:t>
      </w:r>
      <w:r w:rsidR="00D24619" w:rsidRPr="00177416">
        <w:rPr>
          <w:rFonts w:ascii="Century Schoolbook" w:hAnsi="Century Schoolbook"/>
          <w:sz w:val="27"/>
          <w:szCs w:val="26"/>
        </w:rPr>
        <w:t xml:space="preserve">explains that </w:t>
      </w:r>
      <w:r w:rsidR="00CF5312" w:rsidRPr="00177416">
        <w:rPr>
          <w:rFonts w:ascii="Century Schoolbook" w:hAnsi="Century Schoolbook"/>
          <w:sz w:val="27"/>
          <w:szCs w:val="26"/>
        </w:rPr>
        <w:t xml:space="preserve">it seeks to attack </w:t>
      </w:r>
      <w:r w:rsidR="00ED3B94" w:rsidRPr="00177416">
        <w:rPr>
          <w:rFonts w:ascii="Century Schoolbook" w:hAnsi="Century Schoolbook"/>
          <w:sz w:val="27"/>
          <w:szCs w:val="26"/>
        </w:rPr>
        <w:t xml:space="preserve">plaintiff’s </w:t>
      </w:r>
      <w:r w:rsidR="009B3520" w:rsidRPr="00177416">
        <w:rPr>
          <w:rFonts w:ascii="Century Schoolbook" w:hAnsi="Century Schoolbook"/>
          <w:sz w:val="27"/>
          <w:szCs w:val="26"/>
        </w:rPr>
        <w:lastRenderedPageBreak/>
        <w:t xml:space="preserve">credibility by </w:t>
      </w:r>
      <w:r w:rsidR="00F43638" w:rsidRPr="00177416">
        <w:rPr>
          <w:rFonts w:ascii="Century Schoolbook" w:hAnsi="Century Schoolbook"/>
          <w:sz w:val="27"/>
          <w:szCs w:val="26"/>
        </w:rPr>
        <w:t xml:space="preserve">additionally </w:t>
      </w:r>
      <w:r w:rsidR="009B3520" w:rsidRPr="00177416">
        <w:rPr>
          <w:rFonts w:ascii="Century Schoolbook" w:hAnsi="Century Schoolbook"/>
          <w:sz w:val="27"/>
          <w:szCs w:val="26"/>
        </w:rPr>
        <w:t xml:space="preserve">arguing that the 2013 </w:t>
      </w:r>
      <w:r w:rsidR="00ED3B94" w:rsidRPr="00177416">
        <w:rPr>
          <w:rFonts w:ascii="Century Schoolbook" w:hAnsi="Century Schoolbook"/>
          <w:sz w:val="27"/>
          <w:szCs w:val="26"/>
        </w:rPr>
        <w:t xml:space="preserve">molestation caused her </w:t>
      </w:r>
      <w:r w:rsidR="004D2E73" w:rsidRPr="00177416">
        <w:rPr>
          <w:rFonts w:ascii="Century Schoolbook" w:hAnsi="Century Schoolbook"/>
          <w:sz w:val="27"/>
          <w:szCs w:val="26"/>
        </w:rPr>
        <w:t xml:space="preserve">“chronic </w:t>
      </w:r>
      <w:r w:rsidR="003517AE" w:rsidRPr="00177416">
        <w:rPr>
          <w:rFonts w:ascii="Century Schoolbook" w:hAnsi="Century Schoolbook"/>
          <w:sz w:val="27"/>
          <w:szCs w:val="26"/>
        </w:rPr>
        <w:t>PTSD</w:t>
      </w:r>
      <w:r w:rsidR="004D2E73" w:rsidRPr="00177416">
        <w:rPr>
          <w:rFonts w:ascii="Century Schoolbook" w:hAnsi="Century Schoolbook"/>
          <w:sz w:val="27"/>
          <w:szCs w:val="26"/>
        </w:rPr>
        <w:t>”</w:t>
      </w:r>
      <w:r w:rsidR="009C1DE8" w:rsidRPr="00177416">
        <w:rPr>
          <w:rFonts w:ascii="Century Schoolbook" w:hAnsi="Century Schoolbook"/>
          <w:sz w:val="27"/>
          <w:szCs w:val="26"/>
        </w:rPr>
        <w:t xml:space="preserve"> </w:t>
      </w:r>
      <w:r w:rsidR="003517AE" w:rsidRPr="00177416">
        <w:rPr>
          <w:rFonts w:ascii="Century Schoolbook" w:hAnsi="Century Schoolbook"/>
          <w:sz w:val="27"/>
          <w:szCs w:val="26"/>
        </w:rPr>
        <w:t xml:space="preserve">and </w:t>
      </w:r>
      <w:r w:rsidR="004C3D16" w:rsidRPr="00177416">
        <w:rPr>
          <w:rFonts w:ascii="Century Schoolbook" w:hAnsi="Century Schoolbook"/>
          <w:sz w:val="27"/>
          <w:szCs w:val="26"/>
        </w:rPr>
        <w:t xml:space="preserve">that </w:t>
      </w:r>
      <w:r w:rsidR="003517AE" w:rsidRPr="00177416">
        <w:rPr>
          <w:rFonts w:ascii="Century Schoolbook" w:hAnsi="Century Schoolbook"/>
          <w:sz w:val="27"/>
          <w:szCs w:val="26"/>
        </w:rPr>
        <w:t xml:space="preserve">this in turn has led </w:t>
      </w:r>
      <w:r w:rsidR="00DF3EBE" w:rsidRPr="00177416">
        <w:rPr>
          <w:rFonts w:ascii="Century Schoolbook" w:hAnsi="Century Schoolbook"/>
          <w:sz w:val="27"/>
          <w:szCs w:val="26"/>
        </w:rPr>
        <w:t xml:space="preserve">plaintiff </w:t>
      </w:r>
      <w:r w:rsidR="003517AE" w:rsidRPr="00177416">
        <w:rPr>
          <w:rFonts w:ascii="Century Schoolbook" w:hAnsi="Century Schoolbook"/>
          <w:sz w:val="27"/>
          <w:szCs w:val="26"/>
        </w:rPr>
        <w:t xml:space="preserve">to </w:t>
      </w:r>
      <w:r w:rsidR="00E95920" w:rsidRPr="00177416">
        <w:rPr>
          <w:rFonts w:ascii="Century Schoolbook" w:hAnsi="Century Schoolbook"/>
          <w:sz w:val="27"/>
          <w:szCs w:val="26"/>
        </w:rPr>
        <w:t>exaggerate her claims about what Baldenebro did to her</w:t>
      </w:r>
      <w:r w:rsidR="007D3D5B" w:rsidRPr="00177416">
        <w:rPr>
          <w:rFonts w:ascii="Century Schoolbook" w:hAnsi="Century Schoolbook"/>
          <w:sz w:val="27"/>
          <w:szCs w:val="26"/>
        </w:rPr>
        <w:t xml:space="preserve">.  </w:t>
      </w:r>
      <w:r w:rsidR="002C6B05" w:rsidRPr="00177416">
        <w:rPr>
          <w:rFonts w:ascii="Century Schoolbook" w:hAnsi="Century Schoolbook"/>
          <w:sz w:val="27"/>
          <w:szCs w:val="26"/>
        </w:rPr>
        <w:t>In th</w:t>
      </w:r>
      <w:r w:rsidR="003C5AF1" w:rsidRPr="00177416">
        <w:rPr>
          <w:rFonts w:ascii="Century Schoolbook" w:hAnsi="Century Schoolbook"/>
          <w:sz w:val="27"/>
          <w:szCs w:val="26"/>
        </w:rPr>
        <w:t xml:space="preserve">is </w:t>
      </w:r>
      <w:r w:rsidR="002C6B05" w:rsidRPr="00177416">
        <w:rPr>
          <w:rFonts w:ascii="Century Schoolbook" w:hAnsi="Century Schoolbook"/>
          <w:sz w:val="27"/>
          <w:szCs w:val="26"/>
        </w:rPr>
        <w:t>regard, t</w:t>
      </w:r>
      <w:r w:rsidR="007D3D5B" w:rsidRPr="00177416">
        <w:rPr>
          <w:rFonts w:ascii="Century Schoolbook" w:hAnsi="Century Schoolbook"/>
          <w:sz w:val="27"/>
          <w:szCs w:val="26"/>
        </w:rPr>
        <w:t>he District argues</w:t>
      </w:r>
      <w:r w:rsidR="00E95920" w:rsidRPr="00177416">
        <w:rPr>
          <w:rFonts w:ascii="Century Schoolbook" w:hAnsi="Century Schoolbook"/>
          <w:sz w:val="27"/>
          <w:szCs w:val="26"/>
        </w:rPr>
        <w:t xml:space="preserve">:  </w:t>
      </w:r>
      <w:r w:rsidR="00331CF6" w:rsidRPr="00177416">
        <w:rPr>
          <w:rFonts w:ascii="Century Schoolbook" w:hAnsi="Century Schoolbook"/>
          <w:sz w:val="27"/>
          <w:szCs w:val="26"/>
        </w:rPr>
        <w:t>“</w:t>
      </w:r>
      <w:r w:rsidR="00E05D8E" w:rsidRPr="00177416">
        <w:rPr>
          <w:rFonts w:ascii="Century Schoolbook" w:hAnsi="Century Schoolbook"/>
          <w:sz w:val="27"/>
          <w:szCs w:val="26"/>
        </w:rPr>
        <w:t xml:space="preserve">If </w:t>
      </w:r>
      <w:r w:rsidR="00845B28" w:rsidRPr="00177416">
        <w:rPr>
          <w:rFonts w:ascii="Century Schoolbook" w:hAnsi="Century Schoolbook"/>
          <w:sz w:val="27"/>
          <w:szCs w:val="26"/>
        </w:rPr>
        <w:t xml:space="preserve">what [plaintiff] claims happened with Baldenebro </w:t>
      </w:r>
      <w:r w:rsidR="008C3B36" w:rsidRPr="00177416">
        <w:rPr>
          <w:rFonts w:ascii="Century Schoolbook" w:hAnsi="Century Schoolbook"/>
          <w:sz w:val="27"/>
          <w:szCs w:val="26"/>
        </w:rPr>
        <w:t>did not actually happen because the 2013 tra</w:t>
      </w:r>
      <w:r w:rsidR="00F81109" w:rsidRPr="00177416">
        <w:rPr>
          <w:rFonts w:ascii="Century Schoolbook" w:hAnsi="Century Schoolbook"/>
          <w:sz w:val="27"/>
          <w:szCs w:val="26"/>
        </w:rPr>
        <w:t xml:space="preserve">uma caused her </w:t>
      </w:r>
      <w:r w:rsidR="003C5AF1" w:rsidRPr="00177416">
        <w:rPr>
          <w:rFonts w:ascii="Century Schoolbook" w:hAnsi="Century Schoolbook"/>
          <w:sz w:val="27"/>
          <w:szCs w:val="26"/>
        </w:rPr>
        <w:t xml:space="preserve">to </w:t>
      </w:r>
      <w:r w:rsidR="00F81109" w:rsidRPr="00177416">
        <w:rPr>
          <w:rFonts w:ascii="Century Schoolbook" w:hAnsi="Century Schoolbook"/>
          <w:sz w:val="27"/>
          <w:szCs w:val="26"/>
        </w:rPr>
        <w:t xml:space="preserve">misremember </w:t>
      </w:r>
      <w:r w:rsidR="001F107E" w:rsidRPr="00177416">
        <w:rPr>
          <w:rFonts w:ascii="Century Schoolbook" w:hAnsi="Century Schoolbook"/>
          <w:sz w:val="27"/>
          <w:szCs w:val="26"/>
        </w:rPr>
        <w:t xml:space="preserve">or unintentionally exaggerate the details, then her damages for what </w:t>
      </w:r>
      <w:r w:rsidR="006A4B61" w:rsidRPr="00177416">
        <w:rPr>
          <w:rFonts w:ascii="Century Schoolbook" w:hAnsi="Century Schoolbook"/>
          <w:sz w:val="27"/>
          <w:szCs w:val="26"/>
        </w:rPr>
        <w:t xml:space="preserve">may actually have occurred would be less.”  </w:t>
      </w:r>
      <w:r w:rsidR="00BD782E" w:rsidRPr="00177416">
        <w:rPr>
          <w:rFonts w:ascii="Century Schoolbook" w:hAnsi="Century Schoolbook"/>
          <w:sz w:val="27"/>
          <w:szCs w:val="26"/>
        </w:rPr>
        <w:t xml:space="preserve">In </w:t>
      </w:r>
      <w:r w:rsidR="005E06C7" w:rsidRPr="00177416">
        <w:rPr>
          <w:rFonts w:ascii="Century Schoolbook" w:hAnsi="Century Schoolbook"/>
          <w:sz w:val="27"/>
          <w:szCs w:val="26"/>
        </w:rPr>
        <w:t>other words</w:t>
      </w:r>
      <w:r w:rsidR="007D3D5B" w:rsidRPr="00177416">
        <w:rPr>
          <w:rFonts w:ascii="Century Schoolbook" w:hAnsi="Century Schoolbook"/>
          <w:sz w:val="27"/>
          <w:szCs w:val="26"/>
        </w:rPr>
        <w:t>, t</w:t>
      </w:r>
      <w:r w:rsidR="002970A7" w:rsidRPr="00177416">
        <w:rPr>
          <w:rFonts w:ascii="Century Schoolbook" w:hAnsi="Century Schoolbook"/>
          <w:sz w:val="27"/>
          <w:szCs w:val="26"/>
        </w:rPr>
        <w:t xml:space="preserve">he District </w:t>
      </w:r>
      <w:r w:rsidR="00095747" w:rsidRPr="00177416">
        <w:rPr>
          <w:rFonts w:ascii="Century Schoolbook" w:hAnsi="Century Schoolbook"/>
          <w:sz w:val="27"/>
          <w:szCs w:val="26"/>
        </w:rPr>
        <w:t xml:space="preserve">now </w:t>
      </w:r>
      <w:r w:rsidR="002970A7" w:rsidRPr="00177416">
        <w:rPr>
          <w:rFonts w:ascii="Century Schoolbook" w:hAnsi="Century Schoolbook"/>
          <w:sz w:val="27"/>
          <w:szCs w:val="26"/>
        </w:rPr>
        <w:t>asserts</w:t>
      </w:r>
      <w:r w:rsidR="007D3D5B" w:rsidRPr="00177416">
        <w:rPr>
          <w:rFonts w:ascii="Century Schoolbook" w:hAnsi="Century Schoolbook"/>
          <w:sz w:val="27"/>
          <w:szCs w:val="26"/>
        </w:rPr>
        <w:t xml:space="preserve">, </w:t>
      </w:r>
      <w:r w:rsidR="002970A7" w:rsidRPr="00177416">
        <w:rPr>
          <w:rFonts w:ascii="Century Schoolbook" w:hAnsi="Century Schoolbook"/>
          <w:sz w:val="27"/>
          <w:szCs w:val="26"/>
        </w:rPr>
        <w:t xml:space="preserve">the “evidence of [plaintiff’s] 2013 trauma </w:t>
      </w:r>
      <w:r w:rsidR="00D755FC" w:rsidRPr="00177416">
        <w:rPr>
          <w:rFonts w:ascii="Century Schoolbook" w:hAnsi="Century Schoolbook"/>
          <w:i/>
          <w:iCs/>
          <w:sz w:val="27"/>
          <w:szCs w:val="26"/>
        </w:rPr>
        <w:t>is relevant to her credibility because it significantly affe</w:t>
      </w:r>
      <w:r w:rsidR="004817F0" w:rsidRPr="00177416">
        <w:rPr>
          <w:rFonts w:ascii="Century Schoolbook" w:hAnsi="Century Schoolbook"/>
          <w:i/>
          <w:iCs/>
          <w:sz w:val="27"/>
          <w:szCs w:val="26"/>
        </w:rPr>
        <w:t>cts her capacity to recollect what happened with Baldenebro and likely dis</w:t>
      </w:r>
      <w:r w:rsidR="009457DA" w:rsidRPr="00177416">
        <w:rPr>
          <w:rFonts w:ascii="Century Schoolbook" w:hAnsi="Century Schoolbook"/>
          <w:i/>
          <w:iCs/>
          <w:sz w:val="27"/>
          <w:szCs w:val="26"/>
        </w:rPr>
        <w:t>torted her memories</w:t>
      </w:r>
      <w:r w:rsidR="009457DA" w:rsidRPr="00177416">
        <w:rPr>
          <w:rFonts w:ascii="Century Schoolbook" w:hAnsi="Century Schoolbook"/>
          <w:sz w:val="27"/>
          <w:szCs w:val="26"/>
        </w:rPr>
        <w:t>.”</w:t>
      </w:r>
      <w:r w:rsidR="005257DE" w:rsidRPr="00177416">
        <w:rPr>
          <w:rFonts w:ascii="Century Schoolbook" w:hAnsi="Century Schoolbook"/>
          <w:sz w:val="27"/>
          <w:szCs w:val="26"/>
        </w:rPr>
        <w:t xml:space="preserve">  </w:t>
      </w:r>
      <w:r w:rsidR="00D43DD8">
        <w:rPr>
          <w:rFonts w:ascii="Century Schoolbook" w:hAnsi="Century Schoolbook"/>
          <w:sz w:val="27"/>
          <w:szCs w:val="26"/>
        </w:rPr>
        <w:t xml:space="preserve">(Italics added.)  </w:t>
      </w:r>
    </w:p>
    <w:p w14:paraId="0DB2E7F3" w14:textId="77777777" w:rsidR="00E167E2" w:rsidRPr="003A443D" w:rsidRDefault="002E6832" w:rsidP="00B17AB4">
      <w:pPr>
        <w:pStyle w:val="PlainText"/>
        <w:ind w:firstLine="720"/>
        <w:rPr>
          <w:rFonts w:ascii="Century Schoolbook" w:hAnsi="Century Schoolbook"/>
          <w:sz w:val="27"/>
          <w:szCs w:val="26"/>
        </w:rPr>
      </w:pPr>
      <w:r w:rsidRPr="00177416">
        <w:rPr>
          <w:rFonts w:ascii="Century Schoolbook" w:hAnsi="Century Schoolbook"/>
          <w:sz w:val="27"/>
          <w:szCs w:val="26"/>
        </w:rPr>
        <w:t>Al</w:t>
      </w:r>
      <w:r w:rsidRPr="003A443D">
        <w:rPr>
          <w:rFonts w:ascii="Century Schoolbook" w:hAnsi="Century Schoolbook"/>
          <w:sz w:val="27"/>
          <w:szCs w:val="26"/>
        </w:rPr>
        <w:t>though</w:t>
      </w:r>
      <w:r w:rsidR="00DD768D" w:rsidRPr="003A443D">
        <w:rPr>
          <w:rFonts w:ascii="Century Schoolbook" w:hAnsi="Century Schoolbook"/>
          <w:sz w:val="27"/>
          <w:szCs w:val="26"/>
        </w:rPr>
        <w:t xml:space="preserve">, as noted, </w:t>
      </w:r>
      <w:r w:rsidR="0048126B" w:rsidRPr="003A443D">
        <w:rPr>
          <w:rFonts w:ascii="Century Schoolbook" w:hAnsi="Century Schoolbook"/>
          <w:sz w:val="27"/>
          <w:szCs w:val="26"/>
        </w:rPr>
        <w:t xml:space="preserve">the </w:t>
      </w:r>
      <w:r w:rsidR="0048126B" w:rsidRPr="003A443D">
        <w:rPr>
          <w:rStyle w:val="cf01"/>
          <w:rFonts w:ascii="Century Schoolbook" w:hAnsi="Century Schoolbook" w:cs="Times New Roman"/>
          <w:sz w:val="27"/>
          <w:szCs w:val="26"/>
        </w:rPr>
        <w:t xml:space="preserve">Court of Appeal characterized the trial court as allowing the evidence for “impeachment purposes only” </w:t>
      </w:r>
      <w:r w:rsidR="0048126B" w:rsidRPr="003A443D">
        <w:rPr>
          <w:rFonts w:ascii="Century Schoolbook" w:hAnsi="Century Schoolbook"/>
          <w:sz w:val="27"/>
          <w:szCs w:val="26"/>
        </w:rPr>
        <w:t>(</w:t>
      </w:r>
      <w:r w:rsidR="0048126B" w:rsidRPr="003A443D">
        <w:rPr>
          <w:rFonts w:ascii="Century Schoolbook" w:hAnsi="Century Schoolbook"/>
          <w:i/>
          <w:iCs/>
          <w:sz w:val="27"/>
          <w:szCs w:val="26"/>
        </w:rPr>
        <w:t>Doe</w:t>
      </w:r>
      <w:r w:rsidR="0048126B" w:rsidRPr="003A443D">
        <w:rPr>
          <w:rFonts w:ascii="Century Schoolbook" w:hAnsi="Century Schoolbook"/>
          <w:sz w:val="27"/>
          <w:szCs w:val="26"/>
        </w:rPr>
        <w:t>,</w:t>
      </w:r>
      <w:r w:rsidR="00312C5F" w:rsidRPr="003A443D">
        <w:rPr>
          <w:rFonts w:ascii="Century Schoolbook" w:hAnsi="Century Schoolbook"/>
          <w:sz w:val="27"/>
          <w:szCs w:val="26"/>
        </w:rPr>
        <w:t xml:space="preserve"> </w:t>
      </w:r>
      <w:r w:rsidR="0048126B" w:rsidRPr="003A443D">
        <w:rPr>
          <w:rFonts w:ascii="Century Schoolbook" w:hAnsi="Century Schoolbook"/>
          <w:i/>
          <w:iCs/>
          <w:sz w:val="27"/>
          <w:szCs w:val="26"/>
        </w:rPr>
        <w:t>supra</w:t>
      </w:r>
      <w:r w:rsidR="0048126B" w:rsidRPr="003A443D">
        <w:rPr>
          <w:rFonts w:ascii="Century Schoolbook" w:hAnsi="Century Schoolbook"/>
          <w:sz w:val="27"/>
          <w:szCs w:val="26"/>
        </w:rPr>
        <w:t>,</w:t>
      </w:r>
      <w:r w:rsidR="00312C5F" w:rsidRPr="003A443D">
        <w:rPr>
          <w:rFonts w:ascii="Century Schoolbook" w:hAnsi="Century Schoolbook"/>
          <w:sz w:val="27"/>
          <w:szCs w:val="26"/>
        </w:rPr>
        <w:t xml:space="preserve"> </w:t>
      </w:r>
      <w:r w:rsidR="0048126B" w:rsidRPr="003A443D">
        <w:rPr>
          <w:rFonts w:ascii="Century Schoolbook" w:hAnsi="Century Schoolbook"/>
          <w:sz w:val="27"/>
          <w:szCs w:val="26"/>
        </w:rPr>
        <w:t>71</w:t>
      </w:r>
      <w:r w:rsidR="00412D59">
        <w:rPr>
          <w:rFonts w:ascii="Century Schoolbook" w:hAnsi="Century Schoolbook"/>
          <w:sz w:val="27"/>
          <w:szCs w:val="26"/>
        </w:rPr>
        <w:t> </w:t>
      </w:r>
      <w:r w:rsidR="0048126B" w:rsidRPr="003A443D">
        <w:rPr>
          <w:rFonts w:ascii="Century Schoolbook" w:hAnsi="Century Schoolbook"/>
          <w:sz w:val="27"/>
          <w:szCs w:val="26"/>
        </w:rPr>
        <w:t xml:space="preserve">Cal.App.5th at p. 235; see also </w:t>
      </w:r>
      <w:r w:rsidR="0048126B" w:rsidRPr="003A443D">
        <w:rPr>
          <w:rFonts w:ascii="Century Schoolbook" w:hAnsi="Century Schoolbook"/>
          <w:i/>
          <w:iCs/>
          <w:sz w:val="27"/>
          <w:szCs w:val="26"/>
        </w:rPr>
        <w:t>id</w:t>
      </w:r>
      <w:r w:rsidR="0048126B" w:rsidRPr="003A443D">
        <w:rPr>
          <w:rFonts w:ascii="Century Schoolbook" w:hAnsi="Century Schoolbook"/>
          <w:sz w:val="27"/>
          <w:szCs w:val="26"/>
        </w:rPr>
        <w:t>. at p.</w:t>
      </w:r>
      <w:r w:rsidR="00181F4B">
        <w:rPr>
          <w:rFonts w:ascii="Century Schoolbook" w:hAnsi="Century Schoolbook"/>
          <w:sz w:val="27"/>
          <w:szCs w:val="26"/>
        </w:rPr>
        <w:t> </w:t>
      </w:r>
      <w:r w:rsidR="0048126B" w:rsidRPr="003A443D">
        <w:rPr>
          <w:rFonts w:ascii="Century Schoolbook" w:hAnsi="Century Schoolbook"/>
          <w:sz w:val="27"/>
          <w:szCs w:val="26"/>
        </w:rPr>
        <w:t xml:space="preserve">241), the record before the trial court </w:t>
      </w:r>
      <w:r w:rsidR="00E46B45" w:rsidRPr="003A443D">
        <w:rPr>
          <w:rFonts w:ascii="Century Schoolbook" w:hAnsi="Century Schoolbook"/>
          <w:sz w:val="27"/>
          <w:szCs w:val="26"/>
        </w:rPr>
        <w:t xml:space="preserve">gives no </w:t>
      </w:r>
      <w:r w:rsidR="00F53684" w:rsidRPr="003A443D">
        <w:rPr>
          <w:rFonts w:ascii="Century Schoolbook" w:hAnsi="Century Schoolbook"/>
          <w:sz w:val="27"/>
          <w:szCs w:val="26"/>
        </w:rPr>
        <w:t xml:space="preserve">indication that </w:t>
      </w:r>
      <w:r w:rsidR="004268FC" w:rsidRPr="003A443D">
        <w:rPr>
          <w:rFonts w:ascii="Century Schoolbook" w:hAnsi="Century Schoolbook"/>
          <w:sz w:val="27"/>
          <w:szCs w:val="26"/>
        </w:rPr>
        <w:t xml:space="preserve">it </w:t>
      </w:r>
      <w:r w:rsidR="0048126B" w:rsidRPr="003A443D">
        <w:rPr>
          <w:rFonts w:ascii="Century Schoolbook" w:hAnsi="Century Schoolbook"/>
          <w:sz w:val="27"/>
          <w:szCs w:val="26"/>
        </w:rPr>
        <w:t>had in mind</w:t>
      </w:r>
      <w:r w:rsidR="009C6CC4" w:rsidRPr="003A443D">
        <w:rPr>
          <w:rFonts w:ascii="Century Schoolbook" w:hAnsi="Century Schoolbook"/>
          <w:sz w:val="27"/>
          <w:szCs w:val="26"/>
        </w:rPr>
        <w:t xml:space="preserve">, </w:t>
      </w:r>
      <w:r w:rsidR="0048126B" w:rsidRPr="003A443D">
        <w:rPr>
          <w:rFonts w:ascii="Century Schoolbook" w:hAnsi="Century Schoolbook"/>
          <w:sz w:val="27"/>
          <w:szCs w:val="26"/>
        </w:rPr>
        <w:t xml:space="preserve">and weighed </w:t>
      </w:r>
      <w:r w:rsidR="009C6CC4" w:rsidRPr="003A443D">
        <w:rPr>
          <w:rFonts w:ascii="Century Schoolbook" w:hAnsi="Century Schoolbook"/>
          <w:sz w:val="27"/>
          <w:szCs w:val="26"/>
        </w:rPr>
        <w:t xml:space="preserve">or </w:t>
      </w:r>
      <w:r w:rsidR="0048126B" w:rsidRPr="003A443D">
        <w:rPr>
          <w:rFonts w:ascii="Century Schoolbook" w:hAnsi="Century Schoolbook"/>
          <w:sz w:val="27"/>
          <w:szCs w:val="26"/>
        </w:rPr>
        <w:t>considered</w:t>
      </w:r>
      <w:r w:rsidR="009C6CC4" w:rsidRPr="003A443D">
        <w:rPr>
          <w:rFonts w:ascii="Century Schoolbook" w:hAnsi="Century Schoolbook"/>
          <w:sz w:val="27"/>
          <w:szCs w:val="26"/>
        </w:rPr>
        <w:t xml:space="preserve">, </w:t>
      </w:r>
      <w:r w:rsidR="0048126B" w:rsidRPr="003A443D">
        <w:rPr>
          <w:rFonts w:ascii="Century Schoolbook" w:hAnsi="Century Schoolbook"/>
          <w:sz w:val="27"/>
          <w:szCs w:val="26"/>
        </w:rPr>
        <w:t>the District’s evolved</w:t>
      </w:r>
      <w:r w:rsidR="009B6645" w:rsidRPr="003A443D">
        <w:rPr>
          <w:rFonts w:ascii="Century Schoolbook" w:hAnsi="Century Schoolbook"/>
          <w:sz w:val="27"/>
          <w:szCs w:val="26"/>
        </w:rPr>
        <w:t xml:space="preserve"> and expansive</w:t>
      </w:r>
      <w:r w:rsidR="0048126B" w:rsidRPr="003A443D">
        <w:rPr>
          <w:rFonts w:ascii="Century Schoolbook" w:hAnsi="Century Schoolbook"/>
          <w:sz w:val="27"/>
          <w:szCs w:val="26"/>
        </w:rPr>
        <w:t xml:space="preserve"> understanding of </w:t>
      </w:r>
      <w:r w:rsidR="006D37DD" w:rsidRPr="003A443D">
        <w:rPr>
          <w:rFonts w:ascii="Century Schoolbook" w:hAnsi="Century Schoolbook"/>
          <w:sz w:val="27"/>
          <w:szCs w:val="26"/>
        </w:rPr>
        <w:t xml:space="preserve">the </w:t>
      </w:r>
      <w:r w:rsidR="0048126B" w:rsidRPr="003A443D">
        <w:rPr>
          <w:rFonts w:ascii="Century Schoolbook" w:hAnsi="Century Schoolbook"/>
          <w:sz w:val="27"/>
          <w:szCs w:val="26"/>
        </w:rPr>
        <w:t xml:space="preserve">relevance </w:t>
      </w:r>
      <w:r w:rsidR="00B60BF2" w:rsidRPr="003A443D">
        <w:rPr>
          <w:rFonts w:ascii="Century Schoolbook" w:hAnsi="Century Schoolbook"/>
          <w:sz w:val="27"/>
          <w:szCs w:val="26"/>
        </w:rPr>
        <w:t xml:space="preserve">and use </w:t>
      </w:r>
      <w:r w:rsidR="009F3013" w:rsidRPr="003A443D">
        <w:rPr>
          <w:rFonts w:ascii="Century Schoolbook" w:hAnsi="Century Schoolbook"/>
          <w:sz w:val="27"/>
          <w:szCs w:val="26"/>
        </w:rPr>
        <w:t>of the 2013 molestation</w:t>
      </w:r>
      <w:r w:rsidR="00C50923" w:rsidRPr="003A443D">
        <w:rPr>
          <w:rFonts w:ascii="Century Schoolbook" w:hAnsi="Century Schoolbook"/>
          <w:sz w:val="27"/>
          <w:szCs w:val="26"/>
        </w:rPr>
        <w:t xml:space="preserve"> for </w:t>
      </w:r>
      <w:r w:rsidR="00B10DEB" w:rsidRPr="003A443D">
        <w:rPr>
          <w:rFonts w:ascii="Century Schoolbook" w:hAnsi="Century Schoolbook"/>
          <w:sz w:val="27"/>
          <w:szCs w:val="26"/>
        </w:rPr>
        <w:t xml:space="preserve">any such </w:t>
      </w:r>
      <w:r w:rsidR="00C50923" w:rsidRPr="003A443D">
        <w:rPr>
          <w:rFonts w:ascii="Century Schoolbook" w:hAnsi="Century Schoolbook"/>
          <w:sz w:val="27"/>
          <w:szCs w:val="26"/>
        </w:rPr>
        <w:t>impeachment</w:t>
      </w:r>
      <w:r w:rsidR="00E705B6" w:rsidRPr="003A443D">
        <w:rPr>
          <w:rFonts w:ascii="Century Schoolbook" w:hAnsi="Century Schoolbook"/>
          <w:sz w:val="27"/>
          <w:szCs w:val="26"/>
        </w:rPr>
        <w:t xml:space="preserve">. </w:t>
      </w:r>
      <w:r w:rsidR="00A2342C" w:rsidRPr="003A443D">
        <w:rPr>
          <w:rFonts w:ascii="Century Schoolbook" w:hAnsi="Century Schoolbook"/>
          <w:sz w:val="27"/>
          <w:szCs w:val="26"/>
        </w:rPr>
        <w:t xml:space="preserve"> </w:t>
      </w:r>
    </w:p>
    <w:p w14:paraId="0DB2E7F4" w14:textId="77777777" w:rsidR="006135DF" w:rsidRPr="003A443D" w:rsidRDefault="002E6832" w:rsidP="00B17AB4">
      <w:pPr>
        <w:pStyle w:val="PlainText"/>
        <w:ind w:firstLine="720"/>
        <w:rPr>
          <w:rFonts w:ascii="Century Schoolbook" w:hAnsi="Century Schoolbook"/>
          <w:sz w:val="27"/>
          <w:szCs w:val="26"/>
        </w:rPr>
      </w:pPr>
      <w:r w:rsidRPr="003A443D">
        <w:rPr>
          <w:rFonts w:ascii="Century Schoolbook" w:hAnsi="Century Schoolbook"/>
          <w:sz w:val="27"/>
          <w:szCs w:val="26"/>
        </w:rPr>
        <w:t xml:space="preserve">Had the trial court </w:t>
      </w:r>
      <w:r w:rsidR="00954616" w:rsidRPr="003A443D">
        <w:rPr>
          <w:rFonts w:ascii="Century Schoolbook" w:hAnsi="Century Schoolbook"/>
          <w:sz w:val="27"/>
          <w:szCs w:val="26"/>
        </w:rPr>
        <w:t xml:space="preserve">thoroughly </w:t>
      </w:r>
      <w:r w:rsidRPr="003A443D">
        <w:rPr>
          <w:rFonts w:ascii="Century Schoolbook" w:hAnsi="Century Schoolbook"/>
          <w:sz w:val="27"/>
          <w:szCs w:val="26"/>
        </w:rPr>
        <w:t xml:space="preserve">followed the procedures set out in section 783, subdivision </w:t>
      </w:r>
      <w:r w:rsidR="00034C17">
        <w:rPr>
          <w:rFonts w:ascii="Century Schoolbook" w:hAnsi="Century Schoolbook"/>
          <w:sz w:val="27"/>
          <w:szCs w:val="26"/>
        </w:rPr>
        <w:t>(c)</w:t>
      </w:r>
      <w:r w:rsidRPr="003A443D">
        <w:rPr>
          <w:rFonts w:ascii="Century Schoolbook" w:hAnsi="Century Schoolbook"/>
          <w:sz w:val="27"/>
          <w:szCs w:val="26"/>
        </w:rPr>
        <w:t>,</w:t>
      </w:r>
      <w:r w:rsidR="0059606D" w:rsidRPr="003A443D">
        <w:rPr>
          <w:rFonts w:ascii="Century Schoolbook" w:hAnsi="Century Schoolbook"/>
          <w:sz w:val="27"/>
          <w:szCs w:val="26"/>
        </w:rPr>
        <w:t xml:space="preserve"> </w:t>
      </w:r>
      <w:r w:rsidR="000D5973" w:rsidRPr="003A443D">
        <w:rPr>
          <w:rFonts w:ascii="Century Schoolbook" w:hAnsi="Century Schoolbook"/>
          <w:sz w:val="27"/>
          <w:szCs w:val="26"/>
        </w:rPr>
        <w:t xml:space="preserve">and </w:t>
      </w:r>
      <w:r w:rsidR="0021423F" w:rsidRPr="003A443D">
        <w:rPr>
          <w:rFonts w:ascii="Century Schoolbook" w:hAnsi="Century Schoolbook"/>
          <w:sz w:val="27"/>
          <w:szCs w:val="26"/>
        </w:rPr>
        <w:t xml:space="preserve">then </w:t>
      </w:r>
      <w:r w:rsidR="007A6A07" w:rsidRPr="003A443D">
        <w:rPr>
          <w:rFonts w:ascii="Century Schoolbook" w:hAnsi="Century Schoolbook"/>
          <w:sz w:val="27"/>
          <w:szCs w:val="26"/>
        </w:rPr>
        <w:t>issued an order</w:t>
      </w:r>
      <w:r w:rsidR="000D5973" w:rsidRPr="003A443D">
        <w:rPr>
          <w:rFonts w:ascii="Century Schoolbook" w:hAnsi="Century Schoolbook"/>
          <w:sz w:val="27"/>
          <w:szCs w:val="26"/>
        </w:rPr>
        <w:t xml:space="preserve"> </w:t>
      </w:r>
      <w:r w:rsidR="00C46DC2" w:rsidRPr="003A443D">
        <w:rPr>
          <w:rFonts w:ascii="Century Schoolbook" w:hAnsi="Century Schoolbook"/>
          <w:sz w:val="27"/>
          <w:szCs w:val="26"/>
        </w:rPr>
        <w:t xml:space="preserve">as </w:t>
      </w:r>
      <w:r w:rsidR="00DA4BEA" w:rsidRPr="003A443D">
        <w:rPr>
          <w:rFonts w:ascii="Century Schoolbook" w:hAnsi="Century Schoolbook"/>
          <w:sz w:val="27"/>
          <w:szCs w:val="26"/>
        </w:rPr>
        <w:t xml:space="preserve">contemplated by </w:t>
      </w:r>
      <w:r w:rsidR="003F65C3" w:rsidRPr="003A443D">
        <w:rPr>
          <w:rFonts w:ascii="Century Schoolbook" w:hAnsi="Century Schoolbook"/>
          <w:sz w:val="27"/>
          <w:szCs w:val="26"/>
        </w:rPr>
        <w:t>subdivision (d)</w:t>
      </w:r>
      <w:r w:rsidR="007A6A07" w:rsidRPr="003A443D">
        <w:rPr>
          <w:rFonts w:ascii="Century Schoolbook" w:hAnsi="Century Schoolbook"/>
          <w:sz w:val="27"/>
          <w:szCs w:val="26"/>
        </w:rPr>
        <w:t>, specifying</w:t>
      </w:r>
      <w:r w:rsidR="003868A8" w:rsidRPr="003A443D">
        <w:rPr>
          <w:rFonts w:ascii="Century Schoolbook" w:hAnsi="Century Schoolbook"/>
          <w:sz w:val="27"/>
          <w:szCs w:val="26"/>
        </w:rPr>
        <w:t xml:space="preserve"> </w:t>
      </w:r>
      <w:r w:rsidR="000D5973" w:rsidRPr="003A443D">
        <w:rPr>
          <w:rFonts w:ascii="Century Schoolbook" w:hAnsi="Century Schoolbook"/>
          <w:sz w:val="27"/>
          <w:szCs w:val="26"/>
        </w:rPr>
        <w:t>what evidence may be introduced by the District and the nature of permissible questions</w:t>
      </w:r>
      <w:r w:rsidR="00EE3951" w:rsidRPr="003A443D">
        <w:rPr>
          <w:rFonts w:ascii="Century Schoolbook" w:hAnsi="Century Schoolbook"/>
          <w:sz w:val="27"/>
          <w:szCs w:val="26"/>
        </w:rPr>
        <w:t xml:space="preserve">, </w:t>
      </w:r>
      <w:r w:rsidR="009350A9" w:rsidRPr="003A443D">
        <w:rPr>
          <w:rFonts w:ascii="Century Schoolbook" w:hAnsi="Century Schoolbook"/>
          <w:sz w:val="27"/>
          <w:szCs w:val="26"/>
        </w:rPr>
        <w:t xml:space="preserve">the </w:t>
      </w:r>
      <w:r w:rsidR="0034312C" w:rsidRPr="003A443D">
        <w:rPr>
          <w:rFonts w:ascii="Century Schoolbook" w:hAnsi="Century Schoolbook"/>
          <w:sz w:val="27"/>
          <w:szCs w:val="26"/>
        </w:rPr>
        <w:t>District</w:t>
      </w:r>
      <w:r w:rsidR="00846646" w:rsidRPr="003A443D">
        <w:rPr>
          <w:rFonts w:ascii="Century Schoolbook" w:hAnsi="Century Schoolbook"/>
          <w:sz w:val="27"/>
          <w:szCs w:val="26"/>
        </w:rPr>
        <w:t xml:space="preserve"> would </w:t>
      </w:r>
      <w:r w:rsidR="007A6A07" w:rsidRPr="003A443D">
        <w:rPr>
          <w:rFonts w:ascii="Century Schoolbook" w:hAnsi="Century Schoolbook"/>
          <w:sz w:val="27"/>
          <w:szCs w:val="26"/>
        </w:rPr>
        <w:t xml:space="preserve">have been </w:t>
      </w:r>
      <w:r w:rsidR="00E0647D" w:rsidRPr="003A443D">
        <w:rPr>
          <w:rFonts w:ascii="Century Schoolbook" w:hAnsi="Century Schoolbook"/>
          <w:sz w:val="27"/>
          <w:szCs w:val="26"/>
        </w:rPr>
        <w:t xml:space="preserve">constrained to proceed </w:t>
      </w:r>
      <w:r w:rsidR="006F620D" w:rsidRPr="003A443D">
        <w:rPr>
          <w:rFonts w:ascii="Century Schoolbook" w:hAnsi="Century Schoolbook"/>
          <w:sz w:val="27"/>
          <w:szCs w:val="26"/>
        </w:rPr>
        <w:t xml:space="preserve">accordingly.  </w:t>
      </w:r>
      <w:r w:rsidR="005E3FD0" w:rsidRPr="003A443D">
        <w:rPr>
          <w:rFonts w:ascii="Century Schoolbook" w:hAnsi="Century Schoolbook"/>
          <w:sz w:val="27"/>
          <w:szCs w:val="26"/>
        </w:rPr>
        <w:t xml:space="preserve">But </w:t>
      </w:r>
      <w:r w:rsidR="000C39D1" w:rsidRPr="003A443D">
        <w:rPr>
          <w:rFonts w:ascii="Century Schoolbook" w:hAnsi="Century Schoolbook"/>
          <w:sz w:val="27"/>
          <w:szCs w:val="26"/>
        </w:rPr>
        <w:t xml:space="preserve">in the absence </w:t>
      </w:r>
      <w:r w:rsidR="005057FF" w:rsidRPr="003A443D">
        <w:rPr>
          <w:rFonts w:ascii="Century Schoolbook" w:hAnsi="Century Schoolbook"/>
          <w:sz w:val="27"/>
          <w:szCs w:val="26"/>
        </w:rPr>
        <w:t xml:space="preserve">of clear </w:t>
      </w:r>
      <w:r w:rsidR="00D809A7" w:rsidRPr="003A443D">
        <w:rPr>
          <w:rFonts w:ascii="Century Schoolbook" w:hAnsi="Century Schoolbook"/>
          <w:sz w:val="27"/>
          <w:szCs w:val="26"/>
        </w:rPr>
        <w:t>guardrails</w:t>
      </w:r>
      <w:r w:rsidR="006C0BA6">
        <w:rPr>
          <w:rFonts w:ascii="Century Schoolbook" w:hAnsi="Century Schoolbook"/>
          <w:sz w:val="27"/>
          <w:szCs w:val="26"/>
        </w:rPr>
        <w:t>,</w:t>
      </w:r>
      <w:r w:rsidR="00D809A7" w:rsidRPr="003A443D">
        <w:rPr>
          <w:rFonts w:ascii="Century Schoolbook" w:hAnsi="Century Schoolbook"/>
          <w:sz w:val="27"/>
          <w:szCs w:val="26"/>
        </w:rPr>
        <w:t xml:space="preserve"> </w:t>
      </w:r>
      <w:r w:rsidR="005057FF" w:rsidRPr="003A443D">
        <w:rPr>
          <w:rFonts w:ascii="Century Schoolbook" w:hAnsi="Century Schoolbook"/>
          <w:sz w:val="27"/>
          <w:szCs w:val="26"/>
        </w:rPr>
        <w:t xml:space="preserve">the </w:t>
      </w:r>
      <w:r w:rsidR="002306C9" w:rsidRPr="003A443D">
        <w:rPr>
          <w:rFonts w:ascii="Century Schoolbook" w:hAnsi="Century Schoolbook"/>
          <w:sz w:val="27"/>
          <w:szCs w:val="26"/>
        </w:rPr>
        <w:t xml:space="preserve">District </w:t>
      </w:r>
      <w:r w:rsidR="00031891" w:rsidRPr="003A443D">
        <w:rPr>
          <w:rFonts w:ascii="Century Schoolbook" w:hAnsi="Century Schoolbook"/>
          <w:sz w:val="27"/>
          <w:szCs w:val="26"/>
        </w:rPr>
        <w:t xml:space="preserve">has </w:t>
      </w:r>
      <w:r w:rsidR="00AD4524" w:rsidRPr="003A443D">
        <w:rPr>
          <w:rFonts w:ascii="Century Schoolbook" w:hAnsi="Century Schoolbook"/>
          <w:sz w:val="27"/>
          <w:szCs w:val="26"/>
        </w:rPr>
        <w:t>substantially augment</w:t>
      </w:r>
      <w:r w:rsidR="00734FCE" w:rsidRPr="003A443D">
        <w:rPr>
          <w:rFonts w:ascii="Century Schoolbook" w:hAnsi="Century Schoolbook"/>
          <w:sz w:val="27"/>
          <w:szCs w:val="26"/>
        </w:rPr>
        <w:t>ed</w:t>
      </w:r>
      <w:r w:rsidR="00AD4524" w:rsidRPr="003A443D">
        <w:rPr>
          <w:rFonts w:ascii="Century Schoolbook" w:hAnsi="Century Schoolbook"/>
          <w:sz w:val="27"/>
          <w:szCs w:val="26"/>
        </w:rPr>
        <w:t xml:space="preserve"> </w:t>
      </w:r>
      <w:r w:rsidR="00B46794" w:rsidRPr="003A443D">
        <w:rPr>
          <w:rFonts w:ascii="Century Schoolbook" w:hAnsi="Century Schoolbook"/>
          <w:sz w:val="27"/>
          <w:szCs w:val="26"/>
        </w:rPr>
        <w:t xml:space="preserve">its </w:t>
      </w:r>
      <w:r w:rsidR="00974A5A" w:rsidRPr="003A443D">
        <w:rPr>
          <w:rFonts w:ascii="Century Schoolbook" w:hAnsi="Century Schoolbook"/>
          <w:sz w:val="27"/>
          <w:szCs w:val="26"/>
        </w:rPr>
        <w:t>legal</w:t>
      </w:r>
      <w:r w:rsidR="0004135E" w:rsidRPr="003A443D">
        <w:rPr>
          <w:rFonts w:ascii="Century Schoolbook" w:hAnsi="Century Schoolbook"/>
          <w:sz w:val="27"/>
          <w:szCs w:val="26"/>
        </w:rPr>
        <w:t xml:space="preserve"> </w:t>
      </w:r>
      <w:r w:rsidR="00974A5A" w:rsidRPr="003A443D">
        <w:rPr>
          <w:rFonts w:ascii="Century Schoolbook" w:hAnsi="Century Schoolbook"/>
          <w:sz w:val="27"/>
          <w:szCs w:val="26"/>
        </w:rPr>
        <w:t>theories</w:t>
      </w:r>
      <w:r w:rsidR="002C7DDB" w:rsidRPr="003A443D">
        <w:rPr>
          <w:rFonts w:ascii="Century Schoolbook" w:hAnsi="Century Schoolbook"/>
          <w:sz w:val="27"/>
          <w:szCs w:val="26"/>
        </w:rPr>
        <w:t xml:space="preserve"> </w:t>
      </w:r>
      <w:r w:rsidR="00E1132D" w:rsidRPr="003A443D">
        <w:rPr>
          <w:rFonts w:ascii="Century Schoolbook" w:hAnsi="Century Schoolbook"/>
          <w:sz w:val="27"/>
          <w:szCs w:val="26"/>
        </w:rPr>
        <w:t xml:space="preserve">concerning the scope and nature of its proposed impeachment </w:t>
      </w:r>
      <w:r w:rsidR="002C7DDB" w:rsidRPr="003A443D">
        <w:rPr>
          <w:rFonts w:ascii="Century Schoolbook" w:hAnsi="Century Schoolbook"/>
          <w:sz w:val="27"/>
          <w:szCs w:val="26"/>
        </w:rPr>
        <w:t xml:space="preserve">as the litigation </w:t>
      </w:r>
      <w:r w:rsidR="005057FF" w:rsidRPr="003A443D">
        <w:rPr>
          <w:rFonts w:ascii="Century Schoolbook" w:hAnsi="Century Schoolbook"/>
          <w:sz w:val="27"/>
          <w:szCs w:val="26"/>
        </w:rPr>
        <w:t xml:space="preserve">has </w:t>
      </w:r>
      <w:r w:rsidR="002C7DDB" w:rsidRPr="003A443D">
        <w:rPr>
          <w:rFonts w:ascii="Century Schoolbook" w:hAnsi="Century Schoolbook"/>
          <w:sz w:val="27"/>
          <w:szCs w:val="26"/>
        </w:rPr>
        <w:t>continue</w:t>
      </w:r>
      <w:r w:rsidR="005057FF" w:rsidRPr="003A443D">
        <w:rPr>
          <w:rFonts w:ascii="Century Schoolbook" w:hAnsi="Century Schoolbook"/>
          <w:sz w:val="27"/>
          <w:szCs w:val="26"/>
        </w:rPr>
        <w:t>d</w:t>
      </w:r>
      <w:r w:rsidR="00F438CD" w:rsidRPr="003A443D">
        <w:rPr>
          <w:rFonts w:ascii="Century Schoolbook" w:hAnsi="Century Schoolbook"/>
          <w:sz w:val="27"/>
          <w:szCs w:val="26"/>
        </w:rPr>
        <w:t>.  A</w:t>
      </w:r>
      <w:r w:rsidR="007C14A5" w:rsidRPr="003A443D">
        <w:rPr>
          <w:rFonts w:ascii="Century Schoolbook" w:hAnsi="Century Schoolbook"/>
          <w:sz w:val="27"/>
          <w:szCs w:val="26"/>
        </w:rPr>
        <w:t xml:space="preserve">t the same time, </w:t>
      </w:r>
      <w:r w:rsidRPr="003A443D">
        <w:rPr>
          <w:rFonts w:ascii="Century Schoolbook" w:hAnsi="Century Schoolbook"/>
          <w:sz w:val="27"/>
          <w:szCs w:val="26"/>
        </w:rPr>
        <w:t xml:space="preserve">plaintiff </w:t>
      </w:r>
      <w:r w:rsidR="007C00B7" w:rsidRPr="003A443D">
        <w:rPr>
          <w:rFonts w:ascii="Century Schoolbook" w:hAnsi="Century Schoolbook"/>
          <w:sz w:val="27"/>
          <w:szCs w:val="26"/>
        </w:rPr>
        <w:t xml:space="preserve">was left </w:t>
      </w:r>
      <w:r w:rsidRPr="003A443D">
        <w:rPr>
          <w:rFonts w:ascii="Century Schoolbook" w:hAnsi="Century Schoolbook"/>
          <w:sz w:val="27"/>
          <w:szCs w:val="26"/>
        </w:rPr>
        <w:t>in danger of what the statute was designed to avoid —</w:t>
      </w:r>
      <w:r w:rsidR="005E3BFD" w:rsidRPr="003A443D">
        <w:rPr>
          <w:rFonts w:ascii="Century Schoolbook" w:hAnsi="Century Schoolbook"/>
          <w:sz w:val="27"/>
          <w:szCs w:val="26"/>
        </w:rPr>
        <w:t xml:space="preserve"> </w:t>
      </w:r>
      <w:r w:rsidRPr="003A443D">
        <w:rPr>
          <w:rFonts w:ascii="Century Schoolbook" w:hAnsi="Century Schoolbook"/>
          <w:sz w:val="27"/>
          <w:szCs w:val="26"/>
        </w:rPr>
        <w:t xml:space="preserve">unjustified and uncircumscribed intrusion into her privacy in the immediate presence of the jury.  </w:t>
      </w:r>
    </w:p>
    <w:p w14:paraId="0DB2E7F5" w14:textId="77777777" w:rsidR="00DA77B3" w:rsidRPr="003A443D" w:rsidRDefault="002E6832" w:rsidP="00B17AB4">
      <w:pPr>
        <w:pStyle w:val="PlainText"/>
        <w:ind w:firstLine="720"/>
        <w:rPr>
          <w:rFonts w:ascii="Century Schoolbook" w:hAnsi="Century Schoolbook"/>
          <w:sz w:val="27"/>
          <w:szCs w:val="26"/>
        </w:rPr>
      </w:pPr>
      <w:r w:rsidRPr="003A443D">
        <w:rPr>
          <w:rFonts w:ascii="Century Schoolbook" w:hAnsi="Century Schoolbook"/>
          <w:sz w:val="27"/>
          <w:szCs w:val="26"/>
        </w:rPr>
        <w:lastRenderedPageBreak/>
        <w:t xml:space="preserve">For these reasons, </w:t>
      </w:r>
      <w:r w:rsidR="003A286B" w:rsidRPr="003A443D">
        <w:rPr>
          <w:rFonts w:ascii="Century Schoolbook" w:hAnsi="Century Schoolbook"/>
          <w:sz w:val="27"/>
          <w:szCs w:val="26"/>
        </w:rPr>
        <w:t xml:space="preserve">we </w:t>
      </w:r>
      <w:r w:rsidR="005E434B">
        <w:rPr>
          <w:rFonts w:ascii="Century Schoolbook" w:hAnsi="Century Schoolbook"/>
          <w:sz w:val="27"/>
          <w:szCs w:val="26"/>
        </w:rPr>
        <w:t>dis</w:t>
      </w:r>
      <w:r w:rsidRPr="003A443D">
        <w:rPr>
          <w:rFonts w:ascii="Century Schoolbook" w:hAnsi="Century Schoolbook"/>
          <w:sz w:val="27"/>
          <w:szCs w:val="26"/>
        </w:rPr>
        <w:t>agree with the Court of Appeal</w:t>
      </w:r>
      <w:r w:rsidR="001F53C6" w:rsidRPr="003A443D">
        <w:rPr>
          <w:rFonts w:ascii="Century Schoolbook" w:hAnsi="Century Schoolbook"/>
          <w:sz w:val="27"/>
          <w:szCs w:val="26"/>
        </w:rPr>
        <w:t xml:space="preserve">’s conclusion </w:t>
      </w:r>
      <w:r w:rsidRPr="003A443D">
        <w:rPr>
          <w:rFonts w:ascii="Century Schoolbook" w:hAnsi="Century Schoolbook"/>
          <w:sz w:val="27"/>
          <w:szCs w:val="26"/>
        </w:rPr>
        <w:t xml:space="preserve">that the trial court </w:t>
      </w:r>
      <w:r w:rsidR="00A316E6" w:rsidRPr="003A443D">
        <w:rPr>
          <w:rFonts w:ascii="Century Schoolbook" w:hAnsi="Century Schoolbook"/>
          <w:sz w:val="27"/>
          <w:szCs w:val="26"/>
        </w:rPr>
        <w:t xml:space="preserve">essentially </w:t>
      </w:r>
      <w:r w:rsidR="001F4166" w:rsidRPr="003A443D">
        <w:rPr>
          <w:rFonts w:ascii="Century Schoolbook" w:hAnsi="Century Schoolbook"/>
          <w:sz w:val="27"/>
          <w:szCs w:val="26"/>
        </w:rPr>
        <w:t xml:space="preserve">undertook </w:t>
      </w:r>
      <w:r w:rsidRPr="003A443D">
        <w:rPr>
          <w:rFonts w:ascii="Century Schoolbook" w:hAnsi="Century Schoolbook"/>
          <w:sz w:val="27"/>
          <w:szCs w:val="26"/>
        </w:rPr>
        <w:t xml:space="preserve">a proper </w:t>
      </w:r>
      <w:r w:rsidR="005B276B" w:rsidRPr="003A443D">
        <w:rPr>
          <w:rFonts w:ascii="Century Schoolbook" w:hAnsi="Century Schoolbook"/>
          <w:sz w:val="27"/>
          <w:szCs w:val="26"/>
        </w:rPr>
        <w:t xml:space="preserve">inquiry and </w:t>
      </w:r>
      <w:r w:rsidRPr="003A443D">
        <w:rPr>
          <w:rFonts w:ascii="Century Schoolbook" w:hAnsi="Century Schoolbook"/>
          <w:sz w:val="27"/>
          <w:szCs w:val="26"/>
        </w:rPr>
        <w:t xml:space="preserve">analysis </w:t>
      </w:r>
      <w:r w:rsidR="002242A6" w:rsidRPr="003A443D">
        <w:rPr>
          <w:rFonts w:ascii="Century Schoolbook" w:hAnsi="Century Schoolbook"/>
          <w:sz w:val="27"/>
          <w:szCs w:val="26"/>
        </w:rPr>
        <w:t xml:space="preserve">“as statutorily </w:t>
      </w:r>
      <w:r w:rsidR="00007AD0" w:rsidRPr="003A443D">
        <w:rPr>
          <w:rFonts w:ascii="Century Schoolbook" w:hAnsi="Century Schoolbook"/>
          <w:sz w:val="27"/>
          <w:szCs w:val="26"/>
        </w:rPr>
        <w:t>required” (</w:t>
      </w:r>
      <w:r w:rsidR="00007AD0" w:rsidRPr="003A443D">
        <w:rPr>
          <w:rFonts w:ascii="Century Schoolbook" w:hAnsi="Century Schoolbook"/>
          <w:i/>
          <w:iCs/>
          <w:sz w:val="27"/>
          <w:szCs w:val="26"/>
        </w:rPr>
        <w:t>Doe</w:t>
      </w:r>
      <w:r w:rsidR="00007AD0" w:rsidRPr="003A443D">
        <w:rPr>
          <w:rFonts w:ascii="Century Schoolbook" w:hAnsi="Century Schoolbook"/>
          <w:sz w:val="27"/>
          <w:szCs w:val="26"/>
        </w:rPr>
        <w:t>,</w:t>
      </w:r>
      <w:r w:rsidR="00312C5F" w:rsidRPr="003A443D">
        <w:rPr>
          <w:rFonts w:ascii="Century Schoolbook" w:hAnsi="Century Schoolbook"/>
          <w:sz w:val="27"/>
          <w:szCs w:val="26"/>
        </w:rPr>
        <w:t xml:space="preserve"> </w:t>
      </w:r>
      <w:r w:rsidR="00007AD0" w:rsidRPr="003A443D">
        <w:rPr>
          <w:rFonts w:ascii="Century Schoolbook" w:hAnsi="Century Schoolbook"/>
          <w:i/>
          <w:iCs/>
          <w:sz w:val="27"/>
          <w:szCs w:val="26"/>
        </w:rPr>
        <w:t>supra</w:t>
      </w:r>
      <w:r w:rsidR="00007AD0" w:rsidRPr="003A443D">
        <w:rPr>
          <w:rFonts w:ascii="Century Schoolbook" w:hAnsi="Century Schoolbook"/>
          <w:sz w:val="27"/>
          <w:szCs w:val="26"/>
        </w:rPr>
        <w:t>,</w:t>
      </w:r>
      <w:r w:rsidR="00312C5F" w:rsidRPr="003A443D">
        <w:rPr>
          <w:rFonts w:ascii="Century Schoolbook" w:hAnsi="Century Schoolbook"/>
          <w:sz w:val="27"/>
          <w:szCs w:val="26"/>
        </w:rPr>
        <w:t xml:space="preserve"> </w:t>
      </w:r>
      <w:r w:rsidR="00007AD0" w:rsidRPr="003A443D">
        <w:rPr>
          <w:rFonts w:ascii="Century Schoolbook" w:hAnsi="Century Schoolbook"/>
          <w:sz w:val="27"/>
          <w:szCs w:val="26"/>
        </w:rPr>
        <w:t>71</w:t>
      </w:r>
      <w:r w:rsidR="005E434B">
        <w:rPr>
          <w:rFonts w:ascii="Century Schoolbook" w:hAnsi="Century Schoolbook"/>
          <w:sz w:val="27"/>
          <w:szCs w:val="26"/>
        </w:rPr>
        <w:t> </w:t>
      </w:r>
      <w:r w:rsidR="00007AD0" w:rsidRPr="003A443D">
        <w:rPr>
          <w:rFonts w:ascii="Century Schoolbook" w:hAnsi="Century Schoolbook"/>
          <w:sz w:val="27"/>
          <w:szCs w:val="26"/>
        </w:rPr>
        <w:t xml:space="preserve">Cal.App.5th at p. 235) </w:t>
      </w:r>
      <w:r w:rsidRPr="003A443D">
        <w:rPr>
          <w:rFonts w:ascii="Century Schoolbook" w:hAnsi="Century Schoolbook"/>
          <w:sz w:val="27"/>
          <w:szCs w:val="26"/>
        </w:rPr>
        <w:t xml:space="preserve">under sections 1106 and 783.  </w:t>
      </w:r>
      <w:r w:rsidR="003A286B" w:rsidRPr="003A443D">
        <w:rPr>
          <w:rFonts w:ascii="Century Schoolbook" w:hAnsi="Century Schoolbook"/>
          <w:sz w:val="27"/>
          <w:szCs w:val="26"/>
        </w:rPr>
        <w:t>W</w:t>
      </w:r>
      <w:r w:rsidR="00FF281A" w:rsidRPr="003A443D">
        <w:rPr>
          <w:rFonts w:ascii="Century Schoolbook" w:hAnsi="Century Schoolbook"/>
          <w:sz w:val="27"/>
          <w:szCs w:val="26"/>
        </w:rPr>
        <w:t xml:space="preserve">e must </w:t>
      </w:r>
      <w:r w:rsidR="0023592C" w:rsidRPr="003A443D">
        <w:rPr>
          <w:rFonts w:ascii="Century Schoolbook" w:hAnsi="Century Schoolbook"/>
          <w:sz w:val="27"/>
          <w:szCs w:val="26"/>
        </w:rPr>
        <w:t xml:space="preserve">direct the appellate court to remand for such a hearing.  </w:t>
      </w:r>
    </w:p>
    <w:p w14:paraId="0DB2E7F6" w14:textId="77777777" w:rsidR="004328A8" w:rsidRPr="00535A24" w:rsidRDefault="002E6832" w:rsidP="00535A24">
      <w:pPr>
        <w:pStyle w:val="Heading2"/>
        <w:keepLines/>
      </w:pPr>
      <w:r w:rsidRPr="00535A24">
        <w:t xml:space="preserve">C.  </w:t>
      </w:r>
      <w:r w:rsidR="0068711B" w:rsidRPr="00535A24">
        <w:t xml:space="preserve">Should </w:t>
      </w:r>
      <w:r w:rsidR="00195EB3" w:rsidRPr="00535A24">
        <w:t>W</w:t>
      </w:r>
      <w:r w:rsidR="0068711B" w:rsidRPr="00535A24">
        <w:t xml:space="preserve">e Nevertheless </w:t>
      </w:r>
      <w:r w:rsidRPr="00535A24">
        <w:t xml:space="preserve">Affirm the Trial Court’s </w:t>
      </w:r>
      <w:r w:rsidR="00417A2C" w:rsidRPr="00535A24">
        <w:t xml:space="preserve">Finding </w:t>
      </w:r>
      <w:r w:rsidR="000360E2" w:rsidRPr="00535A24">
        <w:t xml:space="preserve">That </w:t>
      </w:r>
      <w:r w:rsidRPr="00535A24">
        <w:t xml:space="preserve">the Challenged Evidence </w:t>
      </w:r>
      <w:r w:rsidR="00D57689">
        <w:t>I</w:t>
      </w:r>
      <w:r w:rsidR="000360E2" w:rsidRPr="00535A24">
        <w:t xml:space="preserve">s </w:t>
      </w:r>
      <w:r w:rsidRPr="00535A24">
        <w:t xml:space="preserve">Admissible Under Section 352?  </w:t>
      </w:r>
    </w:p>
    <w:p w14:paraId="0DB2E7F7" w14:textId="77777777" w:rsidR="00D61B4E" w:rsidRPr="00030F6B" w:rsidRDefault="002E6832" w:rsidP="00030F6B">
      <w:pPr>
        <w:pStyle w:val="PlainText"/>
        <w:ind w:firstLine="720"/>
        <w:rPr>
          <w:rFonts w:ascii="Century Schoolbook" w:hAnsi="Century Schoolbook"/>
          <w:sz w:val="27"/>
          <w:szCs w:val="26"/>
        </w:rPr>
      </w:pPr>
      <w:r w:rsidRPr="00030F6B">
        <w:rPr>
          <w:rFonts w:ascii="Century Schoolbook" w:hAnsi="Century Schoolbook"/>
          <w:sz w:val="27"/>
          <w:szCs w:val="26"/>
        </w:rPr>
        <w:t xml:space="preserve">The </w:t>
      </w:r>
      <w:r w:rsidR="008A6449" w:rsidRPr="00030F6B">
        <w:rPr>
          <w:rFonts w:ascii="Century Schoolbook" w:hAnsi="Century Schoolbook"/>
          <w:sz w:val="27"/>
          <w:szCs w:val="26"/>
        </w:rPr>
        <w:t xml:space="preserve">District </w:t>
      </w:r>
      <w:r w:rsidR="003F5EE6" w:rsidRPr="00030F6B">
        <w:rPr>
          <w:rFonts w:ascii="Century Schoolbook" w:hAnsi="Century Schoolbook"/>
          <w:sz w:val="27"/>
          <w:szCs w:val="26"/>
        </w:rPr>
        <w:t>urges u</w:t>
      </w:r>
      <w:r w:rsidR="008D1759" w:rsidRPr="00030F6B">
        <w:rPr>
          <w:rFonts w:ascii="Century Schoolbook" w:hAnsi="Century Schoolbook"/>
          <w:sz w:val="27"/>
          <w:szCs w:val="26"/>
        </w:rPr>
        <w:t>s</w:t>
      </w:r>
      <w:r w:rsidR="003F5EE6" w:rsidRPr="00030F6B">
        <w:rPr>
          <w:rFonts w:ascii="Century Schoolbook" w:hAnsi="Century Schoolbook"/>
          <w:sz w:val="27"/>
          <w:szCs w:val="26"/>
        </w:rPr>
        <w:t xml:space="preserve"> to </w:t>
      </w:r>
      <w:r w:rsidR="008A6449" w:rsidRPr="00030F6B">
        <w:rPr>
          <w:rFonts w:ascii="Century Schoolbook" w:hAnsi="Century Schoolbook"/>
          <w:sz w:val="27"/>
          <w:szCs w:val="26"/>
        </w:rPr>
        <w:t xml:space="preserve">uphold the </w:t>
      </w:r>
      <w:r w:rsidR="004514A1" w:rsidRPr="00030F6B">
        <w:rPr>
          <w:rFonts w:ascii="Century Schoolbook" w:hAnsi="Century Schoolbook"/>
          <w:sz w:val="27"/>
          <w:szCs w:val="26"/>
        </w:rPr>
        <w:t xml:space="preserve">Court of Appeal’s determination that the trial court </w:t>
      </w:r>
      <w:r w:rsidR="004A76E5" w:rsidRPr="00030F6B">
        <w:rPr>
          <w:rFonts w:ascii="Century Schoolbook" w:hAnsi="Century Schoolbook"/>
          <w:sz w:val="27"/>
          <w:szCs w:val="26"/>
        </w:rPr>
        <w:t xml:space="preserve">ultimately </w:t>
      </w:r>
      <w:r w:rsidR="004514A1" w:rsidRPr="00030F6B">
        <w:rPr>
          <w:rFonts w:ascii="Century Schoolbook" w:hAnsi="Century Schoolbook"/>
          <w:sz w:val="27"/>
          <w:szCs w:val="26"/>
        </w:rPr>
        <w:t>properly exercised its discretion under section 352</w:t>
      </w:r>
      <w:r w:rsidR="001B3937" w:rsidRPr="00030F6B">
        <w:rPr>
          <w:rFonts w:ascii="Century Schoolbook" w:hAnsi="Century Schoolbook"/>
          <w:sz w:val="27"/>
          <w:szCs w:val="26"/>
        </w:rPr>
        <w:t xml:space="preserve">.  </w:t>
      </w:r>
      <w:r w:rsidR="00526BEF" w:rsidRPr="00030F6B">
        <w:rPr>
          <w:rFonts w:ascii="Century Schoolbook" w:hAnsi="Century Schoolbook"/>
          <w:sz w:val="27"/>
          <w:szCs w:val="26"/>
        </w:rPr>
        <w:t xml:space="preserve">We </w:t>
      </w:r>
      <w:r w:rsidR="009120FB" w:rsidRPr="00030F6B">
        <w:rPr>
          <w:rFonts w:ascii="Century Schoolbook" w:hAnsi="Century Schoolbook"/>
          <w:sz w:val="27"/>
          <w:szCs w:val="26"/>
        </w:rPr>
        <w:t>de</w:t>
      </w:r>
      <w:r w:rsidR="00C978AE" w:rsidRPr="00030F6B">
        <w:rPr>
          <w:rFonts w:ascii="Century Schoolbook" w:hAnsi="Century Schoolbook"/>
          <w:sz w:val="27"/>
          <w:szCs w:val="26"/>
        </w:rPr>
        <w:t xml:space="preserve">cline </w:t>
      </w:r>
      <w:r w:rsidR="009120FB" w:rsidRPr="00030F6B">
        <w:rPr>
          <w:rFonts w:ascii="Century Schoolbook" w:hAnsi="Century Schoolbook"/>
          <w:sz w:val="27"/>
          <w:szCs w:val="26"/>
        </w:rPr>
        <w:t xml:space="preserve">to do so for </w:t>
      </w:r>
      <w:r w:rsidR="00685056" w:rsidRPr="00030F6B">
        <w:rPr>
          <w:rFonts w:ascii="Century Schoolbook" w:hAnsi="Century Schoolbook"/>
          <w:sz w:val="27"/>
          <w:szCs w:val="26"/>
        </w:rPr>
        <w:t xml:space="preserve">three </w:t>
      </w:r>
      <w:r w:rsidR="009120FB" w:rsidRPr="00030F6B">
        <w:rPr>
          <w:rFonts w:ascii="Century Schoolbook" w:hAnsi="Century Schoolbook"/>
          <w:sz w:val="27"/>
          <w:szCs w:val="26"/>
        </w:rPr>
        <w:t xml:space="preserve">reasons.  </w:t>
      </w:r>
    </w:p>
    <w:p w14:paraId="0DB2E7F8" w14:textId="77777777" w:rsidR="00CF6018" w:rsidRPr="00030F6B" w:rsidRDefault="002E6832" w:rsidP="00030F6B">
      <w:pPr>
        <w:pStyle w:val="PlainText"/>
        <w:ind w:firstLine="720"/>
        <w:rPr>
          <w:rFonts w:ascii="Century Schoolbook" w:hAnsi="Century Schoolbook"/>
          <w:sz w:val="27"/>
          <w:szCs w:val="26"/>
        </w:rPr>
      </w:pPr>
      <w:r w:rsidRPr="00030F6B">
        <w:rPr>
          <w:rFonts w:ascii="Century Schoolbook" w:hAnsi="Century Schoolbook"/>
          <w:sz w:val="27"/>
          <w:szCs w:val="26"/>
        </w:rPr>
        <w:t xml:space="preserve">First, </w:t>
      </w:r>
      <w:r w:rsidR="009120FB" w:rsidRPr="00030F6B">
        <w:rPr>
          <w:rFonts w:ascii="Century Schoolbook" w:hAnsi="Century Schoolbook"/>
          <w:sz w:val="27"/>
          <w:szCs w:val="26"/>
        </w:rPr>
        <w:t xml:space="preserve">as </w:t>
      </w:r>
      <w:r w:rsidR="000862A4" w:rsidRPr="00030F6B">
        <w:rPr>
          <w:rFonts w:ascii="Century Schoolbook" w:hAnsi="Century Schoolbook"/>
          <w:sz w:val="27"/>
          <w:szCs w:val="26"/>
        </w:rPr>
        <w:t xml:space="preserve">indicated </w:t>
      </w:r>
      <w:r w:rsidR="00C356B8" w:rsidRPr="00030F6B">
        <w:rPr>
          <w:rFonts w:ascii="Century Schoolbook" w:hAnsi="Century Schoolbook"/>
          <w:sz w:val="27"/>
          <w:szCs w:val="26"/>
        </w:rPr>
        <w:t>above</w:t>
      </w:r>
      <w:r w:rsidR="00FD0B09" w:rsidRPr="00030F6B">
        <w:rPr>
          <w:rFonts w:ascii="Century Schoolbook" w:hAnsi="Century Schoolbook"/>
          <w:sz w:val="27"/>
          <w:szCs w:val="26"/>
        </w:rPr>
        <w:t>,</w:t>
      </w:r>
      <w:r w:rsidR="00DA189F" w:rsidRPr="00030F6B">
        <w:rPr>
          <w:rFonts w:ascii="Century Schoolbook" w:hAnsi="Century Schoolbook"/>
          <w:sz w:val="27"/>
          <w:szCs w:val="26"/>
        </w:rPr>
        <w:t xml:space="preserve"> </w:t>
      </w:r>
      <w:r w:rsidR="000862A4" w:rsidRPr="00030F6B">
        <w:rPr>
          <w:rFonts w:ascii="Century Schoolbook" w:hAnsi="Century Schoolbook"/>
          <w:sz w:val="27"/>
          <w:szCs w:val="26"/>
        </w:rPr>
        <w:t>the record</w:t>
      </w:r>
      <w:r w:rsidR="00DA189F" w:rsidRPr="00030F6B">
        <w:rPr>
          <w:rFonts w:ascii="Century Schoolbook" w:hAnsi="Century Schoolbook"/>
          <w:sz w:val="27"/>
          <w:szCs w:val="26"/>
        </w:rPr>
        <w:t xml:space="preserve"> </w:t>
      </w:r>
      <w:r w:rsidR="00A15A7E" w:rsidRPr="00030F6B">
        <w:rPr>
          <w:rFonts w:ascii="Century Schoolbook" w:hAnsi="Century Schoolbook"/>
          <w:sz w:val="27"/>
          <w:szCs w:val="26"/>
        </w:rPr>
        <w:t xml:space="preserve">was </w:t>
      </w:r>
      <w:r w:rsidRPr="00030F6B">
        <w:rPr>
          <w:rFonts w:ascii="Century Schoolbook" w:hAnsi="Century Schoolbook"/>
          <w:sz w:val="27"/>
          <w:szCs w:val="26"/>
        </w:rPr>
        <w:t xml:space="preserve">not </w:t>
      </w:r>
      <w:r w:rsidR="006F44B9" w:rsidRPr="00030F6B">
        <w:rPr>
          <w:rFonts w:ascii="Century Schoolbook" w:hAnsi="Century Schoolbook"/>
          <w:sz w:val="27"/>
          <w:szCs w:val="26"/>
        </w:rPr>
        <w:t xml:space="preserve">developed </w:t>
      </w:r>
      <w:r w:rsidR="00015155" w:rsidRPr="00030F6B">
        <w:rPr>
          <w:rFonts w:ascii="Century Schoolbook" w:hAnsi="Century Schoolbook"/>
          <w:sz w:val="27"/>
          <w:szCs w:val="26"/>
        </w:rPr>
        <w:t xml:space="preserve">in accordance with the procedures contemplated </w:t>
      </w:r>
      <w:r w:rsidR="00D4296C" w:rsidRPr="00030F6B">
        <w:rPr>
          <w:rFonts w:ascii="Century Schoolbook" w:hAnsi="Century Schoolbook"/>
          <w:sz w:val="27"/>
          <w:szCs w:val="26"/>
        </w:rPr>
        <w:t>by sections 1106 and 783</w:t>
      </w:r>
      <w:r w:rsidR="009B4841" w:rsidRPr="00030F6B">
        <w:rPr>
          <w:rFonts w:ascii="Century Schoolbook" w:hAnsi="Century Schoolbook"/>
          <w:sz w:val="27"/>
          <w:szCs w:val="26"/>
        </w:rPr>
        <w:t xml:space="preserve">.  </w:t>
      </w:r>
      <w:r w:rsidR="007D4FDD" w:rsidRPr="00030F6B">
        <w:rPr>
          <w:rFonts w:ascii="Century Schoolbook" w:hAnsi="Century Schoolbook"/>
          <w:sz w:val="27"/>
          <w:szCs w:val="26"/>
        </w:rPr>
        <w:t xml:space="preserve">The Court of Appeal </w:t>
      </w:r>
      <w:r w:rsidR="00A82A27" w:rsidRPr="00030F6B">
        <w:rPr>
          <w:rFonts w:ascii="Century Schoolbook" w:hAnsi="Century Schoolbook"/>
          <w:sz w:val="27"/>
          <w:szCs w:val="26"/>
        </w:rPr>
        <w:t xml:space="preserve">found it necessary to </w:t>
      </w:r>
      <w:r w:rsidR="0068064A" w:rsidRPr="00030F6B">
        <w:rPr>
          <w:rFonts w:ascii="Century Schoolbook" w:hAnsi="Century Schoolbook"/>
          <w:sz w:val="27"/>
          <w:szCs w:val="26"/>
        </w:rPr>
        <w:t>fill</w:t>
      </w:r>
      <w:r w:rsidR="00A82A27" w:rsidRPr="00030F6B">
        <w:rPr>
          <w:rFonts w:ascii="Century Schoolbook" w:hAnsi="Century Schoolbook"/>
          <w:sz w:val="27"/>
          <w:szCs w:val="26"/>
        </w:rPr>
        <w:t xml:space="preserve"> </w:t>
      </w:r>
      <w:r w:rsidR="008B0320" w:rsidRPr="00030F6B">
        <w:rPr>
          <w:rFonts w:ascii="Century Schoolbook" w:hAnsi="Century Schoolbook"/>
          <w:sz w:val="27"/>
          <w:szCs w:val="26"/>
        </w:rPr>
        <w:t xml:space="preserve">gaps </w:t>
      </w:r>
      <w:r w:rsidR="00A82A27" w:rsidRPr="00030F6B">
        <w:rPr>
          <w:rFonts w:ascii="Century Schoolbook" w:hAnsi="Century Schoolbook"/>
          <w:sz w:val="27"/>
          <w:szCs w:val="26"/>
        </w:rPr>
        <w:t xml:space="preserve">by making </w:t>
      </w:r>
      <w:r w:rsidR="00A15A7E" w:rsidRPr="00030F6B">
        <w:rPr>
          <w:rFonts w:ascii="Century Schoolbook" w:hAnsi="Century Schoolbook"/>
          <w:sz w:val="27"/>
          <w:szCs w:val="26"/>
        </w:rPr>
        <w:t xml:space="preserve">key assumptions </w:t>
      </w:r>
      <w:r w:rsidR="009509D1" w:rsidRPr="00030F6B">
        <w:rPr>
          <w:rFonts w:ascii="Century Schoolbook" w:hAnsi="Century Schoolbook"/>
          <w:sz w:val="27"/>
          <w:szCs w:val="26"/>
        </w:rPr>
        <w:t xml:space="preserve">about plaintiff’s anticipated testimony and the scope of the trial court’s evidentiary ruling.  </w:t>
      </w:r>
      <w:r w:rsidR="00526BEF" w:rsidRPr="00030F6B">
        <w:rPr>
          <w:rFonts w:ascii="Century Schoolbook" w:hAnsi="Century Schoolbook"/>
          <w:sz w:val="27"/>
          <w:szCs w:val="26"/>
        </w:rPr>
        <w:t xml:space="preserve">We will </w:t>
      </w:r>
      <w:r w:rsidR="00B27215" w:rsidRPr="00030F6B">
        <w:rPr>
          <w:rFonts w:ascii="Century Schoolbook" w:hAnsi="Century Schoolbook"/>
          <w:sz w:val="27"/>
          <w:szCs w:val="26"/>
        </w:rPr>
        <w:t xml:space="preserve">not indulge </w:t>
      </w:r>
      <w:r w:rsidR="008B0320" w:rsidRPr="00030F6B">
        <w:rPr>
          <w:rFonts w:ascii="Century Schoolbook" w:hAnsi="Century Schoolbook"/>
          <w:sz w:val="27"/>
          <w:szCs w:val="26"/>
        </w:rPr>
        <w:t xml:space="preserve">such </w:t>
      </w:r>
      <w:r w:rsidR="00B27215" w:rsidRPr="00030F6B">
        <w:rPr>
          <w:rFonts w:ascii="Century Schoolbook" w:hAnsi="Century Schoolbook"/>
          <w:sz w:val="27"/>
          <w:szCs w:val="26"/>
        </w:rPr>
        <w:t>assumptions, and</w:t>
      </w:r>
      <w:r w:rsidR="00085C82">
        <w:rPr>
          <w:rFonts w:ascii="Century Schoolbook" w:hAnsi="Century Schoolbook"/>
          <w:sz w:val="27"/>
          <w:szCs w:val="26"/>
        </w:rPr>
        <w:t xml:space="preserve"> we </w:t>
      </w:r>
      <w:r w:rsidR="004B28B9" w:rsidRPr="00030F6B">
        <w:rPr>
          <w:rFonts w:ascii="Century Schoolbook" w:hAnsi="Century Schoolbook"/>
          <w:sz w:val="27"/>
          <w:szCs w:val="26"/>
        </w:rPr>
        <w:t>d</w:t>
      </w:r>
      <w:r w:rsidR="0032543E" w:rsidRPr="00030F6B">
        <w:rPr>
          <w:rFonts w:ascii="Century Schoolbook" w:hAnsi="Century Schoolbook"/>
          <w:sz w:val="27"/>
          <w:szCs w:val="26"/>
        </w:rPr>
        <w:t xml:space="preserve">ecline to </w:t>
      </w:r>
      <w:r w:rsidR="004310C2" w:rsidRPr="00030F6B">
        <w:rPr>
          <w:rFonts w:ascii="Century Schoolbook" w:hAnsi="Century Schoolbook"/>
          <w:sz w:val="27"/>
          <w:szCs w:val="26"/>
        </w:rPr>
        <w:t>rul</w:t>
      </w:r>
      <w:r w:rsidR="0032543E" w:rsidRPr="00030F6B">
        <w:rPr>
          <w:rFonts w:ascii="Century Schoolbook" w:hAnsi="Century Schoolbook"/>
          <w:sz w:val="27"/>
          <w:szCs w:val="26"/>
        </w:rPr>
        <w:t xml:space="preserve">e </w:t>
      </w:r>
      <w:r w:rsidR="004310C2" w:rsidRPr="00030F6B">
        <w:rPr>
          <w:rFonts w:ascii="Century Schoolbook" w:hAnsi="Century Schoolbook"/>
          <w:sz w:val="27"/>
          <w:szCs w:val="26"/>
        </w:rPr>
        <w:t xml:space="preserve">on the </w:t>
      </w:r>
      <w:r w:rsidR="00522E02" w:rsidRPr="00030F6B">
        <w:rPr>
          <w:rFonts w:ascii="Century Schoolbook" w:hAnsi="Century Schoolbook"/>
          <w:sz w:val="27"/>
          <w:szCs w:val="26"/>
        </w:rPr>
        <w:t xml:space="preserve">trial court’s </w:t>
      </w:r>
      <w:r w:rsidR="004310C2" w:rsidRPr="00030F6B">
        <w:rPr>
          <w:rFonts w:ascii="Century Schoolbook" w:hAnsi="Century Schoolbook"/>
          <w:sz w:val="27"/>
          <w:szCs w:val="26"/>
        </w:rPr>
        <w:t xml:space="preserve">section 352 determination </w:t>
      </w:r>
      <w:r w:rsidR="0032543E" w:rsidRPr="00030F6B">
        <w:rPr>
          <w:rFonts w:ascii="Century Schoolbook" w:hAnsi="Century Schoolbook"/>
          <w:sz w:val="27"/>
          <w:szCs w:val="26"/>
        </w:rPr>
        <w:t xml:space="preserve">pending </w:t>
      </w:r>
      <w:r w:rsidR="00ED61B4" w:rsidRPr="00030F6B">
        <w:rPr>
          <w:rFonts w:ascii="Century Schoolbook" w:hAnsi="Century Schoolbook"/>
          <w:sz w:val="27"/>
          <w:szCs w:val="26"/>
        </w:rPr>
        <w:t>further proceedings o</w:t>
      </w:r>
      <w:r w:rsidR="0085249B" w:rsidRPr="00030F6B">
        <w:rPr>
          <w:rFonts w:ascii="Century Schoolbook" w:hAnsi="Century Schoolbook"/>
          <w:sz w:val="27"/>
          <w:szCs w:val="26"/>
        </w:rPr>
        <w:t xml:space="preserve">n </w:t>
      </w:r>
      <w:r w:rsidR="00D45CBF" w:rsidRPr="00030F6B">
        <w:rPr>
          <w:rFonts w:ascii="Century Schoolbook" w:hAnsi="Century Schoolbook"/>
          <w:sz w:val="27"/>
          <w:szCs w:val="26"/>
        </w:rPr>
        <w:t xml:space="preserve">remand.  </w:t>
      </w:r>
    </w:p>
    <w:p w14:paraId="0DB2E7F9" w14:textId="77777777" w:rsidR="00685056" w:rsidRPr="00030F6B" w:rsidRDefault="002E6832" w:rsidP="00030F6B">
      <w:pPr>
        <w:pStyle w:val="PlainText"/>
        <w:ind w:firstLine="720"/>
        <w:rPr>
          <w:rFonts w:ascii="Century Schoolbook" w:hAnsi="Century Schoolbook"/>
          <w:sz w:val="27"/>
          <w:szCs w:val="26"/>
        </w:rPr>
      </w:pPr>
      <w:r w:rsidRPr="00030F6B">
        <w:rPr>
          <w:rFonts w:ascii="Century Schoolbook" w:hAnsi="Century Schoolbook"/>
          <w:sz w:val="27"/>
          <w:szCs w:val="26"/>
        </w:rPr>
        <w:t>Second, and somewhat related to th</w:t>
      </w:r>
      <w:r w:rsidR="00D81EFA" w:rsidRPr="00030F6B">
        <w:rPr>
          <w:rFonts w:ascii="Century Schoolbook" w:hAnsi="Century Schoolbook"/>
          <w:sz w:val="27"/>
          <w:szCs w:val="26"/>
        </w:rPr>
        <w:t xml:space="preserve">e above-described record problem, </w:t>
      </w:r>
      <w:r w:rsidRPr="00030F6B">
        <w:rPr>
          <w:rFonts w:ascii="Century Schoolbook" w:hAnsi="Century Schoolbook"/>
          <w:sz w:val="27"/>
          <w:szCs w:val="26"/>
        </w:rPr>
        <w:t xml:space="preserve">the District’s </w:t>
      </w:r>
      <w:r w:rsidR="007F599E" w:rsidRPr="00030F6B">
        <w:rPr>
          <w:rFonts w:ascii="Century Schoolbook" w:hAnsi="Century Schoolbook"/>
          <w:sz w:val="27"/>
          <w:szCs w:val="26"/>
        </w:rPr>
        <w:t xml:space="preserve">evolved and expanded position </w:t>
      </w:r>
      <w:r w:rsidR="00B5213C" w:rsidRPr="00030F6B">
        <w:rPr>
          <w:rFonts w:ascii="Century Schoolbook" w:hAnsi="Century Schoolbook"/>
          <w:sz w:val="27"/>
          <w:szCs w:val="26"/>
        </w:rPr>
        <w:t xml:space="preserve">concerning </w:t>
      </w:r>
      <w:r w:rsidR="00FF18AF" w:rsidRPr="00030F6B">
        <w:rPr>
          <w:rFonts w:ascii="Century Schoolbook" w:hAnsi="Century Schoolbook"/>
          <w:sz w:val="27"/>
          <w:szCs w:val="26"/>
        </w:rPr>
        <w:t xml:space="preserve">the relevance and use of the </w:t>
      </w:r>
      <w:r w:rsidR="00450B67" w:rsidRPr="00030F6B">
        <w:rPr>
          <w:rFonts w:ascii="Century Schoolbook" w:hAnsi="Century Schoolbook"/>
          <w:sz w:val="27"/>
          <w:szCs w:val="26"/>
        </w:rPr>
        <w:t xml:space="preserve">evidence regarding the </w:t>
      </w:r>
      <w:r w:rsidR="00FF18AF" w:rsidRPr="00030F6B">
        <w:rPr>
          <w:rFonts w:ascii="Century Schoolbook" w:hAnsi="Century Schoolbook"/>
          <w:sz w:val="27"/>
          <w:szCs w:val="26"/>
        </w:rPr>
        <w:t>2013 molestation</w:t>
      </w:r>
      <w:r w:rsidR="00BD65B2" w:rsidRPr="00030F6B">
        <w:rPr>
          <w:rFonts w:ascii="Century Schoolbook" w:hAnsi="Century Schoolbook"/>
          <w:sz w:val="27"/>
          <w:szCs w:val="26"/>
        </w:rPr>
        <w:t xml:space="preserve"> </w:t>
      </w:r>
      <w:r w:rsidR="002348F1" w:rsidRPr="00030F6B">
        <w:rPr>
          <w:rFonts w:ascii="Century Schoolbook" w:hAnsi="Century Schoolbook"/>
          <w:sz w:val="27"/>
          <w:szCs w:val="26"/>
        </w:rPr>
        <w:t xml:space="preserve">greatly complicates </w:t>
      </w:r>
      <w:r w:rsidR="00EA5498" w:rsidRPr="00030F6B">
        <w:rPr>
          <w:rFonts w:ascii="Century Schoolbook" w:hAnsi="Century Schoolbook"/>
          <w:sz w:val="27"/>
          <w:szCs w:val="26"/>
        </w:rPr>
        <w:t xml:space="preserve">any attempt at this stage to </w:t>
      </w:r>
      <w:r w:rsidR="00AA5437" w:rsidRPr="00030F6B">
        <w:rPr>
          <w:rFonts w:ascii="Century Schoolbook" w:hAnsi="Century Schoolbook"/>
          <w:sz w:val="27"/>
          <w:szCs w:val="26"/>
        </w:rPr>
        <w:t>assess</w:t>
      </w:r>
      <w:r w:rsidR="00EA5498" w:rsidRPr="00030F6B">
        <w:rPr>
          <w:rFonts w:ascii="Century Schoolbook" w:hAnsi="Century Schoolbook"/>
          <w:sz w:val="27"/>
          <w:szCs w:val="26"/>
        </w:rPr>
        <w:t xml:space="preserve"> </w:t>
      </w:r>
      <w:r w:rsidR="00EC5793" w:rsidRPr="00030F6B">
        <w:rPr>
          <w:rFonts w:ascii="Century Schoolbook" w:hAnsi="Century Schoolbook"/>
          <w:sz w:val="27"/>
          <w:szCs w:val="26"/>
        </w:rPr>
        <w:t xml:space="preserve">the trial court’s section 352 determination.  </w:t>
      </w:r>
      <w:r w:rsidR="00DA0995" w:rsidRPr="00030F6B">
        <w:rPr>
          <w:rFonts w:ascii="Century Schoolbook" w:hAnsi="Century Schoolbook"/>
          <w:sz w:val="27"/>
          <w:szCs w:val="26"/>
        </w:rPr>
        <w:t xml:space="preserve">As noted, the trial court </w:t>
      </w:r>
      <w:r w:rsidR="00207434" w:rsidRPr="00030F6B">
        <w:rPr>
          <w:rFonts w:ascii="Century Schoolbook" w:hAnsi="Century Schoolbook"/>
          <w:sz w:val="27"/>
          <w:szCs w:val="26"/>
        </w:rPr>
        <w:t xml:space="preserve">does not appear to have </w:t>
      </w:r>
      <w:r w:rsidR="001C069D" w:rsidRPr="00030F6B">
        <w:rPr>
          <w:rFonts w:ascii="Century Schoolbook" w:hAnsi="Century Schoolbook"/>
          <w:sz w:val="27"/>
          <w:szCs w:val="26"/>
        </w:rPr>
        <w:t xml:space="preserve">apprehended </w:t>
      </w:r>
      <w:r w:rsidR="00A156B1" w:rsidRPr="00030F6B">
        <w:rPr>
          <w:rFonts w:ascii="Century Schoolbook" w:hAnsi="Century Schoolbook"/>
          <w:sz w:val="27"/>
          <w:szCs w:val="26"/>
        </w:rPr>
        <w:t xml:space="preserve">or </w:t>
      </w:r>
      <w:r w:rsidR="001C069D" w:rsidRPr="00030F6B">
        <w:rPr>
          <w:rFonts w:ascii="Century Schoolbook" w:hAnsi="Century Schoolbook"/>
          <w:sz w:val="27"/>
          <w:szCs w:val="26"/>
        </w:rPr>
        <w:t xml:space="preserve">considered the </w:t>
      </w:r>
      <w:r w:rsidRPr="00030F6B">
        <w:rPr>
          <w:rFonts w:ascii="Century Schoolbook" w:hAnsi="Century Schoolbook"/>
          <w:sz w:val="27"/>
          <w:szCs w:val="26"/>
        </w:rPr>
        <w:t>District</w:t>
      </w:r>
      <w:r w:rsidR="001C069D" w:rsidRPr="00030F6B">
        <w:rPr>
          <w:rFonts w:ascii="Century Schoolbook" w:hAnsi="Century Schoolbook"/>
          <w:sz w:val="27"/>
          <w:szCs w:val="26"/>
        </w:rPr>
        <w:t xml:space="preserve">’s </w:t>
      </w:r>
      <w:r w:rsidR="007F599E" w:rsidRPr="00030F6B">
        <w:rPr>
          <w:rFonts w:ascii="Century Schoolbook" w:hAnsi="Century Schoolbook"/>
          <w:sz w:val="27"/>
          <w:szCs w:val="26"/>
        </w:rPr>
        <w:t>new</w:t>
      </w:r>
      <w:r w:rsidR="00A156B1" w:rsidRPr="00030F6B">
        <w:rPr>
          <w:rFonts w:ascii="Century Schoolbook" w:hAnsi="Century Schoolbook"/>
          <w:sz w:val="27"/>
          <w:szCs w:val="26"/>
        </w:rPr>
        <w:t>ly</w:t>
      </w:r>
      <w:r w:rsidR="006C0BA6">
        <w:rPr>
          <w:rFonts w:ascii="Century Schoolbook" w:hAnsi="Century Schoolbook"/>
          <w:sz w:val="27"/>
          <w:szCs w:val="26"/>
        </w:rPr>
        <w:t xml:space="preserve"> </w:t>
      </w:r>
      <w:r w:rsidR="00A156B1" w:rsidRPr="00030F6B">
        <w:rPr>
          <w:rFonts w:ascii="Century Schoolbook" w:hAnsi="Century Schoolbook"/>
          <w:sz w:val="27"/>
          <w:szCs w:val="26"/>
        </w:rPr>
        <w:t>advanced ar</w:t>
      </w:r>
      <w:r w:rsidR="007F599E" w:rsidRPr="00030F6B">
        <w:rPr>
          <w:rFonts w:ascii="Century Schoolbook" w:hAnsi="Century Schoolbook"/>
          <w:sz w:val="27"/>
          <w:szCs w:val="26"/>
        </w:rPr>
        <w:t xml:space="preserve">gument </w:t>
      </w:r>
      <w:r w:rsidR="00286DCF" w:rsidRPr="00030F6B">
        <w:rPr>
          <w:rFonts w:ascii="Century Schoolbook" w:hAnsi="Century Schoolbook"/>
          <w:sz w:val="27"/>
          <w:szCs w:val="26"/>
        </w:rPr>
        <w:t xml:space="preserve">that </w:t>
      </w:r>
      <w:r w:rsidR="00207434" w:rsidRPr="00030F6B">
        <w:rPr>
          <w:rFonts w:ascii="Century Schoolbook" w:hAnsi="Century Schoolbook"/>
          <w:sz w:val="27"/>
          <w:szCs w:val="26"/>
        </w:rPr>
        <w:t xml:space="preserve">evidence regarding the </w:t>
      </w:r>
      <w:r w:rsidR="004D788F" w:rsidRPr="00030F6B">
        <w:rPr>
          <w:rFonts w:ascii="Century Schoolbook" w:hAnsi="Century Schoolbook"/>
          <w:sz w:val="27"/>
          <w:szCs w:val="26"/>
        </w:rPr>
        <w:t>2013 molestation</w:t>
      </w:r>
      <w:r w:rsidR="00286DCF" w:rsidRPr="00030F6B">
        <w:rPr>
          <w:rFonts w:ascii="Century Schoolbook" w:hAnsi="Century Schoolbook"/>
          <w:sz w:val="27"/>
          <w:szCs w:val="26"/>
        </w:rPr>
        <w:t xml:space="preserve"> </w:t>
      </w:r>
      <w:r w:rsidR="004D788F" w:rsidRPr="00030F6B">
        <w:rPr>
          <w:rFonts w:ascii="Century Schoolbook" w:hAnsi="Century Schoolbook"/>
          <w:sz w:val="27"/>
          <w:szCs w:val="26"/>
        </w:rPr>
        <w:t xml:space="preserve">may be used to impeach plaintiff’s credibility not only with respect to her apportionment of harm related to her emotional distress, but </w:t>
      </w:r>
      <w:r w:rsidR="004D788F" w:rsidRPr="00030F6B">
        <w:rPr>
          <w:rFonts w:ascii="Century Schoolbook" w:hAnsi="Century Schoolbook"/>
          <w:sz w:val="27"/>
          <w:szCs w:val="26"/>
        </w:rPr>
        <w:lastRenderedPageBreak/>
        <w:t xml:space="preserve">also with respect to her recollection and description </w:t>
      </w:r>
      <w:r w:rsidR="006C790F" w:rsidRPr="00030F6B">
        <w:rPr>
          <w:rFonts w:ascii="Century Schoolbook" w:hAnsi="Century Schoolbook"/>
          <w:sz w:val="27"/>
          <w:szCs w:val="26"/>
        </w:rPr>
        <w:t xml:space="preserve">of </w:t>
      </w:r>
      <w:r w:rsidR="004D788F" w:rsidRPr="00030F6B">
        <w:rPr>
          <w:rFonts w:ascii="Century Schoolbook" w:hAnsi="Century Schoolbook"/>
          <w:sz w:val="27"/>
          <w:szCs w:val="26"/>
        </w:rPr>
        <w:t>the specific abuse by Baldenebro.</w:t>
      </w:r>
      <w:r w:rsidR="001816AC" w:rsidRPr="00030F6B">
        <w:rPr>
          <w:rFonts w:ascii="Century Schoolbook" w:hAnsi="Century Schoolbook"/>
          <w:sz w:val="27"/>
          <w:szCs w:val="26"/>
        </w:rPr>
        <w:t xml:space="preserve">  </w:t>
      </w:r>
      <w:r w:rsidR="00A412BC" w:rsidRPr="00030F6B">
        <w:rPr>
          <w:rFonts w:ascii="Century Schoolbook" w:hAnsi="Century Schoolbook"/>
          <w:sz w:val="27"/>
          <w:szCs w:val="26"/>
        </w:rPr>
        <w:t xml:space="preserve">Yet in </w:t>
      </w:r>
      <w:r w:rsidR="00734FCE" w:rsidRPr="00030F6B">
        <w:rPr>
          <w:rFonts w:ascii="Century Schoolbook" w:hAnsi="Century Schoolbook"/>
          <w:sz w:val="27"/>
          <w:szCs w:val="26"/>
        </w:rPr>
        <w:t xml:space="preserve">shifting theories </w:t>
      </w:r>
      <w:r w:rsidR="00A412BC" w:rsidRPr="00030F6B">
        <w:rPr>
          <w:rFonts w:ascii="Century Schoolbook" w:hAnsi="Century Schoolbook"/>
          <w:sz w:val="27"/>
          <w:szCs w:val="26"/>
        </w:rPr>
        <w:t xml:space="preserve">the District has </w:t>
      </w:r>
      <w:r w:rsidR="00734FCE" w:rsidRPr="00030F6B">
        <w:rPr>
          <w:rFonts w:ascii="Century Schoolbook" w:hAnsi="Century Schoolbook"/>
          <w:sz w:val="27"/>
          <w:szCs w:val="26"/>
        </w:rPr>
        <w:t>created an insurmountable problem for itself</w:t>
      </w:r>
      <w:r w:rsidR="00A412BC" w:rsidRPr="00030F6B">
        <w:rPr>
          <w:rFonts w:ascii="Century Schoolbook" w:hAnsi="Century Schoolbook"/>
          <w:sz w:val="27"/>
          <w:szCs w:val="26"/>
        </w:rPr>
        <w:t xml:space="preserve">:  </w:t>
      </w:r>
      <w:r w:rsidR="0068770A" w:rsidRPr="00030F6B">
        <w:rPr>
          <w:rFonts w:ascii="Century Schoolbook" w:hAnsi="Century Schoolbook"/>
          <w:sz w:val="27"/>
          <w:szCs w:val="26"/>
        </w:rPr>
        <w:t xml:space="preserve">We </w:t>
      </w:r>
      <w:r w:rsidR="00532C7F" w:rsidRPr="00030F6B">
        <w:rPr>
          <w:rFonts w:ascii="Century Schoolbook" w:hAnsi="Century Schoolbook"/>
          <w:sz w:val="27"/>
          <w:szCs w:val="26"/>
        </w:rPr>
        <w:t xml:space="preserve">cannot </w:t>
      </w:r>
      <w:r w:rsidR="00CF280D" w:rsidRPr="00030F6B">
        <w:rPr>
          <w:rFonts w:ascii="Century Schoolbook" w:hAnsi="Century Schoolbook"/>
          <w:sz w:val="27"/>
          <w:szCs w:val="26"/>
        </w:rPr>
        <w:t>assess the trial court’s section 352 det</w:t>
      </w:r>
      <w:r w:rsidR="00B20ADA" w:rsidRPr="00030F6B">
        <w:rPr>
          <w:rFonts w:ascii="Century Schoolbook" w:hAnsi="Century Schoolbook"/>
          <w:sz w:val="27"/>
          <w:szCs w:val="26"/>
        </w:rPr>
        <w:t xml:space="preserve">ermination </w:t>
      </w:r>
      <w:r w:rsidR="00DB7414" w:rsidRPr="00030F6B">
        <w:rPr>
          <w:rFonts w:ascii="Century Schoolbook" w:hAnsi="Century Schoolbook"/>
          <w:sz w:val="27"/>
          <w:szCs w:val="26"/>
        </w:rPr>
        <w:t xml:space="preserve">in </w:t>
      </w:r>
      <w:r w:rsidR="008E4FE4" w:rsidRPr="00030F6B">
        <w:rPr>
          <w:rFonts w:ascii="Century Schoolbook" w:hAnsi="Century Schoolbook"/>
          <w:sz w:val="27"/>
          <w:szCs w:val="26"/>
        </w:rPr>
        <w:t xml:space="preserve">relation to legal </w:t>
      </w:r>
      <w:r w:rsidR="00DB7414" w:rsidRPr="00030F6B">
        <w:rPr>
          <w:rFonts w:ascii="Century Schoolbook" w:hAnsi="Century Schoolbook"/>
          <w:sz w:val="27"/>
          <w:szCs w:val="26"/>
        </w:rPr>
        <w:t xml:space="preserve">arguments </w:t>
      </w:r>
      <w:r w:rsidR="00532C7F" w:rsidRPr="00030F6B">
        <w:rPr>
          <w:rFonts w:ascii="Century Schoolbook" w:hAnsi="Century Schoolbook"/>
          <w:sz w:val="27"/>
          <w:szCs w:val="26"/>
        </w:rPr>
        <w:t xml:space="preserve">that were </w:t>
      </w:r>
      <w:r w:rsidR="00731AE2" w:rsidRPr="00030F6B">
        <w:rPr>
          <w:rFonts w:ascii="Century Schoolbook" w:hAnsi="Century Schoolbook"/>
          <w:sz w:val="27"/>
          <w:szCs w:val="26"/>
        </w:rPr>
        <w:t xml:space="preserve">not presented to </w:t>
      </w:r>
      <w:r w:rsidR="00B276FE" w:rsidRPr="00030F6B">
        <w:rPr>
          <w:rFonts w:ascii="Century Schoolbook" w:hAnsi="Century Schoolbook"/>
          <w:sz w:val="27"/>
          <w:szCs w:val="26"/>
        </w:rPr>
        <w:t xml:space="preserve">and considered by </w:t>
      </w:r>
      <w:r w:rsidR="00731AE2" w:rsidRPr="00030F6B">
        <w:rPr>
          <w:rFonts w:ascii="Century Schoolbook" w:hAnsi="Century Schoolbook"/>
          <w:sz w:val="27"/>
          <w:szCs w:val="26"/>
        </w:rPr>
        <w:t>that court</w:t>
      </w:r>
      <w:r w:rsidR="00532C7F" w:rsidRPr="00030F6B">
        <w:rPr>
          <w:rFonts w:ascii="Century Schoolbook" w:hAnsi="Century Schoolbook"/>
          <w:sz w:val="27"/>
          <w:szCs w:val="26"/>
        </w:rPr>
        <w:t xml:space="preserve">. </w:t>
      </w:r>
      <w:r w:rsidRPr="00030F6B">
        <w:rPr>
          <w:rFonts w:ascii="Century Schoolbook" w:hAnsi="Century Schoolbook"/>
          <w:sz w:val="27"/>
          <w:szCs w:val="26"/>
        </w:rPr>
        <w:t xml:space="preserve"> </w:t>
      </w:r>
    </w:p>
    <w:p w14:paraId="0DB2E7FA" w14:textId="77777777" w:rsidR="008E4DB6" w:rsidRPr="00030F6B" w:rsidRDefault="002E6832" w:rsidP="00030F6B">
      <w:pPr>
        <w:pStyle w:val="PlainText"/>
        <w:ind w:firstLine="720"/>
        <w:rPr>
          <w:rFonts w:ascii="Century Schoolbook" w:hAnsi="Century Schoolbook"/>
          <w:sz w:val="27"/>
          <w:szCs w:val="26"/>
        </w:rPr>
      </w:pPr>
      <w:r w:rsidRPr="00030F6B">
        <w:rPr>
          <w:rFonts w:ascii="Century Schoolbook" w:hAnsi="Century Schoolbook"/>
          <w:sz w:val="27"/>
          <w:szCs w:val="26"/>
        </w:rPr>
        <w:t xml:space="preserve">Finally, </w:t>
      </w:r>
      <w:r w:rsidR="00685056" w:rsidRPr="00030F6B">
        <w:rPr>
          <w:rFonts w:ascii="Century Schoolbook" w:hAnsi="Century Schoolbook"/>
          <w:sz w:val="27"/>
          <w:szCs w:val="26"/>
        </w:rPr>
        <w:t xml:space="preserve">even if we </w:t>
      </w:r>
      <w:r w:rsidR="004A7416" w:rsidRPr="00030F6B">
        <w:rPr>
          <w:rFonts w:ascii="Century Schoolbook" w:hAnsi="Century Schoolbook"/>
          <w:sz w:val="27"/>
          <w:szCs w:val="26"/>
        </w:rPr>
        <w:t xml:space="preserve">were </w:t>
      </w:r>
      <w:r w:rsidR="008E4FE4" w:rsidRPr="00030F6B">
        <w:rPr>
          <w:rFonts w:ascii="Century Schoolbook" w:hAnsi="Century Schoolbook"/>
          <w:sz w:val="27"/>
          <w:szCs w:val="26"/>
        </w:rPr>
        <w:t xml:space="preserve">to </w:t>
      </w:r>
      <w:r w:rsidR="00685056" w:rsidRPr="00030F6B">
        <w:rPr>
          <w:rFonts w:ascii="Century Schoolbook" w:hAnsi="Century Schoolbook"/>
          <w:sz w:val="27"/>
          <w:szCs w:val="26"/>
        </w:rPr>
        <w:t xml:space="preserve">ignore the District’s new theory of relevance </w:t>
      </w:r>
      <w:r w:rsidR="001C2998" w:rsidRPr="00030F6B">
        <w:rPr>
          <w:rFonts w:ascii="Century Schoolbook" w:hAnsi="Century Schoolbook"/>
          <w:sz w:val="27"/>
          <w:szCs w:val="26"/>
        </w:rPr>
        <w:t xml:space="preserve">concerning </w:t>
      </w:r>
      <w:r w:rsidR="00685056" w:rsidRPr="00030F6B">
        <w:rPr>
          <w:rFonts w:ascii="Century Schoolbook" w:hAnsi="Century Schoolbook"/>
          <w:sz w:val="27"/>
          <w:szCs w:val="26"/>
        </w:rPr>
        <w:t xml:space="preserve">impeachment and instead confine ourselves (as the Court of Appeal appears to have done) to </w:t>
      </w:r>
      <w:r w:rsidR="00606E0E" w:rsidRPr="00030F6B">
        <w:rPr>
          <w:rFonts w:ascii="Century Schoolbook" w:hAnsi="Century Schoolbook"/>
          <w:sz w:val="27"/>
          <w:szCs w:val="26"/>
        </w:rPr>
        <w:t xml:space="preserve">assuming that </w:t>
      </w:r>
      <w:r w:rsidR="00685056" w:rsidRPr="00030F6B">
        <w:rPr>
          <w:rFonts w:ascii="Century Schoolbook" w:hAnsi="Century Schoolbook"/>
          <w:sz w:val="27"/>
          <w:szCs w:val="26"/>
        </w:rPr>
        <w:t xml:space="preserve">the trial court considered and approved the </w:t>
      </w:r>
      <w:r w:rsidR="00606E0E" w:rsidRPr="00030F6B">
        <w:rPr>
          <w:rFonts w:ascii="Century Schoolbook" w:hAnsi="Century Schoolbook"/>
          <w:sz w:val="27"/>
          <w:szCs w:val="26"/>
        </w:rPr>
        <w:t xml:space="preserve">evidence regarding the </w:t>
      </w:r>
      <w:r w:rsidR="00685056" w:rsidRPr="00030F6B">
        <w:rPr>
          <w:rFonts w:ascii="Century Schoolbook" w:hAnsi="Century Schoolbook"/>
          <w:sz w:val="27"/>
          <w:szCs w:val="26"/>
        </w:rPr>
        <w:t xml:space="preserve">2013 molestation </w:t>
      </w:r>
      <w:r w:rsidR="00685056" w:rsidRPr="00030F6B">
        <w:rPr>
          <w:rFonts w:ascii="Century Schoolbook" w:hAnsi="Century Schoolbook"/>
          <w:i/>
          <w:iCs/>
          <w:sz w:val="27"/>
          <w:szCs w:val="26"/>
        </w:rPr>
        <w:t>solely for purposes of impeachment of plaintiff related exclusively to her</w:t>
      </w:r>
      <w:r w:rsidR="00685056" w:rsidRPr="00030F6B">
        <w:rPr>
          <w:rFonts w:ascii="Century Schoolbook" w:hAnsi="Century Schoolbook"/>
          <w:sz w:val="27"/>
          <w:szCs w:val="26"/>
        </w:rPr>
        <w:t xml:space="preserve"> </w:t>
      </w:r>
      <w:r w:rsidR="00685056" w:rsidRPr="00030F6B">
        <w:rPr>
          <w:rFonts w:ascii="Century Schoolbook" w:hAnsi="Century Schoolbook"/>
          <w:i/>
          <w:iCs/>
          <w:sz w:val="27"/>
          <w:szCs w:val="26"/>
        </w:rPr>
        <w:t xml:space="preserve">anticipated apportionment of 100 percent of her emotional distress damages to the Baldenebro </w:t>
      </w:r>
      <w:r w:rsidR="008E0C2A" w:rsidRPr="00030F6B">
        <w:rPr>
          <w:rFonts w:ascii="Century Schoolbook" w:hAnsi="Century Schoolbook"/>
          <w:i/>
          <w:iCs/>
          <w:sz w:val="27"/>
          <w:szCs w:val="26"/>
        </w:rPr>
        <w:t>abuse</w:t>
      </w:r>
      <w:r w:rsidR="00685056" w:rsidRPr="00030F6B">
        <w:rPr>
          <w:rFonts w:ascii="Century Schoolbook" w:hAnsi="Century Schoolbook"/>
          <w:sz w:val="27"/>
          <w:szCs w:val="26"/>
        </w:rPr>
        <w:t xml:space="preserve">, on this record </w:t>
      </w:r>
      <w:r w:rsidR="003D2D30" w:rsidRPr="00030F6B">
        <w:rPr>
          <w:rFonts w:ascii="Century Schoolbook" w:hAnsi="Century Schoolbook"/>
          <w:sz w:val="27"/>
          <w:szCs w:val="26"/>
        </w:rPr>
        <w:t xml:space="preserve">we </w:t>
      </w:r>
      <w:r w:rsidR="000B0F56" w:rsidRPr="00030F6B">
        <w:rPr>
          <w:rFonts w:ascii="Century Schoolbook" w:hAnsi="Century Schoolbook"/>
          <w:sz w:val="27"/>
          <w:szCs w:val="26"/>
        </w:rPr>
        <w:t xml:space="preserve">would not be able to </w:t>
      </w:r>
      <w:r w:rsidR="00685056" w:rsidRPr="00030F6B">
        <w:rPr>
          <w:rFonts w:ascii="Century Schoolbook" w:hAnsi="Century Schoolbook"/>
          <w:sz w:val="27"/>
          <w:szCs w:val="26"/>
        </w:rPr>
        <w:t xml:space="preserve">agree with the appellate court’s affirmance of the trial court’s </w:t>
      </w:r>
      <w:r w:rsidR="008E0C2A" w:rsidRPr="00030F6B">
        <w:rPr>
          <w:rFonts w:ascii="Century Schoolbook" w:hAnsi="Century Schoolbook"/>
          <w:sz w:val="27"/>
          <w:szCs w:val="26"/>
        </w:rPr>
        <w:t xml:space="preserve">section 352 </w:t>
      </w:r>
      <w:r w:rsidR="00685056" w:rsidRPr="00030F6B">
        <w:rPr>
          <w:rFonts w:ascii="Century Schoolbook" w:hAnsi="Century Schoolbook"/>
          <w:sz w:val="27"/>
          <w:szCs w:val="26"/>
        </w:rPr>
        <w:t>ruling.</w:t>
      </w:r>
      <w:r w:rsidR="00823FF7" w:rsidRPr="00030F6B">
        <w:rPr>
          <w:rFonts w:ascii="Century Schoolbook" w:hAnsi="Century Schoolbook"/>
          <w:sz w:val="27"/>
          <w:szCs w:val="26"/>
        </w:rPr>
        <w:t xml:space="preserve">  </w:t>
      </w:r>
      <w:r w:rsidR="005B5210" w:rsidRPr="00030F6B">
        <w:rPr>
          <w:rFonts w:ascii="Century Schoolbook" w:hAnsi="Century Schoolbook"/>
          <w:sz w:val="27"/>
          <w:szCs w:val="26"/>
        </w:rPr>
        <w:t>A</w:t>
      </w:r>
      <w:r w:rsidR="00DA44F5" w:rsidRPr="00030F6B">
        <w:rPr>
          <w:rFonts w:ascii="Century Schoolbook" w:hAnsi="Century Schoolbook"/>
          <w:sz w:val="27"/>
          <w:szCs w:val="26"/>
        </w:rPr>
        <w:t>s explained below</w:t>
      </w:r>
      <w:r w:rsidR="005B5210" w:rsidRPr="00030F6B">
        <w:rPr>
          <w:rFonts w:ascii="Century Schoolbook" w:hAnsi="Century Schoolbook"/>
          <w:sz w:val="27"/>
          <w:szCs w:val="26"/>
        </w:rPr>
        <w:t>,</w:t>
      </w:r>
      <w:r w:rsidR="00DA44F5" w:rsidRPr="00030F6B">
        <w:rPr>
          <w:rFonts w:ascii="Century Schoolbook" w:hAnsi="Century Schoolbook"/>
          <w:sz w:val="27"/>
          <w:szCs w:val="26"/>
        </w:rPr>
        <w:t xml:space="preserve"> </w:t>
      </w:r>
      <w:r w:rsidR="002A0CD8" w:rsidRPr="00030F6B">
        <w:rPr>
          <w:rFonts w:ascii="Century Schoolbook" w:hAnsi="Century Schoolbook"/>
          <w:sz w:val="27"/>
          <w:szCs w:val="26"/>
        </w:rPr>
        <w:t xml:space="preserve">it appears that the trial </w:t>
      </w:r>
      <w:r w:rsidR="00B04E52" w:rsidRPr="00030F6B">
        <w:rPr>
          <w:rFonts w:ascii="Century Schoolbook" w:hAnsi="Century Schoolbook"/>
          <w:sz w:val="27"/>
          <w:szCs w:val="26"/>
        </w:rPr>
        <w:t xml:space="preserve">court </w:t>
      </w:r>
      <w:r w:rsidR="00083A9D" w:rsidRPr="00030F6B">
        <w:rPr>
          <w:rFonts w:ascii="Century Schoolbook" w:hAnsi="Century Schoolbook"/>
          <w:sz w:val="27"/>
          <w:szCs w:val="26"/>
        </w:rPr>
        <w:t xml:space="preserve">viewed the </w:t>
      </w:r>
      <w:r w:rsidR="0097079F" w:rsidRPr="00030F6B">
        <w:rPr>
          <w:rFonts w:ascii="Century Schoolbook" w:hAnsi="Century Schoolbook"/>
          <w:sz w:val="27"/>
          <w:szCs w:val="26"/>
        </w:rPr>
        <w:t xml:space="preserve">inquiry into prejudicial effect under section 352 as posing </w:t>
      </w:r>
      <w:r w:rsidR="00D34D1D" w:rsidRPr="00030F6B">
        <w:rPr>
          <w:rFonts w:ascii="Century Schoolbook" w:hAnsi="Century Schoolbook"/>
          <w:sz w:val="27"/>
          <w:szCs w:val="26"/>
        </w:rPr>
        <w:t xml:space="preserve">a </w:t>
      </w:r>
      <w:r w:rsidR="00B1192F" w:rsidRPr="00030F6B">
        <w:rPr>
          <w:rFonts w:ascii="Century Schoolbook" w:hAnsi="Century Schoolbook"/>
          <w:sz w:val="27"/>
          <w:szCs w:val="26"/>
        </w:rPr>
        <w:t xml:space="preserve">mere </w:t>
      </w:r>
      <w:r w:rsidR="0097079F" w:rsidRPr="00030F6B">
        <w:rPr>
          <w:rFonts w:ascii="Century Schoolbook" w:hAnsi="Century Schoolbook"/>
          <w:sz w:val="27"/>
          <w:szCs w:val="26"/>
        </w:rPr>
        <w:t>garden-variety evidentiary question,</w:t>
      </w:r>
      <w:r w:rsidR="00D34D1D" w:rsidRPr="00030F6B">
        <w:rPr>
          <w:rFonts w:ascii="Century Schoolbook" w:hAnsi="Century Schoolbook"/>
          <w:sz w:val="27"/>
          <w:szCs w:val="26"/>
        </w:rPr>
        <w:t xml:space="preserve"> </w:t>
      </w:r>
      <w:r w:rsidR="00A26CDF" w:rsidRPr="00030F6B">
        <w:rPr>
          <w:rFonts w:ascii="Century Schoolbook" w:hAnsi="Century Schoolbook"/>
          <w:sz w:val="27"/>
          <w:szCs w:val="26"/>
        </w:rPr>
        <w:t xml:space="preserve">without </w:t>
      </w:r>
      <w:r w:rsidR="007A0B6F" w:rsidRPr="00030F6B">
        <w:rPr>
          <w:rFonts w:ascii="Century Schoolbook" w:hAnsi="Century Schoolbook"/>
          <w:sz w:val="27"/>
          <w:szCs w:val="26"/>
        </w:rPr>
        <w:t xml:space="preserve">bearing in mind </w:t>
      </w:r>
      <w:r w:rsidR="00D81130" w:rsidRPr="00030F6B">
        <w:rPr>
          <w:rFonts w:ascii="Century Schoolbook" w:hAnsi="Century Schoolbook"/>
          <w:sz w:val="27"/>
          <w:szCs w:val="26"/>
        </w:rPr>
        <w:t xml:space="preserve">the applicable </w:t>
      </w:r>
      <w:r w:rsidR="00A26CDF" w:rsidRPr="00030F6B">
        <w:rPr>
          <w:rFonts w:ascii="Century Schoolbook" w:hAnsi="Century Schoolbook"/>
          <w:sz w:val="27"/>
          <w:szCs w:val="26"/>
        </w:rPr>
        <w:t xml:space="preserve">special </w:t>
      </w:r>
      <w:r w:rsidR="00F12026" w:rsidRPr="00030F6B">
        <w:rPr>
          <w:rFonts w:ascii="Century Schoolbook" w:hAnsi="Century Schoolbook"/>
          <w:sz w:val="27"/>
          <w:szCs w:val="26"/>
        </w:rPr>
        <w:t xml:space="preserve">considerations governing that inquiry in the current setting.  </w:t>
      </w:r>
    </w:p>
    <w:p w14:paraId="0DB2E7FB" w14:textId="77777777" w:rsidR="00081DFD" w:rsidRPr="009106BC" w:rsidRDefault="002E6832" w:rsidP="00030F6B">
      <w:pPr>
        <w:pStyle w:val="PlainText"/>
        <w:ind w:firstLine="720"/>
        <w:rPr>
          <w:rFonts w:ascii="Century Schoolbook" w:hAnsi="Century Schoolbook"/>
          <w:sz w:val="27"/>
          <w:szCs w:val="26"/>
        </w:rPr>
      </w:pPr>
      <w:r w:rsidRPr="00030F6B">
        <w:rPr>
          <w:rFonts w:ascii="Century Schoolbook" w:hAnsi="Century Schoolbook"/>
          <w:sz w:val="27"/>
          <w:szCs w:val="26"/>
        </w:rPr>
        <w:t>A</w:t>
      </w:r>
      <w:r w:rsidR="008F31B4" w:rsidRPr="00030F6B">
        <w:rPr>
          <w:rFonts w:ascii="Century Schoolbook" w:hAnsi="Century Schoolbook"/>
          <w:sz w:val="27"/>
          <w:szCs w:val="26"/>
        </w:rPr>
        <w:t xml:space="preserve">s we observed </w:t>
      </w:r>
      <w:r w:rsidR="00786CF8" w:rsidRPr="00030F6B">
        <w:rPr>
          <w:rFonts w:ascii="Century Schoolbook" w:hAnsi="Century Schoolbook"/>
          <w:sz w:val="27"/>
          <w:szCs w:val="26"/>
        </w:rPr>
        <w:t xml:space="preserve">in </w:t>
      </w:r>
      <w:r w:rsidR="00891D6D" w:rsidRPr="00030F6B">
        <w:rPr>
          <w:rFonts w:ascii="Century Schoolbook" w:hAnsi="Century Schoolbook"/>
          <w:i/>
          <w:iCs/>
          <w:sz w:val="27"/>
          <w:szCs w:val="26"/>
        </w:rPr>
        <w:t>F</w:t>
      </w:r>
      <w:r w:rsidR="00576B19" w:rsidRPr="00030F6B">
        <w:rPr>
          <w:rFonts w:ascii="Century Schoolbook" w:hAnsi="Century Schoolbook"/>
          <w:i/>
          <w:iCs/>
          <w:sz w:val="27"/>
          <w:szCs w:val="26"/>
        </w:rPr>
        <w:t>ontana</w:t>
      </w:r>
      <w:r w:rsidR="00891D6D" w:rsidRPr="00030F6B">
        <w:rPr>
          <w:rFonts w:ascii="Century Schoolbook" w:hAnsi="Century Schoolbook"/>
          <w:sz w:val="27"/>
          <w:szCs w:val="26"/>
        </w:rPr>
        <w:t xml:space="preserve">, </w:t>
      </w:r>
      <w:r w:rsidR="009C1C9E" w:rsidRPr="00030F6B">
        <w:rPr>
          <w:rFonts w:ascii="Century Schoolbook" w:hAnsi="Century Schoolbook"/>
          <w:i/>
          <w:iCs/>
          <w:sz w:val="27"/>
          <w:szCs w:val="26"/>
        </w:rPr>
        <w:t>supra</w:t>
      </w:r>
      <w:r w:rsidR="009C1C9E" w:rsidRPr="00030F6B">
        <w:rPr>
          <w:rFonts w:ascii="Century Schoolbook" w:hAnsi="Century Schoolbook"/>
          <w:sz w:val="27"/>
          <w:szCs w:val="26"/>
        </w:rPr>
        <w:t>, 49 Cal.</w:t>
      </w:r>
      <w:r w:rsidR="008D15EE" w:rsidRPr="00030F6B">
        <w:rPr>
          <w:rFonts w:ascii="Century Schoolbook" w:hAnsi="Century Schoolbook"/>
          <w:sz w:val="27"/>
          <w:szCs w:val="26"/>
        </w:rPr>
        <w:t>4</w:t>
      </w:r>
      <w:r w:rsidR="00660137" w:rsidRPr="00030F6B">
        <w:rPr>
          <w:rFonts w:ascii="Century Schoolbook" w:hAnsi="Century Schoolbook"/>
          <w:sz w:val="27"/>
          <w:szCs w:val="26"/>
        </w:rPr>
        <w:t xml:space="preserve">th </w:t>
      </w:r>
      <w:r w:rsidR="009C07EB" w:rsidRPr="00030F6B">
        <w:rPr>
          <w:rFonts w:ascii="Century Schoolbook" w:hAnsi="Century Schoolbook"/>
          <w:sz w:val="27"/>
          <w:szCs w:val="26"/>
        </w:rPr>
        <w:t>351</w:t>
      </w:r>
      <w:r w:rsidR="00070EC5" w:rsidRPr="00030F6B">
        <w:rPr>
          <w:rFonts w:ascii="Century Schoolbook" w:hAnsi="Century Schoolbook"/>
          <w:sz w:val="27"/>
          <w:szCs w:val="26"/>
        </w:rPr>
        <w:t xml:space="preserve"> (</w:t>
      </w:r>
      <w:r w:rsidR="00141D8E" w:rsidRPr="00030F6B">
        <w:rPr>
          <w:rFonts w:ascii="Century Schoolbook" w:hAnsi="Century Schoolbook"/>
          <w:sz w:val="27"/>
          <w:szCs w:val="26"/>
        </w:rPr>
        <w:t>regard</w:t>
      </w:r>
      <w:r w:rsidR="00292AA1" w:rsidRPr="00030F6B">
        <w:rPr>
          <w:rFonts w:ascii="Century Schoolbook" w:hAnsi="Century Schoolbook"/>
          <w:sz w:val="27"/>
          <w:szCs w:val="26"/>
        </w:rPr>
        <w:t xml:space="preserve">ing </w:t>
      </w:r>
      <w:r w:rsidR="00141D8E" w:rsidRPr="00030F6B">
        <w:rPr>
          <w:rFonts w:ascii="Century Schoolbook" w:hAnsi="Century Schoolbook"/>
          <w:sz w:val="27"/>
          <w:szCs w:val="26"/>
        </w:rPr>
        <w:t xml:space="preserve">the original rape shield statutes, </w:t>
      </w:r>
      <w:r w:rsidR="008656F4">
        <w:rPr>
          <w:rFonts w:ascii="Century Schoolbook" w:hAnsi="Century Schoolbook"/>
          <w:sz w:val="27"/>
          <w:szCs w:val="26"/>
        </w:rPr>
        <w:t>§§</w:t>
      </w:r>
      <w:r w:rsidR="00141D8E" w:rsidRPr="00030F6B">
        <w:rPr>
          <w:rFonts w:ascii="Century Schoolbook" w:hAnsi="Century Schoolbook"/>
          <w:sz w:val="27"/>
          <w:szCs w:val="26"/>
        </w:rPr>
        <w:t xml:space="preserve"> 1103 and 782</w:t>
      </w:r>
      <w:r w:rsidR="00070EC5" w:rsidRPr="00030F6B">
        <w:rPr>
          <w:rFonts w:ascii="Century Schoolbook" w:hAnsi="Century Schoolbook"/>
          <w:sz w:val="27"/>
          <w:szCs w:val="26"/>
        </w:rPr>
        <w:t>),</w:t>
      </w:r>
      <w:r w:rsidRPr="00030F6B">
        <w:rPr>
          <w:rFonts w:ascii="Century Schoolbook" w:hAnsi="Century Schoolbook"/>
          <w:sz w:val="27"/>
          <w:szCs w:val="26"/>
        </w:rPr>
        <w:t xml:space="preserve"> it is proper for a trial court to tak</w:t>
      </w:r>
      <w:r w:rsidR="007516F7" w:rsidRPr="00030F6B">
        <w:rPr>
          <w:rFonts w:ascii="Century Schoolbook" w:hAnsi="Century Schoolbook"/>
          <w:sz w:val="27"/>
          <w:szCs w:val="26"/>
        </w:rPr>
        <w:t xml:space="preserve">e into account, when </w:t>
      </w:r>
      <w:r w:rsidR="00D3495E" w:rsidRPr="00030F6B">
        <w:rPr>
          <w:rFonts w:ascii="Century Schoolbook" w:hAnsi="Century Schoolbook"/>
          <w:sz w:val="27"/>
          <w:szCs w:val="26"/>
        </w:rPr>
        <w:t>“ ‘determining the amount of unfair prejudice</w:t>
      </w:r>
      <w:r w:rsidR="00737E79" w:rsidRPr="00030F6B">
        <w:rPr>
          <w:rFonts w:ascii="Century Schoolbook" w:hAnsi="Century Schoolbook"/>
          <w:sz w:val="27"/>
          <w:szCs w:val="26"/>
        </w:rPr>
        <w:t xml:space="preserve">’ ” </w:t>
      </w:r>
      <w:r w:rsidR="005945F2" w:rsidRPr="00030F6B">
        <w:rPr>
          <w:rFonts w:ascii="Century Schoolbook" w:hAnsi="Century Schoolbook"/>
          <w:sz w:val="27"/>
          <w:szCs w:val="26"/>
        </w:rPr>
        <w:t>under section</w:t>
      </w:r>
      <w:r w:rsidR="009106BC">
        <w:rPr>
          <w:rFonts w:ascii="Century Schoolbook" w:hAnsi="Century Schoolbook"/>
          <w:sz w:val="27"/>
          <w:szCs w:val="26"/>
        </w:rPr>
        <w:t> </w:t>
      </w:r>
      <w:r w:rsidR="005945F2" w:rsidRPr="00030F6B">
        <w:rPr>
          <w:rFonts w:ascii="Century Schoolbook" w:hAnsi="Century Schoolbook"/>
          <w:sz w:val="27"/>
          <w:szCs w:val="26"/>
        </w:rPr>
        <w:t xml:space="preserve">352, </w:t>
      </w:r>
      <w:r w:rsidR="008B7D2B" w:rsidRPr="00030F6B">
        <w:rPr>
          <w:rFonts w:ascii="Century Schoolbook" w:hAnsi="Century Schoolbook"/>
          <w:sz w:val="27"/>
          <w:szCs w:val="26"/>
        </w:rPr>
        <w:t xml:space="preserve">that </w:t>
      </w:r>
      <w:r w:rsidR="000E1CC3" w:rsidRPr="00030F6B">
        <w:rPr>
          <w:rFonts w:ascii="Century Schoolbook" w:hAnsi="Century Schoolbook"/>
          <w:sz w:val="27"/>
          <w:szCs w:val="26"/>
        </w:rPr>
        <w:t>“</w:t>
      </w:r>
      <w:r w:rsidR="00891D6D" w:rsidRPr="00030F6B">
        <w:rPr>
          <w:rFonts w:ascii="Century Schoolbook" w:hAnsi="Century Schoolbook"/>
          <w:sz w:val="27"/>
          <w:szCs w:val="26"/>
        </w:rPr>
        <w:t xml:space="preserve">the </w:t>
      </w:r>
      <w:r w:rsidR="00737E79" w:rsidRPr="00030F6B">
        <w:rPr>
          <w:rFonts w:ascii="Century Schoolbook" w:hAnsi="Century Schoolbook"/>
          <w:sz w:val="27"/>
          <w:szCs w:val="26"/>
        </w:rPr>
        <w:t xml:space="preserve">policy of the </w:t>
      </w:r>
      <w:r w:rsidR="000E1CC3" w:rsidRPr="00030F6B">
        <w:rPr>
          <w:rFonts w:ascii="Century Schoolbook" w:hAnsi="Century Schoolbook"/>
          <w:sz w:val="27"/>
          <w:szCs w:val="26"/>
        </w:rPr>
        <w:t>[</w:t>
      </w:r>
      <w:r w:rsidR="000D54AE" w:rsidRPr="00030F6B">
        <w:rPr>
          <w:rFonts w:ascii="Century Schoolbook" w:hAnsi="Century Schoolbook"/>
          <w:sz w:val="27"/>
          <w:szCs w:val="26"/>
        </w:rPr>
        <w:t>original</w:t>
      </w:r>
      <w:r w:rsidR="000E1CC3" w:rsidRPr="00030F6B">
        <w:rPr>
          <w:rFonts w:ascii="Century Schoolbook" w:hAnsi="Century Schoolbook"/>
          <w:sz w:val="27"/>
          <w:szCs w:val="26"/>
        </w:rPr>
        <w:t>]</w:t>
      </w:r>
      <w:r w:rsidR="000D54AE" w:rsidRPr="00030F6B">
        <w:rPr>
          <w:rFonts w:ascii="Century Schoolbook" w:hAnsi="Century Schoolbook"/>
          <w:sz w:val="27"/>
          <w:szCs w:val="26"/>
        </w:rPr>
        <w:t xml:space="preserve"> </w:t>
      </w:r>
      <w:r w:rsidR="00891D6D" w:rsidRPr="00030F6B">
        <w:rPr>
          <w:rFonts w:ascii="Century Schoolbook" w:hAnsi="Century Schoolbook"/>
          <w:sz w:val="27"/>
          <w:szCs w:val="26"/>
        </w:rPr>
        <w:t xml:space="preserve">rape shield law </w:t>
      </w:r>
      <w:r w:rsidR="008E4CB2" w:rsidRPr="00030F6B">
        <w:rPr>
          <w:rFonts w:ascii="Century Schoolbook" w:hAnsi="Century Schoolbook"/>
          <w:sz w:val="27"/>
          <w:szCs w:val="26"/>
        </w:rPr>
        <w:t>[</w:t>
      </w:r>
      <w:r w:rsidR="008B7D2B" w:rsidRPr="00030F6B">
        <w:rPr>
          <w:rFonts w:ascii="Century Schoolbook" w:hAnsi="Century Schoolbook"/>
          <w:sz w:val="27"/>
          <w:szCs w:val="26"/>
        </w:rPr>
        <w:t>is</w:t>
      </w:r>
      <w:r w:rsidR="008E4CB2" w:rsidRPr="00030F6B">
        <w:rPr>
          <w:rFonts w:ascii="Century Schoolbook" w:hAnsi="Century Schoolbook"/>
          <w:sz w:val="27"/>
          <w:szCs w:val="26"/>
        </w:rPr>
        <w:t xml:space="preserve">] </w:t>
      </w:r>
      <w:r w:rsidR="00097DD5" w:rsidRPr="00030F6B">
        <w:rPr>
          <w:rFonts w:ascii="Century Schoolbook" w:hAnsi="Century Schoolbook"/>
          <w:sz w:val="27"/>
          <w:szCs w:val="26"/>
        </w:rPr>
        <w:t>‘</w:t>
      </w:r>
      <w:r w:rsidR="00891D6D" w:rsidRPr="00030F6B">
        <w:rPr>
          <w:rFonts w:ascii="Century Schoolbook" w:hAnsi="Century Schoolbook"/>
          <w:sz w:val="27"/>
          <w:szCs w:val="26"/>
        </w:rPr>
        <w:t>to guard against unwarranted intrusion into the victim</w:t>
      </w:r>
      <w:r w:rsidR="009655AF" w:rsidRPr="00030F6B">
        <w:rPr>
          <w:rFonts w:ascii="Century Schoolbook" w:hAnsi="Century Schoolbook"/>
          <w:sz w:val="27"/>
          <w:szCs w:val="26"/>
        </w:rPr>
        <w:t>’</w:t>
      </w:r>
      <w:r w:rsidR="00891D6D" w:rsidRPr="00030F6B">
        <w:rPr>
          <w:rFonts w:ascii="Century Schoolbook" w:hAnsi="Century Schoolbook"/>
          <w:sz w:val="27"/>
          <w:szCs w:val="26"/>
        </w:rPr>
        <w:t>s private life</w:t>
      </w:r>
      <w:r w:rsidR="00737E79" w:rsidRPr="00030F6B">
        <w:rPr>
          <w:rFonts w:ascii="Century Schoolbook" w:hAnsi="Century Schoolbook"/>
          <w:sz w:val="27"/>
          <w:szCs w:val="26"/>
        </w:rPr>
        <w:t>.</w:t>
      </w:r>
      <w:r w:rsidR="00097DD5" w:rsidRPr="00030F6B">
        <w:rPr>
          <w:rFonts w:ascii="Century Schoolbook" w:hAnsi="Century Schoolbook"/>
          <w:sz w:val="27"/>
          <w:szCs w:val="26"/>
        </w:rPr>
        <w:t>’ </w:t>
      </w:r>
      <w:r w:rsidR="00891D6D" w:rsidRPr="00030F6B">
        <w:rPr>
          <w:rFonts w:ascii="Century Schoolbook" w:hAnsi="Century Schoolbook"/>
          <w:sz w:val="27"/>
          <w:szCs w:val="26"/>
        </w:rPr>
        <w:t>”</w:t>
      </w:r>
      <w:r w:rsidR="004A71AA" w:rsidRPr="00030F6B">
        <w:rPr>
          <w:rFonts w:ascii="Century Schoolbook" w:hAnsi="Century Schoolbook"/>
          <w:sz w:val="27"/>
          <w:szCs w:val="26"/>
        </w:rPr>
        <w:t xml:space="preserve">  (</w:t>
      </w:r>
      <w:r w:rsidR="0097172A" w:rsidRPr="00030F6B">
        <w:rPr>
          <w:rFonts w:ascii="Century Schoolbook" w:hAnsi="Century Schoolbook"/>
          <w:i/>
          <w:iCs/>
          <w:sz w:val="27"/>
          <w:szCs w:val="26"/>
        </w:rPr>
        <w:t>Fontana</w:t>
      </w:r>
      <w:r w:rsidR="0097172A" w:rsidRPr="00030F6B">
        <w:rPr>
          <w:rFonts w:ascii="Century Schoolbook" w:hAnsi="Century Schoolbook"/>
          <w:sz w:val="27"/>
          <w:szCs w:val="26"/>
        </w:rPr>
        <w:t>,</w:t>
      </w:r>
      <w:r w:rsidR="004A71AA" w:rsidRPr="00030F6B">
        <w:rPr>
          <w:rFonts w:ascii="Century Schoolbook" w:hAnsi="Century Schoolbook"/>
          <w:sz w:val="27"/>
          <w:szCs w:val="26"/>
        </w:rPr>
        <w:t xml:space="preserve"> at p. 370, quoting</w:t>
      </w:r>
      <w:r w:rsidR="00ED5C12" w:rsidRPr="00030F6B">
        <w:rPr>
          <w:rFonts w:ascii="Century Schoolbook" w:hAnsi="Century Schoolbook"/>
          <w:sz w:val="27"/>
          <w:szCs w:val="26"/>
        </w:rPr>
        <w:t xml:space="preserve"> </w:t>
      </w:r>
      <w:r w:rsidR="008656F4">
        <w:rPr>
          <w:rFonts w:ascii="Century Schoolbook" w:hAnsi="Century Schoolbook"/>
          <w:i/>
          <w:iCs/>
          <w:sz w:val="27"/>
          <w:szCs w:val="26"/>
        </w:rPr>
        <w:t>U.S.</w:t>
      </w:r>
      <w:r w:rsidR="00ED5C12" w:rsidRPr="00030F6B">
        <w:rPr>
          <w:rFonts w:ascii="Century Schoolbook" w:hAnsi="Century Schoolbook"/>
          <w:i/>
          <w:iCs/>
          <w:sz w:val="27"/>
          <w:szCs w:val="26"/>
        </w:rPr>
        <w:t xml:space="preserve"> </w:t>
      </w:r>
      <w:r w:rsidR="00AE4134" w:rsidRPr="00030F6B">
        <w:rPr>
          <w:rFonts w:ascii="Century Schoolbook" w:hAnsi="Century Schoolbook"/>
          <w:i/>
          <w:iCs/>
          <w:sz w:val="27"/>
          <w:szCs w:val="26"/>
        </w:rPr>
        <w:t>v. One Feather</w:t>
      </w:r>
      <w:r w:rsidR="00AE4134" w:rsidRPr="00030F6B">
        <w:rPr>
          <w:rFonts w:ascii="Century Schoolbook" w:hAnsi="Century Schoolbook"/>
          <w:sz w:val="27"/>
          <w:szCs w:val="26"/>
        </w:rPr>
        <w:t xml:space="preserve"> (8th Cir. 1983) </w:t>
      </w:r>
      <w:r w:rsidR="00AB391B" w:rsidRPr="00030F6B">
        <w:rPr>
          <w:rFonts w:ascii="Century Schoolbook" w:hAnsi="Century Schoolbook"/>
          <w:sz w:val="27"/>
          <w:szCs w:val="26"/>
        </w:rPr>
        <w:t xml:space="preserve">702 F.2d 737, 739.)  </w:t>
      </w:r>
      <w:r w:rsidR="003E3B27" w:rsidRPr="00030F6B">
        <w:rPr>
          <w:rFonts w:ascii="Century Schoolbook" w:hAnsi="Century Schoolbook"/>
          <w:sz w:val="27"/>
          <w:szCs w:val="26"/>
        </w:rPr>
        <w:t>T</w:t>
      </w:r>
      <w:r w:rsidR="00FD26C8" w:rsidRPr="00030F6B">
        <w:rPr>
          <w:rFonts w:ascii="Century Schoolbook" w:hAnsi="Century Schoolbook"/>
          <w:sz w:val="27"/>
          <w:szCs w:val="26"/>
        </w:rPr>
        <w:t xml:space="preserve">he appellate decisions applying the </w:t>
      </w:r>
      <w:r w:rsidR="003E3B27" w:rsidRPr="00030F6B">
        <w:rPr>
          <w:rFonts w:ascii="Century Schoolbook" w:hAnsi="Century Schoolbook"/>
          <w:sz w:val="27"/>
          <w:szCs w:val="26"/>
        </w:rPr>
        <w:t xml:space="preserve">criminal </w:t>
      </w:r>
      <w:r w:rsidR="00BF4186" w:rsidRPr="00030F6B">
        <w:rPr>
          <w:rFonts w:ascii="Century Schoolbook" w:hAnsi="Century Schoolbook"/>
          <w:sz w:val="27"/>
          <w:szCs w:val="26"/>
        </w:rPr>
        <w:t xml:space="preserve">rape </w:t>
      </w:r>
      <w:r w:rsidR="00FD26C8" w:rsidRPr="00030F6B">
        <w:rPr>
          <w:rFonts w:ascii="Century Schoolbook" w:hAnsi="Century Schoolbook"/>
          <w:sz w:val="27"/>
          <w:szCs w:val="26"/>
        </w:rPr>
        <w:t xml:space="preserve">shield statutes have honored </w:t>
      </w:r>
      <w:r w:rsidR="003E3B27" w:rsidRPr="00030F6B">
        <w:rPr>
          <w:rFonts w:ascii="Century Schoolbook" w:hAnsi="Century Schoolbook"/>
          <w:sz w:val="27"/>
          <w:szCs w:val="26"/>
        </w:rPr>
        <w:t xml:space="preserve">this </w:t>
      </w:r>
      <w:r w:rsidR="00FD26C8" w:rsidRPr="00030F6B">
        <w:rPr>
          <w:rFonts w:ascii="Century Schoolbook" w:hAnsi="Century Schoolbook"/>
          <w:sz w:val="27"/>
          <w:szCs w:val="26"/>
        </w:rPr>
        <w:t xml:space="preserve">policy by emphasizing that discovery or admission should be subject to especially careful scrutiny in order to avoid </w:t>
      </w:r>
      <w:r w:rsidR="00FD26C8" w:rsidRPr="00030F6B">
        <w:rPr>
          <w:rFonts w:ascii="Century Schoolbook" w:hAnsi="Century Schoolbook"/>
          <w:sz w:val="27"/>
          <w:szCs w:val="26"/>
        </w:rPr>
        <w:lastRenderedPageBreak/>
        <w:t>unwarranted intrusion into a victim’s private life</w:t>
      </w:r>
      <w:r w:rsidR="00881E0D" w:rsidRPr="00030F6B">
        <w:rPr>
          <w:rFonts w:ascii="Century Schoolbook" w:hAnsi="Century Schoolbook"/>
          <w:sz w:val="27"/>
          <w:szCs w:val="26"/>
        </w:rPr>
        <w:t xml:space="preserve">.  They have </w:t>
      </w:r>
      <w:r w:rsidR="00FD26C8" w:rsidRPr="00030F6B">
        <w:rPr>
          <w:rFonts w:ascii="Century Schoolbook" w:hAnsi="Century Schoolbook"/>
          <w:sz w:val="27"/>
          <w:szCs w:val="26"/>
        </w:rPr>
        <w:t>stress</w:t>
      </w:r>
      <w:r w:rsidR="00881E0D" w:rsidRPr="00030F6B">
        <w:rPr>
          <w:rFonts w:ascii="Century Schoolbook" w:hAnsi="Century Schoolbook"/>
          <w:sz w:val="27"/>
          <w:szCs w:val="26"/>
        </w:rPr>
        <w:t>ed t</w:t>
      </w:r>
      <w:r w:rsidR="00FD26C8" w:rsidRPr="00030F6B">
        <w:rPr>
          <w:rFonts w:ascii="Century Schoolbook" w:hAnsi="Century Schoolbook"/>
          <w:sz w:val="27"/>
          <w:szCs w:val="26"/>
        </w:rPr>
        <w:t xml:space="preserve">hat courts should sparingly </w:t>
      </w:r>
      <w:r w:rsidR="000A0B84" w:rsidRPr="009106BC">
        <w:rPr>
          <w:rFonts w:ascii="Century Schoolbook" w:hAnsi="Century Schoolbook"/>
          <w:sz w:val="27"/>
          <w:szCs w:val="26"/>
        </w:rPr>
        <w:t xml:space="preserve">and narrowly </w:t>
      </w:r>
      <w:r w:rsidR="00B0606D" w:rsidRPr="009106BC">
        <w:rPr>
          <w:rFonts w:ascii="Century Schoolbook" w:hAnsi="Century Schoolbook"/>
          <w:sz w:val="27"/>
          <w:szCs w:val="26"/>
        </w:rPr>
        <w:t xml:space="preserve">use </w:t>
      </w:r>
      <w:r w:rsidR="00FD26C8" w:rsidRPr="009106BC">
        <w:rPr>
          <w:rFonts w:ascii="Century Schoolbook" w:hAnsi="Century Schoolbook"/>
          <w:sz w:val="27"/>
          <w:szCs w:val="26"/>
        </w:rPr>
        <w:t>their discretion to admit such evidence (</w:t>
      </w:r>
      <w:r w:rsidR="0097172A" w:rsidRPr="009106BC">
        <w:rPr>
          <w:rFonts w:ascii="Century Schoolbook" w:hAnsi="Century Schoolbook"/>
          <w:sz w:val="27"/>
          <w:szCs w:val="26"/>
        </w:rPr>
        <w:t xml:space="preserve">see, </w:t>
      </w:r>
      <w:r w:rsidR="00F32581" w:rsidRPr="009106BC">
        <w:rPr>
          <w:rFonts w:ascii="Century Schoolbook" w:hAnsi="Century Schoolbook"/>
          <w:sz w:val="27"/>
          <w:szCs w:val="26"/>
        </w:rPr>
        <w:t xml:space="preserve">e.g., </w:t>
      </w:r>
      <w:r w:rsidR="00FD26C8" w:rsidRPr="009106BC">
        <w:rPr>
          <w:rFonts w:ascii="Century Schoolbook" w:hAnsi="Century Schoolbook"/>
          <w:i/>
          <w:iCs/>
          <w:sz w:val="27"/>
          <w:szCs w:val="26"/>
        </w:rPr>
        <w:t>Chandler</w:t>
      </w:r>
      <w:r w:rsidR="00FD26C8" w:rsidRPr="009106BC">
        <w:rPr>
          <w:rFonts w:ascii="Century Schoolbook" w:hAnsi="Century Schoolbook"/>
          <w:sz w:val="27"/>
          <w:szCs w:val="26"/>
        </w:rPr>
        <w:t>,</w:t>
      </w:r>
      <w:r w:rsidR="00522B54" w:rsidRPr="009106BC">
        <w:rPr>
          <w:rFonts w:ascii="Century Schoolbook" w:hAnsi="Century Schoolbook"/>
          <w:sz w:val="27"/>
          <w:szCs w:val="26"/>
        </w:rPr>
        <w:t xml:space="preserve"> </w:t>
      </w:r>
      <w:r w:rsidR="00FD26C8" w:rsidRPr="009106BC">
        <w:rPr>
          <w:rFonts w:ascii="Century Schoolbook" w:hAnsi="Century Schoolbook"/>
          <w:i/>
          <w:iCs/>
          <w:sz w:val="27"/>
          <w:szCs w:val="26"/>
        </w:rPr>
        <w:t>supra</w:t>
      </w:r>
      <w:r w:rsidR="00FD26C8" w:rsidRPr="009106BC">
        <w:rPr>
          <w:rFonts w:ascii="Century Schoolbook" w:hAnsi="Century Schoolbook"/>
          <w:sz w:val="27"/>
          <w:szCs w:val="26"/>
        </w:rPr>
        <w:t>,</w:t>
      </w:r>
      <w:r w:rsidR="00522B54" w:rsidRPr="009106BC">
        <w:rPr>
          <w:rFonts w:ascii="Century Schoolbook" w:hAnsi="Century Schoolbook"/>
          <w:sz w:val="27"/>
          <w:szCs w:val="26"/>
        </w:rPr>
        <w:t xml:space="preserve"> </w:t>
      </w:r>
      <w:r w:rsidR="00FD26C8" w:rsidRPr="009106BC">
        <w:rPr>
          <w:rFonts w:ascii="Century Schoolbook" w:hAnsi="Century Schoolbook"/>
          <w:sz w:val="27"/>
          <w:szCs w:val="26"/>
        </w:rPr>
        <w:t>56</w:t>
      </w:r>
      <w:r w:rsidR="009A586E">
        <w:rPr>
          <w:rFonts w:ascii="Century Schoolbook" w:hAnsi="Century Schoolbook"/>
          <w:sz w:val="27"/>
          <w:szCs w:val="26"/>
        </w:rPr>
        <w:t> </w:t>
      </w:r>
      <w:r w:rsidR="00FD26C8" w:rsidRPr="009106BC">
        <w:rPr>
          <w:rFonts w:ascii="Century Schoolbook" w:hAnsi="Century Schoolbook"/>
          <w:sz w:val="27"/>
          <w:szCs w:val="26"/>
        </w:rPr>
        <w:t>Cal.App.4th at p.</w:t>
      </w:r>
      <w:r w:rsidR="00D477F8" w:rsidRPr="009106BC">
        <w:rPr>
          <w:rFonts w:ascii="Century Schoolbook" w:hAnsi="Century Schoolbook"/>
          <w:sz w:val="27"/>
          <w:szCs w:val="26"/>
        </w:rPr>
        <w:t> </w:t>
      </w:r>
      <w:r w:rsidR="00FD26C8" w:rsidRPr="009106BC">
        <w:rPr>
          <w:rFonts w:ascii="Century Schoolbook" w:hAnsi="Century Schoolbook"/>
          <w:sz w:val="27"/>
          <w:szCs w:val="26"/>
        </w:rPr>
        <w:t xml:space="preserve">708) and must </w:t>
      </w:r>
      <w:r w:rsidR="00F32581" w:rsidRPr="009106BC">
        <w:rPr>
          <w:rFonts w:ascii="Century Schoolbook" w:hAnsi="Century Schoolbook"/>
          <w:sz w:val="27"/>
          <w:szCs w:val="26"/>
        </w:rPr>
        <w:t xml:space="preserve">be </w:t>
      </w:r>
      <w:r w:rsidR="00FD26C8" w:rsidRPr="009106BC">
        <w:rPr>
          <w:rFonts w:ascii="Century Schoolbook" w:hAnsi="Century Schoolbook"/>
          <w:sz w:val="27"/>
          <w:szCs w:val="26"/>
        </w:rPr>
        <w:t>care</w:t>
      </w:r>
      <w:r w:rsidR="00776B04" w:rsidRPr="009106BC">
        <w:rPr>
          <w:rFonts w:ascii="Century Schoolbook" w:hAnsi="Century Schoolbook"/>
          <w:sz w:val="27"/>
          <w:szCs w:val="26"/>
        </w:rPr>
        <w:t xml:space="preserve">ful </w:t>
      </w:r>
      <w:r w:rsidR="00FD26C8" w:rsidRPr="009106BC">
        <w:rPr>
          <w:rFonts w:ascii="Century Schoolbook" w:hAnsi="Century Schoolbook"/>
          <w:sz w:val="27"/>
          <w:szCs w:val="26"/>
        </w:rPr>
        <w:t>to avoid “admitting otherwise inadmissible evidence” (</w:t>
      </w:r>
      <w:r w:rsidR="00FD26C8" w:rsidRPr="009106BC">
        <w:rPr>
          <w:rFonts w:ascii="Century Schoolbook" w:hAnsi="Century Schoolbook"/>
          <w:i/>
          <w:iCs/>
          <w:sz w:val="27"/>
          <w:szCs w:val="26"/>
        </w:rPr>
        <w:t>Rioz</w:t>
      </w:r>
      <w:r w:rsidR="00FD26C8" w:rsidRPr="009106BC">
        <w:rPr>
          <w:rFonts w:ascii="Century Schoolbook" w:hAnsi="Century Schoolbook"/>
          <w:sz w:val="27"/>
          <w:szCs w:val="26"/>
        </w:rPr>
        <w:t>,</w:t>
      </w:r>
      <w:r w:rsidR="00FD26C8" w:rsidRPr="009106BC">
        <w:rPr>
          <w:rFonts w:ascii="Century Schoolbook" w:hAnsi="Century Schoolbook"/>
          <w:i/>
          <w:iCs/>
          <w:sz w:val="27"/>
          <w:szCs w:val="26"/>
        </w:rPr>
        <w:t xml:space="preserve"> supra</w:t>
      </w:r>
      <w:r w:rsidR="00FD26C8" w:rsidRPr="009106BC">
        <w:rPr>
          <w:rFonts w:ascii="Century Schoolbook" w:hAnsi="Century Schoolbook"/>
          <w:sz w:val="27"/>
          <w:szCs w:val="26"/>
        </w:rPr>
        <w:t>,</w:t>
      </w:r>
      <w:r w:rsidR="00FD26C8" w:rsidRPr="009106BC">
        <w:rPr>
          <w:rFonts w:ascii="Century Schoolbook" w:hAnsi="Century Schoolbook"/>
          <w:i/>
          <w:iCs/>
          <w:sz w:val="27"/>
          <w:szCs w:val="26"/>
        </w:rPr>
        <w:t xml:space="preserve"> </w:t>
      </w:r>
      <w:r w:rsidR="00FD26C8" w:rsidRPr="009106BC">
        <w:rPr>
          <w:rFonts w:ascii="Century Schoolbook" w:hAnsi="Century Schoolbook"/>
          <w:sz w:val="27"/>
          <w:szCs w:val="26"/>
        </w:rPr>
        <w:t>161</w:t>
      </w:r>
      <w:r w:rsidR="009A586E">
        <w:rPr>
          <w:rFonts w:ascii="Century Schoolbook" w:hAnsi="Century Schoolbook"/>
          <w:sz w:val="27"/>
          <w:szCs w:val="26"/>
        </w:rPr>
        <w:t> </w:t>
      </w:r>
      <w:r w:rsidR="00FD26C8" w:rsidRPr="009106BC">
        <w:rPr>
          <w:rFonts w:ascii="Century Schoolbook" w:hAnsi="Century Schoolbook"/>
          <w:sz w:val="27"/>
          <w:szCs w:val="26"/>
        </w:rPr>
        <w:t xml:space="preserve">Cal.App.3d at p. 919).  </w:t>
      </w:r>
    </w:p>
    <w:p w14:paraId="0DB2E7FC" w14:textId="77777777" w:rsidR="001307C9" w:rsidRPr="005C5E78" w:rsidRDefault="002E6832" w:rsidP="00030F6B">
      <w:pPr>
        <w:pStyle w:val="PlainText"/>
        <w:ind w:firstLine="720"/>
        <w:rPr>
          <w:rFonts w:ascii="Century Schoolbook" w:hAnsi="Century Schoolbook"/>
          <w:sz w:val="27"/>
          <w:szCs w:val="26"/>
        </w:rPr>
      </w:pPr>
      <w:r w:rsidRPr="009106BC">
        <w:rPr>
          <w:rFonts w:ascii="Century Schoolbook" w:hAnsi="Century Schoolbook"/>
          <w:sz w:val="27"/>
          <w:szCs w:val="26"/>
        </w:rPr>
        <w:t>Th</w:t>
      </w:r>
      <w:r w:rsidR="009B1FE5" w:rsidRPr="009106BC">
        <w:rPr>
          <w:rFonts w:ascii="Century Schoolbook" w:hAnsi="Century Schoolbook"/>
          <w:sz w:val="27"/>
          <w:szCs w:val="26"/>
        </w:rPr>
        <w:t>ese</w:t>
      </w:r>
      <w:r w:rsidR="00DF3B01" w:rsidRPr="009106BC">
        <w:rPr>
          <w:rFonts w:ascii="Century Schoolbook" w:hAnsi="Century Schoolbook"/>
          <w:sz w:val="27"/>
          <w:szCs w:val="26"/>
        </w:rPr>
        <w:t xml:space="preserve"> </w:t>
      </w:r>
      <w:r w:rsidRPr="009106BC">
        <w:rPr>
          <w:rFonts w:ascii="Century Schoolbook" w:hAnsi="Century Schoolbook"/>
          <w:sz w:val="27"/>
          <w:szCs w:val="26"/>
        </w:rPr>
        <w:t>princ</w:t>
      </w:r>
      <w:r w:rsidR="006B032A" w:rsidRPr="009106BC">
        <w:rPr>
          <w:rFonts w:ascii="Century Schoolbook" w:hAnsi="Century Schoolbook"/>
          <w:sz w:val="27"/>
          <w:szCs w:val="26"/>
        </w:rPr>
        <w:t>iple</w:t>
      </w:r>
      <w:r w:rsidR="009B1FE5" w:rsidRPr="009106BC">
        <w:rPr>
          <w:rFonts w:ascii="Century Schoolbook" w:hAnsi="Century Schoolbook"/>
          <w:sz w:val="27"/>
          <w:szCs w:val="26"/>
        </w:rPr>
        <w:t>s</w:t>
      </w:r>
      <w:r w:rsidR="00A65620" w:rsidRPr="009106BC">
        <w:rPr>
          <w:rFonts w:ascii="Century Schoolbook" w:hAnsi="Century Schoolbook"/>
          <w:sz w:val="27"/>
          <w:szCs w:val="26"/>
        </w:rPr>
        <w:t xml:space="preserve"> — </w:t>
      </w:r>
      <w:r w:rsidR="00FD26C8" w:rsidRPr="009106BC">
        <w:rPr>
          <w:rFonts w:ascii="Century Schoolbook" w:hAnsi="Century Schoolbook"/>
          <w:sz w:val="27"/>
          <w:szCs w:val="26"/>
        </w:rPr>
        <w:t xml:space="preserve">highlighted in </w:t>
      </w:r>
      <w:r w:rsidR="00FD26C8" w:rsidRPr="009106BC">
        <w:rPr>
          <w:rFonts w:ascii="Century Schoolbook" w:hAnsi="Century Schoolbook"/>
          <w:i/>
          <w:iCs/>
          <w:sz w:val="27"/>
          <w:szCs w:val="26"/>
        </w:rPr>
        <w:t>Fontana</w:t>
      </w:r>
      <w:r w:rsidR="00FD26C8" w:rsidRPr="009106BC">
        <w:rPr>
          <w:rFonts w:ascii="Century Schoolbook" w:hAnsi="Century Schoolbook"/>
          <w:sz w:val="27"/>
          <w:szCs w:val="26"/>
        </w:rPr>
        <w:t xml:space="preserve">, </w:t>
      </w:r>
      <w:r w:rsidR="00FD26C8" w:rsidRPr="009106BC">
        <w:rPr>
          <w:rFonts w:ascii="Century Schoolbook" w:hAnsi="Century Schoolbook"/>
          <w:i/>
          <w:iCs/>
          <w:sz w:val="27"/>
          <w:szCs w:val="26"/>
        </w:rPr>
        <w:t>supra</w:t>
      </w:r>
      <w:r w:rsidR="00FD26C8" w:rsidRPr="009106BC">
        <w:rPr>
          <w:rFonts w:ascii="Century Schoolbook" w:hAnsi="Century Schoolbook"/>
          <w:sz w:val="27"/>
          <w:szCs w:val="26"/>
        </w:rPr>
        <w:t>, 49</w:t>
      </w:r>
      <w:r w:rsidR="009A586E">
        <w:rPr>
          <w:rFonts w:ascii="Century Schoolbook" w:hAnsi="Century Schoolbook"/>
          <w:sz w:val="27"/>
          <w:szCs w:val="26"/>
        </w:rPr>
        <w:t> </w:t>
      </w:r>
      <w:r w:rsidR="00FD26C8" w:rsidRPr="009106BC">
        <w:rPr>
          <w:rFonts w:ascii="Century Schoolbook" w:hAnsi="Century Schoolbook"/>
          <w:sz w:val="27"/>
          <w:szCs w:val="26"/>
        </w:rPr>
        <w:t>Cal.4th 351</w:t>
      </w:r>
      <w:r w:rsidR="00A71885" w:rsidRPr="009106BC">
        <w:rPr>
          <w:rFonts w:ascii="Century Schoolbook" w:hAnsi="Century Schoolbook"/>
          <w:sz w:val="27"/>
          <w:szCs w:val="26"/>
        </w:rPr>
        <w:t xml:space="preserve"> and embraced in the </w:t>
      </w:r>
      <w:r w:rsidR="00666B6A" w:rsidRPr="009106BC">
        <w:rPr>
          <w:rFonts w:ascii="Century Schoolbook" w:hAnsi="Century Schoolbook"/>
          <w:sz w:val="27"/>
          <w:szCs w:val="26"/>
        </w:rPr>
        <w:t xml:space="preserve">aforementioned </w:t>
      </w:r>
      <w:r w:rsidR="00A71885" w:rsidRPr="009106BC">
        <w:rPr>
          <w:rFonts w:ascii="Century Schoolbook" w:hAnsi="Century Schoolbook"/>
          <w:sz w:val="27"/>
          <w:szCs w:val="26"/>
        </w:rPr>
        <w:t>criminal cases</w:t>
      </w:r>
      <w:r w:rsidR="00A65620" w:rsidRPr="009106BC">
        <w:rPr>
          <w:rFonts w:ascii="Century Schoolbook" w:hAnsi="Century Schoolbook"/>
          <w:sz w:val="27"/>
          <w:szCs w:val="26"/>
        </w:rPr>
        <w:t> —</w:t>
      </w:r>
      <w:r w:rsidR="00A71885" w:rsidRPr="009106BC">
        <w:rPr>
          <w:rFonts w:ascii="Century Schoolbook" w:hAnsi="Century Schoolbook"/>
          <w:sz w:val="27"/>
          <w:szCs w:val="26"/>
        </w:rPr>
        <w:t xml:space="preserve"> </w:t>
      </w:r>
      <w:r w:rsidR="00F2612A" w:rsidRPr="009106BC">
        <w:rPr>
          <w:rFonts w:ascii="Century Schoolbook" w:hAnsi="Century Schoolbook"/>
          <w:sz w:val="27"/>
          <w:szCs w:val="26"/>
        </w:rPr>
        <w:t xml:space="preserve">operate </w:t>
      </w:r>
      <w:r w:rsidR="006B032A" w:rsidRPr="009106BC">
        <w:rPr>
          <w:rFonts w:ascii="Century Schoolbook" w:hAnsi="Century Schoolbook"/>
          <w:sz w:val="27"/>
          <w:szCs w:val="26"/>
        </w:rPr>
        <w:t xml:space="preserve">with </w:t>
      </w:r>
      <w:r w:rsidR="0063477F" w:rsidRPr="009106BC">
        <w:rPr>
          <w:rFonts w:ascii="Century Schoolbook" w:hAnsi="Century Schoolbook"/>
          <w:sz w:val="27"/>
          <w:szCs w:val="26"/>
        </w:rPr>
        <w:t xml:space="preserve">at least equal </w:t>
      </w:r>
      <w:r w:rsidR="006B032A" w:rsidRPr="009106BC">
        <w:rPr>
          <w:rFonts w:ascii="Century Schoolbook" w:hAnsi="Century Schoolbook"/>
          <w:sz w:val="27"/>
          <w:szCs w:val="26"/>
        </w:rPr>
        <w:t>force when</w:t>
      </w:r>
      <w:r w:rsidR="007E1728" w:rsidRPr="009106BC">
        <w:rPr>
          <w:rFonts w:ascii="Century Schoolbook" w:hAnsi="Century Schoolbook"/>
          <w:sz w:val="27"/>
          <w:szCs w:val="26"/>
        </w:rPr>
        <w:t>, as here, a court must apply sections 1106 and 783</w:t>
      </w:r>
      <w:r w:rsidR="006C5C18" w:rsidRPr="009106BC">
        <w:rPr>
          <w:rFonts w:ascii="Century Schoolbook" w:hAnsi="Century Schoolbook"/>
          <w:sz w:val="27"/>
          <w:szCs w:val="26"/>
        </w:rPr>
        <w:t>.  A</w:t>
      </w:r>
      <w:r w:rsidR="00207058" w:rsidRPr="009106BC">
        <w:rPr>
          <w:rFonts w:ascii="Century Schoolbook" w:hAnsi="Century Schoolbook"/>
          <w:sz w:val="27"/>
          <w:szCs w:val="26"/>
        </w:rPr>
        <w:t>s noted earlier</w:t>
      </w:r>
      <w:r w:rsidR="006A7B01" w:rsidRPr="009106BC">
        <w:rPr>
          <w:rFonts w:ascii="Century Schoolbook" w:hAnsi="Century Schoolbook"/>
          <w:sz w:val="27"/>
          <w:szCs w:val="26"/>
        </w:rPr>
        <w:t>,</w:t>
      </w:r>
      <w:r w:rsidR="00207058" w:rsidRPr="009106BC">
        <w:rPr>
          <w:rFonts w:ascii="Century Schoolbook" w:hAnsi="Century Schoolbook"/>
          <w:sz w:val="27"/>
          <w:szCs w:val="26"/>
        </w:rPr>
        <w:t xml:space="preserve"> </w:t>
      </w:r>
      <w:r w:rsidR="009F5D7D" w:rsidRPr="009106BC">
        <w:rPr>
          <w:rFonts w:ascii="Century Schoolbook" w:hAnsi="Century Schoolbook"/>
          <w:sz w:val="27"/>
          <w:szCs w:val="26"/>
        </w:rPr>
        <w:t xml:space="preserve">the Legislature </w:t>
      </w:r>
      <w:r w:rsidR="00DE6EDE" w:rsidRPr="009106BC">
        <w:rPr>
          <w:rFonts w:ascii="Century Schoolbook" w:hAnsi="Century Schoolbook"/>
          <w:sz w:val="27"/>
          <w:szCs w:val="26"/>
        </w:rPr>
        <w:t xml:space="preserve">enacted these statutes with an </w:t>
      </w:r>
      <w:r w:rsidR="00EE63F5" w:rsidRPr="009106BC">
        <w:rPr>
          <w:rFonts w:ascii="Century Schoolbook" w:hAnsi="Century Schoolbook"/>
          <w:sz w:val="27"/>
          <w:szCs w:val="26"/>
        </w:rPr>
        <w:t>accompan</w:t>
      </w:r>
      <w:r w:rsidR="00DE6EDE" w:rsidRPr="009106BC">
        <w:rPr>
          <w:rFonts w:ascii="Century Schoolbook" w:hAnsi="Century Schoolbook"/>
          <w:sz w:val="27"/>
          <w:szCs w:val="26"/>
        </w:rPr>
        <w:t xml:space="preserve">ying </w:t>
      </w:r>
      <w:r w:rsidR="00F018D5" w:rsidRPr="009106BC">
        <w:rPr>
          <w:rFonts w:ascii="Century Schoolbook" w:hAnsi="Century Schoolbook"/>
          <w:sz w:val="27"/>
          <w:szCs w:val="26"/>
        </w:rPr>
        <w:t xml:space="preserve">uncodified </w:t>
      </w:r>
      <w:r w:rsidR="00097DD5" w:rsidRPr="009106BC">
        <w:rPr>
          <w:rFonts w:ascii="Century Schoolbook" w:hAnsi="Century Schoolbook"/>
          <w:sz w:val="27"/>
          <w:szCs w:val="26"/>
        </w:rPr>
        <w:t>statement</w:t>
      </w:r>
      <w:r w:rsidR="00F018D5" w:rsidRPr="009106BC">
        <w:rPr>
          <w:rFonts w:ascii="Century Schoolbook" w:hAnsi="Century Schoolbook"/>
          <w:sz w:val="27"/>
          <w:szCs w:val="26"/>
        </w:rPr>
        <w:t xml:space="preserve"> of intent</w:t>
      </w:r>
      <w:r w:rsidR="003A1699" w:rsidRPr="009106BC">
        <w:rPr>
          <w:rFonts w:ascii="Century Schoolbook" w:hAnsi="Century Schoolbook"/>
          <w:sz w:val="27"/>
          <w:szCs w:val="26"/>
        </w:rPr>
        <w:t xml:space="preserve"> (Stats. 1985, ch</w:t>
      </w:r>
      <w:r w:rsidR="00C246ED" w:rsidRPr="009106BC">
        <w:rPr>
          <w:rFonts w:ascii="Century Schoolbook" w:hAnsi="Century Schoolbook"/>
          <w:sz w:val="27"/>
          <w:szCs w:val="26"/>
        </w:rPr>
        <w:t>.</w:t>
      </w:r>
      <w:r w:rsidR="009A586E">
        <w:rPr>
          <w:rFonts w:ascii="Century Schoolbook" w:hAnsi="Century Schoolbook"/>
          <w:sz w:val="27"/>
          <w:szCs w:val="26"/>
        </w:rPr>
        <w:t> </w:t>
      </w:r>
      <w:r w:rsidR="003A1699" w:rsidRPr="009106BC">
        <w:rPr>
          <w:rFonts w:ascii="Century Schoolbook" w:hAnsi="Century Schoolbook"/>
          <w:sz w:val="27"/>
          <w:szCs w:val="26"/>
        </w:rPr>
        <w:t xml:space="preserve">1328, </w:t>
      </w:r>
      <w:r w:rsidR="00C246ED" w:rsidRPr="009106BC">
        <w:rPr>
          <w:rFonts w:ascii="Century Schoolbook" w:hAnsi="Century Schoolbook"/>
          <w:sz w:val="27"/>
          <w:szCs w:val="26"/>
        </w:rPr>
        <w:t>§</w:t>
      </w:r>
      <w:r w:rsidR="009663F5" w:rsidRPr="009106BC">
        <w:rPr>
          <w:rFonts w:ascii="Century Schoolbook" w:hAnsi="Century Schoolbook"/>
          <w:sz w:val="27"/>
          <w:szCs w:val="26"/>
        </w:rPr>
        <w:t> </w:t>
      </w:r>
      <w:r w:rsidR="003A1699" w:rsidRPr="009106BC">
        <w:rPr>
          <w:rFonts w:ascii="Century Schoolbook" w:hAnsi="Century Schoolbook"/>
          <w:sz w:val="27"/>
          <w:szCs w:val="26"/>
        </w:rPr>
        <w:t>1, p</w:t>
      </w:r>
      <w:r w:rsidR="000D5FC8" w:rsidRPr="009106BC">
        <w:rPr>
          <w:rFonts w:ascii="Century Schoolbook" w:hAnsi="Century Schoolbook"/>
          <w:sz w:val="27"/>
          <w:szCs w:val="26"/>
        </w:rPr>
        <w:t>p</w:t>
      </w:r>
      <w:r w:rsidR="00C246ED" w:rsidRPr="009106BC">
        <w:rPr>
          <w:rFonts w:ascii="Century Schoolbook" w:hAnsi="Century Schoolbook"/>
          <w:sz w:val="27"/>
          <w:szCs w:val="26"/>
        </w:rPr>
        <w:t>.</w:t>
      </w:r>
      <w:r w:rsidR="009106BC">
        <w:rPr>
          <w:rFonts w:ascii="Century Schoolbook" w:hAnsi="Century Schoolbook"/>
          <w:sz w:val="27"/>
          <w:szCs w:val="26"/>
        </w:rPr>
        <w:t> </w:t>
      </w:r>
      <w:r w:rsidR="001763DE" w:rsidRPr="009106BC">
        <w:rPr>
          <w:rFonts w:ascii="Century Schoolbook" w:hAnsi="Century Schoolbook"/>
          <w:sz w:val="27"/>
          <w:szCs w:val="26"/>
        </w:rPr>
        <w:t>4654–</w:t>
      </w:r>
      <w:r w:rsidR="003A1699" w:rsidRPr="009106BC">
        <w:rPr>
          <w:rFonts w:ascii="Century Schoolbook" w:hAnsi="Century Schoolbook"/>
          <w:sz w:val="27"/>
          <w:szCs w:val="26"/>
        </w:rPr>
        <w:t>4655</w:t>
      </w:r>
      <w:r w:rsidR="008656F4">
        <w:rPr>
          <w:rFonts w:ascii="Century Schoolbook" w:hAnsi="Century Schoolbook"/>
          <w:sz w:val="27"/>
          <w:szCs w:val="26"/>
        </w:rPr>
        <w:t>;</w:t>
      </w:r>
      <w:r w:rsidR="00106215" w:rsidRPr="009106BC">
        <w:rPr>
          <w:rFonts w:ascii="Century Schoolbook" w:hAnsi="Century Schoolbook"/>
          <w:sz w:val="27"/>
          <w:szCs w:val="26"/>
        </w:rPr>
        <w:t xml:space="preserve"> set out and quoted </w:t>
      </w:r>
      <w:r w:rsidR="00106215" w:rsidRPr="009106BC">
        <w:rPr>
          <w:rFonts w:ascii="Century Schoolbook" w:hAnsi="Century Schoolbook"/>
          <w:i/>
          <w:iCs/>
          <w:sz w:val="27"/>
          <w:szCs w:val="26"/>
        </w:rPr>
        <w:t>ante</w:t>
      </w:r>
      <w:r w:rsidR="00106215" w:rsidRPr="009106BC">
        <w:rPr>
          <w:rFonts w:ascii="Century Schoolbook" w:hAnsi="Century Schoolbook"/>
          <w:sz w:val="27"/>
          <w:szCs w:val="26"/>
        </w:rPr>
        <w:t xml:space="preserve">, </w:t>
      </w:r>
      <w:r w:rsidR="008656F4" w:rsidRPr="009106BC">
        <w:rPr>
          <w:rFonts w:ascii="Century Schoolbook" w:hAnsi="Century Schoolbook"/>
          <w:sz w:val="27"/>
          <w:szCs w:val="26"/>
        </w:rPr>
        <w:t>p</w:t>
      </w:r>
      <w:r w:rsidR="008656F4">
        <w:rPr>
          <w:rFonts w:ascii="Century Schoolbook" w:hAnsi="Century Schoolbook"/>
          <w:sz w:val="27"/>
          <w:szCs w:val="26"/>
        </w:rPr>
        <w:t>t.</w:t>
      </w:r>
      <w:r w:rsidR="008656F4" w:rsidRPr="009106BC">
        <w:rPr>
          <w:rFonts w:ascii="Century Schoolbook" w:hAnsi="Century Schoolbook"/>
          <w:sz w:val="27"/>
          <w:szCs w:val="26"/>
        </w:rPr>
        <w:t xml:space="preserve"> </w:t>
      </w:r>
      <w:r w:rsidR="00106215" w:rsidRPr="009106BC">
        <w:rPr>
          <w:rFonts w:ascii="Century Schoolbook" w:hAnsi="Century Schoolbook"/>
          <w:sz w:val="27"/>
          <w:szCs w:val="26"/>
        </w:rPr>
        <w:t>II</w:t>
      </w:r>
      <w:r w:rsidR="0097172A" w:rsidRPr="009106BC">
        <w:rPr>
          <w:rFonts w:ascii="Century Schoolbook" w:hAnsi="Century Schoolbook"/>
          <w:sz w:val="27"/>
          <w:szCs w:val="26"/>
        </w:rPr>
        <w:t>.</w:t>
      </w:r>
      <w:r w:rsidR="00C246ED" w:rsidRPr="009106BC">
        <w:rPr>
          <w:rFonts w:ascii="Century Schoolbook" w:hAnsi="Century Schoolbook"/>
          <w:sz w:val="27"/>
          <w:szCs w:val="26"/>
        </w:rPr>
        <w:t>)</w:t>
      </w:r>
      <w:r w:rsidR="00F018D5" w:rsidRPr="009106BC">
        <w:rPr>
          <w:rFonts w:ascii="Century Schoolbook" w:hAnsi="Century Schoolbook"/>
          <w:sz w:val="27"/>
          <w:szCs w:val="26"/>
        </w:rPr>
        <w:t xml:space="preserve">, reflecting </w:t>
      </w:r>
      <w:r w:rsidR="002B7F03" w:rsidRPr="009106BC">
        <w:rPr>
          <w:rFonts w:ascii="Century Schoolbook" w:hAnsi="Century Schoolbook"/>
          <w:sz w:val="27"/>
          <w:szCs w:val="26"/>
        </w:rPr>
        <w:t xml:space="preserve">its </w:t>
      </w:r>
      <w:r w:rsidR="00F967DE" w:rsidRPr="009106BC">
        <w:rPr>
          <w:rFonts w:ascii="Century Schoolbook" w:hAnsi="Century Schoolbook"/>
          <w:sz w:val="27"/>
          <w:szCs w:val="26"/>
        </w:rPr>
        <w:t xml:space="preserve">protective </w:t>
      </w:r>
      <w:r w:rsidR="00F018D5" w:rsidRPr="009106BC">
        <w:rPr>
          <w:rFonts w:ascii="Century Schoolbook" w:hAnsi="Century Schoolbook"/>
          <w:sz w:val="27"/>
          <w:szCs w:val="26"/>
        </w:rPr>
        <w:t xml:space="preserve">view </w:t>
      </w:r>
      <w:r w:rsidR="002C00DE" w:rsidRPr="009106BC">
        <w:rPr>
          <w:rFonts w:ascii="Century Schoolbook" w:hAnsi="Century Schoolbook"/>
          <w:sz w:val="27"/>
          <w:szCs w:val="26"/>
        </w:rPr>
        <w:t xml:space="preserve">of </w:t>
      </w:r>
      <w:r w:rsidR="00A56440" w:rsidRPr="009106BC">
        <w:rPr>
          <w:rFonts w:ascii="Century Schoolbook" w:hAnsi="Century Schoolbook"/>
          <w:sz w:val="27"/>
          <w:szCs w:val="26"/>
        </w:rPr>
        <w:t xml:space="preserve">civil </w:t>
      </w:r>
      <w:r w:rsidR="002C00DE" w:rsidRPr="009106BC">
        <w:rPr>
          <w:rFonts w:ascii="Century Schoolbook" w:hAnsi="Century Schoolbook"/>
          <w:sz w:val="27"/>
          <w:szCs w:val="26"/>
        </w:rPr>
        <w:t>victim witnesses</w:t>
      </w:r>
      <w:r w:rsidR="00A00B1E" w:rsidRPr="009106BC">
        <w:rPr>
          <w:rFonts w:ascii="Century Schoolbook" w:hAnsi="Century Schoolbook"/>
          <w:sz w:val="27"/>
          <w:szCs w:val="26"/>
        </w:rPr>
        <w:t>.</w:t>
      </w:r>
      <w:r w:rsidR="00C246ED" w:rsidRPr="009106BC">
        <w:rPr>
          <w:rFonts w:ascii="Century Schoolbook" w:hAnsi="Century Schoolbook"/>
          <w:sz w:val="27"/>
          <w:szCs w:val="26"/>
        </w:rPr>
        <w:t xml:space="preserve"> </w:t>
      </w:r>
      <w:r w:rsidR="00331386" w:rsidRPr="009106BC">
        <w:rPr>
          <w:rFonts w:ascii="Century Schoolbook" w:hAnsi="Century Schoolbook"/>
          <w:sz w:val="27"/>
          <w:szCs w:val="26"/>
        </w:rPr>
        <w:t xml:space="preserve"> </w:t>
      </w:r>
      <w:r w:rsidR="002D092D" w:rsidRPr="009106BC">
        <w:rPr>
          <w:rFonts w:ascii="Century Schoolbook" w:hAnsi="Century Schoolbook"/>
          <w:sz w:val="27"/>
          <w:szCs w:val="26"/>
        </w:rPr>
        <w:t xml:space="preserve">Of course, </w:t>
      </w:r>
      <w:r w:rsidR="00441AFD" w:rsidRPr="009106BC">
        <w:rPr>
          <w:rFonts w:ascii="Century Schoolbook" w:hAnsi="Century Schoolbook"/>
          <w:sz w:val="27"/>
          <w:szCs w:val="26"/>
        </w:rPr>
        <w:t>“</w:t>
      </w:r>
      <w:r w:rsidR="0097172A" w:rsidRPr="009106BC">
        <w:rPr>
          <w:rFonts w:ascii="Century Schoolbook" w:hAnsi="Century Schoolbook"/>
          <w:sz w:val="27"/>
          <w:szCs w:val="26"/>
        </w:rPr>
        <w:t>A</w:t>
      </w:r>
      <w:r w:rsidR="00441AFD" w:rsidRPr="009106BC">
        <w:rPr>
          <w:rFonts w:ascii="Century Schoolbook" w:hAnsi="Century Schoolbook"/>
          <w:sz w:val="27"/>
          <w:szCs w:val="26"/>
        </w:rPr>
        <w:t>n uncodified section is part of the statutory law.</w:t>
      </w:r>
      <w:r w:rsidR="00E7343A" w:rsidRPr="009106BC">
        <w:rPr>
          <w:rFonts w:ascii="Century Schoolbook" w:hAnsi="Century Schoolbook"/>
          <w:sz w:val="27"/>
          <w:szCs w:val="26"/>
        </w:rPr>
        <w:t xml:space="preserve">  [Citation.]  </w:t>
      </w:r>
      <w:r w:rsidR="00F16C2E" w:rsidRPr="009106BC">
        <w:rPr>
          <w:rFonts w:ascii="Century Schoolbook" w:hAnsi="Century Schoolbook"/>
          <w:sz w:val="27"/>
          <w:szCs w:val="26"/>
        </w:rPr>
        <w:t>‘</w:t>
      </w:r>
      <w:r w:rsidR="00FE3DF1" w:rsidRPr="009106BC">
        <w:rPr>
          <w:rFonts w:ascii="Century Schoolbook" w:hAnsi="Century Schoolbook"/>
          <w:sz w:val="27"/>
          <w:szCs w:val="26"/>
        </w:rPr>
        <w:t>I</w:t>
      </w:r>
      <w:r w:rsidR="00441AFD" w:rsidRPr="009106BC">
        <w:rPr>
          <w:rFonts w:ascii="Century Schoolbook" w:hAnsi="Century Schoolbook"/>
          <w:sz w:val="27"/>
          <w:szCs w:val="26"/>
        </w:rPr>
        <w:t xml:space="preserve">n considering the purpose of legislation, statements of the intent of the enacting body contained in a preamble, while not conclusive, are entitled to consideration.  [Citations.]  </w:t>
      </w:r>
      <w:r w:rsidR="000B4B33" w:rsidRPr="009106BC">
        <w:rPr>
          <w:rFonts w:ascii="Century Schoolbook" w:hAnsi="Century Schoolbook"/>
          <w:sz w:val="27"/>
          <w:szCs w:val="26"/>
        </w:rPr>
        <w:t>A</w:t>
      </w:r>
      <w:r w:rsidR="00441AFD" w:rsidRPr="009106BC">
        <w:rPr>
          <w:rFonts w:ascii="Century Schoolbook" w:hAnsi="Century Schoolbook"/>
          <w:sz w:val="27"/>
          <w:szCs w:val="26"/>
        </w:rPr>
        <w:t>lthough such statements in an uncodified section do not confer power, determine rights, or enlarge the scope of a measure, they properly may be utilized as an aid in construing a statute.</w:t>
      </w:r>
      <w:r w:rsidR="00276436" w:rsidRPr="009106BC">
        <w:rPr>
          <w:rFonts w:ascii="Century Schoolbook" w:hAnsi="Century Schoolbook"/>
          <w:sz w:val="27"/>
          <w:szCs w:val="26"/>
        </w:rPr>
        <w:t>’ </w:t>
      </w:r>
      <w:r w:rsidR="00441AFD" w:rsidRPr="009106BC">
        <w:rPr>
          <w:rFonts w:ascii="Century Schoolbook" w:hAnsi="Century Schoolbook"/>
          <w:sz w:val="27"/>
          <w:szCs w:val="26"/>
        </w:rPr>
        <w:t>”  (</w:t>
      </w:r>
      <w:r w:rsidR="00A90EDB" w:rsidRPr="009106BC">
        <w:rPr>
          <w:rFonts w:ascii="Century Schoolbook" w:hAnsi="Century Schoolbook"/>
          <w:i/>
          <w:iCs/>
          <w:sz w:val="27"/>
          <w:szCs w:val="26"/>
        </w:rPr>
        <w:t>Carter</w:t>
      </w:r>
      <w:r w:rsidR="00145320" w:rsidRPr="009106BC">
        <w:rPr>
          <w:rFonts w:ascii="Century Schoolbook" w:hAnsi="Century Schoolbook"/>
          <w:i/>
          <w:iCs/>
          <w:sz w:val="27"/>
          <w:szCs w:val="26"/>
        </w:rPr>
        <w:t xml:space="preserve"> </w:t>
      </w:r>
      <w:r w:rsidR="00A90EDB" w:rsidRPr="009106BC">
        <w:rPr>
          <w:rFonts w:ascii="Century Schoolbook" w:hAnsi="Century Schoolbook"/>
          <w:i/>
          <w:iCs/>
          <w:sz w:val="27"/>
          <w:szCs w:val="26"/>
        </w:rPr>
        <w:t>v. California Dept. of Veteran Affairs</w:t>
      </w:r>
      <w:r w:rsidR="00A90EDB" w:rsidRPr="009106BC">
        <w:rPr>
          <w:rFonts w:ascii="Century Schoolbook" w:hAnsi="Century Schoolbook"/>
          <w:sz w:val="27"/>
          <w:szCs w:val="26"/>
        </w:rPr>
        <w:t xml:space="preserve"> (2006) 38 Cal.4th 914, 925.)  </w:t>
      </w:r>
      <w:r w:rsidR="00E57815" w:rsidRPr="003D2ACE">
        <w:rPr>
          <w:rFonts w:ascii="Century Schoolbook" w:hAnsi="Century Schoolbook"/>
          <w:sz w:val="27"/>
          <w:szCs w:val="26"/>
        </w:rPr>
        <w:t>Consistent with this</w:t>
      </w:r>
      <w:r w:rsidR="001F0E05" w:rsidRPr="003D2ACE">
        <w:rPr>
          <w:rFonts w:ascii="Century Schoolbook" w:hAnsi="Century Schoolbook"/>
          <w:sz w:val="27"/>
          <w:szCs w:val="26"/>
        </w:rPr>
        <w:t xml:space="preserve">, </w:t>
      </w:r>
      <w:r w:rsidR="003B5474" w:rsidRPr="003D2ACE">
        <w:rPr>
          <w:rFonts w:ascii="Century Schoolbook" w:hAnsi="Century Schoolbook"/>
          <w:sz w:val="27"/>
          <w:szCs w:val="26"/>
        </w:rPr>
        <w:t xml:space="preserve">decisions </w:t>
      </w:r>
      <w:r w:rsidR="0090498E" w:rsidRPr="003D2ACE">
        <w:rPr>
          <w:rFonts w:ascii="Century Schoolbook" w:hAnsi="Century Schoolbook"/>
          <w:sz w:val="27"/>
          <w:szCs w:val="26"/>
        </w:rPr>
        <w:t xml:space="preserve">applying the civil </w:t>
      </w:r>
      <w:r w:rsidR="005B7DE0" w:rsidRPr="003D2ACE">
        <w:rPr>
          <w:rFonts w:ascii="Century Schoolbook" w:hAnsi="Century Schoolbook"/>
          <w:sz w:val="27"/>
          <w:szCs w:val="26"/>
        </w:rPr>
        <w:t xml:space="preserve">shield statutes </w:t>
      </w:r>
      <w:r w:rsidR="00313028" w:rsidRPr="003D2ACE">
        <w:rPr>
          <w:rFonts w:ascii="Century Schoolbook" w:hAnsi="Century Schoolbook"/>
          <w:sz w:val="27"/>
          <w:szCs w:val="26"/>
        </w:rPr>
        <w:t xml:space="preserve">in the context of discovery </w:t>
      </w:r>
      <w:r w:rsidR="003B5474" w:rsidRPr="003D2ACE">
        <w:rPr>
          <w:rFonts w:ascii="Century Schoolbook" w:hAnsi="Century Schoolbook"/>
          <w:sz w:val="27"/>
          <w:szCs w:val="26"/>
        </w:rPr>
        <w:t xml:space="preserve">have quoted the </w:t>
      </w:r>
      <w:r w:rsidR="00FF1F61" w:rsidRPr="003D2ACE">
        <w:rPr>
          <w:rFonts w:ascii="Century Schoolbook" w:hAnsi="Century Schoolbook"/>
          <w:sz w:val="27"/>
          <w:szCs w:val="26"/>
        </w:rPr>
        <w:t xml:space="preserve">Legislature’s uncodified statement of intent </w:t>
      </w:r>
      <w:r w:rsidR="00542727" w:rsidRPr="003D2ACE">
        <w:rPr>
          <w:rFonts w:ascii="Century Schoolbook" w:hAnsi="Century Schoolbook"/>
          <w:sz w:val="27"/>
          <w:szCs w:val="26"/>
        </w:rPr>
        <w:t xml:space="preserve">in enacting </w:t>
      </w:r>
      <w:r w:rsidR="00FB26F2" w:rsidRPr="003D2ACE">
        <w:rPr>
          <w:rFonts w:ascii="Century Schoolbook" w:hAnsi="Century Schoolbook"/>
          <w:sz w:val="27"/>
          <w:szCs w:val="26"/>
        </w:rPr>
        <w:t>the</w:t>
      </w:r>
      <w:r w:rsidR="005B7DE0" w:rsidRPr="003D2ACE">
        <w:rPr>
          <w:rFonts w:ascii="Century Schoolbook" w:hAnsi="Century Schoolbook"/>
          <w:sz w:val="27"/>
          <w:szCs w:val="26"/>
        </w:rPr>
        <w:t>m</w:t>
      </w:r>
      <w:r w:rsidR="00542727" w:rsidRPr="003D2ACE">
        <w:rPr>
          <w:rFonts w:ascii="Century Schoolbook" w:hAnsi="Century Schoolbook"/>
          <w:sz w:val="27"/>
          <w:szCs w:val="26"/>
        </w:rPr>
        <w:t xml:space="preserve"> </w:t>
      </w:r>
      <w:r w:rsidR="003B5474" w:rsidRPr="003D2ACE">
        <w:rPr>
          <w:rFonts w:ascii="Century Schoolbook" w:hAnsi="Century Schoolbook"/>
          <w:sz w:val="27"/>
          <w:szCs w:val="26"/>
        </w:rPr>
        <w:t>and</w:t>
      </w:r>
      <w:r w:rsidR="00CD219A" w:rsidRPr="003D2ACE">
        <w:rPr>
          <w:rFonts w:ascii="Century Schoolbook" w:hAnsi="Century Schoolbook"/>
          <w:sz w:val="27"/>
          <w:szCs w:val="26"/>
        </w:rPr>
        <w:t>,</w:t>
      </w:r>
      <w:r w:rsidR="001419C8" w:rsidRPr="003D2ACE">
        <w:rPr>
          <w:rFonts w:ascii="Century Schoolbook" w:hAnsi="Century Schoolbook"/>
          <w:sz w:val="27"/>
          <w:szCs w:val="26"/>
        </w:rPr>
        <w:t xml:space="preserve"> correspondingly,</w:t>
      </w:r>
      <w:r w:rsidR="00CD7048" w:rsidRPr="003D2ACE">
        <w:rPr>
          <w:rFonts w:ascii="Century Schoolbook" w:hAnsi="Century Schoolbook"/>
          <w:sz w:val="27"/>
          <w:szCs w:val="26"/>
        </w:rPr>
        <w:t xml:space="preserve"> </w:t>
      </w:r>
      <w:r w:rsidR="005B7DE0" w:rsidRPr="003D2ACE">
        <w:rPr>
          <w:rFonts w:ascii="Century Schoolbook" w:hAnsi="Century Schoolbook"/>
          <w:sz w:val="27"/>
          <w:szCs w:val="26"/>
        </w:rPr>
        <w:t xml:space="preserve">stressed the need to </w:t>
      </w:r>
      <w:r w:rsidR="009F7364" w:rsidRPr="003D2ACE">
        <w:rPr>
          <w:rFonts w:ascii="Century Schoolbook" w:hAnsi="Century Schoolbook"/>
          <w:sz w:val="27"/>
          <w:szCs w:val="26"/>
        </w:rPr>
        <w:t>carefully circumscribe</w:t>
      </w:r>
      <w:r w:rsidR="005B7DE0" w:rsidRPr="003D2ACE">
        <w:rPr>
          <w:rFonts w:ascii="Century Schoolbook" w:hAnsi="Century Schoolbook"/>
          <w:sz w:val="27"/>
          <w:szCs w:val="26"/>
        </w:rPr>
        <w:t xml:space="preserve"> </w:t>
      </w:r>
      <w:r w:rsidR="00106F1A" w:rsidRPr="003D2ACE">
        <w:rPr>
          <w:rFonts w:ascii="Century Schoolbook" w:hAnsi="Century Schoolbook"/>
          <w:sz w:val="27"/>
          <w:szCs w:val="26"/>
        </w:rPr>
        <w:t xml:space="preserve">such </w:t>
      </w:r>
      <w:r w:rsidR="009F7364" w:rsidRPr="003D2ACE">
        <w:rPr>
          <w:rFonts w:ascii="Century Schoolbook" w:hAnsi="Century Schoolbook"/>
          <w:sz w:val="27"/>
          <w:szCs w:val="26"/>
        </w:rPr>
        <w:t>discovery</w:t>
      </w:r>
      <w:r w:rsidR="00FD5402" w:rsidRPr="003D2ACE">
        <w:rPr>
          <w:rFonts w:ascii="Century Schoolbook" w:hAnsi="Century Schoolbook"/>
          <w:sz w:val="27"/>
          <w:szCs w:val="26"/>
        </w:rPr>
        <w:t xml:space="preserve">. </w:t>
      </w:r>
      <w:r w:rsidR="009A586E" w:rsidRPr="003D2ACE">
        <w:rPr>
          <w:rFonts w:ascii="Century Schoolbook" w:hAnsi="Century Schoolbook"/>
          <w:sz w:val="27"/>
          <w:szCs w:val="26"/>
        </w:rPr>
        <w:t xml:space="preserve"> </w:t>
      </w:r>
      <w:r w:rsidR="001828FA" w:rsidRPr="003D2ACE">
        <w:rPr>
          <w:rFonts w:ascii="Century Schoolbook" w:hAnsi="Century Schoolbook"/>
          <w:sz w:val="27"/>
          <w:szCs w:val="26"/>
        </w:rPr>
        <w:t>I</w:t>
      </w:r>
      <w:r w:rsidR="008618E8" w:rsidRPr="003D2ACE">
        <w:rPr>
          <w:rFonts w:ascii="Century Schoolbook" w:hAnsi="Century Schoolbook"/>
          <w:sz w:val="27"/>
          <w:szCs w:val="26"/>
        </w:rPr>
        <w:t xml:space="preserve">n </w:t>
      </w:r>
      <w:r w:rsidR="008618E8" w:rsidRPr="003D2ACE">
        <w:rPr>
          <w:rFonts w:ascii="Century Schoolbook" w:hAnsi="Century Schoolbook"/>
          <w:i/>
          <w:iCs/>
          <w:sz w:val="27"/>
          <w:szCs w:val="26"/>
        </w:rPr>
        <w:t>Vinson</w:t>
      </w:r>
      <w:r w:rsidR="008618E8" w:rsidRPr="003D2ACE">
        <w:rPr>
          <w:rFonts w:ascii="Century Schoolbook" w:hAnsi="Century Schoolbook"/>
          <w:sz w:val="27"/>
          <w:szCs w:val="26"/>
        </w:rPr>
        <w:t xml:space="preserve">, </w:t>
      </w:r>
      <w:r w:rsidR="008618E8" w:rsidRPr="003D2ACE">
        <w:rPr>
          <w:rFonts w:ascii="Century Schoolbook" w:hAnsi="Century Schoolbook"/>
          <w:i/>
          <w:iCs/>
          <w:sz w:val="27"/>
          <w:szCs w:val="26"/>
        </w:rPr>
        <w:t>supra</w:t>
      </w:r>
      <w:r w:rsidR="008618E8" w:rsidRPr="003D2ACE">
        <w:rPr>
          <w:rFonts w:ascii="Century Schoolbook" w:hAnsi="Century Schoolbook"/>
          <w:sz w:val="27"/>
          <w:szCs w:val="26"/>
        </w:rPr>
        <w:t xml:space="preserve">, 43 Cal.3d 833, we viewed the Legislature’s uncodified </w:t>
      </w:r>
      <w:r w:rsidR="00352A54" w:rsidRPr="003D2ACE">
        <w:rPr>
          <w:rFonts w:ascii="Century Schoolbook" w:hAnsi="Century Schoolbook"/>
          <w:sz w:val="27"/>
          <w:szCs w:val="26"/>
        </w:rPr>
        <w:t>statements, including the “</w:t>
      </w:r>
      <w:r w:rsidR="002C236B" w:rsidRPr="003D2ACE">
        <w:rPr>
          <w:rFonts w:ascii="Century Schoolbook" w:hAnsi="Century Schoolbook"/>
          <w:sz w:val="27"/>
          <w:szCs w:val="26"/>
        </w:rPr>
        <w:t>extraordinary circumstances</w:t>
      </w:r>
      <w:r w:rsidR="00352A54" w:rsidRPr="003D2ACE">
        <w:rPr>
          <w:rFonts w:ascii="Century Schoolbook" w:hAnsi="Century Schoolbook"/>
          <w:sz w:val="27"/>
          <w:szCs w:val="26"/>
        </w:rPr>
        <w:t xml:space="preserve">” </w:t>
      </w:r>
      <w:r w:rsidR="009645F6" w:rsidRPr="003D2ACE">
        <w:rPr>
          <w:rFonts w:ascii="Century Schoolbook" w:hAnsi="Century Schoolbook"/>
          <w:sz w:val="27"/>
          <w:szCs w:val="26"/>
        </w:rPr>
        <w:t>language</w:t>
      </w:r>
      <w:r w:rsidR="00352A54" w:rsidRPr="003D2ACE">
        <w:rPr>
          <w:rFonts w:ascii="Century Schoolbook" w:hAnsi="Century Schoolbook"/>
          <w:sz w:val="27"/>
          <w:szCs w:val="26"/>
        </w:rPr>
        <w:t xml:space="preserve">, </w:t>
      </w:r>
      <w:r w:rsidR="008618E8" w:rsidRPr="003D2ACE">
        <w:rPr>
          <w:rFonts w:ascii="Century Schoolbook" w:hAnsi="Century Schoolbook"/>
          <w:sz w:val="27"/>
          <w:szCs w:val="26"/>
        </w:rPr>
        <w:t xml:space="preserve">as “suggest[ing] that </w:t>
      </w:r>
      <w:r w:rsidR="008618E8" w:rsidRPr="003D2ACE">
        <w:rPr>
          <w:rFonts w:ascii="Century Schoolbook" w:hAnsi="Century Schoolbook"/>
          <w:i/>
          <w:iCs/>
          <w:sz w:val="27"/>
          <w:szCs w:val="26"/>
        </w:rPr>
        <w:t>a stronger showing of good cause</w:t>
      </w:r>
      <w:r w:rsidR="008618E8" w:rsidRPr="003D2ACE">
        <w:rPr>
          <w:rFonts w:ascii="Century Schoolbook" w:hAnsi="Century Schoolbook"/>
          <w:sz w:val="27"/>
          <w:szCs w:val="26"/>
        </w:rPr>
        <w:t xml:space="preserve"> [for discovery] must be made to justify inquiry into this topic than is needed for a </w:t>
      </w:r>
      <w:r w:rsidR="008618E8" w:rsidRPr="003D2ACE">
        <w:rPr>
          <w:rFonts w:ascii="Century Schoolbook" w:hAnsi="Century Schoolbook"/>
          <w:sz w:val="27"/>
          <w:szCs w:val="26"/>
        </w:rPr>
        <w:lastRenderedPageBreak/>
        <w:t>general examination.”  (</w:t>
      </w:r>
      <w:r w:rsidR="008618E8" w:rsidRPr="003D2ACE">
        <w:rPr>
          <w:rFonts w:ascii="Century Schoolbook" w:hAnsi="Century Schoolbook"/>
          <w:i/>
          <w:iCs/>
          <w:sz w:val="27"/>
          <w:szCs w:val="26"/>
        </w:rPr>
        <w:t>Id</w:t>
      </w:r>
      <w:r w:rsidR="008618E8" w:rsidRPr="003D2ACE">
        <w:rPr>
          <w:rFonts w:ascii="Century Schoolbook" w:hAnsi="Century Schoolbook"/>
          <w:sz w:val="27"/>
          <w:szCs w:val="26"/>
        </w:rPr>
        <w:t>. at p. 843, fn. 8, italics added.)</w:t>
      </w:r>
      <w:r w:rsidR="008618E8" w:rsidRPr="009106BC">
        <w:rPr>
          <w:rFonts w:ascii="Century Schoolbook" w:hAnsi="Century Schoolbook"/>
          <w:sz w:val="27"/>
          <w:szCs w:val="26"/>
        </w:rPr>
        <w:t xml:space="preserve">  </w:t>
      </w:r>
      <w:r w:rsidR="00AA77B9">
        <w:rPr>
          <w:rFonts w:ascii="Century Schoolbook" w:hAnsi="Century Schoolbook"/>
          <w:sz w:val="27"/>
          <w:szCs w:val="26"/>
        </w:rPr>
        <w:t>S</w:t>
      </w:r>
      <w:r w:rsidR="008618E8" w:rsidRPr="00B7275B">
        <w:rPr>
          <w:rFonts w:ascii="Century Schoolbook" w:hAnsi="Century Schoolbook"/>
          <w:sz w:val="27"/>
          <w:szCs w:val="26"/>
        </w:rPr>
        <w:t xml:space="preserve">ubsequent Court of Appeal decisions have similarly treated this and the Legislature’s related uncodified passages as an aid in construing the statutory scheme, reflecting a general admonition that courts should exercise great care and caution </w:t>
      </w:r>
      <w:r w:rsidR="00B7275B">
        <w:rPr>
          <w:rFonts w:ascii="Century Schoolbook" w:hAnsi="Century Schoolbook"/>
          <w:sz w:val="27"/>
          <w:szCs w:val="26"/>
        </w:rPr>
        <w:t>in considering</w:t>
      </w:r>
      <w:r w:rsidR="008618E8" w:rsidRPr="00B7275B">
        <w:rPr>
          <w:rFonts w:ascii="Century Schoolbook" w:hAnsi="Century Schoolbook"/>
          <w:sz w:val="27"/>
          <w:szCs w:val="26"/>
        </w:rPr>
        <w:t xml:space="preserve"> </w:t>
      </w:r>
      <w:r w:rsidR="0058472D">
        <w:rPr>
          <w:rFonts w:ascii="Century Schoolbook" w:hAnsi="Century Schoolbook"/>
          <w:sz w:val="27"/>
          <w:szCs w:val="26"/>
        </w:rPr>
        <w:t xml:space="preserve">whether to allow </w:t>
      </w:r>
      <w:r w:rsidR="008618E8" w:rsidRPr="00B7275B">
        <w:rPr>
          <w:rFonts w:ascii="Century Schoolbook" w:hAnsi="Century Schoolbook"/>
          <w:sz w:val="27"/>
          <w:szCs w:val="26"/>
        </w:rPr>
        <w:t xml:space="preserve">such discovery and avoid admitting otherwise inadmissible evidence. </w:t>
      </w:r>
      <w:r w:rsidR="002C236B" w:rsidRPr="00B7275B">
        <w:rPr>
          <w:rFonts w:ascii="Century Schoolbook" w:hAnsi="Century Schoolbook"/>
          <w:sz w:val="27"/>
          <w:szCs w:val="26"/>
        </w:rPr>
        <w:t xml:space="preserve"> (</w:t>
      </w:r>
      <w:r w:rsidR="00F314F4" w:rsidRPr="00B7275B">
        <w:rPr>
          <w:rFonts w:ascii="Century Schoolbook" w:hAnsi="Century Schoolbook"/>
          <w:i/>
          <w:iCs/>
          <w:sz w:val="27"/>
          <w:szCs w:val="26"/>
        </w:rPr>
        <w:t>Barrenda L.</w:t>
      </w:r>
      <w:r w:rsidR="00140D94" w:rsidRPr="00B7275B">
        <w:rPr>
          <w:rFonts w:ascii="Century Schoolbook" w:hAnsi="Century Schoolbook"/>
          <w:sz w:val="27"/>
          <w:szCs w:val="26"/>
        </w:rPr>
        <w:t>,</w:t>
      </w:r>
      <w:r w:rsidR="00522B54" w:rsidRPr="00B7275B">
        <w:rPr>
          <w:rFonts w:ascii="Century Schoolbook" w:hAnsi="Century Schoolbook"/>
          <w:sz w:val="27"/>
          <w:szCs w:val="26"/>
        </w:rPr>
        <w:t xml:space="preserve"> </w:t>
      </w:r>
      <w:r w:rsidR="005F6C80" w:rsidRPr="00B7275B">
        <w:rPr>
          <w:rFonts w:ascii="Century Schoolbook" w:hAnsi="Century Schoolbook"/>
          <w:i/>
          <w:iCs/>
          <w:sz w:val="27"/>
          <w:szCs w:val="26"/>
        </w:rPr>
        <w:t>s</w:t>
      </w:r>
      <w:r w:rsidR="00140D94" w:rsidRPr="00B7275B">
        <w:rPr>
          <w:rFonts w:ascii="Century Schoolbook" w:hAnsi="Century Schoolbook"/>
          <w:i/>
          <w:iCs/>
          <w:sz w:val="27"/>
          <w:szCs w:val="26"/>
        </w:rPr>
        <w:t>upra</w:t>
      </w:r>
      <w:r w:rsidR="00140D94" w:rsidRPr="00B7275B">
        <w:rPr>
          <w:rFonts w:ascii="Century Schoolbook" w:hAnsi="Century Schoolbook"/>
          <w:sz w:val="27"/>
          <w:szCs w:val="26"/>
        </w:rPr>
        <w:t>,</w:t>
      </w:r>
      <w:r w:rsidR="00522B54" w:rsidRPr="00B7275B">
        <w:rPr>
          <w:rFonts w:ascii="Century Schoolbook" w:hAnsi="Century Schoolbook"/>
          <w:sz w:val="27"/>
          <w:szCs w:val="26"/>
        </w:rPr>
        <w:t xml:space="preserve"> </w:t>
      </w:r>
      <w:r w:rsidR="00F314F4" w:rsidRPr="00B7275B">
        <w:rPr>
          <w:rFonts w:ascii="Century Schoolbook" w:hAnsi="Century Schoolbook"/>
          <w:sz w:val="27"/>
          <w:szCs w:val="26"/>
        </w:rPr>
        <w:t xml:space="preserve">65 Cal.App.4th </w:t>
      </w:r>
      <w:r w:rsidR="00140D94" w:rsidRPr="00B7275B">
        <w:rPr>
          <w:rFonts w:ascii="Century Schoolbook" w:hAnsi="Century Schoolbook"/>
          <w:sz w:val="27"/>
          <w:szCs w:val="26"/>
        </w:rPr>
        <w:t>at p.</w:t>
      </w:r>
      <w:r w:rsidR="00B7275B">
        <w:rPr>
          <w:rFonts w:ascii="Century Schoolbook" w:hAnsi="Century Schoolbook"/>
          <w:sz w:val="27"/>
          <w:szCs w:val="26"/>
        </w:rPr>
        <w:t> </w:t>
      </w:r>
      <w:r w:rsidR="00F314F4" w:rsidRPr="00B7275B">
        <w:rPr>
          <w:rFonts w:ascii="Century Schoolbook" w:hAnsi="Century Schoolbook"/>
          <w:sz w:val="27"/>
          <w:szCs w:val="26"/>
        </w:rPr>
        <w:t>801</w:t>
      </w:r>
      <w:r w:rsidR="00140D94" w:rsidRPr="00B7275B">
        <w:rPr>
          <w:rFonts w:ascii="Century Schoolbook" w:hAnsi="Century Schoolbook"/>
          <w:sz w:val="27"/>
          <w:szCs w:val="26"/>
        </w:rPr>
        <w:t xml:space="preserve">; </w:t>
      </w:r>
      <w:r w:rsidR="00EF50E3" w:rsidRPr="00B7275B">
        <w:rPr>
          <w:rFonts w:ascii="Century Schoolbook" w:hAnsi="Century Schoolbook"/>
          <w:i/>
          <w:iCs/>
          <w:sz w:val="27"/>
          <w:szCs w:val="26"/>
        </w:rPr>
        <w:t>Knoettgen</w:t>
      </w:r>
      <w:r w:rsidR="00140D94" w:rsidRPr="00B7275B">
        <w:rPr>
          <w:rFonts w:ascii="Century Schoolbook" w:hAnsi="Century Schoolbook"/>
          <w:sz w:val="27"/>
          <w:szCs w:val="26"/>
        </w:rPr>
        <w:t>,</w:t>
      </w:r>
      <w:r w:rsidR="00522B54" w:rsidRPr="00B7275B">
        <w:rPr>
          <w:rFonts w:ascii="Century Schoolbook" w:hAnsi="Century Schoolbook"/>
          <w:sz w:val="27"/>
          <w:szCs w:val="26"/>
        </w:rPr>
        <w:t xml:space="preserve"> </w:t>
      </w:r>
      <w:r w:rsidR="00140D94" w:rsidRPr="00B7275B">
        <w:rPr>
          <w:rFonts w:ascii="Century Schoolbook" w:hAnsi="Century Schoolbook"/>
          <w:i/>
          <w:iCs/>
          <w:sz w:val="27"/>
          <w:szCs w:val="26"/>
        </w:rPr>
        <w:t>supra</w:t>
      </w:r>
      <w:r w:rsidR="00140D94" w:rsidRPr="00B7275B">
        <w:rPr>
          <w:rFonts w:ascii="Century Schoolbook" w:hAnsi="Century Schoolbook"/>
          <w:sz w:val="27"/>
          <w:szCs w:val="26"/>
        </w:rPr>
        <w:t>,</w:t>
      </w:r>
      <w:r w:rsidR="00522B54" w:rsidRPr="00B7275B">
        <w:rPr>
          <w:rFonts w:ascii="Century Schoolbook" w:hAnsi="Century Schoolbook"/>
          <w:sz w:val="27"/>
          <w:szCs w:val="26"/>
        </w:rPr>
        <w:t xml:space="preserve"> </w:t>
      </w:r>
      <w:r w:rsidR="00EF50E3" w:rsidRPr="00B7275B">
        <w:rPr>
          <w:rFonts w:ascii="Century Schoolbook" w:hAnsi="Century Schoolbook"/>
          <w:sz w:val="27"/>
          <w:szCs w:val="26"/>
        </w:rPr>
        <w:t>224</w:t>
      </w:r>
      <w:r w:rsidR="0058472D">
        <w:rPr>
          <w:rFonts w:ascii="Century Schoolbook" w:hAnsi="Century Schoolbook"/>
          <w:sz w:val="27"/>
          <w:szCs w:val="26"/>
        </w:rPr>
        <w:t> </w:t>
      </w:r>
      <w:r w:rsidR="00EF50E3" w:rsidRPr="00B7275B">
        <w:rPr>
          <w:rFonts w:ascii="Century Schoolbook" w:hAnsi="Century Schoolbook"/>
          <w:sz w:val="27"/>
          <w:szCs w:val="26"/>
        </w:rPr>
        <w:t xml:space="preserve">Cal.App.3d </w:t>
      </w:r>
      <w:r w:rsidR="00140D94" w:rsidRPr="00B7275B">
        <w:rPr>
          <w:rFonts w:ascii="Century Schoolbook" w:hAnsi="Century Schoolbook"/>
          <w:sz w:val="27"/>
          <w:szCs w:val="26"/>
        </w:rPr>
        <w:t>at pp.</w:t>
      </w:r>
      <w:r w:rsidR="00522B54" w:rsidRPr="00B7275B">
        <w:rPr>
          <w:rFonts w:ascii="Century Schoolbook" w:hAnsi="Century Schoolbook"/>
          <w:sz w:val="27"/>
          <w:szCs w:val="26"/>
        </w:rPr>
        <w:t> </w:t>
      </w:r>
      <w:r w:rsidR="00F314F4" w:rsidRPr="00B7275B">
        <w:rPr>
          <w:rFonts w:ascii="Century Schoolbook" w:hAnsi="Century Schoolbook"/>
          <w:sz w:val="27"/>
          <w:szCs w:val="26"/>
        </w:rPr>
        <w:t>14–15</w:t>
      </w:r>
      <w:r w:rsidR="00930F7C" w:rsidRPr="00B7275B">
        <w:rPr>
          <w:rFonts w:ascii="Century Schoolbook" w:hAnsi="Century Schoolbook"/>
          <w:sz w:val="27"/>
          <w:szCs w:val="26"/>
        </w:rPr>
        <w:t>.)</w:t>
      </w:r>
      <w:r>
        <w:rPr>
          <w:rStyle w:val="FootnoteReference"/>
          <w:bCs/>
          <w:szCs w:val="26"/>
        </w:rPr>
        <w:footnoteReference w:id="15"/>
      </w:r>
      <w:r w:rsidR="0093661F" w:rsidRPr="005C5E78">
        <w:rPr>
          <w:rFonts w:ascii="Century Schoolbook" w:hAnsi="Century Schoolbook"/>
          <w:sz w:val="27"/>
          <w:szCs w:val="26"/>
        </w:rPr>
        <w:t xml:space="preserve">  </w:t>
      </w:r>
    </w:p>
    <w:p w14:paraId="0DB2E7FD" w14:textId="77777777" w:rsidR="00951651" w:rsidRPr="00D665DF" w:rsidRDefault="002E6832">
      <w:pPr>
        <w:pStyle w:val="PlainText"/>
        <w:ind w:firstLine="720"/>
        <w:rPr>
          <w:rFonts w:ascii="Century Schoolbook" w:hAnsi="Century Schoolbook"/>
          <w:sz w:val="27"/>
          <w:szCs w:val="27"/>
        </w:rPr>
      </w:pPr>
      <w:r w:rsidRPr="005C5E78">
        <w:rPr>
          <w:rFonts w:ascii="Century Schoolbook" w:hAnsi="Century Schoolbook"/>
          <w:sz w:val="27"/>
          <w:szCs w:val="26"/>
        </w:rPr>
        <w:t>A</w:t>
      </w:r>
      <w:r w:rsidR="006F5CD3" w:rsidRPr="005C5E78">
        <w:rPr>
          <w:rFonts w:ascii="Century Schoolbook" w:hAnsi="Century Schoolbook"/>
          <w:sz w:val="27"/>
          <w:szCs w:val="26"/>
        </w:rPr>
        <w:t>n</w:t>
      </w:r>
      <w:r w:rsidR="00D17457" w:rsidRPr="005C5E78">
        <w:rPr>
          <w:rFonts w:ascii="Century Schoolbook" w:hAnsi="Century Schoolbook"/>
          <w:sz w:val="27"/>
          <w:szCs w:val="26"/>
        </w:rPr>
        <w:t>d</w:t>
      </w:r>
      <w:r w:rsidR="006F5CD3" w:rsidRPr="005C5E78">
        <w:rPr>
          <w:rFonts w:ascii="Century Schoolbook" w:hAnsi="Century Schoolbook"/>
          <w:sz w:val="27"/>
          <w:szCs w:val="26"/>
        </w:rPr>
        <w:t xml:space="preserve"> yet</w:t>
      </w:r>
      <w:r w:rsidR="00EA009C" w:rsidRPr="005C5E78">
        <w:rPr>
          <w:rFonts w:ascii="Century Schoolbook" w:hAnsi="Century Schoolbook"/>
          <w:sz w:val="27"/>
          <w:szCs w:val="26"/>
        </w:rPr>
        <w:t xml:space="preserve"> </w:t>
      </w:r>
      <w:r w:rsidR="006B1058" w:rsidRPr="005C5E78">
        <w:rPr>
          <w:rFonts w:ascii="Century Schoolbook" w:hAnsi="Century Schoolbook"/>
          <w:sz w:val="27"/>
          <w:szCs w:val="26"/>
        </w:rPr>
        <w:t xml:space="preserve">the record does not indicate that the trial court </w:t>
      </w:r>
      <w:r w:rsidR="0039008E" w:rsidRPr="005C5E78">
        <w:rPr>
          <w:rFonts w:ascii="Century Schoolbook" w:hAnsi="Century Schoolbook"/>
          <w:sz w:val="27"/>
          <w:szCs w:val="26"/>
        </w:rPr>
        <w:t>approach</w:t>
      </w:r>
      <w:r w:rsidR="003227D5" w:rsidRPr="005C5E78">
        <w:rPr>
          <w:rFonts w:ascii="Century Schoolbook" w:hAnsi="Century Schoolbook"/>
          <w:sz w:val="27"/>
          <w:szCs w:val="26"/>
        </w:rPr>
        <w:t>ed</w:t>
      </w:r>
      <w:r w:rsidR="0039008E" w:rsidRPr="005C5E78">
        <w:rPr>
          <w:rFonts w:ascii="Century Schoolbook" w:hAnsi="Century Schoolbook"/>
          <w:sz w:val="27"/>
          <w:szCs w:val="26"/>
        </w:rPr>
        <w:t xml:space="preserve"> </w:t>
      </w:r>
      <w:r w:rsidR="00D9722E" w:rsidRPr="005C5E78">
        <w:rPr>
          <w:rFonts w:ascii="Century Schoolbook" w:hAnsi="Century Schoolbook"/>
          <w:sz w:val="27"/>
          <w:szCs w:val="26"/>
        </w:rPr>
        <w:t xml:space="preserve">its analysis </w:t>
      </w:r>
      <w:r w:rsidR="000A5856" w:rsidRPr="005C5E78">
        <w:rPr>
          <w:rFonts w:ascii="Century Schoolbook" w:hAnsi="Century Schoolbook"/>
          <w:sz w:val="27"/>
          <w:szCs w:val="26"/>
        </w:rPr>
        <w:t xml:space="preserve">concerning </w:t>
      </w:r>
      <w:r w:rsidR="00EA009C" w:rsidRPr="005C5E78">
        <w:rPr>
          <w:rFonts w:ascii="Century Schoolbook" w:hAnsi="Century Schoolbook"/>
          <w:sz w:val="27"/>
          <w:szCs w:val="26"/>
        </w:rPr>
        <w:t xml:space="preserve">prejudicial effect under section 352 </w:t>
      </w:r>
      <w:r w:rsidR="00352513" w:rsidRPr="005C5E78">
        <w:rPr>
          <w:rFonts w:ascii="Century Schoolbook" w:hAnsi="Century Schoolbook"/>
          <w:sz w:val="27"/>
          <w:szCs w:val="26"/>
        </w:rPr>
        <w:t xml:space="preserve">with the solicitude that we contemplated </w:t>
      </w:r>
      <w:r w:rsidR="003777A5" w:rsidRPr="005C5E78">
        <w:rPr>
          <w:rFonts w:ascii="Century Schoolbook" w:hAnsi="Century Schoolbook"/>
          <w:sz w:val="27"/>
          <w:szCs w:val="26"/>
        </w:rPr>
        <w:t xml:space="preserve">in </w:t>
      </w:r>
      <w:r w:rsidR="00344074" w:rsidRPr="005C5E78">
        <w:rPr>
          <w:rFonts w:ascii="Century Schoolbook" w:hAnsi="Century Schoolbook"/>
          <w:i/>
          <w:iCs/>
          <w:sz w:val="27"/>
          <w:szCs w:val="26"/>
        </w:rPr>
        <w:t>Fontana</w:t>
      </w:r>
      <w:r w:rsidR="00344074" w:rsidRPr="005C5E78">
        <w:rPr>
          <w:rFonts w:ascii="Century Schoolbook" w:hAnsi="Century Schoolbook"/>
          <w:sz w:val="27"/>
          <w:szCs w:val="26"/>
        </w:rPr>
        <w:t xml:space="preserve">, </w:t>
      </w:r>
      <w:r w:rsidR="00344074" w:rsidRPr="005C5E78">
        <w:rPr>
          <w:rFonts w:ascii="Century Schoolbook" w:hAnsi="Century Schoolbook"/>
          <w:i/>
          <w:iCs/>
          <w:sz w:val="27"/>
          <w:szCs w:val="26"/>
        </w:rPr>
        <w:t>supra</w:t>
      </w:r>
      <w:r w:rsidR="00344074" w:rsidRPr="005C5E78">
        <w:rPr>
          <w:rFonts w:ascii="Century Schoolbook" w:hAnsi="Century Schoolbook"/>
          <w:sz w:val="27"/>
          <w:szCs w:val="26"/>
        </w:rPr>
        <w:t>,</w:t>
      </w:r>
      <w:r w:rsidR="00522B54" w:rsidRPr="005C5E78">
        <w:rPr>
          <w:rFonts w:ascii="Century Schoolbook" w:hAnsi="Century Schoolbook"/>
          <w:sz w:val="27"/>
          <w:szCs w:val="26"/>
        </w:rPr>
        <w:t xml:space="preserve"> </w:t>
      </w:r>
      <w:r w:rsidR="00344074" w:rsidRPr="005C5E78">
        <w:rPr>
          <w:rFonts w:ascii="Century Schoolbook" w:hAnsi="Century Schoolbook"/>
          <w:sz w:val="27"/>
          <w:szCs w:val="26"/>
        </w:rPr>
        <w:t xml:space="preserve">49 Cal.4th </w:t>
      </w:r>
      <w:r w:rsidR="003F0FBF" w:rsidRPr="005C5E78">
        <w:rPr>
          <w:rFonts w:ascii="Century Schoolbook" w:hAnsi="Century Schoolbook"/>
          <w:sz w:val="27"/>
          <w:szCs w:val="26"/>
        </w:rPr>
        <w:t xml:space="preserve">at page 370, </w:t>
      </w:r>
      <w:r w:rsidR="009D78AE" w:rsidRPr="005C5E78">
        <w:rPr>
          <w:rFonts w:ascii="Century Schoolbook" w:hAnsi="Century Schoolbook"/>
          <w:sz w:val="27"/>
          <w:szCs w:val="26"/>
        </w:rPr>
        <w:t>by k</w:t>
      </w:r>
      <w:r w:rsidR="008774D1" w:rsidRPr="005C5E78">
        <w:rPr>
          <w:rFonts w:ascii="Century Schoolbook" w:hAnsi="Century Schoolbook"/>
          <w:sz w:val="27"/>
          <w:szCs w:val="26"/>
        </w:rPr>
        <w:t xml:space="preserve">eeping </w:t>
      </w:r>
      <w:r w:rsidR="00AA372F" w:rsidRPr="005C5E78">
        <w:rPr>
          <w:rFonts w:ascii="Century Schoolbook" w:hAnsi="Century Schoolbook"/>
          <w:sz w:val="27"/>
          <w:szCs w:val="26"/>
        </w:rPr>
        <w:t xml:space="preserve">in </w:t>
      </w:r>
      <w:r w:rsidR="008774D1" w:rsidRPr="005C5E78">
        <w:rPr>
          <w:rFonts w:ascii="Century Schoolbook" w:hAnsi="Century Schoolbook"/>
          <w:sz w:val="27"/>
          <w:szCs w:val="26"/>
        </w:rPr>
        <w:t xml:space="preserve">mind </w:t>
      </w:r>
      <w:r w:rsidR="00474FE6" w:rsidRPr="005C5E78">
        <w:rPr>
          <w:rFonts w:ascii="Century Schoolbook" w:hAnsi="Century Schoolbook"/>
          <w:sz w:val="27"/>
          <w:szCs w:val="26"/>
        </w:rPr>
        <w:t>“</w:t>
      </w:r>
      <w:r w:rsidR="00054473" w:rsidRPr="005C5E78">
        <w:rPr>
          <w:rFonts w:ascii="Century Schoolbook" w:hAnsi="Century Schoolbook"/>
          <w:sz w:val="27"/>
          <w:szCs w:val="26"/>
        </w:rPr>
        <w:t>the policy of</w:t>
      </w:r>
      <w:r w:rsidR="00A81424">
        <w:rPr>
          <w:rFonts w:ascii="Century Schoolbook" w:hAnsi="Century Schoolbook"/>
          <w:sz w:val="27"/>
          <w:szCs w:val="26"/>
        </w:rPr>
        <w:t xml:space="preserve"> </w:t>
      </w:r>
      <w:r w:rsidR="003B2FCC" w:rsidRPr="005C5E78">
        <w:rPr>
          <w:rFonts w:ascii="Century Schoolbook" w:hAnsi="Century Schoolbook"/>
          <w:sz w:val="27"/>
          <w:szCs w:val="26"/>
        </w:rPr>
        <w:t>. . .</w:t>
      </w:r>
      <w:r w:rsidR="00A81424">
        <w:rPr>
          <w:rFonts w:ascii="Century Schoolbook" w:hAnsi="Century Schoolbook"/>
          <w:sz w:val="27"/>
          <w:szCs w:val="26"/>
        </w:rPr>
        <w:t xml:space="preserve"> </w:t>
      </w:r>
      <w:r w:rsidR="00054473" w:rsidRPr="005C5E78">
        <w:rPr>
          <w:rFonts w:ascii="Century Schoolbook" w:hAnsi="Century Schoolbook"/>
          <w:sz w:val="27"/>
          <w:szCs w:val="26"/>
        </w:rPr>
        <w:t>‘guard</w:t>
      </w:r>
      <w:r w:rsidR="000C3CDB" w:rsidRPr="005C5E78">
        <w:rPr>
          <w:rFonts w:ascii="Century Schoolbook" w:hAnsi="Century Schoolbook"/>
          <w:sz w:val="27"/>
          <w:szCs w:val="26"/>
        </w:rPr>
        <w:t xml:space="preserve">[ing] </w:t>
      </w:r>
      <w:r w:rsidR="00054473" w:rsidRPr="005C5E78">
        <w:rPr>
          <w:rFonts w:ascii="Century Schoolbook" w:hAnsi="Century Schoolbook"/>
          <w:sz w:val="27"/>
          <w:szCs w:val="26"/>
        </w:rPr>
        <w:t>against unwarranted intrusion into the victim’s private life.’ ”</w:t>
      </w:r>
      <w:r w:rsidR="000C3CDB" w:rsidRPr="005C5E78">
        <w:rPr>
          <w:rFonts w:ascii="Century Schoolbook" w:hAnsi="Century Schoolbook"/>
          <w:sz w:val="27"/>
          <w:szCs w:val="26"/>
        </w:rPr>
        <w:t xml:space="preserve"> </w:t>
      </w:r>
      <w:r w:rsidR="002D5275" w:rsidRPr="005C5E78">
        <w:rPr>
          <w:rFonts w:ascii="Century Schoolbook" w:hAnsi="Century Schoolbook"/>
          <w:sz w:val="27"/>
          <w:szCs w:val="26"/>
        </w:rPr>
        <w:t xml:space="preserve"> </w:t>
      </w:r>
      <w:r w:rsidR="007A262B">
        <w:rPr>
          <w:rFonts w:ascii="Century Schoolbook" w:hAnsi="Century Schoolbook"/>
          <w:sz w:val="27"/>
          <w:szCs w:val="26"/>
        </w:rPr>
        <w:t xml:space="preserve">Nor does </w:t>
      </w:r>
      <w:r w:rsidR="00E32383">
        <w:rPr>
          <w:rFonts w:ascii="Century Schoolbook" w:hAnsi="Century Schoolbook"/>
          <w:sz w:val="27"/>
          <w:szCs w:val="26"/>
        </w:rPr>
        <w:t>th</w:t>
      </w:r>
      <w:r w:rsidR="00733439" w:rsidRPr="005C5E78">
        <w:rPr>
          <w:rFonts w:ascii="Century Schoolbook" w:hAnsi="Century Schoolbook"/>
          <w:sz w:val="27"/>
          <w:szCs w:val="26"/>
        </w:rPr>
        <w:t xml:space="preserve">e record reflect </w:t>
      </w:r>
      <w:r w:rsidR="006E186D" w:rsidRPr="005C5E78">
        <w:rPr>
          <w:rFonts w:ascii="Century Schoolbook" w:hAnsi="Century Schoolbook"/>
          <w:sz w:val="27"/>
          <w:szCs w:val="26"/>
        </w:rPr>
        <w:t xml:space="preserve">that </w:t>
      </w:r>
      <w:r w:rsidR="003D4795" w:rsidRPr="005C5E78">
        <w:rPr>
          <w:rFonts w:ascii="Century Schoolbook" w:hAnsi="Century Schoolbook"/>
          <w:sz w:val="27"/>
          <w:szCs w:val="26"/>
        </w:rPr>
        <w:t>the trial court</w:t>
      </w:r>
      <w:r w:rsidR="00C96F3F" w:rsidRPr="005C5E78">
        <w:rPr>
          <w:rFonts w:ascii="Century Schoolbook" w:hAnsi="Century Schoolbook"/>
          <w:sz w:val="27"/>
          <w:szCs w:val="26"/>
        </w:rPr>
        <w:t xml:space="preserve"> </w:t>
      </w:r>
      <w:r w:rsidR="00D41F47" w:rsidRPr="005C5E78">
        <w:rPr>
          <w:rFonts w:ascii="Century Schoolbook" w:hAnsi="Century Schoolbook"/>
          <w:sz w:val="27"/>
          <w:szCs w:val="26"/>
        </w:rPr>
        <w:t>or</w:t>
      </w:r>
      <w:r w:rsidR="00A711C3" w:rsidRPr="005C5E78">
        <w:rPr>
          <w:rFonts w:ascii="Century Schoolbook" w:hAnsi="Century Schoolbook"/>
          <w:sz w:val="27"/>
          <w:szCs w:val="26"/>
        </w:rPr>
        <w:t xml:space="preserve"> </w:t>
      </w:r>
      <w:r w:rsidR="0085420D" w:rsidRPr="005C5E78">
        <w:rPr>
          <w:rFonts w:ascii="Century Schoolbook" w:hAnsi="Century Schoolbook"/>
          <w:sz w:val="27"/>
          <w:szCs w:val="26"/>
        </w:rPr>
        <w:t xml:space="preserve">the Court of Appeal </w:t>
      </w:r>
      <w:r w:rsidR="003B3920" w:rsidRPr="005C5E78">
        <w:rPr>
          <w:rFonts w:ascii="Century Schoolbook" w:hAnsi="Century Schoolbook"/>
          <w:sz w:val="27"/>
          <w:szCs w:val="26"/>
        </w:rPr>
        <w:t xml:space="preserve">conducted </w:t>
      </w:r>
      <w:r w:rsidR="009378B1" w:rsidRPr="005C5E78">
        <w:rPr>
          <w:rFonts w:ascii="Century Schoolbook" w:hAnsi="Century Schoolbook"/>
          <w:sz w:val="27"/>
          <w:szCs w:val="26"/>
        </w:rPr>
        <w:t xml:space="preserve">an appropriate </w:t>
      </w:r>
      <w:r w:rsidR="00074639" w:rsidRPr="005C5E78">
        <w:rPr>
          <w:rFonts w:ascii="Century Schoolbook" w:hAnsi="Century Schoolbook"/>
          <w:sz w:val="27"/>
          <w:szCs w:val="26"/>
        </w:rPr>
        <w:t>section</w:t>
      </w:r>
      <w:r w:rsidR="00F254C5">
        <w:rPr>
          <w:rFonts w:ascii="Century Schoolbook" w:hAnsi="Century Schoolbook"/>
          <w:sz w:val="27"/>
          <w:szCs w:val="26"/>
        </w:rPr>
        <w:t> </w:t>
      </w:r>
      <w:r w:rsidR="00526C03" w:rsidRPr="005C5E78">
        <w:rPr>
          <w:rFonts w:ascii="Century Schoolbook" w:hAnsi="Century Schoolbook"/>
          <w:sz w:val="27"/>
          <w:szCs w:val="26"/>
        </w:rPr>
        <w:t xml:space="preserve">352 analysis </w:t>
      </w:r>
      <w:r w:rsidR="00E127D6" w:rsidRPr="005C5E78">
        <w:rPr>
          <w:rFonts w:ascii="Century Schoolbook" w:hAnsi="Century Schoolbook"/>
          <w:sz w:val="27"/>
          <w:szCs w:val="26"/>
        </w:rPr>
        <w:t xml:space="preserve">under </w:t>
      </w:r>
      <w:r w:rsidR="002C211B" w:rsidRPr="005C5E78">
        <w:rPr>
          <w:rFonts w:ascii="Century Schoolbook" w:hAnsi="Century Schoolbook"/>
          <w:sz w:val="27"/>
          <w:szCs w:val="26"/>
        </w:rPr>
        <w:t xml:space="preserve">the applicable </w:t>
      </w:r>
      <w:r w:rsidR="00B05869" w:rsidRPr="005C5E78">
        <w:rPr>
          <w:rFonts w:ascii="Century Schoolbook" w:hAnsi="Century Schoolbook"/>
          <w:sz w:val="27"/>
          <w:szCs w:val="26"/>
        </w:rPr>
        <w:t xml:space="preserve">civil law </w:t>
      </w:r>
      <w:r w:rsidR="002C211B" w:rsidRPr="005C5E78">
        <w:rPr>
          <w:rFonts w:ascii="Century Schoolbook" w:hAnsi="Century Schoolbook"/>
          <w:sz w:val="27"/>
          <w:szCs w:val="26"/>
        </w:rPr>
        <w:t>statu</w:t>
      </w:r>
      <w:r w:rsidR="000A703A" w:rsidRPr="005C5E78">
        <w:rPr>
          <w:rFonts w:ascii="Century Schoolbook" w:hAnsi="Century Schoolbook"/>
          <w:sz w:val="27"/>
          <w:szCs w:val="26"/>
        </w:rPr>
        <w:t>t</w:t>
      </w:r>
      <w:r w:rsidR="002C211B" w:rsidRPr="005C5E78">
        <w:rPr>
          <w:rFonts w:ascii="Century Schoolbook" w:hAnsi="Century Schoolbook"/>
          <w:sz w:val="27"/>
          <w:szCs w:val="26"/>
        </w:rPr>
        <w:t>es, sect</w:t>
      </w:r>
      <w:r w:rsidR="00B05869" w:rsidRPr="005C5E78">
        <w:rPr>
          <w:rFonts w:ascii="Century Schoolbook" w:hAnsi="Century Schoolbook"/>
          <w:sz w:val="27"/>
          <w:szCs w:val="26"/>
        </w:rPr>
        <w:t>ions</w:t>
      </w:r>
      <w:r w:rsidR="005C5E78">
        <w:rPr>
          <w:rFonts w:ascii="Century Schoolbook" w:hAnsi="Century Schoolbook"/>
          <w:sz w:val="27"/>
          <w:szCs w:val="26"/>
        </w:rPr>
        <w:t> </w:t>
      </w:r>
      <w:r w:rsidR="00B05869" w:rsidRPr="005C5E78">
        <w:rPr>
          <w:rFonts w:ascii="Century Schoolbook" w:hAnsi="Century Schoolbook"/>
          <w:sz w:val="27"/>
          <w:szCs w:val="26"/>
        </w:rPr>
        <w:t>1106 and 783</w:t>
      </w:r>
      <w:r w:rsidR="009378B1" w:rsidRPr="005C5E78">
        <w:rPr>
          <w:rFonts w:ascii="Century Schoolbook" w:hAnsi="Century Schoolbook"/>
          <w:sz w:val="27"/>
          <w:szCs w:val="26"/>
        </w:rPr>
        <w:t xml:space="preserve">.  </w:t>
      </w:r>
    </w:p>
    <w:p w14:paraId="0DB2E7FE" w14:textId="77777777" w:rsidR="000F2B56" w:rsidRPr="000B3D00" w:rsidRDefault="002E6832">
      <w:pPr>
        <w:pStyle w:val="PlainText"/>
        <w:ind w:firstLine="720"/>
        <w:rPr>
          <w:rFonts w:ascii="Century Schoolbook" w:hAnsi="Century Schoolbook"/>
          <w:sz w:val="27"/>
          <w:szCs w:val="27"/>
        </w:rPr>
      </w:pPr>
      <w:r w:rsidRPr="00CC405A">
        <w:rPr>
          <w:rFonts w:ascii="Century Schoolbook" w:hAnsi="Century Schoolbook"/>
          <w:sz w:val="27"/>
          <w:szCs w:val="27"/>
        </w:rPr>
        <w:t xml:space="preserve">As a general matter, section 352 is concerned with how certain evidence might skew </w:t>
      </w:r>
      <w:r w:rsidR="002B0295" w:rsidRPr="00CC405A">
        <w:rPr>
          <w:rFonts w:ascii="Century Schoolbook" w:hAnsi="Century Schoolbook"/>
          <w:sz w:val="27"/>
          <w:szCs w:val="27"/>
        </w:rPr>
        <w:t xml:space="preserve">a </w:t>
      </w:r>
      <w:r w:rsidRPr="00CC405A">
        <w:rPr>
          <w:rFonts w:ascii="Century Schoolbook" w:hAnsi="Century Schoolbook"/>
          <w:sz w:val="27"/>
          <w:szCs w:val="27"/>
        </w:rPr>
        <w:t xml:space="preserve">jury’s logical and dispassionate </w:t>
      </w:r>
      <w:r w:rsidRPr="00CC405A">
        <w:rPr>
          <w:rFonts w:ascii="Century Schoolbook" w:hAnsi="Century Schoolbook"/>
          <w:sz w:val="27"/>
          <w:szCs w:val="27"/>
        </w:rPr>
        <w:lastRenderedPageBreak/>
        <w:t>consideration</w:t>
      </w:r>
      <w:r w:rsidR="002714B4" w:rsidRPr="000B3D00">
        <w:rPr>
          <w:rFonts w:ascii="Century Schoolbook" w:hAnsi="Century Schoolbook"/>
          <w:sz w:val="27"/>
          <w:szCs w:val="27"/>
        </w:rPr>
        <w:t xml:space="preserve"> of evidence</w:t>
      </w:r>
      <w:r w:rsidR="00D60649" w:rsidRPr="000B3D00">
        <w:rPr>
          <w:rFonts w:ascii="Century Schoolbook" w:hAnsi="Century Schoolbook"/>
          <w:sz w:val="27"/>
          <w:szCs w:val="27"/>
        </w:rPr>
        <w:t xml:space="preserve">, </w:t>
      </w:r>
      <w:r w:rsidRPr="00CC405A">
        <w:rPr>
          <w:rFonts w:ascii="Century Schoolbook" w:hAnsi="Century Schoolbook"/>
          <w:sz w:val="27"/>
          <w:szCs w:val="27"/>
        </w:rPr>
        <w:t xml:space="preserve">or otherwise </w:t>
      </w:r>
      <w:r w:rsidR="0004324E">
        <w:rPr>
          <w:rFonts w:ascii="Century Schoolbook" w:hAnsi="Century Schoolbook"/>
          <w:sz w:val="27"/>
          <w:szCs w:val="27"/>
        </w:rPr>
        <w:t xml:space="preserve">contribute </w:t>
      </w:r>
      <w:r w:rsidRPr="00CC405A">
        <w:rPr>
          <w:rFonts w:ascii="Century Schoolbook" w:hAnsi="Century Schoolbook"/>
          <w:sz w:val="27"/>
          <w:szCs w:val="27"/>
        </w:rPr>
        <w:t>confus</w:t>
      </w:r>
      <w:r w:rsidR="0004324E">
        <w:rPr>
          <w:rFonts w:ascii="Century Schoolbook" w:hAnsi="Century Schoolbook"/>
          <w:sz w:val="27"/>
          <w:szCs w:val="27"/>
        </w:rPr>
        <w:t xml:space="preserve">ion to </w:t>
      </w:r>
      <w:r w:rsidRPr="00CC405A">
        <w:rPr>
          <w:rFonts w:ascii="Century Schoolbook" w:hAnsi="Century Schoolbook"/>
          <w:sz w:val="27"/>
          <w:szCs w:val="27"/>
        </w:rPr>
        <w:t xml:space="preserve">or delay </w:t>
      </w:r>
      <w:r w:rsidR="00372CD3" w:rsidRPr="000B3D00">
        <w:rPr>
          <w:rFonts w:ascii="Century Schoolbook" w:hAnsi="Century Schoolbook"/>
          <w:sz w:val="27"/>
          <w:szCs w:val="27"/>
        </w:rPr>
        <w:t xml:space="preserve">a </w:t>
      </w:r>
      <w:r w:rsidRPr="00CC405A">
        <w:rPr>
          <w:rFonts w:ascii="Century Schoolbook" w:hAnsi="Century Schoolbook"/>
          <w:sz w:val="27"/>
          <w:szCs w:val="27"/>
        </w:rPr>
        <w:t>trial.</w:t>
      </w:r>
      <w:r w:rsidR="002B0295" w:rsidRPr="00CC405A">
        <w:rPr>
          <w:rFonts w:ascii="Century Schoolbook" w:hAnsi="Century Schoolbook"/>
          <w:sz w:val="27"/>
          <w:szCs w:val="27"/>
        </w:rPr>
        <w:t xml:space="preserve">  </w:t>
      </w:r>
      <w:r w:rsidR="00DD0770" w:rsidRPr="000B3D00">
        <w:rPr>
          <w:rFonts w:ascii="Century Schoolbook" w:hAnsi="Century Schoolbook"/>
          <w:sz w:val="27"/>
          <w:szCs w:val="27"/>
        </w:rPr>
        <w:t>In this res</w:t>
      </w:r>
      <w:r w:rsidR="00764539" w:rsidRPr="000B3D00">
        <w:rPr>
          <w:rFonts w:ascii="Century Schoolbook" w:hAnsi="Century Schoolbook"/>
          <w:sz w:val="27"/>
          <w:szCs w:val="27"/>
        </w:rPr>
        <w:t>p</w:t>
      </w:r>
      <w:r w:rsidR="00DD0770" w:rsidRPr="000B3D00">
        <w:rPr>
          <w:rFonts w:ascii="Century Schoolbook" w:hAnsi="Century Schoolbook"/>
          <w:sz w:val="27"/>
          <w:szCs w:val="27"/>
        </w:rPr>
        <w:t>ect</w:t>
      </w:r>
      <w:r w:rsidR="00FD6F59" w:rsidRPr="00CC405A">
        <w:rPr>
          <w:rFonts w:ascii="Century Schoolbook" w:hAnsi="Century Schoolbook"/>
          <w:sz w:val="27"/>
          <w:szCs w:val="27"/>
        </w:rPr>
        <w:t>,</w:t>
      </w:r>
      <w:r w:rsidR="00DD0770" w:rsidRPr="000B3D00">
        <w:rPr>
          <w:rFonts w:ascii="Century Schoolbook" w:hAnsi="Century Schoolbook"/>
          <w:sz w:val="27"/>
          <w:szCs w:val="27"/>
        </w:rPr>
        <w:t xml:space="preserve"> </w:t>
      </w:r>
      <w:r w:rsidR="00C40741" w:rsidRPr="00CC405A">
        <w:rPr>
          <w:rFonts w:ascii="Century Schoolbook" w:hAnsi="Century Schoolbook"/>
          <w:sz w:val="27"/>
          <w:szCs w:val="27"/>
        </w:rPr>
        <w:t xml:space="preserve">section </w:t>
      </w:r>
      <w:r w:rsidR="009D3E52" w:rsidRPr="000B3D00">
        <w:rPr>
          <w:rFonts w:ascii="Century Schoolbook" w:hAnsi="Century Schoolbook"/>
          <w:sz w:val="27"/>
          <w:szCs w:val="27"/>
        </w:rPr>
        <w:t xml:space="preserve">352 </w:t>
      </w:r>
      <w:r w:rsidR="001F3BB8" w:rsidRPr="00CC405A">
        <w:rPr>
          <w:rFonts w:ascii="Century Schoolbook" w:hAnsi="Century Schoolbook"/>
          <w:sz w:val="27"/>
          <w:szCs w:val="27"/>
        </w:rPr>
        <w:t>requi</w:t>
      </w:r>
      <w:r w:rsidR="002B0232" w:rsidRPr="00CC405A">
        <w:rPr>
          <w:rFonts w:ascii="Century Schoolbook" w:hAnsi="Century Schoolbook"/>
          <w:sz w:val="27"/>
          <w:szCs w:val="27"/>
        </w:rPr>
        <w:t>r</w:t>
      </w:r>
      <w:r w:rsidR="001F3BB8" w:rsidRPr="00CC405A">
        <w:rPr>
          <w:rFonts w:ascii="Century Schoolbook" w:hAnsi="Century Schoolbook"/>
          <w:sz w:val="27"/>
          <w:szCs w:val="27"/>
        </w:rPr>
        <w:t xml:space="preserve">es </w:t>
      </w:r>
      <w:r w:rsidR="00C40741" w:rsidRPr="00CC405A">
        <w:rPr>
          <w:rFonts w:ascii="Century Schoolbook" w:hAnsi="Century Schoolbook"/>
          <w:sz w:val="27"/>
          <w:szCs w:val="27"/>
        </w:rPr>
        <w:t xml:space="preserve">courts to </w:t>
      </w:r>
      <w:r w:rsidRPr="00CC405A">
        <w:rPr>
          <w:rFonts w:ascii="Century Schoolbook" w:hAnsi="Century Schoolbook"/>
          <w:sz w:val="27"/>
          <w:szCs w:val="27"/>
        </w:rPr>
        <w:t xml:space="preserve">consider, in part, whether the evidence in question might unduly prejudice the party against whom it is offered. </w:t>
      </w:r>
      <w:r w:rsidR="00BE5EBC" w:rsidRPr="00CC405A">
        <w:rPr>
          <w:rFonts w:ascii="Century Schoolbook" w:hAnsi="Century Schoolbook"/>
          <w:sz w:val="27"/>
          <w:szCs w:val="27"/>
        </w:rPr>
        <w:t xml:space="preserve"> </w:t>
      </w:r>
      <w:r w:rsidRPr="00CC405A">
        <w:rPr>
          <w:rFonts w:ascii="Century Schoolbook" w:hAnsi="Century Schoolbook"/>
          <w:sz w:val="27"/>
          <w:szCs w:val="27"/>
        </w:rPr>
        <w:t>(See generally Simons,</w:t>
      </w:r>
      <w:r w:rsidR="00C40741" w:rsidRPr="00CC405A">
        <w:rPr>
          <w:rFonts w:ascii="Century Schoolbook" w:hAnsi="Century Schoolbook"/>
          <w:sz w:val="27"/>
          <w:szCs w:val="27"/>
        </w:rPr>
        <w:t xml:space="preserve"> </w:t>
      </w:r>
      <w:r w:rsidR="00300BB4" w:rsidRPr="00CC405A">
        <w:rPr>
          <w:rFonts w:ascii="Century Schoolbook" w:hAnsi="Century Schoolbook"/>
          <w:sz w:val="27"/>
          <w:szCs w:val="27"/>
        </w:rPr>
        <w:t>Cal</w:t>
      </w:r>
      <w:r w:rsidR="00300BB4">
        <w:rPr>
          <w:rFonts w:ascii="Century Schoolbook" w:hAnsi="Century Schoolbook"/>
          <w:sz w:val="27"/>
          <w:szCs w:val="27"/>
        </w:rPr>
        <w:t>.</w:t>
      </w:r>
      <w:r w:rsidR="00300BB4" w:rsidRPr="00CC405A">
        <w:rPr>
          <w:rFonts w:ascii="Century Schoolbook" w:hAnsi="Century Schoolbook"/>
          <w:sz w:val="27"/>
          <w:szCs w:val="27"/>
        </w:rPr>
        <w:t xml:space="preserve"> </w:t>
      </w:r>
      <w:r w:rsidRPr="00CC405A">
        <w:rPr>
          <w:rFonts w:ascii="Century Schoolbook" w:hAnsi="Century Schoolbook"/>
          <w:sz w:val="27"/>
          <w:szCs w:val="27"/>
        </w:rPr>
        <w:t>Evidence Manual (</w:t>
      </w:r>
      <w:r w:rsidR="00D338FF" w:rsidRPr="00CC405A">
        <w:rPr>
          <w:rFonts w:ascii="Century Schoolbook" w:hAnsi="Century Schoolbook"/>
          <w:sz w:val="27"/>
          <w:szCs w:val="27"/>
        </w:rPr>
        <w:t xml:space="preserve">Dec. </w:t>
      </w:r>
      <w:r w:rsidRPr="00CC405A">
        <w:rPr>
          <w:rFonts w:ascii="Century Schoolbook" w:hAnsi="Century Schoolbook"/>
          <w:sz w:val="27"/>
          <w:szCs w:val="27"/>
        </w:rPr>
        <w:t>2022)</w:t>
      </w:r>
      <w:r w:rsidR="00BE5EBC" w:rsidRPr="00CC405A">
        <w:rPr>
          <w:rFonts w:ascii="Century Schoolbook" w:hAnsi="Century Schoolbook"/>
          <w:sz w:val="27"/>
          <w:szCs w:val="27"/>
        </w:rPr>
        <w:t xml:space="preserve"> § </w:t>
      </w:r>
      <w:r w:rsidRPr="00CC405A">
        <w:rPr>
          <w:rFonts w:ascii="Century Schoolbook" w:hAnsi="Century Schoolbook"/>
          <w:sz w:val="27"/>
          <w:szCs w:val="27"/>
        </w:rPr>
        <w:t xml:space="preserve">1:25 et </w:t>
      </w:r>
      <w:r w:rsidR="00BE5EBC" w:rsidRPr="00CC405A">
        <w:rPr>
          <w:rFonts w:ascii="Century Schoolbook" w:hAnsi="Century Schoolbook"/>
          <w:sz w:val="27"/>
          <w:szCs w:val="27"/>
        </w:rPr>
        <w:t>seq.</w:t>
      </w:r>
      <w:r w:rsidR="009D1CFD" w:rsidRPr="00CC405A">
        <w:rPr>
          <w:rFonts w:ascii="Century Schoolbook" w:hAnsi="Century Schoolbook"/>
          <w:sz w:val="27"/>
          <w:szCs w:val="27"/>
        </w:rPr>
        <w:t xml:space="preserve"> [hereinafter </w:t>
      </w:r>
      <w:r w:rsidR="009E4D3D" w:rsidRPr="00CC405A">
        <w:rPr>
          <w:rFonts w:ascii="Century Schoolbook" w:hAnsi="Century Schoolbook"/>
          <w:sz w:val="27"/>
          <w:szCs w:val="27"/>
        </w:rPr>
        <w:t>California Evidence Manual].</w:t>
      </w:r>
      <w:r w:rsidRPr="00CC405A">
        <w:rPr>
          <w:rFonts w:ascii="Century Schoolbook" w:hAnsi="Century Schoolbook"/>
          <w:sz w:val="27"/>
          <w:szCs w:val="27"/>
        </w:rPr>
        <w:t>)</w:t>
      </w:r>
      <w:r>
        <w:rPr>
          <w:rStyle w:val="FootnoteReference"/>
          <w:szCs w:val="27"/>
        </w:rPr>
        <w:footnoteReference w:id="16"/>
      </w:r>
    </w:p>
    <w:p w14:paraId="0DB2E7FF" w14:textId="77777777" w:rsidR="00872AD6" w:rsidRPr="000B3D00" w:rsidRDefault="002E6832" w:rsidP="002362E1">
      <w:pPr>
        <w:pStyle w:val="PlainText"/>
        <w:ind w:firstLine="720"/>
        <w:rPr>
          <w:rFonts w:ascii="Century Schoolbook" w:hAnsi="Century Schoolbook"/>
          <w:sz w:val="27"/>
          <w:szCs w:val="27"/>
        </w:rPr>
      </w:pPr>
      <w:r w:rsidRPr="00CC405A">
        <w:rPr>
          <w:rFonts w:ascii="Century Schoolbook" w:hAnsi="Century Schoolbook"/>
          <w:sz w:val="27"/>
          <w:szCs w:val="27"/>
        </w:rPr>
        <w:t xml:space="preserve">But </w:t>
      </w:r>
      <w:r w:rsidR="00CA788D" w:rsidRPr="000B3D00">
        <w:rPr>
          <w:rFonts w:ascii="Century Schoolbook" w:hAnsi="Century Schoolbook"/>
          <w:sz w:val="27"/>
          <w:szCs w:val="27"/>
        </w:rPr>
        <w:t>s</w:t>
      </w:r>
      <w:r w:rsidRPr="00CC405A">
        <w:rPr>
          <w:rFonts w:ascii="Century Schoolbook" w:hAnsi="Century Schoolbook"/>
          <w:sz w:val="27"/>
          <w:szCs w:val="27"/>
        </w:rPr>
        <w:t xml:space="preserve">ections </w:t>
      </w:r>
      <w:r w:rsidRPr="00CC405A">
        <w:rPr>
          <w:rFonts w:ascii="Century Schoolbook" w:hAnsi="Century Schoolbook"/>
          <w:sz w:val="27"/>
          <w:szCs w:val="27"/>
        </w:rPr>
        <w:t>1103 and 1106 address an additional concern.  In the</w:t>
      </w:r>
      <w:r w:rsidR="00C920E5" w:rsidRPr="00CC405A">
        <w:rPr>
          <w:rFonts w:ascii="Century Schoolbook" w:hAnsi="Century Schoolbook"/>
          <w:sz w:val="27"/>
          <w:szCs w:val="27"/>
        </w:rPr>
        <w:t xml:space="preserve">se </w:t>
      </w:r>
      <w:r w:rsidRPr="00CC405A">
        <w:rPr>
          <w:rFonts w:ascii="Century Schoolbook" w:hAnsi="Century Schoolbook"/>
          <w:sz w:val="27"/>
          <w:szCs w:val="27"/>
        </w:rPr>
        <w:t xml:space="preserve">particularly delicate </w:t>
      </w:r>
      <w:r w:rsidR="00C920E5" w:rsidRPr="00CC405A">
        <w:rPr>
          <w:rFonts w:ascii="Century Schoolbook" w:hAnsi="Century Schoolbook"/>
          <w:sz w:val="27"/>
          <w:szCs w:val="27"/>
        </w:rPr>
        <w:t>circumstances</w:t>
      </w:r>
      <w:r w:rsidRPr="00CC405A">
        <w:rPr>
          <w:rFonts w:ascii="Century Schoolbook" w:hAnsi="Century Schoolbook"/>
          <w:sz w:val="27"/>
          <w:szCs w:val="27"/>
        </w:rPr>
        <w:t>, whether c</w:t>
      </w:r>
      <w:r w:rsidR="007C1D23" w:rsidRPr="000B3D00">
        <w:rPr>
          <w:rFonts w:ascii="Century Schoolbook" w:hAnsi="Century Schoolbook"/>
          <w:sz w:val="27"/>
          <w:szCs w:val="27"/>
        </w:rPr>
        <w:t>rimi</w:t>
      </w:r>
      <w:r w:rsidR="007B7C3D">
        <w:rPr>
          <w:rFonts w:ascii="Century Schoolbook" w:hAnsi="Century Schoolbook"/>
          <w:sz w:val="27"/>
          <w:szCs w:val="27"/>
        </w:rPr>
        <w:t>n</w:t>
      </w:r>
      <w:r w:rsidR="00912EB0">
        <w:rPr>
          <w:rFonts w:ascii="Century Schoolbook" w:hAnsi="Century Schoolbook"/>
          <w:sz w:val="27"/>
          <w:szCs w:val="27"/>
        </w:rPr>
        <w:t>a</w:t>
      </w:r>
      <w:r w:rsidR="007C1D23" w:rsidRPr="000B3D00">
        <w:rPr>
          <w:rFonts w:ascii="Century Schoolbook" w:hAnsi="Century Schoolbook"/>
          <w:sz w:val="27"/>
          <w:szCs w:val="27"/>
        </w:rPr>
        <w:t xml:space="preserve">l or civil, </w:t>
      </w:r>
      <w:r w:rsidR="003E2221" w:rsidRPr="000B3D00">
        <w:rPr>
          <w:rFonts w:ascii="Century Schoolbook" w:hAnsi="Century Schoolbook"/>
          <w:sz w:val="27"/>
          <w:szCs w:val="27"/>
        </w:rPr>
        <w:t xml:space="preserve">a </w:t>
      </w:r>
      <w:r w:rsidRPr="00CC405A">
        <w:rPr>
          <w:rFonts w:ascii="Century Schoolbook" w:hAnsi="Century Schoolbook"/>
          <w:sz w:val="27"/>
          <w:szCs w:val="27"/>
        </w:rPr>
        <w:t>trial court must do more than simply weigh potential prejudice to the objecting party with the goal of insulating the jury from distrac</w:t>
      </w:r>
      <w:r w:rsidRPr="00CC405A">
        <w:rPr>
          <w:rFonts w:ascii="Century Schoolbook" w:hAnsi="Century Schoolbook"/>
          <w:sz w:val="27"/>
          <w:szCs w:val="27"/>
        </w:rPr>
        <w:t xml:space="preserve">tion or exposure to inflammatory evidence of limited value. </w:t>
      </w:r>
      <w:r w:rsidR="00C920E5" w:rsidRPr="00CC405A">
        <w:rPr>
          <w:rFonts w:ascii="Century Schoolbook" w:hAnsi="Century Schoolbook"/>
          <w:sz w:val="27"/>
          <w:szCs w:val="27"/>
        </w:rPr>
        <w:t xml:space="preserve"> </w:t>
      </w:r>
      <w:r w:rsidR="00C66FFD" w:rsidRPr="00CC405A">
        <w:rPr>
          <w:rFonts w:ascii="Century Schoolbook" w:hAnsi="Century Schoolbook"/>
          <w:sz w:val="27"/>
          <w:szCs w:val="27"/>
        </w:rPr>
        <w:t>These s</w:t>
      </w:r>
      <w:r w:rsidRPr="00CC405A">
        <w:rPr>
          <w:rFonts w:ascii="Century Schoolbook" w:hAnsi="Century Schoolbook"/>
          <w:sz w:val="27"/>
          <w:szCs w:val="27"/>
        </w:rPr>
        <w:t>tatutes</w:t>
      </w:r>
      <w:r w:rsidR="002103C7" w:rsidRPr="000B3D00">
        <w:rPr>
          <w:rFonts w:ascii="Century Schoolbook" w:hAnsi="Century Schoolbook"/>
          <w:sz w:val="27"/>
          <w:szCs w:val="27"/>
        </w:rPr>
        <w:t xml:space="preserve">, and </w:t>
      </w:r>
      <w:r w:rsidR="002B21E9" w:rsidRPr="000B3D00">
        <w:rPr>
          <w:rFonts w:ascii="Century Schoolbook" w:hAnsi="Century Schoolbook"/>
          <w:sz w:val="27"/>
          <w:szCs w:val="27"/>
        </w:rPr>
        <w:t xml:space="preserve">corresponding sections 782 and 783, </w:t>
      </w:r>
      <w:r w:rsidR="006E728E" w:rsidRPr="00615E00">
        <w:rPr>
          <w:rFonts w:ascii="Century Schoolbook" w:hAnsi="Century Schoolbook"/>
          <w:sz w:val="27"/>
          <w:szCs w:val="27"/>
        </w:rPr>
        <w:t xml:space="preserve">focus on </w:t>
      </w:r>
      <w:r w:rsidRPr="00615E00">
        <w:rPr>
          <w:rFonts w:ascii="Century Schoolbook" w:hAnsi="Century Schoolbook"/>
          <w:sz w:val="27"/>
          <w:szCs w:val="27"/>
        </w:rPr>
        <w:t xml:space="preserve">a different kind of prejudice: </w:t>
      </w:r>
      <w:r w:rsidR="00615E00">
        <w:rPr>
          <w:rFonts w:ascii="Century Schoolbook" w:hAnsi="Century Schoolbook"/>
          <w:sz w:val="27"/>
          <w:szCs w:val="27"/>
        </w:rPr>
        <w:t xml:space="preserve"> </w:t>
      </w:r>
      <w:r w:rsidRPr="00615E00">
        <w:rPr>
          <w:rFonts w:ascii="Century Schoolbook" w:hAnsi="Century Schoolbook"/>
          <w:sz w:val="27"/>
          <w:szCs w:val="27"/>
        </w:rPr>
        <w:t>that suffered by</w:t>
      </w:r>
      <w:r w:rsidR="00C66FFD" w:rsidRPr="00615E00">
        <w:rPr>
          <w:rFonts w:ascii="Century Schoolbook" w:hAnsi="Century Schoolbook"/>
          <w:sz w:val="27"/>
          <w:szCs w:val="27"/>
        </w:rPr>
        <w:t xml:space="preserve"> </w:t>
      </w:r>
      <w:r w:rsidRPr="00615E00">
        <w:rPr>
          <w:rFonts w:ascii="Century Schoolbook" w:hAnsi="Century Schoolbook"/>
          <w:i/>
          <w:iCs/>
          <w:sz w:val="27"/>
          <w:szCs w:val="27"/>
        </w:rPr>
        <w:t xml:space="preserve">complainants </w:t>
      </w:r>
      <w:r w:rsidRPr="00615E00">
        <w:rPr>
          <w:rFonts w:ascii="Century Schoolbook" w:hAnsi="Century Schoolbook"/>
          <w:sz w:val="27"/>
          <w:szCs w:val="27"/>
        </w:rPr>
        <w:t xml:space="preserve">who may </w:t>
      </w:r>
      <w:r w:rsidR="00263BC9" w:rsidRPr="00615E00">
        <w:rPr>
          <w:rFonts w:ascii="Century Schoolbook" w:hAnsi="Century Schoolbook"/>
          <w:sz w:val="27"/>
          <w:szCs w:val="27"/>
        </w:rPr>
        <w:t xml:space="preserve">experience </w:t>
      </w:r>
      <w:r w:rsidRPr="00615E00">
        <w:rPr>
          <w:rFonts w:ascii="Century Schoolbook" w:hAnsi="Century Schoolbook"/>
          <w:sz w:val="27"/>
          <w:szCs w:val="27"/>
        </w:rPr>
        <w:t xml:space="preserve">harassment and intimidation </w:t>
      </w:r>
      <w:r w:rsidR="00C1315E" w:rsidRPr="00615E00">
        <w:rPr>
          <w:rFonts w:ascii="Century Schoolbook" w:hAnsi="Century Schoolbook"/>
          <w:sz w:val="27"/>
          <w:szCs w:val="27"/>
        </w:rPr>
        <w:t xml:space="preserve">related to </w:t>
      </w:r>
      <w:r w:rsidRPr="00615E00">
        <w:rPr>
          <w:rFonts w:ascii="Century Schoolbook" w:hAnsi="Century Schoolbook"/>
          <w:sz w:val="27"/>
          <w:szCs w:val="27"/>
        </w:rPr>
        <w:t xml:space="preserve">discovery </w:t>
      </w:r>
      <w:r w:rsidR="002604A9" w:rsidRPr="00615E00">
        <w:rPr>
          <w:rFonts w:ascii="Century Schoolbook" w:hAnsi="Century Schoolbook"/>
          <w:sz w:val="27"/>
          <w:szCs w:val="27"/>
        </w:rPr>
        <w:t>regarding</w:t>
      </w:r>
      <w:r w:rsidR="001053FC" w:rsidRPr="000B3D00">
        <w:rPr>
          <w:rFonts w:ascii="Century Schoolbook" w:hAnsi="Century Schoolbook"/>
          <w:sz w:val="27"/>
          <w:szCs w:val="27"/>
        </w:rPr>
        <w:t> </w:t>
      </w:r>
      <w:r w:rsidR="00253DE2" w:rsidRPr="000B3D00">
        <w:rPr>
          <w:rFonts w:ascii="Century Schoolbook" w:hAnsi="Century Schoolbook"/>
          <w:sz w:val="27"/>
          <w:szCs w:val="27"/>
        </w:rPr>
        <w:t xml:space="preserve">— </w:t>
      </w:r>
      <w:r w:rsidRPr="00615E00">
        <w:rPr>
          <w:rFonts w:ascii="Century Schoolbook" w:hAnsi="Century Schoolbook"/>
          <w:sz w:val="27"/>
          <w:szCs w:val="27"/>
        </w:rPr>
        <w:t xml:space="preserve">and </w:t>
      </w:r>
      <w:r w:rsidR="00A66C52" w:rsidRPr="00615E00">
        <w:rPr>
          <w:rFonts w:ascii="Century Schoolbook" w:hAnsi="Century Schoolbook"/>
          <w:sz w:val="27"/>
          <w:szCs w:val="27"/>
        </w:rPr>
        <w:t xml:space="preserve">potential introduction of evidence </w:t>
      </w:r>
      <w:r w:rsidR="002604A9" w:rsidRPr="00615E00">
        <w:rPr>
          <w:rFonts w:ascii="Century Schoolbook" w:hAnsi="Century Schoolbook"/>
          <w:sz w:val="27"/>
          <w:szCs w:val="27"/>
        </w:rPr>
        <w:t>concerning</w:t>
      </w:r>
      <w:r w:rsidR="00253DE2" w:rsidRPr="000B3D00">
        <w:rPr>
          <w:rFonts w:ascii="Century Schoolbook" w:hAnsi="Century Schoolbook"/>
          <w:sz w:val="27"/>
          <w:szCs w:val="27"/>
        </w:rPr>
        <w:t> —</w:t>
      </w:r>
      <w:r w:rsidR="002604A9" w:rsidRPr="00615E00">
        <w:rPr>
          <w:rFonts w:ascii="Century Schoolbook" w:hAnsi="Century Schoolbook"/>
          <w:sz w:val="27"/>
          <w:szCs w:val="27"/>
        </w:rPr>
        <w:t xml:space="preserve"> </w:t>
      </w:r>
      <w:r w:rsidRPr="00615E00">
        <w:rPr>
          <w:rFonts w:ascii="Century Schoolbook" w:hAnsi="Century Schoolbook"/>
          <w:sz w:val="27"/>
          <w:szCs w:val="27"/>
        </w:rPr>
        <w:t>specific events in their private lives.</w:t>
      </w:r>
      <w:r w:rsidR="00C1315E" w:rsidRPr="00615E00">
        <w:rPr>
          <w:rFonts w:ascii="Century Schoolbook" w:hAnsi="Century Schoolbook"/>
          <w:sz w:val="27"/>
          <w:szCs w:val="27"/>
        </w:rPr>
        <w:t xml:space="preserve"> </w:t>
      </w:r>
      <w:r w:rsidRPr="00615E00">
        <w:rPr>
          <w:rFonts w:ascii="Century Schoolbook" w:hAnsi="Century Schoolbook"/>
          <w:sz w:val="27"/>
          <w:szCs w:val="27"/>
        </w:rPr>
        <w:t xml:space="preserve"> </w:t>
      </w:r>
    </w:p>
    <w:p w14:paraId="0DB2E800" w14:textId="77777777" w:rsidR="003C4FA5" w:rsidRPr="00615E00" w:rsidRDefault="002E6832" w:rsidP="00615E00">
      <w:pPr>
        <w:pStyle w:val="PlainText"/>
        <w:ind w:firstLine="720"/>
        <w:rPr>
          <w:rFonts w:ascii="Century Schoolbook" w:hAnsi="Century Schoolbook"/>
          <w:sz w:val="27"/>
          <w:szCs w:val="26"/>
        </w:rPr>
      </w:pPr>
      <w:r w:rsidRPr="00615E00">
        <w:rPr>
          <w:rFonts w:ascii="Century Schoolbook" w:hAnsi="Century Schoolbook"/>
          <w:sz w:val="27"/>
          <w:szCs w:val="27"/>
        </w:rPr>
        <w:t>Of course</w:t>
      </w:r>
      <w:r w:rsidR="00B00B82" w:rsidRPr="00615E00">
        <w:rPr>
          <w:rFonts w:ascii="Century Schoolbook" w:hAnsi="Century Schoolbook"/>
          <w:sz w:val="27"/>
          <w:szCs w:val="27"/>
        </w:rPr>
        <w:t>,</w:t>
      </w:r>
      <w:r w:rsidRPr="00615E00">
        <w:rPr>
          <w:rFonts w:ascii="Century Schoolbook" w:hAnsi="Century Schoolbook"/>
          <w:sz w:val="27"/>
          <w:szCs w:val="27"/>
        </w:rPr>
        <w:t xml:space="preserve"> </w:t>
      </w:r>
      <w:r w:rsidR="00615E00">
        <w:rPr>
          <w:rFonts w:ascii="Century Schoolbook" w:hAnsi="Century Schoolbook"/>
          <w:sz w:val="27"/>
          <w:szCs w:val="27"/>
        </w:rPr>
        <w:t>multiple interests are implicated in this context.  A</w:t>
      </w:r>
      <w:r w:rsidR="005C473E" w:rsidRPr="00615E00">
        <w:rPr>
          <w:rFonts w:ascii="Century Schoolbook" w:hAnsi="Century Schoolbook"/>
          <w:sz w:val="27"/>
          <w:szCs w:val="27"/>
        </w:rPr>
        <w:t xml:space="preserve"> defendant has a right to a fair adjudication and to counter </w:t>
      </w:r>
      <w:r w:rsidR="00C1315E" w:rsidRPr="00615E00">
        <w:rPr>
          <w:rFonts w:ascii="Century Schoolbook" w:hAnsi="Century Schoolbook"/>
          <w:sz w:val="27"/>
          <w:szCs w:val="27"/>
        </w:rPr>
        <w:t xml:space="preserve">a </w:t>
      </w:r>
      <w:r w:rsidR="005C473E" w:rsidRPr="00615E00">
        <w:rPr>
          <w:rFonts w:ascii="Century Schoolbook" w:hAnsi="Century Schoolbook"/>
          <w:sz w:val="27"/>
          <w:szCs w:val="27"/>
        </w:rPr>
        <w:t>plaintiff</w:t>
      </w:r>
      <w:r w:rsidR="00C1315E" w:rsidRPr="00615E00">
        <w:rPr>
          <w:rFonts w:ascii="Century Schoolbook" w:hAnsi="Century Schoolbook"/>
          <w:sz w:val="27"/>
          <w:szCs w:val="27"/>
        </w:rPr>
        <w:t>’</w:t>
      </w:r>
      <w:r w:rsidR="005C473E" w:rsidRPr="00615E00">
        <w:rPr>
          <w:rFonts w:ascii="Century Schoolbook" w:hAnsi="Century Schoolbook"/>
          <w:sz w:val="27"/>
          <w:szCs w:val="27"/>
        </w:rPr>
        <w:t>s evidence</w:t>
      </w:r>
      <w:r w:rsidR="00EC72AA" w:rsidRPr="000B3D00">
        <w:rPr>
          <w:rFonts w:ascii="Century Schoolbook" w:hAnsi="Century Schoolbook"/>
          <w:sz w:val="27"/>
          <w:szCs w:val="27"/>
        </w:rPr>
        <w:t xml:space="preserve">.  </w:t>
      </w:r>
      <w:r w:rsidR="00615E00">
        <w:rPr>
          <w:rFonts w:ascii="Century Schoolbook" w:hAnsi="Century Schoolbook"/>
          <w:sz w:val="27"/>
          <w:szCs w:val="27"/>
        </w:rPr>
        <w:t xml:space="preserve">And </w:t>
      </w:r>
      <w:r w:rsidR="007F54BA" w:rsidRPr="000B3D00">
        <w:rPr>
          <w:rFonts w:ascii="Century Schoolbook" w:hAnsi="Century Schoolbook"/>
          <w:sz w:val="27"/>
          <w:szCs w:val="27"/>
        </w:rPr>
        <w:t xml:space="preserve">a </w:t>
      </w:r>
      <w:r w:rsidR="005C473E" w:rsidRPr="00615E00">
        <w:rPr>
          <w:rFonts w:ascii="Century Schoolbook" w:hAnsi="Century Schoolbook"/>
          <w:sz w:val="27"/>
          <w:szCs w:val="27"/>
        </w:rPr>
        <w:t xml:space="preserve">complainant has a right to privacy and freedom from harassment. </w:t>
      </w:r>
      <w:r w:rsidR="00C1315E" w:rsidRPr="00615E00">
        <w:rPr>
          <w:rFonts w:ascii="Century Schoolbook" w:hAnsi="Century Schoolbook"/>
          <w:sz w:val="27"/>
          <w:szCs w:val="27"/>
        </w:rPr>
        <w:t xml:space="preserve"> </w:t>
      </w:r>
      <w:r w:rsidR="005C473E" w:rsidRPr="00615E00">
        <w:rPr>
          <w:rFonts w:ascii="Century Schoolbook" w:hAnsi="Century Schoolbook"/>
          <w:sz w:val="27"/>
          <w:szCs w:val="27"/>
        </w:rPr>
        <w:t xml:space="preserve">Sections 782 </w:t>
      </w:r>
      <w:r w:rsidR="00B852C5" w:rsidRPr="00615E00">
        <w:rPr>
          <w:rFonts w:ascii="Century Schoolbook" w:hAnsi="Century Schoolbook"/>
          <w:sz w:val="27"/>
          <w:szCs w:val="27"/>
        </w:rPr>
        <w:t xml:space="preserve">and </w:t>
      </w:r>
      <w:r w:rsidR="005C473E" w:rsidRPr="00615E00">
        <w:rPr>
          <w:rFonts w:ascii="Century Schoolbook" w:hAnsi="Century Schoolbook"/>
          <w:sz w:val="27"/>
          <w:szCs w:val="27"/>
        </w:rPr>
        <w:t xml:space="preserve">783 </w:t>
      </w:r>
      <w:r w:rsidR="005C473E" w:rsidRPr="00615E00">
        <w:rPr>
          <w:rFonts w:ascii="Century Schoolbook" w:hAnsi="Century Schoolbook"/>
          <w:sz w:val="27"/>
          <w:szCs w:val="27"/>
        </w:rPr>
        <w:lastRenderedPageBreak/>
        <w:t>articulate specific procedure</w:t>
      </w:r>
      <w:r w:rsidR="00B852C5" w:rsidRPr="00615E00">
        <w:rPr>
          <w:rFonts w:ascii="Century Schoolbook" w:hAnsi="Century Schoolbook"/>
          <w:sz w:val="27"/>
          <w:szCs w:val="27"/>
        </w:rPr>
        <w:t>s</w:t>
      </w:r>
      <w:r w:rsidR="005C473E" w:rsidRPr="00615E00">
        <w:rPr>
          <w:rFonts w:ascii="Century Schoolbook" w:hAnsi="Century Schoolbook"/>
          <w:sz w:val="27"/>
          <w:szCs w:val="27"/>
        </w:rPr>
        <w:t xml:space="preserve"> </w:t>
      </w:r>
      <w:r w:rsidR="00EC72AA" w:rsidRPr="000B3D00">
        <w:rPr>
          <w:rFonts w:ascii="Century Schoolbook" w:hAnsi="Century Schoolbook"/>
          <w:sz w:val="27"/>
          <w:szCs w:val="27"/>
        </w:rPr>
        <w:t xml:space="preserve">designed </w:t>
      </w:r>
      <w:r w:rsidR="005C473E" w:rsidRPr="00615E00">
        <w:rPr>
          <w:rFonts w:ascii="Century Schoolbook" w:hAnsi="Century Schoolbook"/>
          <w:sz w:val="27"/>
          <w:szCs w:val="27"/>
        </w:rPr>
        <w:t xml:space="preserve">to </w:t>
      </w:r>
      <w:r w:rsidR="00F254C5">
        <w:rPr>
          <w:rFonts w:ascii="Century Schoolbook" w:hAnsi="Century Schoolbook"/>
          <w:sz w:val="27"/>
          <w:szCs w:val="27"/>
        </w:rPr>
        <w:t xml:space="preserve">balance and </w:t>
      </w:r>
      <w:r w:rsidR="005C473E" w:rsidRPr="00615E00">
        <w:rPr>
          <w:rFonts w:ascii="Century Schoolbook" w:hAnsi="Century Schoolbook"/>
          <w:sz w:val="27"/>
          <w:szCs w:val="27"/>
        </w:rPr>
        <w:t xml:space="preserve">protect the potentially conflicting rights of both </w:t>
      </w:r>
      <w:r w:rsidR="00063BC9" w:rsidRPr="000B3D00">
        <w:rPr>
          <w:rFonts w:ascii="Century Schoolbook" w:hAnsi="Century Schoolbook"/>
          <w:sz w:val="27"/>
          <w:szCs w:val="27"/>
        </w:rPr>
        <w:t xml:space="preserve">the </w:t>
      </w:r>
      <w:r w:rsidR="005C473E" w:rsidRPr="00615E00">
        <w:rPr>
          <w:rFonts w:ascii="Century Schoolbook" w:hAnsi="Century Schoolbook"/>
          <w:sz w:val="27"/>
          <w:szCs w:val="27"/>
        </w:rPr>
        <w:t>complainant and the defendant.</w:t>
      </w:r>
      <w:r w:rsidR="00B852C5" w:rsidRPr="00615E00">
        <w:rPr>
          <w:rFonts w:ascii="Century Schoolbook" w:hAnsi="Century Schoolbook"/>
          <w:sz w:val="27"/>
          <w:szCs w:val="27"/>
        </w:rPr>
        <w:t xml:space="preserve">  </w:t>
      </w:r>
      <w:r w:rsidR="005C473E" w:rsidRPr="00615E00">
        <w:rPr>
          <w:rFonts w:ascii="Century Schoolbook" w:hAnsi="Century Schoolbook"/>
          <w:sz w:val="27"/>
          <w:szCs w:val="27"/>
        </w:rPr>
        <w:t>Th</w:t>
      </w:r>
      <w:r w:rsidR="00063BC9" w:rsidRPr="000B3D00">
        <w:rPr>
          <w:rFonts w:ascii="Century Schoolbook" w:hAnsi="Century Schoolbook"/>
          <w:sz w:val="27"/>
          <w:szCs w:val="27"/>
        </w:rPr>
        <w:t xml:space="preserve">ese </w:t>
      </w:r>
      <w:r w:rsidR="005C473E" w:rsidRPr="00615E00">
        <w:rPr>
          <w:rFonts w:ascii="Century Schoolbook" w:hAnsi="Century Schoolbook"/>
          <w:sz w:val="27"/>
          <w:szCs w:val="27"/>
        </w:rPr>
        <w:t>procedure</w:t>
      </w:r>
      <w:r w:rsidR="00063BC9" w:rsidRPr="000B3D00">
        <w:rPr>
          <w:rFonts w:ascii="Century Schoolbook" w:hAnsi="Century Schoolbook"/>
          <w:sz w:val="27"/>
          <w:szCs w:val="27"/>
        </w:rPr>
        <w:t>s</w:t>
      </w:r>
      <w:r w:rsidR="005C473E" w:rsidRPr="00615E00">
        <w:rPr>
          <w:rFonts w:ascii="Century Schoolbook" w:hAnsi="Century Schoolbook"/>
          <w:sz w:val="27"/>
          <w:szCs w:val="27"/>
        </w:rPr>
        <w:t xml:space="preserve"> </w:t>
      </w:r>
      <w:r w:rsidR="007833FE" w:rsidRPr="00615E00">
        <w:rPr>
          <w:rFonts w:ascii="Century Schoolbook" w:hAnsi="Century Schoolbook"/>
          <w:sz w:val="27"/>
          <w:szCs w:val="27"/>
        </w:rPr>
        <w:t xml:space="preserve">require </w:t>
      </w:r>
      <w:r w:rsidR="005C473E" w:rsidRPr="00615E00">
        <w:rPr>
          <w:rFonts w:ascii="Century Schoolbook" w:hAnsi="Century Schoolbook"/>
          <w:sz w:val="27"/>
          <w:szCs w:val="27"/>
        </w:rPr>
        <w:t xml:space="preserve">a broader </w:t>
      </w:r>
      <w:r w:rsidR="001F3AF0" w:rsidRPr="000B3D00">
        <w:rPr>
          <w:rFonts w:ascii="Century Schoolbook" w:hAnsi="Century Schoolbook"/>
          <w:sz w:val="27"/>
          <w:szCs w:val="27"/>
        </w:rPr>
        <w:t xml:space="preserve">section 352 </w:t>
      </w:r>
      <w:r w:rsidR="005C473E" w:rsidRPr="00615E00">
        <w:rPr>
          <w:rFonts w:ascii="Century Schoolbook" w:hAnsi="Century Schoolbook"/>
          <w:sz w:val="27"/>
          <w:szCs w:val="27"/>
        </w:rPr>
        <w:t xml:space="preserve">inquiry </w:t>
      </w:r>
      <w:r w:rsidR="00961965" w:rsidRPr="00615E00">
        <w:rPr>
          <w:rFonts w:ascii="Century Schoolbook" w:hAnsi="Century Schoolbook"/>
          <w:sz w:val="27"/>
          <w:szCs w:val="27"/>
        </w:rPr>
        <w:t xml:space="preserve">compared with </w:t>
      </w:r>
      <w:r w:rsidR="005C473E" w:rsidRPr="00615E00">
        <w:rPr>
          <w:rFonts w:ascii="Century Schoolbook" w:hAnsi="Century Schoolbook"/>
          <w:sz w:val="27"/>
          <w:szCs w:val="27"/>
        </w:rPr>
        <w:t>th</w:t>
      </w:r>
      <w:r w:rsidR="004D2534" w:rsidRPr="000B3D00">
        <w:rPr>
          <w:rFonts w:ascii="Century Schoolbook" w:hAnsi="Century Schoolbook"/>
          <w:sz w:val="27"/>
          <w:szCs w:val="27"/>
        </w:rPr>
        <w:t>e</w:t>
      </w:r>
      <w:r w:rsidR="005C473E" w:rsidRPr="00615E00">
        <w:rPr>
          <w:rFonts w:ascii="Century Schoolbook" w:hAnsi="Century Schoolbook"/>
          <w:sz w:val="27"/>
          <w:szCs w:val="27"/>
        </w:rPr>
        <w:t xml:space="preserve"> garden</w:t>
      </w:r>
      <w:r w:rsidR="003907CE">
        <w:rPr>
          <w:rFonts w:ascii="Century Schoolbook" w:hAnsi="Century Schoolbook"/>
          <w:sz w:val="27"/>
          <w:szCs w:val="27"/>
        </w:rPr>
        <w:t>-</w:t>
      </w:r>
      <w:r w:rsidR="005C473E" w:rsidRPr="00615E00">
        <w:rPr>
          <w:rFonts w:ascii="Century Schoolbook" w:hAnsi="Century Schoolbook"/>
          <w:sz w:val="27"/>
          <w:szCs w:val="27"/>
        </w:rPr>
        <w:t xml:space="preserve">variety </w:t>
      </w:r>
      <w:r w:rsidR="00961965" w:rsidRPr="00615E00">
        <w:rPr>
          <w:rFonts w:ascii="Century Schoolbook" w:hAnsi="Century Schoolbook"/>
          <w:sz w:val="27"/>
          <w:szCs w:val="27"/>
        </w:rPr>
        <w:t xml:space="preserve">weighing </w:t>
      </w:r>
      <w:r w:rsidR="00DF307A" w:rsidRPr="000B3D00">
        <w:rPr>
          <w:rFonts w:ascii="Century Schoolbook" w:hAnsi="Century Schoolbook"/>
          <w:sz w:val="27"/>
          <w:szCs w:val="27"/>
        </w:rPr>
        <w:t xml:space="preserve">contemplated </w:t>
      </w:r>
      <w:r w:rsidR="00961965" w:rsidRPr="00615E00">
        <w:rPr>
          <w:rFonts w:ascii="Century Schoolbook" w:hAnsi="Century Schoolbook"/>
          <w:sz w:val="27"/>
          <w:szCs w:val="27"/>
        </w:rPr>
        <w:t xml:space="preserve">under </w:t>
      </w:r>
      <w:r w:rsidR="001F3AF0" w:rsidRPr="000B3D00">
        <w:rPr>
          <w:rFonts w:ascii="Century Schoolbook" w:hAnsi="Century Schoolbook"/>
          <w:sz w:val="27"/>
          <w:szCs w:val="27"/>
        </w:rPr>
        <w:t>that statute</w:t>
      </w:r>
      <w:r w:rsidR="009A07CB" w:rsidRPr="00615E00">
        <w:rPr>
          <w:rFonts w:ascii="Century Schoolbook" w:hAnsi="Century Schoolbook"/>
          <w:sz w:val="27"/>
          <w:szCs w:val="27"/>
        </w:rPr>
        <w:t xml:space="preserve"> in isolation</w:t>
      </w:r>
      <w:r w:rsidR="00961965" w:rsidRPr="00615E00">
        <w:rPr>
          <w:rFonts w:ascii="Century Schoolbook" w:hAnsi="Century Schoolbook"/>
          <w:sz w:val="27"/>
          <w:szCs w:val="27"/>
        </w:rPr>
        <w:t xml:space="preserve">.  </w:t>
      </w:r>
      <w:r w:rsidR="005C473E" w:rsidRPr="00615E00">
        <w:rPr>
          <w:rFonts w:ascii="Century Schoolbook" w:hAnsi="Century Schoolbook"/>
          <w:sz w:val="27"/>
          <w:szCs w:val="27"/>
        </w:rPr>
        <w:t xml:space="preserve">In </w:t>
      </w:r>
      <w:r w:rsidR="00EA0F63" w:rsidRPr="000B3D00">
        <w:rPr>
          <w:rFonts w:ascii="Century Schoolbook" w:hAnsi="Century Schoolbook"/>
          <w:sz w:val="27"/>
          <w:szCs w:val="27"/>
        </w:rPr>
        <w:t xml:space="preserve">such </w:t>
      </w:r>
      <w:r w:rsidR="005C473E" w:rsidRPr="00615E00">
        <w:rPr>
          <w:rFonts w:ascii="Century Schoolbook" w:hAnsi="Century Schoolbook"/>
          <w:sz w:val="27"/>
          <w:szCs w:val="27"/>
        </w:rPr>
        <w:t xml:space="preserve">cases the trial court must </w:t>
      </w:r>
      <w:r w:rsidR="006D7555" w:rsidRPr="000B3D00">
        <w:rPr>
          <w:rFonts w:ascii="Century Schoolbook" w:hAnsi="Century Schoolbook"/>
          <w:sz w:val="27"/>
          <w:szCs w:val="27"/>
        </w:rPr>
        <w:t>not</w:t>
      </w:r>
      <w:r w:rsidR="005C473E" w:rsidRPr="00615E00">
        <w:rPr>
          <w:rFonts w:ascii="Century Schoolbook" w:hAnsi="Century Schoolbook"/>
          <w:sz w:val="27"/>
          <w:szCs w:val="27"/>
        </w:rPr>
        <w:t xml:space="preserve"> </w:t>
      </w:r>
      <w:r w:rsidR="00A633EC" w:rsidRPr="00615E00">
        <w:rPr>
          <w:rFonts w:ascii="Century Schoolbook" w:hAnsi="Century Schoolbook"/>
          <w:sz w:val="27"/>
          <w:szCs w:val="27"/>
        </w:rPr>
        <w:t xml:space="preserve">simply </w:t>
      </w:r>
      <w:r w:rsidR="006D7555" w:rsidRPr="000B3D00">
        <w:rPr>
          <w:rFonts w:ascii="Century Schoolbook" w:hAnsi="Century Schoolbook"/>
          <w:sz w:val="27"/>
          <w:szCs w:val="27"/>
        </w:rPr>
        <w:t xml:space="preserve">assess </w:t>
      </w:r>
      <w:r w:rsidR="005C473E" w:rsidRPr="00615E00">
        <w:rPr>
          <w:rFonts w:ascii="Century Schoolbook" w:hAnsi="Century Schoolbook"/>
          <w:sz w:val="27"/>
          <w:szCs w:val="27"/>
        </w:rPr>
        <w:t>the potential for prejudice to the party against whom the evidence is offered</w:t>
      </w:r>
      <w:r w:rsidR="001E6605" w:rsidRPr="000B3D00">
        <w:rPr>
          <w:rFonts w:ascii="Century Schoolbook" w:hAnsi="Century Schoolbook"/>
          <w:sz w:val="27"/>
          <w:szCs w:val="27"/>
        </w:rPr>
        <w:t xml:space="preserve">, but also </w:t>
      </w:r>
      <w:r w:rsidR="00BA6AF3" w:rsidRPr="00615E00">
        <w:rPr>
          <w:rFonts w:ascii="Century Schoolbook" w:hAnsi="Century Schoolbook"/>
          <w:sz w:val="27"/>
          <w:szCs w:val="27"/>
        </w:rPr>
        <w:t>undertake a more probing inquiry</w:t>
      </w:r>
      <w:r w:rsidR="00025AA6" w:rsidRPr="00615E00">
        <w:rPr>
          <w:rFonts w:ascii="Century Schoolbook" w:hAnsi="Century Schoolbook"/>
          <w:sz w:val="27"/>
          <w:szCs w:val="27"/>
        </w:rPr>
        <w:t xml:space="preserve"> </w:t>
      </w:r>
      <w:r w:rsidR="00025AA6" w:rsidRPr="000B3D00">
        <w:rPr>
          <w:rFonts w:ascii="Century Schoolbook" w:hAnsi="Century Schoolbook"/>
          <w:sz w:val="27"/>
          <w:szCs w:val="27"/>
        </w:rPr>
        <w:t xml:space="preserve">by </w:t>
      </w:r>
      <w:r w:rsidR="005C473E" w:rsidRPr="00615E00">
        <w:rPr>
          <w:rFonts w:ascii="Century Schoolbook" w:hAnsi="Century Schoolbook"/>
          <w:sz w:val="27"/>
          <w:szCs w:val="27"/>
        </w:rPr>
        <w:t>consider</w:t>
      </w:r>
      <w:r w:rsidR="00025AA6" w:rsidRPr="00615E00">
        <w:rPr>
          <w:rFonts w:ascii="Century Schoolbook" w:hAnsi="Century Schoolbook"/>
          <w:sz w:val="27"/>
          <w:szCs w:val="27"/>
        </w:rPr>
        <w:t xml:space="preserve">ing </w:t>
      </w:r>
      <w:r w:rsidR="005C473E" w:rsidRPr="00615E00">
        <w:rPr>
          <w:rFonts w:ascii="Century Schoolbook" w:hAnsi="Century Schoolbook"/>
          <w:sz w:val="27"/>
          <w:szCs w:val="27"/>
        </w:rPr>
        <w:t>whether the discovery or adjudication process is being used to harass</w:t>
      </w:r>
      <w:r w:rsidR="006C0EA0" w:rsidRPr="00615E00">
        <w:rPr>
          <w:rFonts w:ascii="Century Schoolbook" w:hAnsi="Century Schoolbook"/>
          <w:sz w:val="27"/>
          <w:szCs w:val="27"/>
        </w:rPr>
        <w:t xml:space="preserve">, </w:t>
      </w:r>
      <w:r w:rsidR="005C473E" w:rsidRPr="00615E00">
        <w:rPr>
          <w:rFonts w:ascii="Century Schoolbook" w:hAnsi="Century Schoolbook"/>
          <w:sz w:val="27"/>
          <w:szCs w:val="27"/>
        </w:rPr>
        <w:t>intimidate</w:t>
      </w:r>
      <w:r w:rsidR="006C0EA0" w:rsidRPr="00615E00">
        <w:rPr>
          <w:rFonts w:ascii="Century Schoolbook" w:hAnsi="Century Schoolbook"/>
          <w:sz w:val="27"/>
          <w:szCs w:val="27"/>
        </w:rPr>
        <w:t xml:space="preserve">, or unduly invade the privacy of </w:t>
      </w:r>
      <w:r w:rsidR="005C473E" w:rsidRPr="00615E00">
        <w:rPr>
          <w:rFonts w:ascii="Century Schoolbook" w:hAnsi="Century Schoolbook"/>
          <w:sz w:val="27"/>
          <w:szCs w:val="27"/>
        </w:rPr>
        <w:t>the complainant.</w:t>
      </w:r>
      <w:r w:rsidR="0068013B" w:rsidRPr="00615E00">
        <w:rPr>
          <w:rFonts w:ascii="Century Schoolbook" w:hAnsi="Century Schoolbook"/>
          <w:sz w:val="27"/>
          <w:szCs w:val="27"/>
        </w:rPr>
        <w:t xml:space="preserve">  </w:t>
      </w:r>
      <w:r w:rsidR="00894B53" w:rsidRPr="000B3D00">
        <w:rPr>
          <w:rFonts w:ascii="Century Schoolbook" w:hAnsi="Century Schoolbook"/>
          <w:sz w:val="27"/>
          <w:szCs w:val="27"/>
        </w:rPr>
        <w:t xml:space="preserve">In </w:t>
      </w:r>
      <w:r w:rsidR="00674134" w:rsidRPr="00615E00">
        <w:rPr>
          <w:rFonts w:ascii="Century Schoolbook" w:hAnsi="Century Schoolbook"/>
          <w:sz w:val="27"/>
          <w:szCs w:val="27"/>
        </w:rPr>
        <w:t>doing so</w:t>
      </w:r>
      <w:r w:rsidR="00880D7C" w:rsidRPr="00615E00">
        <w:rPr>
          <w:rFonts w:ascii="Century Schoolbook" w:hAnsi="Century Schoolbook"/>
          <w:sz w:val="27"/>
          <w:szCs w:val="27"/>
        </w:rPr>
        <w:t>,</w:t>
      </w:r>
      <w:r w:rsidR="00674134" w:rsidRPr="00615E00">
        <w:rPr>
          <w:rFonts w:ascii="Century Schoolbook" w:hAnsi="Century Schoolbook"/>
          <w:sz w:val="27"/>
          <w:szCs w:val="27"/>
        </w:rPr>
        <w:t xml:space="preserve"> </w:t>
      </w:r>
      <w:r w:rsidR="00894B53" w:rsidRPr="000B3D00">
        <w:rPr>
          <w:rFonts w:ascii="Century Schoolbook" w:hAnsi="Century Schoolbook"/>
          <w:sz w:val="27"/>
          <w:szCs w:val="27"/>
        </w:rPr>
        <w:t xml:space="preserve">a </w:t>
      </w:r>
      <w:r w:rsidR="00A072A3" w:rsidRPr="00615E00">
        <w:rPr>
          <w:rFonts w:ascii="Century Schoolbook" w:hAnsi="Century Schoolbook"/>
          <w:sz w:val="27"/>
          <w:szCs w:val="27"/>
        </w:rPr>
        <w:t xml:space="preserve">trial </w:t>
      </w:r>
      <w:r w:rsidR="000665B2" w:rsidRPr="00615E00">
        <w:rPr>
          <w:rFonts w:ascii="Century Schoolbook" w:hAnsi="Century Schoolbook"/>
          <w:sz w:val="27"/>
          <w:szCs w:val="27"/>
        </w:rPr>
        <w:t xml:space="preserve">court must </w:t>
      </w:r>
      <w:r w:rsidR="001B4FCC" w:rsidRPr="00615E00">
        <w:rPr>
          <w:rFonts w:ascii="Century Schoolbook" w:hAnsi="Century Schoolbook"/>
          <w:sz w:val="27"/>
          <w:szCs w:val="27"/>
        </w:rPr>
        <w:t xml:space="preserve">bear in mind its obligation to </w:t>
      </w:r>
      <w:r w:rsidR="00382E26" w:rsidRPr="00615E00">
        <w:rPr>
          <w:rFonts w:ascii="Century Schoolbook" w:hAnsi="Century Schoolbook"/>
          <w:sz w:val="27"/>
          <w:szCs w:val="27"/>
        </w:rPr>
        <w:t xml:space="preserve">act as a gatekeeper, </w:t>
      </w:r>
      <w:r w:rsidR="00AB6A74" w:rsidRPr="000B3D00">
        <w:rPr>
          <w:rFonts w:ascii="Century Schoolbook" w:hAnsi="Century Schoolbook"/>
          <w:sz w:val="27"/>
          <w:szCs w:val="27"/>
        </w:rPr>
        <w:t xml:space="preserve">and </w:t>
      </w:r>
      <w:r w:rsidR="003A5C8D" w:rsidRPr="000B3D00">
        <w:rPr>
          <w:rFonts w:ascii="Century Schoolbook" w:hAnsi="Century Schoolbook"/>
          <w:sz w:val="27"/>
          <w:szCs w:val="27"/>
        </w:rPr>
        <w:t xml:space="preserve">to </w:t>
      </w:r>
      <w:r w:rsidR="00AB6A74" w:rsidRPr="000B3D00">
        <w:rPr>
          <w:rFonts w:ascii="Century Schoolbook" w:hAnsi="Century Schoolbook"/>
          <w:sz w:val="27"/>
          <w:szCs w:val="27"/>
        </w:rPr>
        <w:t xml:space="preserve">be </w:t>
      </w:r>
      <w:r w:rsidR="00EF6476" w:rsidRPr="00615E00">
        <w:rPr>
          <w:rFonts w:ascii="Century Schoolbook" w:hAnsi="Century Schoolbook"/>
          <w:sz w:val="27"/>
          <w:szCs w:val="27"/>
        </w:rPr>
        <w:t xml:space="preserve">guided </w:t>
      </w:r>
      <w:r w:rsidR="00EF4299" w:rsidRPr="00615E00">
        <w:rPr>
          <w:rFonts w:ascii="Century Schoolbook" w:hAnsi="Century Schoolbook"/>
          <w:sz w:val="27"/>
          <w:szCs w:val="27"/>
        </w:rPr>
        <w:t>by</w:t>
      </w:r>
      <w:r w:rsidR="0096093E" w:rsidRPr="00615E00">
        <w:rPr>
          <w:rFonts w:ascii="Century Schoolbook" w:hAnsi="Century Schoolbook"/>
          <w:sz w:val="27"/>
          <w:szCs w:val="27"/>
        </w:rPr>
        <w:t xml:space="preserve"> </w:t>
      </w:r>
      <w:r w:rsidR="00946222" w:rsidRPr="00615E00">
        <w:rPr>
          <w:rFonts w:ascii="Century Schoolbook" w:hAnsi="Century Schoolbook"/>
          <w:sz w:val="27"/>
          <w:szCs w:val="27"/>
        </w:rPr>
        <w:t xml:space="preserve">the Legislature’s </w:t>
      </w:r>
      <w:r w:rsidR="00D67AB6" w:rsidRPr="00615E00">
        <w:rPr>
          <w:rFonts w:ascii="Century Schoolbook" w:hAnsi="Century Schoolbook"/>
          <w:sz w:val="27"/>
          <w:szCs w:val="27"/>
        </w:rPr>
        <w:t xml:space="preserve">special statements </w:t>
      </w:r>
      <w:r w:rsidR="004809B4" w:rsidRPr="00615E00">
        <w:rPr>
          <w:rFonts w:ascii="Century Schoolbook" w:hAnsi="Century Schoolbook"/>
          <w:sz w:val="27"/>
          <w:szCs w:val="27"/>
        </w:rPr>
        <w:t>concerning</w:t>
      </w:r>
      <w:r w:rsidR="00D67AB6" w:rsidRPr="00615E00">
        <w:rPr>
          <w:rFonts w:ascii="Century Schoolbook" w:hAnsi="Century Schoolbook"/>
          <w:sz w:val="27"/>
          <w:szCs w:val="27"/>
        </w:rPr>
        <w:t xml:space="preserve"> </w:t>
      </w:r>
      <w:r w:rsidR="00E43143" w:rsidRPr="000B3D00">
        <w:rPr>
          <w:rFonts w:ascii="Century Schoolbook" w:hAnsi="Century Schoolbook"/>
          <w:sz w:val="27"/>
          <w:szCs w:val="27"/>
        </w:rPr>
        <w:t xml:space="preserve">the </w:t>
      </w:r>
      <w:r w:rsidR="004809B4" w:rsidRPr="00615E00">
        <w:rPr>
          <w:rFonts w:ascii="Century Schoolbook" w:hAnsi="Century Schoolbook"/>
          <w:sz w:val="27"/>
          <w:szCs w:val="27"/>
        </w:rPr>
        <w:t>purpose</w:t>
      </w:r>
      <w:r w:rsidR="00E43143" w:rsidRPr="000B3D00">
        <w:rPr>
          <w:rFonts w:ascii="Century Schoolbook" w:hAnsi="Century Schoolbook"/>
          <w:sz w:val="27"/>
          <w:szCs w:val="27"/>
        </w:rPr>
        <w:t xml:space="preserve"> of the shield provisions</w:t>
      </w:r>
      <w:r w:rsidR="006A6B29" w:rsidRPr="00615E00">
        <w:rPr>
          <w:rFonts w:ascii="Century Schoolbook" w:hAnsi="Century Schoolbook"/>
          <w:sz w:val="27"/>
          <w:szCs w:val="27"/>
        </w:rPr>
        <w:t xml:space="preserve">: </w:t>
      </w:r>
      <w:r w:rsidR="00522B54" w:rsidRPr="00615E00">
        <w:rPr>
          <w:rFonts w:ascii="Century Schoolbook" w:hAnsi="Century Schoolbook"/>
          <w:sz w:val="27"/>
          <w:szCs w:val="27"/>
        </w:rPr>
        <w:t xml:space="preserve"> </w:t>
      </w:r>
      <w:r w:rsidR="00F30615" w:rsidRPr="00615E00">
        <w:rPr>
          <w:rFonts w:ascii="Century Schoolbook" w:hAnsi="Century Schoolbook"/>
          <w:sz w:val="27"/>
          <w:szCs w:val="27"/>
        </w:rPr>
        <w:t>to</w:t>
      </w:r>
      <w:r w:rsidR="00BB437B" w:rsidRPr="00615E00">
        <w:rPr>
          <w:rFonts w:ascii="Century Schoolbook" w:hAnsi="Century Schoolbook"/>
          <w:sz w:val="27"/>
          <w:szCs w:val="27"/>
        </w:rPr>
        <w:t xml:space="preserve"> </w:t>
      </w:r>
      <w:r w:rsidR="00641BA5" w:rsidRPr="00615E00">
        <w:rPr>
          <w:rFonts w:ascii="Century Schoolbook" w:hAnsi="Century Schoolbook"/>
          <w:sz w:val="27"/>
          <w:szCs w:val="27"/>
        </w:rPr>
        <w:t>protect a victim</w:t>
      </w:r>
      <w:r w:rsidR="00B311A7" w:rsidRPr="00615E00">
        <w:rPr>
          <w:rFonts w:ascii="Century Schoolbook" w:hAnsi="Century Schoolbook"/>
          <w:sz w:val="27"/>
          <w:szCs w:val="27"/>
        </w:rPr>
        <w:t>’s</w:t>
      </w:r>
      <w:r w:rsidR="00641BA5" w:rsidRPr="00615E00">
        <w:rPr>
          <w:rFonts w:ascii="Century Schoolbook" w:hAnsi="Century Schoolbook"/>
          <w:sz w:val="27"/>
          <w:szCs w:val="27"/>
        </w:rPr>
        <w:t xml:space="preserve"> right of privacy </w:t>
      </w:r>
      <w:r w:rsidR="00641BA5" w:rsidRPr="000B3D00">
        <w:rPr>
          <w:rFonts w:ascii="Century Schoolbook" w:hAnsi="Century Schoolbook"/>
          <w:sz w:val="27"/>
          <w:szCs w:val="27"/>
        </w:rPr>
        <w:t>and</w:t>
      </w:r>
      <w:r w:rsidR="00C264C4" w:rsidRPr="000B3D00">
        <w:rPr>
          <w:rFonts w:ascii="Century Schoolbook" w:hAnsi="Century Schoolbook"/>
          <w:sz w:val="27"/>
          <w:szCs w:val="27"/>
        </w:rPr>
        <w:t xml:space="preserve"> </w:t>
      </w:r>
      <w:r w:rsidR="00220C2E" w:rsidRPr="00615E00">
        <w:rPr>
          <w:rFonts w:ascii="Century Schoolbook" w:hAnsi="Century Schoolbook"/>
          <w:sz w:val="27"/>
          <w:szCs w:val="27"/>
        </w:rPr>
        <w:t>prevent</w:t>
      </w:r>
      <w:r w:rsidR="00F30615" w:rsidRPr="00615E00">
        <w:rPr>
          <w:rFonts w:ascii="Century Schoolbook" w:hAnsi="Century Schoolbook"/>
          <w:sz w:val="27"/>
          <w:szCs w:val="27"/>
        </w:rPr>
        <w:t xml:space="preserve"> </w:t>
      </w:r>
      <w:r w:rsidR="00220C2E" w:rsidRPr="00615E00">
        <w:rPr>
          <w:rFonts w:ascii="Century Schoolbook" w:hAnsi="Century Schoolbook"/>
          <w:sz w:val="27"/>
          <w:szCs w:val="27"/>
        </w:rPr>
        <w:t>unnecessary</w:t>
      </w:r>
      <w:r w:rsidR="005910E0" w:rsidRPr="00615E00">
        <w:rPr>
          <w:rFonts w:ascii="Century Schoolbook" w:hAnsi="Century Schoolbook"/>
          <w:sz w:val="27"/>
          <w:szCs w:val="27"/>
        </w:rPr>
        <w:t xml:space="preserve"> </w:t>
      </w:r>
      <w:r w:rsidR="00145972" w:rsidRPr="00615E00">
        <w:rPr>
          <w:rFonts w:ascii="Century Schoolbook" w:hAnsi="Century Schoolbook"/>
          <w:sz w:val="27"/>
          <w:szCs w:val="27"/>
        </w:rPr>
        <w:t xml:space="preserve">intrusion into </w:t>
      </w:r>
      <w:r w:rsidR="005910E0" w:rsidRPr="00615E00">
        <w:rPr>
          <w:rFonts w:ascii="Century Schoolbook" w:hAnsi="Century Schoolbook"/>
          <w:sz w:val="27"/>
          <w:szCs w:val="27"/>
        </w:rPr>
        <w:t xml:space="preserve">complainants’ </w:t>
      </w:r>
      <w:r w:rsidR="00F17580" w:rsidRPr="00615E00">
        <w:rPr>
          <w:rFonts w:ascii="Century Schoolbook" w:hAnsi="Century Schoolbook"/>
          <w:sz w:val="27"/>
          <w:szCs w:val="27"/>
        </w:rPr>
        <w:t xml:space="preserve">personal </w:t>
      </w:r>
      <w:r w:rsidR="00D84E92" w:rsidRPr="00615E00">
        <w:rPr>
          <w:rFonts w:ascii="Century Schoolbook" w:hAnsi="Century Schoolbook"/>
          <w:sz w:val="27"/>
          <w:szCs w:val="27"/>
        </w:rPr>
        <w:t xml:space="preserve">sexual </w:t>
      </w:r>
      <w:r w:rsidR="00F17580" w:rsidRPr="00615E00">
        <w:rPr>
          <w:rFonts w:ascii="Century Schoolbook" w:hAnsi="Century Schoolbook"/>
          <w:sz w:val="27"/>
          <w:szCs w:val="27"/>
        </w:rPr>
        <w:t xml:space="preserve">lives </w:t>
      </w:r>
      <w:r w:rsidR="00B60E32" w:rsidRPr="00615E00">
        <w:rPr>
          <w:rFonts w:ascii="Century Schoolbook" w:hAnsi="Century Schoolbook"/>
          <w:sz w:val="27"/>
          <w:szCs w:val="27"/>
        </w:rPr>
        <w:t xml:space="preserve">both in </w:t>
      </w:r>
      <w:r w:rsidR="00CD134F" w:rsidRPr="00615E00">
        <w:rPr>
          <w:rFonts w:ascii="Century Schoolbook" w:hAnsi="Century Schoolbook"/>
          <w:sz w:val="27"/>
          <w:szCs w:val="27"/>
        </w:rPr>
        <w:t xml:space="preserve">civil </w:t>
      </w:r>
      <w:r w:rsidR="009E717C" w:rsidRPr="00615E00">
        <w:rPr>
          <w:rFonts w:ascii="Century Schoolbook" w:hAnsi="Century Schoolbook"/>
          <w:sz w:val="27"/>
          <w:szCs w:val="27"/>
        </w:rPr>
        <w:t>discovery</w:t>
      </w:r>
      <w:r w:rsidR="002678C6" w:rsidRPr="00615E00">
        <w:rPr>
          <w:rFonts w:ascii="Century Schoolbook" w:hAnsi="Century Schoolbook"/>
          <w:sz w:val="27"/>
          <w:szCs w:val="27"/>
        </w:rPr>
        <w:t xml:space="preserve"> </w:t>
      </w:r>
      <w:r w:rsidR="00B60E32" w:rsidRPr="00615E00">
        <w:rPr>
          <w:rFonts w:ascii="Century Schoolbook" w:hAnsi="Century Schoolbook"/>
          <w:sz w:val="27"/>
          <w:szCs w:val="27"/>
        </w:rPr>
        <w:t xml:space="preserve">and </w:t>
      </w:r>
      <w:r w:rsidR="00B551EF" w:rsidRPr="00615E00">
        <w:rPr>
          <w:rFonts w:ascii="Century Schoolbook" w:hAnsi="Century Schoolbook"/>
          <w:sz w:val="27"/>
          <w:szCs w:val="27"/>
        </w:rPr>
        <w:t xml:space="preserve">in </w:t>
      </w:r>
      <w:r w:rsidR="00CD134F" w:rsidRPr="00615E00">
        <w:rPr>
          <w:rFonts w:ascii="Century Schoolbook" w:hAnsi="Century Schoolbook"/>
          <w:sz w:val="27"/>
          <w:szCs w:val="27"/>
        </w:rPr>
        <w:t xml:space="preserve">civil </w:t>
      </w:r>
      <w:r w:rsidR="009E717C" w:rsidRPr="00615E00">
        <w:rPr>
          <w:rFonts w:ascii="Century Schoolbook" w:hAnsi="Century Schoolbook"/>
          <w:sz w:val="27"/>
          <w:szCs w:val="27"/>
        </w:rPr>
        <w:t>judicial proceedings</w:t>
      </w:r>
      <w:r w:rsidR="005A2CA3" w:rsidRPr="00615E00">
        <w:rPr>
          <w:rFonts w:ascii="Century Schoolbook" w:hAnsi="Century Schoolbook"/>
          <w:sz w:val="27"/>
          <w:szCs w:val="27"/>
        </w:rPr>
        <w:t>.</w:t>
      </w:r>
      <w:r w:rsidR="00E965D8" w:rsidRPr="00615E00">
        <w:rPr>
          <w:rFonts w:ascii="Century Schoolbook" w:hAnsi="Century Schoolbook"/>
          <w:sz w:val="27"/>
          <w:szCs w:val="27"/>
        </w:rPr>
        <w:t xml:space="preserve"> </w:t>
      </w:r>
      <w:r w:rsidR="005A2CA3" w:rsidRPr="00615E00">
        <w:rPr>
          <w:rFonts w:ascii="Century Schoolbook" w:hAnsi="Century Schoolbook"/>
          <w:sz w:val="27"/>
          <w:szCs w:val="27"/>
        </w:rPr>
        <w:t xml:space="preserve"> </w:t>
      </w:r>
      <w:r w:rsidR="005A2CA3" w:rsidRPr="00615E00">
        <w:rPr>
          <w:rFonts w:ascii="Century Schoolbook" w:hAnsi="Century Schoolbook"/>
          <w:sz w:val="27"/>
          <w:szCs w:val="26"/>
        </w:rPr>
        <w:t>(Stats. 1985, ch.</w:t>
      </w:r>
      <w:r w:rsidR="00615E00">
        <w:rPr>
          <w:rFonts w:ascii="Century Schoolbook" w:hAnsi="Century Schoolbook"/>
          <w:sz w:val="27"/>
          <w:szCs w:val="26"/>
        </w:rPr>
        <w:t> </w:t>
      </w:r>
      <w:r w:rsidR="005A2CA3" w:rsidRPr="00615E00">
        <w:rPr>
          <w:rFonts w:ascii="Century Schoolbook" w:hAnsi="Century Schoolbook"/>
          <w:sz w:val="27"/>
          <w:szCs w:val="26"/>
        </w:rPr>
        <w:t>1328, § 1, pp. 4654–4655</w:t>
      </w:r>
      <w:r w:rsidR="005C7D31" w:rsidRPr="000B3D00">
        <w:rPr>
          <w:rFonts w:ascii="Century Schoolbook" w:hAnsi="Century Schoolbook"/>
          <w:sz w:val="27"/>
          <w:szCs w:val="26"/>
        </w:rPr>
        <w:t xml:space="preserve">; see also </w:t>
      </w:r>
      <w:r w:rsidR="005C7D31" w:rsidRPr="00615E00">
        <w:rPr>
          <w:rFonts w:ascii="Century Schoolbook" w:hAnsi="Century Schoolbook"/>
          <w:sz w:val="27"/>
          <w:szCs w:val="27"/>
        </w:rPr>
        <w:t>California Evidence Manual</w:t>
      </w:r>
      <w:r w:rsidR="005C7D31" w:rsidRPr="000B3D00">
        <w:rPr>
          <w:rFonts w:ascii="Century Schoolbook" w:hAnsi="Century Schoolbook"/>
          <w:sz w:val="27"/>
          <w:szCs w:val="27"/>
        </w:rPr>
        <w:t xml:space="preserve">, </w:t>
      </w:r>
      <w:r w:rsidR="005C7D31" w:rsidRPr="00615E00">
        <w:rPr>
          <w:rFonts w:ascii="Century Schoolbook" w:hAnsi="Century Schoolbook"/>
          <w:i/>
          <w:iCs/>
          <w:sz w:val="27"/>
          <w:szCs w:val="27"/>
        </w:rPr>
        <w:t>supra</w:t>
      </w:r>
      <w:r w:rsidR="005C7D31" w:rsidRPr="000B3D00">
        <w:rPr>
          <w:rFonts w:ascii="Century Schoolbook" w:hAnsi="Century Schoolbook"/>
          <w:sz w:val="27"/>
          <w:szCs w:val="27"/>
        </w:rPr>
        <w:t xml:space="preserve">, </w:t>
      </w:r>
      <w:r w:rsidR="0068163A" w:rsidRPr="000B3D00">
        <w:rPr>
          <w:rFonts w:ascii="Century Schoolbook" w:hAnsi="Century Schoolbook"/>
          <w:sz w:val="27"/>
          <w:szCs w:val="27"/>
        </w:rPr>
        <w:t>§ 1:</w:t>
      </w:r>
      <w:r w:rsidR="00D73FF9" w:rsidRPr="000B3D00">
        <w:rPr>
          <w:rFonts w:ascii="Century Schoolbook" w:hAnsi="Century Schoolbook"/>
          <w:sz w:val="27"/>
          <w:szCs w:val="27"/>
        </w:rPr>
        <w:t xml:space="preserve">30 </w:t>
      </w:r>
      <w:r w:rsidR="005E1BCD" w:rsidRPr="000B3D00">
        <w:rPr>
          <w:rFonts w:ascii="Century Schoolbook" w:hAnsi="Century Schoolbook"/>
          <w:sz w:val="27"/>
          <w:szCs w:val="27"/>
        </w:rPr>
        <w:t xml:space="preserve">[observing that </w:t>
      </w:r>
      <w:r w:rsidR="001472B8" w:rsidRPr="000B3D00">
        <w:rPr>
          <w:rFonts w:ascii="Century Schoolbook" w:hAnsi="Century Schoolbook"/>
          <w:sz w:val="27"/>
          <w:szCs w:val="27"/>
        </w:rPr>
        <w:t xml:space="preserve">the Legislature commonly uses </w:t>
      </w:r>
      <w:r w:rsidR="00A41D49">
        <w:rPr>
          <w:rFonts w:ascii="Century Schoolbook" w:hAnsi="Century Schoolbook"/>
          <w:sz w:val="27"/>
          <w:szCs w:val="27"/>
        </w:rPr>
        <w:t>§</w:t>
      </w:r>
      <w:r w:rsidR="009E5568" w:rsidRPr="000B3D00">
        <w:rPr>
          <w:rFonts w:ascii="Century Schoolbook" w:hAnsi="Century Schoolbook"/>
          <w:sz w:val="27"/>
          <w:szCs w:val="27"/>
        </w:rPr>
        <w:t xml:space="preserve"> 352 </w:t>
      </w:r>
      <w:r w:rsidR="001472B8" w:rsidRPr="000B3D00">
        <w:rPr>
          <w:rFonts w:ascii="Century Schoolbook" w:hAnsi="Century Schoolbook"/>
          <w:sz w:val="27"/>
          <w:szCs w:val="27"/>
        </w:rPr>
        <w:t>“</w:t>
      </w:r>
      <w:r w:rsidR="00CD1ACC" w:rsidRPr="00615E00">
        <w:rPr>
          <w:rFonts w:ascii="Century Schoolbook" w:eastAsiaTheme="minorHAnsi" w:hAnsi="Century Schoolbook" w:cs="TimesNewRomanPSMT"/>
          <w:color w:val="000000"/>
          <w:sz w:val="27"/>
          <w:szCs w:val="27"/>
        </w:rPr>
        <w:t>to reinforce the goals of those code provisions</w:t>
      </w:r>
      <w:r w:rsidR="000B519E" w:rsidRPr="00615E00">
        <w:rPr>
          <w:rFonts w:ascii="Century Schoolbook" w:eastAsiaTheme="minorHAnsi" w:hAnsi="Century Schoolbook" w:cs="TimesNewRomanPSMT"/>
          <w:color w:val="000000"/>
          <w:sz w:val="27"/>
          <w:szCs w:val="27"/>
        </w:rPr>
        <w:t>”</w:t>
      </w:r>
      <w:r w:rsidR="00FC640F">
        <w:rPr>
          <w:rFonts w:ascii="Century Schoolbook" w:eastAsiaTheme="minorHAnsi" w:hAnsi="Century Schoolbook" w:cs="TimesNewRomanPSMT"/>
          <w:color w:val="000000"/>
          <w:sz w:val="27"/>
          <w:szCs w:val="27"/>
        </w:rPr>
        <w:t> </w:t>
      </w:r>
      <w:r w:rsidR="000B519E" w:rsidRPr="00615E00">
        <w:rPr>
          <w:rFonts w:ascii="Century Schoolbook" w:eastAsiaTheme="minorHAnsi" w:hAnsi="Century Schoolbook" w:cs="TimesNewRomanPSMT"/>
          <w:color w:val="000000"/>
          <w:sz w:val="27"/>
          <w:szCs w:val="27"/>
        </w:rPr>
        <w:t xml:space="preserve">— </w:t>
      </w:r>
      <w:r w:rsidR="007C6F64" w:rsidRPr="00615E00">
        <w:rPr>
          <w:rFonts w:ascii="Century Schoolbook" w:eastAsiaTheme="minorHAnsi" w:hAnsi="Century Schoolbook" w:cs="TimesNewRomanPSMT"/>
          <w:color w:val="000000"/>
          <w:sz w:val="27"/>
          <w:szCs w:val="27"/>
        </w:rPr>
        <w:t xml:space="preserve">such as </w:t>
      </w:r>
      <w:r w:rsidR="00A41D49">
        <w:rPr>
          <w:rFonts w:ascii="Century Schoolbook" w:eastAsiaTheme="minorHAnsi" w:hAnsi="Century Schoolbook" w:cs="TimesNewRomanPSMT"/>
          <w:color w:val="000000"/>
          <w:sz w:val="27"/>
          <w:szCs w:val="27"/>
        </w:rPr>
        <w:t>§§</w:t>
      </w:r>
      <w:r w:rsidR="00E2466C" w:rsidRPr="000B3D00">
        <w:rPr>
          <w:rFonts w:ascii="Century Schoolbook" w:eastAsiaTheme="minorHAnsi" w:hAnsi="Century Schoolbook" w:cs="TimesNewRomanPSMT"/>
          <w:color w:val="000000"/>
          <w:sz w:val="27"/>
          <w:szCs w:val="27"/>
        </w:rPr>
        <w:t xml:space="preserve"> 1103 and 1106</w:t>
      </w:r>
      <w:r w:rsidR="00FC640F">
        <w:rPr>
          <w:rFonts w:ascii="Century Schoolbook" w:eastAsiaTheme="minorHAnsi" w:hAnsi="Century Schoolbook" w:cs="TimesNewRomanPSMT"/>
          <w:color w:val="000000"/>
          <w:sz w:val="27"/>
          <w:szCs w:val="27"/>
        </w:rPr>
        <w:t> </w:t>
      </w:r>
      <w:r w:rsidR="007C6F64" w:rsidRPr="00615E00">
        <w:rPr>
          <w:rFonts w:ascii="Century Schoolbook" w:eastAsiaTheme="minorHAnsi" w:hAnsi="Century Schoolbook" w:cs="TimesNewRomanPSMT"/>
          <w:color w:val="000000"/>
          <w:sz w:val="27"/>
          <w:szCs w:val="27"/>
        </w:rPr>
        <w:t>—</w:t>
      </w:r>
      <w:r w:rsidR="00CD1ACC" w:rsidRPr="00615E00">
        <w:rPr>
          <w:rFonts w:ascii="Century Schoolbook" w:eastAsiaTheme="minorHAnsi" w:hAnsi="Century Schoolbook" w:cs="TimesNewRomanPSMT"/>
          <w:color w:val="000000"/>
          <w:sz w:val="27"/>
          <w:szCs w:val="27"/>
        </w:rPr>
        <w:t xml:space="preserve"> </w:t>
      </w:r>
      <w:r w:rsidR="008F39FC" w:rsidRPr="00615E00">
        <w:rPr>
          <w:rFonts w:ascii="Century Schoolbook" w:eastAsiaTheme="minorHAnsi" w:hAnsi="Century Schoolbook" w:cs="TimesNewRomanPSMT"/>
          <w:color w:val="000000"/>
          <w:sz w:val="27"/>
          <w:szCs w:val="27"/>
        </w:rPr>
        <w:t>“</w:t>
      </w:r>
      <w:r w:rsidR="00566204">
        <w:rPr>
          <w:rFonts w:ascii="Century Schoolbook" w:eastAsiaTheme="minorHAnsi" w:hAnsi="Century Schoolbook" w:cs="TimesNewRomanPSMT"/>
          <w:color w:val="000000"/>
          <w:sz w:val="27"/>
          <w:szCs w:val="27"/>
        </w:rPr>
        <w:t>which</w:t>
      </w:r>
      <w:r w:rsidR="00566204" w:rsidRPr="00615E00">
        <w:rPr>
          <w:rFonts w:ascii="Century Schoolbook" w:eastAsiaTheme="minorHAnsi" w:hAnsi="Century Schoolbook" w:cs="TimesNewRomanPSMT"/>
          <w:color w:val="000000"/>
          <w:sz w:val="27"/>
          <w:szCs w:val="27"/>
        </w:rPr>
        <w:t xml:space="preserve"> </w:t>
      </w:r>
      <w:r w:rsidR="00CD1ACC" w:rsidRPr="00615E00">
        <w:rPr>
          <w:rFonts w:ascii="Century Schoolbook" w:eastAsiaTheme="minorHAnsi" w:hAnsi="Century Schoolbook" w:cs="TimesNewRomanPSMT"/>
          <w:color w:val="000000"/>
          <w:sz w:val="27"/>
          <w:szCs w:val="27"/>
        </w:rPr>
        <w:t>exclude relevant evidence due to some extrinsic</w:t>
      </w:r>
      <w:r w:rsidR="00F25B91" w:rsidRPr="000B3D00">
        <w:rPr>
          <w:rFonts w:ascii="Century Schoolbook" w:eastAsiaTheme="minorHAnsi" w:hAnsi="Century Schoolbook" w:cs="TimesNewRomanPSMT"/>
          <w:color w:val="000000"/>
          <w:sz w:val="27"/>
          <w:szCs w:val="27"/>
        </w:rPr>
        <w:t xml:space="preserve"> </w:t>
      </w:r>
      <w:r w:rsidR="00CD1ACC" w:rsidRPr="00615E00">
        <w:rPr>
          <w:rFonts w:ascii="Century Schoolbook" w:eastAsiaTheme="minorHAnsi" w:hAnsi="Century Schoolbook" w:cs="TimesNewRomanPSMT"/>
          <w:color w:val="000000"/>
          <w:sz w:val="27"/>
          <w:szCs w:val="27"/>
        </w:rPr>
        <w:t>polic</w:t>
      </w:r>
      <w:r w:rsidR="00112ECB" w:rsidRPr="000B3D00">
        <w:rPr>
          <w:rFonts w:ascii="Century Schoolbook" w:eastAsiaTheme="minorHAnsi" w:hAnsi="Century Schoolbook" w:cs="TimesNewRomanPSMT"/>
          <w:color w:val="000000"/>
          <w:sz w:val="27"/>
          <w:szCs w:val="27"/>
        </w:rPr>
        <w:t>y</w:t>
      </w:r>
      <w:r w:rsidR="00F25B91" w:rsidRPr="000B3D00">
        <w:rPr>
          <w:rFonts w:ascii="Century Schoolbook" w:eastAsiaTheme="minorHAnsi" w:hAnsi="Century Schoolbook" w:cs="TimesNewRomanPSMT"/>
          <w:color w:val="000000"/>
          <w:sz w:val="27"/>
          <w:szCs w:val="27"/>
        </w:rPr>
        <w:t>”</w:t>
      </w:r>
      <w:r w:rsidR="00112ECB" w:rsidRPr="000B3D00">
        <w:rPr>
          <w:rFonts w:ascii="Century Schoolbook" w:eastAsiaTheme="minorHAnsi" w:hAnsi="Century Schoolbook" w:cs="TimesNewRomanPSMT"/>
          <w:color w:val="000000"/>
          <w:sz w:val="27"/>
          <w:szCs w:val="27"/>
        </w:rPr>
        <w:t>]</w:t>
      </w:r>
      <w:r w:rsidR="005A2CA3" w:rsidRPr="000B3D00">
        <w:rPr>
          <w:rFonts w:ascii="Times New Roman" w:hAnsi="Times New Roman"/>
          <w:sz w:val="26"/>
          <w:szCs w:val="26"/>
        </w:rPr>
        <w:t xml:space="preserve">.) </w:t>
      </w:r>
      <w:r w:rsidR="00320716" w:rsidRPr="00615E00">
        <w:rPr>
          <w:rFonts w:ascii="Century Schoolbook" w:hAnsi="Century Schoolbook"/>
          <w:sz w:val="27"/>
          <w:szCs w:val="26"/>
        </w:rPr>
        <w:t xml:space="preserve"> </w:t>
      </w:r>
      <w:r w:rsidR="00EB72E1" w:rsidRPr="00615E00">
        <w:rPr>
          <w:rFonts w:ascii="Century Schoolbook" w:hAnsi="Century Schoolbook"/>
          <w:sz w:val="27"/>
          <w:szCs w:val="26"/>
        </w:rPr>
        <w:t>In</w:t>
      </w:r>
      <w:r w:rsidR="001D498D" w:rsidRPr="00615E00">
        <w:rPr>
          <w:rFonts w:ascii="Century Schoolbook" w:hAnsi="Century Schoolbook"/>
          <w:sz w:val="27"/>
          <w:szCs w:val="26"/>
        </w:rPr>
        <w:t xml:space="preserve"> this respect, </w:t>
      </w:r>
      <w:r w:rsidR="00DE43C9" w:rsidRPr="00615E00">
        <w:rPr>
          <w:rFonts w:ascii="Century Schoolbook" w:hAnsi="Century Schoolbook"/>
          <w:sz w:val="27"/>
          <w:szCs w:val="26"/>
        </w:rPr>
        <w:t xml:space="preserve">when </w:t>
      </w:r>
      <w:r w:rsidR="006758C3" w:rsidRPr="00615E00">
        <w:rPr>
          <w:rFonts w:ascii="Century Schoolbook" w:hAnsi="Century Schoolbook"/>
          <w:sz w:val="27"/>
          <w:szCs w:val="26"/>
        </w:rPr>
        <w:t xml:space="preserve">balancing the probative and prejudicial value of sexual conduct evidence, trial courts </w:t>
      </w:r>
      <w:r w:rsidR="00DE43C9" w:rsidRPr="00615E00">
        <w:rPr>
          <w:rFonts w:ascii="Century Schoolbook" w:hAnsi="Century Schoolbook"/>
          <w:sz w:val="27"/>
          <w:szCs w:val="26"/>
        </w:rPr>
        <w:t xml:space="preserve">should </w:t>
      </w:r>
      <w:r w:rsidR="006758C3" w:rsidRPr="00615E00">
        <w:rPr>
          <w:rFonts w:ascii="Century Schoolbook" w:hAnsi="Century Schoolbook"/>
          <w:sz w:val="27"/>
          <w:szCs w:val="26"/>
        </w:rPr>
        <w:t xml:space="preserve">consider </w:t>
      </w:r>
      <w:r w:rsidR="002823B5" w:rsidRPr="00615E00">
        <w:rPr>
          <w:rFonts w:ascii="Century Schoolbook" w:hAnsi="Century Schoolbook"/>
          <w:sz w:val="27"/>
          <w:szCs w:val="26"/>
        </w:rPr>
        <w:t xml:space="preserve">allowing </w:t>
      </w:r>
      <w:r w:rsidR="006758C3" w:rsidRPr="00615E00">
        <w:rPr>
          <w:rFonts w:ascii="Century Schoolbook" w:hAnsi="Century Schoolbook"/>
          <w:sz w:val="27"/>
          <w:szCs w:val="26"/>
        </w:rPr>
        <w:t>only limited, minimally invasive questioning</w:t>
      </w:r>
      <w:r w:rsidR="001D591C" w:rsidRPr="000B3D00">
        <w:rPr>
          <w:rFonts w:ascii="Century Schoolbook" w:hAnsi="Century Schoolbook"/>
          <w:sz w:val="27"/>
          <w:szCs w:val="26"/>
        </w:rPr>
        <w:t> </w:t>
      </w:r>
      <w:r w:rsidR="008E5736" w:rsidRPr="00615E00">
        <w:rPr>
          <w:rFonts w:ascii="Century Schoolbook" w:hAnsi="Century Schoolbook"/>
          <w:sz w:val="27"/>
          <w:szCs w:val="26"/>
        </w:rPr>
        <w:t>—</w:t>
      </w:r>
      <w:r w:rsidR="006758C3" w:rsidRPr="00615E00">
        <w:rPr>
          <w:rFonts w:ascii="Century Schoolbook" w:hAnsi="Century Schoolbook"/>
          <w:sz w:val="27"/>
          <w:szCs w:val="26"/>
        </w:rPr>
        <w:t xml:space="preserve"> or permitting </w:t>
      </w:r>
      <w:r w:rsidR="00F254C5">
        <w:rPr>
          <w:rFonts w:ascii="Century Schoolbook" w:hAnsi="Century Schoolbook"/>
          <w:sz w:val="27"/>
          <w:szCs w:val="26"/>
        </w:rPr>
        <w:t xml:space="preserve">the </w:t>
      </w:r>
      <w:r w:rsidR="006758C3" w:rsidRPr="00615E00">
        <w:rPr>
          <w:rFonts w:ascii="Century Schoolbook" w:hAnsi="Century Schoolbook"/>
          <w:sz w:val="27"/>
          <w:szCs w:val="26"/>
        </w:rPr>
        <w:t xml:space="preserve">parties to </w:t>
      </w:r>
      <w:r w:rsidR="00B124CA" w:rsidRPr="00615E00">
        <w:rPr>
          <w:rFonts w:ascii="Century Schoolbook" w:hAnsi="Century Schoolbook"/>
          <w:sz w:val="27"/>
          <w:szCs w:val="26"/>
        </w:rPr>
        <w:t>stipulate</w:t>
      </w:r>
      <w:r w:rsidR="006758C3" w:rsidRPr="00615E00">
        <w:rPr>
          <w:rFonts w:ascii="Century Schoolbook" w:hAnsi="Century Schoolbook"/>
          <w:sz w:val="27"/>
          <w:szCs w:val="26"/>
        </w:rPr>
        <w:t xml:space="preserve"> </w:t>
      </w:r>
      <w:r w:rsidR="00B124CA" w:rsidRPr="00615E00">
        <w:rPr>
          <w:rFonts w:ascii="Century Schoolbook" w:hAnsi="Century Schoolbook"/>
          <w:sz w:val="27"/>
          <w:szCs w:val="26"/>
        </w:rPr>
        <w:t xml:space="preserve">to </w:t>
      </w:r>
      <w:r w:rsidR="006758C3" w:rsidRPr="00615E00">
        <w:rPr>
          <w:rFonts w:ascii="Century Schoolbook" w:hAnsi="Century Schoolbook"/>
          <w:sz w:val="27"/>
          <w:szCs w:val="26"/>
        </w:rPr>
        <w:t>facts concerning the sexual conduct.</w:t>
      </w:r>
      <w:r w:rsidR="00DE43C9" w:rsidRPr="00615E00">
        <w:rPr>
          <w:rFonts w:ascii="Century Schoolbook" w:hAnsi="Century Schoolbook"/>
          <w:sz w:val="27"/>
          <w:szCs w:val="26"/>
        </w:rPr>
        <w:t xml:space="preserve">  </w:t>
      </w:r>
    </w:p>
    <w:p w14:paraId="0DB2E801" w14:textId="77777777" w:rsidR="004231B7" w:rsidRPr="00615E00" w:rsidRDefault="002E6832" w:rsidP="00615E00">
      <w:pPr>
        <w:pStyle w:val="PlainText"/>
        <w:ind w:firstLine="720"/>
        <w:rPr>
          <w:rFonts w:ascii="Century Schoolbook" w:hAnsi="Century Schoolbook"/>
          <w:sz w:val="27"/>
          <w:szCs w:val="26"/>
        </w:rPr>
      </w:pPr>
      <w:r w:rsidRPr="000B3D00">
        <w:rPr>
          <w:rFonts w:ascii="Century Schoolbook" w:hAnsi="Century Schoolbook"/>
          <w:sz w:val="27"/>
          <w:szCs w:val="26"/>
        </w:rPr>
        <w:t xml:space="preserve">In light of </w:t>
      </w:r>
      <w:r w:rsidR="0069221D" w:rsidRPr="00615E00">
        <w:rPr>
          <w:rFonts w:ascii="Century Schoolbook" w:hAnsi="Century Schoolbook"/>
          <w:sz w:val="27"/>
          <w:szCs w:val="26"/>
        </w:rPr>
        <w:t>our</w:t>
      </w:r>
      <w:r w:rsidRPr="000B3D00">
        <w:rPr>
          <w:rFonts w:ascii="Century Schoolbook" w:hAnsi="Century Schoolbook"/>
          <w:sz w:val="27"/>
          <w:szCs w:val="26"/>
        </w:rPr>
        <w:t xml:space="preserve"> understanding of </w:t>
      </w:r>
      <w:r w:rsidR="006252AA" w:rsidRPr="000B3D00">
        <w:rPr>
          <w:rFonts w:ascii="Century Schoolbook" w:hAnsi="Century Schoolbook"/>
          <w:sz w:val="27"/>
          <w:szCs w:val="26"/>
        </w:rPr>
        <w:t xml:space="preserve">section 352 as it applies in this setting, </w:t>
      </w:r>
      <w:r w:rsidR="00D4274B" w:rsidRPr="00615E00">
        <w:rPr>
          <w:rFonts w:ascii="Century Schoolbook" w:hAnsi="Century Schoolbook"/>
          <w:sz w:val="27"/>
          <w:szCs w:val="26"/>
        </w:rPr>
        <w:t xml:space="preserve">we </w:t>
      </w:r>
      <w:r w:rsidR="00615E00">
        <w:rPr>
          <w:rFonts w:ascii="Century Schoolbook" w:hAnsi="Century Schoolbook"/>
          <w:sz w:val="27"/>
          <w:szCs w:val="26"/>
        </w:rPr>
        <w:t>do not</w:t>
      </w:r>
      <w:r w:rsidR="009D1948" w:rsidRPr="00615E00">
        <w:rPr>
          <w:rFonts w:ascii="Century Schoolbook" w:hAnsi="Century Schoolbook"/>
          <w:sz w:val="27"/>
          <w:szCs w:val="26"/>
        </w:rPr>
        <w:t xml:space="preserve"> </w:t>
      </w:r>
      <w:r w:rsidR="0010220A" w:rsidRPr="000B3D00">
        <w:rPr>
          <w:rFonts w:ascii="Century Schoolbook" w:hAnsi="Century Schoolbook"/>
          <w:sz w:val="27"/>
          <w:szCs w:val="26"/>
        </w:rPr>
        <w:t xml:space="preserve">agree with </w:t>
      </w:r>
      <w:r w:rsidR="00C9619D" w:rsidRPr="00615E00">
        <w:rPr>
          <w:rFonts w:ascii="Century Schoolbook" w:hAnsi="Century Schoolbook"/>
          <w:sz w:val="27"/>
          <w:szCs w:val="26"/>
        </w:rPr>
        <w:t xml:space="preserve">the </w:t>
      </w:r>
      <w:r w:rsidR="009D1948" w:rsidRPr="00615E00">
        <w:rPr>
          <w:rFonts w:ascii="Century Schoolbook" w:hAnsi="Century Schoolbook"/>
          <w:sz w:val="27"/>
          <w:szCs w:val="26"/>
        </w:rPr>
        <w:t>Court of Appeal</w:t>
      </w:r>
      <w:r w:rsidR="00C9619D" w:rsidRPr="00615E00">
        <w:rPr>
          <w:rFonts w:ascii="Century Schoolbook" w:hAnsi="Century Schoolbook"/>
          <w:sz w:val="27"/>
          <w:szCs w:val="26"/>
        </w:rPr>
        <w:t>’s</w:t>
      </w:r>
      <w:r w:rsidR="0010220A" w:rsidRPr="000B3D00">
        <w:rPr>
          <w:rFonts w:ascii="Century Schoolbook" w:hAnsi="Century Schoolbook"/>
          <w:sz w:val="27"/>
          <w:szCs w:val="26"/>
        </w:rPr>
        <w:t xml:space="preserve"> </w:t>
      </w:r>
      <w:r w:rsidR="00615E00">
        <w:rPr>
          <w:rFonts w:ascii="Century Schoolbook" w:hAnsi="Century Schoolbook"/>
          <w:sz w:val="27"/>
          <w:szCs w:val="26"/>
        </w:rPr>
        <w:t xml:space="preserve">conclusion </w:t>
      </w:r>
      <w:r w:rsidR="00806CC9" w:rsidRPr="00615E00">
        <w:rPr>
          <w:rFonts w:ascii="Century Schoolbook" w:hAnsi="Century Schoolbook"/>
          <w:sz w:val="27"/>
          <w:szCs w:val="26"/>
        </w:rPr>
        <w:t xml:space="preserve">that the trial court ultimately “applied the </w:t>
      </w:r>
      <w:r w:rsidR="00806CC9" w:rsidRPr="00615E00">
        <w:rPr>
          <w:rFonts w:ascii="Century Schoolbook" w:hAnsi="Century Schoolbook"/>
          <w:i/>
          <w:iCs/>
          <w:sz w:val="27"/>
          <w:szCs w:val="26"/>
        </w:rPr>
        <w:t>same</w:t>
      </w:r>
      <w:r w:rsidR="00806CC9" w:rsidRPr="00615E00">
        <w:rPr>
          <w:rFonts w:ascii="Century Schoolbook" w:hAnsi="Century Schoolbook"/>
          <w:sz w:val="27"/>
          <w:szCs w:val="26"/>
        </w:rPr>
        <w:t xml:space="preserve"> section 352 analysis called for by” the pertinent shield statutes</w:t>
      </w:r>
      <w:r w:rsidR="00EE2B5C" w:rsidRPr="00615E00">
        <w:rPr>
          <w:rFonts w:ascii="Century Schoolbook" w:hAnsi="Century Schoolbook"/>
          <w:sz w:val="27"/>
          <w:szCs w:val="26"/>
        </w:rPr>
        <w:t xml:space="preserve">.  </w:t>
      </w:r>
      <w:r w:rsidR="00806CC9" w:rsidRPr="00615E00">
        <w:rPr>
          <w:rFonts w:ascii="Century Schoolbook" w:hAnsi="Century Schoolbook"/>
          <w:sz w:val="27"/>
          <w:szCs w:val="26"/>
        </w:rPr>
        <w:t>(</w:t>
      </w:r>
      <w:r w:rsidR="00EE2B5C" w:rsidRPr="00615E00">
        <w:rPr>
          <w:rFonts w:ascii="Century Schoolbook" w:hAnsi="Century Schoolbook"/>
          <w:i/>
          <w:iCs/>
          <w:sz w:val="27"/>
          <w:szCs w:val="26"/>
        </w:rPr>
        <w:t>Doe</w:t>
      </w:r>
      <w:r w:rsidR="00EE2B5C" w:rsidRPr="00615E00">
        <w:rPr>
          <w:rFonts w:ascii="Century Schoolbook" w:hAnsi="Century Schoolbook"/>
          <w:sz w:val="27"/>
          <w:szCs w:val="26"/>
        </w:rPr>
        <w:t>,</w:t>
      </w:r>
      <w:r w:rsidR="00522B54" w:rsidRPr="00615E00">
        <w:rPr>
          <w:rFonts w:ascii="Century Schoolbook" w:hAnsi="Century Schoolbook"/>
          <w:sz w:val="27"/>
          <w:szCs w:val="26"/>
        </w:rPr>
        <w:t xml:space="preserve"> </w:t>
      </w:r>
      <w:r w:rsidR="00EE2B5C" w:rsidRPr="00615E00">
        <w:rPr>
          <w:rFonts w:ascii="Century Schoolbook" w:hAnsi="Century Schoolbook"/>
          <w:i/>
          <w:iCs/>
          <w:sz w:val="27"/>
          <w:szCs w:val="26"/>
        </w:rPr>
        <w:t>supra</w:t>
      </w:r>
      <w:r w:rsidR="00EE2B5C" w:rsidRPr="00615E00">
        <w:rPr>
          <w:rFonts w:ascii="Century Schoolbook" w:hAnsi="Century Schoolbook"/>
          <w:sz w:val="27"/>
          <w:szCs w:val="26"/>
        </w:rPr>
        <w:t>,</w:t>
      </w:r>
      <w:r w:rsidR="00522B54" w:rsidRPr="00615E00">
        <w:rPr>
          <w:rFonts w:ascii="Century Schoolbook" w:hAnsi="Century Schoolbook"/>
          <w:sz w:val="27"/>
          <w:szCs w:val="26"/>
        </w:rPr>
        <w:t xml:space="preserve"> </w:t>
      </w:r>
      <w:r w:rsidR="00EE2B5C" w:rsidRPr="00615E00">
        <w:rPr>
          <w:rFonts w:ascii="Century Schoolbook" w:hAnsi="Century Schoolbook"/>
          <w:sz w:val="27"/>
          <w:szCs w:val="26"/>
        </w:rPr>
        <w:t xml:space="preserve">71 Cal.App.5th at p. </w:t>
      </w:r>
      <w:r w:rsidR="00806CC9" w:rsidRPr="00615E00">
        <w:rPr>
          <w:rFonts w:ascii="Century Schoolbook" w:hAnsi="Century Schoolbook"/>
          <w:sz w:val="27"/>
          <w:szCs w:val="26"/>
        </w:rPr>
        <w:t>235</w:t>
      </w:r>
      <w:r w:rsidR="001A0C38" w:rsidRPr="00615E00">
        <w:rPr>
          <w:rFonts w:ascii="Century Schoolbook" w:hAnsi="Century Schoolbook"/>
          <w:sz w:val="27"/>
          <w:szCs w:val="26"/>
        </w:rPr>
        <w:t>, italics added</w:t>
      </w:r>
      <w:r w:rsidR="00F529E6" w:rsidRPr="00615E00">
        <w:rPr>
          <w:rFonts w:ascii="Century Schoolbook" w:hAnsi="Century Schoolbook"/>
          <w:sz w:val="27"/>
          <w:szCs w:val="26"/>
        </w:rPr>
        <w:t xml:space="preserve">.)  </w:t>
      </w:r>
      <w:r w:rsidR="000B6B7E" w:rsidRPr="00615E00">
        <w:rPr>
          <w:rFonts w:ascii="Century Schoolbook" w:hAnsi="Century Schoolbook"/>
          <w:sz w:val="27"/>
          <w:szCs w:val="26"/>
        </w:rPr>
        <w:t>Nor</w:t>
      </w:r>
      <w:r w:rsidR="00033EEB" w:rsidRPr="00615E00">
        <w:rPr>
          <w:rFonts w:ascii="Century Schoolbook" w:hAnsi="Century Schoolbook"/>
          <w:sz w:val="27"/>
          <w:szCs w:val="26"/>
        </w:rPr>
        <w:t xml:space="preserve"> </w:t>
      </w:r>
      <w:r w:rsidR="008A337E" w:rsidRPr="00615E00">
        <w:rPr>
          <w:rFonts w:ascii="Century Schoolbook" w:hAnsi="Century Schoolbook"/>
          <w:sz w:val="27"/>
          <w:szCs w:val="26"/>
        </w:rPr>
        <w:t xml:space="preserve">if we were to reach the issue </w:t>
      </w:r>
      <w:r w:rsidR="00713CAA" w:rsidRPr="00615E00">
        <w:rPr>
          <w:rFonts w:ascii="Century Schoolbook" w:hAnsi="Century Schoolbook"/>
          <w:sz w:val="27"/>
          <w:szCs w:val="26"/>
        </w:rPr>
        <w:t xml:space="preserve">would </w:t>
      </w:r>
      <w:r w:rsidR="00D4274B" w:rsidRPr="00615E00">
        <w:rPr>
          <w:rFonts w:ascii="Century Schoolbook" w:hAnsi="Century Schoolbook"/>
          <w:sz w:val="27"/>
          <w:szCs w:val="26"/>
        </w:rPr>
        <w:t xml:space="preserve">we </w:t>
      </w:r>
      <w:r w:rsidR="00713CAA" w:rsidRPr="00615E00">
        <w:rPr>
          <w:rFonts w:ascii="Century Schoolbook" w:hAnsi="Century Schoolbook"/>
          <w:sz w:val="27"/>
          <w:szCs w:val="26"/>
        </w:rPr>
        <w:t xml:space="preserve">be </w:t>
      </w:r>
      <w:r w:rsidR="00A83292" w:rsidRPr="00615E00">
        <w:rPr>
          <w:rFonts w:ascii="Century Schoolbook" w:hAnsi="Century Schoolbook"/>
          <w:sz w:val="27"/>
          <w:szCs w:val="26"/>
        </w:rPr>
        <w:t xml:space="preserve">able </w:t>
      </w:r>
      <w:r w:rsidR="00A86D09" w:rsidRPr="00615E00">
        <w:rPr>
          <w:rFonts w:ascii="Century Schoolbook" w:hAnsi="Century Schoolbook"/>
          <w:sz w:val="27"/>
          <w:szCs w:val="26"/>
        </w:rPr>
        <w:t xml:space="preserve">to </w:t>
      </w:r>
      <w:r w:rsidR="00F56082" w:rsidRPr="00615E00">
        <w:rPr>
          <w:rFonts w:ascii="Century Schoolbook" w:hAnsi="Century Schoolbook"/>
          <w:sz w:val="27"/>
          <w:szCs w:val="26"/>
        </w:rPr>
        <w:t>conclude</w:t>
      </w:r>
      <w:r w:rsidR="008F7B16" w:rsidRPr="00615E00">
        <w:rPr>
          <w:rFonts w:ascii="Century Schoolbook" w:hAnsi="Century Schoolbook"/>
          <w:sz w:val="27"/>
          <w:szCs w:val="26"/>
        </w:rPr>
        <w:t xml:space="preserve"> on this </w:t>
      </w:r>
      <w:r w:rsidR="008F7B16" w:rsidRPr="00615E00">
        <w:rPr>
          <w:rFonts w:ascii="Century Schoolbook" w:hAnsi="Century Schoolbook"/>
          <w:sz w:val="27"/>
          <w:szCs w:val="26"/>
        </w:rPr>
        <w:lastRenderedPageBreak/>
        <w:t>record</w:t>
      </w:r>
      <w:r w:rsidR="00F56082" w:rsidRPr="00615E00">
        <w:rPr>
          <w:rFonts w:ascii="Century Schoolbook" w:hAnsi="Century Schoolbook"/>
          <w:sz w:val="27"/>
          <w:szCs w:val="26"/>
        </w:rPr>
        <w:t xml:space="preserve">, as the Court of Appeal did, that </w:t>
      </w:r>
      <w:r w:rsidR="00817235" w:rsidRPr="00615E00">
        <w:rPr>
          <w:rFonts w:ascii="Century Schoolbook" w:hAnsi="Century Schoolbook"/>
          <w:sz w:val="27"/>
          <w:szCs w:val="26"/>
        </w:rPr>
        <w:t xml:space="preserve">the </w:t>
      </w:r>
      <w:r w:rsidR="00F56082" w:rsidRPr="00615E00">
        <w:rPr>
          <w:rFonts w:ascii="Century Schoolbook" w:hAnsi="Century Schoolbook"/>
          <w:sz w:val="27"/>
          <w:szCs w:val="26"/>
        </w:rPr>
        <w:t xml:space="preserve">trial court properly exercised its discretion in finding the evidence </w:t>
      </w:r>
      <w:r w:rsidR="00A91DAD" w:rsidRPr="00615E00">
        <w:rPr>
          <w:rFonts w:ascii="Century Schoolbook" w:hAnsi="Century Schoolbook"/>
          <w:sz w:val="27"/>
          <w:szCs w:val="26"/>
        </w:rPr>
        <w:t xml:space="preserve">regarding </w:t>
      </w:r>
      <w:r w:rsidR="00F56082" w:rsidRPr="00615E00">
        <w:rPr>
          <w:rFonts w:ascii="Century Schoolbook" w:hAnsi="Century Schoolbook"/>
          <w:sz w:val="27"/>
          <w:szCs w:val="26"/>
        </w:rPr>
        <w:t>the 2013 molestation to be admissible under section</w:t>
      </w:r>
      <w:r w:rsidR="00615E00">
        <w:rPr>
          <w:rFonts w:ascii="Century Schoolbook" w:hAnsi="Century Schoolbook"/>
          <w:sz w:val="27"/>
          <w:szCs w:val="26"/>
        </w:rPr>
        <w:t> </w:t>
      </w:r>
      <w:r w:rsidR="00F56082" w:rsidRPr="00615E00">
        <w:rPr>
          <w:rFonts w:ascii="Century Schoolbook" w:hAnsi="Century Schoolbook"/>
          <w:sz w:val="27"/>
          <w:szCs w:val="26"/>
        </w:rPr>
        <w:t xml:space="preserve">352.  </w:t>
      </w:r>
    </w:p>
    <w:p w14:paraId="0DB2E802" w14:textId="77777777" w:rsidR="00FD4EB6" w:rsidRPr="00535A24" w:rsidRDefault="002E6832" w:rsidP="00535A24">
      <w:pPr>
        <w:pStyle w:val="Heading1"/>
      </w:pPr>
      <w:r w:rsidRPr="00535A24">
        <w:t>IV.  Conclusion</w:t>
      </w:r>
    </w:p>
    <w:p w14:paraId="0DB2E803" w14:textId="77777777" w:rsidR="00900500" w:rsidRPr="009106BC" w:rsidRDefault="002E6832" w:rsidP="00632127">
      <w:pPr>
        <w:ind w:firstLine="720"/>
        <w:rPr>
          <w:szCs w:val="26"/>
        </w:rPr>
      </w:pPr>
      <w:r w:rsidRPr="00632127">
        <w:rPr>
          <w:szCs w:val="26"/>
        </w:rPr>
        <w:t>W</w:t>
      </w:r>
      <w:r w:rsidR="00A55012" w:rsidRPr="00632127">
        <w:rPr>
          <w:szCs w:val="26"/>
        </w:rPr>
        <w:t xml:space="preserve">e </w:t>
      </w:r>
      <w:r w:rsidR="009C3985">
        <w:rPr>
          <w:szCs w:val="26"/>
        </w:rPr>
        <w:t xml:space="preserve">reverse the judgment </w:t>
      </w:r>
      <w:r w:rsidR="000A2382">
        <w:rPr>
          <w:szCs w:val="26"/>
        </w:rPr>
        <w:t xml:space="preserve">of the Court of Appeal and </w:t>
      </w:r>
      <w:r w:rsidR="00A55012" w:rsidRPr="009106BC">
        <w:rPr>
          <w:szCs w:val="26"/>
        </w:rPr>
        <w:t xml:space="preserve">remand with directions that it </w:t>
      </w:r>
      <w:r w:rsidR="00B414BD" w:rsidRPr="009106BC">
        <w:rPr>
          <w:szCs w:val="26"/>
        </w:rPr>
        <w:t xml:space="preserve">remand to the trial court to </w:t>
      </w:r>
      <w:r w:rsidR="0058278D" w:rsidRPr="009106BC">
        <w:rPr>
          <w:szCs w:val="26"/>
        </w:rPr>
        <w:t xml:space="preserve">undertake </w:t>
      </w:r>
      <w:r w:rsidR="00B414BD" w:rsidRPr="009106BC">
        <w:rPr>
          <w:szCs w:val="26"/>
        </w:rPr>
        <w:t xml:space="preserve">proper proceedings under </w:t>
      </w:r>
      <w:r w:rsidR="00566204">
        <w:rPr>
          <w:szCs w:val="26"/>
        </w:rPr>
        <w:t xml:space="preserve">Evidence Code </w:t>
      </w:r>
      <w:r w:rsidR="00B414BD" w:rsidRPr="009106BC">
        <w:rPr>
          <w:szCs w:val="26"/>
        </w:rPr>
        <w:t>sections</w:t>
      </w:r>
      <w:r w:rsidR="00EF724E">
        <w:rPr>
          <w:szCs w:val="26"/>
        </w:rPr>
        <w:t> </w:t>
      </w:r>
      <w:r w:rsidR="00B414BD" w:rsidRPr="009106BC">
        <w:rPr>
          <w:szCs w:val="26"/>
        </w:rPr>
        <w:t xml:space="preserve">1106 and </w:t>
      </w:r>
      <w:r w:rsidR="006D5310" w:rsidRPr="009106BC">
        <w:rPr>
          <w:szCs w:val="26"/>
        </w:rPr>
        <w:t>783</w:t>
      </w:r>
      <w:r w:rsidR="00196595" w:rsidRPr="009106BC">
        <w:rPr>
          <w:szCs w:val="26"/>
        </w:rPr>
        <w:t xml:space="preserve">.  </w:t>
      </w:r>
      <w:r w:rsidR="00527430" w:rsidRPr="009106BC">
        <w:rPr>
          <w:szCs w:val="26"/>
        </w:rPr>
        <w:t>If, in the course of those f</w:t>
      </w:r>
      <w:r w:rsidR="00765B80" w:rsidRPr="009106BC">
        <w:rPr>
          <w:szCs w:val="26"/>
        </w:rPr>
        <w:t xml:space="preserve">uture </w:t>
      </w:r>
      <w:r w:rsidR="00527430" w:rsidRPr="009106BC">
        <w:rPr>
          <w:szCs w:val="26"/>
        </w:rPr>
        <w:t xml:space="preserve">proceedings, the District </w:t>
      </w:r>
      <w:r w:rsidR="0005673D" w:rsidRPr="009106BC">
        <w:rPr>
          <w:szCs w:val="26"/>
        </w:rPr>
        <w:t xml:space="preserve">attempts to </w:t>
      </w:r>
      <w:r w:rsidR="00527430" w:rsidRPr="009106BC">
        <w:rPr>
          <w:szCs w:val="26"/>
        </w:rPr>
        <w:t xml:space="preserve">advance its </w:t>
      </w:r>
      <w:r w:rsidR="002E45E8" w:rsidRPr="009106BC">
        <w:rPr>
          <w:szCs w:val="26"/>
        </w:rPr>
        <w:t>evolved and expansive arguments regarding the relevance and use of the evidence concerning the 2013 molestation for impeachment</w:t>
      </w:r>
      <w:r w:rsidR="0021198F" w:rsidRPr="009106BC">
        <w:rPr>
          <w:szCs w:val="26"/>
        </w:rPr>
        <w:t xml:space="preserve">, </w:t>
      </w:r>
      <w:r w:rsidR="005E41F0" w:rsidRPr="009106BC">
        <w:rPr>
          <w:szCs w:val="26"/>
        </w:rPr>
        <w:t xml:space="preserve">the trial court </w:t>
      </w:r>
      <w:r w:rsidR="005A402F" w:rsidRPr="009106BC">
        <w:rPr>
          <w:szCs w:val="26"/>
        </w:rPr>
        <w:t xml:space="preserve">will </w:t>
      </w:r>
      <w:r w:rsidR="005E41F0" w:rsidRPr="009106BC">
        <w:rPr>
          <w:szCs w:val="26"/>
        </w:rPr>
        <w:t xml:space="preserve">have an opportunity to </w:t>
      </w:r>
      <w:r w:rsidR="009E04FB" w:rsidRPr="009106BC">
        <w:rPr>
          <w:szCs w:val="26"/>
        </w:rPr>
        <w:t>consider that issue</w:t>
      </w:r>
      <w:r w:rsidR="001D2B2D" w:rsidRPr="009106BC">
        <w:rPr>
          <w:szCs w:val="26"/>
        </w:rPr>
        <w:t xml:space="preserve"> as well</w:t>
      </w:r>
      <w:r w:rsidR="006B0F61" w:rsidRPr="009106BC">
        <w:rPr>
          <w:szCs w:val="26"/>
        </w:rPr>
        <w:t xml:space="preserve">.  </w:t>
      </w:r>
      <w:r w:rsidR="001C450C" w:rsidRPr="009106BC">
        <w:rPr>
          <w:szCs w:val="26"/>
        </w:rPr>
        <w:t xml:space="preserve">In </w:t>
      </w:r>
      <w:r w:rsidR="006B0F61" w:rsidRPr="009106BC">
        <w:rPr>
          <w:szCs w:val="26"/>
        </w:rPr>
        <w:t>any event, we expect the trial court to engage in the structured focusing and narrowing contemplated by section 783</w:t>
      </w:r>
      <w:r w:rsidR="00454951" w:rsidRPr="009106BC">
        <w:rPr>
          <w:szCs w:val="26"/>
        </w:rPr>
        <w:t xml:space="preserve">, and, if </w:t>
      </w:r>
      <w:r w:rsidR="00FC3991" w:rsidRPr="009106BC">
        <w:rPr>
          <w:szCs w:val="26"/>
        </w:rPr>
        <w:t xml:space="preserve">after further consideration </w:t>
      </w:r>
      <w:r w:rsidR="00454951" w:rsidRPr="009106BC">
        <w:rPr>
          <w:szCs w:val="26"/>
        </w:rPr>
        <w:t xml:space="preserve">it allows </w:t>
      </w:r>
      <w:r w:rsidR="005B4ECF" w:rsidRPr="009106BC">
        <w:rPr>
          <w:szCs w:val="26"/>
        </w:rPr>
        <w:t xml:space="preserve">evidence concerning the 2013 molestation, to </w:t>
      </w:r>
      <w:r w:rsidR="00F22AFA" w:rsidRPr="009106BC">
        <w:rPr>
          <w:szCs w:val="26"/>
        </w:rPr>
        <w:t xml:space="preserve">specify </w:t>
      </w:r>
      <w:r w:rsidR="00C536E0" w:rsidRPr="009106BC">
        <w:rPr>
          <w:szCs w:val="26"/>
        </w:rPr>
        <w:t>what evidence may be introduced</w:t>
      </w:r>
      <w:r w:rsidR="00836CE6" w:rsidRPr="009106BC">
        <w:rPr>
          <w:szCs w:val="26"/>
        </w:rPr>
        <w:t xml:space="preserve"> </w:t>
      </w:r>
      <w:r w:rsidR="00C536E0" w:rsidRPr="009106BC">
        <w:rPr>
          <w:szCs w:val="26"/>
        </w:rPr>
        <w:t>and what questions may be asked</w:t>
      </w:r>
      <w:r w:rsidR="005B4ECF" w:rsidRPr="009106BC">
        <w:rPr>
          <w:szCs w:val="26"/>
        </w:rPr>
        <w:t xml:space="preserve">, </w:t>
      </w:r>
      <w:r w:rsidR="00C536E0" w:rsidRPr="009106BC">
        <w:rPr>
          <w:szCs w:val="26"/>
        </w:rPr>
        <w:t xml:space="preserve">thus clarifying </w:t>
      </w:r>
      <w:r w:rsidR="005F6853" w:rsidRPr="009106BC">
        <w:rPr>
          <w:szCs w:val="26"/>
        </w:rPr>
        <w:t xml:space="preserve">what </w:t>
      </w:r>
      <w:r w:rsidR="00C536E0" w:rsidRPr="009106BC">
        <w:rPr>
          <w:szCs w:val="26"/>
        </w:rPr>
        <w:t xml:space="preserve">may be presented to the jury.  </w:t>
      </w:r>
      <w:r w:rsidR="00BA1F69" w:rsidRPr="009106BC">
        <w:rPr>
          <w:szCs w:val="26"/>
        </w:rPr>
        <w:t xml:space="preserve">Thereafter, </w:t>
      </w:r>
      <w:r w:rsidR="000E3E6E" w:rsidRPr="009106BC">
        <w:rPr>
          <w:szCs w:val="26"/>
        </w:rPr>
        <w:t xml:space="preserve">if the </w:t>
      </w:r>
      <w:r w:rsidR="0020316E" w:rsidRPr="009106BC">
        <w:rPr>
          <w:szCs w:val="26"/>
        </w:rPr>
        <w:t>previously</w:t>
      </w:r>
      <w:r w:rsidR="000C22CE">
        <w:rPr>
          <w:szCs w:val="26"/>
        </w:rPr>
        <w:t xml:space="preserve"> </w:t>
      </w:r>
      <w:r w:rsidR="003A26FA" w:rsidRPr="009106BC">
        <w:rPr>
          <w:szCs w:val="26"/>
        </w:rPr>
        <w:t>empaneled</w:t>
      </w:r>
      <w:r w:rsidR="0020316E" w:rsidRPr="009106BC">
        <w:rPr>
          <w:szCs w:val="26"/>
        </w:rPr>
        <w:t xml:space="preserve"> </w:t>
      </w:r>
      <w:r w:rsidR="000E3E6E" w:rsidRPr="009106BC">
        <w:rPr>
          <w:szCs w:val="26"/>
        </w:rPr>
        <w:t xml:space="preserve">jury </w:t>
      </w:r>
      <w:r w:rsidR="000C3C8C" w:rsidRPr="009106BC">
        <w:rPr>
          <w:szCs w:val="26"/>
        </w:rPr>
        <w:t xml:space="preserve">remains </w:t>
      </w:r>
      <w:r w:rsidR="000E3E6E" w:rsidRPr="009106BC">
        <w:rPr>
          <w:szCs w:val="26"/>
        </w:rPr>
        <w:t>constituted</w:t>
      </w:r>
      <w:r w:rsidR="00F0487D">
        <w:rPr>
          <w:szCs w:val="26"/>
        </w:rPr>
        <w:t xml:space="preserve"> (as we were informed at oral argument it does)</w:t>
      </w:r>
      <w:r w:rsidR="000E3E6E" w:rsidRPr="009106BC">
        <w:rPr>
          <w:szCs w:val="26"/>
        </w:rPr>
        <w:t xml:space="preserve">, </w:t>
      </w:r>
      <w:r w:rsidR="00BA1F69" w:rsidRPr="009106BC">
        <w:rPr>
          <w:szCs w:val="26"/>
        </w:rPr>
        <w:t xml:space="preserve">the trial court </w:t>
      </w:r>
      <w:r w:rsidR="00AB7A75" w:rsidRPr="009106BC">
        <w:rPr>
          <w:szCs w:val="26"/>
        </w:rPr>
        <w:t>will b</w:t>
      </w:r>
      <w:r w:rsidR="00EB5FED" w:rsidRPr="009106BC">
        <w:rPr>
          <w:szCs w:val="26"/>
        </w:rPr>
        <w:t>e</w:t>
      </w:r>
      <w:r w:rsidR="00AB7A75" w:rsidRPr="009106BC">
        <w:rPr>
          <w:szCs w:val="26"/>
        </w:rPr>
        <w:t xml:space="preserve"> </w:t>
      </w:r>
      <w:r w:rsidR="00630C84" w:rsidRPr="009106BC">
        <w:rPr>
          <w:szCs w:val="26"/>
        </w:rPr>
        <w:t xml:space="preserve">expected to </w:t>
      </w:r>
      <w:r w:rsidR="00CB2B27" w:rsidRPr="009106BC">
        <w:rPr>
          <w:szCs w:val="26"/>
        </w:rPr>
        <w:t xml:space="preserve">proceed as </w:t>
      </w:r>
      <w:r w:rsidR="001159B4" w:rsidRPr="009106BC">
        <w:rPr>
          <w:szCs w:val="26"/>
        </w:rPr>
        <w:t>appropriate</w:t>
      </w:r>
      <w:r w:rsidR="00E03788" w:rsidRPr="009106BC">
        <w:rPr>
          <w:szCs w:val="26"/>
        </w:rPr>
        <w:t xml:space="preserve"> in that regard</w:t>
      </w:r>
      <w:r w:rsidR="001159B4" w:rsidRPr="009106BC">
        <w:rPr>
          <w:szCs w:val="26"/>
        </w:rPr>
        <w:t xml:space="preserve">.  </w:t>
      </w:r>
    </w:p>
    <w:p w14:paraId="0DB2E804" w14:textId="77777777" w:rsidR="00A51FE5" w:rsidRPr="009106BC" w:rsidRDefault="002E6832" w:rsidP="00632127">
      <w:pPr>
        <w:jc w:val="right"/>
        <w:rPr>
          <w:b/>
          <w:bCs/>
          <w:szCs w:val="26"/>
        </w:rPr>
      </w:pPr>
      <w:r w:rsidRPr="009106BC">
        <w:rPr>
          <w:szCs w:val="26"/>
        </w:rPr>
        <w:tab/>
      </w:r>
      <w:r w:rsidRPr="009106BC">
        <w:rPr>
          <w:szCs w:val="26"/>
        </w:rPr>
        <w:tab/>
      </w:r>
      <w:r w:rsidRPr="009106BC">
        <w:rPr>
          <w:szCs w:val="26"/>
        </w:rPr>
        <w:tab/>
      </w:r>
      <w:r w:rsidRPr="009106BC">
        <w:rPr>
          <w:szCs w:val="26"/>
        </w:rPr>
        <w:tab/>
      </w:r>
      <w:r w:rsidRPr="009106BC">
        <w:rPr>
          <w:szCs w:val="26"/>
        </w:rPr>
        <w:tab/>
      </w:r>
      <w:r w:rsidRPr="009106BC">
        <w:rPr>
          <w:szCs w:val="26"/>
        </w:rPr>
        <w:tab/>
      </w:r>
      <w:r w:rsidRPr="009106BC">
        <w:rPr>
          <w:szCs w:val="26"/>
        </w:rPr>
        <w:tab/>
      </w:r>
      <w:r w:rsidRPr="009106BC">
        <w:rPr>
          <w:szCs w:val="26"/>
        </w:rPr>
        <w:tab/>
      </w:r>
      <w:r w:rsidRPr="009106BC">
        <w:rPr>
          <w:szCs w:val="26"/>
        </w:rPr>
        <w:tab/>
      </w:r>
      <w:r w:rsidRPr="009106BC">
        <w:rPr>
          <w:b/>
          <w:bCs/>
          <w:szCs w:val="26"/>
        </w:rPr>
        <w:t xml:space="preserve">GUERRERO, C. J. </w:t>
      </w:r>
    </w:p>
    <w:p w14:paraId="0DB2E805" w14:textId="77777777" w:rsidR="009A586E" w:rsidRPr="009A586E" w:rsidRDefault="002E6832" w:rsidP="009A586E">
      <w:pPr>
        <w:keepNext/>
        <w:spacing w:before="240"/>
        <w:rPr>
          <w:rStyle w:val="normaltextrun"/>
          <w:rFonts w:cstheme="minorHAnsi"/>
          <w:b/>
          <w:bCs/>
          <w:szCs w:val="26"/>
          <w:shd w:val="clear" w:color="auto" w:fill="FFFFFF"/>
        </w:rPr>
      </w:pPr>
      <w:r w:rsidRPr="009A586E">
        <w:rPr>
          <w:rStyle w:val="normaltextrun"/>
          <w:rFonts w:cstheme="minorHAnsi"/>
          <w:b/>
          <w:bCs/>
          <w:szCs w:val="26"/>
          <w:shd w:val="clear" w:color="auto" w:fill="FFFFFF"/>
        </w:rPr>
        <w:t>We Concur:</w:t>
      </w:r>
    </w:p>
    <w:p w14:paraId="0DB2E806" w14:textId="77777777" w:rsidR="00B3579B" w:rsidRPr="00077BAA" w:rsidRDefault="002E6832" w:rsidP="00B3579B">
      <w:pPr>
        <w:spacing w:after="0" w:line="240" w:lineRule="auto"/>
        <w:rPr>
          <w:b/>
          <w:lang w:val="it-IT"/>
        </w:rPr>
      </w:pPr>
      <w:r w:rsidRPr="00077BAA">
        <w:rPr>
          <w:b/>
          <w:lang w:val="it-IT"/>
        </w:rPr>
        <w:t>CORRIGAN, J.</w:t>
      </w:r>
    </w:p>
    <w:p w14:paraId="0DB2E807" w14:textId="77777777" w:rsidR="00B3579B" w:rsidRDefault="002E6832" w:rsidP="00B3579B">
      <w:pPr>
        <w:spacing w:after="0" w:line="240" w:lineRule="auto"/>
        <w:jc w:val="left"/>
        <w:rPr>
          <w:b/>
        </w:rPr>
      </w:pPr>
      <w:r>
        <w:rPr>
          <w:b/>
        </w:rPr>
        <w:t>LIU</w:t>
      </w:r>
      <w:r w:rsidRPr="00077BAA">
        <w:rPr>
          <w:b/>
        </w:rPr>
        <w:t>, J.</w:t>
      </w:r>
    </w:p>
    <w:p w14:paraId="0DB2E808" w14:textId="77777777" w:rsidR="00B3579B" w:rsidRPr="00077BAA" w:rsidRDefault="002E6832" w:rsidP="00B3579B">
      <w:pPr>
        <w:spacing w:after="0" w:line="240" w:lineRule="auto"/>
        <w:jc w:val="left"/>
        <w:rPr>
          <w:b/>
        </w:rPr>
      </w:pPr>
      <w:r>
        <w:rPr>
          <w:b/>
        </w:rPr>
        <w:t>KRUGER, J.</w:t>
      </w:r>
    </w:p>
    <w:p w14:paraId="0DB2E809" w14:textId="77777777" w:rsidR="00B3579B" w:rsidRPr="00077BAA" w:rsidRDefault="002E6832" w:rsidP="00B3579B">
      <w:pPr>
        <w:spacing w:after="0" w:line="240" w:lineRule="auto"/>
        <w:jc w:val="left"/>
        <w:rPr>
          <w:b/>
          <w:lang w:val="it-IT"/>
        </w:rPr>
      </w:pPr>
      <w:r>
        <w:rPr>
          <w:b/>
          <w:lang w:val="it-IT"/>
        </w:rPr>
        <w:t>GROBAN, J.</w:t>
      </w:r>
    </w:p>
    <w:p w14:paraId="0DB2E80A" w14:textId="77777777" w:rsidR="00B3579B" w:rsidRDefault="002E6832" w:rsidP="00B3579B">
      <w:pPr>
        <w:spacing w:after="0" w:line="240" w:lineRule="auto"/>
        <w:jc w:val="left"/>
        <w:rPr>
          <w:b/>
        </w:rPr>
      </w:pPr>
      <w:r w:rsidRPr="00077BAA">
        <w:rPr>
          <w:b/>
        </w:rPr>
        <w:t>JENKINS, J.</w:t>
      </w:r>
    </w:p>
    <w:p w14:paraId="0DB2E80B" w14:textId="77777777" w:rsidR="00B3579B" w:rsidRDefault="002E6832" w:rsidP="00B3579B">
      <w:pPr>
        <w:spacing w:after="0" w:line="240" w:lineRule="auto"/>
        <w:jc w:val="left"/>
        <w:rPr>
          <w:b/>
        </w:rPr>
      </w:pPr>
      <w:r>
        <w:rPr>
          <w:b/>
        </w:rPr>
        <w:t>EVANS, J.</w:t>
      </w:r>
    </w:p>
    <w:p w14:paraId="176703E5" w14:textId="77777777" w:rsidR="0072132E" w:rsidRDefault="0072132E" w:rsidP="00B3579B">
      <w:pPr>
        <w:rPr>
          <w:b/>
          <w:bCs/>
          <w:szCs w:val="26"/>
        </w:rPr>
        <w:sectPr w:rsidR="0072132E" w:rsidSect="00334329">
          <w:footerReference w:type="first" r:id="rId10"/>
          <w:pgSz w:w="12240" w:h="15840"/>
          <w:pgMar w:top="1800" w:right="2160" w:bottom="1440" w:left="2160" w:header="720" w:footer="720" w:gutter="0"/>
          <w:pgNumType w:start="1"/>
          <w:cols w:space="720"/>
          <w:titlePg/>
          <w:docGrid w:linePitch="367"/>
        </w:sectPr>
      </w:pPr>
    </w:p>
    <w:p w14:paraId="466A8F65" w14:textId="77777777" w:rsidR="0072132E" w:rsidRPr="0072132E" w:rsidRDefault="0072132E" w:rsidP="0072132E">
      <w:pPr>
        <w:spacing w:after="0" w:line="240" w:lineRule="auto"/>
        <w:jc w:val="left"/>
        <w:rPr>
          <w:i/>
          <w:sz w:val="24"/>
          <w:szCs w:val="24"/>
        </w:rPr>
      </w:pPr>
      <w:r w:rsidRPr="0072132E">
        <w:rPr>
          <w:i/>
          <w:sz w:val="24"/>
          <w:szCs w:val="24"/>
        </w:rPr>
        <w:lastRenderedPageBreak/>
        <w:t>See next page for addresses and telephone numbers for counsel who argued in Supreme Court.</w:t>
      </w:r>
    </w:p>
    <w:p w14:paraId="010BE5F2" w14:textId="77777777" w:rsidR="0072132E" w:rsidRPr="0072132E" w:rsidRDefault="0072132E" w:rsidP="0072132E">
      <w:pPr>
        <w:spacing w:after="0" w:line="240" w:lineRule="auto"/>
        <w:jc w:val="left"/>
        <w:rPr>
          <w:i/>
          <w:sz w:val="24"/>
          <w:szCs w:val="24"/>
        </w:rPr>
      </w:pPr>
    </w:p>
    <w:p w14:paraId="408116A2" w14:textId="77777777" w:rsidR="0072132E" w:rsidRPr="0072132E" w:rsidRDefault="0072132E" w:rsidP="0072132E">
      <w:pPr>
        <w:spacing w:after="0" w:line="240" w:lineRule="auto"/>
        <w:jc w:val="left"/>
        <w:rPr>
          <w:bCs/>
          <w:sz w:val="24"/>
          <w:szCs w:val="24"/>
        </w:rPr>
      </w:pPr>
      <w:r w:rsidRPr="0072132E">
        <w:rPr>
          <w:b/>
          <w:sz w:val="24"/>
          <w:szCs w:val="24"/>
        </w:rPr>
        <w:t xml:space="preserve">Name of Opinion  </w:t>
      </w:r>
      <w:r w:rsidRPr="0072132E">
        <w:rPr>
          <w:bCs/>
          <w:sz w:val="24"/>
          <w:szCs w:val="24"/>
        </w:rPr>
        <w:t>Jane S.D. Doe v. Superior Court</w:t>
      </w:r>
    </w:p>
    <w:p w14:paraId="334E14A7" w14:textId="77777777" w:rsidR="0072132E" w:rsidRPr="0072132E" w:rsidRDefault="0072132E" w:rsidP="0072132E">
      <w:pPr>
        <w:spacing w:after="0" w:line="240" w:lineRule="auto"/>
        <w:jc w:val="left"/>
        <w:rPr>
          <w:b/>
          <w:sz w:val="24"/>
          <w:szCs w:val="24"/>
        </w:rPr>
      </w:pPr>
      <w:r w:rsidRPr="0072132E">
        <w:rPr>
          <w:b/>
          <w:sz w:val="24"/>
          <w:szCs w:val="24"/>
        </w:rPr>
        <w:t xml:space="preserve">__________________________________________________________ </w:t>
      </w:r>
    </w:p>
    <w:p w14:paraId="557B1AC4" w14:textId="77777777" w:rsidR="0072132E" w:rsidRPr="0072132E" w:rsidRDefault="0072132E" w:rsidP="0072132E">
      <w:pPr>
        <w:spacing w:after="0" w:line="240" w:lineRule="auto"/>
        <w:jc w:val="left"/>
        <w:rPr>
          <w:b/>
          <w:sz w:val="24"/>
          <w:szCs w:val="24"/>
        </w:rPr>
      </w:pPr>
    </w:p>
    <w:p w14:paraId="6EBEB1B5" w14:textId="77777777" w:rsidR="0072132E" w:rsidRPr="0072132E" w:rsidRDefault="0072132E" w:rsidP="0072132E">
      <w:pPr>
        <w:spacing w:after="0" w:line="240" w:lineRule="auto"/>
        <w:jc w:val="left"/>
        <w:rPr>
          <w:sz w:val="24"/>
          <w:szCs w:val="24"/>
        </w:rPr>
      </w:pPr>
      <w:r w:rsidRPr="0072132E">
        <w:rPr>
          <w:b/>
          <w:bCs/>
          <w:sz w:val="24"/>
          <w:szCs w:val="24"/>
          <w:u w:val="single"/>
        </w:rPr>
        <w:t>Procedural Posture</w:t>
      </w:r>
      <w:r w:rsidRPr="0072132E">
        <w:rPr>
          <w:b/>
          <w:bCs/>
          <w:sz w:val="24"/>
          <w:szCs w:val="24"/>
        </w:rPr>
        <w:t xml:space="preserve"> </w:t>
      </w:r>
      <w:r w:rsidRPr="0072132E">
        <w:rPr>
          <w:sz w:val="24"/>
          <w:szCs w:val="24"/>
        </w:rPr>
        <w:t>(see XX below)</w:t>
      </w:r>
    </w:p>
    <w:p w14:paraId="24B46B29" w14:textId="77777777" w:rsidR="0072132E" w:rsidRPr="0072132E" w:rsidRDefault="0072132E" w:rsidP="0072132E">
      <w:pPr>
        <w:spacing w:after="0" w:line="240" w:lineRule="auto"/>
        <w:jc w:val="left"/>
        <w:rPr>
          <w:sz w:val="24"/>
          <w:szCs w:val="24"/>
        </w:rPr>
      </w:pPr>
      <w:r w:rsidRPr="0072132E">
        <w:rPr>
          <w:b/>
          <w:bCs/>
          <w:sz w:val="24"/>
          <w:szCs w:val="24"/>
        </w:rPr>
        <w:t>Original Appeal</w:t>
      </w:r>
      <w:r w:rsidRPr="0072132E">
        <w:rPr>
          <w:sz w:val="24"/>
          <w:szCs w:val="24"/>
        </w:rPr>
        <w:t xml:space="preserve"> </w:t>
      </w:r>
    </w:p>
    <w:p w14:paraId="387FC7DB" w14:textId="77777777" w:rsidR="0072132E" w:rsidRPr="0072132E" w:rsidRDefault="0072132E" w:rsidP="0072132E">
      <w:pPr>
        <w:spacing w:after="0" w:line="240" w:lineRule="auto"/>
        <w:jc w:val="left"/>
        <w:rPr>
          <w:b/>
          <w:bCs/>
          <w:sz w:val="24"/>
          <w:szCs w:val="24"/>
        </w:rPr>
      </w:pPr>
      <w:r w:rsidRPr="0072132E">
        <w:rPr>
          <w:b/>
          <w:bCs/>
          <w:sz w:val="24"/>
          <w:szCs w:val="24"/>
        </w:rPr>
        <w:t>Original Proceeding</w:t>
      </w:r>
    </w:p>
    <w:p w14:paraId="1922ECBC" w14:textId="77777777" w:rsidR="0072132E" w:rsidRPr="0072132E" w:rsidRDefault="0072132E" w:rsidP="0072132E">
      <w:pPr>
        <w:spacing w:after="0" w:line="240" w:lineRule="auto"/>
        <w:jc w:val="left"/>
        <w:rPr>
          <w:sz w:val="24"/>
          <w:szCs w:val="24"/>
        </w:rPr>
      </w:pPr>
      <w:r w:rsidRPr="0072132E">
        <w:rPr>
          <w:b/>
          <w:bCs/>
          <w:sz w:val="24"/>
          <w:szCs w:val="24"/>
        </w:rPr>
        <w:t>Review Granted</w:t>
      </w:r>
      <w:r w:rsidRPr="0072132E">
        <w:rPr>
          <w:sz w:val="24"/>
          <w:szCs w:val="24"/>
        </w:rPr>
        <w:t xml:space="preserve"> </w:t>
      </w:r>
      <w:r w:rsidRPr="0072132E">
        <w:rPr>
          <w:b/>
          <w:bCs/>
          <w:sz w:val="24"/>
          <w:szCs w:val="24"/>
        </w:rPr>
        <w:t xml:space="preserve">(published) </w:t>
      </w:r>
      <w:r w:rsidRPr="0072132E">
        <w:rPr>
          <w:sz w:val="24"/>
          <w:szCs w:val="24"/>
        </w:rPr>
        <w:t>XX 71 Cal.App.5th 227</w:t>
      </w:r>
    </w:p>
    <w:p w14:paraId="6BE0A968" w14:textId="77777777" w:rsidR="0072132E" w:rsidRPr="0072132E" w:rsidRDefault="0072132E" w:rsidP="0072132E">
      <w:pPr>
        <w:spacing w:after="0" w:line="240" w:lineRule="auto"/>
        <w:jc w:val="left"/>
        <w:rPr>
          <w:sz w:val="24"/>
          <w:szCs w:val="24"/>
        </w:rPr>
      </w:pPr>
      <w:r w:rsidRPr="0072132E">
        <w:rPr>
          <w:b/>
          <w:bCs/>
          <w:sz w:val="24"/>
          <w:szCs w:val="24"/>
        </w:rPr>
        <w:t xml:space="preserve">Review Granted (unpublished) </w:t>
      </w:r>
    </w:p>
    <w:p w14:paraId="24CFF511" w14:textId="77777777" w:rsidR="0072132E" w:rsidRPr="0072132E" w:rsidRDefault="0072132E" w:rsidP="0072132E">
      <w:pPr>
        <w:spacing w:after="0" w:line="240" w:lineRule="auto"/>
        <w:jc w:val="left"/>
        <w:rPr>
          <w:b/>
          <w:bCs/>
          <w:sz w:val="24"/>
          <w:szCs w:val="24"/>
        </w:rPr>
      </w:pPr>
      <w:r w:rsidRPr="0072132E">
        <w:rPr>
          <w:b/>
          <w:bCs/>
          <w:sz w:val="24"/>
          <w:szCs w:val="24"/>
        </w:rPr>
        <w:t>Rehearing Granted</w:t>
      </w:r>
    </w:p>
    <w:p w14:paraId="58F9516F" w14:textId="77777777" w:rsidR="0072132E" w:rsidRPr="0072132E" w:rsidRDefault="0072132E" w:rsidP="0072132E">
      <w:pPr>
        <w:spacing w:after="0" w:line="240" w:lineRule="auto"/>
        <w:jc w:val="left"/>
        <w:rPr>
          <w:b/>
          <w:sz w:val="24"/>
          <w:szCs w:val="24"/>
        </w:rPr>
      </w:pPr>
      <w:r w:rsidRPr="0072132E">
        <w:rPr>
          <w:b/>
          <w:sz w:val="24"/>
          <w:szCs w:val="24"/>
        </w:rPr>
        <w:t xml:space="preserve">__________________________________________________________ </w:t>
      </w:r>
    </w:p>
    <w:p w14:paraId="6FB5FB5E" w14:textId="77777777" w:rsidR="0072132E" w:rsidRPr="0072132E" w:rsidRDefault="0072132E" w:rsidP="0072132E">
      <w:pPr>
        <w:spacing w:after="0" w:line="240" w:lineRule="auto"/>
        <w:jc w:val="left"/>
        <w:rPr>
          <w:b/>
          <w:sz w:val="24"/>
          <w:szCs w:val="24"/>
        </w:rPr>
      </w:pPr>
    </w:p>
    <w:p w14:paraId="33794281" w14:textId="77777777" w:rsidR="0072132E" w:rsidRPr="0072132E" w:rsidRDefault="0072132E" w:rsidP="0072132E">
      <w:pPr>
        <w:spacing w:after="0" w:line="240" w:lineRule="auto"/>
        <w:jc w:val="left"/>
        <w:rPr>
          <w:bCs/>
          <w:sz w:val="24"/>
          <w:szCs w:val="24"/>
        </w:rPr>
      </w:pPr>
      <w:r w:rsidRPr="0072132E">
        <w:rPr>
          <w:b/>
          <w:sz w:val="24"/>
          <w:szCs w:val="24"/>
        </w:rPr>
        <w:t>Opinion No.</w:t>
      </w:r>
      <w:r w:rsidRPr="0072132E">
        <w:rPr>
          <w:sz w:val="24"/>
          <w:szCs w:val="24"/>
        </w:rPr>
        <w:t xml:space="preserve"> S272166</w:t>
      </w:r>
    </w:p>
    <w:p w14:paraId="4DF9245B" w14:textId="77777777" w:rsidR="0072132E" w:rsidRPr="0072132E" w:rsidRDefault="0072132E" w:rsidP="0072132E">
      <w:pPr>
        <w:spacing w:after="0" w:line="240" w:lineRule="auto"/>
        <w:jc w:val="left"/>
        <w:rPr>
          <w:bCs/>
          <w:sz w:val="24"/>
          <w:szCs w:val="24"/>
        </w:rPr>
      </w:pPr>
      <w:r w:rsidRPr="0072132E">
        <w:rPr>
          <w:b/>
          <w:sz w:val="24"/>
          <w:szCs w:val="24"/>
        </w:rPr>
        <w:t>Date Filed:</w:t>
      </w:r>
      <w:r w:rsidRPr="0072132E">
        <w:rPr>
          <w:sz w:val="24"/>
          <w:szCs w:val="24"/>
        </w:rPr>
        <w:t xml:space="preserve">  July 27, 2023</w:t>
      </w:r>
    </w:p>
    <w:p w14:paraId="69F49A90" w14:textId="77777777" w:rsidR="0072132E" w:rsidRPr="0072132E" w:rsidRDefault="0072132E" w:rsidP="0072132E">
      <w:pPr>
        <w:spacing w:after="0" w:line="240" w:lineRule="auto"/>
        <w:jc w:val="left"/>
        <w:rPr>
          <w:b/>
          <w:sz w:val="24"/>
          <w:szCs w:val="24"/>
        </w:rPr>
      </w:pPr>
      <w:r w:rsidRPr="0072132E">
        <w:rPr>
          <w:b/>
          <w:sz w:val="24"/>
          <w:szCs w:val="24"/>
        </w:rPr>
        <w:t xml:space="preserve">__________________________________________________________ </w:t>
      </w:r>
    </w:p>
    <w:p w14:paraId="67DA688B" w14:textId="77777777" w:rsidR="0072132E" w:rsidRPr="0072132E" w:rsidRDefault="0072132E" w:rsidP="0072132E">
      <w:pPr>
        <w:spacing w:after="0" w:line="240" w:lineRule="auto"/>
        <w:jc w:val="left"/>
        <w:rPr>
          <w:b/>
          <w:sz w:val="24"/>
          <w:szCs w:val="24"/>
        </w:rPr>
      </w:pPr>
    </w:p>
    <w:p w14:paraId="40E97B5B" w14:textId="77777777" w:rsidR="0072132E" w:rsidRPr="0072132E" w:rsidRDefault="0072132E" w:rsidP="0072132E">
      <w:pPr>
        <w:spacing w:after="0" w:line="240" w:lineRule="auto"/>
        <w:jc w:val="left"/>
        <w:rPr>
          <w:bCs/>
          <w:sz w:val="24"/>
          <w:szCs w:val="24"/>
        </w:rPr>
      </w:pPr>
      <w:r w:rsidRPr="0072132E">
        <w:rPr>
          <w:b/>
          <w:sz w:val="24"/>
          <w:szCs w:val="24"/>
        </w:rPr>
        <w:t xml:space="preserve">Court:  </w:t>
      </w:r>
      <w:r w:rsidRPr="0072132E">
        <w:rPr>
          <w:bCs/>
          <w:sz w:val="24"/>
          <w:szCs w:val="24"/>
        </w:rPr>
        <w:t>Superior</w:t>
      </w:r>
      <w:r w:rsidRPr="0072132E">
        <w:rPr>
          <w:b/>
          <w:sz w:val="24"/>
          <w:szCs w:val="24"/>
        </w:rPr>
        <w:t xml:space="preserve"> </w:t>
      </w:r>
    </w:p>
    <w:p w14:paraId="582E2A3F" w14:textId="77777777" w:rsidR="0072132E" w:rsidRPr="0072132E" w:rsidRDefault="0072132E" w:rsidP="0072132E">
      <w:pPr>
        <w:spacing w:after="0" w:line="240" w:lineRule="auto"/>
        <w:jc w:val="left"/>
        <w:rPr>
          <w:bCs/>
          <w:sz w:val="24"/>
          <w:szCs w:val="24"/>
        </w:rPr>
      </w:pPr>
      <w:r w:rsidRPr="0072132E">
        <w:rPr>
          <w:b/>
          <w:sz w:val="24"/>
          <w:szCs w:val="24"/>
        </w:rPr>
        <w:t xml:space="preserve">County:  </w:t>
      </w:r>
      <w:r w:rsidRPr="0072132E">
        <w:rPr>
          <w:bCs/>
          <w:sz w:val="24"/>
          <w:szCs w:val="24"/>
        </w:rPr>
        <w:t>Los Angeles</w:t>
      </w:r>
    </w:p>
    <w:p w14:paraId="7E17AB11" w14:textId="77777777" w:rsidR="0072132E" w:rsidRPr="0072132E" w:rsidRDefault="0072132E" w:rsidP="0072132E">
      <w:pPr>
        <w:spacing w:after="0" w:line="240" w:lineRule="auto"/>
        <w:ind w:left="720" w:hanging="720"/>
        <w:jc w:val="left"/>
        <w:rPr>
          <w:bCs/>
          <w:sz w:val="24"/>
          <w:szCs w:val="24"/>
        </w:rPr>
      </w:pPr>
      <w:r w:rsidRPr="0072132E">
        <w:rPr>
          <w:b/>
          <w:sz w:val="24"/>
          <w:szCs w:val="24"/>
        </w:rPr>
        <w:t xml:space="preserve">Judge: </w:t>
      </w:r>
      <w:r w:rsidRPr="0072132E">
        <w:rPr>
          <w:bCs/>
          <w:sz w:val="24"/>
          <w:szCs w:val="24"/>
        </w:rPr>
        <w:t xml:space="preserve"> Mary Ann Murphy</w:t>
      </w:r>
    </w:p>
    <w:p w14:paraId="6D0AB8DD" w14:textId="77777777" w:rsidR="0072132E" w:rsidRPr="0072132E" w:rsidRDefault="0072132E" w:rsidP="0072132E">
      <w:pPr>
        <w:spacing w:after="0" w:line="240" w:lineRule="auto"/>
        <w:jc w:val="left"/>
        <w:rPr>
          <w:b/>
          <w:sz w:val="24"/>
          <w:szCs w:val="24"/>
        </w:rPr>
      </w:pPr>
      <w:r w:rsidRPr="0072132E">
        <w:rPr>
          <w:b/>
          <w:sz w:val="24"/>
          <w:szCs w:val="24"/>
        </w:rPr>
        <w:t xml:space="preserve">__________________________________________________________  </w:t>
      </w:r>
    </w:p>
    <w:p w14:paraId="4F62E2B5" w14:textId="77777777" w:rsidR="0072132E" w:rsidRPr="0072132E" w:rsidRDefault="0072132E" w:rsidP="0072132E">
      <w:pPr>
        <w:spacing w:after="0" w:line="240" w:lineRule="auto"/>
        <w:jc w:val="left"/>
        <w:rPr>
          <w:b/>
          <w:sz w:val="24"/>
          <w:szCs w:val="24"/>
        </w:rPr>
      </w:pPr>
    </w:p>
    <w:p w14:paraId="1FA00D4D" w14:textId="77777777" w:rsidR="0072132E" w:rsidRPr="0072132E" w:rsidRDefault="0072132E" w:rsidP="0072132E">
      <w:pPr>
        <w:spacing w:after="0" w:line="240" w:lineRule="auto"/>
        <w:jc w:val="left"/>
        <w:rPr>
          <w:b/>
          <w:sz w:val="24"/>
          <w:szCs w:val="24"/>
        </w:rPr>
      </w:pPr>
      <w:r w:rsidRPr="0072132E">
        <w:rPr>
          <w:b/>
          <w:sz w:val="24"/>
          <w:szCs w:val="24"/>
        </w:rPr>
        <w:t>Counsel:</w:t>
      </w:r>
    </w:p>
    <w:p w14:paraId="5A2B0AC1" w14:textId="77777777" w:rsidR="0072132E" w:rsidRPr="0072132E" w:rsidRDefault="0072132E" w:rsidP="0072132E">
      <w:pPr>
        <w:spacing w:after="0" w:line="240" w:lineRule="auto"/>
        <w:jc w:val="left"/>
        <w:rPr>
          <w:b/>
          <w:sz w:val="24"/>
          <w:szCs w:val="24"/>
        </w:rPr>
      </w:pPr>
    </w:p>
    <w:p w14:paraId="40486867" w14:textId="77777777" w:rsidR="0072132E" w:rsidRPr="0072132E" w:rsidRDefault="0072132E" w:rsidP="0072132E">
      <w:pPr>
        <w:spacing w:after="0" w:line="240" w:lineRule="auto"/>
        <w:jc w:val="left"/>
        <w:rPr>
          <w:color w:val="212121"/>
          <w:sz w:val="24"/>
          <w:szCs w:val="24"/>
          <w:shd w:val="clear" w:color="auto" w:fill="FFFFFF"/>
        </w:rPr>
      </w:pPr>
      <w:r w:rsidRPr="0072132E">
        <w:rPr>
          <w:color w:val="212121"/>
          <w:sz w:val="24"/>
          <w:szCs w:val="24"/>
          <w:shd w:val="clear" w:color="auto" w:fill="FFFFFF"/>
        </w:rPr>
        <w:t>Carrillo Law Firm, Luis A. Carrillo, Michael S. Carrillo, Laura M. Jimenez; The Senators (Ret.) Firm, Ronald T. Labriola; Esner, Chang &amp; Boyer, Stuart B. Esner, Holly N. Boyer and Kevin K. Nguyen for Petitioners.</w:t>
      </w:r>
    </w:p>
    <w:p w14:paraId="34DA0C8A" w14:textId="77777777" w:rsidR="0072132E" w:rsidRPr="0072132E" w:rsidRDefault="0072132E" w:rsidP="0072132E">
      <w:pPr>
        <w:spacing w:after="0" w:line="240" w:lineRule="auto"/>
        <w:jc w:val="left"/>
        <w:rPr>
          <w:color w:val="212121"/>
          <w:sz w:val="24"/>
          <w:szCs w:val="24"/>
          <w:shd w:val="clear" w:color="auto" w:fill="FFFFFF"/>
        </w:rPr>
      </w:pPr>
    </w:p>
    <w:p w14:paraId="2C1FCACC" w14:textId="77777777" w:rsidR="0072132E" w:rsidRPr="0072132E" w:rsidRDefault="0072132E" w:rsidP="0072132E">
      <w:pPr>
        <w:spacing w:after="0" w:line="240" w:lineRule="auto"/>
        <w:jc w:val="left"/>
        <w:rPr>
          <w:color w:val="212121"/>
          <w:sz w:val="24"/>
          <w:szCs w:val="24"/>
          <w:shd w:val="clear" w:color="auto" w:fill="FFFFFF"/>
        </w:rPr>
      </w:pPr>
      <w:r w:rsidRPr="0072132E">
        <w:rPr>
          <w:color w:val="212121"/>
          <w:sz w:val="24"/>
          <w:szCs w:val="24"/>
          <w:shd w:val="clear" w:color="auto" w:fill="FFFFFF"/>
        </w:rPr>
        <w:t>Arbogast Law and David M. Arbogast for Consumer Attorneys of California as Amicus Curiae on behalf of Petitioners.</w:t>
      </w:r>
    </w:p>
    <w:p w14:paraId="5AB3C495" w14:textId="77777777" w:rsidR="0072132E" w:rsidRPr="0072132E" w:rsidRDefault="0072132E" w:rsidP="0072132E">
      <w:pPr>
        <w:spacing w:after="0" w:line="240" w:lineRule="auto"/>
        <w:jc w:val="left"/>
        <w:rPr>
          <w:color w:val="212121"/>
          <w:sz w:val="24"/>
          <w:szCs w:val="24"/>
          <w:shd w:val="clear" w:color="auto" w:fill="FFFFFF"/>
        </w:rPr>
      </w:pPr>
    </w:p>
    <w:p w14:paraId="3D89651E" w14:textId="77777777" w:rsidR="0072132E" w:rsidRPr="0072132E" w:rsidRDefault="0072132E" w:rsidP="0072132E">
      <w:pPr>
        <w:spacing w:after="0" w:line="240" w:lineRule="auto"/>
        <w:jc w:val="left"/>
        <w:rPr>
          <w:color w:val="212121"/>
          <w:sz w:val="24"/>
          <w:szCs w:val="24"/>
          <w:shd w:val="clear" w:color="auto" w:fill="FFFFFF"/>
        </w:rPr>
      </w:pPr>
      <w:r w:rsidRPr="0072132E">
        <w:rPr>
          <w:color w:val="212121"/>
          <w:sz w:val="24"/>
          <w:szCs w:val="24"/>
          <w:shd w:val="clear" w:color="auto" w:fill="FFFFFF"/>
        </w:rPr>
        <w:t>No appearance for Respondent.</w:t>
      </w:r>
    </w:p>
    <w:p w14:paraId="5AF8F355" w14:textId="77777777" w:rsidR="0072132E" w:rsidRPr="0072132E" w:rsidRDefault="0072132E" w:rsidP="0072132E">
      <w:pPr>
        <w:spacing w:after="0" w:line="240" w:lineRule="auto"/>
        <w:jc w:val="left"/>
        <w:rPr>
          <w:color w:val="212121"/>
          <w:sz w:val="24"/>
          <w:szCs w:val="24"/>
          <w:shd w:val="clear" w:color="auto" w:fill="FFFFFF"/>
        </w:rPr>
      </w:pPr>
    </w:p>
    <w:p w14:paraId="1B9BF001" w14:textId="77777777" w:rsidR="0072132E" w:rsidRPr="0072132E" w:rsidRDefault="0072132E" w:rsidP="0072132E">
      <w:pPr>
        <w:spacing w:after="0" w:line="240" w:lineRule="auto"/>
        <w:jc w:val="left"/>
        <w:rPr>
          <w:color w:val="212121"/>
          <w:sz w:val="24"/>
          <w:szCs w:val="24"/>
          <w:shd w:val="clear" w:color="auto" w:fill="FFFFFF"/>
        </w:rPr>
      </w:pPr>
      <w:r w:rsidRPr="0072132E">
        <w:rPr>
          <w:color w:val="212121"/>
          <w:sz w:val="24"/>
          <w:szCs w:val="24"/>
          <w:shd w:val="clear" w:color="auto" w:fill="FFFFFF"/>
        </w:rPr>
        <w:t xml:space="preserve">Lewis Brisbois Bisgaard &amp; Smith, Jeffry A. Miller, Lann G. McIntyre, Dana Alden Fox, Gregory M. Ryan, Edward E. Ward, Jr., and Wendy S. Dowse for Real Party in Interest. </w:t>
      </w:r>
      <w:r w:rsidRPr="0072132E">
        <w:rPr>
          <w:color w:val="212121"/>
          <w:sz w:val="24"/>
          <w:szCs w:val="24"/>
          <w:shd w:val="clear" w:color="auto" w:fill="FFFFFF"/>
        </w:rPr>
        <w:br w:type="page"/>
      </w:r>
      <w:r w:rsidRPr="0072132E">
        <w:rPr>
          <w:b/>
          <w:sz w:val="24"/>
          <w:szCs w:val="24"/>
        </w:rPr>
        <w:lastRenderedPageBreak/>
        <w:t>Counsel who argued in Supreme Court (not intended for publication with opinion):</w:t>
      </w:r>
    </w:p>
    <w:p w14:paraId="48530DF6" w14:textId="77777777" w:rsidR="0072132E" w:rsidRPr="0072132E" w:rsidRDefault="0072132E" w:rsidP="0072132E">
      <w:pPr>
        <w:spacing w:after="0" w:line="240" w:lineRule="auto"/>
        <w:jc w:val="left"/>
        <w:rPr>
          <w:sz w:val="24"/>
          <w:szCs w:val="24"/>
        </w:rPr>
      </w:pPr>
    </w:p>
    <w:p w14:paraId="354B67AA" w14:textId="77777777" w:rsidR="0072132E" w:rsidRPr="0072132E" w:rsidRDefault="0072132E" w:rsidP="0072132E">
      <w:pPr>
        <w:spacing w:after="0" w:line="240" w:lineRule="auto"/>
        <w:jc w:val="left"/>
        <w:rPr>
          <w:sz w:val="24"/>
          <w:szCs w:val="24"/>
        </w:rPr>
      </w:pPr>
      <w:r w:rsidRPr="0072132E">
        <w:rPr>
          <w:sz w:val="24"/>
          <w:szCs w:val="24"/>
        </w:rPr>
        <w:t>Holly N. Boyer</w:t>
      </w:r>
    </w:p>
    <w:p w14:paraId="28D4C1AC" w14:textId="77777777" w:rsidR="0072132E" w:rsidRPr="0072132E" w:rsidRDefault="0072132E" w:rsidP="0072132E">
      <w:pPr>
        <w:spacing w:after="0" w:line="240" w:lineRule="auto"/>
        <w:jc w:val="left"/>
        <w:rPr>
          <w:sz w:val="24"/>
          <w:szCs w:val="24"/>
        </w:rPr>
      </w:pPr>
      <w:r w:rsidRPr="0072132E">
        <w:rPr>
          <w:sz w:val="24"/>
          <w:szCs w:val="24"/>
        </w:rPr>
        <w:t>Esner, Chang &amp; Boyer LLP</w:t>
      </w:r>
    </w:p>
    <w:p w14:paraId="05169FF5" w14:textId="77777777" w:rsidR="0072132E" w:rsidRPr="0072132E" w:rsidRDefault="0072132E" w:rsidP="0072132E">
      <w:pPr>
        <w:spacing w:after="0" w:line="240" w:lineRule="auto"/>
        <w:jc w:val="left"/>
        <w:rPr>
          <w:sz w:val="24"/>
          <w:szCs w:val="24"/>
        </w:rPr>
      </w:pPr>
      <w:r w:rsidRPr="0072132E">
        <w:rPr>
          <w:sz w:val="24"/>
          <w:szCs w:val="24"/>
        </w:rPr>
        <w:t>234 East Colorado Boulevard, Suite 975</w:t>
      </w:r>
    </w:p>
    <w:p w14:paraId="50031D85" w14:textId="77777777" w:rsidR="0072132E" w:rsidRPr="0072132E" w:rsidRDefault="0072132E" w:rsidP="0072132E">
      <w:pPr>
        <w:spacing w:after="0" w:line="240" w:lineRule="auto"/>
        <w:jc w:val="left"/>
        <w:rPr>
          <w:sz w:val="24"/>
          <w:szCs w:val="24"/>
        </w:rPr>
      </w:pPr>
      <w:r w:rsidRPr="0072132E">
        <w:rPr>
          <w:sz w:val="24"/>
          <w:szCs w:val="24"/>
        </w:rPr>
        <w:t>Pasadena, CA 91101</w:t>
      </w:r>
    </w:p>
    <w:p w14:paraId="229054E7" w14:textId="77777777" w:rsidR="0072132E" w:rsidRPr="0072132E" w:rsidRDefault="0072132E" w:rsidP="0072132E">
      <w:pPr>
        <w:spacing w:after="0" w:line="240" w:lineRule="auto"/>
        <w:jc w:val="left"/>
        <w:rPr>
          <w:sz w:val="24"/>
          <w:szCs w:val="24"/>
        </w:rPr>
      </w:pPr>
      <w:r w:rsidRPr="0072132E">
        <w:rPr>
          <w:sz w:val="24"/>
          <w:szCs w:val="24"/>
        </w:rPr>
        <w:t>(626) 535-9860</w:t>
      </w:r>
    </w:p>
    <w:p w14:paraId="1615F6BD" w14:textId="77777777" w:rsidR="0072132E" w:rsidRPr="0072132E" w:rsidRDefault="0072132E" w:rsidP="0072132E">
      <w:pPr>
        <w:spacing w:after="0" w:line="240" w:lineRule="auto"/>
        <w:jc w:val="left"/>
        <w:rPr>
          <w:sz w:val="24"/>
          <w:szCs w:val="24"/>
        </w:rPr>
      </w:pPr>
    </w:p>
    <w:p w14:paraId="63A77BD0" w14:textId="77777777" w:rsidR="0072132E" w:rsidRPr="0072132E" w:rsidRDefault="0072132E" w:rsidP="0072132E">
      <w:pPr>
        <w:spacing w:after="0" w:line="240" w:lineRule="auto"/>
        <w:jc w:val="left"/>
        <w:rPr>
          <w:color w:val="212121"/>
          <w:sz w:val="24"/>
          <w:szCs w:val="24"/>
          <w:shd w:val="clear" w:color="auto" w:fill="FFFFFF"/>
        </w:rPr>
      </w:pPr>
      <w:r w:rsidRPr="0072132E">
        <w:rPr>
          <w:color w:val="212121"/>
          <w:sz w:val="24"/>
          <w:szCs w:val="24"/>
          <w:shd w:val="clear" w:color="auto" w:fill="FFFFFF"/>
        </w:rPr>
        <w:t>Lann G. McIntyre</w:t>
      </w:r>
    </w:p>
    <w:p w14:paraId="2B45BB85" w14:textId="77777777" w:rsidR="0072132E" w:rsidRPr="0072132E" w:rsidRDefault="0072132E" w:rsidP="0072132E">
      <w:pPr>
        <w:spacing w:after="0" w:line="240" w:lineRule="auto"/>
        <w:jc w:val="left"/>
        <w:rPr>
          <w:color w:val="212121"/>
          <w:sz w:val="24"/>
          <w:szCs w:val="24"/>
          <w:shd w:val="clear" w:color="auto" w:fill="FFFFFF"/>
        </w:rPr>
      </w:pPr>
      <w:r w:rsidRPr="0072132E">
        <w:rPr>
          <w:color w:val="212121"/>
          <w:sz w:val="24"/>
          <w:szCs w:val="24"/>
          <w:shd w:val="clear" w:color="auto" w:fill="FFFFFF"/>
        </w:rPr>
        <w:t>Lewis Brisbois Bisgaard &amp; Smith LLP</w:t>
      </w:r>
    </w:p>
    <w:p w14:paraId="2D37B8CE" w14:textId="77777777" w:rsidR="0072132E" w:rsidRPr="0072132E" w:rsidRDefault="0072132E" w:rsidP="0072132E">
      <w:pPr>
        <w:spacing w:after="0" w:line="240" w:lineRule="auto"/>
        <w:jc w:val="left"/>
        <w:rPr>
          <w:sz w:val="24"/>
          <w:szCs w:val="24"/>
        </w:rPr>
      </w:pPr>
      <w:r w:rsidRPr="0072132E">
        <w:rPr>
          <w:sz w:val="24"/>
          <w:szCs w:val="24"/>
        </w:rPr>
        <w:t>550 West C Street, Suite 1700</w:t>
      </w:r>
    </w:p>
    <w:p w14:paraId="4DB9885B" w14:textId="77777777" w:rsidR="0072132E" w:rsidRPr="0072132E" w:rsidRDefault="0072132E" w:rsidP="0072132E">
      <w:pPr>
        <w:spacing w:after="0" w:line="240" w:lineRule="auto"/>
        <w:jc w:val="left"/>
        <w:rPr>
          <w:sz w:val="24"/>
          <w:szCs w:val="24"/>
        </w:rPr>
      </w:pPr>
      <w:r w:rsidRPr="0072132E">
        <w:rPr>
          <w:sz w:val="24"/>
          <w:szCs w:val="24"/>
        </w:rPr>
        <w:t>San Diego, CA 92101</w:t>
      </w:r>
    </w:p>
    <w:p w14:paraId="61B0FCDF" w14:textId="77777777" w:rsidR="0072132E" w:rsidRPr="0072132E" w:rsidRDefault="0072132E" w:rsidP="0072132E">
      <w:pPr>
        <w:spacing w:after="0" w:line="240" w:lineRule="auto"/>
        <w:jc w:val="left"/>
        <w:rPr>
          <w:sz w:val="24"/>
          <w:szCs w:val="24"/>
        </w:rPr>
      </w:pPr>
      <w:r w:rsidRPr="0072132E">
        <w:rPr>
          <w:sz w:val="24"/>
          <w:szCs w:val="24"/>
        </w:rPr>
        <w:t>(619) 699-4976</w:t>
      </w:r>
    </w:p>
    <w:p w14:paraId="0DB2E80C" w14:textId="77777777" w:rsidR="00B3579B" w:rsidRPr="00B3579B" w:rsidRDefault="00B3579B" w:rsidP="00B3579B">
      <w:pPr>
        <w:rPr>
          <w:b/>
          <w:bCs/>
          <w:szCs w:val="26"/>
        </w:rPr>
      </w:pPr>
    </w:p>
    <w:sectPr w:rsidR="00B3579B" w:rsidRPr="00B3579B" w:rsidSect="00EC2BB8">
      <w:headerReference w:type="default" r:id="rId11"/>
      <w:footerReference w:type="default" r:id="rId12"/>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E819" w14:textId="77777777" w:rsidR="00000000" w:rsidRDefault="002E6832">
      <w:pPr>
        <w:spacing w:after="0" w:line="240" w:lineRule="auto"/>
      </w:pPr>
      <w:r>
        <w:separator/>
      </w:r>
    </w:p>
  </w:endnote>
  <w:endnote w:type="continuationSeparator" w:id="0">
    <w:p w14:paraId="0DB2E81B" w14:textId="77777777" w:rsidR="00000000" w:rsidRDefault="002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439748"/>
      <w:docPartObj>
        <w:docPartGallery w:val="Page Numbers (Bottom of Page)"/>
        <w:docPartUnique/>
      </w:docPartObj>
    </w:sdtPr>
    <w:sdtEndPr>
      <w:rPr>
        <w:noProof/>
      </w:rPr>
    </w:sdtEndPr>
    <w:sdtContent>
      <w:p w14:paraId="0DB2E813" w14:textId="77777777" w:rsidR="00DB33F4" w:rsidRPr="00632127" w:rsidRDefault="002E6832">
        <w:pPr>
          <w:pStyle w:val="Footer"/>
        </w:pPr>
        <w:r w:rsidRPr="00632127">
          <w:fldChar w:fldCharType="begin"/>
        </w:r>
        <w:r w:rsidRPr="00632127">
          <w:instrText xml:space="preserve"> PAGE   \* MERGEFORMAT </w:instrText>
        </w:r>
        <w:r w:rsidRPr="00632127">
          <w:fldChar w:fldCharType="separate"/>
        </w:r>
        <w:r w:rsidRPr="00632127">
          <w:rPr>
            <w:noProof/>
          </w:rPr>
          <w:t>2</w:t>
        </w:r>
        <w:r w:rsidRPr="00632127">
          <w:rPr>
            <w:noProof/>
          </w:rPr>
          <w:fldChar w:fldCharType="end"/>
        </w:r>
      </w:p>
    </w:sdtContent>
  </w:sdt>
  <w:p w14:paraId="0DB2E814" w14:textId="77777777" w:rsidR="00DB33F4" w:rsidRDefault="00DB3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E815" w14:textId="77777777" w:rsidR="00535A24" w:rsidRDefault="002E683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3E25" w14:textId="77777777" w:rsidR="0072132E" w:rsidRPr="0072132E" w:rsidRDefault="0072132E" w:rsidP="0072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E80D" w14:textId="77777777" w:rsidR="00CF7CFB" w:rsidRDefault="002E6832" w:rsidP="0084544E">
      <w:r>
        <w:separator/>
      </w:r>
    </w:p>
  </w:footnote>
  <w:footnote w:type="continuationSeparator" w:id="0">
    <w:p w14:paraId="0DB2E80E" w14:textId="77777777" w:rsidR="00CF7CFB" w:rsidRDefault="002E6832" w:rsidP="0084544E">
      <w:r>
        <w:continuationSeparator/>
      </w:r>
    </w:p>
  </w:footnote>
  <w:footnote w:type="continuationNotice" w:id="1">
    <w:p w14:paraId="0DB2E80F" w14:textId="77777777" w:rsidR="00CF7CFB" w:rsidRDefault="00CF7CFB"/>
  </w:footnote>
  <w:footnote w:id="2">
    <w:p w14:paraId="0DB2E816" w14:textId="77777777" w:rsidR="007D7DE0" w:rsidRPr="00751464" w:rsidRDefault="002E6832" w:rsidP="00B77E2B">
      <w:pPr>
        <w:pStyle w:val="FootnoteText"/>
        <w:rPr>
          <w:sz w:val="26"/>
          <w:szCs w:val="26"/>
        </w:rPr>
      </w:pPr>
      <w:r w:rsidRPr="00751464">
        <w:rPr>
          <w:rStyle w:val="FootnoteReference"/>
          <w:sz w:val="26"/>
          <w:szCs w:val="26"/>
        </w:rPr>
        <w:footnoteRef/>
      </w:r>
      <w:r w:rsidRPr="00751464">
        <w:rPr>
          <w:sz w:val="26"/>
          <w:szCs w:val="26"/>
        </w:rPr>
        <w:t xml:space="preserve"> </w:t>
      </w:r>
      <w:r w:rsidRPr="00751464">
        <w:rPr>
          <w:sz w:val="26"/>
          <w:szCs w:val="26"/>
        </w:rPr>
        <w:tab/>
        <w:t xml:space="preserve">Subsequent statutory references are to </w:t>
      </w:r>
      <w:r w:rsidR="005E7A9F" w:rsidRPr="00751464">
        <w:rPr>
          <w:sz w:val="26"/>
          <w:szCs w:val="26"/>
        </w:rPr>
        <w:t>the Evidence C</w:t>
      </w:r>
      <w:r w:rsidRPr="00751464">
        <w:rPr>
          <w:sz w:val="26"/>
          <w:szCs w:val="26"/>
        </w:rPr>
        <w:t xml:space="preserve">ode unless otherwise noted.  </w:t>
      </w:r>
    </w:p>
  </w:footnote>
  <w:footnote w:id="3">
    <w:p w14:paraId="0DB2E817" w14:textId="77777777" w:rsidR="00FF493D" w:rsidRPr="00751464" w:rsidRDefault="002E6832" w:rsidP="00B77E2B">
      <w:pPr>
        <w:pStyle w:val="FootnoteText"/>
        <w:rPr>
          <w:sz w:val="26"/>
          <w:szCs w:val="26"/>
        </w:rPr>
      </w:pPr>
      <w:r w:rsidRPr="00751464">
        <w:rPr>
          <w:rStyle w:val="FootnoteReference"/>
          <w:bCs/>
        </w:rPr>
        <w:footnoteRef/>
      </w:r>
      <w:r w:rsidRPr="00751464">
        <w:rPr>
          <w:b/>
          <w:bCs/>
        </w:rPr>
        <w:t xml:space="preserve"> </w:t>
      </w:r>
      <w:r w:rsidRPr="00751464">
        <w:rPr>
          <w:b/>
          <w:bCs/>
        </w:rPr>
        <w:tab/>
      </w:r>
      <w:r w:rsidR="00AB43D9" w:rsidRPr="00751464">
        <w:rPr>
          <w:sz w:val="26"/>
          <w:szCs w:val="26"/>
        </w:rPr>
        <w:t>T</w:t>
      </w:r>
      <w:r w:rsidR="001720E0" w:rsidRPr="00751464">
        <w:rPr>
          <w:sz w:val="26"/>
          <w:szCs w:val="26"/>
        </w:rPr>
        <w:t>he</w:t>
      </w:r>
      <w:r w:rsidR="009E6A65" w:rsidRPr="00751464">
        <w:rPr>
          <w:sz w:val="26"/>
          <w:szCs w:val="26"/>
        </w:rPr>
        <w:t xml:space="preserve">reafter the </w:t>
      </w:r>
      <w:r w:rsidR="001720E0" w:rsidRPr="00751464">
        <w:rPr>
          <w:sz w:val="26"/>
          <w:szCs w:val="26"/>
        </w:rPr>
        <w:t>trial court</w:t>
      </w:r>
      <w:r w:rsidR="00A56576" w:rsidRPr="00751464">
        <w:rPr>
          <w:sz w:val="26"/>
          <w:szCs w:val="26"/>
        </w:rPr>
        <w:t xml:space="preserve"> </w:t>
      </w:r>
      <w:r w:rsidR="0075239B" w:rsidRPr="00751464">
        <w:rPr>
          <w:sz w:val="26"/>
          <w:szCs w:val="26"/>
        </w:rPr>
        <w:t xml:space="preserve">continued to </w:t>
      </w:r>
      <w:r w:rsidR="00A56576" w:rsidRPr="00751464">
        <w:rPr>
          <w:sz w:val="26"/>
          <w:szCs w:val="26"/>
        </w:rPr>
        <w:t xml:space="preserve">refer to section </w:t>
      </w:r>
      <w:r w:rsidR="00A56576" w:rsidRPr="00751464">
        <w:rPr>
          <w:i/>
          <w:iCs/>
          <w:sz w:val="26"/>
          <w:szCs w:val="26"/>
        </w:rPr>
        <w:t>782</w:t>
      </w:r>
      <w:r w:rsidR="00A56576" w:rsidRPr="00751464">
        <w:rPr>
          <w:sz w:val="26"/>
          <w:szCs w:val="26"/>
        </w:rPr>
        <w:t xml:space="preserve">, </w:t>
      </w:r>
      <w:r w:rsidR="0030650E" w:rsidRPr="00751464">
        <w:rPr>
          <w:sz w:val="26"/>
          <w:szCs w:val="26"/>
        </w:rPr>
        <w:t>when</w:t>
      </w:r>
      <w:r w:rsidR="003F21D1" w:rsidRPr="00751464">
        <w:rPr>
          <w:sz w:val="26"/>
          <w:szCs w:val="26"/>
        </w:rPr>
        <w:t xml:space="preserve"> </w:t>
      </w:r>
      <w:r w:rsidR="00F53DD0" w:rsidRPr="00751464">
        <w:rPr>
          <w:sz w:val="26"/>
          <w:szCs w:val="26"/>
        </w:rPr>
        <w:t xml:space="preserve">the </w:t>
      </w:r>
      <w:r w:rsidR="002F5E1A" w:rsidRPr="00751464">
        <w:rPr>
          <w:sz w:val="26"/>
          <w:szCs w:val="26"/>
        </w:rPr>
        <w:t xml:space="preserve">court </w:t>
      </w:r>
      <w:r w:rsidR="00F53DD0" w:rsidRPr="00751464">
        <w:rPr>
          <w:sz w:val="26"/>
          <w:szCs w:val="26"/>
        </w:rPr>
        <w:t xml:space="preserve">should have </w:t>
      </w:r>
      <w:r w:rsidR="0030650E" w:rsidRPr="00751464">
        <w:rPr>
          <w:sz w:val="26"/>
          <w:szCs w:val="26"/>
        </w:rPr>
        <w:t>refe</w:t>
      </w:r>
      <w:r w:rsidR="00F53DD0" w:rsidRPr="00751464">
        <w:rPr>
          <w:sz w:val="26"/>
          <w:szCs w:val="26"/>
        </w:rPr>
        <w:t>re</w:t>
      </w:r>
      <w:r w:rsidR="00746D80" w:rsidRPr="00751464">
        <w:rPr>
          <w:sz w:val="26"/>
          <w:szCs w:val="26"/>
        </w:rPr>
        <w:t>nce</w:t>
      </w:r>
      <w:r w:rsidR="00F53DD0" w:rsidRPr="00751464">
        <w:rPr>
          <w:sz w:val="26"/>
          <w:szCs w:val="26"/>
        </w:rPr>
        <w:t xml:space="preserve">d and invoked </w:t>
      </w:r>
      <w:r w:rsidR="0030650E" w:rsidRPr="00751464">
        <w:rPr>
          <w:sz w:val="26"/>
          <w:szCs w:val="26"/>
        </w:rPr>
        <w:t xml:space="preserve">section </w:t>
      </w:r>
      <w:r w:rsidR="0030650E" w:rsidRPr="00751464">
        <w:rPr>
          <w:i/>
          <w:iCs/>
          <w:sz w:val="26"/>
          <w:szCs w:val="26"/>
        </w:rPr>
        <w:t>783</w:t>
      </w:r>
      <w:r w:rsidR="001A378E" w:rsidRPr="00751464">
        <w:rPr>
          <w:sz w:val="26"/>
          <w:szCs w:val="26"/>
        </w:rPr>
        <w:t xml:space="preserve">.  </w:t>
      </w:r>
      <w:r w:rsidR="00101113" w:rsidRPr="00751464">
        <w:rPr>
          <w:sz w:val="26"/>
          <w:szCs w:val="26"/>
        </w:rPr>
        <w:t xml:space="preserve">The </w:t>
      </w:r>
      <w:r w:rsidR="00E20AB0" w:rsidRPr="00751464">
        <w:rPr>
          <w:sz w:val="26"/>
          <w:szCs w:val="26"/>
        </w:rPr>
        <w:t>District</w:t>
      </w:r>
      <w:r w:rsidR="00076664" w:rsidRPr="00751464">
        <w:rPr>
          <w:sz w:val="26"/>
          <w:szCs w:val="26"/>
        </w:rPr>
        <w:t>, in it</w:t>
      </w:r>
      <w:r w:rsidR="005A21EE" w:rsidRPr="00751464">
        <w:rPr>
          <w:sz w:val="26"/>
          <w:szCs w:val="26"/>
        </w:rPr>
        <w:t>s subsequent briefing</w:t>
      </w:r>
      <w:r w:rsidR="00470104" w:rsidRPr="00751464">
        <w:rPr>
          <w:sz w:val="26"/>
          <w:szCs w:val="26"/>
        </w:rPr>
        <w:t xml:space="preserve"> and arguments</w:t>
      </w:r>
      <w:r w:rsidR="00B26DC6" w:rsidRPr="00751464">
        <w:rPr>
          <w:sz w:val="26"/>
          <w:szCs w:val="26"/>
        </w:rPr>
        <w:t xml:space="preserve">, noted the </w:t>
      </w:r>
      <w:r w:rsidR="00DA4121" w:rsidRPr="00751464">
        <w:rPr>
          <w:sz w:val="26"/>
          <w:szCs w:val="26"/>
        </w:rPr>
        <w:t>inapplicability of section 782</w:t>
      </w:r>
      <w:r w:rsidR="0038288B">
        <w:rPr>
          <w:sz w:val="26"/>
          <w:szCs w:val="26"/>
        </w:rPr>
        <w:t xml:space="preserve"> to civil actions</w:t>
      </w:r>
      <w:r w:rsidR="002D750D" w:rsidRPr="00751464">
        <w:rPr>
          <w:sz w:val="26"/>
          <w:szCs w:val="26"/>
        </w:rPr>
        <w:t xml:space="preserve">, </w:t>
      </w:r>
      <w:r w:rsidR="00145C21" w:rsidRPr="00751464">
        <w:rPr>
          <w:sz w:val="26"/>
          <w:szCs w:val="26"/>
        </w:rPr>
        <w:t xml:space="preserve">yet failed to </w:t>
      </w:r>
      <w:r w:rsidR="009627CC" w:rsidRPr="00751464">
        <w:rPr>
          <w:sz w:val="26"/>
          <w:szCs w:val="26"/>
        </w:rPr>
        <w:t xml:space="preserve">expressly </w:t>
      </w:r>
      <w:r w:rsidR="00644645" w:rsidRPr="00751464">
        <w:rPr>
          <w:sz w:val="26"/>
          <w:szCs w:val="26"/>
        </w:rPr>
        <w:t xml:space="preserve">acknowledge </w:t>
      </w:r>
      <w:r w:rsidR="008F3848" w:rsidRPr="00751464">
        <w:rPr>
          <w:sz w:val="26"/>
          <w:szCs w:val="26"/>
        </w:rPr>
        <w:t xml:space="preserve">that </w:t>
      </w:r>
      <w:r w:rsidR="002D750D" w:rsidRPr="00751464">
        <w:rPr>
          <w:sz w:val="26"/>
          <w:szCs w:val="26"/>
        </w:rPr>
        <w:t>section 783</w:t>
      </w:r>
      <w:r w:rsidR="00E01271" w:rsidRPr="00751464">
        <w:rPr>
          <w:sz w:val="26"/>
          <w:szCs w:val="26"/>
        </w:rPr>
        <w:t xml:space="preserve"> applied</w:t>
      </w:r>
      <w:r w:rsidR="00A163CB" w:rsidRPr="00751464">
        <w:rPr>
          <w:sz w:val="26"/>
          <w:szCs w:val="26"/>
        </w:rPr>
        <w:t xml:space="preserve">.  </w:t>
      </w:r>
      <w:r w:rsidR="00272CA0" w:rsidRPr="00751464">
        <w:rPr>
          <w:sz w:val="26"/>
          <w:szCs w:val="26"/>
        </w:rPr>
        <w:t>T</w:t>
      </w:r>
      <w:r w:rsidR="002A4049" w:rsidRPr="00751464">
        <w:rPr>
          <w:sz w:val="26"/>
          <w:szCs w:val="26"/>
        </w:rPr>
        <w:t>he Court of Appeal below</w:t>
      </w:r>
      <w:r w:rsidR="00272CA0" w:rsidRPr="00751464">
        <w:rPr>
          <w:sz w:val="26"/>
          <w:szCs w:val="26"/>
        </w:rPr>
        <w:t xml:space="preserve"> </w:t>
      </w:r>
      <w:r w:rsidR="00F80247" w:rsidRPr="00751464">
        <w:rPr>
          <w:sz w:val="26"/>
          <w:szCs w:val="26"/>
        </w:rPr>
        <w:t xml:space="preserve">acknowledged </w:t>
      </w:r>
      <w:r w:rsidR="002A2912" w:rsidRPr="00751464">
        <w:rPr>
          <w:sz w:val="26"/>
          <w:szCs w:val="26"/>
        </w:rPr>
        <w:t xml:space="preserve">the </w:t>
      </w:r>
      <w:r w:rsidR="002A4049" w:rsidRPr="00751464">
        <w:rPr>
          <w:sz w:val="26"/>
          <w:szCs w:val="26"/>
        </w:rPr>
        <w:t>trial court’s (and parties</w:t>
      </w:r>
      <w:r w:rsidR="008E3DBD" w:rsidRPr="00751464">
        <w:rPr>
          <w:sz w:val="26"/>
          <w:szCs w:val="26"/>
        </w:rPr>
        <w:t xml:space="preserve">’) erroneous </w:t>
      </w:r>
      <w:r w:rsidR="00A812BE" w:rsidRPr="00751464">
        <w:rPr>
          <w:sz w:val="26"/>
          <w:szCs w:val="26"/>
        </w:rPr>
        <w:t>invocation</w:t>
      </w:r>
      <w:r w:rsidR="00984D32" w:rsidRPr="00751464">
        <w:rPr>
          <w:sz w:val="26"/>
          <w:szCs w:val="26"/>
        </w:rPr>
        <w:t xml:space="preserve"> </w:t>
      </w:r>
      <w:r w:rsidR="008E3DBD" w:rsidRPr="00751464">
        <w:rPr>
          <w:sz w:val="26"/>
          <w:szCs w:val="26"/>
        </w:rPr>
        <w:t>of section</w:t>
      </w:r>
      <w:r w:rsidR="002E36C2" w:rsidRPr="00751464">
        <w:rPr>
          <w:sz w:val="26"/>
          <w:szCs w:val="26"/>
        </w:rPr>
        <w:t>s 1103 and</w:t>
      </w:r>
      <w:r w:rsidR="008E3DBD" w:rsidRPr="00751464">
        <w:rPr>
          <w:sz w:val="26"/>
          <w:szCs w:val="26"/>
        </w:rPr>
        <w:t xml:space="preserve"> 782, </w:t>
      </w:r>
      <w:r w:rsidR="00924C97" w:rsidRPr="00751464">
        <w:rPr>
          <w:sz w:val="26"/>
          <w:szCs w:val="26"/>
        </w:rPr>
        <w:t xml:space="preserve">but </w:t>
      </w:r>
      <w:r w:rsidR="00597281" w:rsidRPr="00751464">
        <w:rPr>
          <w:sz w:val="26"/>
          <w:szCs w:val="26"/>
        </w:rPr>
        <w:t>viewed the court and t</w:t>
      </w:r>
      <w:r w:rsidR="00301E6B" w:rsidRPr="00751464">
        <w:rPr>
          <w:sz w:val="26"/>
          <w:szCs w:val="26"/>
        </w:rPr>
        <w:t>h</w:t>
      </w:r>
      <w:r w:rsidR="00597281" w:rsidRPr="00751464">
        <w:rPr>
          <w:sz w:val="26"/>
          <w:szCs w:val="26"/>
        </w:rPr>
        <w:t>e parties as</w:t>
      </w:r>
      <w:r w:rsidR="004E668D" w:rsidRPr="00751464">
        <w:rPr>
          <w:sz w:val="26"/>
          <w:szCs w:val="26"/>
        </w:rPr>
        <w:t>,</w:t>
      </w:r>
      <w:r w:rsidR="00573DD0" w:rsidRPr="00751464">
        <w:rPr>
          <w:sz w:val="26"/>
          <w:szCs w:val="26"/>
        </w:rPr>
        <w:t xml:space="preserve"> in practical effect</w:t>
      </w:r>
      <w:r w:rsidR="004E668D" w:rsidRPr="00751464">
        <w:rPr>
          <w:sz w:val="26"/>
          <w:szCs w:val="26"/>
        </w:rPr>
        <w:t>,</w:t>
      </w:r>
      <w:r w:rsidR="00573DD0" w:rsidRPr="00751464">
        <w:rPr>
          <w:sz w:val="26"/>
          <w:szCs w:val="26"/>
        </w:rPr>
        <w:t xml:space="preserve"> </w:t>
      </w:r>
      <w:r w:rsidR="00924C97" w:rsidRPr="00751464">
        <w:rPr>
          <w:sz w:val="26"/>
          <w:szCs w:val="26"/>
        </w:rPr>
        <w:t xml:space="preserve">having </w:t>
      </w:r>
      <w:r w:rsidR="00597281" w:rsidRPr="00751464">
        <w:rPr>
          <w:sz w:val="26"/>
          <w:szCs w:val="26"/>
        </w:rPr>
        <w:t>address</w:t>
      </w:r>
      <w:r w:rsidR="00924C97" w:rsidRPr="00751464">
        <w:rPr>
          <w:sz w:val="26"/>
          <w:szCs w:val="26"/>
        </w:rPr>
        <w:t xml:space="preserve">ed and </w:t>
      </w:r>
      <w:r w:rsidR="006A46E5" w:rsidRPr="00751464">
        <w:rPr>
          <w:sz w:val="26"/>
          <w:szCs w:val="26"/>
        </w:rPr>
        <w:t xml:space="preserve">applied </w:t>
      </w:r>
      <w:r w:rsidR="00597281" w:rsidRPr="00751464">
        <w:rPr>
          <w:sz w:val="26"/>
          <w:szCs w:val="26"/>
        </w:rPr>
        <w:t>section</w:t>
      </w:r>
      <w:r w:rsidR="002E36C2" w:rsidRPr="00751464">
        <w:rPr>
          <w:sz w:val="26"/>
          <w:szCs w:val="26"/>
        </w:rPr>
        <w:t xml:space="preserve">s 1106 and </w:t>
      </w:r>
      <w:r w:rsidR="00597281" w:rsidRPr="00751464">
        <w:rPr>
          <w:sz w:val="26"/>
          <w:szCs w:val="26"/>
        </w:rPr>
        <w:t xml:space="preserve">783.  </w:t>
      </w:r>
      <w:r w:rsidR="00573DD0" w:rsidRPr="00751464">
        <w:rPr>
          <w:sz w:val="26"/>
          <w:szCs w:val="26"/>
        </w:rPr>
        <w:t xml:space="preserve">(See </w:t>
      </w:r>
      <w:r w:rsidR="006312AD" w:rsidRPr="00751464">
        <w:rPr>
          <w:i/>
          <w:iCs/>
          <w:sz w:val="26"/>
          <w:szCs w:val="26"/>
        </w:rPr>
        <w:t>Doe</w:t>
      </w:r>
      <w:r w:rsidR="006312AD" w:rsidRPr="00751464">
        <w:rPr>
          <w:sz w:val="26"/>
          <w:szCs w:val="26"/>
        </w:rPr>
        <w:t xml:space="preserve">, </w:t>
      </w:r>
      <w:r w:rsidR="006312AD" w:rsidRPr="00751464">
        <w:rPr>
          <w:i/>
          <w:iCs/>
          <w:sz w:val="26"/>
          <w:szCs w:val="26"/>
        </w:rPr>
        <w:t>supra</w:t>
      </w:r>
      <w:r w:rsidR="006312AD" w:rsidRPr="00751464">
        <w:rPr>
          <w:sz w:val="26"/>
          <w:szCs w:val="26"/>
        </w:rPr>
        <w:t>, 71</w:t>
      </w:r>
      <w:r w:rsidR="003A6046">
        <w:rPr>
          <w:sz w:val="26"/>
          <w:szCs w:val="26"/>
        </w:rPr>
        <w:t> </w:t>
      </w:r>
      <w:r w:rsidR="006312AD" w:rsidRPr="00751464">
        <w:rPr>
          <w:sz w:val="26"/>
          <w:szCs w:val="26"/>
        </w:rPr>
        <w:t>Cal.App.5th at pp.</w:t>
      </w:r>
      <w:r w:rsidR="005B6272">
        <w:rPr>
          <w:sz w:val="26"/>
          <w:szCs w:val="26"/>
        </w:rPr>
        <w:t> </w:t>
      </w:r>
      <w:r w:rsidR="002D384E" w:rsidRPr="00751464">
        <w:rPr>
          <w:sz w:val="26"/>
          <w:szCs w:val="26"/>
        </w:rPr>
        <w:t>235</w:t>
      </w:r>
      <w:r w:rsidR="002D5E38">
        <w:rPr>
          <w:sz w:val="26"/>
          <w:szCs w:val="26"/>
        </w:rPr>
        <w:t>,</w:t>
      </w:r>
      <w:r w:rsidR="002D384E" w:rsidRPr="00751464">
        <w:rPr>
          <w:sz w:val="26"/>
          <w:szCs w:val="26"/>
        </w:rPr>
        <w:t xml:space="preserve"> 241.)  </w:t>
      </w:r>
    </w:p>
  </w:footnote>
  <w:footnote w:id="4">
    <w:p w14:paraId="0DB2E818" w14:textId="77777777" w:rsidR="0071564C" w:rsidRPr="00751464" w:rsidRDefault="002E6832" w:rsidP="00B77E2B">
      <w:pPr>
        <w:pStyle w:val="FootnoteText"/>
        <w:rPr>
          <w:sz w:val="26"/>
          <w:szCs w:val="26"/>
        </w:rPr>
      </w:pPr>
      <w:r w:rsidRPr="00751464">
        <w:rPr>
          <w:rStyle w:val="FootnoteReference"/>
          <w:bCs/>
        </w:rPr>
        <w:footnoteRef/>
      </w:r>
      <w:r w:rsidRPr="00751464">
        <w:rPr>
          <w:b/>
          <w:bCs/>
        </w:rPr>
        <w:t xml:space="preserve"> </w:t>
      </w:r>
      <w:r w:rsidRPr="00751464">
        <w:tab/>
      </w:r>
      <w:r w:rsidR="00002E57" w:rsidRPr="00751464">
        <w:rPr>
          <w:sz w:val="26"/>
          <w:szCs w:val="26"/>
        </w:rPr>
        <w:t>Indeed, t</w:t>
      </w:r>
      <w:r w:rsidRPr="00751464">
        <w:rPr>
          <w:sz w:val="26"/>
          <w:szCs w:val="26"/>
        </w:rPr>
        <w:t xml:space="preserve">o </w:t>
      </w:r>
      <w:r w:rsidR="00002E57" w:rsidRPr="00751464">
        <w:rPr>
          <w:sz w:val="26"/>
          <w:szCs w:val="26"/>
        </w:rPr>
        <w:t xml:space="preserve">prove </w:t>
      </w:r>
      <w:r w:rsidRPr="00751464">
        <w:rPr>
          <w:sz w:val="26"/>
          <w:szCs w:val="26"/>
        </w:rPr>
        <w:t xml:space="preserve">the </w:t>
      </w:r>
      <w:r w:rsidRPr="00751464">
        <w:rPr>
          <w:sz w:val="26"/>
          <w:szCs w:val="26"/>
        </w:rPr>
        <w:t>statutory crime</w:t>
      </w:r>
      <w:r w:rsidR="005A0CEA" w:rsidRPr="00751464">
        <w:rPr>
          <w:sz w:val="26"/>
          <w:szCs w:val="26"/>
        </w:rPr>
        <w:t xml:space="preserve"> of rape, </w:t>
      </w:r>
      <w:r w:rsidRPr="00751464">
        <w:rPr>
          <w:sz w:val="26"/>
          <w:szCs w:val="26"/>
        </w:rPr>
        <w:t>the prosec</w:t>
      </w:r>
      <w:r w:rsidR="004E4B16" w:rsidRPr="00751464">
        <w:rPr>
          <w:sz w:val="26"/>
          <w:szCs w:val="26"/>
        </w:rPr>
        <w:t>u</w:t>
      </w:r>
      <w:r w:rsidRPr="00751464">
        <w:rPr>
          <w:sz w:val="26"/>
          <w:szCs w:val="26"/>
        </w:rPr>
        <w:t xml:space="preserve">tion was required to establish physical resistance by a victim.  </w:t>
      </w:r>
      <w:r w:rsidR="00AB4E77" w:rsidRPr="00751464">
        <w:rPr>
          <w:sz w:val="26"/>
          <w:szCs w:val="26"/>
        </w:rPr>
        <w:t>(</w:t>
      </w:r>
      <w:r w:rsidR="00AB4E77" w:rsidRPr="00751464">
        <w:rPr>
          <w:i/>
          <w:iCs/>
          <w:sz w:val="26"/>
          <w:szCs w:val="26"/>
        </w:rPr>
        <w:t xml:space="preserve">People v. Fleming </w:t>
      </w:r>
      <w:r w:rsidR="00AB4E77" w:rsidRPr="00751464">
        <w:rPr>
          <w:sz w:val="26"/>
          <w:szCs w:val="26"/>
        </w:rPr>
        <w:t>(1892) 94 Cal. 308, 311 [noting that the applicable statute required a showing that the victim “ ‘resists, but her resistance is overcome by force or violence’ ”].</w:t>
      </w:r>
      <w:r w:rsidR="00246FA7" w:rsidRPr="00751464">
        <w:rPr>
          <w:sz w:val="26"/>
          <w:szCs w:val="26"/>
        </w:rPr>
        <w:t>)</w:t>
      </w:r>
      <w:r w:rsidR="00AB4E77" w:rsidRPr="00751464">
        <w:rPr>
          <w:sz w:val="26"/>
          <w:szCs w:val="26"/>
        </w:rPr>
        <w:t xml:space="preserve">  </w:t>
      </w:r>
      <w:r w:rsidR="00F11A68" w:rsidRPr="00751464">
        <w:rPr>
          <w:sz w:val="26"/>
          <w:szCs w:val="26"/>
        </w:rPr>
        <w:t xml:space="preserve">An early </w:t>
      </w:r>
      <w:r w:rsidR="009C099C" w:rsidRPr="00751464">
        <w:rPr>
          <w:sz w:val="26"/>
          <w:szCs w:val="26"/>
        </w:rPr>
        <w:t>decision by t</w:t>
      </w:r>
      <w:r w:rsidR="00F11A68" w:rsidRPr="00751464">
        <w:rPr>
          <w:sz w:val="26"/>
          <w:szCs w:val="26"/>
        </w:rPr>
        <w:t>his court asserted</w:t>
      </w:r>
      <w:r w:rsidR="009C099C" w:rsidRPr="00751464">
        <w:rPr>
          <w:sz w:val="26"/>
          <w:szCs w:val="26"/>
        </w:rPr>
        <w:t xml:space="preserve"> that </w:t>
      </w:r>
      <w:r w:rsidRPr="00751464">
        <w:rPr>
          <w:sz w:val="26"/>
          <w:szCs w:val="26"/>
        </w:rPr>
        <w:t>“</w:t>
      </w:r>
      <w:r w:rsidR="009C099C" w:rsidRPr="00751464">
        <w:rPr>
          <w:sz w:val="26"/>
          <w:szCs w:val="26"/>
        </w:rPr>
        <w:t>n</w:t>
      </w:r>
      <w:r w:rsidRPr="00751464">
        <w:rPr>
          <w:sz w:val="26"/>
          <w:szCs w:val="26"/>
        </w:rPr>
        <w:t>on-resistance” would be seen as “an invitation to [a] defendant to persist in his endeavors.”  (</w:t>
      </w:r>
      <w:r w:rsidRPr="00751464">
        <w:rPr>
          <w:i/>
          <w:iCs/>
          <w:sz w:val="26"/>
          <w:szCs w:val="26"/>
        </w:rPr>
        <w:t xml:space="preserve">People v. Brown </w:t>
      </w:r>
      <w:r w:rsidRPr="00751464">
        <w:rPr>
          <w:sz w:val="26"/>
          <w:szCs w:val="26"/>
        </w:rPr>
        <w:t>(1874) 47 Cal. 447, 450</w:t>
      </w:r>
      <w:r w:rsidR="009C099C" w:rsidRPr="00751464">
        <w:rPr>
          <w:sz w:val="26"/>
          <w:szCs w:val="26"/>
        </w:rPr>
        <w:t xml:space="preserve">.)  </w:t>
      </w:r>
      <w:r w:rsidR="00E54BF5">
        <w:rPr>
          <w:sz w:val="26"/>
          <w:szCs w:val="26"/>
        </w:rPr>
        <w:t xml:space="preserve">In </w:t>
      </w:r>
      <w:r w:rsidR="002777DD" w:rsidRPr="00BF2C04">
        <w:rPr>
          <w:sz w:val="26"/>
          <w:szCs w:val="26"/>
        </w:rPr>
        <w:t>1980, our Legislature amended California’s rape statute “to delete most references to resistance.”  (</w:t>
      </w:r>
      <w:r w:rsidR="002777DD" w:rsidRPr="00BF2C04">
        <w:rPr>
          <w:i/>
          <w:iCs/>
          <w:sz w:val="26"/>
          <w:szCs w:val="26"/>
        </w:rPr>
        <w:t>People v. Barnes</w:t>
      </w:r>
      <w:r w:rsidR="002777DD" w:rsidRPr="00BF2C04">
        <w:rPr>
          <w:sz w:val="26"/>
          <w:szCs w:val="26"/>
        </w:rPr>
        <w:t xml:space="preserve"> (1986) 42 Cal.3d 284, 292.)</w:t>
      </w:r>
    </w:p>
  </w:footnote>
  <w:footnote w:id="5">
    <w:p w14:paraId="0DB2E819" w14:textId="77777777" w:rsidR="005814A8" w:rsidRPr="00751464" w:rsidRDefault="002E6832" w:rsidP="00867380">
      <w:pPr>
        <w:spacing w:line="300" w:lineRule="exact"/>
        <w:rPr>
          <w:rFonts w:ascii="Times New Roman" w:hAnsi="Times New Roman"/>
          <w:sz w:val="26"/>
          <w:szCs w:val="26"/>
        </w:rPr>
      </w:pPr>
      <w:r w:rsidRPr="00751464">
        <w:rPr>
          <w:rStyle w:val="FootnoteReference"/>
          <w:rFonts w:ascii="Times New Roman" w:hAnsi="Times New Roman"/>
          <w:bCs/>
          <w:sz w:val="26"/>
          <w:szCs w:val="26"/>
        </w:rPr>
        <w:footnoteRef/>
      </w:r>
      <w:r w:rsidRPr="00751464">
        <w:rPr>
          <w:rFonts w:ascii="Times New Roman" w:hAnsi="Times New Roman"/>
          <w:b/>
          <w:bCs/>
          <w:sz w:val="26"/>
          <w:szCs w:val="26"/>
        </w:rPr>
        <w:t xml:space="preserve"> </w:t>
      </w:r>
      <w:r w:rsidRPr="00751464">
        <w:tab/>
      </w:r>
      <w:r w:rsidR="001F0179" w:rsidRPr="00867380">
        <w:rPr>
          <w:sz w:val="26"/>
          <w:szCs w:val="26"/>
        </w:rPr>
        <w:t xml:space="preserve">Our opinion in </w:t>
      </w:r>
      <w:r w:rsidR="001F0179" w:rsidRPr="00867380">
        <w:rPr>
          <w:i/>
          <w:iCs/>
          <w:sz w:val="26"/>
          <w:szCs w:val="26"/>
        </w:rPr>
        <w:t>People v. Pantages</w:t>
      </w:r>
      <w:r w:rsidR="001F0179" w:rsidRPr="00867380">
        <w:rPr>
          <w:sz w:val="26"/>
          <w:szCs w:val="26"/>
        </w:rPr>
        <w:t xml:space="preserve"> (1931) 212 Cal. 237 observed that it would be error “</w:t>
      </w:r>
      <w:r w:rsidR="005F5C0B">
        <w:rPr>
          <w:sz w:val="26"/>
          <w:szCs w:val="26"/>
        </w:rPr>
        <w:t> ‘</w:t>
      </w:r>
      <w:r w:rsidR="001F0179" w:rsidRPr="00867380">
        <w:rPr>
          <w:sz w:val="26"/>
          <w:szCs w:val="26"/>
        </w:rPr>
        <w:t>to exclude evidence which tends to show prior unchaste acts</w:t>
      </w:r>
      <w:r w:rsidR="005F5C0B">
        <w:rPr>
          <w:sz w:val="26"/>
          <w:szCs w:val="26"/>
        </w:rPr>
        <w:t>’ </w:t>
      </w:r>
      <w:r w:rsidR="001F0179" w:rsidRPr="00867380">
        <w:rPr>
          <w:sz w:val="26"/>
          <w:szCs w:val="26"/>
        </w:rPr>
        <w:t>” of an adult woman, “</w:t>
      </w:r>
      <w:r w:rsidR="005F5C0B">
        <w:rPr>
          <w:sz w:val="26"/>
          <w:szCs w:val="26"/>
        </w:rPr>
        <w:t> ‘</w:t>
      </w:r>
      <w:r w:rsidR="001F0179" w:rsidRPr="00867380">
        <w:rPr>
          <w:sz w:val="26"/>
          <w:szCs w:val="26"/>
        </w:rPr>
        <w:t>either with the defendant or with other men.</w:t>
      </w:r>
      <w:r w:rsidR="005F5C0B">
        <w:rPr>
          <w:sz w:val="26"/>
          <w:szCs w:val="26"/>
        </w:rPr>
        <w:t>’ </w:t>
      </w:r>
      <w:r w:rsidR="001F0179" w:rsidRPr="00867380">
        <w:rPr>
          <w:sz w:val="26"/>
          <w:szCs w:val="26"/>
        </w:rPr>
        <w:t>”  (</w:t>
      </w:r>
      <w:r w:rsidR="001F0179" w:rsidRPr="00867380">
        <w:rPr>
          <w:i/>
          <w:iCs/>
          <w:sz w:val="26"/>
          <w:szCs w:val="26"/>
        </w:rPr>
        <w:t>Id</w:t>
      </w:r>
      <w:r w:rsidR="001F0179" w:rsidRPr="00867380">
        <w:rPr>
          <w:sz w:val="26"/>
          <w:szCs w:val="26"/>
        </w:rPr>
        <w:t>. at p. 262</w:t>
      </w:r>
      <w:r w:rsidR="001F0179" w:rsidRPr="00867380">
        <w:rPr>
          <w:i/>
          <w:iCs/>
          <w:sz w:val="26"/>
          <w:szCs w:val="26"/>
        </w:rPr>
        <w:t>.</w:t>
      </w:r>
      <w:r w:rsidR="001F0179" w:rsidRPr="00867380">
        <w:rPr>
          <w:sz w:val="26"/>
          <w:szCs w:val="26"/>
        </w:rPr>
        <w:t>)  We quoted approvingly from one of our prior decisions:  “ ‘</w:t>
      </w:r>
      <w:r w:rsidR="002E3023" w:rsidRPr="00867380">
        <w:rPr>
          <w:sz w:val="26"/>
          <w:szCs w:val="26"/>
        </w:rPr>
        <w:t> “</w:t>
      </w:r>
      <w:r w:rsidR="001F0179" w:rsidRPr="00867380">
        <w:rPr>
          <w:sz w:val="26"/>
          <w:szCs w:val="26"/>
        </w:rPr>
        <w:t>This class of evidence is admissible for the purpose of tending to show the nonprobability of resistance upon the part of the prosecutrix</w:t>
      </w:r>
      <w:r w:rsidR="002E3023" w:rsidRPr="00867380">
        <w:rPr>
          <w:sz w:val="26"/>
          <w:szCs w:val="26"/>
        </w:rPr>
        <w:t>.  F</w:t>
      </w:r>
      <w:r w:rsidR="001F0179" w:rsidRPr="00867380">
        <w:rPr>
          <w:sz w:val="26"/>
          <w:szCs w:val="26"/>
        </w:rPr>
        <w:t>or it is certainly more probable that a woman who has [had sexual relations] voluntarily in the past would be much more likely to consent</w:t>
      </w:r>
      <w:r w:rsidR="005F5C0B">
        <w:rPr>
          <w:sz w:val="26"/>
          <w:szCs w:val="26"/>
        </w:rPr>
        <w:t>,</w:t>
      </w:r>
      <w:r w:rsidR="001F0179" w:rsidRPr="00867380">
        <w:rPr>
          <w:sz w:val="26"/>
          <w:szCs w:val="26"/>
        </w:rPr>
        <w:t xml:space="preserve"> than one whose past reputation was without blemish, and whose personal conduct could not truthfully be assailed.</w:t>
      </w:r>
      <w:r w:rsidR="00820D07" w:rsidRPr="00867380">
        <w:rPr>
          <w:sz w:val="26"/>
          <w:szCs w:val="26"/>
        </w:rPr>
        <w:t>” </w:t>
      </w:r>
      <w:r w:rsidR="001F0179" w:rsidRPr="00867380">
        <w:rPr>
          <w:sz w:val="26"/>
          <w:szCs w:val="26"/>
        </w:rPr>
        <w:t>’ ”  (</w:t>
      </w:r>
      <w:r w:rsidR="001F0179" w:rsidRPr="00867380">
        <w:rPr>
          <w:i/>
          <w:iCs/>
          <w:sz w:val="26"/>
          <w:szCs w:val="26"/>
        </w:rPr>
        <w:t>Id</w:t>
      </w:r>
      <w:r w:rsidR="001F0179" w:rsidRPr="00867380">
        <w:rPr>
          <w:sz w:val="26"/>
          <w:szCs w:val="26"/>
        </w:rPr>
        <w:t xml:space="preserve">. at pp. 262–263, quoting </w:t>
      </w:r>
      <w:r w:rsidR="001F0179" w:rsidRPr="00867380">
        <w:rPr>
          <w:i/>
          <w:iCs/>
          <w:sz w:val="26"/>
          <w:szCs w:val="26"/>
        </w:rPr>
        <w:t>People v. Johnson</w:t>
      </w:r>
      <w:r w:rsidR="001F0179" w:rsidRPr="00867380">
        <w:rPr>
          <w:sz w:val="26"/>
          <w:szCs w:val="26"/>
        </w:rPr>
        <w:t xml:space="preserve"> (1895) 106 Cal. 289, 293.)  </w:t>
      </w:r>
    </w:p>
  </w:footnote>
  <w:footnote w:id="6">
    <w:p w14:paraId="0DB2E81A" w14:textId="77777777" w:rsidR="00480AF8" w:rsidRPr="00751464" w:rsidRDefault="002E6832" w:rsidP="00867380">
      <w:pPr>
        <w:pStyle w:val="FootnoteText"/>
      </w:pPr>
      <w:r w:rsidRPr="00751464">
        <w:rPr>
          <w:rStyle w:val="FootnoteReference"/>
          <w:bCs/>
        </w:rPr>
        <w:footnoteRef/>
      </w:r>
      <w:r w:rsidRPr="00751464">
        <w:t xml:space="preserve"> </w:t>
      </w:r>
      <w:r w:rsidR="00920B3C" w:rsidRPr="00751464">
        <w:tab/>
      </w:r>
      <w:r w:rsidR="0026104C" w:rsidRPr="00751464">
        <w:rPr>
          <w:sz w:val="26"/>
          <w:szCs w:val="26"/>
        </w:rPr>
        <w:t xml:space="preserve">As explained </w:t>
      </w:r>
      <w:r w:rsidR="00887416" w:rsidRPr="00751464">
        <w:rPr>
          <w:sz w:val="26"/>
          <w:szCs w:val="26"/>
        </w:rPr>
        <w:t xml:space="preserve">in </w:t>
      </w:r>
      <w:r w:rsidR="0026104C" w:rsidRPr="00751464">
        <w:rPr>
          <w:i/>
          <w:iCs/>
          <w:sz w:val="26"/>
          <w:szCs w:val="26"/>
        </w:rPr>
        <w:t>Priest v. Rotary</w:t>
      </w:r>
      <w:r w:rsidR="0026104C" w:rsidRPr="00751464">
        <w:rPr>
          <w:sz w:val="26"/>
          <w:szCs w:val="26"/>
        </w:rPr>
        <w:t xml:space="preserve"> (N.D.Cal. 1983) 98 F.R.D. 755, 762</w:t>
      </w:r>
      <w:r w:rsidR="00887416" w:rsidRPr="00751464">
        <w:rPr>
          <w:sz w:val="26"/>
          <w:szCs w:val="26"/>
        </w:rPr>
        <w:t xml:space="preserve"> (</w:t>
      </w:r>
      <w:r w:rsidR="00887416" w:rsidRPr="00751464">
        <w:rPr>
          <w:i/>
          <w:iCs/>
          <w:sz w:val="26"/>
          <w:szCs w:val="26"/>
        </w:rPr>
        <w:t>Priest</w:t>
      </w:r>
      <w:r w:rsidR="00887416" w:rsidRPr="00751464">
        <w:rPr>
          <w:sz w:val="26"/>
          <w:szCs w:val="26"/>
        </w:rPr>
        <w:t>), b</w:t>
      </w:r>
      <w:r w:rsidR="00920B3C" w:rsidRPr="00751464">
        <w:rPr>
          <w:sz w:val="26"/>
          <w:szCs w:val="26"/>
        </w:rPr>
        <w:t>y 1978, “Congress became so disturbed at the treatment of rape victims that it enacted</w:t>
      </w:r>
      <w:r w:rsidR="008D2F1C" w:rsidRPr="00751464">
        <w:rPr>
          <w:sz w:val="26"/>
          <w:szCs w:val="26"/>
        </w:rPr>
        <w:t xml:space="preserve"> [</w:t>
      </w:r>
      <w:r w:rsidR="00920B3C" w:rsidRPr="00751464">
        <w:rPr>
          <w:sz w:val="26"/>
          <w:szCs w:val="26"/>
        </w:rPr>
        <w:t>Federal Rule</w:t>
      </w:r>
      <w:r w:rsidR="00A12F21" w:rsidRPr="00751464">
        <w:rPr>
          <w:sz w:val="26"/>
          <w:szCs w:val="26"/>
        </w:rPr>
        <w:t>s</w:t>
      </w:r>
      <w:r w:rsidR="00920B3C" w:rsidRPr="00751464">
        <w:rPr>
          <w:sz w:val="26"/>
          <w:szCs w:val="26"/>
        </w:rPr>
        <w:t xml:space="preserve"> of Evidence</w:t>
      </w:r>
      <w:r w:rsidR="005B0D48" w:rsidRPr="00751464">
        <w:rPr>
          <w:sz w:val="26"/>
          <w:szCs w:val="26"/>
        </w:rPr>
        <w:t>, rule</w:t>
      </w:r>
      <w:r w:rsidR="008D2F1C" w:rsidRPr="00751464">
        <w:rPr>
          <w:sz w:val="26"/>
          <w:szCs w:val="26"/>
        </w:rPr>
        <w:t>]</w:t>
      </w:r>
      <w:r w:rsidR="00920B3C" w:rsidRPr="00751464">
        <w:rPr>
          <w:sz w:val="26"/>
          <w:szCs w:val="26"/>
        </w:rPr>
        <w:t xml:space="preserve"> 412.</w:t>
      </w:r>
      <w:r w:rsidR="00286654" w:rsidRPr="00751464">
        <w:rPr>
          <w:sz w:val="26"/>
          <w:szCs w:val="26"/>
        </w:rPr>
        <w:t>”</w:t>
      </w:r>
      <w:r w:rsidR="00920B3C" w:rsidRPr="00751464">
        <w:rPr>
          <w:sz w:val="26"/>
          <w:szCs w:val="26"/>
        </w:rPr>
        <w:t xml:space="preserve"> </w:t>
      </w:r>
      <w:r w:rsidR="00F532EF" w:rsidRPr="00751464">
        <w:rPr>
          <w:sz w:val="26"/>
          <w:szCs w:val="26"/>
        </w:rPr>
        <w:t xml:space="preserve"> </w:t>
      </w:r>
      <w:r w:rsidR="00920B3C" w:rsidRPr="00751464">
        <w:rPr>
          <w:sz w:val="26"/>
          <w:szCs w:val="26"/>
        </w:rPr>
        <w:t>Th</w:t>
      </w:r>
      <w:r w:rsidR="0090697A" w:rsidRPr="00751464">
        <w:rPr>
          <w:sz w:val="26"/>
          <w:szCs w:val="26"/>
        </w:rPr>
        <w:t>e</w:t>
      </w:r>
      <w:r w:rsidR="00920B3C" w:rsidRPr="00751464">
        <w:rPr>
          <w:sz w:val="26"/>
          <w:szCs w:val="26"/>
        </w:rPr>
        <w:t xml:space="preserve"> federal rule </w:t>
      </w:r>
      <w:r w:rsidR="00484738" w:rsidRPr="00751464">
        <w:rPr>
          <w:sz w:val="26"/>
          <w:szCs w:val="26"/>
        </w:rPr>
        <w:t>provides</w:t>
      </w:r>
      <w:r w:rsidR="00920B3C" w:rsidRPr="00751464">
        <w:rPr>
          <w:sz w:val="26"/>
          <w:szCs w:val="26"/>
        </w:rPr>
        <w:t xml:space="preserve">: </w:t>
      </w:r>
      <w:r w:rsidR="004E4B16" w:rsidRPr="00751464">
        <w:rPr>
          <w:sz w:val="26"/>
          <w:szCs w:val="26"/>
        </w:rPr>
        <w:t xml:space="preserve"> </w:t>
      </w:r>
      <w:r w:rsidR="00920B3C" w:rsidRPr="00751464">
        <w:rPr>
          <w:sz w:val="26"/>
          <w:szCs w:val="26"/>
        </w:rPr>
        <w:t>“[E]vidence offered to prove that a victim engaged in other sexual behavior” or “to prove a victim’s sexual predisposition” is inadmissible in proceedings “involving alleged sexual misconduct</w:t>
      </w:r>
      <w:r w:rsidR="007C0277" w:rsidRPr="00751464">
        <w:rPr>
          <w:sz w:val="26"/>
          <w:szCs w:val="26"/>
        </w:rPr>
        <w:t>.</w:t>
      </w:r>
      <w:r w:rsidR="00920B3C" w:rsidRPr="00751464">
        <w:rPr>
          <w:sz w:val="26"/>
          <w:szCs w:val="26"/>
        </w:rPr>
        <w:t xml:space="preserve">” </w:t>
      </w:r>
      <w:r w:rsidR="007C0277" w:rsidRPr="00751464">
        <w:rPr>
          <w:sz w:val="26"/>
          <w:szCs w:val="26"/>
        </w:rPr>
        <w:t xml:space="preserve"> </w:t>
      </w:r>
      <w:r w:rsidR="00440CE5" w:rsidRPr="00751464">
        <w:rPr>
          <w:sz w:val="26"/>
          <w:szCs w:val="26"/>
        </w:rPr>
        <w:t>(</w:t>
      </w:r>
      <w:r w:rsidR="0090697A" w:rsidRPr="00751464">
        <w:rPr>
          <w:sz w:val="26"/>
          <w:szCs w:val="26"/>
        </w:rPr>
        <w:t>Fed</w:t>
      </w:r>
      <w:r w:rsidR="0017551B" w:rsidRPr="00751464">
        <w:rPr>
          <w:sz w:val="26"/>
          <w:szCs w:val="26"/>
        </w:rPr>
        <w:t>.</w:t>
      </w:r>
      <w:r w:rsidR="0090697A" w:rsidRPr="00751464">
        <w:rPr>
          <w:sz w:val="26"/>
          <w:szCs w:val="26"/>
        </w:rPr>
        <w:t xml:space="preserve"> Rules Evid</w:t>
      </w:r>
      <w:r w:rsidR="0017551B" w:rsidRPr="00751464">
        <w:rPr>
          <w:sz w:val="26"/>
          <w:szCs w:val="26"/>
        </w:rPr>
        <w:t>.</w:t>
      </w:r>
      <w:r w:rsidR="0090697A" w:rsidRPr="00751464">
        <w:rPr>
          <w:sz w:val="26"/>
          <w:szCs w:val="26"/>
        </w:rPr>
        <w:t>, rule 412</w:t>
      </w:r>
      <w:r w:rsidR="00440CE5" w:rsidRPr="00751464">
        <w:rPr>
          <w:sz w:val="26"/>
          <w:szCs w:val="26"/>
        </w:rPr>
        <w:t>(a)</w:t>
      </w:r>
      <w:r w:rsidR="00DB27CD">
        <w:rPr>
          <w:sz w:val="26"/>
          <w:szCs w:val="26"/>
        </w:rPr>
        <w:t>(1–2)</w:t>
      </w:r>
      <w:r w:rsidR="00C67FFB" w:rsidRPr="00751464">
        <w:rPr>
          <w:sz w:val="26"/>
          <w:szCs w:val="26"/>
        </w:rPr>
        <w:t xml:space="preserve">, </w:t>
      </w:r>
      <w:r w:rsidR="00962714" w:rsidRPr="00751464">
        <w:rPr>
          <w:sz w:val="26"/>
          <w:szCs w:val="26"/>
        </w:rPr>
        <w:t>28 U.S.C</w:t>
      </w:r>
      <w:r w:rsidR="00440CE5" w:rsidRPr="00751464">
        <w:rPr>
          <w:sz w:val="26"/>
          <w:szCs w:val="26"/>
        </w:rPr>
        <w:t xml:space="preserve">.)  </w:t>
      </w:r>
      <w:r w:rsidR="007C0277" w:rsidRPr="00751464">
        <w:rPr>
          <w:sz w:val="26"/>
          <w:szCs w:val="26"/>
        </w:rPr>
        <w:t>Yet t</w:t>
      </w:r>
      <w:r w:rsidR="0027739F" w:rsidRPr="00751464">
        <w:rPr>
          <w:sz w:val="26"/>
          <w:szCs w:val="26"/>
        </w:rPr>
        <w:t xml:space="preserve">he </w:t>
      </w:r>
      <w:r w:rsidR="00793F3C" w:rsidRPr="00751464">
        <w:rPr>
          <w:sz w:val="26"/>
          <w:szCs w:val="26"/>
        </w:rPr>
        <w:t xml:space="preserve">federal </w:t>
      </w:r>
      <w:r w:rsidR="0027739F" w:rsidRPr="00751464">
        <w:rPr>
          <w:sz w:val="26"/>
          <w:szCs w:val="26"/>
        </w:rPr>
        <w:t>rule recognize</w:t>
      </w:r>
      <w:r w:rsidR="00385C9D" w:rsidRPr="00751464">
        <w:rPr>
          <w:sz w:val="26"/>
          <w:szCs w:val="26"/>
        </w:rPr>
        <w:t>s</w:t>
      </w:r>
      <w:r w:rsidR="0027739F" w:rsidRPr="00751464">
        <w:rPr>
          <w:sz w:val="26"/>
          <w:szCs w:val="26"/>
        </w:rPr>
        <w:t xml:space="preserve"> exceptions </w:t>
      </w:r>
      <w:r w:rsidR="001165E7" w:rsidRPr="00751464">
        <w:rPr>
          <w:sz w:val="26"/>
          <w:szCs w:val="26"/>
        </w:rPr>
        <w:t xml:space="preserve">applicable </w:t>
      </w:r>
      <w:r w:rsidR="005618B8" w:rsidRPr="00751464">
        <w:rPr>
          <w:sz w:val="26"/>
          <w:szCs w:val="26"/>
        </w:rPr>
        <w:t>in both criminal and civil cases</w:t>
      </w:r>
      <w:r w:rsidR="00930305" w:rsidRPr="00751464">
        <w:rPr>
          <w:sz w:val="26"/>
          <w:szCs w:val="26"/>
        </w:rPr>
        <w:t xml:space="preserve">.  </w:t>
      </w:r>
      <w:r w:rsidR="001165E7" w:rsidRPr="00751464">
        <w:rPr>
          <w:sz w:val="26"/>
          <w:szCs w:val="26"/>
        </w:rPr>
        <w:t xml:space="preserve">Regarding </w:t>
      </w:r>
      <w:r w:rsidR="0021569F" w:rsidRPr="00751464">
        <w:rPr>
          <w:sz w:val="26"/>
          <w:szCs w:val="26"/>
        </w:rPr>
        <w:t xml:space="preserve">the former, </w:t>
      </w:r>
      <w:r w:rsidR="00D70C66" w:rsidRPr="00751464">
        <w:rPr>
          <w:sz w:val="26"/>
          <w:szCs w:val="26"/>
        </w:rPr>
        <w:t xml:space="preserve">the </w:t>
      </w:r>
      <w:r w:rsidR="0010640B" w:rsidRPr="00751464">
        <w:rPr>
          <w:sz w:val="26"/>
          <w:szCs w:val="26"/>
        </w:rPr>
        <w:t xml:space="preserve">exceptions include </w:t>
      </w:r>
      <w:r w:rsidR="007009C7" w:rsidRPr="00751464">
        <w:rPr>
          <w:sz w:val="26"/>
          <w:szCs w:val="26"/>
        </w:rPr>
        <w:t xml:space="preserve">admission of </w:t>
      </w:r>
      <w:r w:rsidR="005248DD" w:rsidRPr="00751464">
        <w:rPr>
          <w:sz w:val="26"/>
          <w:szCs w:val="26"/>
        </w:rPr>
        <w:t>“evidence whose exclusion would violate the defendant’s constitutional rights.</w:t>
      </w:r>
      <w:r w:rsidR="0010640B" w:rsidRPr="00751464">
        <w:rPr>
          <w:sz w:val="26"/>
          <w:szCs w:val="26"/>
        </w:rPr>
        <w:t>”  (</w:t>
      </w:r>
      <w:r w:rsidR="0021569F" w:rsidRPr="00751464">
        <w:rPr>
          <w:i/>
          <w:iCs/>
          <w:sz w:val="26"/>
          <w:szCs w:val="26"/>
        </w:rPr>
        <w:t>Id</w:t>
      </w:r>
      <w:r w:rsidR="0021569F" w:rsidRPr="00751464">
        <w:rPr>
          <w:sz w:val="26"/>
          <w:szCs w:val="26"/>
        </w:rPr>
        <w:t xml:space="preserve">., </w:t>
      </w:r>
      <w:r w:rsidR="00962714" w:rsidRPr="00751464">
        <w:rPr>
          <w:sz w:val="26"/>
          <w:szCs w:val="26"/>
        </w:rPr>
        <w:t>rule 412</w:t>
      </w:r>
      <w:r w:rsidR="00B3537D" w:rsidRPr="00751464">
        <w:rPr>
          <w:sz w:val="26"/>
          <w:szCs w:val="26"/>
        </w:rPr>
        <w:t xml:space="preserve">(b)(1)(C).)  In </w:t>
      </w:r>
      <w:r w:rsidR="005871F5" w:rsidRPr="00751464">
        <w:rPr>
          <w:sz w:val="26"/>
          <w:szCs w:val="26"/>
        </w:rPr>
        <w:t>civil cases, “</w:t>
      </w:r>
      <w:r w:rsidR="001D391C" w:rsidRPr="00751464">
        <w:rPr>
          <w:sz w:val="26"/>
          <w:szCs w:val="26"/>
        </w:rPr>
        <w:t>the court may admit evidence offered to prove a victim’s sexual behavior or sexual predisposition if its probative value substantially outweighs the danger of harm to any victim and of unfair prejudice to any party.</w:t>
      </w:r>
      <w:r w:rsidR="00980B5F" w:rsidRPr="00751464">
        <w:rPr>
          <w:sz w:val="26"/>
          <w:szCs w:val="26"/>
        </w:rPr>
        <w:t xml:space="preserve">” </w:t>
      </w:r>
      <w:r w:rsidR="00FE31C5" w:rsidRPr="00751464">
        <w:rPr>
          <w:sz w:val="26"/>
          <w:szCs w:val="26"/>
        </w:rPr>
        <w:t xml:space="preserve"> </w:t>
      </w:r>
      <w:r w:rsidR="00B3537D" w:rsidRPr="00751464">
        <w:rPr>
          <w:sz w:val="26"/>
          <w:szCs w:val="26"/>
        </w:rPr>
        <w:t>(</w:t>
      </w:r>
      <w:r w:rsidR="00B3537D" w:rsidRPr="00751464">
        <w:rPr>
          <w:i/>
          <w:iCs/>
          <w:sz w:val="26"/>
          <w:szCs w:val="26"/>
        </w:rPr>
        <w:t>Id</w:t>
      </w:r>
      <w:r w:rsidR="00B3537D" w:rsidRPr="00751464">
        <w:rPr>
          <w:sz w:val="26"/>
          <w:szCs w:val="26"/>
        </w:rPr>
        <w:t xml:space="preserve">., </w:t>
      </w:r>
      <w:r w:rsidR="00962714" w:rsidRPr="00751464">
        <w:rPr>
          <w:sz w:val="26"/>
          <w:szCs w:val="26"/>
        </w:rPr>
        <w:t>rule</w:t>
      </w:r>
      <w:r w:rsidR="00867380">
        <w:rPr>
          <w:sz w:val="26"/>
          <w:szCs w:val="26"/>
        </w:rPr>
        <w:t> </w:t>
      </w:r>
      <w:r w:rsidR="00962245" w:rsidRPr="00751464">
        <w:rPr>
          <w:sz w:val="26"/>
          <w:szCs w:val="26"/>
        </w:rPr>
        <w:t>412</w:t>
      </w:r>
      <w:r w:rsidR="00B3537D" w:rsidRPr="00751464">
        <w:rPr>
          <w:sz w:val="26"/>
          <w:szCs w:val="26"/>
        </w:rPr>
        <w:t>(b)(2</w:t>
      </w:r>
      <w:r w:rsidR="00FA5FF5" w:rsidRPr="00751464">
        <w:rPr>
          <w:sz w:val="26"/>
          <w:szCs w:val="26"/>
        </w:rPr>
        <w:t xml:space="preserve">).)  </w:t>
      </w:r>
    </w:p>
  </w:footnote>
  <w:footnote w:id="7">
    <w:p w14:paraId="0DB2E81B" w14:textId="77777777" w:rsidR="00D1293D" w:rsidRPr="00751464" w:rsidRDefault="002E6832" w:rsidP="00867380">
      <w:pPr>
        <w:pStyle w:val="FootnoteText"/>
      </w:pPr>
      <w:r w:rsidRPr="00751464">
        <w:rPr>
          <w:rStyle w:val="FootnoteReference"/>
          <w:bCs/>
        </w:rPr>
        <w:footnoteRef/>
      </w:r>
      <w:r w:rsidRPr="00751464">
        <w:rPr>
          <w:b/>
          <w:bCs/>
        </w:rPr>
        <w:t xml:space="preserve"> </w:t>
      </w:r>
      <w:r w:rsidRPr="00751464">
        <w:tab/>
      </w:r>
      <w:r w:rsidRPr="00751464">
        <w:rPr>
          <w:sz w:val="26"/>
          <w:szCs w:val="26"/>
        </w:rPr>
        <w:t>See Code of Civil Procedure, former section 2036.1</w:t>
      </w:r>
      <w:r w:rsidR="00FC0547">
        <w:rPr>
          <w:sz w:val="26"/>
          <w:szCs w:val="26"/>
        </w:rPr>
        <w:t xml:space="preserve">, </w:t>
      </w:r>
      <w:r w:rsidR="00FF2CA1">
        <w:rPr>
          <w:sz w:val="26"/>
          <w:szCs w:val="26"/>
        </w:rPr>
        <w:t>amended</w:t>
      </w:r>
      <w:r w:rsidRPr="00751464">
        <w:rPr>
          <w:sz w:val="26"/>
          <w:szCs w:val="26"/>
        </w:rPr>
        <w:t xml:space="preserve"> and renumber</w:t>
      </w:r>
      <w:r w:rsidR="00942BA2" w:rsidRPr="00751464">
        <w:rPr>
          <w:sz w:val="26"/>
          <w:szCs w:val="26"/>
        </w:rPr>
        <w:t>ed</w:t>
      </w:r>
      <w:r w:rsidRPr="00751464">
        <w:rPr>
          <w:sz w:val="26"/>
          <w:szCs w:val="26"/>
        </w:rPr>
        <w:t xml:space="preserve"> as section 2017.220 </w:t>
      </w:r>
      <w:r w:rsidR="00FC0547">
        <w:rPr>
          <w:sz w:val="26"/>
          <w:szCs w:val="26"/>
        </w:rPr>
        <w:t>(</w:t>
      </w:r>
      <w:r w:rsidRPr="00751464">
        <w:rPr>
          <w:sz w:val="26"/>
          <w:szCs w:val="26"/>
        </w:rPr>
        <w:t>authorizing</w:t>
      </w:r>
      <w:r w:rsidR="0009413C" w:rsidRPr="00751464">
        <w:rPr>
          <w:sz w:val="26"/>
          <w:szCs w:val="26"/>
        </w:rPr>
        <w:t xml:space="preserve">, in </w:t>
      </w:r>
      <w:r w:rsidR="00FC0547" w:rsidRPr="00751464">
        <w:rPr>
          <w:sz w:val="26"/>
          <w:szCs w:val="26"/>
        </w:rPr>
        <w:t>sub</w:t>
      </w:r>
      <w:r w:rsidR="00FC0547">
        <w:rPr>
          <w:sz w:val="26"/>
          <w:szCs w:val="26"/>
        </w:rPr>
        <w:t>d.</w:t>
      </w:r>
      <w:r w:rsidR="00FC0547" w:rsidRPr="00751464">
        <w:rPr>
          <w:sz w:val="26"/>
          <w:szCs w:val="26"/>
        </w:rPr>
        <w:t xml:space="preserve"> </w:t>
      </w:r>
      <w:r w:rsidR="0009413C" w:rsidRPr="00751464">
        <w:rPr>
          <w:sz w:val="26"/>
          <w:szCs w:val="26"/>
        </w:rPr>
        <w:t>(a),</w:t>
      </w:r>
      <w:r w:rsidRPr="00751464">
        <w:rPr>
          <w:sz w:val="26"/>
          <w:szCs w:val="26"/>
        </w:rPr>
        <w:t xml:space="preserve"> </w:t>
      </w:r>
      <w:r w:rsidR="0009413C" w:rsidRPr="00751464">
        <w:rPr>
          <w:sz w:val="26"/>
          <w:szCs w:val="26"/>
        </w:rPr>
        <w:t xml:space="preserve">trial courts to permit “discovery concerning the plaintiff’s sexual conduct” </w:t>
      </w:r>
      <w:r w:rsidR="00D36041" w:rsidRPr="00751464">
        <w:rPr>
          <w:sz w:val="26"/>
          <w:szCs w:val="26"/>
        </w:rPr>
        <w:t xml:space="preserve">only </w:t>
      </w:r>
      <w:r w:rsidR="0043670E" w:rsidRPr="00751464">
        <w:rPr>
          <w:sz w:val="26"/>
          <w:szCs w:val="26"/>
        </w:rPr>
        <w:t xml:space="preserve">if the “party seeking </w:t>
      </w:r>
      <w:r w:rsidR="00B71C7A" w:rsidRPr="00751464">
        <w:rPr>
          <w:sz w:val="26"/>
          <w:szCs w:val="26"/>
        </w:rPr>
        <w:t>discovery</w:t>
      </w:r>
      <w:r w:rsidR="00EB7601">
        <w:rPr>
          <w:sz w:val="26"/>
          <w:szCs w:val="26"/>
        </w:rPr>
        <w:t> </w:t>
      </w:r>
      <w:r w:rsidR="00B71C7A" w:rsidRPr="00751464">
        <w:rPr>
          <w:sz w:val="26"/>
          <w:szCs w:val="26"/>
        </w:rPr>
        <w:t>. . .</w:t>
      </w:r>
      <w:r w:rsidR="00EB7601">
        <w:rPr>
          <w:sz w:val="26"/>
          <w:szCs w:val="26"/>
        </w:rPr>
        <w:t> </w:t>
      </w:r>
      <w:r w:rsidR="00DB4941" w:rsidRPr="00751464">
        <w:rPr>
          <w:sz w:val="26"/>
          <w:szCs w:val="26"/>
        </w:rPr>
        <w:t xml:space="preserve">establish[es] specific facts </w:t>
      </w:r>
      <w:r w:rsidR="0009413C" w:rsidRPr="00751464">
        <w:rPr>
          <w:sz w:val="26"/>
          <w:szCs w:val="26"/>
        </w:rPr>
        <w:t>showing</w:t>
      </w:r>
      <w:r w:rsidR="004410D8" w:rsidRPr="00751464">
        <w:rPr>
          <w:sz w:val="26"/>
          <w:szCs w:val="26"/>
        </w:rPr>
        <w:t xml:space="preserve"> that there is </w:t>
      </w:r>
      <w:r w:rsidR="0009413C" w:rsidRPr="00751464">
        <w:rPr>
          <w:sz w:val="26"/>
          <w:szCs w:val="26"/>
        </w:rPr>
        <w:t>good cause”</w:t>
      </w:r>
      <w:r w:rsidR="00DB7F43">
        <w:rPr>
          <w:sz w:val="26"/>
          <w:szCs w:val="26"/>
        </w:rPr>
        <w:t>)</w:t>
      </w:r>
      <w:r w:rsidR="00943F69">
        <w:rPr>
          <w:sz w:val="26"/>
          <w:szCs w:val="26"/>
        </w:rPr>
        <w:t>.</w:t>
      </w:r>
      <w:r w:rsidR="0009413C" w:rsidRPr="00751464">
        <w:rPr>
          <w:sz w:val="26"/>
          <w:szCs w:val="26"/>
        </w:rPr>
        <w:t xml:space="preserve"> </w:t>
      </w:r>
      <w:r w:rsidR="009E6F6E" w:rsidRPr="00751464">
        <w:rPr>
          <w:sz w:val="26"/>
          <w:szCs w:val="26"/>
        </w:rPr>
        <w:t xml:space="preserve"> </w:t>
      </w:r>
    </w:p>
  </w:footnote>
  <w:footnote w:id="8">
    <w:p w14:paraId="0DB2E81C" w14:textId="77777777" w:rsidR="009E6F6E" w:rsidRPr="00751464" w:rsidRDefault="002E6832" w:rsidP="00867380">
      <w:pPr>
        <w:pStyle w:val="FootnoteText"/>
      </w:pPr>
      <w:r w:rsidRPr="00751464">
        <w:rPr>
          <w:rStyle w:val="FootnoteReference"/>
          <w:bCs/>
        </w:rPr>
        <w:footnoteRef/>
      </w:r>
      <w:r w:rsidRPr="00751464">
        <w:rPr>
          <w:b/>
          <w:bCs/>
        </w:rPr>
        <w:t xml:space="preserve"> </w:t>
      </w:r>
      <w:r w:rsidRPr="00751464">
        <w:tab/>
      </w:r>
      <w:r w:rsidRPr="00751464">
        <w:rPr>
          <w:sz w:val="26"/>
          <w:szCs w:val="26"/>
        </w:rPr>
        <w:t xml:space="preserve">See </w:t>
      </w:r>
      <w:r w:rsidRPr="00751464">
        <w:rPr>
          <w:sz w:val="26"/>
          <w:szCs w:val="26"/>
        </w:rPr>
        <w:t>Government Code, former section</w:t>
      </w:r>
      <w:r w:rsidR="00015DFD" w:rsidRPr="00751464">
        <w:rPr>
          <w:sz w:val="26"/>
          <w:szCs w:val="26"/>
        </w:rPr>
        <w:t>s</w:t>
      </w:r>
      <w:r w:rsidRPr="00751464">
        <w:rPr>
          <w:sz w:val="26"/>
          <w:szCs w:val="26"/>
        </w:rPr>
        <w:t xml:space="preserve"> 11507.6</w:t>
      </w:r>
      <w:r w:rsidR="00D1123A" w:rsidRPr="00751464">
        <w:rPr>
          <w:sz w:val="26"/>
          <w:szCs w:val="26"/>
        </w:rPr>
        <w:t xml:space="preserve"> and 11513</w:t>
      </w:r>
      <w:r w:rsidR="00FC0547">
        <w:rPr>
          <w:sz w:val="26"/>
          <w:szCs w:val="26"/>
        </w:rPr>
        <w:t>, renumbered</w:t>
      </w:r>
      <w:r w:rsidRPr="00751464">
        <w:rPr>
          <w:sz w:val="26"/>
          <w:szCs w:val="26"/>
        </w:rPr>
        <w:t xml:space="preserve"> </w:t>
      </w:r>
      <w:r w:rsidR="00DF5E8D" w:rsidRPr="00751464">
        <w:rPr>
          <w:sz w:val="26"/>
          <w:szCs w:val="26"/>
        </w:rPr>
        <w:t xml:space="preserve">as </w:t>
      </w:r>
      <w:r w:rsidRPr="00751464">
        <w:rPr>
          <w:sz w:val="26"/>
          <w:szCs w:val="26"/>
        </w:rPr>
        <w:t xml:space="preserve">section 11440.40 </w:t>
      </w:r>
      <w:r w:rsidR="00FC0547">
        <w:rPr>
          <w:sz w:val="26"/>
          <w:szCs w:val="26"/>
        </w:rPr>
        <w:t>(</w:t>
      </w:r>
      <w:r w:rsidRPr="00751464">
        <w:rPr>
          <w:sz w:val="26"/>
          <w:szCs w:val="26"/>
        </w:rPr>
        <w:t xml:space="preserve">correspondingly limiting discovery </w:t>
      </w:r>
      <w:r w:rsidR="000F1FBB" w:rsidRPr="00751464">
        <w:rPr>
          <w:sz w:val="26"/>
          <w:szCs w:val="26"/>
        </w:rPr>
        <w:t xml:space="preserve">and admission of evidence </w:t>
      </w:r>
      <w:r w:rsidRPr="00751464">
        <w:rPr>
          <w:sz w:val="26"/>
          <w:szCs w:val="26"/>
        </w:rPr>
        <w:t>concerning a litigant’s sexual conduct</w:t>
      </w:r>
      <w:r w:rsidR="00313AD1">
        <w:rPr>
          <w:sz w:val="26"/>
          <w:szCs w:val="26"/>
        </w:rPr>
        <w:t>)</w:t>
      </w:r>
      <w:r w:rsidRPr="00751464">
        <w:rPr>
          <w:sz w:val="26"/>
          <w:szCs w:val="26"/>
        </w:rPr>
        <w:t xml:space="preserve">.  </w:t>
      </w:r>
    </w:p>
  </w:footnote>
  <w:footnote w:id="9">
    <w:p w14:paraId="0DB2E81D" w14:textId="77777777" w:rsidR="00E220F2" w:rsidRPr="00751464" w:rsidRDefault="002E6832" w:rsidP="00FF5C62">
      <w:pPr>
        <w:spacing w:line="300" w:lineRule="exact"/>
        <w:rPr>
          <w:sz w:val="26"/>
          <w:szCs w:val="26"/>
        </w:rPr>
      </w:pPr>
      <w:r w:rsidRPr="00751464">
        <w:rPr>
          <w:rStyle w:val="FootnoteReference"/>
          <w:rFonts w:ascii="Times New Roman" w:hAnsi="Times New Roman"/>
          <w:bCs/>
          <w:sz w:val="26"/>
          <w:szCs w:val="26"/>
        </w:rPr>
        <w:footnoteRef/>
      </w:r>
      <w:r w:rsidRPr="00751464">
        <w:rPr>
          <w:rFonts w:ascii="Times New Roman" w:hAnsi="Times New Roman"/>
          <w:b/>
          <w:bCs/>
          <w:sz w:val="26"/>
          <w:szCs w:val="26"/>
        </w:rPr>
        <w:t xml:space="preserve"> </w:t>
      </w:r>
      <w:r w:rsidRPr="00751464">
        <w:rPr>
          <w:rFonts w:ascii="Times New Roman" w:hAnsi="Times New Roman"/>
          <w:sz w:val="26"/>
          <w:szCs w:val="26"/>
        </w:rPr>
        <w:tab/>
      </w:r>
      <w:r w:rsidR="00C405F3" w:rsidRPr="00FF5C62">
        <w:rPr>
          <w:sz w:val="26"/>
          <w:szCs w:val="26"/>
        </w:rPr>
        <w:t xml:space="preserve">These </w:t>
      </w:r>
      <w:r w:rsidR="005505EC" w:rsidRPr="00FF5C62">
        <w:rPr>
          <w:sz w:val="26"/>
          <w:szCs w:val="26"/>
        </w:rPr>
        <w:t xml:space="preserve">parts </w:t>
      </w:r>
      <w:r w:rsidR="00C405F3" w:rsidRPr="00FF5C62">
        <w:rPr>
          <w:sz w:val="26"/>
          <w:szCs w:val="26"/>
        </w:rPr>
        <w:t xml:space="preserve">of </w:t>
      </w:r>
      <w:r w:rsidR="00E81457" w:rsidRPr="00FF5C62">
        <w:rPr>
          <w:sz w:val="26"/>
          <w:szCs w:val="26"/>
        </w:rPr>
        <w:t xml:space="preserve">section </w:t>
      </w:r>
      <w:r w:rsidR="00556BC8" w:rsidRPr="00FF5C62">
        <w:rPr>
          <w:sz w:val="26"/>
          <w:szCs w:val="26"/>
        </w:rPr>
        <w:t xml:space="preserve">783 </w:t>
      </w:r>
      <w:r w:rsidRPr="00FF5C62">
        <w:rPr>
          <w:sz w:val="26"/>
          <w:szCs w:val="26"/>
        </w:rPr>
        <w:t xml:space="preserve">read:  “(a) A written motion </w:t>
      </w:r>
      <w:r w:rsidRPr="00FF5C62">
        <w:rPr>
          <w:sz w:val="26"/>
          <w:szCs w:val="26"/>
        </w:rPr>
        <w:t>shall be made by the defendant to the court and the plaintiff’s attorney stating that the defense has an offer of proof of the relevancy of evidence of the sexual conduct of the plaintiff proposed to be presented.  [¶]  (b)  The written motion shall be acc</w:t>
      </w:r>
      <w:r w:rsidRPr="00FF5C62">
        <w:rPr>
          <w:sz w:val="26"/>
          <w:szCs w:val="26"/>
        </w:rPr>
        <w:t xml:space="preserve">ompanied by an affidavit in which the offer of proof shall be stated.  [¶]  (c)  If the court finds that the offer of proof is sufficient, the court shall order a hearing out of the presence of the jury, if any, and at the hearing allow the questioning of </w:t>
      </w:r>
      <w:r w:rsidRPr="00FF5C62">
        <w:rPr>
          <w:sz w:val="26"/>
          <w:szCs w:val="26"/>
        </w:rPr>
        <w:t>the plaintiff regarding the offer of proof made by the defendant.”</w:t>
      </w:r>
      <w:r w:rsidR="00927B16" w:rsidRPr="00FF5C62">
        <w:rPr>
          <w:sz w:val="26"/>
          <w:szCs w:val="26"/>
        </w:rPr>
        <w:t xml:space="preserve">  </w:t>
      </w:r>
      <w:r w:rsidR="002B057D" w:rsidRPr="00FF5C62">
        <w:rPr>
          <w:sz w:val="26"/>
          <w:szCs w:val="26"/>
        </w:rPr>
        <w:t>T</w:t>
      </w:r>
      <w:r w:rsidR="0002740A" w:rsidRPr="00FF5C62">
        <w:rPr>
          <w:sz w:val="26"/>
          <w:szCs w:val="26"/>
        </w:rPr>
        <w:t xml:space="preserve">he </w:t>
      </w:r>
      <w:r w:rsidR="001549DE" w:rsidRPr="00FF5C62">
        <w:rPr>
          <w:sz w:val="26"/>
          <w:szCs w:val="26"/>
        </w:rPr>
        <w:t xml:space="preserve">only </w:t>
      </w:r>
      <w:r w:rsidR="008B0981" w:rsidRPr="00FF5C62">
        <w:rPr>
          <w:sz w:val="26"/>
          <w:szCs w:val="26"/>
        </w:rPr>
        <w:t xml:space="preserve">significant difference </w:t>
      </w:r>
      <w:r w:rsidR="00801C02" w:rsidRPr="00FF5C62">
        <w:rPr>
          <w:sz w:val="26"/>
          <w:szCs w:val="26"/>
        </w:rPr>
        <w:t>between th</w:t>
      </w:r>
      <w:r w:rsidR="00196648" w:rsidRPr="00FF5C62">
        <w:rPr>
          <w:sz w:val="26"/>
          <w:szCs w:val="26"/>
        </w:rPr>
        <w:t xml:space="preserve">ese </w:t>
      </w:r>
      <w:r w:rsidR="002706D7" w:rsidRPr="00FF5C62">
        <w:rPr>
          <w:sz w:val="26"/>
          <w:szCs w:val="26"/>
        </w:rPr>
        <w:t xml:space="preserve">provisions </w:t>
      </w:r>
      <w:r w:rsidR="00801C02" w:rsidRPr="00FF5C62">
        <w:rPr>
          <w:sz w:val="26"/>
          <w:szCs w:val="26"/>
        </w:rPr>
        <w:t xml:space="preserve">and </w:t>
      </w:r>
      <w:r w:rsidR="006E4F91" w:rsidRPr="00FF5C62">
        <w:rPr>
          <w:sz w:val="26"/>
          <w:szCs w:val="26"/>
        </w:rPr>
        <w:t>the criminal statutory counterpart, section</w:t>
      </w:r>
      <w:r w:rsidR="00FF5C62">
        <w:rPr>
          <w:sz w:val="26"/>
          <w:szCs w:val="26"/>
        </w:rPr>
        <w:t> </w:t>
      </w:r>
      <w:r w:rsidR="006E4F91" w:rsidRPr="00FF5C62">
        <w:rPr>
          <w:sz w:val="26"/>
          <w:szCs w:val="26"/>
        </w:rPr>
        <w:t xml:space="preserve">782, is </w:t>
      </w:r>
      <w:r w:rsidR="00203364" w:rsidRPr="00FF5C62">
        <w:rPr>
          <w:sz w:val="26"/>
          <w:szCs w:val="26"/>
        </w:rPr>
        <w:t xml:space="preserve">that </w:t>
      </w:r>
      <w:r w:rsidR="006E4F91" w:rsidRPr="00FF5C62">
        <w:rPr>
          <w:sz w:val="26"/>
          <w:szCs w:val="26"/>
        </w:rPr>
        <w:t xml:space="preserve">the latter </w:t>
      </w:r>
      <w:r w:rsidR="00293027" w:rsidRPr="00FF5C62">
        <w:rPr>
          <w:sz w:val="26"/>
          <w:szCs w:val="26"/>
        </w:rPr>
        <w:t xml:space="preserve">requires the affidavit to be filed and kept under seal.  (See </w:t>
      </w:r>
      <w:r w:rsidR="00F54469" w:rsidRPr="00FF5C62">
        <w:rPr>
          <w:sz w:val="26"/>
          <w:szCs w:val="26"/>
        </w:rPr>
        <w:t xml:space="preserve">§ 782, subd. </w:t>
      </w:r>
      <w:r w:rsidR="00BB0D52" w:rsidRPr="00FF5C62">
        <w:rPr>
          <w:sz w:val="26"/>
          <w:szCs w:val="26"/>
        </w:rPr>
        <w:t>(a)(2)</w:t>
      </w:r>
      <w:r w:rsidR="001646B6" w:rsidRPr="00FF5C62">
        <w:rPr>
          <w:sz w:val="26"/>
          <w:szCs w:val="26"/>
        </w:rPr>
        <w:t xml:space="preserve"> &amp; (5).)</w:t>
      </w:r>
      <w:r w:rsidR="001646B6" w:rsidRPr="00751464">
        <w:rPr>
          <w:rFonts w:ascii="Times New Roman" w:hAnsi="Times New Roman"/>
          <w:sz w:val="26"/>
          <w:szCs w:val="26"/>
        </w:rPr>
        <w:t xml:space="preserve">  </w:t>
      </w:r>
    </w:p>
  </w:footnote>
  <w:footnote w:id="10">
    <w:p w14:paraId="0DB2E81E" w14:textId="77777777" w:rsidR="00595611" w:rsidRPr="00751464" w:rsidRDefault="002E6832" w:rsidP="007E0F01">
      <w:pPr>
        <w:pStyle w:val="FootnoteText"/>
      </w:pPr>
      <w:r w:rsidRPr="00751464">
        <w:rPr>
          <w:rStyle w:val="FootnoteReference"/>
          <w:bCs/>
          <w:sz w:val="26"/>
          <w:szCs w:val="26"/>
        </w:rPr>
        <w:footnoteRef/>
      </w:r>
      <w:r w:rsidRPr="00751464">
        <w:t xml:space="preserve"> </w:t>
      </w:r>
      <w:r w:rsidR="00F539E4" w:rsidRPr="00751464">
        <w:tab/>
      </w:r>
      <w:r w:rsidR="00F539E4" w:rsidRPr="00751464">
        <w:rPr>
          <w:sz w:val="26"/>
          <w:szCs w:val="26"/>
        </w:rPr>
        <w:t xml:space="preserve">At this point the </w:t>
      </w:r>
      <w:r w:rsidR="00F539E4" w:rsidRPr="00751464">
        <w:rPr>
          <w:i/>
          <w:iCs/>
          <w:sz w:val="26"/>
          <w:szCs w:val="26"/>
        </w:rPr>
        <w:t>Rioz</w:t>
      </w:r>
      <w:r w:rsidR="00F539E4" w:rsidRPr="00751464">
        <w:rPr>
          <w:sz w:val="26"/>
          <w:szCs w:val="26"/>
        </w:rPr>
        <w:t xml:space="preserve"> court provided “[a]n example . . . to demonstrate the wisdom of this statutory framework:  A defendant charged with forcible rape makes the requisite written motion, supported by a sworn affidavit, offering to prove that the complaining witness, a convicted prostitute, agreed to have sex with the defendant for money and charged him with rape to get even with him when he refused to pay her.  However, not only has the complaining witness denied that the sexual activity with the defendant was [consensual], but other evidence establishes without contradiction that the complaining witness was beaten in connection with the event.  Given the potentially prejudicial impact of a prostitution conviction on the victim’s testimony that she did not consent, the trial court, in the exercise of its discretion, may determine that the injuries suffered by the victim are wholly inconsistent with the defendant’s offer of proof and either reject the sufficiency of the offer of proof in the first instance or exclude evidence of the prostitution conviction, after a hearing, pursuant to . . . section 352.”  (</w:t>
      </w:r>
      <w:r w:rsidR="00F539E4" w:rsidRPr="00751464">
        <w:rPr>
          <w:i/>
          <w:iCs/>
          <w:sz w:val="26"/>
          <w:szCs w:val="26"/>
        </w:rPr>
        <w:t>Rioz</w:t>
      </w:r>
      <w:r w:rsidR="00F539E4" w:rsidRPr="00751464">
        <w:rPr>
          <w:sz w:val="26"/>
          <w:szCs w:val="26"/>
        </w:rPr>
        <w:t>,</w:t>
      </w:r>
      <w:r w:rsidR="00F539E4" w:rsidRPr="00751464">
        <w:rPr>
          <w:i/>
          <w:iCs/>
          <w:sz w:val="26"/>
          <w:szCs w:val="26"/>
        </w:rPr>
        <w:t xml:space="preserve"> supra</w:t>
      </w:r>
      <w:r w:rsidR="00F539E4" w:rsidRPr="00751464">
        <w:rPr>
          <w:sz w:val="26"/>
          <w:szCs w:val="26"/>
        </w:rPr>
        <w:t>,</w:t>
      </w:r>
      <w:r w:rsidR="0044508C" w:rsidRPr="00751464">
        <w:rPr>
          <w:sz w:val="26"/>
          <w:szCs w:val="26"/>
        </w:rPr>
        <w:t xml:space="preserve"> </w:t>
      </w:r>
      <w:r w:rsidR="00F539E4" w:rsidRPr="00751464">
        <w:rPr>
          <w:sz w:val="26"/>
          <w:szCs w:val="26"/>
        </w:rPr>
        <w:t>161</w:t>
      </w:r>
      <w:r w:rsidR="0044508C" w:rsidRPr="00751464">
        <w:rPr>
          <w:sz w:val="26"/>
          <w:szCs w:val="26"/>
        </w:rPr>
        <w:t> </w:t>
      </w:r>
      <w:r w:rsidR="00F539E4" w:rsidRPr="00751464">
        <w:rPr>
          <w:sz w:val="26"/>
          <w:szCs w:val="26"/>
        </w:rPr>
        <w:t>Cal.App.3d at pp. 916–917.)</w:t>
      </w:r>
      <w:r w:rsidR="00AB7E42">
        <w:rPr>
          <w:sz w:val="26"/>
          <w:szCs w:val="26"/>
        </w:rPr>
        <w:t xml:space="preserve">  </w:t>
      </w:r>
    </w:p>
  </w:footnote>
  <w:footnote w:id="11">
    <w:p w14:paraId="0DB2E81F" w14:textId="77777777" w:rsidR="00470E54" w:rsidRPr="00751464" w:rsidRDefault="002E6832" w:rsidP="00535A24">
      <w:pPr>
        <w:pStyle w:val="FootnoteText"/>
      </w:pPr>
      <w:r w:rsidRPr="00751464">
        <w:rPr>
          <w:rStyle w:val="FootnoteReference"/>
          <w:bCs/>
          <w:sz w:val="26"/>
          <w:szCs w:val="26"/>
        </w:rPr>
        <w:footnoteRef/>
      </w:r>
      <w:r w:rsidRPr="00751464">
        <w:t xml:space="preserve"> </w:t>
      </w:r>
      <w:r w:rsidRPr="00751464">
        <w:tab/>
      </w:r>
      <w:r w:rsidRPr="00751464">
        <w:rPr>
          <w:sz w:val="26"/>
          <w:szCs w:val="26"/>
        </w:rPr>
        <w:t xml:space="preserve">See, e.g., </w:t>
      </w:r>
      <w:r w:rsidRPr="00751464">
        <w:rPr>
          <w:i/>
          <w:iCs/>
          <w:sz w:val="26"/>
          <w:szCs w:val="26"/>
        </w:rPr>
        <w:t>Vinson v. Superior Court</w:t>
      </w:r>
      <w:r w:rsidRPr="00751464">
        <w:rPr>
          <w:sz w:val="26"/>
          <w:szCs w:val="26"/>
        </w:rPr>
        <w:t xml:space="preserve"> (1987) 43 Cal.3d 833, 843 (</w:t>
      </w:r>
      <w:r w:rsidRPr="00751464">
        <w:rPr>
          <w:i/>
          <w:iCs/>
          <w:sz w:val="26"/>
          <w:szCs w:val="26"/>
        </w:rPr>
        <w:t>Vinson</w:t>
      </w:r>
      <w:r w:rsidRPr="00751464">
        <w:rPr>
          <w:sz w:val="26"/>
          <w:szCs w:val="26"/>
        </w:rPr>
        <w:t xml:space="preserve">) </w:t>
      </w:r>
      <w:r w:rsidR="000B2B79">
        <w:rPr>
          <w:sz w:val="26"/>
          <w:szCs w:val="26"/>
        </w:rPr>
        <w:t>(</w:t>
      </w:r>
      <w:r w:rsidRPr="00751464">
        <w:rPr>
          <w:sz w:val="26"/>
          <w:szCs w:val="26"/>
        </w:rPr>
        <w:t>quoting the Legislature’s uncodified statement of intent and strictly construing “good cause” for civil discovery, requiring “specific facts justifying inquiry”</w:t>
      </w:r>
      <w:r w:rsidR="000B2B79">
        <w:rPr>
          <w:sz w:val="26"/>
          <w:szCs w:val="26"/>
        </w:rPr>
        <w:t>)</w:t>
      </w:r>
      <w:r w:rsidRPr="00751464">
        <w:rPr>
          <w:sz w:val="26"/>
          <w:szCs w:val="26"/>
        </w:rPr>
        <w:t xml:space="preserve">; </w:t>
      </w:r>
      <w:r w:rsidRPr="00751464">
        <w:rPr>
          <w:i/>
          <w:iCs/>
          <w:sz w:val="26"/>
          <w:szCs w:val="26"/>
        </w:rPr>
        <w:t>Barrenda L. v. Superi</w:t>
      </w:r>
      <w:r w:rsidRPr="00751464">
        <w:rPr>
          <w:i/>
          <w:iCs/>
          <w:sz w:val="26"/>
          <w:szCs w:val="26"/>
        </w:rPr>
        <w:t xml:space="preserve">or Court </w:t>
      </w:r>
      <w:r w:rsidRPr="00751464">
        <w:rPr>
          <w:sz w:val="26"/>
          <w:szCs w:val="26"/>
        </w:rPr>
        <w:t>(1998) 65 Cal.App.4th 794, 801 (</w:t>
      </w:r>
      <w:r w:rsidRPr="00751464">
        <w:rPr>
          <w:i/>
          <w:iCs/>
          <w:sz w:val="26"/>
          <w:szCs w:val="26"/>
        </w:rPr>
        <w:t>Barrenda L.</w:t>
      </w:r>
      <w:r w:rsidRPr="00751464">
        <w:rPr>
          <w:sz w:val="26"/>
          <w:szCs w:val="26"/>
        </w:rPr>
        <w:t xml:space="preserve">) </w:t>
      </w:r>
      <w:r w:rsidR="000B2B79">
        <w:rPr>
          <w:sz w:val="26"/>
          <w:szCs w:val="26"/>
        </w:rPr>
        <w:t>(</w:t>
      </w:r>
      <w:r w:rsidRPr="00751464">
        <w:rPr>
          <w:sz w:val="26"/>
          <w:szCs w:val="26"/>
        </w:rPr>
        <w:t>stating that “good cause” for civil discovery requires more than “[t]he mere fact that a plaintiff has initiated an action seeking damages for extreme mental and emotional distress”</w:t>
      </w:r>
      <w:r w:rsidR="000B2B79">
        <w:rPr>
          <w:sz w:val="26"/>
          <w:szCs w:val="26"/>
        </w:rPr>
        <w:t>)</w:t>
      </w:r>
      <w:r w:rsidRPr="00751464">
        <w:rPr>
          <w:sz w:val="26"/>
          <w:szCs w:val="26"/>
        </w:rPr>
        <w:t xml:space="preserve">; </w:t>
      </w:r>
      <w:r w:rsidRPr="00751464">
        <w:rPr>
          <w:i/>
          <w:iCs/>
          <w:sz w:val="26"/>
          <w:szCs w:val="26"/>
        </w:rPr>
        <w:t>Knoettgen v. Supe</w:t>
      </w:r>
      <w:r w:rsidRPr="00751464">
        <w:rPr>
          <w:i/>
          <w:iCs/>
          <w:sz w:val="26"/>
          <w:szCs w:val="26"/>
        </w:rPr>
        <w:t>rior Court</w:t>
      </w:r>
      <w:r w:rsidRPr="00751464">
        <w:rPr>
          <w:sz w:val="26"/>
          <w:szCs w:val="26"/>
        </w:rPr>
        <w:t xml:space="preserve"> (1990) 224 Cal.App.3d 11, 14 (</w:t>
      </w:r>
      <w:r w:rsidRPr="00751464">
        <w:rPr>
          <w:i/>
          <w:iCs/>
          <w:sz w:val="26"/>
          <w:szCs w:val="26"/>
        </w:rPr>
        <w:t>Knoettgen</w:t>
      </w:r>
      <w:r w:rsidRPr="00751464">
        <w:rPr>
          <w:sz w:val="26"/>
          <w:szCs w:val="26"/>
        </w:rPr>
        <w:t xml:space="preserve">) </w:t>
      </w:r>
      <w:r w:rsidR="000B2B79">
        <w:rPr>
          <w:sz w:val="26"/>
          <w:szCs w:val="26"/>
        </w:rPr>
        <w:t>(</w:t>
      </w:r>
      <w:r w:rsidRPr="00751464">
        <w:rPr>
          <w:sz w:val="26"/>
          <w:szCs w:val="26"/>
        </w:rPr>
        <w:t>asserting that courts must be “vigilant” when allowing civil discovery concerning prior sexual abuse</w:t>
      </w:r>
      <w:r w:rsidR="000B2B79">
        <w:rPr>
          <w:sz w:val="26"/>
          <w:szCs w:val="26"/>
        </w:rPr>
        <w:t>)</w:t>
      </w:r>
      <w:r w:rsidRPr="00751464">
        <w:rPr>
          <w:sz w:val="26"/>
          <w:szCs w:val="26"/>
        </w:rPr>
        <w:t xml:space="preserve">; </w:t>
      </w:r>
      <w:r w:rsidRPr="00751464">
        <w:rPr>
          <w:i/>
          <w:iCs/>
          <w:sz w:val="26"/>
          <w:szCs w:val="26"/>
        </w:rPr>
        <w:t>Mendez v. Superior Court</w:t>
      </w:r>
      <w:r w:rsidRPr="00751464">
        <w:rPr>
          <w:sz w:val="26"/>
          <w:szCs w:val="26"/>
        </w:rPr>
        <w:t xml:space="preserve"> (1988) 206 Cal.App.3d </w:t>
      </w:r>
      <w:r w:rsidR="004C26DE" w:rsidRPr="00751464">
        <w:rPr>
          <w:sz w:val="26"/>
          <w:szCs w:val="26"/>
        </w:rPr>
        <w:t>557</w:t>
      </w:r>
      <w:r w:rsidRPr="00751464">
        <w:rPr>
          <w:sz w:val="26"/>
          <w:szCs w:val="26"/>
        </w:rPr>
        <w:t>, 573 (</w:t>
      </w:r>
      <w:r w:rsidRPr="00751464">
        <w:rPr>
          <w:i/>
          <w:iCs/>
          <w:sz w:val="26"/>
          <w:szCs w:val="26"/>
        </w:rPr>
        <w:t>Mendez</w:t>
      </w:r>
      <w:r w:rsidRPr="00751464">
        <w:rPr>
          <w:sz w:val="26"/>
          <w:szCs w:val="26"/>
        </w:rPr>
        <w:t xml:space="preserve">) </w:t>
      </w:r>
      <w:r w:rsidR="000B2B79">
        <w:rPr>
          <w:sz w:val="26"/>
          <w:szCs w:val="26"/>
        </w:rPr>
        <w:t>(</w:t>
      </w:r>
      <w:r w:rsidRPr="00751464">
        <w:rPr>
          <w:sz w:val="26"/>
          <w:szCs w:val="26"/>
        </w:rPr>
        <w:t xml:space="preserve">observing that emotional distress </w:t>
      </w:r>
      <w:r w:rsidRPr="00751464">
        <w:rPr>
          <w:sz w:val="26"/>
          <w:szCs w:val="26"/>
        </w:rPr>
        <w:t>is a normal product of sexual abuse and to regularly allow discovery intruding on such privacy would violate the Legislature’s intent</w:t>
      </w:r>
      <w:r w:rsidR="000B2B79">
        <w:rPr>
          <w:sz w:val="26"/>
          <w:szCs w:val="26"/>
        </w:rPr>
        <w:t>)</w:t>
      </w:r>
      <w:r w:rsidRPr="00751464">
        <w:rPr>
          <w:sz w:val="26"/>
          <w:szCs w:val="26"/>
        </w:rPr>
        <w:t>.</w:t>
      </w:r>
    </w:p>
  </w:footnote>
  <w:footnote w:id="12">
    <w:p w14:paraId="0DB2E820" w14:textId="77777777" w:rsidR="00201632" w:rsidRDefault="002E6832" w:rsidP="00535A24">
      <w:pPr>
        <w:pStyle w:val="FootnoteText"/>
      </w:pPr>
      <w:r w:rsidRPr="00CE66A5">
        <w:rPr>
          <w:rStyle w:val="FootnoteReference"/>
          <w:bCs/>
        </w:rPr>
        <w:footnoteRef/>
      </w:r>
      <w:r>
        <w:t xml:space="preserve"> </w:t>
      </w:r>
      <w:r>
        <w:tab/>
      </w:r>
      <w:r w:rsidRPr="00751464">
        <w:rPr>
          <w:sz w:val="26"/>
          <w:szCs w:val="26"/>
        </w:rPr>
        <w:t xml:space="preserve">Plaintiff suggests this conclusion is inconsistent with </w:t>
      </w:r>
      <w:r w:rsidR="0069599C">
        <w:rPr>
          <w:sz w:val="26"/>
          <w:szCs w:val="26"/>
        </w:rPr>
        <w:t xml:space="preserve">the </w:t>
      </w:r>
      <w:r w:rsidRPr="00751464">
        <w:rPr>
          <w:sz w:val="26"/>
          <w:szCs w:val="26"/>
        </w:rPr>
        <w:t>language</w:t>
      </w:r>
      <w:r w:rsidR="0069599C">
        <w:rPr>
          <w:sz w:val="26"/>
          <w:szCs w:val="26"/>
        </w:rPr>
        <w:t xml:space="preserve"> of</w:t>
      </w:r>
      <w:r w:rsidRPr="00751464">
        <w:rPr>
          <w:sz w:val="26"/>
          <w:szCs w:val="26"/>
        </w:rPr>
        <w:t xml:space="preserve"> and the result in </w:t>
      </w:r>
      <w:r w:rsidRPr="00751464">
        <w:rPr>
          <w:i/>
          <w:iCs/>
          <w:sz w:val="26"/>
          <w:szCs w:val="26"/>
        </w:rPr>
        <w:t>Knoettgen</w:t>
      </w:r>
      <w:r w:rsidRPr="00751464">
        <w:rPr>
          <w:sz w:val="26"/>
          <w:szCs w:val="26"/>
        </w:rPr>
        <w:t>,</w:t>
      </w:r>
      <w:r w:rsidRPr="00751464">
        <w:rPr>
          <w:i/>
          <w:iCs/>
          <w:sz w:val="26"/>
          <w:szCs w:val="26"/>
        </w:rPr>
        <w:t xml:space="preserve"> supra</w:t>
      </w:r>
      <w:r w:rsidRPr="00751464">
        <w:rPr>
          <w:sz w:val="26"/>
          <w:szCs w:val="26"/>
        </w:rPr>
        <w:t>, 224 Cal.A</w:t>
      </w:r>
      <w:r w:rsidRPr="00751464">
        <w:rPr>
          <w:sz w:val="26"/>
          <w:szCs w:val="26"/>
        </w:rPr>
        <w:t xml:space="preserve">pp.3d 11, an early case applying the civil </w:t>
      </w:r>
      <w:r w:rsidRPr="00EF0C33">
        <w:rPr>
          <w:i/>
          <w:iCs/>
          <w:sz w:val="26"/>
          <w:szCs w:val="26"/>
        </w:rPr>
        <w:t>discovery</w:t>
      </w:r>
      <w:r w:rsidRPr="00751464">
        <w:rPr>
          <w:sz w:val="26"/>
          <w:szCs w:val="26"/>
        </w:rPr>
        <w:t xml:space="preserve"> shield statute (see </w:t>
      </w:r>
      <w:r w:rsidRPr="00751464">
        <w:rPr>
          <w:i/>
          <w:iCs/>
          <w:sz w:val="26"/>
          <w:szCs w:val="26"/>
        </w:rPr>
        <w:t>ante</w:t>
      </w:r>
      <w:r w:rsidRPr="00751464">
        <w:rPr>
          <w:sz w:val="26"/>
          <w:szCs w:val="26"/>
        </w:rPr>
        <w:t>, fn</w:t>
      </w:r>
      <w:r w:rsidR="00104F1E">
        <w:rPr>
          <w:sz w:val="26"/>
          <w:szCs w:val="26"/>
        </w:rPr>
        <w:t>s</w:t>
      </w:r>
      <w:r w:rsidRPr="00751464">
        <w:rPr>
          <w:sz w:val="26"/>
          <w:szCs w:val="26"/>
        </w:rPr>
        <w:t xml:space="preserve">. </w:t>
      </w:r>
      <w:r w:rsidR="006E5CAE">
        <w:rPr>
          <w:sz w:val="26"/>
          <w:szCs w:val="26"/>
        </w:rPr>
        <w:t>6</w:t>
      </w:r>
      <w:r w:rsidR="00104F1E">
        <w:rPr>
          <w:sz w:val="26"/>
          <w:szCs w:val="26"/>
        </w:rPr>
        <w:t xml:space="preserve"> &amp; 1</w:t>
      </w:r>
      <w:r w:rsidR="006E5CAE">
        <w:rPr>
          <w:sz w:val="26"/>
          <w:szCs w:val="26"/>
        </w:rPr>
        <w:t>0</w:t>
      </w:r>
      <w:r w:rsidR="00E027CC">
        <w:rPr>
          <w:sz w:val="26"/>
          <w:szCs w:val="26"/>
        </w:rPr>
        <w:t>)</w:t>
      </w:r>
      <w:r w:rsidRPr="00751464">
        <w:rPr>
          <w:sz w:val="26"/>
          <w:szCs w:val="26"/>
        </w:rPr>
        <w:t xml:space="preserve">.  </w:t>
      </w:r>
      <w:r w:rsidR="00F00418">
        <w:rPr>
          <w:sz w:val="26"/>
          <w:szCs w:val="26"/>
        </w:rPr>
        <w:t>B</w:t>
      </w:r>
      <w:r>
        <w:rPr>
          <w:sz w:val="26"/>
          <w:szCs w:val="26"/>
        </w:rPr>
        <w:t xml:space="preserve">ut </w:t>
      </w:r>
      <w:r w:rsidRPr="00751464">
        <w:rPr>
          <w:sz w:val="26"/>
          <w:szCs w:val="26"/>
        </w:rPr>
        <w:t xml:space="preserve">the </w:t>
      </w:r>
      <w:r w:rsidRPr="00751464">
        <w:rPr>
          <w:i/>
          <w:iCs/>
          <w:sz w:val="26"/>
          <w:szCs w:val="26"/>
        </w:rPr>
        <w:t xml:space="preserve">Knoettgen </w:t>
      </w:r>
      <w:r w:rsidR="00387522">
        <w:rPr>
          <w:sz w:val="26"/>
          <w:szCs w:val="26"/>
        </w:rPr>
        <w:t>decision is distinguishable</w:t>
      </w:r>
      <w:r w:rsidR="003D4438">
        <w:rPr>
          <w:sz w:val="26"/>
          <w:szCs w:val="26"/>
        </w:rPr>
        <w:t xml:space="preserve">:  It </w:t>
      </w:r>
      <w:r w:rsidR="00BC28C3">
        <w:rPr>
          <w:sz w:val="26"/>
          <w:szCs w:val="26"/>
        </w:rPr>
        <w:t xml:space="preserve">mentioned sections 1106 </w:t>
      </w:r>
      <w:r w:rsidR="00134037">
        <w:rPr>
          <w:sz w:val="26"/>
          <w:szCs w:val="26"/>
        </w:rPr>
        <w:t xml:space="preserve">and 783 </w:t>
      </w:r>
      <w:r w:rsidR="00BC28C3">
        <w:rPr>
          <w:sz w:val="26"/>
          <w:szCs w:val="26"/>
        </w:rPr>
        <w:t xml:space="preserve">only in </w:t>
      </w:r>
      <w:r w:rsidR="00134037">
        <w:rPr>
          <w:sz w:val="26"/>
          <w:szCs w:val="26"/>
        </w:rPr>
        <w:t xml:space="preserve">passing and </w:t>
      </w:r>
      <w:r w:rsidR="00EE0B21">
        <w:rPr>
          <w:sz w:val="26"/>
          <w:szCs w:val="26"/>
        </w:rPr>
        <w:t xml:space="preserve">did not </w:t>
      </w:r>
      <w:r w:rsidRPr="00751464">
        <w:rPr>
          <w:sz w:val="26"/>
          <w:szCs w:val="26"/>
        </w:rPr>
        <w:t xml:space="preserve">construe </w:t>
      </w:r>
      <w:r w:rsidR="003D4438">
        <w:rPr>
          <w:sz w:val="26"/>
          <w:szCs w:val="26"/>
        </w:rPr>
        <w:t xml:space="preserve">or </w:t>
      </w:r>
      <w:r w:rsidRPr="00751464">
        <w:rPr>
          <w:sz w:val="26"/>
          <w:szCs w:val="26"/>
        </w:rPr>
        <w:t>apply</w:t>
      </w:r>
      <w:r>
        <w:rPr>
          <w:sz w:val="26"/>
          <w:szCs w:val="26"/>
        </w:rPr>
        <w:t xml:space="preserve"> </w:t>
      </w:r>
      <w:r w:rsidR="00134037">
        <w:rPr>
          <w:sz w:val="26"/>
          <w:szCs w:val="26"/>
        </w:rPr>
        <w:t>them</w:t>
      </w:r>
      <w:r w:rsidR="003D4438">
        <w:rPr>
          <w:sz w:val="26"/>
          <w:szCs w:val="26"/>
        </w:rPr>
        <w:t xml:space="preserve">.  </w:t>
      </w:r>
    </w:p>
  </w:footnote>
  <w:footnote w:id="13">
    <w:p w14:paraId="0DB2E821" w14:textId="77777777" w:rsidR="0051049E" w:rsidRPr="00751464" w:rsidRDefault="002E6832" w:rsidP="008C66BB">
      <w:pPr>
        <w:pStyle w:val="FootnoteText"/>
      </w:pPr>
      <w:r w:rsidRPr="00751464">
        <w:rPr>
          <w:rStyle w:val="FootnoteReference"/>
          <w:bCs/>
          <w:sz w:val="26"/>
          <w:szCs w:val="26"/>
        </w:rPr>
        <w:footnoteRef/>
      </w:r>
      <w:r w:rsidRPr="00751464">
        <w:rPr>
          <w:b/>
          <w:bCs/>
          <w:sz w:val="26"/>
          <w:szCs w:val="26"/>
        </w:rPr>
        <w:t xml:space="preserve"> </w:t>
      </w:r>
      <w:r w:rsidRPr="00751464">
        <w:tab/>
      </w:r>
      <w:r w:rsidR="00032866" w:rsidRPr="00751464">
        <w:rPr>
          <w:sz w:val="26"/>
          <w:szCs w:val="26"/>
        </w:rPr>
        <w:t xml:space="preserve">The </w:t>
      </w:r>
      <w:r w:rsidR="000F48AF" w:rsidRPr="00751464">
        <w:rPr>
          <w:sz w:val="26"/>
          <w:szCs w:val="26"/>
        </w:rPr>
        <w:t xml:space="preserve">Court of Appeal stated that </w:t>
      </w:r>
      <w:r w:rsidR="00FA6AA1" w:rsidRPr="00751464">
        <w:rPr>
          <w:sz w:val="26"/>
          <w:szCs w:val="26"/>
        </w:rPr>
        <w:t>“</w:t>
      </w:r>
      <w:r w:rsidR="000F48AF" w:rsidRPr="00751464">
        <w:rPr>
          <w:sz w:val="26"/>
          <w:szCs w:val="26"/>
        </w:rPr>
        <w:t xml:space="preserve">the trial court </w:t>
      </w:r>
      <w:r w:rsidR="00032866" w:rsidRPr="00751464">
        <w:rPr>
          <w:sz w:val="26"/>
          <w:szCs w:val="26"/>
        </w:rPr>
        <w:t>adhered to all but one of the specific procedural requirements” of section 783.  (</w:t>
      </w:r>
      <w:r w:rsidR="00032866" w:rsidRPr="00751464">
        <w:rPr>
          <w:i/>
          <w:iCs/>
          <w:sz w:val="26"/>
          <w:szCs w:val="26"/>
        </w:rPr>
        <w:t>Doe</w:t>
      </w:r>
      <w:r w:rsidR="00032866" w:rsidRPr="00751464">
        <w:rPr>
          <w:sz w:val="26"/>
          <w:szCs w:val="26"/>
        </w:rPr>
        <w:t xml:space="preserve">, </w:t>
      </w:r>
      <w:r w:rsidR="00032866" w:rsidRPr="00751464">
        <w:rPr>
          <w:i/>
          <w:iCs/>
          <w:sz w:val="26"/>
          <w:szCs w:val="26"/>
        </w:rPr>
        <w:t>supra</w:t>
      </w:r>
      <w:r w:rsidR="00032866" w:rsidRPr="00751464">
        <w:rPr>
          <w:sz w:val="26"/>
          <w:szCs w:val="26"/>
        </w:rPr>
        <w:t>, 71 Cal.App.5th at p. 241.)  Namely, the appellate court acknowledged, the trial court did not require the District to support its section 783 motion with an</w:t>
      </w:r>
      <w:r w:rsidR="00032866" w:rsidRPr="00751464">
        <w:rPr>
          <w:i/>
          <w:iCs/>
          <w:sz w:val="26"/>
          <w:szCs w:val="26"/>
        </w:rPr>
        <w:t xml:space="preserve"> affidavit</w:t>
      </w:r>
      <w:r w:rsidR="00032866" w:rsidRPr="00751464">
        <w:rPr>
          <w:sz w:val="26"/>
          <w:szCs w:val="26"/>
        </w:rPr>
        <w:t xml:space="preserve"> that includes an offer of proof as required by section 783, subdivision (b).  Instead, as noted earlier, the District had made such an offer of proof via its sealed </w:t>
      </w:r>
      <w:r w:rsidR="00032866" w:rsidRPr="00751464">
        <w:rPr>
          <w:i/>
          <w:iCs/>
          <w:sz w:val="26"/>
          <w:szCs w:val="26"/>
        </w:rPr>
        <w:t>declaration</w:t>
      </w:r>
      <w:r w:rsidR="00032866" w:rsidRPr="00751464">
        <w:rPr>
          <w:sz w:val="26"/>
          <w:szCs w:val="26"/>
        </w:rPr>
        <w:t>, which was submitted in support of its “section</w:t>
      </w:r>
      <w:r w:rsidR="00380DB0" w:rsidRPr="00751464">
        <w:rPr>
          <w:sz w:val="26"/>
          <w:szCs w:val="26"/>
        </w:rPr>
        <w:t> </w:t>
      </w:r>
      <w:r w:rsidR="00032866" w:rsidRPr="00751464">
        <w:rPr>
          <w:sz w:val="26"/>
          <w:szCs w:val="26"/>
        </w:rPr>
        <w:t>782” motion.</w:t>
      </w:r>
      <w:r w:rsidR="000F48AF" w:rsidRPr="00751464">
        <w:rPr>
          <w:sz w:val="26"/>
          <w:szCs w:val="26"/>
        </w:rPr>
        <w:t xml:space="preserve"> </w:t>
      </w:r>
      <w:r w:rsidR="002C30FF" w:rsidRPr="00751464">
        <w:rPr>
          <w:sz w:val="26"/>
          <w:szCs w:val="26"/>
        </w:rPr>
        <w:t xml:space="preserve"> </w:t>
      </w:r>
      <w:r w:rsidR="003C1DAD" w:rsidRPr="00751464">
        <w:rPr>
          <w:sz w:val="26"/>
          <w:szCs w:val="26"/>
        </w:rPr>
        <w:t xml:space="preserve">When </w:t>
      </w:r>
      <w:r w:rsidR="00202EBF" w:rsidRPr="00751464">
        <w:rPr>
          <w:sz w:val="26"/>
          <w:szCs w:val="26"/>
        </w:rPr>
        <w:t xml:space="preserve">parties properly follow the </w:t>
      </w:r>
      <w:r w:rsidR="003F3328" w:rsidRPr="00751464">
        <w:rPr>
          <w:sz w:val="26"/>
          <w:szCs w:val="26"/>
        </w:rPr>
        <w:t xml:space="preserve">dictates </w:t>
      </w:r>
      <w:r w:rsidR="003E2077" w:rsidRPr="00751464">
        <w:rPr>
          <w:sz w:val="26"/>
          <w:szCs w:val="26"/>
        </w:rPr>
        <w:t xml:space="preserve">of </w:t>
      </w:r>
      <w:r w:rsidR="003C1DAD" w:rsidRPr="00751464">
        <w:rPr>
          <w:sz w:val="26"/>
          <w:szCs w:val="26"/>
        </w:rPr>
        <w:t>Code of Civil Procedure section 2015.5, a</w:t>
      </w:r>
      <w:r w:rsidR="00C66D42" w:rsidRPr="00751464">
        <w:rPr>
          <w:sz w:val="26"/>
          <w:szCs w:val="26"/>
        </w:rPr>
        <w:t xml:space="preserve"> declaration </w:t>
      </w:r>
      <w:r w:rsidR="003C1DAD" w:rsidRPr="00751464">
        <w:rPr>
          <w:sz w:val="26"/>
          <w:szCs w:val="26"/>
        </w:rPr>
        <w:t xml:space="preserve">would equally </w:t>
      </w:r>
      <w:r w:rsidR="00C66D42" w:rsidRPr="00751464">
        <w:rPr>
          <w:sz w:val="26"/>
          <w:szCs w:val="26"/>
        </w:rPr>
        <w:t>satisf</w:t>
      </w:r>
      <w:r w:rsidR="003C1DAD" w:rsidRPr="00751464">
        <w:rPr>
          <w:sz w:val="26"/>
          <w:szCs w:val="26"/>
        </w:rPr>
        <w:t>y</w:t>
      </w:r>
      <w:r w:rsidR="00C66D42" w:rsidRPr="00751464">
        <w:rPr>
          <w:sz w:val="26"/>
          <w:szCs w:val="26"/>
        </w:rPr>
        <w:t xml:space="preserve"> the </w:t>
      </w:r>
      <w:r w:rsidR="003C1DAD" w:rsidRPr="00751464">
        <w:rPr>
          <w:sz w:val="26"/>
          <w:szCs w:val="26"/>
        </w:rPr>
        <w:t xml:space="preserve">affidavit </w:t>
      </w:r>
      <w:r w:rsidR="00C66D42" w:rsidRPr="00751464">
        <w:rPr>
          <w:sz w:val="26"/>
          <w:szCs w:val="26"/>
        </w:rPr>
        <w:t>requir</w:t>
      </w:r>
      <w:r w:rsidR="003C1DAD" w:rsidRPr="00751464">
        <w:rPr>
          <w:sz w:val="26"/>
          <w:szCs w:val="26"/>
        </w:rPr>
        <w:t>e</w:t>
      </w:r>
      <w:r w:rsidR="004A3DE9" w:rsidRPr="00751464">
        <w:rPr>
          <w:sz w:val="26"/>
          <w:szCs w:val="26"/>
        </w:rPr>
        <w:t>ment</w:t>
      </w:r>
      <w:r w:rsidR="003C1DAD" w:rsidRPr="00751464">
        <w:rPr>
          <w:sz w:val="26"/>
          <w:szCs w:val="26"/>
        </w:rPr>
        <w:t xml:space="preserve"> </w:t>
      </w:r>
      <w:r w:rsidR="004A3DE9" w:rsidRPr="00751464">
        <w:rPr>
          <w:sz w:val="26"/>
          <w:szCs w:val="26"/>
        </w:rPr>
        <w:t>of</w:t>
      </w:r>
      <w:r w:rsidR="00C66D42" w:rsidRPr="00751464">
        <w:rPr>
          <w:sz w:val="26"/>
          <w:szCs w:val="26"/>
        </w:rPr>
        <w:t xml:space="preserve"> </w:t>
      </w:r>
      <w:r w:rsidR="00091F37">
        <w:rPr>
          <w:sz w:val="26"/>
          <w:szCs w:val="26"/>
        </w:rPr>
        <w:t xml:space="preserve">Evidence Code </w:t>
      </w:r>
      <w:r w:rsidR="00C66D42" w:rsidRPr="00751464">
        <w:rPr>
          <w:sz w:val="26"/>
          <w:szCs w:val="26"/>
        </w:rPr>
        <w:t>section</w:t>
      </w:r>
      <w:r w:rsidR="008C66BB">
        <w:rPr>
          <w:sz w:val="26"/>
          <w:szCs w:val="26"/>
        </w:rPr>
        <w:t> </w:t>
      </w:r>
      <w:r w:rsidR="00C66D42" w:rsidRPr="00751464">
        <w:rPr>
          <w:sz w:val="26"/>
          <w:szCs w:val="26"/>
        </w:rPr>
        <w:t>783</w:t>
      </w:r>
      <w:r w:rsidR="003C1DAD" w:rsidRPr="00751464">
        <w:rPr>
          <w:sz w:val="26"/>
          <w:szCs w:val="26"/>
        </w:rPr>
        <w:t>.</w:t>
      </w:r>
    </w:p>
  </w:footnote>
  <w:footnote w:id="14">
    <w:p w14:paraId="0DB2E822" w14:textId="77777777" w:rsidR="00655D6D" w:rsidRPr="00751464" w:rsidRDefault="002E6832" w:rsidP="00535A24">
      <w:pPr>
        <w:pStyle w:val="FootnoteText"/>
        <w:rPr>
          <w:sz w:val="26"/>
          <w:szCs w:val="26"/>
        </w:rPr>
      </w:pPr>
      <w:r w:rsidRPr="00751464">
        <w:rPr>
          <w:rStyle w:val="FootnoteReference"/>
          <w:bCs/>
          <w:sz w:val="26"/>
          <w:szCs w:val="26"/>
        </w:rPr>
        <w:footnoteRef/>
      </w:r>
      <w:r w:rsidRPr="00751464">
        <w:rPr>
          <w:b/>
          <w:bCs/>
          <w:sz w:val="26"/>
          <w:szCs w:val="26"/>
        </w:rPr>
        <w:t xml:space="preserve"> </w:t>
      </w:r>
      <w:r w:rsidRPr="00751464">
        <w:tab/>
      </w:r>
      <w:r w:rsidRPr="00751464">
        <w:rPr>
          <w:sz w:val="26"/>
          <w:szCs w:val="26"/>
        </w:rPr>
        <w:t xml:space="preserve">The appellate court </w:t>
      </w:r>
      <w:r w:rsidRPr="00751464">
        <w:rPr>
          <w:sz w:val="26"/>
          <w:szCs w:val="26"/>
        </w:rPr>
        <w:t>asserted:  “There is nothing to indicate that either party was denied its statutory right to question</w:t>
      </w:r>
      <w:r w:rsidR="00A408F7">
        <w:rPr>
          <w:sz w:val="26"/>
          <w:szCs w:val="26"/>
        </w:rPr>
        <w:t> </w:t>
      </w:r>
      <w:r w:rsidR="00794C50" w:rsidRPr="00751464">
        <w:rPr>
          <w:sz w:val="26"/>
          <w:szCs w:val="26"/>
        </w:rPr>
        <w:t>. . .</w:t>
      </w:r>
      <w:r w:rsidR="00A408F7">
        <w:rPr>
          <w:sz w:val="26"/>
          <w:szCs w:val="26"/>
        </w:rPr>
        <w:t> </w:t>
      </w:r>
      <w:r w:rsidRPr="00751464">
        <w:rPr>
          <w:sz w:val="26"/>
          <w:szCs w:val="26"/>
        </w:rPr>
        <w:t>plaintiff at the hearing (§ 783, subd. (c)); because this right exists whether a hearing is conducted under section 782 or</w:t>
      </w:r>
      <w:r w:rsidR="00804786" w:rsidRPr="00751464">
        <w:rPr>
          <w:sz w:val="26"/>
          <w:szCs w:val="26"/>
        </w:rPr>
        <w:t xml:space="preserve"> 783</w:t>
      </w:r>
      <w:r w:rsidRPr="00751464">
        <w:rPr>
          <w:sz w:val="26"/>
          <w:szCs w:val="26"/>
        </w:rPr>
        <w:t>, the parties were awa</w:t>
      </w:r>
      <w:r w:rsidRPr="00751464">
        <w:rPr>
          <w:sz w:val="26"/>
          <w:szCs w:val="26"/>
        </w:rPr>
        <w:t>re of this right when the court erroneously invoked section 782, yet opted not to question plaintiff.”  (</w:t>
      </w:r>
      <w:r w:rsidRPr="00751464">
        <w:rPr>
          <w:i/>
          <w:iCs/>
          <w:sz w:val="26"/>
          <w:szCs w:val="26"/>
        </w:rPr>
        <w:t>Doe</w:t>
      </w:r>
      <w:r w:rsidRPr="00751464">
        <w:rPr>
          <w:sz w:val="26"/>
          <w:szCs w:val="26"/>
        </w:rPr>
        <w:t xml:space="preserve">, </w:t>
      </w:r>
      <w:r w:rsidRPr="00751464">
        <w:rPr>
          <w:i/>
          <w:iCs/>
          <w:sz w:val="26"/>
          <w:szCs w:val="26"/>
        </w:rPr>
        <w:t>supra</w:t>
      </w:r>
      <w:r w:rsidRPr="00751464">
        <w:rPr>
          <w:sz w:val="26"/>
          <w:szCs w:val="26"/>
        </w:rPr>
        <w:t xml:space="preserve">, 71 Cal.App.5th at p. 241.)  </w:t>
      </w:r>
    </w:p>
  </w:footnote>
  <w:footnote w:id="15">
    <w:p w14:paraId="0DB2E823" w14:textId="77777777" w:rsidR="00406F24" w:rsidRPr="005A380B" w:rsidRDefault="002E6832" w:rsidP="005C5E78">
      <w:pPr>
        <w:pStyle w:val="FootnoteText"/>
        <w:rPr>
          <w:sz w:val="26"/>
          <w:szCs w:val="26"/>
        </w:rPr>
      </w:pPr>
      <w:r w:rsidRPr="00751464">
        <w:rPr>
          <w:rStyle w:val="FootnoteReference"/>
          <w:bCs/>
        </w:rPr>
        <w:footnoteRef/>
      </w:r>
      <w:r w:rsidRPr="00751464">
        <w:rPr>
          <w:b/>
          <w:bCs/>
        </w:rPr>
        <w:t xml:space="preserve"> </w:t>
      </w:r>
      <w:r w:rsidRPr="00751464">
        <w:rPr>
          <w:b/>
          <w:bCs/>
        </w:rPr>
        <w:tab/>
      </w:r>
      <w:r w:rsidR="000B2AA3" w:rsidRPr="00751464">
        <w:rPr>
          <w:sz w:val="26"/>
          <w:szCs w:val="26"/>
        </w:rPr>
        <w:t>I</w:t>
      </w:r>
      <w:r w:rsidR="00CF79F8" w:rsidRPr="00751464">
        <w:rPr>
          <w:sz w:val="26"/>
          <w:szCs w:val="26"/>
        </w:rPr>
        <w:t xml:space="preserve">n this regard </w:t>
      </w:r>
      <w:r w:rsidR="00D17847">
        <w:rPr>
          <w:sz w:val="26"/>
          <w:szCs w:val="26"/>
        </w:rPr>
        <w:t xml:space="preserve">we </w:t>
      </w:r>
      <w:r w:rsidR="007D1C9E" w:rsidRPr="00751464">
        <w:rPr>
          <w:sz w:val="26"/>
          <w:szCs w:val="26"/>
        </w:rPr>
        <w:t xml:space="preserve">decline to endorse </w:t>
      </w:r>
      <w:r w:rsidR="00343263" w:rsidRPr="00751464">
        <w:rPr>
          <w:sz w:val="26"/>
          <w:szCs w:val="26"/>
        </w:rPr>
        <w:t xml:space="preserve">certain </w:t>
      </w:r>
      <w:r w:rsidR="00566FC6" w:rsidRPr="00751464">
        <w:rPr>
          <w:sz w:val="26"/>
          <w:szCs w:val="26"/>
        </w:rPr>
        <w:t xml:space="preserve">language in </w:t>
      </w:r>
      <w:r w:rsidR="00566FC6" w:rsidRPr="00751464">
        <w:rPr>
          <w:i/>
          <w:iCs/>
          <w:sz w:val="26"/>
          <w:szCs w:val="26"/>
        </w:rPr>
        <w:t>Mendez</w:t>
      </w:r>
      <w:r w:rsidR="00566FC6" w:rsidRPr="00751464">
        <w:rPr>
          <w:sz w:val="26"/>
          <w:szCs w:val="26"/>
        </w:rPr>
        <w:t>,</w:t>
      </w:r>
      <w:r w:rsidR="00522B54" w:rsidRPr="00751464">
        <w:rPr>
          <w:sz w:val="26"/>
          <w:szCs w:val="26"/>
        </w:rPr>
        <w:t xml:space="preserve"> </w:t>
      </w:r>
      <w:r w:rsidR="00566FC6" w:rsidRPr="00751464">
        <w:rPr>
          <w:i/>
          <w:iCs/>
          <w:sz w:val="26"/>
          <w:szCs w:val="26"/>
        </w:rPr>
        <w:t>supra</w:t>
      </w:r>
      <w:r w:rsidR="00566FC6" w:rsidRPr="00751464">
        <w:rPr>
          <w:sz w:val="26"/>
          <w:szCs w:val="26"/>
        </w:rPr>
        <w:t>,</w:t>
      </w:r>
      <w:r w:rsidR="00522B54" w:rsidRPr="00751464">
        <w:rPr>
          <w:sz w:val="26"/>
          <w:szCs w:val="26"/>
        </w:rPr>
        <w:t xml:space="preserve"> </w:t>
      </w:r>
      <w:r w:rsidR="00566FC6" w:rsidRPr="00751464">
        <w:rPr>
          <w:sz w:val="26"/>
          <w:szCs w:val="26"/>
        </w:rPr>
        <w:t>206</w:t>
      </w:r>
      <w:r w:rsidR="00522B54" w:rsidRPr="00751464">
        <w:rPr>
          <w:sz w:val="26"/>
          <w:szCs w:val="26"/>
        </w:rPr>
        <w:t> </w:t>
      </w:r>
      <w:r w:rsidR="00566FC6" w:rsidRPr="00751464">
        <w:rPr>
          <w:sz w:val="26"/>
          <w:szCs w:val="26"/>
        </w:rPr>
        <w:t xml:space="preserve">Cal.App.3d at pages 572–573, </w:t>
      </w:r>
      <w:r w:rsidR="00197998" w:rsidRPr="00751464">
        <w:rPr>
          <w:sz w:val="26"/>
          <w:szCs w:val="26"/>
        </w:rPr>
        <w:t xml:space="preserve">upon which plaintiff </w:t>
      </w:r>
      <w:r w:rsidR="00D04F90" w:rsidRPr="00751464">
        <w:rPr>
          <w:sz w:val="26"/>
          <w:szCs w:val="26"/>
        </w:rPr>
        <w:t xml:space="preserve">extensively </w:t>
      </w:r>
      <w:r w:rsidR="00197998" w:rsidRPr="00751464">
        <w:rPr>
          <w:sz w:val="26"/>
          <w:szCs w:val="26"/>
        </w:rPr>
        <w:t xml:space="preserve">relies.  </w:t>
      </w:r>
      <w:r w:rsidR="00FB5489" w:rsidRPr="00751464">
        <w:rPr>
          <w:sz w:val="26"/>
          <w:szCs w:val="26"/>
        </w:rPr>
        <w:t xml:space="preserve">In </w:t>
      </w:r>
      <w:r w:rsidR="00575836" w:rsidRPr="00751464">
        <w:rPr>
          <w:sz w:val="26"/>
          <w:szCs w:val="26"/>
        </w:rPr>
        <w:t xml:space="preserve">the course of </w:t>
      </w:r>
      <w:r w:rsidR="00A41E32" w:rsidRPr="00751464">
        <w:rPr>
          <w:sz w:val="26"/>
          <w:szCs w:val="26"/>
        </w:rPr>
        <w:t>affirm</w:t>
      </w:r>
      <w:r w:rsidR="00575836" w:rsidRPr="00751464">
        <w:rPr>
          <w:sz w:val="26"/>
          <w:szCs w:val="26"/>
        </w:rPr>
        <w:t xml:space="preserve">ing </w:t>
      </w:r>
      <w:r w:rsidR="000D6D20">
        <w:rPr>
          <w:sz w:val="26"/>
          <w:szCs w:val="26"/>
        </w:rPr>
        <w:t xml:space="preserve">a </w:t>
      </w:r>
      <w:r w:rsidR="00FB5489" w:rsidRPr="00751464">
        <w:rPr>
          <w:sz w:val="26"/>
          <w:szCs w:val="26"/>
        </w:rPr>
        <w:t xml:space="preserve">denial of </w:t>
      </w:r>
      <w:r w:rsidR="00142442" w:rsidRPr="00751464">
        <w:rPr>
          <w:sz w:val="26"/>
          <w:szCs w:val="26"/>
        </w:rPr>
        <w:t xml:space="preserve">civil </w:t>
      </w:r>
      <w:r w:rsidR="00FB5489" w:rsidRPr="00751464">
        <w:rPr>
          <w:sz w:val="26"/>
          <w:szCs w:val="26"/>
        </w:rPr>
        <w:t>discovery</w:t>
      </w:r>
      <w:r w:rsidR="00142442" w:rsidRPr="00751464">
        <w:rPr>
          <w:sz w:val="26"/>
          <w:szCs w:val="26"/>
        </w:rPr>
        <w:t xml:space="preserve"> concer</w:t>
      </w:r>
      <w:r w:rsidR="006551DE" w:rsidRPr="00751464">
        <w:rPr>
          <w:sz w:val="26"/>
          <w:szCs w:val="26"/>
        </w:rPr>
        <w:t>n</w:t>
      </w:r>
      <w:r w:rsidR="00142442" w:rsidRPr="00751464">
        <w:rPr>
          <w:sz w:val="26"/>
          <w:szCs w:val="26"/>
        </w:rPr>
        <w:t>ing</w:t>
      </w:r>
      <w:r w:rsidR="006551DE" w:rsidRPr="00751464">
        <w:rPr>
          <w:sz w:val="26"/>
          <w:szCs w:val="26"/>
        </w:rPr>
        <w:t xml:space="preserve"> sexual </w:t>
      </w:r>
      <w:r w:rsidR="00550B6C" w:rsidRPr="00751464">
        <w:rPr>
          <w:sz w:val="26"/>
          <w:szCs w:val="26"/>
        </w:rPr>
        <w:t>assault</w:t>
      </w:r>
      <w:r w:rsidR="00575836" w:rsidRPr="00751464">
        <w:rPr>
          <w:sz w:val="26"/>
          <w:szCs w:val="26"/>
        </w:rPr>
        <w:t xml:space="preserve">, the Court of Appeal </w:t>
      </w:r>
      <w:r w:rsidR="000348F6" w:rsidRPr="00751464">
        <w:rPr>
          <w:sz w:val="26"/>
          <w:szCs w:val="26"/>
        </w:rPr>
        <w:t xml:space="preserve">in </w:t>
      </w:r>
      <w:r w:rsidR="000348F6" w:rsidRPr="00751464">
        <w:rPr>
          <w:i/>
          <w:iCs/>
          <w:sz w:val="26"/>
          <w:szCs w:val="26"/>
        </w:rPr>
        <w:t>Mendez</w:t>
      </w:r>
      <w:r w:rsidR="000348F6" w:rsidRPr="00751464">
        <w:rPr>
          <w:sz w:val="26"/>
          <w:szCs w:val="26"/>
        </w:rPr>
        <w:t xml:space="preserve"> </w:t>
      </w:r>
      <w:r w:rsidR="00AA0BB6" w:rsidRPr="00751464">
        <w:rPr>
          <w:sz w:val="26"/>
          <w:szCs w:val="26"/>
        </w:rPr>
        <w:t>focused on</w:t>
      </w:r>
      <w:r w:rsidR="009E58F5" w:rsidRPr="00751464">
        <w:rPr>
          <w:sz w:val="26"/>
          <w:szCs w:val="26"/>
        </w:rPr>
        <w:t xml:space="preserve"> </w:t>
      </w:r>
      <w:r w:rsidR="00E95807" w:rsidRPr="00751464">
        <w:rPr>
          <w:sz w:val="26"/>
          <w:szCs w:val="26"/>
        </w:rPr>
        <w:t xml:space="preserve">the </w:t>
      </w:r>
      <w:r w:rsidR="00DB0574" w:rsidRPr="00751464">
        <w:rPr>
          <w:sz w:val="26"/>
          <w:szCs w:val="26"/>
        </w:rPr>
        <w:t xml:space="preserve">Legislature’s </w:t>
      </w:r>
      <w:r w:rsidR="00367B0B">
        <w:rPr>
          <w:sz w:val="26"/>
          <w:szCs w:val="26"/>
        </w:rPr>
        <w:t xml:space="preserve">uncodified </w:t>
      </w:r>
      <w:r w:rsidR="002C236B">
        <w:rPr>
          <w:sz w:val="26"/>
          <w:szCs w:val="26"/>
        </w:rPr>
        <w:t>“</w:t>
      </w:r>
      <w:r w:rsidR="00A66AA2" w:rsidRPr="00751464">
        <w:rPr>
          <w:sz w:val="26"/>
          <w:szCs w:val="26"/>
        </w:rPr>
        <w:t>extraordinary circumstances</w:t>
      </w:r>
      <w:r w:rsidR="002C236B">
        <w:rPr>
          <w:sz w:val="26"/>
          <w:szCs w:val="26"/>
        </w:rPr>
        <w:t>” language</w:t>
      </w:r>
      <w:r w:rsidR="00A66AA2" w:rsidRPr="00751464">
        <w:rPr>
          <w:sz w:val="26"/>
          <w:szCs w:val="26"/>
        </w:rPr>
        <w:t xml:space="preserve"> </w:t>
      </w:r>
      <w:r w:rsidR="002B31B7" w:rsidRPr="00751464">
        <w:rPr>
          <w:sz w:val="26"/>
          <w:szCs w:val="26"/>
        </w:rPr>
        <w:t xml:space="preserve">and </w:t>
      </w:r>
      <w:r w:rsidR="000C51D5" w:rsidRPr="00751464">
        <w:rPr>
          <w:sz w:val="26"/>
          <w:szCs w:val="26"/>
        </w:rPr>
        <w:t>concluded</w:t>
      </w:r>
      <w:r w:rsidR="002B31B7" w:rsidRPr="00751464">
        <w:rPr>
          <w:sz w:val="26"/>
          <w:szCs w:val="26"/>
        </w:rPr>
        <w:t xml:space="preserve"> that</w:t>
      </w:r>
      <w:r w:rsidR="0019620B" w:rsidRPr="00751464">
        <w:rPr>
          <w:sz w:val="26"/>
          <w:szCs w:val="26"/>
        </w:rPr>
        <w:t xml:space="preserve"> </w:t>
      </w:r>
      <w:r w:rsidR="00150E80">
        <w:rPr>
          <w:sz w:val="26"/>
          <w:szCs w:val="26"/>
        </w:rPr>
        <w:t xml:space="preserve">a </w:t>
      </w:r>
      <w:r w:rsidR="00614C17" w:rsidRPr="00751464">
        <w:rPr>
          <w:sz w:val="26"/>
          <w:szCs w:val="26"/>
        </w:rPr>
        <w:t xml:space="preserve">“defendant must </w:t>
      </w:r>
      <w:r w:rsidR="00921F00" w:rsidRPr="00751464">
        <w:rPr>
          <w:sz w:val="26"/>
          <w:szCs w:val="26"/>
        </w:rPr>
        <w:t xml:space="preserve">demonstrate some </w:t>
      </w:r>
      <w:r w:rsidR="00282FEB" w:rsidRPr="00751464">
        <w:rPr>
          <w:sz w:val="26"/>
          <w:szCs w:val="26"/>
        </w:rPr>
        <w:t>extraordinary circumstance</w:t>
      </w:r>
      <w:r w:rsidR="006412AD" w:rsidRPr="00751464">
        <w:rPr>
          <w:sz w:val="26"/>
          <w:szCs w:val="26"/>
        </w:rPr>
        <w:t xml:space="preserve"> atten</w:t>
      </w:r>
      <w:r w:rsidR="004E4984" w:rsidRPr="00751464">
        <w:rPr>
          <w:sz w:val="26"/>
          <w:szCs w:val="26"/>
        </w:rPr>
        <w:t>dant to [the] plaintiff’s</w:t>
      </w:r>
      <w:r w:rsidR="00614C17" w:rsidRPr="00751464">
        <w:rPr>
          <w:sz w:val="26"/>
          <w:szCs w:val="26"/>
        </w:rPr>
        <w:t xml:space="preserve"> claim” </w:t>
      </w:r>
      <w:r w:rsidR="00645557" w:rsidRPr="00751464">
        <w:rPr>
          <w:sz w:val="26"/>
          <w:szCs w:val="26"/>
        </w:rPr>
        <w:t>before</w:t>
      </w:r>
      <w:r w:rsidR="000250AA" w:rsidRPr="00751464">
        <w:rPr>
          <w:sz w:val="26"/>
          <w:szCs w:val="26"/>
        </w:rPr>
        <w:t xml:space="preserve"> </w:t>
      </w:r>
      <w:r w:rsidR="00813F6C" w:rsidRPr="00751464">
        <w:rPr>
          <w:sz w:val="26"/>
          <w:szCs w:val="26"/>
        </w:rPr>
        <w:t xml:space="preserve">such </w:t>
      </w:r>
      <w:r w:rsidR="000250AA" w:rsidRPr="00751464">
        <w:rPr>
          <w:sz w:val="26"/>
          <w:szCs w:val="26"/>
        </w:rPr>
        <w:t>discovery may be allowed</w:t>
      </w:r>
      <w:r w:rsidR="00120DB0" w:rsidRPr="00751464">
        <w:rPr>
          <w:sz w:val="26"/>
          <w:szCs w:val="26"/>
        </w:rPr>
        <w:t xml:space="preserve">.  </w:t>
      </w:r>
      <w:r w:rsidR="00DF738E" w:rsidRPr="00751464">
        <w:rPr>
          <w:sz w:val="26"/>
          <w:szCs w:val="26"/>
        </w:rPr>
        <w:t>(</w:t>
      </w:r>
      <w:r w:rsidR="00DF738E" w:rsidRPr="00751464">
        <w:rPr>
          <w:i/>
          <w:iCs/>
          <w:sz w:val="26"/>
          <w:szCs w:val="26"/>
        </w:rPr>
        <w:t>Mendez</w:t>
      </w:r>
      <w:r w:rsidR="00DF738E" w:rsidRPr="00751464">
        <w:rPr>
          <w:sz w:val="26"/>
          <w:szCs w:val="26"/>
        </w:rPr>
        <w:t>,</w:t>
      </w:r>
      <w:r w:rsidR="00522B54" w:rsidRPr="00751464">
        <w:rPr>
          <w:sz w:val="26"/>
          <w:szCs w:val="26"/>
        </w:rPr>
        <w:t xml:space="preserve"> </w:t>
      </w:r>
      <w:r w:rsidR="00DF738E" w:rsidRPr="00751464">
        <w:rPr>
          <w:sz w:val="26"/>
          <w:szCs w:val="26"/>
        </w:rPr>
        <w:t xml:space="preserve">at p. 573.) </w:t>
      </w:r>
      <w:r w:rsidR="000250AA" w:rsidRPr="00751464">
        <w:rPr>
          <w:sz w:val="26"/>
          <w:szCs w:val="26"/>
        </w:rPr>
        <w:t xml:space="preserve"> </w:t>
      </w:r>
      <w:r w:rsidR="00994CBE" w:rsidRPr="005A380B">
        <w:rPr>
          <w:sz w:val="26"/>
          <w:szCs w:val="26"/>
        </w:rPr>
        <w:t xml:space="preserve">As explained above, </w:t>
      </w:r>
      <w:r w:rsidR="00D013F9" w:rsidRPr="005A380B">
        <w:rPr>
          <w:sz w:val="26"/>
          <w:szCs w:val="26"/>
        </w:rPr>
        <w:t>we view th</w:t>
      </w:r>
      <w:r w:rsidR="005A380B" w:rsidRPr="005A380B">
        <w:rPr>
          <w:sz w:val="26"/>
          <w:szCs w:val="26"/>
        </w:rPr>
        <w:t xml:space="preserve">e Legislature’s </w:t>
      </w:r>
      <w:r w:rsidR="00295DF9">
        <w:rPr>
          <w:sz w:val="26"/>
          <w:szCs w:val="26"/>
        </w:rPr>
        <w:t xml:space="preserve">uncodified </w:t>
      </w:r>
      <w:r w:rsidR="005A380B" w:rsidRPr="005A380B">
        <w:rPr>
          <w:sz w:val="26"/>
          <w:szCs w:val="26"/>
        </w:rPr>
        <w:t xml:space="preserve">language </w:t>
      </w:r>
      <w:r w:rsidR="00D013F9" w:rsidRPr="005A380B">
        <w:rPr>
          <w:sz w:val="26"/>
          <w:szCs w:val="26"/>
        </w:rPr>
        <w:t xml:space="preserve">not as </w:t>
      </w:r>
      <w:r w:rsidR="00295DF9">
        <w:rPr>
          <w:sz w:val="26"/>
          <w:szCs w:val="26"/>
        </w:rPr>
        <w:t xml:space="preserve">imposing </w:t>
      </w:r>
      <w:r w:rsidR="00D013F9" w:rsidRPr="008B496D">
        <w:rPr>
          <w:sz w:val="26"/>
          <w:szCs w:val="26"/>
        </w:rPr>
        <w:t>a standard or condition for discovery or admission</w:t>
      </w:r>
      <w:r w:rsidR="002C236B">
        <w:rPr>
          <w:sz w:val="26"/>
          <w:szCs w:val="26"/>
        </w:rPr>
        <w:t xml:space="preserve">, </w:t>
      </w:r>
      <w:r w:rsidR="00D013F9" w:rsidRPr="008B496D">
        <w:rPr>
          <w:sz w:val="26"/>
          <w:szCs w:val="26"/>
        </w:rPr>
        <w:t xml:space="preserve">but </w:t>
      </w:r>
      <w:r w:rsidR="001254B0" w:rsidRPr="005A380B">
        <w:rPr>
          <w:sz w:val="26"/>
          <w:szCs w:val="26"/>
        </w:rPr>
        <w:t>as an interpretive aid</w:t>
      </w:r>
      <w:r w:rsidR="008B496D">
        <w:rPr>
          <w:sz w:val="26"/>
          <w:szCs w:val="26"/>
        </w:rPr>
        <w:t xml:space="preserve"> </w:t>
      </w:r>
      <w:r w:rsidR="008B496D" w:rsidRPr="00BB36D6">
        <w:rPr>
          <w:sz w:val="26"/>
          <w:szCs w:val="26"/>
        </w:rPr>
        <w:t>in construing the statut</w:t>
      </w:r>
      <w:r w:rsidR="008B496D">
        <w:rPr>
          <w:sz w:val="26"/>
          <w:szCs w:val="26"/>
        </w:rPr>
        <w:t>ory scheme</w:t>
      </w:r>
      <w:r w:rsidR="004E6A88" w:rsidRPr="005A380B">
        <w:rPr>
          <w:sz w:val="26"/>
          <w:szCs w:val="26"/>
        </w:rPr>
        <w:t xml:space="preserve">. </w:t>
      </w:r>
      <w:r w:rsidR="00E658B1" w:rsidRPr="005A380B">
        <w:rPr>
          <w:sz w:val="26"/>
          <w:szCs w:val="26"/>
        </w:rPr>
        <w:t xml:space="preserve"> </w:t>
      </w:r>
    </w:p>
  </w:footnote>
  <w:footnote w:id="16">
    <w:p w14:paraId="0DB2E824" w14:textId="77777777" w:rsidR="00BE5EBC" w:rsidRDefault="002E6832">
      <w:pPr>
        <w:pStyle w:val="FootnoteText"/>
      </w:pPr>
      <w:r w:rsidRPr="000B3D00">
        <w:rPr>
          <w:rStyle w:val="FootnoteReference"/>
        </w:rPr>
        <w:footnoteRef/>
      </w:r>
      <w:r>
        <w:t xml:space="preserve"> </w:t>
      </w:r>
      <w:r w:rsidR="00A3506B">
        <w:tab/>
      </w:r>
      <w:r w:rsidR="00A3506B" w:rsidRPr="007A6AF3">
        <w:rPr>
          <w:szCs w:val="27"/>
        </w:rPr>
        <w:t xml:space="preserve">As we have observed, </w:t>
      </w:r>
      <w:r w:rsidR="00A3506B">
        <w:rPr>
          <w:szCs w:val="27"/>
        </w:rPr>
        <w:t xml:space="preserve">section 352 </w:t>
      </w:r>
      <w:r w:rsidR="00A3506B" w:rsidRPr="001D44FC">
        <w:rPr>
          <w:szCs w:val="27"/>
        </w:rPr>
        <w:t xml:space="preserve">uses the word </w:t>
      </w:r>
      <w:r w:rsidR="00A3506B">
        <w:rPr>
          <w:szCs w:val="27"/>
        </w:rPr>
        <w:t>“</w:t>
      </w:r>
      <w:r w:rsidR="00A3506B" w:rsidRPr="001D44FC">
        <w:rPr>
          <w:szCs w:val="27"/>
        </w:rPr>
        <w:t>prejudice</w:t>
      </w:r>
      <w:r w:rsidR="00A3506B">
        <w:rPr>
          <w:szCs w:val="27"/>
        </w:rPr>
        <w:t>”</w:t>
      </w:r>
      <w:r w:rsidR="00A3506B" w:rsidRPr="001D44FC">
        <w:rPr>
          <w:szCs w:val="27"/>
        </w:rPr>
        <w:t xml:space="preserve"> “ ‘in its etymological sense of “prejudging” a person or cause on the basis of extraneous factors.’ ”  (</w:t>
      </w:r>
      <w:r w:rsidR="00A3506B" w:rsidRPr="001D44FC">
        <w:rPr>
          <w:i/>
          <w:iCs/>
          <w:szCs w:val="27"/>
        </w:rPr>
        <w:t xml:space="preserve">People v. Zapien </w:t>
      </w:r>
      <w:r w:rsidR="00A3506B" w:rsidRPr="001D44FC">
        <w:rPr>
          <w:szCs w:val="27"/>
        </w:rPr>
        <w:t>(1993) 4</w:t>
      </w:r>
      <w:r w:rsidR="00CC405A">
        <w:rPr>
          <w:szCs w:val="27"/>
        </w:rPr>
        <w:t> </w:t>
      </w:r>
      <w:r w:rsidR="00A3506B" w:rsidRPr="001D44FC">
        <w:rPr>
          <w:szCs w:val="27"/>
        </w:rPr>
        <w:t xml:space="preserve">Cal.4th 929, 958; see also </w:t>
      </w:r>
      <w:r w:rsidR="00A3506B" w:rsidRPr="001D44FC">
        <w:rPr>
          <w:i/>
          <w:iCs/>
          <w:szCs w:val="27"/>
        </w:rPr>
        <w:t>Vorse v. Sarasy</w:t>
      </w:r>
      <w:r w:rsidR="00A3506B" w:rsidRPr="001D44FC">
        <w:rPr>
          <w:szCs w:val="27"/>
        </w:rPr>
        <w:t> (1997) 53 Cal.App.4th 998, 1009 [“[E]vidence should be excluded as unduly prejudicial when it is of such nature as to inflame the emotions of the jur[</w:t>
      </w:r>
      <w:proofErr w:type="spellStart"/>
      <w:r w:rsidR="00A3506B" w:rsidRPr="001D44FC">
        <w:rPr>
          <w:szCs w:val="27"/>
        </w:rPr>
        <w:t>ors</w:t>
      </w:r>
      <w:proofErr w:type="spellEnd"/>
      <w:r w:rsidR="00A3506B" w:rsidRPr="001D44FC">
        <w:rPr>
          <w:szCs w:val="27"/>
        </w:rPr>
        <w:t xml:space="preserve">], motivating them to use the information, not to logically evaluate the point upon which it is relevant, but to reward or punish one side because of the jurors’ emotional reaction.  In such a circumstance, the evidence is unduly prejudicial because of the substantial likelihood the jury will use it for an illegitimate purpose”].)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E810" w14:textId="77777777" w:rsidR="00535A24" w:rsidRDefault="002E6832">
    <w:pPr>
      <w:pStyle w:val="Header"/>
    </w:pPr>
    <w:r>
      <w:t>JANE S.D. DOE v. SUPERIOR COURT</w:t>
    </w:r>
  </w:p>
  <w:p w14:paraId="0DB2E811" w14:textId="77777777" w:rsidR="00535A24" w:rsidRDefault="002E6832">
    <w:pPr>
      <w:pStyle w:val="Header"/>
    </w:pPr>
    <w:r>
      <w:t>Opinion of the Court by Guerrero, C. J.</w:t>
    </w:r>
  </w:p>
  <w:p w14:paraId="0DB2E812" w14:textId="77777777" w:rsidR="00535A24" w:rsidRDefault="00535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F1E6" w14:textId="77777777" w:rsidR="0072132E" w:rsidRPr="0072132E" w:rsidRDefault="0072132E" w:rsidP="00721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571"/>
    <w:multiLevelType w:val="hybridMultilevel"/>
    <w:tmpl w:val="8C52C87A"/>
    <w:lvl w:ilvl="0" w:tplc="ACA6E94A">
      <w:numFmt w:val="bullet"/>
      <w:lvlText w:val=""/>
      <w:lvlJc w:val="left"/>
      <w:pPr>
        <w:ind w:left="1080" w:hanging="360"/>
      </w:pPr>
      <w:rPr>
        <w:rFonts w:ascii="Symbol" w:eastAsiaTheme="minorHAnsi" w:hAnsi="Symbol" w:cs="Times New Roman" w:hint="default"/>
      </w:rPr>
    </w:lvl>
    <w:lvl w:ilvl="1" w:tplc="6574A6F0" w:tentative="1">
      <w:start w:val="1"/>
      <w:numFmt w:val="bullet"/>
      <w:lvlText w:val="o"/>
      <w:lvlJc w:val="left"/>
      <w:pPr>
        <w:ind w:left="1800" w:hanging="360"/>
      </w:pPr>
      <w:rPr>
        <w:rFonts w:ascii="Courier New" w:hAnsi="Courier New" w:cs="Courier New" w:hint="default"/>
      </w:rPr>
    </w:lvl>
    <w:lvl w:ilvl="2" w:tplc="C1DA7DEC" w:tentative="1">
      <w:start w:val="1"/>
      <w:numFmt w:val="bullet"/>
      <w:lvlText w:val=""/>
      <w:lvlJc w:val="left"/>
      <w:pPr>
        <w:ind w:left="2520" w:hanging="360"/>
      </w:pPr>
      <w:rPr>
        <w:rFonts w:ascii="Wingdings" w:hAnsi="Wingdings" w:hint="default"/>
      </w:rPr>
    </w:lvl>
    <w:lvl w:ilvl="3" w:tplc="30C8DECC" w:tentative="1">
      <w:start w:val="1"/>
      <w:numFmt w:val="bullet"/>
      <w:lvlText w:val=""/>
      <w:lvlJc w:val="left"/>
      <w:pPr>
        <w:ind w:left="3240" w:hanging="360"/>
      </w:pPr>
      <w:rPr>
        <w:rFonts w:ascii="Symbol" w:hAnsi="Symbol" w:hint="default"/>
      </w:rPr>
    </w:lvl>
    <w:lvl w:ilvl="4" w:tplc="B3960992" w:tentative="1">
      <w:start w:val="1"/>
      <w:numFmt w:val="bullet"/>
      <w:lvlText w:val="o"/>
      <w:lvlJc w:val="left"/>
      <w:pPr>
        <w:ind w:left="3960" w:hanging="360"/>
      </w:pPr>
      <w:rPr>
        <w:rFonts w:ascii="Courier New" w:hAnsi="Courier New" w:cs="Courier New" w:hint="default"/>
      </w:rPr>
    </w:lvl>
    <w:lvl w:ilvl="5" w:tplc="86C83F50" w:tentative="1">
      <w:start w:val="1"/>
      <w:numFmt w:val="bullet"/>
      <w:lvlText w:val=""/>
      <w:lvlJc w:val="left"/>
      <w:pPr>
        <w:ind w:left="4680" w:hanging="360"/>
      </w:pPr>
      <w:rPr>
        <w:rFonts w:ascii="Wingdings" w:hAnsi="Wingdings" w:hint="default"/>
      </w:rPr>
    </w:lvl>
    <w:lvl w:ilvl="6" w:tplc="65D2907C" w:tentative="1">
      <w:start w:val="1"/>
      <w:numFmt w:val="bullet"/>
      <w:lvlText w:val=""/>
      <w:lvlJc w:val="left"/>
      <w:pPr>
        <w:ind w:left="5400" w:hanging="360"/>
      </w:pPr>
      <w:rPr>
        <w:rFonts w:ascii="Symbol" w:hAnsi="Symbol" w:hint="default"/>
      </w:rPr>
    </w:lvl>
    <w:lvl w:ilvl="7" w:tplc="723CC430" w:tentative="1">
      <w:start w:val="1"/>
      <w:numFmt w:val="bullet"/>
      <w:lvlText w:val="o"/>
      <w:lvlJc w:val="left"/>
      <w:pPr>
        <w:ind w:left="6120" w:hanging="360"/>
      </w:pPr>
      <w:rPr>
        <w:rFonts w:ascii="Courier New" w:hAnsi="Courier New" w:cs="Courier New" w:hint="default"/>
      </w:rPr>
    </w:lvl>
    <w:lvl w:ilvl="8" w:tplc="1E782FD2" w:tentative="1">
      <w:start w:val="1"/>
      <w:numFmt w:val="bullet"/>
      <w:lvlText w:val=""/>
      <w:lvlJc w:val="left"/>
      <w:pPr>
        <w:ind w:left="6840" w:hanging="360"/>
      </w:pPr>
      <w:rPr>
        <w:rFonts w:ascii="Wingdings" w:hAnsi="Wingdings" w:hint="default"/>
      </w:rPr>
    </w:lvl>
  </w:abstractNum>
  <w:abstractNum w:abstractNumId="1" w15:restartNumberingAfterBreak="0">
    <w:nsid w:val="09135921"/>
    <w:multiLevelType w:val="hybridMultilevel"/>
    <w:tmpl w:val="931E7282"/>
    <w:lvl w:ilvl="0" w:tplc="F1CEF63E">
      <w:start w:val="1"/>
      <w:numFmt w:val="upperLetter"/>
      <w:lvlText w:val="%1."/>
      <w:lvlJc w:val="left"/>
      <w:pPr>
        <w:ind w:left="1080" w:hanging="360"/>
      </w:pPr>
      <w:rPr>
        <w:rFonts w:hint="default"/>
      </w:rPr>
    </w:lvl>
    <w:lvl w:ilvl="1" w:tplc="3C7A6A02">
      <w:start w:val="1"/>
      <w:numFmt w:val="decimal"/>
      <w:lvlText w:val="%2."/>
      <w:lvlJc w:val="left"/>
      <w:pPr>
        <w:ind w:left="1800" w:hanging="360"/>
      </w:pPr>
    </w:lvl>
    <w:lvl w:ilvl="2" w:tplc="2CC8789E" w:tentative="1">
      <w:start w:val="1"/>
      <w:numFmt w:val="lowerRoman"/>
      <w:lvlText w:val="%3."/>
      <w:lvlJc w:val="right"/>
      <w:pPr>
        <w:ind w:left="2520" w:hanging="180"/>
      </w:pPr>
    </w:lvl>
    <w:lvl w:ilvl="3" w:tplc="DB1A193C" w:tentative="1">
      <w:start w:val="1"/>
      <w:numFmt w:val="decimal"/>
      <w:lvlText w:val="%4."/>
      <w:lvlJc w:val="left"/>
      <w:pPr>
        <w:ind w:left="3240" w:hanging="360"/>
      </w:pPr>
    </w:lvl>
    <w:lvl w:ilvl="4" w:tplc="9516EF9E" w:tentative="1">
      <w:start w:val="1"/>
      <w:numFmt w:val="lowerLetter"/>
      <w:lvlText w:val="%5."/>
      <w:lvlJc w:val="left"/>
      <w:pPr>
        <w:ind w:left="3960" w:hanging="360"/>
      </w:pPr>
    </w:lvl>
    <w:lvl w:ilvl="5" w:tplc="286C3DF6" w:tentative="1">
      <w:start w:val="1"/>
      <w:numFmt w:val="lowerRoman"/>
      <w:lvlText w:val="%6."/>
      <w:lvlJc w:val="right"/>
      <w:pPr>
        <w:ind w:left="4680" w:hanging="180"/>
      </w:pPr>
    </w:lvl>
    <w:lvl w:ilvl="6" w:tplc="6966F708" w:tentative="1">
      <w:start w:val="1"/>
      <w:numFmt w:val="decimal"/>
      <w:lvlText w:val="%7."/>
      <w:lvlJc w:val="left"/>
      <w:pPr>
        <w:ind w:left="5400" w:hanging="360"/>
      </w:pPr>
    </w:lvl>
    <w:lvl w:ilvl="7" w:tplc="B7A265EE" w:tentative="1">
      <w:start w:val="1"/>
      <w:numFmt w:val="lowerLetter"/>
      <w:lvlText w:val="%8."/>
      <w:lvlJc w:val="left"/>
      <w:pPr>
        <w:ind w:left="6120" w:hanging="360"/>
      </w:pPr>
    </w:lvl>
    <w:lvl w:ilvl="8" w:tplc="D34CA448" w:tentative="1">
      <w:start w:val="1"/>
      <w:numFmt w:val="lowerRoman"/>
      <w:lvlText w:val="%9."/>
      <w:lvlJc w:val="right"/>
      <w:pPr>
        <w:ind w:left="6840" w:hanging="180"/>
      </w:pPr>
    </w:lvl>
  </w:abstractNum>
  <w:abstractNum w:abstractNumId="2" w15:restartNumberingAfterBreak="0">
    <w:nsid w:val="14C62CC8"/>
    <w:multiLevelType w:val="hybridMultilevel"/>
    <w:tmpl w:val="5A22366C"/>
    <w:lvl w:ilvl="0" w:tplc="5EBCECB2">
      <w:start w:val="3"/>
      <w:numFmt w:val="decimal"/>
      <w:lvlText w:val="%1."/>
      <w:lvlJc w:val="left"/>
      <w:pPr>
        <w:ind w:left="2160" w:hanging="360"/>
      </w:pPr>
      <w:rPr>
        <w:rFonts w:hint="default"/>
        <w:i w:val="0"/>
      </w:rPr>
    </w:lvl>
    <w:lvl w:ilvl="1" w:tplc="06A8BD14" w:tentative="1">
      <w:start w:val="1"/>
      <w:numFmt w:val="lowerLetter"/>
      <w:lvlText w:val="%2."/>
      <w:lvlJc w:val="left"/>
      <w:pPr>
        <w:ind w:left="2880" w:hanging="360"/>
      </w:pPr>
    </w:lvl>
    <w:lvl w:ilvl="2" w:tplc="31E68E9C" w:tentative="1">
      <w:start w:val="1"/>
      <w:numFmt w:val="lowerRoman"/>
      <w:lvlText w:val="%3."/>
      <w:lvlJc w:val="right"/>
      <w:pPr>
        <w:ind w:left="3600" w:hanging="180"/>
      </w:pPr>
    </w:lvl>
    <w:lvl w:ilvl="3" w:tplc="6924F4F0" w:tentative="1">
      <w:start w:val="1"/>
      <w:numFmt w:val="decimal"/>
      <w:lvlText w:val="%4."/>
      <w:lvlJc w:val="left"/>
      <w:pPr>
        <w:ind w:left="4320" w:hanging="360"/>
      </w:pPr>
    </w:lvl>
    <w:lvl w:ilvl="4" w:tplc="3D78A058" w:tentative="1">
      <w:start w:val="1"/>
      <w:numFmt w:val="lowerLetter"/>
      <w:lvlText w:val="%5."/>
      <w:lvlJc w:val="left"/>
      <w:pPr>
        <w:ind w:left="5040" w:hanging="360"/>
      </w:pPr>
    </w:lvl>
    <w:lvl w:ilvl="5" w:tplc="BAF01974" w:tentative="1">
      <w:start w:val="1"/>
      <w:numFmt w:val="lowerRoman"/>
      <w:lvlText w:val="%6."/>
      <w:lvlJc w:val="right"/>
      <w:pPr>
        <w:ind w:left="5760" w:hanging="180"/>
      </w:pPr>
    </w:lvl>
    <w:lvl w:ilvl="6" w:tplc="CBDE838A" w:tentative="1">
      <w:start w:val="1"/>
      <w:numFmt w:val="decimal"/>
      <w:lvlText w:val="%7."/>
      <w:lvlJc w:val="left"/>
      <w:pPr>
        <w:ind w:left="6480" w:hanging="360"/>
      </w:pPr>
    </w:lvl>
    <w:lvl w:ilvl="7" w:tplc="E8A48E68" w:tentative="1">
      <w:start w:val="1"/>
      <w:numFmt w:val="lowerLetter"/>
      <w:lvlText w:val="%8."/>
      <w:lvlJc w:val="left"/>
      <w:pPr>
        <w:ind w:left="7200" w:hanging="360"/>
      </w:pPr>
    </w:lvl>
    <w:lvl w:ilvl="8" w:tplc="B5C61318" w:tentative="1">
      <w:start w:val="1"/>
      <w:numFmt w:val="lowerRoman"/>
      <w:lvlText w:val="%9."/>
      <w:lvlJc w:val="right"/>
      <w:pPr>
        <w:ind w:left="7920" w:hanging="180"/>
      </w:pPr>
    </w:lvl>
  </w:abstractNum>
  <w:abstractNum w:abstractNumId="3" w15:restartNumberingAfterBreak="0">
    <w:nsid w:val="2791191E"/>
    <w:multiLevelType w:val="hybridMultilevel"/>
    <w:tmpl w:val="8490151A"/>
    <w:lvl w:ilvl="0" w:tplc="E2DEEA3A">
      <w:start w:val="3"/>
      <w:numFmt w:val="decimal"/>
      <w:lvlText w:val="%1."/>
      <w:lvlJc w:val="left"/>
      <w:pPr>
        <w:ind w:left="2160" w:hanging="360"/>
      </w:pPr>
      <w:rPr>
        <w:rFonts w:hint="default"/>
        <w:i w:val="0"/>
      </w:rPr>
    </w:lvl>
    <w:lvl w:ilvl="1" w:tplc="33D83DA0" w:tentative="1">
      <w:start w:val="1"/>
      <w:numFmt w:val="lowerLetter"/>
      <w:lvlText w:val="%2."/>
      <w:lvlJc w:val="left"/>
      <w:pPr>
        <w:ind w:left="2880" w:hanging="360"/>
      </w:pPr>
    </w:lvl>
    <w:lvl w:ilvl="2" w:tplc="6F00B02E" w:tentative="1">
      <w:start w:val="1"/>
      <w:numFmt w:val="lowerRoman"/>
      <w:lvlText w:val="%3."/>
      <w:lvlJc w:val="right"/>
      <w:pPr>
        <w:ind w:left="3600" w:hanging="180"/>
      </w:pPr>
    </w:lvl>
    <w:lvl w:ilvl="3" w:tplc="584606F4" w:tentative="1">
      <w:start w:val="1"/>
      <w:numFmt w:val="decimal"/>
      <w:lvlText w:val="%4."/>
      <w:lvlJc w:val="left"/>
      <w:pPr>
        <w:ind w:left="4320" w:hanging="360"/>
      </w:pPr>
    </w:lvl>
    <w:lvl w:ilvl="4" w:tplc="298062D4" w:tentative="1">
      <w:start w:val="1"/>
      <w:numFmt w:val="lowerLetter"/>
      <w:lvlText w:val="%5."/>
      <w:lvlJc w:val="left"/>
      <w:pPr>
        <w:ind w:left="5040" w:hanging="360"/>
      </w:pPr>
    </w:lvl>
    <w:lvl w:ilvl="5" w:tplc="BD4E1360" w:tentative="1">
      <w:start w:val="1"/>
      <w:numFmt w:val="lowerRoman"/>
      <w:lvlText w:val="%6."/>
      <w:lvlJc w:val="right"/>
      <w:pPr>
        <w:ind w:left="5760" w:hanging="180"/>
      </w:pPr>
    </w:lvl>
    <w:lvl w:ilvl="6" w:tplc="CCAEC762" w:tentative="1">
      <w:start w:val="1"/>
      <w:numFmt w:val="decimal"/>
      <w:lvlText w:val="%7."/>
      <w:lvlJc w:val="left"/>
      <w:pPr>
        <w:ind w:left="6480" w:hanging="360"/>
      </w:pPr>
    </w:lvl>
    <w:lvl w:ilvl="7" w:tplc="8D80DF46" w:tentative="1">
      <w:start w:val="1"/>
      <w:numFmt w:val="lowerLetter"/>
      <w:lvlText w:val="%8."/>
      <w:lvlJc w:val="left"/>
      <w:pPr>
        <w:ind w:left="7200" w:hanging="360"/>
      </w:pPr>
    </w:lvl>
    <w:lvl w:ilvl="8" w:tplc="0DD86EB6" w:tentative="1">
      <w:start w:val="1"/>
      <w:numFmt w:val="lowerRoman"/>
      <w:lvlText w:val="%9."/>
      <w:lvlJc w:val="right"/>
      <w:pPr>
        <w:ind w:left="7920" w:hanging="180"/>
      </w:pPr>
    </w:lvl>
  </w:abstractNum>
  <w:abstractNum w:abstractNumId="4" w15:restartNumberingAfterBreak="0">
    <w:nsid w:val="306D05A6"/>
    <w:multiLevelType w:val="hybridMultilevel"/>
    <w:tmpl w:val="5D92485E"/>
    <w:lvl w:ilvl="0" w:tplc="F40AB2B0">
      <w:start w:val="1"/>
      <w:numFmt w:val="lowerLetter"/>
      <w:lvlText w:val="%1."/>
      <w:lvlJc w:val="left"/>
      <w:pPr>
        <w:ind w:left="1440" w:hanging="360"/>
      </w:pPr>
      <w:rPr>
        <w:rFonts w:hint="default"/>
      </w:rPr>
    </w:lvl>
    <w:lvl w:ilvl="1" w:tplc="A93E4A6A" w:tentative="1">
      <w:start w:val="1"/>
      <w:numFmt w:val="lowerLetter"/>
      <w:lvlText w:val="%2."/>
      <w:lvlJc w:val="left"/>
      <w:pPr>
        <w:ind w:left="2160" w:hanging="360"/>
      </w:pPr>
    </w:lvl>
    <w:lvl w:ilvl="2" w:tplc="3B406044" w:tentative="1">
      <w:start w:val="1"/>
      <w:numFmt w:val="lowerRoman"/>
      <w:lvlText w:val="%3."/>
      <w:lvlJc w:val="right"/>
      <w:pPr>
        <w:ind w:left="2880" w:hanging="180"/>
      </w:pPr>
    </w:lvl>
    <w:lvl w:ilvl="3" w:tplc="6700D022" w:tentative="1">
      <w:start w:val="1"/>
      <w:numFmt w:val="decimal"/>
      <w:lvlText w:val="%4."/>
      <w:lvlJc w:val="left"/>
      <w:pPr>
        <w:ind w:left="3600" w:hanging="360"/>
      </w:pPr>
    </w:lvl>
    <w:lvl w:ilvl="4" w:tplc="297E1480" w:tentative="1">
      <w:start w:val="1"/>
      <w:numFmt w:val="lowerLetter"/>
      <w:lvlText w:val="%5."/>
      <w:lvlJc w:val="left"/>
      <w:pPr>
        <w:ind w:left="4320" w:hanging="360"/>
      </w:pPr>
    </w:lvl>
    <w:lvl w:ilvl="5" w:tplc="ED5C7AD0" w:tentative="1">
      <w:start w:val="1"/>
      <w:numFmt w:val="lowerRoman"/>
      <w:lvlText w:val="%6."/>
      <w:lvlJc w:val="right"/>
      <w:pPr>
        <w:ind w:left="5040" w:hanging="180"/>
      </w:pPr>
    </w:lvl>
    <w:lvl w:ilvl="6" w:tplc="E6D4DCB6" w:tentative="1">
      <w:start w:val="1"/>
      <w:numFmt w:val="decimal"/>
      <w:lvlText w:val="%7."/>
      <w:lvlJc w:val="left"/>
      <w:pPr>
        <w:ind w:left="5760" w:hanging="360"/>
      </w:pPr>
    </w:lvl>
    <w:lvl w:ilvl="7" w:tplc="E9C8542C" w:tentative="1">
      <w:start w:val="1"/>
      <w:numFmt w:val="lowerLetter"/>
      <w:lvlText w:val="%8."/>
      <w:lvlJc w:val="left"/>
      <w:pPr>
        <w:ind w:left="6480" w:hanging="360"/>
      </w:pPr>
    </w:lvl>
    <w:lvl w:ilvl="8" w:tplc="90D60C2E" w:tentative="1">
      <w:start w:val="1"/>
      <w:numFmt w:val="lowerRoman"/>
      <w:lvlText w:val="%9."/>
      <w:lvlJc w:val="right"/>
      <w:pPr>
        <w:ind w:left="7200" w:hanging="180"/>
      </w:pPr>
    </w:lvl>
  </w:abstractNum>
  <w:abstractNum w:abstractNumId="5" w15:restartNumberingAfterBreak="0">
    <w:nsid w:val="31EE27EF"/>
    <w:multiLevelType w:val="hybridMultilevel"/>
    <w:tmpl w:val="81C27BA4"/>
    <w:lvl w:ilvl="0" w:tplc="EE1EA7E8">
      <w:start w:val="1"/>
      <w:numFmt w:val="decimal"/>
      <w:lvlText w:val="%1."/>
      <w:lvlJc w:val="left"/>
      <w:pPr>
        <w:ind w:left="720" w:hanging="360"/>
      </w:pPr>
      <w:rPr>
        <w:rFonts w:hint="default"/>
      </w:rPr>
    </w:lvl>
    <w:lvl w:ilvl="1" w:tplc="089A521E" w:tentative="1">
      <w:start w:val="1"/>
      <w:numFmt w:val="lowerLetter"/>
      <w:lvlText w:val="%2."/>
      <w:lvlJc w:val="left"/>
      <w:pPr>
        <w:ind w:left="1440" w:hanging="360"/>
      </w:pPr>
    </w:lvl>
    <w:lvl w:ilvl="2" w:tplc="A56C9C5A" w:tentative="1">
      <w:start w:val="1"/>
      <w:numFmt w:val="lowerRoman"/>
      <w:lvlText w:val="%3."/>
      <w:lvlJc w:val="right"/>
      <w:pPr>
        <w:ind w:left="2160" w:hanging="180"/>
      </w:pPr>
    </w:lvl>
    <w:lvl w:ilvl="3" w:tplc="B2A04BEC" w:tentative="1">
      <w:start w:val="1"/>
      <w:numFmt w:val="decimal"/>
      <w:lvlText w:val="%4."/>
      <w:lvlJc w:val="left"/>
      <w:pPr>
        <w:ind w:left="2880" w:hanging="360"/>
      </w:pPr>
    </w:lvl>
    <w:lvl w:ilvl="4" w:tplc="EFA2BDAA" w:tentative="1">
      <w:start w:val="1"/>
      <w:numFmt w:val="lowerLetter"/>
      <w:lvlText w:val="%5."/>
      <w:lvlJc w:val="left"/>
      <w:pPr>
        <w:ind w:left="3600" w:hanging="360"/>
      </w:pPr>
    </w:lvl>
    <w:lvl w:ilvl="5" w:tplc="AF3E6B4E" w:tentative="1">
      <w:start w:val="1"/>
      <w:numFmt w:val="lowerRoman"/>
      <w:lvlText w:val="%6."/>
      <w:lvlJc w:val="right"/>
      <w:pPr>
        <w:ind w:left="4320" w:hanging="180"/>
      </w:pPr>
    </w:lvl>
    <w:lvl w:ilvl="6" w:tplc="03983A3A" w:tentative="1">
      <w:start w:val="1"/>
      <w:numFmt w:val="decimal"/>
      <w:lvlText w:val="%7."/>
      <w:lvlJc w:val="left"/>
      <w:pPr>
        <w:ind w:left="5040" w:hanging="360"/>
      </w:pPr>
    </w:lvl>
    <w:lvl w:ilvl="7" w:tplc="45380B2C" w:tentative="1">
      <w:start w:val="1"/>
      <w:numFmt w:val="lowerLetter"/>
      <w:lvlText w:val="%8."/>
      <w:lvlJc w:val="left"/>
      <w:pPr>
        <w:ind w:left="5760" w:hanging="360"/>
      </w:pPr>
    </w:lvl>
    <w:lvl w:ilvl="8" w:tplc="03A04868" w:tentative="1">
      <w:start w:val="1"/>
      <w:numFmt w:val="lowerRoman"/>
      <w:lvlText w:val="%9."/>
      <w:lvlJc w:val="right"/>
      <w:pPr>
        <w:ind w:left="6480" w:hanging="180"/>
      </w:pPr>
    </w:lvl>
  </w:abstractNum>
  <w:abstractNum w:abstractNumId="6" w15:restartNumberingAfterBreak="0">
    <w:nsid w:val="3758712E"/>
    <w:multiLevelType w:val="hybridMultilevel"/>
    <w:tmpl w:val="29AE8256"/>
    <w:lvl w:ilvl="0" w:tplc="71F2CB4E">
      <w:start w:val="1"/>
      <w:numFmt w:val="decimal"/>
      <w:lvlText w:val="%1."/>
      <w:lvlJc w:val="left"/>
      <w:pPr>
        <w:ind w:left="720" w:hanging="360"/>
      </w:pPr>
      <w:rPr>
        <w:rFonts w:hint="default"/>
      </w:rPr>
    </w:lvl>
    <w:lvl w:ilvl="1" w:tplc="00A87722" w:tentative="1">
      <w:start w:val="1"/>
      <w:numFmt w:val="lowerLetter"/>
      <w:lvlText w:val="%2."/>
      <w:lvlJc w:val="left"/>
      <w:pPr>
        <w:ind w:left="1440" w:hanging="360"/>
      </w:pPr>
    </w:lvl>
    <w:lvl w:ilvl="2" w:tplc="E4DC6C2A" w:tentative="1">
      <w:start w:val="1"/>
      <w:numFmt w:val="lowerRoman"/>
      <w:lvlText w:val="%3."/>
      <w:lvlJc w:val="right"/>
      <w:pPr>
        <w:ind w:left="2160" w:hanging="180"/>
      </w:pPr>
    </w:lvl>
    <w:lvl w:ilvl="3" w:tplc="EE280BEE" w:tentative="1">
      <w:start w:val="1"/>
      <w:numFmt w:val="decimal"/>
      <w:lvlText w:val="%4."/>
      <w:lvlJc w:val="left"/>
      <w:pPr>
        <w:ind w:left="2880" w:hanging="360"/>
      </w:pPr>
    </w:lvl>
    <w:lvl w:ilvl="4" w:tplc="215626B2" w:tentative="1">
      <w:start w:val="1"/>
      <w:numFmt w:val="lowerLetter"/>
      <w:lvlText w:val="%5."/>
      <w:lvlJc w:val="left"/>
      <w:pPr>
        <w:ind w:left="3600" w:hanging="360"/>
      </w:pPr>
    </w:lvl>
    <w:lvl w:ilvl="5" w:tplc="DE0E5212" w:tentative="1">
      <w:start w:val="1"/>
      <w:numFmt w:val="lowerRoman"/>
      <w:lvlText w:val="%6."/>
      <w:lvlJc w:val="right"/>
      <w:pPr>
        <w:ind w:left="4320" w:hanging="180"/>
      </w:pPr>
    </w:lvl>
    <w:lvl w:ilvl="6" w:tplc="0D0E0F86" w:tentative="1">
      <w:start w:val="1"/>
      <w:numFmt w:val="decimal"/>
      <w:lvlText w:val="%7."/>
      <w:lvlJc w:val="left"/>
      <w:pPr>
        <w:ind w:left="5040" w:hanging="360"/>
      </w:pPr>
    </w:lvl>
    <w:lvl w:ilvl="7" w:tplc="E4705206" w:tentative="1">
      <w:start w:val="1"/>
      <w:numFmt w:val="lowerLetter"/>
      <w:lvlText w:val="%8."/>
      <w:lvlJc w:val="left"/>
      <w:pPr>
        <w:ind w:left="5760" w:hanging="360"/>
      </w:pPr>
    </w:lvl>
    <w:lvl w:ilvl="8" w:tplc="48266E00" w:tentative="1">
      <w:start w:val="1"/>
      <w:numFmt w:val="lowerRoman"/>
      <w:lvlText w:val="%9."/>
      <w:lvlJc w:val="right"/>
      <w:pPr>
        <w:ind w:left="6480" w:hanging="180"/>
      </w:pPr>
    </w:lvl>
  </w:abstractNum>
  <w:abstractNum w:abstractNumId="7" w15:restartNumberingAfterBreak="0">
    <w:nsid w:val="3BB66841"/>
    <w:multiLevelType w:val="hybridMultilevel"/>
    <w:tmpl w:val="CE0403D6"/>
    <w:lvl w:ilvl="0" w:tplc="74C893E0">
      <w:start w:val="1"/>
      <w:numFmt w:val="decimal"/>
      <w:lvlText w:val="%1)"/>
      <w:lvlJc w:val="left"/>
      <w:pPr>
        <w:ind w:left="720" w:hanging="360"/>
      </w:pPr>
      <w:rPr>
        <w:rFonts w:hint="default"/>
      </w:rPr>
    </w:lvl>
    <w:lvl w:ilvl="1" w:tplc="98FA352C" w:tentative="1">
      <w:start w:val="1"/>
      <w:numFmt w:val="lowerLetter"/>
      <w:lvlText w:val="%2."/>
      <w:lvlJc w:val="left"/>
      <w:pPr>
        <w:ind w:left="1440" w:hanging="360"/>
      </w:pPr>
    </w:lvl>
    <w:lvl w:ilvl="2" w:tplc="420E85F8" w:tentative="1">
      <w:start w:val="1"/>
      <w:numFmt w:val="lowerRoman"/>
      <w:lvlText w:val="%3."/>
      <w:lvlJc w:val="right"/>
      <w:pPr>
        <w:ind w:left="2160" w:hanging="180"/>
      </w:pPr>
    </w:lvl>
    <w:lvl w:ilvl="3" w:tplc="0F547948" w:tentative="1">
      <w:start w:val="1"/>
      <w:numFmt w:val="decimal"/>
      <w:lvlText w:val="%4."/>
      <w:lvlJc w:val="left"/>
      <w:pPr>
        <w:ind w:left="2880" w:hanging="360"/>
      </w:pPr>
    </w:lvl>
    <w:lvl w:ilvl="4" w:tplc="3C12EA36" w:tentative="1">
      <w:start w:val="1"/>
      <w:numFmt w:val="lowerLetter"/>
      <w:lvlText w:val="%5."/>
      <w:lvlJc w:val="left"/>
      <w:pPr>
        <w:ind w:left="3600" w:hanging="360"/>
      </w:pPr>
    </w:lvl>
    <w:lvl w:ilvl="5" w:tplc="DE7E1DDC" w:tentative="1">
      <w:start w:val="1"/>
      <w:numFmt w:val="lowerRoman"/>
      <w:lvlText w:val="%6."/>
      <w:lvlJc w:val="right"/>
      <w:pPr>
        <w:ind w:left="4320" w:hanging="180"/>
      </w:pPr>
    </w:lvl>
    <w:lvl w:ilvl="6" w:tplc="DE82D5A0" w:tentative="1">
      <w:start w:val="1"/>
      <w:numFmt w:val="decimal"/>
      <w:lvlText w:val="%7."/>
      <w:lvlJc w:val="left"/>
      <w:pPr>
        <w:ind w:left="5040" w:hanging="360"/>
      </w:pPr>
    </w:lvl>
    <w:lvl w:ilvl="7" w:tplc="0B503622" w:tentative="1">
      <w:start w:val="1"/>
      <w:numFmt w:val="lowerLetter"/>
      <w:lvlText w:val="%8."/>
      <w:lvlJc w:val="left"/>
      <w:pPr>
        <w:ind w:left="5760" w:hanging="360"/>
      </w:pPr>
    </w:lvl>
    <w:lvl w:ilvl="8" w:tplc="311E9624" w:tentative="1">
      <w:start w:val="1"/>
      <w:numFmt w:val="lowerRoman"/>
      <w:lvlText w:val="%9."/>
      <w:lvlJc w:val="right"/>
      <w:pPr>
        <w:ind w:left="6480" w:hanging="180"/>
      </w:pPr>
    </w:lvl>
  </w:abstractNum>
  <w:abstractNum w:abstractNumId="8" w15:restartNumberingAfterBreak="0">
    <w:nsid w:val="41B50C00"/>
    <w:multiLevelType w:val="multilevel"/>
    <w:tmpl w:val="FD6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25331"/>
    <w:multiLevelType w:val="hybridMultilevel"/>
    <w:tmpl w:val="7368FF02"/>
    <w:lvl w:ilvl="0" w:tplc="D200EE3A">
      <w:start w:val="1"/>
      <w:numFmt w:val="decimal"/>
      <w:lvlText w:val="%1."/>
      <w:lvlJc w:val="left"/>
      <w:pPr>
        <w:ind w:left="1800" w:hanging="360"/>
      </w:pPr>
      <w:rPr>
        <w:rFonts w:hint="default"/>
      </w:rPr>
    </w:lvl>
    <w:lvl w:ilvl="1" w:tplc="B2142814" w:tentative="1">
      <w:start w:val="1"/>
      <w:numFmt w:val="lowerLetter"/>
      <w:lvlText w:val="%2."/>
      <w:lvlJc w:val="left"/>
      <w:pPr>
        <w:ind w:left="2520" w:hanging="360"/>
      </w:pPr>
    </w:lvl>
    <w:lvl w:ilvl="2" w:tplc="FF5C2BD4" w:tentative="1">
      <w:start w:val="1"/>
      <w:numFmt w:val="lowerRoman"/>
      <w:lvlText w:val="%3."/>
      <w:lvlJc w:val="right"/>
      <w:pPr>
        <w:ind w:left="3240" w:hanging="180"/>
      </w:pPr>
    </w:lvl>
    <w:lvl w:ilvl="3" w:tplc="F39C4F7C" w:tentative="1">
      <w:start w:val="1"/>
      <w:numFmt w:val="decimal"/>
      <w:lvlText w:val="%4."/>
      <w:lvlJc w:val="left"/>
      <w:pPr>
        <w:ind w:left="3960" w:hanging="360"/>
      </w:pPr>
    </w:lvl>
    <w:lvl w:ilvl="4" w:tplc="A6B0412C" w:tentative="1">
      <w:start w:val="1"/>
      <w:numFmt w:val="lowerLetter"/>
      <w:lvlText w:val="%5."/>
      <w:lvlJc w:val="left"/>
      <w:pPr>
        <w:ind w:left="4680" w:hanging="360"/>
      </w:pPr>
    </w:lvl>
    <w:lvl w:ilvl="5" w:tplc="AA9C8FE6" w:tentative="1">
      <w:start w:val="1"/>
      <w:numFmt w:val="lowerRoman"/>
      <w:lvlText w:val="%6."/>
      <w:lvlJc w:val="right"/>
      <w:pPr>
        <w:ind w:left="5400" w:hanging="180"/>
      </w:pPr>
    </w:lvl>
    <w:lvl w:ilvl="6" w:tplc="17F09638" w:tentative="1">
      <w:start w:val="1"/>
      <w:numFmt w:val="decimal"/>
      <w:lvlText w:val="%7."/>
      <w:lvlJc w:val="left"/>
      <w:pPr>
        <w:ind w:left="6120" w:hanging="360"/>
      </w:pPr>
    </w:lvl>
    <w:lvl w:ilvl="7" w:tplc="560C5F54" w:tentative="1">
      <w:start w:val="1"/>
      <w:numFmt w:val="lowerLetter"/>
      <w:lvlText w:val="%8."/>
      <w:lvlJc w:val="left"/>
      <w:pPr>
        <w:ind w:left="6840" w:hanging="360"/>
      </w:pPr>
    </w:lvl>
    <w:lvl w:ilvl="8" w:tplc="AB50C694" w:tentative="1">
      <w:start w:val="1"/>
      <w:numFmt w:val="lowerRoman"/>
      <w:lvlText w:val="%9."/>
      <w:lvlJc w:val="right"/>
      <w:pPr>
        <w:ind w:left="7560" w:hanging="180"/>
      </w:pPr>
    </w:lvl>
  </w:abstractNum>
  <w:abstractNum w:abstractNumId="10" w15:restartNumberingAfterBreak="0">
    <w:nsid w:val="4E4B4746"/>
    <w:multiLevelType w:val="hybridMultilevel"/>
    <w:tmpl w:val="7D1C1F88"/>
    <w:lvl w:ilvl="0" w:tplc="52E47CF2">
      <w:start w:val="1"/>
      <w:numFmt w:val="decimal"/>
      <w:lvlText w:val="%1."/>
      <w:lvlJc w:val="left"/>
      <w:pPr>
        <w:ind w:left="720" w:hanging="360"/>
      </w:pPr>
      <w:rPr>
        <w:rFonts w:hint="default"/>
      </w:rPr>
    </w:lvl>
    <w:lvl w:ilvl="1" w:tplc="B4FEFB7A" w:tentative="1">
      <w:start w:val="1"/>
      <w:numFmt w:val="lowerLetter"/>
      <w:lvlText w:val="%2."/>
      <w:lvlJc w:val="left"/>
      <w:pPr>
        <w:ind w:left="1440" w:hanging="360"/>
      </w:pPr>
    </w:lvl>
    <w:lvl w:ilvl="2" w:tplc="FA68F03E" w:tentative="1">
      <w:start w:val="1"/>
      <w:numFmt w:val="lowerRoman"/>
      <w:lvlText w:val="%3."/>
      <w:lvlJc w:val="right"/>
      <w:pPr>
        <w:ind w:left="2160" w:hanging="180"/>
      </w:pPr>
    </w:lvl>
    <w:lvl w:ilvl="3" w:tplc="0AF0004E" w:tentative="1">
      <w:start w:val="1"/>
      <w:numFmt w:val="decimal"/>
      <w:lvlText w:val="%4."/>
      <w:lvlJc w:val="left"/>
      <w:pPr>
        <w:ind w:left="2880" w:hanging="360"/>
      </w:pPr>
    </w:lvl>
    <w:lvl w:ilvl="4" w:tplc="E6CA6654" w:tentative="1">
      <w:start w:val="1"/>
      <w:numFmt w:val="lowerLetter"/>
      <w:lvlText w:val="%5."/>
      <w:lvlJc w:val="left"/>
      <w:pPr>
        <w:ind w:left="3600" w:hanging="360"/>
      </w:pPr>
    </w:lvl>
    <w:lvl w:ilvl="5" w:tplc="25C2DFFC" w:tentative="1">
      <w:start w:val="1"/>
      <w:numFmt w:val="lowerRoman"/>
      <w:lvlText w:val="%6."/>
      <w:lvlJc w:val="right"/>
      <w:pPr>
        <w:ind w:left="4320" w:hanging="180"/>
      </w:pPr>
    </w:lvl>
    <w:lvl w:ilvl="6" w:tplc="3FD89CA4" w:tentative="1">
      <w:start w:val="1"/>
      <w:numFmt w:val="decimal"/>
      <w:lvlText w:val="%7."/>
      <w:lvlJc w:val="left"/>
      <w:pPr>
        <w:ind w:left="5040" w:hanging="360"/>
      </w:pPr>
    </w:lvl>
    <w:lvl w:ilvl="7" w:tplc="C1E4CE86" w:tentative="1">
      <w:start w:val="1"/>
      <w:numFmt w:val="lowerLetter"/>
      <w:lvlText w:val="%8."/>
      <w:lvlJc w:val="left"/>
      <w:pPr>
        <w:ind w:left="5760" w:hanging="360"/>
      </w:pPr>
    </w:lvl>
    <w:lvl w:ilvl="8" w:tplc="879E22CE" w:tentative="1">
      <w:start w:val="1"/>
      <w:numFmt w:val="lowerRoman"/>
      <w:lvlText w:val="%9."/>
      <w:lvlJc w:val="right"/>
      <w:pPr>
        <w:ind w:left="6480" w:hanging="180"/>
      </w:pPr>
    </w:lvl>
  </w:abstractNum>
  <w:abstractNum w:abstractNumId="11" w15:restartNumberingAfterBreak="0">
    <w:nsid w:val="65F24B82"/>
    <w:multiLevelType w:val="hybridMultilevel"/>
    <w:tmpl w:val="9FBA34C6"/>
    <w:lvl w:ilvl="0" w:tplc="8EACC48E">
      <w:start w:val="1"/>
      <w:numFmt w:val="decimal"/>
      <w:lvlText w:val="%1."/>
      <w:lvlJc w:val="left"/>
      <w:pPr>
        <w:ind w:left="1080" w:hanging="360"/>
      </w:pPr>
      <w:rPr>
        <w:rFonts w:hint="default"/>
      </w:rPr>
    </w:lvl>
    <w:lvl w:ilvl="1" w:tplc="22707470" w:tentative="1">
      <w:start w:val="1"/>
      <w:numFmt w:val="lowerLetter"/>
      <w:lvlText w:val="%2."/>
      <w:lvlJc w:val="left"/>
      <w:pPr>
        <w:ind w:left="1800" w:hanging="360"/>
      </w:pPr>
    </w:lvl>
    <w:lvl w:ilvl="2" w:tplc="6046B4B0" w:tentative="1">
      <w:start w:val="1"/>
      <w:numFmt w:val="lowerRoman"/>
      <w:lvlText w:val="%3."/>
      <w:lvlJc w:val="right"/>
      <w:pPr>
        <w:ind w:left="2520" w:hanging="180"/>
      </w:pPr>
    </w:lvl>
    <w:lvl w:ilvl="3" w:tplc="661CDA94" w:tentative="1">
      <w:start w:val="1"/>
      <w:numFmt w:val="decimal"/>
      <w:lvlText w:val="%4."/>
      <w:lvlJc w:val="left"/>
      <w:pPr>
        <w:ind w:left="3240" w:hanging="360"/>
      </w:pPr>
    </w:lvl>
    <w:lvl w:ilvl="4" w:tplc="0BDEBF22" w:tentative="1">
      <w:start w:val="1"/>
      <w:numFmt w:val="lowerLetter"/>
      <w:lvlText w:val="%5."/>
      <w:lvlJc w:val="left"/>
      <w:pPr>
        <w:ind w:left="3960" w:hanging="360"/>
      </w:pPr>
    </w:lvl>
    <w:lvl w:ilvl="5" w:tplc="10EA35DE" w:tentative="1">
      <w:start w:val="1"/>
      <w:numFmt w:val="lowerRoman"/>
      <w:lvlText w:val="%6."/>
      <w:lvlJc w:val="right"/>
      <w:pPr>
        <w:ind w:left="4680" w:hanging="180"/>
      </w:pPr>
    </w:lvl>
    <w:lvl w:ilvl="6" w:tplc="10D64DF2" w:tentative="1">
      <w:start w:val="1"/>
      <w:numFmt w:val="decimal"/>
      <w:lvlText w:val="%7."/>
      <w:lvlJc w:val="left"/>
      <w:pPr>
        <w:ind w:left="5400" w:hanging="360"/>
      </w:pPr>
    </w:lvl>
    <w:lvl w:ilvl="7" w:tplc="95FA3252" w:tentative="1">
      <w:start w:val="1"/>
      <w:numFmt w:val="lowerLetter"/>
      <w:lvlText w:val="%8."/>
      <w:lvlJc w:val="left"/>
      <w:pPr>
        <w:ind w:left="6120" w:hanging="360"/>
      </w:pPr>
    </w:lvl>
    <w:lvl w:ilvl="8" w:tplc="02223766" w:tentative="1">
      <w:start w:val="1"/>
      <w:numFmt w:val="lowerRoman"/>
      <w:lvlText w:val="%9."/>
      <w:lvlJc w:val="right"/>
      <w:pPr>
        <w:ind w:left="6840" w:hanging="180"/>
      </w:pPr>
    </w:lvl>
  </w:abstractNum>
  <w:abstractNum w:abstractNumId="12" w15:restartNumberingAfterBreak="0">
    <w:nsid w:val="77A5515E"/>
    <w:multiLevelType w:val="hybridMultilevel"/>
    <w:tmpl w:val="EAC04C9C"/>
    <w:lvl w:ilvl="0" w:tplc="3874457E">
      <w:numFmt w:val="bullet"/>
      <w:lvlText w:val=""/>
      <w:lvlJc w:val="left"/>
      <w:pPr>
        <w:ind w:left="1080" w:hanging="360"/>
      </w:pPr>
      <w:rPr>
        <w:rFonts w:ascii="Symbol" w:eastAsiaTheme="minorHAnsi" w:hAnsi="Symbol" w:cstheme="minorBidi" w:hint="default"/>
      </w:rPr>
    </w:lvl>
    <w:lvl w:ilvl="1" w:tplc="868294B0" w:tentative="1">
      <w:start w:val="1"/>
      <w:numFmt w:val="bullet"/>
      <w:lvlText w:val="o"/>
      <w:lvlJc w:val="left"/>
      <w:pPr>
        <w:ind w:left="1800" w:hanging="360"/>
      </w:pPr>
      <w:rPr>
        <w:rFonts w:ascii="Courier New" w:hAnsi="Courier New" w:cs="Courier New" w:hint="default"/>
      </w:rPr>
    </w:lvl>
    <w:lvl w:ilvl="2" w:tplc="B8AC1C64" w:tentative="1">
      <w:start w:val="1"/>
      <w:numFmt w:val="bullet"/>
      <w:lvlText w:val=""/>
      <w:lvlJc w:val="left"/>
      <w:pPr>
        <w:ind w:left="2520" w:hanging="360"/>
      </w:pPr>
      <w:rPr>
        <w:rFonts w:ascii="Wingdings" w:hAnsi="Wingdings" w:hint="default"/>
      </w:rPr>
    </w:lvl>
    <w:lvl w:ilvl="3" w:tplc="8FA053CC" w:tentative="1">
      <w:start w:val="1"/>
      <w:numFmt w:val="bullet"/>
      <w:lvlText w:val=""/>
      <w:lvlJc w:val="left"/>
      <w:pPr>
        <w:ind w:left="3240" w:hanging="360"/>
      </w:pPr>
      <w:rPr>
        <w:rFonts w:ascii="Symbol" w:hAnsi="Symbol" w:hint="default"/>
      </w:rPr>
    </w:lvl>
    <w:lvl w:ilvl="4" w:tplc="532629E6" w:tentative="1">
      <w:start w:val="1"/>
      <w:numFmt w:val="bullet"/>
      <w:lvlText w:val="o"/>
      <w:lvlJc w:val="left"/>
      <w:pPr>
        <w:ind w:left="3960" w:hanging="360"/>
      </w:pPr>
      <w:rPr>
        <w:rFonts w:ascii="Courier New" w:hAnsi="Courier New" w:cs="Courier New" w:hint="default"/>
      </w:rPr>
    </w:lvl>
    <w:lvl w:ilvl="5" w:tplc="A1E2EDC0" w:tentative="1">
      <w:start w:val="1"/>
      <w:numFmt w:val="bullet"/>
      <w:lvlText w:val=""/>
      <w:lvlJc w:val="left"/>
      <w:pPr>
        <w:ind w:left="4680" w:hanging="360"/>
      </w:pPr>
      <w:rPr>
        <w:rFonts w:ascii="Wingdings" w:hAnsi="Wingdings" w:hint="default"/>
      </w:rPr>
    </w:lvl>
    <w:lvl w:ilvl="6" w:tplc="836661C2" w:tentative="1">
      <w:start w:val="1"/>
      <w:numFmt w:val="bullet"/>
      <w:lvlText w:val=""/>
      <w:lvlJc w:val="left"/>
      <w:pPr>
        <w:ind w:left="5400" w:hanging="360"/>
      </w:pPr>
      <w:rPr>
        <w:rFonts w:ascii="Symbol" w:hAnsi="Symbol" w:hint="default"/>
      </w:rPr>
    </w:lvl>
    <w:lvl w:ilvl="7" w:tplc="BB94C170" w:tentative="1">
      <w:start w:val="1"/>
      <w:numFmt w:val="bullet"/>
      <w:lvlText w:val="o"/>
      <w:lvlJc w:val="left"/>
      <w:pPr>
        <w:ind w:left="6120" w:hanging="360"/>
      </w:pPr>
      <w:rPr>
        <w:rFonts w:ascii="Courier New" w:hAnsi="Courier New" w:cs="Courier New" w:hint="default"/>
      </w:rPr>
    </w:lvl>
    <w:lvl w:ilvl="8" w:tplc="759C577C" w:tentative="1">
      <w:start w:val="1"/>
      <w:numFmt w:val="bullet"/>
      <w:lvlText w:val=""/>
      <w:lvlJc w:val="left"/>
      <w:pPr>
        <w:ind w:left="6840" w:hanging="360"/>
      </w:pPr>
      <w:rPr>
        <w:rFonts w:ascii="Wingdings" w:hAnsi="Wingdings" w:hint="default"/>
      </w:rPr>
    </w:lvl>
  </w:abstractNum>
  <w:abstractNum w:abstractNumId="13" w15:restartNumberingAfterBreak="0">
    <w:nsid w:val="7BFA7B74"/>
    <w:multiLevelType w:val="hybridMultilevel"/>
    <w:tmpl w:val="A462F532"/>
    <w:lvl w:ilvl="0" w:tplc="91C0DC08">
      <w:start w:val="3"/>
      <w:numFmt w:val="decimal"/>
      <w:lvlText w:val="%1."/>
      <w:lvlJc w:val="left"/>
      <w:pPr>
        <w:ind w:left="1800" w:hanging="360"/>
      </w:pPr>
      <w:rPr>
        <w:rFonts w:hint="default"/>
        <w:i w:val="0"/>
      </w:rPr>
    </w:lvl>
    <w:lvl w:ilvl="1" w:tplc="D47635B6" w:tentative="1">
      <w:start w:val="1"/>
      <w:numFmt w:val="lowerLetter"/>
      <w:lvlText w:val="%2."/>
      <w:lvlJc w:val="left"/>
      <w:pPr>
        <w:ind w:left="2520" w:hanging="360"/>
      </w:pPr>
    </w:lvl>
    <w:lvl w:ilvl="2" w:tplc="00424C28" w:tentative="1">
      <w:start w:val="1"/>
      <w:numFmt w:val="lowerRoman"/>
      <w:lvlText w:val="%3."/>
      <w:lvlJc w:val="right"/>
      <w:pPr>
        <w:ind w:left="3240" w:hanging="180"/>
      </w:pPr>
    </w:lvl>
    <w:lvl w:ilvl="3" w:tplc="EB2204A8" w:tentative="1">
      <w:start w:val="1"/>
      <w:numFmt w:val="decimal"/>
      <w:lvlText w:val="%4."/>
      <w:lvlJc w:val="left"/>
      <w:pPr>
        <w:ind w:left="3960" w:hanging="360"/>
      </w:pPr>
    </w:lvl>
    <w:lvl w:ilvl="4" w:tplc="FDF67D58" w:tentative="1">
      <w:start w:val="1"/>
      <w:numFmt w:val="lowerLetter"/>
      <w:lvlText w:val="%5."/>
      <w:lvlJc w:val="left"/>
      <w:pPr>
        <w:ind w:left="4680" w:hanging="360"/>
      </w:pPr>
    </w:lvl>
    <w:lvl w:ilvl="5" w:tplc="F6BAE062" w:tentative="1">
      <w:start w:val="1"/>
      <w:numFmt w:val="lowerRoman"/>
      <w:lvlText w:val="%6."/>
      <w:lvlJc w:val="right"/>
      <w:pPr>
        <w:ind w:left="5400" w:hanging="180"/>
      </w:pPr>
    </w:lvl>
    <w:lvl w:ilvl="6" w:tplc="A6C09CB0" w:tentative="1">
      <w:start w:val="1"/>
      <w:numFmt w:val="decimal"/>
      <w:lvlText w:val="%7."/>
      <w:lvlJc w:val="left"/>
      <w:pPr>
        <w:ind w:left="6120" w:hanging="360"/>
      </w:pPr>
    </w:lvl>
    <w:lvl w:ilvl="7" w:tplc="B0309D16" w:tentative="1">
      <w:start w:val="1"/>
      <w:numFmt w:val="lowerLetter"/>
      <w:lvlText w:val="%8."/>
      <w:lvlJc w:val="left"/>
      <w:pPr>
        <w:ind w:left="6840" w:hanging="360"/>
      </w:pPr>
    </w:lvl>
    <w:lvl w:ilvl="8" w:tplc="F3D4C442" w:tentative="1">
      <w:start w:val="1"/>
      <w:numFmt w:val="lowerRoman"/>
      <w:lvlText w:val="%9."/>
      <w:lvlJc w:val="right"/>
      <w:pPr>
        <w:ind w:left="7560" w:hanging="180"/>
      </w:pPr>
    </w:lvl>
  </w:abstractNum>
  <w:abstractNum w:abstractNumId="14" w15:restartNumberingAfterBreak="0">
    <w:nsid w:val="7DA15F68"/>
    <w:multiLevelType w:val="hybridMultilevel"/>
    <w:tmpl w:val="26782A98"/>
    <w:lvl w:ilvl="0" w:tplc="8840A8BC">
      <w:start w:val="1"/>
      <w:numFmt w:val="decimal"/>
      <w:lvlText w:val="%1."/>
      <w:lvlJc w:val="left"/>
      <w:pPr>
        <w:ind w:left="2160" w:hanging="360"/>
      </w:pPr>
      <w:rPr>
        <w:rFonts w:hint="default"/>
        <w:i/>
      </w:rPr>
    </w:lvl>
    <w:lvl w:ilvl="1" w:tplc="C1706322" w:tentative="1">
      <w:start w:val="1"/>
      <w:numFmt w:val="lowerLetter"/>
      <w:lvlText w:val="%2."/>
      <w:lvlJc w:val="left"/>
      <w:pPr>
        <w:ind w:left="2880" w:hanging="360"/>
      </w:pPr>
    </w:lvl>
    <w:lvl w:ilvl="2" w:tplc="844A739E" w:tentative="1">
      <w:start w:val="1"/>
      <w:numFmt w:val="lowerRoman"/>
      <w:lvlText w:val="%3."/>
      <w:lvlJc w:val="right"/>
      <w:pPr>
        <w:ind w:left="3600" w:hanging="180"/>
      </w:pPr>
    </w:lvl>
    <w:lvl w:ilvl="3" w:tplc="04242F74" w:tentative="1">
      <w:start w:val="1"/>
      <w:numFmt w:val="decimal"/>
      <w:lvlText w:val="%4."/>
      <w:lvlJc w:val="left"/>
      <w:pPr>
        <w:ind w:left="4320" w:hanging="360"/>
      </w:pPr>
    </w:lvl>
    <w:lvl w:ilvl="4" w:tplc="CD1C5570" w:tentative="1">
      <w:start w:val="1"/>
      <w:numFmt w:val="lowerLetter"/>
      <w:lvlText w:val="%5."/>
      <w:lvlJc w:val="left"/>
      <w:pPr>
        <w:ind w:left="5040" w:hanging="360"/>
      </w:pPr>
    </w:lvl>
    <w:lvl w:ilvl="5" w:tplc="41968454" w:tentative="1">
      <w:start w:val="1"/>
      <w:numFmt w:val="lowerRoman"/>
      <w:lvlText w:val="%6."/>
      <w:lvlJc w:val="right"/>
      <w:pPr>
        <w:ind w:left="5760" w:hanging="180"/>
      </w:pPr>
    </w:lvl>
    <w:lvl w:ilvl="6" w:tplc="F058E9C2" w:tentative="1">
      <w:start w:val="1"/>
      <w:numFmt w:val="decimal"/>
      <w:lvlText w:val="%7."/>
      <w:lvlJc w:val="left"/>
      <w:pPr>
        <w:ind w:left="6480" w:hanging="360"/>
      </w:pPr>
    </w:lvl>
    <w:lvl w:ilvl="7" w:tplc="6A3A9518" w:tentative="1">
      <w:start w:val="1"/>
      <w:numFmt w:val="lowerLetter"/>
      <w:lvlText w:val="%8."/>
      <w:lvlJc w:val="left"/>
      <w:pPr>
        <w:ind w:left="7200" w:hanging="360"/>
      </w:pPr>
    </w:lvl>
    <w:lvl w:ilvl="8" w:tplc="328C8664" w:tentative="1">
      <w:start w:val="1"/>
      <w:numFmt w:val="lowerRoman"/>
      <w:lvlText w:val="%9."/>
      <w:lvlJc w:val="right"/>
      <w:pPr>
        <w:ind w:left="7920" w:hanging="180"/>
      </w:pPr>
    </w:lvl>
  </w:abstractNum>
  <w:num w:numId="1" w16cid:durableId="2107264079">
    <w:abstractNumId w:val="1"/>
  </w:num>
  <w:num w:numId="2" w16cid:durableId="2127264804">
    <w:abstractNumId w:val="14"/>
  </w:num>
  <w:num w:numId="3" w16cid:durableId="47000757">
    <w:abstractNumId w:val="3"/>
  </w:num>
  <w:num w:numId="4" w16cid:durableId="1457675729">
    <w:abstractNumId w:val="13"/>
  </w:num>
  <w:num w:numId="5" w16cid:durableId="185750670">
    <w:abstractNumId w:val="2"/>
  </w:num>
  <w:num w:numId="6" w16cid:durableId="1922250927">
    <w:abstractNumId w:val="6"/>
  </w:num>
  <w:num w:numId="7" w16cid:durableId="951517546">
    <w:abstractNumId w:val="9"/>
  </w:num>
  <w:num w:numId="8" w16cid:durableId="696081468">
    <w:abstractNumId w:val="0"/>
  </w:num>
  <w:num w:numId="9" w16cid:durableId="617030829">
    <w:abstractNumId w:val="12"/>
  </w:num>
  <w:num w:numId="10" w16cid:durableId="1083919267">
    <w:abstractNumId w:val="11"/>
  </w:num>
  <w:num w:numId="11" w16cid:durableId="1771583494">
    <w:abstractNumId w:val="5"/>
  </w:num>
  <w:num w:numId="12" w16cid:durableId="399711482">
    <w:abstractNumId w:val="8"/>
  </w:num>
  <w:num w:numId="13" w16cid:durableId="216629171">
    <w:abstractNumId w:val="7"/>
  </w:num>
  <w:num w:numId="14" w16cid:durableId="384573554">
    <w:abstractNumId w:val="4"/>
  </w:num>
  <w:num w:numId="15" w16cid:durableId="21250774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E3E"/>
    <w:rsid w:val="0000004E"/>
    <w:rsid w:val="000002D3"/>
    <w:rsid w:val="00000AB2"/>
    <w:rsid w:val="00000B1F"/>
    <w:rsid w:val="000011F5"/>
    <w:rsid w:val="00001BFB"/>
    <w:rsid w:val="00001F4A"/>
    <w:rsid w:val="00001F5F"/>
    <w:rsid w:val="00002166"/>
    <w:rsid w:val="0000259D"/>
    <w:rsid w:val="00002934"/>
    <w:rsid w:val="00002E57"/>
    <w:rsid w:val="00002F21"/>
    <w:rsid w:val="000031A2"/>
    <w:rsid w:val="00003334"/>
    <w:rsid w:val="00003583"/>
    <w:rsid w:val="00003747"/>
    <w:rsid w:val="0000387C"/>
    <w:rsid w:val="0000392A"/>
    <w:rsid w:val="00003BE1"/>
    <w:rsid w:val="00004084"/>
    <w:rsid w:val="000040DD"/>
    <w:rsid w:val="000040F2"/>
    <w:rsid w:val="00004414"/>
    <w:rsid w:val="00004423"/>
    <w:rsid w:val="0000449D"/>
    <w:rsid w:val="00004A29"/>
    <w:rsid w:val="00004CC9"/>
    <w:rsid w:val="000051B3"/>
    <w:rsid w:val="000052B1"/>
    <w:rsid w:val="000052D7"/>
    <w:rsid w:val="0000569F"/>
    <w:rsid w:val="00005944"/>
    <w:rsid w:val="00005996"/>
    <w:rsid w:val="00005BEF"/>
    <w:rsid w:val="00005BF5"/>
    <w:rsid w:val="00005D57"/>
    <w:rsid w:val="00005E3D"/>
    <w:rsid w:val="00005E74"/>
    <w:rsid w:val="00005FD8"/>
    <w:rsid w:val="00006459"/>
    <w:rsid w:val="0000656C"/>
    <w:rsid w:val="00006581"/>
    <w:rsid w:val="00006753"/>
    <w:rsid w:val="00006877"/>
    <w:rsid w:val="0000691E"/>
    <w:rsid w:val="00006CD3"/>
    <w:rsid w:val="00007127"/>
    <w:rsid w:val="00007301"/>
    <w:rsid w:val="00007645"/>
    <w:rsid w:val="00007AD0"/>
    <w:rsid w:val="000100B1"/>
    <w:rsid w:val="00010B07"/>
    <w:rsid w:val="00011326"/>
    <w:rsid w:val="000114CF"/>
    <w:rsid w:val="0001198B"/>
    <w:rsid w:val="00011EAC"/>
    <w:rsid w:val="000121DA"/>
    <w:rsid w:val="0001225F"/>
    <w:rsid w:val="000128CC"/>
    <w:rsid w:val="00012C2C"/>
    <w:rsid w:val="00012C85"/>
    <w:rsid w:val="00012D25"/>
    <w:rsid w:val="00012EEF"/>
    <w:rsid w:val="00013100"/>
    <w:rsid w:val="00013237"/>
    <w:rsid w:val="000136D6"/>
    <w:rsid w:val="0001393B"/>
    <w:rsid w:val="00013980"/>
    <w:rsid w:val="00013B56"/>
    <w:rsid w:val="000141AE"/>
    <w:rsid w:val="000143B3"/>
    <w:rsid w:val="00014CC3"/>
    <w:rsid w:val="00014D86"/>
    <w:rsid w:val="00015155"/>
    <w:rsid w:val="0001546B"/>
    <w:rsid w:val="000158DB"/>
    <w:rsid w:val="00015DFD"/>
    <w:rsid w:val="0001614D"/>
    <w:rsid w:val="00016504"/>
    <w:rsid w:val="00016CFD"/>
    <w:rsid w:val="00016DDE"/>
    <w:rsid w:val="00016F22"/>
    <w:rsid w:val="00016F9A"/>
    <w:rsid w:val="000170A3"/>
    <w:rsid w:val="00017305"/>
    <w:rsid w:val="0001766B"/>
    <w:rsid w:val="0001768E"/>
    <w:rsid w:val="000179E9"/>
    <w:rsid w:val="00017E0C"/>
    <w:rsid w:val="00017EE4"/>
    <w:rsid w:val="000203A6"/>
    <w:rsid w:val="0002047D"/>
    <w:rsid w:val="000204F3"/>
    <w:rsid w:val="0002082F"/>
    <w:rsid w:val="00020953"/>
    <w:rsid w:val="00020BB0"/>
    <w:rsid w:val="00020C1A"/>
    <w:rsid w:val="00020E30"/>
    <w:rsid w:val="00020E3D"/>
    <w:rsid w:val="00020F50"/>
    <w:rsid w:val="000212AC"/>
    <w:rsid w:val="000215CE"/>
    <w:rsid w:val="00021923"/>
    <w:rsid w:val="000219A9"/>
    <w:rsid w:val="00021BA3"/>
    <w:rsid w:val="00021D14"/>
    <w:rsid w:val="00022536"/>
    <w:rsid w:val="000225F3"/>
    <w:rsid w:val="00022707"/>
    <w:rsid w:val="00022A38"/>
    <w:rsid w:val="00022AB6"/>
    <w:rsid w:val="00022B79"/>
    <w:rsid w:val="00022F6B"/>
    <w:rsid w:val="0002317A"/>
    <w:rsid w:val="0002335B"/>
    <w:rsid w:val="0002374B"/>
    <w:rsid w:val="00023A09"/>
    <w:rsid w:val="00023DE3"/>
    <w:rsid w:val="00023F6C"/>
    <w:rsid w:val="00023F9C"/>
    <w:rsid w:val="0002430C"/>
    <w:rsid w:val="000244B7"/>
    <w:rsid w:val="0002466E"/>
    <w:rsid w:val="000246DB"/>
    <w:rsid w:val="00024998"/>
    <w:rsid w:val="00024A85"/>
    <w:rsid w:val="00024B89"/>
    <w:rsid w:val="00024BC5"/>
    <w:rsid w:val="00024BF9"/>
    <w:rsid w:val="00024D51"/>
    <w:rsid w:val="00024F30"/>
    <w:rsid w:val="00025042"/>
    <w:rsid w:val="000250AA"/>
    <w:rsid w:val="00025965"/>
    <w:rsid w:val="00025AA6"/>
    <w:rsid w:val="00025AC7"/>
    <w:rsid w:val="00025B02"/>
    <w:rsid w:val="00025D85"/>
    <w:rsid w:val="00025E00"/>
    <w:rsid w:val="00025F06"/>
    <w:rsid w:val="00026267"/>
    <w:rsid w:val="0002630A"/>
    <w:rsid w:val="00026669"/>
    <w:rsid w:val="00026768"/>
    <w:rsid w:val="0002681C"/>
    <w:rsid w:val="00026CF4"/>
    <w:rsid w:val="00026F24"/>
    <w:rsid w:val="0002740A"/>
    <w:rsid w:val="0002772E"/>
    <w:rsid w:val="00027AEC"/>
    <w:rsid w:val="00027E10"/>
    <w:rsid w:val="00027FBD"/>
    <w:rsid w:val="00030587"/>
    <w:rsid w:val="00030AB6"/>
    <w:rsid w:val="00030F6B"/>
    <w:rsid w:val="000316E5"/>
    <w:rsid w:val="00031891"/>
    <w:rsid w:val="000319AC"/>
    <w:rsid w:val="00031D04"/>
    <w:rsid w:val="0003205D"/>
    <w:rsid w:val="000324B6"/>
    <w:rsid w:val="000327BF"/>
    <w:rsid w:val="00032832"/>
    <w:rsid w:val="00032866"/>
    <w:rsid w:val="00032AFA"/>
    <w:rsid w:val="00032E6A"/>
    <w:rsid w:val="00032FAA"/>
    <w:rsid w:val="00033477"/>
    <w:rsid w:val="000336A7"/>
    <w:rsid w:val="000338DA"/>
    <w:rsid w:val="00033927"/>
    <w:rsid w:val="00033EEB"/>
    <w:rsid w:val="00034706"/>
    <w:rsid w:val="000348F6"/>
    <w:rsid w:val="00034935"/>
    <w:rsid w:val="00034A05"/>
    <w:rsid w:val="00034B08"/>
    <w:rsid w:val="00034C17"/>
    <w:rsid w:val="000353DD"/>
    <w:rsid w:val="000358E0"/>
    <w:rsid w:val="00035CD7"/>
    <w:rsid w:val="00035DC5"/>
    <w:rsid w:val="00035F45"/>
    <w:rsid w:val="0003604B"/>
    <w:rsid w:val="00036093"/>
    <w:rsid w:val="000360E2"/>
    <w:rsid w:val="000361A3"/>
    <w:rsid w:val="00036224"/>
    <w:rsid w:val="000363E0"/>
    <w:rsid w:val="00036695"/>
    <w:rsid w:val="000366F6"/>
    <w:rsid w:val="000368F6"/>
    <w:rsid w:val="00036DD5"/>
    <w:rsid w:val="00037014"/>
    <w:rsid w:val="00037021"/>
    <w:rsid w:val="0003703B"/>
    <w:rsid w:val="000371BE"/>
    <w:rsid w:val="000371E6"/>
    <w:rsid w:val="000376F1"/>
    <w:rsid w:val="00037805"/>
    <w:rsid w:val="00037C4C"/>
    <w:rsid w:val="00037EC6"/>
    <w:rsid w:val="00040066"/>
    <w:rsid w:val="000403E9"/>
    <w:rsid w:val="000404E0"/>
    <w:rsid w:val="0004066A"/>
    <w:rsid w:val="0004081A"/>
    <w:rsid w:val="00040A0B"/>
    <w:rsid w:val="00040F28"/>
    <w:rsid w:val="0004135E"/>
    <w:rsid w:val="000414AC"/>
    <w:rsid w:val="00041C94"/>
    <w:rsid w:val="00041E50"/>
    <w:rsid w:val="00041FD1"/>
    <w:rsid w:val="0004226B"/>
    <w:rsid w:val="00042393"/>
    <w:rsid w:val="00042971"/>
    <w:rsid w:val="00042BBC"/>
    <w:rsid w:val="00042BF0"/>
    <w:rsid w:val="00042EDC"/>
    <w:rsid w:val="0004324E"/>
    <w:rsid w:val="0004337D"/>
    <w:rsid w:val="000433F0"/>
    <w:rsid w:val="00043A3E"/>
    <w:rsid w:val="00043C42"/>
    <w:rsid w:val="00043CB1"/>
    <w:rsid w:val="000442C8"/>
    <w:rsid w:val="000443BE"/>
    <w:rsid w:val="000444C3"/>
    <w:rsid w:val="0004471F"/>
    <w:rsid w:val="0004475C"/>
    <w:rsid w:val="00044836"/>
    <w:rsid w:val="00044872"/>
    <w:rsid w:val="00044C0D"/>
    <w:rsid w:val="00045082"/>
    <w:rsid w:val="000450BF"/>
    <w:rsid w:val="000451F0"/>
    <w:rsid w:val="00045242"/>
    <w:rsid w:val="0004559D"/>
    <w:rsid w:val="000455E3"/>
    <w:rsid w:val="000459D1"/>
    <w:rsid w:val="00045B79"/>
    <w:rsid w:val="00045E25"/>
    <w:rsid w:val="0004617E"/>
    <w:rsid w:val="0004622E"/>
    <w:rsid w:val="000462BA"/>
    <w:rsid w:val="000466D2"/>
    <w:rsid w:val="000466DB"/>
    <w:rsid w:val="00046AD0"/>
    <w:rsid w:val="00047097"/>
    <w:rsid w:val="000472F7"/>
    <w:rsid w:val="0004787D"/>
    <w:rsid w:val="00047C04"/>
    <w:rsid w:val="00047DFA"/>
    <w:rsid w:val="00047F9A"/>
    <w:rsid w:val="00047FF2"/>
    <w:rsid w:val="00050129"/>
    <w:rsid w:val="00050346"/>
    <w:rsid w:val="00050393"/>
    <w:rsid w:val="0005042F"/>
    <w:rsid w:val="0005090C"/>
    <w:rsid w:val="00050BE6"/>
    <w:rsid w:val="00050EDF"/>
    <w:rsid w:val="00050FD7"/>
    <w:rsid w:val="0005116E"/>
    <w:rsid w:val="000513AA"/>
    <w:rsid w:val="00051570"/>
    <w:rsid w:val="0005176C"/>
    <w:rsid w:val="000517D6"/>
    <w:rsid w:val="000518B8"/>
    <w:rsid w:val="000518C5"/>
    <w:rsid w:val="00051A73"/>
    <w:rsid w:val="000520A2"/>
    <w:rsid w:val="000520C7"/>
    <w:rsid w:val="0005213D"/>
    <w:rsid w:val="0005217D"/>
    <w:rsid w:val="000521BE"/>
    <w:rsid w:val="00052A1D"/>
    <w:rsid w:val="00052A2E"/>
    <w:rsid w:val="00052C4D"/>
    <w:rsid w:val="00052CD8"/>
    <w:rsid w:val="000530AC"/>
    <w:rsid w:val="00053312"/>
    <w:rsid w:val="0005336A"/>
    <w:rsid w:val="000535EA"/>
    <w:rsid w:val="00053DF7"/>
    <w:rsid w:val="000542BE"/>
    <w:rsid w:val="00054473"/>
    <w:rsid w:val="00054CA5"/>
    <w:rsid w:val="00055023"/>
    <w:rsid w:val="00055C01"/>
    <w:rsid w:val="00055CA0"/>
    <w:rsid w:val="00055EFA"/>
    <w:rsid w:val="000564D1"/>
    <w:rsid w:val="00056729"/>
    <w:rsid w:val="0005673D"/>
    <w:rsid w:val="00056B29"/>
    <w:rsid w:val="00056EE5"/>
    <w:rsid w:val="00057127"/>
    <w:rsid w:val="0005731F"/>
    <w:rsid w:val="00057677"/>
    <w:rsid w:val="00057721"/>
    <w:rsid w:val="00057859"/>
    <w:rsid w:val="00057A3F"/>
    <w:rsid w:val="00057A89"/>
    <w:rsid w:val="00057C2A"/>
    <w:rsid w:val="00057DEA"/>
    <w:rsid w:val="000602A0"/>
    <w:rsid w:val="000603FA"/>
    <w:rsid w:val="0006043D"/>
    <w:rsid w:val="000606AC"/>
    <w:rsid w:val="00061814"/>
    <w:rsid w:val="000619D6"/>
    <w:rsid w:val="00061A13"/>
    <w:rsid w:val="00061F0A"/>
    <w:rsid w:val="000622B2"/>
    <w:rsid w:val="000627DE"/>
    <w:rsid w:val="00062889"/>
    <w:rsid w:val="00062D9C"/>
    <w:rsid w:val="000630F2"/>
    <w:rsid w:val="0006319D"/>
    <w:rsid w:val="00063390"/>
    <w:rsid w:val="00063395"/>
    <w:rsid w:val="00063BC9"/>
    <w:rsid w:val="00063E52"/>
    <w:rsid w:val="0006416A"/>
    <w:rsid w:val="000645E3"/>
    <w:rsid w:val="00064744"/>
    <w:rsid w:val="00064878"/>
    <w:rsid w:val="00064926"/>
    <w:rsid w:val="00064AA6"/>
    <w:rsid w:val="00064BC7"/>
    <w:rsid w:val="00065105"/>
    <w:rsid w:val="0006540E"/>
    <w:rsid w:val="00065757"/>
    <w:rsid w:val="000657A5"/>
    <w:rsid w:val="00065A2F"/>
    <w:rsid w:val="0006630A"/>
    <w:rsid w:val="000665B2"/>
    <w:rsid w:val="00066825"/>
    <w:rsid w:val="00066AA7"/>
    <w:rsid w:val="00066BBA"/>
    <w:rsid w:val="00066FD7"/>
    <w:rsid w:val="0006712B"/>
    <w:rsid w:val="00067906"/>
    <w:rsid w:val="0006794E"/>
    <w:rsid w:val="00067AD7"/>
    <w:rsid w:val="000706B3"/>
    <w:rsid w:val="00070955"/>
    <w:rsid w:val="00070B7B"/>
    <w:rsid w:val="00070EC5"/>
    <w:rsid w:val="00071072"/>
    <w:rsid w:val="00071312"/>
    <w:rsid w:val="00071392"/>
    <w:rsid w:val="00071541"/>
    <w:rsid w:val="000716B4"/>
    <w:rsid w:val="00071A23"/>
    <w:rsid w:val="00071F2C"/>
    <w:rsid w:val="00071F5C"/>
    <w:rsid w:val="0007216F"/>
    <w:rsid w:val="0007245A"/>
    <w:rsid w:val="000725CB"/>
    <w:rsid w:val="00072F92"/>
    <w:rsid w:val="00073087"/>
    <w:rsid w:val="000734ED"/>
    <w:rsid w:val="00073D98"/>
    <w:rsid w:val="00074262"/>
    <w:rsid w:val="00074446"/>
    <w:rsid w:val="00074449"/>
    <w:rsid w:val="00074639"/>
    <w:rsid w:val="00074772"/>
    <w:rsid w:val="00074900"/>
    <w:rsid w:val="00074C42"/>
    <w:rsid w:val="0007505B"/>
    <w:rsid w:val="0007551B"/>
    <w:rsid w:val="00075530"/>
    <w:rsid w:val="00075783"/>
    <w:rsid w:val="000757BB"/>
    <w:rsid w:val="000759E0"/>
    <w:rsid w:val="00075B25"/>
    <w:rsid w:val="00075B76"/>
    <w:rsid w:val="00075CD7"/>
    <w:rsid w:val="00075D81"/>
    <w:rsid w:val="00075D97"/>
    <w:rsid w:val="00075EF4"/>
    <w:rsid w:val="00076171"/>
    <w:rsid w:val="000762CE"/>
    <w:rsid w:val="0007633A"/>
    <w:rsid w:val="000764AE"/>
    <w:rsid w:val="00076664"/>
    <w:rsid w:val="00076E3C"/>
    <w:rsid w:val="00077042"/>
    <w:rsid w:val="000772A2"/>
    <w:rsid w:val="0007765B"/>
    <w:rsid w:val="00077A4C"/>
    <w:rsid w:val="00077BAA"/>
    <w:rsid w:val="00077D08"/>
    <w:rsid w:val="00077FE6"/>
    <w:rsid w:val="000801A7"/>
    <w:rsid w:val="00080349"/>
    <w:rsid w:val="0008081B"/>
    <w:rsid w:val="00080A5A"/>
    <w:rsid w:val="00080AF9"/>
    <w:rsid w:val="000819E6"/>
    <w:rsid w:val="00081B33"/>
    <w:rsid w:val="00081C85"/>
    <w:rsid w:val="00081DEB"/>
    <w:rsid w:val="00081DFD"/>
    <w:rsid w:val="00082771"/>
    <w:rsid w:val="000829B5"/>
    <w:rsid w:val="00082A31"/>
    <w:rsid w:val="00083097"/>
    <w:rsid w:val="0008326C"/>
    <w:rsid w:val="00083583"/>
    <w:rsid w:val="0008379D"/>
    <w:rsid w:val="00083924"/>
    <w:rsid w:val="00083A9D"/>
    <w:rsid w:val="00083BA3"/>
    <w:rsid w:val="00083F2E"/>
    <w:rsid w:val="000842B5"/>
    <w:rsid w:val="000845DE"/>
    <w:rsid w:val="00084882"/>
    <w:rsid w:val="000849AC"/>
    <w:rsid w:val="00084EEF"/>
    <w:rsid w:val="0008523A"/>
    <w:rsid w:val="00085294"/>
    <w:rsid w:val="00085438"/>
    <w:rsid w:val="00085A4A"/>
    <w:rsid w:val="00085C82"/>
    <w:rsid w:val="000862A4"/>
    <w:rsid w:val="0008647F"/>
    <w:rsid w:val="0008655D"/>
    <w:rsid w:val="00086876"/>
    <w:rsid w:val="00086B7E"/>
    <w:rsid w:val="00086DA6"/>
    <w:rsid w:val="00086F1E"/>
    <w:rsid w:val="0008711F"/>
    <w:rsid w:val="00087191"/>
    <w:rsid w:val="00087282"/>
    <w:rsid w:val="0008737C"/>
    <w:rsid w:val="0008738D"/>
    <w:rsid w:val="00087A47"/>
    <w:rsid w:val="00090225"/>
    <w:rsid w:val="00090291"/>
    <w:rsid w:val="000903A7"/>
    <w:rsid w:val="000905CE"/>
    <w:rsid w:val="00090B19"/>
    <w:rsid w:val="00091095"/>
    <w:rsid w:val="000917ED"/>
    <w:rsid w:val="000919B6"/>
    <w:rsid w:val="00091AD0"/>
    <w:rsid w:val="00091C50"/>
    <w:rsid w:val="00091EFF"/>
    <w:rsid w:val="00091F37"/>
    <w:rsid w:val="00092559"/>
    <w:rsid w:val="0009261B"/>
    <w:rsid w:val="00092713"/>
    <w:rsid w:val="00092887"/>
    <w:rsid w:val="000928D7"/>
    <w:rsid w:val="000929C3"/>
    <w:rsid w:val="00092CEC"/>
    <w:rsid w:val="00092D60"/>
    <w:rsid w:val="000930E7"/>
    <w:rsid w:val="00093639"/>
    <w:rsid w:val="000936E2"/>
    <w:rsid w:val="000936FC"/>
    <w:rsid w:val="00093730"/>
    <w:rsid w:val="00093820"/>
    <w:rsid w:val="00093944"/>
    <w:rsid w:val="00093A04"/>
    <w:rsid w:val="00093E77"/>
    <w:rsid w:val="00094005"/>
    <w:rsid w:val="00094112"/>
    <w:rsid w:val="0009413C"/>
    <w:rsid w:val="000944A1"/>
    <w:rsid w:val="00094645"/>
    <w:rsid w:val="00094794"/>
    <w:rsid w:val="00094A52"/>
    <w:rsid w:val="00094B01"/>
    <w:rsid w:val="00095234"/>
    <w:rsid w:val="00095700"/>
    <w:rsid w:val="00095747"/>
    <w:rsid w:val="000957EF"/>
    <w:rsid w:val="00096532"/>
    <w:rsid w:val="00096C00"/>
    <w:rsid w:val="00097518"/>
    <w:rsid w:val="00097748"/>
    <w:rsid w:val="00097DD5"/>
    <w:rsid w:val="000A009B"/>
    <w:rsid w:val="000A0502"/>
    <w:rsid w:val="000A0734"/>
    <w:rsid w:val="000A0B12"/>
    <w:rsid w:val="000A0B84"/>
    <w:rsid w:val="000A0D42"/>
    <w:rsid w:val="000A0E59"/>
    <w:rsid w:val="000A123D"/>
    <w:rsid w:val="000A126F"/>
    <w:rsid w:val="000A146D"/>
    <w:rsid w:val="000A15DE"/>
    <w:rsid w:val="000A17CD"/>
    <w:rsid w:val="000A18C8"/>
    <w:rsid w:val="000A1EFD"/>
    <w:rsid w:val="000A1F6F"/>
    <w:rsid w:val="000A2382"/>
    <w:rsid w:val="000A2429"/>
    <w:rsid w:val="000A24CD"/>
    <w:rsid w:val="000A2557"/>
    <w:rsid w:val="000A26D5"/>
    <w:rsid w:val="000A28A9"/>
    <w:rsid w:val="000A2AD8"/>
    <w:rsid w:val="000A2EF3"/>
    <w:rsid w:val="000A32A7"/>
    <w:rsid w:val="000A3A7C"/>
    <w:rsid w:val="000A4290"/>
    <w:rsid w:val="000A42FF"/>
    <w:rsid w:val="000A43BE"/>
    <w:rsid w:val="000A471F"/>
    <w:rsid w:val="000A4D4F"/>
    <w:rsid w:val="000A526F"/>
    <w:rsid w:val="000A5549"/>
    <w:rsid w:val="000A5856"/>
    <w:rsid w:val="000A604F"/>
    <w:rsid w:val="000A61CF"/>
    <w:rsid w:val="000A631B"/>
    <w:rsid w:val="000A6EFA"/>
    <w:rsid w:val="000A6F35"/>
    <w:rsid w:val="000A703A"/>
    <w:rsid w:val="000A739A"/>
    <w:rsid w:val="000A745B"/>
    <w:rsid w:val="000A74DC"/>
    <w:rsid w:val="000A7585"/>
    <w:rsid w:val="000A77D8"/>
    <w:rsid w:val="000A7A7B"/>
    <w:rsid w:val="000A7CFC"/>
    <w:rsid w:val="000A7F72"/>
    <w:rsid w:val="000B02C1"/>
    <w:rsid w:val="000B02C9"/>
    <w:rsid w:val="000B03B3"/>
    <w:rsid w:val="000B0612"/>
    <w:rsid w:val="000B06BA"/>
    <w:rsid w:val="000B0946"/>
    <w:rsid w:val="000B0B55"/>
    <w:rsid w:val="000B0CB2"/>
    <w:rsid w:val="000B0F56"/>
    <w:rsid w:val="000B0FB1"/>
    <w:rsid w:val="000B10C8"/>
    <w:rsid w:val="000B1A6E"/>
    <w:rsid w:val="000B1B25"/>
    <w:rsid w:val="000B1C7F"/>
    <w:rsid w:val="000B1C89"/>
    <w:rsid w:val="000B1E19"/>
    <w:rsid w:val="000B1E9A"/>
    <w:rsid w:val="000B24E7"/>
    <w:rsid w:val="000B2790"/>
    <w:rsid w:val="000B2AA3"/>
    <w:rsid w:val="000B2B3A"/>
    <w:rsid w:val="000B2B79"/>
    <w:rsid w:val="000B2F88"/>
    <w:rsid w:val="000B37E7"/>
    <w:rsid w:val="000B3B7C"/>
    <w:rsid w:val="000B3BE1"/>
    <w:rsid w:val="000B3D00"/>
    <w:rsid w:val="000B4B33"/>
    <w:rsid w:val="000B4EDD"/>
    <w:rsid w:val="000B5015"/>
    <w:rsid w:val="000B519E"/>
    <w:rsid w:val="000B51C9"/>
    <w:rsid w:val="000B55E3"/>
    <w:rsid w:val="000B5942"/>
    <w:rsid w:val="000B5B3D"/>
    <w:rsid w:val="000B5D78"/>
    <w:rsid w:val="000B5DA1"/>
    <w:rsid w:val="000B5E43"/>
    <w:rsid w:val="000B610D"/>
    <w:rsid w:val="000B61D0"/>
    <w:rsid w:val="000B62B6"/>
    <w:rsid w:val="000B64B2"/>
    <w:rsid w:val="000B67AD"/>
    <w:rsid w:val="000B67C1"/>
    <w:rsid w:val="000B6844"/>
    <w:rsid w:val="000B6B7E"/>
    <w:rsid w:val="000B7161"/>
    <w:rsid w:val="000B71C1"/>
    <w:rsid w:val="000B7419"/>
    <w:rsid w:val="000B744A"/>
    <w:rsid w:val="000B78BE"/>
    <w:rsid w:val="000B7B15"/>
    <w:rsid w:val="000B7B9E"/>
    <w:rsid w:val="000B7E61"/>
    <w:rsid w:val="000B7EEC"/>
    <w:rsid w:val="000C00CA"/>
    <w:rsid w:val="000C0191"/>
    <w:rsid w:val="000C0229"/>
    <w:rsid w:val="000C0522"/>
    <w:rsid w:val="000C05E8"/>
    <w:rsid w:val="000C0680"/>
    <w:rsid w:val="000C0B25"/>
    <w:rsid w:val="000C0B31"/>
    <w:rsid w:val="000C0C36"/>
    <w:rsid w:val="000C0D9A"/>
    <w:rsid w:val="000C1336"/>
    <w:rsid w:val="000C1604"/>
    <w:rsid w:val="000C1738"/>
    <w:rsid w:val="000C18CA"/>
    <w:rsid w:val="000C1E63"/>
    <w:rsid w:val="000C1F3D"/>
    <w:rsid w:val="000C22CE"/>
    <w:rsid w:val="000C25EC"/>
    <w:rsid w:val="000C2976"/>
    <w:rsid w:val="000C3012"/>
    <w:rsid w:val="000C3139"/>
    <w:rsid w:val="000C362E"/>
    <w:rsid w:val="000C39D1"/>
    <w:rsid w:val="000C3C8C"/>
    <w:rsid w:val="000C3C95"/>
    <w:rsid w:val="000C3C9D"/>
    <w:rsid w:val="000C3CDB"/>
    <w:rsid w:val="000C3E17"/>
    <w:rsid w:val="000C4254"/>
    <w:rsid w:val="000C4765"/>
    <w:rsid w:val="000C49F9"/>
    <w:rsid w:val="000C4CD2"/>
    <w:rsid w:val="000C4ED3"/>
    <w:rsid w:val="000C4EE1"/>
    <w:rsid w:val="000C5107"/>
    <w:rsid w:val="000C5140"/>
    <w:rsid w:val="000C51D5"/>
    <w:rsid w:val="000C55A7"/>
    <w:rsid w:val="000C5C45"/>
    <w:rsid w:val="000C5DF0"/>
    <w:rsid w:val="000C69FB"/>
    <w:rsid w:val="000C702A"/>
    <w:rsid w:val="000C7335"/>
    <w:rsid w:val="000C7600"/>
    <w:rsid w:val="000C770F"/>
    <w:rsid w:val="000C7711"/>
    <w:rsid w:val="000C79CF"/>
    <w:rsid w:val="000C7AAB"/>
    <w:rsid w:val="000C7DB8"/>
    <w:rsid w:val="000C7EF5"/>
    <w:rsid w:val="000D00A5"/>
    <w:rsid w:val="000D06EF"/>
    <w:rsid w:val="000D0A14"/>
    <w:rsid w:val="000D0BA1"/>
    <w:rsid w:val="000D0FDD"/>
    <w:rsid w:val="000D10E1"/>
    <w:rsid w:val="000D1537"/>
    <w:rsid w:val="000D15EE"/>
    <w:rsid w:val="000D16A2"/>
    <w:rsid w:val="000D1B36"/>
    <w:rsid w:val="000D1BA4"/>
    <w:rsid w:val="000D218A"/>
    <w:rsid w:val="000D22C3"/>
    <w:rsid w:val="000D2438"/>
    <w:rsid w:val="000D2523"/>
    <w:rsid w:val="000D26FF"/>
    <w:rsid w:val="000D294A"/>
    <w:rsid w:val="000D29A8"/>
    <w:rsid w:val="000D2B39"/>
    <w:rsid w:val="000D2D57"/>
    <w:rsid w:val="000D32B1"/>
    <w:rsid w:val="000D3387"/>
    <w:rsid w:val="000D3450"/>
    <w:rsid w:val="000D3989"/>
    <w:rsid w:val="000D3C45"/>
    <w:rsid w:val="000D3CD2"/>
    <w:rsid w:val="000D3D83"/>
    <w:rsid w:val="000D3F9F"/>
    <w:rsid w:val="000D4081"/>
    <w:rsid w:val="000D41F4"/>
    <w:rsid w:val="000D4388"/>
    <w:rsid w:val="000D441E"/>
    <w:rsid w:val="000D4687"/>
    <w:rsid w:val="000D48F2"/>
    <w:rsid w:val="000D4C6E"/>
    <w:rsid w:val="000D4D53"/>
    <w:rsid w:val="000D4FAC"/>
    <w:rsid w:val="000D5285"/>
    <w:rsid w:val="000D53EE"/>
    <w:rsid w:val="000D54AE"/>
    <w:rsid w:val="000D54C7"/>
    <w:rsid w:val="000D55CB"/>
    <w:rsid w:val="000D5762"/>
    <w:rsid w:val="000D5973"/>
    <w:rsid w:val="000D5A8E"/>
    <w:rsid w:val="000D5D2D"/>
    <w:rsid w:val="000D5D82"/>
    <w:rsid w:val="000D5F57"/>
    <w:rsid w:val="000D5FC8"/>
    <w:rsid w:val="000D663D"/>
    <w:rsid w:val="000D68BA"/>
    <w:rsid w:val="000D6D20"/>
    <w:rsid w:val="000D6EEC"/>
    <w:rsid w:val="000D6F8D"/>
    <w:rsid w:val="000D78D2"/>
    <w:rsid w:val="000D7EB6"/>
    <w:rsid w:val="000E031C"/>
    <w:rsid w:val="000E0524"/>
    <w:rsid w:val="000E063A"/>
    <w:rsid w:val="000E0CCE"/>
    <w:rsid w:val="000E0FD0"/>
    <w:rsid w:val="000E1189"/>
    <w:rsid w:val="000E18E0"/>
    <w:rsid w:val="000E1A7C"/>
    <w:rsid w:val="000E1CC3"/>
    <w:rsid w:val="000E1E9F"/>
    <w:rsid w:val="000E20F6"/>
    <w:rsid w:val="000E22DE"/>
    <w:rsid w:val="000E25A6"/>
    <w:rsid w:val="000E2617"/>
    <w:rsid w:val="000E2B60"/>
    <w:rsid w:val="000E2C2B"/>
    <w:rsid w:val="000E2DCD"/>
    <w:rsid w:val="000E2E40"/>
    <w:rsid w:val="000E36B6"/>
    <w:rsid w:val="000E37E6"/>
    <w:rsid w:val="000E3E6E"/>
    <w:rsid w:val="000E4308"/>
    <w:rsid w:val="000E458B"/>
    <w:rsid w:val="000E45D4"/>
    <w:rsid w:val="000E4737"/>
    <w:rsid w:val="000E47AA"/>
    <w:rsid w:val="000E4968"/>
    <w:rsid w:val="000E4B9C"/>
    <w:rsid w:val="000E4BEC"/>
    <w:rsid w:val="000E4F6B"/>
    <w:rsid w:val="000E58DA"/>
    <w:rsid w:val="000E5B6E"/>
    <w:rsid w:val="000E5D0E"/>
    <w:rsid w:val="000E6150"/>
    <w:rsid w:val="000E6328"/>
    <w:rsid w:val="000E65CE"/>
    <w:rsid w:val="000E6638"/>
    <w:rsid w:val="000E669E"/>
    <w:rsid w:val="000E6B95"/>
    <w:rsid w:val="000E6BAB"/>
    <w:rsid w:val="000E6F0B"/>
    <w:rsid w:val="000E6F20"/>
    <w:rsid w:val="000E6F3E"/>
    <w:rsid w:val="000E7058"/>
    <w:rsid w:val="000E72C9"/>
    <w:rsid w:val="000E759A"/>
    <w:rsid w:val="000E77F5"/>
    <w:rsid w:val="000E783F"/>
    <w:rsid w:val="000E7B86"/>
    <w:rsid w:val="000E7BE6"/>
    <w:rsid w:val="000E7F0D"/>
    <w:rsid w:val="000F0084"/>
    <w:rsid w:val="000F01B4"/>
    <w:rsid w:val="000F01FC"/>
    <w:rsid w:val="000F02F0"/>
    <w:rsid w:val="000F038A"/>
    <w:rsid w:val="000F04D2"/>
    <w:rsid w:val="000F07DA"/>
    <w:rsid w:val="000F11A2"/>
    <w:rsid w:val="000F17C6"/>
    <w:rsid w:val="000F1945"/>
    <w:rsid w:val="000F1A34"/>
    <w:rsid w:val="000F1AAC"/>
    <w:rsid w:val="000F1AC8"/>
    <w:rsid w:val="000F1EFD"/>
    <w:rsid w:val="000F1FBB"/>
    <w:rsid w:val="000F2B56"/>
    <w:rsid w:val="000F3004"/>
    <w:rsid w:val="000F3111"/>
    <w:rsid w:val="000F311B"/>
    <w:rsid w:val="000F326A"/>
    <w:rsid w:val="000F335C"/>
    <w:rsid w:val="000F3427"/>
    <w:rsid w:val="000F3476"/>
    <w:rsid w:val="000F36EC"/>
    <w:rsid w:val="000F3B3A"/>
    <w:rsid w:val="000F4019"/>
    <w:rsid w:val="000F408C"/>
    <w:rsid w:val="000F447F"/>
    <w:rsid w:val="000F46A0"/>
    <w:rsid w:val="000F4735"/>
    <w:rsid w:val="000F4852"/>
    <w:rsid w:val="000F4887"/>
    <w:rsid w:val="000F48AF"/>
    <w:rsid w:val="000F4A3D"/>
    <w:rsid w:val="000F4E67"/>
    <w:rsid w:val="000F4F45"/>
    <w:rsid w:val="000F506D"/>
    <w:rsid w:val="000F5329"/>
    <w:rsid w:val="000F539A"/>
    <w:rsid w:val="000F53A4"/>
    <w:rsid w:val="000F5664"/>
    <w:rsid w:val="000F602C"/>
    <w:rsid w:val="000F6257"/>
    <w:rsid w:val="000F6432"/>
    <w:rsid w:val="000F67F4"/>
    <w:rsid w:val="000F68E2"/>
    <w:rsid w:val="000F6980"/>
    <w:rsid w:val="000F6AEE"/>
    <w:rsid w:val="000F6B5C"/>
    <w:rsid w:val="000F6B97"/>
    <w:rsid w:val="000F6F02"/>
    <w:rsid w:val="000F6F33"/>
    <w:rsid w:val="000F778A"/>
    <w:rsid w:val="000F78D0"/>
    <w:rsid w:val="000F7B35"/>
    <w:rsid w:val="000F7C90"/>
    <w:rsid w:val="000F7C9B"/>
    <w:rsid w:val="00100169"/>
    <w:rsid w:val="00100304"/>
    <w:rsid w:val="001006C3"/>
    <w:rsid w:val="00100B46"/>
    <w:rsid w:val="00100E9D"/>
    <w:rsid w:val="00101113"/>
    <w:rsid w:val="001013BA"/>
    <w:rsid w:val="00101A5D"/>
    <w:rsid w:val="00101B21"/>
    <w:rsid w:val="00101F89"/>
    <w:rsid w:val="00101FA4"/>
    <w:rsid w:val="0010220A"/>
    <w:rsid w:val="001023E0"/>
    <w:rsid w:val="0010285D"/>
    <w:rsid w:val="0010362C"/>
    <w:rsid w:val="00103946"/>
    <w:rsid w:val="00103E7D"/>
    <w:rsid w:val="0010467E"/>
    <w:rsid w:val="00104D06"/>
    <w:rsid w:val="00104F1E"/>
    <w:rsid w:val="0010504B"/>
    <w:rsid w:val="001053FC"/>
    <w:rsid w:val="001055E9"/>
    <w:rsid w:val="001056AE"/>
    <w:rsid w:val="00105AB1"/>
    <w:rsid w:val="00105B75"/>
    <w:rsid w:val="00105C0B"/>
    <w:rsid w:val="00105F7C"/>
    <w:rsid w:val="0010619B"/>
    <w:rsid w:val="00106215"/>
    <w:rsid w:val="0010623E"/>
    <w:rsid w:val="001062FE"/>
    <w:rsid w:val="0010640B"/>
    <w:rsid w:val="0010687B"/>
    <w:rsid w:val="001068DC"/>
    <w:rsid w:val="00106903"/>
    <w:rsid w:val="00106993"/>
    <w:rsid w:val="00106ED5"/>
    <w:rsid w:val="00106F1A"/>
    <w:rsid w:val="00106FA2"/>
    <w:rsid w:val="00106FAD"/>
    <w:rsid w:val="0010712C"/>
    <w:rsid w:val="00107648"/>
    <w:rsid w:val="00107954"/>
    <w:rsid w:val="00107A8A"/>
    <w:rsid w:val="00107A8C"/>
    <w:rsid w:val="00107E51"/>
    <w:rsid w:val="00110677"/>
    <w:rsid w:val="00110898"/>
    <w:rsid w:val="001108BA"/>
    <w:rsid w:val="001108F9"/>
    <w:rsid w:val="00110AA8"/>
    <w:rsid w:val="00111262"/>
    <w:rsid w:val="001114E2"/>
    <w:rsid w:val="00111504"/>
    <w:rsid w:val="00111645"/>
    <w:rsid w:val="001116A3"/>
    <w:rsid w:val="00111970"/>
    <w:rsid w:val="00111FEA"/>
    <w:rsid w:val="00112150"/>
    <w:rsid w:val="0011282E"/>
    <w:rsid w:val="00112876"/>
    <w:rsid w:val="00112AE6"/>
    <w:rsid w:val="00112BFB"/>
    <w:rsid w:val="00112E57"/>
    <w:rsid w:val="00112ECB"/>
    <w:rsid w:val="00113230"/>
    <w:rsid w:val="00113315"/>
    <w:rsid w:val="0011358B"/>
    <w:rsid w:val="00113884"/>
    <w:rsid w:val="00113A75"/>
    <w:rsid w:val="00113BF0"/>
    <w:rsid w:val="00113DAE"/>
    <w:rsid w:val="00113ECE"/>
    <w:rsid w:val="0011438D"/>
    <w:rsid w:val="00114504"/>
    <w:rsid w:val="0011451F"/>
    <w:rsid w:val="001148CF"/>
    <w:rsid w:val="00114904"/>
    <w:rsid w:val="00114E02"/>
    <w:rsid w:val="00114F73"/>
    <w:rsid w:val="00115687"/>
    <w:rsid w:val="001159B4"/>
    <w:rsid w:val="00115A6B"/>
    <w:rsid w:val="00115FEF"/>
    <w:rsid w:val="00116361"/>
    <w:rsid w:val="0011656F"/>
    <w:rsid w:val="001165E7"/>
    <w:rsid w:val="001166B9"/>
    <w:rsid w:val="00116970"/>
    <w:rsid w:val="00116CC4"/>
    <w:rsid w:val="00116FCF"/>
    <w:rsid w:val="00117044"/>
    <w:rsid w:val="001175A5"/>
    <w:rsid w:val="0011778A"/>
    <w:rsid w:val="00117825"/>
    <w:rsid w:val="00117D57"/>
    <w:rsid w:val="001206B3"/>
    <w:rsid w:val="0012086F"/>
    <w:rsid w:val="00120890"/>
    <w:rsid w:val="00120A78"/>
    <w:rsid w:val="00120D16"/>
    <w:rsid w:val="00120DB0"/>
    <w:rsid w:val="001211EB"/>
    <w:rsid w:val="0012127E"/>
    <w:rsid w:val="0012170D"/>
    <w:rsid w:val="001218BB"/>
    <w:rsid w:val="00121BED"/>
    <w:rsid w:val="00121FCC"/>
    <w:rsid w:val="0012230B"/>
    <w:rsid w:val="001224F2"/>
    <w:rsid w:val="00122860"/>
    <w:rsid w:val="001228F4"/>
    <w:rsid w:val="00122AF8"/>
    <w:rsid w:val="001234E5"/>
    <w:rsid w:val="001235F5"/>
    <w:rsid w:val="001236A8"/>
    <w:rsid w:val="001236E8"/>
    <w:rsid w:val="00123776"/>
    <w:rsid w:val="00123905"/>
    <w:rsid w:val="00123B4C"/>
    <w:rsid w:val="00123C85"/>
    <w:rsid w:val="00123DC8"/>
    <w:rsid w:val="001244F2"/>
    <w:rsid w:val="00124786"/>
    <w:rsid w:val="001254B0"/>
    <w:rsid w:val="00125703"/>
    <w:rsid w:val="00125C9B"/>
    <w:rsid w:val="00125DC3"/>
    <w:rsid w:val="001260D8"/>
    <w:rsid w:val="00126479"/>
    <w:rsid w:val="00126897"/>
    <w:rsid w:val="001269B4"/>
    <w:rsid w:val="00126E01"/>
    <w:rsid w:val="0012711F"/>
    <w:rsid w:val="00127131"/>
    <w:rsid w:val="00127150"/>
    <w:rsid w:val="00127154"/>
    <w:rsid w:val="001300FB"/>
    <w:rsid w:val="00130386"/>
    <w:rsid w:val="001307C9"/>
    <w:rsid w:val="001308D1"/>
    <w:rsid w:val="001309FB"/>
    <w:rsid w:val="00130AB1"/>
    <w:rsid w:val="00130B7E"/>
    <w:rsid w:val="00130BD0"/>
    <w:rsid w:val="0013100B"/>
    <w:rsid w:val="0013120B"/>
    <w:rsid w:val="0013128D"/>
    <w:rsid w:val="0013134F"/>
    <w:rsid w:val="00131378"/>
    <w:rsid w:val="0013155A"/>
    <w:rsid w:val="0013182B"/>
    <w:rsid w:val="001325F7"/>
    <w:rsid w:val="00132648"/>
    <w:rsid w:val="00132D78"/>
    <w:rsid w:val="0013320B"/>
    <w:rsid w:val="00133315"/>
    <w:rsid w:val="00133543"/>
    <w:rsid w:val="00133789"/>
    <w:rsid w:val="00133A9F"/>
    <w:rsid w:val="00133BA5"/>
    <w:rsid w:val="00133CCB"/>
    <w:rsid w:val="00134037"/>
    <w:rsid w:val="001342D1"/>
    <w:rsid w:val="00134687"/>
    <w:rsid w:val="00134827"/>
    <w:rsid w:val="00134BCF"/>
    <w:rsid w:val="00134CFE"/>
    <w:rsid w:val="00134E4A"/>
    <w:rsid w:val="001350BF"/>
    <w:rsid w:val="00135283"/>
    <w:rsid w:val="00135437"/>
    <w:rsid w:val="00135A79"/>
    <w:rsid w:val="00135B8E"/>
    <w:rsid w:val="00135D38"/>
    <w:rsid w:val="00135D45"/>
    <w:rsid w:val="00135F3C"/>
    <w:rsid w:val="00135FF3"/>
    <w:rsid w:val="00136103"/>
    <w:rsid w:val="0013624F"/>
    <w:rsid w:val="001369EB"/>
    <w:rsid w:val="00136A0E"/>
    <w:rsid w:val="00136F3B"/>
    <w:rsid w:val="001373B1"/>
    <w:rsid w:val="00137604"/>
    <w:rsid w:val="00137611"/>
    <w:rsid w:val="0013791C"/>
    <w:rsid w:val="00137D7D"/>
    <w:rsid w:val="00137DC1"/>
    <w:rsid w:val="00137EC7"/>
    <w:rsid w:val="00140112"/>
    <w:rsid w:val="00140423"/>
    <w:rsid w:val="0014054D"/>
    <w:rsid w:val="00140571"/>
    <w:rsid w:val="00140D03"/>
    <w:rsid w:val="00140D94"/>
    <w:rsid w:val="001410C4"/>
    <w:rsid w:val="001415E5"/>
    <w:rsid w:val="001418E9"/>
    <w:rsid w:val="001418F0"/>
    <w:rsid w:val="001419C8"/>
    <w:rsid w:val="00141CAF"/>
    <w:rsid w:val="00141D8E"/>
    <w:rsid w:val="00141DDB"/>
    <w:rsid w:val="00141DE8"/>
    <w:rsid w:val="00142016"/>
    <w:rsid w:val="0014210B"/>
    <w:rsid w:val="001422C7"/>
    <w:rsid w:val="00142442"/>
    <w:rsid w:val="001425B9"/>
    <w:rsid w:val="001428A2"/>
    <w:rsid w:val="00142979"/>
    <w:rsid w:val="00142EF0"/>
    <w:rsid w:val="00143031"/>
    <w:rsid w:val="00143439"/>
    <w:rsid w:val="0014351C"/>
    <w:rsid w:val="001435CF"/>
    <w:rsid w:val="001437D5"/>
    <w:rsid w:val="0014385E"/>
    <w:rsid w:val="0014390F"/>
    <w:rsid w:val="00143CCC"/>
    <w:rsid w:val="00143E4F"/>
    <w:rsid w:val="001440C3"/>
    <w:rsid w:val="00144145"/>
    <w:rsid w:val="00144366"/>
    <w:rsid w:val="001443ED"/>
    <w:rsid w:val="00144487"/>
    <w:rsid w:val="00144A20"/>
    <w:rsid w:val="00144A8A"/>
    <w:rsid w:val="00144FA5"/>
    <w:rsid w:val="00145320"/>
    <w:rsid w:val="001458FE"/>
    <w:rsid w:val="00145972"/>
    <w:rsid w:val="00145B85"/>
    <w:rsid w:val="00145C21"/>
    <w:rsid w:val="001461D9"/>
    <w:rsid w:val="00146800"/>
    <w:rsid w:val="00146ABE"/>
    <w:rsid w:val="00146BE1"/>
    <w:rsid w:val="00146CAC"/>
    <w:rsid w:val="00146F4F"/>
    <w:rsid w:val="0014720A"/>
    <w:rsid w:val="0014722D"/>
    <w:rsid w:val="001472B8"/>
    <w:rsid w:val="00147433"/>
    <w:rsid w:val="0014776E"/>
    <w:rsid w:val="00147B79"/>
    <w:rsid w:val="00147DC0"/>
    <w:rsid w:val="00147DED"/>
    <w:rsid w:val="00147EE6"/>
    <w:rsid w:val="00150103"/>
    <w:rsid w:val="0015048A"/>
    <w:rsid w:val="001509B2"/>
    <w:rsid w:val="00150E80"/>
    <w:rsid w:val="00150FF7"/>
    <w:rsid w:val="001513E5"/>
    <w:rsid w:val="0015154E"/>
    <w:rsid w:val="00151858"/>
    <w:rsid w:val="00151AF4"/>
    <w:rsid w:val="00151E9E"/>
    <w:rsid w:val="00152088"/>
    <w:rsid w:val="001521B5"/>
    <w:rsid w:val="001525C0"/>
    <w:rsid w:val="00152931"/>
    <w:rsid w:val="00152ED2"/>
    <w:rsid w:val="00153699"/>
    <w:rsid w:val="001536A8"/>
    <w:rsid w:val="0015389F"/>
    <w:rsid w:val="00153A9B"/>
    <w:rsid w:val="00153F79"/>
    <w:rsid w:val="001540AA"/>
    <w:rsid w:val="00154365"/>
    <w:rsid w:val="0015474F"/>
    <w:rsid w:val="001548F4"/>
    <w:rsid w:val="001549DE"/>
    <w:rsid w:val="00154E44"/>
    <w:rsid w:val="00154F5B"/>
    <w:rsid w:val="0015523B"/>
    <w:rsid w:val="00155361"/>
    <w:rsid w:val="00155468"/>
    <w:rsid w:val="00155C1F"/>
    <w:rsid w:val="00156204"/>
    <w:rsid w:val="00156527"/>
    <w:rsid w:val="00156A8F"/>
    <w:rsid w:val="00156B17"/>
    <w:rsid w:val="00156DCE"/>
    <w:rsid w:val="0015726E"/>
    <w:rsid w:val="00157292"/>
    <w:rsid w:val="001575A8"/>
    <w:rsid w:val="001575E6"/>
    <w:rsid w:val="001575F9"/>
    <w:rsid w:val="0015780B"/>
    <w:rsid w:val="0016023A"/>
    <w:rsid w:val="00160290"/>
    <w:rsid w:val="00160625"/>
    <w:rsid w:val="00160ABB"/>
    <w:rsid w:val="00160D5A"/>
    <w:rsid w:val="001612AA"/>
    <w:rsid w:val="0016168B"/>
    <w:rsid w:val="00161812"/>
    <w:rsid w:val="00161998"/>
    <w:rsid w:val="00161B5E"/>
    <w:rsid w:val="00161B9A"/>
    <w:rsid w:val="00161D14"/>
    <w:rsid w:val="001623E0"/>
    <w:rsid w:val="00163D28"/>
    <w:rsid w:val="00163E8A"/>
    <w:rsid w:val="00164034"/>
    <w:rsid w:val="001640AB"/>
    <w:rsid w:val="0016411C"/>
    <w:rsid w:val="00164139"/>
    <w:rsid w:val="001641B0"/>
    <w:rsid w:val="001644BA"/>
    <w:rsid w:val="0016466D"/>
    <w:rsid w:val="001646B6"/>
    <w:rsid w:val="00164704"/>
    <w:rsid w:val="00164790"/>
    <w:rsid w:val="001649B2"/>
    <w:rsid w:val="00164A8C"/>
    <w:rsid w:val="00164FFC"/>
    <w:rsid w:val="001651C2"/>
    <w:rsid w:val="001654B2"/>
    <w:rsid w:val="001654E0"/>
    <w:rsid w:val="00165707"/>
    <w:rsid w:val="0016570C"/>
    <w:rsid w:val="00165798"/>
    <w:rsid w:val="00165969"/>
    <w:rsid w:val="00165E16"/>
    <w:rsid w:val="00166245"/>
    <w:rsid w:val="0016630F"/>
    <w:rsid w:val="00166978"/>
    <w:rsid w:val="00166989"/>
    <w:rsid w:val="00166996"/>
    <w:rsid w:val="00166CCE"/>
    <w:rsid w:val="00167CC2"/>
    <w:rsid w:val="00170449"/>
    <w:rsid w:val="001705DF"/>
    <w:rsid w:val="00170E56"/>
    <w:rsid w:val="0017105D"/>
    <w:rsid w:val="0017182E"/>
    <w:rsid w:val="001718E8"/>
    <w:rsid w:val="00171D76"/>
    <w:rsid w:val="00171FBA"/>
    <w:rsid w:val="00172052"/>
    <w:rsid w:val="001720E0"/>
    <w:rsid w:val="001720E6"/>
    <w:rsid w:val="00172237"/>
    <w:rsid w:val="0017264D"/>
    <w:rsid w:val="00172748"/>
    <w:rsid w:val="0017323E"/>
    <w:rsid w:val="001734F1"/>
    <w:rsid w:val="0017357D"/>
    <w:rsid w:val="001737A4"/>
    <w:rsid w:val="00173A71"/>
    <w:rsid w:val="00173C04"/>
    <w:rsid w:val="00173CD2"/>
    <w:rsid w:val="00173D80"/>
    <w:rsid w:val="00173DF6"/>
    <w:rsid w:val="00173FF7"/>
    <w:rsid w:val="00174102"/>
    <w:rsid w:val="00174848"/>
    <w:rsid w:val="00174B95"/>
    <w:rsid w:val="0017551B"/>
    <w:rsid w:val="0017576D"/>
    <w:rsid w:val="001758DB"/>
    <w:rsid w:val="00175967"/>
    <w:rsid w:val="00175D42"/>
    <w:rsid w:val="00176079"/>
    <w:rsid w:val="001763DE"/>
    <w:rsid w:val="001764CB"/>
    <w:rsid w:val="0017697F"/>
    <w:rsid w:val="00176C8E"/>
    <w:rsid w:val="00176D07"/>
    <w:rsid w:val="00176DC6"/>
    <w:rsid w:val="001771CF"/>
    <w:rsid w:val="0017732A"/>
    <w:rsid w:val="001773B4"/>
    <w:rsid w:val="00177416"/>
    <w:rsid w:val="0017759B"/>
    <w:rsid w:val="00177C47"/>
    <w:rsid w:val="00177E65"/>
    <w:rsid w:val="00177E8A"/>
    <w:rsid w:val="00177F6C"/>
    <w:rsid w:val="00180196"/>
    <w:rsid w:val="001801DE"/>
    <w:rsid w:val="001803F0"/>
    <w:rsid w:val="00180A9A"/>
    <w:rsid w:val="00180CEB"/>
    <w:rsid w:val="00180D22"/>
    <w:rsid w:val="00180DE8"/>
    <w:rsid w:val="00180E52"/>
    <w:rsid w:val="00180ED0"/>
    <w:rsid w:val="001810A8"/>
    <w:rsid w:val="001810D6"/>
    <w:rsid w:val="001812D4"/>
    <w:rsid w:val="0018162B"/>
    <w:rsid w:val="001816AC"/>
    <w:rsid w:val="001818F0"/>
    <w:rsid w:val="00181BFD"/>
    <w:rsid w:val="00181CC5"/>
    <w:rsid w:val="00181E91"/>
    <w:rsid w:val="00181F4B"/>
    <w:rsid w:val="00182202"/>
    <w:rsid w:val="0018259A"/>
    <w:rsid w:val="001828FA"/>
    <w:rsid w:val="00182A1A"/>
    <w:rsid w:val="00182ED3"/>
    <w:rsid w:val="00183139"/>
    <w:rsid w:val="0018323C"/>
    <w:rsid w:val="0018373C"/>
    <w:rsid w:val="00183A87"/>
    <w:rsid w:val="00184661"/>
    <w:rsid w:val="001846E8"/>
    <w:rsid w:val="00184F80"/>
    <w:rsid w:val="00185293"/>
    <w:rsid w:val="001854C7"/>
    <w:rsid w:val="00185802"/>
    <w:rsid w:val="00185AC6"/>
    <w:rsid w:val="00185FD3"/>
    <w:rsid w:val="0018654F"/>
    <w:rsid w:val="001866E7"/>
    <w:rsid w:val="00186CDA"/>
    <w:rsid w:val="0018716D"/>
    <w:rsid w:val="00187239"/>
    <w:rsid w:val="001873FA"/>
    <w:rsid w:val="00187B8F"/>
    <w:rsid w:val="00187FA5"/>
    <w:rsid w:val="00190088"/>
    <w:rsid w:val="00190158"/>
    <w:rsid w:val="00190585"/>
    <w:rsid w:val="00190805"/>
    <w:rsid w:val="00190A25"/>
    <w:rsid w:val="00190ECC"/>
    <w:rsid w:val="00191055"/>
    <w:rsid w:val="0019129F"/>
    <w:rsid w:val="0019141D"/>
    <w:rsid w:val="00191561"/>
    <w:rsid w:val="00191A3F"/>
    <w:rsid w:val="00191DDE"/>
    <w:rsid w:val="001922BA"/>
    <w:rsid w:val="001923F7"/>
    <w:rsid w:val="001924E7"/>
    <w:rsid w:val="001929D6"/>
    <w:rsid w:val="00192C1F"/>
    <w:rsid w:val="0019303F"/>
    <w:rsid w:val="0019316B"/>
    <w:rsid w:val="00193DBE"/>
    <w:rsid w:val="001943BF"/>
    <w:rsid w:val="00194694"/>
    <w:rsid w:val="0019482E"/>
    <w:rsid w:val="00194A7A"/>
    <w:rsid w:val="00194D83"/>
    <w:rsid w:val="00195597"/>
    <w:rsid w:val="00195EB3"/>
    <w:rsid w:val="0019620B"/>
    <w:rsid w:val="00196463"/>
    <w:rsid w:val="00196595"/>
    <w:rsid w:val="00196623"/>
    <w:rsid w:val="00196633"/>
    <w:rsid w:val="00196648"/>
    <w:rsid w:val="00196B63"/>
    <w:rsid w:val="00196BE2"/>
    <w:rsid w:val="00196C5D"/>
    <w:rsid w:val="00196CC1"/>
    <w:rsid w:val="00196F0F"/>
    <w:rsid w:val="0019709E"/>
    <w:rsid w:val="001977AD"/>
    <w:rsid w:val="00197998"/>
    <w:rsid w:val="00197AF1"/>
    <w:rsid w:val="00197C2F"/>
    <w:rsid w:val="00197D1D"/>
    <w:rsid w:val="001A0031"/>
    <w:rsid w:val="001A00D9"/>
    <w:rsid w:val="001A052F"/>
    <w:rsid w:val="001A0607"/>
    <w:rsid w:val="001A0AA7"/>
    <w:rsid w:val="001A0C38"/>
    <w:rsid w:val="001A11BC"/>
    <w:rsid w:val="001A1376"/>
    <w:rsid w:val="001A1BCD"/>
    <w:rsid w:val="001A1C91"/>
    <w:rsid w:val="001A229C"/>
    <w:rsid w:val="001A2B85"/>
    <w:rsid w:val="001A2D89"/>
    <w:rsid w:val="001A2DBA"/>
    <w:rsid w:val="001A3238"/>
    <w:rsid w:val="001A34D8"/>
    <w:rsid w:val="001A350E"/>
    <w:rsid w:val="001A378E"/>
    <w:rsid w:val="001A422F"/>
    <w:rsid w:val="001A42A1"/>
    <w:rsid w:val="001A469A"/>
    <w:rsid w:val="001A4805"/>
    <w:rsid w:val="001A4A60"/>
    <w:rsid w:val="001A4AA4"/>
    <w:rsid w:val="001A4DEA"/>
    <w:rsid w:val="001A4E25"/>
    <w:rsid w:val="001A4FC7"/>
    <w:rsid w:val="001A4FFB"/>
    <w:rsid w:val="001A50CB"/>
    <w:rsid w:val="001A55B2"/>
    <w:rsid w:val="001A57AE"/>
    <w:rsid w:val="001A5A39"/>
    <w:rsid w:val="001A5E78"/>
    <w:rsid w:val="001A60E5"/>
    <w:rsid w:val="001A61F9"/>
    <w:rsid w:val="001A6805"/>
    <w:rsid w:val="001A6850"/>
    <w:rsid w:val="001A69D2"/>
    <w:rsid w:val="001A6A36"/>
    <w:rsid w:val="001A6B01"/>
    <w:rsid w:val="001A6B26"/>
    <w:rsid w:val="001A6D94"/>
    <w:rsid w:val="001A72FC"/>
    <w:rsid w:val="001A7908"/>
    <w:rsid w:val="001A7A45"/>
    <w:rsid w:val="001A7C9A"/>
    <w:rsid w:val="001B02AC"/>
    <w:rsid w:val="001B06FD"/>
    <w:rsid w:val="001B0713"/>
    <w:rsid w:val="001B0AB6"/>
    <w:rsid w:val="001B0C25"/>
    <w:rsid w:val="001B1243"/>
    <w:rsid w:val="001B176B"/>
    <w:rsid w:val="001B1DCD"/>
    <w:rsid w:val="001B2305"/>
    <w:rsid w:val="001B2654"/>
    <w:rsid w:val="001B291B"/>
    <w:rsid w:val="001B293E"/>
    <w:rsid w:val="001B2A24"/>
    <w:rsid w:val="001B2BD0"/>
    <w:rsid w:val="001B2E93"/>
    <w:rsid w:val="001B2F2E"/>
    <w:rsid w:val="001B360D"/>
    <w:rsid w:val="001B365A"/>
    <w:rsid w:val="001B36AF"/>
    <w:rsid w:val="001B3737"/>
    <w:rsid w:val="001B37D5"/>
    <w:rsid w:val="001B3810"/>
    <w:rsid w:val="001B3937"/>
    <w:rsid w:val="001B3981"/>
    <w:rsid w:val="001B3B86"/>
    <w:rsid w:val="001B3C84"/>
    <w:rsid w:val="001B3CA4"/>
    <w:rsid w:val="001B4C53"/>
    <w:rsid w:val="001B4CB8"/>
    <w:rsid w:val="001B4FCC"/>
    <w:rsid w:val="001B4FF5"/>
    <w:rsid w:val="001B515C"/>
    <w:rsid w:val="001B51B3"/>
    <w:rsid w:val="001B524A"/>
    <w:rsid w:val="001B5361"/>
    <w:rsid w:val="001B5545"/>
    <w:rsid w:val="001B5AEB"/>
    <w:rsid w:val="001B5FB9"/>
    <w:rsid w:val="001B614B"/>
    <w:rsid w:val="001B6222"/>
    <w:rsid w:val="001B6785"/>
    <w:rsid w:val="001B68BF"/>
    <w:rsid w:val="001B6C1C"/>
    <w:rsid w:val="001B6D60"/>
    <w:rsid w:val="001B6D83"/>
    <w:rsid w:val="001B6D86"/>
    <w:rsid w:val="001B6F66"/>
    <w:rsid w:val="001B7127"/>
    <w:rsid w:val="001B7393"/>
    <w:rsid w:val="001B74D9"/>
    <w:rsid w:val="001B7576"/>
    <w:rsid w:val="001B7664"/>
    <w:rsid w:val="001B7732"/>
    <w:rsid w:val="001B7792"/>
    <w:rsid w:val="001B7982"/>
    <w:rsid w:val="001B7AC3"/>
    <w:rsid w:val="001B7B0A"/>
    <w:rsid w:val="001B7BA7"/>
    <w:rsid w:val="001B7F55"/>
    <w:rsid w:val="001B7F5B"/>
    <w:rsid w:val="001B7FA7"/>
    <w:rsid w:val="001C0016"/>
    <w:rsid w:val="001C027F"/>
    <w:rsid w:val="001C0355"/>
    <w:rsid w:val="001C069D"/>
    <w:rsid w:val="001C082E"/>
    <w:rsid w:val="001C0AAC"/>
    <w:rsid w:val="001C0B60"/>
    <w:rsid w:val="001C0C31"/>
    <w:rsid w:val="001C0CE3"/>
    <w:rsid w:val="001C108C"/>
    <w:rsid w:val="001C16BA"/>
    <w:rsid w:val="001C1838"/>
    <w:rsid w:val="001C1941"/>
    <w:rsid w:val="001C1AA4"/>
    <w:rsid w:val="001C1AC0"/>
    <w:rsid w:val="001C1FDD"/>
    <w:rsid w:val="001C2025"/>
    <w:rsid w:val="001C2676"/>
    <w:rsid w:val="001C2998"/>
    <w:rsid w:val="001C2B75"/>
    <w:rsid w:val="001C2D5E"/>
    <w:rsid w:val="001C345D"/>
    <w:rsid w:val="001C3610"/>
    <w:rsid w:val="001C36E9"/>
    <w:rsid w:val="001C3837"/>
    <w:rsid w:val="001C3B35"/>
    <w:rsid w:val="001C3B9B"/>
    <w:rsid w:val="001C4160"/>
    <w:rsid w:val="001C41CA"/>
    <w:rsid w:val="001C43BE"/>
    <w:rsid w:val="001C450C"/>
    <w:rsid w:val="001C45A6"/>
    <w:rsid w:val="001C48CC"/>
    <w:rsid w:val="001C4B53"/>
    <w:rsid w:val="001C4DE6"/>
    <w:rsid w:val="001C4F1C"/>
    <w:rsid w:val="001C525A"/>
    <w:rsid w:val="001C5310"/>
    <w:rsid w:val="001C53ED"/>
    <w:rsid w:val="001C56DC"/>
    <w:rsid w:val="001C5831"/>
    <w:rsid w:val="001C5836"/>
    <w:rsid w:val="001C58BA"/>
    <w:rsid w:val="001C59DD"/>
    <w:rsid w:val="001C5AFF"/>
    <w:rsid w:val="001C5D65"/>
    <w:rsid w:val="001C6B3C"/>
    <w:rsid w:val="001C6F0C"/>
    <w:rsid w:val="001C733A"/>
    <w:rsid w:val="001C7687"/>
    <w:rsid w:val="001C7803"/>
    <w:rsid w:val="001C7857"/>
    <w:rsid w:val="001C78B9"/>
    <w:rsid w:val="001C7C0F"/>
    <w:rsid w:val="001C7C7E"/>
    <w:rsid w:val="001D0196"/>
    <w:rsid w:val="001D019D"/>
    <w:rsid w:val="001D0B76"/>
    <w:rsid w:val="001D0DA3"/>
    <w:rsid w:val="001D0F7C"/>
    <w:rsid w:val="001D0FA7"/>
    <w:rsid w:val="001D1666"/>
    <w:rsid w:val="001D1B37"/>
    <w:rsid w:val="001D1BCC"/>
    <w:rsid w:val="001D1BF2"/>
    <w:rsid w:val="001D1BFF"/>
    <w:rsid w:val="001D2162"/>
    <w:rsid w:val="001D22B3"/>
    <w:rsid w:val="001D237A"/>
    <w:rsid w:val="001D2B2D"/>
    <w:rsid w:val="001D2C42"/>
    <w:rsid w:val="001D2DB6"/>
    <w:rsid w:val="001D2E1D"/>
    <w:rsid w:val="001D31D7"/>
    <w:rsid w:val="001D3210"/>
    <w:rsid w:val="001D3225"/>
    <w:rsid w:val="001D361A"/>
    <w:rsid w:val="001D391C"/>
    <w:rsid w:val="001D3E45"/>
    <w:rsid w:val="001D3E54"/>
    <w:rsid w:val="001D44FC"/>
    <w:rsid w:val="001D4759"/>
    <w:rsid w:val="001D4788"/>
    <w:rsid w:val="001D498D"/>
    <w:rsid w:val="001D49AE"/>
    <w:rsid w:val="001D4E68"/>
    <w:rsid w:val="001D523D"/>
    <w:rsid w:val="001D5484"/>
    <w:rsid w:val="001D5602"/>
    <w:rsid w:val="001D591C"/>
    <w:rsid w:val="001D6AB3"/>
    <w:rsid w:val="001D6C95"/>
    <w:rsid w:val="001D7156"/>
    <w:rsid w:val="001D71A7"/>
    <w:rsid w:val="001D747A"/>
    <w:rsid w:val="001D78F5"/>
    <w:rsid w:val="001D7CCE"/>
    <w:rsid w:val="001D7F77"/>
    <w:rsid w:val="001E0016"/>
    <w:rsid w:val="001E0172"/>
    <w:rsid w:val="001E0411"/>
    <w:rsid w:val="001E0456"/>
    <w:rsid w:val="001E04EE"/>
    <w:rsid w:val="001E0990"/>
    <w:rsid w:val="001E0A4C"/>
    <w:rsid w:val="001E0FA1"/>
    <w:rsid w:val="001E164F"/>
    <w:rsid w:val="001E16CD"/>
    <w:rsid w:val="001E175E"/>
    <w:rsid w:val="001E191F"/>
    <w:rsid w:val="001E1A56"/>
    <w:rsid w:val="001E1A97"/>
    <w:rsid w:val="001E1D40"/>
    <w:rsid w:val="001E20BE"/>
    <w:rsid w:val="001E245E"/>
    <w:rsid w:val="001E2778"/>
    <w:rsid w:val="001E3186"/>
    <w:rsid w:val="001E31AF"/>
    <w:rsid w:val="001E32A3"/>
    <w:rsid w:val="001E3531"/>
    <w:rsid w:val="001E356A"/>
    <w:rsid w:val="001E36C1"/>
    <w:rsid w:val="001E3A94"/>
    <w:rsid w:val="001E3E82"/>
    <w:rsid w:val="001E4079"/>
    <w:rsid w:val="001E4323"/>
    <w:rsid w:val="001E432A"/>
    <w:rsid w:val="001E47C4"/>
    <w:rsid w:val="001E48E8"/>
    <w:rsid w:val="001E4E18"/>
    <w:rsid w:val="001E4E82"/>
    <w:rsid w:val="001E5311"/>
    <w:rsid w:val="001E540A"/>
    <w:rsid w:val="001E578E"/>
    <w:rsid w:val="001E5C55"/>
    <w:rsid w:val="001E61D1"/>
    <w:rsid w:val="001E634B"/>
    <w:rsid w:val="001E6605"/>
    <w:rsid w:val="001E66B9"/>
    <w:rsid w:val="001E679A"/>
    <w:rsid w:val="001E6B94"/>
    <w:rsid w:val="001E6FAF"/>
    <w:rsid w:val="001E71F0"/>
    <w:rsid w:val="001E7421"/>
    <w:rsid w:val="001E7976"/>
    <w:rsid w:val="001E79CB"/>
    <w:rsid w:val="001E7CC1"/>
    <w:rsid w:val="001F0082"/>
    <w:rsid w:val="001F0158"/>
    <w:rsid w:val="001F0179"/>
    <w:rsid w:val="001F0E05"/>
    <w:rsid w:val="001F0FDE"/>
    <w:rsid w:val="001F107E"/>
    <w:rsid w:val="001F10EB"/>
    <w:rsid w:val="001F12C6"/>
    <w:rsid w:val="001F1691"/>
    <w:rsid w:val="001F16D2"/>
    <w:rsid w:val="001F1AAA"/>
    <w:rsid w:val="001F1ACC"/>
    <w:rsid w:val="001F1AE3"/>
    <w:rsid w:val="001F238E"/>
    <w:rsid w:val="001F2652"/>
    <w:rsid w:val="001F27D7"/>
    <w:rsid w:val="001F287D"/>
    <w:rsid w:val="001F2C86"/>
    <w:rsid w:val="001F2DF1"/>
    <w:rsid w:val="001F2FB5"/>
    <w:rsid w:val="001F32BA"/>
    <w:rsid w:val="001F33D0"/>
    <w:rsid w:val="001F3484"/>
    <w:rsid w:val="001F34E6"/>
    <w:rsid w:val="001F3665"/>
    <w:rsid w:val="001F3771"/>
    <w:rsid w:val="001F394A"/>
    <w:rsid w:val="001F3AF0"/>
    <w:rsid w:val="001F3BB8"/>
    <w:rsid w:val="001F3BF1"/>
    <w:rsid w:val="001F4166"/>
    <w:rsid w:val="001F425E"/>
    <w:rsid w:val="001F42E6"/>
    <w:rsid w:val="001F42F9"/>
    <w:rsid w:val="001F43C0"/>
    <w:rsid w:val="001F4601"/>
    <w:rsid w:val="001F4997"/>
    <w:rsid w:val="001F4F2D"/>
    <w:rsid w:val="001F5141"/>
    <w:rsid w:val="001F53C6"/>
    <w:rsid w:val="001F53E5"/>
    <w:rsid w:val="001F5587"/>
    <w:rsid w:val="001F5591"/>
    <w:rsid w:val="001F56A0"/>
    <w:rsid w:val="001F58F7"/>
    <w:rsid w:val="001F5ADD"/>
    <w:rsid w:val="001F5CEE"/>
    <w:rsid w:val="001F5D00"/>
    <w:rsid w:val="001F5E7F"/>
    <w:rsid w:val="001F5F63"/>
    <w:rsid w:val="001F615C"/>
    <w:rsid w:val="001F64FA"/>
    <w:rsid w:val="001F6934"/>
    <w:rsid w:val="001F73DB"/>
    <w:rsid w:val="001F7631"/>
    <w:rsid w:val="001F77A3"/>
    <w:rsid w:val="001F7974"/>
    <w:rsid w:val="001F7BE2"/>
    <w:rsid w:val="001F7D18"/>
    <w:rsid w:val="001F7E08"/>
    <w:rsid w:val="00200288"/>
    <w:rsid w:val="002003AB"/>
    <w:rsid w:val="0020043D"/>
    <w:rsid w:val="0020047E"/>
    <w:rsid w:val="00200A2C"/>
    <w:rsid w:val="00200A4A"/>
    <w:rsid w:val="00200BA2"/>
    <w:rsid w:val="00200DF4"/>
    <w:rsid w:val="00200FA4"/>
    <w:rsid w:val="00200FB6"/>
    <w:rsid w:val="00201285"/>
    <w:rsid w:val="00201395"/>
    <w:rsid w:val="00201632"/>
    <w:rsid w:val="002016C7"/>
    <w:rsid w:val="00201750"/>
    <w:rsid w:val="002019D2"/>
    <w:rsid w:val="00201EA6"/>
    <w:rsid w:val="00202569"/>
    <w:rsid w:val="00202A76"/>
    <w:rsid w:val="00202D7A"/>
    <w:rsid w:val="00202EBF"/>
    <w:rsid w:val="00202F90"/>
    <w:rsid w:val="002030D1"/>
    <w:rsid w:val="00203116"/>
    <w:rsid w:val="0020316E"/>
    <w:rsid w:val="002032B1"/>
    <w:rsid w:val="00203334"/>
    <w:rsid w:val="00203364"/>
    <w:rsid w:val="002034C8"/>
    <w:rsid w:val="00203724"/>
    <w:rsid w:val="00203B1B"/>
    <w:rsid w:val="00203B21"/>
    <w:rsid w:val="00203B79"/>
    <w:rsid w:val="00203D0F"/>
    <w:rsid w:val="002040A3"/>
    <w:rsid w:val="0020436A"/>
    <w:rsid w:val="0020439C"/>
    <w:rsid w:val="002044B8"/>
    <w:rsid w:val="002045D8"/>
    <w:rsid w:val="002046C9"/>
    <w:rsid w:val="00204833"/>
    <w:rsid w:val="002048CE"/>
    <w:rsid w:val="002049FA"/>
    <w:rsid w:val="00204ADC"/>
    <w:rsid w:val="00204AE7"/>
    <w:rsid w:val="00204C72"/>
    <w:rsid w:val="00204C84"/>
    <w:rsid w:val="00204F26"/>
    <w:rsid w:val="00204FE5"/>
    <w:rsid w:val="002054FB"/>
    <w:rsid w:val="00205A88"/>
    <w:rsid w:val="00205D4F"/>
    <w:rsid w:val="002062B7"/>
    <w:rsid w:val="00206474"/>
    <w:rsid w:val="00206641"/>
    <w:rsid w:val="00206881"/>
    <w:rsid w:val="002069D1"/>
    <w:rsid w:val="00206A7F"/>
    <w:rsid w:val="00206C38"/>
    <w:rsid w:val="00206F48"/>
    <w:rsid w:val="00207058"/>
    <w:rsid w:val="0020733B"/>
    <w:rsid w:val="00207434"/>
    <w:rsid w:val="00207704"/>
    <w:rsid w:val="00207B1C"/>
    <w:rsid w:val="00207BF1"/>
    <w:rsid w:val="002103C7"/>
    <w:rsid w:val="002105DB"/>
    <w:rsid w:val="00210867"/>
    <w:rsid w:val="00210A45"/>
    <w:rsid w:val="00210D74"/>
    <w:rsid w:val="0021115A"/>
    <w:rsid w:val="0021198F"/>
    <w:rsid w:val="00211AB7"/>
    <w:rsid w:val="00211C6B"/>
    <w:rsid w:val="00211D89"/>
    <w:rsid w:val="00211FF7"/>
    <w:rsid w:val="0021238C"/>
    <w:rsid w:val="002126AF"/>
    <w:rsid w:val="00212703"/>
    <w:rsid w:val="0021281A"/>
    <w:rsid w:val="002129EE"/>
    <w:rsid w:val="00212A7D"/>
    <w:rsid w:val="00212CCB"/>
    <w:rsid w:val="00212DEF"/>
    <w:rsid w:val="00212F69"/>
    <w:rsid w:val="00213346"/>
    <w:rsid w:val="00213586"/>
    <w:rsid w:val="00213A60"/>
    <w:rsid w:val="00213D6D"/>
    <w:rsid w:val="00213D90"/>
    <w:rsid w:val="0021423F"/>
    <w:rsid w:val="002144A6"/>
    <w:rsid w:val="00214531"/>
    <w:rsid w:val="00214690"/>
    <w:rsid w:val="0021479D"/>
    <w:rsid w:val="002149C3"/>
    <w:rsid w:val="00214C27"/>
    <w:rsid w:val="00215027"/>
    <w:rsid w:val="002151B3"/>
    <w:rsid w:val="0021569F"/>
    <w:rsid w:val="002157D2"/>
    <w:rsid w:val="00215C70"/>
    <w:rsid w:val="00215EAF"/>
    <w:rsid w:val="00216013"/>
    <w:rsid w:val="00216588"/>
    <w:rsid w:val="00216A5C"/>
    <w:rsid w:val="00216DD8"/>
    <w:rsid w:val="00216E09"/>
    <w:rsid w:val="0021738D"/>
    <w:rsid w:val="00217554"/>
    <w:rsid w:val="00217A61"/>
    <w:rsid w:val="00217D7F"/>
    <w:rsid w:val="00217EFA"/>
    <w:rsid w:val="002200AF"/>
    <w:rsid w:val="002206BA"/>
    <w:rsid w:val="002208C6"/>
    <w:rsid w:val="00220AE4"/>
    <w:rsid w:val="00220C2E"/>
    <w:rsid w:val="00220C46"/>
    <w:rsid w:val="00220F73"/>
    <w:rsid w:val="00220F79"/>
    <w:rsid w:val="00221052"/>
    <w:rsid w:val="002214EF"/>
    <w:rsid w:val="002215BC"/>
    <w:rsid w:val="002215E4"/>
    <w:rsid w:val="00221E28"/>
    <w:rsid w:val="00221E92"/>
    <w:rsid w:val="00221EDD"/>
    <w:rsid w:val="002221CF"/>
    <w:rsid w:val="002222F5"/>
    <w:rsid w:val="00222621"/>
    <w:rsid w:val="002227A3"/>
    <w:rsid w:val="00222AC4"/>
    <w:rsid w:val="00222FF9"/>
    <w:rsid w:val="0022327E"/>
    <w:rsid w:val="002232C4"/>
    <w:rsid w:val="002235BA"/>
    <w:rsid w:val="0022367D"/>
    <w:rsid w:val="00223864"/>
    <w:rsid w:val="002238AB"/>
    <w:rsid w:val="00223935"/>
    <w:rsid w:val="00223989"/>
    <w:rsid w:val="00223B35"/>
    <w:rsid w:val="00223C39"/>
    <w:rsid w:val="00223E91"/>
    <w:rsid w:val="002242A6"/>
    <w:rsid w:val="00224583"/>
    <w:rsid w:val="002249A8"/>
    <w:rsid w:val="00224A4A"/>
    <w:rsid w:val="0022517A"/>
    <w:rsid w:val="0022523E"/>
    <w:rsid w:val="00225416"/>
    <w:rsid w:val="002254AD"/>
    <w:rsid w:val="00225689"/>
    <w:rsid w:val="00225B1F"/>
    <w:rsid w:val="002267C5"/>
    <w:rsid w:val="0022699C"/>
    <w:rsid w:val="00226BC1"/>
    <w:rsid w:val="00226D3A"/>
    <w:rsid w:val="00226E1F"/>
    <w:rsid w:val="00226E34"/>
    <w:rsid w:val="00226FA5"/>
    <w:rsid w:val="002271F0"/>
    <w:rsid w:val="00227272"/>
    <w:rsid w:val="00227278"/>
    <w:rsid w:val="00227419"/>
    <w:rsid w:val="002274EC"/>
    <w:rsid w:val="00227D96"/>
    <w:rsid w:val="00227FF2"/>
    <w:rsid w:val="00230591"/>
    <w:rsid w:val="0023063D"/>
    <w:rsid w:val="002306C9"/>
    <w:rsid w:val="00230884"/>
    <w:rsid w:val="00230F88"/>
    <w:rsid w:val="002313B6"/>
    <w:rsid w:val="00231C2F"/>
    <w:rsid w:val="00232242"/>
    <w:rsid w:val="00232467"/>
    <w:rsid w:val="00232509"/>
    <w:rsid w:val="00232971"/>
    <w:rsid w:val="00232AF8"/>
    <w:rsid w:val="00232C0A"/>
    <w:rsid w:val="00232D23"/>
    <w:rsid w:val="00233333"/>
    <w:rsid w:val="00233722"/>
    <w:rsid w:val="0023395E"/>
    <w:rsid w:val="00233A2F"/>
    <w:rsid w:val="00233D9C"/>
    <w:rsid w:val="002341BB"/>
    <w:rsid w:val="0023447B"/>
    <w:rsid w:val="002346F0"/>
    <w:rsid w:val="002347F2"/>
    <w:rsid w:val="002348F1"/>
    <w:rsid w:val="00234984"/>
    <w:rsid w:val="00234B3C"/>
    <w:rsid w:val="00234F95"/>
    <w:rsid w:val="0023532C"/>
    <w:rsid w:val="0023574B"/>
    <w:rsid w:val="002358A3"/>
    <w:rsid w:val="0023592C"/>
    <w:rsid w:val="00235E40"/>
    <w:rsid w:val="002362E1"/>
    <w:rsid w:val="002364BF"/>
    <w:rsid w:val="00236585"/>
    <w:rsid w:val="00236AAC"/>
    <w:rsid w:val="0023714B"/>
    <w:rsid w:val="002374C7"/>
    <w:rsid w:val="00237598"/>
    <w:rsid w:val="00237CC0"/>
    <w:rsid w:val="00237CC9"/>
    <w:rsid w:val="00240007"/>
    <w:rsid w:val="00240098"/>
    <w:rsid w:val="0024053D"/>
    <w:rsid w:val="002406AF"/>
    <w:rsid w:val="00240713"/>
    <w:rsid w:val="00240870"/>
    <w:rsid w:val="002412FD"/>
    <w:rsid w:val="00241A19"/>
    <w:rsid w:val="00241F9C"/>
    <w:rsid w:val="0024232E"/>
    <w:rsid w:val="002424E9"/>
    <w:rsid w:val="0024298A"/>
    <w:rsid w:val="00242A33"/>
    <w:rsid w:val="00242D62"/>
    <w:rsid w:val="00242EC8"/>
    <w:rsid w:val="00242F11"/>
    <w:rsid w:val="00243292"/>
    <w:rsid w:val="0024331E"/>
    <w:rsid w:val="0024376A"/>
    <w:rsid w:val="002440F2"/>
    <w:rsid w:val="00244921"/>
    <w:rsid w:val="00245001"/>
    <w:rsid w:val="0024534B"/>
    <w:rsid w:val="002453AB"/>
    <w:rsid w:val="00245850"/>
    <w:rsid w:val="00245C5D"/>
    <w:rsid w:val="00245F73"/>
    <w:rsid w:val="002460E9"/>
    <w:rsid w:val="002461CF"/>
    <w:rsid w:val="0024641F"/>
    <w:rsid w:val="002465AA"/>
    <w:rsid w:val="00246AA4"/>
    <w:rsid w:val="00246BFA"/>
    <w:rsid w:val="00246D2C"/>
    <w:rsid w:val="00246DC8"/>
    <w:rsid w:val="00246FA7"/>
    <w:rsid w:val="0024709E"/>
    <w:rsid w:val="0024792D"/>
    <w:rsid w:val="00247D11"/>
    <w:rsid w:val="00247EC5"/>
    <w:rsid w:val="00250025"/>
    <w:rsid w:val="00250513"/>
    <w:rsid w:val="002505E8"/>
    <w:rsid w:val="0025078A"/>
    <w:rsid w:val="002509A8"/>
    <w:rsid w:val="00250BFE"/>
    <w:rsid w:val="00251330"/>
    <w:rsid w:val="002513D0"/>
    <w:rsid w:val="0025166C"/>
    <w:rsid w:val="00251691"/>
    <w:rsid w:val="00251BC2"/>
    <w:rsid w:val="00252257"/>
    <w:rsid w:val="00252401"/>
    <w:rsid w:val="00252802"/>
    <w:rsid w:val="00252A4E"/>
    <w:rsid w:val="00252BBF"/>
    <w:rsid w:val="00252D70"/>
    <w:rsid w:val="00253074"/>
    <w:rsid w:val="00253330"/>
    <w:rsid w:val="002534C7"/>
    <w:rsid w:val="002535CD"/>
    <w:rsid w:val="00253BCF"/>
    <w:rsid w:val="00253D1A"/>
    <w:rsid w:val="00253DE2"/>
    <w:rsid w:val="00253F04"/>
    <w:rsid w:val="002540F4"/>
    <w:rsid w:val="00254165"/>
    <w:rsid w:val="00254587"/>
    <w:rsid w:val="00254598"/>
    <w:rsid w:val="00254F2A"/>
    <w:rsid w:val="00254FCB"/>
    <w:rsid w:val="002554E7"/>
    <w:rsid w:val="002556AC"/>
    <w:rsid w:val="00255B22"/>
    <w:rsid w:val="00255BD1"/>
    <w:rsid w:val="00255DB5"/>
    <w:rsid w:val="00255DD6"/>
    <w:rsid w:val="00255F81"/>
    <w:rsid w:val="0025601E"/>
    <w:rsid w:val="0025651A"/>
    <w:rsid w:val="002569BB"/>
    <w:rsid w:val="00256C39"/>
    <w:rsid w:val="00256C8F"/>
    <w:rsid w:val="002604A9"/>
    <w:rsid w:val="00260654"/>
    <w:rsid w:val="00260954"/>
    <w:rsid w:val="002609E0"/>
    <w:rsid w:val="00260E83"/>
    <w:rsid w:val="00260EAF"/>
    <w:rsid w:val="0026104C"/>
    <w:rsid w:val="0026124D"/>
    <w:rsid w:val="00261506"/>
    <w:rsid w:val="002616C0"/>
    <w:rsid w:val="0026205E"/>
    <w:rsid w:val="00262359"/>
    <w:rsid w:val="00262792"/>
    <w:rsid w:val="00262A14"/>
    <w:rsid w:val="00262C24"/>
    <w:rsid w:val="00262E6F"/>
    <w:rsid w:val="00263106"/>
    <w:rsid w:val="0026311D"/>
    <w:rsid w:val="002631D2"/>
    <w:rsid w:val="00263286"/>
    <w:rsid w:val="0026379A"/>
    <w:rsid w:val="002639A0"/>
    <w:rsid w:val="00263A4D"/>
    <w:rsid w:val="00263BC9"/>
    <w:rsid w:val="00263CC4"/>
    <w:rsid w:val="00263DBE"/>
    <w:rsid w:val="0026435D"/>
    <w:rsid w:val="00264742"/>
    <w:rsid w:val="00264B98"/>
    <w:rsid w:val="00264DBB"/>
    <w:rsid w:val="00264DD1"/>
    <w:rsid w:val="00264E11"/>
    <w:rsid w:val="00265203"/>
    <w:rsid w:val="002654D8"/>
    <w:rsid w:val="002656D0"/>
    <w:rsid w:val="00265B64"/>
    <w:rsid w:val="00265CBF"/>
    <w:rsid w:val="00265D5D"/>
    <w:rsid w:val="00265F30"/>
    <w:rsid w:val="00265F4A"/>
    <w:rsid w:val="0026628A"/>
    <w:rsid w:val="0026685D"/>
    <w:rsid w:val="002669B2"/>
    <w:rsid w:val="00266BD3"/>
    <w:rsid w:val="00266E87"/>
    <w:rsid w:val="00266FFC"/>
    <w:rsid w:val="00267287"/>
    <w:rsid w:val="0026731D"/>
    <w:rsid w:val="0026751F"/>
    <w:rsid w:val="0026779F"/>
    <w:rsid w:val="002677EF"/>
    <w:rsid w:val="002678C6"/>
    <w:rsid w:val="00267BA9"/>
    <w:rsid w:val="0027018E"/>
    <w:rsid w:val="002706D7"/>
    <w:rsid w:val="00270E51"/>
    <w:rsid w:val="00270FDE"/>
    <w:rsid w:val="002712DD"/>
    <w:rsid w:val="002714B4"/>
    <w:rsid w:val="00271A43"/>
    <w:rsid w:val="00271A6E"/>
    <w:rsid w:val="00271ADD"/>
    <w:rsid w:val="00271B37"/>
    <w:rsid w:val="00272487"/>
    <w:rsid w:val="002724E8"/>
    <w:rsid w:val="0027254B"/>
    <w:rsid w:val="00272817"/>
    <w:rsid w:val="00272833"/>
    <w:rsid w:val="00272979"/>
    <w:rsid w:val="00272CA0"/>
    <w:rsid w:val="00272D53"/>
    <w:rsid w:val="00273377"/>
    <w:rsid w:val="002733D8"/>
    <w:rsid w:val="00273B65"/>
    <w:rsid w:val="00273B6A"/>
    <w:rsid w:val="0027425C"/>
    <w:rsid w:val="00274791"/>
    <w:rsid w:val="00274AE2"/>
    <w:rsid w:val="00274B4F"/>
    <w:rsid w:val="00274F86"/>
    <w:rsid w:val="002753AB"/>
    <w:rsid w:val="00275693"/>
    <w:rsid w:val="002756A6"/>
    <w:rsid w:val="00275899"/>
    <w:rsid w:val="0027589E"/>
    <w:rsid w:val="0027592C"/>
    <w:rsid w:val="00275C0D"/>
    <w:rsid w:val="00275E55"/>
    <w:rsid w:val="00276008"/>
    <w:rsid w:val="00276436"/>
    <w:rsid w:val="00276500"/>
    <w:rsid w:val="002765D0"/>
    <w:rsid w:val="002768B9"/>
    <w:rsid w:val="00276C8E"/>
    <w:rsid w:val="00277381"/>
    <w:rsid w:val="0027739F"/>
    <w:rsid w:val="002776FD"/>
    <w:rsid w:val="002777DD"/>
    <w:rsid w:val="00277A82"/>
    <w:rsid w:val="002802B3"/>
    <w:rsid w:val="002806A0"/>
    <w:rsid w:val="00280EF2"/>
    <w:rsid w:val="00281587"/>
    <w:rsid w:val="0028159F"/>
    <w:rsid w:val="002817B8"/>
    <w:rsid w:val="00281CF9"/>
    <w:rsid w:val="00281D17"/>
    <w:rsid w:val="00281E1B"/>
    <w:rsid w:val="0028211B"/>
    <w:rsid w:val="002821EC"/>
    <w:rsid w:val="002822A6"/>
    <w:rsid w:val="002822D2"/>
    <w:rsid w:val="002823B5"/>
    <w:rsid w:val="00282705"/>
    <w:rsid w:val="0028282E"/>
    <w:rsid w:val="00282BE0"/>
    <w:rsid w:val="00282CF2"/>
    <w:rsid w:val="00282FEB"/>
    <w:rsid w:val="002830A7"/>
    <w:rsid w:val="00283389"/>
    <w:rsid w:val="00283ADA"/>
    <w:rsid w:val="00283BBF"/>
    <w:rsid w:val="00283CAE"/>
    <w:rsid w:val="00283E0F"/>
    <w:rsid w:val="00283E8F"/>
    <w:rsid w:val="00284031"/>
    <w:rsid w:val="00284261"/>
    <w:rsid w:val="00284290"/>
    <w:rsid w:val="0028429F"/>
    <w:rsid w:val="00284312"/>
    <w:rsid w:val="002846C1"/>
    <w:rsid w:val="00284B42"/>
    <w:rsid w:val="00284D1B"/>
    <w:rsid w:val="00284FF4"/>
    <w:rsid w:val="002851C2"/>
    <w:rsid w:val="002851FB"/>
    <w:rsid w:val="002852B4"/>
    <w:rsid w:val="00285761"/>
    <w:rsid w:val="00285EDC"/>
    <w:rsid w:val="00285FE2"/>
    <w:rsid w:val="00286654"/>
    <w:rsid w:val="002866C6"/>
    <w:rsid w:val="002869C9"/>
    <w:rsid w:val="00286AEE"/>
    <w:rsid w:val="00286C0A"/>
    <w:rsid w:val="00286DCF"/>
    <w:rsid w:val="0028722B"/>
    <w:rsid w:val="00287360"/>
    <w:rsid w:val="002878B8"/>
    <w:rsid w:val="00287E74"/>
    <w:rsid w:val="00290438"/>
    <w:rsid w:val="0029092B"/>
    <w:rsid w:val="00290C1B"/>
    <w:rsid w:val="00290F25"/>
    <w:rsid w:val="00291379"/>
    <w:rsid w:val="002914C7"/>
    <w:rsid w:val="002915EA"/>
    <w:rsid w:val="002919A6"/>
    <w:rsid w:val="00292914"/>
    <w:rsid w:val="002929C0"/>
    <w:rsid w:val="00292AA1"/>
    <w:rsid w:val="00292ABF"/>
    <w:rsid w:val="00292B7F"/>
    <w:rsid w:val="00292C6D"/>
    <w:rsid w:val="00292DCF"/>
    <w:rsid w:val="00293027"/>
    <w:rsid w:val="0029310D"/>
    <w:rsid w:val="002932D1"/>
    <w:rsid w:val="00293488"/>
    <w:rsid w:val="002938C6"/>
    <w:rsid w:val="00293964"/>
    <w:rsid w:val="00293E39"/>
    <w:rsid w:val="002941DE"/>
    <w:rsid w:val="002943DF"/>
    <w:rsid w:val="0029450B"/>
    <w:rsid w:val="0029452D"/>
    <w:rsid w:val="00294C04"/>
    <w:rsid w:val="00294DF3"/>
    <w:rsid w:val="002955FC"/>
    <w:rsid w:val="00295A75"/>
    <w:rsid w:val="00295B1E"/>
    <w:rsid w:val="00295B7D"/>
    <w:rsid w:val="00295BA1"/>
    <w:rsid w:val="00295DF9"/>
    <w:rsid w:val="00295F16"/>
    <w:rsid w:val="00295FE2"/>
    <w:rsid w:val="00296083"/>
    <w:rsid w:val="0029638E"/>
    <w:rsid w:val="00296D93"/>
    <w:rsid w:val="00297059"/>
    <w:rsid w:val="002970A7"/>
    <w:rsid w:val="002970B5"/>
    <w:rsid w:val="00297150"/>
    <w:rsid w:val="002972D1"/>
    <w:rsid w:val="00297335"/>
    <w:rsid w:val="00297708"/>
    <w:rsid w:val="00297B17"/>
    <w:rsid w:val="00297CA3"/>
    <w:rsid w:val="00297D0D"/>
    <w:rsid w:val="002A02F6"/>
    <w:rsid w:val="002A04C4"/>
    <w:rsid w:val="002A0901"/>
    <w:rsid w:val="002A0CD8"/>
    <w:rsid w:val="002A0E3D"/>
    <w:rsid w:val="002A0E64"/>
    <w:rsid w:val="002A0F13"/>
    <w:rsid w:val="002A0F48"/>
    <w:rsid w:val="002A1342"/>
    <w:rsid w:val="002A1940"/>
    <w:rsid w:val="002A1CA5"/>
    <w:rsid w:val="002A2912"/>
    <w:rsid w:val="002A2CF1"/>
    <w:rsid w:val="002A2D0B"/>
    <w:rsid w:val="002A2ECC"/>
    <w:rsid w:val="002A31E7"/>
    <w:rsid w:val="002A32A2"/>
    <w:rsid w:val="002A347C"/>
    <w:rsid w:val="002A3503"/>
    <w:rsid w:val="002A35B1"/>
    <w:rsid w:val="002A362D"/>
    <w:rsid w:val="002A367B"/>
    <w:rsid w:val="002A36CE"/>
    <w:rsid w:val="002A3A02"/>
    <w:rsid w:val="002A3A6C"/>
    <w:rsid w:val="002A3B0A"/>
    <w:rsid w:val="002A3BEE"/>
    <w:rsid w:val="002A3E22"/>
    <w:rsid w:val="002A4049"/>
    <w:rsid w:val="002A40DC"/>
    <w:rsid w:val="002A41B2"/>
    <w:rsid w:val="002A4286"/>
    <w:rsid w:val="002A443F"/>
    <w:rsid w:val="002A49F8"/>
    <w:rsid w:val="002A4E30"/>
    <w:rsid w:val="002A4EED"/>
    <w:rsid w:val="002A4F7D"/>
    <w:rsid w:val="002A508E"/>
    <w:rsid w:val="002A533C"/>
    <w:rsid w:val="002A545F"/>
    <w:rsid w:val="002A57A5"/>
    <w:rsid w:val="002A5B0F"/>
    <w:rsid w:val="002A5BDB"/>
    <w:rsid w:val="002A5F02"/>
    <w:rsid w:val="002A6238"/>
    <w:rsid w:val="002A65CD"/>
    <w:rsid w:val="002A67DF"/>
    <w:rsid w:val="002A72DA"/>
    <w:rsid w:val="002A73B9"/>
    <w:rsid w:val="002A755E"/>
    <w:rsid w:val="002A7C16"/>
    <w:rsid w:val="002A7ED8"/>
    <w:rsid w:val="002B0084"/>
    <w:rsid w:val="002B0232"/>
    <w:rsid w:val="002B0295"/>
    <w:rsid w:val="002B057D"/>
    <w:rsid w:val="002B0715"/>
    <w:rsid w:val="002B09A2"/>
    <w:rsid w:val="002B0B0A"/>
    <w:rsid w:val="002B0F32"/>
    <w:rsid w:val="002B10FC"/>
    <w:rsid w:val="002B111A"/>
    <w:rsid w:val="002B12E2"/>
    <w:rsid w:val="002B18DC"/>
    <w:rsid w:val="002B1C7B"/>
    <w:rsid w:val="002B1CD3"/>
    <w:rsid w:val="002B21E9"/>
    <w:rsid w:val="002B220A"/>
    <w:rsid w:val="002B22AC"/>
    <w:rsid w:val="002B24E9"/>
    <w:rsid w:val="002B2B4D"/>
    <w:rsid w:val="002B2DB7"/>
    <w:rsid w:val="002B2E6D"/>
    <w:rsid w:val="002B2EC8"/>
    <w:rsid w:val="002B2FFF"/>
    <w:rsid w:val="002B3177"/>
    <w:rsid w:val="002B31B7"/>
    <w:rsid w:val="002B340F"/>
    <w:rsid w:val="002B3AEE"/>
    <w:rsid w:val="002B3B3B"/>
    <w:rsid w:val="002B3D33"/>
    <w:rsid w:val="002B4271"/>
    <w:rsid w:val="002B44AE"/>
    <w:rsid w:val="002B44FB"/>
    <w:rsid w:val="002B4741"/>
    <w:rsid w:val="002B4810"/>
    <w:rsid w:val="002B4A2D"/>
    <w:rsid w:val="002B4B11"/>
    <w:rsid w:val="002B4C43"/>
    <w:rsid w:val="002B4D63"/>
    <w:rsid w:val="002B4EE8"/>
    <w:rsid w:val="002B4F1E"/>
    <w:rsid w:val="002B518F"/>
    <w:rsid w:val="002B51A6"/>
    <w:rsid w:val="002B5966"/>
    <w:rsid w:val="002B59F6"/>
    <w:rsid w:val="002B5C04"/>
    <w:rsid w:val="002B5D45"/>
    <w:rsid w:val="002B5E16"/>
    <w:rsid w:val="002B614F"/>
    <w:rsid w:val="002B67FA"/>
    <w:rsid w:val="002B69D5"/>
    <w:rsid w:val="002B6BB7"/>
    <w:rsid w:val="002B6F2F"/>
    <w:rsid w:val="002B71C3"/>
    <w:rsid w:val="002B75A3"/>
    <w:rsid w:val="002B75D2"/>
    <w:rsid w:val="002B76BD"/>
    <w:rsid w:val="002B7ABC"/>
    <w:rsid w:val="002B7AD2"/>
    <w:rsid w:val="002B7B70"/>
    <w:rsid w:val="002B7D2F"/>
    <w:rsid w:val="002B7D87"/>
    <w:rsid w:val="002B7F03"/>
    <w:rsid w:val="002B7FF2"/>
    <w:rsid w:val="002C00DE"/>
    <w:rsid w:val="002C024C"/>
    <w:rsid w:val="002C043F"/>
    <w:rsid w:val="002C05A7"/>
    <w:rsid w:val="002C0615"/>
    <w:rsid w:val="002C0623"/>
    <w:rsid w:val="002C0638"/>
    <w:rsid w:val="002C0D03"/>
    <w:rsid w:val="002C0D98"/>
    <w:rsid w:val="002C0E75"/>
    <w:rsid w:val="002C0FAF"/>
    <w:rsid w:val="002C1840"/>
    <w:rsid w:val="002C1D3B"/>
    <w:rsid w:val="002C1F28"/>
    <w:rsid w:val="002C211B"/>
    <w:rsid w:val="002C229D"/>
    <w:rsid w:val="002C2314"/>
    <w:rsid w:val="002C236B"/>
    <w:rsid w:val="002C299A"/>
    <w:rsid w:val="002C2A3F"/>
    <w:rsid w:val="002C30FF"/>
    <w:rsid w:val="002C3175"/>
    <w:rsid w:val="002C3836"/>
    <w:rsid w:val="002C38C4"/>
    <w:rsid w:val="002C3A6A"/>
    <w:rsid w:val="002C3BB3"/>
    <w:rsid w:val="002C41BF"/>
    <w:rsid w:val="002C4283"/>
    <w:rsid w:val="002C4458"/>
    <w:rsid w:val="002C4910"/>
    <w:rsid w:val="002C4971"/>
    <w:rsid w:val="002C4C21"/>
    <w:rsid w:val="002C4CFA"/>
    <w:rsid w:val="002C57A9"/>
    <w:rsid w:val="002C5D35"/>
    <w:rsid w:val="002C651C"/>
    <w:rsid w:val="002C656B"/>
    <w:rsid w:val="002C66AC"/>
    <w:rsid w:val="002C696E"/>
    <w:rsid w:val="002C6B05"/>
    <w:rsid w:val="002C6DB4"/>
    <w:rsid w:val="002C6E60"/>
    <w:rsid w:val="002C6E94"/>
    <w:rsid w:val="002C6F19"/>
    <w:rsid w:val="002C70EF"/>
    <w:rsid w:val="002C71F3"/>
    <w:rsid w:val="002C777D"/>
    <w:rsid w:val="002C77BE"/>
    <w:rsid w:val="002C7845"/>
    <w:rsid w:val="002C7CC5"/>
    <w:rsid w:val="002C7DA6"/>
    <w:rsid w:val="002C7DDB"/>
    <w:rsid w:val="002C7DDD"/>
    <w:rsid w:val="002C7ECE"/>
    <w:rsid w:val="002D0172"/>
    <w:rsid w:val="002D02A8"/>
    <w:rsid w:val="002D092D"/>
    <w:rsid w:val="002D0E78"/>
    <w:rsid w:val="002D144D"/>
    <w:rsid w:val="002D1556"/>
    <w:rsid w:val="002D1BF8"/>
    <w:rsid w:val="002D1BF9"/>
    <w:rsid w:val="002D1CB4"/>
    <w:rsid w:val="002D2113"/>
    <w:rsid w:val="002D227D"/>
    <w:rsid w:val="002D24AC"/>
    <w:rsid w:val="002D24F0"/>
    <w:rsid w:val="002D2B8B"/>
    <w:rsid w:val="002D2F8D"/>
    <w:rsid w:val="002D31E1"/>
    <w:rsid w:val="002D384E"/>
    <w:rsid w:val="002D393A"/>
    <w:rsid w:val="002D3E45"/>
    <w:rsid w:val="002D4492"/>
    <w:rsid w:val="002D4564"/>
    <w:rsid w:val="002D4613"/>
    <w:rsid w:val="002D46C4"/>
    <w:rsid w:val="002D4D1F"/>
    <w:rsid w:val="002D4DD0"/>
    <w:rsid w:val="002D4FD0"/>
    <w:rsid w:val="002D5145"/>
    <w:rsid w:val="002D5275"/>
    <w:rsid w:val="002D53B0"/>
    <w:rsid w:val="002D5496"/>
    <w:rsid w:val="002D5C01"/>
    <w:rsid w:val="002D5C30"/>
    <w:rsid w:val="002D5E38"/>
    <w:rsid w:val="002D69EC"/>
    <w:rsid w:val="002D6B1B"/>
    <w:rsid w:val="002D6C15"/>
    <w:rsid w:val="002D6DFB"/>
    <w:rsid w:val="002D70B3"/>
    <w:rsid w:val="002D7209"/>
    <w:rsid w:val="002D7304"/>
    <w:rsid w:val="002D750D"/>
    <w:rsid w:val="002D75BA"/>
    <w:rsid w:val="002D7803"/>
    <w:rsid w:val="002D7853"/>
    <w:rsid w:val="002D7908"/>
    <w:rsid w:val="002D7C80"/>
    <w:rsid w:val="002D7DA0"/>
    <w:rsid w:val="002D7F1D"/>
    <w:rsid w:val="002E015E"/>
    <w:rsid w:val="002E0184"/>
    <w:rsid w:val="002E043A"/>
    <w:rsid w:val="002E0883"/>
    <w:rsid w:val="002E0930"/>
    <w:rsid w:val="002E0A9F"/>
    <w:rsid w:val="002E0CAB"/>
    <w:rsid w:val="002E0CD8"/>
    <w:rsid w:val="002E1540"/>
    <w:rsid w:val="002E17DF"/>
    <w:rsid w:val="002E1CE1"/>
    <w:rsid w:val="002E228C"/>
    <w:rsid w:val="002E24BD"/>
    <w:rsid w:val="002E2755"/>
    <w:rsid w:val="002E282B"/>
    <w:rsid w:val="002E2849"/>
    <w:rsid w:val="002E2EF0"/>
    <w:rsid w:val="002E3023"/>
    <w:rsid w:val="002E31FF"/>
    <w:rsid w:val="002E36C2"/>
    <w:rsid w:val="002E382F"/>
    <w:rsid w:val="002E3C0F"/>
    <w:rsid w:val="002E3C79"/>
    <w:rsid w:val="002E42CA"/>
    <w:rsid w:val="002E4460"/>
    <w:rsid w:val="002E4472"/>
    <w:rsid w:val="002E44C3"/>
    <w:rsid w:val="002E4553"/>
    <w:rsid w:val="002E45DB"/>
    <w:rsid w:val="002E45E8"/>
    <w:rsid w:val="002E4838"/>
    <w:rsid w:val="002E4A57"/>
    <w:rsid w:val="002E4B59"/>
    <w:rsid w:val="002E4EEF"/>
    <w:rsid w:val="002E5061"/>
    <w:rsid w:val="002E52BE"/>
    <w:rsid w:val="002E52F9"/>
    <w:rsid w:val="002E53D4"/>
    <w:rsid w:val="002E56F4"/>
    <w:rsid w:val="002E5860"/>
    <w:rsid w:val="002E597A"/>
    <w:rsid w:val="002E5CD1"/>
    <w:rsid w:val="002E6832"/>
    <w:rsid w:val="002E6F5D"/>
    <w:rsid w:val="002E7287"/>
    <w:rsid w:val="002E7482"/>
    <w:rsid w:val="002E74E2"/>
    <w:rsid w:val="002E7597"/>
    <w:rsid w:val="002E7612"/>
    <w:rsid w:val="002E7619"/>
    <w:rsid w:val="002E766B"/>
    <w:rsid w:val="002E7B63"/>
    <w:rsid w:val="002E7EF5"/>
    <w:rsid w:val="002E7FF2"/>
    <w:rsid w:val="002F0542"/>
    <w:rsid w:val="002F0586"/>
    <w:rsid w:val="002F09CB"/>
    <w:rsid w:val="002F0C98"/>
    <w:rsid w:val="002F0CB4"/>
    <w:rsid w:val="002F11B0"/>
    <w:rsid w:val="002F1467"/>
    <w:rsid w:val="002F175F"/>
    <w:rsid w:val="002F19C8"/>
    <w:rsid w:val="002F1BC6"/>
    <w:rsid w:val="002F1C1C"/>
    <w:rsid w:val="002F2098"/>
    <w:rsid w:val="002F265F"/>
    <w:rsid w:val="002F28CC"/>
    <w:rsid w:val="002F30E2"/>
    <w:rsid w:val="002F3163"/>
    <w:rsid w:val="002F3AFA"/>
    <w:rsid w:val="002F3D5E"/>
    <w:rsid w:val="002F3EF9"/>
    <w:rsid w:val="002F44AD"/>
    <w:rsid w:val="002F4531"/>
    <w:rsid w:val="002F45E9"/>
    <w:rsid w:val="002F4840"/>
    <w:rsid w:val="002F4B15"/>
    <w:rsid w:val="002F4D28"/>
    <w:rsid w:val="002F4DDB"/>
    <w:rsid w:val="002F5420"/>
    <w:rsid w:val="002F5572"/>
    <w:rsid w:val="002F572F"/>
    <w:rsid w:val="002F5BB6"/>
    <w:rsid w:val="002F5C62"/>
    <w:rsid w:val="002F5DEC"/>
    <w:rsid w:val="002F5E1A"/>
    <w:rsid w:val="002F62B1"/>
    <w:rsid w:val="002F635B"/>
    <w:rsid w:val="002F65EE"/>
    <w:rsid w:val="002F6725"/>
    <w:rsid w:val="002F6B09"/>
    <w:rsid w:val="002F6B59"/>
    <w:rsid w:val="002F7752"/>
    <w:rsid w:val="002F7798"/>
    <w:rsid w:val="002F7BDE"/>
    <w:rsid w:val="00300114"/>
    <w:rsid w:val="0030033D"/>
    <w:rsid w:val="003006E7"/>
    <w:rsid w:val="003008BC"/>
    <w:rsid w:val="00300BB4"/>
    <w:rsid w:val="00300C51"/>
    <w:rsid w:val="00300C83"/>
    <w:rsid w:val="00300FAF"/>
    <w:rsid w:val="003014FE"/>
    <w:rsid w:val="0030177E"/>
    <w:rsid w:val="00301998"/>
    <w:rsid w:val="00301E6B"/>
    <w:rsid w:val="003021A4"/>
    <w:rsid w:val="00302235"/>
    <w:rsid w:val="00302251"/>
    <w:rsid w:val="00302895"/>
    <w:rsid w:val="00302C62"/>
    <w:rsid w:val="00302FA8"/>
    <w:rsid w:val="00302FCA"/>
    <w:rsid w:val="0030301D"/>
    <w:rsid w:val="00303B0A"/>
    <w:rsid w:val="00304128"/>
    <w:rsid w:val="003043D9"/>
    <w:rsid w:val="0030449B"/>
    <w:rsid w:val="00304511"/>
    <w:rsid w:val="00304694"/>
    <w:rsid w:val="003048BD"/>
    <w:rsid w:val="00304E10"/>
    <w:rsid w:val="00304E5C"/>
    <w:rsid w:val="00305479"/>
    <w:rsid w:val="0030561E"/>
    <w:rsid w:val="00305737"/>
    <w:rsid w:val="003063C6"/>
    <w:rsid w:val="003064C3"/>
    <w:rsid w:val="0030650E"/>
    <w:rsid w:val="003065B6"/>
    <w:rsid w:val="003067EB"/>
    <w:rsid w:val="00307025"/>
    <w:rsid w:val="0030711F"/>
    <w:rsid w:val="0030763C"/>
    <w:rsid w:val="0030797A"/>
    <w:rsid w:val="00307B88"/>
    <w:rsid w:val="00307BDD"/>
    <w:rsid w:val="00307F8A"/>
    <w:rsid w:val="00310482"/>
    <w:rsid w:val="00310827"/>
    <w:rsid w:val="00310B53"/>
    <w:rsid w:val="00310BF1"/>
    <w:rsid w:val="00310F3F"/>
    <w:rsid w:val="003110E5"/>
    <w:rsid w:val="003114C3"/>
    <w:rsid w:val="003114CD"/>
    <w:rsid w:val="0031168C"/>
    <w:rsid w:val="0031177D"/>
    <w:rsid w:val="00311C4E"/>
    <w:rsid w:val="00311DA4"/>
    <w:rsid w:val="00311F95"/>
    <w:rsid w:val="00312205"/>
    <w:rsid w:val="00312630"/>
    <w:rsid w:val="003128DA"/>
    <w:rsid w:val="00312A52"/>
    <w:rsid w:val="00312C5F"/>
    <w:rsid w:val="00312DA9"/>
    <w:rsid w:val="00312E2E"/>
    <w:rsid w:val="00313028"/>
    <w:rsid w:val="00313451"/>
    <w:rsid w:val="003137BD"/>
    <w:rsid w:val="003137CD"/>
    <w:rsid w:val="003137D2"/>
    <w:rsid w:val="0031390E"/>
    <w:rsid w:val="00313A58"/>
    <w:rsid w:val="00313AD1"/>
    <w:rsid w:val="00313C8F"/>
    <w:rsid w:val="00313D82"/>
    <w:rsid w:val="00313E87"/>
    <w:rsid w:val="0031420A"/>
    <w:rsid w:val="003145DD"/>
    <w:rsid w:val="003147D5"/>
    <w:rsid w:val="0031486C"/>
    <w:rsid w:val="00314970"/>
    <w:rsid w:val="00314B03"/>
    <w:rsid w:val="00314ED6"/>
    <w:rsid w:val="00315066"/>
    <w:rsid w:val="0031508F"/>
    <w:rsid w:val="00315190"/>
    <w:rsid w:val="00315488"/>
    <w:rsid w:val="00315537"/>
    <w:rsid w:val="0031566C"/>
    <w:rsid w:val="00315712"/>
    <w:rsid w:val="003157D9"/>
    <w:rsid w:val="00315810"/>
    <w:rsid w:val="0031588A"/>
    <w:rsid w:val="00315902"/>
    <w:rsid w:val="00315ACC"/>
    <w:rsid w:val="00315F53"/>
    <w:rsid w:val="003164DC"/>
    <w:rsid w:val="003164E9"/>
    <w:rsid w:val="0031669E"/>
    <w:rsid w:val="003168D5"/>
    <w:rsid w:val="00316C22"/>
    <w:rsid w:val="00316C54"/>
    <w:rsid w:val="00316E08"/>
    <w:rsid w:val="00316F7B"/>
    <w:rsid w:val="003170B9"/>
    <w:rsid w:val="00317367"/>
    <w:rsid w:val="00317428"/>
    <w:rsid w:val="00317E3E"/>
    <w:rsid w:val="00317FBB"/>
    <w:rsid w:val="003201A7"/>
    <w:rsid w:val="00320597"/>
    <w:rsid w:val="003205CD"/>
    <w:rsid w:val="00320716"/>
    <w:rsid w:val="00320CF1"/>
    <w:rsid w:val="0032101F"/>
    <w:rsid w:val="00321231"/>
    <w:rsid w:val="00321373"/>
    <w:rsid w:val="00321624"/>
    <w:rsid w:val="003216B7"/>
    <w:rsid w:val="003217A1"/>
    <w:rsid w:val="00321F60"/>
    <w:rsid w:val="00321F62"/>
    <w:rsid w:val="00321FAB"/>
    <w:rsid w:val="00322280"/>
    <w:rsid w:val="00322671"/>
    <w:rsid w:val="003227D5"/>
    <w:rsid w:val="00322A52"/>
    <w:rsid w:val="00322B5C"/>
    <w:rsid w:val="00322C41"/>
    <w:rsid w:val="00322E4B"/>
    <w:rsid w:val="00322F0D"/>
    <w:rsid w:val="0032312B"/>
    <w:rsid w:val="0032316D"/>
    <w:rsid w:val="0032316E"/>
    <w:rsid w:val="003235F0"/>
    <w:rsid w:val="0032381D"/>
    <w:rsid w:val="00323DFE"/>
    <w:rsid w:val="0032439B"/>
    <w:rsid w:val="0032460B"/>
    <w:rsid w:val="0032480C"/>
    <w:rsid w:val="00324B1B"/>
    <w:rsid w:val="00324BF0"/>
    <w:rsid w:val="00325054"/>
    <w:rsid w:val="00325144"/>
    <w:rsid w:val="003251E2"/>
    <w:rsid w:val="0032543E"/>
    <w:rsid w:val="00325496"/>
    <w:rsid w:val="003254F8"/>
    <w:rsid w:val="003255D4"/>
    <w:rsid w:val="003257E6"/>
    <w:rsid w:val="00325A37"/>
    <w:rsid w:val="003260F8"/>
    <w:rsid w:val="00326ADF"/>
    <w:rsid w:val="00326E41"/>
    <w:rsid w:val="00326EAC"/>
    <w:rsid w:val="003272F6"/>
    <w:rsid w:val="00327416"/>
    <w:rsid w:val="0032743E"/>
    <w:rsid w:val="003279AE"/>
    <w:rsid w:val="00327CEA"/>
    <w:rsid w:val="00327D02"/>
    <w:rsid w:val="0033033C"/>
    <w:rsid w:val="003305B6"/>
    <w:rsid w:val="00330855"/>
    <w:rsid w:val="00330875"/>
    <w:rsid w:val="003309F0"/>
    <w:rsid w:val="00331093"/>
    <w:rsid w:val="00331386"/>
    <w:rsid w:val="003314C2"/>
    <w:rsid w:val="003316FA"/>
    <w:rsid w:val="0033179E"/>
    <w:rsid w:val="00331916"/>
    <w:rsid w:val="00331AB4"/>
    <w:rsid w:val="00331CF6"/>
    <w:rsid w:val="00332256"/>
    <w:rsid w:val="00332425"/>
    <w:rsid w:val="003326B1"/>
    <w:rsid w:val="0033298F"/>
    <w:rsid w:val="00332C10"/>
    <w:rsid w:val="003330BD"/>
    <w:rsid w:val="00333442"/>
    <w:rsid w:val="00333CA8"/>
    <w:rsid w:val="00334038"/>
    <w:rsid w:val="00334040"/>
    <w:rsid w:val="0033412D"/>
    <w:rsid w:val="0033414F"/>
    <w:rsid w:val="003342AE"/>
    <w:rsid w:val="00334329"/>
    <w:rsid w:val="00334552"/>
    <w:rsid w:val="00334662"/>
    <w:rsid w:val="00334D22"/>
    <w:rsid w:val="0033505C"/>
    <w:rsid w:val="00335143"/>
    <w:rsid w:val="0033523C"/>
    <w:rsid w:val="003357E1"/>
    <w:rsid w:val="003359D6"/>
    <w:rsid w:val="00335B4E"/>
    <w:rsid w:val="00335CED"/>
    <w:rsid w:val="00335F18"/>
    <w:rsid w:val="00335FF8"/>
    <w:rsid w:val="0033633D"/>
    <w:rsid w:val="003365EA"/>
    <w:rsid w:val="00336669"/>
    <w:rsid w:val="0033669A"/>
    <w:rsid w:val="003367DD"/>
    <w:rsid w:val="00336D47"/>
    <w:rsid w:val="00336E34"/>
    <w:rsid w:val="00337841"/>
    <w:rsid w:val="00337874"/>
    <w:rsid w:val="003407AE"/>
    <w:rsid w:val="00340943"/>
    <w:rsid w:val="00340E66"/>
    <w:rsid w:val="00341B93"/>
    <w:rsid w:val="00341E1C"/>
    <w:rsid w:val="0034201A"/>
    <w:rsid w:val="0034236B"/>
    <w:rsid w:val="00342578"/>
    <w:rsid w:val="00342C79"/>
    <w:rsid w:val="00342E97"/>
    <w:rsid w:val="0034312C"/>
    <w:rsid w:val="00343263"/>
    <w:rsid w:val="00343346"/>
    <w:rsid w:val="0034377D"/>
    <w:rsid w:val="00343CC8"/>
    <w:rsid w:val="00343E43"/>
    <w:rsid w:val="00343FE6"/>
    <w:rsid w:val="00344074"/>
    <w:rsid w:val="00344146"/>
    <w:rsid w:val="003443B0"/>
    <w:rsid w:val="0034464C"/>
    <w:rsid w:val="003448D7"/>
    <w:rsid w:val="00344994"/>
    <w:rsid w:val="0034499A"/>
    <w:rsid w:val="00344E92"/>
    <w:rsid w:val="00344EF0"/>
    <w:rsid w:val="00345024"/>
    <w:rsid w:val="003450FB"/>
    <w:rsid w:val="0034534A"/>
    <w:rsid w:val="00345526"/>
    <w:rsid w:val="00345700"/>
    <w:rsid w:val="00345BE5"/>
    <w:rsid w:val="00345D90"/>
    <w:rsid w:val="00346295"/>
    <w:rsid w:val="0034673D"/>
    <w:rsid w:val="003467B8"/>
    <w:rsid w:val="00346C33"/>
    <w:rsid w:val="00346C8E"/>
    <w:rsid w:val="00346FAB"/>
    <w:rsid w:val="00347372"/>
    <w:rsid w:val="0035007E"/>
    <w:rsid w:val="0035029F"/>
    <w:rsid w:val="00350305"/>
    <w:rsid w:val="00350657"/>
    <w:rsid w:val="00350799"/>
    <w:rsid w:val="003510B2"/>
    <w:rsid w:val="00351275"/>
    <w:rsid w:val="0035134A"/>
    <w:rsid w:val="00351548"/>
    <w:rsid w:val="003517AE"/>
    <w:rsid w:val="0035213F"/>
    <w:rsid w:val="003521EC"/>
    <w:rsid w:val="003523E7"/>
    <w:rsid w:val="00352443"/>
    <w:rsid w:val="0035244F"/>
    <w:rsid w:val="0035247F"/>
    <w:rsid w:val="00352513"/>
    <w:rsid w:val="00352520"/>
    <w:rsid w:val="00352A54"/>
    <w:rsid w:val="00352CBB"/>
    <w:rsid w:val="0035334A"/>
    <w:rsid w:val="0035367B"/>
    <w:rsid w:val="003537BF"/>
    <w:rsid w:val="003538C9"/>
    <w:rsid w:val="003539ED"/>
    <w:rsid w:val="00353A55"/>
    <w:rsid w:val="00353BA3"/>
    <w:rsid w:val="00354082"/>
    <w:rsid w:val="00354516"/>
    <w:rsid w:val="003547E8"/>
    <w:rsid w:val="00354B8B"/>
    <w:rsid w:val="00354C87"/>
    <w:rsid w:val="00354D6A"/>
    <w:rsid w:val="00354D99"/>
    <w:rsid w:val="00355419"/>
    <w:rsid w:val="00355F1C"/>
    <w:rsid w:val="00356147"/>
    <w:rsid w:val="003566D6"/>
    <w:rsid w:val="003568C8"/>
    <w:rsid w:val="00356EFA"/>
    <w:rsid w:val="00356F69"/>
    <w:rsid w:val="003574B4"/>
    <w:rsid w:val="00357695"/>
    <w:rsid w:val="00357788"/>
    <w:rsid w:val="003577F0"/>
    <w:rsid w:val="003578C9"/>
    <w:rsid w:val="003579D7"/>
    <w:rsid w:val="00357B17"/>
    <w:rsid w:val="00357E70"/>
    <w:rsid w:val="00357F30"/>
    <w:rsid w:val="00357F74"/>
    <w:rsid w:val="00360064"/>
    <w:rsid w:val="0036012F"/>
    <w:rsid w:val="00360132"/>
    <w:rsid w:val="00360556"/>
    <w:rsid w:val="00360C41"/>
    <w:rsid w:val="00360D99"/>
    <w:rsid w:val="00361E39"/>
    <w:rsid w:val="00361F7D"/>
    <w:rsid w:val="00362043"/>
    <w:rsid w:val="003620F7"/>
    <w:rsid w:val="0036222F"/>
    <w:rsid w:val="00362500"/>
    <w:rsid w:val="00362620"/>
    <w:rsid w:val="00362977"/>
    <w:rsid w:val="00362ABD"/>
    <w:rsid w:val="00362CC8"/>
    <w:rsid w:val="003632AF"/>
    <w:rsid w:val="003634FC"/>
    <w:rsid w:val="003636FF"/>
    <w:rsid w:val="00363AE4"/>
    <w:rsid w:val="003649EE"/>
    <w:rsid w:val="00364BC3"/>
    <w:rsid w:val="00364CFC"/>
    <w:rsid w:val="00364DC6"/>
    <w:rsid w:val="00364F0D"/>
    <w:rsid w:val="00364F92"/>
    <w:rsid w:val="00365431"/>
    <w:rsid w:val="00365451"/>
    <w:rsid w:val="003657C0"/>
    <w:rsid w:val="00365A3C"/>
    <w:rsid w:val="00365BA3"/>
    <w:rsid w:val="00365E4B"/>
    <w:rsid w:val="003661C5"/>
    <w:rsid w:val="00366237"/>
    <w:rsid w:val="003666AB"/>
    <w:rsid w:val="003666BB"/>
    <w:rsid w:val="00366940"/>
    <w:rsid w:val="00366B77"/>
    <w:rsid w:val="00367724"/>
    <w:rsid w:val="0036781B"/>
    <w:rsid w:val="00367B0B"/>
    <w:rsid w:val="00367B42"/>
    <w:rsid w:val="00370272"/>
    <w:rsid w:val="00370AB7"/>
    <w:rsid w:val="00370DCF"/>
    <w:rsid w:val="0037112B"/>
    <w:rsid w:val="00371498"/>
    <w:rsid w:val="00371768"/>
    <w:rsid w:val="00371A90"/>
    <w:rsid w:val="003722B1"/>
    <w:rsid w:val="00372CD3"/>
    <w:rsid w:val="00372E9F"/>
    <w:rsid w:val="00373680"/>
    <w:rsid w:val="0037380C"/>
    <w:rsid w:val="00373E48"/>
    <w:rsid w:val="003741C7"/>
    <w:rsid w:val="00374577"/>
    <w:rsid w:val="003745F6"/>
    <w:rsid w:val="00374964"/>
    <w:rsid w:val="00374A38"/>
    <w:rsid w:val="00374EB2"/>
    <w:rsid w:val="003751BB"/>
    <w:rsid w:val="00375290"/>
    <w:rsid w:val="00375407"/>
    <w:rsid w:val="003759E3"/>
    <w:rsid w:val="00375A3D"/>
    <w:rsid w:val="00375B5B"/>
    <w:rsid w:val="00376182"/>
    <w:rsid w:val="00376780"/>
    <w:rsid w:val="00376818"/>
    <w:rsid w:val="00376A04"/>
    <w:rsid w:val="00376AEC"/>
    <w:rsid w:val="00377019"/>
    <w:rsid w:val="00377181"/>
    <w:rsid w:val="0037719C"/>
    <w:rsid w:val="003771C5"/>
    <w:rsid w:val="00377245"/>
    <w:rsid w:val="0037745E"/>
    <w:rsid w:val="00377478"/>
    <w:rsid w:val="003775CA"/>
    <w:rsid w:val="003777A5"/>
    <w:rsid w:val="00380035"/>
    <w:rsid w:val="00380310"/>
    <w:rsid w:val="003806BB"/>
    <w:rsid w:val="00380858"/>
    <w:rsid w:val="003808F4"/>
    <w:rsid w:val="00380AD6"/>
    <w:rsid w:val="00380DB0"/>
    <w:rsid w:val="00381119"/>
    <w:rsid w:val="00381413"/>
    <w:rsid w:val="00381D48"/>
    <w:rsid w:val="003822B8"/>
    <w:rsid w:val="00382348"/>
    <w:rsid w:val="0038288B"/>
    <w:rsid w:val="00382937"/>
    <w:rsid w:val="00382ACD"/>
    <w:rsid w:val="00382C85"/>
    <w:rsid w:val="00382E26"/>
    <w:rsid w:val="00382F99"/>
    <w:rsid w:val="00383027"/>
    <w:rsid w:val="003832C5"/>
    <w:rsid w:val="003833CC"/>
    <w:rsid w:val="00383542"/>
    <w:rsid w:val="003838D9"/>
    <w:rsid w:val="003839A1"/>
    <w:rsid w:val="00383C6C"/>
    <w:rsid w:val="00383D52"/>
    <w:rsid w:val="00384131"/>
    <w:rsid w:val="00384139"/>
    <w:rsid w:val="0038486B"/>
    <w:rsid w:val="00384AA0"/>
    <w:rsid w:val="00384DA3"/>
    <w:rsid w:val="00384DBE"/>
    <w:rsid w:val="00385ABE"/>
    <w:rsid w:val="00385C9D"/>
    <w:rsid w:val="00385E99"/>
    <w:rsid w:val="00386774"/>
    <w:rsid w:val="003867BD"/>
    <w:rsid w:val="003868A8"/>
    <w:rsid w:val="0038694D"/>
    <w:rsid w:val="003870C8"/>
    <w:rsid w:val="00387316"/>
    <w:rsid w:val="00387522"/>
    <w:rsid w:val="0038755E"/>
    <w:rsid w:val="00387706"/>
    <w:rsid w:val="00387871"/>
    <w:rsid w:val="00387948"/>
    <w:rsid w:val="00387AE0"/>
    <w:rsid w:val="00387B45"/>
    <w:rsid w:val="0039008E"/>
    <w:rsid w:val="00390244"/>
    <w:rsid w:val="0039049F"/>
    <w:rsid w:val="00390596"/>
    <w:rsid w:val="003906D8"/>
    <w:rsid w:val="003907CE"/>
    <w:rsid w:val="00390891"/>
    <w:rsid w:val="00391002"/>
    <w:rsid w:val="0039113D"/>
    <w:rsid w:val="00391292"/>
    <w:rsid w:val="00391446"/>
    <w:rsid w:val="0039169C"/>
    <w:rsid w:val="00391ACF"/>
    <w:rsid w:val="00391F7E"/>
    <w:rsid w:val="003923BF"/>
    <w:rsid w:val="00392503"/>
    <w:rsid w:val="003925E9"/>
    <w:rsid w:val="0039273E"/>
    <w:rsid w:val="00392769"/>
    <w:rsid w:val="00392EE0"/>
    <w:rsid w:val="00393070"/>
    <w:rsid w:val="00393259"/>
    <w:rsid w:val="00393291"/>
    <w:rsid w:val="003932FD"/>
    <w:rsid w:val="00393336"/>
    <w:rsid w:val="0039333C"/>
    <w:rsid w:val="00393590"/>
    <w:rsid w:val="00393DB7"/>
    <w:rsid w:val="00394A1F"/>
    <w:rsid w:val="00394C09"/>
    <w:rsid w:val="00394EC0"/>
    <w:rsid w:val="003951C3"/>
    <w:rsid w:val="00395267"/>
    <w:rsid w:val="0039552F"/>
    <w:rsid w:val="00395AB6"/>
    <w:rsid w:val="00395BBA"/>
    <w:rsid w:val="0039619C"/>
    <w:rsid w:val="003966FC"/>
    <w:rsid w:val="00396AAD"/>
    <w:rsid w:val="00396D90"/>
    <w:rsid w:val="00396EB6"/>
    <w:rsid w:val="00396FA0"/>
    <w:rsid w:val="00397365"/>
    <w:rsid w:val="003974DF"/>
    <w:rsid w:val="00397924"/>
    <w:rsid w:val="00397BB0"/>
    <w:rsid w:val="00397E46"/>
    <w:rsid w:val="003A01D7"/>
    <w:rsid w:val="003A044F"/>
    <w:rsid w:val="003A08DD"/>
    <w:rsid w:val="003A0C28"/>
    <w:rsid w:val="003A0F20"/>
    <w:rsid w:val="003A0FC1"/>
    <w:rsid w:val="003A12AB"/>
    <w:rsid w:val="003A131A"/>
    <w:rsid w:val="003A14F2"/>
    <w:rsid w:val="003A1602"/>
    <w:rsid w:val="003A1699"/>
    <w:rsid w:val="003A1851"/>
    <w:rsid w:val="003A1F15"/>
    <w:rsid w:val="003A200D"/>
    <w:rsid w:val="003A2105"/>
    <w:rsid w:val="003A26FA"/>
    <w:rsid w:val="003A286B"/>
    <w:rsid w:val="003A2BFF"/>
    <w:rsid w:val="003A2CD6"/>
    <w:rsid w:val="003A2DEF"/>
    <w:rsid w:val="003A358F"/>
    <w:rsid w:val="003A36D3"/>
    <w:rsid w:val="003A3EDF"/>
    <w:rsid w:val="003A4130"/>
    <w:rsid w:val="003A443D"/>
    <w:rsid w:val="003A48F2"/>
    <w:rsid w:val="003A50B2"/>
    <w:rsid w:val="003A580A"/>
    <w:rsid w:val="003A5994"/>
    <w:rsid w:val="003A5B94"/>
    <w:rsid w:val="003A5C8D"/>
    <w:rsid w:val="003A5CCC"/>
    <w:rsid w:val="003A5D08"/>
    <w:rsid w:val="003A5F18"/>
    <w:rsid w:val="003A6046"/>
    <w:rsid w:val="003A607E"/>
    <w:rsid w:val="003A6189"/>
    <w:rsid w:val="003A6529"/>
    <w:rsid w:val="003A67A0"/>
    <w:rsid w:val="003A7172"/>
    <w:rsid w:val="003A772F"/>
    <w:rsid w:val="003A7C6C"/>
    <w:rsid w:val="003A7CB9"/>
    <w:rsid w:val="003A7CD4"/>
    <w:rsid w:val="003A7CFB"/>
    <w:rsid w:val="003A7D4E"/>
    <w:rsid w:val="003A7F63"/>
    <w:rsid w:val="003A7FDA"/>
    <w:rsid w:val="003B0215"/>
    <w:rsid w:val="003B04C6"/>
    <w:rsid w:val="003B0658"/>
    <w:rsid w:val="003B06B4"/>
    <w:rsid w:val="003B080B"/>
    <w:rsid w:val="003B0E0D"/>
    <w:rsid w:val="003B12A8"/>
    <w:rsid w:val="003B147A"/>
    <w:rsid w:val="003B186C"/>
    <w:rsid w:val="003B18FD"/>
    <w:rsid w:val="003B1AF3"/>
    <w:rsid w:val="003B1B35"/>
    <w:rsid w:val="003B1B7C"/>
    <w:rsid w:val="003B1C58"/>
    <w:rsid w:val="003B1E01"/>
    <w:rsid w:val="003B1E15"/>
    <w:rsid w:val="003B20BA"/>
    <w:rsid w:val="003B2157"/>
    <w:rsid w:val="003B219A"/>
    <w:rsid w:val="003B21DD"/>
    <w:rsid w:val="003B22F6"/>
    <w:rsid w:val="003B246D"/>
    <w:rsid w:val="003B266F"/>
    <w:rsid w:val="003B273E"/>
    <w:rsid w:val="003B2999"/>
    <w:rsid w:val="003B2A02"/>
    <w:rsid w:val="003B2A6A"/>
    <w:rsid w:val="003B2BD8"/>
    <w:rsid w:val="003B2CDE"/>
    <w:rsid w:val="003B2FCC"/>
    <w:rsid w:val="003B37ED"/>
    <w:rsid w:val="003B3920"/>
    <w:rsid w:val="003B3CEE"/>
    <w:rsid w:val="003B5474"/>
    <w:rsid w:val="003B59DC"/>
    <w:rsid w:val="003B5FA9"/>
    <w:rsid w:val="003B5FBA"/>
    <w:rsid w:val="003B67CD"/>
    <w:rsid w:val="003B6B23"/>
    <w:rsid w:val="003B732B"/>
    <w:rsid w:val="003B73A2"/>
    <w:rsid w:val="003B7887"/>
    <w:rsid w:val="003B7A19"/>
    <w:rsid w:val="003B7D5A"/>
    <w:rsid w:val="003B7E57"/>
    <w:rsid w:val="003B7EED"/>
    <w:rsid w:val="003B7FFB"/>
    <w:rsid w:val="003C0032"/>
    <w:rsid w:val="003C0DB4"/>
    <w:rsid w:val="003C0DE3"/>
    <w:rsid w:val="003C0EBE"/>
    <w:rsid w:val="003C1077"/>
    <w:rsid w:val="003C12D5"/>
    <w:rsid w:val="003C168F"/>
    <w:rsid w:val="003C16B7"/>
    <w:rsid w:val="003C1DAD"/>
    <w:rsid w:val="003C1F92"/>
    <w:rsid w:val="003C2186"/>
    <w:rsid w:val="003C25A1"/>
    <w:rsid w:val="003C2A09"/>
    <w:rsid w:val="003C2A9C"/>
    <w:rsid w:val="003C2C81"/>
    <w:rsid w:val="003C3024"/>
    <w:rsid w:val="003C3135"/>
    <w:rsid w:val="003C342D"/>
    <w:rsid w:val="003C36ED"/>
    <w:rsid w:val="003C3743"/>
    <w:rsid w:val="003C3774"/>
    <w:rsid w:val="003C3A94"/>
    <w:rsid w:val="003C3AB1"/>
    <w:rsid w:val="003C3ADD"/>
    <w:rsid w:val="003C3E4F"/>
    <w:rsid w:val="003C3FB4"/>
    <w:rsid w:val="003C46D1"/>
    <w:rsid w:val="003C47D7"/>
    <w:rsid w:val="003C49EC"/>
    <w:rsid w:val="003C4D35"/>
    <w:rsid w:val="003C4FA5"/>
    <w:rsid w:val="003C51C0"/>
    <w:rsid w:val="003C5337"/>
    <w:rsid w:val="003C5406"/>
    <w:rsid w:val="003C548F"/>
    <w:rsid w:val="003C5609"/>
    <w:rsid w:val="003C5AF1"/>
    <w:rsid w:val="003C5E79"/>
    <w:rsid w:val="003C6180"/>
    <w:rsid w:val="003C6393"/>
    <w:rsid w:val="003C6540"/>
    <w:rsid w:val="003C65B4"/>
    <w:rsid w:val="003C6A18"/>
    <w:rsid w:val="003C6D8B"/>
    <w:rsid w:val="003C6FA8"/>
    <w:rsid w:val="003C7125"/>
    <w:rsid w:val="003C7134"/>
    <w:rsid w:val="003C7142"/>
    <w:rsid w:val="003C71FE"/>
    <w:rsid w:val="003C7229"/>
    <w:rsid w:val="003C74C5"/>
    <w:rsid w:val="003C751A"/>
    <w:rsid w:val="003C77C1"/>
    <w:rsid w:val="003C780D"/>
    <w:rsid w:val="003D0312"/>
    <w:rsid w:val="003D044A"/>
    <w:rsid w:val="003D053E"/>
    <w:rsid w:val="003D0779"/>
    <w:rsid w:val="003D08F8"/>
    <w:rsid w:val="003D0F50"/>
    <w:rsid w:val="003D0F9C"/>
    <w:rsid w:val="003D132D"/>
    <w:rsid w:val="003D174A"/>
    <w:rsid w:val="003D175F"/>
    <w:rsid w:val="003D17BB"/>
    <w:rsid w:val="003D17F8"/>
    <w:rsid w:val="003D191D"/>
    <w:rsid w:val="003D1E47"/>
    <w:rsid w:val="003D1FCD"/>
    <w:rsid w:val="003D2A80"/>
    <w:rsid w:val="003D2ACE"/>
    <w:rsid w:val="003D2D30"/>
    <w:rsid w:val="003D2FCB"/>
    <w:rsid w:val="003D3CC6"/>
    <w:rsid w:val="003D3D71"/>
    <w:rsid w:val="003D3DB9"/>
    <w:rsid w:val="003D4357"/>
    <w:rsid w:val="003D4438"/>
    <w:rsid w:val="003D4795"/>
    <w:rsid w:val="003D4FF9"/>
    <w:rsid w:val="003D5055"/>
    <w:rsid w:val="003D538C"/>
    <w:rsid w:val="003D56B1"/>
    <w:rsid w:val="003D57A8"/>
    <w:rsid w:val="003D5BF5"/>
    <w:rsid w:val="003D5D73"/>
    <w:rsid w:val="003D5D9D"/>
    <w:rsid w:val="003D5F09"/>
    <w:rsid w:val="003D5FE4"/>
    <w:rsid w:val="003D60E1"/>
    <w:rsid w:val="003D6399"/>
    <w:rsid w:val="003D63A8"/>
    <w:rsid w:val="003D63DD"/>
    <w:rsid w:val="003D640A"/>
    <w:rsid w:val="003D69F2"/>
    <w:rsid w:val="003D69F8"/>
    <w:rsid w:val="003D6C16"/>
    <w:rsid w:val="003D709E"/>
    <w:rsid w:val="003D7638"/>
    <w:rsid w:val="003D7A1E"/>
    <w:rsid w:val="003D7A5A"/>
    <w:rsid w:val="003D7C50"/>
    <w:rsid w:val="003D7FA2"/>
    <w:rsid w:val="003E009E"/>
    <w:rsid w:val="003E04A0"/>
    <w:rsid w:val="003E0995"/>
    <w:rsid w:val="003E0A95"/>
    <w:rsid w:val="003E0A9F"/>
    <w:rsid w:val="003E0FC1"/>
    <w:rsid w:val="003E0FD6"/>
    <w:rsid w:val="003E103D"/>
    <w:rsid w:val="003E1484"/>
    <w:rsid w:val="003E1A56"/>
    <w:rsid w:val="003E1F4C"/>
    <w:rsid w:val="003E2077"/>
    <w:rsid w:val="003E2221"/>
    <w:rsid w:val="003E275F"/>
    <w:rsid w:val="003E2BF4"/>
    <w:rsid w:val="003E2D02"/>
    <w:rsid w:val="003E2E97"/>
    <w:rsid w:val="003E30CE"/>
    <w:rsid w:val="003E329E"/>
    <w:rsid w:val="003E3322"/>
    <w:rsid w:val="003E34D1"/>
    <w:rsid w:val="003E365A"/>
    <w:rsid w:val="003E394D"/>
    <w:rsid w:val="003E395E"/>
    <w:rsid w:val="003E3B1D"/>
    <w:rsid w:val="003E3B27"/>
    <w:rsid w:val="003E4183"/>
    <w:rsid w:val="003E4496"/>
    <w:rsid w:val="003E4862"/>
    <w:rsid w:val="003E491B"/>
    <w:rsid w:val="003E4D6B"/>
    <w:rsid w:val="003E4DAC"/>
    <w:rsid w:val="003E4DDF"/>
    <w:rsid w:val="003E5088"/>
    <w:rsid w:val="003E51BD"/>
    <w:rsid w:val="003E52B8"/>
    <w:rsid w:val="003E530E"/>
    <w:rsid w:val="003E58E2"/>
    <w:rsid w:val="003E599A"/>
    <w:rsid w:val="003E5A8F"/>
    <w:rsid w:val="003E5F26"/>
    <w:rsid w:val="003E61D1"/>
    <w:rsid w:val="003E61D6"/>
    <w:rsid w:val="003E6635"/>
    <w:rsid w:val="003E686E"/>
    <w:rsid w:val="003E69D4"/>
    <w:rsid w:val="003E6AC0"/>
    <w:rsid w:val="003E6B71"/>
    <w:rsid w:val="003E6F0A"/>
    <w:rsid w:val="003E7460"/>
    <w:rsid w:val="003E7737"/>
    <w:rsid w:val="003E7B2D"/>
    <w:rsid w:val="003F01AF"/>
    <w:rsid w:val="003F0AA5"/>
    <w:rsid w:val="003F0DB0"/>
    <w:rsid w:val="003F0FBF"/>
    <w:rsid w:val="003F10FF"/>
    <w:rsid w:val="003F13E6"/>
    <w:rsid w:val="003F17A3"/>
    <w:rsid w:val="003F194A"/>
    <w:rsid w:val="003F1A38"/>
    <w:rsid w:val="003F1CC4"/>
    <w:rsid w:val="003F1CE0"/>
    <w:rsid w:val="003F205D"/>
    <w:rsid w:val="003F21D1"/>
    <w:rsid w:val="003F2DE0"/>
    <w:rsid w:val="003F2F12"/>
    <w:rsid w:val="003F2F8F"/>
    <w:rsid w:val="003F3170"/>
    <w:rsid w:val="003F31C4"/>
    <w:rsid w:val="003F32B2"/>
    <w:rsid w:val="003F3328"/>
    <w:rsid w:val="003F3787"/>
    <w:rsid w:val="003F3AC2"/>
    <w:rsid w:val="003F4015"/>
    <w:rsid w:val="003F4079"/>
    <w:rsid w:val="003F430F"/>
    <w:rsid w:val="003F43AB"/>
    <w:rsid w:val="003F43E2"/>
    <w:rsid w:val="003F4904"/>
    <w:rsid w:val="003F4909"/>
    <w:rsid w:val="003F4C3B"/>
    <w:rsid w:val="003F4E03"/>
    <w:rsid w:val="003F500F"/>
    <w:rsid w:val="003F5286"/>
    <w:rsid w:val="003F5EE6"/>
    <w:rsid w:val="003F63FE"/>
    <w:rsid w:val="003F64D2"/>
    <w:rsid w:val="003F65C3"/>
    <w:rsid w:val="003F666E"/>
    <w:rsid w:val="003F6688"/>
    <w:rsid w:val="003F66BE"/>
    <w:rsid w:val="003F6D2A"/>
    <w:rsid w:val="003F6F6B"/>
    <w:rsid w:val="003F6FFD"/>
    <w:rsid w:val="003F716C"/>
    <w:rsid w:val="003F719A"/>
    <w:rsid w:val="003F72EC"/>
    <w:rsid w:val="003F73F7"/>
    <w:rsid w:val="003F7431"/>
    <w:rsid w:val="003F746A"/>
    <w:rsid w:val="003F751E"/>
    <w:rsid w:val="003F7AAF"/>
    <w:rsid w:val="003F7C82"/>
    <w:rsid w:val="003F7CEA"/>
    <w:rsid w:val="00400009"/>
    <w:rsid w:val="004003DF"/>
    <w:rsid w:val="00400413"/>
    <w:rsid w:val="0040046D"/>
    <w:rsid w:val="00400C76"/>
    <w:rsid w:val="00400EA4"/>
    <w:rsid w:val="00400ECC"/>
    <w:rsid w:val="00401022"/>
    <w:rsid w:val="004010E1"/>
    <w:rsid w:val="0040118F"/>
    <w:rsid w:val="0040159A"/>
    <w:rsid w:val="00401B7C"/>
    <w:rsid w:val="00401CF0"/>
    <w:rsid w:val="004020EA"/>
    <w:rsid w:val="004022B9"/>
    <w:rsid w:val="004023CE"/>
    <w:rsid w:val="00402595"/>
    <w:rsid w:val="00402670"/>
    <w:rsid w:val="00402B47"/>
    <w:rsid w:val="00402E26"/>
    <w:rsid w:val="00403077"/>
    <w:rsid w:val="00403298"/>
    <w:rsid w:val="004033D4"/>
    <w:rsid w:val="0040375B"/>
    <w:rsid w:val="00403D4E"/>
    <w:rsid w:val="00403D91"/>
    <w:rsid w:val="00403F70"/>
    <w:rsid w:val="00404C72"/>
    <w:rsid w:val="00404E5B"/>
    <w:rsid w:val="00404F2B"/>
    <w:rsid w:val="00404FD3"/>
    <w:rsid w:val="004056A6"/>
    <w:rsid w:val="004059DC"/>
    <w:rsid w:val="00405D27"/>
    <w:rsid w:val="00405DDC"/>
    <w:rsid w:val="004061FD"/>
    <w:rsid w:val="004062D9"/>
    <w:rsid w:val="004063C4"/>
    <w:rsid w:val="0040650F"/>
    <w:rsid w:val="00406BD7"/>
    <w:rsid w:val="00406DF6"/>
    <w:rsid w:val="00406EEF"/>
    <w:rsid w:val="00406F24"/>
    <w:rsid w:val="00406FF7"/>
    <w:rsid w:val="00407060"/>
    <w:rsid w:val="00407094"/>
    <w:rsid w:val="004073F6"/>
    <w:rsid w:val="004077CA"/>
    <w:rsid w:val="00407843"/>
    <w:rsid w:val="004079CD"/>
    <w:rsid w:val="00407A49"/>
    <w:rsid w:val="00407C3F"/>
    <w:rsid w:val="00407FD1"/>
    <w:rsid w:val="00410113"/>
    <w:rsid w:val="0041086A"/>
    <w:rsid w:val="004109CD"/>
    <w:rsid w:val="00410D8B"/>
    <w:rsid w:val="00410DF8"/>
    <w:rsid w:val="00411048"/>
    <w:rsid w:val="00411CE3"/>
    <w:rsid w:val="004120B1"/>
    <w:rsid w:val="00412189"/>
    <w:rsid w:val="0041252D"/>
    <w:rsid w:val="0041281B"/>
    <w:rsid w:val="0041282B"/>
    <w:rsid w:val="0041285E"/>
    <w:rsid w:val="00412BE2"/>
    <w:rsid w:val="00412D59"/>
    <w:rsid w:val="00413172"/>
    <w:rsid w:val="004132A5"/>
    <w:rsid w:val="0041379A"/>
    <w:rsid w:val="004142BA"/>
    <w:rsid w:val="004143C8"/>
    <w:rsid w:val="004143D8"/>
    <w:rsid w:val="00414648"/>
    <w:rsid w:val="0041464B"/>
    <w:rsid w:val="0041468E"/>
    <w:rsid w:val="00414749"/>
    <w:rsid w:val="004149A9"/>
    <w:rsid w:val="00414BB3"/>
    <w:rsid w:val="00414BF5"/>
    <w:rsid w:val="00414E34"/>
    <w:rsid w:val="00415181"/>
    <w:rsid w:val="00415896"/>
    <w:rsid w:val="004159F4"/>
    <w:rsid w:val="00415E1A"/>
    <w:rsid w:val="00415ED7"/>
    <w:rsid w:val="0041614D"/>
    <w:rsid w:val="00416373"/>
    <w:rsid w:val="0041676A"/>
    <w:rsid w:val="00416E7D"/>
    <w:rsid w:val="00416FF4"/>
    <w:rsid w:val="0041711C"/>
    <w:rsid w:val="00417160"/>
    <w:rsid w:val="00417182"/>
    <w:rsid w:val="004172F4"/>
    <w:rsid w:val="0041741A"/>
    <w:rsid w:val="00417741"/>
    <w:rsid w:val="004178C5"/>
    <w:rsid w:val="00417A2C"/>
    <w:rsid w:val="00417D9D"/>
    <w:rsid w:val="00417F82"/>
    <w:rsid w:val="0042048D"/>
    <w:rsid w:val="0042086C"/>
    <w:rsid w:val="004208BC"/>
    <w:rsid w:val="00420EA0"/>
    <w:rsid w:val="00420F12"/>
    <w:rsid w:val="004211A1"/>
    <w:rsid w:val="00421203"/>
    <w:rsid w:val="00421678"/>
    <w:rsid w:val="004218BB"/>
    <w:rsid w:val="0042192D"/>
    <w:rsid w:val="004219C1"/>
    <w:rsid w:val="00421AD6"/>
    <w:rsid w:val="00421E36"/>
    <w:rsid w:val="00421FF3"/>
    <w:rsid w:val="004221F6"/>
    <w:rsid w:val="00422359"/>
    <w:rsid w:val="0042261F"/>
    <w:rsid w:val="00422E46"/>
    <w:rsid w:val="00422ED2"/>
    <w:rsid w:val="00422F5A"/>
    <w:rsid w:val="00423019"/>
    <w:rsid w:val="004231B7"/>
    <w:rsid w:val="004235CB"/>
    <w:rsid w:val="00423823"/>
    <w:rsid w:val="00423A2F"/>
    <w:rsid w:val="00424217"/>
    <w:rsid w:val="004249B7"/>
    <w:rsid w:val="00424A78"/>
    <w:rsid w:val="00424AAD"/>
    <w:rsid w:val="004257FE"/>
    <w:rsid w:val="00425875"/>
    <w:rsid w:val="0042596D"/>
    <w:rsid w:val="00425BA8"/>
    <w:rsid w:val="00425CDD"/>
    <w:rsid w:val="00425D3D"/>
    <w:rsid w:val="00426098"/>
    <w:rsid w:val="004260D5"/>
    <w:rsid w:val="0042652E"/>
    <w:rsid w:val="004268FC"/>
    <w:rsid w:val="00426CDD"/>
    <w:rsid w:val="00426E3B"/>
    <w:rsid w:val="004273CC"/>
    <w:rsid w:val="004274B1"/>
    <w:rsid w:val="00427C37"/>
    <w:rsid w:val="00427DE3"/>
    <w:rsid w:val="00427E88"/>
    <w:rsid w:val="004300A5"/>
    <w:rsid w:val="00430473"/>
    <w:rsid w:val="004310C2"/>
    <w:rsid w:val="004314E3"/>
    <w:rsid w:val="00431618"/>
    <w:rsid w:val="00431EEA"/>
    <w:rsid w:val="00431F57"/>
    <w:rsid w:val="00432113"/>
    <w:rsid w:val="0043222A"/>
    <w:rsid w:val="00432476"/>
    <w:rsid w:val="004325C9"/>
    <w:rsid w:val="004326A1"/>
    <w:rsid w:val="00432700"/>
    <w:rsid w:val="0043280B"/>
    <w:rsid w:val="004328A8"/>
    <w:rsid w:val="00432B7E"/>
    <w:rsid w:val="00432C68"/>
    <w:rsid w:val="00432D79"/>
    <w:rsid w:val="00433200"/>
    <w:rsid w:val="004336A4"/>
    <w:rsid w:val="0043379D"/>
    <w:rsid w:val="00433B8B"/>
    <w:rsid w:val="004342BB"/>
    <w:rsid w:val="0043435D"/>
    <w:rsid w:val="0043471F"/>
    <w:rsid w:val="004347F6"/>
    <w:rsid w:val="0043486E"/>
    <w:rsid w:val="00434BDA"/>
    <w:rsid w:val="00435459"/>
    <w:rsid w:val="00435A1A"/>
    <w:rsid w:val="00435A74"/>
    <w:rsid w:val="004360C2"/>
    <w:rsid w:val="0043670E"/>
    <w:rsid w:val="0043689B"/>
    <w:rsid w:val="00436B05"/>
    <w:rsid w:val="00437363"/>
    <w:rsid w:val="0043741A"/>
    <w:rsid w:val="0043776B"/>
    <w:rsid w:val="0043799C"/>
    <w:rsid w:val="00437A28"/>
    <w:rsid w:val="00437BFF"/>
    <w:rsid w:val="00437C2B"/>
    <w:rsid w:val="00437F4C"/>
    <w:rsid w:val="00437FAA"/>
    <w:rsid w:val="004400E4"/>
    <w:rsid w:val="00440397"/>
    <w:rsid w:val="004404E6"/>
    <w:rsid w:val="00440747"/>
    <w:rsid w:val="00440759"/>
    <w:rsid w:val="004407BA"/>
    <w:rsid w:val="004408CB"/>
    <w:rsid w:val="004409EA"/>
    <w:rsid w:val="00440B3B"/>
    <w:rsid w:val="00440BBC"/>
    <w:rsid w:val="00440CE5"/>
    <w:rsid w:val="00440E99"/>
    <w:rsid w:val="004410D8"/>
    <w:rsid w:val="0044146C"/>
    <w:rsid w:val="004415AE"/>
    <w:rsid w:val="00441787"/>
    <w:rsid w:val="004417A6"/>
    <w:rsid w:val="00441879"/>
    <w:rsid w:val="00441AFD"/>
    <w:rsid w:val="00442217"/>
    <w:rsid w:val="004428A5"/>
    <w:rsid w:val="00442A42"/>
    <w:rsid w:val="00442D76"/>
    <w:rsid w:val="00442F76"/>
    <w:rsid w:val="004432A3"/>
    <w:rsid w:val="004434D2"/>
    <w:rsid w:val="004436DC"/>
    <w:rsid w:val="00443D8C"/>
    <w:rsid w:val="00443DE8"/>
    <w:rsid w:val="00443E61"/>
    <w:rsid w:val="004442E5"/>
    <w:rsid w:val="0044432B"/>
    <w:rsid w:val="004447C3"/>
    <w:rsid w:val="004447FD"/>
    <w:rsid w:val="00444C9C"/>
    <w:rsid w:val="00444C9F"/>
    <w:rsid w:val="0044508C"/>
    <w:rsid w:val="004455D7"/>
    <w:rsid w:val="0044588D"/>
    <w:rsid w:val="00445EAC"/>
    <w:rsid w:val="00445F66"/>
    <w:rsid w:val="00445F92"/>
    <w:rsid w:val="00446420"/>
    <w:rsid w:val="00446487"/>
    <w:rsid w:val="004464C0"/>
    <w:rsid w:val="004464F9"/>
    <w:rsid w:val="00446C67"/>
    <w:rsid w:val="00446E03"/>
    <w:rsid w:val="00446FB8"/>
    <w:rsid w:val="00447051"/>
    <w:rsid w:val="0044730C"/>
    <w:rsid w:val="004474B3"/>
    <w:rsid w:val="004474C6"/>
    <w:rsid w:val="0044763E"/>
    <w:rsid w:val="004479B6"/>
    <w:rsid w:val="00447AA9"/>
    <w:rsid w:val="00447C1F"/>
    <w:rsid w:val="0045035F"/>
    <w:rsid w:val="00450449"/>
    <w:rsid w:val="00450B67"/>
    <w:rsid w:val="00450CB0"/>
    <w:rsid w:val="004512C7"/>
    <w:rsid w:val="004514A1"/>
    <w:rsid w:val="004515E0"/>
    <w:rsid w:val="004519A6"/>
    <w:rsid w:val="00451A11"/>
    <w:rsid w:val="00451CDA"/>
    <w:rsid w:val="00452849"/>
    <w:rsid w:val="004530D9"/>
    <w:rsid w:val="0045318A"/>
    <w:rsid w:val="0045318C"/>
    <w:rsid w:val="004531EA"/>
    <w:rsid w:val="00453520"/>
    <w:rsid w:val="004536E9"/>
    <w:rsid w:val="00453704"/>
    <w:rsid w:val="00453950"/>
    <w:rsid w:val="00453CD5"/>
    <w:rsid w:val="00453D23"/>
    <w:rsid w:val="00453D75"/>
    <w:rsid w:val="00453EF5"/>
    <w:rsid w:val="00453F34"/>
    <w:rsid w:val="00453F39"/>
    <w:rsid w:val="0045424D"/>
    <w:rsid w:val="00454951"/>
    <w:rsid w:val="00454A21"/>
    <w:rsid w:val="00454BA1"/>
    <w:rsid w:val="00454C22"/>
    <w:rsid w:val="00454F87"/>
    <w:rsid w:val="00454FD4"/>
    <w:rsid w:val="00455059"/>
    <w:rsid w:val="00455A8B"/>
    <w:rsid w:val="00455C21"/>
    <w:rsid w:val="00455C2A"/>
    <w:rsid w:val="00455FC3"/>
    <w:rsid w:val="00456169"/>
    <w:rsid w:val="0045703E"/>
    <w:rsid w:val="00457695"/>
    <w:rsid w:val="0045784C"/>
    <w:rsid w:val="0045794B"/>
    <w:rsid w:val="00457A81"/>
    <w:rsid w:val="00457AA1"/>
    <w:rsid w:val="0046009A"/>
    <w:rsid w:val="004603F9"/>
    <w:rsid w:val="004609AD"/>
    <w:rsid w:val="00460AAF"/>
    <w:rsid w:val="00460E3B"/>
    <w:rsid w:val="004616AD"/>
    <w:rsid w:val="00461921"/>
    <w:rsid w:val="0046205E"/>
    <w:rsid w:val="00462417"/>
    <w:rsid w:val="004624BA"/>
    <w:rsid w:val="00462558"/>
    <w:rsid w:val="0046255F"/>
    <w:rsid w:val="004625E1"/>
    <w:rsid w:val="00462657"/>
    <w:rsid w:val="00462A73"/>
    <w:rsid w:val="00462BA7"/>
    <w:rsid w:val="00462F55"/>
    <w:rsid w:val="00464222"/>
    <w:rsid w:val="00464449"/>
    <w:rsid w:val="00464653"/>
    <w:rsid w:val="0046496B"/>
    <w:rsid w:val="004649FA"/>
    <w:rsid w:val="00464EC2"/>
    <w:rsid w:val="004650DB"/>
    <w:rsid w:val="0046512B"/>
    <w:rsid w:val="00465378"/>
    <w:rsid w:val="00465435"/>
    <w:rsid w:val="0046549A"/>
    <w:rsid w:val="0046563E"/>
    <w:rsid w:val="0046564C"/>
    <w:rsid w:val="00465BFA"/>
    <w:rsid w:val="00465C73"/>
    <w:rsid w:val="004666EF"/>
    <w:rsid w:val="00466B37"/>
    <w:rsid w:val="00466C68"/>
    <w:rsid w:val="00466FE5"/>
    <w:rsid w:val="004670D1"/>
    <w:rsid w:val="004670D7"/>
    <w:rsid w:val="004677D1"/>
    <w:rsid w:val="00467CB3"/>
    <w:rsid w:val="00467D79"/>
    <w:rsid w:val="00470104"/>
    <w:rsid w:val="00470172"/>
    <w:rsid w:val="004701AF"/>
    <w:rsid w:val="00470E54"/>
    <w:rsid w:val="00470FBD"/>
    <w:rsid w:val="00471114"/>
    <w:rsid w:val="0047158C"/>
    <w:rsid w:val="00471727"/>
    <w:rsid w:val="00471849"/>
    <w:rsid w:val="00471C12"/>
    <w:rsid w:val="00471EB0"/>
    <w:rsid w:val="00471EE9"/>
    <w:rsid w:val="00471FA2"/>
    <w:rsid w:val="00472224"/>
    <w:rsid w:val="0047232E"/>
    <w:rsid w:val="0047288D"/>
    <w:rsid w:val="004728EF"/>
    <w:rsid w:val="004728F9"/>
    <w:rsid w:val="00472EEE"/>
    <w:rsid w:val="00472FB3"/>
    <w:rsid w:val="0047306D"/>
    <w:rsid w:val="004733DA"/>
    <w:rsid w:val="00473B2B"/>
    <w:rsid w:val="00473BC6"/>
    <w:rsid w:val="00473C37"/>
    <w:rsid w:val="00474072"/>
    <w:rsid w:val="00474131"/>
    <w:rsid w:val="004741E6"/>
    <w:rsid w:val="00474650"/>
    <w:rsid w:val="00474DCF"/>
    <w:rsid w:val="00474E2E"/>
    <w:rsid w:val="00474FE6"/>
    <w:rsid w:val="004752EE"/>
    <w:rsid w:val="004759D3"/>
    <w:rsid w:val="00475AB5"/>
    <w:rsid w:val="004760AE"/>
    <w:rsid w:val="0047614E"/>
    <w:rsid w:val="00476150"/>
    <w:rsid w:val="00476328"/>
    <w:rsid w:val="0047648F"/>
    <w:rsid w:val="00476A47"/>
    <w:rsid w:val="004773D8"/>
    <w:rsid w:val="004775EF"/>
    <w:rsid w:val="004779F1"/>
    <w:rsid w:val="00477BC3"/>
    <w:rsid w:val="004801F0"/>
    <w:rsid w:val="00480243"/>
    <w:rsid w:val="00480628"/>
    <w:rsid w:val="00480897"/>
    <w:rsid w:val="004809B4"/>
    <w:rsid w:val="00480AF8"/>
    <w:rsid w:val="00480D6D"/>
    <w:rsid w:val="00480EB1"/>
    <w:rsid w:val="00480EE3"/>
    <w:rsid w:val="00480FD3"/>
    <w:rsid w:val="00481031"/>
    <w:rsid w:val="004811E1"/>
    <w:rsid w:val="0048126B"/>
    <w:rsid w:val="004813F7"/>
    <w:rsid w:val="00481411"/>
    <w:rsid w:val="00481666"/>
    <w:rsid w:val="004817F0"/>
    <w:rsid w:val="00481BDC"/>
    <w:rsid w:val="00481C3C"/>
    <w:rsid w:val="00481F30"/>
    <w:rsid w:val="00481F64"/>
    <w:rsid w:val="004820CA"/>
    <w:rsid w:val="00482A12"/>
    <w:rsid w:val="00482A59"/>
    <w:rsid w:val="00482D17"/>
    <w:rsid w:val="00482D92"/>
    <w:rsid w:val="004830D7"/>
    <w:rsid w:val="00483140"/>
    <w:rsid w:val="00483744"/>
    <w:rsid w:val="00483774"/>
    <w:rsid w:val="004837B4"/>
    <w:rsid w:val="00483823"/>
    <w:rsid w:val="00483B19"/>
    <w:rsid w:val="00483BBC"/>
    <w:rsid w:val="00483C7F"/>
    <w:rsid w:val="00483E59"/>
    <w:rsid w:val="004840D8"/>
    <w:rsid w:val="0048448A"/>
    <w:rsid w:val="00484738"/>
    <w:rsid w:val="00484A48"/>
    <w:rsid w:val="00484E07"/>
    <w:rsid w:val="00484EAE"/>
    <w:rsid w:val="0048524E"/>
    <w:rsid w:val="004856AD"/>
    <w:rsid w:val="00485843"/>
    <w:rsid w:val="00485D97"/>
    <w:rsid w:val="004860D7"/>
    <w:rsid w:val="004865F7"/>
    <w:rsid w:val="0048663B"/>
    <w:rsid w:val="0048675B"/>
    <w:rsid w:val="00486B88"/>
    <w:rsid w:val="00486D84"/>
    <w:rsid w:val="00486EC4"/>
    <w:rsid w:val="00486F04"/>
    <w:rsid w:val="00487005"/>
    <w:rsid w:val="00487056"/>
    <w:rsid w:val="00487286"/>
    <w:rsid w:val="00487ADD"/>
    <w:rsid w:val="00487B81"/>
    <w:rsid w:val="0049065E"/>
    <w:rsid w:val="004907DD"/>
    <w:rsid w:val="00490847"/>
    <w:rsid w:val="0049092B"/>
    <w:rsid w:val="00490BF9"/>
    <w:rsid w:val="00490E39"/>
    <w:rsid w:val="004912B8"/>
    <w:rsid w:val="0049188E"/>
    <w:rsid w:val="00491C32"/>
    <w:rsid w:val="00491D17"/>
    <w:rsid w:val="00491DA9"/>
    <w:rsid w:val="00492030"/>
    <w:rsid w:val="0049205D"/>
    <w:rsid w:val="004920FD"/>
    <w:rsid w:val="00492A57"/>
    <w:rsid w:val="00492A6E"/>
    <w:rsid w:val="0049336B"/>
    <w:rsid w:val="00493942"/>
    <w:rsid w:val="00493A59"/>
    <w:rsid w:val="00493F54"/>
    <w:rsid w:val="00494284"/>
    <w:rsid w:val="0049429D"/>
    <w:rsid w:val="00494579"/>
    <w:rsid w:val="00494592"/>
    <w:rsid w:val="00494817"/>
    <w:rsid w:val="00494A43"/>
    <w:rsid w:val="0049548F"/>
    <w:rsid w:val="004959E3"/>
    <w:rsid w:val="00495A58"/>
    <w:rsid w:val="004963F2"/>
    <w:rsid w:val="00496456"/>
    <w:rsid w:val="00496539"/>
    <w:rsid w:val="00496669"/>
    <w:rsid w:val="00496734"/>
    <w:rsid w:val="00496C82"/>
    <w:rsid w:val="00496CA2"/>
    <w:rsid w:val="00496D0D"/>
    <w:rsid w:val="004972FF"/>
    <w:rsid w:val="00497648"/>
    <w:rsid w:val="00497A5F"/>
    <w:rsid w:val="00497DDD"/>
    <w:rsid w:val="00497F32"/>
    <w:rsid w:val="004A00D2"/>
    <w:rsid w:val="004A01DD"/>
    <w:rsid w:val="004A0534"/>
    <w:rsid w:val="004A0917"/>
    <w:rsid w:val="004A0C5E"/>
    <w:rsid w:val="004A0D6A"/>
    <w:rsid w:val="004A0F19"/>
    <w:rsid w:val="004A13D5"/>
    <w:rsid w:val="004A187F"/>
    <w:rsid w:val="004A1962"/>
    <w:rsid w:val="004A1C30"/>
    <w:rsid w:val="004A1E72"/>
    <w:rsid w:val="004A1FAB"/>
    <w:rsid w:val="004A2137"/>
    <w:rsid w:val="004A2163"/>
    <w:rsid w:val="004A2295"/>
    <w:rsid w:val="004A24CD"/>
    <w:rsid w:val="004A3081"/>
    <w:rsid w:val="004A30FA"/>
    <w:rsid w:val="004A333A"/>
    <w:rsid w:val="004A378E"/>
    <w:rsid w:val="004A3885"/>
    <w:rsid w:val="004A3ABE"/>
    <w:rsid w:val="004A3AE5"/>
    <w:rsid w:val="004A3B4D"/>
    <w:rsid w:val="004A3DE9"/>
    <w:rsid w:val="004A3F83"/>
    <w:rsid w:val="004A467B"/>
    <w:rsid w:val="004A46A0"/>
    <w:rsid w:val="004A470F"/>
    <w:rsid w:val="004A4719"/>
    <w:rsid w:val="004A472A"/>
    <w:rsid w:val="004A49D4"/>
    <w:rsid w:val="004A4A00"/>
    <w:rsid w:val="004A4E86"/>
    <w:rsid w:val="004A50AF"/>
    <w:rsid w:val="004A57DC"/>
    <w:rsid w:val="004A5E88"/>
    <w:rsid w:val="004A6289"/>
    <w:rsid w:val="004A650F"/>
    <w:rsid w:val="004A669B"/>
    <w:rsid w:val="004A6B02"/>
    <w:rsid w:val="004A6B68"/>
    <w:rsid w:val="004A6CB0"/>
    <w:rsid w:val="004A708D"/>
    <w:rsid w:val="004A71AA"/>
    <w:rsid w:val="004A72D3"/>
    <w:rsid w:val="004A72F8"/>
    <w:rsid w:val="004A738D"/>
    <w:rsid w:val="004A7416"/>
    <w:rsid w:val="004A7683"/>
    <w:rsid w:val="004A76E2"/>
    <w:rsid w:val="004A76E5"/>
    <w:rsid w:val="004A774C"/>
    <w:rsid w:val="004A7ABD"/>
    <w:rsid w:val="004A7ACC"/>
    <w:rsid w:val="004B0061"/>
    <w:rsid w:val="004B05FE"/>
    <w:rsid w:val="004B0B67"/>
    <w:rsid w:val="004B1149"/>
    <w:rsid w:val="004B130B"/>
    <w:rsid w:val="004B1350"/>
    <w:rsid w:val="004B142B"/>
    <w:rsid w:val="004B16DE"/>
    <w:rsid w:val="004B1735"/>
    <w:rsid w:val="004B1BEE"/>
    <w:rsid w:val="004B1CDD"/>
    <w:rsid w:val="004B1D13"/>
    <w:rsid w:val="004B2818"/>
    <w:rsid w:val="004B28B9"/>
    <w:rsid w:val="004B2A30"/>
    <w:rsid w:val="004B2B36"/>
    <w:rsid w:val="004B2B89"/>
    <w:rsid w:val="004B2C33"/>
    <w:rsid w:val="004B2F59"/>
    <w:rsid w:val="004B2FA3"/>
    <w:rsid w:val="004B2FF9"/>
    <w:rsid w:val="004B30DC"/>
    <w:rsid w:val="004B36EE"/>
    <w:rsid w:val="004B382D"/>
    <w:rsid w:val="004B4211"/>
    <w:rsid w:val="004B435E"/>
    <w:rsid w:val="004B46CC"/>
    <w:rsid w:val="004B4BC2"/>
    <w:rsid w:val="004B4BDA"/>
    <w:rsid w:val="004B4EB2"/>
    <w:rsid w:val="004B4F3D"/>
    <w:rsid w:val="004B4FAB"/>
    <w:rsid w:val="004B5304"/>
    <w:rsid w:val="004B59DB"/>
    <w:rsid w:val="004B5AC9"/>
    <w:rsid w:val="004B5B08"/>
    <w:rsid w:val="004B5B4C"/>
    <w:rsid w:val="004B5B9D"/>
    <w:rsid w:val="004B5DB2"/>
    <w:rsid w:val="004B5E68"/>
    <w:rsid w:val="004B64A3"/>
    <w:rsid w:val="004B6534"/>
    <w:rsid w:val="004B65AD"/>
    <w:rsid w:val="004B65C2"/>
    <w:rsid w:val="004B6807"/>
    <w:rsid w:val="004B68DC"/>
    <w:rsid w:val="004B6BEC"/>
    <w:rsid w:val="004B6D41"/>
    <w:rsid w:val="004B6E28"/>
    <w:rsid w:val="004B7153"/>
    <w:rsid w:val="004B785B"/>
    <w:rsid w:val="004C0046"/>
    <w:rsid w:val="004C0152"/>
    <w:rsid w:val="004C054E"/>
    <w:rsid w:val="004C055E"/>
    <w:rsid w:val="004C06CB"/>
    <w:rsid w:val="004C09D8"/>
    <w:rsid w:val="004C0E42"/>
    <w:rsid w:val="004C12A3"/>
    <w:rsid w:val="004C139E"/>
    <w:rsid w:val="004C14A3"/>
    <w:rsid w:val="004C1561"/>
    <w:rsid w:val="004C17D5"/>
    <w:rsid w:val="004C1F3B"/>
    <w:rsid w:val="004C23D6"/>
    <w:rsid w:val="004C2665"/>
    <w:rsid w:val="004C26DE"/>
    <w:rsid w:val="004C30E0"/>
    <w:rsid w:val="004C35FC"/>
    <w:rsid w:val="004C361C"/>
    <w:rsid w:val="004C3D16"/>
    <w:rsid w:val="004C3F74"/>
    <w:rsid w:val="004C4049"/>
    <w:rsid w:val="004C4080"/>
    <w:rsid w:val="004C42E6"/>
    <w:rsid w:val="004C43A0"/>
    <w:rsid w:val="004C48EC"/>
    <w:rsid w:val="004C4EDD"/>
    <w:rsid w:val="004C4F0A"/>
    <w:rsid w:val="004C50DC"/>
    <w:rsid w:val="004C5686"/>
    <w:rsid w:val="004C56BA"/>
    <w:rsid w:val="004C5C43"/>
    <w:rsid w:val="004C5C6C"/>
    <w:rsid w:val="004C5D8F"/>
    <w:rsid w:val="004C618C"/>
    <w:rsid w:val="004C62B1"/>
    <w:rsid w:val="004C6EA3"/>
    <w:rsid w:val="004C6F25"/>
    <w:rsid w:val="004C7293"/>
    <w:rsid w:val="004C72D7"/>
    <w:rsid w:val="004C785E"/>
    <w:rsid w:val="004C794C"/>
    <w:rsid w:val="004C7EE7"/>
    <w:rsid w:val="004D0266"/>
    <w:rsid w:val="004D0637"/>
    <w:rsid w:val="004D075F"/>
    <w:rsid w:val="004D0785"/>
    <w:rsid w:val="004D0830"/>
    <w:rsid w:val="004D10B7"/>
    <w:rsid w:val="004D11B8"/>
    <w:rsid w:val="004D1449"/>
    <w:rsid w:val="004D1589"/>
    <w:rsid w:val="004D1627"/>
    <w:rsid w:val="004D162B"/>
    <w:rsid w:val="004D1A0F"/>
    <w:rsid w:val="004D1B69"/>
    <w:rsid w:val="004D1EF5"/>
    <w:rsid w:val="004D21EE"/>
    <w:rsid w:val="004D2534"/>
    <w:rsid w:val="004D2892"/>
    <w:rsid w:val="004D2E73"/>
    <w:rsid w:val="004D3241"/>
    <w:rsid w:val="004D36F1"/>
    <w:rsid w:val="004D372F"/>
    <w:rsid w:val="004D37AD"/>
    <w:rsid w:val="004D37D3"/>
    <w:rsid w:val="004D397C"/>
    <w:rsid w:val="004D3EC7"/>
    <w:rsid w:val="004D3FB9"/>
    <w:rsid w:val="004D4041"/>
    <w:rsid w:val="004D4077"/>
    <w:rsid w:val="004D4761"/>
    <w:rsid w:val="004D4993"/>
    <w:rsid w:val="004D49AF"/>
    <w:rsid w:val="004D4A42"/>
    <w:rsid w:val="004D4E1D"/>
    <w:rsid w:val="004D53BB"/>
    <w:rsid w:val="004D54F2"/>
    <w:rsid w:val="004D575A"/>
    <w:rsid w:val="004D5E1F"/>
    <w:rsid w:val="004D5E7C"/>
    <w:rsid w:val="004D69AB"/>
    <w:rsid w:val="004D6BBF"/>
    <w:rsid w:val="004D6BFB"/>
    <w:rsid w:val="004D6DCF"/>
    <w:rsid w:val="004D7463"/>
    <w:rsid w:val="004D768E"/>
    <w:rsid w:val="004D788F"/>
    <w:rsid w:val="004D7957"/>
    <w:rsid w:val="004D7F90"/>
    <w:rsid w:val="004E018C"/>
    <w:rsid w:val="004E02E5"/>
    <w:rsid w:val="004E02F9"/>
    <w:rsid w:val="004E06CB"/>
    <w:rsid w:val="004E0D2C"/>
    <w:rsid w:val="004E12C3"/>
    <w:rsid w:val="004E1A92"/>
    <w:rsid w:val="004E1F65"/>
    <w:rsid w:val="004E1F8A"/>
    <w:rsid w:val="004E20C6"/>
    <w:rsid w:val="004E2373"/>
    <w:rsid w:val="004E2935"/>
    <w:rsid w:val="004E2BCA"/>
    <w:rsid w:val="004E35E0"/>
    <w:rsid w:val="004E375C"/>
    <w:rsid w:val="004E3F31"/>
    <w:rsid w:val="004E4984"/>
    <w:rsid w:val="004E4B16"/>
    <w:rsid w:val="004E4B6C"/>
    <w:rsid w:val="004E5273"/>
    <w:rsid w:val="004E5700"/>
    <w:rsid w:val="004E5709"/>
    <w:rsid w:val="004E579B"/>
    <w:rsid w:val="004E581B"/>
    <w:rsid w:val="004E59BA"/>
    <w:rsid w:val="004E6133"/>
    <w:rsid w:val="004E61B8"/>
    <w:rsid w:val="004E62ED"/>
    <w:rsid w:val="004E6401"/>
    <w:rsid w:val="004E668D"/>
    <w:rsid w:val="004E6A88"/>
    <w:rsid w:val="004E6DD2"/>
    <w:rsid w:val="004E75BA"/>
    <w:rsid w:val="004E78E8"/>
    <w:rsid w:val="004E794B"/>
    <w:rsid w:val="004E7B1C"/>
    <w:rsid w:val="004E7C7D"/>
    <w:rsid w:val="004F0010"/>
    <w:rsid w:val="004F041A"/>
    <w:rsid w:val="004F04CB"/>
    <w:rsid w:val="004F095B"/>
    <w:rsid w:val="004F0FC0"/>
    <w:rsid w:val="004F12B5"/>
    <w:rsid w:val="004F13CF"/>
    <w:rsid w:val="004F1797"/>
    <w:rsid w:val="004F180E"/>
    <w:rsid w:val="004F1872"/>
    <w:rsid w:val="004F195C"/>
    <w:rsid w:val="004F1A34"/>
    <w:rsid w:val="004F1DA3"/>
    <w:rsid w:val="004F1E18"/>
    <w:rsid w:val="004F20E5"/>
    <w:rsid w:val="004F2448"/>
    <w:rsid w:val="004F248A"/>
    <w:rsid w:val="004F281C"/>
    <w:rsid w:val="004F2B20"/>
    <w:rsid w:val="004F2BB1"/>
    <w:rsid w:val="004F2CA6"/>
    <w:rsid w:val="004F2CDD"/>
    <w:rsid w:val="004F36EC"/>
    <w:rsid w:val="004F382C"/>
    <w:rsid w:val="004F3D37"/>
    <w:rsid w:val="004F3F03"/>
    <w:rsid w:val="004F4046"/>
    <w:rsid w:val="004F414A"/>
    <w:rsid w:val="004F4151"/>
    <w:rsid w:val="004F46E5"/>
    <w:rsid w:val="004F4B04"/>
    <w:rsid w:val="004F4C76"/>
    <w:rsid w:val="004F4D43"/>
    <w:rsid w:val="004F5632"/>
    <w:rsid w:val="004F593C"/>
    <w:rsid w:val="004F5A66"/>
    <w:rsid w:val="004F5AAA"/>
    <w:rsid w:val="004F5D6D"/>
    <w:rsid w:val="004F60B3"/>
    <w:rsid w:val="004F61AA"/>
    <w:rsid w:val="004F61F9"/>
    <w:rsid w:val="004F6575"/>
    <w:rsid w:val="004F65E9"/>
    <w:rsid w:val="004F6636"/>
    <w:rsid w:val="004F67C4"/>
    <w:rsid w:val="004F680F"/>
    <w:rsid w:val="004F6B5B"/>
    <w:rsid w:val="004F6E3E"/>
    <w:rsid w:val="004F6E84"/>
    <w:rsid w:val="004F6F30"/>
    <w:rsid w:val="004F702B"/>
    <w:rsid w:val="004F746F"/>
    <w:rsid w:val="004F7B6D"/>
    <w:rsid w:val="004F7C9D"/>
    <w:rsid w:val="004F7EBB"/>
    <w:rsid w:val="00500024"/>
    <w:rsid w:val="00500153"/>
    <w:rsid w:val="0050091B"/>
    <w:rsid w:val="00500B16"/>
    <w:rsid w:val="0050152F"/>
    <w:rsid w:val="005015EF"/>
    <w:rsid w:val="00501D37"/>
    <w:rsid w:val="00501D64"/>
    <w:rsid w:val="005020F2"/>
    <w:rsid w:val="00502643"/>
    <w:rsid w:val="005028E5"/>
    <w:rsid w:val="00502C97"/>
    <w:rsid w:val="00502E67"/>
    <w:rsid w:val="0050301A"/>
    <w:rsid w:val="00503358"/>
    <w:rsid w:val="005037CD"/>
    <w:rsid w:val="00503B43"/>
    <w:rsid w:val="00503C44"/>
    <w:rsid w:val="00503DFF"/>
    <w:rsid w:val="0050441E"/>
    <w:rsid w:val="0050457D"/>
    <w:rsid w:val="005046A6"/>
    <w:rsid w:val="00504A60"/>
    <w:rsid w:val="00504F1F"/>
    <w:rsid w:val="0050517C"/>
    <w:rsid w:val="005053CB"/>
    <w:rsid w:val="005055E7"/>
    <w:rsid w:val="005057FF"/>
    <w:rsid w:val="005059F9"/>
    <w:rsid w:val="00505B2A"/>
    <w:rsid w:val="00505BC4"/>
    <w:rsid w:val="005062BA"/>
    <w:rsid w:val="005066C7"/>
    <w:rsid w:val="005068FE"/>
    <w:rsid w:val="00506A26"/>
    <w:rsid w:val="00506BD7"/>
    <w:rsid w:val="00506F3E"/>
    <w:rsid w:val="005072DE"/>
    <w:rsid w:val="00507662"/>
    <w:rsid w:val="00507F8B"/>
    <w:rsid w:val="00510122"/>
    <w:rsid w:val="0051049E"/>
    <w:rsid w:val="005104E1"/>
    <w:rsid w:val="0051082D"/>
    <w:rsid w:val="00510F12"/>
    <w:rsid w:val="00511179"/>
    <w:rsid w:val="005112DD"/>
    <w:rsid w:val="00511968"/>
    <w:rsid w:val="00511C43"/>
    <w:rsid w:val="00511E0D"/>
    <w:rsid w:val="005124A8"/>
    <w:rsid w:val="00512B35"/>
    <w:rsid w:val="00512DEC"/>
    <w:rsid w:val="00513990"/>
    <w:rsid w:val="00513A8A"/>
    <w:rsid w:val="00513B44"/>
    <w:rsid w:val="00513B63"/>
    <w:rsid w:val="00513B78"/>
    <w:rsid w:val="00513D8B"/>
    <w:rsid w:val="005142F3"/>
    <w:rsid w:val="00514748"/>
    <w:rsid w:val="00514AAE"/>
    <w:rsid w:val="00514D51"/>
    <w:rsid w:val="00514F92"/>
    <w:rsid w:val="005150D3"/>
    <w:rsid w:val="005158AC"/>
    <w:rsid w:val="00515AA1"/>
    <w:rsid w:val="00515EB4"/>
    <w:rsid w:val="0051606E"/>
    <w:rsid w:val="00516121"/>
    <w:rsid w:val="00516122"/>
    <w:rsid w:val="005162BB"/>
    <w:rsid w:val="005164CF"/>
    <w:rsid w:val="00516717"/>
    <w:rsid w:val="00516ADC"/>
    <w:rsid w:val="00516E8D"/>
    <w:rsid w:val="00516F09"/>
    <w:rsid w:val="0051710E"/>
    <w:rsid w:val="0051774F"/>
    <w:rsid w:val="005178A4"/>
    <w:rsid w:val="00517E4A"/>
    <w:rsid w:val="0052006A"/>
    <w:rsid w:val="005204D0"/>
    <w:rsid w:val="00520694"/>
    <w:rsid w:val="005209C5"/>
    <w:rsid w:val="005209D5"/>
    <w:rsid w:val="00520BD9"/>
    <w:rsid w:val="00520FE0"/>
    <w:rsid w:val="005214DD"/>
    <w:rsid w:val="00522178"/>
    <w:rsid w:val="0052278E"/>
    <w:rsid w:val="00522B18"/>
    <w:rsid w:val="00522B54"/>
    <w:rsid w:val="00522E02"/>
    <w:rsid w:val="005231E2"/>
    <w:rsid w:val="005231E5"/>
    <w:rsid w:val="005233BA"/>
    <w:rsid w:val="00523472"/>
    <w:rsid w:val="00523593"/>
    <w:rsid w:val="00523671"/>
    <w:rsid w:val="00523767"/>
    <w:rsid w:val="00523A1B"/>
    <w:rsid w:val="005240F6"/>
    <w:rsid w:val="00524149"/>
    <w:rsid w:val="0052419B"/>
    <w:rsid w:val="005241B2"/>
    <w:rsid w:val="005242AA"/>
    <w:rsid w:val="00524427"/>
    <w:rsid w:val="005246E9"/>
    <w:rsid w:val="005248DD"/>
    <w:rsid w:val="0052490E"/>
    <w:rsid w:val="00524E0F"/>
    <w:rsid w:val="00524E23"/>
    <w:rsid w:val="00524F37"/>
    <w:rsid w:val="005256C2"/>
    <w:rsid w:val="005257DE"/>
    <w:rsid w:val="00525D86"/>
    <w:rsid w:val="00525F37"/>
    <w:rsid w:val="00526211"/>
    <w:rsid w:val="0052672D"/>
    <w:rsid w:val="005269CD"/>
    <w:rsid w:val="00526A32"/>
    <w:rsid w:val="00526BEF"/>
    <w:rsid w:val="00526C03"/>
    <w:rsid w:val="00526C49"/>
    <w:rsid w:val="00526DDB"/>
    <w:rsid w:val="00526ECF"/>
    <w:rsid w:val="00526F58"/>
    <w:rsid w:val="00527430"/>
    <w:rsid w:val="005274B4"/>
    <w:rsid w:val="005275F3"/>
    <w:rsid w:val="005276F0"/>
    <w:rsid w:val="0052775F"/>
    <w:rsid w:val="00527801"/>
    <w:rsid w:val="00527B7B"/>
    <w:rsid w:val="00527E28"/>
    <w:rsid w:val="00527EB5"/>
    <w:rsid w:val="00530916"/>
    <w:rsid w:val="00530B31"/>
    <w:rsid w:val="00530C39"/>
    <w:rsid w:val="00530CBD"/>
    <w:rsid w:val="00530CBE"/>
    <w:rsid w:val="0053120D"/>
    <w:rsid w:val="005312DD"/>
    <w:rsid w:val="005315D5"/>
    <w:rsid w:val="005319DC"/>
    <w:rsid w:val="00531FA3"/>
    <w:rsid w:val="00532631"/>
    <w:rsid w:val="00532926"/>
    <w:rsid w:val="0053295D"/>
    <w:rsid w:val="00532A10"/>
    <w:rsid w:val="00532A13"/>
    <w:rsid w:val="00532BC3"/>
    <w:rsid w:val="00532BE9"/>
    <w:rsid w:val="00532C7F"/>
    <w:rsid w:val="00532E3F"/>
    <w:rsid w:val="00532F03"/>
    <w:rsid w:val="0053340E"/>
    <w:rsid w:val="00533790"/>
    <w:rsid w:val="00533B11"/>
    <w:rsid w:val="00533E36"/>
    <w:rsid w:val="00533EE0"/>
    <w:rsid w:val="00533F0D"/>
    <w:rsid w:val="00534C1E"/>
    <w:rsid w:val="00534E26"/>
    <w:rsid w:val="00534E65"/>
    <w:rsid w:val="00535612"/>
    <w:rsid w:val="00535913"/>
    <w:rsid w:val="00535A24"/>
    <w:rsid w:val="00535FF8"/>
    <w:rsid w:val="005361D1"/>
    <w:rsid w:val="0053669A"/>
    <w:rsid w:val="00536758"/>
    <w:rsid w:val="00536780"/>
    <w:rsid w:val="005369BE"/>
    <w:rsid w:val="00536A11"/>
    <w:rsid w:val="005370E7"/>
    <w:rsid w:val="005373C5"/>
    <w:rsid w:val="00537823"/>
    <w:rsid w:val="00537828"/>
    <w:rsid w:val="00537BBF"/>
    <w:rsid w:val="00537E14"/>
    <w:rsid w:val="005402EB"/>
    <w:rsid w:val="00540405"/>
    <w:rsid w:val="0054050D"/>
    <w:rsid w:val="00540B64"/>
    <w:rsid w:val="00540B9D"/>
    <w:rsid w:val="00540D26"/>
    <w:rsid w:val="00540E26"/>
    <w:rsid w:val="00540E94"/>
    <w:rsid w:val="00540F07"/>
    <w:rsid w:val="00540FCF"/>
    <w:rsid w:val="005415D8"/>
    <w:rsid w:val="00541CD8"/>
    <w:rsid w:val="00541D9D"/>
    <w:rsid w:val="00541DEB"/>
    <w:rsid w:val="00542119"/>
    <w:rsid w:val="005425D8"/>
    <w:rsid w:val="00542727"/>
    <w:rsid w:val="0054334C"/>
    <w:rsid w:val="005434C2"/>
    <w:rsid w:val="00543851"/>
    <w:rsid w:val="00543922"/>
    <w:rsid w:val="0054396A"/>
    <w:rsid w:val="00543A1D"/>
    <w:rsid w:val="00543B7F"/>
    <w:rsid w:val="00543BBA"/>
    <w:rsid w:val="00543D7B"/>
    <w:rsid w:val="00543EFC"/>
    <w:rsid w:val="00544228"/>
    <w:rsid w:val="0054449C"/>
    <w:rsid w:val="00544814"/>
    <w:rsid w:val="005449CF"/>
    <w:rsid w:val="00544BEC"/>
    <w:rsid w:val="0054551C"/>
    <w:rsid w:val="0054563B"/>
    <w:rsid w:val="005457DD"/>
    <w:rsid w:val="00545AA7"/>
    <w:rsid w:val="00545AF3"/>
    <w:rsid w:val="00545BC8"/>
    <w:rsid w:val="00545D00"/>
    <w:rsid w:val="005469DE"/>
    <w:rsid w:val="00547277"/>
    <w:rsid w:val="0054732F"/>
    <w:rsid w:val="00547381"/>
    <w:rsid w:val="005473B6"/>
    <w:rsid w:val="005474AB"/>
    <w:rsid w:val="00547561"/>
    <w:rsid w:val="005476A0"/>
    <w:rsid w:val="00547A7D"/>
    <w:rsid w:val="00547A9B"/>
    <w:rsid w:val="00547DCF"/>
    <w:rsid w:val="00547E42"/>
    <w:rsid w:val="00550020"/>
    <w:rsid w:val="005505EC"/>
    <w:rsid w:val="005507C1"/>
    <w:rsid w:val="00550841"/>
    <w:rsid w:val="00550A23"/>
    <w:rsid w:val="00550B6C"/>
    <w:rsid w:val="00550DE5"/>
    <w:rsid w:val="00550E29"/>
    <w:rsid w:val="00551343"/>
    <w:rsid w:val="005513C0"/>
    <w:rsid w:val="00551605"/>
    <w:rsid w:val="00551682"/>
    <w:rsid w:val="005516D4"/>
    <w:rsid w:val="00551701"/>
    <w:rsid w:val="00551AB8"/>
    <w:rsid w:val="00551CA1"/>
    <w:rsid w:val="005523D8"/>
    <w:rsid w:val="005524C7"/>
    <w:rsid w:val="005528A9"/>
    <w:rsid w:val="00552949"/>
    <w:rsid w:val="00552C5E"/>
    <w:rsid w:val="00552E24"/>
    <w:rsid w:val="00552F69"/>
    <w:rsid w:val="00552FAE"/>
    <w:rsid w:val="00552FE6"/>
    <w:rsid w:val="005545D7"/>
    <w:rsid w:val="00554634"/>
    <w:rsid w:val="005546F4"/>
    <w:rsid w:val="00554790"/>
    <w:rsid w:val="005548B1"/>
    <w:rsid w:val="005548EA"/>
    <w:rsid w:val="00554FAF"/>
    <w:rsid w:val="00554FCE"/>
    <w:rsid w:val="005554B1"/>
    <w:rsid w:val="0055563C"/>
    <w:rsid w:val="00555695"/>
    <w:rsid w:val="0055586E"/>
    <w:rsid w:val="00555BAB"/>
    <w:rsid w:val="00555BBD"/>
    <w:rsid w:val="00555C1A"/>
    <w:rsid w:val="00556870"/>
    <w:rsid w:val="005569FA"/>
    <w:rsid w:val="00556BC8"/>
    <w:rsid w:val="00557794"/>
    <w:rsid w:val="00557D77"/>
    <w:rsid w:val="005600D2"/>
    <w:rsid w:val="005601C2"/>
    <w:rsid w:val="0056036E"/>
    <w:rsid w:val="005604ED"/>
    <w:rsid w:val="00560505"/>
    <w:rsid w:val="00560835"/>
    <w:rsid w:val="00560C9A"/>
    <w:rsid w:val="00561341"/>
    <w:rsid w:val="005618B8"/>
    <w:rsid w:val="00561B70"/>
    <w:rsid w:val="00561CA2"/>
    <w:rsid w:val="00561EF7"/>
    <w:rsid w:val="00561FDD"/>
    <w:rsid w:val="005622A1"/>
    <w:rsid w:val="00562E3E"/>
    <w:rsid w:val="00563033"/>
    <w:rsid w:val="00563146"/>
    <w:rsid w:val="005631F4"/>
    <w:rsid w:val="0056330F"/>
    <w:rsid w:val="00563849"/>
    <w:rsid w:val="00563FA3"/>
    <w:rsid w:val="00564837"/>
    <w:rsid w:val="00564DFE"/>
    <w:rsid w:val="00564F82"/>
    <w:rsid w:val="00565AA3"/>
    <w:rsid w:val="00565BE5"/>
    <w:rsid w:val="00565D48"/>
    <w:rsid w:val="00565E36"/>
    <w:rsid w:val="00565FFD"/>
    <w:rsid w:val="005661AB"/>
    <w:rsid w:val="00566204"/>
    <w:rsid w:val="005663B2"/>
    <w:rsid w:val="00566A1D"/>
    <w:rsid w:val="00566AFA"/>
    <w:rsid w:val="00566E64"/>
    <w:rsid w:val="00566FC5"/>
    <w:rsid w:val="00566FC6"/>
    <w:rsid w:val="00567060"/>
    <w:rsid w:val="005675B1"/>
    <w:rsid w:val="005677E8"/>
    <w:rsid w:val="0056790E"/>
    <w:rsid w:val="0056792C"/>
    <w:rsid w:val="00567A43"/>
    <w:rsid w:val="00567AC9"/>
    <w:rsid w:val="00567FDE"/>
    <w:rsid w:val="00570016"/>
    <w:rsid w:val="0057003F"/>
    <w:rsid w:val="00570253"/>
    <w:rsid w:val="00570C53"/>
    <w:rsid w:val="00571033"/>
    <w:rsid w:val="005711F0"/>
    <w:rsid w:val="0057172C"/>
    <w:rsid w:val="00571886"/>
    <w:rsid w:val="0057188D"/>
    <w:rsid w:val="005718D6"/>
    <w:rsid w:val="00571AF0"/>
    <w:rsid w:val="00571D14"/>
    <w:rsid w:val="00571F3F"/>
    <w:rsid w:val="005720BB"/>
    <w:rsid w:val="00572334"/>
    <w:rsid w:val="005727BD"/>
    <w:rsid w:val="00572B3F"/>
    <w:rsid w:val="00572D56"/>
    <w:rsid w:val="00572EA5"/>
    <w:rsid w:val="005730AD"/>
    <w:rsid w:val="00573459"/>
    <w:rsid w:val="005736B6"/>
    <w:rsid w:val="00573DD0"/>
    <w:rsid w:val="0057440E"/>
    <w:rsid w:val="0057454C"/>
    <w:rsid w:val="00574624"/>
    <w:rsid w:val="0057467C"/>
    <w:rsid w:val="00574F42"/>
    <w:rsid w:val="00575217"/>
    <w:rsid w:val="0057528C"/>
    <w:rsid w:val="00575836"/>
    <w:rsid w:val="00575CFE"/>
    <w:rsid w:val="00575D70"/>
    <w:rsid w:val="00575E7B"/>
    <w:rsid w:val="005761C5"/>
    <w:rsid w:val="005763A6"/>
    <w:rsid w:val="0057652D"/>
    <w:rsid w:val="0057674D"/>
    <w:rsid w:val="00576B19"/>
    <w:rsid w:val="00577077"/>
    <w:rsid w:val="005777DE"/>
    <w:rsid w:val="005779D7"/>
    <w:rsid w:val="00577C65"/>
    <w:rsid w:val="00577E1D"/>
    <w:rsid w:val="005800C3"/>
    <w:rsid w:val="00580332"/>
    <w:rsid w:val="00580368"/>
    <w:rsid w:val="00580A6C"/>
    <w:rsid w:val="00580CB2"/>
    <w:rsid w:val="005811B5"/>
    <w:rsid w:val="005814A8"/>
    <w:rsid w:val="00581C49"/>
    <w:rsid w:val="00581DC4"/>
    <w:rsid w:val="005821FC"/>
    <w:rsid w:val="00582353"/>
    <w:rsid w:val="005826C6"/>
    <w:rsid w:val="0058278D"/>
    <w:rsid w:val="00582BD0"/>
    <w:rsid w:val="00582C5F"/>
    <w:rsid w:val="00583290"/>
    <w:rsid w:val="005836C5"/>
    <w:rsid w:val="0058373C"/>
    <w:rsid w:val="00583792"/>
    <w:rsid w:val="00583AD1"/>
    <w:rsid w:val="00583B67"/>
    <w:rsid w:val="00583E38"/>
    <w:rsid w:val="005842B1"/>
    <w:rsid w:val="005842D5"/>
    <w:rsid w:val="0058472D"/>
    <w:rsid w:val="00584B08"/>
    <w:rsid w:val="00584FA5"/>
    <w:rsid w:val="0058502B"/>
    <w:rsid w:val="005851E0"/>
    <w:rsid w:val="00585293"/>
    <w:rsid w:val="00585528"/>
    <w:rsid w:val="00585659"/>
    <w:rsid w:val="005857B3"/>
    <w:rsid w:val="00585808"/>
    <w:rsid w:val="005869C1"/>
    <w:rsid w:val="00586B02"/>
    <w:rsid w:val="00586E42"/>
    <w:rsid w:val="005871F5"/>
    <w:rsid w:val="0058769E"/>
    <w:rsid w:val="005878D0"/>
    <w:rsid w:val="00587E5D"/>
    <w:rsid w:val="00587EE0"/>
    <w:rsid w:val="00587FA5"/>
    <w:rsid w:val="0059036D"/>
    <w:rsid w:val="005909E5"/>
    <w:rsid w:val="00590C61"/>
    <w:rsid w:val="00590CE7"/>
    <w:rsid w:val="00590DAF"/>
    <w:rsid w:val="00591027"/>
    <w:rsid w:val="005910E0"/>
    <w:rsid w:val="005914B9"/>
    <w:rsid w:val="005914BA"/>
    <w:rsid w:val="005919D5"/>
    <w:rsid w:val="00591A72"/>
    <w:rsid w:val="00591C16"/>
    <w:rsid w:val="00591F99"/>
    <w:rsid w:val="00592120"/>
    <w:rsid w:val="00592318"/>
    <w:rsid w:val="0059237A"/>
    <w:rsid w:val="005928E1"/>
    <w:rsid w:val="00592B65"/>
    <w:rsid w:val="00592CE9"/>
    <w:rsid w:val="00592DC0"/>
    <w:rsid w:val="005933BC"/>
    <w:rsid w:val="005936AB"/>
    <w:rsid w:val="00593B52"/>
    <w:rsid w:val="00593C58"/>
    <w:rsid w:val="00593EAC"/>
    <w:rsid w:val="00593EAE"/>
    <w:rsid w:val="00594224"/>
    <w:rsid w:val="005942AF"/>
    <w:rsid w:val="0059452E"/>
    <w:rsid w:val="005945F2"/>
    <w:rsid w:val="005947F3"/>
    <w:rsid w:val="00594F8B"/>
    <w:rsid w:val="0059539A"/>
    <w:rsid w:val="00595610"/>
    <w:rsid w:val="00595611"/>
    <w:rsid w:val="00595862"/>
    <w:rsid w:val="00595D5F"/>
    <w:rsid w:val="0059606D"/>
    <w:rsid w:val="00596071"/>
    <w:rsid w:val="0059636B"/>
    <w:rsid w:val="00596678"/>
    <w:rsid w:val="005968AE"/>
    <w:rsid w:val="005969F1"/>
    <w:rsid w:val="00596BA8"/>
    <w:rsid w:val="005971E9"/>
    <w:rsid w:val="00597281"/>
    <w:rsid w:val="00597A7B"/>
    <w:rsid w:val="005A0211"/>
    <w:rsid w:val="005A03C8"/>
    <w:rsid w:val="005A0610"/>
    <w:rsid w:val="005A0755"/>
    <w:rsid w:val="005A0CEA"/>
    <w:rsid w:val="005A0D25"/>
    <w:rsid w:val="005A0E28"/>
    <w:rsid w:val="005A0E69"/>
    <w:rsid w:val="005A1311"/>
    <w:rsid w:val="005A1ED5"/>
    <w:rsid w:val="005A21EE"/>
    <w:rsid w:val="005A22DD"/>
    <w:rsid w:val="005A24F6"/>
    <w:rsid w:val="005A29CD"/>
    <w:rsid w:val="005A29D6"/>
    <w:rsid w:val="005A2CA3"/>
    <w:rsid w:val="005A2E9E"/>
    <w:rsid w:val="005A36ED"/>
    <w:rsid w:val="005A380B"/>
    <w:rsid w:val="005A3832"/>
    <w:rsid w:val="005A3AD7"/>
    <w:rsid w:val="005A3CCF"/>
    <w:rsid w:val="005A3F8A"/>
    <w:rsid w:val="005A402F"/>
    <w:rsid w:val="005A424D"/>
    <w:rsid w:val="005A42D6"/>
    <w:rsid w:val="005A44BA"/>
    <w:rsid w:val="005A4516"/>
    <w:rsid w:val="005A4A4F"/>
    <w:rsid w:val="005A4C36"/>
    <w:rsid w:val="005A4C5A"/>
    <w:rsid w:val="005A4CB1"/>
    <w:rsid w:val="005A4FF3"/>
    <w:rsid w:val="005A5264"/>
    <w:rsid w:val="005A5452"/>
    <w:rsid w:val="005A54E6"/>
    <w:rsid w:val="005A56BD"/>
    <w:rsid w:val="005A59E5"/>
    <w:rsid w:val="005A5E93"/>
    <w:rsid w:val="005A60E2"/>
    <w:rsid w:val="005A60E8"/>
    <w:rsid w:val="005A663D"/>
    <w:rsid w:val="005A6783"/>
    <w:rsid w:val="005A68AA"/>
    <w:rsid w:val="005A6DC4"/>
    <w:rsid w:val="005A7483"/>
    <w:rsid w:val="005A772E"/>
    <w:rsid w:val="005A7A90"/>
    <w:rsid w:val="005A7A94"/>
    <w:rsid w:val="005A7FE6"/>
    <w:rsid w:val="005B0166"/>
    <w:rsid w:val="005B05B2"/>
    <w:rsid w:val="005B06B3"/>
    <w:rsid w:val="005B0C85"/>
    <w:rsid w:val="005B0D48"/>
    <w:rsid w:val="005B1015"/>
    <w:rsid w:val="005B1187"/>
    <w:rsid w:val="005B1258"/>
    <w:rsid w:val="005B1729"/>
    <w:rsid w:val="005B2116"/>
    <w:rsid w:val="005B276B"/>
    <w:rsid w:val="005B287F"/>
    <w:rsid w:val="005B2944"/>
    <w:rsid w:val="005B2DA6"/>
    <w:rsid w:val="005B301F"/>
    <w:rsid w:val="005B3102"/>
    <w:rsid w:val="005B338F"/>
    <w:rsid w:val="005B3440"/>
    <w:rsid w:val="005B35CA"/>
    <w:rsid w:val="005B379E"/>
    <w:rsid w:val="005B389C"/>
    <w:rsid w:val="005B3ADE"/>
    <w:rsid w:val="005B3CE8"/>
    <w:rsid w:val="005B3E9A"/>
    <w:rsid w:val="005B420D"/>
    <w:rsid w:val="005B4447"/>
    <w:rsid w:val="005B461B"/>
    <w:rsid w:val="005B4EB2"/>
    <w:rsid w:val="005B4ECF"/>
    <w:rsid w:val="005B5210"/>
    <w:rsid w:val="005B5A6F"/>
    <w:rsid w:val="005B5BBA"/>
    <w:rsid w:val="005B6272"/>
    <w:rsid w:val="005B6331"/>
    <w:rsid w:val="005B63C3"/>
    <w:rsid w:val="005B6650"/>
    <w:rsid w:val="005B683A"/>
    <w:rsid w:val="005B6855"/>
    <w:rsid w:val="005B70DC"/>
    <w:rsid w:val="005B7634"/>
    <w:rsid w:val="005B7ADF"/>
    <w:rsid w:val="005B7D02"/>
    <w:rsid w:val="005B7DE0"/>
    <w:rsid w:val="005C012E"/>
    <w:rsid w:val="005C048E"/>
    <w:rsid w:val="005C061D"/>
    <w:rsid w:val="005C0F43"/>
    <w:rsid w:val="005C12C1"/>
    <w:rsid w:val="005C130C"/>
    <w:rsid w:val="005C1955"/>
    <w:rsid w:val="005C1C29"/>
    <w:rsid w:val="005C2767"/>
    <w:rsid w:val="005C2795"/>
    <w:rsid w:val="005C27FD"/>
    <w:rsid w:val="005C2CD6"/>
    <w:rsid w:val="005C303D"/>
    <w:rsid w:val="005C329B"/>
    <w:rsid w:val="005C34D4"/>
    <w:rsid w:val="005C363D"/>
    <w:rsid w:val="005C3730"/>
    <w:rsid w:val="005C3741"/>
    <w:rsid w:val="005C3D81"/>
    <w:rsid w:val="005C426F"/>
    <w:rsid w:val="005C44E3"/>
    <w:rsid w:val="005C455A"/>
    <w:rsid w:val="005C4628"/>
    <w:rsid w:val="005C473E"/>
    <w:rsid w:val="005C56FD"/>
    <w:rsid w:val="005C593C"/>
    <w:rsid w:val="005C5B9B"/>
    <w:rsid w:val="005C5D49"/>
    <w:rsid w:val="005C5E78"/>
    <w:rsid w:val="005C5EF1"/>
    <w:rsid w:val="005C5F6C"/>
    <w:rsid w:val="005C675C"/>
    <w:rsid w:val="005C6D10"/>
    <w:rsid w:val="005C712A"/>
    <w:rsid w:val="005C730F"/>
    <w:rsid w:val="005C74D0"/>
    <w:rsid w:val="005C75B7"/>
    <w:rsid w:val="005C78A5"/>
    <w:rsid w:val="005C79A9"/>
    <w:rsid w:val="005C7D31"/>
    <w:rsid w:val="005C7E01"/>
    <w:rsid w:val="005D0926"/>
    <w:rsid w:val="005D0DF7"/>
    <w:rsid w:val="005D0E3F"/>
    <w:rsid w:val="005D161B"/>
    <w:rsid w:val="005D175E"/>
    <w:rsid w:val="005D2093"/>
    <w:rsid w:val="005D26CD"/>
    <w:rsid w:val="005D2D16"/>
    <w:rsid w:val="005D34C0"/>
    <w:rsid w:val="005D3701"/>
    <w:rsid w:val="005D4240"/>
    <w:rsid w:val="005D4396"/>
    <w:rsid w:val="005D4420"/>
    <w:rsid w:val="005D4421"/>
    <w:rsid w:val="005D49B6"/>
    <w:rsid w:val="005D4B28"/>
    <w:rsid w:val="005D4C58"/>
    <w:rsid w:val="005D4DA4"/>
    <w:rsid w:val="005D58CF"/>
    <w:rsid w:val="005D5D9D"/>
    <w:rsid w:val="005D5E7C"/>
    <w:rsid w:val="005D5F13"/>
    <w:rsid w:val="005D6189"/>
    <w:rsid w:val="005D62EC"/>
    <w:rsid w:val="005D6477"/>
    <w:rsid w:val="005D6540"/>
    <w:rsid w:val="005D666D"/>
    <w:rsid w:val="005D6A60"/>
    <w:rsid w:val="005D6A66"/>
    <w:rsid w:val="005D6CBE"/>
    <w:rsid w:val="005D6E1A"/>
    <w:rsid w:val="005D6EEA"/>
    <w:rsid w:val="005D713D"/>
    <w:rsid w:val="005D71A7"/>
    <w:rsid w:val="005D729E"/>
    <w:rsid w:val="005D7491"/>
    <w:rsid w:val="005D7761"/>
    <w:rsid w:val="005D7B2D"/>
    <w:rsid w:val="005D7BDD"/>
    <w:rsid w:val="005D7DDF"/>
    <w:rsid w:val="005D7FAA"/>
    <w:rsid w:val="005E009F"/>
    <w:rsid w:val="005E012C"/>
    <w:rsid w:val="005E03AD"/>
    <w:rsid w:val="005E0406"/>
    <w:rsid w:val="005E04F1"/>
    <w:rsid w:val="005E06C7"/>
    <w:rsid w:val="005E0716"/>
    <w:rsid w:val="005E0A5D"/>
    <w:rsid w:val="005E117A"/>
    <w:rsid w:val="005E140C"/>
    <w:rsid w:val="005E186A"/>
    <w:rsid w:val="005E195B"/>
    <w:rsid w:val="005E195F"/>
    <w:rsid w:val="005E1B4F"/>
    <w:rsid w:val="005E1BCD"/>
    <w:rsid w:val="005E1D64"/>
    <w:rsid w:val="005E23E3"/>
    <w:rsid w:val="005E25D2"/>
    <w:rsid w:val="005E2824"/>
    <w:rsid w:val="005E2EAB"/>
    <w:rsid w:val="005E37E5"/>
    <w:rsid w:val="005E3BFD"/>
    <w:rsid w:val="005E3E36"/>
    <w:rsid w:val="005E3FD0"/>
    <w:rsid w:val="005E41F0"/>
    <w:rsid w:val="005E434B"/>
    <w:rsid w:val="005E4874"/>
    <w:rsid w:val="005E4C93"/>
    <w:rsid w:val="005E4F5A"/>
    <w:rsid w:val="005E528A"/>
    <w:rsid w:val="005E5596"/>
    <w:rsid w:val="005E569F"/>
    <w:rsid w:val="005E56B1"/>
    <w:rsid w:val="005E5D46"/>
    <w:rsid w:val="005E5D86"/>
    <w:rsid w:val="005E5DEB"/>
    <w:rsid w:val="005E5E13"/>
    <w:rsid w:val="005E6289"/>
    <w:rsid w:val="005E641C"/>
    <w:rsid w:val="005E648B"/>
    <w:rsid w:val="005E6696"/>
    <w:rsid w:val="005E6FB8"/>
    <w:rsid w:val="005E7667"/>
    <w:rsid w:val="005E7A9F"/>
    <w:rsid w:val="005E7E44"/>
    <w:rsid w:val="005E7E4A"/>
    <w:rsid w:val="005E7EEA"/>
    <w:rsid w:val="005F01AE"/>
    <w:rsid w:val="005F025A"/>
    <w:rsid w:val="005F0292"/>
    <w:rsid w:val="005F04C0"/>
    <w:rsid w:val="005F05BC"/>
    <w:rsid w:val="005F08DD"/>
    <w:rsid w:val="005F090D"/>
    <w:rsid w:val="005F0A7D"/>
    <w:rsid w:val="005F0ABE"/>
    <w:rsid w:val="005F0D9F"/>
    <w:rsid w:val="005F1254"/>
    <w:rsid w:val="005F1432"/>
    <w:rsid w:val="005F162D"/>
    <w:rsid w:val="005F2884"/>
    <w:rsid w:val="005F2AE1"/>
    <w:rsid w:val="005F2EDB"/>
    <w:rsid w:val="005F30F5"/>
    <w:rsid w:val="005F367C"/>
    <w:rsid w:val="005F38FF"/>
    <w:rsid w:val="005F3914"/>
    <w:rsid w:val="005F3921"/>
    <w:rsid w:val="005F3A48"/>
    <w:rsid w:val="005F3DB8"/>
    <w:rsid w:val="005F4044"/>
    <w:rsid w:val="005F42BF"/>
    <w:rsid w:val="005F4790"/>
    <w:rsid w:val="005F484E"/>
    <w:rsid w:val="005F4B1C"/>
    <w:rsid w:val="005F4E36"/>
    <w:rsid w:val="005F4F29"/>
    <w:rsid w:val="005F50E0"/>
    <w:rsid w:val="005F5529"/>
    <w:rsid w:val="005F5708"/>
    <w:rsid w:val="005F5C0B"/>
    <w:rsid w:val="005F5F7B"/>
    <w:rsid w:val="005F668A"/>
    <w:rsid w:val="005F66C5"/>
    <w:rsid w:val="005F6853"/>
    <w:rsid w:val="005F693C"/>
    <w:rsid w:val="005F6957"/>
    <w:rsid w:val="005F6C1F"/>
    <w:rsid w:val="005F6C80"/>
    <w:rsid w:val="005F6CD3"/>
    <w:rsid w:val="005F7110"/>
    <w:rsid w:val="005F78CB"/>
    <w:rsid w:val="00600356"/>
    <w:rsid w:val="0060039A"/>
    <w:rsid w:val="006003FB"/>
    <w:rsid w:val="006006DF"/>
    <w:rsid w:val="0060099B"/>
    <w:rsid w:val="00600F63"/>
    <w:rsid w:val="006016F1"/>
    <w:rsid w:val="0060199B"/>
    <w:rsid w:val="00601B41"/>
    <w:rsid w:val="00601C52"/>
    <w:rsid w:val="00601C59"/>
    <w:rsid w:val="0060209C"/>
    <w:rsid w:val="006022AA"/>
    <w:rsid w:val="00602DD8"/>
    <w:rsid w:val="00603022"/>
    <w:rsid w:val="00603232"/>
    <w:rsid w:val="006036EB"/>
    <w:rsid w:val="00603B5E"/>
    <w:rsid w:val="00603F41"/>
    <w:rsid w:val="00604025"/>
    <w:rsid w:val="006043E1"/>
    <w:rsid w:val="00604811"/>
    <w:rsid w:val="00604B3A"/>
    <w:rsid w:val="0060542E"/>
    <w:rsid w:val="0060562E"/>
    <w:rsid w:val="006056F2"/>
    <w:rsid w:val="00605737"/>
    <w:rsid w:val="006058B0"/>
    <w:rsid w:val="00605D63"/>
    <w:rsid w:val="00606004"/>
    <w:rsid w:val="006060FA"/>
    <w:rsid w:val="00606435"/>
    <w:rsid w:val="00606A0A"/>
    <w:rsid w:val="00606A78"/>
    <w:rsid w:val="00606DFF"/>
    <w:rsid w:val="00606E0E"/>
    <w:rsid w:val="00607527"/>
    <w:rsid w:val="0060763D"/>
    <w:rsid w:val="0060770B"/>
    <w:rsid w:val="00607772"/>
    <w:rsid w:val="00607A8A"/>
    <w:rsid w:val="00607C68"/>
    <w:rsid w:val="00607DF8"/>
    <w:rsid w:val="00607F69"/>
    <w:rsid w:val="00607FF7"/>
    <w:rsid w:val="0061009C"/>
    <w:rsid w:val="00610955"/>
    <w:rsid w:val="00610D93"/>
    <w:rsid w:val="00610F1A"/>
    <w:rsid w:val="00611031"/>
    <w:rsid w:val="00611110"/>
    <w:rsid w:val="006116D4"/>
    <w:rsid w:val="00611865"/>
    <w:rsid w:val="00611AB5"/>
    <w:rsid w:val="00611C36"/>
    <w:rsid w:val="00611CD0"/>
    <w:rsid w:val="00611D84"/>
    <w:rsid w:val="0061202F"/>
    <w:rsid w:val="0061250B"/>
    <w:rsid w:val="0061253B"/>
    <w:rsid w:val="00612701"/>
    <w:rsid w:val="00612899"/>
    <w:rsid w:val="00612A1A"/>
    <w:rsid w:val="00612B31"/>
    <w:rsid w:val="00612BE2"/>
    <w:rsid w:val="00612C13"/>
    <w:rsid w:val="00612D7B"/>
    <w:rsid w:val="00612F2A"/>
    <w:rsid w:val="006131F3"/>
    <w:rsid w:val="006133E9"/>
    <w:rsid w:val="006134C8"/>
    <w:rsid w:val="006135DF"/>
    <w:rsid w:val="00613CCC"/>
    <w:rsid w:val="00613FD2"/>
    <w:rsid w:val="006142D9"/>
    <w:rsid w:val="00614956"/>
    <w:rsid w:val="00614A7D"/>
    <w:rsid w:val="00614C17"/>
    <w:rsid w:val="00614D35"/>
    <w:rsid w:val="006150D9"/>
    <w:rsid w:val="0061530E"/>
    <w:rsid w:val="0061566B"/>
    <w:rsid w:val="006159AE"/>
    <w:rsid w:val="00615B31"/>
    <w:rsid w:val="00615E00"/>
    <w:rsid w:val="00616011"/>
    <w:rsid w:val="0061663E"/>
    <w:rsid w:val="00616C5C"/>
    <w:rsid w:val="00617420"/>
    <w:rsid w:val="00617571"/>
    <w:rsid w:val="006175BE"/>
    <w:rsid w:val="00617763"/>
    <w:rsid w:val="0061792B"/>
    <w:rsid w:val="00617A61"/>
    <w:rsid w:val="00617DDF"/>
    <w:rsid w:val="00617F13"/>
    <w:rsid w:val="00620A9F"/>
    <w:rsid w:val="006212B2"/>
    <w:rsid w:val="00621882"/>
    <w:rsid w:val="00621D73"/>
    <w:rsid w:val="00621D9C"/>
    <w:rsid w:val="00621F8C"/>
    <w:rsid w:val="006220F4"/>
    <w:rsid w:val="0062221E"/>
    <w:rsid w:val="006222A2"/>
    <w:rsid w:val="0062231E"/>
    <w:rsid w:val="006223FB"/>
    <w:rsid w:val="00622447"/>
    <w:rsid w:val="006224A5"/>
    <w:rsid w:val="006228D9"/>
    <w:rsid w:val="00622CDF"/>
    <w:rsid w:val="00622F5B"/>
    <w:rsid w:val="006230C5"/>
    <w:rsid w:val="006235D6"/>
    <w:rsid w:val="00623664"/>
    <w:rsid w:val="00623D53"/>
    <w:rsid w:val="00623F9A"/>
    <w:rsid w:val="006240DA"/>
    <w:rsid w:val="00624111"/>
    <w:rsid w:val="00624383"/>
    <w:rsid w:val="00624557"/>
    <w:rsid w:val="00624C61"/>
    <w:rsid w:val="006252AA"/>
    <w:rsid w:val="00625639"/>
    <w:rsid w:val="00625915"/>
    <w:rsid w:val="00625A5C"/>
    <w:rsid w:val="00625F7B"/>
    <w:rsid w:val="00626786"/>
    <w:rsid w:val="0062697C"/>
    <w:rsid w:val="006269BD"/>
    <w:rsid w:val="00626BE0"/>
    <w:rsid w:val="0062738B"/>
    <w:rsid w:val="006276C2"/>
    <w:rsid w:val="0063041B"/>
    <w:rsid w:val="0063078D"/>
    <w:rsid w:val="00630959"/>
    <w:rsid w:val="00630A8E"/>
    <w:rsid w:val="00630B31"/>
    <w:rsid w:val="00630C84"/>
    <w:rsid w:val="00630FAC"/>
    <w:rsid w:val="0063126E"/>
    <w:rsid w:val="006312AD"/>
    <w:rsid w:val="00631490"/>
    <w:rsid w:val="00631849"/>
    <w:rsid w:val="00631C70"/>
    <w:rsid w:val="00631CFE"/>
    <w:rsid w:val="00632127"/>
    <w:rsid w:val="0063228F"/>
    <w:rsid w:val="006324C9"/>
    <w:rsid w:val="00632502"/>
    <w:rsid w:val="006325B2"/>
    <w:rsid w:val="00632741"/>
    <w:rsid w:val="00632C18"/>
    <w:rsid w:val="00632C36"/>
    <w:rsid w:val="0063375A"/>
    <w:rsid w:val="00633801"/>
    <w:rsid w:val="0063394B"/>
    <w:rsid w:val="00633A37"/>
    <w:rsid w:val="0063467F"/>
    <w:rsid w:val="0063469E"/>
    <w:rsid w:val="0063477F"/>
    <w:rsid w:val="00634865"/>
    <w:rsid w:val="00634866"/>
    <w:rsid w:val="006349A7"/>
    <w:rsid w:val="00634C8E"/>
    <w:rsid w:val="00634CA0"/>
    <w:rsid w:val="00635045"/>
    <w:rsid w:val="0063505E"/>
    <w:rsid w:val="00635125"/>
    <w:rsid w:val="006351E7"/>
    <w:rsid w:val="006353B7"/>
    <w:rsid w:val="00635475"/>
    <w:rsid w:val="00635531"/>
    <w:rsid w:val="00635693"/>
    <w:rsid w:val="00635C4F"/>
    <w:rsid w:val="00635C58"/>
    <w:rsid w:val="00635E50"/>
    <w:rsid w:val="00636118"/>
    <w:rsid w:val="00636251"/>
    <w:rsid w:val="00636262"/>
    <w:rsid w:val="0063669B"/>
    <w:rsid w:val="00636734"/>
    <w:rsid w:val="006367E1"/>
    <w:rsid w:val="00636D37"/>
    <w:rsid w:val="00636DA2"/>
    <w:rsid w:val="0063718A"/>
    <w:rsid w:val="00637233"/>
    <w:rsid w:val="00637681"/>
    <w:rsid w:val="00637785"/>
    <w:rsid w:val="006377A1"/>
    <w:rsid w:val="00637E17"/>
    <w:rsid w:val="00637FA5"/>
    <w:rsid w:val="00640320"/>
    <w:rsid w:val="00640427"/>
    <w:rsid w:val="00640493"/>
    <w:rsid w:val="0064054C"/>
    <w:rsid w:val="006409C8"/>
    <w:rsid w:val="006409CD"/>
    <w:rsid w:val="00640C0B"/>
    <w:rsid w:val="00640C9B"/>
    <w:rsid w:val="00640F7F"/>
    <w:rsid w:val="00640FB4"/>
    <w:rsid w:val="00641055"/>
    <w:rsid w:val="006412AD"/>
    <w:rsid w:val="0064133A"/>
    <w:rsid w:val="006413EB"/>
    <w:rsid w:val="00641A8F"/>
    <w:rsid w:val="00641B3B"/>
    <w:rsid w:val="00641BA5"/>
    <w:rsid w:val="006421BC"/>
    <w:rsid w:val="00642AF1"/>
    <w:rsid w:val="00642D92"/>
    <w:rsid w:val="00643199"/>
    <w:rsid w:val="00643224"/>
    <w:rsid w:val="0064357E"/>
    <w:rsid w:val="00643D27"/>
    <w:rsid w:val="00643D34"/>
    <w:rsid w:val="00643E36"/>
    <w:rsid w:val="00643E4D"/>
    <w:rsid w:val="00643E68"/>
    <w:rsid w:val="0064407C"/>
    <w:rsid w:val="0064460C"/>
    <w:rsid w:val="00644645"/>
    <w:rsid w:val="006447D1"/>
    <w:rsid w:val="00644855"/>
    <w:rsid w:val="00644997"/>
    <w:rsid w:val="00644ED5"/>
    <w:rsid w:val="0064539C"/>
    <w:rsid w:val="006453C7"/>
    <w:rsid w:val="00645557"/>
    <w:rsid w:val="00645A19"/>
    <w:rsid w:val="00645E15"/>
    <w:rsid w:val="00645E30"/>
    <w:rsid w:val="00645F3A"/>
    <w:rsid w:val="00645F71"/>
    <w:rsid w:val="0064623B"/>
    <w:rsid w:val="006464BD"/>
    <w:rsid w:val="0064652B"/>
    <w:rsid w:val="00646567"/>
    <w:rsid w:val="0064659D"/>
    <w:rsid w:val="006467F6"/>
    <w:rsid w:val="00646836"/>
    <w:rsid w:val="00646B52"/>
    <w:rsid w:val="0064716E"/>
    <w:rsid w:val="00647435"/>
    <w:rsid w:val="00647441"/>
    <w:rsid w:val="0064768E"/>
    <w:rsid w:val="006479C8"/>
    <w:rsid w:val="00647A04"/>
    <w:rsid w:val="00647C73"/>
    <w:rsid w:val="006500A2"/>
    <w:rsid w:val="00650481"/>
    <w:rsid w:val="00650ACF"/>
    <w:rsid w:val="00650DE6"/>
    <w:rsid w:val="00650E8B"/>
    <w:rsid w:val="006513B7"/>
    <w:rsid w:val="00651858"/>
    <w:rsid w:val="00651DE4"/>
    <w:rsid w:val="006522DD"/>
    <w:rsid w:val="006523E9"/>
    <w:rsid w:val="0065292D"/>
    <w:rsid w:val="00652B82"/>
    <w:rsid w:val="00652D8B"/>
    <w:rsid w:val="00652ED2"/>
    <w:rsid w:val="00653A6D"/>
    <w:rsid w:val="00653B3A"/>
    <w:rsid w:val="00653C4A"/>
    <w:rsid w:val="0065451C"/>
    <w:rsid w:val="006547D6"/>
    <w:rsid w:val="00654D21"/>
    <w:rsid w:val="00654D59"/>
    <w:rsid w:val="00654DD1"/>
    <w:rsid w:val="00654DF9"/>
    <w:rsid w:val="00654E78"/>
    <w:rsid w:val="00654F30"/>
    <w:rsid w:val="0065507C"/>
    <w:rsid w:val="006551DE"/>
    <w:rsid w:val="0065547A"/>
    <w:rsid w:val="00655D6D"/>
    <w:rsid w:val="00656029"/>
    <w:rsid w:val="00656873"/>
    <w:rsid w:val="006568B4"/>
    <w:rsid w:val="006569B0"/>
    <w:rsid w:val="00656B80"/>
    <w:rsid w:val="00656D01"/>
    <w:rsid w:val="0065703A"/>
    <w:rsid w:val="0065760A"/>
    <w:rsid w:val="00660064"/>
    <w:rsid w:val="00660137"/>
    <w:rsid w:val="006603BF"/>
    <w:rsid w:val="00660713"/>
    <w:rsid w:val="00660801"/>
    <w:rsid w:val="00660898"/>
    <w:rsid w:val="006608A8"/>
    <w:rsid w:val="006608E7"/>
    <w:rsid w:val="00661297"/>
    <w:rsid w:val="0066166F"/>
    <w:rsid w:val="00661C7F"/>
    <w:rsid w:val="00661CA2"/>
    <w:rsid w:val="00661DB8"/>
    <w:rsid w:val="00661FC6"/>
    <w:rsid w:val="00662123"/>
    <w:rsid w:val="0066215F"/>
    <w:rsid w:val="006621C2"/>
    <w:rsid w:val="0066246D"/>
    <w:rsid w:val="006624EE"/>
    <w:rsid w:val="006625C6"/>
    <w:rsid w:val="006625CA"/>
    <w:rsid w:val="0066274F"/>
    <w:rsid w:val="00662766"/>
    <w:rsid w:val="00662E18"/>
    <w:rsid w:val="00662E42"/>
    <w:rsid w:val="006632A3"/>
    <w:rsid w:val="00663326"/>
    <w:rsid w:val="006634BC"/>
    <w:rsid w:val="00663542"/>
    <w:rsid w:val="00663C9B"/>
    <w:rsid w:val="00664332"/>
    <w:rsid w:val="0066477F"/>
    <w:rsid w:val="006648E2"/>
    <w:rsid w:val="00664ED0"/>
    <w:rsid w:val="00665476"/>
    <w:rsid w:val="00665611"/>
    <w:rsid w:val="006656E1"/>
    <w:rsid w:val="00665BF8"/>
    <w:rsid w:val="00665F6B"/>
    <w:rsid w:val="00666053"/>
    <w:rsid w:val="006660E5"/>
    <w:rsid w:val="006661F8"/>
    <w:rsid w:val="006663D4"/>
    <w:rsid w:val="0066669B"/>
    <w:rsid w:val="00666B6A"/>
    <w:rsid w:val="00666EAE"/>
    <w:rsid w:val="0066723F"/>
    <w:rsid w:val="00667680"/>
    <w:rsid w:val="0066779C"/>
    <w:rsid w:val="00667906"/>
    <w:rsid w:val="00667D7B"/>
    <w:rsid w:val="00667F14"/>
    <w:rsid w:val="00667F61"/>
    <w:rsid w:val="00667FA8"/>
    <w:rsid w:val="0067009E"/>
    <w:rsid w:val="0067014A"/>
    <w:rsid w:val="00670730"/>
    <w:rsid w:val="006708AB"/>
    <w:rsid w:val="00670A55"/>
    <w:rsid w:val="00670D06"/>
    <w:rsid w:val="006712E3"/>
    <w:rsid w:val="00671430"/>
    <w:rsid w:val="00671791"/>
    <w:rsid w:val="0067194A"/>
    <w:rsid w:val="00671985"/>
    <w:rsid w:val="00671A23"/>
    <w:rsid w:val="00671AF4"/>
    <w:rsid w:val="00671E1B"/>
    <w:rsid w:val="00672163"/>
    <w:rsid w:val="00672618"/>
    <w:rsid w:val="00672C52"/>
    <w:rsid w:val="00672D5C"/>
    <w:rsid w:val="00673015"/>
    <w:rsid w:val="0067356A"/>
    <w:rsid w:val="0067361F"/>
    <w:rsid w:val="006737AB"/>
    <w:rsid w:val="006739CB"/>
    <w:rsid w:val="00673A61"/>
    <w:rsid w:val="00673EF1"/>
    <w:rsid w:val="00674134"/>
    <w:rsid w:val="0067454B"/>
    <w:rsid w:val="00674666"/>
    <w:rsid w:val="00674A47"/>
    <w:rsid w:val="00674E0B"/>
    <w:rsid w:val="00674F4F"/>
    <w:rsid w:val="00675240"/>
    <w:rsid w:val="00675746"/>
    <w:rsid w:val="006758C3"/>
    <w:rsid w:val="00675AA3"/>
    <w:rsid w:val="00675AD3"/>
    <w:rsid w:val="00675E6D"/>
    <w:rsid w:val="00675ECD"/>
    <w:rsid w:val="0067622C"/>
    <w:rsid w:val="00676580"/>
    <w:rsid w:val="00676A82"/>
    <w:rsid w:val="00676D08"/>
    <w:rsid w:val="00676EE2"/>
    <w:rsid w:val="00676FFA"/>
    <w:rsid w:val="0067737A"/>
    <w:rsid w:val="006773C8"/>
    <w:rsid w:val="006775AD"/>
    <w:rsid w:val="006777D0"/>
    <w:rsid w:val="00677EB6"/>
    <w:rsid w:val="006800ED"/>
    <w:rsid w:val="0068013B"/>
    <w:rsid w:val="0068039D"/>
    <w:rsid w:val="00680503"/>
    <w:rsid w:val="00680593"/>
    <w:rsid w:val="0068064A"/>
    <w:rsid w:val="00680674"/>
    <w:rsid w:val="00680CE5"/>
    <w:rsid w:val="00680E46"/>
    <w:rsid w:val="00680F7C"/>
    <w:rsid w:val="0068105B"/>
    <w:rsid w:val="00681150"/>
    <w:rsid w:val="0068163A"/>
    <w:rsid w:val="00681F51"/>
    <w:rsid w:val="00682217"/>
    <w:rsid w:val="006822C4"/>
    <w:rsid w:val="00682741"/>
    <w:rsid w:val="006827C8"/>
    <w:rsid w:val="006827F8"/>
    <w:rsid w:val="00682DDA"/>
    <w:rsid w:val="00682EFC"/>
    <w:rsid w:val="00682F18"/>
    <w:rsid w:val="00682FB4"/>
    <w:rsid w:val="006834FF"/>
    <w:rsid w:val="00683612"/>
    <w:rsid w:val="00683735"/>
    <w:rsid w:val="006837AC"/>
    <w:rsid w:val="006837E7"/>
    <w:rsid w:val="00683A17"/>
    <w:rsid w:val="00683A96"/>
    <w:rsid w:val="00683BFE"/>
    <w:rsid w:val="00683D96"/>
    <w:rsid w:val="00683DFD"/>
    <w:rsid w:val="00684DE2"/>
    <w:rsid w:val="00684F8B"/>
    <w:rsid w:val="00685056"/>
    <w:rsid w:val="0068546D"/>
    <w:rsid w:val="006859E8"/>
    <w:rsid w:val="006863DC"/>
    <w:rsid w:val="00686871"/>
    <w:rsid w:val="0068701E"/>
    <w:rsid w:val="0068711B"/>
    <w:rsid w:val="00687226"/>
    <w:rsid w:val="006874B3"/>
    <w:rsid w:val="00687530"/>
    <w:rsid w:val="0068770A"/>
    <w:rsid w:val="00687832"/>
    <w:rsid w:val="00687C3C"/>
    <w:rsid w:val="00687D11"/>
    <w:rsid w:val="006900CF"/>
    <w:rsid w:val="00690EC7"/>
    <w:rsid w:val="00690FFE"/>
    <w:rsid w:val="0069125A"/>
    <w:rsid w:val="00691624"/>
    <w:rsid w:val="0069171F"/>
    <w:rsid w:val="0069179E"/>
    <w:rsid w:val="0069185A"/>
    <w:rsid w:val="0069221D"/>
    <w:rsid w:val="00692377"/>
    <w:rsid w:val="00692554"/>
    <w:rsid w:val="00692755"/>
    <w:rsid w:val="006927A9"/>
    <w:rsid w:val="00692896"/>
    <w:rsid w:val="00692B7A"/>
    <w:rsid w:val="00693357"/>
    <w:rsid w:val="0069382A"/>
    <w:rsid w:val="00693926"/>
    <w:rsid w:val="00693A9E"/>
    <w:rsid w:val="00693B5F"/>
    <w:rsid w:val="00693D51"/>
    <w:rsid w:val="00693F2B"/>
    <w:rsid w:val="00694244"/>
    <w:rsid w:val="006945D5"/>
    <w:rsid w:val="00694880"/>
    <w:rsid w:val="00694AB9"/>
    <w:rsid w:val="00694D68"/>
    <w:rsid w:val="00695259"/>
    <w:rsid w:val="006952B7"/>
    <w:rsid w:val="006953C7"/>
    <w:rsid w:val="00695947"/>
    <w:rsid w:val="0069599C"/>
    <w:rsid w:val="00695BD6"/>
    <w:rsid w:val="00695C32"/>
    <w:rsid w:val="00696168"/>
    <w:rsid w:val="006964FC"/>
    <w:rsid w:val="00696512"/>
    <w:rsid w:val="00697088"/>
    <w:rsid w:val="006977DF"/>
    <w:rsid w:val="006978E4"/>
    <w:rsid w:val="00697AA7"/>
    <w:rsid w:val="00697C11"/>
    <w:rsid w:val="00697C28"/>
    <w:rsid w:val="00697D47"/>
    <w:rsid w:val="006A037D"/>
    <w:rsid w:val="006A0B98"/>
    <w:rsid w:val="006A0D91"/>
    <w:rsid w:val="006A0DA4"/>
    <w:rsid w:val="006A104F"/>
    <w:rsid w:val="006A121E"/>
    <w:rsid w:val="006A183F"/>
    <w:rsid w:val="006A1888"/>
    <w:rsid w:val="006A1A40"/>
    <w:rsid w:val="006A227A"/>
    <w:rsid w:val="006A24C4"/>
    <w:rsid w:val="006A25D3"/>
    <w:rsid w:val="006A2739"/>
    <w:rsid w:val="006A2B70"/>
    <w:rsid w:val="006A2DEF"/>
    <w:rsid w:val="006A3077"/>
    <w:rsid w:val="006A308D"/>
    <w:rsid w:val="006A35FB"/>
    <w:rsid w:val="006A3861"/>
    <w:rsid w:val="006A3895"/>
    <w:rsid w:val="006A3AA9"/>
    <w:rsid w:val="006A3B34"/>
    <w:rsid w:val="006A3B44"/>
    <w:rsid w:val="006A46E5"/>
    <w:rsid w:val="006A4B61"/>
    <w:rsid w:val="006A4D03"/>
    <w:rsid w:val="006A55C6"/>
    <w:rsid w:val="006A578D"/>
    <w:rsid w:val="006A6716"/>
    <w:rsid w:val="006A6B29"/>
    <w:rsid w:val="006A6C13"/>
    <w:rsid w:val="006A6C42"/>
    <w:rsid w:val="006A7178"/>
    <w:rsid w:val="006A71EE"/>
    <w:rsid w:val="006A7544"/>
    <w:rsid w:val="006A75AF"/>
    <w:rsid w:val="006A7B01"/>
    <w:rsid w:val="006B0076"/>
    <w:rsid w:val="006B032A"/>
    <w:rsid w:val="006B0548"/>
    <w:rsid w:val="006B0617"/>
    <w:rsid w:val="006B082A"/>
    <w:rsid w:val="006B0F09"/>
    <w:rsid w:val="006B0F61"/>
    <w:rsid w:val="006B0F6C"/>
    <w:rsid w:val="006B0FE1"/>
    <w:rsid w:val="006B1058"/>
    <w:rsid w:val="006B111F"/>
    <w:rsid w:val="006B11AC"/>
    <w:rsid w:val="006B15D7"/>
    <w:rsid w:val="006B19AE"/>
    <w:rsid w:val="006B2010"/>
    <w:rsid w:val="006B2305"/>
    <w:rsid w:val="006B2721"/>
    <w:rsid w:val="006B2811"/>
    <w:rsid w:val="006B3521"/>
    <w:rsid w:val="006B3ABE"/>
    <w:rsid w:val="006B3AD5"/>
    <w:rsid w:val="006B3FA3"/>
    <w:rsid w:val="006B40A2"/>
    <w:rsid w:val="006B4177"/>
    <w:rsid w:val="006B41CD"/>
    <w:rsid w:val="006B4B7D"/>
    <w:rsid w:val="006B4FD1"/>
    <w:rsid w:val="006B50F0"/>
    <w:rsid w:val="006B51A1"/>
    <w:rsid w:val="006B5244"/>
    <w:rsid w:val="006B5341"/>
    <w:rsid w:val="006B5893"/>
    <w:rsid w:val="006B5917"/>
    <w:rsid w:val="006B5CB3"/>
    <w:rsid w:val="006B5D23"/>
    <w:rsid w:val="006B6054"/>
    <w:rsid w:val="006B64B3"/>
    <w:rsid w:val="006B6A57"/>
    <w:rsid w:val="006B6C36"/>
    <w:rsid w:val="006B7132"/>
    <w:rsid w:val="006B73EF"/>
    <w:rsid w:val="006B77CD"/>
    <w:rsid w:val="006B7859"/>
    <w:rsid w:val="006B7F5A"/>
    <w:rsid w:val="006C024D"/>
    <w:rsid w:val="006C0736"/>
    <w:rsid w:val="006C082F"/>
    <w:rsid w:val="006C0BA6"/>
    <w:rsid w:val="006C0D30"/>
    <w:rsid w:val="006C0EA0"/>
    <w:rsid w:val="006C1185"/>
    <w:rsid w:val="006C12B8"/>
    <w:rsid w:val="006C1463"/>
    <w:rsid w:val="006C17CA"/>
    <w:rsid w:val="006C1A30"/>
    <w:rsid w:val="006C1A71"/>
    <w:rsid w:val="006C1AAC"/>
    <w:rsid w:val="006C1E25"/>
    <w:rsid w:val="006C1F07"/>
    <w:rsid w:val="006C210E"/>
    <w:rsid w:val="006C2122"/>
    <w:rsid w:val="006C221E"/>
    <w:rsid w:val="006C2276"/>
    <w:rsid w:val="006C235D"/>
    <w:rsid w:val="006C23DC"/>
    <w:rsid w:val="006C251B"/>
    <w:rsid w:val="006C2ABB"/>
    <w:rsid w:val="006C2C15"/>
    <w:rsid w:val="006C2C4C"/>
    <w:rsid w:val="006C2C6B"/>
    <w:rsid w:val="006C2E3C"/>
    <w:rsid w:val="006C319D"/>
    <w:rsid w:val="006C31F9"/>
    <w:rsid w:val="006C320D"/>
    <w:rsid w:val="006C32C2"/>
    <w:rsid w:val="006C3335"/>
    <w:rsid w:val="006C3401"/>
    <w:rsid w:val="006C3C0C"/>
    <w:rsid w:val="006C3D60"/>
    <w:rsid w:val="006C3E72"/>
    <w:rsid w:val="006C40B6"/>
    <w:rsid w:val="006C42B6"/>
    <w:rsid w:val="006C435D"/>
    <w:rsid w:val="006C4496"/>
    <w:rsid w:val="006C4721"/>
    <w:rsid w:val="006C4774"/>
    <w:rsid w:val="006C4BEF"/>
    <w:rsid w:val="006C4DEA"/>
    <w:rsid w:val="006C4E1E"/>
    <w:rsid w:val="006C4F5B"/>
    <w:rsid w:val="006C51A4"/>
    <w:rsid w:val="006C5223"/>
    <w:rsid w:val="006C5C18"/>
    <w:rsid w:val="006C5D47"/>
    <w:rsid w:val="006C62E4"/>
    <w:rsid w:val="006C632E"/>
    <w:rsid w:val="006C6B73"/>
    <w:rsid w:val="006C6BE5"/>
    <w:rsid w:val="006C6D07"/>
    <w:rsid w:val="006C6D4A"/>
    <w:rsid w:val="006C6F03"/>
    <w:rsid w:val="006C712C"/>
    <w:rsid w:val="006C7173"/>
    <w:rsid w:val="006C7280"/>
    <w:rsid w:val="006C72E4"/>
    <w:rsid w:val="006C757B"/>
    <w:rsid w:val="006C790F"/>
    <w:rsid w:val="006C7956"/>
    <w:rsid w:val="006C7A10"/>
    <w:rsid w:val="006D002D"/>
    <w:rsid w:val="006D006A"/>
    <w:rsid w:val="006D00D4"/>
    <w:rsid w:val="006D0270"/>
    <w:rsid w:val="006D05CE"/>
    <w:rsid w:val="006D08B8"/>
    <w:rsid w:val="006D0D2B"/>
    <w:rsid w:val="006D0FAD"/>
    <w:rsid w:val="006D1451"/>
    <w:rsid w:val="006D169A"/>
    <w:rsid w:val="006D16C1"/>
    <w:rsid w:val="006D19BA"/>
    <w:rsid w:val="006D1B07"/>
    <w:rsid w:val="006D1FF8"/>
    <w:rsid w:val="006D226F"/>
    <w:rsid w:val="006D23E5"/>
    <w:rsid w:val="006D2412"/>
    <w:rsid w:val="006D2B4D"/>
    <w:rsid w:val="006D2CC0"/>
    <w:rsid w:val="006D2CEB"/>
    <w:rsid w:val="006D327B"/>
    <w:rsid w:val="006D33FE"/>
    <w:rsid w:val="006D3413"/>
    <w:rsid w:val="006D3450"/>
    <w:rsid w:val="006D36F0"/>
    <w:rsid w:val="006D37DD"/>
    <w:rsid w:val="006D3BCE"/>
    <w:rsid w:val="006D3D9E"/>
    <w:rsid w:val="006D44AC"/>
    <w:rsid w:val="006D4AC4"/>
    <w:rsid w:val="006D4B08"/>
    <w:rsid w:val="006D4C56"/>
    <w:rsid w:val="006D4C63"/>
    <w:rsid w:val="006D4C6E"/>
    <w:rsid w:val="006D4ED7"/>
    <w:rsid w:val="006D5310"/>
    <w:rsid w:val="006D5497"/>
    <w:rsid w:val="006D5536"/>
    <w:rsid w:val="006D56C7"/>
    <w:rsid w:val="006D58F1"/>
    <w:rsid w:val="006D5C2A"/>
    <w:rsid w:val="006D6008"/>
    <w:rsid w:val="006D6018"/>
    <w:rsid w:val="006D6585"/>
    <w:rsid w:val="006D67DB"/>
    <w:rsid w:val="006D6E62"/>
    <w:rsid w:val="006D6FCF"/>
    <w:rsid w:val="006D7112"/>
    <w:rsid w:val="006D7438"/>
    <w:rsid w:val="006D7555"/>
    <w:rsid w:val="006D77B1"/>
    <w:rsid w:val="006D7C8D"/>
    <w:rsid w:val="006D7C9F"/>
    <w:rsid w:val="006D7D56"/>
    <w:rsid w:val="006E01A2"/>
    <w:rsid w:val="006E01C5"/>
    <w:rsid w:val="006E01C9"/>
    <w:rsid w:val="006E0402"/>
    <w:rsid w:val="006E055D"/>
    <w:rsid w:val="006E06E4"/>
    <w:rsid w:val="006E0989"/>
    <w:rsid w:val="006E0A1E"/>
    <w:rsid w:val="006E0DFC"/>
    <w:rsid w:val="006E10AB"/>
    <w:rsid w:val="006E1131"/>
    <w:rsid w:val="006E1659"/>
    <w:rsid w:val="006E1841"/>
    <w:rsid w:val="006E186D"/>
    <w:rsid w:val="006E1A63"/>
    <w:rsid w:val="006E1C19"/>
    <w:rsid w:val="006E223F"/>
    <w:rsid w:val="006E229D"/>
    <w:rsid w:val="006E2539"/>
    <w:rsid w:val="006E2584"/>
    <w:rsid w:val="006E2716"/>
    <w:rsid w:val="006E275B"/>
    <w:rsid w:val="006E296A"/>
    <w:rsid w:val="006E3126"/>
    <w:rsid w:val="006E3564"/>
    <w:rsid w:val="006E3B6C"/>
    <w:rsid w:val="006E3BC5"/>
    <w:rsid w:val="006E3D3A"/>
    <w:rsid w:val="006E4389"/>
    <w:rsid w:val="006E4A6D"/>
    <w:rsid w:val="006E4E1B"/>
    <w:rsid w:val="006E4F91"/>
    <w:rsid w:val="006E524F"/>
    <w:rsid w:val="006E5524"/>
    <w:rsid w:val="006E553B"/>
    <w:rsid w:val="006E5724"/>
    <w:rsid w:val="006E5946"/>
    <w:rsid w:val="006E5BF2"/>
    <w:rsid w:val="006E5CAE"/>
    <w:rsid w:val="006E5D2D"/>
    <w:rsid w:val="006E5E4C"/>
    <w:rsid w:val="006E695E"/>
    <w:rsid w:val="006E6BB7"/>
    <w:rsid w:val="006E6E09"/>
    <w:rsid w:val="006E6F40"/>
    <w:rsid w:val="006E728E"/>
    <w:rsid w:val="006E7612"/>
    <w:rsid w:val="006E787C"/>
    <w:rsid w:val="006E789C"/>
    <w:rsid w:val="006E78F0"/>
    <w:rsid w:val="006E7929"/>
    <w:rsid w:val="006E7B23"/>
    <w:rsid w:val="006E7E73"/>
    <w:rsid w:val="006E7F54"/>
    <w:rsid w:val="006F0696"/>
    <w:rsid w:val="006F0776"/>
    <w:rsid w:val="006F0D79"/>
    <w:rsid w:val="006F11B1"/>
    <w:rsid w:val="006F18A5"/>
    <w:rsid w:val="006F1AFE"/>
    <w:rsid w:val="006F1CA3"/>
    <w:rsid w:val="006F1CC4"/>
    <w:rsid w:val="006F1D16"/>
    <w:rsid w:val="006F2090"/>
    <w:rsid w:val="006F257A"/>
    <w:rsid w:val="006F25A4"/>
    <w:rsid w:val="006F2721"/>
    <w:rsid w:val="006F2829"/>
    <w:rsid w:val="006F29DE"/>
    <w:rsid w:val="006F2A99"/>
    <w:rsid w:val="006F2F40"/>
    <w:rsid w:val="006F3000"/>
    <w:rsid w:val="006F3153"/>
    <w:rsid w:val="006F3307"/>
    <w:rsid w:val="006F3321"/>
    <w:rsid w:val="006F34B5"/>
    <w:rsid w:val="006F368A"/>
    <w:rsid w:val="006F36C5"/>
    <w:rsid w:val="006F3CC4"/>
    <w:rsid w:val="006F4021"/>
    <w:rsid w:val="006F422C"/>
    <w:rsid w:val="006F4265"/>
    <w:rsid w:val="006F44B9"/>
    <w:rsid w:val="006F4FE3"/>
    <w:rsid w:val="006F541F"/>
    <w:rsid w:val="006F56B1"/>
    <w:rsid w:val="006F5B48"/>
    <w:rsid w:val="006F5CD3"/>
    <w:rsid w:val="006F5D3A"/>
    <w:rsid w:val="006F620D"/>
    <w:rsid w:val="006F62D3"/>
    <w:rsid w:val="006F72D5"/>
    <w:rsid w:val="006F7599"/>
    <w:rsid w:val="006F75BC"/>
    <w:rsid w:val="006F78B6"/>
    <w:rsid w:val="006F79E2"/>
    <w:rsid w:val="006F7A7E"/>
    <w:rsid w:val="00700326"/>
    <w:rsid w:val="007007B3"/>
    <w:rsid w:val="007008EC"/>
    <w:rsid w:val="007009C7"/>
    <w:rsid w:val="00700C1E"/>
    <w:rsid w:val="0070116A"/>
    <w:rsid w:val="00701266"/>
    <w:rsid w:val="00701AB5"/>
    <w:rsid w:val="00701B1A"/>
    <w:rsid w:val="00701FD5"/>
    <w:rsid w:val="00702005"/>
    <w:rsid w:val="0070207A"/>
    <w:rsid w:val="00702B71"/>
    <w:rsid w:val="00702F6F"/>
    <w:rsid w:val="007032F1"/>
    <w:rsid w:val="00703D6B"/>
    <w:rsid w:val="0070403B"/>
    <w:rsid w:val="00704059"/>
    <w:rsid w:val="0070435F"/>
    <w:rsid w:val="00704557"/>
    <w:rsid w:val="007046C6"/>
    <w:rsid w:val="0070497E"/>
    <w:rsid w:val="00704E24"/>
    <w:rsid w:val="007052DE"/>
    <w:rsid w:val="007053A8"/>
    <w:rsid w:val="00705A45"/>
    <w:rsid w:val="0070600C"/>
    <w:rsid w:val="007068C7"/>
    <w:rsid w:val="00706FAD"/>
    <w:rsid w:val="007073C5"/>
    <w:rsid w:val="0070746B"/>
    <w:rsid w:val="007075A9"/>
    <w:rsid w:val="00707689"/>
    <w:rsid w:val="00707B03"/>
    <w:rsid w:val="00707F1E"/>
    <w:rsid w:val="00710240"/>
    <w:rsid w:val="00710329"/>
    <w:rsid w:val="00710E29"/>
    <w:rsid w:val="007118B6"/>
    <w:rsid w:val="00711CA4"/>
    <w:rsid w:val="00711F93"/>
    <w:rsid w:val="00712AC2"/>
    <w:rsid w:val="00712E8F"/>
    <w:rsid w:val="0071300B"/>
    <w:rsid w:val="007130E7"/>
    <w:rsid w:val="007132BC"/>
    <w:rsid w:val="00713662"/>
    <w:rsid w:val="007138B6"/>
    <w:rsid w:val="00713CAA"/>
    <w:rsid w:val="00713D4A"/>
    <w:rsid w:val="00713F9C"/>
    <w:rsid w:val="007142E0"/>
    <w:rsid w:val="00714564"/>
    <w:rsid w:val="00714728"/>
    <w:rsid w:val="007147F3"/>
    <w:rsid w:val="00714A75"/>
    <w:rsid w:val="00715417"/>
    <w:rsid w:val="0071564C"/>
    <w:rsid w:val="00715768"/>
    <w:rsid w:val="00715BDD"/>
    <w:rsid w:val="007162C0"/>
    <w:rsid w:val="007164DD"/>
    <w:rsid w:val="00716EFD"/>
    <w:rsid w:val="007173A0"/>
    <w:rsid w:val="00717520"/>
    <w:rsid w:val="00717B67"/>
    <w:rsid w:val="00717FCD"/>
    <w:rsid w:val="007203AF"/>
    <w:rsid w:val="00720665"/>
    <w:rsid w:val="00720860"/>
    <w:rsid w:val="007208D1"/>
    <w:rsid w:val="0072096E"/>
    <w:rsid w:val="00720A3D"/>
    <w:rsid w:val="00720AB5"/>
    <w:rsid w:val="00720C3D"/>
    <w:rsid w:val="0072132E"/>
    <w:rsid w:val="007217AC"/>
    <w:rsid w:val="007219BE"/>
    <w:rsid w:val="00721EE7"/>
    <w:rsid w:val="00722164"/>
    <w:rsid w:val="00722345"/>
    <w:rsid w:val="007229D2"/>
    <w:rsid w:val="00722A56"/>
    <w:rsid w:val="00722BDD"/>
    <w:rsid w:val="00722D33"/>
    <w:rsid w:val="00722DC9"/>
    <w:rsid w:val="00723790"/>
    <w:rsid w:val="00723FD2"/>
    <w:rsid w:val="007240E7"/>
    <w:rsid w:val="007241AF"/>
    <w:rsid w:val="0072474D"/>
    <w:rsid w:val="007256A5"/>
    <w:rsid w:val="0072607D"/>
    <w:rsid w:val="00726477"/>
    <w:rsid w:val="00726B98"/>
    <w:rsid w:val="00726C7C"/>
    <w:rsid w:val="00726DBF"/>
    <w:rsid w:val="00726E64"/>
    <w:rsid w:val="00726F0D"/>
    <w:rsid w:val="007270A5"/>
    <w:rsid w:val="00727C80"/>
    <w:rsid w:val="00730640"/>
    <w:rsid w:val="007308AD"/>
    <w:rsid w:val="00730918"/>
    <w:rsid w:val="00730CC1"/>
    <w:rsid w:val="007316BD"/>
    <w:rsid w:val="007316EF"/>
    <w:rsid w:val="00731AE2"/>
    <w:rsid w:val="00731F94"/>
    <w:rsid w:val="00732013"/>
    <w:rsid w:val="0073265F"/>
    <w:rsid w:val="007329A9"/>
    <w:rsid w:val="00732B99"/>
    <w:rsid w:val="00732C30"/>
    <w:rsid w:val="00732C4A"/>
    <w:rsid w:val="00732D49"/>
    <w:rsid w:val="00732EE3"/>
    <w:rsid w:val="00733439"/>
    <w:rsid w:val="00733586"/>
    <w:rsid w:val="0073359A"/>
    <w:rsid w:val="00733677"/>
    <w:rsid w:val="00733BF7"/>
    <w:rsid w:val="00733E8A"/>
    <w:rsid w:val="007344CB"/>
    <w:rsid w:val="007346A8"/>
    <w:rsid w:val="00734849"/>
    <w:rsid w:val="00734C96"/>
    <w:rsid w:val="00734FCE"/>
    <w:rsid w:val="0073521F"/>
    <w:rsid w:val="0073548C"/>
    <w:rsid w:val="007354F6"/>
    <w:rsid w:val="00735711"/>
    <w:rsid w:val="0073572F"/>
    <w:rsid w:val="007359D8"/>
    <w:rsid w:val="00735DE6"/>
    <w:rsid w:val="00736019"/>
    <w:rsid w:val="00736A3B"/>
    <w:rsid w:val="00736D2A"/>
    <w:rsid w:val="00736E7D"/>
    <w:rsid w:val="00736EC7"/>
    <w:rsid w:val="007372EE"/>
    <w:rsid w:val="0073748F"/>
    <w:rsid w:val="00737691"/>
    <w:rsid w:val="00737750"/>
    <w:rsid w:val="00737D3E"/>
    <w:rsid w:val="00737E16"/>
    <w:rsid w:val="00737E79"/>
    <w:rsid w:val="007405BB"/>
    <w:rsid w:val="00740749"/>
    <w:rsid w:val="007407B9"/>
    <w:rsid w:val="007410E5"/>
    <w:rsid w:val="00741255"/>
    <w:rsid w:val="00741BF2"/>
    <w:rsid w:val="00742035"/>
    <w:rsid w:val="00742050"/>
    <w:rsid w:val="0074245A"/>
    <w:rsid w:val="007425F6"/>
    <w:rsid w:val="00742841"/>
    <w:rsid w:val="0074294E"/>
    <w:rsid w:val="00742D54"/>
    <w:rsid w:val="00742D7B"/>
    <w:rsid w:val="00743183"/>
    <w:rsid w:val="007433C3"/>
    <w:rsid w:val="00743845"/>
    <w:rsid w:val="00743D43"/>
    <w:rsid w:val="00743DCD"/>
    <w:rsid w:val="00743DFF"/>
    <w:rsid w:val="0074400C"/>
    <w:rsid w:val="00744612"/>
    <w:rsid w:val="0074473D"/>
    <w:rsid w:val="00745190"/>
    <w:rsid w:val="0074592E"/>
    <w:rsid w:val="00745DDE"/>
    <w:rsid w:val="00745EFB"/>
    <w:rsid w:val="00745FFC"/>
    <w:rsid w:val="00746167"/>
    <w:rsid w:val="007461BF"/>
    <w:rsid w:val="007466AC"/>
    <w:rsid w:val="0074672D"/>
    <w:rsid w:val="00746D05"/>
    <w:rsid w:val="00746D80"/>
    <w:rsid w:val="007472BC"/>
    <w:rsid w:val="0074741D"/>
    <w:rsid w:val="0074793B"/>
    <w:rsid w:val="00747A39"/>
    <w:rsid w:val="00747C21"/>
    <w:rsid w:val="007500C0"/>
    <w:rsid w:val="007500F5"/>
    <w:rsid w:val="00750D54"/>
    <w:rsid w:val="00750E24"/>
    <w:rsid w:val="00751061"/>
    <w:rsid w:val="00751125"/>
    <w:rsid w:val="00751464"/>
    <w:rsid w:val="00751569"/>
    <w:rsid w:val="0075158C"/>
    <w:rsid w:val="007516F7"/>
    <w:rsid w:val="007517F6"/>
    <w:rsid w:val="0075187D"/>
    <w:rsid w:val="00751D83"/>
    <w:rsid w:val="00751DA8"/>
    <w:rsid w:val="00751E67"/>
    <w:rsid w:val="00751F22"/>
    <w:rsid w:val="0075206D"/>
    <w:rsid w:val="007520BE"/>
    <w:rsid w:val="0075239B"/>
    <w:rsid w:val="007524C9"/>
    <w:rsid w:val="007527FD"/>
    <w:rsid w:val="00752DBB"/>
    <w:rsid w:val="007531B7"/>
    <w:rsid w:val="007531DD"/>
    <w:rsid w:val="007532AB"/>
    <w:rsid w:val="007535AE"/>
    <w:rsid w:val="00753DF0"/>
    <w:rsid w:val="00753FAE"/>
    <w:rsid w:val="00754005"/>
    <w:rsid w:val="00754256"/>
    <w:rsid w:val="00754388"/>
    <w:rsid w:val="00754A87"/>
    <w:rsid w:val="00754C36"/>
    <w:rsid w:val="00754C82"/>
    <w:rsid w:val="00754E7C"/>
    <w:rsid w:val="0075525F"/>
    <w:rsid w:val="00755430"/>
    <w:rsid w:val="0075567B"/>
    <w:rsid w:val="00755D72"/>
    <w:rsid w:val="00756068"/>
    <w:rsid w:val="00756944"/>
    <w:rsid w:val="00756A03"/>
    <w:rsid w:val="00756B47"/>
    <w:rsid w:val="00756C30"/>
    <w:rsid w:val="00756CA0"/>
    <w:rsid w:val="00757087"/>
    <w:rsid w:val="00760553"/>
    <w:rsid w:val="00760B87"/>
    <w:rsid w:val="00760F20"/>
    <w:rsid w:val="00760F61"/>
    <w:rsid w:val="00761400"/>
    <w:rsid w:val="00761481"/>
    <w:rsid w:val="0076175C"/>
    <w:rsid w:val="00761A03"/>
    <w:rsid w:val="00761AF9"/>
    <w:rsid w:val="00761C0E"/>
    <w:rsid w:val="00761F93"/>
    <w:rsid w:val="0076208E"/>
    <w:rsid w:val="007620D2"/>
    <w:rsid w:val="0076253C"/>
    <w:rsid w:val="007629D4"/>
    <w:rsid w:val="00762CD2"/>
    <w:rsid w:val="00763571"/>
    <w:rsid w:val="0076361C"/>
    <w:rsid w:val="007636AA"/>
    <w:rsid w:val="0076393D"/>
    <w:rsid w:val="00763A15"/>
    <w:rsid w:val="00763AF1"/>
    <w:rsid w:val="00763F20"/>
    <w:rsid w:val="00763FB2"/>
    <w:rsid w:val="00764040"/>
    <w:rsid w:val="007640B7"/>
    <w:rsid w:val="007644AC"/>
    <w:rsid w:val="00764539"/>
    <w:rsid w:val="007646EB"/>
    <w:rsid w:val="00764731"/>
    <w:rsid w:val="00764AF4"/>
    <w:rsid w:val="00764B4F"/>
    <w:rsid w:val="00765004"/>
    <w:rsid w:val="00765065"/>
    <w:rsid w:val="00765155"/>
    <w:rsid w:val="007651E0"/>
    <w:rsid w:val="00765288"/>
    <w:rsid w:val="0076537A"/>
    <w:rsid w:val="007654B3"/>
    <w:rsid w:val="00765618"/>
    <w:rsid w:val="007657C3"/>
    <w:rsid w:val="0076582C"/>
    <w:rsid w:val="00765AFD"/>
    <w:rsid w:val="00765B80"/>
    <w:rsid w:val="00765BC4"/>
    <w:rsid w:val="00765BD3"/>
    <w:rsid w:val="00766167"/>
    <w:rsid w:val="007664E7"/>
    <w:rsid w:val="00766604"/>
    <w:rsid w:val="0076662B"/>
    <w:rsid w:val="0076694B"/>
    <w:rsid w:val="00766C77"/>
    <w:rsid w:val="00766D1E"/>
    <w:rsid w:val="00766E87"/>
    <w:rsid w:val="007671A0"/>
    <w:rsid w:val="007671F7"/>
    <w:rsid w:val="00767267"/>
    <w:rsid w:val="007672B2"/>
    <w:rsid w:val="00767B75"/>
    <w:rsid w:val="00767F20"/>
    <w:rsid w:val="0077016E"/>
    <w:rsid w:val="00770531"/>
    <w:rsid w:val="00770A75"/>
    <w:rsid w:val="00770BFD"/>
    <w:rsid w:val="00770D27"/>
    <w:rsid w:val="0077161D"/>
    <w:rsid w:val="00771BF6"/>
    <w:rsid w:val="00771E53"/>
    <w:rsid w:val="0077230D"/>
    <w:rsid w:val="007725AB"/>
    <w:rsid w:val="0077278B"/>
    <w:rsid w:val="00772B80"/>
    <w:rsid w:val="00772FD9"/>
    <w:rsid w:val="007730CC"/>
    <w:rsid w:val="00773108"/>
    <w:rsid w:val="00773134"/>
    <w:rsid w:val="0077328A"/>
    <w:rsid w:val="00773538"/>
    <w:rsid w:val="007738E0"/>
    <w:rsid w:val="00774358"/>
    <w:rsid w:val="00774431"/>
    <w:rsid w:val="00774912"/>
    <w:rsid w:val="00774919"/>
    <w:rsid w:val="00774B88"/>
    <w:rsid w:val="007751FA"/>
    <w:rsid w:val="007754A4"/>
    <w:rsid w:val="007758E9"/>
    <w:rsid w:val="00775D1C"/>
    <w:rsid w:val="00776052"/>
    <w:rsid w:val="00776316"/>
    <w:rsid w:val="007763BD"/>
    <w:rsid w:val="007763C3"/>
    <w:rsid w:val="00776B04"/>
    <w:rsid w:val="00776B45"/>
    <w:rsid w:val="00776CE3"/>
    <w:rsid w:val="00776CE9"/>
    <w:rsid w:val="00776DAD"/>
    <w:rsid w:val="00776EDA"/>
    <w:rsid w:val="00777031"/>
    <w:rsid w:val="0077764B"/>
    <w:rsid w:val="00777974"/>
    <w:rsid w:val="00777C0A"/>
    <w:rsid w:val="00777FAA"/>
    <w:rsid w:val="007800B2"/>
    <w:rsid w:val="007801A2"/>
    <w:rsid w:val="00780329"/>
    <w:rsid w:val="00780488"/>
    <w:rsid w:val="00780890"/>
    <w:rsid w:val="007808CB"/>
    <w:rsid w:val="007812C9"/>
    <w:rsid w:val="0078155C"/>
    <w:rsid w:val="007815C3"/>
    <w:rsid w:val="007817A3"/>
    <w:rsid w:val="00781C18"/>
    <w:rsid w:val="007821D5"/>
    <w:rsid w:val="00782479"/>
    <w:rsid w:val="00782846"/>
    <w:rsid w:val="00782AA9"/>
    <w:rsid w:val="00782BC3"/>
    <w:rsid w:val="00783299"/>
    <w:rsid w:val="007833FE"/>
    <w:rsid w:val="00783794"/>
    <w:rsid w:val="00783AE1"/>
    <w:rsid w:val="00783BC6"/>
    <w:rsid w:val="00783ED5"/>
    <w:rsid w:val="007841F0"/>
    <w:rsid w:val="00784324"/>
    <w:rsid w:val="00784679"/>
    <w:rsid w:val="00784702"/>
    <w:rsid w:val="007849E7"/>
    <w:rsid w:val="00784EBE"/>
    <w:rsid w:val="00784EC6"/>
    <w:rsid w:val="00785197"/>
    <w:rsid w:val="007851C0"/>
    <w:rsid w:val="007858A6"/>
    <w:rsid w:val="00786702"/>
    <w:rsid w:val="00786A19"/>
    <w:rsid w:val="00786C81"/>
    <w:rsid w:val="00786CF8"/>
    <w:rsid w:val="00787029"/>
    <w:rsid w:val="0078732C"/>
    <w:rsid w:val="007875C7"/>
    <w:rsid w:val="00787738"/>
    <w:rsid w:val="00787890"/>
    <w:rsid w:val="00787A63"/>
    <w:rsid w:val="00787DDE"/>
    <w:rsid w:val="00790626"/>
    <w:rsid w:val="007908B2"/>
    <w:rsid w:val="00790FCA"/>
    <w:rsid w:val="00790FD7"/>
    <w:rsid w:val="007913BF"/>
    <w:rsid w:val="007916D0"/>
    <w:rsid w:val="007918C9"/>
    <w:rsid w:val="00791C60"/>
    <w:rsid w:val="00791EAB"/>
    <w:rsid w:val="00792022"/>
    <w:rsid w:val="007921E7"/>
    <w:rsid w:val="0079247B"/>
    <w:rsid w:val="00792691"/>
    <w:rsid w:val="007928D1"/>
    <w:rsid w:val="007928FD"/>
    <w:rsid w:val="0079291B"/>
    <w:rsid w:val="00792926"/>
    <w:rsid w:val="00792D99"/>
    <w:rsid w:val="00792E6E"/>
    <w:rsid w:val="00792F84"/>
    <w:rsid w:val="007931F0"/>
    <w:rsid w:val="007935A3"/>
    <w:rsid w:val="0079398C"/>
    <w:rsid w:val="0079399D"/>
    <w:rsid w:val="00793F3C"/>
    <w:rsid w:val="00793F66"/>
    <w:rsid w:val="0079422D"/>
    <w:rsid w:val="007947E6"/>
    <w:rsid w:val="0079482E"/>
    <w:rsid w:val="00794A51"/>
    <w:rsid w:val="00794C50"/>
    <w:rsid w:val="00794F0A"/>
    <w:rsid w:val="00795030"/>
    <w:rsid w:val="0079513D"/>
    <w:rsid w:val="00795251"/>
    <w:rsid w:val="0079560E"/>
    <w:rsid w:val="00795CB1"/>
    <w:rsid w:val="00795FCE"/>
    <w:rsid w:val="00796506"/>
    <w:rsid w:val="00796AAD"/>
    <w:rsid w:val="00796CD9"/>
    <w:rsid w:val="0079726B"/>
    <w:rsid w:val="0079757A"/>
    <w:rsid w:val="00797739"/>
    <w:rsid w:val="00797BBE"/>
    <w:rsid w:val="00797E2D"/>
    <w:rsid w:val="007A0294"/>
    <w:rsid w:val="007A0365"/>
    <w:rsid w:val="007A060D"/>
    <w:rsid w:val="007A066D"/>
    <w:rsid w:val="007A0B6F"/>
    <w:rsid w:val="007A0CC0"/>
    <w:rsid w:val="007A0F5D"/>
    <w:rsid w:val="007A10C9"/>
    <w:rsid w:val="007A11E9"/>
    <w:rsid w:val="007A1642"/>
    <w:rsid w:val="007A1E3E"/>
    <w:rsid w:val="007A1F00"/>
    <w:rsid w:val="007A2523"/>
    <w:rsid w:val="007A25CD"/>
    <w:rsid w:val="007A262B"/>
    <w:rsid w:val="007A2AA5"/>
    <w:rsid w:val="007A2AD9"/>
    <w:rsid w:val="007A2DBB"/>
    <w:rsid w:val="007A3155"/>
    <w:rsid w:val="007A3591"/>
    <w:rsid w:val="007A375A"/>
    <w:rsid w:val="007A39C7"/>
    <w:rsid w:val="007A3B28"/>
    <w:rsid w:val="007A3D26"/>
    <w:rsid w:val="007A3F24"/>
    <w:rsid w:val="007A41E2"/>
    <w:rsid w:val="007A4CE1"/>
    <w:rsid w:val="007A5A7F"/>
    <w:rsid w:val="007A5CC0"/>
    <w:rsid w:val="007A5D2D"/>
    <w:rsid w:val="007A6178"/>
    <w:rsid w:val="007A62FE"/>
    <w:rsid w:val="007A64DE"/>
    <w:rsid w:val="007A6535"/>
    <w:rsid w:val="007A6A07"/>
    <w:rsid w:val="007A6AF3"/>
    <w:rsid w:val="007A6F3C"/>
    <w:rsid w:val="007A7599"/>
    <w:rsid w:val="007A794F"/>
    <w:rsid w:val="007A7C78"/>
    <w:rsid w:val="007B0067"/>
    <w:rsid w:val="007B0152"/>
    <w:rsid w:val="007B0432"/>
    <w:rsid w:val="007B04FE"/>
    <w:rsid w:val="007B065F"/>
    <w:rsid w:val="007B06D9"/>
    <w:rsid w:val="007B072C"/>
    <w:rsid w:val="007B079E"/>
    <w:rsid w:val="007B07FE"/>
    <w:rsid w:val="007B0915"/>
    <w:rsid w:val="007B0EE2"/>
    <w:rsid w:val="007B14AC"/>
    <w:rsid w:val="007B1603"/>
    <w:rsid w:val="007B1901"/>
    <w:rsid w:val="007B1D34"/>
    <w:rsid w:val="007B1D50"/>
    <w:rsid w:val="007B1DF7"/>
    <w:rsid w:val="007B1EF8"/>
    <w:rsid w:val="007B1EFC"/>
    <w:rsid w:val="007B20B2"/>
    <w:rsid w:val="007B23EC"/>
    <w:rsid w:val="007B28D1"/>
    <w:rsid w:val="007B2C6C"/>
    <w:rsid w:val="007B2D5F"/>
    <w:rsid w:val="007B2E94"/>
    <w:rsid w:val="007B2FD7"/>
    <w:rsid w:val="007B3010"/>
    <w:rsid w:val="007B350F"/>
    <w:rsid w:val="007B377B"/>
    <w:rsid w:val="007B3C40"/>
    <w:rsid w:val="007B3E96"/>
    <w:rsid w:val="007B4683"/>
    <w:rsid w:val="007B48C9"/>
    <w:rsid w:val="007B49CD"/>
    <w:rsid w:val="007B5281"/>
    <w:rsid w:val="007B5347"/>
    <w:rsid w:val="007B54BB"/>
    <w:rsid w:val="007B5A78"/>
    <w:rsid w:val="007B5CEA"/>
    <w:rsid w:val="007B5E36"/>
    <w:rsid w:val="007B5F16"/>
    <w:rsid w:val="007B6146"/>
    <w:rsid w:val="007B6A8D"/>
    <w:rsid w:val="007B6C4E"/>
    <w:rsid w:val="007B6DCD"/>
    <w:rsid w:val="007B6E15"/>
    <w:rsid w:val="007B7089"/>
    <w:rsid w:val="007B7823"/>
    <w:rsid w:val="007B78C6"/>
    <w:rsid w:val="007B7BCC"/>
    <w:rsid w:val="007B7C3D"/>
    <w:rsid w:val="007B7FC8"/>
    <w:rsid w:val="007C00B7"/>
    <w:rsid w:val="007C0277"/>
    <w:rsid w:val="007C02C9"/>
    <w:rsid w:val="007C054E"/>
    <w:rsid w:val="007C055A"/>
    <w:rsid w:val="007C0677"/>
    <w:rsid w:val="007C0D16"/>
    <w:rsid w:val="007C0D37"/>
    <w:rsid w:val="007C0D60"/>
    <w:rsid w:val="007C115C"/>
    <w:rsid w:val="007C14A5"/>
    <w:rsid w:val="007C14B4"/>
    <w:rsid w:val="007C18D9"/>
    <w:rsid w:val="007C1AAD"/>
    <w:rsid w:val="007C1B9D"/>
    <w:rsid w:val="007C1D23"/>
    <w:rsid w:val="007C1E79"/>
    <w:rsid w:val="007C1EAE"/>
    <w:rsid w:val="007C20EE"/>
    <w:rsid w:val="007C2746"/>
    <w:rsid w:val="007C2879"/>
    <w:rsid w:val="007C2C75"/>
    <w:rsid w:val="007C2D83"/>
    <w:rsid w:val="007C2D98"/>
    <w:rsid w:val="007C2E78"/>
    <w:rsid w:val="007C375E"/>
    <w:rsid w:val="007C3900"/>
    <w:rsid w:val="007C3951"/>
    <w:rsid w:val="007C3992"/>
    <w:rsid w:val="007C4076"/>
    <w:rsid w:val="007C40DB"/>
    <w:rsid w:val="007C445F"/>
    <w:rsid w:val="007C45B9"/>
    <w:rsid w:val="007C470C"/>
    <w:rsid w:val="007C4A55"/>
    <w:rsid w:val="007C4DBF"/>
    <w:rsid w:val="007C51A5"/>
    <w:rsid w:val="007C52F9"/>
    <w:rsid w:val="007C5373"/>
    <w:rsid w:val="007C545A"/>
    <w:rsid w:val="007C5944"/>
    <w:rsid w:val="007C5A1D"/>
    <w:rsid w:val="007C5A7D"/>
    <w:rsid w:val="007C5B44"/>
    <w:rsid w:val="007C604A"/>
    <w:rsid w:val="007C63E4"/>
    <w:rsid w:val="007C6A61"/>
    <w:rsid w:val="007C6AC3"/>
    <w:rsid w:val="007C6E57"/>
    <w:rsid w:val="007C6F64"/>
    <w:rsid w:val="007C70F4"/>
    <w:rsid w:val="007C74D6"/>
    <w:rsid w:val="007C7E8F"/>
    <w:rsid w:val="007D0197"/>
    <w:rsid w:val="007D01E0"/>
    <w:rsid w:val="007D03C3"/>
    <w:rsid w:val="007D051B"/>
    <w:rsid w:val="007D08FE"/>
    <w:rsid w:val="007D0B4D"/>
    <w:rsid w:val="007D0F1C"/>
    <w:rsid w:val="007D121F"/>
    <w:rsid w:val="007D1274"/>
    <w:rsid w:val="007D1282"/>
    <w:rsid w:val="007D14F9"/>
    <w:rsid w:val="007D1C9E"/>
    <w:rsid w:val="007D1F6D"/>
    <w:rsid w:val="007D22F8"/>
    <w:rsid w:val="007D232B"/>
    <w:rsid w:val="007D259E"/>
    <w:rsid w:val="007D26B0"/>
    <w:rsid w:val="007D275E"/>
    <w:rsid w:val="007D29D3"/>
    <w:rsid w:val="007D2AD7"/>
    <w:rsid w:val="007D2AEC"/>
    <w:rsid w:val="007D2D86"/>
    <w:rsid w:val="007D2EBB"/>
    <w:rsid w:val="007D3004"/>
    <w:rsid w:val="007D3187"/>
    <w:rsid w:val="007D3527"/>
    <w:rsid w:val="007D3528"/>
    <w:rsid w:val="007D3560"/>
    <w:rsid w:val="007D3783"/>
    <w:rsid w:val="007D3B60"/>
    <w:rsid w:val="007D3CA0"/>
    <w:rsid w:val="007D3D5B"/>
    <w:rsid w:val="007D4139"/>
    <w:rsid w:val="007D4475"/>
    <w:rsid w:val="007D473A"/>
    <w:rsid w:val="007D4B5A"/>
    <w:rsid w:val="007D4FDD"/>
    <w:rsid w:val="007D5002"/>
    <w:rsid w:val="007D50D9"/>
    <w:rsid w:val="007D53F1"/>
    <w:rsid w:val="007D574C"/>
    <w:rsid w:val="007D5AAA"/>
    <w:rsid w:val="007D5BED"/>
    <w:rsid w:val="007D6376"/>
    <w:rsid w:val="007D6436"/>
    <w:rsid w:val="007D6540"/>
    <w:rsid w:val="007D69FA"/>
    <w:rsid w:val="007D6BCD"/>
    <w:rsid w:val="007D721E"/>
    <w:rsid w:val="007D73F5"/>
    <w:rsid w:val="007D74CC"/>
    <w:rsid w:val="007D75CE"/>
    <w:rsid w:val="007D7625"/>
    <w:rsid w:val="007D773C"/>
    <w:rsid w:val="007D7BEE"/>
    <w:rsid w:val="007D7BFC"/>
    <w:rsid w:val="007D7DA1"/>
    <w:rsid w:val="007D7DE0"/>
    <w:rsid w:val="007D7F2B"/>
    <w:rsid w:val="007D7FA1"/>
    <w:rsid w:val="007E0026"/>
    <w:rsid w:val="007E0A42"/>
    <w:rsid w:val="007E0DE4"/>
    <w:rsid w:val="007E0F01"/>
    <w:rsid w:val="007E1482"/>
    <w:rsid w:val="007E14DE"/>
    <w:rsid w:val="007E15B2"/>
    <w:rsid w:val="007E16F3"/>
    <w:rsid w:val="007E1728"/>
    <w:rsid w:val="007E176C"/>
    <w:rsid w:val="007E1A93"/>
    <w:rsid w:val="007E1B42"/>
    <w:rsid w:val="007E1BFE"/>
    <w:rsid w:val="007E1CB4"/>
    <w:rsid w:val="007E1CC8"/>
    <w:rsid w:val="007E1EA0"/>
    <w:rsid w:val="007E1F58"/>
    <w:rsid w:val="007E2468"/>
    <w:rsid w:val="007E25B1"/>
    <w:rsid w:val="007E27AD"/>
    <w:rsid w:val="007E2B15"/>
    <w:rsid w:val="007E309D"/>
    <w:rsid w:val="007E3659"/>
    <w:rsid w:val="007E36D2"/>
    <w:rsid w:val="007E36F8"/>
    <w:rsid w:val="007E38D5"/>
    <w:rsid w:val="007E3A09"/>
    <w:rsid w:val="007E3E54"/>
    <w:rsid w:val="007E4338"/>
    <w:rsid w:val="007E44F2"/>
    <w:rsid w:val="007E4741"/>
    <w:rsid w:val="007E4DAE"/>
    <w:rsid w:val="007E504A"/>
    <w:rsid w:val="007E54B4"/>
    <w:rsid w:val="007E57A8"/>
    <w:rsid w:val="007E585B"/>
    <w:rsid w:val="007E5ABF"/>
    <w:rsid w:val="007E5AF7"/>
    <w:rsid w:val="007E5CCB"/>
    <w:rsid w:val="007E5CEA"/>
    <w:rsid w:val="007E61F5"/>
    <w:rsid w:val="007E62C1"/>
    <w:rsid w:val="007E62EB"/>
    <w:rsid w:val="007E6311"/>
    <w:rsid w:val="007E632B"/>
    <w:rsid w:val="007E6EF9"/>
    <w:rsid w:val="007E7208"/>
    <w:rsid w:val="007E7222"/>
    <w:rsid w:val="007E72EE"/>
    <w:rsid w:val="007E773C"/>
    <w:rsid w:val="007E7742"/>
    <w:rsid w:val="007F068D"/>
    <w:rsid w:val="007F094A"/>
    <w:rsid w:val="007F0C82"/>
    <w:rsid w:val="007F0DB5"/>
    <w:rsid w:val="007F0E0A"/>
    <w:rsid w:val="007F1334"/>
    <w:rsid w:val="007F1394"/>
    <w:rsid w:val="007F1790"/>
    <w:rsid w:val="007F1C76"/>
    <w:rsid w:val="007F1D20"/>
    <w:rsid w:val="007F1D4E"/>
    <w:rsid w:val="007F2BD8"/>
    <w:rsid w:val="007F2FDD"/>
    <w:rsid w:val="007F3151"/>
    <w:rsid w:val="007F33AE"/>
    <w:rsid w:val="007F3913"/>
    <w:rsid w:val="007F39A9"/>
    <w:rsid w:val="007F3B3C"/>
    <w:rsid w:val="007F3DEE"/>
    <w:rsid w:val="007F3EBE"/>
    <w:rsid w:val="007F472A"/>
    <w:rsid w:val="007F4A91"/>
    <w:rsid w:val="007F4A9D"/>
    <w:rsid w:val="007F4B53"/>
    <w:rsid w:val="007F4F35"/>
    <w:rsid w:val="007F50F0"/>
    <w:rsid w:val="007F5104"/>
    <w:rsid w:val="007F517A"/>
    <w:rsid w:val="007F54BA"/>
    <w:rsid w:val="007F586C"/>
    <w:rsid w:val="007F5900"/>
    <w:rsid w:val="007F599E"/>
    <w:rsid w:val="007F5AC9"/>
    <w:rsid w:val="007F62F5"/>
    <w:rsid w:val="007F656E"/>
    <w:rsid w:val="007F65F0"/>
    <w:rsid w:val="007F6644"/>
    <w:rsid w:val="007F6706"/>
    <w:rsid w:val="007F6804"/>
    <w:rsid w:val="007F6928"/>
    <w:rsid w:val="007F6B76"/>
    <w:rsid w:val="007F71B3"/>
    <w:rsid w:val="007F71BF"/>
    <w:rsid w:val="007F7733"/>
    <w:rsid w:val="007F7A8B"/>
    <w:rsid w:val="007F7B70"/>
    <w:rsid w:val="007F7E26"/>
    <w:rsid w:val="00800020"/>
    <w:rsid w:val="008004F6"/>
    <w:rsid w:val="00800670"/>
    <w:rsid w:val="00800DA8"/>
    <w:rsid w:val="00800F73"/>
    <w:rsid w:val="00801123"/>
    <w:rsid w:val="0080118D"/>
    <w:rsid w:val="0080155E"/>
    <w:rsid w:val="00801C02"/>
    <w:rsid w:val="00801CF0"/>
    <w:rsid w:val="00802361"/>
    <w:rsid w:val="0080256B"/>
    <w:rsid w:val="00802644"/>
    <w:rsid w:val="008026F1"/>
    <w:rsid w:val="00802ACA"/>
    <w:rsid w:val="00802DC4"/>
    <w:rsid w:val="00802F31"/>
    <w:rsid w:val="008032DD"/>
    <w:rsid w:val="008038A0"/>
    <w:rsid w:val="008039CA"/>
    <w:rsid w:val="00803F72"/>
    <w:rsid w:val="00803FE2"/>
    <w:rsid w:val="00804209"/>
    <w:rsid w:val="00804245"/>
    <w:rsid w:val="00804786"/>
    <w:rsid w:val="008047A0"/>
    <w:rsid w:val="008047C8"/>
    <w:rsid w:val="0080480C"/>
    <w:rsid w:val="0080498D"/>
    <w:rsid w:val="008049E6"/>
    <w:rsid w:val="00804A97"/>
    <w:rsid w:val="00804C25"/>
    <w:rsid w:val="00804E13"/>
    <w:rsid w:val="00804E70"/>
    <w:rsid w:val="00805DAA"/>
    <w:rsid w:val="00805EB3"/>
    <w:rsid w:val="0080603D"/>
    <w:rsid w:val="00806434"/>
    <w:rsid w:val="008065F7"/>
    <w:rsid w:val="00806775"/>
    <w:rsid w:val="00806A0E"/>
    <w:rsid w:val="00806CC9"/>
    <w:rsid w:val="00806CF5"/>
    <w:rsid w:val="00807BF1"/>
    <w:rsid w:val="00807C16"/>
    <w:rsid w:val="00807CF0"/>
    <w:rsid w:val="00807E29"/>
    <w:rsid w:val="008101EE"/>
    <w:rsid w:val="008102E7"/>
    <w:rsid w:val="00810351"/>
    <w:rsid w:val="008104D7"/>
    <w:rsid w:val="008107E7"/>
    <w:rsid w:val="008107F5"/>
    <w:rsid w:val="00810BC7"/>
    <w:rsid w:val="00810C46"/>
    <w:rsid w:val="00810EF1"/>
    <w:rsid w:val="00811146"/>
    <w:rsid w:val="008113ED"/>
    <w:rsid w:val="008116FA"/>
    <w:rsid w:val="00811BE5"/>
    <w:rsid w:val="00811D3D"/>
    <w:rsid w:val="00811F73"/>
    <w:rsid w:val="00811FC1"/>
    <w:rsid w:val="008126C5"/>
    <w:rsid w:val="00812B35"/>
    <w:rsid w:val="00812E0C"/>
    <w:rsid w:val="00812F14"/>
    <w:rsid w:val="008130FE"/>
    <w:rsid w:val="008132A7"/>
    <w:rsid w:val="00813551"/>
    <w:rsid w:val="00813645"/>
    <w:rsid w:val="008139A2"/>
    <w:rsid w:val="00813A64"/>
    <w:rsid w:val="00813EE9"/>
    <w:rsid w:val="00813F6C"/>
    <w:rsid w:val="00814409"/>
    <w:rsid w:val="0081455B"/>
    <w:rsid w:val="00814941"/>
    <w:rsid w:val="00814C2F"/>
    <w:rsid w:val="00814CFE"/>
    <w:rsid w:val="00814F68"/>
    <w:rsid w:val="008150E8"/>
    <w:rsid w:val="0081585F"/>
    <w:rsid w:val="008166EE"/>
    <w:rsid w:val="008167E4"/>
    <w:rsid w:val="00816899"/>
    <w:rsid w:val="00816ADF"/>
    <w:rsid w:val="00816B3B"/>
    <w:rsid w:val="00816D92"/>
    <w:rsid w:val="00816DB9"/>
    <w:rsid w:val="00817235"/>
    <w:rsid w:val="00817525"/>
    <w:rsid w:val="0081770F"/>
    <w:rsid w:val="008179C9"/>
    <w:rsid w:val="008179CB"/>
    <w:rsid w:val="00817B3D"/>
    <w:rsid w:val="00817C66"/>
    <w:rsid w:val="00817CF1"/>
    <w:rsid w:val="00817F91"/>
    <w:rsid w:val="00820848"/>
    <w:rsid w:val="008209D5"/>
    <w:rsid w:val="00820A1D"/>
    <w:rsid w:val="00820A27"/>
    <w:rsid w:val="00820B6F"/>
    <w:rsid w:val="00820D07"/>
    <w:rsid w:val="008210CB"/>
    <w:rsid w:val="008210DD"/>
    <w:rsid w:val="00821253"/>
    <w:rsid w:val="00821437"/>
    <w:rsid w:val="008216ED"/>
    <w:rsid w:val="008217DD"/>
    <w:rsid w:val="00821968"/>
    <w:rsid w:val="0082197F"/>
    <w:rsid w:val="00821DD6"/>
    <w:rsid w:val="00821ECF"/>
    <w:rsid w:val="00822185"/>
    <w:rsid w:val="008221D4"/>
    <w:rsid w:val="008223A9"/>
    <w:rsid w:val="00822552"/>
    <w:rsid w:val="008227EB"/>
    <w:rsid w:val="00822B69"/>
    <w:rsid w:val="00822E48"/>
    <w:rsid w:val="008234D3"/>
    <w:rsid w:val="00823CFA"/>
    <w:rsid w:val="00823EA6"/>
    <w:rsid w:val="00823FF7"/>
    <w:rsid w:val="00824294"/>
    <w:rsid w:val="0082430F"/>
    <w:rsid w:val="00824398"/>
    <w:rsid w:val="008246B0"/>
    <w:rsid w:val="00824A48"/>
    <w:rsid w:val="00824B66"/>
    <w:rsid w:val="00824BAF"/>
    <w:rsid w:val="00824F34"/>
    <w:rsid w:val="008250F3"/>
    <w:rsid w:val="008253E2"/>
    <w:rsid w:val="00825441"/>
    <w:rsid w:val="00825480"/>
    <w:rsid w:val="008258EB"/>
    <w:rsid w:val="008259F9"/>
    <w:rsid w:val="00825A14"/>
    <w:rsid w:val="00825D98"/>
    <w:rsid w:val="00825DC1"/>
    <w:rsid w:val="00826092"/>
    <w:rsid w:val="0082636E"/>
    <w:rsid w:val="0082662D"/>
    <w:rsid w:val="00826632"/>
    <w:rsid w:val="00826706"/>
    <w:rsid w:val="0082696C"/>
    <w:rsid w:val="00826C33"/>
    <w:rsid w:val="00826E38"/>
    <w:rsid w:val="0082704C"/>
    <w:rsid w:val="008275B7"/>
    <w:rsid w:val="00827653"/>
    <w:rsid w:val="008276A6"/>
    <w:rsid w:val="008277CF"/>
    <w:rsid w:val="0082787E"/>
    <w:rsid w:val="00827BA6"/>
    <w:rsid w:val="00827E7B"/>
    <w:rsid w:val="008300C7"/>
    <w:rsid w:val="008305EA"/>
    <w:rsid w:val="008309A4"/>
    <w:rsid w:val="00830E5B"/>
    <w:rsid w:val="00831164"/>
    <w:rsid w:val="0083223C"/>
    <w:rsid w:val="00832302"/>
    <w:rsid w:val="00832345"/>
    <w:rsid w:val="0083236E"/>
    <w:rsid w:val="008323D7"/>
    <w:rsid w:val="008326E2"/>
    <w:rsid w:val="00832957"/>
    <w:rsid w:val="00832AAB"/>
    <w:rsid w:val="00832C24"/>
    <w:rsid w:val="00832C82"/>
    <w:rsid w:val="00832DA2"/>
    <w:rsid w:val="0083391E"/>
    <w:rsid w:val="00833E78"/>
    <w:rsid w:val="0083406C"/>
    <w:rsid w:val="00834102"/>
    <w:rsid w:val="0083419B"/>
    <w:rsid w:val="0083449A"/>
    <w:rsid w:val="00834894"/>
    <w:rsid w:val="00834A88"/>
    <w:rsid w:val="00834C8A"/>
    <w:rsid w:val="008350F2"/>
    <w:rsid w:val="0083526D"/>
    <w:rsid w:val="00835D44"/>
    <w:rsid w:val="00835E19"/>
    <w:rsid w:val="00835EA9"/>
    <w:rsid w:val="0083601E"/>
    <w:rsid w:val="008369D2"/>
    <w:rsid w:val="00836CE6"/>
    <w:rsid w:val="00836FBF"/>
    <w:rsid w:val="00837092"/>
    <w:rsid w:val="00837615"/>
    <w:rsid w:val="0083773F"/>
    <w:rsid w:val="008405E0"/>
    <w:rsid w:val="008405F6"/>
    <w:rsid w:val="008408F9"/>
    <w:rsid w:val="00840B14"/>
    <w:rsid w:val="00840BBE"/>
    <w:rsid w:val="00840C1A"/>
    <w:rsid w:val="00840C5E"/>
    <w:rsid w:val="00840C80"/>
    <w:rsid w:val="00841024"/>
    <w:rsid w:val="008412E9"/>
    <w:rsid w:val="00841321"/>
    <w:rsid w:val="00841368"/>
    <w:rsid w:val="008415C4"/>
    <w:rsid w:val="008418FF"/>
    <w:rsid w:val="008419D4"/>
    <w:rsid w:val="00841B9A"/>
    <w:rsid w:val="00841ECB"/>
    <w:rsid w:val="008420EB"/>
    <w:rsid w:val="0084224C"/>
    <w:rsid w:val="008422AA"/>
    <w:rsid w:val="0084238E"/>
    <w:rsid w:val="0084246C"/>
    <w:rsid w:val="00842533"/>
    <w:rsid w:val="00842754"/>
    <w:rsid w:val="008429A9"/>
    <w:rsid w:val="0084317B"/>
    <w:rsid w:val="008432D0"/>
    <w:rsid w:val="0084343F"/>
    <w:rsid w:val="008436CA"/>
    <w:rsid w:val="008438FE"/>
    <w:rsid w:val="00843C87"/>
    <w:rsid w:val="00843CB8"/>
    <w:rsid w:val="008440E2"/>
    <w:rsid w:val="008441F9"/>
    <w:rsid w:val="00844797"/>
    <w:rsid w:val="0084479E"/>
    <w:rsid w:val="00844A48"/>
    <w:rsid w:val="00844CD4"/>
    <w:rsid w:val="0084510B"/>
    <w:rsid w:val="0084544E"/>
    <w:rsid w:val="00845482"/>
    <w:rsid w:val="008454D7"/>
    <w:rsid w:val="00845950"/>
    <w:rsid w:val="00845B28"/>
    <w:rsid w:val="00845C54"/>
    <w:rsid w:val="00845DEE"/>
    <w:rsid w:val="00845F27"/>
    <w:rsid w:val="00845F6A"/>
    <w:rsid w:val="008460FC"/>
    <w:rsid w:val="008461A6"/>
    <w:rsid w:val="00846271"/>
    <w:rsid w:val="00846553"/>
    <w:rsid w:val="00846646"/>
    <w:rsid w:val="008467F4"/>
    <w:rsid w:val="00846B84"/>
    <w:rsid w:val="00846DF7"/>
    <w:rsid w:val="008471C0"/>
    <w:rsid w:val="0084739A"/>
    <w:rsid w:val="008474B2"/>
    <w:rsid w:val="008477F1"/>
    <w:rsid w:val="008478E6"/>
    <w:rsid w:val="0084799B"/>
    <w:rsid w:val="00847B56"/>
    <w:rsid w:val="00847C09"/>
    <w:rsid w:val="00847C4A"/>
    <w:rsid w:val="00847CFB"/>
    <w:rsid w:val="00850493"/>
    <w:rsid w:val="008507E2"/>
    <w:rsid w:val="0085081F"/>
    <w:rsid w:val="00850C35"/>
    <w:rsid w:val="00850C45"/>
    <w:rsid w:val="0085100A"/>
    <w:rsid w:val="00851649"/>
    <w:rsid w:val="00851A09"/>
    <w:rsid w:val="00851A40"/>
    <w:rsid w:val="00851A70"/>
    <w:rsid w:val="00851AD0"/>
    <w:rsid w:val="00851D48"/>
    <w:rsid w:val="00851FF5"/>
    <w:rsid w:val="0085223C"/>
    <w:rsid w:val="0085249B"/>
    <w:rsid w:val="00852756"/>
    <w:rsid w:val="00852892"/>
    <w:rsid w:val="00852A46"/>
    <w:rsid w:val="00852CCF"/>
    <w:rsid w:val="00853209"/>
    <w:rsid w:val="00853225"/>
    <w:rsid w:val="0085331B"/>
    <w:rsid w:val="008534E5"/>
    <w:rsid w:val="00853707"/>
    <w:rsid w:val="008537C1"/>
    <w:rsid w:val="00853907"/>
    <w:rsid w:val="00853D7C"/>
    <w:rsid w:val="00854066"/>
    <w:rsid w:val="0085420D"/>
    <w:rsid w:val="00854659"/>
    <w:rsid w:val="00854799"/>
    <w:rsid w:val="00854921"/>
    <w:rsid w:val="00854C15"/>
    <w:rsid w:val="00854C9B"/>
    <w:rsid w:val="00854D4F"/>
    <w:rsid w:val="00854FE3"/>
    <w:rsid w:val="0085523D"/>
    <w:rsid w:val="00855514"/>
    <w:rsid w:val="008556F2"/>
    <w:rsid w:val="008566E3"/>
    <w:rsid w:val="00856845"/>
    <w:rsid w:val="00856B13"/>
    <w:rsid w:val="00856B15"/>
    <w:rsid w:val="0085704E"/>
    <w:rsid w:val="00857168"/>
    <w:rsid w:val="008576D8"/>
    <w:rsid w:val="00857731"/>
    <w:rsid w:val="00857F62"/>
    <w:rsid w:val="00857FF1"/>
    <w:rsid w:val="008600EF"/>
    <w:rsid w:val="0086018E"/>
    <w:rsid w:val="008603A0"/>
    <w:rsid w:val="0086049D"/>
    <w:rsid w:val="00860C07"/>
    <w:rsid w:val="00860F4F"/>
    <w:rsid w:val="00861095"/>
    <w:rsid w:val="008618E8"/>
    <w:rsid w:val="00861B56"/>
    <w:rsid w:val="00862121"/>
    <w:rsid w:val="0086255A"/>
    <w:rsid w:val="00862685"/>
    <w:rsid w:val="00862B05"/>
    <w:rsid w:val="00862E2B"/>
    <w:rsid w:val="00862EC9"/>
    <w:rsid w:val="00862F10"/>
    <w:rsid w:val="00862F32"/>
    <w:rsid w:val="00863978"/>
    <w:rsid w:val="00863DBE"/>
    <w:rsid w:val="00863E7B"/>
    <w:rsid w:val="00863F03"/>
    <w:rsid w:val="00864A32"/>
    <w:rsid w:val="00864B45"/>
    <w:rsid w:val="00864C7A"/>
    <w:rsid w:val="00864D5E"/>
    <w:rsid w:val="00865314"/>
    <w:rsid w:val="008653D1"/>
    <w:rsid w:val="008656F4"/>
    <w:rsid w:val="00865C78"/>
    <w:rsid w:val="00865D29"/>
    <w:rsid w:val="00865E84"/>
    <w:rsid w:val="00866570"/>
    <w:rsid w:val="008665AA"/>
    <w:rsid w:val="008668D7"/>
    <w:rsid w:val="00866C0C"/>
    <w:rsid w:val="0086706A"/>
    <w:rsid w:val="008670F0"/>
    <w:rsid w:val="00867380"/>
    <w:rsid w:val="00867556"/>
    <w:rsid w:val="0086756A"/>
    <w:rsid w:val="00867766"/>
    <w:rsid w:val="00867ACC"/>
    <w:rsid w:val="008700B1"/>
    <w:rsid w:val="0087010D"/>
    <w:rsid w:val="008701DC"/>
    <w:rsid w:val="00870292"/>
    <w:rsid w:val="008703A5"/>
    <w:rsid w:val="00870C19"/>
    <w:rsid w:val="00870EC5"/>
    <w:rsid w:val="00870F8E"/>
    <w:rsid w:val="00870F96"/>
    <w:rsid w:val="00870FE4"/>
    <w:rsid w:val="008712F6"/>
    <w:rsid w:val="00871354"/>
    <w:rsid w:val="008713EE"/>
    <w:rsid w:val="0087151C"/>
    <w:rsid w:val="0087191E"/>
    <w:rsid w:val="00871983"/>
    <w:rsid w:val="00871CD9"/>
    <w:rsid w:val="0087222F"/>
    <w:rsid w:val="00872410"/>
    <w:rsid w:val="00872646"/>
    <w:rsid w:val="0087271F"/>
    <w:rsid w:val="00872AD6"/>
    <w:rsid w:val="00873715"/>
    <w:rsid w:val="008737BB"/>
    <w:rsid w:val="00873D36"/>
    <w:rsid w:val="00873D97"/>
    <w:rsid w:val="008747B7"/>
    <w:rsid w:val="0087480A"/>
    <w:rsid w:val="0087523F"/>
    <w:rsid w:val="00875501"/>
    <w:rsid w:val="008755E9"/>
    <w:rsid w:val="0087598A"/>
    <w:rsid w:val="00875BE5"/>
    <w:rsid w:val="00875FD1"/>
    <w:rsid w:val="00876968"/>
    <w:rsid w:val="00876B86"/>
    <w:rsid w:val="0087716C"/>
    <w:rsid w:val="008772E4"/>
    <w:rsid w:val="008774D1"/>
    <w:rsid w:val="008774FE"/>
    <w:rsid w:val="00877BCA"/>
    <w:rsid w:val="00877E11"/>
    <w:rsid w:val="00880247"/>
    <w:rsid w:val="0088077B"/>
    <w:rsid w:val="008808FB"/>
    <w:rsid w:val="0088091D"/>
    <w:rsid w:val="00880A31"/>
    <w:rsid w:val="00880D7C"/>
    <w:rsid w:val="00881236"/>
    <w:rsid w:val="00881325"/>
    <w:rsid w:val="00881441"/>
    <w:rsid w:val="008818CB"/>
    <w:rsid w:val="00881B7C"/>
    <w:rsid w:val="00881E0D"/>
    <w:rsid w:val="008822B1"/>
    <w:rsid w:val="00882605"/>
    <w:rsid w:val="00882AD9"/>
    <w:rsid w:val="00882B5A"/>
    <w:rsid w:val="00882C26"/>
    <w:rsid w:val="008830C9"/>
    <w:rsid w:val="00883406"/>
    <w:rsid w:val="008834CD"/>
    <w:rsid w:val="008834CE"/>
    <w:rsid w:val="00883590"/>
    <w:rsid w:val="00883860"/>
    <w:rsid w:val="00883916"/>
    <w:rsid w:val="00883B86"/>
    <w:rsid w:val="00883CE3"/>
    <w:rsid w:val="00883D9D"/>
    <w:rsid w:val="00883DA0"/>
    <w:rsid w:val="00883E73"/>
    <w:rsid w:val="00883FA3"/>
    <w:rsid w:val="00883FD0"/>
    <w:rsid w:val="0088402A"/>
    <w:rsid w:val="008840AC"/>
    <w:rsid w:val="008840DC"/>
    <w:rsid w:val="00884313"/>
    <w:rsid w:val="00884B4C"/>
    <w:rsid w:val="00884BAD"/>
    <w:rsid w:val="00884DCD"/>
    <w:rsid w:val="0088546E"/>
    <w:rsid w:val="00885536"/>
    <w:rsid w:val="008855D5"/>
    <w:rsid w:val="00885A14"/>
    <w:rsid w:val="00885C66"/>
    <w:rsid w:val="00885CAD"/>
    <w:rsid w:val="00885D50"/>
    <w:rsid w:val="0088640C"/>
    <w:rsid w:val="00886620"/>
    <w:rsid w:val="0088682B"/>
    <w:rsid w:val="00886861"/>
    <w:rsid w:val="00886CDB"/>
    <w:rsid w:val="0088720A"/>
    <w:rsid w:val="00887416"/>
    <w:rsid w:val="0088746C"/>
    <w:rsid w:val="00887A4A"/>
    <w:rsid w:val="00887A69"/>
    <w:rsid w:val="0089018C"/>
    <w:rsid w:val="00890425"/>
    <w:rsid w:val="00890A23"/>
    <w:rsid w:val="00890CAF"/>
    <w:rsid w:val="00890EAB"/>
    <w:rsid w:val="0089199B"/>
    <w:rsid w:val="00891D6D"/>
    <w:rsid w:val="0089232F"/>
    <w:rsid w:val="00892708"/>
    <w:rsid w:val="00892798"/>
    <w:rsid w:val="00892858"/>
    <w:rsid w:val="00892A0B"/>
    <w:rsid w:val="00892BB8"/>
    <w:rsid w:val="00892C41"/>
    <w:rsid w:val="00893360"/>
    <w:rsid w:val="00893399"/>
    <w:rsid w:val="0089354A"/>
    <w:rsid w:val="0089356C"/>
    <w:rsid w:val="00893817"/>
    <w:rsid w:val="00893BF2"/>
    <w:rsid w:val="00893E2B"/>
    <w:rsid w:val="00893E86"/>
    <w:rsid w:val="00893E9C"/>
    <w:rsid w:val="008940C2"/>
    <w:rsid w:val="00894129"/>
    <w:rsid w:val="00894177"/>
    <w:rsid w:val="00894291"/>
    <w:rsid w:val="008946CC"/>
    <w:rsid w:val="00894769"/>
    <w:rsid w:val="00894B53"/>
    <w:rsid w:val="00895075"/>
    <w:rsid w:val="008951E1"/>
    <w:rsid w:val="00895B17"/>
    <w:rsid w:val="00895BAE"/>
    <w:rsid w:val="00895F28"/>
    <w:rsid w:val="0089615D"/>
    <w:rsid w:val="0089643D"/>
    <w:rsid w:val="0089644E"/>
    <w:rsid w:val="00896808"/>
    <w:rsid w:val="00896A9F"/>
    <w:rsid w:val="00896B11"/>
    <w:rsid w:val="00896D60"/>
    <w:rsid w:val="00896DF9"/>
    <w:rsid w:val="00897218"/>
    <w:rsid w:val="0089725E"/>
    <w:rsid w:val="008974DE"/>
    <w:rsid w:val="00897505"/>
    <w:rsid w:val="00897789"/>
    <w:rsid w:val="00897BC7"/>
    <w:rsid w:val="00897FD3"/>
    <w:rsid w:val="008A02AC"/>
    <w:rsid w:val="008A0829"/>
    <w:rsid w:val="008A093B"/>
    <w:rsid w:val="008A0C19"/>
    <w:rsid w:val="008A0E3B"/>
    <w:rsid w:val="008A0EC6"/>
    <w:rsid w:val="008A10DB"/>
    <w:rsid w:val="008A1327"/>
    <w:rsid w:val="008A15AC"/>
    <w:rsid w:val="008A1D8A"/>
    <w:rsid w:val="008A2019"/>
    <w:rsid w:val="008A208C"/>
    <w:rsid w:val="008A252F"/>
    <w:rsid w:val="008A3016"/>
    <w:rsid w:val="008A302B"/>
    <w:rsid w:val="008A337E"/>
    <w:rsid w:val="008A3492"/>
    <w:rsid w:val="008A3673"/>
    <w:rsid w:val="008A402A"/>
    <w:rsid w:val="008A437B"/>
    <w:rsid w:val="008A471C"/>
    <w:rsid w:val="008A47A4"/>
    <w:rsid w:val="008A4A59"/>
    <w:rsid w:val="008A4CFB"/>
    <w:rsid w:val="008A5261"/>
    <w:rsid w:val="008A52E0"/>
    <w:rsid w:val="008A56A3"/>
    <w:rsid w:val="008A5722"/>
    <w:rsid w:val="008A5ADF"/>
    <w:rsid w:val="008A5DDC"/>
    <w:rsid w:val="008A5E7A"/>
    <w:rsid w:val="008A5F0F"/>
    <w:rsid w:val="008A6071"/>
    <w:rsid w:val="008A6449"/>
    <w:rsid w:val="008A647F"/>
    <w:rsid w:val="008A65E9"/>
    <w:rsid w:val="008A67D0"/>
    <w:rsid w:val="008A697B"/>
    <w:rsid w:val="008A6AFF"/>
    <w:rsid w:val="008A6D75"/>
    <w:rsid w:val="008A7115"/>
    <w:rsid w:val="008A7189"/>
    <w:rsid w:val="008A72CD"/>
    <w:rsid w:val="008A76F1"/>
    <w:rsid w:val="008A77FC"/>
    <w:rsid w:val="008A7D53"/>
    <w:rsid w:val="008A7F26"/>
    <w:rsid w:val="008A7F43"/>
    <w:rsid w:val="008A7F86"/>
    <w:rsid w:val="008B0320"/>
    <w:rsid w:val="008B0765"/>
    <w:rsid w:val="008B0981"/>
    <w:rsid w:val="008B0D1C"/>
    <w:rsid w:val="008B0F9B"/>
    <w:rsid w:val="008B1108"/>
    <w:rsid w:val="008B1245"/>
    <w:rsid w:val="008B194D"/>
    <w:rsid w:val="008B19C9"/>
    <w:rsid w:val="008B1B72"/>
    <w:rsid w:val="008B1BA6"/>
    <w:rsid w:val="008B1E39"/>
    <w:rsid w:val="008B1F68"/>
    <w:rsid w:val="008B2268"/>
    <w:rsid w:val="008B232A"/>
    <w:rsid w:val="008B27E4"/>
    <w:rsid w:val="008B363A"/>
    <w:rsid w:val="008B37EC"/>
    <w:rsid w:val="008B3AB1"/>
    <w:rsid w:val="008B3BE0"/>
    <w:rsid w:val="008B3DD7"/>
    <w:rsid w:val="008B3E96"/>
    <w:rsid w:val="008B43FE"/>
    <w:rsid w:val="008B44B5"/>
    <w:rsid w:val="008B496D"/>
    <w:rsid w:val="008B4B86"/>
    <w:rsid w:val="008B4B95"/>
    <w:rsid w:val="008B4CD4"/>
    <w:rsid w:val="008B4F91"/>
    <w:rsid w:val="008B507E"/>
    <w:rsid w:val="008B587B"/>
    <w:rsid w:val="008B58A9"/>
    <w:rsid w:val="008B59F3"/>
    <w:rsid w:val="008B5D3D"/>
    <w:rsid w:val="008B5F20"/>
    <w:rsid w:val="008B5FFC"/>
    <w:rsid w:val="008B63F3"/>
    <w:rsid w:val="008B64C2"/>
    <w:rsid w:val="008B674D"/>
    <w:rsid w:val="008B68A7"/>
    <w:rsid w:val="008B69CB"/>
    <w:rsid w:val="008B6B83"/>
    <w:rsid w:val="008B6D49"/>
    <w:rsid w:val="008B6E39"/>
    <w:rsid w:val="008B714E"/>
    <w:rsid w:val="008B7396"/>
    <w:rsid w:val="008B7BAC"/>
    <w:rsid w:val="008B7C53"/>
    <w:rsid w:val="008B7D2B"/>
    <w:rsid w:val="008B7FCD"/>
    <w:rsid w:val="008C03BD"/>
    <w:rsid w:val="008C049E"/>
    <w:rsid w:val="008C0625"/>
    <w:rsid w:val="008C089B"/>
    <w:rsid w:val="008C0A3B"/>
    <w:rsid w:val="008C1273"/>
    <w:rsid w:val="008C1289"/>
    <w:rsid w:val="008C1308"/>
    <w:rsid w:val="008C1675"/>
    <w:rsid w:val="008C16B2"/>
    <w:rsid w:val="008C1AF1"/>
    <w:rsid w:val="008C1B84"/>
    <w:rsid w:val="008C1FDF"/>
    <w:rsid w:val="008C20B7"/>
    <w:rsid w:val="008C2102"/>
    <w:rsid w:val="008C2177"/>
    <w:rsid w:val="008C21C6"/>
    <w:rsid w:val="008C2500"/>
    <w:rsid w:val="008C259E"/>
    <w:rsid w:val="008C2620"/>
    <w:rsid w:val="008C2895"/>
    <w:rsid w:val="008C28E6"/>
    <w:rsid w:val="008C291B"/>
    <w:rsid w:val="008C2931"/>
    <w:rsid w:val="008C2980"/>
    <w:rsid w:val="008C2E20"/>
    <w:rsid w:val="008C2F9B"/>
    <w:rsid w:val="008C316F"/>
    <w:rsid w:val="008C3475"/>
    <w:rsid w:val="008C3B36"/>
    <w:rsid w:val="008C3F00"/>
    <w:rsid w:val="008C3F53"/>
    <w:rsid w:val="008C4007"/>
    <w:rsid w:val="008C416E"/>
    <w:rsid w:val="008C4277"/>
    <w:rsid w:val="008C46F7"/>
    <w:rsid w:val="008C4841"/>
    <w:rsid w:val="008C4AAD"/>
    <w:rsid w:val="008C5A90"/>
    <w:rsid w:val="008C5C0E"/>
    <w:rsid w:val="008C5E33"/>
    <w:rsid w:val="008C5FBB"/>
    <w:rsid w:val="008C660B"/>
    <w:rsid w:val="008C6618"/>
    <w:rsid w:val="008C66BB"/>
    <w:rsid w:val="008C6CAC"/>
    <w:rsid w:val="008C6D37"/>
    <w:rsid w:val="008C6F53"/>
    <w:rsid w:val="008C6FAD"/>
    <w:rsid w:val="008C721E"/>
    <w:rsid w:val="008C7777"/>
    <w:rsid w:val="008C77ED"/>
    <w:rsid w:val="008C7BB4"/>
    <w:rsid w:val="008C7D3D"/>
    <w:rsid w:val="008C7DC6"/>
    <w:rsid w:val="008C7E20"/>
    <w:rsid w:val="008D06F7"/>
    <w:rsid w:val="008D15EE"/>
    <w:rsid w:val="008D168B"/>
    <w:rsid w:val="008D1759"/>
    <w:rsid w:val="008D1775"/>
    <w:rsid w:val="008D19D0"/>
    <w:rsid w:val="008D1BF1"/>
    <w:rsid w:val="008D20B2"/>
    <w:rsid w:val="008D2389"/>
    <w:rsid w:val="008D25C0"/>
    <w:rsid w:val="008D2929"/>
    <w:rsid w:val="008D2B8F"/>
    <w:rsid w:val="008D2F1C"/>
    <w:rsid w:val="008D2F8E"/>
    <w:rsid w:val="008D3313"/>
    <w:rsid w:val="008D36F6"/>
    <w:rsid w:val="008D37D7"/>
    <w:rsid w:val="008D3A91"/>
    <w:rsid w:val="008D3BE1"/>
    <w:rsid w:val="008D4073"/>
    <w:rsid w:val="008D41A9"/>
    <w:rsid w:val="008D4222"/>
    <w:rsid w:val="008D4A10"/>
    <w:rsid w:val="008D4A1D"/>
    <w:rsid w:val="008D4AE8"/>
    <w:rsid w:val="008D4D34"/>
    <w:rsid w:val="008D509A"/>
    <w:rsid w:val="008D53DA"/>
    <w:rsid w:val="008D54D5"/>
    <w:rsid w:val="008D55D9"/>
    <w:rsid w:val="008D5600"/>
    <w:rsid w:val="008D5685"/>
    <w:rsid w:val="008D571C"/>
    <w:rsid w:val="008D5A04"/>
    <w:rsid w:val="008D5DBE"/>
    <w:rsid w:val="008D66CA"/>
    <w:rsid w:val="008D6756"/>
    <w:rsid w:val="008D6ADD"/>
    <w:rsid w:val="008D6EC9"/>
    <w:rsid w:val="008D7246"/>
    <w:rsid w:val="008D77F8"/>
    <w:rsid w:val="008D79BC"/>
    <w:rsid w:val="008E0311"/>
    <w:rsid w:val="008E037D"/>
    <w:rsid w:val="008E0853"/>
    <w:rsid w:val="008E090F"/>
    <w:rsid w:val="008E0C2A"/>
    <w:rsid w:val="008E0C7C"/>
    <w:rsid w:val="008E0DAF"/>
    <w:rsid w:val="008E1156"/>
    <w:rsid w:val="008E1283"/>
    <w:rsid w:val="008E12BC"/>
    <w:rsid w:val="008E1B73"/>
    <w:rsid w:val="008E1D2B"/>
    <w:rsid w:val="008E1DC1"/>
    <w:rsid w:val="008E1F84"/>
    <w:rsid w:val="008E2301"/>
    <w:rsid w:val="008E24E3"/>
    <w:rsid w:val="008E296B"/>
    <w:rsid w:val="008E29C3"/>
    <w:rsid w:val="008E2A24"/>
    <w:rsid w:val="008E2B61"/>
    <w:rsid w:val="008E2EC6"/>
    <w:rsid w:val="008E30A7"/>
    <w:rsid w:val="008E358B"/>
    <w:rsid w:val="008E35DF"/>
    <w:rsid w:val="008E36D6"/>
    <w:rsid w:val="008E3892"/>
    <w:rsid w:val="008E3895"/>
    <w:rsid w:val="008E3AE4"/>
    <w:rsid w:val="008E3DBD"/>
    <w:rsid w:val="008E3F19"/>
    <w:rsid w:val="008E4030"/>
    <w:rsid w:val="008E4A43"/>
    <w:rsid w:val="008E4A8D"/>
    <w:rsid w:val="008E4A96"/>
    <w:rsid w:val="008E4B0E"/>
    <w:rsid w:val="008E4CB2"/>
    <w:rsid w:val="008E4CF6"/>
    <w:rsid w:val="008E4D5B"/>
    <w:rsid w:val="008E4DB6"/>
    <w:rsid w:val="008E4FE4"/>
    <w:rsid w:val="008E5096"/>
    <w:rsid w:val="008E55FB"/>
    <w:rsid w:val="008E5736"/>
    <w:rsid w:val="008E5A9E"/>
    <w:rsid w:val="008E5C86"/>
    <w:rsid w:val="008E602D"/>
    <w:rsid w:val="008E6201"/>
    <w:rsid w:val="008E6BE1"/>
    <w:rsid w:val="008E6C4F"/>
    <w:rsid w:val="008E6D7B"/>
    <w:rsid w:val="008E6EBE"/>
    <w:rsid w:val="008E7603"/>
    <w:rsid w:val="008E7618"/>
    <w:rsid w:val="008E78A6"/>
    <w:rsid w:val="008E792B"/>
    <w:rsid w:val="008E7978"/>
    <w:rsid w:val="008E7BCC"/>
    <w:rsid w:val="008E7D56"/>
    <w:rsid w:val="008E7EAE"/>
    <w:rsid w:val="008E7ED7"/>
    <w:rsid w:val="008F012D"/>
    <w:rsid w:val="008F020C"/>
    <w:rsid w:val="008F0481"/>
    <w:rsid w:val="008F0524"/>
    <w:rsid w:val="008F083F"/>
    <w:rsid w:val="008F09DB"/>
    <w:rsid w:val="008F0C03"/>
    <w:rsid w:val="008F10F6"/>
    <w:rsid w:val="008F1246"/>
    <w:rsid w:val="008F1B26"/>
    <w:rsid w:val="008F1CE7"/>
    <w:rsid w:val="008F2151"/>
    <w:rsid w:val="008F227F"/>
    <w:rsid w:val="008F236F"/>
    <w:rsid w:val="008F2988"/>
    <w:rsid w:val="008F2B20"/>
    <w:rsid w:val="008F2E1B"/>
    <w:rsid w:val="008F31A3"/>
    <w:rsid w:val="008F31AA"/>
    <w:rsid w:val="008F31B4"/>
    <w:rsid w:val="008F3646"/>
    <w:rsid w:val="008F372A"/>
    <w:rsid w:val="008F381D"/>
    <w:rsid w:val="008F3848"/>
    <w:rsid w:val="008F38C9"/>
    <w:rsid w:val="008F39FC"/>
    <w:rsid w:val="008F3C8F"/>
    <w:rsid w:val="008F3DB9"/>
    <w:rsid w:val="008F40E0"/>
    <w:rsid w:val="008F4198"/>
    <w:rsid w:val="008F4276"/>
    <w:rsid w:val="008F44F0"/>
    <w:rsid w:val="008F46E1"/>
    <w:rsid w:val="008F4854"/>
    <w:rsid w:val="008F4956"/>
    <w:rsid w:val="008F49B2"/>
    <w:rsid w:val="008F4E1D"/>
    <w:rsid w:val="008F533C"/>
    <w:rsid w:val="008F5684"/>
    <w:rsid w:val="008F58A9"/>
    <w:rsid w:val="008F5926"/>
    <w:rsid w:val="008F5AC9"/>
    <w:rsid w:val="008F64F2"/>
    <w:rsid w:val="008F6562"/>
    <w:rsid w:val="008F6CC5"/>
    <w:rsid w:val="008F7073"/>
    <w:rsid w:val="008F74A3"/>
    <w:rsid w:val="008F7539"/>
    <w:rsid w:val="008F788A"/>
    <w:rsid w:val="008F78F9"/>
    <w:rsid w:val="008F7B16"/>
    <w:rsid w:val="008F7BE6"/>
    <w:rsid w:val="008F7C87"/>
    <w:rsid w:val="008F7D97"/>
    <w:rsid w:val="008F7F4E"/>
    <w:rsid w:val="00900016"/>
    <w:rsid w:val="0090008A"/>
    <w:rsid w:val="0090013F"/>
    <w:rsid w:val="00900500"/>
    <w:rsid w:val="00900676"/>
    <w:rsid w:val="00900B0B"/>
    <w:rsid w:val="00901011"/>
    <w:rsid w:val="00901147"/>
    <w:rsid w:val="009012D2"/>
    <w:rsid w:val="0090137B"/>
    <w:rsid w:val="009013FA"/>
    <w:rsid w:val="00901860"/>
    <w:rsid w:val="00901E51"/>
    <w:rsid w:val="00901EBE"/>
    <w:rsid w:val="00901EE1"/>
    <w:rsid w:val="00901F4D"/>
    <w:rsid w:val="00902028"/>
    <w:rsid w:val="00902294"/>
    <w:rsid w:val="009023AA"/>
    <w:rsid w:val="00902536"/>
    <w:rsid w:val="00902635"/>
    <w:rsid w:val="009026B5"/>
    <w:rsid w:val="00902C24"/>
    <w:rsid w:val="00902CBC"/>
    <w:rsid w:val="009032A1"/>
    <w:rsid w:val="009032BD"/>
    <w:rsid w:val="0090336B"/>
    <w:rsid w:val="0090405A"/>
    <w:rsid w:val="009040C2"/>
    <w:rsid w:val="009045A7"/>
    <w:rsid w:val="0090498E"/>
    <w:rsid w:val="009049BE"/>
    <w:rsid w:val="00904A6A"/>
    <w:rsid w:val="00904AB7"/>
    <w:rsid w:val="00904B87"/>
    <w:rsid w:val="00904C9D"/>
    <w:rsid w:val="00904DEF"/>
    <w:rsid w:val="0090505A"/>
    <w:rsid w:val="009059B2"/>
    <w:rsid w:val="00905C9E"/>
    <w:rsid w:val="00905F1B"/>
    <w:rsid w:val="009060A5"/>
    <w:rsid w:val="00906205"/>
    <w:rsid w:val="009062CC"/>
    <w:rsid w:val="009064EF"/>
    <w:rsid w:val="0090697A"/>
    <w:rsid w:val="00906CA0"/>
    <w:rsid w:val="00906E10"/>
    <w:rsid w:val="00906E12"/>
    <w:rsid w:val="00907001"/>
    <w:rsid w:val="0090771F"/>
    <w:rsid w:val="0090776F"/>
    <w:rsid w:val="00907C58"/>
    <w:rsid w:val="009106B3"/>
    <w:rsid w:val="009106BC"/>
    <w:rsid w:val="00910895"/>
    <w:rsid w:val="009109C3"/>
    <w:rsid w:val="00911144"/>
    <w:rsid w:val="0091141B"/>
    <w:rsid w:val="00911713"/>
    <w:rsid w:val="00911979"/>
    <w:rsid w:val="00911B18"/>
    <w:rsid w:val="00911CC2"/>
    <w:rsid w:val="00911D2A"/>
    <w:rsid w:val="00911F98"/>
    <w:rsid w:val="009120FB"/>
    <w:rsid w:val="009125CB"/>
    <w:rsid w:val="00912852"/>
    <w:rsid w:val="00912D64"/>
    <w:rsid w:val="00912D6B"/>
    <w:rsid w:val="00912E18"/>
    <w:rsid w:val="00912EB0"/>
    <w:rsid w:val="0091343C"/>
    <w:rsid w:val="00913558"/>
    <w:rsid w:val="009139E2"/>
    <w:rsid w:val="00913CBC"/>
    <w:rsid w:val="00913F6F"/>
    <w:rsid w:val="00913FC0"/>
    <w:rsid w:val="009145F6"/>
    <w:rsid w:val="00914A20"/>
    <w:rsid w:val="00914B41"/>
    <w:rsid w:val="00914C14"/>
    <w:rsid w:val="00914F58"/>
    <w:rsid w:val="00915171"/>
    <w:rsid w:val="009156EE"/>
    <w:rsid w:val="00915782"/>
    <w:rsid w:val="0091588B"/>
    <w:rsid w:val="0091595F"/>
    <w:rsid w:val="0091599C"/>
    <w:rsid w:val="009159C5"/>
    <w:rsid w:val="00915B7E"/>
    <w:rsid w:val="00916265"/>
    <w:rsid w:val="00916300"/>
    <w:rsid w:val="0091705B"/>
    <w:rsid w:val="0091706A"/>
    <w:rsid w:val="00917550"/>
    <w:rsid w:val="00917701"/>
    <w:rsid w:val="00917915"/>
    <w:rsid w:val="009179F5"/>
    <w:rsid w:val="009179F8"/>
    <w:rsid w:val="00917D2F"/>
    <w:rsid w:val="00917DF9"/>
    <w:rsid w:val="00920158"/>
    <w:rsid w:val="009204AC"/>
    <w:rsid w:val="00920522"/>
    <w:rsid w:val="009207E7"/>
    <w:rsid w:val="00920B3C"/>
    <w:rsid w:val="00920C21"/>
    <w:rsid w:val="00920C5E"/>
    <w:rsid w:val="00920D26"/>
    <w:rsid w:val="00920F1A"/>
    <w:rsid w:val="00921084"/>
    <w:rsid w:val="009211BB"/>
    <w:rsid w:val="009211C7"/>
    <w:rsid w:val="009211E5"/>
    <w:rsid w:val="0092121F"/>
    <w:rsid w:val="00921497"/>
    <w:rsid w:val="00921558"/>
    <w:rsid w:val="0092185E"/>
    <w:rsid w:val="009219B0"/>
    <w:rsid w:val="00921B80"/>
    <w:rsid w:val="00921D5F"/>
    <w:rsid w:val="00921F00"/>
    <w:rsid w:val="0092201D"/>
    <w:rsid w:val="00922088"/>
    <w:rsid w:val="00922756"/>
    <w:rsid w:val="009227EB"/>
    <w:rsid w:val="009229A9"/>
    <w:rsid w:val="009229EF"/>
    <w:rsid w:val="00922AB1"/>
    <w:rsid w:val="00922AD4"/>
    <w:rsid w:val="00922B86"/>
    <w:rsid w:val="0092323B"/>
    <w:rsid w:val="00923328"/>
    <w:rsid w:val="00923413"/>
    <w:rsid w:val="009234AC"/>
    <w:rsid w:val="00923737"/>
    <w:rsid w:val="0092394D"/>
    <w:rsid w:val="00923A4F"/>
    <w:rsid w:val="0092435B"/>
    <w:rsid w:val="00924AA1"/>
    <w:rsid w:val="00924C97"/>
    <w:rsid w:val="00925056"/>
    <w:rsid w:val="0092505D"/>
    <w:rsid w:val="00925160"/>
    <w:rsid w:val="009252B2"/>
    <w:rsid w:val="00925620"/>
    <w:rsid w:val="009257BD"/>
    <w:rsid w:val="009258CF"/>
    <w:rsid w:val="009259FF"/>
    <w:rsid w:val="00925CAD"/>
    <w:rsid w:val="00926B31"/>
    <w:rsid w:val="00927023"/>
    <w:rsid w:val="00927A82"/>
    <w:rsid w:val="00927B16"/>
    <w:rsid w:val="00927EB9"/>
    <w:rsid w:val="0093016F"/>
    <w:rsid w:val="00930305"/>
    <w:rsid w:val="00930853"/>
    <w:rsid w:val="009309CF"/>
    <w:rsid w:val="00930F7C"/>
    <w:rsid w:val="00931A4C"/>
    <w:rsid w:val="00931A73"/>
    <w:rsid w:val="00932092"/>
    <w:rsid w:val="00932207"/>
    <w:rsid w:val="009324E4"/>
    <w:rsid w:val="0093252D"/>
    <w:rsid w:val="00932550"/>
    <w:rsid w:val="0093285A"/>
    <w:rsid w:val="0093297B"/>
    <w:rsid w:val="00932A4B"/>
    <w:rsid w:val="00932ABF"/>
    <w:rsid w:val="00932B3B"/>
    <w:rsid w:val="00932F5F"/>
    <w:rsid w:val="00933987"/>
    <w:rsid w:val="00933B5D"/>
    <w:rsid w:val="00934041"/>
    <w:rsid w:val="00934324"/>
    <w:rsid w:val="009348BE"/>
    <w:rsid w:val="009348E8"/>
    <w:rsid w:val="00934A04"/>
    <w:rsid w:val="00934BD0"/>
    <w:rsid w:val="00935051"/>
    <w:rsid w:val="009350A9"/>
    <w:rsid w:val="0093524D"/>
    <w:rsid w:val="009353A1"/>
    <w:rsid w:val="009355AD"/>
    <w:rsid w:val="0093565D"/>
    <w:rsid w:val="009358A8"/>
    <w:rsid w:val="00935B05"/>
    <w:rsid w:val="00935C04"/>
    <w:rsid w:val="00936535"/>
    <w:rsid w:val="0093661F"/>
    <w:rsid w:val="00936673"/>
    <w:rsid w:val="00936973"/>
    <w:rsid w:val="00936B4D"/>
    <w:rsid w:val="00936D5F"/>
    <w:rsid w:val="009372C3"/>
    <w:rsid w:val="009378B1"/>
    <w:rsid w:val="00937FDD"/>
    <w:rsid w:val="00940284"/>
    <w:rsid w:val="00940639"/>
    <w:rsid w:val="00940B55"/>
    <w:rsid w:val="00940FD9"/>
    <w:rsid w:val="009413FB"/>
    <w:rsid w:val="00941A91"/>
    <w:rsid w:val="00942385"/>
    <w:rsid w:val="00942436"/>
    <w:rsid w:val="009424E3"/>
    <w:rsid w:val="00942674"/>
    <w:rsid w:val="0094282E"/>
    <w:rsid w:val="00942A8E"/>
    <w:rsid w:val="00942B30"/>
    <w:rsid w:val="00942BA2"/>
    <w:rsid w:val="00942E6C"/>
    <w:rsid w:val="009435C4"/>
    <w:rsid w:val="009439F6"/>
    <w:rsid w:val="00943B04"/>
    <w:rsid w:val="00943B14"/>
    <w:rsid w:val="00943F69"/>
    <w:rsid w:val="00943FF5"/>
    <w:rsid w:val="00944114"/>
    <w:rsid w:val="00944395"/>
    <w:rsid w:val="0094454D"/>
    <w:rsid w:val="009447F1"/>
    <w:rsid w:val="00944AB8"/>
    <w:rsid w:val="00944D12"/>
    <w:rsid w:val="00944D39"/>
    <w:rsid w:val="00944E7A"/>
    <w:rsid w:val="0094537B"/>
    <w:rsid w:val="009454A3"/>
    <w:rsid w:val="00945567"/>
    <w:rsid w:val="009457DA"/>
    <w:rsid w:val="00945809"/>
    <w:rsid w:val="00945B5F"/>
    <w:rsid w:val="00945BFA"/>
    <w:rsid w:val="00945C08"/>
    <w:rsid w:val="00945E90"/>
    <w:rsid w:val="0094620B"/>
    <w:rsid w:val="00946222"/>
    <w:rsid w:val="0094627C"/>
    <w:rsid w:val="009462AC"/>
    <w:rsid w:val="0094652A"/>
    <w:rsid w:val="00946780"/>
    <w:rsid w:val="0094684B"/>
    <w:rsid w:val="00946B83"/>
    <w:rsid w:val="00946C06"/>
    <w:rsid w:val="00946F2A"/>
    <w:rsid w:val="00947208"/>
    <w:rsid w:val="00947374"/>
    <w:rsid w:val="009473D6"/>
    <w:rsid w:val="00947405"/>
    <w:rsid w:val="00947676"/>
    <w:rsid w:val="00947A3D"/>
    <w:rsid w:val="00947BD0"/>
    <w:rsid w:val="00947C54"/>
    <w:rsid w:val="00947E2F"/>
    <w:rsid w:val="00947FA4"/>
    <w:rsid w:val="00950404"/>
    <w:rsid w:val="009504CA"/>
    <w:rsid w:val="009505A7"/>
    <w:rsid w:val="0095075C"/>
    <w:rsid w:val="0095080D"/>
    <w:rsid w:val="009509D1"/>
    <w:rsid w:val="00950C6C"/>
    <w:rsid w:val="00950D83"/>
    <w:rsid w:val="0095123A"/>
    <w:rsid w:val="009513A9"/>
    <w:rsid w:val="00951651"/>
    <w:rsid w:val="00951676"/>
    <w:rsid w:val="009516CB"/>
    <w:rsid w:val="0095179E"/>
    <w:rsid w:val="00951A8B"/>
    <w:rsid w:val="00951B64"/>
    <w:rsid w:val="00951BAD"/>
    <w:rsid w:val="00951CD2"/>
    <w:rsid w:val="00951ED7"/>
    <w:rsid w:val="00952013"/>
    <w:rsid w:val="00952455"/>
    <w:rsid w:val="0095247B"/>
    <w:rsid w:val="00952B7D"/>
    <w:rsid w:val="00952EB5"/>
    <w:rsid w:val="009535BC"/>
    <w:rsid w:val="00953B9B"/>
    <w:rsid w:val="00953F0E"/>
    <w:rsid w:val="009540C3"/>
    <w:rsid w:val="009542FD"/>
    <w:rsid w:val="009544DE"/>
    <w:rsid w:val="00954578"/>
    <w:rsid w:val="009545BD"/>
    <w:rsid w:val="00954616"/>
    <w:rsid w:val="00954725"/>
    <w:rsid w:val="00954F8B"/>
    <w:rsid w:val="0095508C"/>
    <w:rsid w:val="00955116"/>
    <w:rsid w:val="00955134"/>
    <w:rsid w:val="009553F2"/>
    <w:rsid w:val="0095561A"/>
    <w:rsid w:val="0095604D"/>
    <w:rsid w:val="00956787"/>
    <w:rsid w:val="00956992"/>
    <w:rsid w:val="00956B5A"/>
    <w:rsid w:val="00956B9D"/>
    <w:rsid w:val="00956DB3"/>
    <w:rsid w:val="00956EEC"/>
    <w:rsid w:val="00956FD1"/>
    <w:rsid w:val="009570C9"/>
    <w:rsid w:val="00957698"/>
    <w:rsid w:val="0095770D"/>
    <w:rsid w:val="009602C0"/>
    <w:rsid w:val="0096093E"/>
    <w:rsid w:val="00960B1F"/>
    <w:rsid w:val="00960B21"/>
    <w:rsid w:val="00960B93"/>
    <w:rsid w:val="0096172A"/>
    <w:rsid w:val="009617BA"/>
    <w:rsid w:val="00961965"/>
    <w:rsid w:val="00961B00"/>
    <w:rsid w:val="00961D90"/>
    <w:rsid w:val="00962245"/>
    <w:rsid w:val="0096249D"/>
    <w:rsid w:val="00962714"/>
    <w:rsid w:val="009627A5"/>
    <w:rsid w:val="009627CC"/>
    <w:rsid w:val="009629CB"/>
    <w:rsid w:val="00962F4B"/>
    <w:rsid w:val="00963220"/>
    <w:rsid w:val="00963582"/>
    <w:rsid w:val="00963779"/>
    <w:rsid w:val="00963838"/>
    <w:rsid w:val="0096399A"/>
    <w:rsid w:val="009639D1"/>
    <w:rsid w:val="00963B10"/>
    <w:rsid w:val="00963E79"/>
    <w:rsid w:val="009643F4"/>
    <w:rsid w:val="009645F6"/>
    <w:rsid w:val="009649BF"/>
    <w:rsid w:val="00964AB7"/>
    <w:rsid w:val="00964CC9"/>
    <w:rsid w:val="00964ECF"/>
    <w:rsid w:val="0096526C"/>
    <w:rsid w:val="009653EF"/>
    <w:rsid w:val="00965523"/>
    <w:rsid w:val="009655AF"/>
    <w:rsid w:val="00965ABB"/>
    <w:rsid w:val="00965C7D"/>
    <w:rsid w:val="00965D57"/>
    <w:rsid w:val="00966331"/>
    <w:rsid w:val="009663F5"/>
    <w:rsid w:val="009665DF"/>
    <w:rsid w:val="00966810"/>
    <w:rsid w:val="00966B8F"/>
    <w:rsid w:val="009676AF"/>
    <w:rsid w:val="00967F50"/>
    <w:rsid w:val="0097007A"/>
    <w:rsid w:val="00970141"/>
    <w:rsid w:val="009706A0"/>
    <w:rsid w:val="0097079F"/>
    <w:rsid w:val="009708B1"/>
    <w:rsid w:val="00970921"/>
    <w:rsid w:val="00970B92"/>
    <w:rsid w:val="00971010"/>
    <w:rsid w:val="009710C0"/>
    <w:rsid w:val="009712CB"/>
    <w:rsid w:val="00971358"/>
    <w:rsid w:val="009713C6"/>
    <w:rsid w:val="00971400"/>
    <w:rsid w:val="009716AB"/>
    <w:rsid w:val="0097170C"/>
    <w:rsid w:val="0097172A"/>
    <w:rsid w:val="00971A4A"/>
    <w:rsid w:val="00972355"/>
    <w:rsid w:val="0097297E"/>
    <w:rsid w:val="00972B18"/>
    <w:rsid w:val="00972D69"/>
    <w:rsid w:val="00972EBA"/>
    <w:rsid w:val="00972F45"/>
    <w:rsid w:val="00973432"/>
    <w:rsid w:val="009737FC"/>
    <w:rsid w:val="00973954"/>
    <w:rsid w:val="00973B90"/>
    <w:rsid w:val="00973CEC"/>
    <w:rsid w:val="0097428D"/>
    <w:rsid w:val="00974309"/>
    <w:rsid w:val="00974599"/>
    <w:rsid w:val="00974734"/>
    <w:rsid w:val="00974769"/>
    <w:rsid w:val="00974828"/>
    <w:rsid w:val="009748F5"/>
    <w:rsid w:val="00974A5A"/>
    <w:rsid w:val="00974B08"/>
    <w:rsid w:val="00974BCE"/>
    <w:rsid w:val="00974C69"/>
    <w:rsid w:val="009755DD"/>
    <w:rsid w:val="009757A0"/>
    <w:rsid w:val="009757E2"/>
    <w:rsid w:val="00975B77"/>
    <w:rsid w:val="00975CEB"/>
    <w:rsid w:val="00976012"/>
    <w:rsid w:val="0097627D"/>
    <w:rsid w:val="009766D2"/>
    <w:rsid w:val="009766FE"/>
    <w:rsid w:val="00976EEB"/>
    <w:rsid w:val="00977018"/>
    <w:rsid w:val="00977059"/>
    <w:rsid w:val="009770C0"/>
    <w:rsid w:val="0097735D"/>
    <w:rsid w:val="00977407"/>
    <w:rsid w:val="00977434"/>
    <w:rsid w:val="0097749B"/>
    <w:rsid w:val="0097765B"/>
    <w:rsid w:val="0097782C"/>
    <w:rsid w:val="00977AEB"/>
    <w:rsid w:val="009802FD"/>
    <w:rsid w:val="009806C9"/>
    <w:rsid w:val="00980812"/>
    <w:rsid w:val="00980834"/>
    <w:rsid w:val="0098097C"/>
    <w:rsid w:val="00980B5F"/>
    <w:rsid w:val="00980B91"/>
    <w:rsid w:val="00980C6E"/>
    <w:rsid w:val="00980F6A"/>
    <w:rsid w:val="00981325"/>
    <w:rsid w:val="00981515"/>
    <w:rsid w:val="00981700"/>
    <w:rsid w:val="009817C6"/>
    <w:rsid w:val="009817F5"/>
    <w:rsid w:val="009818A6"/>
    <w:rsid w:val="00981988"/>
    <w:rsid w:val="00981B0F"/>
    <w:rsid w:val="00981B58"/>
    <w:rsid w:val="00981CF3"/>
    <w:rsid w:val="00981E29"/>
    <w:rsid w:val="00981F05"/>
    <w:rsid w:val="00982BCF"/>
    <w:rsid w:val="009832A7"/>
    <w:rsid w:val="0098370F"/>
    <w:rsid w:val="009838A8"/>
    <w:rsid w:val="00983B2B"/>
    <w:rsid w:val="00984294"/>
    <w:rsid w:val="009847A3"/>
    <w:rsid w:val="00984980"/>
    <w:rsid w:val="00984B64"/>
    <w:rsid w:val="00984D32"/>
    <w:rsid w:val="0098519B"/>
    <w:rsid w:val="009852D3"/>
    <w:rsid w:val="0098595E"/>
    <w:rsid w:val="0098638C"/>
    <w:rsid w:val="00986946"/>
    <w:rsid w:val="00986E48"/>
    <w:rsid w:val="009870FC"/>
    <w:rsid w:val="00987405"/>
    <w:rsid w:val="00987771"/>
    <w:rsid w:val="009877D5"/>
    <w:rsid w:val="009878FC"/>
    <w:rsid w:val="009904FB"/>
    <w:rsid w:val="0099073B"/>
    <w:rsid w:val="0099136D"/>
    <w:rsid w:val="009914CD"/>
    <w:rsid w:val="009914DB"/>
    <w:rsid w:val="009916AC"/>
    <w:rsid w:val="0099172A"/>
    <w:rsid w:val="00991AAE"/>
    <w:rsid w:val="00991BDB"/>
    <w:rsid w:val="00991C44"/>
    <w:rsid w:val="00991CB2"/>
    <w:rsid w:val="00991CDD"/>
    <w:rsid w:val="00992054"/>
    <w:rsid w:val="00992114"/>
    <w:rsid w:val="0099275C"/>
    <w:rsid w:val="00992A75"/>
    <w:rsid w:val="00992AC0"/>
    <w:rsid w:val="00992B1F"/>
    <w:rsid w:val="00992E81"/>
    <w:rsid w:val="00993884"/>
    <w:rsid w:val="00993E02"/>
    <w:rsid w:val="0099444E"/>
    <w:rsid w:val="0099456F"/>
    <w:rsid w:val="0099460F"/>
    <w:rsid w:val="0099485A"/>
    <w:rsid w:val="00994935"/>
    <w:rsid w:val="00994CBE"/>
    <w:rsid w:val="00994E64"/>
    <w:rsid w:val="00994EAC"/>
    <w:rsid w:val="0099573F"/>
    <w:rsid w:val="0099599B"/>
    <w:rsid w:val="00995B89"/>
    <w:rsid w:val="00995BFC"/>
    <w:rsid w:val="00995DD4"/>
    <w:rsid w:val="00995EF5"/>
    <w:rsid w:val="00995FC1"/>
    <w:rsid w:val="00996021"/>
    <w:rsid w:val="0099656B"/>
    <w:rsid w:val="009965A0"/>
    <w:rsid w:val="009968D7"/>
    <w:rsid w:val="00996AD7"/>
    <w:rsid w:val="00996C0C"/>
    <w:rsid w:val="00996E2F"/>
    <w:rsid w:val="00996F0C"/>
    <w:rsid w:val="009971CB"/>
    <w:rsid w:val="0099728A"/>
    <w:rsid w:val="009972AC"/>
    <w:rsid w:val="0099737E"/>
    <w:rsid w:val="0099740A"/>
    <w:rsid w:val="00997611"/>
    <w:rsid w:val="009976BA"/>
    <w:rsid w:val="00997B0A"/>
    <w:rsid w:val="00997BEB"/>
    <w:rsid w:val="00997BF6"/>
    <w:rsid w:val="00997E3D"/>
    <w:rsid w:val="00997F8C"/>
    <w:rsid w:val="009A04FC"/>
    <w:rsid w:val="009A0568"/>
    <w:rsid w:val="009A065B"/>
    <w:rsid w:val="009A07CB"/>
    <w:rsid w:val="009A080C"/>
    <w:rsid w:val="009A0C15"/>
    <w:rsid w:val="009A1037"/>
    <w:rsid w:val="009A1044"/>
    <w:rsid w:val="009A12A5"/>
    <w:rsid w:val="009A1477"/>
    <w:rsid w:val="009A164C"/>
    <w:rsid w:val="009A1DE6"/>
    <w:rsid w:val="009A2143"/>
    <w:rsid w:val="009A24B0"/>
    <w:rsid w:val="009A24FC"/>
    <w:rsid w:val="009A26B0"/>
    <w:rsid w:val="009A29F7"/>
    <w:rsid w:val="009A2C17"/>
    <w:rsid w:val="009A301B"/>
    <w:rsid w:val="009A3212"/>
    <w:rsid w:val="009A3789"/>
    <w:rsid w:val="009A3798"/>
    <w:rsid w:val="009A40CB"/>
    <w:rsid w:val="009A422A"/>
    <w:rsid w:val="009A45EE"/>
    <w:rsid w:val="009A486E"/>
    <w:rsid w:val="009A48B2"/>
    <w:rsid w:val="009A4A0F"/>
    <w:rsid w:val="009A4A1C"/>
    <w:rsid w:val="009A4CE1"/>
    <w:rsid w:val="009A4D1C"/>
    <w:rsid w:val="009A4EE8"/>
    <w:rsid w:val="009A4F1A"/>
    <w:rsid w:val="009A52B7"/>
    <w:rsid w:val="009A54DA"/>
    <w:rsid w:val="009A57ED"/>
    <w:rsid w:val="009A586E"/>
    <w:rsid w:val="009A5875"/>
    <w:rsid w:val="009A59BB"/>
    <w:rsid w:val="009A5A18"/>
    <w:rsid w:val="009A5A4B"/>
    <w:rsid w:val="009A5CDA"/>
    <w:rsid w:val="009A5D36"/>
    <w:rsid w:val="009A5E43"/>
    <w:rsid w:val="009A60A0"/>
    <w:rsid w:val="009A6478"/>
    <w:rsid w:val="009A65B9"/>
    <w:rsid w:val="009A685B"/>
    <w:rsid w:val="009A6881"/>
    <w:rsid w:val="009A6A44"/>
    <w:rsid w:val="009A6ACA"/>
    <w:rsid w:val="009A6CF9"/>
    <w:rsid w:val="009A7591"/>
    <w:rsid w:val="009A7656"/>
    <w:rsid w:val="009A77B9"/>
    <w:rsid w:val="009A7A8A"/>
    <w:rsid w:val="009A7B8A"/>
    <w:rsid w:val="009A7D26"/>
    <w:rsid w:val="009A7F0E"/>
    <w:rsid w:val="009B0136"/>
    <w:rsid w:val="009B02D0"/>
    <w:rsid w:val="009B0708"/>
    <w:rsid w:val="009B09FF"/>
    <w:rsid w:val="009B0EAC"/>
    <w:rsid w:val="009B0EFB"/>
    <w:rsid w:val="009B11CF"/>
    <w:rsid w:val="009B1220"/>
    <w:rsid w:val="009B12E2"/>
    <w:rsid w:val="009B15C2"/>
    <w:rsid w:val="009B1A71"/>
    <w:rsid w:val="009B1D92"/>
    <w:rsid w:val="009B1FE5"/>
    <w:rsid w:val="009B2280"/>
    <w:rsid w:val="009B237B"/>
    <w:rsid w:val="009B2468"/>
    <w:rsid w:val="009B2568"/>
    <w:rsid w:val="009B27FE"/>
    <w:rsid w:val="009B2985"/>
    <w:rsid w:val="009B2A6E"/>
    <w:rsid w:val="009B2B50"/>
    <w:rsid w:val="009B2B73"/>
    <w:rsid w:val="009B2BC1"/>
    <w:rsid w:val="009B3102"/>
    <w:rsid w:val="009B3266"/>
    <w:rsid w:val="009B3399"/>
    <w:rsid w:val="009B33E2"/>
    <w:rsid w:val="009B3520"/>
    <w:rsid w:val="009B3987"/>
    <w:rsid w:val="009B4070"/>
    <w:rsid w:val="009B407D"/>
    <w:rsid w:val="009B436D"/>
    <w:rsid w:val="009B4460"/>
    <w:rsid w:val="009B4841"/>
    <w:rsid w:val="009B4A86"/>
    <w:rsid w:val="009B4AC7"/>
    <w:rsid w:val="009B4B75"/>
    <w:rsid w:val="009B4BE0"/>
    <w:rsid w:val="009B4DDA"/>
    <w:rsid w:val="009B5315"/>
    <w:rsid w:val="009B592F"/>
    <w:rsid w:val="009B5CA2"/>
    <w:rsid w:val="009B5E26"/>
    <w:rsid w:val="009B6088"/>
    <w:rsid w:val="009B6168"/>
    <w:rsid w:val="009B61FD"/>
    <w:rsid w:val="009B6395"/>
    <w:rsid w:val="009B6645"/>
    <w:rsid w:val="009B6A3F"/>
    <w:rsid w:val="009B6D68"/>
    <w:rsid w:val="009B6E84"/>
    <w:rsid w:val="009B6F18"/>
    <w:rsid w:val="009B7212"/>
    <w:rsid w:val="009B7AD2"/>
    <w:rsid w:val="009C0090"/>
    <w:rsid w:val="009C06C8"/>
    <w:rsid w:val="009C079F"/>
    <w:rsid w:val="009C07EB"/>
    <w:rsid w:val="009C086C"/>
    <w:rsid w:val="009C08CC"/>
    <w:rsid w:val="009C099C"/>
    <w:rsid w:val="009C0A1E"/>
    <w:rsid w:val="009C0E00"/>
    <w:rsid w:val="009C15CA"/>
    <w:rsid w:val="009C17A6"/>
    <w:rsid w:val="009C17DF"/>
    <w:rsid w:val="009C18C3"/>
    <w:rsid w:val="009C1C9E"/>
    <w:rsid w:val="009C1CC2"/>
    <w:rsid w:val="009C1DC5"/>
    <w:rsid w:val="009C1DE8"/>
    <w:rsid w:val="009C2043"/>
    <w:rsid w:val="009C25D6"/>
    <w:rsid w:val="009C2C3F"/>
    <w:rsid w:val="009C2D13"/>
    <w:rsid w:val="009C2F2D"/>
    <w:rsid w:val="009C30B5"/>
    <w:rsid w:val="009C31DA"/>
    <w:rsid w:val="009C31E4"/>
    <w:rsid w:val="009C31F2"/>
    <w:rsid w:val="009C324B"/>
    <w:rsid w:val="009C3402"/>
    <w:rsid w:val="009C3802"/>
    <w:rsid w:val="009C38FB"/>
    <w:rsid w:val="009C3985"/>
    <w:rsid w:val="009C3CF6"/>
    <w:rsid w:val="009C3F5E"/>
    <w:rsid w:val="009C3FE6"/>
    <w:rsid w:val="009C42AA"/>
    <w:rsid w:val="009C486C"/>
    <w:rsid w:val="009C48DB"/>
    <w:rsid w:val="009C4B47"/>
    <w:rsid w:val="009C504E"/>
    <w:rsid w:val="009C5132"/>
    <w:rsid w:val="009C5378"/>
    <w:rsid w:val="009C5539"/>
    <w:rsid w:val="009C56E2"/>
    <w:rsid w:val="009C5886"/>
    <w:rsid w:val="009C5C7C"/>
    <w:rsid w:val="009C5D09"/>
    <w:rsid w:val="009C691B"/>
    <w:rsid w:val="009C6CC4"/>
    <w:rsid w:val="009C6D27"/>
    <w:rsid w:val="009C6F22"/>
    <w:rsid w:val="009C748F"/>
    <w:rsid w:val="009C794A"/>
    <w:rsid w:val="009C7DC6"/>
    <w:rsid w:val="009D006B"/>
    <w:rsid w:val="009D00EE"/>
    <w:rsid w:val="009D027F"/>
    <w:rsid w:val="009D060C"/>
    <w:rsid w:val="009D063A"/>
    <w:rsid w:val="009D0C9B"/>
    <w:rsid w:val="009D1145"/>
    <w:rsid w:val="009D1641"/>
    <w:rsid w:val="009D16E0"/>
    <w:rsid w:val="009D1948"/>
    <w:rsid w:val="009D1C7F"/>
    <w:rsid w:val="009D1CFD"/>
    <w:rsid w:val="009D1D3C"/>
    <w:rsid w:val="009D1EB0"/>
    <w:rsid w:val="009D2670"/>
    <w:rsid w:val="009D28B0"/>
    <w:rsid w:val="009D29C4"/>
    <w:rsid w:val="009D2EB7"/>
    <w:rsid w:val="009D3282"/>
    <w:rsid w:val="009D3984"/>
    <w:rsid w:val="009D3D5D"/>
    <w:rsid w:val="009D3E52"/>
    <w:rsid w:val="009D49FC"/>
    <w:rsid w:val="009D4E55"/>
    <w:rsid w:val="009D5031"/>
    <w:rsid w:val="009D50DB"/>
    <w:rsid w:val="009D5507"/>
    <w:rsid w:val="009D556A"/>
    <w:rsid w:val="009D639C"/>
    <w:rsid w:val="009D65E1"/>
    <w:rsid w:val="009D6834"/>
    <w:rsid w:val="009D69FA"/>
    <w:rsid w:val="009D6B9E"/>
    <w:rsid w:val="009D6BB3"/>
    <w:rsid w:val="009D6F76"/>
    <w:rsid w:val="009D72B7"/>
    <w:rsid w:val="009D7897"/>
    <w:rsid w:val="009D78AE"/>
    <w:rsid w:val="009D7957"/>
    <w:rsid w:val="009D7DDC"/>
    <w:rsid w:val="009E011D"/>
    <w:rsid w:val="009E04FB"/>
    <w:rsid w:val="009E08C3"/>
    <w:rsid w:val="009E08DB"/>
    <w:rsid w:val="009E0C1D"/>
    <w:rsid w:val="009E0CA3"/>
    <w:rsid w:val="009E1252"/>
    <w:rsid w:val="009E13C1"/>
    <w:rsid w:val="009E1446"/>
    <w:rsid w:val="009E1499"/>
    <w:rsid w:val="009E1E9D"/>
    <w:rsid w:val="009E1ECE"/>
    <w:rsid w:val="009E1F53"/>
    <w:rsid w:val="009E2061"/>
    <w:rsid w:val="009E225E"/>
    <w:rsid w:val="009E232F"/>
    <w:rsid w:val="009E2D11"/>
    <w:rsid w:val="009E3374"/>
    <w:rsid w:val="009E3595"/>
    <w:rsid w:val="009E3A63"/>
    <w:rsid w:val="009E3B7E"/>
    <w:rsid w:val="009E3C97"/>
    <w:rsid w:val="009E46E1"/>
    <w:rsid w:val="009E497F"/>
    <w:rsid w:val="009E4D3D"/>
    <w:rsid w:val="009E4EA9"/>
    <w:rsid w:val="009E4F47"/>
    <w:rsid w:val="009E543A"/>
    <w:rsid w:val="009E5472"/>
    <w:rsid w:val="009E5568"/>
    <w:rsid w:val="009E55EE"/>
    <w:rsid w:val="009E5874"/>
    <w:rsid w:val="009E58F5"/>
    <w:rsid w:val="009E592B"/>
    <w:rsid w:val="009E5DA3"/>
    <w:rsid w:val="009E5DE4"/>
    <w:rsid w:val="009E6391"/>
    <w:rsid w:val="009E68DA"/>
    <w:rsid w:val="009E69B5"/>
    <w:rsid w:val="009E6A65"/>
    <w:rsid w:val="009E6C8F"/>
    <w:rsid w:val="009E6DB0"/>
    <w:rsid w:val="009E6F54"/>
    <w:rsid w:val="009E6F6E"/>
    <w:rsid w:val="009E7006"/>
    <w:rsid w:val="009E717C"/>
    <w:rsid w:val="009E7318"/>
    <w:rsid w:val="009E747F"/>
    <w:rsid w:val="009E7637"/>
    <w:rsid w:val="009E7665"/>
    <w:rsid w:val="009E77E4"/>
    <w:rsid w:val="009E7895"/>
    <w:rsid w:val="009E7D7E"/>
    <w:rsid w:val="009E7EB7"/>
    <w:rsid w:val="009F00B1"/>
    <w:rsid w:val="009F011F"/>
    <w:rsid w:val="009F02AC"/>
    <w:rsid w:val="009F02E1"/>
    <w:rsid w:val="009F0418"/>
    <w:rsid w:val="009F045B"/>
    <w:rsid w:val="009F07E7"/>
    <w:rsid w:val="009F09AD"/>
    <w:rsid w:val="009F0A34"/>
    <w:rsid w:val="009F1164"/>
    <w:rsid w:val="009F11E9"/>
    <w:rsid w:val="009F1551"/>
    <w:rsid w:val="009F16BA"/>
    <w:rsid w:val="009F1735"/>
    <w:rsid w:val="009F2065"/>
    <w:rsid w:val="009F2355"/>
    <w:rsid w:val="009F24BE"/>
    <w:rsid w:val="009F2B93"/>
    <w:rsid w:val="009F2C9A"/>
    <w:rsid w:val="009F2D7B"/>
    <w:rsid w:val="009F3013"/>
    <w:rsid w:val="009F32AD"/>
    <w:rsid w:val="009F33CF"/>
    <w:rsid w:val="009F34A4"/>
    <w:rsid w:val="009F34FC"/>
    <w:rsid w:val="009F3804"/>
    <w:rsid w:val="009F3B98"/>
    <w:rsid w:val="009F3DDB"/>
    <w:rsid w:val="009F3FEA"/>
    <w:rsid w:val="009F45DE"/>
    <w:rsid w:val="009F48A5"/>
    <w:rsid w:val="009F4AB0"/>
    <w:rsid w:val="009F4D41"/>
    <w:rsid w:val="009F503C"/>
    <w:rsid w:val="009F54FF"/>
    <w:rsid w:val="009F5D7D"/>
    <w:rsid w:val="009F5ED9"/>
    <w:rsid w:val="009F6B0D"/>
    <w:rsid w:val="009F70D5"/>
    <w:rsid w:val="009F71DE"/>
    <w:rsid w:val="009F7364"/>
    <w:rsid w:val="009F73FF"/>
    <w:rsid w:val="009F7A84"/>
    <w:rsid w:val="00A00422"/>
    <w:rsid w:val="00A00664"/>
    <w:rsid w:val="00A007D8"/>
    <w:rsid w:val="00A00B1E"/>
    <w:rsid w:val="00A00BE2"/>
    <w:rsid w:val="00A00F8D"/>
    <w:rsid w:val="00A015AA"/>
    <w:rsid w:val="00A0198A"/>
    <w:rsid w:val="00A023B4"/>
    <w:rsid w:val="00A02476"/>
    <w:rsid w:val="00A02579"/>
    <w:rsid w:val="00A02796"/>
    <w:rsid w:val="00A02B46"/>
    <w:rsid w:val="00A02DD4"/>
    <w:rsid w:val="00A03105"/>
    <w:rsid w:val="00A033AF"/>
    <w:rsid w:val="00A034BB"/>
    <w:rsid w:val="00A03555"/>
    <w:rsid w:val="00A03BE1"/>
    <w:rsid w:val="00A03EC1"/>
    <w:rsid w:val="00A0462B"/>
    <w:rsid w:val="00A052A2"/>
    <w:rsid w:val="00A052ED"/>
    <w:rsid w:val="00A05337"/>
    <w:rsid w:val="00A05380"/>
    <w:rsid w:val="00A059B2"/>
    <w:rsid w:val="00A061CF"/>
    <w:rsid w:val="00A0642C"/>
    <w:rsid w:val="00A06575"/>
    <w:rsid w:val="00A065A1"/>
    <w:rsid w:val="00A06AD1"/>
    <w:rsid w:val="00A06BEE"/>
    <w:rsid w:val="00A07079"/>
    <w:rsid w:val="00A0707B"/>
    <w:rsid w:val="00A07223"/>
    <w:rsid w:val="00A072A3"/>
    <w:rsid w:val="00A07428"/>
    <w:rsid w:val="00A074DC"/>
    <w:rsid w:val="00A07706"/>
    <w:rsid w:val="00A077CD"/>
    <w:rsid w:val="00A0797B"/>
    <w:rsid w:val="00A1049B"/>
    <w:rsid w:val="00A10D10"/>
    <w:rsid w:val="00A10F80"/>
    <w:rsid w:val="00A10FBB"/>
    <w:rsid w:val="00A10FEE"/>
    <w:rsid w:val="00A11008"/>
    <w:rsid w:val="00A112B2"/>
    <w:rsid w:val="00A114BA"/>
    <w:rsid w:val="00A1159C"/>
    <w:rsid w:val="00A11F0B"/>
    <w:rsid w:val="00A12BC3"/>
    <w:rsid w:val="00A12EE4"/>
    <w:rsid w:val="00A12F21"/>
    <w:rsid w:val="00A12F45"/>
    <w:rsid w:val="00A12F8D"/>
    <w:rsid w:val="00A13305"/>
    <w:rsid w:val="00A133A1"/>
    <w:rsid w:val="00A13969"/>
    <w:rsid w:val="00A13A9F"/>
    <w:rsid w:val="00A141D8"/>
    <w:rsid w:val="00A14682"/>
    <w:rsid w:val="00A146E6"/>
    <w:rsid w:val="00A14A27"/>
    <w:rsid w:val="00A14B27"/>
    <w:rsid w:val="00A1504A"/>
    <w:rsid w:val="00A156B1"/>
    <w:rsid w:val="00A15A7E"/>
    <w:rsid w:val="00A15F76"/>
    <w:rsid w:val="00A160CD"/>
    <w:rsid w:val="00A1623C"/>
    <w:rsid w:val="00A163CB"/>
    <w:rsid w:val="00A16922"/>
    <w:rsid w:val="00A16962"/>
    <w:rsid w:val="00A17019"/>
    <w:rsid w:val="00A171B8"/>
    <w:rsid w:val="00A173DF"/>
    <w:rsid w:val="00A1778C"/>
    <w:rsid w:val="00A17AC6"/>
    <w:rsid w:val="00A17D66"/>
    <w:rsid w:val="00A20048"/>
    <w:rsid w:val="00A202B3"/>
    <w:rsid w:val="00A20390"/>
    <w:rsid w:val="00A20588"/>
    <w:rsid w:val="00A2088D"/>
    <w:rsid w:val="00A20A63"/>
    <w:rsid w:val="00A20BE0"/>
    <w:rsid w:val="00A20DB3"/>
    <w:rsid w:val="00A20E0F"/>
    <w:rsid w:val="00A20E4B"/>
    <w:rsid w:val="00A20F28"/>
    <w:rsid w:val="00A20F93"/>
    <w:rsid w:val="00A21433"/>
    <w:rsid w:val="00A215DE"/>
    <w:rsid w:val="00A218F0"/>
    <w:rsid w:val="00A21A68"/>
    <w:rsid w:val="00A21B5A"/>
    <w:rsid w:val="00A21DE6"/>
    <w:rsid w:val="00A22694"/>
    <w:rsid w:val="00A22839"/>
    <w:rsid w:val="00A22AD3"/>
    <w:rsid w:val="00A22C1E"/>
    <w:rsid w:val="00A22CE1"/>
    <w:rsid w:val="00A22FB9"/>
    <w:rsid w:val="00A2311E"/>
    <w:rsid w:val="00A231BF"/>
    <w:rsid w:val="00A2342C"/>
    <w:rsid w:val="00A23714"/>
    <w:rsid w:val="00A2400B"/>
    <w:rsid w:val="00A242D0"/>
    <w:rsid w:val="00A244CE"/>
    <w:rsid w:val="00A24662"/>
    <w:rsid w:val="00A24D6C"/>
    <w:rsid w:val="00A25067"/>
    <w:rsid w:val="00A255A1"/>
    <w:rsid w:val="00A2560F"/>
    <w:rsid w:val="00A25624"/>
    <w:rsid w:val="00A25631"/>
    <w:rsid w:val="00A2620E"/>
    <w:rsid w:val="00A26343"/>
    <w:rsid w:val="00A2646B"/>
    <w:rsid w:val="00A2683A"/>
    <w:rsid w:val="00A26A27"/>
    <w:rsid w:val="00A26B48"/>
    <w:rsid w:val="00A26CDF"/>
    <w:rsid w:val="00A26D18"/>
    <w:rsid w:val="00A271C8"/>
    <w:rsid w:val="00A27204"/>
    <w:rsid w:val="00A2721D"/>
    <w:rsid w:val="00A273AE"/>
    <w:rsid w:val="00A2769F"/>
    <w:rsid w:val="00A27C72"/>
    <w:rsid w:val="00A3023F"/>
    <w:rsid w:val="00A303BB"/>
    <w:rsid w:val="00A3044C"/>
    <w:rsid w:val="00A30681"/>
    <w:rsid w:val="00A306C4"/>
    <w:rsid w:val="00A30E36"/>
    <w:rsid w:val="00A30F46"/>
    <w:rsid w:val="00A30FDD"/>
    <w:rsid w:val="00A31229"/>
    <w:rsid w:val="00A312CD"/>
    <w:rsid w:val="00A313B9"/>
    <w:rsid w:val="00A315E7"/>
    <w:rsid w:val="00A316E6"/>
    <w:rsid w:val="00A31ECC"/>
    <w:rsid w:val="00A32C27"/>
    <w:rsid w:val="00A32C56"/>
    <w:rsid w:val="00A331CA"/>
    <w:rsid w:val="00A33BA5"/>
    <w:rsid w:val="00A33C02"/>
    <w:rsid w:val="00A3404B"/>
    <w:rsid w:val="00A340A7"/>
    <w:rsid w:val="00A343CE"/>
    <w:rsid w:val="00A347E7"/>
    <w:rsid w:val="00A34BC8"/>
    <w:rsid w:val="00A34BD5"/>
    <w:rsid w:val="00A34BDC"/>
    <w:rsid w:val="00A34C04"/>
    <w:rsid w:val="00A34D9B"/>
    <w:rsid w:val="00A3506B"/>
    <w:rsid w:val="00A3510B"/>
    <w:rsid w:val="00A352A7"/>
    <w:rsid w:val="00A35511"/>
    <w:rsid w:val="00A35717"/>
    <w:rsid w:val="00A35D22"/>
    <w:rsid w:val="00A35DAE"/>
    <w:rsid w:val="00A35F2C"/>
    <w:rsid w:val="00A36144"/>
    <w:rsid w:val="00A363C1"/>
    <w:rsid w:val="00A364E6"/>
    <w:rsid w:val="00A3685D"/>
    <w:rsid w:val="00A36BC7"/>
    <w:rsid w:val="00A36C92"/>
    <w:rsid w:val="00A36E75"/>
    <w:rsid w:val="00A36EC7"/>
    <w:rsid w:val="00A37419"/>
    <w:rsid w:val="00A3743B"/>
    <w:rsid w:val="00A37728"/>
    <w:rsid w:val="00A3787A"/>
    <w:rsid w:val="00A37B8B"/>
    <w:rsid w:val="00A37D09"/>
    <w:rsid w:val="00A40019"/>
    <w:rsid w:val="00A40062"/>
    <w:rsid w:val="00A403D6"/>
    <w:rsid w:val="00A404EE"/>
    <w:rsid w:val="00A406D4"/>
    <w:rsid w:val="00A4073C"/>
    <w:rsid w:val="00A4075A"/>
    <w:rsid w:val="00A408F7"/>
    <w:rsid w:val="00A412BC"/>
    <w:rsid w:val="00A412CA"/>
    <w:rsid w:val="00A41594"/>
    <w:rsid w:val="00A41D40"/>
    <w:rsid w:val="00A41D49"/>
    <w:rsid w:val="00A41E32"/>
    <w:rsid w:val="00A41ED2"/>
    <w:rsid w:val="00A41F1E"/>
    <w:rsid w:val="00A42299"/>
    <w:rsid w:val="00A42479"/>
    <w:rsid w:val="00A42630"/>
    <w:rsid w:val="00A426AC"/>
    <w:rsid w:val="00A42724"/>
    <w:rsid w:val="00A42993"/>
    <w:rsid w:val="00A42C0F"/>
    <w:rsid w:val="00A42CE8"/>
    <w:rsid w:val="00A42CF5"/>
    <w:rsid w:val="00A431A4"/>
    <w:rsid w:val="00A435CA"/>
    <w:rsid w:val="00A436B8"/>
    <w:rsid w:val="00A436BF"/>
    <w:rsid w:val="00A43D64"/>
    <w:rsid w:val="00A440C6"/>
    <w:rsid w:val="00A44BD4"/>
    <w:rsid w:val="00A44CCC"/>
    <w:rsid w:val="00A44D14"/>
    <w:rsid w:val="00A44EF3"/>
    <w:rsid w:val="00A45282"/>
    <w:rsid w:val="00A457F2"/>
    <w:rsid w:val="00A458C0"/>
    <w:rsid w:val="00A45955"/>
    <w:rsid w:val="00A4597A"/>
    <w:rsid w:val="00A45CCB"/>
    <w:rsid w:val="00A45EBA"/>
    <w:rsid w:val="00A46019"/>
    <w:rsid w:val="00A46333"/>
    <w:rsid w:val="00A468DB"/>
    <w:rsid w:val="00A46924"/>
    <w:rsid w:val="00A46A98"/>
    <w:rsid w:val="00A46B3A"/>
    <w:rsid w:val="00A46C7C"/>
    <w:rsid w:val="00A46EA1"/>
    <w:rsid w:val="00A46FE2"/>
    <w:rsid w:val="00A471F2"/>
    <w:rsid w:val="00A47309"/>
    <w:rsid w:val="00A4735C"/>
    <w:rsid w:val="00A473FB"/>
    <w:rsid w:val="00A47607"/>
    <w:rsid w:val="00A4762F"/>
    <w:rsid w:val="00A47C42"/>
    <w:rsid w:val="00A47C57"/>
    <w:rsid w:val="00A47CD4"/>
    <w:rsid w:val="00A47F31"/>
    <w:rsid w:val="00A501AD"/>
    <w:rsid w:val="00A501D8"/>
    <w:rsid w:val="00A50203"/>
    <w:rsid w:val="00A50288"/>
    <w:rsid w:val="00A50630"/>
    <w:rsid w:val="00A506EB"/>
    <w:rsid w:val="00A5095E"/>
    <w:rsid w:val="00A50CF5"/>
    <w:rsid w:val="00A50EB6"/>
    <w:rsid w:val="00A50F5C"/>
    <w:rsid w:val="00A51031"/>
    <w:rsid w:val="00A5109D"/>
    <w:rsid w:val="00A513D0"/>
    <w:rsid w:val="00A5178F"/>
    <w:rsid w:val="00A519F1"/>
    <w:rsid w:val="00A51AB6"/>
    <w:rsid w:val="00A51FE5"/>
    <w:rsid w:val="00A5227F"/>
    <w:rsid w:val="00A5231E"/>
    <w:rsid w:val="00A52436"/>
    <w:rsid w:val="00A5249A"/>
    <w:rsid w:val="00A52626"/>
    <w:rsid w:val="00A526A8"/>
    <w:rsid w:val="00A526B9"/>
    <w:rsid w:val="00A52878"/>
    <w:rsid w:val="00A52A0B"/>
    <w:rsid w:val="00A52E15"/>
    <w:rsid w:val="00A530C9"/>
    <w:rsid w:val="00A5341B"/>
    <w:rsid w:val="00A53452"/>
    <w:rsid w:val="00A534B6"/>
    <w:rsid w:val="00A53556"/>
    <w:rsid w:val="00A53597"/>
    <w:rsid w:val="00A536F2"/>
    <w:rsid w:val="00A53925"/>
    <w:rsid w:val="00A53CF8"/>
    <w:rsid w:val="00A54113"/>
    <w:rsid w:val="00A54147"/>
    <w:rsid w:val="00A54162"/>
    <w:rsid w:val="00A545D5"/>
    <w:rsid w:val="00A546FA"/>
    <w:rsid w:val="00A548ED"/>
    <w:rsid w:val="00A54ADD"/>
    <w:rsid w:val="00A54E79"/>
    <w:rsid w:val="00A54F61"/>
    <w:rsid w:val="00A55012"/>
    <w:rsid w:val="00A55CDF"/>
    <w:rsid w:val="00A55F1B"/>
    <w:rsid w:val="00A5604B"/>
    <w:rsid w:val="00A56389"/>
    <w:rsid w:val="00A56402"/>
    <w:rsid w:val="00A56440"/>
    <w:rsid w:val="00A56576"/>
    <w:rsid w:val="00A567DD"/>
    <w:rsid w:val="00A56897"/>
    <w:rsid w:val="00A570DE"/>
    <w:rsid w:val="00A57385"/>
    <w:rsid w:val="00A5740D"/>
    <w:rsid w:val="00A574F0"/>
    <w:rsid w:val="00A57580"/>
    <w:rsid w:val="00A57C0F"/>
    <w:rsid w:val="00A57D06"/>
    <w:rsid w:val="00A57D86"/>
    <w:rsid w:val="00A60500"/>
    <w:rsid w:val="00A60524"/>
    <w:rsid w:val="00A60688"/>
    <w:rsid w:val="00A6068F"/>
    <w:rsid w:val="00A60810"/>
    <w:rsid w:val="00A610EE"/>
    <w:rsid w:val="00A61518"/>
    <w:rsid w:val="00A61E6C"/>
    <w:rsid w:val="00A62036"/>
    <w:rsid w:val="00A625E7"/>
    <w:rsid w:val="00A62F09"/>
    <w:rsid w:val="00A62FF6"/>
    <w:rsid w:val="00A6300D"/>
    <w:rsid w:val="00A633EC"/>
    <w:rsid w:val="00A6424F"/>
    <w:rsid w:val="00A647E8"/>
    <w:rsid w:val="00A64C89"/>
    <w:rsid w:val="00A64FC3"/>
    <w:rsid w:val="00A650A6"/>
    <w:rsid w:val="00A65220"/>
    <w:rsid w:val="00A65282"/>
    <w:rsid w:val="00A65620"/>
    <w:rsid w:val="00A6565A"/>
    <w:rsid w:val="00A65775"/>
    <w:rsid w:val="00A65822"/>
    <w:rsid w:val="00A65829"/>
    <w:rsid w:val="00A65BA6"/>
    <w:rsid w:val="00A65F82"/>
    <w:rsid w:val="00A66555"/>
    <w:rsid w:val="00A66565"/>
    <w:rsid w:val="00A667E1"/>
    <w:rsid w:val="00A66A4E"/>
    <w:rsid w:val="00A66AA2"/>
    <w:rsid w:val="00A66C52"/>
    <w:rsid w:val="00A66ECB"/>
    <w:rsid w:val="00A67139"/>
    <w:rsid w:val="00A671AE"/>
    <w:rsid w:val="00A6785A"/>
    <w:rsid w:val="00A678BD"/>
    <w:rsid w:val="00A67AC5"/>
    <w:rsid w:val="00A67D6C"/>
    <w:rsid w:val="00A70345"/>
    <w:rsid w:val="00A70661"/>
    <w:rsid w:val="00A706EB"/>
    <w:rsid w:val="00A709AD"/>
    <w:rsid w:val="00A70DC3"/>
    <w:rsid w:val="00A711C3"/>
    <w:rsid w:val="00A71427"/>
    <w:rsid w:val="00A71885"/>
    <w:rsid w:val="00A718A6"/>
    <w:rsid w:val="00A7193A"/>
    <w:rsid w:val="00A71E09"/>
    <w:rsid w:val="00A723AF"/>
    <w:rsid w:val="00A72571"/>
    <w:rsid w:val="00A72751"/>
    <w:rsid w:val="00A72939"/>
    <w:rsid w:val="00A729B8"/>
    <w:rsid w:val="00A72C67"/>
    <w:rsid w:val="00A72CE9"/>
    <w:rsid w:val="00A72DA4"/>
    <w:rsid w:val="00A73052"/>
    <w:rsid w:val="00A73094"/>
    <w:rsid w:val="00A730E3"/>
    <w:rsid w:val="00A73A28"/>
    <w:rsid w:val="00A73D2A"/>
    <w:rsid w:val="00A73D77"/>
    <w:rsid w:val="00A73DC3"/>
    <w:rsid w:val="00A741FC"/>
    <w:rsid w:val="00A74A08"/>
    <w:rsid w:val="00A74B21"/>
    <w:rsid w:val="00A74BAD"/>
    <w:rsid w:val="00A74E77"/>
    <w:rsid w:val="00A74EFB"/>
    <w:rsid w:val="00A74F23"/>
    <w:rsid w:val="00A75576"/>
    <w:rsid w:val="00A75618"/>
    <w:rsid w:val="00A7564F"/>
    <w:rsid w:val="00A75CF2"/>
    <w:rsid w:val="00A75E75"/>
    <w:rsid w:val="00A76157"/>
    <w:rsid w:val="00A7696D"/>
    <w:rsid w:val="00A769B6"/>
    <w:rsid w:val="00A76CB8"/>
    <w:rsid w:val="00A7752D"/>
    <w:rsid w:val="00A776A9"/>
    <w:rsid w:val="00A77968"/>
    <w:rsid w:val="00A80043"/>
    <w:rsid w:val="00A80333"/>
    <w:rsid w:val="00A804DE"/>
    <w:rsid w:val="00A809A6"/>
    <w:rsid w:val="00A80C2D"/>
    <w:rsid w:val="00A80E68"/>
    <w:rsid w:val="00A81032"/>
    <w:rsid w:val="00A812BE"/>
    <w:rsid w:val="00A813AE"/>
    <w:rsid w:val="00A81424"/>
    <w:rsid w:val="00A81444"/>
    <w:rsid w:val="00A81480"/>
    <w:rsid w:val="00A814F8"/>
    <w:rsid w:val="00A8184F"/>
    <w:rsid w:val="00A819E9"/>
    <w:rsid w:val="00A81A64"/>
    <w:rsid w:val="00A823AF"/>
    <w:rsid w:val="00A82782"/>
    <w:rsid w:val="00A829D9"/>
    <w:rsid w:val="00A82A27"/>
    <w:rsid w:val="00A82A80"/>
    <w:rsid w:val="00A82B30"/>
    <w:rsid w:val="00A82CE6"/>
    <w:rsid w:val="00A82FAA"/>
    <w:rsid w:val="00A8308C"/>
    <w:rsid w:val="00A83292"/>
    <w:rsid w:val="00A83BDA"/>
    <w:rsid w:val="00A83CD3"/>
    <w:rsid w:val="00A842E1"/>
    <w:rsid w:val="00A8450B"/>
    <w:rsid w:val="00A84632"/>
    <w:rsid w:val="00A849B4"/>
    <w:rsid w:val="00A84A70"/>
    <w:rsid w:val="00A84CE0"/>
    <w:rsid w:val="00A84E4E"/>
    <w:rsid w:val="00A85407"/>
    <w:rsid w:val="00A85458"/>
    <w:rsid w:val="00A856BD"/>
    <w:rsid w:val="00A856CC"/>
    <w:rsid w:val="00A857F8"/>
    <w:rsid w:val="00A85828"/>
    <w:rsid w:val="00A85980"/>
    <w:rsid w:val="00A85EC2"/>
    <w:rsid w:val="00A86071"/>
    <w:rsid w:val="00A8653E"/>
    <w:rsid w:val="00A8667B"/>
    <w:rsid w:val="00A86AB6"/>
    <w:rsid w:val="00A86BDF"/>
    <w:rsid w:val="00A86D09"/>
    <w:rsid w:val="00A87200"/>
    <w:rsid w:val="00A873AE"/>
    <w:rsid w:val="00A8781D"/>
    <w:rsid w:val="00A8786D"/>
    <w:rsid w:val="00A87C9D"/>
    <w:rsid w:val="00A87EB5"/>
    <w:rsid w:val="00A900D3"/>
    <w:rsid w:val="00A907CE"/>
    <w:rsid w:val="00A909AE"/>
    <w:rsid w:val="00A90ADF"/>
    <w:rsid w:val="00A90EDB"/>
    <w:rsid w:val="00A90F2D"/>
    <w:rsid w:val="00A912B5"/>
    <w:rsid w:val="00A91AEA"/>
    <w:rsid w:val="00A91DAD"/>
    <w:rsid w:val="00A922D7"/>
    <w:rsid w:val="00A925F0"/>
    <w:rsid w:val="00A92634"/>
    <w:rsid w:val="00A92A06"/>
    <w:rsid w:val="00A92D33"/>
    <w:rsid w:val="00A9344B"/>
    <w:rsid w:val="00A93511"/>
    <w:rsid w:val="00A9378A"/>
    <w:rsid w:val="00A93ED5"/>
    <w:rsid w:val="00A941EF"/>
    <w:rsid w:val="00A94544"/>
    <w:rsid w:val="00A94CEC"/>
    <w:rsid w:val="00A94E56"/>
    <w:rsid w:val="00A9510F"/>
    <w:rsid w:val="00A95160"/>
    <w:rsid w:val="00A953F2"/>
    <w:rsid w:val="00A955BE"/>
    <w:rsid w:val="00A95601"/>
    <w:rsid w:val="00A95606"/>
    <w:rsid w:val="00A957C0"/>
    <w:rsid w:val="00A95AB6"/>
    <w:rsid w:val="00A95FC7"/>
    <w:rsid w:val="00A95FEA"/>
    <w:rsid w:val="00A9619B"/>
    <w:rsid w:val="00A96348"/>
    <w:rsid w:val="00A96429"/>
    <w:rsid w:val="00A966F4"/>
    <w:rsid w:val="00A9675F"/>
    <w:rsid w:val="00A969CA"/>
    <w:rsid w:val="00A96AB1"/>
    <w:rsid w:val="00A96CCB"/>
    <w:rsid w:val="00A96FF8"/>
    <w:rsid w:val="00A972F6"/>
    <w:rsid w:val="00A97350"/>
    <w:rsid w:val="00A9754C"/>
    <w:rsid w:val="00A9768A"/>
    <w:rsid w:val="00A978ED"/>
    <w:rsid w:val="00A97953"/>
    <w:rsid w:val="00A97A0A"/>
    <w:rsid w:val="00A97B61"/>
    <w:rsid w:val="00AA0728"/>
    <w:rsid w:val="00AA0903"/>
    <w:rsid w:val="00AA0995"/>
    <w:rsid w:val="00AA099E"/>
    <w:rsid w:val="00AA0A3A"/>
    <w:rsid w:val="00AA0A57"/>
    <w:rsid w:val="00AA0AF2"/>
    <w:rsid w:val="00AA0BB6"/>
    <w:rsid w:val="00AA0C41"/>
    <w:rsid w:val="00AA0EFC"/>
    <w:rsid w:val="00AA1243"/>
    <w:rsid w:val="00AA1297"/>
    <w:rsid w:val="00AA1A5F"/>
    <w:rsid w:val="00AA1AF9"/>
    <w:rsid w:val="00AA1E81"/>
    <w:rsid w:val="00AA206A"/>
    <w:rsid w:val="00AA2305"/>
    <w:rsid w:val="00AA2387"/>
    <w:rsid w:val="00AA24DA"/>
    <w:rsid w:val="00AA2C9B"/>
    <w:rsid w:val="00AA2CBC"/>
    <w:rsid w:val="00AA2D05"/>
    <w:rsid w:val="00AA2DBF"/>
    <w:rsid w:val="00AA30E7"/>
    <w:rsid w:val="00AA372F"/>
    <w:rsid w:val="00AA3827"/>
    <w:rsid w:val="00AA38B6"/>
    <w:rsid w:val="00AA3D45"/>
    <w:rsid w:val="00AA40FD"/>
    <w:rsid w:val="00AA480C"/>
    <w:rsid w:val="00AA49D9"/>
    <w:rsid w:val="00AA4C22"/>
    <w:rsid w:val="00AA51AB"/>
    <w:rsid w:val="00AA5437"/>
    <w:rsid w:val="00AA58C3"/>
    <w:rsid w:val="00AA5B26"/>
    <w:rsid w:val="00AA5C7A"/>
    <w:rsid w:val="00AA5E4B"/>
    <w:rsid w:val="00AA5EA9"/>
    <w:rsid w:val="00AA614F"/>
    <w:rsid w:val="00AA619B"/>
    <w:rsid w:val="00AA651F"/>
    <w:rsid w:val="00AA6D60"/>
    <w:rsid w:val="00AA6F0B"/>
    <w:rsid w:val="00AA6F33"/>
    <w:rsid w:val="00AA70CE"/>
    <w:rsid w:val="00AA7224"/>
    <w:rsid w:val="00AA77B9"/>
    <w:rsid w:val="00AA78D8"/>
    <w:rsid w:val="00AA7BFB"/>
    <w:rsid w:val="00AA7CE2"/>
    <w:rsid w:val="00AA7D08"/>
    <w:rsid w:val="00AB0536"/>
    <w:rsid w:val="00AB059C"/>
    <w:rsid w:val="00AB08F6"/>
    <w:rsid w:val="00AB0CCF"/>
    <w:rsid w:val="00AB0DD1"/>
    <w:rsid w:val="00AB1304"/>
    <w:rsid w:val="00AB1328"/>
    <w:rsid w:val="00AB1586"/>
    <w:rsid w:val="00AB16C0"/>
    <w:rsid w:val="00AB1A54"/>
    <w:rsid w:val="00AB2056"/>
    <w:rsid w:val="00AB2086"/>
    <w:rsid w:val="00AB2155"/>
    <w:rsid w:val="00AB239E"/>
    <w:rsid w:val="00AB251C"/>
    <w:rsid w:val="00AB2B8D"/>
    <w:rsid w:val="00AB2C2F"/>
    <w:rsid w:val="00AB2D26"/>
    <w:rsid w:val="00AB3028"/>
    <w:rsid w:val="00AB391B"/>
    <w:rsid w:val="00AB3B56"/>
    <w:rsid w:val="00AB3E9E"/>
    <w:rsid w:val="00AB3FB6"/>
    <w:rsid w:val="00AB4003"/>
    <w:rsid w:val="00AB40DB"/>
    <w:rsid w:val="00AB43D9"/>
    <w:rsid w:val="00AB48DF"/>
    <w:rsid w:val="00AB4B73"/>
    <w:rsid w:val="00AB4C0B"/>
    <w:rsid w:val="00AB4E11"/>
    <w:rsid w:val="00AB4E77"/>
    <w:rsid w:val="00AB516A"/>
    <w:rsid w:val="00AB51C3"/>
    <w:rsid w:val="00AB559F"/>
    <w:rsid w:val="00AB5AEF"/>
    <w:rsid w:val="00AB6166"/>
    <w:rsid w:val="00AB61E2"/>
    <w:rsid w:val="00AB6240"/>
    <w:rsid w:val="00AB643D"/>
    <w:rsid w:val="00AB674A"/>
    <w:rsid w:val="00AB6A74"/>
    <w:rsid w:val="00AB6BAC"/>
    <w:rsid w:val="00AB72CF"/>
    <w:rsid w:val="00AB7340"/>
    <w:rsid w:val="00AB7564"/>
    <w:rsid w:val="00AB7659"/>
    <w:rsid w:val="00AB7A75"/>
    <w:rsid w:val="00AB7A9C"/>
    <w:rsid w:val="00AB7AF9"/>
    <w:rsid w:val="00AB7E08"/>
    <w:rsid w:val="00AB7E42"/>
    <w:rsid w:val="00AC023C"/>
    <w:rsid w:val="00AC0253"/>
    <w:rsid w:val="00AC05A8"/>
    <w:rsid w:val="00AC0F31"/>
    <w:rsid w:val="00AC1AA4"/>
    <w:rsid w:val="00AC1AAB"/>
    <w:rsid w:val="00AC1B59"/>
    <w:rsid w:val="00AC1B89"/>
    <w:rsid w:val="00AC1F41"/>
    <w:rsid w:val="00AC244D"/>
    <w:rsid w:val="00AC290C"/>
    <w:rsid w:val="00AC2A6A"/>
    <w:rsid w:val="00AC2C5C"/>
    <w:rsid w:val="00AC2D5F"/>
    <w:rsid w:val="00AC3198"/>
    <w:rsid w:val="00AC3941"/>
    <w:rsid w:val="00AC3E49"/>
    <w:rsid w:val="00AC3EA3"/>
    <w:rsid w:val="00AC460C"/>
    <w:rsid w:val="00AC49A5"/>
    <w:rsid w:val="00AC49C3"/>
    <w:rsid w:val="00AC50F6"/>
    <w:rsid w:val="00AC542E"/>
    <w:rsid w:val="00AC62AC"/>
    <w:rsid w:val="00AC644F"/>
    <w:rsid w:val="00AC64F5"/>
    <w:rsid w:val="00AC68E2"/>
    <w:rsid w:val="00AC6BE6"/>
    <w:rsid w:val="00AC6E2F"/>
    <w:rsid w:val="00AC70D1"/>
    <w:rsid w:val="00AC7155"/>
    <w:rsid w:val="00AC723E"/>
    <w:rsid w:val="00AC7435"/>
    <w:rsid w:val="00AC7597"/>
    <w:rsid w:val="00AC75E2"/>
    <w:rsid w:val="00AC768C"/>
    <w:rsid w:val="00AC7D57"/>
    <w:rsid w:val="00AC7E01"/>
    <w:rsid w:val="00AD0029"/>
    <w:rsid w:val="00AD002F"/>
    <w:rsid w:val="00AD0343"/>
    <w:rsid w:val="00AD04E8"/>
    <w:rsid w:val="00AD0801"/>
    <w:rsid w:val="00AD0B0B"/>
    <w:rsid w:val="00AD0E1B"/>
    <w:rsid w:val="00AD0E38"/>
    <w:rsid w:val="00AD1176"/>
    <w:rsid w:val="00AD17CB"/>
    <w:rsid w:val="00AD1876"/>
    <w:rsid w:val="00AD197E"/>
    <w:rsid w:val="00AD1DE0"/>
    <w:rsid w:val="00AD2122"/>
    <w:rsid w:val="00AD22BE"/>
    <w:rsid w:val="00AD232C"/>
    <w:rsid w:val="00AD2595"/>
    <w:rsid w:val="00AD2D59"/>
    <w:rsid w:val="00AD2DDF"/>
    <w:rsid w:val="00AD2E2E"/>
    <w:rsid w:val="00AD35BB"/>
    <w:rsid w:val="00AD39B5"/>
    <w:rsid w:val="00AD3E80"/>
    <w:rsid w:val="00AD439C"/>
    <w:rsid w:val="00AD4406"/>
    <w:rsid w:val="00AD4524"/>
    <w:rsid w:val="00AD4593"/>
    <w:rsid w:val="00AD45E7"/>
    <w:rsid w:val="00AD4613"/>
    <w:rsid w:val="00AD46CF"/>
    <w:rsid w:val="00AD4B21"/>
    <w:rsid w:val="00AD532B"/>
    <w:rsid w:val="00AD5A0A"/>
    <w:rsid w:val="00AD5B8D"/>
    <w:rsid w:val="00AD672B"/>
    <w:rsid w:val="00AD67CF"/>
    <w:rsid w:val="00AD67D5"/>
    <w:rsid w:val="00AD69E8"/>
    <w:rsid w:val="00AD6B5C"/>
    <w:rsid w:val="00AD7109"/>
    <w:rsid w:val="00AD7192"/>
    <w:rsid w:val="00AD722F"/>
    <w:rsid w:val="00AD739F"/>
    <w:rsid w:val="00AD7672"/>
    <w:rsid w:val="00AD76EE"/>
    <w:rsid w:val="00AD793A"/>
    <w:rsid w:val="00AD7B54"/>
    <w:rsid w:val="00AD7CAA"/>
    <w:rsid w:val="00AD7D59"/>
    <w:rsid w:val="00AD7F13"/>
    <w:rsid w:val="00AE03E3"/>
    <w:rsid w:val="00AE0EA5"/>
    <w:rsid w:val="00AE19BD"/>
    <w:rsid w:val="00AE1A87"/>
    <w:rsid w:val="00AE1CFA"/>
    <w:rsid w:val="00AE2134"/>
    <w:rsid w:val="00AE2272"/>
    <w:rsid w:val="00AE27CE"/>
    <w:rsid w:val="00AE2C03"/>
    <w:rsid w:val="00AE2E44"/>
    <w:rsid w:val="00AE32D8"/>
    <w:rsid w:val="00AE3367"/>
    <w:rsid w:val="00AE3472"/>
    <w:rsid w:val="00AE36EC"/>
    <w:rsid w:val="00AE3701"/>
    <w:rsid w:val="00AE3977"/>
    <w:rsid w:val="00AE3C5B"/>
    <w:rsid w:val="00AE4060"/>
    <w:rsid w:val="00AE4134"/>
    <w:rsid w:val="00AE4192"/>
    <w:rsid w:val="00AE437C"/>
    <w:rsid w:val="00AE45A6"/>
    <w:rsid w:val="00AE4640"/>
    <w:rsid w:val="00AE4675"/>
    <w:rsid w:val="00AE4BCA"/>
    <w:rsid w:val="00AE4E26"/>
    <w:rsid w:val="00AE4F41"/>
    <w:rsid w:val="00AE5154"/>
    <w:rsid w:val="00AE5193"/>
    <w:rsid w:val="00AE544C"/>
    <w:rsid w:val="00AE55F2"/>
    <w:rsid w:val="00AE5710"/>
    <w:rsid w:val="00AE5781"/>
    <w:rsid w:val="00AE5B9A"/>
    <w:rsid w:val="00AE5C58"/>
    <w:rsid w:val="00AE67D4"/>
    <w:rsid w:val="00AE6D92"/>
    <w:rsid w:val="00AE74EE"/>
    <w:rsid w:val="00AE7C7E"/>
    <w:rsid w:val="00AE7D87"/>
    <w:rsid w:val="00AF019F"/>
    <w:rsid w:val="00AF05CC"/>
    <w:rsid w:val="00AF063B"/>
    <w:rsid w:val="00AF0767"/>
    <w:rsid w:val="00AF09E1"/>
    <w:rsid w:val="00AF0C7A"/>
    <w:rsid w:val="00AF0FEB"/>
    <w:rsid w:val="00AF1026"/>
    <w:rsid w:val="00AF111E"/>
    <w:rsid w:val="00AF155B"/>
    <w:rsid w:val="00AF18E4"/>
    <w:rsid w:val="00AF1C9C"/>
    <w:rsid w:val="00AF1E49"/>
    <w:rsid w:val="00AF20B4"/>
    <w:rsid w:val="00AF2399"/>
    <w:rsid w:val="00AF248E"/>
    <w:rsid w:val="00AF252B"/>
    <w:rsid w:val="00AF29C0"/>
    <w:rsid w:val="00AF2C2F"/>
    <w:rsid w:val="00AF2CC2"/>
    <w:rsid w:val="00AF3226"/>
    <w:rsid w:val="00AF36C3"/>
    <w:rsid w:val="00AF3797"/>
    <w:rsid w:val="00AF40B5"/>
    <w:rsid w:val="00AF49BD"/>
    <w:rsid w:val="00AF4AC1"/>
    <w:rsid w:val="00AF4D71"/>
    <w:rsid w:val="00AF4E92"/>
    <w:rsid w:val="00AF517B"/>
    <w:rsid w:val="00AF52F2"/>
    <w:rsid w:val="00AF56BC"/>
    <w:rsid w:val="00AF580D"/>
    <w:rsid w:val="00AF5C79"/>
    <w:rsid w:val="00AF6193"/>
    <w:rsid w:val="00AF69DF"/>
    <w:rsid w:val="00AF6AA4"/>
    <w:rsid w:val="00AF6B6D"/>
    <w:rsid w:val="00AF6CC2"/>
    <w:rsid w:val="00AF7349"/>
    <w:rsid w:val="00AF75F3"/>
    <w:rsid w:val="00AF77E5"/>
    <w:rsid w:val="00AF7878"/>
    <w:rsid w:val="00AF79AD"/>
    <w:rsid w:val="00AF7AB2"/>
    <w:rsid w:val="00AF7D6B"/>
    <w:rsid w:val="00AF7E3D"/>
    <w:rsid w:val="00B0010F"/>
    <w:rsid w:val="00B00554"/>
    <w:rsid w:val="00B00940"/>
    <w:rsid w:val="00B00A1C"/>
    <w:rsid w:val="00B00B82"/>
    <w:rsid w:val="00B00CA0"/>
    <w:rsid w:val="00B00D14"/>
    <w:rsid w:val="00B00ED1"/>
    <w:rsid w:val="00B0105E"/>
    <w:rsid w:val="00B010EE"/>
    <w:rsid w:val="00B011F1"/>
    <w:rsid w:val="00B012C0"/>
    <w:rsid w:val="00B015B4"/>
    <w:rsid w:val="00B015FE"/>
    <w:rsid w:val="00B01684"/>
    <w:rsid w:val="00B01D28"/>
    <w:rsid w:val="00B023BC"/>
    <w:rsid w:val="00B02CE7"/>
    <w:rsid w:val="00B02E72"/>
    <w:rsid w:val="00B030C9"/>
    <w:rsid w:val="00B03136"/>
    <w:rsid w:val="00B03220"/>
    <w:rsid w:val="00B03272"/>
    <w:rsid w:val="00B03419"/>
    <w:rsid w:val="00B03442"/>
    <w:rsid w:val="00B03527"/>
    <w:rsid w:val="00B03716"/>
    <w:rsid w:val="00B0371B"/>
    <w:rsid w:val="00B03783"/>
    <w:rsid w:val="00B03CAD"/>
    <w:rsid w:val="00B03E5B"/>
    <w:rsid w:val="00B0413A"/>
    <w:rsid w:val="00B045B3"/>
    <w:rsid w:val="00B04C0C"/>
    <w:rsid w:val="00B04E52"/>
    <w:rsid w:val="00B0500C"/>
    <w:rsid w:val="00B0533A"/>
    <w:rsid w:val="00B05422"/>
    <w:rsid w:val="00B0582F"/>
    <w:rsid w:val="00B0583E"/>
    <w:rsid w:val="00B05869"/>
    <w:rsid w:val="00B05ED5"/>
    <w:rsid w:val="00B05FA4"/>
    <w:rsid w:val="00B06042"/>
    <w:rsid w:val="00B06056"/>
    <w:rsid w:val="00B0606D"/>
    <w:rsid w:val="00B060D6"/>
    <w:rsid w:val="00B066CA"/>
    <w:rsid w:val="00B0689E"/>
    <w:rsid w:val="00B06C0B"/>
    <w:rsid w:val="00B06C72"/>
    <w:rsid w:val="00B07565"/>
    <w:rsid w:val="00B07690"/>
    <w:rsid w:val="00B07A10"/>
    <w:rsid w:val="00B07B2F"/>
    <w:rsid w:val="00B07F25"/>
    <w:rsid w:val="00B10024"/>
    <w:rsid w:val="00B103D7"/>
    <w:rsid w:val="00B10613"/>
    <w:rsid w:val="00B10704"/>
    <w:rsid w:val="00B1079D"/>
    <w:rsid w:val="00B10968"/>
    <w:rsid w:val="00B10A5C"/>
    <w:rsid w:val="00B10DEB"/>
    <w:rsid w:val="00B10E35"/>
    <w:rsid w:val="00B10EB8"/>
    <w:rsid w:val="00B110AB"/>
    <w:rsid w:val="00B110D8"/>
    <w:rsid w:val="00B11352"/>
    <w:rsid w:val="00B114F6"/>
    <w:rsid w:val="00B1157B"/>
    <w:rsid w:val="00B1192F"/>
    <w:rsid w:val="00B1195E"/>
    <w:rsid w:val="00B11A51"/>
    <w:rsid w:val="00B11E13"/>
    <w:rsid w:val="00B11E7E"/>
    <w:rsid w:val="00B123C5"/>
    <w:rsid w:val="00B12466"/>
    <w:rsid w:val="00B124CA"/>
    <w:rsid w:val="00B125A6"/>
    <w:rsid w:val="00B129AA"/>
    <w:rsid w:val="00B1340C"/>
    <w:rsid w:val="00B137E1"/>
    <w:rsid w:val="00B139CE"/>
    <w:rsid w:val="00B13EC3"/>
    <w:rsid w:val="00B140EA"/>
    <w:rsid w:val="00B147C8"/>
    <w:rsid w:val="00B147E0"/>
    <w:rsid w:val="00B14895"/>
    <w:rsid w:val="00B148E6"/>
    <w:rsid w:val="00B14AD2"/>
    <w:rsid w:val="00B14CD7"/>
    <w:rsid w:val="00B1524B"/>
    <w:rsid w:val="00B152CC"/>
    <w:rsid w:val="00B15EB8"/>
    <w:rsid w:val="00B16212"/>
    <w:rsid w:val="00B16583"/>
    <w:rsid w:val="00B167BE"/>
    <w:rsid w:val="00B1688B"/>
    <w:rsid w:val="00B168E8"/>
    <w:rsid w:val="00B16DA3"/>
    <w:rsid w:val="00B170EE"/>
    <w:rsid w:val="00B17100"/>
    <w:rsid w:val="00B17165"/>
    <w:rsid w:val="00B1723A"/>
    <w:rsid w:val="00B173C0"/>
    <w:rsid w:val="00B17441"/>
    <w:rsid w:val="00B17AB4"/>
    <w:rsid w:val="00B17C8A"/>
    <w:rsid w:val="00B17D61"/>
    <w:rsid w:val="00B17D98"/>
    <w:rsid w:val="00B17F99"/>
    <w:rsid w:val="00B202CB"/>
    <w:rsid w:val="00B20829"/>
    <w:rsid w:val="00B20A93"/>
    <w:rsid w:val="00B20ADA"/>
    <w:rsid w:val="00B20B0A"/>
    <w:rsid w:val="00B20EEA"/>
    <w:rsid w:val="00B21529"/>
    <w:rsid w:val="00B215BE"/>
    <w:rsid w:val="00B21760"/>
    <w:rsid w:val="00B21D81"/>
    <w:rsid w:val="00B21E0C"/>
    <w:rsid w:val="00B21EF3"/>
    <w:rsid w:val="00B222F0"/>
    <w:rsid w:val="00B22316"/>
    <w:rsid w:val="00B223A6"/>
    <w:rsid w:val="00B22FEF"/>
    <w:rsid w:val="00B23369"/>
    <w:rsid w:val="00B23421"/>
    <w:rsid w:val="00B23E8A"/>
    <w:rsid w:val="00B23EE7"/>
    <w:rsid w:val="00B2425B"/>
    <w:rsid w:val="00B24331"/>
    <w:rsid w:val="00B2447D"/>
    <w:rsid w:val="00B244B6"/>
    <w:rsid w:val="00B244C1"/>
    <w:rsid w:val="00B24735"/>
    <w:rsid w:val="00B247A0"/>
    <w:rsid w:val="00B24B32"/>
    <w:rsid w:val="00B24F38"/>
    <w:rsid w:val="00B2512D"/>
    <w:rsid w:val="00B255EF"/>
    <w:rsid w:val="00B255FC"/>
    <w:rsid w:val="00B2579E"/>
    <w:rsid w:val="00B2593E"/>
    <w:rsid w:val="00B25FB0"/>
    <w:rsid w:val="00B26028"/>
    <w:rsid w:val="00B26376"/>
    <w:rsid w:val="00B2686C"/>
    <w:rsid w:val="00B26CC6"/>
    <w:rsid w:val="00B26DC6"/>
    <w:rsid w:val="00B26E64"/>
    <w:rsid w:val="00B26F5E"/>
    <w:rsid w:val="00B27215"/>
    <w:rsid w:val="00B272AD"/>
    <w:rsid w:val="00B276FE"/>
    <w:rsid w:val="00B278C1"/>
    <w:rsid w:val="00B278E8"/>
    <w:rsid w:val="00B27B5E"/>
    <w:rsid w:val="00B27CE7"/>
    <w:rsid w:val="00B27E55"/>
    <w:rsid w:val="00B30043"/>
    <w:rsid w:val="00B301C3"/>
    <w:rsid w:val="00B30810"/>
    <w:rsid w:val="00B30817"/>
    <w:rsid w:val="00B30952"/>
    <w:rsid w:val="00B30A29"/>
    <w:rsid w:val="00B30BE8"/>
    <w:rsid w:val="00B310A0"/>
    <w:rsid w:val="00B310A6"/>
    <w:rsid w:val="00B311A7"/>
    <w:rsid w:val="00B315A9"/>
    <w:rsid w:val="00B31624"/>
    <w:rsid w:val="00B31743"/>
    <w:rsid w:val="00B31B8A"/>
    <w:rsid w:val="00B31D78"/>
    <w:rsid w:val="00B31F8C"/>
    <w:rsid w:val="00B32136"/>
    <w:rsid w:val="00B32555"/>
    <w:rsid w:val="00B3289F"/>
    <w:rsid w:val="00B32ACE"/>
    <w:rsid w:val="00B32BC8"/>
    <w:rsid w:val="00B32BFA"/>
    <w:rsid w:val="00B33693"/>
    <w:rsid w:val="00B33C16"/>
    <w:rsid w:val="00B34422"/>
    <w:rsid w:val="00B345EF"/>
    <w:rsid w:val="00B3489B"/>
    <w:rsid w:val="00B34DE5"/>
    <w:rsid w:val="00B34E73"/>
    <w:rsid w:val="00B3507C"/>
    <w:rsid w:val="00B3537D"/>
    <w:rsid w:val="00B35735"/>
    <w:rsid w:val="00B3579B"/>
    <w:rsid w:val="00B3583D"/>
    <w:rsid w:val="00B35F30"/>
    <w:rsid w:val="00B360E9"/>
    <w:rsid w:val="00B361E9"/>
    <w:rsid w:val="00B36288"/>
    <w:rsid w:val="00B36497"/>
    <w:rsid w:val="00B36848"/>
    <w:rsid w:val="00B36909"/>
    <w:rsid w:val="00B36962"/>
    <w:rsid w:val="00B369DF"/>
    <w:rsid w:val="00B37830"/>
    <w:rsid w:val="00B37A98"/>
    <w:rsid w:val="00B37B8A"/>
    <w:rsid w:val="00B37C42"/>
    <w:rsid w:val="00B37D76"/>
    <w:rsid w:val="00B40069"/>
    <w:rsid w:val="00B400A4"/>
    <w:rsid w:val="00B401FF"/>
    <w:rsid w:val="00B4034A"/>
    <w:rsid w:val="00B40555"/>
    <w:rsid w:val="00B405A5"/>
    <w:rsid w:val="00B40878"/>
    <w:rsid w:val="00B408D1"/>
    <w:rsid w:val="00B4116F"/>
    <w:rsid w:val="00B414BD"/>
    <w:rsid w:val="00B418BB"/>
    <w:rsid w:val="00B419B8"/>
    <w:rsid w:val="00B41B2E"/>
    <w:rsid w:val="00B41FB9"/>
    <w:rsid w:val="00B421A4"/>
    <w:rsid w:val="00B42C10"/>
    <w:rsid w:val="00B42EDB"/>
    <w:rsid w:val="00B4319B"/>
    <w:rsid w:val="00B434C4"/>
    <w:rsid w:val="00B43784"/>
    <w:rsid w:val="00B43ABC"/>
    <w:rsid w:val="00B43B89"/>
    <w:rsid w:val="00B43F93"/>
    <w:rsid w:val="00B43FE7"/>
    <w:rsid w:val="00B44009"/>
    <w:rsid w:val="00B44153"/>
    <w:rsid w:val="00B4417D"/>
    <w:rsid w:val="00B44655"/>
    <w:rsid w:val="00B44693"/>
    <w:rsid w:val="00B44A31"/>
    <w:rsid w:val="00B44B68"/>
    <w:rsid w:val="00B44BE7"/>
    <w:rsid w:val="00B44DBB"/>
    <w:rsid w:val="00B4518C"/>
    <w:rsid w:val="00B454F1"/>
    <w:rsid w:val="00B459B7"/>
    <w:rsid w:val="00B45B92"/>
    <w:rsid w:val="00B45D9F"/>
    <w:rsid w:val="00B45EEF"/>
    <w:rsid w:val="00B4637E"/>
    <w:rsid w:val="00B46794"/>
    <w:rsid w:val="00B47176"/>
    <w:rsid w:val="00B47342"/>
    <w:rsid w:val="00B476C2"/>
    <w:rsid w:val="00B47CC3"/>
    <w:rsid w:val="00B50049"/>
    <w:rsid w:val="00B500AF"/>
    <w:rsid w:val="00B50151"/>
    <w:rsid w:val="00B5040A"/>
    <w:rsid w:val="00B504C7"/>
    <w:rsid w:val="00B504EF"/>
    <w:rsid w:val="00B5057C"/>
    <w:rsid w:val="00B50C7C"/>
    <w:rsid w:val="00B516F7"/>
    <w:rsid w:val="00B51A93"/>
    <w:rsid w:val="00B51BF3"/>
    <w:rsid w:val="00B5213C"/>
    <w:rsid w:val="00B52191"/>
    <w:rsid w:val="00B52298"/>
    <w:rsid w:val="00B529F0"/>
    <w:rsid w:val="00B52B9D"/>
    <w:rsid w:val="00B52C54"/>
    <w:rsid w:val="00B52EBC"/>
    <w:rsid w:val="00B52F9D"/>
    <w:rsid w:val="00B530AF"/>
    <w:rsid w:val="00B532C0"/>
    <w:rsid w:val="00B5359B"/>
    <w:rsid w:val="00B539B2"/>
    <w:rsid w:val="00B53D41"/>
    <w:rsid w:val="00B53FE9"/>
    <w:rsid w:val="00B5421C"/>
    <w:rsid w:val="00B546B2"/>
    <w:rsid w:val="00B548AF"/>
    <w:rsid w:val="00B54F74"/>
    <w:rsid w:val="00B5502B"/>
    <w:rsid w:val="00B551EF"/>
    <w:rsid w:val="00B55859"/>
    <w:rsid w:val="00B55A1B"/>
    <w:rsid w:val="00B55A42"/>
    <w:rsid w:val="00B55C0B"/>
    <w:rsid w:val="00B55C27"/>
    <w:rsid w:val="00B55CC8"/>
    <w:rsid w:val="00B55E1F"/>
    <w:rsid w:val="00B55E66"/>
    <w:rsid w:val="00B56218"/>
    <w:rsid w:val="00B56555"/>
    <w:rsid w:val="00B567CE"/>
    <w:rsid w:val="00B56937"/>
    <w:rsid w:val="00B571A2"/>
    <w:rsid w:val="00B5730F"/>
    <w:rsid w:val="00B57357"/>
    <w:rsid w:val="00B5779F"/>
    <w:rsid w:val="00B57C0F"/>
    <w:rsid w:val="00B57D07"/>
    <w:rsid w:val="00B603D9"/>
    <w:rsid w:val="00B606F4"/>
    <w:rsid w:val="00B60943"/>
    <w:rsid w:val="00B6099E"/>
    <w:rsid w:val="00B60BD8"/>
    <w:rsid w:val="00B60BF2"/>
    <w:rsid w:val="00B60E32"/>
    <w:rsid w:val="00B612F5"/>
    <w:rsid w:val="00B61A06"/>
    <w:rsid w:val="00B61D38"/>
    <w:rsid w:val="00B61DC8"/>
    <w:rsid w:val="00B62388"/>
    <w:rsid w:val="00B6268E"/>
    <w:rsid w:val="00B62901"/>
    <w:rsid w:val="00B636E4"/>
    <w:rsid w:val="00B63BD3"/>
    <w:rsid w:val="00B63E23"/>
    <w:rsid w:val="00B64018"/>
    <w:rsid w:val="00B6418A"/>
    <w:rsid w:val="00B652C7"/>
    <w:rsid w:val="00B65711"/>
    <w:rsid w:val="00B65756"/>
    <w:rsid w:val="00B6585F"/>
    <w:rsid w:val="00B65A8F"/>
    <w:rsid w:val="00B65AE5"/>
    <w:rsid w:val="00B65DCD"/>
    <w:rsid w:val="00B65FFF"/>
    <w:rsid w:val="00B66075"/>
    <w:rsid w:val="00B6657B"/>
    <w:rsid w:val="00B669CE"/>
    <w:rsid w:val="00B66BC8"/>
    <w:rsid w:val="00B66C5B"/>
    <w:rsid w:val="00B6765E"/>
    <w:rsid w:val="00B6793D"/>
    <w:rsid w:val="00B67AA1"/>
    <w:rsid w:val="00B67C17"/>
    <w:rsid w:val="00B67C23"/>
    <w:rsid w:val="00B67DED"/>
    <w:rsid w:val="00B67E43"/>
    <w:rsid w:val="00B67EEF"/>
    <w:rsid w:val="00B701C7"/>
    <w:rsid w:val="00B70204"/>
    <w:rsid w:val="00B702F7"/>
    <w:rsid w:val="00B70348"/>
    <w:rsid w:val="00B70481"/>
    <w:rsid w:val="00B7096B"/>
    <w:rsid w:val="00B70B2B"/>
    <w:rsid w:val="00B70D49"/>
    <w:rsid w:val="00B70E76"/>
    <w:rsid w:val="00B7152E"/>
    <w:rsid w:val="00B717C4"/>
    <w:rsid w:val="00B71942"/>
    <w:rsid w:val="00B71C7A"/>
    <w:rsid w:val="00B71F60"/>
    <w:rsid w:val="00B720B5"/>
    <w:rsid w:val="00B72173"/>
    <w:rsid w:val="00B72285"/>
    <w:rsid w:val="00B7275B"/>
    <w:rsid w:val="00B729E9"/>
    <w:rsid w:val="00B729FB"/>
    <w:rsid w:val="00B72B32"/>
    <w:rsid w:val="00B72DAF"/>
    <w:rsid w:val="00B72EA6"/>
    <w:rsid w:val="00B73009"/>
    <w:rsid w:val="00B73134"/>
    <w:rsid w:val="00B73247"/>
    <w:rsid w:val="00B732BF"/>
    <w:rsid w:val="00B7341E"/>
    <w:rsid w:val="00B73439"/>
    <w:rsid w:val="00B7353D"/>
    <w:rsid w:val="00B73982"/>
    <w:rsid w:val="00B73AAF"/>
    <w:rsid w:val="00B73DFA"/>
    <w:rsid w:val="00B7402D"/>
    <w:rsid w:val="00B74127"/>
    <w:rsid w:val="00B74244"/>
    <w:rsid w:val="00B7464D"/>
    <w:rsid w:val="00B74817"/>
    <w:rsid w:val="00B74829"/>
    <w:rsid w:val="00B748FA"/>
    <w:rsid w:val="00B74976"/>
    <w:rsid w:val="00B74C95"/>
    <w:rsid w:val="00B74CC8"/>
    <w:rsid w:val="00B75001"/>
    <w:rsid w:val="00B7512D"/>
    <w:rsid w:val="00B752AA"/>
    <w:rsid w:val="00B75576"/>
    <w:rsid w:val="00B75675"/>
    <w:rsid w:val="00B758CE"/>
    <w:rsid w:val="00B75AA2"/>
    <w:rsid w:val="00B75B18"/>
    <w:rsid w:val="00B75EAC"/>
    <w:rsid w:val="00B762D5"/>
    <w:rsid w:val="00B76E83"/>
    <w:rsid w:val="00B76ED5"/>
    <w:rsid w:val="00B76EE1"/>
    <w:rsid w:val="00B76F24"/>
    <w:rsid w:val="00B774AD"/>
    <w:rsid w:val="00B778C9"/>
    <w:rsid w:val="00B77962"/>
    <w:rsid w:val="00B77D98"/>
    <w:rsid w:val="00B77E2B"/>
    <w:rsid w:val="00B80049"/>
    <w:rsid w:val="00B8007E"/>
    <w:rsid w:val="00B804FA"/>
    <w:rsid w:val="00B80AD2"/>
    <w:rsid w:val="00B80ED6"/>
    <w:rsid w:val="00B8103F"/>
    <w:rsid w:val="00B811CE"/>
    <w:rsid w:val="00B819B7"/>
    <w:rsid w:val="00B81BE2"/>
    <w:rsid w:val="00B821DD"/>
    <w:rsid w:val="00B82704"/>
    <w:rsid w:val="00B8292E"/>
    <w:rsid w:val="00B82C40"/>
    <w:rsid w:val="00B82DA0"/>
    <w:rsid w:val="00B82E82"/>
    <w:rsid w:val="00B82F57"/>
    <w:rsid w:val="00B8356A"/>
    <w:rsid w:val="00B83957"/>
    <w:rsid w:val="00B8396C"/>
    <w:rsid w:val="00B83C99"/>
    <w:rsid w:val="00B83E64"/>
    <w:rsid w:val="00B83EFC"/>
    <w:rsid w:val="00B84139"/>
    <w:rsid w:val="00B842BF"/>
    <w:rsid w:val="00B8432A"/>
    <w:rsid w:val="00B843F4"/>
    <w:rsid w:val="00B844C5"/>
    <w:rsid w:val="00B8460E"/>
    <w:rsid w:val="00B84696"/>
    <w:rsid w:val="00B84971"/>
    <w:rsid w:val="00B84B75"/>
    <w:rsid w:val="00B84C02"/>
    <w:rsid w:val="00B8508E"/>
    <w:rsid w:val="00B85171"/>
    <w:rsid w:val="00B852C5"/>
    <w:rsid w:val="00B85442"/>
    <w:rsid w:val="00B8593B"/>
    <w:rsid w:val="00B85D4A"/>
    <w:rsid w:val="00B86BB7"/>
    <w:rsid w:val="00B86C4E"/>
    <w:rsid w:val="00B86DE2"/>
    <w:rsid w:val="00B86EFD"/>
    <w:rsid w:val="00B86F6A"/>
    <w:rsid w:val="00B873C8"/>
    <w:rsid w:val="00B87436"/>
    <w:rsid w:val="00B874F0"/>
    <w:rsid w:val="00B87746"/>
    <w:rsid w:val="00B87A2B"/>
    <w:rsid w:val="00B87A84"/>
    <w:rsid w:val="00B87F7B"/>
    <w:rsid w:val="00B909E0"/>
    <w:rsid w:val="00B9128C"/>
    <w:rsid w:val="00B91390"/>
    <w:rsid w:val="00B918FB"/>
    <w:rsid w:val="00B9199C"/>
    <w:rsid w:val="00B91D50"/>
    <w:rsid w:val="00B91D81"/>
    <w:rsid w:val="00B92152"/>
    <w:rsid w:val="00B9248D"/>
    <w:rsid w:val="00B924CE"/>
    <w:rsid w:val="00B925E0"/>
    <w:rsid w:val="00B927B7"/>
    <w:rsid w:val="00B9282D"/>
    <w:rsid w:val="00B92839"/>
    <w:rsid w:val="00B92A88"/>
    <w:rsid w:val="00B92FF6"/>
    <w:rsid w:val="00B9305E"/>
    <w:rsid w:val="00B93360"/>
    <w:rsid w:val="00B937AB"/>
    <w:rsid w:val="00B93CDF"/>
    <w:rsid w:val="00B93D29"/>
    <w:rsid w:val="00B93F8D"/>
    <w:rsid w:val="00B9416E"/>
    <w:rsid w:val="00B94716"/>
    <w:rsid w:val="00B9477D"/>
    <w:rsid w:val="00B948DB"/>
    <w:rsid w:val="00B94A09"/>
    <w:rsid w:val="00B94EE4"/>
    <w:rsid w:val="00B95099"/>
    <w:rsid w:val="00B9525C"/>
    <w:rsid w:val="00B953BC"/>
    <w:rsid w:val="00B954C5"/>
    <w:rsid w:val="00B956B8"/>
    <w:rsid w:val="00B9585E"/>
    <w:rsid w:val="00B95B0A"/>
    <w:rsid w:val="00B962AE"/>
    <w:rsid w:val="00B9640F"/>
    <w:rsid w:val="00B9642C"/>
    <w:rsid w:val="00B96676"/>
    <w:rsid w:val="00B96993"/>
    <w:rsid w:val="00B96C91"/>
    <w:rsid w:val="00B96D3D"/>
    <w:rsid w:val="00B96E18"/>
    <w:rsid w:val="00B97144"/>
    <w:rsid w:val="00B97154"/>
    <w:rsid w:val="00B9768D"/>
    <w:rsid w:val="00B978AC"/>
    <w:rsid w:val="00B97941"/>
    <w:rsid w:val="00B97AA4"/>
    <w:rsid w:val="00B97F12"/>
    <w:rsid w:val="00BA04BE"/>
    <w:rsid w:val="00BA0B9C"/>
    <w:rsid w:val="00BA0CC4"/>
    <w:rsid w:val="00BA0F9D"/>
    <w:rsid w:val="00BA1238"/>
    <w:rsid w:val="00BA1562"/>
    <w:rsid w:val="00BA15AF"/>
    <w:rsid w:val="00BA15BC"/>
    <w:rsid w:val="00BA15FC"/>
    <w:rsid w:val="00BA19B6"/>
    <w:rsid w:val="00BA1F69"/>
    <w:rsid w:val="00BA234E"/>
    <w:rsid w:val="00BA24C8"/>
    <w:rsid w:val="00BA2861"/>
    <w:rsid w:val="00BA43B4"/>
    <w:rsid w:val="00BA4B60"/>
    <w:rsid w:val="00BA4C26"/>
    <w:rsid w:val="00BA4D5C"/>
    <w:rsid w:val="00BA4ECE"/>
    <w:rsid w:val="00BA5508"/>
    <w:rsid w:val="00BA5C79"/>
    <w:rsid w:val="00BA5FA3"/>
    <w:rsid w:val="00BA6AF3"/>
    <w:rsid w:val="00BA6D46"/>
    <w:rsid w:val="00BA6F49"/>
    <w:rsid w:val="00BA7074"/>
    <w:rsid w:val="00BA70FC"/>
    <w:rsid w:val="00BA7403"/>
    <w:rsid w:val="00BA7429"/>
    <w:rsid w:val="00BA7747"/>
    <w:rsid w:val="00BA777F"/>
    <w:rsid w:val="00BA793A"/>
    <w:rsid w:val="00BA79DB"/>
    <w:rsid w:val="00BA7AF4"/>
    <w:rsid w:val="00BA7B6B"/>
    <w:rsid w:val="00BA7F9C"/>
    <w:rsid w:val="00BB0000"/>
    <w:rsid w:val="00BB005D"/>
    <w:rsid w:val="00BB036A"/>
    <w:rsid w:val="00BB0605"/>
    <w:rsid w:val="00BB083A"/>
    <w:rsid w:val="00BB0D52"/>
    <w:rsid w:val="00BB1399"/>
    <w:rsid w:val="00BB13BE"/>
    <w:rsid w:val="00BB165D"/>
    <w:rsid w:val="00BB16AE"/>
    <w:rsid w:val="00BB1FAA"/>
    <w:rsid w:val="00BB2439"/>
    <w:rsid w:val="00BB260B"/>
    <w:rsid w:val="00BB2872"/>
    <w:rsid w:val="00BB287C"/>
    <w:rsid w:val="00BB28A3"/>
    <w:rsid w:val="00BB2C39"/>
    <w:rsid w:val="00BB2E53"/>
    <w:rsid w:val="00BB3509"/>
    <w:rsid w:val="00BB3636"/>
    <w:rsid w:val="00BB36D6"/>
    <w:rsid w:val="00BB3702"/>
    <w:rsid w:val="00BB37CD"/>
    <w:rsid w:val="00BB437B"/>
    <w:rsid w:val="00BB43E0"/>
    <w:rsid w:val="00BB4BFC"/>
    <w:rsid w:val="00BB4E26"/>
    <w:rsid w:val="00BB4E3D"/>
    <w:rsid w:val="00BB50C7"/>
    <w:rsid w:val="00BB51C1"/>
    <w:rsid w:val="00BB52EB"/>
    <w:rsid w:val="00BB5440"/>
    <w:rsid w:val="00BB5453"/>
    <w:rsid w:val="00BB546D"/>
    <w:rsid w:val="00BB54C1"/>
    <w:rsid w:val="00BB560E"/>
    <w:rsid w:val="00BB5662"/>
    <w:rsid w:val="00BB5754"/>
    <w:rsid w:val="00BB5A67"/>
    <w:rsid w:val="00BB6179"/>
    <w:rsid w:val="00BB6217"/>
    <w:rsid w:val="00BB6D4F"/>
    <w:rsid w:val="00BB73BF"/>
    <w:rsid w:val="00BB75F0"/>
    <w:rsid w:val="00BB76E0"/>
    <w:rsid w:val="00BB7866"/>
    <w:rsid w:val="00BB7D93"/>
    <w:rsid w:val="00BB7F1E"/>
    <w:rsid w:val="00BC086F"/>
    <w:rsid w:val="00BC0BB3"/>
    <w:rsid w:val="00BC0BC5"/>
    <w:rsid w:val="00BC1447"/>
    <w:rsid w:val="00BC14AD"/>
    <w:rsid w:val="00BC1A2A"/>
    <w:rsid w:val="00BC2355"/>
    <w:rsid w:val="00BC2385"/>
    <w:rsid w:val="00BC2804"/>
    <w:rsid w:val="00BC28C3"/>
    <w:rsid w:val="00BC28CC"/>
    <w:rsid w:val="00BC29BA"/>
    <w:rsid w:val="00BC2A6C"/>
    <w:rsid w:val="00BC2A89"/>
    <w:rsid w:val="00BC2A8B"/>
    <w:rsid w:val="00BC2D5C"/>
    <w:rsid w:val="00BC2D73"/>
    <w:rsid w:val="00BC33DE"/>
    <w:rsid w:val="00BC36EA"/>
    <w:rsid w:val="00BC370A"/>
    <w:rsid w:val="00BC3937"/>
    <w:rsid w:val="00BC3948"/>
    <w:rsid w:val="00BC3A82"/>
    <w:rsid w:val="00BC3A8A"/>
    <w:rsid w:val="00BC41D9"/>
    <w:rsid w:val="00BC422F"/>
    <w:rsid w:val="00BC47B0"/>
    <w:rsid w:val="00BC4945"/>
    <w:rsid w:val="00BC4C86"/>
    <w:rsid w:val="00BC57FA"/>
    <w:rsid w:val="00BC5850"/>
    <w:rsid w:val="00BC598D"/>
    <w:rsid w:val="00BC5D52"/>
    <w:rsid w:val="00BC5FF4"/>
    <w:rsid w:val="00BC637D"/>
    <w:rsid w:val="00BC68D3"/>
    <w:rsid w:val="00BC7245"/>
    <w:rsid w:val="00BC75CE"/>
    <w:rsid w:val="00BC7816"/>
    <w:rsid w:val="00BC7F60"/>
    <w:rsid w:val="00BD05D9"/>
    <w:rsid w:val="00BD0623"/>
    <w:rsid w:val="00BD0919"/>
    <w:rsid w:val="00BD0E66"/>
    <w:rsid w:val="00BD1083"/>
    <w:rsid w:val="00BD1428"/>
    <w:rsid w:val="00BD1456"/>
    <w:rsid w:val="00BD1556"/>
    <w:rsid w:val="00BD180C"/>
    <w:rsid w:val="00BD1A75"/>
    <w:rsid w:val="00BD1E71"/>
    <w:rsid w:val="00BD23ED"/>
    <w:rsid w:val="00BD2585"/>
    <w:rsid w:val="00BD26AC"/>
    <w:rsid w:val="00BD276E"/>
    <w:rsid w:val="00BD2983"/>
    <w:rsid w:val="00BD2A40"/>
    <w:rsid w:val="00BD3067"/>
    <w:rsid w:val="00BD32EA"/>
    <w:rsid w:val="00BD40E2"/>
    <w:rsid w:val="00BD4420"/>
    <w:rsid w:val="00BD4AF1"/>
    <w:rsid w:val="00BD4D10"/>
    <w:rsid w:val="00BD4E84"/>
    <w:rsid w:val="00BD4E96"/>
    <w:rsid w:val="00BD5040"/>
    <w:rsid w:val="00BD513C"/>
    <w:rsid w:val="00BD5281"/>
    <w:rsid w:val="00BD57C5"/>
    <w:rsid w:val="00BD593A"/>
    <w:rsid w:val="00BD5D03"/>
    <w:rsid w:val="00BD5F23"/>
    <w:rsid w:val="00BD6123"/>
    <w:rsid w:val="00BD61C9"/>
    <w:rsid w:val="00BD631C"/>
    <w:rsid w:val="00BD65B2"/>
    <w:rsid w:val="00BD6714"/>
    <w:rsid w:val="00BD6895"/>
    <w:rsid w:val="00BD6BDE"/>
    <w:rsid w:val="00BD73F8"/>
    <w:rsid w:val="00BD782E"/>
    <w:rsid w:val="00BD7975"/>
    <w:rsid w:val="00BD79E7"/>
    <w:rsid w:val="00BD7A88"/>
    <w:rsid w:val="00BE0085"/>
    <w:rsid w:val="00BE05EF"/>
    <w:rsid w:val="00BE0C2E"/>
    <w:rsid w:val="00BE119A"/>
    <w:rsid w:val="00BE12A4"/>
    <w:rsid w:val="00BE1697"/>
    <w:rsid w:val="00BE1A60"/>
    <w:rsid w:val="00BE1CFE"/>
    <w:rsid w:val="00BE1DA3"/>
    <w:rsid w:val="00BE1FCD"/>
    <w:rsid w:val="00BE2442"/>
    <w:rsid w:val="00BE29A9"/>
    <w:rsid w:val="00BE2BB2"/>
    <w:rsid w:val="00BE2BE1"/>
    <w:rsid w:val="00BE2E28"/>
    <w:rsid w:val="00BE2F5B"/>
    <w:rsid w:val="00BE318D"/>
    <w:rsid w:val="00BE3388"/>
    <w:rsid w:val="00BE380D"/>
    <w:rsid w:val="00BE3A48"/>
    <w:rsid w:val="00BE3C69"/>
    <w:rsid w:val="00BE3D39"/>
    <w:rsid w:val="00BE3EA1"/>
    <w:rsid w:val="00BE46F1"/>
    <w:rsid w:val="00BE4853"/>
    <w:rsid w:val="00BE4A6C"/>
    <w:rsid w:val="00BE4E93"/>
    <w:rsid w:val="00BE4F8C"/>
    <w:rsid w:val="00BE5544"/>
    <w:rsid w:val="00BE5AB2"/>
    <w:rsid w:val="00BE5B82"/>
    <w:rsid w:val="00BE5C28"/>
    <w:rsid w:val="00BE5CE1"/>
    <w:rsid w:val="00BE5DD3"/>
    <w:rsid w:val="00BE5EBC"/>
    <w:rsid w:val="00BE5EF8"/>
    <w:rsid w:val="00BE5F8E"/>
    <w:rsid w:val="00BE6026"/>
    <w:rsid w:val="00BE742B"/>
    <w:rsid w:val="00BE77A9"/>
    <w:rsid w:val="00BE7A93"/>
    <w:rsid w:val="00BE7F04"/>
    <w:rsid w:val="00BF018A"/>
    <w:rsid w:val="00BF06FF"/>
    <w:rsid w:val="00BF07CD"/>
    <w:rsid w:val="00BF0EBA"/>
    <w:rsid w:val="00BF1067"/>
    <w:rsid w:val="00BF114C"/>
    <w:rsid w:val="00BF12AD"/>
    <w:rsid w:val="00BF14A1"/>
    <w:rsid w:val="00BF186B"/>
    <w:rsid w:val="00BF1A1D"/>
    <w:rsid w:val="00BF1F50"/>
    <w:rsid w:val="00BF2121"/>
    <w:rsid w:val="00BF2137"/>
    <w:rsid w:val="00BF264D"/>
    <w:rsid w:val="00BF26D3"/>
    <w:rsid w:val="00BF286F"/>
    <w:rsid w:val="00BF2C04"/>
    <w:rsid w:val="00BF2E8A"/>
    <w:rsid w:val="00BF2F66"/>
    <w:rsid w:val="00BF39E7"/>
    <w:rsid w:val="00BF3FE3"/>
    <w:rsid w:val="00BF4045"/>
    <w:rsid w:val="00BF4186"/>
    <w:rsid w:val="00BF4F99"/>
    <w:rsid w:val="00BF50B8"/>
    <w:rsid w:val="00BF50C6"/>
    <w:rsid w:val="00BF5622"/>
    <w:rsid w:val="00BF575F"/>
    <w:rsid w:val="00BF588C"/>
    <w:rsid w:val="00BF5A0D"/>
    <w:rsid w:val="00BF5E06"/>
    <w:rsid w:val="00BF627D"/>
    <w:rsid w:val="00BF63D1"/>
    <w:rsid w:val="00BF6541"/>
    <w:rsid w:val="00BF6C60"/>
    <w:rsid w:val="00BF6CC6"/>
    <w:rsid w:val="00BF6DEF"/>
    <w:rsid w:val="00BF6E42"/>
    <w:rsid w:val="00BF73AB"/>
    <w:rsid w:val="00BF75FD"/>
    <w:rsid w:val="00BF78B7"/>
    <w:rsid w:val="00BF7A14"/>
    <w:rsid w:val="00BF7C96"/>
    <w:rsid w:val="00BF7FBA"/>
    <w:rsid w:val="00C00137"/>
    <w:rsid w:val="00C00189"/>
    <w:rsid w:val="00C003A5"/>
    <w:rsid w:val="00C00465"/>
    <w:rsid w:val="00C009CA"/>
    <w:rsid w:val="00C00A25"/>
    <w:rsid w:val="00C00A98"/>
    <w:rsid w:val="00C00B7C"/>
    <w:rsid w:val="00C00C08"/>
    <w:rsid w:val="00C00E5A"/>
    <w:rsid w:val="00C01089"/>
    <w:rsid w:val="00C0112C"/>
    <w:rsid w:val="00C0128D"/>
    <w:rsid w:val="00C012DD"/>
    <w:rsid w:val="00C0137F"/>
    <w:rsid w:val="00C01698"/>
    <w:rsid w:val="00C018F1"/>
    <w:rsid w:val="00C01B04"/>
    <w:rsid w:val="00C01BB2"/>
    <w:rsid w:val="00C01C71"/>
    <w:rsid w:val="00C01CE0"/>
    <w:rsid w:val="00C01D3E"/>
    <w:rsid w:val="00C0220C"/>
    <w:rsid w:val="00C028CE"/>
    <w:rsid w:val="00C02E4B"/>
    <w:rsid w:val="00C03014"/>
    <w:rsid w:val="00C03666"/>
    <w:rsid w:val="00C0369A"/>
    <w:rsid w:val="00C03934"/>
    <w:rsid w:val="00C03B34"/>
    <w:rsid w:val="00C03C55"/>
    <w:rsid w:val="00C03CC0"/>
    <w:rsid w:val="00C03CDC"/>
    <w:rsid w:val="00C03CFD"/>
    <w:rsid w:val="00C03FE2"/>
    <w:rsid w:val="00C040DE"/>
    <w:rsid w:val="00C0417D"/>
    <w:rsid w:val="00C0440A"/>
    <w:rsid w:val="00C04484"/>
    <w:rsid w:val="00C044C2"/>
    <w:rsid w:val="00C04A53"/>
    <w:rsid w:val="00C04A98"/>
    <w:rsid w:val="00C05049"/>
    <w:rsid w:val="00C05305"/>
    <w:rsid w:val="00C05825"/>
    <w:rsid w:val="00C05E55"/>
    <w:rsid w:val="00C06051"/>
    <w:rsid w:val="00C061CA"/>
    <w:rsid w:val="00C063ED"/>
    <w:rsid w:val="00C064A2"/>
    <w:rsid w:val="00C0653C"/>
    <w:rsid w:val="00C066C3"/>
    <w:rsid w:val="00C06F90"/>
    <w:rsid w:val="00C07203"/>
    <w:rsid w:val="00C0744E"/>
    <w:rsid w:val="00C07AE6"/>
    <w:rsid w:val="00C07ED9"/>
    <w:rsid w:val="00C1026E"/>
    <w:rsid w:val="00C103BB"/>
    <w:rsid w:val="00C10426"/>
    <w:rsid w:val="00C108C0"/>
    <w:rsid w:val="00C10A44"/>
    <w:rsid w:val="00C10B87"/>
    <w:rsid w:val="00C10C3C"/>
    <w:rsid w:val="00C10E06"/>
    <w:rsid w:val="00C10E84"/>
    <w:rsid w:val="00C118D2"/>
    <w:rsid w:val="00C119C2"/>
    <w:rsid w:val="00C11F80"/>
    <w:rsid w:val="00C127F3"/>
    <w:rsid w:val="00C127FB"/>
    <w:rsid w:val="00C12B84"/>
    <w:rsid w:val="00C1315E"/>
    <w:rsid w:val="00C13214"/>
    <w:rsid w:val="00C13451"/>
    <w:rsid w:val="00C1351B"/>
    <w:rsid w:val="00C13828"/>
    <w:rsid w:val="00C13A41"/>
    <w:rsid w:val="00C13DA0"/>
    <w:rsid w:val="00C13E67"/>
    <w:rsid w:val="00C13F1A"/>
    <w:rsid w:val="00C14205"/>
    <w:rsid w:val="00C144E4"/>
    <w:rsid w:val="00C14550"/>
    <w:rsid w:val="00C145E3"/>
    <w:rsid w:val="00C14C70"/>
    <w:rsid w:val="00C14E46"/>
    <w:rsid w:val="00C151FD"/>
    <w:rsid w:val="00C1530A"/>
    <w:rsid w:val="00C1569D"/>
    <w:rsid w:val="00C15B26"/>
    <w:rsid w:val="00C15F89"/>
    <w:rsid w:val="00C161AE"/>
    <w:rsid w:val="00C16356"/>
    <w:rsid w:val="00C16666"/>
    <w:rsid w:val="00C16C34"/>
    <w:rsid w:val="00C16C86"/>
    <w:rsid w:val="00C16D3F"/>
    <w:rsid w:val="00C1726E"/>
    <w:rsid w:val="00C175CD"/>
    <w:rsid w:val="00C17A3F"/>
    <w:rsid w:val="00C17A57"/>
    <w:rsid w:val="00C17A6C"/>
    <w:rsid w:val="00C17D0A"/>
    <w:rsid w:val="00C17F5F"/>
    <w:rsid w:val="00C20164"/>
    <w:rsid w:val="00C20659"/>
    <w:rsid w:val="00C207A9"/>
    <w:rsid w:val="00C2095F"/>
    <w:rsid w:val="00C20A86"/>
    <w:rsid w:val="00C20B51"/>
    <w:rsid w:val="00C20CA5"/>
    <w:rsid w:val="00C20EE4"/>
    <w:rsid w:val="00C2150F"/>
    <w:rsid w:val="00C21815"/>
    <w:rsid w:val="00C21FC0"/>
    <w:rsid w:val="00C2213A"/>
    <w:rsid w:val="00C2263D"/>
    <w:rsid w:val="00C22825"/>
    <w:rsid w:val="00C22A68"/>
    <w:rsid w:val="00C22B2E"/>
    <w:rsid w:val="00C22E6A"/>
    <w:rsid w:val="00C23101"/>
    <w:rsid w:val="00C23327"/>
    <w:rsid w:val="00C23329"/>
    <w:rsid w:val="00C2393B"/>
    <w:rsid w:val="00C23AC9"/>
    <w:rsid w:val="00C23DD4"/>
    <w:rsid w:val="00C243D6"/>
    <w:rsid w:val="00C24546"/>
    <w:rsid w:val="00C246ED"/>
    <w:rsid w:val="00C24812"/>
    <w:rsid w:val="00C249D3"/>
    <w:rsid w:val="00C24F03"/>
    <w:rsid w:val="00C251F9"/>
    <w:rsid w:val="00C254B5"/>
    <w:rsid w:val="00C2585C"/>
    <w:rsid w:val="00C2593F"/>
    <w:rsid w:val="00C25BB2"/>
    <w:rsid w:val="00C25C31"/>
    <w:rsid w:val="00C25E49"/>
    <w:rsid w:val="00C25ECD"/>
    <w:rsid w:val="00C262FC"/>
    <w:rsid w:val="00C264C4"/>
    <w:rsid w:val="00C267BC"/>
    <w:rsid w:val="00C2692D"/>
    <w:rsid w:val="00C26A13"/>
    <w:rsid w:val="00C26DC6"/>
    <w:rsid w:val="00C26F72"/>
    <w:rsid w:val="00C2734B"/>
    <w:rsid w:val="00C27496"/>
    <w:rsid w:val="00C274A7"/>
    <w:rsid w:val="00C27517"/>
    <w:rsid w:val="00C278D2"/>
    <w:rsid w:val="00C279DB"/>
    <w:rsid w:val="00C27E72"/>
    <w:rsid w:val="00C27EB0"/>
    <w:rsid w:val="00C27FA4"/>
    <w:rsid w:val="00C3017C"/>
    <w:rsid w:val="00C301D3"/>
    <w:rsid w:val="00C30387"/>
    <w:rsid w:val="00C30449"/>
    <w:rsid w:val="00C30BD5"/>
    <w:rsid w:val="00C30ECD"/>
    <w:rsid w:val="00C310B4"/>
    <w:rsid w:val="00C31419"/>
    <w:rsid w:val="00C3148D"/>
    <w:rsid w:val="00C31514"/>
    <w:rsid w:val="00C31CB7"/>
    <w:rsid w:val="00C31E16"/>
    <w:rsid w:val="00C31FEA"/>
    <w:rsid w:val="00C32172"/>
    <w:rsid w:val="00C3261F"/>
    <w:rsid w:val="00C328A4"/>
    <w:rsid w:val="00C32B1A"/>
    <w:rsid w:val="00C32D17"/>
    <w:rsid w:val="00C330E2"/>
    <w:rsid w:val="00C33101"/>
    <w:rsid w:val="00C332EB"/>
    <w:rsid w:val="00C337C0"/>
    <w:rsid w:val="00C33943"/>
    <w:rsid w:val="00C3395A"/>
    <w:rsid w:val="00C33AB4"/>
    <w:rsid w:val="00C33B0B"/>
    <w:rsid w:val="00C33CF0"/>
    <w:rsid w:val="00C340DC"/>
    <w:rsid w:val="00C346AD"/>
    <w:rsid w:val="00C34CDA"/>
    <w:rsid w:val="00C34FFD"/>
    <w:rsid w:val="00C3504C"/>
    <w:rsid w:val="00C356B8"/>
    <w:rsid w:val="00C35982"/>
    <w:rsid w:val="00C35D45"/>
    <w:rsid w:val="00C35E78"/>
    <w:rsid w:val="00C35FE6"/>
    <w:rsid w:val="00C3606A"/>
    <w:rsid w:val="00C362E2"/>
    <w:rsid w:val="00C3644A"/>
    <w:rsid w:val="00C36760"/>
    <w:rsid w:val="00C368E6"/>
    <w:rsid w:val="00C36BC3"/>
    <w:rsid w:val="00C36BF8"/>
    <w:rsid w:val="00C37144"/>
    <w:rsid w:val="00C37148"/>
    <w:rsid w:val="00C37183"/>
    <w:rsid w:val="00C373B9"/>
    <w:rsid w:val="00C375E4"/>
    <w:rsid w:val="00C3766A"/>
    <w:rsid w:val="00C377F0"/>
    <w:rsid w:val="00C37952"/>
    <w:rsid w:val="00C37D84"/>
    <w:rsid w:val="00C40086"/>
    <w:rsid w:val="00C40101"/>
    <w:rsid w:val="00C4048D"/>
    <w:rsid w:val="00C405DD"/>
    <w:rsid w:val="00C405F3"/>
    <w:rsid w:val="00C40741"/>
    <w:rsid w:val="00C407B5"/>
    <w:rsid w:val="00C409EB"/>
    <w:rsid w:val="00C41403"/>
    <w:rsid w:val="00C41494"/>
    <w:rsid w:val="00C415B5"/>
    <w:rsid w:val="00C4174F"/>
    <w:rsid w:val="00C420D4"/>
    <w:rsid w:val="00C423F3"/>
    <w:rsid w:val="00C424CF"/>
    <w:rsid w:val="00C42CF6"/>
    <w:rsid w:val="00C42EDC"/>
    <w:rsid w:val="00C4324B"/>
    <w:rsid w:val="00C432B4"/>
    <w:rsid w:val="00C434F6"/>
    <w:rsid w:val="00C4375C"/>
    <w:rsid w:val="00C43A3C"/>
    <w:rsid w:val="00C43AF3"/>
    <w:rsid w:val="00C43B5A"/>
    <w:rsid w:val="00C44280"/>
    <w:rsid w:val="00C44A23"/>
    <w:rsid w:val="00C44D60"/>
    <w:rsid w:val="00C4500A"/>
    <w:rsid w:val="00C453F1"/>
    <w:rsid w:val="00C458AB"/>
    <w:rsid w:val="00C45A14"/>
    <w:rsid w:val="00C45AB9"/>
    <w:rsid w:val="00C45C22"/>
    <w:rsid w:val="00C45E5E"/>
    <w:rsid w:val="00C4608E"/>
    <w:rsid w:val="00C462F0"/>
    <w:rsid w:val="00C4677D"/>
    <w:rsid w:val="00C46989"/>
    <w:rsid w:val="00C46B4F"/>
    <w:rsid w:val="00C46B90"/>
    <w:rsid w:val="00C46DC2"/>
    <w:rsid w:val="00C46EC0"/>
    <w:rsid w:val="00C4753E"/>
    <w:rsid w:val="00C4763E"/>
    <w:rsid w:val="00C477B3"/>
    <w:rsid w:val="00C478A7"/>
    <w:rsid w:val="00C47F93"/>
    <w:rsid w:val="00C503E9"/>
    <w:rsid w:val="00C50923"/>
    <w:rsid w:val="00C50A25"/>
    <w:rsid w:val="00C50E77"/>
    <w:rsid w:val="00C51092"/>
    <w:rsid w:val="00C51791"/>
    <w:rsid w:val="00C51803"/>
    <w:rsid w:val="00C518E3"/>
    <w:rsid w:val="00C51940"/>
    <w:rsid w:val="00C51ED2"/>
    <w:rsid w:val="00C51F22"/>
    <w:rsid w:val="00C52106"/>
    <w:rsid w:val="00C521F5"/>
    <w:rsid w:val="00C52399"/>
    <w:rsid w:val="00C52521"/>
    <w:rsid w:val="00C52D6B"/>
    <w:rsid w:val="00C53088"/>
    <w:rsid w:val="00C53149"/>
    <w:rsid w:val="00C5317A"/>
    <w:rsid w:val="00C53670"/>
    <w:rsid w:val="00C536E0"/>
    <w:rsid w:val="00C53B6B"/>
    <w:rsid w:val="00C53C0D"/>
    <w:rsid w:val="00C53E04"/>
    <w:rsid w:val="00C53F30"/>
    <w:rsid w:val="00C5405D"/>
    <w:rsid w:val="00C5449B"/>
    <w:rsid w:val="00C54C7A"/>
    <w:rsid w:val="00C54CB0"/>
    <w:rsid w:val="00C54DDD"/>
    <w:rsid w:val="00C54EC5"/>
    <w:rsid w:val="00C54F16"/>
    <w:rsid w:val="00C554B7"/>
    <w:rsid w:val="00C5557B"/>
    <w:rsid w:val="00C557D3"/>
    <w:rsid w:val="00C55829"/>
    <w:rsid w:val="00C559DC"/>
    <w:rsid w:val="00C55B6D"/>
    <w:rsid w:val="00C566D4"/>
    <w:rsid w:val="00C56741"/>
    <w:rsid w:val="00C56DD2"/>
    <w:rsid w:val="00C56E38"/>
    <w:rsid w:val="00C56F24"/>
    <w:rsid w:val="00C56F50"/>
    <w:rsid w:val="00C570A0"/>
    <w:rsid w:val="00C579EE"/>
    <w:rsid w:val="00C57A88"/>
    <w:rsid w:val="00C57C34"/>
    <w:rsid w:val="00C60130"/>
    <w:rsid w:val="00C6030C"/>
    <w:rsid w:val="00C60961"/>
    <w:rsid w:val="00C609A0"/>
    <w:rsid w:val="00C60C4B"/>
    <w:rsid w:val="00C610C9"/>
    <w:rsid w:val="00C614C7"/>
    <w:rsid w:val="00C61661"/>
    <w:rsid w:val="00C61BFF"/>
    <w:rsid w:val="00C61C06"/>
    <w:rsid w:val="00C61DAB"/>
    <w:rsid w:val="00C61E68"/>
    <w:rsid w:val="00C6224D"/>
    <w:rsid w:val="00C62322"/>
    <w:rsid w:val="00C62BF5"/>
    <w:rsid w:val="00C62E80"/>
    <w:rsid w:val="00C62EFD"/>
    <w:rsid w:val="00C63109"/>
    <w:rsid w:val="00C631BE"/>
    <w:rsid w:val="00C6385B"/>
    <w:rsid w:val="00C64311"/>
    <w:rsid w:val="00C6461F"/>
    <w:rsid w:val="00C6468C"/>
    <w:rsid w:val="00C64AC4"/>
    <w:rsid w:val="00C64C1C"/>
    <w:rsid w:val="00C64CA1"/>
    <w:rsid w:val="00C64DEA"/>
    <w:rsid w:val="00C65160"/>
    <w:rsid w:val="00C656AD"/>
    <w:rsid w:val="00C65898"/>
    <w:rsid w:val="00C65981"/>
    <w:rsid w:val="00C65AF3"/>
    <w:rsid w:val="00C65B74"/>
    <w:rsid w:val="00C65C07"/>
    <w:rsid w:val="00C66285"/>
    <w:rsid w:val="00C663C2"/>
    <w:rsid w:val="00C665C5"/>
    <w:rsid w:val="00C66640"/>
    <w:rsid w:val="00C66672"/>
    <w:rsid w:val="00C6668F"/>
    <w:rsid w:val="00C66778"/>
    <w:rsid w:val="00C668FE"/>
    <w:rsid w:val="00C6695F"/>
    <w:rsid w:val="00C669D8"/>
    <w:rsid w:val="00C66A66"/>
    <w:rsid w:val="00C66D42"/>
    <w:rsid w:val="00C66D63"/>
    <w:rsid w:val="00C66FFD"/>
    <w:rsid w:val="00C6747C"/>
    <w:rsid w:val="00C675DD"/>
    <w:rsid w:val="00C676D5"/>
    <w:rsid w:val="00C677C7"/>
    <w:rsid w:val="00C67A71"/>
    <w:rsid w:val="00C67E16"/>
    <w:rsid w:val="00C67FFB"/>
    <w:rsid w:val="00C7021E"/>
    <w:rsid w:val="00C70322"/>
    <w:rsid w:val="00C70438"/>
    <w:rsid w:val="00C707B9"/>
    <w:rsid w:val="00C70D77"/>
    <w:rsid w:val="00C70DA1"/>
    <w:rsid w:val="00C70E0A"/>
    <w:rsid w:val="00C70F2C"/>
    <w:rsid w:val="00C71376"/>
    <w:rsid w:val="00C715B1"/>
    <w:rsid w:val="00C71878"/>
    <w:rsid w:val="00C71B43"/>
    <w:rsid w:val="00C71DD9"/>
    <w:rsid w:val="00C72035"/>
    <w:rsid w:val="00C724F4"/>
    <w:rsid w:val="00C72843"/>
    <w:rsid w:val="00C72882"/>
    <w:rsid w:val="00C7291A"/>
    <w:rsid w:val="00C72EDB"/>
    <w:rsid w:val="00C7352B"/>
    <w:rsid w:val="00C73624"/>
    <w:rsid w:val="00C73D6D"/>
    <w:rsid w:val="00C73DCF"/>
    <w:rsid w:val="00C74380"/>
    <w:rsid w:val="00C74768"/>
    <w:rsid w:val="00C74F93"/>
    <w:rsid w:val="00C750D6"/>
    <w:rsid w:val="00C75287"/>
    <w:rsid w:val="00C75449"/>
    <w:rsid w:val="00C754F7"/>
    <w:rsid w:val="00C756A2"/>
    <w:rsid w:val="00C75724"/>
    <w:rsid w:val="00C75A8F"/>
    <w:rsid w:val="00C75E2E"/>
    <w:rsid w:val="00C763A8"/>
    <w:rsid w:val="00C76606"/>
    <w:rsid w:val="00C766E6"/>
    <w:rsid w:val="00C76747"/>
    <w:rsid w:val="00C767D6"/>
    <w:rsid w:val="00C76837"/>
    <w:rsid w:val="00C76905"/>
    <w:rsid w:val="00C76984"/>
    <w:rsid w:val="00C76DE5"/>
    <w:rsid w:val="00C76F91"/>
    <w:rsid w:val="00C77AA8"/>
    <w:rsid w:val="00C77E84"/>
    <w:rsid w:val="00C77F2D"/>
    <w:rsid w:val="00C77FCD"/>
    <w:rsid w:val="00C8041A"/>
    <w:rsid w:val="00C805E4"/>
    <w:rsid w:val="00C80A4C"/>
    <w:rsid w:val="00C81115"/>
    <w:rsid w:val="00C81297"/>
    <w:rsid w:val="00C814E9"/>
    <w:rsid w:val="00C817FC"/>
    <w:rsid w:val="00C81B06"/>
    <w:rsid w:val="00C81C99"/>
    <w:rsid w:val="00C82F2F"/>
    <w:rsid w:val="00C838E8"/>
    <w:rsid w:val="00C83947"/>
    <w:rsid w:val="00C8407E"/>
    <w:rsid w:val="00C841A8"/>
    <w:rsid w:val="00C843F8"/>
    <w:rsid w:val="00C845DB"/>
    <w:rsid w:val="00C851E1"/>
    <w:rsid w:val="00C8540E"/>
    <w:rsid w:val="00C8545F"/>
    <w:rsid w:val="00C855B0"/>
    <w:rsid w:val="00C85713"/>
    <w:rsid w:val="00C8590B"/>
    <w:rsid w:val="00C85C77"/>
    <w:rsid w:val="00C85DB5"/>
    <w:rsid w:val="00C86190"/>
    <w:rsid w:val="00C864D4"/>
    <w:rsid w:val="00C86B9F"/>
    <w:rsid w:val="00C86F77"/>
    <w:rsid w:val="00C875B5"/>
    <w:rsid w:val="00C879B5"/>
    <w:rsid w:val="00C87A86"/>
    <w:rsid w:val="00C87C81"/>
    <w:rsid w:val="00C87DBC"/>
    <w:rsid w:val="00C87FF2"/>
    <w:rsid w:val="00C9016B"/>
    <w:rsid w:val="00C90231"/>
    <w:rsid w:val="00C90807"/>
    <w:rsid w:val="00C90EB0"/>
    <w:rsid w:val="00C91270"/>
    <w:rsid w:val="00C91376"/>
    <w:rsid w:val="00C91BC7"/>
    <w:rsid w:val="00C91CA6"/>
    <w:rsid w:val="00C920E5"/>
    <w:rsid w:val="00C92195"/>
    <w:rsid w:val="00C92371"/>
    <w:rsid w:val="00C9257D"/>
    <w:rsid w:val="00C92660"/>
    <w:rsid w:val="00C9269C"/>
    <w:rsid w:val="00C9289B"/>
    <w:rsid w:val="00C92DF1"/>
    <w:rsid w:val="00C92EEA"/>
    <w:rsid w:val="00C938FF"/>
    <w:rsid w:val="00C93BE4"/>
    <w:rsid w:val="00C94239"/>
    <w:rsid w:val="00C944C1"/>
    <w:rsid w:val="00C94B08"/>
    <w:rsid w:val="00C94B16"/>
    <w:rsid w:val="00C94F49"/>
    <w:rsid w:val="00C95351"/>
    <w:rsid w:val="00C95617"/>
    <w:rsid w:val="00C956EA"/>
    <w:rsid w:val="00C9574D"/>
    <w:rsid w:val="00C959B4"/>
    <w:rsid w:val="00C95A86"/>
    <w:rsid w:val="00C95B57"/>
    <w:rsid w:val="00C95FE5"/>
    <w:rsid w:val="00C9604F"/>
    <w:rsid w:val="00C9619D"/>
    <w:rsid w:val="00C96283"/>
    <w:rsid w:val="00C9684D"/>
    <w:rsid w:val="00C96899"/>
    <w:rsid w:val="00C96E53"/>
    <w:rsid w:val="00C96F3F"/>
    <w:rsid w:val="00C970BB"/>
    <w:rsid w:val="00C97716"/>
    <w:rsid w:val="00C978AE"/>
    <w:rsid w:val="00C97D23"/>
    <w:rsid w:val="00C97E0E"/>
    <w:rsid w:val="00CA036E"/>
    <w:rsid w:val="00CA0396"/>
    <w:rsid w:val="00CA067B"/>
    <w:rsid w:val="00CA0981"/>
    <w:rsid w:val="00CA0A83"/>
    <w:rsid w:val="00CA0BD7"/>
    <w:rsid w:val="00CA0C74"/>
    <w:rsid w:val="00CA1245"/>
    <w:rsid w:val="00CA18F7"/>
    <w:rsid w:val="00CA19FD"/>
    <w:rsid w:val="00CA221F"/>
    <w:rsid w:val="00CA2425"/>
    <w:rsid w:val="00CA25A7"/>
    <w:rsid w:val="00CA261C"/>
    <w:rsid w:val="00CA2798"/>
    <w:rsid w:val="00CA2858"/>
    <w:rsid w:val="00CA326E"/>
    <w:rsid w:val="00CA3557"/>
    <w:rsid w:val="00CA356A"/>
    <w:rsid w:val="00CA36EE"/>
    <w:rsid w:val="00CA3A4B"/>
    <w:rsid w:val="00CA3BDF"/>
    <w:rsid w:val="00CA40A6"/>
    <w:rsid w:val="00CA41BA"/>
    <w:rsid w:val="00CA4685"/>
    <w:rsid w:val="00CA4772"/>
    <w:rsid w:val="00CA47EB"/>
    <w:rsid w:val="00CA4B32"/>
    <w:rsid w:val="00CA4C73"/>
    <w:rsid w:val="00CA4D5B"/>
    <w:rsid w:val="00CA53A0"/>
    <w:rsid w:val="00CA5573"/>
    <w:rsid w:val="00CA5740"/>
    <w:rsid w:val="00CA57B9"/>
    <w:rsid w:val="00CA5840"/>
    <w:rsid w:val="00CA58EF"/>
    <w:rsid w:val="00CA5A2D"/>
    <w:rsid w:val="00CA5BB4"/>
    <w:rsid w:val="00CA5D95"/>
    <w:rsid w:val="00CA60EC"/>
    <w:rsid w:val="00CA611B"/>
    <w:rsid w:val="00CA617E"/>
    <w:rsid w:val="00CA61BB"/>
    <w:rsid w:val="00CA6246"/>
    <w:rsid w:val="00CA633C"/>
    <w:rsid w:val="00CA687B"/>
    <w:rsid w:val="00CA6BD6"/>
    <w:rsid w:val="00CA715F"/>
    <w:rsid w:val="00CA729E"/>
    <w:rsid w:val="00CA72A1"/>
    <w:rsid w:val="00CA788D"/>
    <w:rsid w:val="00CB0CD9"/>
    <w:rsid w:val="00CB0D1C"/>
    <w:rsid w:val="00CB154B"/>
    <w:rsid w:val="00CB15FF"/>
    <w:rsid w:val="00CB172D"/>
    <w:rsid w:val="00CB1886"/>
    <w:rsid w:val="00CB1ACD"/>
    <w:rsid w:val="00CB1CD5"/>
    <w:rsid w:val="00CB2684"/>
    <w:rsid w:val="00CB2751"/>
    <w:rsid w:val="00CB2AD5"/>
    <w:rsid w:val="00CB2B27"/>
    <w:rsid w:val="00CB2BD5"/>
    <w:rsid w:val="00CB2CBE"/>
    <w:rsid w:val="00CB2EA4"/>
    <w:rsid w:val="00CB3098"/>
    <w:rsid w:val="00CB33CF"/>
    <w:rsid w:val="00CB3631"/>
    <w:rsid w:val="00CB3676"/>
    <w:rsid w:val="00CB367B"/>
    <w:rsid w:val="00CB3F58"/>
    <w:rsid w:val="00CB4014"/>
    <w:rsid w:val="00CB433B"/>
    <w:rsid w:val="00CB4563"/>
    <w:rsid w:val="00CB4E13"/>
    <w:rsid w:val="00CB4F2B"/>
    <w:rsid w:val="00CB52FE"/>
    <w:rsid w:val="00CB55A8"/>
    <w:rsid w:val="00CB5D1B"/>
    <w:rsid w:val="00CB636E"/>
    <w:rsid w:val="00CB63A0"/>
    <w:rsid w:val="00CB64A4"/>
    <w:rsid w:val="00CB64E1"/>
    <w:rsid w:val="00CB66A7"/>
    <w:rsid w:val="00CB6762"/>
    <w:rsid w:val="00CB6EB8"/>
    <w:rsid w:val="00CB71BB"/>
    <w:rsid w:val="00CB71D0"/>
    <w:rsid w:val="00CB7B88"/>
    <w:rsid w:val="00CB7CAE"/>
    <w:rsid w:val="00CB7EC3"/>
    <w:rsid w:val="00CB7FF8"/>
    <w:rsid w:val="00CC00F6"/>
    <w:rsid w:val="00CC0622"/>
    <w:rsid w:val="00CC0904"/>
    <w:rsid w:val="00CC09B7"/>
    <w:rsid w:val="00CC0A0A"/>
    <w:rsid w:val="00CC0A2B"/>
    <w:rsid w:val="00CC0C64"/>
    <w:rsid w:val="00CC0D16"/>
    <w:rsid w:val="00CC128D"/>
    <w:rsid w:val="00CC14E3"/>
    <w:rsid w:val="00CC1541"/>
    <w:rsid w:val="00CC180A"/>
    <w:rsid w:val="00CC1B1F"/>
    <w:rsid w:val="00CC1B65"/>
    <w:rsid w:val="00CC1BA9"/>
    <w:rsid w:val="00CC1C29"/>
    <w:rsid w:val="00CC1DBA"/>
    <w:rsid w:val="00CC1F19"/>
    <w:rsid w:val="00CC1F39"/>
    <w:rsid w:val="00CC2710"/>
    <w:rsid w:val="00CC2CF3"/>
    <w:rsid w:val="00CC314F"/>
    <w:rsid w:val="00CC32F8"/>
    <w:rsid w:val="00CC3313"/>
    <w:rsid w:val="00CC346C"/>
    <w:rsid w:val="00CC3516"/>
    <w:rsid w:val="00CC35E2"/>
    <w:rsid w:val="00CC3692"/>
    <w:rsid w:val="00CC37B8"/>
    <w:rsid w:val="00CC3862"/>
    <w:rsid w:val="00CC405A"/>
    <w:rsid w:val="00CC411C"/>
    <w:rsid w:val="00CC432B"/>
    <w:rsid w:val="00CC466B"/>
    <w:rsid w:val="00CC46DA"/>
    <w:rsid w:val="00CC4922"/>
    <w:rsid w:val="00CC5265"/>
    <w:rsid w:val="00CC5282"/>
    <w:rsid w:val="00CC5498"/>
    <w:rsid w:val="00CC54EA"/>
    <w:rsid w:val="00CC55C5"/>
    <w:rsid w:val="00CC56A3"/>
    <w:rsid w:val="00CC5CCD"/>
    <w:rsid w:val="00CC5E69"/>
    <w:rsid w:val="00CC5FD5"/>
    <w:rsid w:val="00CC6189"/>
    <w:rsid w:val="00CC63CC"/>
    <w:rsid w:val="00CC6C62"/>
    <w:rsid w:val="00CC6CD4"/>
    <w:rsid w:val="00CC7487"/>
    <w:rsid w:val="00CC7B53"/>
    <w:rsid w:val="00CC7B93"/>
    <w:rsid w:val="00CC7C26"/>
    <w:rsid w:val="00CC7C94"/>
    <w:rsid w:val="00CD0099"/>
    <w:rsid w:val="00CD05BC"/>
    <w:rsid w:val="00CD0631"/>
    <w:rsid w:val="00CD0F02"/>
    <w:rsid w:val="00CD0FD3"/>
    <w:rsid w:val="00CD10CC"/>
    <w:rsid w:val="00CD1112"/>
    <w:rsid w:val="00CD134F"/>
    <w:rsid w:val="00CD1657"/>
    <w:rsid w:val="00CD1ACC"/>
    <w:rsid w:val="00CD204C"/>
    <w:rsid w:val="00CD219A"/>
    <w:rsid w:val="00CD21E8"/>
    <w:rsid w:val="00CD23AD"/>
    <w:rsid w:val="00CD2855"/>
    <w:rsid w:val="00CD286C"/>
    <w:rsid w:val="00CD2C88"/>
    <w:rsid w:val="00CD335B"/>
    <w:rsid w:val="00CD356B"/>
    <w:rsid w:val="00CD3D61"/>
    <w:rsid w:val="00CD4040"/>
    <w:rsid w:val="00CD42EB"/>
    <w:rsid w:val="00CD4500"/>
    <w:rsid w:val="00CD45E4"/>
    <w:rsid w:val="00CD4D3D"/>
    <w:rsid w:val="00CD55A8"/>
    <w:rsid w:val="00CD5A11"/>
    <w:rsid w:val="00CD5CC2"/>
    <w:rsid w:val="00CD5E6A"/>
    <w:rsid w:val="00CD5F73"/>
    <w:rsid w:val="00CD608C"/>
    <w:rsid w:val="00CD60F5"/>
    <w:rsid w:val="00CD643E"/>
    <w:rsid w:val="00CD672D"/>
    <w:rsid w:val="00CD67AF"/>
    <w:rsid w:val="00CD6E8C"/>
    <w:rsid w:val="00CD7048"/>
    <w:rsid w:val="00CD7069"/>
    <w:rsid w:val="00CD7133"/>
    <w:rsid w:val="00CD716D"/>
    <w:rsid w:val="00CD730B"/>
    <w:rsid w:val="00CD736B"/>
    <w:rsid w:val="00CD75A9"/>
    <w:rsid w:val="00CE0011"/>
    <w:rsid w:val="00CE00BC"/>
    <w:rsid w:val="00CE0540"/>
    <w:rsid w:val="00CE0584"/>
    <w:rsid w:val="00CE07E6"/>
    <w:rsid w:val="00CE0D38"/>
    <w:rsid w:val="00CE14A0"/>
    <w:rsid w:val="00CE172C"/>
    <w:rsid w:val="00CE17F3"/>
    <w:rsid w:val="00CE1AE7"/>
    <w:rsid w:val="00CE1F35"/>
    <w:rsid w:val="00CE2377"/>
    <w:rsid w:val="00CE23D4"/>
    <w:rsid w:val="00CE29AD"/>
    <w:rsid w:val="00CE3241"/>
    <w:rsid w:val="00CE32CC"/>
    <w:rsid w:val="00CE36AB"/>
    <w:rsid w:val="00CE3790"/>
    <w:rsid w:val="00CE379E"/>
    <w:rsid w:val="00CE3D3F"/>
    <w:rsid w:val="00CE3EFD"/>
    <w:rsid w:val="00CE3F58"/>
    <w:rsid w:val="00CE4213"/>
    <w:rsid w:val="00CE4596"/>
    <w:rsid w:val="00CE4DC7"/>
    <w:rsid w:val="00CE5239"/>
    <w:rsid w:val="00CE5241"/>
    <w:rsid w:val="00CE5583"/>
    <w:rsid w:val="00CE56F5"/>
    <w:rsid w:val="00CE5B36"/>
    <w:rsid w:val="00CE5DBD"/>
    <w:rsid w:val="00CE5DC4"/>
    <w:rsid w:val="00CE5E4A"/>
    <w:rsid w:val="00CE5FEE"/>
    <w:rsid w:val="00CE6053"/>
    <w:rsid w:val="00CE624C"/>
    <w:rsid w:val="00CE62AC"/>
    <w:rsid w:val="00CE630D"/>
    <w:rsid w:val="00CE66A5"/>
    <w:rsid w:val="00CE66E3"/>
    <w:rsid w:val="00CE6A8F"/>
    <w:rsid w:val="00CE6D2D"/>
    <w:rsid w:val="00CE70DB"/>
    <w:rsid w:val="00CE7729"/>
    <w:rsid w:val="00CE7B1A"/>
    <w:rsid w:val="00CE7D97"/>
    <w:rsid w:val="00CF0157"/>
    <w:rsid w:val="00CF06EB"/>
    <w:rsid w:val="00CF0739"/>
    <w:rsid w:val="00CF0748"/>
    <w:rsid w:val="00CF0A0C"/>
    <w:rsid w:val="00CF0A58"/>
    <w:rsid w:val="00CF0E8C"/>
    <w:rsid w:val="00CF0FC5"/>
    <w:rsid w:val="00CF187B"/>
    <w:rsid w:val="00CF1CE6"/>
    <w:rsid w:val="00CF21E3"/>
    <w:rsid w:val="00CF225E"/>
    <w:rsid w:val="00CF2345"/>
    <w:rsid w:val="00CF23AD"/>
    <w:rsid w:val="00CF27FE"/>
    <w:rsid w:val="00CF280D"/>
    <w:rsid w:val="00CF2810"/>
    <w:rsid w:val="00CF2A5B"/>
    <w:rsid w:val="00CF30EA"/>
    <w:rsid w:val="00CF339D"/>
    <w:rsid w:val="00CF351D"/>
    <w:rsid w:val="00CF381B"/>
    <w:rsid w:val="00CF3C7B"/>
    <w:rsid w:val="00CF3F12"/>
    <w:rsid w:val="00CF4033"/>
    <w:rsid w:val="00CF40AA"/>
    <w:rsid w:val="00CF4153"/>
    <w:rsid w:val="00CF439F"/>
    <w:rsid w:val="00CF4675"/>
    <w:rsid w:val="00CF46FB"/>
    <w:rsid w:val="00CF47CD"/>
    <w:rsid w:val="00CF49D2"/>
    <w:rsid w:val="00CF4C9C"/>
    <w:rsid w:val="00CF52AF"/>
    <w:rsid w:val="00CF5312"/>
    <w:rsid w:val="00CF54FB"/>
    <w:rsid w:val="00CF5592"/>
    <w:rsid w:val="00CF5906"/>
    <w:rsid w:val="00CF6018"/>
    <w:rsid w:val="00CF6088"/>
    <w:rsid w:val="00CF612B"/>
    <w:rsid w:val="00CF657D"/>
    <w:rsid w:val="00CF65B4"/>
    <w:rsid w:val="00CF6A98"/>
    <w:rsid w:val="00CF6AD4"/>
    <w:rsid w:val="00CF70CA"/>
    <w:rsid w:val="00CF71F1"/>
    <w:rsid w:val="00CF7547"/>
    <w:rsid w:val="00CF78BE"/>
    <w:rsid w:val="00CF78FF"/>
    <w:rsid w:val="00CF79F8"/>
    <w:rsid w:val="00CF7CFB"/>
    <w:rsid w:val="00CF7E7E"/>
    <w:rsid w:val="00CF7EA1"/>
    <w:rsid w:val="00D005D9"/>
    <w:rsid w:val="00D01122"/>
    <w:rsid w:val="00D013F9"/>
    <w:rsid w:val="00D01AC3"/>
    <w:rsid w:val="00D01D86"/>
    <w:rsid w:val="00D01E4C"/>
    <w:rsid w:val="00D020E9"/>
    <w:rsid w:val="00D02385"/>
    <w:rsid w:val="00D02E70"/>
    <w:rsid w:val="00D032A2"/>
    <w:rsid w:val="00D034D5"/>
    <w:rsid w:val="00D039E8"/>
    <w:rsid w:val="00D03AE2"/>
    <w:rsid w:val="00D0457F"/>
    <w:rsid w:val="00D045BD"/>
    <w:rsid w:val="00D047FD"/>
    <w:rsid w:val="00D04815"/>
    <w:rsid w:val="00D04D3D"/>
    <w:rsid w:val="00D04E19"/>
    <w:rsid w:val="00D04F26"/>
    <w:rsid w:val="00D04F3D"/>
    <w:rsid w:val="00D04F90"/>
    <w:rsid w:val="00D0500A"/>
    <w:rsid w:val="00D05151"/>
    <w:rsid w:val="00D05327"/>
    <w:rsid w:val="00D05A28"/>
    <w:rsid w:val="00D05B73"/>
    <w:rsid w:val="00D05BC1"/>
    <w:rsid w:val="00D05F70"/>
    <w:rsid w:val="00D06397"/>
    <w:rsid w:val="00D064A8"/>
    <w:rsid w:val="00D067B4"/>
    <w:rsid w:val="00D068AA"/>
    <w:rsid w:val="00D06901"/>
    <w:rsid w:val="00D06DC5"/>
    <w:rsid w:val="00D06E04"/>
    <w:rsid w:val="00D07455"/>
    <w:rsid w:val="00D0787D"/>
    <w:rsid w:val="00D078C7"/>
    <w:rsid w:val="00D07A76"/>
    <w:rsid w:val="00D10052"/>
    <w:rsid w:val="00D108C9"/>
    <w:rsid w:val="00D10B2B"/>
    <w:rsid w:val="00D10C1A"/>
    <w:rsid w:val="00D10D67"/>
    <w:rsid w:val="00D10F88"/>
    <w:rsid w:val="00D1123A"/>
    <w:rsid w:val="00D1126F"/>
    <w:rsid w:val="00D1144F"/>
    <w:rsid w:val="00D1176D"/>
    <w:rsid w:val="00D119A7"/>
    <w:rsid w:val="00D11C51"/>
    <w:rsid w:val="00D1233D"/>
    <w:rsid w:val="00D12368"/>
    <w:rsid w:val="00D12681"/>
    <w:rsid w:val="00D1293D"/>
    <w:rsid w:val="00D12A5B"/>
    <w:rsid w:val="00D12BC7"/>
    <w:rsid w:val="00D12D7D"/>
    <w:rsid w:val="00D12FA2"/>
    <w:rsid w:val="00D13044"/>
    <w:rsid w:val="00D13209"/>
    <w:rsid w:val="00D1324E"/>
    <w:rsid w:val="00D132F8"/>
    <w:rsid w:val="00D1380C"/>
    <w:rsid w:val="00D13F49"/>
    <w:rsid w:val="00D140DC"/>
    <w:rsid w:val="00D14382"/>
    <w:rsid w:val="00D145D2"/>
    <w:rsid w:val="00D14618"/>
    <w:rsid w:val="00D146E1"/>
    <w:rsid w:val="00D149B6"/>
    <w:rsid w:val="00D149EE"/>
    <w:rsid w:val="00D14CCD"/>
    <w:rsid w:val="00D14F67"/>
    <w:rsid w:val="00D154B6"/>
    <w:rsid w:val="00D15960"/>
    <w:rsid w:val="00D16461"/>
    <w:rsid w:val="00D165DC"/>
    <w:rsid w:val="00D1665D"/>
    <w:rsid w:val="00D167B1"/>
    <w:rsid w:val="00D168C9"/>
    <w:rsid w:val="00D170D4"/>
    <w:rsid w:val="00D171AF"/>
    <w:rsid w:val="00D17290"/>
    <w:rsid w:val="00D17388"/>
    <w:rsid w:val="00D173A4"/>
    <w:rsid w:val="00D173C2"/>
    <w:rsid w:val="00D17457"/>
    <w:rsid w:val="00D17847"/>
    <w:rsid w:val="00D17979"/>
    <w:rsid w:val="00D179A8"/>
    <w:rsid w:val="00D17A57"/>
    <w:rsid w:val="00D17B3C"/>
    <w:rsid w:val="00D17CE2"/>
    <w:rsid w:val="00D17D2E"/>
    <w:rsid w:val="00D17DCD"/>
    <w:rsid w:val="00D20007"/>
    <w:rsid w:val="00D20419"/>
    <w:rsid w:val="00D209D7"/>
    <w:rsid w:val="00D20A0C"/>
    <w:rsid w:val="00D20D06"/>
    <w:rsid w:val="00D217AA"/>
    <w:rsid w:val="00D21C0D"/>
    <w:rsid w:val="00D21CBB"/>
    <w:rsid w:val="00D222DE"/>
    <w:rsid w:val="00D2247F"/>
    <w:rsid w:val="00D22C65"/>
    <w:rsid w:val="00D22E8E"/>
    <w:rsid w:val="00D2329D"/>
    <w:rsid w:val="00D23367"/>
    <w:rsid w:val="00D233D7"/>
    <w:rsid w:val="00D23566"/>
    <w:rsid w:val="00D2356D"/>
    <w:rsid w:val="00D235D0"/>
    <w:rsid w:val="00D236AE"/>
    <w:rsid w:val="00D239C7"/>
    <w:rsid w:val="00D239FA"/>
    <w:rsid w:val="00D23D91"/>
    <w:rsid w:val="00D23D95"/>
    <w:rsid w:val="00D23DA5"/>
    <w:rsid w:val="00D23F05"/>
    <w:rsid w:val="00D23FDD"/>
    <w:rsid w:val="00D2439D"/>
    <w:rsid w:val="00D243BA"/>
    <w:rsid w:val="00D24619"/>
    <w:rsid w:val="00D248A3"/>
    <w:rsid w:val="00D2519F"/>
    <w:rsid w:val="00D2527A"/>
    <w:rsid w:val="00D253BE"/>
    <w:rsid w:val="00D253FC"/>
    <w:rsid w:val="00D25674"/>
    <w:rsid w:val="00D25969"/>
    <w:rsid w:val="00D25B0F"/>
    <w:rsid w:val="00D262B0"/>
    <w:rsid w:val="00D26318"/>
    <w:rsid w:val="00D26A49"/>
    <w:rsid w:val="00D26F99"/>
    <w:rsid w:val="00D2746A"/>
    <w:rsid w:val="00D3018C"/>
    <w:rsid w:val="00D30390"/>
    <w:rsid w:val="00D3046B"/>
    <w:rsid w:val="00D30541"/>
    <w:rsid w:val="00D30562"/>
    <w:rsid w:val="00D30C14"/>
    <w:rsid w:val="00D30E2C"/>
    <w:rsid w:val="00D31232"/>
    <w:rsid w:val="00D31551"/>
    <w:rsid w:val="00D316DA"/>
    <w:rsid w:val="00D31A92"/>
    <w:rsid w:val="00D31B68"/>
    <w:rsid w:val="00D31BDC"/>
    <w:rsid w:val="00D31EE1"/>
    <w:rsid w:val="00D31F05"/>
    <w:rsid w:val="00D31FE9"/>
    <w:rsid w:val="00D32326"/>
    <w:rsid w:val="00D32910"/>
    <w:rsid w:val="00D32C6B"/>
    <w:rsid w:val="00D32CC6"/>
    <w:rsid w:val="00D32D6A"/>
    <w:rsid w:val="00D334DA"/>
    <w:rsid w:val="00D338FF"/>
    <w:rsid w:val="00D3391A"/>
    <w:rsid w:val="00D33D10"/>
    <w:rsid w:val="00D342F2"/>
    <w:rsid w:val="00D34459"/>
    <w:rsid w:val="00D345DE"/>
    <w:rsid w:val="00D3495E"/>
    <w:rsid w:val="00D34D1D"/>
    <w:rsid w:val="00D35747"/>
    <w:rsid w:val="00D35818"/>
    <w:rsid w:val="00D35EEA"/>
    <w:rsid w:val="00D35F07"/>
    <w:rsid w:val="00D36041"/>
    <w:rsid w:val="00D36D0A"/>
    <w:rsid w:val="00D370EA"/>
    <w:rsid w:val="00D372F0"/>
    <w:rsid w:val="00D373DD"/>
    <w:rsid w:val="00D374C1"/>
    <w:rsid w:val="00D37566"/>
    <w:rsid w:val="00D3784C"/>
    <w:rsid w:val="00D3786D"/>
    <w:rsid w:val="00D3790B"/>
    <w:rsid w:val="00D40058"/>
    <w:rsid w:val="00D402B2"/>
    <w:rsid w:val="00D40B6C"/>
    <w:rsid w:val="00D417DF"/>
    <w:rsid w:val="00D41C9A"/>
    <w:rsid w:val="00D41F47"/>
    <w:rsid w:val="00D41FF7"/>
    <w:rsid w:val="00D420DC"/>
    <w:rsid w:val="00D422D5"/>
    <w:rsid w:val="00D4243C"/>
    <w:rsid w:val="00D4249F"/>
    <w:rsid w:val="00D42589"/>
    <w:rsid w:val="00D42645"/>
    <w:rsid w:val="00D4274B"/>
    <w:rsid w:val="00D4282C"/>
    <w:rsid w:val="00D4296C"/>
    <w:rsid w:val="00D429BF"/>
    <w:rsid w:val="00D42A7C"/>
    <w:rsid w:val="00D42BA2"/>
    <w:rsid w:val="00D42FAF"/>
    <w:rsid w:val="00D42FDC"/>
    <w:rsid w:val="00D43088"/>
    <w:rsid w:val="00D432E6"/>
    <w:rsid w:val="00D432F2"/>
    <w:rsid w:val="00D43783"/>
    <w:rsid w:val="00D437DB"/>
    <w:rsid w:val="00D437F0"/>
    <w:rsid w:val="00D43C89"/>
    <w:rsid w:val="00D43DD8"/>
    <w:rsid w:val="00D4413E"/>
    <w:rsid w:val="00D450D2"/>
    <w:rsid w:val="00D45180"/>
    <w:rsid w:val="00D45231"/>
    <w:rsid w:val="00D45278"/>
    <w:rsid w:val="00D45446"/>
    <w:rsid w:val="00D4582E"/>
    <w:rsid w:val="00D45868"/>
    <w:rsid w:val="00D45AAF"/>
    <w:rsid w:val="00D45CBF"/>
    <w:rsid w:val="00D4625A"/>
    <w:rsid w:val="00D462AC"/>
    <w:rsid w:val="00D462E6"/>
    <w:rsid w:val="00D4636F"/>
    <w:rsid w:val="00D4688D"/>
    <w:rsid w:val="00D46D74"/>
    <w:rsid w:val="00D46E58"/>
    <w:rsid w:val="00D46ECA"/>
    <w:rsid w:val="00D47240"/>
    <w:rsid w:val="00D477F8"/>
    <w:rsid w:val="00D477FE"/>
    <w:rsid w:val="00D47845"/>
    <w:rsid w:val="00D47C1D"/>
    <w:rsid w:val="00D47C82"/>
    <w:rsid w:val="00D47FF4"/>
    <w:rsid w:val="00D50008"/>
    <w:rsid w:val="00D50305"/>
    <w:rsid w:val="00D50CE2"/>
    <w:rsid w:val="00D50E54"/>
    <w:rsid w:val="00D5125B"/>
    <w:rsid w:val="00D5128D"/>
    <w:rsid w:val="00D51361"/>
    <w:rsid w:val="00D514FF"/>
    <w:rsid w:val="00D51A78"/>
    <w:rsid w:val="00D51C28"/>
    <w:rsid w:val="00D51C63"/>
    <w:rsid w:val="00D51F3D"/>
    <w:rsid w:val="00D52022"/>
    <w:rsid w:val="00D52030"/>
    <w:rsid w:val="00D52077"/>
    <w:rsid w:val="00D52863"/>
    <w:rsid w:val="00D53334"/>
    <w:rsid w:val="00D53351"/>
    <w:rsid w:val="00D53367"/>
    <w:rsid w:val="00D5361B"/>
    <w:rsid w:val="00D53968"/>
    <w:rsid w:val="00D53A37"/>
    <w:rsid w:val="00D53BB9"/>
    <w:rsid w:val="00D53CA2"/>
    <w:rsid w:val="00D53D8D"/>
    <w:rsid w:val="00D5427E"/>
    <w:rsid w:val="00D544ED"/>
    <w:rsid w:val="00D545D2"/>
    <w:rsid w:val="00D547C1"/>
    <w:rsid w:val="00D54D84"/>
    <w:rsid w:val="00D55751"/>
    <w:rsid w:val="00D55AF9"/>
    <w:rsid w:val="00D55B62"/>
    <w:rsid w:val="00D55CEA"/>
    <w:rsid w:val="00D56113"/>
    <w:rsid w:val="00D56280"/>
    <w:rsid w:val="00D562F6"/>
    <w:rsid w:val="00D56857"/>
    <w:rsid w:val="00D568C4"/>
    <w:rsid w:val="00D56A8A"/>
    <w:rsid w:val="00D570E0"/>
    <w:rsid w:val="00D572B7"/>
    <w:rsid w:val="00D575D0"/>
    <w:rsid w:val="00D57689"/>
    <w:rsid w:val="00D576BD"/>
    <w:rsid w:val="00D57E15"/>
    <w:rsid w:val="00D57E53"/>
    <w:rsid w:val="00D603AF"/>
    <w:rsid w:val="00D604DC"/>
    <w:rsid w:val="00D60642"/>
    <w:rsid w:val="00D60649"/>
    <w:rsid w:val="00D607D8"/>
    <w:rsid w:val="00D6100C"/>
    <w:rsid w:val="00D61290"/>
    <w:rsid w:val="00D613BA"/>
    <w:rsid w:val="00D61469"/>
    <w:rsid w:val="00D6154C"/>
    <w:rsid w:val="00D61AE6"/>
    <w:rsid w:val="00D61B4E"/>
    <w:rsid w:val="00D61E5C"/>
    <w:rsid w:val="00D61FCD"/>
    <w:rsid w:val="00D62612"/>
    <w:rsid w:val="00D62649"/>
    <w:rsid w:val="00D6270E"/>
    <w:rsid w:val="00D62B9F"/>
    <w:rsid w:val="00D63551"/>
    <w:rsid w:val="00D63699"/>
    <w:rsid w:val="00D63A29"/>
    <w:rsid w:val="00D63E51"/>
    <w:rsid w:val="00D63E6D"/>
    <w:rsid w:val="00D64066"/>
    <w:rsid w:val="00D64185"/>
    <w:rsid w:val="00D64413"/>
    <w:rsid w:val="00D64859"/>
    <w:rsid w:val="00D64C94"/>
    <w:rsid w:val="00D64D22"/>
    <w:rsid w:val="00D6593D"/>
    <w:rsid w:val="00D65DDC"/>
    <w:rsid w:val="00D66012"/>
    <w:rsid w:val="00D6618C"/>
    <w:rsid w:val="00D665DF"/>
    <w:rsid w:val="00D667FE"/>
    <w:rsid w:val="00D668AB"/>
    <w:rsid w:val="00D669E1"/>
    <w:rsid w:val="00D66A5F"/>
    <w:rsid w:val="00D66A9C"/>
    <w:rsid w:val="00D66AFA"/>
    <w:rsid w:val="00D66BD6"/>
    <w:rsid w:val="00D66D88"/>
    <w:rsid w:val="00D66DC4"/>
    <w:rsid w:val="00D670E2"/>
    <w:rsid w:val="00D678E5"/>
    <w:rsid w:val="00D67AB6"/>
    <w:rsid w:val="00D67B00"/>
    <w:rsid w:val="00D70080"/>
    <w:rsid w:val="00D707FA"/>
    <w:rsid w:val="00D7092B"/>
    <w:rsid w:val="00D70938"/>
    <w:rsid w:val="00D70C66"/>
    <w:rsid w:val="00D70D70"/>
    <w:rsid w:val="00D70DE8"/>
    <w:rsid w:val="00D70E6E"/>
    <w:rsid w:val="00D70FA1"/>
    <w:rsid w:val="00D710B8"/>
    <w:rsid w:val="00D71235"/>
    <w:rsid w:val="00D71639"/>
    <w:rsid w:val="00D71854"/>
    <w:rsid w:val="00D71A4C"/>
    <w:rsid w:val="00D71ACC"/>
    <w:rsid w:val="00D71FA5"/>
    <w:rsid w:val="00D72037"/>
    <w:rsid w:val="00D725A8"/>
    <w:rsid w:val="00D728EC"/>
    <w:rsid w:val="00D72A16"/>
    <w:rsid w:val="00D72F1D"/>
    <w:rsid w:val="00D730D5"/>
    <w:rsid w:val="00D730ED"/>
    <w:rsid w:val="00D735FB"/>
    <w:rsid w:val="00D73A5D"/>
    <w:rsid w:val="00D73FC3"/>
    <w:rsid w:val="00D73FF9"/>
    <w:rsid w:val="00D740F2"/>
    <w:rsid w:val="00D741A8"/>
    <w:rsid w:val="00D7470B"/>
    <w:rsid w:val="00D74ABD"/>
    <w:rsid w:val="00D74D32"/>
    <w:rsid w:val="00D754B4"/>
    <w:rsid w:val="00D7554D"/>
    <w:rsid w:val="00D755FC"/>
    <w:rsid w:val="00D7576F"/>
    <w:rsid w:val="00D75A84"/>
    <w:rsid w:val="00D75A87"/>
    <w:rsid w:val="00D75F20"/>
    <w:rsid w:val="00D7644A"/>
    <w:rsid w:val="00D764E4"/>
    <w:rsid w:val="00D765A7"/>
    <w:rsid w:val="00D7670F"/>
    <w:rsid w:val="00D76D2E"/>
    <w:rsid w:val="00D7701F"/>
    <w:rsid w:val="00D7746F"/>
    <w:rsid w:val="00D77523"/>
    <w:rsid w:val="00D77D1F"/>
    <w:rsid w:val="00D801D9"/>
    <w:rsid w:val="00D8032D"/>
    <w:rsid w:val="00D80604"/>
    <w:rsid w:val="00D809A7"/>
    <w:rsid w:val="00D809F8"/>
    <w:rsid w:val="00D80E82"/>
    <w:rsid w:val="00D81130"/>
    <w:rsid w:val="00D814AE"/>
    <w:rsid w:val="00D81909"/>
    <w:rsid w:val="00D81B1C"/>
    <w:rsid w:val="00D81E69"/>
    <w:rsid w:val="00D81EFA"/>
    <w:rsid w:val="00D81F30"/>
    <w:rsid w:val="00D821EB"/>
    <w:rsid w:val="00D825DE"/>
    <w:rsid w:val="00D82A3B"/>
    <w:rsid w:val="00D834AF"/>
    <w:rsid w:val="00D837CA"/>
    <w:rsid w:val="00D83A56"/>
    <w:rsid w:val="00D83ACF"/>
    <w:rsid w:val="00D83AD2"/>
    <w:rsid w:val="00D84175"/>
    <w:rsid w:val="00D8417E"/>
    <w:rsid w:val="00D84540"/>
    <w:rsid w:val="00D846E1"/>
    <w:rsid w:val="00D84A01"/>
    <w:rsid w:val="00D84A6B"/>
    <w:rsid w:val="00D84C19"/>
    <w:rsid w:val="00D84E92"/>
    <w:rsid w:val="00D8502B"/>
    <w:rsid w:val="00D852AD"/>
    <w:rsid w:val="00D85400"/>
    <w:rsid w:val="00D85591"/>
    <w:rsid w:val="00D85750"/>
    <w:rsid w:val="00D85876"/>
    <w:rsid w:val="00D85926"/>
    <w:rsid w:val="00D85A68"/>
    <w:rsid w:val="00D85A78"/>
    <w:rsid w:val="00D85C69"/>
    <w:rsid w:val="00D86114"/>
    <w:rsid w:val="00D86142"/>
    <w:rsid w:val="00D8638E"/>
    <w:rsid w:val="00D863FF"/>
    <w:rsid w:val="00D86505"/>
    <w:rsid w:val="00D867F9"/>
    <w:rsid w:val="00D86867"/>
    <w:rsid w:val="00D869B2"/>
    <w:rsid w:val="00D86F9A"/>
    <w:rsid w:val="00D87081"/>
    <w:rsid w:val="00D8709E"/>
    <w:rsid w:val="00D87187"/>
    <w:rsid w:val="00D874A8"/>
    <w:rsid w:val="00D8754A"/>
    <w:rsid w:val="00D875EE"/>
    <w:rsid w:val="00D87942"/>
    <w:rsid w:val="00D87A8C"/>
    <w:rsid w:val="00D87D2A"/>
    <w:rsid w:val="00D87DC6"/>
    <w:rsid w:val="00D87FBC"/>
    <w:rsid w:val="00D90102"/>
    <w:rsid w:val="00D901F7"/>
    <w:rsid w:val="00D90293"/>
    <w:rsid w:val="00D90645"/>
    <w:rsid w:val="00D90705"/>
    <w:rsid w:val="00D908DC"/>
    <w:rsid w:val="00D9095A"/>
    <w:rsid w:val="00D909F6"/>
    <w:rsid w:val="00D90BE2"/>
    <w:rsid w:val="00D90F9C"/>
    <w:rsid w:val="00D916CB"/>
    <w:rsid w:val="00D918D9"/>
    <w:rsid w:val="00D91B5C"/>
    <w:rsid w:val="00D91E12"/>
    <w:rsid w:val="00D91F21"/>
    <w:rsid w:val="00D92911"/>
    <w:rsid w:val="00D929D8"/>
    <w:rsid w:val="00D92A57"/>
    <w:rsid w:val="00D92F05"/>
    <w:rsid w:val="00D93076"/>
    <w:rsid w:val="00D93368"/>
    <w:rsid w:val="00D93517"/>
    <w:rsid w:val="00D93539"/>
    <w:rsid w:val="00D936A3"/>
    <w:rsid w:val="00D93747"/>
    <w:rsid w:val="00D93C54"/>
    <w:rsid w:val="00D93F21"/>
    <w:rsid w:val="00D9409B"/>
    <w:rsid w:val="00D94174"/>
    <w:rsid w:val="00D942E7"/>
    <w:rsid w:val="00D94610"/>
    <w:rsid w:val="00D946F2"/>
    <w:rsid w:val="00D946FD"/>
    <w:rsid w:val="00D94A47"/>
    <w:rsid w:val="00D94C58"/>
    <w:rsid w:val="00D95393"/>
    <w:rsid w:val="00D953A9"/>
    <w:rsid w:val="00D9572F"/>
    <w:rsid w:val="00D95749"/>
    <w:rsid w:val="00D95B96"/>
    <w:rsid w:val="00D963C3"/>
    <w:rsid w:val="00D96653"/>
    <w:rsid w:val="00D96E62"/>
    <w:rsid w:val="00D9708D"/>
    <w:rsid w:val="00D97204"/>
    <w:rsid w:val="00D9722E"/>
    <w:rsid w:val="00D972CD"/>
    <w:rsid w:val="00D973C7"/>
    <w:rsid w:val="00D976B8"/>
    <w:rsid w:val="00D978C1"/>
    <w:rsid w:val="00D97BCC"/>
    <w:rsid w:val="00D97C79"/>
    <w:rsid w:val="00DA02A4"/>
    <w:rsid w:val="00DA0476"/>
    <w:rsid w:val="00DA0651"/>
    <w:rsid w:val="00DA079B"/>
    <w:rsid w:val="00DA0995"/>
    <w:rsid w:val="00DA0A54"/>
    <w:rsid w:val="00DA0E89"/>
    <w:rsid w:val="00DA10FD"/>
    <w:rsid w:val="00DA117D"/>
    <w:rsid w:val="00DA1268"/>
    <w:rsid w:val="00DA14EE"/>
    <w:rsid w:val="00DA16A6"/>
    <w:rsid w:val="00DA189F"/>
    <w:rsid w:val="00DA19FC"/>
    <w:rsid w:val="00DA22B3"/>
    <w:rsid w:val="00DA2688"/>
    <w:rsid w:val="00DA2855"/>
    <w:rsid w:val="00DA2D81"/>
    <w:rsid w:val="00DA2DCC"/>
    <w:rsid w:val="00DA3282"/>
    <w:rsid w:val="00DA36D1"/>
    <w:rsid w:val="00DA3A25"/>
    <w:rsid w:val="00DA3F18"/>
    <w:rsid w:val="00DA4121"/>
    <w:rsid w:val="00DA44F5"/>
    <w:rsid w:val="00DA453A"/>
    <w:rsid w:val="00DA4655"/>
    <w:rsid w:val="00DA4AE2"/>
    <w:rsid w:val="00DA4BEA"/>
    <w:rsid w:val="00DA5235"/>
    <w:rsid w:val="00DA52CA"/>
    <w:rsid w:val="00DA550A"/>
    <w:rsid w:val="00DA565E"/>
    <w:rsid w:val="00DA597D"/>
    <w:rsid w:val="00DA5B30"/>
    <w:rsid w:val="00DA5B3E"/>
    <w:rsid w:val="00DA5C21"/>
    <w:rsid w:val="00DA5DF4"/>
    <w:rsid w:val="00DA63DB"/>
    <w:rsid w:val="00DA66F5"/>
    <w:rsid w:val="00DA6B58"/>
    <w:rsid w:val="00DA6B74"/>
    <w:rsid w:val="00DA6C5E"/>
    <w:rsid w:val="00DA6FB6"/>
    <w:rsid w:val="00DA6FF3"/>
    <w:rsid w:val="00DA733B"/>
    <w:rsid w:val="00DA77B3"/>
    <w:rsid w:val="00DA7832"/>
    <w:rsid w:val="00DA7B10"/>
    <w:rsid w:val="00DA7EF5"/>
    <w:rsid w:val="00DA7FBA"/>
    <w:rsid w:val="00DB0275"/>
    <w:rsid w:val="00DB051E"/>
    <w:rsid w:val="00DB0574"/>
    <w:rsid w:val="00DB05F5"/>
    <w:rsid w:val="00DB07A8"/>
    <w:rsid w:val="00DB115C"/>
    <w:rsid w:val="00DB16BC"/>
    <w:rsid w:val="00DB1AF3"/>
    <w:rsid w:val="00DB1CF4"/>
    <w:rsid w:val="00DB1FE8"/>
    <w:rsid w:val="00DB2073"/>
    <w:rsid w:val="00DB228F"/>
    <w:rsid w:val="00DB24EE"/>
    <w:rsid w:val="00DB26E1"/>
    <w:rsid w:val="00DB27CD"/>
    <w:rsid w:val="00DB2AD5"/>
    <w:rsid w:val="00DB2BAE"/>
    <w:rsid w:val="00DB2C33"/>
    <w:rsid w:val="00DB2CCD"/>
    <w:rsid w:val="00DB3040"/>
    <w:rsid w:val="00DB3182"/>
    <w:rsid w:val="00DB33F4"/>
    <w:rsid w:val="00DB34DD"/>
    <w:rsid w:val="00DB3FEB"/>
    <w:rsid w:val="00DB43F2"/>
    <w:rsid w:val="00DB45B2"/>
    <w:rsid w:val="00DB46F3"/>
    <w:rsid w:val="00DB4941"/>
    <w:rsid w:val="00DB4B7E"/>
    <w:rsid w:val="00DB4C12"/>
    <w:rsid w:val="00DB4D7A"/>
    <w:rsid w:val="00DB5148"/>
    <w:rsid w:val="00DB5343"/>
    <w:rsid w:val="00DB5E0A"/>
    <w:rsid w:val="00DB60D9"/>
    <w:rsid w:val="00DB61EB"/>
    <w:rsid w:val="00DB63D4"/>
    <w:rsid w:val="00DB646F"/>
    <w:rsid w:val="00DB65C5"/>
    <w:rsid w:val="00DB68A7"/>
    <w:rsid w:val="00DB6997"/>
    <w:rsid w:val="00DB70B4"/>
    <w:rsid w:val="00DB7414"/>
    <w:rsid w:val="00DB7498"/>
    <w:rsid w:val="00DB7F06"/>
    <w:rsid w:val="00DB7F43"/>
    <w:rsid w:val="00DC004F"/>
    <w:rsid w:val="00DC010E"/>
    <w:rsid w:val="00DC0661"/>
    <w:rsid w:val="00DC06DA"/>
    <w:rsid w:val="00DC09B4"/>
    <w:rsid w:val="00DC0A03"/>
    <w:rsid w:val="00DC0CB9"/>
    <w:rsid w:val="00DC0EC5"/>
    <w:rsid w:val="00DC1489"/>
    <w:rsid w:val="00DC14D9"/>
    <w:rsid w:val="00DC152B"/>
    <w:rsid w:val="00DC1D71"/>
    <w:rsid w:val="00DC1DC8"/>
    <w:rsid w:val="00DC2A3D"/>
    <w:rsid w:val="00DC2D48"/>
    <w:rsid w:val="00DC3033"/>
    <w:rsid w:val="00DC31C5"/>
    <w:rsid w:val="00DC3471"/>
    <w:rsid w:val="00DC35A4"/>
    <w:rsid w:val="00DC3701"/>
    <w:rsid w:val="00DC37CB"/>
    <w:rsid w:val="00DC39F7"/>
    <w:rsid w:val="00DC3A51"/>
    <w:rsid w:val="00DC3CF8"/>
    <w:rsid w:val="00DC3E29"/>
    <w:rsid w:val="00DC3FBD"/>
    <w:rsid w:val="00DC4225"/>
    <w:rsid w:val="00DC453B"/>
    <w:rsid w:val="00DC4711"/>
    <w:rsid w:val="00DC4A8A"/>
    <w:rsid w:val="00DC4E00"/>
    <w:rsid w:val="00DC4F75"/>
    <w:rsid w:val="00DC5766"/>
    <w:rsid w:val="00DC5C12"/>
    <w:rsid w:val="00DC64A4"/>
    <w:rsid w:val="00DC6693"/>
    <w:rsid w:val="00DC69FA"/>
    <w:rsid w:val="00DC6EEB"/>
    <w:rsid w:val="00DC710D"/>
    <w:rsid w:val="00DC7181"/>
    <w:rsid w:val="00DC7196"/>
    <w:rsid w:val="00DC7617"/>
    <w:rsid w:val="00DC7B59"/>
    <w:rsid w:val="00DC7CB3"/>
    <w:rsid w:val="00DC7F34"/>
    <w:rsid w:val="00DD00D5"/>
    <w:rsid w:val="00DD02EF"/>
    <w:rsid w:val="00DD0523"/>
    <w:rsid w:val="00DD074F"/>
    <w:rsid w:val="00DD0770"/>
    <w:rsid w:val="00DD07CA"/>
    <w:rsid w:val="00DD0893"/>
    <w:rsid w:val="00DD08E3"/>
    <w:rsid w:val="00DD1086"/>
    <w:rsid w:val="00DD1166"/>
    <w:rsid w:val="00DD13BC"/>
    <w:rsid w:val="00DD148E"/>
    <w:rsid w:val="00DD17D8"/>
    <w:rsid w:val="00DD207E"/>
    <w:rsid w:val="00DD21A7"/>
    <w:rsid w:val="00DD24FA"/>
    <w:rsid w:val="00DD2508"/>
    <w:rsid w:val="00DD3268"/>
    <w:rsid w:val="00DD36ED"/>
    <w:rsid w:val="00DD3860"/>
    <w:rsid w:val="00DD4092"/>
    <w:rsid w:val="00DD4632"/>
    <w:rsid w:val="00DD463D"/>
    <w:rsid w:val="00DD48B6"/>
    <w:rsid w:val="00DD51D8"/>
    <w:rsid w:val="00DD5C9A"/>
    <w:rsid w:val="00DD5D11"/>
    <w:rsid w:val="00DD5D6F"/>
    <w:rsid w:val="00DD68A6"/>
    <w:rsid w:val="00DD6910"/>
    <w:rsid w:val="00DD69A4"/>
    <w:rsid w:val="00DD6E83"/>
    <w:rsid w:val="00DD7107"/>
    <w:rsid w:val="00DD728A"/>
    <w:rsid w:val="00DD768D"/>
    <w:rsid w:val="00DD79B8"/>
    <w:rsid w:val="00DD7A34"/>
    <w:rsid w:val="00DD7AFF"/>
    <w:rsid w:val="00DD7CC3"/>
    <w:rsid w:val="00DE02DA"/>
    <w:rsid w:val="00DE0357"/>
    <w:rsid w:val="00DE0996"/>
    <w:rsid w:val="00DE0AD8"/>
    <w:rsid w:val="00DE0AFB"/>
    <w:rsid w:val="00DE12EE"/>
    <w:rsid w:val="00DE162B"/>
    <w:rsid w:val="00DE16B2"/>
    <w:rsid w:val="00DE173A"/>
    <w:rsid w:val="00DE184A"/>
    <w:rsid w:val="00DE1B1F"/>
    <w:rsid w:val="00DE1C54"/>
    <w:rsid w:val="00DE1CB3"/>
    <w:rsid w:val="00DE2513"/>
    <w:rsid w:val="00DE25F5"/>
    <w:rsid w:val="00DE2867"/>
    <w:rsid w:val="00DE28A4"/>
    <w:rsid w:val="00DE2A5C"/>
    <w:rsid w:val="00DE31A5"/>
    <w:rsid w:val="00DE32CA"/>
    <w:rsid w:val="00DE3388"/>
    <w:rsid w:val="00DE3396"/>
    <w:rsid w:val="00DE355D"/>
    <w:rsid w:val="00DE3620"/>
    <w:rsid w:val="00DE36A8"/>
    <w:rsid w:val="00DE36D2"/>
    <w:rsid w:val="00DE3DAB"/>
    <w:rsid w:val="00DE43C9"/>
    <w:rsid w:val="00DE466F"/>
    <w:rsid w:val="00DE4DA0"/>
    <w:rsid w:val="00DE4F79"/>
    <w:rsid w:val="00DE51D8"/>
    <w:rsid w:val="00DE63E6"/>
    <w:rsid w:val="00DE66B7"/>
    <w:rsid w:val="00DE672D"/>
    <w:rsid w:val="00DE6D2E"/>
    <w:rsid w:val="00DE6D93"/>
    <w:rsid w:val="00DE6EDE"/>
    <w:rsid w:val="00DE6F31"/>
    <w:rsid w:val="00DE71B6"/>
    <w:rsid w:val="00DE72C2"/>
    <w:rsid w:val="00DE7527"/>
    <w:rsid w:val="00DE753C"/>
    <w:rsid w:val="00DE75CF"/>
    <w:rsid w:val="00DE7637"/>
    <w:rsid w:val="00DE76ED"/>
    <w:rsid w:val="00DE7BAC"/>
    <w:rsid w:val="00DE7E1B"/>
    <w:rsid w:val="00DF01AF"/>
    <w:rsid w:val="00DF0291"/>
    <w:rsid w:val="00DF03FD"/>
    <w:rsid w:val="00DF09F3"/>
    <w:rsid w:val="00DF0B83"/>
    <w:rsid w:val="00DF0BF2"/>
    <w:rsid w:val="00DF0C82"/>
    <w:rsid w:val="00DF0CD0"/>
    <w:rsid w:val="00DF0D1B"/>
    <w:rsid w:val="00DF0EDA"/>
    <w:rsid w:val="00DF0F35"/>
    <w:rsid w:val="00DF0FAD"/>
    <w:rsid w:val="00DF1172"/>
    <w:rsid w:val="00DF15CE"/>
    <w:rsid w:val="00DF18D6"/>
    <w:rsid w:val="00DF1FAE"/>
    <w:rsid w:val="00DF20B7"/>
    <w:rsid w:val="00DF2108"/>
    <w:rsid w:val="00DF254A"/>
    <w:rsid w:val="00DF2940"/>
    <w:rsid w:val="00DF2C39"/>
    <w:rsid w:val="00DF2E52"/>
    <w:rsid w:val="00DF2EE4"/>
    <w:rsid w:val="00DF2FC6"/>
    <w:rsid w:val="00DF307A"/>
    <w:rsid w:val="00DF3335"/>
    <w:rsid w:val="00DF3867"/>
    <w:rsid w:val="00DF39EB"/>
    <w:rsid w:val="00DF3A29"/>
    <w:rsid w:val="00DF3B01"/>
    <w:rsid w:val="00DF3EBE"/>
    <w:rsid w:val="00DF409C"/>
    <w:rsid w:val="00DF4351"/>
    <w:rsid w:val="00DF4ACA"/>
    <w:rsid w:val="00DF4BBA"/>
    <w:rsid w:val="00DF520D"/>
    <w:rsid w:val="00DF5418"/>
    <w:rsid w:val="00DF5494"/>
    <w:rsid w:val="00DF5A10"/>
    <w:rsid w:val="00DF5DA4"/>
    <w:rsid w:val="00DF5E8D"/>
    <w:rsid w:val="00DF6326"/>
    <w:rsid w:val="00DF6805"/>
    <w:rsid w:val="00DF6B1D"/>
    <w:rsid w:val="00DF6FE5"/>
    <w:rsid w:val="00DF7290"/>
    <w:rsid w:val="00DF738E"/>
    <w:rsid w:val="00DF74BB"/>
    <w:rsid w:val="00E005ED"/>
    <w:rsid w:val="00E006C0"/>
    <w:rsid w:val="00E00876"/>
    <w:rsid w:val="00E00BD7"/>
    <w:rsid w:val="00E00BD9"/>
    <w:rsid w:val="00E00FEC"/>
    <w:rsid w:val="00E0126D"/>
    <w:rsid w:val="00E01271"/>
    <w:rsid w:val="00E01595"/>
    <w:rsid w:val="00E0170C"/>
    <w:rsid w:val="00E018D6"/>
    <w:rsid w:val="00E01A51"/>
    <w:rsid w:val="00E01A91"/>
    <w:rsid w:val="00E01C03"/>
    <w:rsid w:val="00E01FEC"/>
    <w:rsid w:val="00E021D1"/>
    <w:rsid w:val="00E025EC"/>
    <w:rsid w:val="00E027CC"/>
    <w:rsid w:val="00E028A3"/>
    <w:rsid w:val="00E02904"/>
    <w:rsid w:val="00E02925"/>
    <w:rsid w:val="00E02FAE"/>
    <w:rsid w:val="00E031AF"/>
    <w:rsid w:val="00E03788"/>
    <w:rsid w:val="00E03825"/>
    <w:rsid w:val="00E03B67"/>
    <w:rsid w:val="00E03B9C"/>
    <w:rsid w:val="00E03DF9"/>
    <w:rsid w:val="00E03F48"/>
    <w:rsid w:val="00E043AE"/>
    <w:rsid w:val="00E0451C"/>
    <w:rsid w:val="00E04AE5"/>
    <w:rsid w:val="00E04DA0"/>
    <w:rsid w:val="00E04F36"/>
    <w:rsid w:val="00E0567D"/>
    <w:rsid w:val="00E05D8E"/>
    <w:rsid w:val="00E05DC1"/>
    <w:rsid w:val="00E0647D"/>
    <w:rsid w:val="00E068D3"/>
    <w:rsid w:val="00E06FDB"/>
    <w:rsid w:val="00E07006"/>
    <w:rsid w:val="00E071F1"/>
    <w:rsid w:val="00E0765D"/>
    <w:rsid w:val="00E07938"/>
    <w:rsid w:val="00E07D55"/>
    <w:rsid w:val="00E07E67"/>
    <w:rsid w:val="00E10147"/>
    <w:rsid w:val="00E102D8"/>
    <w:rsid w:val="00E10530"/>
    <w:rsid w:val="00E10A50"/>
    <w:rsid w:val="00E10A62"/>
    <w:rsid w:val="00E10C86"/>
    <w:rsid w:val="00E110AC"/>
    <w:rsid w:val="00E111A6"/>
    <w:rsid w:val="00E1132D"/>
    <w:rsid w:val="00E113D7"/>
    <w:rsid w:val="00E117EE"/>
    <w:rsid w:val="00E11949"/>
    <w:rsid w:val="00E119F9"/>
    <w:rsid w:val="00E11DD4"/>
    <w:rsid w:val="00E11F47"/>
    <w:rsid w:val="00E12755"/>
    <w:rsid w:val="00E127D6"/>
    <w:rsid w:val="00E12ED3"/>
    <w:rsid w:val="00E12FC4"/>
    <w:rsid w:val="00E13133"/>
    <w:rsid w:val="00E132B4"/>
    <w:rsid w:val="00E13398"/>
    <w:rsid w:val="00E134C2"/>
    <w:rsid w:val="00E13554"/>
    <w:rsid w:val="00E13740"/>
    <w:rsid w:val="00E1395F"/>
    <w:rsid w:val="00E13DF9"/>
    <w:rsid w:val="00E13E7F"/>
    <w:rsid w:val="00E13EFC"/>
    <w:rsid w:val="00E140CC"/>
    <w:rsid w:val="00E14438"/>
    <w:rsid w:val="00E144C4"/>
    <w:rsid w:val="00E1465B"/>
    <w:rsid w:val="00E14775"/>
    <w:rsid w:val="00E14853"/>
    <w:rsid w:val="00E148C4"/>
    <w:rsid w:val="00E14A9A"/>
    <w:rsid w:val="00E14BDB"/>
    <w:rsid w:val="00E14C51"/>
    <w:rsid w:val="00E14D2C"/>
    <w:rsid w:val="00E1538C"/>
    <w:rsid w:val="00E153CE"/>
    <w:rsid w:val="00E156AF"/>
    <w:rsid w:val="00E1574D"/>
    <w:rsid w:val="00E15CA1"/>
    <w:rsid w:val="00E15FD4"/>
    <w:rsid w:val="00E1612F"/>
    <w:rsid w:val="00E16145"/>
    <w:rsid w:val="00E162DD"/>
    <w:rsid w:val="00E163BD"/>
    <w:rsid w:val="00E164E1"/>
    <w:rsid w:val="00E167E2"/>
    <w:rsid w:val="00E16BE2"/>
    <w:rsid w:val="00E16C09"/>
    <w:rsid w:val="00E16E9F"/>
    <w:rsid w:val="00E17179"/>
    <w:rsid w:val="00E179A6"/>
    <w:rsid w:val="00E17B7F"/>
    <w:rsid w:val="00E17D70"/>
    <w:rsid w:val="00E2012A"/>
    <w:rsid w:val="00E202B0"/>
    <w:rsid w:val="00E20417"/>
    <w:rsid w:val="00E20485"/>
    <w:rsid w:val="00E206D0"/>
    <w:rsid w:val="00E20990"/>
    <w:rsid w:val="00E20AB0"/>
    <w:rsid w:val="00E20CB5"/>
    <w:rsid w:val="00E2114C"/>
    <w:rsid w:val="00E212CE"/>
    <w:rsid w:val="00E215C0"/>
    <w:rsid w:val="00E21650"/>
    <w:rsid w:val="00E21AA1"/>
    <w:rsid w:val="00E220F2"/>
    <w:rsid w:val="00E22310"/>
    <w:rsid w:val="00E22D37"/>
    <w:rsid w:val="00E2352B"/>
    <w:rsid w:val="00E235ED"/>
    <w:rsid w:val="00E2363B"/>
    <w:rsid w:val="00E23641"/>
    <w:rsid w:val="00E23A23"/>
    <w:rsid w:val="00E23F7D"/>
    <w:rsid w:val="00E2408E"/>
    <w:rsid w:val="00E240BA"/>
    <w:rsid w:val="00E24155"/>
    <w:rsid w:val="00E24473"/>
    <w:rsid w:val="00E2466C"/>
    <w:rsid w:val="00E246E0"/>
    <w:rsid w:val="00E247B5"/>
    <w:rsid w:val="00E2480A"/>
    <w:rsid w:val="00E24902"/>
    <w:rsid w:val="00E24BD9"/>
    <w:rsid w:val="00E24C4C"/>
    <w:rsid w:val="00E24F83"/>
    <w:rsid w:val="00E25063"/>
    <w:rsid w:val="00E2510E"/>
    <w:rsid w:val="00E254BF"/>
    <w:rsid w:val="00E254C2"/>
    <w:rsid w:val="00E255B3"/>
    <w:rsid w:val="00E258C5"/>
    <w:rsid w:val="00E25944"/>
    <w:rsid w:val="00E25E86"/>
    <w:rsid w:val="00E25E8E"/>
    <w:rsid w:val="00E25F55"/>
    <w:rsid w:val="00E25F8A"/>
    <w:rsid w:val="00E2633E"/>
    <w:rsid w:val="00E26385"/>
    <w:rsid w:val="00E267DC"/>
    <w:rsid w:val="00E26B07"/>
    <w:rsid w:val="00E26D34"/>
    <w:rsid w:val="00E271CD"/>
    <w:rsid w:val="00E27492"/>
    <w:rsid w:val="00E27D4B"/>
    <w:rsid w:val="00E30714"/>
    <w:rsid w:val="00E30943"/>
    <w:rsid w:val="00E30EF9"/>
    <w:rsid w:val="00E3114F"/>
    <w:rsid w:val="00E313CF"/>
    <w:rsid w:val="00E318EE"/>
    <w:rsid w:val="00E31AF3"/>
    <w:rsid w:val="00E31C52"/>
    <w:rsid w:val="00E3226F"/>
    <w:rsid w:val="00E32315"/>
    <w:rsid w:val="00E32383"/>
    <w:rsid w:val="00E32853"/>
    <w:rsid w:val="00E32A75"/>
    <w:rsid w:val="00E32DEB"/>
    <w:rsid w:val="00E32FC4"/>
    <w:rsid w:val="00E33522"/>
    <w:rsid w:val="00E3365A"/>
    <w:rsid w:val="00E33B13"/>
    <w:rsid w:val="00E33D54"/>
    <w:rsid w:val="00E33F2A"/>
    <w:rsid w:val="00E34955"/>
    <w:rsid w:val="00E34B55"/>
    <w:rsid w:val="00E34FFC"/>
    <w:rsid w:val="00E353B4"/>
    <w:rsid w:val="00E353EB"/>
    <w:rsid w:val="00E35443"/>
    <w:rsid w:val="00E3544F"/>
    <w:rsid w:val="00E35479"/>
    <w:rsid w:val="00E35594"/>
    <w:rsid w:val="00E357E1"/>
    <w:rsid w:val="00E35884"/>
    <w:rsid w:val="00E35B58"/>
    <w:rsid w:val="00E35DB6"/>
    <w:rsid w:val="00E36057"/>
    <w:rsid w:val="00E361B5"/>
    <w:rsid w:val="00E36392"/>
    <w:rsid w:val="00E36832"/>
    <w:rsid w:val="00E37349"/>
    <w:rsid w:val="00E37492"/>
    <w:rsid w:val="00E375A2"/>
    <w:rsid w:val="00E378FE"/>
    <w:rsid w:val="00E37999"/>
    <w:rsid w:val="00E37BA5"/>
    <w:rsid w:val="00E4010E"/>
    <w:rsid w:val="00E40156"/>
    <w:rsid w:val="00E40334"/>
    <w:rsid w:val="00E40636"/>
    <w:rsid w:val="00E406D3"/>
    <w:rsid w:val="00E41466"/>
    <w:rsid w:val="00E4148F"/>
    <w:rsid w:val="00E41BFB"/>
    <w:rsid w:val="00E4226E"/>
    <w:rsid w:val="00E424E6"/>
    <w:rsid w:val="00E424F6"/>
    <w:rsid w:val="00E42547"/>
    <w:rsid w:val="00E4255E"/>
    <w:rsid w:val="00E42737"/>
    <w:rsid w:val="00E427BD"/>
    <w:rsid w:val="00E42956"/>
    <w:rsid w:val="00E43143"/>
    <w:rsid w:val="00E43219"/>
    <w:rsid w:val="00E43458"/>
    <w:rsid w:val="00E4358A"/>
    <w:rsid w:val="00E43836"/>
    <w:rsid w:val="00E43A8A"/>
    <w:rsid w:val="00E43B00"/>
    <w:rsid w:val="00E43C8B"/>
    <w:rsid w:val="00E43F1C"/>
    <w:rsid w:val="00E443E5"/>
    <w:rsid w:val="00E4444A"/>
    <w:rsid w:val="00E44677"/>
    <w:rsid w:val="00E446BD"/>
    <w:rsid w:val="00E44C17"/>
    <w:rsid w:val="00E44DC2"/>
    <w:rsid w:val="00E45065"/>
    <w:rsid w:val="00E4578A"/>
    <w:rsid w:val="00E460BE"/>
    <w:rsid w:val="00E46396"/>
    <w:rsid w:val="00E463FD"/>
    <w:rsid w:val="00E46489"/>
    <w:rsid w:val="00E46592"/>
    <w:rsid w:val="00E46746"/>
    <w:rsid w:val="00E46B45"/>
    <w:rsid w:val="00E46BCC"/>
    <w:rsid w:val="00E46DBB"/>
    <w:rsid w:val="00E46E55"/>
    <w:rsid w:val="00E47372"/>
    <w:rsid w:val="00E47A49"/>
    <w:rsid w:val="00E500CE"/>
    <w:rsid w:val="00E5014A"/>
    <w:rsid w:val="00E50182"/>
    <w:rsid w:val="00E50200"/>
    <w:rsid w:val="00E50C72"/>
    <w:rsid w:val="00E510EB"/>
    <w:rsid w:val="00E51366"/>
    <w:rsid w:val="00E5152A"/>
    <w:rsid w:val="00E5183C"/>
    <w:rsid w:val="00E5282B"/>
    <w:rsid w:val="00E5296E"/>
    <w:rsid w:val="00E530B1"/>
    <w:rsid w:val="00E531B3"/>
    <w:rsid w:val="00E532C5"/>
    <w:rsid w:val="00E53670"/>
    <w:rsid w:val="00E5374E"/>
    <w:rsid w:val="00E53EDE"/>
    <w:rsid w:val="00E54185"/>
    <w:rsid w:val="00E54834"/>
    <w:rsid w:val="00E54B48"/>
    <w:rsid w:val="00E54BF5"/>
    <w:rsid w:val="00E54C7C"/>
    <w:rsid w:val="00E54D1A"/>
    <w:rsid w:val="00E54E7A"/>
    <w:rsid w:val="00E54F5A"/>
    <w:rsid w:val="00E5577B"/>
    <w:rsid w:val="00E55811"/>
    <w:rsid w:val="00E55A7F"/>
    <w:rsid w:val="00E55B31"/>
    <w:rsid w:val="00E56390"/>
    <w:rsid w:val="00E56405"/>
    <w:rsid w:val="00E5647B"/>
    <w:rsid w:val="00E56652"/>
    <w:rsid w:val="00E5675D"/>
    <w:rsid w:val="00E56CAE"/>
    <w:rsid w:val="00E57106"/>
    <w:rsid w:val="00E572BB"/>
    <w:rsid w:val="00E574E1"/>
    <w:rsid w:val="00E57560"/>
    <w:rsid w:val="00E577C2"/>
    <w:rsid w:val="00E57815"/>
    <w:rsid w:val="00E579FD"/>
    <w:rsid w:val="00E57BD1"/>
    <w:rsid w:val="00E57E07"/>
    <w:rsid w:val="00E60111"/>
    <w:rsid w:val="00E60283"/>
    <w:rsid w:val="00E60378"/>
    <w:rsid w:val="00E6060B"/>
    <w:rsid w:val="00E60694"/>
    <w:rsid w:val="00E60A21"/>
    <w:rsid w:val="00E60A9C"/>
    <w:rsid w:val="00E60AC8"/>
    <w:rsid w:val="00E60F8B"/>
    <w:rsid w:val="00E61698"/>
    <w:rsid w:val="00E61E9D"/>
    <w:rsid w:val="00E6207A"/>
    <w:rsid w:val="00E62291"/>
    <w:rsid w:val="00E625CF"/>
    <w:rsid w:val="00E62642"/>
    <w:rsid w:val="00E6271B"/>
    <w:rsid w:val="00E6281F"/>
    <w:rsid w:val="00E62A75"/>
    <w:rsid w:val="00E62A7E"/>
    <w:rsid w:val="00E62D20"/>
    <w:rsid w:val="00E63114"/>
    <w:rsid w:val="00E63459"/>
    <w:rsid w:val="00E635EB"/>
    <w:rsid w:val="00E63806"/>
    <w:rsid w:val="00E63D98"/>
    <w:rsid w:val="00E63FBB"/>
    <w:rsid w:val="00E640AC"/>
    <w:rsid w:val="00E64376"/>
    <w:rsid w:val="00E643EB"/>
    <w:rsid w:val="00E644CE"/>
    <w:rsid w:val="00E6453F"/>
    <w:rsid w:val="00E649AE"/>
    <w:rsid w:val="00E64CB2"/>
    <w:rsid w:val="00E64F33"/>
    <w:rsid w:val="00E650CB"/>
    <w:rsid w:val="00E65665"/>
    <w:rsid w:val="00E658B1"/>
    <w:rsid w:val="00E65A03"/>
    <w:rsid w:val="00E65A89"/>
    <w:rsid w:val="00E65AF9"/>
    <w:rsid w:val="00E65E27"/>
    <w:rsid w:val="00E66162"/>
    <w:rsid w:val="00E661CE"/>
    <w:rsid w:val="00E66865"/>
    <w:rsid w:val="00E66BAD"/>
    <w:rsid w:val="00E67023"/>
    <w:rsid w:val="00E67594"/>
    <w:rsid w:val="00E67783"/>
    <w:rsid w:val="00E6779B"/>
    <w:rsid w:val="00E67BCF"/>
    <w:rsid w:val="00E67C0F"/>
    <w:rsid w:val="00E67CEF"/>
    <w:rsid w:val="00E67D3F"/>
    <w:rsid w:val="00E67E4A"/>
    <w:rsid w:val="00E700FC"/>
    <w:rsid w:val="00E70427"/>
    <w:rsid w:val="00E70549"/>
    <w:rsid w:val="00E705B6"/>
    <w:rsid w:val="00E709BD"/>
    <w:rsid w:val="00E70C99"/>
    <w:rsid w:val="00E70CDB"/>
    <w:rsid w:val="00E71005"/>
    <w:rsid w:val="00E711CB"/>
    <w:rsid w:val="00E712BF"/>
    <w:rsid w:val="00E7138D"/>
    <w:rsid w:val="00E714B3"/>
    <w:rsid w:val="00E7168C"/>
    <w:rsid w:val="00E71690"/>
    <w:rsid w:val="00E71792"/>
    <w:rsid w:val="00E71CE1"/>
    <w:rsid w:val="00E71D86"/>
    <w:rsid w:val="00E7216F"/>
    <w:rsid w:val="00E7218D"/>
    <w:rsid w:val="00E722C3"/>
    <w:rsid w:val="00E72319"/>
    <w:rsid w:val="00E7244C"/>
    <w:rsid w:val="00E724DF"/>
    <w:rsid w:val="00E7258E"/>
    <w:rsid w:val="00E727AB"/>
    <w:rsid w:val="00E727BB"/>
    <w:rsid w:val="00E72A17"/>
    <w:rsid w:val="00E72BD7"/>
    <w:rsid w:val="00E72BD9"/>
    <w:rsid w:val="00E72D81"/>
    <w:rsid w:val="00E7343A"/>
    <w:rsid w:val="00E73534"/>
    <w:rsid w:val="00E735CB"/>
    <w:rsid w:val="00E73A0F"/>
    <w:rsid w:val="00E73A4B"/>
    <w:rsid w:val="00E7403D"/>
    <w:rsid w:val="00E740C0"/>
    <w:rsid w:val="00E7459A"/>
    <w:rsid w:val="00E74800"/>
    <w:rsid w:val="00E74803"/>
    <w:rsid w:val="00E7524E"/>
    <w:rsid w:val="00E75393"/>
    <w:rsid w:val="00E7592C"/>
    <w:rsid w:val="00E75CE0"/>
    <w:rsid w:val="00E75D68"/>
    <w:rsid w:val="00E75FD0"/>
    <w:rsid w:val="00E76532"/>
    <w:rsid w:val="00E7657E"/>
    <w:rsid w:val="00E772D0"/>
    <w:rsid w:val="00E778AB"/>
    <w:rsid w:val="00E779E0"/>
    <w:rsid w:val="00E77A12"/>
    <w:rsid w:val="00E77FDC"/>
    <w:rsid w:val="00E80514"/>
    <w:rsid w:val="00E80656"/>
    <w:rsid w:val="00E807B1"/>
    <w:rsid w:val="00E80B14"/>
    <w:rsid w:val="00E80EDD"/>
    <w:rsid w:val="00E80F2B"/>
    <w:rsid w:val="00E810EC"/>
    <w:rsid w:val="00E81172"/>
    <w:rsid w:val="00E8117D"/>
    <w:rsid w:val="00E812F6"/>
    <w:rsid w:val="00E8143D"/>
    <w:rsid w:val="00E81457"/>
    <w:rsid w:val="00E8159C"/>
    <w:rsid w:val="00E8162B"/>
    <w:rsid w:val="00E816B8"/>
    <w:rsid w:val="00E8175E"/>
    <w:rsid w:val="00E8186F"/>
    <w:rsid w:val="00E819E3"/>
    <w:rsid w:val="00E81A00"/>
    <w:rsid w:val="00E820C4"/>
    <w:rsid w:val="00E82834"/>
    <w:rsid w:val="00E82953"/>
    <w:rsid w:val="00E82E73"/>
    <w:rsid w:val="00E830B6"/>
    <w:rsid w:val="00E8409F"/>
    <w:rsid w:val="00E8437C"/>
    <w:rsid w:val="00E84734"/>
    <w:rsid w:val="00E84796"/>
    <w:rsid w:val="00E84A93"/>
    <w:rsid w:val="00E84C8B"/>
    <w:rsid w:val="00E85133"/>
    <w:rsid w:val="00E85601"/>
    <w:rsid w:val="00E856F0"/>
    <w:rsid w:val="00E8571D"/>
    <w:rsid w:val="00E857E4"/>
    <w:rsid w:val="00E858E9"/>
    <w:rsid w:val="00E85B5A"/>
    <w:rsid w:val="00E85DDE"/>
    <w:rsid w:val="00E85E94"/>
    <w:rsid w:val="00E85EAF"/>
    <w:rsid w:val="00E86266"/>
    <w:rsid w:val="00E86609"/>
    <w:rsid w:val="00E867C1"/>
    <w:rsid w:val="00E8696B"/>
    <w:rsid w:val="00E86B21"/>
    <w:rsid w:val="00E86CC9"/>
    <w:rsid w:val="00E875D7"/>
    <w:rsid w:val="00E87828"/>
    <w:rsid w:val="00E8792A"/>
    <w:rsid w:val="00E879D5"/>
    <w:rsid w:val="00E87D89"/>
    <w:rsid w:val="00E87DE4"/>
    <w:rsid w:val="00E87FAA"/>
    <w:rsid w:val="00E90018"/>
    <w:rsid w:val="00E90237"/>
    <w:rsid w:val="00E908F9"/>
    <w:rsid w:val="00E90D5B"/>
    <w:rsid w:val="00E90E37"/>
    <w:rsid w:val="00E90ECC"/>
    <w:rsid w:val="00E90F88"/>
    <w:rsid w:val="00E912BE"/>
    <w:rsid w:val="00E914DB"/>
    <w:rsid w:val="00E9188B"/>
    <w:rsid w:val="00E9189A"/>
    <w:rsid w:val="00E91DEA"/>
    <w:rsid w:val="00E920D5"/>
    <w:rsid w:val="00E924F1"/>
    <w:rsid w:val="00E92868"/>
    <w:rsid w:val="00E93736"/>
    <w:rsid w:val="00E940DF"/>
    <w:rsid w:val="00E942C6"/>
    <w:rsid w:val="00E951DA"/>
    <w:rsid w:val="00E95807"/>
    <w:rsid w:val="00E95920"/>
    <w:rsid w:val="00E95A42"/>
    <w:rsid w:val="00E95B6A"/>
    <w:rsid w:val="00E95D4A"/>
    <w:rsid w:val="00E95E2A"/>
    <w:rsid w:val="00E95FC9"/>
    <w:rsid w:val="00E960A0"/>
    <w:rsid w:val="00E9658A"/>
    <w:rsid w:val="00E965D8"/>
    <w:rsid w:val="00E96FF4"/>
    <w:rsid w:val="00E97200"/>
    <w:rsid w:val="00E974CE"/>
    <w:rsid w:val="00E977A2"/>
    <w:rsid w:val="00E97AE2"/>
    <w:rsid w:val="00E97B02"/>
    <w:rsid w:val="00EA009C"/>
    <w:rsid w:val="00EA00F2"/>
    <w:rsid w:val="00EA084D"/>
    <w:rsid w:val="00EA0D6D"/>
    <w:rsid w:val="00EA0DB4"/>
    <w:rsid w:val="00EA0E14"/>
    <w:rsid w:val="00EA0F63"/>
    <w:rsid w:val="00EA186B"/>
    <w:rsid w:val="00EA19AE"/>
    <w:rsid w:val="00EA1EE7"/>
    <w:rsid w:val="00EA20BF"/>
    <w:rsid w:val="00EA2156"/>
    <w:rsid w:val="00EA22C8"/>
    <w:rsid w:val="00EA2345"/>
    <w:rsid w:val="00EA24EE"/>
    <w:rsid w:val="00EA2B29"/>
    <w:rsid w:val="00EA3251"/>
    <w:rsid w:val="00EA3256"/>
    <w:rsid w:val="00EA3583"/>
    <w:rsid w:val="00EA3681"/>
    <w:rsid w:val="00EA3AD5"/>
    <w:rsid w:val="00EA3B05"/>
    <w:rsid w:val="00EA3C04"/>
    <w:rsid w:val="00EA4119"/>
    <w:rsid w:val="00EA4431"/>
    <w:rsid w:val="00EA4453"/>
    <w:rsid w:val="00EA46B1"/>
    <w:rsid w:val="00EA46B2"/>
    <w:rsid w:val="00EA4923"/>
    <w:rsid w:val="00EA4C94"/>
    <w:rsid w:val="00EA4D4E"/>
    <w:rsid w:val="00EA4DC3"/>
    <w:rsid w:val="00EA5357"/>
    <w:rsid w:val="00EA5498"/>
    <w:rsid w:val="00EA566F"/>
    <w:rsid w:val="00EA58F0"/>
    <w:rsid w:val="00EA59EE"/>
    <w:rsid w:val="00EA5E5A"/>
    <w:rsid w:val="00EA5F1F"/>
    <w:rsid w:val="00EA5F9A"/>
    <w:rsid w:val="00EA6054"/>
    <w:rsid w:val="00EA633E"/>
    <w:rsid w:val="00EA63A6"/>
    <w:rsid w:val="00EA66C7"/>
    <w:rsid w:val="00EA678E"/>
    <w:rsid w:val="00EA6964"/>
    <w:rsid w:val="00EA6C29"/>
    <w:rsid w:val="00EA6D3F"/>
    <w:rsid w:val="00EA6E4C"/>
    <w:rsid w:val="00EA6FE2"/>
    <w:rsid w:val="00EA765C"/>
    <w:rsid w:val="00EA7722"/>
    <w:rsid w:val="00EA7900"/>
    <w:rsid w:val="00EA7B0A"/>
    <w:rsid w:val="00EA7BF5"/>
    <w:rsid w:val="00EB00D1"/>
    <w:rsid w:val="00EB1508"/>
    <w:rsid w:val="00EB151B"/>
    <w:rsid w:val="00EB1A98"/>
    <w:rsid w:val="00EB1D36"/>
    <w:rsid w:val="00EB1FE9"/>
    <w:rsid w:val="00EB2133"/>
    <w:rsid w:val="00EB239D"/>
    <w:rsid w:val="00EB2615"/>
    <w:rsid w:val="00EB270B"/>
    <w:rsid w:val="00EB294D"/>
    <w:rsid w:val="00EB2B1A"/>
    <w:rsid w:val="00EB2D1E"/>
    <w:rsid w:val="00EB2F81"/>
    <w:rsid w:val="00EB31D2"/>
    <w:rsid w:val="00EB370D"/>
    <w:rsid w:val="00EB4040"/>
    <w:rsid w:val="00EB4068"/>
    <w:rsid w:val="00EB412F"/>
    <w:rsid w:val="00EB4284"/>
    <w:rsid w:val="00EB43CD"/>
    <w:rsid w:val="00EB47D2"/>
    <w:rsid w:val="00EB49FB"/>
    <w:rsid w:val="00EB56E9"/>
    <w:rsid w:val="00EB5841"/>
    <w:rsid w:val="00EB5FED"/>
    <w:rsid w:val="00EB6567"/>
    <w:rsid w:val="00EB67AA"/>
    <w:rsid w:val="00EB6AD9"/>
    <w:rsid w:val="00EB6BE4"/>
    <w:rsid w:val="00EB6DF3"/>
    <w:rsid w:val="00EB6E78"/>
    <w:rsid w:val="00EB7098"/>
    <w:rsid w:val="00EB72E1"/>
    <w:rsid w:val="00EB73B2"/>
    <w:rsid w:val="00EB7601"/>
    <w:rsid w:val="00EB7663"/>
    <w:rsid w:val="00EC00C3"/>
    <w:rsid w:val="00EC0448"/>
    <w:rsid w:val="00EC04C9"/>
    <w:rsid w:val="00EC072F"/>
    <w:rsid w:val="00EC0757"/>
    <w:rsid w:val="00EC0A15"/>
    <w:rsid w:val="00EC0A2A"/>
    <w:rsid w:val="00EC0D7B"/>
    <w:rsid w:val="00EC0F15"/>
    <w:rsid w:val="00EC112D"/>
    <w:rsid w:val="00EC11D6"/>
    <w:rsid w:val="00EC14DD"/>
    <w:rsid w:val="00EC1928"/>
    <w:rsid w:val="00EC1CA9"/>
    <w:rsid w:val="00EC1E8E"/>
    <w:rsid w:val="00EC2328"/>
    <w:rsid w:val="00EC2375"/>
    <w:rsid w:val="00EC257A"/>
    <w:rsid w:val="00EC279D"/>
    <w:rsid w:val="00EC2815"/>
    <w:rsid w:val="00EC2A1F"/>
    <w:rsid w:val="00EC2B54"/>
    <w:rsid w:val="00EC2B6B"/>
    <w:rsid w:val="00EC2DFC"/>
    <w:rsid w:val="00EC2F7B"/>
    <w:rsid w:val="00EC353A"/>
    <w:rsid w:val="00EC35B3"/>
    <w:rsid w:val="00EC3694"/>
    <w:rsid w:val="00EC37A3"/>
    <w:rsid w:val="00EC383F"/>
    <w:rsid w:val="00EC3882"/>
    <w:rsid w:val="00EC39BA"/>
    <w:rsid w:val="00EC3F04"/>
    <w:rsid w:val="00EC46DF"/>
    <w:rsid w:val="00EC4ABB"/>
    <w:rsid w:val="00EC51B8"/>
    <w:rsid w:val="00EC53A5"/>
    <w:rsid w:val="00EC54F1"/>
    <w:rsid w:val="00EC5793"/>
    <w:rsid w:val="00EC582A"/>
    <w:rsid w:val="00EC5AA3"/>
    <w:rsid w:val="00EC5B77"/>
    <w:rsid w:val="00EC5BA0"/>
    <w:rsid w:val="00EC655C"/>
    <w:rsid w:val="00EC694B"/>
    <w:rsid w:val="00EC6CF3"/>
    <w:rsid w:val="00EC6EAD"/>
    <w:rsid w:val="00EC70A7"/>
    <w:rsid w:val="00EC71C3"/>
    <w:rsid w:val="00EC72AA"/>
    <w:rsid w:val="00EC7C03"/>
    <w:rsid w:val="00EC7D28"/>
    <w:rsid w:val="00EC7DD5"/>
    <w:rsid w:val="00EC7F06"/>
    <w:rsid w:val="00EC7F36"/>
    <w:rsid w:val="00ED0205"/>
    <w:rsid w:val="00ED05AE"/>
    <w:rsid w:val="00ED0761"/>
    <w:rsid w:val="00ED0E02"/>
    <w:rsid w:val="00ED1189"/>
    <w:rsid w:val="00ED1AED"/>
    <w:rsid w:val="00ED1EE6"/>
    <w:rsid w:val="00ED1FA4"/>
    <w:rsid w:val="00ED20E7"/>
    <w:rsid w:val="00ED20F7"/>
    <w:rsid w:val="00ED246D"/>
    <w:rsid w:val="00ED28A4"/>
    <w:rsid w:val="00ED2934"/>
    <w:rsid w:val="00ED2B20"/>
    <w:rsid w:val="00ED2BC1"/>
    <w:rsid w:val="00ED34E7"/>
    <w:rsid w:val="00ED3609"/>
    <w:rsid w:val="00ED3A9F"/>
    <w:rsid w:val="00ED3B94"/>
    <w:rsid w:val="00ED3BE8"/>
    <w:rsid w:val="00ED3CCC"/>
    <w:rsid w:val="00ED3FB4"/>
    <w:rsid w:val="00ED3FBF"/>
    <w:rsid w:val="00ED42FE"/>
    <w:rsid w:val="00ED43C9"/>
    <w:rsid w:val="00ED4916"/>
    <w:rsid w:val="00ED4DC2"/>
    <w:rsid w:val="00ED4FCB"/>
    <w:rsid w:val="00ED509C"/>
    <w:rsid w:val="00ED527E"/>
    <w:rsid w:val="00ED52A3"/>
    <w:rsid w:val="00ED52FF"/>
    <w:rsid w:val="00ED592B"/>
    <w:rsid w:val="00ED5931"/>
    <w:rsid w:val="00ED5C12"/>
    <w:rsid w:val="00ED5E4B"/>
    <w:rsid w:val="00ED61B4"/>
    <w:rsid w:val="00ED68F8"/>
    <w:rsid w:val="00ED69EB"/>
    <w:rsid w:val="00ED723A"/>
    <w:rsid w:val="00ED7526"/>
    <w:rsid w:val="00ED761A"/>
    <w:rsid w:val="00ED78E0"/>
    <w:rsid w:val="00ED7B49"/>
    <w:rsid w:val="00EE05E7"/>
    <w:rsid w:val="00EE0B21"/>
    <w:rsid w:val="00EE0E22"/>
    <w:rsid w:val="00EE1AD0"/>
    <w:rsid w:val="00EE1B38"/>
    <w:rsid w:val="00EE1BC9"/>
    <w:rsid w:val="00EE1F0B"/>
    <w:rsid w:val="00EE22FA"/>
    <w:rsid w:val="00EE2460"/>
    <w:rsid w:val="00EE26BD"/>
    <w:rsid w:val="00EE2ACB"/>
    <w:rsid w:val="00EE2B5C"/>
    <w:rsid w:val="00EE2D38"/>
    <w:rsid w:val="00EE31C7"/>
    <w:rsid w:val="00EE3951"/>
    <w:rsid w:val="00EE39B5"/>
    <w:rsid w:val="00EE3BC4"/>
    <w:rsid w:val="00EE40A8"/>
    <w:rsid w:val="00EE4215"/>
    <w:rsid w:val="00EE4277"/>
    <w:rsid w:val="00EE46D8"/>
    <w:rsid w:val="00EE4EE9"/>
    <w:rsid w:val="00EE4FB1"/>
    <w:rsid w:val="00EE4FFF"/>
    <w:rsid w:val="00EE5338"/>
    <w:rsid w:val="00EE5438"/>
    <w:rsid w:val="00EE54BC"/>
    <w:rsid w:val="00EE5A42"/>
    <w:rsid w:val="00EE5C9A"/>
    <w:rsid w:val="00EE5D14"/>
    <w:rsid w:val="00EE6146"/>
    <w:rsid w:val="00EE63F5"/>
    <w:rsid w:val="00EE6615"/>
    <w:rsid w:val="00EE689A"/>
    <w:rsid w:val="00EE7547"/>
    <w:rsid w:val="00EE7589"/>
    <w:rsid w:val="00EF016F"/>
    <w:rsid w:val="00EF036E"/>
    <w:rsid w:val="00EF04D2"/>
    <w:rsid w:val="00EF0651"/>
    <w:rsid w:val="00EF09B2"/>
    <w:rsid w:val="00EF0B51"/>
    <w:rsid w:val="00EF0C33"/>
    <w:rsid w:val="00EF0DFA"/>
    <w:rsid w:val="00EF121D"/>
    <w:rsid w:val="00EF1395"/>
    <w:rsid w:val="00EF1E40"/>
    <w:rsid w:val="00EF1F72"/>
    <w:rsid w:val="00EF2334"/>
    <w:rsid w:val="00EF2447"/>
    <w:rsid w:val="00EF2EAA"/>
    <w:rsid w:val="00EF30C5"/>
    <w:rsid w:val="00EF3549"/>
    <w:rsid w:val="00EF3670"/>
    <w:rsid w:val="00EF3812"/>
    <w:rsid w:val="00EF3826"/>
    <w:rsid w:val="00EF3945"/>
    <w:rsid w:val="00EF3A6F"/>
    <w:rsid w:val="00EF3B53"/>
    <w:rsid w:val="00EF3B62"/>
    <w:rsid w:val="00EF4067"/>
    <w:rsid w:val="00EF408C"/>
    <w:rsid w:val="00EF4299"/>
    <w:rsid w:val="00EF4359"/>
    <w:rsid w:val="00EF43F7"/>
    <w:rsid w:val="00EF4AF9"/>
    <w:rsid w:val="00EF4B41"/>
    <w:rsid w:val="00EF4FE7"/>
    <w:rsid w:val="00EF50E3"/>
    <w:rsid w:val="00EF5133"/>
    <w:rsid w:val="00EF5FDE"/>
    <w:rsid w:val="00EF6028"/>
    <w:rsid w:val="00EF6393"/>
    <w:rsid w:val="00EF6476"/>
    <w:rsid w:val="00EF67A9"/>
    <w:rsid w:val="00EF68A2"/>
    <w:rsid w:val="00EF724E"/>
    <w:rsid w:val="00EF72B4"/>
    <w:rsid w:val="00EF73FD"/>
    <w:rsid w:val="00EF7411"/>
    <w:rsid w:val="00EF7753"/>
    <w:rsid w:val="00EF7BB1"/>
    <w:rsid w:val="00F0007E"/>
    <w:rsid w:val="00F0035C"/>
    <w:rsid w:val="00F00418"/>
    <w:rsid w:val="00F007A0"/>
    <w:rsid w:val="00F00DC5"/>
    <w:rsid w:val="00F00DC8"/>
    <w:rsid w:val="00F00E22"/>
    <w:rsid w:val="00F01791"/>
    <w:rsid w:val="00F018D5"/>
    <w:rsid w:val="00F018ED"/>
    <w:rsid w:val="00F01EB8"/>
    <w:rsid w:val="00F0200F"/>
    <w:rsid w:val="00F021EE"/>
    <w:rsid w:val="00F0265B"/>
    <w:rsid w:val="00F02739"/>
    <w:rsid w:val="00F0284C"/>
    <w:rsid w:val="00F02B2B"/>
    <w:rsid w:val="00F033E5"/>
    <w:rsid w:val="00F03553"/>
    <w:rsid w:val="00F03790"/>
    <w:rsid w:val="00F04375"/>
    <w:rsid w:val="00F043DE"/>
    <w:rsid w:val="00F04829"/>
    <w:rsid w:val="00F0487D"/>
    <w:rsid w:val="00F049B1"/>
    <w:rsid w:val="00F052EB"/>
    <w:rsid w:val="00F0536D"/>
    <w:rsid w:val="00F0537D"/>
    <w:rsid w:val="00F053D6"/>
    <w:rsid w:val="00F0552F"/>
    <w:rsid w:val="00F05E0E"/>
    <w:rsid w:val="00F06278"/>
    <w:rsid w:val="00F063F2"/>
    <w:rsid w:val="00F064FE"/>
    <w:rsid w:val="00F065F9"/>
    <w:rsid w:val="00F06B88"/>
    <w:rsid w:val="00F06D83"/>
    <w:rsid w:val="00F06D9A"/>
    <w:rsid w:val="00F06DEB"/>
    <w:rsid w:val="00F06E47"/>
    <w:rsid w:val="00F0702E"/>
    <w:rsid w:val="00F07275"/>
    <w:rsid w:val="00F07658"/>
    <w:rsid w:val="00F07879"/>
    <w:rsid w:val="00F07980"/>
    <w:rsid w:val="00F07D95"/>
    <w:rsid w:val="00F07EE0"/>
    <w:rsid w:val="00F1009F"/>
    <w:rsid w:val="00F1032B"/>
    <w:rsid w:val="00F10761"/>
    <w:rsid w:val="00F109EC"/>
    <w:rsid w:val="00F10A9E"/>
    <w:rsid w:val="00F10D18"/>
    <w:rsid w:val="00F110BB"/>
    <w:rsid w:val="00F111D1"/>
    <w:rsid w:val="00F11A01"/>
    <w:rsid w:val="00F11A68"/>
    <w:rsid w:val="00F11BC0"/>
    <w:rsid w:val="00F12026"/>
    <w:rsid w:val="00F121BE"/>
    <w:rsid w:val="00F121E6"/>
    <w:rsid w:val="00F12411"/>
    <w:rsid w:val="00F12463"/>
    <w:rsid w:val="00F12B33"/>
    <w:rsid w:val="00F12DE3"/>
    <w:rsid w:val="00F12E38"/>
    <w:rsid w:val="00F12FBC"/>
    <w:rsid w:val="00F134F2"/>
    <w:rsid w:val="00F13630"/>
    <w:rsid w:val="00F1379C"/>
    <w:rsid w:val="00F139CF"/>
    <w:rsid w:val="00F13D81"/>
    <w:rsid w:val="00F14651"/>
    <w:rsid w:val="00F14E00"/>
    <w:rsid w:val="00F14E03"/>
    <w:rsid w:val="00F14E41"/>
    <w:rsid w:val="00F150FC"/>
    <w:rsid w:val="00F15604"/>
    <w:rsid w:val="00F1560C"/>
    <w:rsid w:val="00F158B6"/>
    <w:rsid w:val="00F15A10"/>
    <w:rsid w:val="00F15BD8"/>
    <w:rsid w:val="00F162E2"/>
    <w:rsid w:val="00F166DD"/>
    <w:rsid w:val="00F167FF"/>
    <w:rsid w:val="00F16C2E"/>
    <w:rsid w:val="00F16C93"/>
    <w:rsid w:val="00F16FE0"/>
    <w:rsid w:val="00F17067"/>
    <w:rsid w:val="00F17580"/>
    <w:rsid w:val="00F1766B"/>
    <w:rsid w:val="00F17A27"/>
    <w:rsid w:val="00F17A60"/>
    <w:rsid w:val="00F17BA6"/>
    <w:rsid w:val="00F17F95"/>
    <w:rsid w:val="00F2047F"/>
    <w:rsid w:val="00F209BF"/>
    <w:rsid w:val="00F20DDE"/>
    <w:rsid w:val="00F20FB9"/>
    <w:rsid w:val="00F20FD0"/>
    <w:rsid w:val="00F2103A"/>
    <w:rsid w:val="00F218C8"/>
    <w:rsid w:val="00F21A43"/>
    <w:rsid w:val="00F21FBB"/>
    <w:rsid w:val="00F2258E"/>
    <w:rsid w:val="00F2264E"/>
    <w:rsid w:val="00F2269E"/>
    <w:rsid w:val="00F22954"/>
    <w:rsid w:val="00F22AFA"/>
    <w:rsid w:val="00F22B24"/>
    <w:rsid w:val="00F22CE0"/>
    <w:rsid w:val="00F22FB5"/>
    <w:rsid w:val="00F23185"/>
    <w:rsid w:val="00F23510"/>
    <w:rsid w:val="00F23591"/>
    <w:rsid w:val="00F23648"/>
    <w:rsid w:val="00F23AFF"/>
    <w:rsid w:val="00F23C7A"/>
    <w:rsid w:val="00F23D2E"/>
    <w:rsid w:val="00F24606"/>
    <w:rsid w:val="00F24916"/>
    <w:rsid w:val="00F251B9"/>
    <w:rsid w:val="00F25308"/>
    <w:rsid w:val="00F253D9"/>
    <w:rsid w:val="00F2544B"/>
    <w:rsid w:val="00F254C5"/>
    <w:rsid w:val="00F254DA"/>
    <w:rsid w:val="00F254E9"/>
    <w:rsid w:val="00F25B91"/>
    <w:rsid w:val="00F25D33"/>
    <w:rsid w:val="00F260FC"/>
    <w:rsid w:val="00F2612A"/>
    <w:rsid w:val="00F26223"/>
    <w:rsid w:val="00F262D7"/>
    <w:rsid w:val="00F26304"/>
    <w:rsid w:val="00F26710"/>
    <w:rsid w:val="00F267CB"/>
    <w:rsid w:val="00F26A68"/>
    <w:rsid w:val="00F27748"/>
    <w:rsid w:val="00F27AD5"/>
    <w:rsid w:val="00F27BC2"/>
    <w:rsid w:val="00F30519"/>
    <w:rsid w:val="00F30615"/>
    <w:rsid w:val="00F3089A"/>
    <w:rsid w:val="00F3090C"/>
    <w:rsid w:val="00F309E3"/>
    <w:rsid w:val="00F30C83"/>
    <w:rsid w:val="00F30CFD"/>
    <w:rsid w:val="00F30EB1"/>
    <w:rsid w:val="00F312C2"/>
    <w:rsid w:val="00F314F4"/>
    <w:rsid w:val="00F31A9C"/>
    <w:rsid w:val="00F31F7B"/>
    <w:rsid w:val="00F32137"/>
    <w:rsid w:val="00F323A5"/>
    <w:rsid w:val="00F32481"/>
    <w:rsid w:val="00F3251A"/>
    <w:rsid w:val="00F32581"/>
    <w:rsid w:val="00F326EE"/>
    <w:rsid w:val="00F33538"/>
    <w:rsid w:val="00F3354D"/>
    <w:rsid w:val="00F335DC"/>
    <w:rsid w:val="00F33C30"/>
    <w:rsid w:val="00F3432F"/>
    <w:rsid w:val="00F34501"/>
    <w:rsid w:val="00F34725"/>
    <w:rsid w:val="00F34825"/>
    <w:rsid w:val="00F3482D"/>
    <w:rsid w:val="00F348D8"/>
    <w:rsid w:val="00F34969"/>
    <w:rsid w:val="00F34BB1"/>
    <w:rsid w:val="00F34E80"/>
    <w:rsid w:val="00F35073"/>
    <w:rsid w:val="00F35A7A"/>
    <w:rsid w:val="00F35EE7"/>
    <w:rsid w:val="00F36127"/>
    <w:rsid w:val="00F362FA"/>
    <w:rsid w:val="00F36344"/>
    <w:rsid w:val="00F36457"/>
    <w:rsid w:val="00F367B0"/>
    <w:rsid w:val="00F36A6F"/>
    <w:rsid w:val="00F36A9A"/>
    <w:rsid w:val="00F37101"/>
    <w:rsid w:val="00F37292"/>
    <w:rsid w:val="00F37390"/>
    <w:rsid w:val="00F373FC"/>
    <w:rsid w:val="00F37601"/>
    <w:rsid w:val="00F37825"/>
    <w:rsid w:val="00F37883"/>
    <w:rsid w:val="00F37E1E"/>
    <w:rsid w:val="00F37EED"/>
    <w:rsid w:val="00F40023"/>
    <w:rsid w:val="00F400B3"/>
    <w:rsid w:val="00F40664"/>
    <w:rsid w:val="00F406FB"/>
    <w:rsid w:val="00F40965"/>
    <w:rsid w:val="00F40BB5"/>
    <w:rsid w:val="00F40E10"/>
    <w:rsid w:val="00F40E2D"/>
    <w:rsid w:val="00F40E4F"/>
    <w:rsid w:val="00F40EA4"/>
    <w:rsid w:val="00F40FAE"/>
    <w:rsid w:val="00F41390"/>
    <w:rsid w:val="00F41777"/>
    <w:rsid w:val="00F41A64"/>
    <w:rsid w:val="00F41E76"/>
    <w:rsid w:val="00F41F70"/>
    <w:rsid w:val="00F4222E"/>
    <w:rsid w:val="00F427AF"/>
    <w:rsid w:val="00F42C81"/>
    <w:rsid w:val="00F42CAB"/>
    <w:rsid w:val="00F42DAB"/>
    <w:rsid w:val="00F42E5E"/>
    <w:rsid w:val="00F433B6"/>
    <w:rsid w:val="00F43484"/>
    <w:rsid w:val="00F435AA"/>
    <w:rsid w:val="00F43638"/>
    <w:rsid w:val="00F4374C"/>
    <w:rsid w:val="00F438CD"/>
    <w:rsid w:val="00F43C55"/>
    <w:rsid w:val="00F43D03"/>
    <w:rsid w:val="00F43F4F"/>
    <w:rsid w:val="00F43FC8"/>
    <w:rsid w:val="00F4408C"/>
    <w:rsid w:val="00F443D3"/>
    <w:rsid w:val="00F44730"/>
    <w:rsid w:val="00F44881"/>
    <w:rsid w:val="00F44C7E"/>
    <w:rsid w:val="00F44EEA"/>
    <w:rsid w:val="00F4580C"/>
    <w:rsid w:val="00F45AE5"/>
    <w:rsid w:val="00F45BBF"/>
    <w:rsid w:val="00F45D6D"/>
    <w:rsid w:val="00F45FB7"/>
    <w:rsid w:val="00F465D3"/>
    <w:rsid w:val="00F46D28"/>
    <w:rsid w:val="00F46DFC"/>
    <w:rsid w:val="00F475DA"/>
    <w:rsid w:val="00F47D3F"/>
    <w:rsid w:val="00F507CD"/>
    <w:rsid w:val="00F508AA"/>
    <w:rsid w:val="00F50A75"/>
    <w:rsid w:val="00F50F0D"/>
    <w:rsid w:val="00F5103D"/>
    <w:rsid w:val="00F518C3"/>
    <w:rsid w:val="00F51F75"/>
    <w:rsid w:val="00F5258E"/>
    <w:rsid w:val="00F529E6"/>
    <w:rsid w:val="00F52FD3"/>
    <w:rsid w:val="00F532EF"/>
    <w:rsid w:val="00F533D5"/>
    <w:rsid w:val="00F53684"/>
    <w:rsid w:val="00F536CC"/>
    <w:rsid w:val="00F53723"/>
    <w:rsid w:val="00F5377D"/>
    <w:rsid w:val="00F539E4"/>
    <w:rsid w:val="00F53B7E"/>
    <w:rsid w:val="00F53D6C"/>
    <w:rsid w:val="00F53DD0"/>
    <w:rsid w:val="00F54469"/>
    <w:rsid w:val="00F544D1"/>
    <w:rsid w:val="00F54590"/>
    <w:rsid w:val="00F54F1F"/>
    <w:rsid w:val="00F54FF7"/>
    <w:rsid w:val="00F55045"/>
    <w:rsid w:val="00F55096"/>
    <w:rsid w:val="00F550BC"/>
    <w:rsid w:val="00F55166"/>
    <w:rsid w:val="00F5545E"/>
    <w:rsid w:val="00F555FB"/>
    <w:rsid w:val="00F558BC"/>
    <w:rsid w:val="00F56082"/>
    <w:rsid w:val="00F56127"/>
    <w:rsid w:val="00F56140"/>
    <w:rsid w:val="00F5620A"/>
    <w:rsid w:val="00F56426"/>
    <w:rsid w:val="00F56877"/>
    <w:rsid w:val="00F56899"/>
    <w:rsid w:val="00F56BA8"/>
    <w:rsid w:val="00F56CA8"/>
    <w:rsid w:val="00F572DA"/>
    <w:rsid w:val="00F57570"/>
    <w:rsid w:val="00F57C88"/>
    <w:rsid w:val="00F57D2E"/>
    <w:rsid w:val="00F60269"/>
    <w:rsid w:val="00F602D5"/>
    <w:rsid w:val="00F602F3"/>
    <w:rsid w:val="00F60BBA"/>
    <w:rsid w:val="00F611AD"/>
    <w:rsid w:val="00F619D0"/>
    <w:rsid w:val="00F61A13"/>
    <w:rsid w:val="00F61F85"/>
    <w:rsid w:val="00F620E7"/>
    <w:rsid w:val="00F62334"/>
    <w:rsid w:val="00F62D41"/>
    <w:rsid w:val="00F6379F"/>
    <w:rsid w:val="00F63D09"/>
    <w:rsid w:val="00F64B1A"/>
    <w:rsid w:val="00F64E8F"/>
    <w:rsid w:val="00F653DF"/>
    <w:rsid w:val="00F656BA"/>
    <w:rsid w:val="00F6581E"/>
    <w:rsid w:val="00F6588E"/>
    <w:rsid w:val="00F658BE"/>
    <w:rsid w:val="00F65E8D"/>
    <w:rsid w:val="00F65EE2"/>
    <w:rsid w:val="00F663E2"/>
    <w:rsid w:val="00F666D2"/>
    <w:rsid w:val="00F667BB"/>
    <w:rsid w:val="00F66C5B"/>
    <w:rsid w:val="00F66F69"/>
    <w:rsid w:val="00F6766F"/>
    <w:rsid w:val="00F677CC"/>
    <w:rsid w:val="00F67E7A"/>
    <w:rsid w:val="00F67E81"/>
    <w:rsid w:val="00F67E88"/>
    <w:rsid w:val="00F700B5"/>
    <w:rsid w:val="00F70587"/>
    <w:rsid w:val="00F7082C"/>
    <w:rsid w:val="00F70899"/>
    <w:rsid w:val="00F70A8D"/>
    <w:rsid w:val="00F70FC9"/>
    <w:rsid w:val="00F7155B"/>
    <w:rsid w:val="00F71BB1"/>
    <w:rsid w:val="00F71CB9"/>
    <w:rsid w:val="00F720EF"/>
    <w:rsid w:val="00F72410"/>
    <w:rsid w:val="00F7243D"/>
    <w:rsid w:val="00F72453"/>
    <w:rsid w:val="00F725D5"/>
    <w:rsid w:val="00F7278D"/>
    <w:rsid w:val="00F7295C"/>
    <w:rsid w:val="00F72C03"/>
    <w:rsid w:val="00F72F19"/>
    <w:rsid w:val="00F7312C"/>
    <w:rsid w:val="00F73E6C"/>
    <w:rsid w:val="00F743BD"/>
    <w:rsid w:val="00F747A8"/>
    <w:rsid w:val="00F74851"/>
    <w:rsid w:val="00F74F37"/>
    <w:rsid w:val="00F75771"/>
    <w:rsid w:val="00F7596C"/>
    <w:rsid w:val="00F76123"/>
    <w:rsid w:val="00F76209"/>
    <w:rsid w:val="00F76275"/>
    <w:rsid w:val="00F76473"/>
    <w:rsid w:val="00F76700"/>
    <w:rsid w:val="00F76B1C"/>
    <w:rsid w:val="00F76F3D"/>
    <w:rsid w:val="00F77122"/>
    <w:rsid w:val="00F7746D"/>
    <w:rsid w:val="00F7779C"/>
    <w:rsid w:val="00F779BC"/>
    <w:rsid w:val="00F77A17"/>
    <w:rsid w:val="00F77A46"/>
    <w:rsid w:val="00F8023B"/>
    <w:rsid w:val="00F80247"/>
    <w:rsid w:val="00F8029B"/>
    <w:rsid w:val="00F803AD"/>
    <w:rsid w:val="00F80AB3"/>
    <w:rsid w:val="00F80BF0"/>
    <w:rsid w:val="00F80E00"/>
    <w:rsid w:val="00F81073"/>
    <w:rsid w:val="00F81109"/>
    <w:rsid w:val="00F81127"/>
    <w:rsid w:val="00F811B7"/>
    <w:rsid w:val="00F81280"/>
    <w:rsid w:val="00F814CF"/>
    <w:rsid w:val="00F81757"/>
    <w:rsid w:val="00F81812"/>
    <w:rsid w:val="00F81F0D"/>
    <w:rsid w:val="00F82474"/>
    <w:rsid w:val="00F824AA"/>
    <w:rsid w:val="00F82562"/>
    <w:rsid w:val="00F825F2"/>
    <w:rsid w:val="00F82784"/>
    <w:rsid w:val="00F829D6"/>
    <w:rsid w:val="00F82BFE"/>
    <w:rsid w:val="00F830DF"/>
    <w:rsid w:val="00F8346B"/>
    <w:rsid w:val="00F83662"/>
    <w:rsid w:val="00F8391D"/>
    <w:rsid w:val="00F83CFF"/>
    <w:rsid w:val="00F83E1B"/>
    <w:rsid w:val="00F84063"/>
    <w:rsid w:val="00F848C9"/>
    <w:rsid w:val="00F84922"/>
    <w:rsid w:val="00F84D39"/>
    <w:rsid w:val="00F84E08"/>
    <w:rsid w:val="00F84ED9"/>
    <w:rsid w:val="00F84F33"/>
    <w:rsid w:val="00F85491"/>
    <w:rsid w:val="00F85595"/>
    <w:rsid w:val="00F85887"/>
    <w:rsid w:val="00F859E6"/>
    <w:rsid w:val="00F85B54"/>
    <w:rsid w:val="00F85FC7"/>
    <w:rsid w:val="00F865FB"/>
    <w:rsid w:val="00F86618"/>
    <w:rsid w:val="00F86830"/>
    <w:rsid w:val="00F86A47"/>
    <w:rsid w:val="00F86B4C"/>
    <w:rsid w:val="00F86CDA"/>
    <w:rsid w:val="00F87028"/>
    <w:rsid w:val="00F872B9"/>
    <w:rsid w:val="00F876C8"/>
    <w:rsid w:val="00F87862"/>
    <w:rsid w:val="00F87B24"/>
    <w:rsid w:val="00F87E3E"/>
    <w:rsid w:val="00F9011A"/>
    <w:rsid w:val="00F9021B"/>
    <w:rsid w:val="00F90719"/>
    <w:rsid w:val="00F90980"/>
    <w:rsid w:val="00F90A93"/>
    <w:rsid w:val="00F90AB6"/>
    <w:rsid w:val="00F90CE3"/>
    <w:rsid w:val="00F90CF5"/>
    <w:rsid w:val="00F9102C"/>
    <w:rsid w:val="00F913B7"/>
    <w:rsid w:val="00F913C4"/>
    <w:rsid w:val="00F918C1"/>
    <w:rsid w:val="00F91E08"/>
    <w:rsid w:val="00F92155"/>
    <w:rsid w:val="00F922E8"/>
    <w:rsid w:val="00F92302"/>
    <w:rsid w:val="00F92AF6"/>
    <w:rsid w:val="00F92D9B"/>
    <w:rsid w:val="00F933DF"/>
    <w:rsid w:val="00F93824"/>
    <w:rsid w:val="00F93A37"/>
    <w:rsid w:val="00F940DA"/>
    <w:rsid w:val="00F94180"/>
    <w:rsid w:val="00F94B04"/>
    <w:rsid w:val="00F94E31"/>
    <w:rsid w:val="00F95355"/>
    <w:rsid w:val="00F954BF"/>
    <w:rsid w:val="00F95650"/>
    <w:rsid w:val="00F9566D"/>
    <w:rsid w:val="00F958AB"/>
    <w:rsid w:val="00F95AA5"/>
    <w:rsid w:val="00F95BBE"/>
    <w:rsid w:val="00F9600F"/>
    <w:rsid w:val="00F964AD"/>
    <w:rsid w:val="00F964BC"/>
    <w:rsid w:val="00F967DE"/>
    <w:rsid w:val="00F96837"/>
    <w:rsid w:val="00F96928"/>
    <w:rsid w:val="00F96A25"/>
    <w:rsid w:val="00F96CEB"/>
    <w:rsid w:val="00F9705F"/>
    <w:rsid w:val="00F972B0"/>
    <w:rsid w:val="00F97444"/>
    <w:rsid w:val="00F97CAA"/>
    <w:rsid w:val="00FA01C6"/>
    <w:rsid w:val="00FA023D"/>
    <w:rsid w:val="00FA04EB"/>
    <w:rsid w:val="00FA04F7"/>
    <w:rsid w:val="00FA05CF"/>
    <w:rsid w:val="00FA08ED"/>
    <w:rsid w:val="00FA0A55"/>
    <w:rsid w:val="00FA0CEE"/>
    <w:rsid w:val="00FA0D39"/>
    <w:rsid w:val="00FA128B"/>
    <w:rsid w:val="00FA1842"/>
    <w:rsid w:val="00FA184B"/>
    <w:rsid w:val="00FA1867"/>
    <w:rsid w:val="00FA1A08"/>
    <w:rsid w:val="00FA1AA4"/>
    <w:rsid w:val="00FA1CB8"/>
    <w:rsid w:val="00FA1F84"/>
    <w:rsid w:val="00FA27A0"/>
    <w:rsid w:val="00FA305D"/>
    <w:rsid w:val="00FA3096"/>
    <w:rsid w:val="00FA3113"/>
    <w:rsid w:val="00FA33AF"/>
    <w:rsid w:val="00FA3488"/>
    <w:rsid w:val="00FA3733"/>
    <w:rsid w:val="00FA38E8"/>
    <w:rsid w:val="00FA3918"/>
    <w:rsid w:val="00FA3C95"/>
    <w:rsid w:val="00FA43F2"/>
    <w:rsid w:val="00FA4843"/>
    <w:rsid w:val="00FA4926"/>
    <w:rsid w:val="00FA4A05"/>
    <w:rsid w:val="00FA4BBA"/>
    <w:rsid w:val="00FA4E54"/>
    <w:rsid w:val="00FA51F1"/>
    <w:rsid w:val="00FA578B"/>
    <w:rsid w:val="00FA58C2"/>
    <w:rsid w:val="00FA59AC"/>
    <w:rsid w:val="00FA5BA7"/>
    <w:rsid w:val="00FA5C8F"/>
    <w:rsid w:val="00FA5DF0"/>
    <w:rsid w:val="00FA5FF5"/>
    <w:rsid w:val="00FA602E"/>
    <w:rsid w:val="00FA6623"/>
    <w:rsid w:val="00FA67B2"/>
    <w:rsid w:val="00FA6AA1"/>
    <w:rsid w:val="00FA6E23"/>
    <w:rsid w:val="00FA6E78"/>
    <w:rsid w:val="00FA74C7"/>
    <w:rsid w:val="00FA7692"/>
    <w:rsid w:val="00FA770A"/>
    <w:rsid w:val="00FA790A"/>
    <w:rsid w:val="00FA7D0F"/>
    <w:rsid w:val="00FA7D24"/>
    <w:rsid w:val="00FA7D9B"/>
    <w:rsid w:val="00FB02B9"/>
    <w:rsid w:val="00FB0332"/>
    <w:rsid w:val="00FB0592"/>
    <w:rsid w:val="00FB090F"/>
    <w:rsid w:val="00FB0B2E"/>
    <w:rsid w:val="00FB0DA2"/>
    <w:rsid w:val="00FB12C4"/>
    <w:rsid w:val="00FB1605"/>
    <w:rsid w:val="00FB1A2E"/>
    <w:rsid w:val="00FB1A60"/>
    <w:rsid w:val="00FB1C65"/>
    <w:rsid w:val="00FB26F2"/>
    <w:rsid w:val="00FB295A"/>
    <w:rsid w:val="00FB2A32"/>
    <w:rsid w:val="00FB2C75"/>
    <w:rsid w:val="00FB2D58"/>
    <w:rsid w:val="00FB306C"/>
    <w:rsid w:val="00FB3443"/>
    <w:rsid w:val="00FB35B7"/>
    <w:rsid w:val="00FB369F"/>
    <w:rsid w:val="00FB36D6"/>
    <w:rsid w:val="00FB3882"/>
    <w:rsid w:val="00FB38D7"/>
    <w:rsid w:val="00FB390F"/>
    <w:rsid w:val="00FB3A8B"/>
    <w:rsid w:val="00FB40D4"/>
    <w:rsid w:val="00FB471F"/>
    <w:rsid w:val="00FB48C3"/>
    <w:rsid w:val="00FB4ADA"/>
    <w:rsid w:val="00FB4B5E"/>
    <w:rsid w:val="00FB4BC0"/>
    <w:rsid w:val="00FB5115"/>
    <w:rsid w:val="00FB53D8"/>
    <w:rsid w:val="00FB5489"/>
    <w:rsid w:val="00FB553F"/>
    <w:rsid w:val="00FB555F"/>
    <w:rsid w:val="00FB5D97"/>
    <w:rsid w:val="00FB5FE5"/>
    <w:rsid w:val="00FB64AE"/>
    <w:rsid w:val="00FB6AD6"/>
    <w:rsid w:val="00FB6D7B"/>
    <w:rsid w:val="00FB6DBB"/>
    <w:rsid w:val="00FB6E4F"/>
    <w:rsid w:val="00FB6EAA"/>
    <w:rsid w:val="00FB7AD5"/>
    <w:rsid w:val="00FB7C28"/>
    <w:rsid w:val="00FB7CC4"/>
    <w:rsid w:val="00FB7CD6"/>
    <w:rsid w:val="00FB7D7E"/>
    <w:rsid w:val="00FB7E18"/>
    <w:rsid w:val="00FB7F0D"/>
    <w:rsid w:val="00FC00D7"/>
    <w:rsid w:val="00FC0380"/>
    <w:rsid w:val="00FC040D"/>
    <w:rsid w:val="00FC0547"/>
    <w:rsid w:val="00FC0815"/>
    <w:rsid w:val="00FC0B6A"/>
    <w:rsid w:val="00FC0D89"/>
    <w:rsid w:val="00FC0FA5"/>
    <w:rsid w:val="00FC10EA"/>
    <w:rsid w:val="00FC1351"/>
    <w:rsid w:val="00FC25D4"/>
    <w:rsid w:val="00FC2C2E"/>
    <w:rsid w:val="00FC37F1"/>
    <w:rsid w:val="00FC3991"/>
    <w:rsid w:val="00FC3ACD"/>
    <w:rsid w:val="00FC3CFA"/>
    <w:rsid w:val="00FC3DB4"/>
    <w:rsid w:val="00FC415F"/>
    <w:rsid w:val="00FC417E"/>
    <w:rsid w:val="00FC4193"/>
    <w:rsid w:val="00FC43B2"/>
    <w:rsid w:val="00FC446B"/>
    <w:rsid w:val="00FC44D5"/>
    <w:rsid w:val="00FC44E4"/>
    <w:rsid w:val="00FC452D"/>
    <w:rsid w:val="00FC4969"/>
    <w:rsid w:val="00FC4E10"/>
    <w:rsid w:val="00FC6212"/>
    <w:rsid w:val="00FC6324"/>
    <w:rsid w:val="00FC640F"/>
    <w:rsid w:val="00FC66BB"/>
    <w:rsid w:val="00FC6902"/>
    <w:rsid w:val="00FC6ADD"/>
    <w:rsid w:val="00FC6BB3"/>
    <w:rsid w:val="00FC6D5D"/>
    <w:rsid w:val="00FC6D93"/>
    <w:rsid w:val="00FC746F"/>
    <w:rsid w:val="00FC794A"/>
    <w:rsid w:val="00FC7950"/>
    <w:rsid w:val="00FC7D1D"/>
    <w:rsid w:val="00FD034C"/>
    <w:rsid w:val="00FD0412"/>
    <w:rsid w:val="00FD06DA"/>
    <w:rsid w:val="00FD0B09"/>
    <w:rsid w:val="00FD0F2A"/>
    <w:rsid w:val="00FD2068"/>
    <w:rsid w:val="00FD21E4"/>
    <w:rsid w:val="00FD227D"/>
    <w:rsid w:val="00FD24C7"/>
    <w:rsid w:val="00FD26C8"/>
    <w:rsid w:val="00FD2741"/>
    <w:rsid w:val="00FD287C"/>
    <w:rsid w:val="00FD28D7"/>
    <w:rsid w:val="00FD2C0E"/>
    <w:rsid w:val="00FD2CE9"/>
    <w:rsid w:val="00FD2EAD"/>
    <w:rsid w:val="00FD3060"/>
    <w:rsid w:val="00FD3253"/>
    <w:rsid w:val="00FD344E"/>
    <w:rsid w:val="00FD3523"/>
    <w:rsid w:val="00FD3566"/>
    <w:rsid w:val="00FD3588"/>
    <w:rsid w:val="00FD36E8"/>
    <w:rsid w:val="00FD4248"/>
    <w:rsid w:val="00FD4393"/>
    <w:rsid w:val="00FD43E1"/>
    <w:rsid w:val="00FD4419"/>
    <w:rsid w:val="00FD45AA"/>
    <w:rsid w:val="00FD45BC"/>
    <w:rsid w:val="00FD4701"/>
    <w:rsid w:val="00FD4A66"/>
    <w:rsid w:val="00FD4D70"/>
    <w:rsid w:val="00FD4EB6"/>
    <w:rsid w:val="00FD4FDE"/>
    <w:rsid w:val="00FD52CF"/>
    <w:rsid w:val="00FD53DF"/>
    <w:rsid w:val="00FD5402"/>
    <w:rsid w:val="00FD5426"/>
    <w:rsid w:val="00FD552C"/>
    <w:rsid w:val="00FD585D"/>
    <w:rsid w:val="00FD5A86"/>
    <w:rsid w:val="00FD5D7F"/>
    <w:rsid w:val="00FD6292"/>
    <w:rsid w:val="00FD63E8"/>
    <w:rsid w:val="00FD67BC"/>
    <w:rsid w:val="00FD69C0"/>
    <w:rsid w:val="00FD6C2A"/>
    <w:rsid w:val="00FD6F59"/>
    <w:rsid w:val="00FD7174"/>
    <w:rsid w:val="00FD756D"/>
    <w:rsid w:val="00FD759B"/>
    <w:rsid w:val="00FD7B23"/>
    <w:rsid w:val="00FD7BBB"/>
    <w:rsid w:val="00FD7C13"/>
    <w:rsid w:val="00FD7D2F"/>
    <w:rsid w:val="00FE0281"/>
    <w:rsid w:val="00FE0443"/>
    <w:rsid w:val="00FE0983"/>
    <w:rsid w:val="00FE0AB0"/>
    <w:rsid w:val="00FE0F72"/>
    <w:rsid w:val="00FE1039"/>
    <w:rsid w:val="00FE168D"/>
    <w:rsid w:val="00FE17D0"/>
    <w:rsid w:val="00FE1B17"/>
    <w:rsid w:val="00FE218E"/>
    <w:rsid w:val="00FE21DF"/>
    <w:rsid w:val="00FE23C7"/>
    <w:rsid w:val="00FE2566"/>
    <w:rsid w:val="00FE28AD"/>
    <w:rsid w:val="00FE28D2"/>
    <w:rsid w:val="00FE28F4"/>
    <w:rsid w:val="00FE2A8A"/>
    <w:rsid w:val="00FE2E29"/>
    <w:rsid w:val="00FE2ED5"/>
    <w:rsid w:val="00FE3002"/>
    <w:rsid w:val="00FE31C5"/>
    <w:rsid w:val="00FE3674"/>
    <w:rsid w:val="00FE387C"/>
    <w:rsid w:val="00FE3C2B"/>
    <w:rsid w:val="00FE3D31"/>
    <w:rsid w:val="00FE3DF1"/>
    <w:rsid w:val="00FE41A8"/>
    <w:rsid w:val="00FE4214"/>
    <w:rsid w:val="00FE4825"/>
    <w:rsid w:val="00FE4CFE"/>
    <w:rsid w:val="00FE4FEE"/>
    <w:rsid w:val="00FE5196"/>
    <w:rsid w:val="00FE577D"/>
    <w:rsid w:val="00FE5A45"/>
    <w:rsid w:val="00FE5E51"/>
    <w:rsid w:val="00FE6050"/>
    <w:rsid w:val="00FE6958"/>
    <w:rsid w:val="00FE6AFD"/>
    <w:rsid w:val="00FE70B5"/>
    <w:rsid w:val="00FE7131"/>
    <w:rsid w:val="00FE7564"/>
    <w:rsid w:val="00FE79D0"/>
    <w:rsid w:val="00FE7AD3"/>
    <w:rsid w:val="00FE7DE1"/>
    <w:rsid w:val="00FF0063"/>
    <w:rsid w:val="00FF0456"/>
    <w:rsid w:val="00FF0755"/>
    <w:rsid w:val="00FF0874"/>
    <w:rsid w:val="00FF08CC"/>
    <w:rsid w:val="00FF09D2"/>
    <w:rsid w:val="00FF0BC4"/>
    <w:rsid w:val="00FF0D0E"/>
    <w:rsid w:val="00FF0DBC"/>
    <w:rsid w:val="00FF167D"/>
    <w:rsid w:val="00FF18AF"/>
    <w:rsid w:val="00FF1966"/>
    <w:rsid w:val="00FF1DD7"/>
    <w:rsid w:val="00FF1F61"/>
    <w:rsid w:val="00FF24A7"/>
    <w:rsid w:val="00FF281A"/>
    <w:rsid w:val="00FF2CA1"/>
    <w:rsid w:val="00FF2F0E"/>
    <w:rsid w:val="00FF3186"/>
    <w:rsid w:val="00FF3359"/>
    <w:rsid w:val="00FF336A"/>
    <w:rsid w:val="00FF350F"/>
    <w:rsid w:val="00FF3AC3"/>
    <w:rsid w:val="00FF3DB9"/>
    <w:rsid w:val="00FF3F34"/>
    <w:rsid w:val="00FF3F9C"/>
    <w:rsid w:val="00FF40AC"/>
    <w:rsid w:val="00FF44AC"/>
    <w:rsid w:val="00FF493D"/>
    <w:rsid w:val="00FF4A38"/>
    <w:rsid w:val="00FF54C4"/>
    <w:rsid w:val="00FF5843"/>
    <w:rsid w:val="00FF5977"/>
    <w:rsid w:val="00FF59C5"/>
    <w:rsid w:val="00FF5C62"/>
    <w:rsid w:val="00FF5EA0"/>
    <w:rsid w:val="00FF5F58"/>
    <w:rsid w:val="00FF6256"/>
    <w:rsid w:val="00FF626A"/>
    <w:rsid w:val="00FF6447"/>
    <w:rsid w:val="00FF6481"/>
    <w:rsid w:val="00FF658A"/>
    <w:rsid w:val="00FF6A44"/>
    <w:rsid w:val="00FF6B7C"/>
    <w:rsid w:val="00FF6D33"/>
    <w:rsid w:val="00FF6DF5"/>
    <w:rsid w:val="00FF6E3B"/>
    <w:rsid w:val="00FF72A7"/>
    <w:rsid w:val="00FF780A"/>
    <w:rsid w:val="00FF79FD"/>
    <w:rsid w:val="00FF7B86"/>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2E7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24"/>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535A24"/>
    <w:pPr>
      <w:keepNext/>
      <w:spacing w:before="140" w:line="240" w:lineRule="atLeast"/>
      <w:jc w:val="center"/>
      <w:outlineLvl w:val="0"/>
    </w:pPr>
    <w:rPr>
      <w:b/>
      <w:smallCaps/>
    </w:rPr>
  </w:style>
  <w:style w:type="paragraph" w:styleId="Heading2">
    <w:name w:val="heading 2"/>
    <w:basedOn w:val="Normal"/>
    <w:next w:val="Normal"/>
    <w:link w:val="Heading2Char"/>
    <w:qFormat/>
    <w:rsid w:val="00535A24"/>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535A24"/>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535A24"/>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535A24"/>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359B"/>
    <w:rPr>
      <w:sz w:val="16"/>
      <w:szCs w:val="16"/>
    </w:rPr>
  </w:style>
  <w:style w:type="paragraph" w:styleId="CommentText">
    <w:name w:val="annotation text"/>
    <w:basedOn w:val="Normal"/>
    <w:link w:val="CommentTextChar"/>
    <w:uiPriority w:val="99"/>
    <w:unhideWhenUsed/>
    <w:rsid w:val="00B5359B"/>
    <w:rPr>
      <w:sz w:val="20"/>
    </w:rPr>
  </w:style>
  <w:style w:type="character" w:customStyle="1" w:styleId="CommentTextChar">
    <w:name w:val="Comment Text Char"/>
    <w:basedOn w:val="DefaultParagraphFont"/>
    <w:link w:val="CommentText"/>
    <w:uiPriority w:val="99"/>
    <w:rsid w:val="00B5359B"/>
    <w:rPr>
      <w:sz w:val="20"/>
      <w:szCs w:val="20"/>
    </w:rPr>
  </w:style>
  <w:style w:type="paragraph" w:styleId="ListParagraph">
    <w:name w:val="List Paragraph"/>
    <w:basedOn w:val="Normal"/>
    <w:uiPriority w:val="34"/>
    <w:qFormat/>
    <w:rsid w:val="003C51C0"/>
    <w:pPr>
      <w:ind w:left="720"/>
      <w:contextualSpacing/>
    </w:pPr>
  </w:style>
  <w:style w:type="paragraph" w:styleId="FootnoteText">
    <w:name w:val="footnote text"/>
    <w:basedOn w:val="Normal"/>
    <w:link w:val="FootnoteTextChar"/>
    <w:rsid w:val="00535A24"/>
    <w:pPr>
      <w:spacing w:line="300" w:lineRule="exact"/>
    </w:pPr>
  </w:style>
  <w:style w:type="character" w:customStyle="1" w:styleId="FootnoteTextChar">
    <w:name w:val="Footnote Text Char"/>
    <w:basedOn w:val="DefaultParagraphFont"/>
    <w:link w:val="FootnoteText"/>
    <w:rsid w:val="0084544E"/>
    <w:rPr>
      <w:rFonts w:ascii="Century Schoolbook" w:eastAsia="Times New Roman" w:hAnsi="Century Schoolbook" w:cs="Times New Roman"/>
      <w:sz w:val="27"/>
      <w:szCs w:val="20"/>
    </w:rPr>
  </w:style>
  <w:style w:type="character" w:styleId="FootnoteReference">
    <w:name w:val="footnote reference"/>
    <w:basedOn w:val="DefaultParagraphFont"/>
    <w:rsid w:val="00535A24"/>
    <w:rPr>
      <w:rFonts w:ascii="Century Schoolbook" w:hAnsi="Century Schoolbook"/>
      <w:b/>
      <w:i w:val="0"/>
      <w:position w:val="4"/>
      <w:sz w:val="27"/>
      <w:vertAlign w:val="superscript"/>
    </w:rPr>
  </w:style>
  <w:style w:type="paragraph" w:styleId="Header">
    <w:name w:val="header"/>
    <w:basedOn w:val="Normal"/>
    <w:link w:val="HeaderChar"/>
    <w:qFormat/>
    <w:rsid w:val="00535A24"/>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DB33F4"/>
    <w:rPr>
      <w:rFonts w:ascii="Century Schoolbook" w:eastAsia="Times New Roman" w:hAnsi="Century Schoolbook" w:cs="Times New Roman"/>
      <w:szCs w:val="20"/>
    </w:rPr>
  </w:style>
  <w:style w:type="paragraph" w:styleId="Footer">
    <w:name w:val="footer"/>
    <w:basedOn w:val="Normal"/>
    <w:link w:val="FooterChar"/>
    <w:qFormat/>
    <w:rsid w:val="00535A24"/>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DB33F4"/>
    <w:rPr>
      <w:rFonts w:ascii="Century Schoolbook" w:eastAsia="Times New Roman" w:hAnsi="Century Schoolbook" w:cs="Times New Roman"/>
      <w:szCs w:val="20"/>
    </w:rPr>
  </w:style>
  <w:style w:type="paragraph" w:styleId="CommentSubject">
    <w:name w:val="annotation subject"/>
    <w:basedOn w:val="CommentText"/>
    <w:next w:val="CommentText"/>
    <w:link w:val="CommentSubjectChar"/>
    <w:uiPriority w:val="99"/>
    <w:semiHidden/>
    <w:unhideWhenUsed/>
    <w:rsid w:val="00101A5D"/>
    <w:rPr>
      <w:b/>
      <w:bCs/>
    </w:rPr>
  </w:style>
  <w:style w:type="character" w:customStyle="1" w:styleId="CommentSubjectChar">
    <w:name w:val="Comment Subject Char"/>
    <w:basedOn w:val="CommentTextChar"/>
    <w:link w:val="CommentSubject"/>
    <w:uiPriority w:val="99"/>
    <w:semiHidden/>
    <w:rsid w:val="00101A5D"/>
    <w:rPr>
      <w:b/>
      <w:bCs/>
      <w:sz w:val="20"/>
      <w:szCs w:val="20"/>
    </w:rPr>
  </w:style>
  <w:style w:type="paragraph" w:styleId="Revision">
    <w:name w:val="Revision"/>
    <w:hidden/>
    <w:uiPriority w:val="99"/>
    <w:semiHidden/>
    <w:rsid w:val="0045318A"/>
    <w:pPr>
      <w:spacing w:after="0" w:line="240" w:lineRule="auto"/>
    </w:pPr>
    <w:rPr>
      <w:sz w:val="24"/>
      <w:szCs w:val="24"/>
    </w:rPr>
  </w:style>
  <w:style w:type="character" w:customStyle="1" w:styleId="cf01">
    <w:name w:val="cf01"/>
    <w:basedOn w:val="DefaultParagraphFont"/>
    <w:rsid w:val="005878D0"/>
    <w:rPr>
      <w:rFonts w:ascii="Segoe UI" w:hAnsi="Segoe UI" w:cs="Segoe UI" w:hint="default"/>
      <w:sz w:val="18"/>
      <w:szCs w:val="18"/>
    </w:rPr>
  </w:style>
  <w:style w:type="character" w:styleId="Hyperlink">
    <w:name w:val="Hyperlink"/>
    <w:basedOn w:val="DefaultParagraphFont"/>
    <w:uiPriority w:val="99"/>
    <w:unhideWhenUsed/>
    <w:rsid w:val="006043E1"/>
    <w:rPr>
      <w:color w:val="0563C1" w:themeColor="hyperlink"/>
      <w:u w:val="single"/>
    </w:rPr>
  </w:style>
  <w:style w:type="character" w:customStyle="1" w:styleId="UnresolvedMention1">
    <w:name w:val="Unresolved Mention1"/>
    <w:basedOn w:val="DefaultParagraphFont"/>
    <w:uiPriority w:val="99"/>
    <w:semiHidden/>
    <w:unhideWhenUsed/>
    <w:rsid w:val="006043E1"/>
    <w:rPr>
      <w:color w:val="605E5C"/>
      <w:shd w:val="clear" w:color="auto" w:fill="E1DFDD"/>
    </w:rPr>
  </w:style>
  <w:style w:type="character" w:styleId="FollowedHyperlink">
    <w:name w:val="FollowedHyperlink"/>
    <w:basedOn w:val="DefaultParagraphFont"/>
    <w:uiPriority w:val="99"/>
    <w:semiHidden/>
    <w:unhideWhenUsed/>
    <w:rsid w:val="00776052"/>
    <w:rPr>
      <w:color w:val="954F72" w:themeColor="followedHyperlink"/>
      <w:u w:val="single"/>
    </w:rPr>
  </w:style>
  <w:style w:type="paragraph" w:customStyle="1" w:styleId="pf0">
    <w:name w:val="pf0"/>
    <w:basedOn w:val="Normal"/>
    <w:rsid w:val="003A50B2"/>
    <w:pPr>
      <w:spacing w:before="100" w:beforeAutospacing="1" w:afterAutospacing="1"/>
    </w:pPr>
    <w:rPr>
      <w:rFonts w:ascii="Times New Roman" w:hAnsi="Times New Roman"/>
    </w:rPr>
  </w:style>
  <w:style w:type="character" w:customStyle="1" w:styleId="cf21">
    <w:name w:val="cf21"/>
    <w:basedOn w:val="DefaultParagraphFont"/>
    <w:rsid w:val="003A50B2"/>
    <w:rPr>
      <w:rFonts w:ascii="Segoe UI" w:hAnsi="Segoe UI" w:cs="Segoe UI" w:hint="default"/>
      <w:sz w:val="18"/>
      <w:szCs w:val="18"/>
      <w:shd w:val="clear" w:color="auto" w:fill="FFFFFF"/>
    </w:rPr>
  </w:style>
  <w:style w:type="character" w:customStyle="1" w:styleId="cf11">
    <w:name w:val="cf11"/>
    <w:basedOn w:val="DefaultParagraphFont"/>
    <w:rsid w:val="00783BC6"/>
    <w:rPr>
      <w:rFonts w:ascii="Segoe UI" w:hAnsi="Segoe UI" w:cs="Segoe UI" w:hint="default"/>
      <w:i/>
      <w:iCs/>
      <w:sz w:val="18"/>
      <w:szCs w:val="18"/>
    </w:rPr>
  </w:style>
  <w:style w:type="character" w:styleId="Emphasis">
    <w:name w:val="Emphasis"/>
    <w:basedOn w:val="DefaultParagraphFont"/>
    <w:uiPriority w:val="20"/>
    <w:qFormat/>
    <w:rsid w:val="00937FDD"/>
    <w:rPr>
      <w:i/>
      <w:iCs/>
    </w:rPr>
  </w:style>
  <w:style w:type="paragraph" w:styleId="PlainText">
    <w:name w:val="Plain Text"/>
    <w:basedOn w:val="Normal"/>
    <w:link w:val="PlainTextChar"/>
    <w:uiPriority w:val="99"/>
    <w:unhideWhenUsed/>
    <w:rsid w:val="00E01A91"/>
    <w:rPr>
      <w:rFonts w:ascii="Calibri" w:hAnsi="Calibri"/>
      <w:sz w:val="22"/>
      <w:szCs w:val="21"/>
    </w:rPr>
  </w:style>
  <w:style w:type="character" w:customStyle="1" w:styleId="PlainTextChar">
    <w:name w:val="Plain Text Char"/>
    <w:basedOn w:val="DefaultParagraphFont"/>
    <w:link w:val="PlainText"/>
    <w:uiPriority w:val="99"/>
    <w:rsid w:val="00E01A91"/>
    <w:rPr>
      <w:rFonts w:ascii="Calibri" w:hAnsi="Calibri"/>
      <w:szCs w:val="21"/>
    </w:rPr>
  </w:style>
  <w:style w:type="character" w:customStyle="1" w:styleId="Heading1Char">
    <w:name w:val="Heading 1 Char"/>
    <w:basedOn w:val="DefaultParagraphFont"/>
    <w:link w:val="Heading1"/>
    <w:rsid w:val="006F36C5"/>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6F36C5"/>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6F36C5"/>
    <w:rPr>
      <w:rFonts w:ascii="Century Schoolbook" w:eastAsia="Times New Roman" w:hAnsi="Century Schoolbook" w:cs="Times New Roman"/>
      <w:i/>
      <w:sz w:val="27"/>
      <w:szCs w:val="20"/>
    </w:rPr>
  </w:style>
  <w:style w:type="character" w:customStyle="1" w:styleId="cosearchterm">
    <w:name w:val="co_searchterm"/>
    <w:basedOn w:val="DefaultParagraphFont"/>
    <w:rsid w:val="00FE5196"/>
  </w:style>
  <w:style w:type="character" w:customStyle="1" w:styleId="cosearchwithinterm">
    <w:name w:val="co_searchwithinterm"/>
    <w:basedOn w:val="DefaultParagraphFont"/>
    <w:rsid w:val="0090405A"/>
  </w:style>
  <w:style w:type="character" w:customStyle="1" w:styleId="coconcept1219">
    <w:name w:val="co_concept_12_19"/>
    <w:basedOn w:val="DefaultParagraphFont"/>
    <w:rsid w:val="001E4E18"/>
  </w:style>
  <w:style w:type="character" w:customStyle="1" w:styleId="Heading4Char">
    <w:name w:val="Heading 4 Char"/>
    <w:basedOn w:val="DefaultParagraphFont"/>
    <w:link w:val="Heading4"/>
    <w:rsid w:val="00535A24"/>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535A24"/>
    <w:rPr>
      <w:rFonts w:ascii="Century Schoolbook" w:eastAsia="Times New Roman" w:hAnsi="Century Schoolbook" w:cs="Times New Roman"/>
      <w:i/>
      <w:sz w:val="27"/>
      <w:szCs w:val="20"/>
    </w:rPr>
  </w:style>
  <w:style w:type="paragraph" w:styleId="Date">
    <w:name w:val="Date"/>
    <w:basedOn w:val="Normal"/>
    <w:link w:val="DateChar"/>
    <w:semiHidden/>
    <w:rsid w:val="00535A24"/>
    <w:pPr>
      <w:jc w:val="right"/>
    </w:pPr>
  </w:style>
  <w:style w:type="character" w:customStyle="1" w:styleId="DateChar">
    <w:name w:val="Date Char"/>
    <w:basedOn w:val="DefaultParagraphFont"/>
    <w:link w:val="Date"/>
    <w:semiHidden/>
    <w:rsid w:val="00535A24"/>
    <w:rPr>
      <w:rFonts w:ascii="Century Schoolbook" w:eastAsia="Times New Roman" w:hAnsi="Century Schoolbook" w:cs="Times New Roman"/>
      <w:sz w:val="27"/>
      <w:szCs w:val="20"/>
    </w:rPr>
  </w:style>
  <w:style w:type="paragraph" w:styleId="NormalIndent">
    <w:name w:val="Normal Indent"/>
    <w:basedOn w:val="Normal"/>
    <w:semiHidden/>
    <w:rsid w:val="00535A24"/>
    <w:pPr>
      <w:ind w:left="720"/>
    </w:pPr>
  </w:style>
  <w:style w:type="character" w:styleId="PageNumber">
    <w:name w:val="page number"/>
    <w:basedOn w:val="DefaultParagraphFont"/>
    <w:semiHidden/>
    <w:rsid w:val="00535A24"/>
  </w:style>
  <w:style w:type="paragraph" w:customStyle="1" w:styleId="Recommend">
    <w:name w:val="Recommend"/>
    <w:basedOn w:val="Normal"/>
    <w:rsid w:val="00535A24"/>
  </w:style>
  <w:style w:type="paragraph" w:customStyle="1" w:styleId="subject">
    <w:name w:val="subject"/>
    <w:basedOn w:val="Normal"/>
    <w:rsid w:val="00535A24"/>
    <w:pPr>
      <w:tabs>
        <w:tab w:val="left" w:pos="1008"/>
      </w:tabs>
      <w:ind w:left="990" w:hanging="990"/>
    </w:pPr>
    <w:rPr>
      <w:b/>
    </w:rPr>
  </w:style>
  <w:style w:type="paragraph" w:customStyle="1" w:styleId="Summary">
    <w:name w:val="Summary"/>
    <w:basedOn w:val="Normal"/>
    <w:rsid w:val="00535A24"/>
    <w:pPr>
      <w:ind w:left="2160" w:hanging="2160"/>
    </w:pPr>
  </w:style>
  <w:style w:type="paragraph" w:customStyle="1" w:styleId="Text">
    <w:name w:val="Text"/>
    <w:basedOn w:val="Normal"/>
    <w:rsid w:val="00535A24"/>
    <w:pPr>
      <w:tabs>
        <w:tab w:val="left" w:pos="720"/>
        <w:tab w:val="left" w:pos="1440"/>
        <w:tab w:val="left" w:pos="2160"/>
        <w:tab w:val="center" w:pos="4320"/>
      </w:tabs>
      <w:spacing w:line="480" w:lineRule="atLeast"/>
      <w:ind w:firstLine="540"/>
    </w:pPr>
  </w:style>
  <w:style w:type="paragraph" w:customStyle="1" w:styleId="Title1">
    <w:name w:val="Title1"/>
    <w:basedOn w:val="Normal"/>
    <w:rsid w:val="00535A24"/>
    <w:pPr>
      <w:tabs>
        <w:tab w:val="left" w:pos="5760"/>
        <w:tab w:val="left" w:pos="6480"/>
      </w:tabs>
      <w:spacing w:line="240" w:lineRule="atLeast"/>
    </w:pPr>
  </w:style>
  <w:style w:type="paragraph" w:customStyle="1" w:styleId="Titles">
    <w:name w:val="Titles"/>
    <w:basedOn w:val="Normal"/>
    <w:rsid w:val="00535A24"/>
    <w:pPr>
      <w:tabs>
        <w:tab w:val="left" w:pos="2160"/>
      </w:tabs>
      <w:ind w:left="2160" w:hanging="2160"/>
    </w:pPr>
    <w:rPr>
      <w:b/>
    </w:rPr>
  </w:style>
  <w:style w:type="paragraph" w:styleId="TOAHeading">
    <w:name w:val="toa heading"/>
    <w:basedOn w:val="Normal"/>
    <w:next w:val="Normal"/>
    <w:semiHidden/>
    <w:rsid w:val="00535A24"/>
    <w:pPr>
      <w:spacing w:before="120"/>
    </w:pPr>
    <w:rPr>
      <w:b/>
    </w:rPr>
  </w:style>
  <w:style w:type="paragraph" w:styleId="TOC1">
    <w:name w:val="toc 1"/>
    <w:basedOn w:val="Normal"/>
    <w:next w:val="Normal"/>
    <w:autoRedefine/>
    <w:semiHidden/>
    <w:rsid w:val="00535A24"/>
  </w:style>
  <w:style w:type="paragraph" w:styleId="TOC2">
    <w:name w:val="toc 2"/>
    <w:basedOn w:val="Normal"/>
    <w:next w:val="Normal"/>
    <w:autoRedefine/>
    <w:semiHidden/>
    <w:rsid w:val="00535A24"/>
    <w:pPr>
      <w:ind w:left="259"/>
    </w:pPr>
  </w:style>
  <w:style w:type="paragraph" w:styleId="TOC3">
    <w:name w:val="toc 3"/>
    <w:basedOn w:val="Normal"/>
    <w:next w:val="Normal"/>
    <w:autoRedefine/>
    <w:semiHidden/>
    <w:rsid w:val="00535A24"/>
    <w:pPr>
      <w:ind w:left="520"/>
    </w:pPr>
  </w:style>
  <w:style w:type="paragraph" w:styleId="TOC4">
    <w:name w:val="toc 4"/>
    <w:basedOn w:val="Normal"/>
    <w:next w:val="Normal"/>
    <w:autoRedefine/>
    <w:semiHidden/>
    <w:rsid w:val="00535A24"/>
    <w:pPr>
      <w:ind w:left="780"/>
    </w:pPr>
  </w:style>
  <w:style w:type="paragraph" w:styleId="TOC5">
    <w:name w:val="toc 5"/>
    <w:basedOn w:val="Normal"/>
    <w:next w:val="Normal"/>
    <w:autoRedefine/>
    <w:semiHidden/>
    <w:rsid w:val="00535A24"/>
    <w:pPr>
      <w:ind w:left="1040"/>
    </w:pPr>
  </w:style>
  <w:style w:type="paragraph" w:styleId="TOC6">
    <w:name w:val="toc 6"/>
    <w:basedOn w:val="Normal"/>
    <w:next w:val="Normal"/>
    <w:autoRedefine/>
    <w:semiHidden/>
    <w:rsid w:val="00535A24"/>
    <w:pPr>
      <w:ind w:left="1300"/>
    </w:pPr>
  </w:style>
  <w:style w:type="paragraph" w:styleId="TOC7">
    <w:name w:val="toc 7"/>
    <w:basedOn w:val="Normal"/>
    <w:next w:val="Normal"/>
    <w:autoRedefine/>
    <w:semiHidden/>
    <w:rsid w:val="00535A24"/>
    <w:pPr>
      <w:ind w:left="1560"/>
    </w:pPr>
  </w:style>
  <w:style w:type="paragraph" w:styleId="TOC8">
    <w:name w:val="toc 8"/>
    <w:basedOn w:val="Normal"/>
    <w:next w:val="Normal"/>
    <w:autoRedefine/>
    <w:semiHidden/>
    <w:rsid w:val="00535A24"/>
    <w:pPr>
      <w:ind w:left="1820"/>
    </w:pPr>
  </w:style>
  <w:style w:type="paragraph" w:styleId="TOC9">
    <w:name w:val="toc 9"/>
    <w:basedOn w:val="Normal"/>
    <w:next w:val="Normal"/>
    <w:autoRedefine/>
    <w:semiHidden/>
    <w:rsid w:val="00535A24"/>
    <w:pPr>
      <w:ind w:left="2080"/>
    </w:pPr>
  </w:style>
  <w:style w:type="paragraph" w:customStyle="1" w:styleId="Contents">
    <w:name w:val="Contents"/>
    <w:basedOn w:val="Normal"/>
    <w:rsid w:val="00535A24"/>
    <w:pPr>
      <w:jc w:val="center"/>
    </w:pPr>
    <w:rPr>
      <w:b/>
      <w:spacing w:val="100"/>
    </w:rPr>
  </w:style>
  <w:style w:type="paragraph" w:styleId="BodyText">
    <w:name w:val="Body Text"/>
    <w:basedOn w:val="Normal"/>
    <w:link w:val="BodyTextChar"/>
    <w:qFormat/>
    <w:rsid w:val="00535A24"/>
  </w:style>
  <w:style w:type="character" w:customStyle="1" w:styleId="BodyTextChar">
    <w:name w:val="Body Text Char"/>
    <w:basedOn w:val="DefaultParagraphFont"/>
    <w:link w:val="BodyText"/>
    <w:rsid w:val="00535A24"/>
    <w:rPr>
      <w:rFonts w:ascii="Century Schoolbook" w:eastAsia="Times New Roman" w:hAnsi="Century Schoolbook" w:cs="Times New Roman"/>
      <w:sz w:val="27"/>
      <w:szCs w:val="20"/>
    </w:rPr>
  </w:style>
  <w:style w:type="character" w:customStyle="1" w:styleId="normaltextrun">
    <w:name w:val="normaltextrun"/>
    <w:basedOn w:val="DefaultParagraphFont"/>
    <w:rsid w:val="009A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D33E3-4C2E-724C-8989-7088E3103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10231</Words>
  <Characters>58319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2023-07-26T16:47:00Z</dcterms:created>
  <dcterms:modified xsi:type="dcterms:W3CDTF">2023-07-26T16:47:00Z</dcterms:modified>
</cp:coreProperties>
</file>