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B36D8" w:rsidP="007A0CC8" w14:paraId="75481BE0" w14:textId="77777777">
      <w:pPr>
        <w:tabs>
          <w:tab w:val="left" w:pos="1440"/>
          <w:tab w:val="left" w:pos="4680"/>
          <w:tab w:val="center" w:pos="7200"/>
        </w:tabs>
        <w:spacing w:after="0"/>
        <w:jc w:val="center"/>
        <w:rPr>
          <w:sz w:val="36"/>
        </w:rPr>
      </w:pPr>
      <w:r>
        <w:rPr>
          <w:b/>
          <w:sz w:val="36"/>
        </w:rPr>
        <w:t>IN THE SUPREME COURT OF CALIFORNIA</w:t>
      </w:r>
    </w:p>
    <w:p w:rsidR="007A0CC8" w:rsidP="007A0CC8" w14:paraId="75481BE1" w14:textId="77777777">
      <w:pPr>
        <w:tabs>
          <w:tab w:val="left" w:pos="1440"/>
          <w:tab w:val="left" w:pos="4680"/>
          <w:tab w:val="center" w:pos="7200"/>
        </w:tabs>
        <w:spacing w:after="0"/>
        <w:jc w:val="center"/>
      </w:pPr>
    </w:p>
    <w:p w:rsidR="007A0CC8" w:rsidP="007A0CC8" w14:paraId="75481BE2" w14:textId="77777777">
      <w:pPr>
        <w:tabs>
          <w:tab w:val="left" w:pos="1440"/>
          <w:tab w:val="left" w:pos="4680"/>
          <w:tab w:val="center" w:pos="7200"/>
        </w:tabs>
        <w:spacing w:after="0"/>
        <w:jc w:val="center"/>
      </w:pPr>
      <w:r>
        <w:t>FAMILY HEALTH CENTERS</w:t>
      </w:r>
      <w:r w:rsidR="00014B8B">
        <w:t xml:space="preserve"> OF SAN DIEGO</w:t>
      </w:r>
      <w:r w:rsidR="00021634">
        <w:t>,</w:t>
      </w:r>
    </w:p>
    <w:p w:rsidR="007A0CC8" w:rsidP="007A0CC8" w14:paraId="75481BE3" w14:textId="77777777">
      <w:pPr>
        <w:tabs>
          <w:tab w:val="left" w:pos="1440"/>
          <w:tab w:val="left" w:pos="4680"/>
          <w:tab w:val="center" w:pos="7200"/>
        </w:tabs>
        <w:spacing w:after="0"/>
        <w:jc w:val="center"/>
      </w:pPr>
      <w:r>
        <w:t>Plaintiff and Appellant</w:t>
      </w:r>
      <w:r w:rsidR="00021634">
        <w:t>,</w:t>
      </w:r>
    </w:p>
    <w:p w:rsidR="007A0CC8" w:rsidP="007A0CC8" w14:paraId="75481BE4" w14:textId="77777777">
      <w:pPr>
        <w:tabs>
          <w:tab w:val="left" w:pos="1440"/>
          <w:tab w:val="left" w:pos="4680"/>
          <w:tab w:val="center" w:pos="7200"/>
        </w:tabs>
        <w:spacing w:after="0"/>
        <w:jc w:val="center"/>
      </w:pPr>
      <w:r>
        <w:t>v.</w:t>
      </w:r>
    </w:p>
    <w:p w:rsidR="007A0CC8" w:rsidP="007A0CC8" w14:paraId="75481BE5" w14:textId="77777777">
      <w:pPr>
        <w:tabs>
          <w:tab w:val="left" w:pos="1440"/>
          <w:tab w:val="left" w:pos="4680"/>
          <w:tab w:val="center" w:pos="7200"/>
        </w:tabs>
        <w:spacing w:after="0"/>
        <w:jc w:val="center"/>
      </w:pPr>
      <w:r>
        <w:t>STATE DEPARTMENT OF HEALTH CARE SERVICES</w:t>
      </w:r>
      <w:r w:rsidR="00021634">
        <w:t>,</w:t>
      </w:r>
    </w:p>
    <w:p w:rsidR="007A0CC8" w:rsidP="0082772B" w14:paraId="75481BE6" w14:textId="77777777">
      <w:pPr>
        <w:tabs>
          <w:tab w:val="left" w:pos="4680"/>
          <w:tab w:val="center" w:pos="7200"/>
        </w:tabs>
        <w:spacing w:after="0"/>
        <w:jc w:val="center"/>
      </w:pPr>
      <w:r>
        <w:t>Defendant and Respondent.</w:t>
      </w:r>
    </w:p>
    <w:p w:rsidR="007A0CC8" w:rsidP="007A0CC8" w14:paraId="75481BE7" w14:textId="77777777">
      <w:pPr>
        <w:tabs>
          <w:tab w:val="left" w:pos="1440"/>
          <w:tab w:val="left" w:pos="4680"/>
          <w:tab w:val="center" w:pos="7200"/>
        </w:tabs>
        <w:spacing w:after="0"/>
        <w:jc w:val="center"/>
      </w:pPr>
    </w:p>
    <w:p w:rsidR="007A0CC8" w:rsidP="007A0CC8" w14:paraId="75481BE8" w14:textId="77777777">
      <w:pPr>
        <w:tabs>
          <w:tab w:val="left" w:pos="1440"/>
          <w:tab w:val="left" w:pos="4680"/>
          <w:tab w:val="center" w:pos="7200"/>
        </w:tabs>
        <w:spacing w:after="0"/>
        <w:jc w:val="center"/>
      </w:pPr>
      <w:r>
        <w:t>S270326</w:t>
      </w:r>
    </w:p>
    <w:p w:rsidR="007A0CC8" w:rsidP="007A0CC8" w14:paraId="75481BE9" w14:textId="77777777">
      <w:pPr>
        <w:tabs>
          <w:tab w:val="left" w:pos="1440"/>
          <w:tab w:val="left" w:pos="4680"/>
          <w:tab w:val="center" w:pos="7200"/>
        </w:tabs>
        <w:spacing w:after="0"/>
        <w:jc w:val="center"/>
      </w:pPr>
    </w:p>
    <w:p w:rsidR="00AE3242" w:rsidP="007A0CC8" w14:paraId="75481BEA" w14:textId="77777777">
      <w:pPr>
        <w:tabs>
          <w:tab w:val="left" w:pos="1440"/>
          <w:tab w:val="left" w:pos="4680"/>
          <w:tab w:val="center" w:pos="7200"/>
        </w:tabs>
        <w:spacing w:after="0"/>
        <w:jc w:val="center"/>
      </w:pPr>
      <w:r w:rsidRPr="00AE3242">
        <w:t>Third Appellate District</w:t>
      </w:r>
    </w:p>
    <w:p w:rsidR="007A0CC8" w:rsidP="007A0CC8" w14:paraId="75481BEB" w14:textId="77777777">
      <w:pPr>
        <w:tabs>
          <w:tab w:val="left" w:pos="1440"/>
          <w:tab w:val="left" w:pos="4680"/>
          <w:tab w:val="center" w:pos="7200"/>
        </w:tabs>
        <w:spacing w:after="0"/>
        <w:jc w:val="center"/>
      </w:pPr>
      <w:r w:rsidRPr="00AE3242">
        <w:t>C089555</w:t>
      </w:r>
    </w:p>
    <w:p w:rsidR="007A0CC8" w:rsidP="007A0CC8" w14:paraId="75481BEC" w14:textId="77777777">
      <w:pPr>
        <w:tabs>
          <w:tab w:val="left" w:pos="1440"/>
          <w:tab w:val="left" w:pos="4680"/>
          <w:tab w:val="center" w:pos="7200"/>
        </w:tabs>
        <w:spacing w:after="0"/>
        <w:jc w:val="center"/>
      </w:pPr>
    </w:p>
    <w:p w:rsidR="007A0CC8" w:rsidP="007A0CC8" w14:paraId="75481BED" w14:textId="77777777">
      <w:pPr>
        <w:tabs>
          <w:tab w:val="left" w:pos="1440"/>
          <w:tab w:val="left" w:pos="4680"/>
          <w:tab w:val="center" w:pos="7200"/>
        </w:tabs>
        <w:spacing w:after="0"/>
        <w:jc w:val="center"/>
      </w:pPr>
      <w:r>
        <w:t>Sacramento County</w:t>
      </w:r>
      <w:r w:rsidR="00AE3242">
        <w:t xml:space="preserve"> Superior Court</w:t>
      </w:r>
    </w:p>
    <w:p w:rsidR="007A0CC8" w:rsidP="007A0CC8" w14:paraId="75481BEE" w14:textId="77777777">
      <w:pPr>
        <w:tabs>
          <w:tab w:val="left" w:pos="1440"/>
          <w:tab w:val="left" w:pos="4680"/>
          <w:tab w:val="center" w:pos="7200"/>
        </w:tabs>
        <w:spacing w:after="0"/>
        <w:jc w:val="center"/>
      </w:pPr>
      <w:r>
        <w:t>34-2018-80002953</w:t>
      </w:r>
      <w:r w:rsidR="00014B8B">
        <w:t>-CU-WM-GDS</w:t>
      </w:r>
    </w:p>
    <w:p w:rsidR="007A0CC8" w:rsidP="007A0CC8" w14:paraId="75481BEF" w14:textId="77777777">
      <w:pPr>
        <w:pBdr>
          <w:bottom w:val="single" w:sz="4" w:space="1" w:color="auto"/>
        </w:pBdr>
        <w:tabs>
          <w:tab w:val="left" w:pos="1440"/>
          <w:tab w:val="left" w:pos="4680"/>
          <w:tab w:val="center" w:pos="7200"/>
        </w:tabs>
        <w:spacing w:after="0"/>
        <w:jc w:val="center"/>
      </w:pPr>
    </w:p>
    <w:p w:rsidR="007A0CC8" w:rsidP="007A0CC8" w14:paraId="75481BF0" w14:textId="77777777">
      <w:pPr>
        <w:tabs>
          <w:tab w:val="left" w:pos="1440"/>
          <w:tab w:val="left" w:pos="4680"/>
          <w:tab w:val="center" w:pos="7200"/>
        </w:tabs>
        <w:spacing w:after="0"/>
        <w:jc w:val="center"/>
      </w:pPr>
    </w:p>
    <w:p w:rsidR="007A0CC8" w:rsidP="007A0CC8" w14:paraId="75481BF1" w14:textId="77777777">
      <w:pPr>
        <w:tabs>
          <w:tab w:val="left" w:pos="1440"/>
          <w:tab w:val="left" w:pos="4680"/>
          <w:tab w:val="center" w:pos="7200"/>
        </w:tabs>
        <w:spacing w:after="0"/>
        <w:jc w:val="center"/>
      </w:pPr>
      <w:r>
        <w:t>July 24, 2023</w:t>
      </w:r>
    </w:p>
    <w:p w:rsidR="007A0CC8" w:rsidP="007A0CC8" w14:paraId="75481BF2" w14:textId="77777777">
      <w:pPr>
        <w:tabs>
          <w:tab w:val="left" w:pos="1440"/>
          <w:tab w:val="left" w:pos="4680"/>
          <w:tab w:val="center" w:pos="7200"/>
        </w:tabs>
        <w:spacing w:after="0"/>
        <w:jc w:val="center"/>
      </w:pPr>
    </w:p>
    <w:p w:rsidR="007A0CC8" w:rsidP="00AE3242" w14:paraId="75481BF3" w14:textId="77777777">
      <w:pPr>
        <w:tabs>
          <w:tab w:val="left" w:pos="1440"/>
          <w:tab w:val="left" w:pos="4680"/>
          <w:tab w:val="center" w:pos="7200"/>
        </w:tabs>
        <w:spacing w:after="0"/>
        <w:jc w:val="left"/>
      </w:pPr>
      <w:r>
        <w:t xml:space="preserve">Justice Kruger authored the opinion of the Court, in which </w:t>
      </w:r>
      <w:r w:rsidR="007560BE">
        <w:t>Chief Justice Guerrero and Justices Corrigan, Liu, Groban, Jenkins, and Evans</w:t>
      </w:r>
      <w:r w:rsidR="00AA4AE5">
        <w:t xml:space="preserve"> </w:t>
      </w:r>
      <w:r>
        <w:t>concurred.</w:t>
      </w:r>
      <w:bookmarkStart w:id="0" w:name="Return"/>
      <w:bookmarkEnd w:id="0"/>
    </w:p>
    <w:p w:rsidR="007A0CC8" w:rsidRPr="007A0CC8" w:rsidP="007A0CC8" w14:paraId="75481BF4" w14:textId="77777777">
      <w:pPr>
        <w:pBdr>
          <w:bottom w:val="single" w:sz="4" w:space="1" w:color="auto"/>
        </w:pBdr>
        <w:tabs>
          <w:tab w:val="left" w:pos="1440"/>
          <w:tab w:val="left" w:pos="4680"/>
          <w:tab w:val="center" w:pos="7200"/>
        </w:tabs>
        <w:spacing w:line="480" w:lineRule="atLeast"/>
        <w:jc w:val="left"/>
      </w:pPr>
    </w:p>
    <w:p w:rsidR="007A0CC8" w14:paraId="75481BF5" w14:textId="77777777">
      <w:pPr>
        <w:tabs>
          <w:tab w:val="left" w:pos="1440"/>
          <w:tab w:val="left" w:pos="4680"/>
          <w:tab w:val="center" w:pos="7200"/>
        </w:tabs>
        <w:spacing w:line="480" w:lineRule="atLeast"/>
      </w:pPr>
    </w:p>
    <w:p w:rsidR="00AE3242" w14:paraId="75481BF6" w14:textId="77777777">
      <w:pPr>
        <w:tabs>
          <w:tab w:val="left" w:pos="1440"/>
          <w:tab w:val="left" w:pos="4680"/>
          <w:tab w:val="center" w:pos="7200"/>
        </w:tabs>
        <w:spacing w:line="480" w:lineRule="atLeast"/>
        <w:sectPr w:rsidSect="007A0CC8">
          <w:headerReference w:type="default" r:id="rId6"/>
          <w:footerReference w:type="default" r:id="rId7"/>
          <w:headerReference w:type="first" r:id="rId8"/>
          <w:pgSz w:w="12240" w:h="15840"/>
          <w:pgMar w:top="1800" w:right="2160" w:bottom="1440" w:left="2160" w:header="720" w:footer="720" w:gutter="0"/>
          <w:cols w:space="720"/>
          <w:titlePg/>
          <w:docGrid w:linePitch="367"/>
        </w:sectPr>
      </w:pPr>
    </w:p>
    <w:p w:rsidR="007A0CC8" w:rsidP="00AE3242" w14:paraId="75481BF7" w14:textId="77777777">
      <w:pPr>
        <w:tabs>
          <w:tab w:val="left" w:pos="1440"/>
          <w:tab w:val="left" w:pos="4680"/>
          <w:tab w:val="center" w:pos="7200"/>
        </w:tabs>
        <w:jc w:val="center"/>
      </w:pPr>
      <w:r>
        <w:t xml:space="preserve">FAMILY HEALTH CENTERS </w:t>
      </w:r>
      <w:r w:rsidR="00014B8B">
        <w:t xml:space="preserve">OF SAN DIEGO </w:t>
      </w:r>
      <w:r>
        <w:t>v. STATE DEPARTMENT OF HEALTH CARE SERVICES</w:t>
      </w:r>
    </w:p>
    <w:p w:rsidR="007A0CC8" w:rsidP="007A0CC8" w14:paraId="75481BF8" w14:textId="77777777">
      <w:pPr>
        <w:tabs>
          <w:tab w:val="left" w:pos="1440"/>
          <w:tab w:val="left" w:pos="4680"/>
          <w:tab w:val="center" w:pos="7200"/>
        </w:tabs>
        <w:jc w:val="center"/>
      </w:pPr>
      <w:r>
        <w:t>S270326</w:t>
      </w:r>
    </w:p>
    <w:p w:rsidR="007A0CC8" w:rsidP="007A0CC8" w14:paraId="75481BF9" w14:textId="77777777">
      <w:pPr>
        <w:tabs>
          <w:tab w:val="left" w:pos="1440"/>
          <w:tab w:val="left" w:pos="4680"/>
          <w:tab w:val="center" w:pos="7200"/>
        </w:tabs>
        <w:jc w:val="center"/>
      </w:pPr>
    </w:p>
    <w:p w:rsidR="007A0CC8" w:rsidP="007A0CC8" w14:paraId="75481BFA" w14:textId="77777777">
      <w:pPr>
        <w:tabs>
          <w:tab w:val="left" w:pos="1440"/>
          <w:tab w:val="left" w:pos="4680"/>
          <w:tab w:val="center" w:pos="7200"/>
        </w:tabs>
        <w:jc w:val="center"/>
      </w:pPr>
      <w:r>
        <w:t>Opinion of the Court by K</w:t>
      </w:r>
      <w:r w:rsidR="00AE3242">
        <w:t>ruger</w:t>
      </w:r>
      <w:r>
        <w:t>, J.</w:t>
      </w:r>
    </w:p>
    <w:p w:rsidR="007A0CC8" w:rsidRPr="007A0CC8" w:rsidP="007A0CC8" w14:paraId="75481BFB" w14:textId="77777777">
      <w:pPr>
        <w:tabs>
          <w:tab w:val="left" w:pos="1440"/>
          <w:tab w:val="left" w:pos="4680"/>
          <w:tab w:val="center" w:pos="7200"/>
        </w:tabs>
        <w:jc w:val="center"/>
      </w:pPr>
    </w:p>
    <w:p w:rsidR="00E81ED3" w:rsidRPr="007A0CC8" w:rsidP="007265C5" w14:paraId="75481BFC" w14:textId="77777777">
      <w:pPr>
        <w:widowControl w:val="0"/>
        <w:tabs>
          <w:tab w:val="left" w:pos="1440"/>
        </w:tabs>
        <w:ind w:firstLine="720"/>
      </w:pPr>
      <w:r w:rsidRPr="007A0CC8">
        <w:t xml:space="preserve">Federal and state Medicaid law entitles </w:t>
      </w:r>
      <w:r w:rsidRPr="007A0CC8" w:rsidR="00961156">
        <w:t xml:space="preserve">health care </w:t>
      </w:r>
      <w:r w:rsidRPr="007A0CC8" w:rsidR="00C6128A">
        <w:t xml:space="preserve">providers </w:t>
      </w:r>
      <w:r w:rsidRPr="007A0CC8" w:rsidR="005343F4">
        <w:t xml:space="preserve">to </w:t>
      </w:r>
      <w:r w:rsidR="00B36F76">
        <w:t xml:space="preserve">government </w:t>
      </w:r>
      <w:r w:rsidRPr="007A0CC8" w:rsidR="005343F4">
        <w:t xml:space="preserve">reimbursement for </w:t>
      </w:r>
      <w:r w:rsidRPr="007A0CC8" w:rsidR="00C6128A">
        <w:t xml:space="preserve">reasonable </w:t>
      </w:r>
      <w:r w:rsidRPr="007A0CC8" w:rsidR="005343F4">
        <w:t xml:space="preserve">costs </w:t>
      </w:r>
      <w:r w:rsidRPr="007A0CC8" w:rsidR="00986F03">
        <w:t>related to the care of Medicaid beneficiaries.</w:t>
      </w:r>
      <w:r w:rsidRPr="007A0CC8" w:rsidR="00C6128A">
        <w:t xml:space="preserve"> </w:t>
      </w:r>
      <w:r w:rsidR="00C373B3">
        <w:t xml:space="preserve"> </w:t>
      </w:r>
      <w:r w:rsidRPr="007A0CC8" w:rsidR="00184238">
        <w:t>Th</w:t>
      </w:r>
      <w:r w:rsidRPr="007A0CC8" w:rsidR="00125DC5">
        <w:t>e</w:t>
      </w:r>
      <w:r w:rsidRPr="007A0CC8" w:rsidR="00184238">
        <w:t xml:space="preserve"> p</w:t>
      </w:r>
      <w:r w:rsidRPr="007A0CC8" w:rsidR="00C6128A">
        <w:t>roviders entitled to reimbursement include federally qualified health centers</w:t>
      </w:r>
      <w:r w:rsidR="00281C18">
        <w:t xml:space="preserve">, or FQHCs, </w:t>
      </w:r>
      <w:r w:rsidR="007265C5">
        <w:t xml:space="preserve">which are </w:t>
      </w:r>
      <w:r w:rsidRPr="007A0CC8" w:rsidR="00C6128A">
        <w:t xml:space="preserve">nonprofit health centers </w:t>
      </w:r>
      <w:r w:rsidRPr="007A0CC8" w:rsidR="00D01D67">
        <w:t>that</w:t>
      </w:r>
      <w:r w:rsidR="007265C5">
        <w:t xml:space="preserve"> receive funding from the federal government to </w:t>
      </w:r>
      <w:r w:rsidRPr="007A0CC8" w:rsidR="00C6128A">
        <w:t xml:space="preserve">provide </w:t>
      </w:r>
      <w:r w:rsidRPr="007A0CC8" w:rsidR="00C81D67">
        <w:t xml:space="preserve">basic health care </w:t>
      </w:r>
      <w:r w:rsidRPr="007A0CC8" w:rsidR="00C6128A">
        <w:t>to underserved populations</w:t>
      </w:r>
      <w:r w:rsidR="00737AE5">
        <w:t xml:space="preserve">. </w:t>
      </w:r>
      <w:r w:rsidR="00281C18">
        <w:t xml:space="preserve"> As a condition</w:t>
      </w:r>
      <w:r w:rsidR="00D91D59">
        <w:t xml:space="preserve"> of participation in the FQHC program, health centers must provide service</w:t>
      </w:r>
      <w:r w:rsidR="00CF4A31">
        <w:t>s</w:t>
      </w:r>
      <w:r w:rsidR="00281C18">
        <w:t xml:space="preserve"> </w:t>
      </w:r>
      <w:r w:rsidRPr="007A0CC8" w:rsidR="00986F03">
        <w:t xml:space="preserve">regardless of </w:t>
      </w:r>
      <w:r w:rsidRPr="007A0CC8" w:rsidR="00C95223">
        <w:t xml:space="preserve">an individual’s </w:t>
      </w:r>
      <w:r w:rsidRPr="007A0CC8" w:rsidR="00986F03">
        <w:t>ability to pay</w:t>
      </w:r>
      <w:r w:rsidRPr="007A0CC8" w:rsidR="00C95223">
        <w:t xml:space="preserve">.  </w:t>
      </w:r>
      <w:r w:rsidR="006A5794">
        <w:t xml:space="preserve">They </w:t>
      </w:r>
      <w:r w:rsidRPr="007A0CC8" w:rsidR="00C95223">
        <w:t xml:space="preserve">are also required to offer </w:t>
      </w:r>
      <w:r w:rsidRPr="007A0CC8" w:rsidR="00C6128A">
        <w:t xml:space="preserve">outreach and education to enable </w:t>
      </w:r>
      <w:r w:rsidR="0050190E">
        <w:t xml:space="preserve">members of underserved communities to obtain the health care </w:t>
      </w:r>
      <w:r w:rsidR="006A5794">
        <w:t>services</w:t>
      </w:r>
      <w:r w:rsidR="0050190E">
        <w:t xml:space="preserve"> they provide</w:t>
      </w:r>
      <w:r w:rsidRPr="007A0CC8">
        <w:t xml:space="preserve">.  </w:t>
      </w:r>
    </w:p>
    <w:p w:rsidR="009C72D9" w:rsidRPr="007A0CC8" w:rsidP="007A0CC8" w14:paraId="75481BFD" w14:textId="77777777">
      <w:pPr>
        <w:widowControl w:val="0"/>
        <w:tabs>
          <w:tab w:val="left" w:pos="1440"/>
        </w:tabs>
        <w:ind w:firstLine="720"/>
      </w:pPr>
      <w:r w:rsidRPr="007A0CC8">
        <w:t>In this case, an FQHC operator seeks reimbursement from the state Medicaid program for the costs of outreach and education activities aimed at Medicaid-eligible patients.  The State Department of Health Care Services</w:t>
      </w:r>
      <w:r w:rsidRPr="007A0CC8" w:rsidR="0043548C">
        <w:t xml:space="preserve"> </w:t>
      </w:r>
      <w:r w:rsidRPr="007A0CC8">
        <w:t>concluded the costs were categorically nonreimbursable</w:t>
      </w:r>
      <w:r w:rsidR="009907E5">
        <w:t>.  T</w:t>
      </w:r>
      <w:r w:rsidR="00FE0F57">
        <w:t>he Court of Appeal affirmed</w:t>
      </w:r>
      <w:r w:rsidRPr="007A0CC8">
        <w:t xml:space="preserve">.  </w:t>
      </w:r>
      <w:r w:rsidR="00F44760">
        <w:t xml:space="preserve">We conclude the Department’s conclusion </w:t>
      </w:r>
      <w:r w:rsidR="00B978EB">
        <w:t>rested on a misunderstanding of relevant legal principles governing the reimbursement of medical provider costs</w:t>
      </w:r>
      <w:r w:rsidR="00F44760">
        <w:t xml:space="preserve">.  We therefore </w:t>
      </w:r>
      <w:r w:rsidR="00B978EB">
        <w:t xml:space="preserve">reverse and remand for further proceedings.  </w:t>
      </w:r>
    </w:p>
    <w:p w:rsidR="00E81ED3" w:rsidRPr="007A0CC8" w:rsidP="007A0CC8" w14:paraId="75481BFE" w14:textId="77777777">
      <w:pPr>
        <w:pStyle w:val="Heading1"/>
      </w:pPr>
      <w:r w:rsidRPr="007A0CC8">
        <w:t>I.</w:t>
      </w:r>
    </w:p>
    <w:p w:rsidR="00260BAD" w:rsidRPr="007A0CC8" w:rsidP="00684590" w14:paraId="75481BFF" w14:textId="77777777">
      <w:pPr>
        <w:tabs>
          <w:tab w:val="left" w:pos="1440"/>
        </w:tabs>
        <w:spacing w:before="240"/>
        <w:ind w:firstLine="720"/>
      </w:pPr>
      <w:r>
        <w:t xml:space="preserve">This case </w:t>
      </w:r>
      <w:r w:rsidR="00E778DB">
        <w:t xml:space="preserve">involves the interplay between </w:t>
      </w:r>
      <w:r w:rsidR="003D4676">
        <w:t xml:space="preserve">programs </w:t>
      </w:r>
      <w:r w:rsidR="0084623D">
        <w:t xml:space="preserve">enacted by Congress </w:t>
      </w:r>
      <w:r w:rsidR="003D4676">
        <w:t xml:space="preserve">to increase </w:t>
      </w:r>
      <w:r w:rsidR="00E778DB">
        <w:t xml:space="preserve">individuals’ </w:t>
      </w:r>
      <w:r w:rsidR="003D4676">
        <w:t xml:space="preserve">access to health care.  The first </w:t>
      </w:r>
      <w:r w:rsidR="000E3F15">
        <w:t xml:space="preserve">of these programs is </w:t>
      </w:r>
      <w:r w:rsidRPr="007A0CC8" w:rsidR="00B3405F">
        <w:t>Medicaid</w:t>
      </w:r>
      <w:r w:rsidR="000E3F15">
        <w:t xml:space="preserve">, </w:t>
      </w:r>
      <w:r w:rsidRPr="007A0CC8" w:rsidR="00B3405F">
        <w:t>a federal</w:t>
      </w:r>
      <w:r w:rsidRPr="007A0CC8" w:rsidR="00BB2536">
        <w:t>-state cooperative</w:t>
      </w:r>
      <w:r w:rsidRPr="007A0CC8" w:rsidR="00B3405F">
        <w:t xml:space="preserve"> program </w:t>
      </w:r>
      <w:r w:rsidR="005B658D">
        <w:t xml:space="preserve">for the provision of medical care to </w:t>
      </w:r>
      <w:r w:rsidRPr="007A0CC8" w:rsidR="00E9035A">
        <w:t>certain low-income populations</w:t>
      </w:r>
      <w:r w:rsidR="00477307">
        <w:t xml:space="preserve">.  </w:t>
      </w:r>
      <w:r w:rsidRPr="00684590" w:rsidR="00477307">
        <w:t>(</w:t>
      </w:r>
      <w:r w:rsidR="009C7755">
        <w:t>42 U.S.C. §</w:t>
      </w:r>
      <w:r w:rsidR="00A90E56">
        <w:t>§</w:t>
      </w:r>
      <w:r w:rsidR="009C7755">
        <w:t> 1396-1</w:t>
      </w:r>
      <w:r w:rsidR="00A90E56">
        <w:t xml:space="preserve">, </w:t>
      </w:r>
      <w:r w:rsidR="004F4D4C">
        <w:t> </w:t>
      </w:r>
      <w:r w:rsidRPr="00D10710" w:rsidR="004F4D4C">
        <w:t>1396a(a)(10)(A)(i)</w:t>
      </w:r>
      <w:r w:rsidR="008A4631">
        <w:t xml:space="preserve">; see </w:t>
      </w:r>
      <w:r w:rsidR="008A4631">
        <w:rPr>
          <w:i/>
          <w:iCs/>
        </w:rPr>
        <w:t>National Federation of Indep</w:t>
      </w:r>
      <w:r w:rsidR="00021634">
        <w:rPr>
          <w:i/>
          <w:iCs/>
        </w:rPr>
        <w:t>endent</w:t>
      </w:r>
      <w:r w:rsidR="008A4631">
        <w:rPr>
          <w:i/>
          <w:iCs/>
        </w:rPr>
        <w:t xml:space="preserve"> Businesses v. Sebelius</w:t>
      </w:r>
      <w:r w:rsidR="008A4631">
        <w:t xml:space="preserve"> (2012) 567 U.S. 519, 541–542</w:t>
      </w:r>
      <w:r w:rsidR="00EE3B60">
        <w:t>, 575 [describing the program]</w:t>
      </w:r>
      <w:r w:rsidR="009576A5">
        <w:t>.)</w:t>
      </w:r>
      <w:r w:rsidRPr="00684590" w:rsidR="00D0630E">
        <w:t xml:space="preserve">  </w:t>
      </w:r>
      <w:r w:rsidR="00F80C50">
        <w:t>In return for federal funding, p</w:t>
      </w:r>
      <w:r w:rsidR="005B658D">
        <w:t>articipating states</w:t>
      </w:r>
      <w:r w:rsidR="00F216F6">
        <w:t> </w:t>
      </w:r>
      <w:r w:rsidR="005B658D">
        <w:t xml:space="preserve">— which is all </w:t>
      </w:r>
      <w:r w:rsidR="00C36457">
        <w:t>of them</w:t>
      </w:r>
      <w:r w:rsidR="0025009E">
        <w:t xml:space="preserve"> (</w:t>
      </w:r>
      <w:r w:rsidRPr="00DE3E3D" w:rsidR="00DE3E3D">
        <w:rPr>
          <w:i/>
          <w:iCs/>
        </w:rPr>
        <w:t>id.</w:t>
      </w:r>
      <w:r w:rsidR="00DE3E3D">
        <w:t xml:space="preserve"> </w:t>
      </w:r>
      <w:r w:rsidR="00681904">
        <w:t xml:space="preserve">at </w:t>
      </w:r>
      <w:r w:rsidR="0025009E">
        <w:t>p. 542)</w:t>
      </w:r>
      <w:r w:rsidR="001A7E1D">
        <w:t> </w:t>
      </w:r>
      <w:r w:rsidR="005B658D">
        <w:t xml:space="preserve">— </w:t>
      </w:r>
      <w:r w:rsidR="00F80C50">
        <w:t xml:space="preserve">agree to </w:t>
      </w:r>
      <w:r w:rsidR="005B658D">
        <w:t xml:space="preserve">reimburse </w:t>
      </w:r>
      <w:r w:rsidRPr="007A0CC8" w:rsidR="005B658D">
        <w:t xml:space="preserve">health care providers for the costs of delivering </w:t>
      </w:r>
      <w:r w:rsidR="00DD4C6F">
        <w:t xml:space="preserve">care </w:t>
      </w:r>
      <w:r w:rsidRPr="007A0CC8" w:rsidR="005B658D">
        <w:t xml:space="preserve">to </w:t>
      </w:r>
      <w:r w:rsidR="00C8448D">
        <w:t xml:space="preserve">enrolled </w:t>
      </w:r>
      <w:r w:rsidRPr="007A0CC8" w:rsidR="005B658D">
        <w:t>program beneficiaries.  (42 U.S.C. § 1396</w:t>
      </w:r>
      <w:r w:rsidR="00021634">
        <w:t>a</w:t>
      </w:r>
      <w:r w:rsidR="00DE3E3D">
        <w:t>(a)</w:t>
      </w:r>
      <w:r w:rsidR="00351274">
        <w:t>(11)(B)(ii)</w:t>
      </w:r>
      <w:r w:rsidRPr="007A0CC8" w:rsidR="005B658D">
        <w:t>.)</w:t>
      </w:r>
      <w:r w:rsidR="00397F2B">
        <w:t xml:space="preserve">  </w:t>
      </w:r>
      <w:r w:rsidR="00FC5C55">
        <w:t xml:space="preserve">  </w:t>
      </w:r>
    </w:p>
    <w:p w:rsidR="000C6A76" w:rsidP="000C6A76" w14:paraId="75481C00" w14:textId="77777777">
      <w:pPr>
        <w:tabs>
          <w:tab w:val="left" w:pos="1440"/>
        </w:tabs>
        <w:ind w:firstLine="720"/>
        <w:rPr>
          <w:szCs w:val="24"/>
        </w:rPr>
      </w:pPr>
      <w:r>
        <w:t>The second program</w:t>
      </w:r>
      <w:r w:rsidR="00655D80">
        <w:t>, c</w:t>
      </w:r>
      <w:r>
        <w:t xml:space="preserve">reated by </w:t>
      </w:r>
      <w:r w:rsidRPr="007A0CC8" w:rsidR="007A572B">
        <w:t>s</w:t>
      </w:r>
      <w:r w:rsidRPr="007A0CC8" w:rsidR="00EA6CB6">
        <w:t xml:space="preserve">ection 330 of the </w:t>
      </w:r>
      <w:r w:rsidRPr="007A0CC8" w:rsidR="00C20D1C">
        <w:t>Public Health Service Act</w:t>
      </w:r>
      <w:r w:rsidR="001E73C7">
        <w:t xml:space="preserve">, </w:t>
      </w:r>
      <w:r w:rsidRPr="007A0CC8" w:rsidR="000A4AB7">
        <w:t xml:space="preserve">makes federal funding available to community-based health organizations </w:t>
      </w:r>
      <w:r w:rsidRPr="007A0CC8" w:rsidR="00035D2E">
        <w:t xml:space="preserve">to </w:t>
      </w:r>
      <w:r w:rsidRPr="007A0CC8" w:rsidR="00C45315">
        <w:t xml:space="preserve">care for </w:t>
      </w:r>
      <w:r w:rsidRPr="007A0CC8" w:rsidR="00035D2E">
        <w:t>medically underserved populations.  (42 U.S.C. § 254b(a)(1)</w:t>
      </w:r>
      <w:r w:rsidRPr="007A0CC8" w:rsidR="00C20D1C">
        <w:t xml:space="preserve">; </w:t>
      </w:r>
      <w:r w:rsidRPr="003B2391" w:rsidR="00C85352">
        <w:t xml:space="preserve">see </w:t>
      </w:r>
      <w:r w:rsidR="003B2391">
        <w:t xml:space="preserve">also </w:t>
      </w:r>
      <w:r w:rsidRPr="003B2391" w:rsidR="00C20D1C">
        <w:rPr>
          <w:i/>
          <w:iCs/>
        </w:rPr>
        <w:t>id</w:t>
      </w:r>
      <w:r w:rsidRPr="007A0CC8" w:rsidR="00C20D1C">
        <w:t>., § 254b(e)</w:t>
      </w:r>
      <w:r w:rsidRPr="007A0CC8" w:rsidR="00035D2E">
        <w:t xml:space="preserve">.)  </w:t>
      </w:r>
      <w:r w:rsidR="005822C8">
        <w:t>T</w:t>
      </w:r>
      <w:r w:rsidR="00F224C2">
        <w:t>hese organizations</w:t>
      </w:r>
      <w:r w:rsidR="002041CC">
        <w:t xml:space="preserve">, </w:t>
      </w:r>
      <w:r w:rsidR="005F1296">
        <w:t xml:space="preserve">knowns as </w:t>
      </w:r>
      <w:r w:rsidR="00535110">
        <w:t>“Federally</w:t>
      </w:r>
      <w:r w:rsidR="000A6669">
        <w:t xml:space="preserve"> </w:t>
      </w:r>
      <w:r w:rsidR="00535110">
        <w:t>qualified health center</w:t>
      </w:r>
      <w:r w:rsidR="00021634">
        <w:t>s</w:t>
      </w:r>
      <w:r w:rsidR="00535110">
        <w:t xml:space="preserve">” </w:t>
      </w:r>
      <w:r w:rsidR="002041CC">
        <w:t>(</w:t>
      </w:r>
      <w:r w:rsidR="00535110">
        <w:t xml:space="preserve">e.g., </w:t>
      </w:r>
      <w:r w:rsidRPr="007560BE" w:rsidR="007560BE">
        <w:rPr>
          <w:i/>
          <w:iCs/>
        </w:rPr>
        <w:t>id.</w:t>
      </w:r>
      <w:r w:rsidR="007560BE">
        <w:t xml:space="preserve">, </w:t>
      </w:r>
      <w:r w:rsidRPr="00535110" w:rsidR="00535110">
        <w:t>§</w:t>
      </w:r>
      <w:r w:rsidR="00EE413E">
        <w:t>§</w:t>
      </w:r>
      <w:r w:rsidR="00535110">
        <w:t> </w:t>
      </w:r>
      <w:r w:rsidRPr="00535110" w:rsidR="00535110">
        <w:t>13</w:t>
      </w:r>
      <w:r w:rsidR="00263FEA">
        <w:t>2</w:t>
      </w:r>
      <w:r w:rsidRPr="00535110" w:rsidR="00535110">
        <w:t>95x(aa)(4)</w:t>
      </w:r>
      <w:r w:rsidR="00EE413E">
        <w:t>,</w:t>
      </w:r>
      <w:r w:rsidR="007C3F15">
        <w:t> 254c-14(a)(2)</w:t>
      </w:r>
      <w:r w:rsidR="002041CC">
        <w:t>)</w:t>
      </w:r>
      <w:r w:rsidR="00FF25C2">
        <w:t>,</w:t>
      </w:r>
      <w:r w:rsidR="00F224C2">
        <w:t xml:space="preserve"> </w:t>
      </w:r>
      <w:r w:rsidRPr="007A0CC8" w:rsidR="00501B6B">
        <w:t xml:space="preserve">must </w:t>
      </w:r>
      <w:r w:rsidRPr="007A0CC8" w:rsidR="006A3B01">
        <w:t xml:space="preserve">provide health care to </w:t>
      </w:r>
      <w:r w:rsidRPr="007A0CC8" w:rsidR="00035D2E">
        <w:t xml:space="preserve">residents of </w:t>
      </w:r>
      <w:r w:rsidRPr="007A0CC8" w:rsidR="00DC40EC">
        <w:t xml:space="preserve">geographical </w:t>
      </w:r>
      <w:r w:rsidRPr="007A0CC8" w:rsidR="00035D2E">
        <w:t xml:space="preserve">areas designated by the federal government as lacking sufficient health </w:t>
      </w:r>
      <w:r w:rsidR="00EE413E">
        <w:t xml:space="preserve">care </w:t>
      </w:r>
      <w:r w:rsidRPr="007A0CC8" w:rsidR="00035D2E">
        <w:t xml:space="preserve">services, or </w:t>
      </w:r>
      <w:r w:rsidRPr="007A0CC8" w:rsidR="00C45315">
        <w:t xml:space="preserve">to </w:t>
      </w:r>
      <w:r w:rsidRPr="007A0CC8" w:rsidR="00035D2E">
        <w:t xml:space="preserve">special populations that have been so designated, such as those who engage in migrant or seasonal agricultural work, who are </w:t>
      </w:r>
      <w:r w:rsidRPr="007A0CC8" w:rsidR="00992592">
        <w:t>homeless</w:t>
      </w:r>
      <w:r w:rsidRPr="007A0CC8" w:rsidR="00035D2E">
        <w:t>, or who reside in public housing</w:t>
      </w:r>
      <w:r w:rsidR="001118CD">
        <w:t>.</w:t>
      </w:r>
      <w:r w:rsidRPr="007A0CC8" w:rsidR="00035D2E">
        <w:t xml:space="preserve"> </w:t>
      </w:r>
      <w:r w:rsidR="001118CD">
        <w:t xml:space="preserve"> </w:t>
      </w:r>
      <w:r w:rsidRPr="007A0CC8" w:rsidR="00035D2E">
        <w:t>(</w:t>
      </w:r>
      <w:r w:rsidR="001118CD">
        <w:rPr>
          <w:i/>
          <w:iCs/>
        </w:rPr>
        <w:t>I</w:t>
      </w:r>
      <w:r w:rsidRPr="007A0CC8" w:rsidR="00035D2E">
        <w:rPr>
          <w:i/>
          <w:iCs/>
        </w:rPr>
        <w:t>d</w:t>
      </w:r>
      <w:r w:rsidRPr="007A0CC8" w:rsidR="00035D2E">
        <w:t>., § 254b(a)(1)</w:t>
      </w:r>
      <w:r w:rsidR="001118CD">
        <w:t>, (3)(A).</w:t>
      </w:r>
      <w:r w:rsidRPr="007A0CC8" w:rsidR="00035D2E">
        <w:t xml:space="preserve">)  </w:t>
      </w:r>
      <w:r w:rsidRPr="007A0CC8" w:rsidR="00D04FA2">
        <w:t>A</w:t>
      </w:r>
      <w:r w:rsidR="00EE413E">
        <w:t>n FQHC</w:t>
      </w:r>
      <w:r w:rsidRPr="007A0CC8" w:rsidR="00D04FA2">
        <w:t xml:space="preserve"> </w:t>
      </w:r>
      <w:r w:rsidR="006D07F1">
        <w:t xml:space="preserve">must </w:t>
      </w:r>
      <w:r w:rsidRPr="007A0CC8" w:rsidR="00D04FA2">
        <w:t xml:space="preserve">provide </w:t>
      </w:r>
      <w:r w:rsidR="00F5687C">
        <w:t xml:space="preserve">“required primary </w:t>
      </w:r>
      <w:r w:rsidRPr="007A0CC8" w:rsidR="00D04FA2">
        <w:t>health services</w:t>
      </w:r>
      <w:r w:rsidR="00F5687C">
        <w:t>”</w:t>
      </w:r>
      <w:r w:rsidRPr="007A0CC8" w:rsidR="00D04FA2">
        <w:t xml:space="preserve"> to all of its patients regardless of their ability to pay.  (</w:t>
      </w:r>
      <w:r w:rsidRPr="007A0CC8" w:rsidR="002A27FE">
        <w:rPr>
          <w:i/>
          <w:iCs/>
        </w:rPr>
        <w:t>Id.</w:t>
      </w:r>
      <w:r w:rsidRPr="007A0CC8" w:rsidR="002A27FE">
        <w:t>,</w:t>
      </w:r>
      <w:r w:rsidRPr="007A0CC8" w:rsidR="00D04FA2">
        <w:t xml:space="preserve"> § 254b(a)(1)</w:t>
      </w:r>
      <w:r w:rsidR="00492E7D">
        <w:t>(A)</w:t>
      </w:r>
      <w:r w:rsidR="006B2C43">
        <w:t xml:space="preserve">; see also </w:t>
      </w:r>
      <w:r w:rsidR="006B2C43">
        <w:rPr>
          <w:i/>
          <w:iCs/>
        </w:rPr>
        <w:t>id.</w:t>
      </w:r>
      <w:r w:rsidR="006B2C43">
        <w:t xml:space="preserve">, </w:t>
      </w:r>
      <w:r w:rsidR="001038C3">
        <w:t>§ </w:t>
      </w:r>
      <w:r w:rsidR="006B2C43">
        <w:t>2</w:t>
      </w:r>
      <w:r w:rsidR="0087413F">
        <w:t>54</w:t>
      </w:r>
      <w:r w:rsidR="006B2C43">
        <w:t>b</w:t>
      </w:r>
      <w:r w:rsidRPr="007A0CC8" w:rsidR="00D04FA2">
        <w:t xml:space="preserve">(k)(3)(G)(iii).)  </w:t>
      </w:r>
      <w:r w:rsidRPr="007A0CC8" w:rsidR="00035D2E">
        <w:t xml:space="preserve">Because of </w:t>
      </w:r>
      <w:r w:rsidR="00AD604D">
        <w:t xml:space="preserve">the </w:t>
      </w:r>
      <w:r w:rsidRPr="007A0CC8" w:rsidR="00035D2E">
        <w:t xml:space="preserve">difficulties </w:t>
      </w:r>
      <w:r w:rsidR="00AD604D">
        <w:t xml:space="preserve">that </w:t>
      </w:r>
      <w:r w:rsidRPr="007A0CC8" w:rsidR="00035D2E">
        <w:t xml:space="preserve">target populations face in </w:t>
      </w:r>
      <w:r w:rsidRPr="007A0CC8" w:rsidR="00BD042A">
        <w:t>accessing</w:t>
      </w:r>
      <w:r w:rsidRPr="007A0CC8" w:rsidR="00035D2E">
        <w:t xml:space="preserve"> health care, </w:t>
      </w:r>
      <w:r w:rsidR="00492E7D">
        <w:t xml:space="preserve">required primary health services include </w:t>
      </w:r>
      <w:r w:rsidRPr="007A0CC8" w:rsidR="00BD042A">
        <w:t xml:space="preserve">education </w:t>
      </w:r>
      <w:r w:rsidRPr="00492E7D" w:rsidR="00492E7D">
        <w:t xml:space="preserve">of </w:t>
      </w:r>
      <w:r w:rsidR="006D07F1">
        <w:t>“</w:t>
      </w:r>
      <w:r w:rsidRPr="00492E7D" w:rsidR="00492E7D">
        <w:t xml:space="preserve">the general population served by the health center </w:t>
      </w:r>
      <w:r w:rsidRPr="007A0CC8" w:rsidR="00BD042A">
        <w:t>regarding the availability and proper use of health services” (</w:t>
      </w:r>
      <w:r w:rsidRPr="007A0CC8" w:rsidR="00BD042A">
        <w:rPr>
          <w:i/>
          <w:iCs/>
        </w:rPr>
        <w:t>id</w:t>
      </w:r>
      <w:r w:rsidRPr="007A0CC8" w:rsidR="00BD042A">
        <w:t xml:space="preserve">., § 254b(b)(1)(A)(v)) as well as </w:t>
      </w:r>
      <w:r w:rsidRPr="007A0CC8" w:rsidR="00035D2E">
        <w:t xml:space="preserve">enabling services — </w:t>
      </w:r>
      <w:r w:rsidRPr="007A0CC8" w:rsidR="006A3B01">
        <w:t xml:space="preserve">that is, </w:t>
      </w:r>
      <w:r w:rsidRPr="007A0CC8" w:rsidR="00035D2E">
        <w:t>“services that enable individuals to use the services of the health center”</w:t>
      </w:r>
      <w:r w:rsidRPr="007A0CC8" w:rsidR="00C45315">
        <w:t> </w:t>
      </w:r>
      <w:r w:rsidRPr="007A0CC8" w:rsidR="006A3B01">
        <w:t xml:space="preserve">— </w:t>
      </w:r>
      <w:r w:rsidR="00492E7D">
        <w:t xml:space="preserve">“including </w:t>
      </w:r>
      <w:r w:rsidRPr="007A0CC8" w:rsidR="00035D2E">
        <w:t xml:space="preserve">outreach </w:t>
      </w:r>
      <w:r w:rsidR="00492E7D">
        <w:t xml:space="preserve">and </w:t>
      </w:r>
      <w:r w:rsidRPr="007A0CC8" w:rsidR="00035D2E">
        <w:t>transportation</w:t>
      </w:r>
      <w:r w:rsidR="00492E7D">
        <w:t xml:space="preserve"> services</w:t>
      </w:r>
      <w:r w:rsidRPr="007A0CC8" w:rsidR="00035D2E">
        <w:t>,</w:t>
      </w:r>
      <w:r w:rsidR="00492E7D">
        <w:t>”</w:t>
      </w:r>
      <w:r w:rsidRPr="007A0CC8" w:rsidR="00035D2E">
        <w:t xml:space="preserve"> and </w:t>
      </w:r>
      <w:r w:rsidRPr="007A0CC8" w:rsidR="00F6440B">
        <w:t xml:space="preserve">language </w:t>
      </w:r>
      <w:r w:rsidRPr="007A0CC8" w:rsidR="00035D2E">
        <w:t>interpret</w:t>
      </w:r>
      <w:r w:rsidRPr="007A0CC8" w:rsidR="00F6440B">
        <w:t>ation</w:t>
      </w:r>
      <w:r w:rsidRPr="007A0CC8" w:rsidR="00035D2E">
        <w:t xml:space="preserve"> for limited English speakers (</w:t>
      </w:r>
      <w:r w:rsidRPr="007A0CC8" w:rsidR="00035D2E">
        <w:rPr>
          <w:i/>
          <w:iCs/>
        </w:rPr>
        <w:t>id</w:t>
      </w:r>
      <w:r w:rsidRPr="007A0CC8" w:rsidR="00035D2E">
        <w:t>., § 254b(b)(1)(A)(iv))</w:t>
      </w:r>
      <w:r w:rsidRPr="007A0CC8" w:rsidR="00BD042A">
        <w:t>.</w:t>
      </w:r>
      <w:r>
        <w:t xml:space="preserve"> </w:t>
      </w:r>
      <w:r w:rsidRPr="00F33B01" w:rsidR="00F33B01">
        <w:t xml:space="preserve"> </w:t>
      </w:r>
      <w:r w:rsidRPr="007A0CC8" w:rsidR="00F33B01">
        <w:t xml:space="preserve">Congress </w:t>
      </w:r>
      <w:r w:rsidR="00F33B01">
        <w:t xml:space="preserve">added </w:t>
      </w:r>
      <w:r w:rsidR="003D2232">
        <w:t xml:space="preserve">these requirements </w:t>
      </w:r>
      <w:r w:rsidRPr="007A0CC8" w:rsidR="00F33B01">
        <w:t xml:space="preserve">after the Committee on Labor and Human Resources </w:t>
      </w:r>
      <w:r w:rsidR="00F33B01">
        <w:t xml:space="preserve">identified </w:t>
      </w:r>
      <w:r w:rsidR="003D2232">
        <w:t xml:space="preserve">education, outreach, and other enabling services </w:t>
      </w:r>
      <w:r w:rsidR="00F33B01">
        <w:t>as “essential to health centers</w:t>
      </w:r>
      <w:r w:rsidR="00021634">
        <w:t>’</w:t>
      </w:r>
      <w:r w:rsidR="00F33B01">
        <w:t xml:space="preserve"> efforts to reduce the barriers to care” experienced by those targeted, and </w:t>
      </w:r>
      <w:r w:rsidRPr="007A0CC8" w:rsidR="00F33B01">
        <w:t>proposed the addition “to highlight the critical role that enabling services . . . play in the delivery of primary health services to underserved populations.”  (</w:t>
      </w:r>
      <w:bookmarkStart w:id="1" w:name="_Hlk139447307"/>
      <w:r w:rsidRPr="00E97314" w:rsidR="00F33B01">
        <w:t>Health Centers Consolidation Act of 1995, Sen.Rep. No. 104–186, 104th Cong., 1st Sess. (1995)</w:t>
      </w:r>
      <w:bookmarkEnd w:id="1"/>
      <w:r w:rsidRPr="007A0CC8" w:rsidR="00F33B01">
        <w:t>.)</w:t>
      </w:r>
    </w:p>
    <w:p w:rsidR="009E3856" w:rsidRPr="007A0CC8" w:rsidP="00B71978" w14:paraId="75481C01" w14:textId="77777777">
      <w:pPr>
        <w:tabs>
          <w:tab w:val="left" w:pos="1440"/>
        </w:tabs>
        <w:ind w:firstLine="720"/>
      </w:pPr>
      <w:r>
        <w:t>Although the Public Health Service Act provides some funding for FQHCs</w:t>
      </w:r>
      <w:r w:rsidR="00170B04">
        <w:t>, it is not their only source of funding</w:t>
      </w:r>
      <w:r w:rsidR="00663244">
        <w:t>.</w:t>
      </w:r>
      <w:r w:rsidR="00170B04">
        <w:t xml:space="preserve">  T</w:t>
      </w:r>
      <w:r>
        <w:t xml:space="preserve">he law provides that FQHCs are entitled to </w:t>
      </w:r>
      <w:r w:rsidR="00BC4F82">
        <w:t xml:space="preserve">Medicaid reimbursement insofar as they provide </w:t>
      </w:r>
      <w:r w:rsidR="00394E6C">
        <w:t xml:space="preserve">covered </w:t>
      </w:r>
      <w:r w:rsidR="00BC4F82">
        <w:t xml:space="preserve">health services </w:t>
      </w:r>
      <w:r w:rsidR="00394E6C">
        <w:t>to Medicaid beneficiaries</w:t>
      </w:r>
      <w:r w:rsidR="00BC4F82">
        <w:t xml:space="preserve">.  </w:t>
      </w:r>
      <w:r w:rsidRPr="007A0CC8" w:rsidR="00501B6B">
        <w:t>(42 U.S.C. § 1396d(a)(2)(C), (</w:t>
      </w:r>
      <w:r w:rsidRPr="00B71978" w:rsidR="00487A89">
        <w:rPr>
          <w:i/>
          <w:iCs/>
        </w:rPr>
        <w:t>l</w:t>
      </w:r>
      <w:r w:rsidRPr="007A0CC8" w:rsidR="00501B6B">
        <w:t>)(2); see also Welf. &amp; Inst. Code, § 14132.100, subd. (a) [adopting coverage for FQHC services as described by federal law]</w:t>
      </w:r>
      <w:r w:rsidR="002D2177">
        <w:t>.</w:t>
      </w:r>
      <w:r w:rsidRPr="007A0CC8" w:rsidR="00501B6B">
        <w:t>)</w:t>
      </w:r>
      <w:r w:rsidR="002D2177">
        <w:t xml:space="preserve">  </w:t>
      </w:r>
      <w:r w:rsidR="00855256">
        <w:t xml:space="preserve">Medicaid reimbursement </w:t>
      </w:r>
      <w:r w:rsidR="00EB4642">
        <w:t xml:space="preserve">for qualifying FQHC services </w:t>
      </w:r>
      <w:r w:rsidR="00D508BF">
        <w:t xml:space="preserve">is not optional.  </w:t>
      </w:r>
      <w:r w:rsidR="00663244">
        <w:t>H</w:t>
      </w:r>
      <w:r w:rsidRPr="007A0CC8" w:rsidR="00D224BA">
        <w:t>ealth centers must “make every reasonable effort” to collect state reimbursement for the costs of providing health services to those eligible for Medicaid or “any other public assistance program or private health insurance program.”  (</w:t>
      </w:r>
      <w:r w:rsidRPr="007A0CC8" w:rsidR="002A27FE">
        <w:t xml:space="preserve">42 U.S.C </w:t>
      </w:r>
      <w:r w:rsidRPr="007A0CC8" w:rsidR="00D224BA">
        <w:t>§ 254b(k)(3)(F).)</w:t>
      </w:r>
      <w:r w:rsidR="00B91E32">
        <w:t xml:space="preserve">  </w:t>
      </w:r>
      <w:bookmarkStart w:id="2" w:name="_Hlk138166134"/>
      <w:r w:rsidR="005B735B">
        <w:t xml:space="preserve">And </w:t>
      </w:r>
      <w:r w:rsidR="00B91E32">
        <w:t>states</w:t>
      </w:r>
      <w:r w:rsidR="00282700">
        <w:t xml:space="preserve">, for their part, </w:t>
      </w:r>
      <w:r w:rsidRPr="007A0CC8" w:rsidR="00964AF2">
        <w:t xml:space="preserve">are obligated </w:t>
      </w:r>
      <w:r w:rsidRPr="007A0CC8" w:rsidR="0074411F">
        <w:t xml:space="preserve">to pay </w:t>
      </w:r>
      <w:r>
        <w:t xml:space="preserve">FQHCs </w:t>
      </w:r>
      <w:r w:rsidRPr="007A0CC8" w:rsidR="0074411F">
        <w:t>100 percent of the costs of providing medical assistance</w:t>
      </w:r>
      <w:r w:rsidRPr="007A0CC8" w:rsidR="00DC1025">
        <w:t xml:space="preserve"> to Medicaid beneficiari</w:t>
      </w:r>
      <w:r w:rsidRPr="007A0CC8">
        <w:t>e</w:t>
      </w:r>
      <w:r w:rsidRPr="007A0CC8" w:rsidR="00DC1025">
        <w:t>s</w:t>
      </w:r>
      <w:r w:rsidRPr="007A0CC8" w:rsidR="00684C3B">
        <w:t xml:space="preserve"> that </w:t>
      </w:r>
      <w:r w:rsidRPr="007A0CC8" w:rsidR="00873499">
        <w:t xml:space="preserve">are </w:t>
      </w:r>
      <w:r w:rsidRPr="007A0CC8" w:rsidR="00684C3B">
        <w:t>“reasonable and related to the cost of furnishing such services</w:t>
      </w:r>
      <w:r w:rsidRPr="007A0CC8" w:rsidR="0074411F">
        <w:t>.</w:t>
      </w:r>
      <w:r w:rsidRPr="007A0CC8" w:rsidR="00684C3B">
        <w:t>”</w:t>
      </w:r>
      <w:r w:rsidRPr="007A0CC8" w:rsidR="0074411F">
        <w:t xml:space="preserve">  (</w:t>
      </w:r>
      <w:r w:rsidRPr="00423776" w:rsidR="00423776">
        <w:rPr>
          <w:i/>
          <w:iCs/>
        </w:rPr>
        <w:t>Id.</w:t>
      </w:r>
      <w:r w:rsidR="00423776">
        <w:t>,</w:t>
      </w:r>
      <w:r w:rsidRPr="007A0CC8" w:rsidR="0074411F">
        <w:t xml:space="preserve"> § 1396a(bb)</w:t>
      </w:r>
      <w:r w:rsidRPr="007A0CC8" w:rsidR="00487A89">
        <w:t>(2)</w:t>
      </w:r>
      <w:r w:rsidRPr="007A0CC8" w:rsidR="0074411F">
        <w:t>.)</w:t>
      </w:r>
      <w:r w:rsidRPr="007A0CC8" w:rsidR="00924E6C">
        <w:t xml:space="preserve">  </w:t>
      </w:r>
      <w:bookmarkEnd w:id="2"/>
      <w:r w:rsidR="005B735B">
        <w:t>This “</w:t>
      </w:r>
      <w:r w:rsidR="00021634">
        <w:t> ‘</w:t>
      </w:r>
      <w:r w:rsidR="005B735B">
        <w:t>100 percent reimbursement</w:t>
      </w:r>
      <w:r w:rsidR="00021634">
        <w:t>’ </w:t>
      </w:r>
      <w:r w:rsidR="005B735B">
        <w:t xml:space="preserve">” requirement was </w:t>
      </w:r>
      <w:r w:rsidR="005028D1">
        <w:t xml:space="preserve">enacted </w:t>
      </w:r>
      <w:r w:rsidR="005B735B">
        <w:t>“</w:t>
      </w:r>
      <w:r w:rsidRPr="007A0CC8" w:rsidR="00035D2E">
        <w:t>to ensure that health centers . . . would not have to divert Public Health Service</w:t>
      </w:r>
      <w:r w:rsidRPr="007A0CC8" w:rsidR="00EC1100">
        <w:t>[]</w:t>
      </w:r>
      <w:r w:rsidRPr="007A0CC8" w:rsidR="00035D2E">
        <w:t xml:space="preserve"> Act funds to cover the cost of serving Medicaid patients</w:t>
      </w:r>
      <w:r w:rsidRPr="007A0CC8" w:rsidR="00B13994">
        <w:t xml:space="preserve">,” thus compromising their ability to provide care to those without any </w:t>
      </w:r>
      <w:r w:rsidRPr="007A0CC8" w:rsidR="00D87955">
        <w:t xml:space="preserve">public or private health coverage.  </w:t>
      </w:r>
      <w:r w:rsidRPr="007A0CC8" w:rsidR="00035D2E">
        <w:t>(</w:t>
      </w:r>
      <w:r w:rsidRPr="007A0CC8" w:rsidR="00035D2E">
        <w:rPr>
          <w:i/>
          <w:iCs/>
        </w:rPr>
        <w:t>Three Lower Counties C</w:t>
      </w:r>
      <w:r w:rsidRPr="007A0CC8" w:rsidR="00487A89">
        <w:rPr>
          <w:i/>
          <w:iCs/>
        </w:rPr>
        <w:t>ommunity</w:t>
      </w:r>
      <w:r w:rsidRPr="007A0CC8" w:rsidR="00035D2E">
        <w:rPr>
          <w:i/>
          <w:iCs/>
        </w:rPr>
        <w:t xml:space="preserve"> Health v. M</w:t>
      </w:r>
      <w:r w:rsidRPr="007A0CC8" w:rsidR="00487A89">
        <w:rPr>
          <w:i/>
          <w:iCs/>
        </w:rPr>
        <w:t>aryland</w:t>
      </w:r>
      <w:r w:rsidRPr="007A0CC8" w:rsidR="00035D2E">
        <w:t xml:space="preserve"> (4th Cir. 2007) 498 F.3d 294, 297</w:t>
      </w:r>
      <w:r w:rsidR="008B40D6">
        <w:t xml:space="preserve">; see </w:t>
      </w:r>
      <w:r w:rsidR="008B40D6">
        <w:rPr>
          <w:i/>
          <w:iCs/>
        </w:rPr>
        <w:t>ibid.</w:t>
      </w:r>
      <w:r w:rsidRPr="007A0CC8" w:rsidR="00BF4A7B">
        <w:t xml:space="preserve"> [discussing substantially similar predecessor to current law]</w:t>
      </w:r>
      <w:r w:rsidRPr="007A0CC8" w:rsidR="00035D2E">
        <w:t>.)</w:t>
      </w:r>
      <w:r>
        <w:rPr>
          <w:rStyle w:val="FootnoteReference"/>
        </w:rPr>
        <w:footnoteReference w:id="3"/>
      </w:r>
    </w:p>
    <w:p w:rsidR="00850F4A" w:rsidP="00850F4A" w14:paraId="75481C02" w14:textId="77777777">
      <w:pPr>
        <w:ind w:firstLine="720"/>
      </w:pPr>
      <w:r>
        <w:t>Both f</w:t>
      </w:r>
      <w:r w:rsidR="008E5666">
        <w:t xml:space="preserve">ederal and state Medicaid law contain </w:t>
      </w:r>
      <w:r w:rsidR="00F542F7">
        <w:t xml:space="preserve">additional </w:t>
      </w:r>
      <w:r w:rsidR="008E5666">
        <w:t xml:space="preserve">instructions about </w:t>
      </w:r>
      <w:r>
        <w:t xml:space="preserve">how to </w:t>
      </w:r>
      <w:r w:rsidR="00644576">
        <w:t xml:space="preserve">fulfill </w:t>
      </w:r>
      <w:r>
        <w:t xml:space="preserve">this 100 percent reimbursement requirement.  </w:t>
      </w:r>
      <w:r w:rsidRPr="007A0CC8" w:rsidR="002979E7">
        <w:t>Under</w:t>
      </w:r>
      <w:r w:rsidRPr="007A0CC8" w:rsidR="002F6B26">
        <w:t xml:space="preserve"> federal law, </w:t>
      </w:r>
      <w:r w:rsidR="00FF201A">
        <w:t xml:space="preserve">Medicaid </w:t>
      </w:r>
      <w:r w:rsidRPr="007A0CC8" w:rsidR="008C3A6E">
        <w:t xml:space="preserve">reimbursement to </w:t>
      </w:r>
      <w:r w:rsidR="008E5666">
        <w:t xml:space="preserve">FQHCs </w:t>
      </w:r>
      <w:r w:rsidRPr="007A0CC8" w:rsidR="00685663">
        <w:t>is</w:t>
      </w:r>
      <w:r w:rsidRPr="007A0CC8" w:rsidR="002F6B26">
        <w:t xml:space="preserve"> </w:t>
      </w:r>
      <w:r w:rsidRPr="007A0CC8" w:rsidR="00212064">
        <w:t xml:space="preserve">based on </w:t>
      </w:r>
      <w:r w:rsidRPr="007A0CC8" w:rsidR="00C60D9A">
        <w:t xml:space="preserve">a </w:t>
      </w:r>
      <w:r w:rsidRPr="007A0CC8" w:rsidR="00E47B21">
        <w:t xml:space="preserve">prospective </w:t>
      </w:r>
      <w:r w:rsidRPr="007A0CC8" w:rsidR="002F6B26">
        <w:t>per</w:t>
      </w:r>
      <w:r w:rsidRPr="007A0CC8" w:rsidR="00DD03FD">
        <w:t>-</w:t>
      </w:r>
      <w:r w:rsidRPr="007A0CC8" w:rsidR="002F6B26">
        <w:t xml:space="preserve">visit </w:t>
      </w:r>
      <w:r w:rsidRPr="007A0CC8" w:rsidR="00212064">
        <w:t>rate</w:t>
      </w:r>
      <w:r w:rsidR="004B7322">
        <w:t xml:space="preserve"> that </w:t>
      </w:r>
      <w:r w:rsidR="008E6C76">
        <w:t xml:space="preserve">includes </w:t>
      </w:r>
      <w:r w:rsidR="004B7322">
        <w:t xml:space="preserve">the cost of </w:t>
      </w:r>
      <w:r w:rsidR="00644576">
        <w:t xml:space="preserve">covered </w:t>
      </w:r>
      <w:r w:rsidR="008E6C76">
        <w:t xml:space="preserve">services </w:t>
      </w:r>
      <w:r w:rsidR="004B7322">
        <w:t>by</w:t>
      </w:r>
      <w:r w:rsidRPr="007A0CC8" w:rsidR="008E6C76">
        <w:t xml:space="preserve"> physicians or other designated health professionals</w:t>
      </w:r>
      <w:r w:rsidR="008E6C76">
        <w:t xml:space="preserve">, as well as </w:t>
      </w:r>
      <w:r w:rsidRPr="007A0CC8" w:rsidR="008E6C76">
        <w:t>services and supplies “incident to” those services</w:t>
      </w:r>
      <w:r w:rsidR="004B7322">
        <w:t>.</w:t>
      </w:r>
      <w:r w:rsidRPr="007A0CC8" w:rsidR="008E6C76">
        <w:t xml:space="preserve"> </w:t>
      </w:r>
      <w:r w:rsidR="004B7322">
        <w:t xml:space="preserve"> </w:t>
      </w:r>
      <w:r w:rsidRPr="007A0CC8" w:rsidR="008E6C76">
        <w:t>(</w:t>
      </w:r>
      <w:r w:rsidRPr="007A0CC8" w:rsidR="004B7322">
        <w:t xml:space="preserve">42 U.S.C. </w:t>
      </w:r>
      <w:r w:rsidRPr="007A0CC8" w:rsidR="008E6C76">
        <w:t>§ 1395x(aa)(1)(A)–(</w:t>
      </w:r>
      <w:r w:rsidR="008273CB">
        <w:t>B</w:t>
      </w:r>
      <w:r w:rsidRPr="007A0CC8" w:rsidR="008E6C76">
        <w:t>), (3)</w:t>
      </w:r>
      <w:r w:rsidR="00B96A70">
        <w:t xml:space="preserve">; see also </w:t>
      </w:r>
      <w:r w:rsidR="00B96A70">
        <w:rPr>
          <w:i/>
          <w:iCs/>
        </w:rPr>
        <w:t>id.</w:t>
      </w:r>
      <w:r w:rsidR="00B96A70">
        <w:t>, §§ 1396a(bb), 1396d</w:t>
      </w:r>
      <w:r w:rsidR="00C67607">
        <w:t xml:space="preserve">(a)(2)(C), </w:t>
      </w:r>
      <w:r w:rsidR="00B96A70">
        <w:t>(</w:t>
      </w:r>
      <w:r w:rsidR="00B96A70">
        <w:rPr>
          <w:i/>
          <w:iCs/>
        </w:rPr>
        <w:t>l</w:t>
      </w:r>
      <w:r w:rsidR="00B96A70">
        <w:t>)(2)</w:t>
      </w:r>
      <w:r w:rsidR="00021634">
        <w:t>.</w:t>
      </w:r>
      <w:r w:rsidRPr="007A0CC8" w:rsidR="008E6C76">
        <w:t>)</w:t>
      </w:r>
      <w:r w:rsidR="008E6C76">
        <w:t xml:space="preserve">  </w:t>
      </w:r>
      <w:r w:rsidRPr="007A0CC8" w:rsidR="00182692">
        <w:t>T</w:t>
      </w:r>
      <w:r w:rsidRPr="007A0CC8" w:rsidR="00C60D9A">
        <w:t>h</w:t>
      </w:r>
      <w:r w:rsidRPr="007A0CC8" w:rsidR="00182692">
        <w:t>at</w:t>
      </w:r>
      <w:r w:rsidRPr="007A0CC8" w:rsidR="00C60D9A">
        <w:t xml:space="preserve"> rate may be</w:t>
      </w:r>
      <w:r w:rsidRPr="007A0CC8" w:rsidR="00212064">
        <w:t xml:space="preserve"> a</w:t>
      </w:r>
      <w:r w:rsidRPr="007A0CC8" w:rsidR="00BE7AC8">
        <w:t>djust</w:t>
      </w:r>
      <w:r w:rsidRPr="007A0CC8" w:rsidR="00C60D9A">
        <w:t xml:space="preserve">ed </w:t>
      </w:r>
      <w:r w:rsidRPr="007A0CC8" w:rsidR="00685663">
        <w:t xml:space="preserve">when there are </w:t>
      </w:r>
      <w:r w:rsidRPr="007A0CC8" w:rsidR="00DD03FD">
        <w:t>change</w:t>
      </w:r>
      <w:r w:rsidRPr="007A0CC8" w:rsidR="00685663">
        <w:t>s</w:t>
      </w:r>
      <w:r w:rsidRPr="007A0CC8" w:rsidR="00DD03FD">
        <w:t xml:space="preserve"> in the scope of services </w:t>
      </w:r>
      <w:r w:rsidRPr="007A0CC8" w:rsidR="00685663">
        <w:t>the hea</w:t>
      </w:r>
      <w:r w:rsidRPr="007A0CC8" w:rsidR="00F67447">
        <w:t>l</w:t>
      </w:r>
      <w:r w:rsidRPr="007A0CC8" w:rsidR="00685663">
        <w:t xml:space="preserve">th center </w:t>
      </w:r>
      <w:r w:rsidRPr="007A0CC8" w:rsidR="00C60D9A">
        <w:t>provid</w:t>
      </w:r>
      <w:r w:rsidRPr="007A0CC8" w:rsidR="00685663">
        <w:t>es</w:t>
      </w:r>
      <w:r w:rsidRPr="007A0CC8" w:rsidR="00C60D9A">
        <w:t>.  (</w:t>
      </w:r>
      <w:r w:rsidRPr="007A0CC8" w:rsidR="00487A89">
        <w:rPr>
          <w:i/>
          <w:iCs/>
        </w:rPr>
        <w:t>Id.</w:t>
      </w:r>
      <w:r w:rsidRPr="007A0CC8" w:rsidR="00487A89">
        <w:t>,</w:t>
      </w:r>
      <w:r w:rsidRPr="007A0CC8" w:rsidR="00C60D9A">
        <w:t xml:space="preserve"> § 1396a(bb)(3)</w:t>
      </w:r>
      <w:r w:rsidRPr="007A0CC8" w:rsidR="00487A89">
        <w:t>(B)</w:t>
      </w:r>
      <w:r w:rsidRPr="007A0CC8" w:rsidR="00E47B21">
        <w:t>.)  State law</w:t>
      </w:r>
      <w:r w:rsidRPr="007A0CC8" w:rsidR="008F7836">
        <w:t xml:space="preserve"> codifies the same </w:t>
      </w:r>
      <w:r w:rsidRPr="007A0CC8" w:rsidR="00E47B21">
        <w:t>payment system</w:t>
      </w:r>
      <w:r w:rsidR="00D523C1">
        <w:t xml:space="preserve">.  </w:t>
      </w:r>
      <w:r w:rsidRPr="007A0CC8" w:rsidR="00E47B21">
        <w:t>(</w:t>
      </w:r>
      <w:r w:rsidRPr="007A0CC8" w:rsidR="00C60D9A">
        <w:t>Welf. &amp; Inst. Code, § 14132.100, subds. (c)–(e)</w:t>
      </w:r>
      <w:r w:rsidR="00D523C1">
        <w:t>.</w:t>
      </w:r>
      <w:r w:rsidRPr="007A0CC8" w:rsidR="00C60D9A">
        <w:t>)</w:t>
      </w:r>
      <w:r w:rsidR="00D523C1">
        <w:t xml:space="preserve">  State law </w:t>
      </w:r>
      <w:r w:rsidRPr="007A0CC8" w:rsidR="008F7836">
        <w:t xml:space="preserve">further </w:t>
      </w:r>
      <w:r w:rsidR="00512ECC">
        <w:t xml:space="preserve">instructs </w:t>
      </w:r>
      <w:r w:rsidRPr="007A0CC8" w:rsidR="00E47B21">
        <w:t>that</w:t>
      </w:r>
      <w:r w:rsidRPr="007A0CC8" w:rsidR="00C60D9A">
        <w:t xml:space="preserve"> </w:t>
      </w:r>
      <w:r w:rsidRPr="007A0CC8" w:rsidR="00E47B21">
        <w:t>a</w:t>
      </w:r>
      <w:r w:rsidRPr="007A0CC8" w:rsidR="00C60D9A">
        <w:t xml:space="preserve">djustments </w:t>
      </w:r>
      <w:r w:rsidRPr="007A0CC8" w:rsidR="003716BA">
        <w:t xml:space="preserve">are </w:t>
      </w:r>
      <w:r w:rsidRPr="007A0CC8" w:rsidR="00DD03FD">
        <w:t>“evaluated in accordance with Medicare reasonable cost principles.”  (</w:t>
      </w:r>
      <w:r w:rsidRPr="00423776" w:rsidR="00423776">
        <w:rPr>
          <w:i/>
          <w:iCs/>
        </w:rPr>
        <w:t>Id.</w:t>
      </w:r>
      <w:r w:rsidR="00423776">
        <w:t xml:space="preserve">, </w:t>
      </w:r>
      <w:r w:rsidRPr="007A0CC8" w:rsidR="00DD03FD">
        <w:t>subd. (e)(1)</w:t>
      </w:r>
      <w:r w:rsidR="006A3F9A">
        <w:t>; see 42 U.S.C. §</w:t>
      </w:r>
      <w:r w:rsidR="00C373B3">
        <w:t> </w:t>
      </w:r>
      <w:r w:rsidR="006A3F9A">
        <w:t>1396a(bb)(2), (4) [</w:t>
      </w:r>
      <w:r w:rsidR="00903DB9">
        <w:t xml:space="preserve">identifying the Medicare reasonable cost regulations as a permissible basis for calculating </w:t>
      </w:r>
      <w:r w:rsidR="006A3F9A">
        <w:t>payment amounts]</w:t>
      </w:r>
      <w:r w:rsidRPr="007A0CC8" w:rsidR="00DD03FD">
        <w:t>.)</w:t>
      </w:r>
      <w:r w:rsidR="00981B49">
        <w:t xml:space="preserve">  </w:t>
      </w:r>
    </w:p>
    <w:p w:rsidR="00083374" w:rsidRPr="007A0CC8" w:rsidP="00684590" w14:paraId="75481C03" w14:textId="77777777">
      <w:pPr>
        <w:ind w:firstLine="720"/>
      </w:pPr>
      <w:r>
        <w:t xml:space="preserve">The reference </w:t>
      </w:r>
      <w:r w:rsidR="009C07F4">
        <w:t>to “reasonable cost</w:t>
      </w:r>
      <w:r w:rsidR="004F7D5E">
        <w:t xml:space="preserve"> principles</w:t>
      </w:r>
      <w:r w:rsidR="009C07F4">
        <w:t xml:space="preserve">” </w:t>
      </w:r>
      <w:r>
        <w:t xml:space="preserve">is to </w:t>
      </w:r>
      <w:r w:rsidR="004F7D5E">
        <w:t xml:space="preserve">a </w:t>
      </w:r>
      <w:r>
        <w:t xml:space="preserve">set of </w:t>
      </w:r>
      <w:r w:rsidR="004F7D5E">
        <w:t xml:space="preserve">regulations </w:t>
      </w:r>
      <w:r>
        <w:t xml:space="preserve">promulgated under </w:t>
      </w:r>
      <w:r w:rsidR="00514DA2">
        <w:t xml:space="preserve">the federal </w:t>
      </w:r>
      <w:r>
        <w:t>Medicare</w:t>
      </w:r>
      <w:r w:rsidR="009C07F4">
        <w:t> </w:t>
      </w:r>
      <w:r w:rsidR="00514DA2">
        <w:t>statute.</w:t>
      </w:r>
      <w:r>
        <w:rPr>
          <w:rStyle w:val="FootnoteReference"/>
        </w:rPr>
        <w:footnoteReference w:id="4"/>
      </w:r>
      <w:r w:rsidR="00514DA2">
        <w:t xml:space="preserve">  </w:t>
      </w:r>
      <w:r w:rsidRPr="00000F6A" w:rsidR="00B610E7">
        <w:t>(42 U.S.C. §</w:t>
      </w:r>
      <w:r w:rsidR="00C373B3">
        <w:t> </w:t>
      </w:r>
      <w:r w:rsidRPr="00000F6A" w:rsidR="00B610E7">
        <w:t>1395c</w:t>
      </w:r>
      <w:r w:rsidR="00B610E7">
        <w:t>.</w:t>
      </w:r>
      <w:r w:rsidRPr="00000F6A" w:rsidR="00B610E7">
        <w:t>)</w:t>
      </w:r>
      <w:r w:rsidR="00B610E7">
        <w:t xml:space="preserve">  </w:t>
      </w:r>
      <w:r w:rsidR="00F21977">
        <w:t xml:space="preserve">Much like </w:t>
      </w:r>
      <w:r w:rsidR="00706534">
        <w:t xml:space="preserve">the Medicaid provisions governing FQHCs, </w:t>
      </w:r>
      <w:r w:rsidR="00F21977">
        <w:t xml:space="preserve">the Medicare statute </w:t>
      </w:r>
      <w:r w:rsidR="00706534">
        <w:t xml:space="preserve">instructs that payments to providers </w:t>
      </w:r>
      <w:r w:rsidR="00F21977">
        <w:t xml:space="preserve">be based on the </w:t>
      </w:r>
      <w:r w:rsidRPr="007A0CC8" w:rsidR="00737074">
        <w:t>“reasonable cost” of covered services, taking into account “both direct and indirect costs of providers of services.”  (</w:t>
      </w:r>
      <w:r w:rsidRPr="007560BE" w:rsidR="007560BE">
        <w:rPr>
          <w:i/>
          <w:iCs/>
        </w:rPr>
        <w:t>Id.</w:t>
      </w:r>
      <w:r w:rsidR="007560BE">
        <w:t xml:space="preserve">, </w:t>
      </w:r>
      <w:r w:rsidRPr="007A0CC8" w:rsidR="00737074">
        <w:t>§ 1395x(v)(1)(A).)</w:t>
      </w:r>
      <w:r w:rsidR="003E187A">
        <w:t xml:space="preserve">  </w:t>
      </w:r>
      <w:r w:rsidR="004D4FC8">
        <w:t xml:space="preserve">The </w:t>
      </w:r>
      <w:r w:rsidRPr="007A0CC8" w:rsidR="00737074">
        <w:t xml:space="preserve">implementing </w:t>
      </w:r>
      <w:r w:rsidR="00C11C3F">
        <w:t xml:space="preserve">regulation </w:t>
      </w:r>
      <w:r w:rsidRPr="007A0CC8" w:rsidR="00737074">
        <w:t>specif</w:t>
      </w:r>
      <w:r w:rsidR="00126646">
        <w:t>i</w:t>
      </w:r>
      <w:r w:rsidR="00C11C3F">
        <w:t>es</w:t>
      </w:r>
      <w:r w:rsidRPr="007A0CC8" w:rsidR="00737074">
        <w:t xml:space="preserve"> that payment must be based on reasonable costs that are “related to the care of beneficiaries,” including “all necessary and proper costs incurred in furnishing the services.”  (42 C.F.R. § 413.9(a)</w:t>
      </w:r>
      <w:r w:rsidRPr="007A0CC8" w:rsidR="00FD3388">
        <w:t xml:space="preserve"> (2023)</w:t>
      </w:r>
      <w:r w:rsidRPr="007A0CC8" w:rsidR="00737074">
        <w:t xml:space="preserve">.)  </w:t>
      </w:r>
    </w:p>
    <w:p w:rsidR="00C9670E" w:rsidRPr="007A0CC8" w:rsidP="00095EB3" w14:paraId="75481C04" w14:textId="77777777">
      <w:pPr>
        <w:pStyle w:val="Heading1"/>
      </w:pPr>
      <w:r w:rsidRPr="007A0CC8">
        <w:t>II.</w:t>
      </w:r>
    </w:p>
    <w:p w:rsidR="00E63AE3" w:rsidP="007A0CC8" w14:paraId="75481C05" w14:textId="77777777">
      <w:pPr>
        <w:tabs>
          <w:tab w:val="left" w:pos="1440"/>
        </w:tabs>
        <w:ind w:firstLine="720"/>
      </w:pPr>
      <w:r w:rsidRPr="007A0CC8">
        <w:t>Plaintiff Family Health Centers of San Diego is a nonprofit corporation that operates</w:t>
      </w:r>
      <w:r w:rsidR="00D1704C">
        <w:t xml:space="preserve"> multiple </w:t>
      </w:r>
      <w:r w:rsidRPr="007A0CC8">
        <w:t>federally qualified health centers in San Diego County</w:t>
      </w:r>
      <w:r>
        <w:t xml:space="preserve">.  </w:t>
      </w:r>
    </w:p>
    <w:p w:rsidR="00C850F7" w:rsidRPr="007A0CC8" w:rsidP="007A0CC8" w14:paraId="75481C06" w14:textId="77777777">
      <w:pPr>
        <w:tabs>
          <w:tab w:val="left" w:pos="1440"/>
        </w:tabs>
        <w:ind w:firstLine="720"/>
      </w:pPr>
      <w:r w:rsidRPr="007A0CC8">
        <w:t>California participates in Medicaid through the California Medical Assistance Program, known as “Medi-Cal,” which is administered by the State Department of Health Care Services (Department).  (Welf. &amp; Inst. Code, §§ 14100.1, 14170, subd. (a)(1), 14203.)</w:t>
      </w:r>
      <w:r>
        <w:t xml:space="preserve">  </w:t>
      </w:r>
      <w:r w:rsidR="00E63AE3">
        <w:t xml:space="preserve">In 2013, Family Health </w:t>
      </w:r>
      <w:r w:rsidR="00D57DF7">
        <w:t xml:space="preserve">asked the Department for an </w:t>
      </w:r>
      <w:r w:rsidR="00E63AE3">
        <w:t xml:space="preserve">increase in the </w:t>
      </w:r>
      <w:r w:rsidRPr="007A0CC8" w:rsidR="0018562D">
        <w:t xml:space="preserve">per-visit </w:t>
      </w:r>
      <w:r w:rsidR="00793644">
        <w:t xml:space="preserve">Medi-Cal </w:t>
      </w:r>
      <w:r w:rsidR="00E63AE3">
        <w:t xml:space="preserve">reimbursement </w:t>
      </w:r>
      <w:r w:rsidR="00E26488">
        <w:t xml:space="preserve">rate </w:t>
      </w:r>
      <w:r w:rsidRPr="007A0CC8" w:rsidR="00005680">
        <w:t>for one of its clinics</w:t>
      </w:r>
      <w:r w:rsidR="008D1423">
        <w:t xml:space="preserve">.  In a </w:t>
      </w:r>
      <w:r w:rsidR="00C543D6">
        <w:t xml:space="preserve">cost </w:t>
      </w:r>
      <w:r w:rsidR="008D1423">
        <w:t xml:space="preserve">report supporting the request, Family Health </w:t>
      </w:r>
      <w:r w:rsidR="00E63AE3">
        <w:t>list</w:t>
      </w:r>
      <w:r w:rsidR="008D1423">
        <w:t>ed</w:t>
      </w:r>
      <w:r w:rsidR="00E63AE3">
        <w:t xml:space="preserve"> </w:t>
      </w:r>
      <w:r w:rsidRPr="007A0CC8" w:rsidR="00255D79">
        <w:t>“</w:t>
      </w:r>
      <w:r w:rsidRPr="007A0CC8" w:rsidR="00C944B2">
        <w:t>o</w:t>
      </w:r>
      <w:r w:rsidRPr="007A0CC8" w:rsidR="00255D79">
        <w:t>utreach” among its health care staff costs</w:t>
      </w:r>
      <w:r w:rsidR="00510720">
        <w:t xml:space="preserve"> and</w:t>
      </w:r>
      <w:r w:rsidR="005E5B47">
        <w:t xml:space="preserve"> </w:t>
      </w:r>
      <w:r w:rsidR="00637E5C">
        <w:t>later</w:t>
      </w:r>
      <w:r w:rsidR="00510720">
        <w:t xml:space="preserve"> provided </w:t>
      </w:r>
      <w:r w:rsidR="00637E5C">
        <w:t xml:space="preserve">additional details, including </w:t>
      </w:r>
      <w:r w:rsidR="00510720">
        <w:t>job descriptions for outreach staff</w:t>
      </w:r>
      <w:r w:rsidR="00637E5C">
        <w:t>,</w:t>
      </w:r>
      <w:r w:rsidR="00510720">
        <w:t xml:space="preserve"> to a</w:t>
      </w:r>
      <w:r w:rsidR="007D3315">
        <w:t xml:space="preserve"> </w:t>
      </w:r>
      <w:r w:rsidRPr="007A0CC8" w:rsidR="007719F0">
        <w:t xml:space="preserve">Department </w:t>
      </w:r>
      <w:r w:rsidR="007D3315">
        <w:t xml:space="preserve">auditor.  </w:t>
      </w:r>
      <w:r w:rsidRPr="007A0CC8" w:rsidR="00DA01A1">
        <w:t>One position</w:t>
      </w:r>
      <w:r w:rsidR="007946B6">
        <w:t>, for example,</w:t>
      </w:r>
      <w:r w:rsidRPr="007A0CC8" w:rsidR="00DA01A1">
        <w:t xml:space="preserve"> was</w:t>
      </w:r>
      <w:r w:rsidRPr="007A0CC8" w:rsidR="00DE16E5">
        <w:t xml:space="preserve"> an</w:t>
      </w:r>
      <w:r w:rsidRPr="007A0CC8" w:rsidR="00DA01A1">
        <w:t xml:space="preserve"> “Outreach Worker,” </w:t>
      </w:r>
      <w:r w:rsidRPr="007A0CC8" w:rsidR="00DE16E5">
        <w:t xml:space="preserve">who was tasked with </w:t>
      </w:r>
      <w:r w:rsidRPr="007A0CC8" w:rsidR="00DA01A1">
        <w:t>provid</w:t>
      </w:r>
      <w:r w:rsidRPr="007A0CC8" w:rsidR="00DE16E5">
        <w:t>ing</w:t>
      </w:r>
      <w:r w:rsidRPr="007A0CC8" w:rsidR="00DA01A1">
        <w:t xml:space="preserve"> “information and instruction” about </w:t>
      </w:r>
      <w:r w:rsidRPr="007A0CC8" w:rsidR="00F90BA0">
        <w:t>Family Health</w:t>
      </w:r>
      <w:r w:rsidRPr="007A0CC8" w:rsidR="00DA01A1">
        <w:t xml:space="preserve"> resources through “street outreach” </w:t>
      </w:r>
      <w:r w:rsidRPr="007A0CC8" w:rsidR="00F90BA0">
        <w:t xml:space="preserve">and by “meeting with people on an individual basis, making group presentations, participating in community events and developing accessibility as liaison for and guide to” the local Family Health clinic.  </w:t>
      </w:r>
      <w:r w:rsidR="00080759">
        <w:t>A</w:t>
      </w:r>
      <w:r w:rsidRPr="007A0CC8" w:rsidR="00974CED">
        <w:t xml:space="preserve"> </w:t>
      </w:r>
      <w:r w:rsidRPr="007A0CC8" w:rsidR="00F90BA0">
        <w:t>“Family Resource Center</w:t>
      </w:r>
      <w:r w:rsidRPr="007A0CC8" w:rsidR="00EC1100">
        <w:t>”</w:t>
      </w:r>
      <w:r w:rsidRPr="007A0CC8" w:rsidR="00F90BA0">
        <w:t xml:space="preserve"> </w:t>
      </w:r>
      <w:r w:rsidRPr="007A0CC8" w:rsidR="00EC1100">
        <w:t>o</w:t>
      </w:r>
      <w:r w:rsidRPr="007A0CC8" w:rsidR="00F90BA0">
        <w:t>utreach</w:t>
      </w:r>
      <w:r w:rsidRPr="007A0CC8" w:rsidR="00EC1100">
        <w:t xml:space="preserve"> worker</w:t>
      </w:r>
      <w:r w:rsidRPr="007A0CC8" w:rsidR="00F90BA0">
        <w:t xml:space="preserve"> focused on educating parents about the importance of early childhood development and Family Health resources for young children; a “</w:t>
      </w:r>
      <w:r w:rsidRPr="007A0CC8" w:rsidR="00DA5B75">
        <w:t>Community Outreach Specialist</w:t>
      </w:r>
      <w:r w:rsidRPr="007A0CC8" w:rsidR="00F90BA0">
        <w:t xml:space="preserve">” conducted </w:t>
      </w:r>
      <w:r w:rsidRPr="007A0CC8" w:rsidR="00DA5B75">
        <w:t>“educational presentations and home visits</w:t>
      </w:r>
      <w:r w:rsidRPr="007A0CC8" w:rsidR="0032052A">
        <w:t xml:space="preserve">” for </w:t>
      </w:r>
      <w:r w:rsidR="00F360CE">
        <w:t xml:space="preserve">families referred for </w:t>
      </w:r>
      <w:r w:rsidRPr="007A0CC8" w:rsidR="0032052A">
        <w:t xml:space="preserve">a </w:t>
      </w:r>
      <w:r w:rsidRPr="007A0CC8" w:rsidR="00DA5B75">
        <w:t>Childhood Lead Poisoning Prevention Program</w:t>
      </w:r>
      <w:r w:rsidRPr="007A0CC8" w:rsidR="0032052A">
        <w:t>; a “</w:t>
      </w:r>
      <w:r w:rsidRPr="007A0CC8">
        <w:t>Family Planning Health Educator</w:t>
      </w:r>
      <w:r w:rsidRPr="007A0CC8" w:rsidR="0032052A">
        <w:t xml:space="preserve">” provided </w:t>
      </w:r>
      <w:r w:rsidRPr="007A0CC8">
        <w:t>“family planning education and counseling</w:t>
      </w:r>
      <w:r w:rsidR="00DC1412">
        <w:t>,</w:t>
      </w:r>
      <w:r w:rsidRPr="007A0CC8" w:rsidR="0032052A">
        <w:t>” focusing on “</w:t>
      </w:r>
      <w:r w:rsidRPr="007A0CC8">
        <w:t>high risk and hard to reach</w:t>
      </w:r>
      <w:r w:rsidRPr="007A0CC8" w:rsidR="0032052A">
        <w:t xml:space="preserve">” individuals </w:t>
      </w:r>
      <w:r w:rsidRPr="007A0CC8" w:rsidR="00DE16E5">
        <w:t xml:space="preserve">who were, for example, </w:t>
      </w:r>
      <w:r w:rsidRPr="007A0CC8" w:rsidR="0032052A">
        <w:t xml:space="preserve">homeless, substance using, or </w:t>
      </w:r>
      <w:r w:rsidRPr="007A0CC8">
        <w:t>l</w:t>
      </w:r>
      <w:r w:rsidRPr="007A0CC8" w:rsidR="003A489B">
        <w:t xml:space="preserve">imited </w:t>
      </w:r>
      <w:r w:rsidRPr="007A0CC8">
        <w:t xml:space="preserve">English </w:t>
      </w:r>
      <w:r w:rsidRPr="007A0CC8" w:rsidR="003A489B">
        <w:t>speakers</w:t>
      </w:r>
      <w:r w:rsidRPr="007A0CC8" w:rsidR="0032052A">
        <w:t xml:space="preserve">; and </w:t>
      </w:r>
      <w:r w:rsidRPr="007A0CC8" w:rsidR="00974CED">
        <w:t xml:space="preserve">a </w:t>
      </w:r>
      <w:r w:rsidRPr="007A0CC8" w:rsidR="0032052A">
        <w:t>“</w:t>
      </w:r>
      <w:r w:rsidRPr="007A0CC8">
        <w:t>Senior</w:t>
      </w:r>
      <w:r w:rsidRPr="007A0CC8" w:rsidR="00EC1100">
        <w:t>”</w:t>
      </w:r>
      <w:r w:rsidRPr="007A0CC8">
        <w:t xml:space="preserve"> </w:t>
      </w:r>
      <w:r w:rsidRPr="007A0CC8" w:rsidR="00EC1100">
        <w:t>o</w:t>
      </w:r>
      <w:r w:rsidRPr="007A0CC8">
        <w:t>utreach</w:t>
      </w:r>
      <w:r w:rsidRPr="007A0CC8" w:rsidR="00EC1100">
        <w:t xml:space="preserve"> worker</w:t>
      </w:r>
      <w:r w:rsidRPr="007A0CC8" w:rsidR="0032052A">
        <w:t xml:space="preserve"> engaged in </w:t>
      </w:r>
      <w:r w:rsidRPr="007A0CC8">
        <w:t>“community education and outreach</w:t>
      </w:r>
      <w:r w:rsidRPr="007A0CC8" w:rsidR="0032052A">
        <w:t>”</w:t>
      </w:r>
      <w:r w:rsidRPr="007A0CC8">
        <w:t xml:space="preserve"> to identify </w:t>
      </w:r>
      <w:r w:rsidRPr="007A0CC8" w:rsidR="0032052A">
        <w:t>“</w:t>
      </w:r>
      <w:r w:rsidRPr="007A0CC8">
        <w:t xml:space="preserve">senior citizens in need of mental health services” </w:t>
      </w:r>
      <w:r w:rsidRPr="007A0CC8" w:rsidR="00540371">
        <w:t xml:space="preserve">and </w:t>
      </w:r>
      <w:r w:rsidRPr="007A0CC8" w:rsidR="003A489B">
        <w:t xml:space="preserve">to </w:t>
      </w:r>
      <w:r w:rsidRPr="007A0CC8" w:rsidR="0032052A">
        <w:t xml:space="preserve">connect them to </w:t>
      </w:r>
      <w:r w:rsidRPr="007A0CC8" w:rsidR="00540371">
        <w:t>appropriate Family Health services</w:t>
      </w:r>
      <w:r w:rsidRPr="007A0CC8" w:rsidR="0032052A">
        <w:t>.</w:t>
      </w:r>
      <w:r w:rsidRPr="007A0CC8">
        <w:t xml:space="preserve"> </w:t>
      </w:r>
    </w:p>
    <w:p w:rsidR="003A489B" w:rsidRPr="007A0CC8" w:rsidP="007A0CC8" w14:paraId="75481C07" w14:textId="77777777">
      <w:pPr>
        <w:tabs>
          <w:tab w:val="left" w:pos="1440"/>
        </w:tabs>
        <w:ind w:firstLine="720"/>
      </w:pPr>
      <w:r w:rsidRPr="007A0CC8">
        <w:t xml:space="preserve">The auditor concluded that </w:t>
      </w:r>
      <w:r w:rsidR="004E20C0">
        <w:t xml:space="preserve">the salaries and benefits for Family Health’s outreach workers </w:t>
      </w:r>
      <w:r w:rsidRPr="007A0CC8" w:rsidR="00172C49">
        <w:t xml:space="preserve">were </w:t>
      </w:r>
      <w:r w:rsidRPr="007A0CC8" w:rsidR="009335C6">
        <w:t xml:space="preserve">not </w:t>
      </w:r>
      <w:r w:rsidRPr="007A0CC8" w:rsidR="00CD432B">
        <w:t>reimbur</w:t>
      </w:r>
      <w:r w:rsidRPr="007A0CC8" w:rsidR="009335C6">
        <w:t>sable</w:t>
      </w:r>
      <w:r w:rsidRPr="007A0CC8" w:rsidR="00CD432B">
        <w:t xml:space="preserve"> </w:t>
      </w:r>
      <w:r w:rsidRPr="007A0CC8" w:rsidR="00172C49">
        <w:t>“due to insufficient documentation demonstrating that they are related to services and supplies that are incident to a FQHC visit and a covered benefit.”</w:t>
      </w:r>
      <w:r w:rsidRPr="007A0CC8" w:rsidR="00A27A3D">
        <w:t xml:space="preserve"> </w:t>
      </w:r>
      <w:r w:rsidRPr="007A0CC8" w:rsidR="006D6ECC">
        <w:t xml:space="preserve"> </w:t>
      </w:r>
      <w:r w:rsidRPr="007A0CC8" w:rsidR="006A0657">
        <w:t xml:space="preserve">Family Health appealed, </w:t>
      </w:r>
      <w:r w:rsidRPr="007A0CC8" w:rsidR="00EF441C">
        <w:t>first through i</w:t>
      </w:r>
      <w:r w:rsidRPr="007A0CC8" w:rsidR="006A0657">
        <w:t xml:space="preserve">nformal administrative review </w:t>
      </w:r>
      <w:r w:rsidRPr="007A0CC8" w:rsidR="009B392A">
        <w:t xml:space="preserve">and </w:t>
      </w:r>
      <w:r w:rsidRPr="007A0CC8" w:rsidR="00EF441C">
        <w:t>then</w:t>
      </w:r>
      <w:r w:rsidR="008243F6">
        <w:t>, failing that,</w:t>
      </w:r>
      <w:r w:rsidRPr="007A0CC8" w:rsidR="00EF441C">
        <w:t xml:space="preserve"> </w:t>
      </w:r>
      <w:r w:rsidRPr="007A0CC8" w:rsidR="009B392A">
        <w:t xml:space="preserve">through </w:t>
      </w:r>
      <w:r w:rsidRPr="007A0CC8" w:rsidR="006A0657">
        <w:t>a formal administrative hearing.</w:t>
      </w:r>
      <w:r>
        <w:rPr>
          <w:rStyle w:val="FootnoteReference"/>
        </w:rPr>
        <w:footnoteReference w:id="5"/>
      </w:r>
      <w:r w:rsidRPr="007A0CC8" w:rsidR="006A0657">
        <w:t xml:space="preserve"> </w:t>
      </w:r>
    </w:p>
    <w:p w:rsidR="00091D59" w:rsidRPr="007A0CC8" w:rsidP="007A0CC8" w14:paraId="75481C08" w14:textId="77777777">
      <w:pPr>
        <w:tabs>
          <w:tab w:val="left" w:pos="1440"/>
        </w:tabs>
        <w:ind w:firstLine="720"/>
      </w:pPr>
      <w:r>
        <w:t xml:space="preserve">At </w:t>
      </w:r>
      <w:r w:rsidRPr="007A0CC8" w:rsidR="004E7856">
        <w:t>the administrative hearing</w:t>
      </w:r>
      <w:r w:rsidRPr="007A0CC8" w:rsidR="00164DA0">
        <w:t>, t</w:t>
      </w:r>
      <w:r w:rsidRPr="007A0CC8" w:rsidR="00C81989">
        <w:t>he D</w:t>
      </w:r>
      <w:r w:rsidRPr="007A0CC8" w:rsidR="00F3327F">
        <w:t>epartment</w:t>
      </w:r>
      <w:r w:rsidRPr="007A0CC8" w:rsidR="00C81989">
        <w:t xml:space="preserve"> auditor </w:t>
      </w:r>
      <w:r w:rsidR="00045C2B">
        <w:t>repeated his conclusion that the contested outreach costs were not reimbursable because they were not related to services and supplies incident to a</w:t>
      </w:r>
      <w:r w:rsidR="0098733D">
        <w:t>n</w:t>
      </w:r>
      <w:r w:rsidR="00045C2B">
        <w:t xml:space="preserve"> FQHC visit.</w:t>
      </w:r>
      <w:r w:rsidR="00AA3499">
        <w:t xml:space="preserve">  </w:t>
      </w:r>
      <w:r w:rsidRPr="007A0CC8" w:rsidR="00BB26CA">
        <w:t xml:space="preserve">On cross-examination, the </w:t>
      </w:r>
      <w:r w:rsidRPr="007A0CC8" w:rsidR="00AC7845">
        <w:t xml:space="preserve">Department </w:t>
      </w:r>
      <w:r w:rsidRPr="007A0CC8" w:rsidR="00BB26CA">
        <w:t xml:space="preserve">auditor </w:t>
      </w:r>
      <w:r w:rsidR="00E43DDA">
        <w:t>stated</w:t>
      </w:r>
      <w:r w:rsidRPr="007A0CC8" w:rsidR="00BB26CA">
        <w:t xml:space="preserve"> that he</w:t>
      </w:r>
      <w:r w:rsidRPr="007A0CC8" w:rsidR="001669B6">
        <w:t xml:space="preserve"> was not familiar with federal law requir</w:t>
      </w:r>
      <w:r w:rsidRPr="007A0CC8">
        <w:t xml:space="preserve">ing </w:t>
      </w:r>
      <w:r w:rsidR="000414A5">
        <w:t xml:space="preserve">FQHCs </w:t>
      </w:r>
      <w:r w:rsidRPr="007A0CC8">
        <w:t xml:space="preserve">to </w:t>
      </w:r>
      <w:r w:rsidRPr="007A0CC8" w:rsidR="001669B6">
        <w:t>engage in outreach</w:t>
      </w:r>
      <w:r w:rsidR="006419FE">
        <w:t>.</w:t>
      </w:r>
      <w:r w:rsidRPr="007A0CC8" w:rsidR="00662478">
        <w:t xml:space="preserve"> </w:t>
      </w:r>
      <w:r w:rsidR="0098733D">
        <w:t xml:space="preserve"> </w:t>
      </w:r>
      <w:r w:rsidR="006419FE">
        <w:t>T</w:t>
      </w:r>
      <w:r w:rsidRPr="007A0CC8" w:rsidR="00662478">
        <w:t xml:space="preserve">he </w:t>
      </w:r>
      <w:r w:rsidRPr="007A0CC8" w:rsidR="001669B6">
        <w:t xml:space="preserve">auditor </w:t>
      </w:r>
      <w:r w:rsidR="006419FE">
        <w:t xml:space="preserve">also </w:t>
      </w:r>
      <w:r w:rsidRPr="007A0CC8" w:rsidR="001669B6">
        <w:t>acknowledged that some administrative costs</w:t>
      </w:r>
      <w:r w:rsidRPr="007A0CC8" w:rsidR="006D6ECC">
        <w:t> </w:t>
      </w:r>
      <w:r w:rsidRPr="007A0CC8" w:rsidR="001669B6">
        <w:t>— indirect costs not incident to a visit or covered benefit</w:t>
      </w:r>
      <w:r w:rsidRPr="007A0CC8" w:rsidR="006D6ECC">
        <w:t> </w:t>
      </w:r>
      <w:r w:rsidRPr="007A0CC8" w:rsidR="001669B6">
        <w:t>—</w:t>
      </w:r>
      <w:r w:rsidRPr="007A0CC8" w:rsidR="00313E23">
        <w:t xml:space="preserve"> were </w:t>
      </w:r>
      <w:r w:rsidR="006419FE">
        <w:t xml:space="preserve">reimbursable under federal and state Medicaid law </w:t>
      </w:r>
      <w:r w:rsidRPr="007A0CC8" w:rsidR="00313E23">
        <w:t>but was “not quite sure” why outreach was not such a cost</w:t>
      </w:r>
      <w:r w:rsidRPr="007A0CC8" w:rsidR="00662478">
        <w:t>.</w:t>
      </w:r>
      <w:r w:rsidRPr="007A0CC8" w:rsidR="00313E23">
        <w:t xml:space="preserve">  </w:t>
      </w:r>
    </w:p>
    <w:p w:rsidR="00395CAB" w:rsidRPr="007A0CC8" w:rsidP="000E5DC1" w14:paraId="75481C09" w14:textId="77777777">
      <w:pPr>
        <w:tabs>
          <w:tab w:val="left" w:pos="1440"/>
        </w:tabs>
        <w:ind w:firstLine="720"/>
      </w:pPr>
      <w:r w:rsidRPr="007A0CC8">
        <w:t>T</w:t>
      </w:r>
      <w:r w:rsidRPr="007A0CC8" w:rsidR="00091D59">
        <w:t>he CEO of Family Health</w:t>
      </w:r>
      <w:r w:rsidRPr="007A0CC8" w:rsidR="00E35106">
        <w:t>,</w:t>
      </w:r>
      <w:r w:rsidRPr="007A0CC8" w:rsidR="00091D59">
        <w:t xml:space="preserve"> </w:t>
      </w:r>
      <w:r w:rsidRPr="007A0CC8">
        <w:t xml:space="preserve">Fran Butler-Cohen, </w:t>
      </w:r>
      <w:r w:rsidRPr="007A0CC8" w:rsidR="00091D59">
        <w:t xml:space="preserve">testified </w:t>
      </w:r>
      <w:r w:rsidR="00C647D6">
        <w:t xml:space="preserve">at length </w:t>
      </w:r>
      <w:r w:rsidR="00C40E0E">
        <w:t xml:space="preserve">about </w:t>
      </w:r>
      <w:r w:rsidRPr="007A0CC8" w:rsidR="0057565E">
        <w:t>Family Health</w:t>
      </w:r>
      <w:r w:rsidR="00C40E0E">
        <w:t xml:space="preserve"> outreach.</w:t>
      </w:r>
      <w:r w:rsidRPr="007A0CC8" w:rsidR="00091D59">
        <w:t xml:space="preserve">  </w:t>
      </w:r>
      <w:r w:rsidR="00DE706B">
        <w:t xml:space="preserve">Family Health conducted outreach to try to engage with targeted populations in a variety of settings, including “group and organizational settings,” in “church[] and community service center venues,” </w:t>
      </w:r>
      <w:r w:rsidRPr="007A0CC8" w:rsidR="00DE706B">
        <w:t>“in the street, in schools, in agen[cies], [and in] business venues,” and</w:t>
      </w:r>
      <w:r w:rsidR="00DE706B">
        <w:t xml:space="preserve">, for </w:t>
      </w:r>
      <w:r w:rsidRPr="007A0CC8" w:rsidR="00DE706B">
        <w:t>“HIV related outreach</w:t>
      </w:r>
      <w:r w:rsidR="00DE706B">
        <w:t>,</w:t>
      </w:r>
      <w:r w:rsidRPr="007A0CC8" w:rsidR="00DE706B">
        <w:t>” in “LGBT related settings, such as bars, bathhouses, clubs” and “other public venues such as beaches and parks.”</w:t>
      </w:r>
      <w:r w:rsidR="00DE706B">
        <w:t xml:space="preserve">  </w:t>
      </w:r>
      <w:r w:rsidRPr="007A0CC8" w:rsidR="000E1651">
        <w:t xml:space="preserve">Family Health outreach workers </w:t>
      </w:r>
      <w:r w:rsidR="004F24F2">
        <w:t xml:space="preserve">kept track of whether individuals then </w:t>
      </w:r>
      <w:r w:rsidR="008773DF">
        <w:t xml:space="preserve">attended health center </w:t>
      </w:r>
      <w:r w:rsidR="00C34069">
        <w:t xml:space="preserve">medical </w:t>
      </w:r>
      <w:r w:rsidR="00BD0FDE">
        <w:t>appointments</w:t>
      </w:r>
      <w:r w:rsidR="004F24F2">
        <w:t xml:space="preserve">, as well as </w:t>
      </w:r>
      <w:r w:rsidR="00BD0FDE">
        <w:t xml:space="preserve">whether </w:t>
      </w:r>
      <w:r w:rsidR="00C34069">
        <w:t>th</w:t>
      </w:r>
      <w:r w:rsidR="00002FD9">
        <w:t>os</w:t>
      </w:r>
      <w:r w:rsidR="00DE706B">
        <w:t xml:space="preserve">e </w:t>
      </w:r>
      <w:r w:rsidR="00BD0FDE">
        <w:t>appointments were covered by Medi-Cal or other insurance</w:t>
      </w:r>
      <w:r w:rsidRPr="007A0CC8" w:rsidR="00662478">
        <w:t>.</w:t>
      </w:r>
      <w:r w:rsidRPr="007A0CC8" w:rsidR="00461CCC">
        <w:t xml:space="preserve">  </w:t>
      </w:r>
      <w:r w:rsidR="00DE706B">
        <w:t xml:space="preserve">She </w:t>
      </w:r>
      <w:r w:rsidRPr="007A0CC8" w:rsidR="00A16E50">
        <w:t xml:space="preserve">emphasized </w:t>
      </w:r>
      <w:r w:rsidR="000E5DC1">
        <w:t xml:space="preserve">the difficulties target populations faced in accessing care and </w:t>
      </w:r>
      <w:r w:rsidR="0098733D">
        <w:t xml:space="preserve">described examples of </w:t>
      </w:r>
      <w:r w:rsidR="004B7672">
        <w:t xml:space="preserve">federal and state </w:t>
      </w:r>
      <w:r w:rsidRPr="007A0CC8" w:rsidR="007C374C">
        <w:t xml:space="preserve">guidance </w:t>
      </w:r>
      <w:r w:rsidR="004B7672">
        <w:t xml:space="preserve">that </w:t>
      </w:r>
      <w:r w:rsidRPr="007A0CC8" w:rsidR="0057565E">
        <w:t>characteriz</w:t>
      </w:r>
      <w:r w:rsidR="004B7672">
        <w:t>ed</w:t>
      </w:r>
      <w:r w:rsidRPr="007A0CC8" w:rsidR="0057565E">
        <w:t xml:space="preserve"> </w:t>
      </w:r>
      <w:r w:rsidRPr="007A0CC8" w:rsidR="000D7934">
        <w:t>outreach as an allowable administrative cost under Medicaid and Medi-Cal</w:t>
      </w:r>
      <w:r w:rsidR="00E1727B">
        <w:t>.</w:t>
      </w:r>
      <w:r w:rsidRPr="007A0CC8" w:rsidR="00F51979">
        <w:t xml:space="preserve"> </w:t>
      </w:r>
    </w:p>
    <w:p w:rsidR="00C9670E" w:rsidRPr="007A0CC8" w:rsidP="00684590" w14:paraId="75481C0A" w14:textId="77777777">
      <w:pPr>
        <w:tabs>
          <w:tab w:val="left" w:pos="1440"/>
        </w:tabs>
        <w:ind w:firstLine="720"/>
      </w:pPr>
      <w:r w:rsidRPr="007A0CC8">
        <w:t xml:space="preserve">Family Health also presented testimony from </w:t>
      </w:r>
      <w:r w:rsidRPr="007A0CC8" w:rsidR="002A2B0D">
        <w:t xml:space="preserve">Kelly Hohenbrink, </w:t>
      </w:r>
      <w:r w:rsidRPr="007A0CC8">
        <w:t>an expert in health industry finance</w:t>
      </w:r>
      <w:r w:rsidR="001F1297">
        <w:t xml:space="preserve"> and</w:t>
      </w:r>
      <w:r w:rsidRPr="007A0CC8">
        <w:t>, specifically</w:t>
      </w:r>
      <w:r w:rsidRPr="007A0CC8" w:rsidR="007A4E2A">
        <w:t>,</w:t>
      </w:r>
      <w:r w:rsidRPr="007A0CC8">
        <w:t xml:space="preserve"> </w:t>
      </w:r>
      <w:r w:rsidR="001F1297">
        <w:t xml:space="preserve">in </w:t>
      </w:r>
      <w:r w:rsidRPr="007A0CC8">
        <w:t>federally qualified health center audits</w:t>
      </w:r>
      <w:r w:rsidRPr="007A0CC8" w:rsidR="002A2B0D">
        <w:t xml:space="preserve">.  </w:t>
      </w:r>
      <w:r w:rsidRPr="007A0CC8" w:rsidR="008E02D6">
        <w:t xml:space="preserve">Hohenbrink testified that because </w:t>
      </w:r>
      <w:r w:rsidRPr="007A0CC8" w:rsidR="00971050">
        <w:t>outreach is a require</w:t>
      </w:r>
      <w:r w:rsidR="002951B0">
        <w:t>ment of participation in the FQHC program</w:t>
      </w:r>
      <w:r w:rsidRPr="007A0CC8" w:rsidR="00971050">
        <w:t xml:space="preserve">, </w:t>
      </w:r>
      <w:r w:rsidRPr="007A0CC8" w:rsidR="006141AA">
        <w:t xml:space="preserve">outreach </w:t>
      </w:r>
      <w:r w:rsidRPr="007A0CC8" w:rsidR="003743C6">
        <w:t>cost</w:t>
      </w:r>
      <w:r w:rsidRPr="007A0CC8" w:rsidR="006F38EB">
        <w:t>s</w:t>
      </w:r>
      <w:r w:rsidRPr="007A0CC8" w:rsidR="003743C6">
        <w:t xml:space="preserve"> </w:t>
      </w:r>
      <w:r w:rsidR="00686864">
        <w:t xml:space="preserve">were </w:t>
      </w:r>
      <w:r w:rsidRPr="007A0CC8" w:rsidR="006141AA">
        <w:t>“</w:t>
      </w:r>
      <w:r w:rsidRPr="007A0CC8" w:rsidR="003743C6">
        <w:t xml:space="preserve">reasonable and related to the cost of furnishing services” </w:t>
      </w:r>
      <w:r w:rsidR="001435A8">
        <w:t>under applicable federal law</w:t>
      </w:r>
      <w:r w:rsidR="00D26D0E">
        <w:t xml:space="preserve">; </w:t>
      </w:r>
      <w:r w:rsidRPr="007A0CC8" w:rsidR="00D26D0E">
        <w:t>health centers would not be able to care for patients at all if they lost their health center status</w:t>
      </w:r>
      <w:r w:rsidR="001D0CC3">
        <w:t xml:space="preserve"> for failure to comply with the requirement</w:t>
      </w:r>
      <w:r w:rsidRPr="007A0CC8" w:rsidR="00AE09D1">
        <w:t>.</w:t>
      </w:r>
      <w:r w:rsidRPr="007A0CC8" w:rsidR="00D96498">
        <w:t xml:space="preserve">  </w:t>
      </w:r>
    </w:p>
    <w:p w:rsidR="009B38CA" w:rsidRPr="007A0CC8" w:rsidP="007A0CC8" w14:paraId="75481C0B" w14:textId="77777777">
      <w:pPr>
        <w:tabs>
          <w:tab w:val="left" w:pos="1440"/>
        </w:tabs>
        <w:ind w:firstLine="720"/>
      </w:pPr>
      <w:r w:rsidRPr="007A0CC8">
        <w:t xml:space="preserve">After </w:t>
      </w:r>
      <w:r w:rsidRPr="007A0CC8" w:rsidR="001940D8">
        <w:t>the</w:t>
      </w:r>
      <w:r w:rsidRPr="007A0CC8">
        <w:t xml:space="preserve"> hearing, t</w:t>
      </w:r>
      <w:r w:rsidRPr="007A0CC8" w:rsidR="00C5749F">
        <w:t xml:space="preserve">he </w:t>
      </w:r>
      <w:r w:rsidRPr="007A0CC8" w:rsidR="00E23EBA">
        <w:t xml:space="preserve">administrative law </w:t>
      </w:r>
      <w:r w:rsidRPr="007A0CC8" w:rsidR="00C5749F">
        <w:t xml:space="preserve">judge </w:t>
      </w:r>
      <w:r w:rsidRPr="007A0CC8">
        <w:t xml:space="preserve">(ALJ) </w:t>
      </w:r>
      <w:r w:rsidRPr="007A0CC8" w:rsidR="00A57AE5">
        <w:t>issued a proposed order finding that</w:t>
      </w:r>
      <w:r w:rsidRPr="007A0CC8" w:rsidR="008834C4">
        <w:t xml:space="preserve"> Family Health was not entitled to reimbursement for its outreach costs.  The </w:t>
      </w:r>
      <w:r w:rsidRPr="007A0CC8">
        <w:t xml:space="preserve">ALJ </w:t>
      </w:r>
      <w:r w:rsidRPr="007A0CC8" w:rsidR="008834C4">
        <w:t xml:space="preserve">relied </w:t>
      </w:r>
      <w:r w:rsidRPr="007A0CC8">
        <w:t xml:space="preserve">for this conclusion on the Provider Reimbursement Manual issued by the federal Centers for Medicare </w:t>
      </w:r>
      <w:r w:rsidRPr="007A0CC8" w:rsidR="00FD3388">
        <w:t>&amp;</w:t>
      </w:r>
      <w:r w:rsidRPr="007A0CC8">
        <w:t xml:space="preserve"> Medicaid Services, which offers informal guidance on the application of Medicare reasonable cost principles.  (</w:t>
      </w:r>
      <w:r w:rsidRPr="00920490">
        <w:t xml:space="preserve">Centers for Medicare &amp; Medicaid Services, </w:t>
      </w:r>
      <w:r w:rsidRPr="00920490" w:rsidR="00FD3388">
        <w:t xml:space="preserve">The </w:t>
      </w:r>
      <w:r w:rsidRPr="00920490">
        <w:t>Provider Reimbursement Manual</w:t>
      </w:r>
      <w:r w:rsidRPr="00920490" w:rsidR="009B2782">
        <w:t>,</w:t>
      </w:r>
      <w:r w:rsidRPr="00920490">
        <w:t xml:space="preserve"> Part 1</w:t>
      </w:r>
      <w:r w:rsidR="00920490">
        <w:t>,</w:t>
      </w:r>
      <w:r w:rsidR="00FC2FEE">
        <w:t xml:space="preserve"> </w:t>
      </w:r>
      <w:r w:rsidRPr="00920490" w:rsidR="00CD75B7">
        <w:t>Foreword</w:t>
      </w:r>
      <w:r w:rsidR="00920490">
        <w:t xml:space="preserve"> </w:t>
      </w:r>
      <w:r w:rsidRPr="00920490" w:rsidR="00920490">
        <w:t>(Provider Manual)</w:t>
      </w:r>
      <w:r w:rsidRPr="007A0CC8">
        <w:t>.)</w:t>
      </w:r>
      <w:r>
        <w:rPr>
          <w:rStyle w:val="FootnoteReference"/>
        </w:rPr>
        <w:footnoteReference w:id="6"/>
      </w:r>
      <w:r w:rsidRPr="007A0CC8">
        <w:t xml:space="preserve">  Citing the </w:t>
      </w:r>
      <w:r w:rsidR="00ED5407">
        <w:t xml:space="preserve">sections </w:t>
      </w:r>
      <w:r w:rsidRPr="007A0CC8">
        <w:t>of the Provider Manual relating to</w:t>
      </w:r>
      <w:r w:rsidRPr="007A0CC8" w:rsidR="00246656">
        <w:t xml:space="preserve"> a provider’s</w:t>
      </w:r>
      <w:r w:rsidRPr="007A0CC8">
        <w:t xml:space="preserve"> advertising costs, the judge concluded that Family Health’s outreach was a form of nonreimbursable advertising because it was designed </w:t>
      </w:r>
      <w:r w:rsidRPr="007A0CC8" w:rsidR="00A57AE5">
        <w:t>“to bring new patients into the facilities</w:t>
      </w:r>
      <w:r w:rsidRPr="007A0CC8" w:rsidR="006226F8">
        <w:t>.</w:t>
      </w:r>
      <w:r w:rsidRPr="007A0CC8">
        <w:t>”</w:t>
      </w:r>
      <w:r w:rsidRPr="007A0CC8" w:rsidR="00A57AE5">
        <w:t xml:space="preserve"> </w:t>
      </w:r>
    </w:p>
    <w:p w:rsidR="00DC67F4" w:rsidRPr="007A0CC8" w:rsidP="007A0CC8" w14:paraId="75481C0C" w14:textId="77777777">
      <w:pPr>
        <w:tabs>
          <w:tab w:val="left" w:pos="1440"/>
        </w:tabs>
        <w:ind w:firstLine="720"/>
      </w:pPr>
      <w:r w:rsidRPr="007A0CC8">
        <w:t>T</w:t>
      </w:r>
      <w:r w:rsidRPr="007A0CC8" w:rsidR="00667C23">
        <w:t xml:space="preserve">he Chief Administrative Law Judge (Chief ALJ) </w:t>
      </w:r>
      <w:r w:rsidR="001069A7">
        <w:t xml:space="preserve">initially </w:t>
      </w:r>
      <w:r w:rsidRPr="007A0CC8">
        <w:t xml:space="preserve">adopted the </w:t>
      </w:r>
      <w:r w:rsidRPr="007A0CC8" w:rsidR="00E23EBA">
        <w:t xml:space="preserve">judge’s </w:t>
      </w:r>
      <w:r w:rsidRPr="007A0CC8">
        <w:t>proposed order as the agency decision</w:t>
      </w:r>
      <w:r w:rsidR="001069A7">
        <w:t>,</w:t>
      </w:r>
      <w:r w:rsidRPr="007A0CC8" w:rsidR="00A235E1">
        <w:t xml:space="preserve"> but then</w:t>
      </w:r>
      <w:r w:rsidRPr="007A0CC8" w:rsidR="00000829">
        <w:t xml:space="preserve"> </w:t>
      </w:r>
      <w:r w:rsidR="001069A7">
        <w:t xml:space="preserve">issued a new </w:t>
      </w:r>
      <w:r w:rsidR="00DE272A">
        <w:t xml:space="preserve">decision </w:t>
      </w:r>
      <w:r w:rsidR="001069A7">
        <w:t xml:space="preserve">after </w:t>
      </w:r>
      <w:r w:rsidRPr="007A0CC8" w:rsidR="00974460">
        <w:t>grant</w:t>
      </w:r>
      <w:r w:rsidR="001069A7">
        <w:t>ing</w:t>
      </w:r>
      <w:r w:rsidRPr="007A0CC8" w:rsidR="00974460">
        <w:t xml:space="preserve"> Family Health’s motion for </w:t>
      </w:r>
      <w:r w:rsidRPr="007A0CC8" w:rsidR="008E2D7A">
        <w:t>re</w:t>
      </w:r>
      <w:r w:rsidRPr="007A0CC8" w:rsidR="00974460">
        <w:t>consideration</w:t>
      </w:r>
      <w:r w:rsidRPr="007A0CC8" w:rsidR="00A235E1">
        <w:t>.</w:t>
      </w:r>
      <w:r w:rsidR="00DE272A">
        <w:t xml:space="preserve">  T</w:t>
      </w:r>
      <w:r w:rsidRPr="007A0CC8" w:rsidR="00A51849">
        <w:t xml:space="preserve">he </w:t>
      </w:r>
      <w:r w:rsidRPr="007A0CC8" w:rsidR="00667C23">
        <w:t xml:space="preserve">Chief </w:t>
      </w:r>
      <w:r w:rsidRPr="007A0CC8" w:rsidR="00A51849">
        <w:t xml:space="preserve">ALJ </w:t>
      </w:r>
      <w:r w:rsidRPr="007A0CC8" w:rsidR="00936317">
        <w:t xml:space="preserve">concluded </w:t>
      </w:r>
      <w:r w:rsidRPr="007A0CC8" w:rsidR="000B25DA">
        <w:t xml:space="preserve">that </w:t>
      </w:r>
      <w:r w:rsidRPr="007A0CC8" w:rsidR="00327D24">
        <w:t xml:space="preserve">Family Health </w:t>
      </w:r>
      <w:r w:rsidRPr="007A0CC8" w:rsidR="00E63BE6">
        <w:t xml:space="preserve">did not present sufficient </w:t>
      </w:r>
      <w:r w:rsidR="00DE272A">
        <w:t xml:space="preserve">evidence </w:t>
      </w:r>
      <w:r w:rsidRPr="007A0CC8" w:rsidR="00E63BE6">
        <w:t xml:space="preserve">to </w:t>
      </w:r>
      <w:r w:rsidRPr="007A0CC8" w:rsidR="000B25DA">
        <w:t>meet the “fundamental reimbursement standard” that outreach was “</w:t>
      </w:r>
      <w:r w:rsidRPr="00DE3E3D" w:rsidR="000B25DA">
        <w:t>related to the care of beneficiaries</w:t>
      </w:r>
      <w:r w:rsidRPr="007A0CC8" w:rsidR="000B25DA">
        <w:t>”</w:t>
      </w:r>
      <w:r w:rsidRPr="007A0CC8" w:rsidR="00327D24">
        <w:t>; instead</w:t>
      </w:r>
      <w:r w:rsidRPr="007A0CC8" w:rsidR="00FD3388">
        <w:t>,</w:t>
      </w:r>
      <w:r w:rsidRPr="007A0CC8" w:rsidR="00327D24">
        <w:t xml:space="preserve"> Family Health conducted </w:t>
      </w:r>
      <w:r w:rsidRPr="007A0CC8" w:rsidR="000B25DA">
        <w:t>outreach “to attr</w:t>
      </w:r>
      <w:r w:rsidRPr="007A0CC8" w:rsidR="00C62F5B">
        <w:t>a</w:t>
      </w:r>
      <w:r w:rsidRPr="007A0CC8" w:rsidR="000B25DA">
        <w:t>ct new patients and increase patient utilization of services</w:t>
      </w:r>
      <w:r w:rsidRPr="007A0CC8" w:rsidR="007054C1">
        <w:t>.</w:t>
      </w:r>
      <w:r w:rsidRPr="007A0CC8" w:rsidR="00C62F5B">
        <w:t>”</w:t>
      </w:r>
      <w:r w:rsidRPr="007A0CC8" w:rsidR="00A72566">
        <w:t xml:space="preserve"> </w:t>
      </w:r>
      <w:r w:rsidRPr="007A0CC8" w:rsidR="007054C1">
        <w:t xml:space="preserve"> </w:t>
      </w:r>
      <w:r w:rsidR="00F7675B">
        <w:t xml:space="preserve">Pointing to the </w:t>
      </w:r>
      <w:r w:rsidRPr="007A0CC8" w:rsidR="00C62F5B">
        <w:t xml:space="preserve">Provider Manual </w:t>
      </w:r>
      <w:r w:rsidRPr="007A0CC8" w:rsidR="00327D24">
        <w:t>guidance on advertising</w:t>
      </w:r>
      <w:r w:rsidR="000963DF">
        <w:t xml:space="preserve">, the Chief ALJ concluded that the </w:t>
      </w:r>
      <w:r w:rsidR="00F7675B">
        <w:t xml:space="preserve">manual </w:t>
      </w:r>
      <w:r w:rsidRPr="007A0CC8" w:rsidR="00C62F5B">
        <w:t>“specifically excludes Medicaid reimbursement</w:t>
      </w:r>
      <w:r w:rsidRPr="007A0CC8" w:rsidR="00327D24">
        <w:t xml:space="preserve">” for </w:t>
      </w:r>
      <w:r w:rsidR="007C1D57">
        <w:t xml:space="preserve">these </w:t>
      </w:r>
      <w:r w:rsidRPr="007A0CC8" w:rsidR="00327D24">
        <w:t>activities.</w:t>
      </w:r>
    </w:p>
    <w:p w:rsidR="00C9670E" w:rsidRPr="007A0CC8" w:rsidP="007A0CC8" w14:paraId="75481C0D" w14:textId="77777777">
      <w:pPr>
        <w:tabs>
          <w:tab w:val="left" w:pos="1440"/>
        </w:tabs>
        <w:ind w:firstLine="720"/>
      </w:pPr>
      <w:r w:rsidRPr="007A0CC8">
        <w:t>Family Health filed a petition for writ of</w:t>
      </w:r>
      <w:r w:rsidRPr="007A0CC8" w:rsidR="00CE3A56">
        <w:t xml:space="preserve"> administrative</w:t>
      </w:r>
      <w:r w:rsidRPr="007A0CC8">
        <w:t xml:space="preserve"> mandamus in the superior court to challenge the </w:t>
      </w:r>
      <w:r w:rsidRPr="007A0CC8" w:rsidR="00CE3A56">
        <w:t xml:space="preserve">Department’s </w:t>
      </w:r>
      <w:r w:rsidRPr="007A0CC8">
        <w:t xml:space="preserve">ruling.  </w:t>
      </w:r>
      <w:r w:rsidRPr="007A0CC8" w:rsidR="006A4AC0">
        <w:t>T</w:t>
      </w:r>
      <w:r w:rsidRPr="007A0CC8">
        <w:t xml:space="preserve">he superior court </w:t>
      </w:r>
      <w:r w:rsidRPr="007A0CC8" w:rsidR="006A4AC0">
        <w:t xml:space="preserve">denied the petition, </w:t>
      </w:r>
      <w:r w:rsidRPr="007A0CC8" w:rsidR="00EF0DFE">
        <w:t>agree</w:t>
      </w:r>
      <w:r w:rsidRPr="007A0CC8" w:rsidR="006A4AC0">
        <w:t>ing with the Department</w:t>
      </w:r>
      <w:r w:rsidRPr="007A0CC8" w:rsidR="00EF0DFE">
        <w:t xml:space="preserve"> that </w:t>
      </w:r>
      <w:r w:rsidRPr="007A0CC8">
        <w:t>Family Health</w:t>
      </w:r>
      <w:r w:rsidRPr="007A0CC8" w:rsidR="001571CD">
        <w:t>’s</w:t>
      </w:r>
      <w:r w:rsidRPr="007A0CC8">
        <w:t xml:space="preserve"> outreach was not </w:t>
      </w:r>
      <w:r w:rsidRPr="007A0CC8" w:rsidR="00000CD8">
        <w:t>“</w:t>
      </w:r>
      <w:r w:rsidRPr="00DE3E3D">
        <w:t>appropriate and helpful</w:t>
      </w:r>
      <w:r w:rsidRPr="007A0CC8" w:rsidR="00EF0DFE">
        <w:t>”</w:t>
      </w:r>
      <w:r w:rsidRPr="007A0CC8">
        <w:t xml:space="preserve"> </w:t>
      </w:r>
      <w:r w:rsidRPr="007A0CC8" w:rsidR="00EF0DFE">
        <w:t xml:space="preserve">to patient care </w:t>
      </w:r>
      <w:r w:rsidRPr="007A0CC8" w:rsidR="001571CD">
        <w:t xml:space="preserve">but </w:t>
      </w:r>
      <w:r w:rsidRPr="007A0CC8" w:rsidR="00000CD8">
        <w:t xml:space="preserve">instead </w:t>
      </w:r>
      <w:r w:rsidRPr="007A0CC8" w:rsidR="001571CD">
        <w:t xml:space="preserve">merely </w:t>
      </w:r>
      <w:r w:rsidRPr="007A0CC8" w:rsidR="00000CD8">
        <w:t xml:space="preserve">sought to attract new patients, which </w:t>
      </w:r>
      <w:r w:rsidRPr="007A0CC8" w:rsidR="0055311D">
        <w:t xml:space="preserve">made it nonreimbursable </w:t>
      </w:r>
      <w:r w:rsidRPr="007A0CC8" w:rsidR="00000CD8">
        <w:t xml:space="preserve">advertising. </w:t>
      </w:r>
      <w:r w:rsidRPr="007A0CC8" w:rsidR="0055311D">
        <w:t xml:space="preserve"> </w:t>
      </w:r>
    </w:p>
    <w:p w:rsidR="00A36C26" w:rsidRPr="007A0CC8" w:rsidP="007A0CC8" w14:paraId="75481C0E" w14:textId="77777777">
      <w:pPr>
        <w:tabs>
          <w:tab w:val="left" w:pos="1440"/>
        </w:tabs>
        <w:ind w:firstLine="720"/>
      </w:pPr>
      <w:r w:rsidRPr="007A0CC8">
        <w:t xml:space="preserve">The Court of Appeal </w:t>
      </w:r>
      <w:r w:rsidRPr="007A0CC8" w:rsidR="004119E6">
        <w:t xml:space="preserve">affirmed.  </w:t>
      </w:r>
      <w:r w:rsidRPr="007A0CC8" w:rsidR="003F4A46">
        <w:t xml:space="preserve">The court explained that </w:t>
      </w:r>
      <w:r w:rsidRPr="007A0CC8">
        <w:t>Family Health’s “</w:t>
      </w:r>
      <w:r w:rsidRPr="007A0CC8" w:rsidR="00C7642D">
        <w:t xml:space="preserve">outreach efforts involve going into public spaces </w:t>
      </w:r>
      <w:r w:rsidRPr="007A0CC8">
        <w:t>such as on the street, at schools, business venues, beaches, and parks to attract new patients from its audiences within the general public, provide counseling regarding eligibility for services, and make medical appointments for services.</w:t>
      </w:r>
      <w:r w:rsidRPr="007A0CC8" w:rsidR="003F4A46">
        <w:t xml:space="preserve">” </w:t>
      </w:r>
      <w:r w:rsidRPr="007A0CC8">
        <w:t xml:space="preserve"> </w:t>
      </w:r>
      <w:r w:rsidRPr="007A0CC8" w:rsidR="003F4A46">
        <w:t>(</w:t>
      </w:r>
      <w:r w:rsidRPr="007A0CC8" w:rsidR="003F4A46">
        <w:rPr>
          <w:i/>
          <w:iCs/>
        </w:rPr>
        <w:t>Family Health Centers</w:t>
      </w:r>
      <w:r w:rsidRPr="007A0CC8" w:rsidR="00FD3388">
        <w:rPr>
          <w:i/>
          <w:iCs/>
        </w:rPr>
        <w:t xml:space="preserve"> of San Diego v. State Dept.</w:t>
      </w:r>
      <w:r w:rsidRPr="007A0CC8" w:rsidR="0061457C">
        <w:rPr>
          <w:i/>
          <w:iCs/>
        </w:rPr>
        <w:t xml:space="preserve"> of</w:t>
      </w:r>
      <w:r w:rsidRPr="007A0CC8" w:rsidR="00FD3388">
        <w:rPr>
          <w:i/>
          <w:iCs/>
        </w:rPr>
        <w:t xml:space="preserve"> Health Care Services </w:t>
      </w:r>
      <w:r w:rsidRPr="007A0CC8" w:rsidR="00FD3388">
        <w:t>(2021)</w:t>
      </w:r>
      <w:r w:rsidRPr="007A0CC8" w:rsidR="003F4A46">
        <w:t xml:space="preserve"> 67 Cal.App.5th </w:t>
      </w:r>
      <w:r w:rsidRPr="007A0CC8" w:rsidR="00FD3388">
        <w:t xml:space="preserve">356, </w:t>
      </w:r>
      <w:r w:rsidRPr="007A0CC8" w:rsidR="003F4A46">
        <w:t>36</w:t>
      </w:r>
      <w:r w:rsidRPr="007A0CC8" w:rsidR="00FD3388">
        <w:t>8 (</w:t>
      </w:r>
      <w:r w:rsidRPr="007A0CC8" w:rsidR="00FD3388">
        <w:rPr>
          <w:i/>
          <w:iCs/>
        </w:rPr>
        <w:t>Family Health Centers</w:t>
      </w:r>
      <w:r w:rsidR="00021634">
        <w:t>)</w:t>
      </w:r>
      <w:r w:rsidRPr="007A0CC8" w:rsidR="003F4A46">
        <w:t xml:space="preserve">.)  The court acknowledged that </w:t>
      </w:r>
      <w:r w:rsidRPr="007A0CC8" w:rsidR="00FD3388">
        <w:t>“[</w:t>
      </w:r>
      <w:r w:rsidRPr="007A0CC8" w:rsidR="003F4A46">
        <w:t>s</w:t>
      </w:r>
      <w:r w:rsidRPr="007A0CC8" w:rsidR="00FD3388">
        <w:t>]</w:t>
      </w:r>
      <w:r w:rsidRPr="007A0CC8">
        <w:t>uch services may benefit the recipient by increasing awareness of care available through [Family Health] and making the recipient feel more comfortable seeking care.  And, such activities are required as part of [Family Health’s] role as a FQHC grant recipient.”  (</w:t>
      </w:r>
      <w:r w:rsidRPr="007A0CC8" w:rsidR="00FD3388">
        <w:rPr>
          <w:i/>
          <w:iCs/>
        </w:rPr>
        <w:t>Ibid.</w:t>
      </w:r>
      <w:r w:rsidRPr="007A0CC8">
        <w:t xml:space="preserve">)  </w:t>
      </w:r>
      <w:r w:rsidRPr="007A0CC8" w:rsidR="000D544F">
        <w:t>But t</w:t>
      </w:r>
      <w:r w:rsidRPr="007A0CC8" w:rsidR="00BC34B4">
        <w:t xml:space="preserve">he court concluded that </w:t>
      </w:r>
      <w:r w:rsidRPr="007A0CC8" w:rsidR="000A6DFC">
        <w:t>it</w:t>
      </w:r>
      <w:r w:rsidRPr="007A0CC8" w:rsidR="00632597">
        <w:t xml:space="preserve"> </w:t>
      </w:r>
      <w:r w:rsidRPr="007A0CC8" w:rsidR="00BC34B4">
        <w:t>“</w:t>
      </w:r>
      <w:r w:rsidRPr="007A0CC8">
        <w:t xml:space="preserve">was not an abuse of discretion to find that such activities had the purpose and effect of bringing in new patients and increasing utilization of [Family Health’s] facilities, making them akin to advertising” </w:t>
      </w:r>
      <w:r w:rsidRPr="007A0CC8" w:rsidR="00BD08C8">
        <w:t>that was not</w:t>
      </w:r>
      <w:r w:rsidRPr="007A0CC8" w:rsidR="00D5605A">
        <w:t xml:space="preserve"> </w:t>
      </w:r>
      <w:r w:rsidRPr="007A0CC8" w:rsidR="003854FB">
        <w:t xml:space="preserve">a </w:t>
      </w:r>
      <w:r w:rsidRPr="007A0CC8" w:rsidR="00D5605A">
        <w:t xml:space="preserve">reimbursable </w:t>
      </w:r>
      <w:r w:rsidRPr="007A0CC8" w:rsidR="003854FB">
        <w:t xml:space="preserve">cost </w:t>
      </w:r>
      <w:r w:rsidRPr="007A0CC8" w:rsidR="00D5605A">
        <w:t>according to Provider Manual guidance</w:t>
      </w:r>
      <w:r w:rsidRPr="007A0CC8" w:rsidR="00BD08C8">
        <w:t>.</w:t>
      </w:r>
      <w:r w:rsidRPr="007A0CC8" w:rsidR="00D5605A">
        <w:t xml:space="preserve"> </w:t>
      </w:r>
      <w:r w:rsidRPr="007A0CC8" w:rsidR="00BD08C8">
        <w:t xml:space="preserve"> </w:t>
      </w:r>
      <w:r w:rsidRPr="007A0CC8">
        <w:t>(</w:t>
      </w:r>
      <w:r w:rsidRPr="007A0CC8">
        <w:rPr>
          <w:i/>
          <w:iCs/>
        </w:rPr>
        <w:t>Id</w:t>
      </w:r>
      <w:r w:rsidRPr="007A0CC8">
        <w:t>.</w:t>
      </w:r>
      <w:r w:rsidRPr="007A0CC8" w:rsidR="00FD3388">
        <w:t xml:space="preserve"> at p. 369</w:t>
      </w:r>
      <w:r w:rsidR="00C373B3">
        <w:t>.</w:t>
      </w:r>
      <w:r w:rsidRPr="007A0CC8">
        <w:t>)</w:t>
      </w:r>
    </w:p>
    <w:p w:rsidR="006A7725" w:rsidRPr="007A0CC8" w:rsidP="007A0CC8" w14:paraId="75481C0F" w14:textId="77777777">
      <w:pPr>
        <w:tabs>
          <w:tab w:val="left" w:pos="1440"/>
        </w:tabs>
        <w:ind w:firstLine="720"/>
      </w:pPr>
      <w:r>
        <w:t xml:space="preserve">We granted Family Health’s petition for review.  </w:t>
      </w:r>
      <w:r w:rsidR="00B81014">
        <w:t>In our review w</w:t>
      </w:r>
      <w:r w:rsidRPr="007A0CC8" w:rsidR="001F3D57">
        <w:t xml:space="preserve">e employ the same standards as the trial court and the Court of Appeal.  </w:t>
      </w:r>
      <w:r w:rsidRPr="007A0CC8" w:rsidR="00E343FC">
        <w:t xml:space="preserve">We consider </w:t>
      </w:r>
      <w:r w:rsidRPr="007A0CC8" w:rsidR="00BC34B4">
        <w:t xml:space="preserve">whether </w:t>
      </w:r>
      <w:r w:rsidRPr="007A0CC8" w:rsidR="00B87C33">
        <w:t xml:space="preserve">the </w:t>
      </w:r>
      <w:r w:rsidRPr="007A0CC8" w:rsidR="00096DA3">
        <w:t xml:space="preserve">Department </w:t>
      </w:r>
      <w:r w:rsidRPr="007A0CC8" w:rsidR="00B87C33">
        <w:t>“proceeded without, or in excess of, jurisdiction; whether there was a fair trial; and whether there was any prejudicial abuse of discretion.  Abuse of discretion is established if the [</w:t>
      </w:r>
      <w:r w:rsidRPr="007A0CC8" w:rsidR="00D458A4">
        <w:t>Department</w:t>
      </w:r>
      <w:r w:rsidRPr="007A0CC8" w:rsidR="00B87C33">
        <w:t>] has not proceeded in the manner required by law, the order or decision is not supported by the findings, or the findings are not supported by the evidence.”  (Code Civ. Proc., §</w:t>
      </w:r>
      <w:r w:rsidRPr="007A0CC8" w:rsidR="006D6ECC">
        <w:t> </w:t>
      </w:r>
      <w:r w:rsidRPr="007A0CC8" w:rsidR="00B87C33">
        <w:t>1094.5, subd. (b).)  “In determining whether the agency complied with the required procedures and whether the agency’s findings are supported by substantial evidence, the trial court and the appellate courts essentially perform identical roles.  We review the record de novo and are not bound by the trial court’s conclusions.”  (</w:t>
      </w:r>
      <w:r w:rsidRPr="007A0CC8" w:rsidR="00B87C33">
        <w:rPr>
          <w:i/>
          <w:iCs/>
        </w:rPr>
        <w:t xml:space="preserve">Environmental Protection Information Center v. California Dept. of Forestry &amp; Fire Protection </w:t>
      </w:r>
      <w:r w:rsidRPr="007A0CC8" w:rsidR="00B87C33">
        <w:t>(2008) 44 Cal.4th 459, 479.)  On “ ‘purely legal’ ” questions, we exercise independent judgment</w:t>
      </w:r>
      <w:r w:rsidRPr="007A0CC8" w:rsidR="00A36C26">
        <w:t xml:space="preserve"> and</w:t>
      </w:r>
      <w:r w:rsidRPr="007A0CC8" w:rsidR="00B87C33">
        <w:t xml:space="preserve"> a decision “must ‘be reversed if based on erroneous conclusions of law.’ ”  (</w:t>
      </w:r>
      <w:r w:rsidRPr="007A0CC8" w:rsidR="00B87C33">
        <w:rPr>
          <w:i/>
          <w:iCs/>
        </w:rPr>
        <w:t>County of San Diego v. State of California</w:t>
      </w:r>
      <w:r w:rsidRPr="007A0CC8" w:rsidR="00B87C33">
        <w:t xml:space="preserve"> (1997) 15 Cal.4th 68, 109</w:t>
      </w:r>
      <w:r w:rsidRPr="007A0CC8">
        <w:t>.)</w:t>
      </w:r>
      <w:r w:rsidR="00F87FEE">
        <w:t xml:space="preserve">  Here, we conclude the Department’s decision </w:t>
      </w:r>
      <w:r w:rsidR="00E82AB4">
        <w:t xml:space="preserve">denying Family Health reimbursement for any of its outreach and education costs </w:t>
      </w:r>
      <w:r w:rsidR="00F87FEE">
        <w:t>is based on erroneous conclusions of law, so we reverse and remand for further proceedings.</w:t>
      </w:r>
    </w:p>
    <w:p w:rsidR="00BB10F6" w:rsidP="003B55B3" w14:paraId="75481C10" w14:textId="77777777">
      <w:pPr>
        <w:pStyle w:val="Heading1"/>
      </w:pPr>
      <w:r w:rsidRPr="007A0CC8">
        <w:t>III.</w:t>
      </w:r>
    </w:p>
    <w:p w:rsidR="003B55B3" w:rsidRPr="003B55B3" w:rsidP="00720B2B" w14:paraId="75481C11" w14:textId="77777777">
      <w:pPr>
        <w:pStyle w:val="Heading2"/>
        <w:tabs>
          <w:tab w:val="clear" w:pos="1152"/>
        </w:tabs>
        <w:ind w:left="0" w:firstLine="0"/>
        <w:jc w:val="center"/>
      </w:pPr>
      <w:r>
        <w:t>A.</w:t>
      </w:r>
    </w:p>
    <w:p w:rsidR="005A00AB" w:rsidP="00F37BC8" w14:paraId="75481C12" w14:textId="77777777">
      <w:pPr>
        <w:ind w:firstLine="720"/>
      </w:pPr>
      <w:r>
        <w:rPr>
          <w:bCs/>
        </w:rPr>
        <w:t>The framework for Medicaid reimbursement of FQHCs comprises a</w:t>
      </w:r>
      <w:r w:rsidR="004E601F">
        <w:rPr>
          <w:bCs/>
        </w:rPr>
        <w:t>n</w:t>
      </w:r>
      <w:r>
        <w:rPr>
          <w:bCs/>
        </w:rPr>
        <w:t xml:space="preserve"> </w:t>
      </w:r>
      <w:r w:rsidR="004E601F">
        <w:rPr>
          <w:bCs/>
        </w:rPr>
        <w:t xml:space="preserve">interlocking </w:t>
      </w:r>
      <w:r>
        <w:rPr>
          <w:bCs/>
        </w:rPr>
        <w:t xml:space="preserve">series </w:t>
      </w:r>
      <w:r w:rsidR="00842DE7">
        <w:rPr>
          <w:bCs/>
        </w:rPr>
        <w:t>of federal and state statutory and regulatory provisions</w:t>
      </w:r>
      <w:r w:rsidR="00CF2C40">
        <w:rPr>
          <w:bCs/>
        </w:rPr>
        <w:t xml:space="preserve">.  </w:t>
      </w:r>
      <w:r w:rsidR="008B508E">
        <w:rPr>
          <w:bCs/>
        </w:rPr>
        <w:t xml:space="preserve">The </w:t>
      </w:r>
      <w:r w:rsidR="002B5FA4">
        <w:rPr>
          <w:bCs/>
        </w:rPr>
        <w:t xml:space="preserve">federal </w:t>
      </w:r>
      <w:r w:rsidR="008B508E">
        <w:rPr>
          <w:bCs/>
        </w:rPr>
        <w:t xml:space="preserve">Medicaid statute makes clear that, to avoid diverting FQHC grant moneys for the care of patients entitled to Medicaid assistance, states are </w:t>
      </w:r>
      <w:r w:rsidR="00EB5FAC">
        <w:rPr>
          <w:bCs/>
        </w:rPr>
        <w:t xml:space="preserve">obligated to pay FQHCs 100 percent of the costs of </w:t>
      </w:r>
      <w:r w:rsidRPr="001C728A" w:rsidR="001C728A">
        <w:rPr>
          <w:bCs/>
        </w:rPr>
        <w:t>providing medical assistance to Medicaid beneficiaries</w:t>
      </w:r>
      <w:r w:rsidR="00B37E1A">
        <w:rPr>
          <w:bCs/>
        </w:rPr>
        <w:t xml:space="preserve">, so long as the costs </w:t>
      </w:r>
      <w:r w:rsidRPr="001C728A" w:rsidR="001C728A">
        <w:rPr>
          <w:bCs/>
        </w:rPr>
        <w:t>are “reasonable and related to the cost of furnishing such services.”  (42 U.S.C. §</w:t>
      </w:r>
      <w:r w:rsidR="00C373B3">
        <w:rPr>
          <w:bCs/>
        </w:rPr>
        <w:t> </w:t>
      </w:r>
      <w:r w:rsidRPr="001C728A" w:rsidR="001C728A">
        <w:rPr>
          <w:bCs/>
        </w:rPr>
        <w:t>1396a(bb)(2).)</w:t>
      </w:r>
      <w:r w:rsidR="00C77E54">
        <w:rPr>
          <w:bCs/>
        </w:rPr>
        <w:t xml:space="preserve">  The Medicaid statute further instructs that </w:t>
      </w:r>
      <w:r w:rsidR="00F37BC8">
        <w:rPr>
          <w:bCs/>
        </w:rPr>
        <w:t xml:space="preserve">in applying this standard, </w:t>
      </w:r>
      <w:r w:rsidR="00C77E54">
        <w:rPr>
          <w:bCs/>
        </w:rPr>
        <w:t>states may use reasonable</w:t>
      </w:r>
      <w:r w:rsidR="00AB26FB">
        <w:rPr>
          <w:bCs/>
        </w:rPr>
        <w:t xml:space="preserve"> cost</w:t>
      </w:r>
      <w:r w:rsidR="00C77E54">
        <w:rPr>
          <w:bCs/>
        </w:rPr>
        <w:t xml:space="preserve"> </w:t>
      </w:r>
      <w:r w:rsidR="001316D8">
        <w:rPr>
          <w:bCs/>
        </w:rPr>
        <w:t>principles developed under Medicare law</w:t>
      </w:r>
      <w:r w:rsidR="00335E1D">
        <w:rPr>
          <w:bCs/>
        </w:rPr>
        <w:t>.  (</w:t>
      </w:r>
      <w:r w:rsidRPr="00FE5FBC" w:rsidR="00ED5407">
        <w:rPr>
          <w:bCs/>
          <w:i/>
          <w:iCs/>
        </w:rPr>
        <w:t>Id</w:t>
      </w:r>
      <w:r w:rsidR="00ED5407">
        <w:rPr>
          <w:bCs/>
        </w:rPr>
        <w:t xml:space="preserve">., </w:t>
      </w:r>
      <w:r w:rsidR="00335E1D">
        <w:t>§</w:t>
      </w:r>
      <w:r w:rsidR="00C373B3">
        <w:t> </w:t>
      </w:r>
      <w:r w:rsidR="00335E1D">
        <w:t>1396a(bb)(2), (4).</w:t>
      </w:r>
      <w:r w:rsidR="00AB26FB">
        <w:t xml:space="preserve">)  Following this suggestion, California law expressly incorporates </w:t>
      </w:r>
      <w:r w:rsidR="00AB26FB">
        <w:rPr>
          <w:bCs/>
        </w:rPr>
        <w:t xml:space="preserve">those </w:t>
      </w:r>
      <w:r w:rsidR="002B0760">
        <w:rPr>
          <w:bCs/>
        </w:rPr>
        <w:t>regulations</w:t>
      </w:r>
      <w:r w:rsidR="00AB26FB">
        <w:rPr>
          <w:bCs/>
        </w:rPr>
        <w:t xml:space="preserve"> for purposes of determining how much FQHCs are owed for the care of Medicaid beneficiaries</w:t>
      </w:r>
      <w:r w:rsidR="00F37BC8">
        <w:rPr>
          <w:bCs/>
        </w:rPr>
        <w:t xml:space="preserve">.  </w:t>
      </w:r>
      <w:r w:rsidR="004413F0">
        <w:t>(</w:t>
      </w:r>
      <w:r w:rsidR="002D7594">
        <w:t>Welf. &amp; Ins</w:t>
      </w:r>
      <w:r w:rsidR="00021634">
        <w:t>t</w:t>
      </w:r>
      <w:r w:rsidR="002D7594">
        <w:t>. Code, §</w:t>
      </w:r>
      <w:r w:rsidR="00C373B3">
        <w:t> </w:t>
      </w:r>
      <w:r w:rsidR="002D7594">
        <w:t>14132.100(e)(1)</w:t>
      </w:r>
      <w:r>
        <w:t xml:space="preserve">, citing 42 C.F.R. pt. 413.) </w:t>
      </w:r>
    </w:p>
    <w:p w:rsidR="00BD3A85" w:rsidP="00684590" w14:paraId="75481C13" w14:textId="77777777">
      <w:pPr>
        <w:ind w:firstLine="720"/>
      </w:pPr>
      <w:r>
        <w:t>T</w:t>
      </w:r>
      <w:r w:rsidR="00254C2F">
        <w:t>hus, by virtue of federal permission and state command, t</w:t>
      </w:r>
      <w:r>
        <w:t xml:space="preserve">he Medicare reasonable cost regulations form the centerpiece of our inquiry in this case.  But </w:t>
      </w:r>
      <w:r w:rsidR="00F80681">
        <w:t xml:space="preserve">much </w:t>
      </w:r>
      <w:r>
        <w:t xml:space="preserve">like the </w:t>
      </w:r>
      <w:r w:rsidR="00FC2FB4">
        <w:t>“reasonable and related” requirement set out in the Medicaid statute</w:t>
      </w:r>
      <w:r w:rsidR="0014513C">
        <w:t xml:space="preserve"> itself</w:t>
      </w:r>
      <w:r w:rsidR="00FC2FB4">
        <w:t xml:space="preserve">, the </w:t>
      </w:r>
      <w:r w:rsidR="002B05A0">
        <w:t xml:space="preserve">regulations </w:t>
      </w:r>
      <w:r w:rsidR="009D6F40">
        <w:t xml:space="preserve">are </w:t>
      </w:r>
      <w:r w:rsidR="00BA7B48">
        <w:t xml:space="preserve">cast </w:t>
      </w:r>
      <w:r w:rsidR="0014513C">
        <w:t xml:space="preserve">at a relatively high level of generality.  The regulations explain </w:t>
      </w:r>
      <w:r w:rsidR="003B4B37">
        <w:t xml:space="preserve">that </w:t>
      </w:r>
      <w:r w:rsidR="009E17CF">
        <w:t xml:space="preserve">provider </w:t>
      </w:r>
      <w:r w:rsidRPr="007A0CC8" w:rsidR="001326B3">
        <w:t>payment</w:t>
      </w:r>
      <w:r w:rsidR="009E17CF">
        <w:t>s</w:t>
      </w:r>
      <w:r w:rsidRPr="007A0CC8" w:rsidR="001326B3">
        <w:t xml:space="preserve"> must be based on </w:t>
      </w:r>
      <w:r w:rsidR="00145E61">
        <w:t xml:space="preserve">the </w:t>
      </w:r>
      <w:r w:rsidR="00D2106D">
        <w:t>“</w:t>
      </w:r>
      <w:r w:rsidRPr="007A0CC8" w:rsidR="001326B3">
        <w:t>reasonable cost</w:t>
      </w:r>
      <w:r w:rsidR="00E26C6E">
        <w:t xml:space="preserve">” of covered services </w:t>
      </w:r>
      <w:r w:rsidRPr="007A0CC8" w:rsidR="001326B3">
        <w:t xml:space="preserve">“related to the care of beneficiaries,” including “all necessary and proper costs incurred in furnishing the services.”  (42 C.F.R. § 413.9(a) (2023).)  </w:t>
      </w:r>
      <w:r w:rsidR="00D2106D">
        <w:t>“N</w:t>
      </w:r>
      <w:r w:rsidRPr="007A0CC8" w:rsidR="001326B3">
        <w:t>ecessary and proper costs</w:t>
      </w:r>
      <w:r w:rsidR="00D2106D">
        <w:t>”</w:t>
      </w:r>
      <w:r w:rsidRPr="007A0CC8" w:rsidR="001326B3">
        <w:t xml:space="preserve"> are </w:t>
      </w:r>
      <w:r w:rsidR="00947EFD">
        <w:t xml:space="preserve">defined as </w:t>
      </w:r>
      <w:r w:rsidRPr="007A0CC8" w:rsidR="001326B3">
        <w:t>“costs that are appropriate and helpful in developing and maintaining the operation of patient care facilities and activities.  They are usually costs that are common and accepted occurrences in the field of the provider’s activity.”  (</w:t>
      </w:r>
      <w:r w:rsidRPr="007A0CC8" w:rsidR="001326B3">
        <w:rPr>
          <w:i/>
          <w:iCs/>
        </w:rPr>
        <w:t>Id</w:t>
      </w:r>
      <w:r w:rsidRPr="007A0CC8" w:rsidR="001326B3">
        <w:t xml:space="preserve">., § 413.9(b)(2).)  </w:t>
      </w:r>
      <w:r w:rsidR="009E17CF">
        <w:t>The regulations further specify</w:t>
      </w:r>
      <w:r w:rsidR="003B4B37">
        <w:t xml:space="preserve"> that</w:t>
      </w:r>
      <w:r w:rsidR="009E17CF">
        <w:t xml:space="preserve"> </w:t>
      </w:r>
      <w:r w:rsidRPr="007A0CC8" w:rsidR="001326B3">
        <w:t>“</w:t>
      </w:r>
      <w:r w:rsidR="003B4B37">
        <w:t>[r]</w:t>
      </w:r>
      <w:r w:rsidRPr="007A0CC8" w:rsidR="001326B3">
        <w:t>easonable cost includes all necessary and proper expenses incurred in furnishing services, such as administrative costs, maintenance costs, and premium payments for employee health and pension plans.”  (</w:t>
      </w:r>
      <w:r w:rsidRPr="007A0CC8" w:rsidR="001326B3">
        <w:rPr>
          <w:i/>
          <w:iCs/>
        </w:rPr>
        <w:t>Id</w:t>
      </w:r>
      <w:r w:rsidRPr="007A0CC8" w:rsidR="001326B3">
        <w:t>., § 413.9(c)(3).)</w:t>
      </w:r>
    </w:p>
    <w:p w:rsidR="00FA3316" w:rsidP="003B4B37" w14:paraId="75481C14" w14:textId="77777777">
      <w:pPr>
        <w:tabs>
          <w:tab w:val="left" w:pos="0"/>
        </w:tabs>
      </w:pPr>
      <w:r>
        <w:tab/>
      </w:r>
      <w:r w:rsidR="000F05C8">
        <w:t>The level of generality i</w:t>
      </w:r>
      <w:r w:rsidR="00254C2F">
        <w:t>n these instructions i</w:t>
      </w:r>
      <w:r w:rsidR="000F05C8">
        <w:t xml:space="preserve">s intentional:  </w:t>
      </w:r>
      <w:r w:rsidR="002B0642">
        <w:t xml:space="preserve">In the Medicare program, </w:t>
      </w:r>
      <w:r w:rsidR="004842F6">
        <w:t>t</w:t>
      </w:r>
      <w:r w:rsidR="00D2106D">
        <w:t>h</w:t>
      </w:r>
      <w:r w:rsidR="00A11F76">
        <w:t>e</w:t>
      </w:r>
      <w:r w:rsidR="00D2106D">
        <w:t xml:space="preserve"> </w:t>
      </w:r>
      <w:r w:rsidR="00A11F76">
        <w:t xml:space="preserve">same </w:t>
      </w:r>
      <w:r w:rsidR="00D2106D">
        <w:t xml:space="preserve">reasonable cost standard </w:t>
      </w:r>
      <w:r w:rsidR="009A382F">
        <w:t>appl</w:t>
      </w:r>
      <w:r w:rsidR="00D2106D">
        <w:t>ies</w:t>
      </w:r>
      <w:r w:rsidR="009A382F">
        <w:t xml:space="preserve"> to a </w:t>
      </w:r>
      <w:r w:rsidR="000F05C8">
        <w:t xml:space="preserve">wide </w:t>
      </w:r>
      <w:r w:rsidR="009A382F">
        <w:t>variety of provider types</w:t>
      </w:r>
      <w:r w:rsidR="00D2106D">
        <w:t>,</w:t>
      </w:r>
      <w:r w:rsidR="009A382F">
        <w:t xml:space="preserve"> </w:t>
      </w:r>
      <w:r w:rsidR="00D2106D">
        <w:t>ranging from</w:t>
      </w:r>
      <w:r w:rsidR="009A382F">
        <w:t xml:space="preserve"> hospitals </w:t>
      </w:r>
      <w:r w:rsidR="00D2106D">
        <w:t xml:space="preserve">to </w:t>
      </w:r>
      <w:r w:rsidR="009A382F">
        <w:t>home health agencies</w:t>
      </w:r>
      <w:r w:rsidR="00D11D49">
        <w:t>.</w:t>
      </w:r>
      <w:r w:rsidR="00AF1DAD">
        <w:t xml:space="preserve"> </w:t>
      </w:r>
      <w:r w:rsidR="00D11D49">
        <w:t xml:space="preserve"> </w:t>
      </w:r>
      <w:r w:rsidR="00AF1DAD">
        <w:t>(</w:t>
      </w:r>
      <w:r w:rsidR="00021634">
        <w:t xml:space="preserve">42 C.F.R. </w:t>
      </w:r>
      <w:r w:rsidR="00260C3F">
        <w:t>§ 413.1(a)(2)(i), (iii)</w:t>
      </w:r>
      <w:r w:rsidR="00021634">
        <w:t xml:space="preserve"> (2023)</w:t>
      </w:r>
      <w:r w:rsidR="00D2106D">
        <w:t>.)</w:t>
      </w:r>
      <w:r w:rsidR="00A11F76">
        <w:t xml:space="preserve">  T</w:t>
      </w:r>
      <w:r w:rsidR="009A382F">
        <w:t xml:space="preserve">he regulations </w:t>
      </w:r>
      <w:r w:rsidR="00A11F76">
        <w:t xml:space="preserve">thus </w:t>
      </w:r>
      <w:r w:rsidR="009A382F">
        <w:t xml:space="preserve">acknowledge that the “costs of providers’ services vary from one provider to another and the variations generally reflect differences in scope of services and intensity of care. </w:t>
      </w:r>
      <w:r w:rsidR="00D11D49">
        <w:t xml:space="preserve"> </w:t>
      </w:r>
      <w:r w:rsidR="009A382F">
        <w:t>The provision in Medicare for payment of reasonable cost of services is intended to meet the actual costs, however widely they may vary from one institution to another.”  (</w:t>
      </w:r>
      <w:r w:rsidRPr="00B919BA" w:rsidR="009A382F">
        <w:rPr>
          <w:i/>
          <w:iCs/>
        </w:rPr>
        <w:t>Id</w:t>
      </w:r>
      <w:r w:rsidR="009A382F">
        <w:t>., § 413.9 (c)(2).)</w:t>
      </w:r>
    </w:p>
    <w:p w:rsidR="004E2CC1" w:rsidP="00B10FF7" w14:paraId="75481C15" w14:textId="77777777">
      <w:pPr>
        <w:tabs>
          <w:tab w:val="left" w:pos="720"/>
        </w:tabs>
      </w:pPr>
      <w:r>
        <w:tab/>
      </w:r>
      <w:r w:rsidR="005A1B26">
        <w:t xml:space="preserve">The Medicare regulations contain no specific instructions for the evaluation of any </w:t>
      </w:r>
      <w:r w:rsidR="0075079F">
        <w:t xml:space="preserve">particular </w:t>
      </w:r>
      <w:r w:rsidR="005A1B26">
        <w:t xml:space="preserve">cost, much less do they directly answer the question whether </w:t>
      </w:r>
      <w:r w:rsidR="008E3EBD">
        <w:t xml:space="preserve">an FQHC’s costs of outreach and education </w:t>
      </w:r>
      <w:r w:rsidR="00145E61">
        <w:t xml:space="preserve">can qualify </w:t>
      </w:r>
      <w:r w:rsidR="005A1B26">
        <w:t>as “reasonable and related” costs of care</w:t>
      </w:r>
      <w:r w:rsidR="00E96A5D">
        <w:t xml:space="preserve">.  </w:t>
      </w:r>
      <w:r w:rsidR="00254C2F">
        <w:t>T</w:t>
      </w:r>
      <w:r w:rsidR="0075079F">
        <w:t>hey simply tell us</w:t>
      </w:r>
      <w:r w:rsidR="001F2737">
        <w:t xml:space="preserve">, in general terms, that reasonable costs related to the care of beneficiaries include </w:t>
      </w:r>
      <w:r w:rsidR="00E41246">
        <w:t xml:space="preserve">“costs that are appropriate and helpful in developing and maintaining the operation of patient care facilities and </w:t>
      </w:r>
      <w:r w:rsidR="0075079F">
        <w:t>activities</w:t>
      </w:r>
      <w:r w:rsidR="00E41246">
        <w:t>”</w:t>
      </w:r>
      <w:r w:rsidR="000C3CD2">
        <w:t>;</w:t>
      </w:r>
      <w:r w:rsidR="00E41246">
        <w:t xml:space="preserve"> that </w:t>
      </w:r>
      <w:r w:rsidR="005879D6">
        <w:t xml:space="preserve">such </w:t>
      </w:r>
      <w:r w:rsidR="00E41246">
        <w:t xml:space="preserve">costs may include </w:t>
      </w:r>
      <w:r w:rsidR="000C3CD2">
        <w:t xml:space="preserve">both direct and indirect costs of care, such as </w:t>
      </w:r>
      <w:r w:rsidR="00E41246">
        <w:t>administrative costs</w:t>
      </w:r>
      <w:r w:rsidR="002E0461">
        <w:t xml:space="preserve">; and that </w:t>
      </w:r>
      <w:r w:rsidR="002523C1">
        <w:t xml:space="preserve">they are </w:t>
      </w:r>
      <w:r w:rsidR="002E0461">
        <w:t xml:space="preserve">usually </w:t>
      </w:r>
      <w:r w:rsidR="009A3FAD">
        <w:t xml:space="preserve">the sort of costs that are </w:t>
      </w:r>
      <w:r w:rsidR="002E0461">
        <w:t>“</w:t>
      </w:r>
      <w:r w:rsidRPr="007A0CC8" w:rsidR="002E0461">
        <w:t>common and accepted</w:t>
      </w:r>
      <w:r w:rsidR="002E0461">
        <w:t xml:space="preserve">” in the provider’s </w:t>
      </w:r>
      <w:r w:rsidR="00757504">
        <w:t>field</w:t>
      </w:r>
      <w:r w:rsidR="000C3CD2">
        <w:t>.</w:t>
      </w:r>
      <w:r w:rsidR="00303670">
        <w:t xml:space="preserve">  </w:t>
      </w:r>
      <w:r w:rsidR="00164049">
        <w:t>N</w:t>
      </w:r>
      <w:r w:rsidRPr="00B853F7" w:rsidR="00303670">
        <w:t>othing in the language of the regulations clearly preclude</w:t>
      </w:r>
      <w:r w:rsidRPr="00B853F7" w:rsidR="00164049">
        <w:t>s</w:t>
      </w:r>
      <w:r w:rsidRPr="00B853F7" w:rsidR="00303670">
        <w:t xml:space="preserve"> reimbursement of an FQHC’s expenditures on education and outreach services, which are not only common and accepted activities among FQHCs, but </w:t>
      </w:r>
      <w:r w:rsidRPr="00B853F7" w:rsidR="00EE49B0">
        <w:t xml:space="preserve">also listed among </w:t>
      </w:r>
      <w:r w:rsidRPr="00B853F7" w:rsidR="00303670">
        <w:t>the very “primary health services” that such institutions must provide to the populations they serve.</w:t>
      </w:r>
      <w:r w:rsidR="00303670">
        <w:t xml:space="preserve">  </w:t>
      </w:r>
      <w:r w:rsidRPr="00B853F7" w:rsidR="00303670">
        <w:t>(</w:t>
      </w:r>
      <w:r w:rsidR="00303670">
        <w:rPr>
          <w:iCs/>
          <w:sz w:val="26"/>
          <w:szCs w:val="26"/>
        </w:rPr>
        <w:t xml:space="preserve">See 42 U.S.C. </w:t>
      </w:r>
      <w:r w:rsidRPr="00D005B0" w:rsidR="00303670">
        <w:rPr>
          <w:iCs/>
          <w:sz w:val="26"/>
          <w:szCs w:val="26"/>
        </w:rPr>
        <w:t>§</w:t>
      </w:r>
      <w:r w:rsidR="001038C3">
        <w:rPr>
          <w:iCs/>
          <w:sz w:val="26"/>
          <w:szCs w:val="26"/>
        </w:rPr>
        <w:t> </w:t>
      </w:r>
      <w:r w:rsidRPr="00D005B0" w:rsidR="00303670">
        <w:rPr>
          <w:iCs/>
          <w:sz w:val="26"/>
          <w:szCs w:val="26"/>
        </w:rPr>
        <w:t>254b(b)(1)(A)(</w:t>
      </w:r>
      <w:r w:rsidR="00303670">
        <w:rPr>
          <w:iCs/>
          <w:sz w:val="26"/>
          <w:szCs w:val="26"/>
        </w:rPr>
        <w:t>i</w:t>
      </w:r>
      <w:r w:rsidR="00EE49B0">
        <w:rPr>
          <w:iCs/>
          <w:sz w:val="26"/>
          <w:szCs w:val="26"/>
        </w:rPr>
        <w:t>v</w:t>
      </w:r>
      <w:r w:rsidR="00303670">
        <w:rPr>
          <w:iCs/>
          <w:sz w:val="26"/>
          <w:szCs w:val="26"/>
        </w:rPr>
        <w:t>)–(</w:t>
      </w:r>
      <w:r w:rsidRPr="00D005B0" w:rsidR="00303670">
        <w:rPr>
          <w:iCs/>
          <w:sz w:val="26"/>
          <w:szCs w:val="26"/>
        </w:rPr>
        <w:t>v)</w:t>
      </w:r>
      <w:r w:rsidR="00303670">
        <w:rPr>
          <w:iCs/>
          <w:sz w:val="26"/>
          <w:szCs w:val="26"/>
        </w:rPr>
        <w:t>.)</w:t>
      </w:r>
    </w:p>
    <w:p w:rsidR="00B978EB" w:rsidP="00B978EB" w14:paraId="75481C16" w14:textId="77777777">
      <w:pPr>
        <w:tabs>
          <w:tab w:val="left" w:pos="720"/>
        </w:tabs>
      </w:pPr>
      <w:r>
        <w:tab/>
      </w:r>
      <w:r w:rsidR="004E6AC8">
        <w:t xml:space="preserve">In the agency decision on review, the Chief ALJ acknowledged that </w:t>
      </w:r>
      <w:r w:rsidR="008976F1">
        <w:t xml:space="preserve">Medicaid funding may be used for </w:t>
      </w:r>
      <w:r w:rsidR="00B81430">
        <w:t>some outreach activities</w:t>
      </w:r>
      <w:r w:rsidR="00EE49B0">
        <w:t xml:space="preserve">, citing </w:t>
      </w:r>
      <w:r w:rsidR="003C6C5D">
        <w:t xml:space="preserve">informal </w:t>
      </w:r>
      <w:r>
        <w:t xml:space="preserve">federal </w:t>
      </w:r>
      <w:r w:rsidR="003C6C5D">
        <w:t xml:space="preserve">agency guidance </w:t>
      </w:r>
      <w:r>
        <w:t>indicating that outreach may be appropriate and helpful in providing care to Medicaid and Medicaid-eligible patients.</w:t>
      </w:r>
      <w:r w:rsidR="003C6C5D">
        <w:t xml:space="preserve"> </w:t>
      </w:r>
      <w:r w:rsidR="005136D4">
        <w:t xml:space="preserve"> </w:t>
      </w:r>
      <w:r w:rsidR="003C6C5D">
        <w:t xml:space="preserve">In its </w:t>
      </w:r>
      <w:r w:rsidRPr="007A0CC8" w:rsidR="00C27911">
        <w:t>State Medicaid Manual</w:t>
      </w:r>
      <w:r w:rsidR="003C6C5D">
        <w:t xml:space="preserve">, for instance, the </w:t>
      </w:r>
      <w:r w:rsidR="00C077D4">
        <w:t xml:space="preserve">federal Centers for Medicare &amp; Medicaid Services </w:t>
      </w:r>
      <w:r w:rsidR="003C6C5D">
        <w:t xml:space="preserve">(CMS) </w:t>
      </w:r>
      <w:r w:rsidR="00C077D4">
        <w:t xml:space="preserve">identifies </w:t>
      </w:r>
      <w:r w:rsidRPr="007A0CC8" w:rsidR="00C27911">
        <w:t xml:space="preserve">“Medicaid outreach (methods to inform or persuade recipients or potential recipients to enter into care through the Medicaid system)” </w:t>
      </w:r>
      <w:r w:rsidR="003C6C5D">
        <w:t xml:space="preserve">as an example of an administrative cost that is reimbursable under the Medicaid program.  </w:t>
      </w:r>
      <w:r w:rsidRPr="007A0CC8" w:rsidR="00C27911">
        <w:t>(</w:t>
      </w:r>
      <w:r w:rsidR="003C6C5D">
        <w:t>CMS</w:t>
      </w:r>
      <w:r w:rsidRPr="007A0CC8" w:rsidR="00C27911">
        <w:t xml:space="preserve">, </w:t>
      </w:r>
      <w:r w:rsidRPr="00B919BA" w:rsidR="00C27911">
        <w:t>State Medicaid Manual</w:t>
      </w:r>
      <w:r w:rsidRPr="007A0CC8" w:rsidR="00C27911">
        <w:t>, Part 4, § 4302.2, subd. (G)(2)</w:t>
      </w:r>
      <w:r w:rsidR="00021634">
        <w:t>,</w:t>
      </w:r>
      <w:r w:rsidRPr="007A0CC8" w:rsidR="00C27911">
        <w:t xml:space="preserve"> p. 4-312</w:t>
      </w:r>
      <w:r w:rsidR="00021634">
        <w:t>.</w:t>
      </w:r>
      <w:r w:rsidRPr="007A0CC8" w:rsidR="00C27911">
        <w:t>)</w:t>
      </w:r>
      <w:r>
        <w:rPr>
          <w:rStyle w:val="FootnoteReference"/>
        </w:rPr>
        <w:footnoteReference w:id="7"/>
      </w:r>
      <w:r w:rsidRPr="007A0CC8" w:rsidR="00C27911">
        <w:t xml:space="preserve">  </w:t>
      </w:r>
      <w:r w:rsidR="00692FEA">
        <w:t>A</w:t>
      </w:r>
      <w:r w:rsidRPr="007A0CC8" w:rsidR="00C27911">
        <w:t xml:space="preserve"> 1994 State Medicaid Director Letter </w:t>
      </w:r>
      <w:r w:rsidR="00692FEA">
        <w:t xml:space="preserve">likewise </w:t>
      </w:r>
      <w:r w:rsidRPr="007A0CC8" w:rsidR="00C27911">
        <w:t>reiterate</w:t>
      </w:r>
      <w:r w:rsidR="00924673">
        <w:t>s</w:t>
      </w:r>
      <w:r w:rsidRPr="007A0CC8" w:rsidR="00C27911">
        <w:t xml:space="preserve"> that </w:t>
      </w:r>
      <w:r w:rsidR="002F6EC0">
        <w:t xml:space="preserve">Medicaid </w:t>
      </w:r>
      <w:r w:rsidRPr="007A0CC8" w:rsidR="00C27911">
        <w:t xml:space="preserve">outreach </w:t>
      </w:r>
      <w:r w:rsidR="00692FEA">
        <w:t>as described in the</w:t>
      </w:r>
      <w:r w:rsidR="009103EC">
        <w:t xml:space="preserve"> </w:t>
      </w:r>
      <w:r w:rsidR="00692FEA">
        <w:t xml:space="preserve">State Medicaid Manual </w:t>
      </w:r>
      <w:r w:rsidR="00924673">
        <w:t>i</w:t>
      </w:r>
      <w:r w:rsidRPr="007A0CC8" w:rsidR="00C27911">
        <w:t>s “necessary for the proper and</w:t>
      </w:r>
      <w:r w:rsidR="009103EC">
        <w:t xml:space="preserve"> </w:t>
      </w:r>
      <w:r w:rsidRPr="007A0CC8" w:rsidR="00C27911">
        <w:t xml:space="preserve">efficient administration of the State plan” for providing services </w:t>
      </w:r>
      <w:r w:rsidR="002C1400">
        <w:t>covered by Medicaid</w:t>
      </w:r>
      <w:r w:rsidR="00DF2F53">
        <w:t xml:space="preserve">.  </w:t>
      </w:r>
      <w:r w:rsidRPr="007A0CC8" w:rsidR="00C27911">
        <w:t>(</w:t>
      </w:r>
      <w:r w:rsidRPr="00E97314" w:rsidR="00C27911">
        <w:t>Letter from Sally K. Richardson,</w:t>
      </w:r>
      <w:r w:rsidRPr="00E97314" w:rsidR="009103EC">
        <w:t xml:space="preserve"> </w:t>
      </w:r>
      <w:r w:rsidRPr="00E97314" w:rsidR="00C27911">
        <w:t>Director, Medicaid Bureau, Health Care Financing Administration</w:t>
      </w:r>
      <w:r w:rsidRPr="00E97314" w:rsidR="003C6C5D">
        <w:t xml:space="preserve"> (now called CMS)</w:t>
      </w:r>
      <w:r w:rsidRPr="00E97314" w:rsidR="00C27911">
        <w:t>, to State Medicaid Directors, Dec. 20, 1994, p. 2</w:t>
      </w:r>
      <w:r w:rsidR="00DF2F53">
        <w:t>.</w:t>
      </w:r>
      <w:r w:rsidRPr="007A0CC8" w:rsidR="00C27911">
        <w:t>)</w:t>
      </w:r>
      <w:r>
        <w:rPr>
          <w:rStyle w:val="FootnoteReference"/>
        </w:rPr>
        <w:footnoteReference w:id="8"/>
      </w:r>
      <w:r w:rsidR="00DF2F53">
        <w:t xml:space="preserve"> </w:t>
      </w:r>
      <w:r w:rsidR="00810157">
        <w:t xml:space="preserve"> </w:t>
      </w:r>
    </w:p>
    <w:p w:rsidR="00E169E8" w:rsidP="00720B2B" w14:paraId="75481C17" w14:textId="77777777">
      <w:pPr>
        <w:tabs>
          <w:tab w:val="left" w:pos="720"/>
        </w:tabs>
      </w:pPr>
      <w:r>
        <w:tab/>
      </w:r>
      <w:r w:rsidR="00810157">
        <w:t xml:space="preserve">The Chief ALJ in this matter, however, determined that </w:t>
      </w:r>
      <w:r w:rsidR="007E2BA0">
        <w:t xml:space="preserve">this guidance </w:t>
      </w:r>
      <w:r w:rsidR="00637487">
        <w:t xml:space="preserve">concerning outreach activities </w:t>
      </w:r>
      <w:r w:rsidR="007E2BA0">
        <w:t xml:space="preserve">did not </w:t>
      </w:r>
      <w:r w:rsidR="00B37370">
        <w:t xml:space="preserve">resolve the question whether </w:t>
      </w:r>
      <w:r w:rsidR="00EF3739">
        <w:t xml:space="preserve">outreach conducted by Family Health </w:t>
      </w:r>
      <w:r w:rsidR="0027482F">
        <w:t>was “</w:t>
      </w:r>
      <w:r w:rsidRPr="004D6283" w:rsidR="004D6283">
        <w:t>reasonably related, directly or indirectly, to patient care</w:t>
      </w:r>
      <w:r w:rsidR="00776D1F">
        <w:t>.</w:t>
      </w:r>
      <w:r w:rsidRPr="004D6283" w:rsidR="004D6283">
        <w:t>”</w:t>
      </w:r>
      <w:r w:rsidR="00924673">
        <w:rPr>
          <w:rStyle w:val="FootnoteReference"/>
        </w:rPr>
        <w:t xml:space="preserve"> </w:t>
      </w:r>
      <w:r>
        <w:t xml:space="preserve">  </w:t>
      </w:r>
      <w:r w:rsidR="00776D1F">
        <w:t xml:space="preserve">To answer that question, the </w:t>
      </w:r>
      <w:r w:rsidR="00527924">
        <w:t xml:space="preserve">Chief </w:t>
      </w:r>
      <w:r w:rsidR="00776D1F">
        <w:t xml:space="preserve">ALJ </w:t>
      </w:r>
      <w:r w:rsidR="00B947D0">
        <w:t xml:space="preserve">turned to the </w:t>
      </w:r>
      <w:r w:rsidR="001C2E88">
        <w:t xml:space="preserve">Medicare </w:t>
      </w:r>
      <w:r w:rsidR="00EF3739">
        <w:t xml:space="preserve">Provider </w:t>
      </w:r>
      <w:r w:rsidR="001C2E88">
        <w:t xml:space="preserve">Reimbursement </w:t>
      </w:r>
      <w:r w:rsidR="00EF3739">
        <w:t>Manual</w:t>
      </w:r>
      <w:r w:rsidR="001C2E88">
        <w:t xml:space="preserve">, </w:t>
      </w:r>
      <w:r>
        <w:t xml:space="preserve">which contains more specific </w:t>
      </w:r>
      <w:r w:rsidRPr="007A0CC8">
        <w:t xml:space="preserve">guidance on a wide variety of issues related to calculating and reimbursing Medicare costs.  The Court of Appeal did the same, concluding the Department did not abuse its discretion in its decision </w:t>
      </w:r>
      <w:r w:rsidR="008A5C9D">
        <w:t xml:space="preserve">by </w:t>
      </w:r>
      <w:r w:rsidRPr="007A0CC8">
        <w:t>relying on the manual.  (</w:t>
      </w:r>
      <w:r w:rsidRPr="007A0CC8">
        <w:rPr>
          <w:i/>
          <w:iCs/>
        </w:rPr>
        <w:t>Family Health Centers</w:t>
      </w:r>
      <w:r w:rsidRPr="007A0CC8">
        <w:t xml:space="preserve">, </w:t>
      </w:r>
      <w:r w:rsidRPr="007A0CC8">
        <w:rPr>
          <w:i/>
          <w:iCs/>
        </w:rPr>
        <w:t>supra</w:t>
      </w:r>
      <w:r w:rsidRPr="007A0CC8">
        <w:t>, 67 Cal.App.5th at p. 360.)</w:t>
      </w:r>
      <w:r>
        <w:t xml:space="preserve">  Now, before this court, the parties’ arguments likewise center on the meaning of the Provider Manual and </w:t>
      </w:r>
      <w:r w:rsidR="00535FD6">
        <w:t xml:space="preserve">the </w:t>
      </w:r>
      <w:r>
        <w:t>guidance</w:t>
      </w:r>
      <w:r w:rsidR="00535FD6">
        <w:t xml:space="preserve"> it offers</w:t>
      </w:r>
      <w:r>
        <w:t>.</w:t>
      </w:r>
    </w:p>
    <w:p w:rsidR="00C044F2" w:rsidRPr="00FF56D3" w:rsidP="00796BA6" w14:paraId="75481C18" w14:textId="77777777">
      <w:pPr>
        <w:ind w:firstLine="720"/>
      </w:pPr>
      <w:r>
        <w:t xml:space="preserve">Though we, too, will consider the Provider Manual, we should be clear about the role the manual plays in the analysis.  </w:t>
      </w:r>
      <w:r w:rsidR="00DC6E62">
        <w:t>T</w:t>
      </w:r>
      <w:r>
        <w:t xml:space="preserve">he manual is an informal guidance document; it does not “have the force and effect of law.”  </w:t>
      </w:r>
      <w:r w:rsidRPr="007A0CC8">
        <w:t>(</w:t>
      </w:r>
      <w:r w:rsidRPr="007A0CC8">
        <w:rPr>
          <w:i/>
          <w:iCs/>
        </w:rPr>
        <w:t>Shalala v. Guernsey Memorial Hospital</w:t>
      </w:r>
      <w:r w:rsidRPr="007A0CC8">
        <w:t xml:space="preserve"> (1995) 514 U.S. 87, 99; </w:t>
      </w:r>
      <w:r>
        <w:t xml:space="preserve">see </w:t>
      </w:r>
      <w:r w:rsidRPr="007A0CC8">
        <w:rPr>
          <w:i/>
          <w:iCs/>
        </w:rPr>
        <w:t>Tulare Pediatric Health Care Center v. State Dept. of Health Care Services</w:t>
      </w:r>
      <w:r w:rsidRPr="007A0CC8">
        <w:t xml:space="preserve"> (2019) 41 Cal.App.5th 163, 175</w:t>
      </w:r>
      <w:r w:rsidR="00DC6E62">
        <w:t xml:space="preserve">; </w:t>
      </w:r>
      <w:r w:rsidR="003F6319">
        <w:t xml:space="preserve">Provider </w:t>
      </w:r>
      <w:r w:rsidR="00DC6E62">
        <w:t xml:space="preserve">Manual, </w:t>
      </w:r>
      <w:r w:rsidRPr="00CE0B11" w:rsidR="00CE0B11">
        <w:rPr>
          <w:i/>
          <w:iCs/>
        </w:rPr>
        <w:t>supra</w:t>
      </w:r>
      <w:r w:rsidR="00CE0B11">
        <w:t xml:space="preserve">, </w:t>
      </w:r>
      <w:r w:rsidRPr="00CE0B11" w:rsidR="00CE39C7">
        <w:t>Foreword</w:t>
      </w:r>
      <w:r w:rsidR="00DC6E62">
        <w:t xml:space="preserve"> </w:t>
      </w:r>
      <w:r w:rsidRPr="004F7D5E" w:rsidR="003F6319">
        <w:t>[</w:t>
      </w:r>
      <w:r w:rsidR="004F7D5E">
        <w:t xml:space="preserve">the </w:t>
      </w:r>
      <w:r w:rsidRPr="004F7D5E" w:rsidR="004F7D5E">
        <w:t xml:space="preserve">manual </w:t>
      </w:r>
      <w:r w:rsidR="004F7D5E">
        <w:t>“</w:t>
      </w:r>
      <w:r w:rsidRPr="004F7D5E" w:rsidR="004F7D5E">
        <w:t>provides guidelines and policies</w:t>
      </w:r>
      <w:r w:rsidR="004F7D5E">
        <w:t>”</w:t>
      </w:r>
      <w:r w:rsidRPr="004F7D5E" w:rsidR="004F7D5E">
        <w:t xml:space="preserve"> to implement Medicare </w:t>
      </w:r>
      <w:r w:rsidR="004F7D5E">
        <w:t xml:space="preserve">reasonable cost </w:t>
      </w:r>
      <w:r w:rsidRPr="004F7D5E" w:rsidR="004F7D5E">
        <w:t xml:space="preserve">regulations </w:t>
      </w:r>
      <w:r w:rsidR="004F7D5E">
        <w:t>“</w:t>
      </w:r>
      <w:r w:rsidRPr="004F7D5E" w:rsidR="004F7D5E">
        <w:t>but it does not have the effect of regulations</w:t>
      </w:r>
      <w:r w:rsidR="004F7D5E">
        <w:t>”</w:t>
      </w:r>
      <w:r w:rsidRPr="004F7D5E" w:rsidR="00CE39C7">
        <w:t>]</w:t>
      </w:r>
      <w:r w:rsidRPr="007A0CC8">
        <w:t>.)</w:t>
      </w:r>
      <w:r>
        <w:rPr>
          <w:rStyle w:val="FootnoteReference"/>
        </w:rPr>
        <w:footnoteReference w:id="9"/>
      </w:r>
      <w:r w:rsidRPr="007A0CC8">
        <w:t xml:space="preserve">  </w:t>
      </w:r>
      <w:r>
        <w:t>But i</w:t>
      </w:r>
      <w:r w:rsidRPr="007A0CC8">
        <w:t xml:space="preserve">nterpretations in </w:t>
      </w:r>
      <w:r w:rsidR="009E2D4B">
        <w:t xml:space="preserve">“a </w:t>
      </w:r>
      <w:r w:rsidR="00796BA6">
        <w:t xml:space="preserve">non-binding </w:t>
      </w:r>
      <w:r w:rsidRPr="007A0CC8">
        <w:t>a</w:t>
      </w:r>
      <w:r w:rsidR="009E2D4B">
        <w:t xml:space="preserve">dministrative </w:t>
      </w:r>
      <w:r w:rsidRPr="007A0CC8">
        <w:t>manual</w:t>
      </w:r>
      <w:r w:rsidR="009E2D4B">
        <w:t>”</w:t>
      </w:r>
      <w:r w:rsidRPr="007A0CC8">
        <w:t xml:space="preserve"> are</w:t>
      </w:r>
      <w:r w:rsidR="00E86922">
        <w:t xml:space="preserve"> at least</w:t>
      </w:r>
      <w:r w:rsidRPr="007A0CC8">
        <w:t xml:space="preserve"> entitled to </w:t>
      </w:r>
      <w:r w:rsidR="009D2375">
        <w:t xml:space="preserve">consideration </w:t>
      </w:r>
      <w:r w:rsidRPr="007A0CC8">
        <w:t xml:space="preserve">to the extent they have the </w:t>
      </w:r>
      <w:r w:rsidR="009D2375">
        <w:t>“ </w:t>
      </w:r>
      <w:r w:rsidRPr="007A0CC8">
        <w:t>‘power to persuade</w:t>
      </w:r>
      <w:r>
        <w:t>.</w:t>
      </w:r>
      <w:r w:rsidRPr="007A0CC8">
        <w:t>’ ”  (</w:t>
      </w:r>
      <w:r w:rsidRPr="009C6D5E" w:rsidR="00796BA6">
        <w:rPr>
          <w:i/>
          <w:iCs/>
        </w:rPr>
        <w:t>Georgia</w:t>
      </w:r>
      <w:r w:rsidR="00796BA6">
        <w:t xml:space="preserve"> </w:t>
      </w:r>
      <w:r w:rsidRPr="009C6D5E" w:rsidR="00796BA6">
        <w:rPr>
          <w:i/>
          <w:iCs/>
        </w:rPr>
        <w:t>v. Public.Resource.Org, Inc.</w:t>
      </w:r>
      <w:r w:rsidR="00796BA6">
        <w:t xml:space="preserve"> (2020) ___</w:t>
      </w:r>
      <w:r w:rsidR="00DE3E3D">
        <w:t xml:space="preserve"> </w:t>
      </w:r>
      <w:r w:rsidR="00796BA6">
        <w:t>U.S.</w:t>
      </w:r>
      <w:r w:rsidR="00DE3E3D">
        <w:t xml:space="preserve"> </w:t>
      </w:r>
      <w:r w:rsidR="00796BA6">
        <w:t>___</w:t>
      </w:r>
      <w:r w:rsidR="0077696F">
        <w:t>, ___</w:t>
      </w:r>
      <w:r w:rsidR="00796BA6">
        <w:t xml:space="preserve"> [140 S.Ct. 1498, 1510</w:t>
      </w:r>
      <w:r w:rsidR="00DE3E3D">
        <w:t>]</w:t>
      </w:r>
      <w:r w:rsidR="00C143F3">
        <w:t xml:space="preserve">; </w:t>
      </w:r>
      <w:r w:rsidR="006C6D8F">
        <w:t xml:space="preserve">cf. </w:t>
      </w:r>
      <w:r w:rsidR="006C6D8F">
        <w:rPr>
          <w:i/>
          <w:iCs/>
        </w:rPr>
        <w:t>Atrium Med</w:t>
      </w:r>
      <w:r w:rsidR="00021634">
        <w:rPr>
          <w:i/>
          <w:iCs/>
        </w:rPr>
        <w:t>.</w:t>
      </w:r>
      <w:r w:rsidR="006C6D8F">
        <w:rPr>
          <w:i/>
          <w:iCs/>
        </w:rPr>
        <w:t xml:space="preserve"> Center v. Dept. of </w:t>
      </w:r>
      <w:r w:rsidR="007F0CF4">
        <w:rPr>
          <w:i/>
          <w:iCs/>
        </w:rPr>
        <w:t xml:space="preserve">Health &amp; Human Serv. </w:t>
      </w:r>
      <w:r w:rsidR="007F0CF4">
        <w:t xml:space="preserve">(6th Cir. 2014) 766 F.3d 560, 571 </w:t>
      </w:r>
      <w:r w:rsidR="0069178D">
        <w:t>(</w:t>
      </w:r>
      <w:r w:rsidR="0069178D">
        <w:rPr>
          <w:i/>
          <w:iCs/>
        </w:rPr>
        <w:t>Atrium Medical Center</w:t>
      </w:r>
      <w:r w:rsidR="0069178D">
        <w:t xml:space="preserve">) </w:t>
      </w:r>
      <w:r w:rsidR="007F0CF4">
        <w:t>[</w:t>
      </w:r>
      <w:r w:rsidR="00F93C7B">
        <w:t xml:space="preserve">collecting cases concerning the deference owed to </w:t>
      </w:r>
      <w:r w:rsidR="00151C9E">
        <w:t xml:space="preserve">interpretations in </w:t>
      </w:r>
      <w:r w:rsidR="00F93C7B">
        <w:t>the Provider Manual]</w:t>
      </w:r>
      <w:r w:rsidRPr="007A0CC8">
        <w:t>.)</w:t>
      </w:r>
      <w:r>
        <w:t xml:space="preserve">  </w:t>
      </w:r>
      <w:r w:rsidR="00D951AE">
        <w:t>And t</w:t>
      </w:r>
      <w:r w:rsidR="002F3218">
        <w:t>he Provider Manual offers guidance in a highly technical area governed by a large and complex regulatory scheme</w:t>
      </w:r>
      <w:r w:rsidR="00DF7803">
        <w:t xml:space="preserve">.  While the Medicare reasonable cost regulation speaks at a relatively high level of generality, the manual sets out </w:t>
      </w:r>
      <w:r w:rsidR="00D51BE4">
        <w:t xml:space="preserve">a series of </w:t>
      </w:r>
      <w:r w:rsidR="00DF7803">
        <w:t>more specific instructions</w:t>
      </w:r>
      <w:r w:rsidR="0006216A">
        <w:t xml:space="preserve">.  Because these more specific instructions reflect the accumulated experience of the responsible agency, </w:t>
      </w:r>
      <w:r w:rsidR="00E97452">
        <w:t xml:space="preserve">discussions about the proper interpretation and application </w:t>
      </w:r>
      <w:r w:rsidR="00FF56D3">
        <w:t>of Medicare reasonableness principles often center on the Provider Manual</w:t>
      </w:r>
      <w:r w:rsidR="004B1FF3">
        <w:t>, as they have in this case</w:t>
      </w:r>
      <w:r w:rsidR="00FF56D3">
        <w:t>.  (</w:t>
      </w:r>
      <w:r w:rsidR="00D9206A">
        <w:t>Cf., e.g.,</w:t>
      </w:r>
      <w:r w:rsidR="00FF56D3">
        <w:t xml:space="preserve"> </w:t>
      </w:r>
      <w:r w:rsidR="00FF56D3">
        <w:rPr>
          <w:i/>
          <w:iCs/>
        </w:rPr>
        <w:t>Atrium Medical</w:t>
      </w:r>
      <w:r w:rsidR="00465766">
        <w:rPr>
          <w:i/>
          <w:iCs/>
        </w:rPr>
        <w:t xml:space="preserve"> Center</w:t>
      </w:r>
      <w:r w:rsidR="00FF56D3">
        <w:t xml:space="preserve">, </w:t>
      </w:r>
      <w:r w:rsidR="00FA426E">
        <w:t>at p.</w:t>
      </w:r>
      <w:r w:rsidR="00C373B3">
        <w:t> </w:t>
      </w:r>
      <w:r w:rsidR="00FA426E">
        <w:t>571 [noting that, “practically speaking, .</w:t>
      </w:r>
      <w:r w:rsidR="004F1CCC">
        <w:t> </w:t>
      </w:r>
      <w:r w:rsidR="00FA426E">
        <w:t>.</w:t>
      </w:r>
      <w:r w:rsidR="004F1CCC">
        <w:t> </w:t>
      </w:r>
      <w:r w:rsidR="00FA426E">
        <w:t>. courts tend to defer to statutory interpretations found in the [Provider Manual] regardless of which rule” of deference they apply</w:t>
      </w:r>
      <w:r w:rsidR="0075737D">
        <w:t>].)</w:t>
      </w:r>
    </w:p>
    <w:p w:rsidR="00965279" w:rsidRPr="007A0CC8" w:rsidP="00965279" w14:paraId="75481C19" w14:textId="77777777">
      <w:pPr>
        <w:ind w:firstLine="720"/>
      </w:pPr>
      <w:r>
        <w:t xml:space="preserve">We therefore turn </w:t>
      </w:r>
      <w:r w:rsidR="00696AB9">
        <w:t xml:space="preserve">to the Department’s reading of the </w:t>
      </w:r>
      <w:r>
        <w:t xml:space="preserve">Provider Manual, </w:t>
      </w:r>
      <w:r w:rsidR="008F2461">
        <w:t xml:space="preserve">while </w:t>
      </w:r>
      <w:r>
        <w:t xml:space="preserve">keeping firmly in view the statutory and regulatory provisions </w:t>
      </w:r>
      <w:r w:rsidR="004F24F2">
        <w:t xml:space="preserve">underlying </w:t>
      </w:r>
      <w:r>
        <w:t xml:space="preserve">the informal </w:t>
      </w:r>
      <w:r w:rsidR="00256086">
        <w:t xml:space="preserve">agency </w:t>
      </w:r>
      <w:r>
        <w:t>guidance</w:t>
      </w:r>
      <w:r w:rsidRPr="007A0CC8">
        <w:t xml:space="preserve">.  </w:t>
      </w:r>
    </w:p>
    <w:p w:rsidR="00B376D5" w:rsidP="00A70B88" w14:paraId="75481C1A" w14:textId="77777777">
      <w:pPr>
        <w:pStyle w:val="Heading2"/>
        <w:tabs>
          <w:tab w:val="clear" w:pos="1152"/>
        </w:tabs>
        <w:ind w:left="0" w:firstLine="0"/>
        <w:jc w:val="center"/>
      </w:pPr>
      <w:r>
        <w:t>B.</w:t>
      </w:r>
    </w:p>
    <w:p w:rsidR="0055678D" w:rsidP="00455040" w14:paraId="75481C1B" w14:textId="77777777">
      <w:pPr>
        <w:tabs>
          <w:tab w:val="left" w:pos="1440"/>
        </w:tabs>
        <w:ind w:firstLine="720"/>
      </w:pPr>
      <w:r w:rsidRPr="007A0CC8">
        <w:t xml:space="preserve">The Provider Manual contains guidance on a wide variety of </w:t>
      </w:r>
      <w:r>
        <w:t>subjects</w:t>
      </w:r>
      <w:r w:rsidRPr="007A0CC8">
        <w:t xml:space="preserve"> related to calculating and reimbursing Medicare costs.  </w:t>
      </w:r>
      <w:r>
        <w:t>In the decision on review, the Department relied on the Provider Manual’s provisions regarding advertising</w:t>
      </w:r>
      <w:r w:rsidRPr="004D6283">
        <w:t xml:space="preserve"> </w:t>
      </w:r>
      <w:r>
        <w:t xml:space="preserve">costs, concluding that those provisions categorically prohibited outreach activities that </w:t>
      </w:r>
      <w:r w:rsidRPr="007A0CC8">
        <w:t>attract</w:t>
      </w:r>
      <w:r>
        <w:t>ed</w:t>
      </w:r>
      <w:r w:rsidRPr="007A0CC8">
        <w:t xml:space="preserve"> new patients and increase</w:t>
      </w:r>
      <w:r>
        <w:t>d</w:t>
      </w:r>
      <w:r w:rsidRPr="007A0CC8">
        <w:t xml:space="preserve"> </w:t>
      </w:r>
      <w:r>
        <w:t xml:space="preserve">their </w:t>
      </w:r>
      <w:r w:rsidRPr="007A0CC8">
        <w:t>u</w:t>
      </w:r>
      <w:r>
        <w:t xml:space="preserve">se of health center </w:t>
      </w:r>
      <w:r w:rsidRPr="007A0CC8">
        <w:t>services.</w:t>
      </w:r>
      <w:r>
        <w:t xml:space="preserve">  </w:t>
      </w:r>
      <w:r w:rsidR="00CE0658">
        <w:t xml:space="preserve">Although it is unclear that the </w:t>
      </w:r>
      <w:r w:rsidR="0002251B">
        <w:t>manual’s discussion of advertising</w:t>
      </w:r>
      <w:r w:rsidR="0019133B">
        <w:t xml:space="preserve"> </w:t>
      </w:r>
      <w:r w:rsidR="00595D94">
        <w:t xml:space="preserve">was written in </w:t>
      </w:r>
      <w:r w:rsidR="00CE0658">
        <w:t>contemplat</w:t>
      </w:r>
      <w:r w:rsidR="00595D94">
        <w:t>ion of</w:t>
      </w:r>
      <w:r w:rsidR="00CE0658">
        <w:t xml:space="preserve"> the type of activities at issue in this case, </w:t>
      </w:r>
      <w:r w:rsidR="0002251B">
        <w:t>w</w:t>
      </w:r>
      <w:r w:rsidR="00187810">
        <w:t>e likewise focus on those provisions</w:t>
      </w:r>
      <w:r w:rsidR="0002251B">
        <w:t xml:space="preserve"> </w:t>
      </w:r>
      <w:r w:rsidR="002B5FA4">
        <w:t xml:space="preserve">for the value of </w:t>
      </w:r>
      <w:r w:rsidR="008B22B3">
        <w:t>the</w:t>
      </w:r>
      <w:r w:rsidR="001B5698">
        <w:t xml:space="preserve"> </w:t>
      </w:r>
      <w:r w:rsidR="0002251B">
        <w:t>guidance they may offer</w:t>
      </w:r>
      <w:r w:rsidR="008B22B3">
        <w:t xml:space="preserve"> in this context</w:t>
      </w:r>
      <w:r w:rsidR="00187810">
        <w:t>.</w:t>
      </w:r>
      <w:r w:rsidRPr="007A0CC8">
        <w:t xml:space="preserve">  </w:t>
      </w:r>
    </w:p>
    <w:p w:rsidR="00A2667A" w:rsidRPr="007A0CC8" w14:paraId="75481C1C" w14:textId="77777777">
      <w:pPr>
        <w:tabs>
          <w:tab w:val="left" w:pos="1440"/>
        </w:tabs>
        <w:ind w:firstLine="720"/>
      </w:pPr>
      <w:r w:rsidRPr="007A0CC8">
        <w:t>Advertising is among the topics covered in a chapter on costs related to patient care.  (Provider Manual,</w:t>
      </w:r>
      <w:r w:rsidRPr="007A0CC8" w:rsidR="00590571">
        <w:t xml:space="preserve"> </w:t>
      </w:r>
      <w:r w:rsidR="00C5590F">
        <w:rPr>
          <w:i/>
          <w:iCs/>
        </w:rPr>
        <w:t>supra</w:t>
      </w:r>
      <w:r w:rsidR="00C5590F">
        <w:t xml:space="preserve">, </w:t>
      </w:r>
      <w:r w:rsidRPr="00A70B88" w:rsidR="00590571">
        <w:t>Chapter 21</w:t>
      </w:r>
      <w:r w:rsidRPr="007A0CC8">
        <w:t xml:space="preserve">.)  Tracking the reasonable cost regulations, the manual describes general principles for </w:t>
      </w:r>
      <w:r w:rsidR="0003064D">
        <w:t xml:space="preserve">reimbursement of </w:t>
      </w:r>
      <w:r w:rsidRPr="007A0CC8">
        <w:t>patient care costs, stating that reimbursement must be based on the reasonable cost of covered services that are “related to the care of beneficiaries.”  (</w:t>
      </w:r>
      <w:r w:rsidRPr="007A0CC8">
        <w:rPr>
          <w:i/>
          <w:iCs/>
        </w:rPr>
        <w:t>Id</w:t>
      </w:r>
      <w:r w:rsidRPr="007A0CC8">
        <w:t>., § 2100.)  Costs related to patient care “include all necessary and proper costs which are appropriate and helpful in developing and maintaining the operation of patient care facilities and activities” and “are usually costs which are common and accepted occurrences in the field of the provider’s activity.”  (</w:t>
      </w:r>
      <w:r w:rsidRPr="007A0CC8">
        <w:rPr>
          <w:i/>
          <w:iCs/>
        </w:rPr>
        <w:t>Id</w:t>
      </w:r>
      <w:r w:rsidRPr="007A0CC8">
        <w:t xml:space="preserve">., § 2102.2.)  </w:t>
      </w:r>
    </w:p>
    <w:p w:rsidR="00F604D6" w:rsidRPr="007A0CC8" w:rsidP="001D486B" w14:paraId="75481C1D" w14:textId="77777777">
      <w:pPr>
        <w:tabs>
          <w:tab w:val="left" w:pos="1440"/>
        </w:tabs>
        <w:ind w:firstLine="720"/>
      </w:pPr>
      <w:r w:rsidRPr="007A0CC8">
        <w:t>The Provider Manual</w:t>
      </w:r>
      <w:r w:rsidR="00F74E60">
        <w:t>’s</w:t>
      </w:r>
      <w:r w:rsidRPr="007A0CC8">
        <w:t xml:space="preserve"> guidance on advertising costs </w:t>
      </w:r>
      <w:r w:rsidR="00324ADE">
        <w:t xml:space="preserve">likewise tracks </w:t>
      </w:r>
      <w:r w:rsidR="00E656D6">
        <w:t xml:space="preserve">the reasonable cost regulations.  The guidance states that </w:t>
      </w:r>
      <w:r w:rsidRPr="007A0CC8" w:rsidR="00A94E7C">
        <w:t>the</w:t>
      </w:r>
      <w:r w:rsidRPr="007A0CC8">
        <w:t xml:space="preserve"> </w:t>
      </w:r>
      <w:r w:rsidRPr="007A0CC8" w:rsidR="001C1940">
        <w:t xml:space="preserve">allowability of </w:t>
      </w:r>
      <w:r w:rsidR="00E656D6">
        <w:t xml:space="preserve">advertising </w:t>
      </w:r>
      <w:r w:rsidRPr="007A0CC8" w:rsidR="001C1940">
        <w:t xml:space="preserve">costs </w:t>
      </w:r>
      <w:r w:rsidRPr="007A0CC8" w:rsidR="00F76A99">
        <w:t xml:space="preserve">for reimbursement purposes </w:t>
      </w:r>
      <w:r w:rsidRPr="007A0CC8">
        <w:t>“depends on whether they are appropriate and helpful in developing, maintaining, and furnishing covered services” and on “the facts and circumstances of each provider situation.”  (Provider Manual,</w:t>
      </w:r>
      <w:r w:rsidR="00F826A0">
        <w:t xml:space="preserve"> </w:t>
      </w:r>
      <w:r w:rsidR="00F826A0">
        <w:rPr>
          <w:i/>
          <w:iCs/>
        </w:rPr>
        <w:t>supra</w:t>
      </w:r>
      <w:r w:rsidR="00F826A0">
        <w:t>,</w:t>
      </w:r>
      <w:r w:rsidRPr="007A0CC8">
        <w:t xml:space="preserve"> § 2136.)  “To be allowable, [advertising] costs must be common and accepted occurrences in the field of the provider’s activity.”  (</w:t>
      </w:r>
      <w:r w:rsidRPr="007A0CC8">
        <w:rPr>
          <w:i/>
          <w:iCs/>
        </w:rPr>
        <w:t>Ibid</w:t>
      </w:r>
      <w:r w:rsidRPr="007A0CC8">
        <w:t>.)</w:t>
      </w:r>
    </w:p>
    <w:p w:rsidR="00311D1F" w:rsidRPr="007A0CC8" w:rsidP="007A0CC8" w14:paraId="75481C1E" w14:textId="77777777">
      <w:pPr>
        <w:tabs>
          <w:tab w:val="left" w:pos="1440"/>
        </w:tabs>
        <w:ind w:firstLine="720"/>
      </w:pPr>
      <w:r w:rsidRPr="007A0CC8">
        <w:t xml:space="preserve">The </w:t>
      </w:r>
      <w:r w:rsidRPr="007A0CC8" w:rsidR="00F604D6">
        <w:t xml:space="preserve">manual goes on to </w:t>
      </w:r>
      <w:r w:rsidRPr="007A0CC8" w:rsidR="004C3B32">
        <w:t xml:space="preserve">distinguish </w:t>
      </w:r>
      <w:r w:rsidRPr="007A0CC8" w:rsidR="00F604D6">
        <w:t xml:space="preserve">between allowable and </w:t>
      </w:r>
      <w:r w:rsidRPr="007A0CC8" w:rsidR="00C26427">
        <w:t>un</w:t>
      </w:r>
      <w:r w:rsidRPr="007A0CC8" w:rsidR="00F604D6">
        <w:t xml:space="preserve">allowable costs of advertising.  The </w:t>
      </w:r>
      <w:r w:rsidRPr="007A0CC8">
        <w:t>cost of advertising is allowed when it “is primarily concerned with the presentation of a good public image and directly or indirectly related to patient care.”  (</w:t>
      </w:r>
      <w:r w:rsidRPr="007A0CC8" w:rsidR="00FD3388">
        <w:t>Provider Manual,</w:t>
      </w:r>
      <w:r w:rsidRPr="007A0CC8">
        <w:t xml:space="preserve"> </w:t>
      </w:r>
      <w:r w:rsidR="00CC0B7F">
        <w:rPr>
          <w:i/>
          <w:iCs/>
        </w:rPr>
        <w:t>supra</w:t>
      </w:r>
      <w:r w:rsidR="00CC0B7F">
        <w:t xml:space="preserve">, </w:t>
      </w:r>
      <w:r w:rsidRPr="007A0CC8">
        <w:t>§</w:t>
      </w:r>
      <w:r w:rsidRPr="007A0CC8" w:rsidR="00C71AAC">
        <w:t> </w:t>
      </w:r>
      <w:r w:rsidRPr="007A0CC8">
        <w:t>2136.1.)  This may include advertising information about visiting hours or the cost of “informational listings of providers” in a general resource, for example</w:t>
      </w:r>
      <w:r w:rsidRPr="007A0CC8" w:rsidR="00716C20">
        <w:t>,</w:t>
      </w:r>
      <w:r w:rsidRPr="007A0CC8">
        <w:t xml:space="preserve"> a “telephone directory” or “</w:t>
      </w:r>
      <w:r w:rsidRPr="007A0CC8" w:rsidR="00FD3388">
        <w:t> ‘</w:t>
      </w:r>
      <w:r w:rsidRPr="007A0CC8">
        <w:t>yellow pages,</w:t>
      </w:r>
      <w:r w:rsidRPr="007A0CC8" w:rsidR="00FD3388">
        <w:t>’ </w:t>
      </w:r>
      <w:r w:rsidRPr="007A0CC8">
        <w:t>” or a directory of similar facilities.  (</w:t>
      </w:r>
      <w:r w:rsidRPr="007A0CC8">
        <w:rPr>
          <w:i/>
          <w:iCs/>
        </w:rPr>
        <w:t>Ibid</w:t>
      </w:r>
      <w:r w:rsidRPr="007A0CC8">
        <w:t xml:space="preserve">.)  </w:t>
      </w:r>
      <w:r w:rsidRPr="007A0CC8" w:rsidR="00D05B44">
        <w:t xml:space="preserve">Costs are </w:t>
      </w:r>
      <w:r w:rsidRPr="007A0CC8">
        <w:t xml:space="preserve">allowed </w:t>
      </w:r>
      <w:r w:rsidRPr="007A0CC8" w:rsidR="00D05B44">
        <w:t xml:space="preserve">for advertising that </w:t>
      </w:r>
      <w:r w:rsidRPr="007A0CC8">
        <w:t>apprise</w:t>
      </w:r>
      <w:r w:rsidRPr="007A0CC8" w:rsidR="00D05B44">
        <w:t>s</w:t>
      </w:r>
      <w:r w:rsidRPr="007A0CC8">
        <w:t xml:space="preserve"> other health providers of “the availability of the provider’s covered services” and serves a purpose “related to patient care” because such contacts “make known what facilities are available” to provide needed health care services.  (</w:t>
      </w:r>
      <w:r w:rsidRPr="007A0CC8">
        <w:rPr>
          <w:i/>
          <w:iCs/>
        </w:rPr>
        <w:t>Ibid</w:t>
      </w:r>
      <w:r w:rsidRPr="007A0CC8">
        <w:t>.)  Allowable costs include the production and distribution of “informational materials” for health providers that “primarily refer to the provider’s operations” and “contribute to an understanding of the role and function of the facility as a provider of covered health care in the community.”  (</w:t>
      </w:r>
      <w:r w:rsidRPr="007A0CC8">
        <w:rPr>
          <w:i/>
          <w:iCs/>
        </w:rPr>
        <w:t>Ibid</w:t>
      </w:r>
      <w:r w:rsidRPr="007A0CC8">
        <w:t>.)</w:t>
      </w:r>
    </w:p>
    <w:p w:rsidR="00981518" w:rsidP="00D55A6B" w14:paraId="75481C1F" w14:textId="77777777">
      <w:pPr>
        <w:tabs>
          <w:tab w:val="left" w:pos="1440"/>
        </w:tabs>
        <w:ind w:firstLine="720"/>
      </w:pPr>
      <w:r w:rsidRPr="007A0CC8">
        <w:t xml:space="preserve">The manual contrasts </w:t>
      </w:r>
      <w:r w:rsidR="00AE60F5">
        <w:t xml:space="preserve">the </w:t>
      </w:r>
      <w:r w:rsidRPr="007A0CC8" w:rsidR="00F76A99">
        <w:t>cost</w:t>
      </w:r>
      <w:r w:rsidR="00AE60F5">
        <w:t>s</w:t>
      </w:r>
      <w:r w:rsidRPr="007A0CC8" w:rsidR="00F76A99">
        <w:t xml:space="preserve"> </w:t>
      </w:r>
      <w:r w:rsidR="00AE60F5">
        <w:t xml:space="preserve">of </w:t>
      </w:r>
      <w:r w:rsidRPr="007A0CC8">
        <w:t xml:space="preserve">“public relations activity” </w:t>
      </w:r>
      <w:r w:rsidR="00AE60F5">
        <w:t xml:space="preserve">(allowable) </w:t>
      </w:r>
      <w:r w:rsidRPr="007A0CC8">
        <w:t>with</w:t>
      </w:r>
      <w:r w:rsidRPr="007A0CC8" w:rsidR="00D8302B">
        <w:t xml:space="preserve"> the cost of</w:t>
      </w:r>
      <w:r w:rsidRPr="007A0CC8">
        <w:t xml:space="preserve"> “advertising to the general public which seeks to increase patient utilization of the provider’s facilities”</w:t>
      </w:r>
      <w:r w:rsidR="00AE60F5">
        <w:t xml:space="preserve"> (not allowable)</w:t>
      </w:r>
      <w:r w:rsidRPr="007A0CC8">
        <w:t>.  (</w:t>
      </w:r>
      <w:r w:rsidRPr="007A0CC8" w:rsidR="00716C20">
        <w:t>Provider Manual,</w:t>
      </w:r>
      <w:r w:rsidR="005031BE">
        <w:t xml:space="preserve"> </w:t>
      </w:r>
      <w:r w:rsidR="005031BE">
        <w:rPr>
          <w:i/>
          <w:iCs/>
        </w:rPr>
        <w:t>supra</w:t>
      </w:r>
      <w:r w:rsidR="005031BE">
        <w:t>,</w:t>
      </w:r>
      <w:r w:rsidRPr="007A0CC8">
        <w:t xml:space="preserve"> § 2136.2.)</w:t>
      </w:r>
      <w:r w:rsidR="00EC5F6C">
        <w:rPr>
          <w:rStyle w:val="CommentReference"/>
        </w:rPr>
        <w:t xml:space="preserve"> </w:t>
      </w:r>
      <w:r w:rsidRPr="007A0CC8">
        <w:t xml:space="preserve">  </w:t>
      </w:r>
      <w:r w:rsidR="00E70104">
        <w:t>Here, t</w:t>
      </w:r>
      <w:r w:rsidRPr="007A0CC8" w:rsidR="0038431C">
        <w:t xml:space="preserve">he </w:t>
      </w:r>
      <w:r w:rsidRPr="007A0CC8" w:rsidR="00A74DF6">
        <w:t xml:space="preserve">Department </w:t>
      </w:r>
      <w:r w:rsidRPr="007A0CC8" w:rsidR="003F0EAF">
        <w:t>determined</w:t>
      </w:r>
      <w:r w:rsidR="00E70104">
        <w:t xml:space="preserve"> that</w:t>
      </w:r>
      <w:r w:rsidRPr="007A0CC8" w:rsidR="003F0EAF">
        <w:t xml:space="preserve"> </w:t>
      </w:r>
      <w:r w:rsidR="00B174BC">
        <w:t xml:space="preserve">Family Health’s </w:t>
      </w:r>
      <w:r w:rsidRPr="007A0CC8" w:rsidR="003F0EAF">
        <w:t xml:space="preserve">outreach and education costs </w:t>
      </w:r>
      <w:r w:rsidR="00B174BC">
        <w:t>were</w:t>
      </w:r>
      <w:r w:rsidRPr="007A0CC8" w:rsidR="003F0EAF">
        <w:t xml:space="preserve"> categorically nonreimbursable because the</w:t>
      </w:r>
      <w:r w:rsidR="00B174BC">
        <w:t>ir</w:t>
      </w:r>
      <w:r w:rsidRPr="007A0CC8" w:rsidR="003F0EAF">
        <w:t xml:space="preserve"> purpose </w:t>
      </w:r>
      <w:r w:rsidR="00B174BC">
        <w:t xml:space="preserve">was </w:t>
      </w:r>
      <w:r w:rsidRPr="007A0CC8" w:rsidR="003F0EAF">
        <w:t xml:space="preserve">to attract new patients </w:t>
      </w:r>
      <w:r w:rsidR="00B174BC">
        <w:t>and increase utilization of</w:t>
      </w:r>
      <w:r w:rsidRPr="007A0CC8" w:rsidR="003F0EAF">
        <w:t xml:space="preserve"> </w:t>
      </w:r>
      <w:r w:rsidR="00B174BC">
        <w:t xml:space="preserve">Family Health’s </w:t>
      </w:r>
      <w:r w:rsidRPr="007A0CC8" w:rsidR="003F0EAF">
        <w:t xml:space="preserve">facilities.  </w:t>
      </w:r>
      <w:r w:rsidRPr="007A0CC8" w:rsidR="00D510CA">
        <w:t>(</w:t>
      </w:r>
      <w:r w:rsidRPr="007A0CC8" w:rsidR="00901C3A">
        <w:t xml:space="preserve">See </w:t>
      </w:r>
      <w:r w:rsidRPr="007A0CC8" w:rsidR="00D510CA">
        <w:rPr>
          <w:i/>
          <w:iCs/>
        </w:rPr>
        <w:t>Family Health Centers</w:t>
      </w:r>
      <w:r w:rsidRPr="007A0CC8" w:rsidR="00D510CA">
        <w:t xml:space="preserve">, </w:t>
      </w:r>
      <w:r w:rsidRPr="007A0CC8" w:rsidR="00D510CA">
        <w:rPr>
          <w:i/>
          <w:iCs/>
        </w:rPr>
        <w:t>supra</w:t>
      </w:r>
      <w:r w:rsidRPr="007A0CC8" w:rsidR="00D510CA">
        <w:t>, 67 Cal.App.5th at p. 369.)</w:t>
      </w:r>
      <w:r>
        <w:rPr>
          <w:rStyle w:val="FootnoteReference"/>
        </w:rPr>
        <w:footnoteReference w:id="10"/>
      </w:r>
      <w:r w:rsidR="00D55A6B">
        <w:t xml:space="preserve">  </w:t>
      </w:r>
    </w:p>
    <w:p w:rsidR="008625BE" w:rsidP="00541E57" w14:paraId="75481C20" w14:textId="77777777">
      <w:pPr>
        <w:tabs>
          <w:tab w:val="left" w:pos="1440"/>
        </w:tabs>
        <w:ind w:firstLine="720"/>
      </w:pPr>
      <w:r>
        <w:t xml:space="preserve">No one disputes </w:t>
      </w:r>
      <w:r w:rsidR="00CD0EA6">
        <w:t>tha</w:t>
      </w:r>
      <w:r w:rsidR="00B57FE2">
        <w:t xml:space="preserve">t </w:t>
      </w:r>
      <w:r w:rsidR="00CD0EA6">
        <w:t xml:space="preserve">Family Health’s outreach </w:t>
      </w:r>
      <w:r w:rsidR="003369C1">
        <w:t xml:space="preserve">and education activities </w:t>
      </w:r>
      <w:r w:rsidR="00122F07">
        <w:t xml:space="preserve">may </w:t>
      </w:r>
      <w:r w:rsidR="00282D79">
        <w:t>increase patient utilization of its services</w:t>
      </w:r>
      <w:r w:rsidR="00CD0EA6">
        <w:t>.  Th</w:t>
      </w:r>
      <w:r>
        <w:t>e same</w:t>
      </w:r>
      <w:r w:rsidR="00CD0EA6">
        <w:t xml:space="preserve"> is </w:t>
      </w:r>
      <w:r>
        <w:t xml:space="preserve">necessarily </w:t>
      </w:r>
      <w:r w:rsidR="00CD0EA6">
        <w:t xml:space="preserve">true of </w:t>
      </w:r>
      <w:r w:rsidR="003369C1">
        <w:t>any FQHC</w:t>
      </w:r>
      <w:r>
        <w:t xml:space="preserve"> that engages (as it must) in outreach and education activities</w:t>
      </w:r>
      <w:r w:rsidR="00D34D2A">
        <w:t> </w:t>
      </w:r>
      <w:r w:rsidR="003369C1">
        <w:t xml:space="preserve">— qualified health centers are required, as a term of their participation in the federal health center program, to offer </w:t>
      </w:r>
      <w:r w:rsidR="00541E57">
        <w:t xml:space="preserve">both basic health services to underserved populations and to engage in education and outreach to enable members of these populations to avail themselves of the care the centers provide.  </w:t>
      </w:r>
      <w:r w:rsidRPr="009C6D5E" w:rsidR="00541E57">
        <w:t>(</w:t>
      </w:r>
      <w:r w:rsidR="00D34D2A">
        <w:t xml:space="preserve">42 U.S.C. </w:t>
      </w:r>
      <w:r w:rsidR="00F12479">
        <w:t>§</w:t>
      </w:r>
      <w:r w:rsidRPr="007A0CC8" w:rsidR="00D34D2A">
        <w:t> 254b(a)(1)</w:t>
      </w:r>
      <w:r w:rsidR="00F12479">
        <w:t>,</w:t>
      </w:r>
      <w:r w:rsidR="00AC1664">
        <w:t xml:space="preserve"> </w:t>
      </w:r>
      <w:r w:rsidRPr="007A0CC8" w:rsidR="00D34D2A">
        <w:t>(b)(1)(A)(</w:t>
      </w:r>
      <w:r w:rsidR="00D34D2A">
        <w:t>i</w:t>
      </w:r>
      <w:r w:rsidRPr="007A0CC8" w:rsidR="00D34D2A">
        <w:t>v</w:t>
      </w:r>
      <w:r w:rsidR="00D34D2A">
        <w:t>)</w:t>
      </w:r>
      <w:r w:rsidR="00120DCA">
        <w:t>–</w:t>
      </w:r>
      <w:r w:rsidR="00D34D2A">
        <w:t>(v)</w:t>
      </w:r>
      <w:r w:rsidRPr="009C6D5E" w:rsidR="00541E57">
        <w:t>.)</w:t>
      </w:r>
      <w:r w:rsidR="00B174BC">
        <w:t xml:space="preserve">  </w:t>
      </w:r>
      <w:bookmarkStart w:id="6" w:name="_Hlk139969010"/>
      <w:r w:rsidR="00B174BC">
        <w:t>Indeed, t</w:t>
      </w:r>
      <w:r w:rsidRPr="00FC49A9" w:rsidR="00B174BC">
        <w:t xml:space="preserve">he controlling statute </w:t>
      </w:r>
      <w:r w:rsidRPr="00FC49A9" w:rsidR="009D6099">
        <w:t>defines</w:t>
      </w:r>
      <w:r w:rsidRPr="00FC49A9" w:rsidR="00B174BC">
        <w:t xml:space="preserve"> these required education and outreach activities </w:t>
      </w:r>
      <w:r w:rsidRPr="00FC49A9" w:rsidR="00C6227B">
        <w:t>as</w:t>
      </w:r>
      <w:r w:rsidRPr="00FC49A9" w:rsidR="009D6099">
        <w:t xml:space="preserve"> </w:t>
      </w:r>
      <w:r w:rsidRPr="00FC49A9" w:rsidR="00B174BC">
        <w:t xml:space="preserve">part of the </w:t>
      </w:r>
      <w:bookmarkStart w:id="7" w:name="_Hlk139969048"/>
      <w:r w:rsidRPr="00FC49A9" w:rsidR="00B174BC">
        <w:t>“primary</w:t>
      </w:r>
      <w:r w:rsidR="00B174BC">
        <w:rPr>
          <w:iCs/>
          <w:sz w:val="26"/>
          <w:szCs w:val="26"/>
        </w:rPr>
        <w:t xml:space="preserve"> health services” FQHCs provide to the communities they serve.  (See </w:t>
      </w:r>
      <w:r w:rsidRPr="0087413F" w:rsidR="0087413F">
        <w:rPr>
          <w:i/>
          <w:sz w:val="26"/>
          <w:szCs w:val="26"/>
        </w:rPr>
        <w:t>id.</w:t>
      </w:r>
      <w:r w:rsidR="0087413F">
        <w:rPr>
          <w:iCs/>
          <w:sz w:val="26"/>
          <w:szCs w:val="26"/>
        </w:rPr>
        <w:t>,</w:t>
      </w:r>
      <w:r w:rsidR="00B174BC">
        <w:rPr>
          <w:iCs/>
          <w:sz w:val="26"/>
          <w:szCs w:val="26"/>
        </w:rPr>
        <w:t xml:space="preserve"> </w:t>
      </w:r>
      <w:r w:rsidRPr="00D005B0" w:rsidR="00B174BC">
        <w:rPr>
          <w:iCs/>
          <w:sz w:val="26"/>
          <w:szCs w:val="26"/>
        </w:rPr>
        <w:t>§</w:t>
      </w:r>
      <w:r w:rsidR="001038C3">
        <w:rPr>
          <w:iCs/>
          <w:sz w:val="26"/>
          <w:szCs w:val="26"/>
        </w:rPr>
        <w:t> </w:t>
      </w:r>
      <w:r w:rsidRPr="00D005B0" w:rsidR="00B174BC">
        <w:rPr>
          <w:iCs/>
          <w:sz w:val="26"/>
          <w:szCs w:val="26"/>
        </w:rPr>
        <w:t>254b(b)(1)(A)(</w:t>
      </w:r>
      <w:r w:rsidR="00B174BC">
        <w:rPr>
          <w:iCs/>
          <w:sz w:val="26"/>
          <w:szCs w:val="26"/>
        </w:rPr>
        <w:t>i</w:t>
      </w:r>
      <w:r w:rsidR="009D6099">
        <w:rPr>
          <w:iCs/>
          <w:sz w:val="26"/>
          <w:szCs w:val="26"/>
        </w:rPr>
        <w:t>v</w:t>
      </w:r>
      <w:r w:rsidR="00B174BC">
        <w:rPr>
          <w:iCs/>
          <w:sz w:val="26"/>
          <w:szCs w:val="26"/>
        </w:rPr>
        <w:t>)–(</w:t>
      </w:r>
      <w:r w:rsidRPr="00D005B0" w:rsidR="00B174BC">
        <w:rPr>
          <w:iCs/>
          <w:sz w:val="26"/>
          <w:szCs w:val="26"/>
        </w:rPr>
        <w:t>v)</w:t>
      </w:r>
      <w:r w:rsidR="00B174BC">
        <w:rPr>
          <w:iCs/>
          <w:sz w:val="26"/>
          <w:szCs w:val="26"/>
        </w:rPr>
        <w:t>.)</w:t>
      </w:r>
      <w:bookmarkEnd w:id="6"/>
      <w:bookmarkEnd w:id="7"/>
      <w:r w:rsidR="00C6227B">
        <w:t xml:space="preserve"> </w:t>
      </w:r>
      <w:r w:rsidR="00541E57">
        <w:t xml:space="preserve"> We are not convinced</w:t>
      </w:r>
      <w:r w:rsidR="0092096B">
        <w:t>, however,</w:t>
      </w:r>
      <w:r w:rsidR="00541E57">
        <w:t xml:space="preserve"> that</w:t>
      </w:r>
      <w:r w:rsidR="009D6099">
        <w:t xml:space="preserve"> these statutorily mandated services </w:t>
      </w:r>
      <w:r w:rsidR="00541E57">
        <w:t>must be treated as nonallowable costs</w:t>
      </w:r>
      <w:r>
        <w:t xml:space="preserve"> of advertising</w:t>
      </w:r>
      <w:r w:rsidR="0080572F">
        <w:t xml:space="preserve"> </w:t>
      </w:r>
      <w:r w:rsidR="009D6099">
        <w:t>merely because the</w:t>
      </w:r>
      <w:r w:rsidR="0080572F">
        <w:t>y</w:t>
      </w:r>
      <w:r w:rsidR="009D6099">
        <w:t xml:space="preserve"> </w:t>
      </w:r>
      <w:r w:rsidR="0080572F">
        <w:t>may lead to increased utilization of an FQHC’s services</w:t>
      </w:r>
      <w:r w:rsidR="00541E57">
        <w:t>.</w:t>
      </w:r>
    </w:p>
    <w:p w:rsidR="00561138" w:rsidRPr="007A0CC8" w:rsidP="008732FA" w14:paraId="75481C21" w14:textId="77777777">
      <w:pPr>
        <w:tabs>
          <w:tab w:val="left" w:pos="1440"/>
        </w:tabs>
        <w:ind w:firstLine="720"/>
      </w:pPr>
      <w:r>
        <w:t xml:space="preserve">Although the </w:t>
      </w:r>
      <w:r w:rsidR="00857269">
        <w:t xml:space="preserve">manual does describe </w:t>
      </w:r>
      <w:r w:rsidRPr="007A0CC8" w:rsidR="00F849C1">
        <w:t xml:space="preserve">advertising costs as unallowable when they involve </w:t>
      </w:r>
      <w:r w:rsidRPr="007A0CC8" w:rsidR="001A432B">
        <w:t>“advertising to the general public which seeks to increase patient utilization of the provider’s facilities”</w:t>
      </w:r>
      <w:r>
        <w:t xml:space="preserve"> </w:t>
      </w:r>
      <w:r w:rsidRPr="007A0CC8" w:rsidR="00716C20">
        <w:t>(Provider Manual,</w:t>
      </w:r>
      <w:r w:rsidR="00A31FA0">
        <w:t xml:space="preserve"> </w:t>
      </w:r>
      <w:r w:rsidR="00A31FA0">
        <w:rPr>
          <w:i/>
          <w:iCs/>
        </w:rPr>
        <w:t>supra</w:t>
      </w:r>
      <w:r w:rsidR="00A31FA0">
        <w:t>,</w:t>
      </w:r>
      <w:r w:rsidRPr="007A0CC8" w:rsidR="00716C20">
        <w:t xml:space="preserve"> § 2136.2)</w:t>
      </w:r>
      <w:r>
        <w:t>, the remainder of the manual’s advertising provisions make clear that a</w:t>
      </w:r>
      <w:r w:rsidR="00F365D0">
        <w:t>n</w:t>
      </w:r>
      <w:r>
        <w:t xml:space="preserve"> increase </w:t>
      </w:r>
      <w:r w:rsidR="00F365D0">
        <w:t xml:space="preserve">in </w:t>
      </w:r>
      <w:r>
        <w:t xml:space="preserve">patient utilization alone is not disqualifying.  After all, </w:t>
      </w:r>
      <w:r w:rsidR="00122F07">
        <w:t xml:space="preserve">other </w:t>
      </w:r>
      <w:r w:rsidRPr="007A0CC8" w:rsidR="00122F07">
        <w:t>forms of advertising the manual describes as allowable</w:t>
      </w:r>
      <w:r w:rsidR="00122F07">
        <w:t xml:space="preserve"> may also </w:t>
      </w:r>
      <w:r>
        <w:t>increas</w:t>
      </w:r>
      <w:r w:rsidR="00122F07">
        <w:t>e</w:t>
      </w:r>
      <w:r>
        <w:t xml:space="preserve"> patient utilization</w:t>
      </w:r>
      <w:r w:rsidRPr="007A0CC8" w:rsidR="00DF5B29">
        <w:t xml:space="preserve">.  </w:t>
      </w:r>
      <w:r w:rsidR="00B56C5F">
        <w:t xml:space="preserve">For instance, the manual treats as allowable the costs of providing </w:t>
      </w:r>
      <w:r w:rsidRPr="007A0CC8" w:rsidR="009276E4">
        <w:t>information about providers and services</w:t>
      </w:r>
      <w:r w:rsidRPr="007A0CC8" w:rsidR="001637EF">
        <w:t xml:space="preserve"> related to patient care</w:t>
      </w:r>
      <w:r w:rsidR="00094AA7">
        <w:t> </w:t>
      </w:r>
      <w:r w:rsidR="00797EF9">
        <w:t xml:space="preserve">— information </w:t>
      </w:r>
      <w:r w:rsidR="00F365D0">
        <w:t xml:space="preserve">that </w:t>
      </w:r>
      <w:r w:rsidR="00E54F85">
        <w:t xml:space="preserve">presumably </w:t>
      </w:r>
      <w:r w:rsidR="00797EF9">
        <w:t>tend</w:t>
      </w:r>
      <w:r w:rsidR="00F365D0">
        <w:t>s</w:t>
      </w:r>
      <w:r w:rsidR="00797EF9">
        <w:t xml:space="preserve"> to facilitate patient utilization of those providers and services</w:t>
      </w:r>
      <w:r w:rsidRPr="007A0CC8" w:rsidR="009276E4">
        <w:t xml:space="preserve">. </w:t>
      </w:r>
      <w:r w:rsidRPr="007A0CC8" w:rsidR="00AC2E86">
        <w:t xml:space="preserve"> </w:t>
      </w:r>
      <w:r w:rsidR="00B07184">
        <w:t>T</w:t>
      </w:r>
      <w:r w:rsidRPr="007A0CC8" w:rsidR="00575822">
        <w:t xml:space="preserve">he </w:t>
      </w:r>
      <w:r w:rsidR="00B07184">
        <w:t xml:space="preserve">manual likewise treats </w:t>
      </w:r>
      <w:r w:rsidRPr="007A0CC8" w:rsidR="00AC2E86">
        <w:t xml:space="preserve">advertising that presents a good public image and </w:t>
      </w:r>
      <w:r w:rsidRPr="007A0CC8" w:rsidR="002F08F7">
        <w:t xml:space="preserve">informs the public </w:t>
      </w:r>
      <w:r w:rsidRPr="007A0CC8" w:rsidR="00AC2E86">
        <w:t xml:space="preserve">about available services </w:t>
      </w:r>
      <w:r w:rsidR="00B07184">
        <w:t xml:space="preserve">as </w:t>
      </w:r>
      <w:r w:rsidRPr="007A0CC8" w:rsidR="00AC2E86">
        <w:t>allowable</w:t>
      </w:r>
      <w:r w:rsidRPr="007A0CC8">
        <w:t xml:space="preserve">, even though such advertising </w:t>
      </w:r>
      <w:r w:rsidRPr="007A0CC8" w:rsidR="00AC2E86">
        <w:t xml:space="preserve">would </w:t>
      </w:r>
      <w:r w:rsidR="00E54F85">
        <w:t xml:space="preserve">also </w:t>
      </w:r>
      <w:r w:rsidRPr="007A0CC8" w:rsidR="00527A73">
        <w:t xml:space="preserve">presumably </w:t>
      </w:r>
      <w:r w:rsidRPr="007A0CC8" w:rsidR="00AC2E86">
        <w:t>tend to increase patient utilization of the provider’s facilities.</w:t>
      </w:r>
    </w:p>
    <w:p w:rsidR="00D15868" w:rsidRPr="007A0CC8" w:rsidP="007A0CC8" w14:paraId="75481C22" w14:textId="77777777">
      <w:pPr>
        <w:tabs>
          <w:tab w:val="left" w:pos="1440"/>
        </w:tabs>
        <w:ind w:firstLine="720"/>
      </w:pPr>
      <w:r w:rsidRPr="007A0CC8">
        <w:t xml:space="preserve">The lesson </w:t>
      </w:r>
      <w:r w:rsidRPr="007A0CC8" w:rsidR="006E0787">
        <w:t xml:space="preserve">we draw </w:t>
      </w:r>
      <w:r w:rsidRPr="007A0CC8">
        <w:t xml:space="preserve">from reading the relevant manual </w:t>
      </w:r>
      <w:r w:rsidRPr="007A0CC8" w:rsidR="006E0787">
        <w:t xml:space="preserve">guidance </w:t>
      </w:r>
      <w:r w:rsidRPr="007A0CC8" w:rsidR="00594D93">
        <w:t xml:space="preserve">in full </w:t>
      </w:r>
      <w:r w:rsidRPr="007A0CC8">
        <w:t xml:space="preserve">is that </w:t>
      </w:r>
      <w:r w:rsidRPr="007A0CC8" w:rsidR="00512BF3">
        <w:t xml:space="preserve">reimbursement is not prohibited for </w:t>
      </w:r>
      <w:r w:rsidRPr="007A0CC8">
        <w:t xml:space="preserve">all forms of advertising </w:t>
      </w:r>
      <w:r w:rsidRPr="007A0CC8" w:rsidR="00512BF3">
        <w:t xml:space="preserve">that </w:t>
      </w:r>
      <w:r w:rsidRPr="007A0CC8">
        <w:t xml:space="preserve">are aimed at the public or </w:t>
      </w:r>
      <w:r w:rsidRPr="007A0CC8" w:rsidR="00512BF3">
        <w:t xml:space="preserve">that </w:t>
      </w:r>
      <w:r w:rsidRPr="007A0CC8">
        <w:t>tend to increase patient utilization.</w:t>
      </w:r>
      <w:r w:rsidRPr="007A0CC8" w:rsidR="0066702F">
        <w:t xml:space="preserve">  </w:t>
      </w:r>
      <w:r w:rsidR="00AB4FF9">
        <w:t>T</w:t>
      </w:r>
      <w:r w:rsidRPr="007A0CC8">
        <w:t>he distinction the manual draw</w:t>
      </w:r>
      <w:r w:rsidR="00FE5649">
        <w:t>s</w:t>
      </w:r>
      <w:r w:rsidRPr="007A0CC8">
        <w:t xml:space="preserve"> </w:t>
      </w:r>
      <w:r w:rsidRPr="007A0CC8" w:rsidR="0040222C">
        <w:t xml:space="preserve">appears to be </w:t>
      </w:r>
      <w:r w:rsidRPr="007A0CC8">
        <w:t>a different one</w:t>
      </w:r>
      <w:r w:rsidR="00B36801">
        <w:t>.</w:t>
      </w:r>
      <w:r w:rsidRPr="007A0CC8">
        <w:t xml:space="preserve"> </w:t>
      </w:r>
      <w:r w:rsidR="00B36801">
        <w:t xml:space="preserve"> A</w:t>
      </w:r>
      <w:r w:rsidRPr="007A0CC8" w:rsidR="009E5BEA">
        <w:t xml:space="preserve">s one court has </w:t>
      </w:r>
      <w:r w:rsidRPr="007A0CC8" w:rsidR="0066702F">
        <w:t>put it</w:t>
      </w:r>
      <w:r w:rsidRPr="007A0CC8" w:rsidR="009E5BEA">
        <w:t>, “One can readily glean from the [Provider Manual’s] less than definitive guidance that providers walked a fine line between ‘education’ and ‘marketing.’</w:t>
      </w:r>
      <w:r w:rsidRPr="007A0CC8" w:rsidR="00C71AAC">
        <w:t> </w:t>
      </w:r>
      <w:r w:rsidRPr="007A0CC8" w:rsidR="009E5BEA">
        <w:t>”  (</w:t>
      </w:r>
      <w:r w:rsidRPr="007A0CC8" w:rsidR="009E5BEA">
        <w:rPr>
          <w:i/>
          <w:iCs/>
        </w:rPr>
        <w:t>Interim Healthcare</w:t>
      </w:r>
      <w:r w:rsidRPr="007A0CC8" w:rsidR="00716C20">
        <w:rPr>
          <w:i/>
          <w:iCs/>
        </w:rPr>
        <w:t>, Inc.</w:t>
      </w:r>
      <w:r w:rsidRPr="007A0CC8" w:rsidR="009E5BEA">
        <w:rPr>
          <w:i/>
          <w:iCs/>
        </w:rPr>
        <w:t xml:space="preserve"> v. Spherion Corp.</w:t>
      </w:r>
      <w:r w:rsidRPr="007A0CC8" w:rsidR="009E5BEA">
        <w:t xml:space="preserve"> (Del.Super.Ct. 2005) 884 A.2d 513, 569.)</w:t>
      </w:r>
      <w:r w:rsidRPr="007A0CC8" w:rsidR="00216E96">
        <w:t xml:space="preserve">  That is, the manual distinguishes between advertising designed to facilitate access to available health care services</w:t>
      </w:r>
      <w:r w:rsidRPr="007A0CC8" w:rsidR="00FB2FC2">
        <w:t> — an educational goal</w:t>
      </w:r>
      <w:r w:rsidRPr="007A0CC8" w:rsidR="00216E96">
        <w:t xml:space="preserve"> </w:t>
      </w:r>
      <w:r w:rsidRPr="007A0CC8" w:rsidR="00FB2FC2">
        <w:t xml:space="preserve">related to patient care — </w:t>
      </w:r>
      <w:r w:rsidRPr="007A0CC8" w:rsidR="00216E96">
        <w:t>and advertising designed to encourage use of the provider’s facilities</w:t>
      </w:r>
      <w:r w:rsidRPr="007A0CC8" w:rsidR="003E1D91">
        <w:t xml:space="preserve"> over </w:t>
      </w:r>
      <w:r w:rsidRPr="007A0CC8" w:rsidR="00163650">
        <w:t>other facilities offering the same or similar services</w:t>
      </w:r>
      <w:r w:rsidRPr="007A0CC8" w:rsidR="00B00B24">
        <w:t> </w:t>
      </w:r>
      <w:r w:rsidRPr="007A0CC8" w:rsidR="00F76DB1">
        <w:t>— a goal aimed at whether that care will generate revenue for the provider.</w:t>
      </w:r>
    </w:p>
    <w:p w:rsidR="00153A5B" w:rsidRPr="007A0CC8" w:rsidP="007A0CC8" w14:paraId="75481C23" w14:textId="77777777">
      <w:pPr>
        <w:tabs>
          <w:tab w:val="left" w:pos="1440"/>
        </w:tabs>
        <w:ind w:firstLine="720"/>
      </w:pPr>
      <w:r w:rsidRPr="007A0CC8">
        <w:t xml:space="preserve">This understanding finds support in other aspects of the Provider Manual’s guidance.  </w:t>
      </w:r>
      <w:r w:rsidRPr="007A0CC8" w:rsidR="00CD3F00">
        <w:t xml:space="preserve">For example, </w:t>
      </w:r>
      <w:r w:rsidRPr="007A0CC8" w:rsidR="00CD6966">
        <w:t xml:space="preserve">costs are allowed for </w:t>
      </w:r>
      <w:r w:rsidRPr="007A0CC8" w:rsidR="00B94258">
        <w:t>advertising to other medical professionals</w:t>
      </w:r>
      <w:r w:rsidRPr="007A0CC8" w:rsidR="00CD6966">
        <w:t xml:space="preserve"> </w:t>
      </w:r>
      <w:r w:rsidRPr="007A0CC8" w:rsidR="00131BBA">
        <w:t>to “make known</w:t>
      </w:r>
      <w:r w:rsidRPr="007A0CC8" w:rsidR="009753BF">
        <w:t>”</w:t>
      </w:r>
      <w:r w:rsidRPr="007A0CC8" w:rsidR="00131BBA">
        <w:t xml:space="preserve"> information </w:t>
      </w:r>
      <w:r w:rsidRPr="007A0CC8" w:rsidR="009753BF">
        <w:t>necessary to “</w:t>
      </w:r>
      <w:r w:rsidRPr="007A0CC8" w:rsidR="00131BBA">
        <w:t xml:space="preserve">providing for patient care” </w:t>
      </w:r>
      <w:r w:rsidRPr="007A0CC8" w:rsidR="007A05E3">
        <w:t>(</w:t>
      </w:r>
      <w:r w:rsidRPr="007A0CC8" w:rsidR="00716C20">
        <w:t>Provider Manual</w:t>
      </w:r>
      <w:r w:rsidRPr="007A0CC8" w:rsidR="007A05E3">
        <w:t>,</w:t>
      </w:r>
      <w:r w:rsidR="00413AEF">
        <w:t xml:space="preserve"> </w:t>
      </w:r>
      <w:r w:rsidR="00413AEF">
        <w:rPr>
          <w:i/>
          <w:iCs/>
        </w:rPr>
        <w:t>supra</w:t>
      </w:r>
      <w:r w:rsidR="00413AEF">
        <w:t>,</w:t>
      </w:r>
      <w:r w:rsidRPr="007A0CC8" w:rsidR="007A05E3">
        <w:t xml:space="preserve"> § 2136.1)</w:t>
      </w:r>
      <w:r w:rsidR="00094AA7">
        <w:t> </w:t>
      </w:r>
      <w:r w:rsidR="00983049">
        <w:t xml:space="preserve">— </w:t>
      </w:r>
      <w:r w:rsidRPr="007A0CC8" w:rsidR="00D8302B">
        <w:t>an educational purpose</w:t>
      </w:r>
      <w:r w:rsidR="00094AA7">
        <w:t> </w:t>
      </w:r>
      <w:r w:rsidR="00983049">
        <w:t xml:space="preserve">— </w:t>
      </w:r>
      <w:r w:rsidRPr="007A0CC8" w:rsidR="00B94258">
        <w:t xml:space="preserve">but not </w:t>
      </w:r>
      <w:r w:rsidRPr="007A0CC8" w:rsidR="00131BBA">
        <w:t xml:space="preserve">to </w:t>
      </w:r>
      <w:r w:rsidRPr="007A0CC8" w:rsidR="00C64D94">
        <w:t xml:space="preserve">solicit </w:t>
      </w:r>
      <w:r w:rsidRPr="007A0CC8" w:rsidR="007A05E3">
        <w:t>facility use by practitioners not employed by the provider (</w:t>
      </w:r>
      <w:r w:rsidRPr="007A0CC8" w:rsidR="007A05E3">
        <w:rPr>
          <w:i/>
          <w:iCs/>
        </w:rPr>
        <w:t>id.</w:t>
      </w:r>
      <w:r w:rsidRPr="007A0CC8" w:rsidR="007A05E3">
        <w:t>, § 2136.2)</w:t>
      </w:r>
      <w:r w:rsidRPr="007A0CC8" w:rsidR="00D8302B">
        <w:t xml:space="preserve">, </w:t>
      </w:r>
      <w:r w:rsidRPr="007A0CC8" w:rsidR="007E7B56">
        <w:t xml:space="preserve">an effort more closely related to attracting market share.  Likewise, </w:t>
      </w:r>
      <w:r w:rsidRPr="007A0CC8" w:rsidR="00C64D94">
        <w:t xml:space="preserve">in the context of patients who </w:t>
      </w:r>
      <w:r w:rsidRPr="007A0CC8" w:rsidR="00131BBA">
        <w:t xml:space="preserve">elect </w:t>
      </w:r>
      <w:r w:rsidRPr="007A0CC8" w:rsidR="00BC4631">
        <w:t xml:space="preserve">a </w:t>
      </w:r>
      <w:r w:rsidRPr="007A0CC8" w:rsidR="00C64D94">
        <w:t xml:space="preserve">home health </w:t>
      </w:r>
      <w:r w:rsidRPr="007A0CC8" w:rsidR="00BC4631">
        <w:t>service</w:t>
      </w:r>
      <w:r w:rsidRPr="007A0CC8" w:rsidR="00C64D94">
        <w:t xml:space="preserve"> when leaving a hospital, an agency’s costs of persuading patients to request its services </w:t>
      </w:r>
      <w:r w:rsidRPr="007A0CC8" w:rsidR="00BC4631">
        <w:t xml:space="preserve">over those of other agencies </w:t>
      </w:r>
      <w:r w:rsidRPr="007A0CC8" w:rsidR="00C64D94">
        <w:t>are unallowable “patient solicitation” (</w:t>
      </w:r>
      <w:r w:rsidRPr="007A0CC8" w:rsidR="007A05E3">
        <w:rPr>
          <w:i/>
          <w:iCs/>
        </w:rPr>
        <w:t>id</w:t>
      </w:r>
      <w:r w:rsidRPr="007A0CC8" w:rsidR="007A05E3">
        <w:t xml:space="preserve">., </w:t>
      </w:r>
      <w:r w:rsidRPr="007A0CC8" w:rsidR="00C64D94">
        <w:t>§</w:t>
      </w:r>
      <w:r w:rsidRPr="007A0CC8" w:rsidR="00C71AAC">
        <w:t> </w:t>
      </w:r>
      <w:r w:rsidRPr="007A0CC8" w:rsidR="00C64D94">
        <w:t>2113.2)</w:t>
      </w:r>
      <w:r w:rsidRPr="007A0CC8" w:rsidR="007A05E3">
        <w:t>, whereas</w:t>
      </w:r>
      <w:r w:rsidRPr="007A0CC8" w:rsidR="00C64D94">
        <w:t xml:space="preserve"> </w:t>
      </w:r>
      <w:r w:rsidRPr="007A0CC8" w:rsidR="005636AD">
        <w:t xml:space="preserve">its costs of </w:t>
      </w:r>
      <w:r w:rsidRPr="007A0CC8" w:rsidR="00C64D94">
        <w:t>“</w:t>
      </w:r>
      <w:r w:rsidRPr="007A0CC8" w:rsidR="007A05E3">
        <w:t>[s]</w:t>
      </w:r>
      <w:r w:rsidRPr="007A0CC8" w:rsidR="00C64D94">
        <w:t xml:space="preserve">erving as an educational resource” </w:t>
      </w:r>
      <w:r w:rsidRPr="007A0CC8" w:rsidR="009E5BEA">
        <w:t>on</w:t>
      </w:r>
      <w:r w:rsidRPr="007A0CC8" w:rsidR="00C64D94">
        <w:t xml:space="preserve"> available services related to patient care, </w:t>
      </w:r>
      <w:r w:rsidRPr="007A0CC8" w:rsidR="005636AD">
        <w:t>are</w:t>
      </w:r>
      <w:r w:rsidRPr="007A0CC8" w:rsidR="00C64D94">
        <w:t xml:space="preserve"> allowable (</w:t>
      </w:r>
      <w:r w:rsidRPr="007A0CC8" w:rsidR="009E5BEA">
        <w:rPr>
          <w:i/>
          <w:iCs/>
        </w:rPr>
        <w:t>i</w:t>
      </w:r>
      <w:r w:rsidRPr="007A0CC8" w:rsidR="00C64D94">
        <w:rPr>
          <w:i/>
          <w:iCs/>
        </w:rPr>
        <w:t>d.</w:t>
      </w:r>
      <w:r w:rsidRPr="007A0CC8" w:rsidR="00C64D94">
        <w:t>, §</w:t>
      </w:r>
      <w:r w:rsidRPr="007A0CC8" w:rsidR="00C71AAC">
        <w:t> </w:t>
      </w:r>
      <w:r w:rsidRPr="007A0CC8" w:rsidR="00C64D94">
        <w:t>2113.4</w:t>
      </w:r>
      <w:r w:rsidR="00465766">
        <w:t>(A)</w:t>
      </w:r>
      <w:r w:rsidRPr="007A0CC8" w:rsidR="00C64D94">
        <w:t>)</w:t>
      </w:r>
      <w:r w:rsidRPr="007A0CC8" w:rsidR="009E5BEA">
        <w:t>.</w:t>
      </w:r>
    </w:p>
    <w:p w:rsidR="003E1D91" w:rsidRPr="007A0CC8" w:rsidP="00640D06" w14:paraId="75481C24" w14:textId="77777777">
      <w:pPr>
        <w:tabs>
          <w:tab w:val="left" w:pos="1440"/>
        </w:tabs>
        <w:ind w:firstLine="720"/>
      </w:pPr>
      <w:bookmarkStart w:id="8" w:name="_Hlk135755216"/>
      <w:r w:rsidRPr="007A0CC8">
        <w:t xml:space="preserve">This understanding </w:t>
      </w:r>
      <w:r w:rsidR="004F24F2">
        <w:t xml:space="preserve">also </w:t>
      </w:r>
      <w:r w:rsidR="00CC47FB">
        <w:t xml:space="preserve">makes sense of </w:t>
      </w:r>
      <w:r w:rsidR="00465766">
        <w:t xml:space="preserve">Provider Manual </w:t>
      </w:r>
      <w:r w:rsidR="00CC47FB">
        <w:t xml:space="preserve">section 2136.2 in </w:t>
      </w:r>
      <w:r w:rsidR="004F24F2">
        <w:t xml:space="preserve">its broader statutory and regulatory context.  </w:t>
      </w:r>
      <w:bookmarkEnd w:id="8"/>
      <w:r w:rsidRPr="007A0CC8">
        <w:t xml:space="preserve">Again, the </w:t>
      </w:r>
      <w:r w:rsidRPr="007A0CC8" w:rsidR="00107EF9">
        <w:t xml:space="preserve">overarching </w:t>
      </w:r>
      <w:r w:rsidR="004533E7">
        <w:t xml:space="preserve">statutory and </w:t>
      </w:r>
      <w:r w:rsidRPr="007A0CC8" w:rsidR="0030531F">
        <w:t xml:space="preserve">regulatory </w:t>
      </w:r>
      <w:r w:rsidRPr="007A0CC8" w:rsidR="00107EF9">
        <w:t xml:space="preserve">instruction </w:t>
      </w:r>
      <w:r w:rsidRPr="007A0CC8">
        <w:t xml:space="preserve">is </w:t>
      </w:r>
      <w:r w:rsidRPr="007A0CC8" w:rsidR="001D68CB">
        <w:t xml:space="preserve">to </w:t>
      </w:r>
      <w:r w:rsidRPr="007A0CC8" w:rsidR="00F6450D">
        <w:t>cover</w:t>
      </w:r>
      <w:r w:rsidRPr="007A0CC8" w:rsidR="00087A88">
        <w:t xml:space="preserve"> </w:t>
      </w:r>
      <w:r w:rsidRPr="007A0CC8" w:rsidR="00F6450D">
        <w:t xml:space="preserve">the reasonable cost of services related to the care of beneficiaries.  </w:t>
      </w:r>
      <w:r w:rsidRPr="007A0CC8" w:rsidR="005636AD">
        <w:t>(</w:t>
      </w:r>
      <w:r w:rsidRPr="007A0CC8" w:rsidR="00E1191D">
        <w:t>42 U.S.C. § 1396a(bb)(2)</w:t>
      </w:r>
      <w:r w:rsidR="004533E7">
        <w:t xml:space="preserve">; </w:t>
      </w:r>
      <w:r w:rsidRPr="007A0CC8" w:rsidR="005636AD">
        <w:t>42 C.F.R. § 413.9(a)</w:t>
      </w:r>
      <w:r w:rsidRPr="007A0CC8" w:rsidR="00716C20">
        <w:t xml:space="preserve"> (2023)</w:t>
      </w:r>
      <w:r w:rsidRPr="007A0CC8" w:rsidR="005636AD">
        <w:t>.)</w:t>
      </w:r>
      <w:r w:rsidRPr="007A0CC8" w:rsidR="007E7B56">
        <w:t xml:space="preserve">  </w:t>
      </w:r>
      <w:r w:rsidRPr="007A0CC8" w:rsidR="00B953F9">
        <w:t>The Provider Manual</w:t>
      </w:r>
      <w:r w:rsidRPr="007A0CC8" w:rsidR="00264826">
        <w:t>’s general provisions reflect this directive</w:t>
      </w:r>
      <w:r w:rsidRPr="007A0CC8">
        <w:t>,</w:t>
      </w:r>
      <w:r w:rsidRPr="007A0CC8" w:rsidR="00264826">
        <w:t xml:space="preserve"> </w:t>
      </w:r>
      <w:r w:rsidRPr="007A0CC8">
        <w:t>reiterating that the cost</w:t>
      </w:r>
      <w:r w:rsidRPr="007A0CC8" w:rsidR="00F618DC">
        <w:t>s</w:t>
      </w:r>
      <w:r w:rsidRPr="007A0CC8">
        <w:t xml:space="preserve"> of services “related to the care of beneficiaries” (Provider Manual,</w:t>
      </w:r>
      <w:r w:rsidR="00B718EC">
        <w:t xml:space="preserve"> </w:t>
      </w:r>
      <w:r w:rsidR="00B718EC">
        <w:rPr>
          <w:i/>
          <w:iCs/>
        </w:rPr>
        <w:t>supra</w:t>
      </w:r>
      <w:r w:rsidR="00B718EC">
        <w:t>,</w:t>
      </w:r>
      <w:r w:rsidRPr="007A0CC8">
        <w:t xml:space="preserve"> §</w:t>
      </w:r>
      <w:r w:rsidRPr="007A0CC8" w:rsidR="00C71AAC">
        <w:t> </w:t>
      </w:r>
      <w:r w:rsidRPr="007A0CC8">
        <w:t xml:space="preserve">2100) </w:t>
      </w:r>
      <w:r w:rsidRPr="007A0CC8" w:rsidR="00F618DC">
        <w:t xml:space="preserve">are reimbursable and </w:t>
      </w:r>
      <w:r w:rsidRPr="007A0CC8">
        <w:t>“include all necessary and proper costs which are appropriate and helpful in developing and maintaining the operation of patient care facilities and activities” (</w:t>
      </w:r>
      <w:r w:rsidRPr="007A0CC8" w:rsidR="00F618DC">
        <w:rPr>
          <w:i/>
          <w:iCs/>
        </w:rPr>
        <w:t>i</w:t>
      </w:r>
      <w:r w:rsidRPr="007A0CC8">
        <w:rPr>
          <w:i/>
          <w:iCs/>
        </w:rPr>
        <w:t>d</w:t>
      </w:r>
      <w:r w:rsidRPr="007A0CC8">
        <w:t>., §</w:t>
      </w:r>
      <w:r w:rsidRPr="007A0CC8" w:rsidR="00C71AAC">
        <w:t> </w:t>
      </w:r>
      <w:r w:rsidRPr="007A0CC8">
        <w:t>2102.2)</w:t>
      </w:r>
      <w:r w:rsidRPr="007A0CC8" w:rsidR="00F618DC">
        <w:t>.</w:t>
      </w:r>
      <w:r w:rsidRPr="007A0CC8">
        <w:t xml:space="preserve">  </w:t>
      </w:r>
      <w:r w:rsidR="00F25927">
        <w:t>A</w:t>
      </w:r>
      <w:r w:rsidR="00E979EA">
        <w:t xml:space="preserve"> narrower definition of unallowable advertising, one that does not encompass information provided to support access to care, comports with these mandates</w:t>
      </w:r>
      <w:r w:rsidR="00E2658A">
        <w:t xml:space="preserve">, and is consistent with the State Medicaid Manual and other informal guidance that treats outreach as reimbursable when it informs or persuades </w:t>
      </w:r>
      <w:r w:rsidRPr="00E2658A" w:rsidR="00E2658A">
        <w:t xml:space="preserve">potential </w:t>
      </w:r>
      <w:r w:rsidR="00E2658A">
        <w:t xml:space="preserve">Medicaid </w:t>
      </w:r>
      <w:r w:rsidRPr="00E2658A" w:rsidR="00E2658A">
        <w:t>beneficiaries to enter into care</w:t>
      </w:r>
      <w:r w:rsidR="00E979EA">
        <w:t>.</w:t>
      </w:r>
      <w:r w:rsidR="002B660E">
        <w:rPr>
          <w:rStyle w:val="FootnoteReference"/>
        </w:rPr>
        <w:t xml:space="preserve"> </w:t>
      </w:r>
    </w:p>
    <w:p w:rsidR="004454FE" w:rsidRPr="007A0CC8" w:rsidP="007A0CC8" w14:paraId="75481C25" w14:textId="77777777">
      <w:pPr>
        <w:tabs>
          <w:tab w:val="left" w:pos="1440"/>
        </w:tabs>
        <w:ind w:firstLine="720"/>
      </w:pPr>
      <w:r w:rsidRPr="007A0CC8">
        <w:t xml:space="preserve">Although </w:t>
      </w:r>
      <w:r w:rsidRPr="007A0CC8" w:rsidR="006F5709">
        <w:t>c</w:t>
      </w:r>
      <w:r w:rsidRPr="007A0CC8">
        <w:t>ase law applying the Provider Manual</w:t>
      </w:r>
      <w:r w:rsidRPr="007A0CC8" w:rsidR="001F2B03">
        <w:t>’s</w:t>
      </w:r>
      <w:r w:rsidRPr="007A0CC8">
        <w:t xml:space="preserve"> advertising guidance is limited, </w:t>
      </w:r>
      <w:r w:rsidRPr="007A0CC8" w:rsidR="006F5709">
        <w:t xml:space="preserve">it </w:t>
      </w:r>
      <w:r w:rsidRPr="007A0CC8" w:rsidR="00CF051D">
        <w:t xml:space="preserve">reinforces </w:t>
      </w:r>
      <w:r w:rsidRPr="007A0CC8" w:rsidR="00735A3A">
        <w:t>th</w:t>
      </w:r>
      <w:r w:rsidRPr="007A0CC8" w:rsidR="00661CD0">
        <w:t>e</w:t>
      </w:r>
      <w:r w:rsidRPr="007A0CC8" w:rsidR="00735A3A">
        <w:t xml:space="preserve"> </w:t>
      </w:r>
      <w:r w:rsidRPr="007A0CC8" w:rsidR="001F4D45">
        <w:t xml:space="preserve">distinction between </w:t>
      </w:r>
      <w:r w:rsidRPr="007A0CC8" w:rsidR="007F3CBD">
        <w:t xml:space="preserve">advertising that educates potential beneficiaries about needed care and advertising designed to </w:t>
      </w:r>
      <w:r w:rsidRPr="007A0CC8" w:rsidR="00C63AA8">
        <w:t>generate revenue</w:t>
      </w:r>
      <w:r w:rsidRPr="007A0CC8" w:rsidR="007F3CBD">
        <w:t xml:space="preserve">.  </w:t>
      </w:r>
      <w:r w:rsidRPr="007A0CC8" w:rsidR="00130C08">
        <w:t xml:space="preserve">Thus, in one case involving television advertisements </w:t>
      </w:r>
      <w:r w:rsidRPr="007A0CC8" w:rsidR="00B551DA">
        <w:t>for a convalescent care facility, the court upheld disallowance of advertising</w:t>
      </w:r>
      <w:r w:rsidRPr="007A0CC8" w:rsidR="007F3CBD">
        <w:t xml:space="preserve"> costs</w:t>
      </w:r>
      <w:r w:rsidRPr="007A0CC8" w:rsidR="00B551DA">
        <w:t xml:space="preserve"> after finding the </w:t>
      </w:r>
      <w:r w:rsidRPr="007A0CC8" w:rsidR="00364C4D">
        <w:t>ads</w:t>
      </w:r>
      <w:r w:rsidRPr="007A0CC8" w:rsidR="00B551DA">
        <w:t xml:space="preserve">, which </w:t>
      </w:r>
      <w:r w:rsidRPr="007A0CC8" w:rsidR="00130C08">
        <w:t>target</w:t>
      </w:r>
      <w:r w:rsidRPr="007A0CC8" w:rsidR="00B551DA">
        <w:t xml:space="preserve">ed caregivers and appeared to urge them to refer patients to the </w:t>
      </w:r>
      <w:r w:rsidRPr="007A0CC8" w:rsidR="0051130E">
        <w:t xml:space="preserve">provider’s </w:t>
      </w:r>
      <w:r w:rsidRPr="007A0CC8" w:rsidR="00B551DA">
        <w:t xml:space="preserve">facility, </w:t>
      </w:r>
      <w:r w:rsidRPr="007A0CC8" w:rsidR="00364C4D">
        <w:t xml:space="preserve">were </w:t>
      </w:r>
      <w:r w:rsidRPr="007A0CC8" w:rsidR="00130C08">
        <w:t xml:space="preserve">an attempt to increase </w:t>
      </w:r>
      <w:r w:rsidRPr="007A0CC8" w:rsidR="00FE4DDA">
        <w:t>patient</w:t>
      </w:r>
      <w:r w:rsidRPr="007A0CC8" w:rsidR="0051130E">
        <w:t xml:space="preserve"> levels </w:t>
      </w:r>
      <w:r w:rsidRPr="007A0CC8" w:rsidR="00773CF4">
        <w:t xml:space="preserve">at the facility and </w:t>
      </w:r>
      <w:r w:rsidRPr="007A0CC8" w:rsidR="0051130E">
        <w:t xml:space="preserve">reach </w:t>
      </w:r>
      <w:r w:rsidRPr="007A0CC8" w:rsidR="00ED57E9">
        <w:t xml:space="preserve">the provider’s </w:t>
      </w:r>
      <w:r w:rsidRPr="007A0CC8" w:rsidR="00773CF4">
        <w:t xml:space="preserve">goal of </w:t>
      </w:r>
      <w:r w:rsidRPr="007A0CC8" w:rsidR="005259A8">
        <w:t xml:space="preserve">full </w:t>
      </w:r>
      <w:r w:rsidRPr="007A0CC8" w:rsidR="00364C4D">
        <w:t xml:space="preserve">capacity.  </w:t>
      </w:r>
      <w:r w:rsidRPr="007A0CC8" w:rsidR="00130C08">
        <w:t>(</w:t>
      </w:r>
      <w:r w:rsidRPr="007A0CC8" w:rsidR="00130C08">
        <w:rPr>
          <w:i/>
          <w:iCs/>
        </w:rPr>
        <w:t>Convalescent Care, Inc. v. Dep</w:t>
      </w:r>
      <w:r w:rsidRPr="007A0CC8" w:rsidR="00716C20">
        <w:rPr>
          <w:i/>
          <w:iCs/>
        </w:rPr>
        <w:t>artment of Medical Assistance Services</w:t>
      </w:r>
      <w:r w:rsidRPr="007A0CC8" w:rsidR="00130C08">
        <w:t xml:space="preserve"> (2002) 59 Va.Cir. 123, 126</w:t>
      </w:r>
      <w:r w:rsidRPr="007A0CC8" w:rsidR="008D1857">
        <w:t xml:space="preserve">; see also </w:t>
      </w:r>
      <w:r w:rsidRPr="007A0CC8" w:rsidR="008D1857">
        <w:rPr>
          <w:i/>
          <w:iCs/>
        </w:rPr>
        <w:t>Gosman v. U</w:t>
      </w:r>
      <w:r w:rsidRPr="007A0CC8" w:rsidR="00716C20">
        <w:rPr>
          <w:i/>
          <w:iCs/>
        </w:rPr>
        <w:t>.S.</w:t>
      </w:r>
      <w:r w:rsidRPr="007A0CC8" w:rsidR="008D1857">
        <w:t xml:space="preserve"> (1978) 215 Ct.Cl. 617, 628 [upholding disallowance when advertising was “intended to increase the general occupancy of the facilities”].)</w:t>
      </w:r>
      <w:r w:rsidRPr="007A0CC8" w:rsidR="001F2B03">
        <w:t xml:space="preserve">  In another case, the court found disallowance was reasonable when the design of an advertisement promoted use of the provider’s facilities over those of its competitors.  (</w:t>
      </w:r>
      <w:r w:rsidRPr="007A0CC8" w:rsidR="006C0F08">
        <w:rPr>
          <w:i/>
          <w:iCs/>
        </w:rPr>
        <w:t>Superior Home Health Care, Inc. v. Secretary of H</w:t>
      </w:r>
      <w:r w:rsidRPr="007A0CC8" w:rsidR="0061457C">
        <w:rPr>
          <w:i/>
          <w:iCs/>
        </w:rPr>
        <w:t>HS</w:t>
      </w:r>
      <w:r w:rsidRPr="007A0CC8" w:rsidR="006C0F08">
        <w:t xml:space="preserve"> (6th Cir.</w:t>
      </w:r>
      <w:r w:rsidRPr="007A0CC8" w:rsidR="00716C20">
        <w:t>,</w:t>
      </w:r>
      <w:r w:rsidRPr="007A0CC8" w:rsidR="006C0F08">
        <w:t xml:space="preserve"> Oct. 13, 1999, No.</w:t>
      </w:r>
      <w:r w:rsidRPr="007A0CC8" w:rsidR="003113CE">
        <w:t> </w:t>
      </w:r>
      <w:r w:rsidRPr="007A0CC8" w:rsidR="006C0F08">
        <w:t>98-6254</w:t>
      </w:r>
      <w:r w:rsidRPr="007A0CC8" w:rsidR="00716C20">
        <w:t>)</w:t>
      </w:r>
      <w:r w:rsidRPr="007A0CC8" w:rsidR="006C0F08">
        <w:t xml:space="preserve"> 1999 U.S.App. L</w:t>
      </w:r>
      <w:r w:rsidRPr="007A0CC8" w:rsidR="00716C20">
        <w:t>exis</w:t>
      </w:r>
      <w:r w:rsidRPr="007A0CC8" w:rsidR="006C0F08">
        <w:t xml:space="preserve"> 26251 </w:t>
      </w:r>
      <w:r w:rsidR="002F5EFA">
        <w:t>at p. </w:t>
      </w:r>
      <w:r w:rsidRPr="007A0CC8" w:rsidR="006C0F08">
        <w:t xml:space="preserve">*9.)  </w:t>
      </w:r>
      <w:r w:rsidRPr="007A0CC8" w:rsidR="005F35D4">
        <w:t xml:space="preserve">By contrast, </w:t>
      </w:r>
      <w:r w:rsidRPr="007A0CC8" w:rsidR="00C4275E">
        <w:t xml:space="preserve">the costs of </w:t>
      </w:r>
      <w:r w:rsidRPr="007A0CC8" w:rsidR="005F35D4">
        <w:t>television and radio advertisements that promoted a</w:t>
      </w:r>
      <w:r w:rsidRPr="007A0CC8" w:rsidR="00CE072F">
        <w:t>n alcohol treatment</w:t>
      </w:r>
      <w:r w:rsidRPr="007A0CC8" w:rsidR="005F35D4">
        <w:t xml:space="preserve"> facility </w:t>
      </w:r>
      <w:r w:rsidRPr="007A0CC8" w:rsidR="00C4275E">
        <w:t>were allowable when they were “ ‘appropriate and helpful’ ”</w:t>
      </w:r>
      <w:r w:rsidRPr="007A0CC8" w:rsidR="00CE072F">
        <w:t xml:space="preserve"> to the </w:t>
      </w:r>
      <w:r w:rsidRPr="007A0CC8" w:rsidR="004C6263">
        <w:t xml:space="preserve">operation of the </w:t>
      </w:r>
      <w:r w:rsidRPr="007A0CC8" w:rsidR="00CE072F">
        <w:t>facility and a “ ‘common and accepted’ ” tool in persuading those in need of care to obtain it.  (</w:t>
      </w:r>
      <w:r w:rsidRPr="007A0CC8" w:rsidR="00CE072F">
        <w:rPr>
          <w:i/>
          <w:iCs/>
        </w:rPr>
        <w:t>Advanced Health Systems, Inc. v. Schweiker</w:t>
      </w:r>
      <w:r w:rsidRPr="007A0CC8" w:rsidR="00CE072F">
        <w:t xml:space="preserve"> (D.Colo. 1981) 510 F.Supp. 965, 969.)  In that case, the court observed that “ ‘</w:t>
      </w:r>
      <w:r w:rsidRPr="007A0CC8" w:rsidR="00C4275E">
        <w:t>solicitation which motivates an alcoholic to seek treatment does not become unrelated to his care simply because it motivates him to seek treatment at the provider</w:t>
      </w:r>
      <w:r w:rsidRPr="007A0CC8" w:rsidR="00CE072F">
        <w:t>’</w:t>
      </w:r>
      <w:r w:rsidRPr="007A0CC8" w:rsidR="00C4275E">
        <w:t>s facility rather than not at all.</w:t>
      </w:r>
      <w:r w:rsidRPr="007A0CC8" w:rsidR="00CE072F">
        <w:t>’ ”  (</w:t>
      </w:r>
      <w:r w:rsidRPr="007A0CC8" w:rsidR="00CE072F">
        <w:rPr>
          <w:i/>
          <w:iCs/>
        </w:rPr>
        <w:t>Ibid</w:t>
      </w:r>
      <w:r w:rsidRPr="007A0CC8" w:rsidR="00CE072F">
        <w:t>.)</w:t>
      </w:r>
      <w:r w:rsidRPr="007A0CC8">
        <w:t xml:space="preserve"> </w:t>
      </w:r>
    </w:p>
    <w:p w:rsidR="0013677B" w:rsidP="007A0CC8" w14:paraId="75481C26" w14:textId="77777777">
      <w:pPr>
        <w:tabs>
          <w:tab w:val="left" w:pos="1440"/>
        </w:tabs>
        <w:ind w:firstLine="720"/>
      </w:pPr>
      <w:r w:rsidRPr="007A0CC8">
        <w:t>The</w:t>
      </w:r>
      <w:r w:rsidRPr="007A0CC8" w:rsidR="00195EA7">
        <w:t>se are admittedly nuanced distinctions</w:t>
      </w:r>
      <w:r w:rsidR="00D16BD7">
        <w:t>.</w:t>
      </w:r>
      <w:r w:rsidRPr="007A0CC8" w:rsidR="00195EA7">
        <w:t xml:space="preserve"> </w:t>
      </w:r>
      <w:r w:rsidR="007560BE">
        <w:t xml:space="preserve"> </w:t>
      </w:r>
      <w:r w:rsidR="00361C1D">
        <w:t>Apparently recognizing as much, t</w:t>
      </w:r>
      <w:r w:rsidRPr="007A0CC8" w:rsidR="00195EA7">
        <w:t xml:space="preserve">he Provider Manual </w:t>
      </w:r>
      <w:r w:rsidR="00DD2BB9">
        <w:t xml:space="preserve">indicates </w:t>
      </w:r>
      <w:r w:rsidRPr="007A0CC8" w:rsidR="00195EA7">
        <w:t xml:space="preserve">that the task of differentiating allowable advertising costs from unallowable ones </w:t>
      </w:r>
      <w:r w:rsidR="00495188">
        <w:t xml:space="preserve">may </w:t>
      </w:r>
      <w:r w:rsidRPr="007A0CC8" w:rsidR="00195EA7">
        <w:t xml:space="preserve">require close examination of the facts and context.  The manual notes </w:t>
      </w:r>
      <w:r w:rsidRPr="007A0CC8">
        <w:t xml:space="preserve">that it may be necessary to scrutinize a provider’s advertising to determine whether </w:t>
      </w:r>
      <w:r w:rsidRPr="007A0CC8" w:rsidR="00E75794">
        <w:t xml:space="preserve">the </w:t>
      </w:r>
      <w:r w:rsidRPr="007A0CC8" w:rsidR="002E6FC4">
        <w:t xml:space="preserve">“specific objective” </w:t>
      </w:r>
      <w:r w:rsidRPr="007A0CC8" w:rsidR="00E75794">
        <w:t>of the activity</w:t>
      </w:r>
      <w:r w:rsidRPr="007A0CC8">
        <w:t xml:space="preserve"> is allowable</w:t>
      </w:r>
      <w:r w:rsidRPr="007A0CC8" w:rsidR="00F618DC">
        <w:t>.</w:t>
      </w:r>
      <w:r w:rsidRPr="007A0CC8">
        <w:t xml:space="preserve"> </w:t>
      </w:r>
      <w:r w:rsidRPr="007A0CC8" w:rsidR="00F618DC">
        <w:t xml:space="preserve"> </w:t>
      </w:r>
      <w:r w:rsidRPr="007A0CC8">
        <w:t>(</w:t>
      </w:r>
      <w:r w:rsidRPr="007A0CC8" w:rsidR="00E75794">
        <w:t>Provider Manual</w:t>
      </w:r>
      <w:r w:rsidRPr="007A0CC8">
        <w:t>,</w:t>
      </w:r>
      <w:r w:rsidR="004D18C8">
        <w:t xml:space="preserve"> </w:t>
      </w:r>
      <w:r w:rsidR="004D18C8">
        <w:rPr>
          <w:i/>
          <w:iCs/>
        </w:rPr>
        <w:t>supra</w:t>
      </w:r>
      <w:r w:rsidR="004D18C8">
        <w:t>,</w:t>
      </w:r>
      <w:r w:rsidRPr="007A0CC8">
        <w:t xml:space="preserve"> § 2136.2</w:t>
      </w:r>
      <w:r w:rsidRPr="007A0CC8" w:rsidR="00E75794">
        <w:t xml:space="preserve">; see also </w:t>
      </w:r>
      <w:r w:rsidRPr="007A0CC8" w:rsidR="00E75794">
        <w:rPr>
          <w:i/>
          <w:iCs/>
        </w:rPr>
        <w:t>id.</w:t>
      </w:r>
      <w:r w:rsidRPr="007A0CC8" w:rsidR="00E75794">
        <w:t>, § 2136.1 [whether the provider is “primarily concerned” with presenting a good public image related to patient care]</w:t>
      </w:r>
      <w:r w:rsidRPr="007A0CC8">
        <w:t>.)</w:t>
      </w:r>
      <w:r w:rsidR="00EC5F6C">
        <w:t xml:space="preserve">  And if the costs of advertising “for any purpose” are n</w:t>
      </w:r>
      <w:r w:rsidR="00942547">
        <w:t xml:space="preserve">ot </w:t>
      </w:r>
      <w:r w:rsidR="00EC5F6C">
        <w:t xml:space="preserve">clearly </w:t>
      </w:r>
      <w:r w:rsidR="00942547">
        <w:t xml:space="preserve">allowable or unallowable, they </w:t>
      </w:r>
      <w:r w:rsidRPr="008109ED" w:rsidR="00942547">
        <w:t>“may be allowable if they are related to patient care and are reasonable.”  (</w:t>
      </w:r>
      <w:r w:rsidRPr="00423776" w:rsidR="00423776">
        <w:rPr>
          <w:i/>
          <w:iCs/>
        </w:rPr>
        <w:t>Id.</w:t>
      </w:r>
      <w:r w:rsidR="00423776">
        <w:t xml:space="preserve">, </w:t>
      </w:r>
      <w:r w:rsidRPr="008109ED" w:rsidR="00942547">
        <w:t>§</w:t>
      </w:r>
      <w:r w:rsidR="002F5EFA">
        <w:t> </w:t>
      </w:r>
      <w:r w:rsidRPr="008109ED" w:rsidR="00942547">
        <w:t>2136.1.)</w:t>
      </w:r>
      <w:r w:rsidRPr="007A0CC8" w:rsidR="00E75794">
        <w:t xml:space="preserve">  </w:t>
      </w:r>
    </w:p>
    <w:p w:rsidR="005136D4" w14:paraId="75481C27" w14:textId="77777777">
      <w:pPr>
        <w:tabs>
          <w:tab w:val="left" w:pos="1440"/>
        </w:tabs>
        <w:ind w:firstLine="720"/>
      </w:pPr>
      <w:r>
        <w:t xml:space="preserve">Ultimately, as we have emphasized, </w:t>
      </w:r>
      <w:r w:rsidR="00071CB5">
        <w:t xml:space="preserve">the binding authority governing </w:t>
      </w:r>
      <w:r w:rsidR="002907BE">
        <w:t xml:space="preserve">reimbursement for </w:t>
      </w:r>
      <w:r w:rsidRPr="00280500">
        <w:t xml:space="preserve">provider </w:t>
      </w:r>
      <w:r w:rsidR="002907BE">
        <w:t>services require</w:t>
      </w:r>
      <w:r w:rsidR="00071CB5">
        <w:t>s</w:t>
      </w:r>
      <w:r w:rsidR="002907BE">
        <w:t xml:space="preserve"> </w:t>
      </w:r>
      <w:r w:rsidRPr="00280500">
        <w:t xml:space="preserve">the “reasonable cost” of covered services </w:t>
      </w:r>
      <w:r w:rsidR="002907BE">
        <w:t xml:space="preserve">to be </w:t>
      </w:r>
      <w:r w:rsidRPr="00280500">
        <w:t xml:space="preserve">“related to the care of beneficiaries,” </w:t>
      </w:r>
      <w:r w:rsidR="002907BE">
        <w:t xml:space="preserve">and to </w:t>
      </w:r>
      <w:r w:rsidRPr="00280500">
        <w:t>includ</w:t>
      </w:r>
      <w:r w:rsidR="002907BE">
        <w:t>e</w:t>
      </w:r>
      <w:r w:rsidRPr="00280500">
        <w:t xml:space="preserve"> “all necessary and proper costs incurred in furnishing the services.”  (42 C.F.R. §</w:t>
      </w:r>
      <w:r w:rsidR="001038C3">
        <w:t> </w:t>
      </w:r>
      <w:r w:rsidRPr="00280500">
        <w:t xml:space="preserve">413.9(a) (2023).)  </w:t>
      </w:r>
      <w:r w:rsidR="002907BE">
        <w:t>N</w:t>
      </w:r>
      <w:r w:rsidR="00DA2902">
        <w:t>o provision of the Provider Manual</w:t>
      </w:r>
      <w:r w:rsidR="002907BE">
        <w:t>’s informal guidance</w:t>
      </w:r>
      <w:r w:rsidR="00DA2902">
        <w:t xml:space="preserve"> is reasonably read to mean that an FQHC’s costs of outreach and education </w:t>
      </w:r>
      <w:r>
        <w:t xml:space="preserve">are </w:t>
      </w:r>
      <w:r w:rsidR="00DA2902">
        <w:t xml:space="preserve">categorically nonreimbursable </w:t>
      </w:r>
      <w:r w:rsidR="00071CB5">
        <w:t xml:space="preserve">under the applicable statutes and regulations </w:t>
      </w:r>
      <w:r w:rsidR="00DA2902">
        <w:t xml:space="preserve">merely because the </w:t>
      </w:r>
      <w:r w:rsidR="002E6FC4">
        <w:t xml:space="preserve">outreach and education </w:t>
      </w:r>
      <w:r w:rsidR="00DA2902">
        <w:t xml:space="preserve">are designed to increase patient </w:t>
      </w:r>
      <w:r w:rsidR="00F00676">
        <w:t>access to</w:t>
      </w:r>
      <w:r w:rsidR="002E6FC4">
        <w:t xml:space="preserve">, and therefore </w:t>
      </w:r>
      <w:r w:rsidR="00DA2902">
        <w:t>utilization of</w:t>
      </w:r>
      <w:r w:rsidR="002E6FC4">
        <w:t>,</w:t>
      </w:r>
      <w:r w:rsidR="00DA2902">
        <w:t xml:space="preserve"> the basic health services an FQHC has agreed to provide, at low or no cost, to members of underserved communities.  </w:t>
      </w:r>
    </w:p>
    <w:p w:rsidR="00F14942" w:rsidRPr="007A0CC8" w:rsidP="00720B2B" w14:paraId="75481C28" w14:textId="77777777">
      <w:pPr>
        <w:pStyle w:val="Heading2"/>
        <w:tabs>
          <w:tab w:val="clear" w:pos="1152"/>
        </w:tabs>
        <w:ind w:left="0" w:firstLine="0"/>
        <w:jc w:val="center"/>
      </w:pPr>
      <w:r w:rsidRPr="007A0CC8">
        <w:t>C.</w:t>
      </w:r>
    </w:p>
    <w:p w:rsidR="00030BB0" w:rsidP="009C6D5E" w14:paraId="75481C29" w14:textId="77777777">
      <w:pPr>
        <w:tabs>
          <w:tab w:val="left" w:pos="720"/>
        </w:tabs>
      </w:pPr>
      <w:r>
        <w:tab/>
      </w:r>
      <w:r w:rsidRPr="007A0CC8" w:rsidR="005102A9">
        <w:t>In the final administrative decision</w:t>
      </w:r>
      <w:r w:rsidR="0081071A">
        <w:t xml:space="preserve"> on review</w:t>
      </w:r>
      <w:r w:rsidRPr="007A0CC8" w:rsidR="005102A9">
        <w:t>, t</w:t>
      </w:r>
      <w:r w:rsidRPr="007A0CC8" w:rsidR="00057D8D">
        <w:t xml:space="preserve">he </w:t>
      </w:r>
      <w:r w:rsidRPr="007A0CC8" w:rsidR="005102A9">
        <w:t xml:space="preserve">Chief ALJ </w:t>
      </w:r>
      <w:r w:rsidRPr="007A0CC8" w:rsidR="00D93E82">
        <w:t xml:space="preserve">stated that the </w:t>
      </w:r>
      <w:r w:rsidR="00C14B87">
        <w:t>auditor</w:t>
      </w:r>
      <w:r w:rsidRPr="007A0CC8" w:rsidR="00C14B87">
        <w:t xml:space="preserve"> </w:t>
      </w:r>
      <w:r w:rsidRPr="007A0CC8" w:rsidR="00D93E82">
        <w:t xml:space="preserve">reasonably concluded that Family Health outreach was “too attenuated” </w:t>
      </w:r>
      <w:r w:rsidR="00B67CEE">
        <w:t>from the care of beneficiaries to qualify for reimbursement</w:t>
      </w:r>
      <w:r w:rsidRPr="007A0CC8" w:rsidR="00D93E82">
        <w:t xml:space="preserve">.  The Chief ALJ </w:t>
      </w:r>
      <w:r w:rsidR="00B67CEE">
        <w:t xml:space="preserve">reasoned </w:t>
      </w:r>
      <w:r w:rsidRPr="007A0CC8" w:rsidR="00973D40">
        <w:t>that</w:t>
      </w:r>
      <w:r w:rsidRPr="007A0CC8" w:rsidR="00057D8D">
        <w:t xml:space="preserve"> the purpose of Family Health outreach was “patient recruitment</w:t>
      </w:r>
      <w:r w:rsidRPr="007A0CC8" w:rsidR="00F64D95">
        <w:t>”</w:t>
      </w:r>
      <w:r w:rsidRPr="007A0CC8" w:rsidR="00A37523">
        <w:t xml:space="preserve"> and </w:t>
      </w:r>
      <w:r w:rsidR="00B67CEE">
        <w:t xml:space="preserve">that the outreach </w:t>
      </w:r>
      <w:r w:rsidRPr="007A0CC8" w:rsidR="00A37523">
        <w:t xml:space="preserve">was therefore </w:t>
      </w:r>
      <w:r w:rsidRPr="007A0CC8" w:rsidR="0094570A">
        <w:t>a</w:t>
      </w:r>
      <w:r w:rsidR="00DB6DD4">
        <w:t xml:space="preserve"> categorically</w:t>
      </w:r>
      <w:r w:rsidRPr="007A0CC8" w:rsidR="0094570A">
        <w:t xml:space="preserve"> </w:t>
      </w:r>
      <w:r w:rsidRPr="007A0CC8" w:rsidR="00A37523">
        <w:t xml:space="preserve">unallowable advertising </w:t>
      </w:r>
      <w:r w:rsidRPr="007A0CC8" w:rsidR="0094570A">
        <w:t xml:space="preserve">cost </w:t>
      </w:r>
      <w:r w:rsidRPr="007A0CC8" w:rsidR="00A37523">
        <w:t>according to the Provider Manual.</w:t>
      </w:r>
    </w:p>
    <w:p w:rsidR="00077BD2" w:rsidRPr="007A0CC8" w:rsidP="000E6679" w14:paraId="75481C2A" w14:textId="77777777">
      <w:pPr>
        <w:tabs>
          <w:tab w:val="left" w:pos="1440"/>
        </w:tabs>
        <w:ind w:firstLine="720"/>
      </w:pPr>
      <w:r>
        <w:t xml:space="preserve">For the reasons we have explained, </w:t>
      </w:r>
      <w:r w:rsidR="00B758F9">
        <w:t>the Chief ALJ</w:t>
      </w:r>
      <w:r w:rsidR="000E6679">
        <w:t xml:space="preserve"> </w:t>
      </w:r>
      <w:r>
        <w:t>was mistaken.</w:t>
      </w:r>
      <w:r w:rsidR="000E6679">
        <w:t xml:space="preserve">  </w:t>
      </w:r>
      <w:r>
        <w:t xml:space="preserve">The administrative findings here did not reveal </w:t>
      </w:r>
      <w:r w:rsidR="00DB6DD4">
        <w:t xml:space="preserve">unallowable </w:t>
      </w:r>
      <w:r w:rsidR="00550034">
        <w:t>revenue-driven interest</w:t>
      </w:r>
      <w:r w:rsidR="006F6D48">
        <w:t>s</w:t>
      </w:r>
      <w:r w:rsidR="00550034">
        <w:t xml:space="preserve"> behind Family Health’s outreach activities.  </w:t>
      </w:r>
      <w:r w:rsidR="000E6679">
        <w:t>Rather, the Chief ALJ’s decision reference</w:t>
      </w:r>
      <w:r w:rsidR="00A54B9B">
        <w:t>d</w:t>
      </w:r>
      <w:r w:rsidR="00E40204">
        <w:t xml:space="preserve"> </w:t>
      </w:r>
      <w:r w:rsidRPr="007A0CC8" w:rsidR="0057425F">
        <w:t xml:space="preserve">activities </w:t>
      </w:r>
      <w:r w:rsidR="00A54B9B">
        <w:t xml:space="preserve">that were apparently related to </w:t>
      </w:r>
      <w:r w:rsidRPr="007A0CC8" w:rsidR="0057425F">
        <w:t>increas</w:t>
      </w:r>
      <w:r w:rsidR="00A54B9B">
        <w:t>ing</w:t>
      </w:r>
      <w:r w:rsidRPr="007A0CC8" w:rsidR="0057425F">
        <w:t xml:space="preserve"> patient awareness of and access to </w:t>
      </w:r>
      <w:r w:rsidR="00A54B9B">
        <w:t>Family Health services</w:t>
      </w:r>
      <w:r w:rsidR="00405248">
        <w:t>,</w:t>
      </w:r>
      <w:r w:rsidRPr="007A0CC8" w:rsidR="006E5D20">
        <w:t xml:space="preserve"> </w:t>
      </w:r>
      <w:r w:rsidRPr="007A0CC8" w:rsidR="00D30BAB">
        <w:t xml:space="preserve">and </w:t>
      </w:r>
      <w:r w:rsidRPr="007A0CC8" w:rsidR="0067534B">
        <w:t>that included making “new patients ‘comfortable enough to seek care</w:t>
      </w:r>
      <w:r w:rsidRPr="007A0CC8" w:rsidR="00771FF4">
        <w:t>.</w:t>
      </w:r>
      <w:r w:rsidRPr="007A0CC8" w:rsidR="0067534B">
        <w:t>’</w:t>
      </w:r>
      <w:r w:rsidRPr="007A0CC8" w:rsidR="004B412D">
        <w:t> </w:t>
      </w:r>
      <w:r w:rsidRPr="007A0CC8" w:rsidR="0067534B">
        <w:t xml:space="preserve">” </w:t>
      </w:r>
      <w:r w:rsidRPr="007A0CC8" w:rsidR="00771FF4">
        <w:t xml:space="preserve"> </w:t>
      </w:r>
      <w:r w:rsidR="00405248">
        <w:t xml:space="preserve">Nothing in the </w:t>
      </w:r>
      <w:r w:rsidR="00854D5D">
        <w:t xml:space="preserve">cited </w:t>
      </w:r>
      <w:r w:rsidR="00DA7955">
        <w:t xml:space="preserve">sections </w:t>
      </w:r>
      <w:r w:rsidR="00854D5D">
        <w:t xml:space="preserve">of the </w:t>
      </w:r>
      <w:r w:rsidR="00405248">
        <w:t xml:space="preserve">Provider Manual, or in the underlying statutory or regulatory provisions, </w:t>
      </w:r>
      <w:r w:rsidR="00854D5D">
        <w:t xml:space="preserve">establishes that </w:t>
      </w:r>
      <w:r w:rsidR="00DB6DD4">
        <w:t xml:space="preserve">the costs of </w:t>
      </w:r>
      <w:r w:rsidR="00854D5D">
        <w:t xml:space="preserve">such </w:t>
      </w:r>
      <w:r w:rsidR="00DB6DD4">
        <w:t>activities</w:t>
      </w:r>
      <w:r w:rsidR="00854D5D">
        <w:t xml:space="preserve"> are categorically nonreimbursable.  </w:t>
      </w:r>
      <w:r w:rsidR="00B46B57">
        <w:t xml:space="preserve">And the Chief ALJ did not appear to </w:t>
      </w:r>
      <w:r w:rsidR="00D212F6">
        <w:t xml:space="preserve">consider the significance of </w:t>
      </w:r>
      <w:r w:rsidR="006F6D48">
        <w:t xml:space="preserve">other </w:t>
      </w:r>
      <w:r w:rsidR="00D212F6">
        <w:t xml:space="preserve">governing </w:t>
      </w:r>
      <w:r w:rsidR="006F6D48">
        <w:t xml:space="preserve">factors, such as whether the outreach </w:t>
      </w:r>
      <w:r w:rsidR="00B46B57">
        <w:t xml:space="preserve">activities </w:t>
      </w:r>
      <w:r w:rsidR="006F6D48">
        <w:t>were</w:t>
      </w:r>
      <w:r w:rsidRPr="007A0CC8" w:rsidR="00B46B57">
        <w:t xml:space="preserve"> </w:t>
      </w:r>
      <w:r w:rsidR="001767B2">
        <w:t xml:space="preserve">necessary and proper </w:t>
      </w:r>
      <w:r w:rsidR="00F134B0">
        <w:t xml:space="preserve">in the context of </w:t>
      </w:r>
      <w:r w:rsidR="001767B2">
        <w:t>furnishing FQHC services</w:t>
      </w:r>
      <w:r w:rsidR="00F134B0">
        <w:t xml:space="preserve">, </w:t>
      </w:r>
      <w:r w:rsidR="001767B2">
        <w:t xml:space="preserve">and </w:t>
      </w:r>
      <w:r w:rsidRPr="007A0CC8" w:rsidR="00B46B57">
        <w:t xml:space="preserve">common and accepted </w:t>
      </w:r>
      <w:r w:rsidR="006F6D48">
        <w:t>among FQHC providers</w:t>
      </w:r>
      <w:r w:rsidRPr="007A0CC8" w:rsidR="00B46B57">
        <w:t xml:space="preserve">.  </w:t>
      </w:r>
      <w:r w:rsidRPr="007A0CC8" w:rsidR="0048086A">
        <w:t xml:space="preserve">Because </w:t>
      </w:r>
      <w:r w:rsidRPr="007A0CC8" w:rsidR="00C01B8A">
        <w:t>t</w:t>
      </w:r>
      <w:r w:rsidRPr="007A0CC8" w:rsidR="00F448D0">
        <w:t xml:space="preserve">he </w:t>
      </w:r>
      <w:r w:rsidRPr="007A0CC8" w:rsidR="0048086A">
        <w:t xml:space="preserve">Chief ALJ </w:t>
      </w:r>
      <w:r w:rsidRPr="007A0CC8" w:rsidR="00F448D0">
        <w:t xml:space="preserve">did not review the </w:t>
      </w:r>
      <w:r w:rsidRPr="007A0CC8" w:rsidR="00D5440A">
        <w:t>D</w:t>
      </w:r>
      <w:r w:rsidRPr="007A0CC8">
        <w:t xml:space="preserve">epartment’s </w:t>
      </w:r>
      <w:r w:rsidRPr="007A0CC8" w:rsidR="00F448D0">
        <w:t xml:space="preserve">audit determination “in the manner required by law,” </w:t>
      </w:r>
      <w:r w:rsidRPr="007A0CC8" w:rsidR="003055F4">
        <w:t xml:space="preserve">and </w:t>
      </w:r>
      <w:r w:rsidRPr="007A0CC8" w:rsidR="0048086A">
        <w:t xml:space="preserve">the administrative </w:t>
      </w:r>
      <w:r w:rsidRPr="007A0CC8" w:rsidR="003055F4">
        <w:t>“decision is not supported by the findings</w:t>
      </w:r>
      <w:r w:rsidRPr="007A0CC8" w:rsidR="0048086A">
        <w:t>,</w:t>
      </w:r>
      <w:r w:rsidRPr="007A0CC8" w:rsidR="003055F4">
        <w:t xml:space="preserve">” </w:t>
      </w:r>
      <w:r w:rsidRPr="007A0CC8" w:rsidR="000D6BCC">
        <w:t>her</w:t>
      </w:r>
      <w:r w:rsidRPr="007A0CC8" w:rsidR="0048086A">
        <w:t xml:space="preserve"> ruling </w:t>
      </w:r>
      <w:r w:rsidRPr="007A0CC8" w:rsidR="000D6BCC">
        <w:t>wa</w:t>
      </w:r>
      <w:r w:rsidRPr="007A0CC8" w:rsidR="0048086A">
        <w:t>s an abuse of discretion.</w:t>
      </w:r>
      <w:r w:rsidRPr="007A0CC8" w:rsidR="003055F4">
        <w:t xml:space="preserve"> </w:t>
      </w:r>
      <w:r w:rsidRPr="007A0CC8" w:rsidR="0048086A">
        <w:t xml:space="preserve"> </w:t>
      </w:r>
      <w:r w:rsidRPr="007A0CC8" w:rsidR="00F448D0">
        <w:t>(Code Civ. Proc., §</w:t>
      </w:r>
      <w:r w:rsidRPr="007A0CC8" w:rsidR="00C71AAC">
        <w:t> </w:t>
      </w:r>
      <w:r w:rsidRPr="007A0CC8" w:rsidR="00F448D0">
        <w:t xml:space="preserve">1094.5, subd. (b).)  </w:t>
      </w:r>
    </w:p>
    <w:p w:rsidR="00E60591" w:rsidRPr="007A0CC8" w:rsidP="007A0CC8" w14:paraId="75481C2B" w14:textId="77777777">
      <w:pPr>
        <w:tabs>
          <w:tab w:val="left" w:pos="1440"/>
        </w:tabs>
        <w:ind w:firstLine="720"/>
      </w:pPr>
      <w:r w:rsidRPr="007A0CC8">
        <w:t>In its briefing before this court, t</w:t>
      </w:r>
      <w:r w:rsidRPr="007A0CC8" w:rsidR="005127B6">
        <w:t xml:space="preserve">he Department </w:t>
      </w:r>
      <w:r w:rsidRPr="007A0CC8">
        <w:t xml:space="preserve">now </w:t>
      </w:r>
      <w:r w:rsidRPr="007A0CC8" w:rsidR="00F145FA">
        <w:t xml:space="preserve">concedes </w:t>
      </w:r>
      <w:r w:rsidRPr="007A0CC8" w:rsidR="008A5E8B">
        <w:t>that</w:t>
      </w:r>
      <w:r w:rsidRPr="007A0CC8" w:rsidR="00F145FA">
        <w:t xml:space="preserve"> Family Health outreach may have qualified for reimbursement to the extent that it provided “information to the public about the provider’s services</w:t>
      </w:r>
      <w:r w:rsidR="00E0020A">
        <w:t>.</w:t>
      </w:r>
      <w:r w:rsidRPr="007A0CC8" w:rsidR="00F145FA">
        <w:t xml:space="preserve">” </w:t>
      </w:r>
      <w:r w:rsidR="00E0020A">
        <w:t xml:space="preserve"> But the Department </w:t>
      </w:r>
      <w:r w:rsidR="0013119C">
        <w:t xml:space="preserve">contends </w:t>
      </w:r>
      <w:r w:rsidRPr="007A0CC8" w:rsidR="00F145FA">
        <w:t>that the Chief ALJ was justified in finding insufficient evidence to meet that standard</w:t>
      </w:r>
      <w:r w:rsidR="00F8268E">
        <w:t>,</w:t>
      </w:r>
      <w:r w:rsidRPr="007A0CC8" w:rsidR="0027339C">
        <w:t xml:space="preserve"> </w:t>
      </w:r>
      <w:r w:rsidRPr="007A0CC8" w:rsidR="00E24AB6">
        <w:t>given</w:t>
      </w:r>
      <w:r w:rsidRPr="007A0CC8" w:rsidR="0027339C">
        <w:t xml:space="preserve"> the “limited evidence</w:t>
      </w:r>
      <w:r w:rsidRPr="007A0CC8" w:rsidR="00F80FA8">
        <w:t>”</w:t>
      </w:r>
      <w:r w:rsidRPr="007A0CC8" w:rsidR="0027339C">
        <w:t xml:space="preserve"> Family Health presented</w:t>
      </w:r>
      <w:r w:rsidR="0013119C">
        <w:t xml:space="preserve"> on the point</w:t>
      </w:r>
      <w:r w:rsidRPr="007A0CC8" w:rsidR="004A7F16">
        <w:t>.</w:t>
      </w:r>
      <w:r>
        <w:rPr>
          <w:rStyle w:val="FootnoteReference"/>
        </w:rPr>
        <w:footnoteReference w:id="11"/>
      </w:r>
      <w:r w:rsidRPr="007A0CC8" w:rsidR="008F4A32">
        <w:t xml:space="preserve">  </w:t>
      </w:r>
    </w:p>
    <w:p w:rsidR="00F64341" w:rsidRPr="007A0CC8" w:rsidP="00653C95" w14:paraId="75481C2C" w14:textId="77777777">
      <w:pPr>
        <w:tabs>
          <w:tab w:val="left" w:pos="1440"/>
        </w:tabs>
        <w:ind w:firstLine="720"/>
      </w:pPr>
      <w:r>
        <w:t>We are not persuaded by t</w:t>
      </w:r>
      <w:r w:rsidR="00FB0587">
        <w:t xml:space="preserve">he Department’s </w:t>
      </w:r>
      <w:r w:rsidR="00873609">
        <w:t>conten</w:t>
      </w:r>
      <w:r w:rsidR="002A16B7">
        <w:t>t</w:t>
      </w:r>
      <w:r w:rsidR="00873609">
        <w:t>ion</w:t>
      </w:r>
      <w:r w:rsidRPr="007A0CC8" w:rsidR="00FB5320">
        <w:t xml:space="preserve">.  </w:t>
      </w:r>
      <w:r w:rsidRPr="007A0CC8" w:rsidR="00A13BDF">
        <w:t xml:space="preserve">First, </w:t>
      </w:r>
      <w:r w:rsidRPr="007A0CC8" w:rsidR="00974C7E">
        <w:t xml:space="preserve">as we have </w:t>
      </w:r>
      <w:r w:rsidR="00992EA9">
        <w:t>explained</w:t>
      </w:r>
      <w:r w:rsidRPr="007A0CC8" w:rsidR="00974C7E">
        <w:t xml:space="preserve">, </w:t>
      </w:r>
      <w:r w:rsidRPr="007A0CC8" w:rsidR="00A13BDF">
        <w:t xml:space="preserve">the Chief ALJ </w:t>
      </w:r>
      <w:r w:rsidR="00B0603F">
        <w:t xml:space="preserve">did not </w:t>
      </w:r>
      <w:r w:rsidRPr="007A0CC8" w:rsidR="00A13BDF">
        <w:t>appl</w:t>
      </w:r>
      <w:r w:rsidR="00B0603F">
        <w:t>y</w:t>
      </w:r>
      <w:r w:rsidRPr="007A0CC8" w:rsidR="00E60591">
        <w:t xml:space="preserve"> the relevant standard</w:t>
      </w:r>
      <w:r w:rsidR="00B0603F">
        <w:t xml:space="preserve">, </w:t>
      </w:r>
      <w:r w:rsidR="00011354">
        <w:t xml:space="preserve">so </w:t>
      </w:r>
      <w:r w:rsidR="001610B2">
        <w:t>s</w:t>
      </w:r>
      <w:r w:rsidR="00011354">
        <w:t xml:space="preserve">he could not have found that </w:t>
      </w:r>
      <w:r w:rsidR="00B0603F">
        <w:t>Family Health supplied insufficient evidence to meet it</w:t>
      </w:r>
      <w:r w:rsidRPr="007A0CC8" w:rsidR="003726FC">
        <w:t xml:space="preserve">.  </w:t>
      </w:r>
      <w:r w:rsidRPr="007A0CC8" w:rsidR="00E60591">
        <w:t xml:space="preserve">Second, the </w:t>
      </w:r>
      <w:r w:rsidRPr="007A0CC8" w:rsidR="005127B6">
        <w:t>Departmen</w:t>
      </w:r>
      <w:r w:rsidR="00151AED">
        <w:t xml:space="preserve">t’s </w:t>
      </w:r>
      <w:r w:rsidR="00992EA9">
        <w:t xml:space="preserve">description of the evidence </w:t>
      </w:r>
      <w:r w:rsidRPr="007A0CC8" w:rsidR="00E60591">
        <w:t>is</w:t>
      </w:r>
      <w:r w:rsidRPr="007A0CC8" w:rsidR="00A222D7">
        <w:t xml:space="preserve"> not a fair characterization of the record. </w:t>
      </w:r>
      <w:r w:rsidRPr="007A0CC8" w:rsidR="00E24AB6">
        <w:t xml:space="preserve"> </w:t>
      </w:r>
      <w:r w:rsidR="00653C95">
        <w:t xml:space="preserve">Though the Department now claims that Family Health “made no effort” to show how its outreach activities were related to patient care, </w:t>
      </w:r>
      <w:r w:rsidRPr="007A0CC8" w:rsidR="00E24AB6">
        <w:t xml:space="preserve">Family Health </w:t>
      </w:r>
      <w:r w:rsidRPr="007A0CC8" w:rsidR="00E60591">
        <w:t xml:space="preserve">presented </w:t>
      </w:r>
      <w:r w:rsidRPr="007A0CC8" w:rsidR="00E24AB6">
        <w:t>extensive</w:t>
      </w:r>
      <w:r w:rsidRPr="007A0CC8" w:rsidR="00E60591">
        <w:t xml:space="preserve"> evidence </w:t>
      </w:r>
      <w:r w:rsidR="008624CF">
        <w:t xml:space="preserve">and argument </w:t>
      </w:r>
      <w:r w:rsidRPr="007A0CC8" w:rsidR="00E60591">
        <w:t>on this point</w:t>
      </w:r>
      <w:r w:rsidRPr="007A0CC8" w:rsidR="00E24AB6">
        <w:t xml:space="preserve">.  </w:t>
      </w:r>
      <w:r w:rsidRPr="007A0CC8" w:rsidR="002A0AE6">
        <w:t xml:space="preserve">Through documentary evidence and </w:t>
      </w:r>
      <w:r w:rsidR="008624CF">
        <w:t>witness</w:t>
      </w:r>
      <w:r w:rsidRPr="007A0CC8" w:rsidR="002A0AE6">
        <w:t xml:space="preserve"> testimony, Family Health asserted</w:t>
      </w:r>
      <w:r w:rsidRPr="007A0CC8" w:rsidR="008714BC">
        <w:t>, for example,</w:t>
      </w:r>
      <w:r w:rsidRPr="007A0CC8" w:rsidR="00A222D7">
        <w:t xml:space="preserve"> that outreach staff </w:t>
      </w:r>
      <w:r w:rsidRPr="007A0CC8" w:rsidR="001E3955">
        <w:t>provided education and information about available Family Health services</w:t>
      </w:r>
      <w:r w:rsidRPr="007A0CC8" w:rsidR="00F80FA8">
        <w:t xml:space="preserve"> </w:t>
      </w:r>
      <w:r w:rsidRPr="007A0CC8" w:rsidR="0070205A">
        <w:t xml:space="preserve">to </w:t>
      </w:r>
      <w:r w:rsidRPr="007A0CC8" w:rsidR="002B732D">
        <w:t xml:space="preserve">medically underserved </w:t>
      </w:r>
      <w:r w:rsidRPr="007A0CC8" w:rsidR="0070205A">
        <w:t>populations</w:t>
      </w:r>
      <w:r w:rsidRPr="007A0CC8" w:rsidR="00D8026A">
        <w:t xml:space="preserve"> </w:t>
      </w:r>
      <w:r w:rsidRPr="007A0CC8" w:rsidR="002B732D">
        <w:t xml:space="preserve">who faced </w:t>
      </w:r>
      <w:r w:rsidRPr="007A0CC8" w:rsidR="001F2FBE">
        <w:t xml:space="preserve">obstacles </w:t>
      </w:r>
      <w:r w:rsidRPr="007A0CC8" w:rsidR="002B732D">
        <w:t>accessing care</w:t>
      </w:r>
      <w:r w:rsidRPr="007A0CC8" w:rsidR="00D8026A">
        <w:t xml:space="preserve">; </w:t>
      </w:r>
      <w:r w:rsidRPr="007A0CC8" w:rsidR="00A222D7">
        <w:t xml:space="preserve">that </w:t>
      </w:r>
      <w:r w:rsidRPr="007A0CC8" w:rsidR="0070205A">
        <w:t xml:space="preserve">Family Health </w:t>
      </w:r>
      <w:r w:rsidR="004E586D">
        <w:t xml:space="preserve">kept track of </w:t>
      </w:r>
      <w:r w:rsidRPr="007A0CC8" w:rsidR="00162D72">
        <w:t>whether</w:t>
      </w:r>
      <w:r w:rsidR="00233943">
        <w:t xml:space="preserve">, after being contacted, </w:t>
      </w:r>
      <w:r w:rsidRPr="007A0CC8" w:rsidR="00D83167">
        <w:t xml:space="preserve">the individuals </w:t>
      </w:r>
      <w:r w:rsidRPr="007A0CC8" w:rsidR="00907742">
        <w:t xml:space="preserve">received medical care at a Family Health clinic </w:t>
      </w:r>
      <w:r w:rsidRPr="007A0CC8" w:rsidR="00F86F3F">
        <w:t xml:space="preserve">and </w:t>
      </w:r>
      <w:r w:rsidRPr="007A0CC8" w:rsidR="004A3BBF">
        <w:t xml:space="preserve">whether </w:t>
      </w:r>
      <w:r w:rsidRPr="007A0CC8" w:rsidR="00F86F3F">
        <w:t>clinic services were</w:t>
      </w:r>
      <w:r w:rsidRPr="007A0CC8" w:rsidR="00907742">
        <w:t xml:space="preserve"> </w:t>
      </w:r>
      <w:r w:rsidRPr="007A0CC8" w:rsidR="006075F5">
        <w:t>covered by Medi-Cal or other assistance</w:t>
      </w:r>
      <w:r w:rsidRPr="007A0CC8" w:rsidR="00D8026A">
        <w:t xml:space="preserve">; that </w:t>
      </w:r>
      <w:r w:rsidRPr="007A0CC8" w:rsidR="00EF2D1B">
        <w:t>f</w:t>
      </w:r>
      <w:r w:rsidRPr="007A0CC8" w:rsidR="0095680D">
        <w:t xml:space="preserve">ederal </w:t>
      </w:r>
      <w:r w:rsidRPr="007A0CC8" w:rsidR="0070205A">
        <w:t xml:space="preserve">law required Family Health to conduct outreach because it enabled the populations served to access </w:t>
      </w:r>
      <w:r w:rsidRPr="007A0CC8" w:rsidR="00D41D26">
        <w:t>medical care</w:t>
      </w:r>
      <w:r w:rsidRPr="007A0CC8" w:rsidR="00D8026A">
        <w:t>;</w:t>
      </w:r>
      <w:r w:rsidRPr="007A0CC8" w:rsidR="0070205A">
        <w:t xml:space="preserve"> and </w:t>
      </w:r>
      <w:r w:rsidRPr="007A0CC8" w:rsidR="00D8026A">
        <w:t xml:space="preserve">that </w:t>
      </w:r>
      <w:r w:rsidRPr="007A0CC8" w:rsidR="0070205A">
        <w:t xml:space="preserve">federal and state guidance </w:t>
      </w:r>
      <w:r w:rsidRPr="007A0CC8" w:rsidR="00D83167">
        <w:t>characterized</w:t>
      </w:r>
      <w:r w:rsidRPr="007A0CC8" w:rsidR="002B732D">
        <w:t xml:space="preserve"> </w:t>
      </w:r>
      <w:r w:rsidRPr="007A0CC8" w:rsidR="001F2FBE">
        <w:t xml:space="preserve">the type of </w:t>
      </w:r>
      <w:r w:rsidRPr="007A0CC8" w:rsidR="0070205A">
        <w:t xml:space="preserve">outreach </w:t>
      </w:r>
      <w:r w:rsidRPr="007A0CC8" w:rsidR="001F2FBE">
        <w:t xml:space="preserve">Family Health engaged in </w:t>
      </w:r>
      <w:r w:rsidRPr="007A0CC8" w:rsidR="0070205A">
        <w:t>as an al</w:t>
      </w:r>
      <w:r w:rsidRPr="007A0CC8" w:rsidR="00BE6547">
        <w:t>lowable administrative cost</w:t>
      </w:r>
      <w:r w:rsidRPr="007A0CC8" w:rsidR="00E664A7">
        <w:t xml:space="preserve"> necessary </w:t>
      </w:r>
      <w:r w:rsidRPr="007A0CC8" w:rsidR="00D41D26">
        <w:t xml:space="preserve">to delivering </w:t>
      </w:r>
      <w:r w:rsidRPr="007A0CC8" w:rsidR="00E664A7">
        <w:t>Medicaid services</w:t>
      </w:r>
      <w:r w:rsidRPr="007A0CC8" w:rsidR="0095680D">
        <w:t xml:space="preserve">.  </w:t>
      </w:r>
    </w:p>
    <w:p w:rsidR="00B758F9" w:rsidP="007A0CC8" w14:paraId="75481C2D" w14:textId="77777777">
      <w:pPr>
        <w:tabs>
          <w:tab w:val="left" w:pos="1440"/>
        </w:tabs>
        <w:ind w:firstLine="720"/>
      </w:pPr>
      <w:r>
        <w:t>The bottom line is this:  Al</w:t>
      </w:r>
      <w:r w:rsidRPr="007A0CC8" w:rsidR="00105AA1">
        <w:t xml:space="preserve">though the Chief ALJ may have alluded to the sufficiency of </w:t>
      </w:r>
      <w:r>
        <w:t xml:space="preserve">the </w:t>
      </w:r>
      <w:r w:rsidRPr="007A0CC8" w:rsidR="00105AA1">
        <w:t>evidence, the Chief ALJ</w:t>
      </w:r>
      <w:r>
        <w:t>’s review of that evidence rested on a mistaken understanding of the relevant legal principles</w:t>
      </w:r>
      <w:r w:rsidR="00BB5CA4">
        <w:t xml:space="preserve"> as they relate to an FQHC’s outreach and education activities</w:t>
      </w:r>
      <w:r>
        <w:t xml:space="preserve">.  We therefore direct the Court of Appeal to remand the matter </w:t>
      </w:r>
      <w:r w:rsidR="00992EA9">
        <w:t xml:space="preserve">for </w:t>
      </w:r>
      <w:r>
        <w:t xml:space="preserve">the Department to reconsider the </w:t>
      </w:r>
      <w:r w:rsidR="00BB5CA4">
        <w:t>reimbursability of Family Health’s outreach and education costs</w:t>
      </w:r>
      <w:r w:rsidR="00992EA9">
        <w:t xml:space="preserve"> under the applicable cost principles</w:t>
      </w:r>
      <w:r w:rsidR="00BB5CA4">
        <w:t>.</w:t>
      </w:r>
    </w:p>
    <w:p w:rsidR="007B4E7B" w:rsidRPr="007A0CC8" w:rsidP="007A0CC8" w14:paraId="75481C2E" w14:textId="77777777">
      <w:pPr>
        <w:pStyle w:val="Heading1"/>
      </w:pPr>
      <w:r w:rsidRPr="007A0CC8">
        <w:t>Conclusion</w:t>
      </w:r>
    </w:p>
    <w:p w:rsidR="005963EA" w:rsidRPr="007A0CC8" w:rsidP="007A0CC8" w14:paraId="75481C2F" w14:textId="77777777">
      <w:pPr>
        <w:tabs>
          <w:tab w:val="left" w:pos="1440"/>
        </w:tabs>
        <w:ind w:firstLine="720"/>
      </w:pPr>
      <w:r w:rsidRPr="007A0CC8">
        <w:t xml:space="preserve">We reverse the judgment of the Court of Appeal </w:t>
      </w:r>
      <w:r w:rsidRPr="007A0CC8" w:rsidR="00AB6264">
        <w:t xml:space="preserve">with directions to </w:t>
      </w:r>
      <w:r w:rsidRPr="007A0CC8">
        <w:t xml:space="preserve">remand the </w:t>
      </w:r>
      <w:r w:rsidRPr="007A0CC8" w:rsidR="00AB6264">
        <w:t xml:space="preserve">matter to the Department </w:t>
      </w:r>
      <w:r w:rsidRPr="007A0CC8">
        <w:t xml:space="preserve">for further proceedings consistent with this opinion. </w:t>
      </w:r>
    </w:p>
    <w:p w:rsidR="00D83167" w:rsidRPr="007A0CC8" w:rsidP="007A0CC8" w14:paraId="75481C30" w14:textId="77777777">
      <w:pPr>
        <w:tabs>
          <w:tab w:val="left" w:pos="1440"/>
        </w:tabs>
        <w:ind w:firstLine="720"/>
      </w:pPr>
    </w:p>
    <w:p w:rsidR="00A27FD2" w:rsidRPr="002F5EFA" w:rsidP="007A0CC8" w14:paraId="75481C31" w14:textId="77777777">
      <w:pPr>
        <w:tabs>
          <w:tab w:val="left" w:pos="1440"/>
        </w:tabs>
        <w:ind w:firstLine="720"/>
        <w:rPr>
          <w:b/>
          <w:bCs/>
        </w:rPr>
      </w:pPr>
      <w:r w:rsidRPr="007A0CC8">
        <w:tab/>
      </w:r>
      <w:r w:rsidRPr="007A0CC8">
        <w:tab/>
      </w:r>
      <w:r w:rsidRPr="007A0CC8">
        <w:tab/>
      </w:r>
      <w:r w:rsidRPr="007A0CC8">
        <w:tab/>
      </w:r>
      <w:r w:rsidRPr="007A0CC8">
        <w:tab/>
      </w:r>
      <w:r w:rsidRPr="007A0CC8">
        <w:tab/>
      </w:r>
      <w:r w:rsidRPr="007A0CC8">
        <w:tab/>
      </w:r>
      <w:r w:rsidR="002F5EFA">
        <w:t xml:space="preserve">     </w:t>
      </w:r>
      <w:r w:rsidRPr="002F5EFA">
        <w:rPr>
          <w:b/>
          <w:bCs/>
        </w:rPr>
        <w:t>KRUGER, J.</w:t>
      </w:r>
    </w:p>
    <w:p w:rsidR="00577DB9" w:rsidP="00B7388D" w14:paraId="75481C32" w14:textId="77777777">
      <w:bookmarkStart w:id="9" w:name="mainstory"/>
      <w:bookmarkStart w:id="10" w:name="initials"/>
      <w:bookmarkEnd w:id="9"/>
      <w:bookmarkEnd w:id="10"/>
    </w:p>
    <w:p w:rsidR="000469A5" w:rsidP="00B7388D" w14:paraId="75481C33" w14:textId="77777777">
      <w:pPr>
        <w:rPr>
          <w:b/>
          <w:bCs/>
        </w:rPr>
      </w:pPr>
      <w:r w:rsidRPr="002F5EFA">
        <w:rPr>
          <w:b/>
          <w:bCs/>
        </w:rPr>
        <w:t>We Concur:</w:t>
      </w:r>
    </w:p>
    <w:p w:rsidR="007560BE" w:rsidP="007560BE" w14:paraId="75481C34" w14:textId="77777777">
      <w:pPr>
        <w:spacing w:after="0" w:line="240" w:lineRule="auto"/>
        <w:rPr>
          <w:b/>
          <w:bCs/>
        </w:rPr>
      </w:pPr>
      <w:r>
        <w:rPr>
          <w:b/>
          <w:bCs/>
        </w:rPr>
        <w:t>GUERRERO, C. J.</w:t>
      </w:r>
    </w:p>
    <w:p w:rsidR="007560BE" w:rsidP="007560BE" w14:paraId="75481C35" w14:textId="77777777">
      <w:pPr>
        <w:spacing w:after="0" w:line="240" w:lineRule="auto"/>
        <w:rPr>
          <w:b/>
          <w:bCs/>
        </w:rPr>
      </w:pPr>
      <w:r>
        <w:rPr>
          <w:b/>
          <w:bCs/>
        </w:rPr>
        <w:t>CORRIGAN, J.</w:t>
      </w:r>
    </w:p>
    <w:p w:rsidR="007560BE" w:rsidP="007560BE" w14:paraId="75481C36" w14:textId="77777777">
      <w:pPr>
        <w:spacing w:after="0" w:line="240" w:lineRule="auto"/>
        <w:rPr>
          <w:b/>
          <w:bCs/>
        </w:rPr>
      </w:pPr>
      <w:r>
        <w:rPr>
          <w:b/>
          <w:bCs/>
        </w:rPr>
        <w:t>LIU, J.</w:t>
      </w:r>
    </w:p>
    <w:p w:rsidR="007560BE" w:rsidP="007560BE" w14:paraId="75481C37" w14:textId="77777777">
      <w:pPr>
        <w:spacing w:after="0" w:line="240" w:lineRule="auto"/>
        <w:rPr>
          <w:b/>
          <w:bCs/>
        </w:rPr>
      </w:pPr>
      <w:r>
        <w:rPr>
          <w:b/>
          <w:bCs/>
        </w:rPr>
        <w:t>GROBAN, J.</w:t>
      </w:r>
    </w:p>
    <w:p w:rsidR="007560BE" w:rsidP="007560BE" w14:paraId="75481C38" w14:textId="77777777">
      <w:pPr>
        <w:spacing w:after="0" w:line="240" w:lineRule="auto"/>
        <w:rPr>
          <w:b/>
          <w:bCs/>
        </w:rPr>
      </w:pPr>
      <w:r>
        <w:rPr>
          <w:b/>
          <w:bCs/>
        </w:rPr>
        <w:t>JENKINS, J.</w:t>
      </w:r>
    </w:p>
    <w:p w:rsidR="007560BE" w:rsidP="007560BE" w14:paraId="75481C39" w14:textId="77777777">
      <w:pPr>
        <w:spacing w:after="0" w:line="240" w:lineRule="auto"/>
        <w:rPr>
          <w:b/>
          <w:bCs/>
        </w:rPr>
      </w:pPr>
      <w:r>
        <w:rPr>
          <w:b/>
          <w:bCs/>
        </w:rPr>
        <w:t>EVANS, J.</w:t>
      </w:r>
    </w:p>
    <w:p w:rsidR="00EC2916" w:rsidP="007560BE" w14:paraId="4986067C" w14:textId="77777777">
      <w:pPr>
        <w:spacing w:after="0" w:line="240" w:lineRule="auto"/>
        <w:rPr>
          <w:b/>
          <w:bCs/>
        </w:rPr>
        <w:sectPr w:rsidSect="00246218">
          <w:footerReference w:type="first" r:id="rId9"/>
          <w:pgSz w:w="12240" w:h="15840"/>
          <w:pgMar w:top="1800" w:right="2160" w:bottom="1440" w:left="2160" w:header="720" w:footer="720" w:gutter="0"/>
          <w:pgNumType w:start="1"/>
          <w:cols w:space="720"/>
          <w:titlePg/>
          <w:docGrid w:linePitch="367"/>
        </w:sectPr>
      </w:pPr>
    </w:p>
    <w:p w:rsidR="00B113D2" w:rsidRPr="00B113D2" w:rsidP="00B113D2" w14:paraId="0EBA1689" w14:textId="77777777">
      <w:pPr>
        <w:spacing w:after="0" w:line="240" w:lineRule="auto"/>
        <w:jc w:val="left"/>
        <w:rPr>
          <w:i/>
          <w:sz w:val="24"/>
          <w:szCs w:val="24"/>
        </w:rPr>
      </w:pPr>
      <w:r w:rsidRPr="00B113D2">
        <w:rPr>
          <w:i/>
          <w:sz w:val="24"/>
          <w:szCs w:val="24"/>
        </w:rPr>
        <w:t>See next page for addresses and telephone numbers for counsel who argued in Supreme Court.</w:t>
      </w:r>
    </w:p>
    <w:p w:rsidR="00B113D2" w:rsidRPr="00B113D2" w:rsidP="00B113D2" w14:paraId="13FF3B7F" w14:textId="77777777">
      <w:pPr>
        <w:spacing w:after="0" w:line="240" w:lineRule="auto"/>
        <w:jc w:val="left"/>
        <w:rPr>
          <w:i/>
          <w:sz w:val="24"/>
          <w:szCs w:val="24"/>
        </w:rPr>
      </w:pPr>
    </w:p>
    <w:p w:rsidR="00B113D2" w:rsidRPr="00B113D2" w:rsidP="00B113D2" w14:paraId="419A33AE" w14:textId="77777777">
      <w:pPr>
        <w:spacing w:after="0" w:line="240" w:lineRule="auto"/>
        <w:jc w:val="left"/>
        <w:rPr>
          <w:bCs/>
          <w:sz w:val="24"/>
          <w:szCs w:val="24"/>
        </w:rPr>
      </w:pPr>
      <w:r w:rsidRPr="00B113D2">
        <w:rPr>
          <w:b/>
          <w:sz w:val="24"/>
          <w:szCs w:val="24"/>
        </w:rPr>
        <w:t xml:space="preserve">Name of Opinion  </w:t>
      </w:r>
      <w:r w:rsidRPr="00B113D2">
        <w:rPr>
          <w:bCs/>
          <w:sz w:val="24"/>
          <w:szCs w:val="24"/>
        </w:rPr>
        <w:t>Family Health Centers of San Diego v. State Department of Health Care Services</w:t>
      </w:r>
    </w:p>
    <w:p w:rsidR="00B113D2" w:rsidRPr="00B113D2" w:rsidP="00B113D2" w14:paraId="53BD6B0F" w14:textId="77777777">
      <w:pPr>
        <w:spacing w:after="0" w:line="240" w:lineRule="auto"/>
        <w:jc w:val="left"/>
        <w:rPr>
          <w:b/>
          <w:sz w:val="24"/>
          <w:szCs w:val="24"/>
        </w:rPr>
      </w:pPr>
      <w:r w:rsidRPr="00B113D2">
        <w:rPr>
          <w:b/>
          <w:sz w:val="24"/>
          <w:szCs w:val="24"/>
        </w:rPr>
        <w:t xml:space="preserve">__________________________________________________________ </w:t>
      </w:r>
    </w:p>
    <w:p w:rsidR="00B113D2" w:rsidRPr="00B113D2" w:rsidP="00B113D2" w14:paraId="24C0F7EA" w14:textId="77777777">
      <w:pPr>
        <w:spacing w:after="0" w:line="240" w:lineRule="auto"/>
        <w:jc w:val="left"/>
        <w:rPr>
          <w:b/>
          <w:sz w:val="24"/>
          <w:szCs w:val="24"/>
        </w:rPr>
      </w:pPr>
    </w:p>
    <w:p w:rsidR="00B113D2" w:rsidRPr="00B113D2" w:rsidP="00B113D2" w14:paraId="19F3A134" w14:textId="77777777">
      <w:pPr>
        <w:spacing w:after="0" w:line="240" w:lineRule="auto"/>
        <w:jc w:val="left"/>
        <w:rPr>
          <w:sz w:val="24"/>
          <w:szCs w:val="24"/>
        </w:rPr>
      </w:pPr>
      <w:r w:rsidRPr="00B113D2">
        <w:rPr>
          <w:b/>
          <w:bCs/>
          <w:sz w:val="24"/>
          <w:szCs w:val="24"/>
          <w:u w:val="single"/>
        </w:rPr>
        <w:t>Procedural Posture</w:t>
      </w:r>
      <w:r w:rsidRPr="00B113D2">
        <w:rPr>
          <w:b/>
          <w:bCs/>
          <w:sz w:val="24"/>
          <w:szCs w:val="24"/>
        </w:rPr>
        <w:t xml:space="preserve"> </w:t>
      </w:r>
      <w:r w:rsidRPr="00B113D2">
        <w:rPr>
          <w:sz w:val="24"/>
          <w:szCs w:val="24"/>
        </w:rPr>
        <w:t>(see XX below)</w:t>
      </w:r>
    </w:p>
    <w:p w:rsidR="00B113D2" w:rsidRPr="00B113D2" w:rsidP="00B113D2" w14:paraId="327C0F86" w14:textId="77777777">
      <w:pPr>
        <w:spacing w:after="0" w:line="240" w:lineRule="auto"/>
        <w:jc w:val="left"/>
        <w:rPr>
          <w:sz w:val="24"/>
          <w:szCs w:val="24"/>
        </w:rPr>
      </w:pPr>
      <w:r w:rsidRPr="00B113D2">
        <w:rPr>
          <w:b/>
          <w:bCs/>
          <w:sz w:val="24"/>
          <w:szCs w:val="24"/>
        </w:rPr>
        <w:t>Original Appeal</w:t>
      </w:r>
      <w:r w:rsidRPr="00B113D2">
        <w:rPr>
          <w:sz w:val="24"/>
          <w:szCs w:val="24"/>
        </w:rPr>
        <w:t xml:space="preserve"> </w:t>
      </w:r>
    </w:p>
    <w:p w:rsidR="00B113D2" w:rsidRPr="00B113D2" w:rsidP="00B113D2" w14:paraId="5C6C5408" w14:textId="77777777">
      <w:pPr>
        <w:spacing w:after="0" w:line="240" w:lineRule="auto"/>
        <w:jc w:val="left"/>
        <w:rPr>
          <w:b/>
          <w:bCs/>
          <w:sz w:val="24"/>
          <w:szCs w:val="24"/>
        </w:rPr>
      </w:pPr>
      <w:r w:rsidRPr="00B113D2">
        <w:rPr>
          <w:b/>
          <w:bCs/>
          <w:sz w:val="24"/>
          <w:szCs w:val="24"/>
        </w:rPr>
        <w:t>Original Proceeding</w:t>
      </w:r>
    </w:p>
    <w:p w:rsidR="00B113D2" w:rsidRPr="00B113D2" w:rsidP="00B113D2" w14:paraId="42E09444" w14:textId="77777777">
      <w:pPr>
        <w:spacing w:after="0" w:line="240" w:lineRule="auto"/>
        <w:jc w:val="left"/>
        <w:rPr>
          <w:sz w:val="24"/>
          <w:szCs w:val="24"/>
        </w:rPr>
      </w:pPr>
      <w:r w:rsidRPr="00B113D2">
        <w:rPr>
          <w:b/>
          <w:bCs/>
          <w:sz w:val="24"/>
          <w:szCs w:val="24"/>
        </w:rPr>
        <w:t>Review Granted</w:t>
      </w:r>
      <w:r w:rsidRPr="00B113D2">
        <w:rPr>
          <w:sz w:val="24"/>
          <w:szCs w:val="24"/>
        </w:rPr>
        <w:t xml:space="preserve"> </w:t>
      </w:r>
      <w:r w:rsidRPr="00B113D2">
        <w:rPr>
          <w:b/>
          <w:bCs/>
          <w:sz w:val="24"/>
          <w:szCs w:val="24"/>
        </w:rPr>
        <w:t xml:space="preserve">(published) </w:t>
      </w:r>
      <w:r w:rsidRPr="00B113D2">
        <w:rPr>
          <w:sz w:val="24"/>
          <w:szCs w:val="24"/>
        </w:rPr>
        <w:t>XX 67 Cal.App.5th 356</w:t>
      </w:r>
    </w:p>
    <w:p w:rsidR="00B113D2" w:rsidRPr="00B113D2" w:rsidP="00B113D2" w14:paraId="3CA4DAFB" w14:textId="77777777">
      <w:pPr>
        <w:spacing w:after="0" w:line="240" w:lineRule="auto"/>
        <w:jc w:val="left"/>
        <w:rPr>
          <w:sz w:val="24"/>
          <w:szCs w:val="24"/>
        </w:rPr>
      </w:pPr>
      <w:r w:rsidRPr="00B113D2">
        <w:rPr>
          <w:b/>
          <w:bCs/>
          <w:sz w:val="24"/>
          <w:szCs w:val="24"/>
        </w:rPr>
        <w:t xml:space="preserve">Review Granted (unpublished) </w:t>
      </w:r>
    </w:p>
    <w:p w:rsidR="00B113D2" w:rsidRPr="00B113D2" w:rsidP="00B113D2" w14:paraId="1B71A6B4" w14:textId="77777777">
      <w:pPr>
        <w:spacing w:after="0" w:line="240" w:lineRule="auto"/>
        <w:jc w:val="left"/>
        <w:rPr>
          <w:b/>
          <w:bCs/>
          <w:sz w:val="24"/>
          <w:szCs w:val="24"/>
        </w:rPr>
      </w:pPr>
      <w:r w:rsidRPr="00B113D2">
        <w:rPr>
          <w:b/>
          <w:bCs/>
          <w:sz w:val="24"/>
          <w:szCs w:val="24"/>
        </w:rPr>
        <w:t>Rehearing Granted</w:t>
      </w:r>
    </w:p>
    <w:p w:rsidR="00B113D2" w:rsidRPr="00B113D2" w:rsidP="00B113D2" w14:paraId="721500DC" w14:textId="77777777">
      <w:pPr>
        <w:spacing w:after="0" w:line="240" w:lineRule="auto"/>
        <w:jc w:val="left"/>
        <w:rPr>
          <w:b/>
          <w:sz w:val="24"/>
          <w:szCs w:val="24"/>
        </w:rPr>
      </w:pPr>
      <w:r w:rsidRPr="00B113D2">
        <w:rPr>
          <w:b/>
          <w:sz w:val="24"/>
          <w:szCs w:val="24"/>
        </w:rPr>
        <w:t xml:space="preserve">__________________________________________________________ </w:t>
      </w:r>
    </w:p>
    <w:p w:rsidR="00B113D2" w:rsidRPr="00B113D2" w:rsidP="00B113D2" w14:paraId="2ACEDDFA" w14:textId="77777777">
      <w:pPr>
        <w:spacing w:after="0" w:line="240" w:lineRule="auto"/>
        <w:jc w:val="left"/>
        <w:rPr>
          <w:b/>
          <w:sz w:val="24"/>
          <w:szCs w:val="24"/>
        </w:rPr>
      </w:pPr>
    </w:p>
    <w:p w:rsidR="00B113D2" w:rsidRPr="00B113D2" w:rsidP="00B113D2" w14:paraId="5D268294" w14:textId="77777777">
      <w:pPr>
        <w:spacing w:after="0" w:line="240" w:lineRule="auto"/>
        <w:jc w:val="left"/>
        <w:rPr>
          <w:bCs/>
          <w:sz w:val="24"/>
          <w:szCs w:val="24"/>
        </w:rPr>
      </w:pPr>
      <w:r w:rsidRPr="00B113D2">
        <w:rPr>
          <w:b/>
          <w:sz w:val="24"/>
          <w:szCs w:val="24"/>
        </w:rPr>
        <w:t>Opinion No.</w:t>
      </w:r>
      <w:r w:rsidRPr="00B113D2">
        <w:rPr>
          <w:sz w:val="24"/>
          <w:szCs w:val="24"/>
        </w:rPr>
        <w:t xml:space="preserve"> S270326</w:t>
      </w:r>
    </w:p>
    <w:p w:rsidR="00B113D2" w:rsidRPr="00B113D2" w:rsidP="00B113D2" w14:paraId="296C61E7" w14:textId="77777777">
      <w:pPr>
        <w:spacing w:after="0" w:line="240" w:lineRule="auto"/>
        <w:jc w:val="left"/>
        <w:rPr>
          <w:bCs/>
          <w:sz w:val="24"/>
          <w:szCs w:val="24"/>
        </w:rPr>
      </w:pPr>
      <w:r w:rsidRPr="00B113D2">
        <w:rPr>
          <w:b/>
          <w:sz w:val="24"/>
          <w:szCs w:val="24"/>
        </w:rPr>
        <w:t>Date Filed:</w:t>
      </w:r>
      <w:r w:rsidRPr="00B113D2">
        <w:rPr>
          <w:sz w:val="24"/>
          <w:szCs w:val="24"/>
        </w:rPr>
        <w:t xml:space="preserve">  July 24, 2023</w:t>
      </w:r>
    </w:p>
    <w:p w:rsidR="00B113D2" w:rsidRPr="00B113D2" w:rsidP="00B113D2" w14:paraId="3DF4913E" w14:textId="77777777">
      <w:pPr>
        <w:spacing w:after="0" w:line="240" w:lineRule="auto"/>
        <w:jc w:val="left"/>
        <w:rPr>
          <w:b/>
          <w:sz w:val="24"/>
          <w:szCs w:val="24"/>
        </w:rPr>
      </w:pPr>
      <w:r w:rsidRPr="00B113D2">
        <w:rPr>
          <w:b/>
          <w:sz w:val="24"/>
          <w:szCs w:val="24"/>
        </w:rPr>
        <w:t xml:space="preserve">__________________________________________________________ </w:t>
      </w:r>
    </w:p>
    <w:p w:rsidR="00B113D2" w:rsidRPr="00B113D2" w:rsidP="00B113D2" w14:paraId="6A74C572" w14:textId="77777777">
      <w:pPr>
        <w:spacing w:after="0" w:line="240" w:lineRule="auto"/>
        <w:jc w:val="left"/>
        <w:rPr>
          <w:b/>
          <w:sz w:val="24"/>
          <w:szCs w:val="24"/>
        </w:rPr>
      </w:pPr>
    </w:p>
    <w:p w:rsidR="00B113D2" w:rsidRPr="00B113D2" w:rsidP="00B113D2" w14:paraId="1CC7A306" w14:textId="77777777">
      <w:pPr>
        <w:spacing w:after="0" w:line="240" w:lineRule="auto"/>
        <w:jc w:val="left"/>
        <w:rPr>
          <w:bCs/>
          <w:sz w:val="24"/>
          <w:szCs w:val="24"/>
        </w:rPr>
      </w:pPr>
      <w:r w:rsidRPr="00B113D2">
        <w:rPr>
          <w:b/>
          <w:sz w:val="24"/>
          <w:szCs w:val="24"/>
        </w:rPr>
        <w:t xml:space="preserve">Court:  </w:t>
      </w:r>
      <w:r w:rsidRPr="00B113D2">
        <w:rPr>
          <w:bCs/>
          <w:sz w:val="24"/>
          <w:szCs w:val="24"/>
        </w:rPr>
        <w:t>Superior</w:t>
      </w:r>
      <w:r w:rsidRPr="00B113D2">
        <w:rPr>
          <w:b/>
          <w:sz w:val="24"/>
          <w:szCs w:val="24"/>
        </w:rPr>
        <w:t xml:space="preserve"> </w:t>
      </w:r>
    </w:p>
    <w:p w:rsidR="00B113D2" w:rsidRPr="00B113D2" w:rsidP="00B113D2" w14:paraId="31C5D347" w14:textId="77777777">
      <w:pPr>
        <w:spacing w:after="0" w:line="240" w:lineRule="auto"/>
        <w:jc w:val="left"/>
        <w:rPr>
          <w:bCs/>
          <w:sz w:val="24"/>
          <w:szCs w:val="24"/>
        </w:rPr>
      </w:pPr>
      <w:r w:rsidRPr="00B113D2">
        <w:rPr>
          <w:b/>
          <w:sz w:val="24"/>
          <w:szCs w:val="24"/>
        </w:rPr>
        <w:t xml:space="preserve">County:  </w:t>
      </w:r>
      <w:r w:rsidRPr="00B113D2">
        <w:rPr>
          <w:bCs/>
          <w:sz w:val="24"/>
          <w:szCs w:val="24"/>
        </w:rPr>
        <w:t>Sacramento</w:t>
      </w:r>
    </w:p>
    <w:p w:rsidR="00B113D2" w:rsidRPr="00B113D2" w:rsidP="00B113D2" w14:paraId="0D472A2E" w14:textId="77777777">
      <w:pPr>
        <w:spacing w:after="0" w:line="240" w:lineRule="auto"/>
        <w:ind w:left="720" w:hanging="720"/>
        <w:jc w:val="left"/>
        <w:rPr>
          <w:bCs/>
          <w:sz w:val="24"/>
          <w:szCs w:val="24"/>
        </w:rPr>
      </w:pPr>
      <w:r w:rsidRPr="00B113D2">
        <w:rPr>
          <w:b/>
          <w:sz w:val="24"/>
          <w:szCs w:val="24"/>
        </w:rPr>
        <w:t xml:space="preserve">Judge: </w:t>
      </w:r>
      <w:r w:rsidRPr="00B113D2">
        <w:rPr>
          <w:bCs/>
          <w:sz w:val="24"/>
          <w:szCs w:val="24"/>
        </w:rPr>
        <w:t xml:space="preserve"> Steven M. Gevercer</w:t>
      </w:r>
    </w:p>
    <w:p w:rsidR="00B113D2" w:rsidRPr="00B113D2" w:rsidP="00B113D2" w14:paraId="7E29E2F3" w14:textId="77777777">
      <w:pPr>
        <w:spacing w:after="0" w:line="240" w:lineRule="auto"/>
        <w:jc w:val="left"/>
        <w:rPr>
          <w:b/>
          <w:sz w:val="24"/>
          <w:szCs w:val="24"/>
        </w:rPr>
      </w:pPr>
      <w:r w:rsidRPr="00B113D2">
        <w:rPr>
          <w:b/>
          <w:sz w:val="24"/>
          <w:szCs w:val="24"/>
        </w:rPr>
        <w:t xml:space="preserve">__________________________________________________________  </w:t>
      </w:r>
    </w:p>
    <w:p w:rsidR="00B113D2" w:rsidRPr="00B113D2" w:rsidP="00B113D2" w14:paraId="27F485FB" w14:textId="77777777">
      <w:pPr>
        <w:spacing w:after="0" w:line="240" w:lineRule="auto"/>
        <w:jc w:val="left"/>
        <w:rPr>
          <w:b/>
          <w:sz w:val="24"/>
          <w:szCs w:val="24"/>
        </w:rPr>
      </w:pPr>
    </w:p>
    <w:p w:rsidR="00B113D2" w:rsidRPr="00B113D2" w:rsidP="00B113D2" w14:paraId="6AC4B1D7" w14:textId="77777777">
      <w:pPr>
        <w:spacing w:after="0" w:line="240" w:lineRule="auto"/>
        <w:jc w:val="left"/>
        <w:rPr>
          <w:b/>
          <w:sz w:val="24"/>
          <w:szCs w:val="24"/>
        </w:rPr>
      </w:pPr>
      <w:r w:rsidRPr="00B113D2">
        <w:rPr>
          <w:b/>
          <w:sz w:val="24"/>
          <w:szCs w:val="24"/>
        </w:rPr>
        <w:t>Counsel:</w:t>
      </w:r>
    </w:p>
    <w:p w:rsidR="00B113D2" w:rsidRPr="00B113D2" w:rsidP="00B113D2" w14:paraId="16E78623" w14:textId="77777777">
      <w:pPr>
        <w:spacing w:after="0" w:line="240" w:lineRule="auto"/>
        <w:jc w:val="left"/>
        <w:rPr>
          <w:b/>
          <w:sz w:val="24"/>
          <w:szCs w:val="24"/>
        </w:rPr>
      </w:pPr>
    </w:p>
    <w:p w:rsidR="00B113D2" w:rsidRPr="00B113D2" w:rsidP="00B113D2" w14:paraId="4B1197F3" w14:textId="77777777">
      <w:pPr>
        <w:spacing w:after="0" w:line="240" w:lineRule="auto"/>
        <w:jc w:val="left"/>
        <w:rPr>
          <w:color w:val="212121"/>
          <w:sz w:val="24"/>
          <w:szCs w:val="24"/>
          <w:shd w:val="clear" w:color="auto" w:fill="FFFFFF"/>
        </w:rPr>
      </w:pPr>
      <w:r w:rsidRPr="00B113D2">
        <w:rPr>
          <w:color w:val="212121"/>
          <w:sz w:val="24"/>
          <w:szCs w:val="24"/>
          <w:shd w:val="clear" w:color="auto" w:fill="FFFFFF"/>
        </w:rPr>
        <w:t>Douglas Cumming Medical Law, Douglas S. Cumming; Murphy, Campbell, Alliston &amp; Quinn and George E. Murphy for Plaintiff and Appellant.</w:t>
      </w:r>
    </w:p>
    <w:p w:rsidR="00B113D2" w:rsidRPr="00B113D2" w:rsidP="00B113D2" w14:paraId="7CFF17B2" w14:textId="77777777">
      <w:pPr>
        <w:spacing w:after="0" w:line="240" w:lineRule="auto"/>
        <w:jc w:val="left"/>
        <w:rPr>
          <w:color w:val="212121"/>
          <w:sz w:val="24"/>
          <w:szCs w:val="24"/>
          <w:shd w:val="clear" w:color="auto" w:fill="FFFFFF"/>
        </w:rPr>
      </w:pPr>
    </w:p>
    <w:p w:rsidR="00B113D2" w:rsidRPr="00B113D2" w:rsidP="00B113D2" w14:paraId="613D005F" w14:textId="77777777">
      <w:pPr>
        <w:spacing w:after="0" w:line="240" w:lineRule="auto"/>
        <w:jc w:val="left"/>
        <w:rPr>
          <w:color w:val="212121"/>
          <w:sz w:val="24"/>
          <w:szCs w:val="24"/>
          <w:shd w:val="clear" w:color="auto" w:fill="FFFFFF"/>
        </w:rPr>
      </w:pPr>
      <w:r w:rsidRPr="00B113D2">
        <w:rPr>
          <w:color w:val="212121"/>
          <w:sz w:val="24"/>
          <w:szCs w:val="24"/>
          <w:shd w:val="clear" w:color="auto" w:fill="FFFFFF"/>
        </w:rPr>
        <w:t>Hanson Bridgett, Kathryn E. Doi; Law Office of Regina M. Boyle and Regina M. Boyle for Avenal Community Health Center, Eisner Health, Golden Valley Health Centers, Innercare, La Maestra Community Health Centers, Neighborhood Healthcare, Open Door Community Clinic, Ravenswood Family Health Network, Shasta Community Health, TrueCare and WellSpace Health as Amici Curiae on behalf of Plaintiff and Appellant.</w:t>
      </w:r>
    </w:p>
    <w:p w:rsidR="00B113D2" w:rsidRPr="00B113D2" w:rsidP="00B113D2" w14:paraId="7C442E53" w14:textId="77777777">
      <w:pPr>
        <w:spacing w:after="0" w:line="240" w:lineRule="auto"/>
        <w:jc w:val="left"/>
        <w:rPr>
          <w:color w:val="212121"/>
          <w:sz w:val="24"/>
          <w:szCs w:val="24"/>
          <w:shd w:val="clear" w:color="auto" w:fill="FFFFFF"/>
        </w:rPr>
      </w:pPr>
    </w:p>
    <w:p w:rsidR="00B113D2" w:rsidRPr="00B113D2" w:rsidP="00B113D2" w14:paraId="5EB222FB" w14:textId="77777777">
      <w:pPr>
        <w:spacing w:after="0" w:line="240" w:lineRule="auto"/>
        <w:jc w:val="left"/>
        <w:rPr>
          <w:color w:val="212121"/>
          <w:sz w:val="24"/>
          <w:szCs w:val="24"/>
          <w:shd w:val="clear" w:color="auto" w:fill="FFFFFF"/>
        </w:rPr>
      </w:pPr>
      <w:r w:rsidRPr="00B113D2">
        <w:rPr>
          <w:color w:val="212121"/>
          <w:sz w:val="24"/>
          <w:szCs w:val="24"/>
          <w:shd w:val="clear" w:color="auto" w:fill="FFFFFF"/>
        </w:rPr>
        <w:t>DJR García and Deborah J. Rotenberg for California Primary Care Association as Amicus Curiae on behalf of Plaintiff and Appellant.</w:t>
      </w:r>
    </w:p>
    <w:p w:rsidR="00B113D2" w:rsidRPr="00B113D2" w:rsidP="00B113D2" w14:paraId="72F4E8B2" w14:textId="77777777">
      <w:pPr>
        <w:spacing w:after="0" w:line="240" w:lineRule="auto"/>
        <w:jc w:val="left"/>
        <w:rPr>
          <w:color w:val="212121"/>
          <w:sz w:val="24"/>
          <w:szCs w:val="24"/>
          <w:shd w:val="clear" w:color="auto" w:fill="FFFFFF"/>
        </w:rPr>
      </w:pPr>
    </w:p>
    <w:p w:rsidR="00B113D2" w:rsidRPr="00B113D2" w:rsidP="00B113D2" w14:paraId="388FFBFC" w14:textId="77777777">
      <w:pPr>
        <w:spacing w:after="0" w:line="240" w:lineRule="auto"/>
        <w:jc w:val="left"/>
        <w:rPr>
          <w:color w:val="212121"/>
          <w:sz w:val="24"/>
          <w:szCs w:val="24"/>
          <w:shd w:val="clear" w:color="auto" w:fill="FFFFFF"/>
        </w:rPr>
      </w:pPr>
      <w:r w:rsidRPr="00B113D2">
        <w:rPr>
          <w:color w:val="212121"/>
          <w:sz w:val="24"/>
          <w:szCs w:val="24"/>
          <w:shd w:val="clear" w:color="auto" w:fill="FFFFFF"/>
        </w:rPr>
        <w:t xml:space="preserve">Xavier Becerra and Rob Bonta, Attorneys General, Michael J. Mongan, State Solicitor General, Janill L. Richards, Principal Deputy State Solicitor General, Cheryl L. Feiner, Assistant Attorney General, Joshua Patashnik, Deputy State Solicitor General, Niromi W. Pfeiffer, Gregory D. Brown, Marianne A. Pansa and Kevin L. Quade, Deputy Attorneys General, for Defendant and Respondent. </w:t>
      </w:r>
      <w:r w:rsidRPr="00B113D2">
        <w:rPr>
          <w:color w:val="212121"/>
          <w:sz w:val="24"/>
          <w:szCs w:val="24"/>
          <w:shd w:val="clear" w:color="auto" w:fill="FFFFFF"/>
        </w:rPr>
        <w:br w:type="page"/>
      </w:r>
      <w:r w:rsidRPr="00B113D2">
        <w:rPr>
          <w:b/>
          <w:sz w:val="24"/>
          <w:szCs w:val="24"/>
        </w:rPr>
        <w:t>Counsel who argued in Supreme Court (not intended for publication with opinion):</w:t>
      </w:r>
    </w:p>
    <w:p w:rsidR="00B113D2" w:rsidRPr="00B113D2" w:rsidP="00B113D2" w14:paraId="06C2CE30" w14:textId="77777777">
      <w:pPr>
        <w:spacing w:after="0" w:line="240" w:lineRule="auto"/>
        <w:jc w:val="left"/>
        <w:rPr>
          <w:sz w:val="24"/>
          <w:szCs w:val="24"/>
        </w:rPr>
      </w:pPr>
    </w:p>
    <w:p w:rsidR="00B113D2" w:rsidRPr="00B113D2" w:rsidP="00B113D2" w14:paraId="7A6CC088" w14:textId="77777777">
      <w:pPr>
        <w:spacing w:after="0" w:line="240" w:lineRule="auto"/>
        <w:jc w:val="left"/>
        <w:rPr>
          <w:color w:val="212121"/>
          <w:sz w:val="24"/>
          <w:szCs w:val="24"/>
          <w:shd w:val="clear" w:color="auto" w:fill="FFFFFF"/>
        </w:rPr>
      </w:pPr>
      <w:r w:rsidRPr="00B113D2">
        <w:rPr>
          <w:color w:val="212121"/>
          <w:sz w:val="24"/>
          <w:szCs w:val="24"/>
          <w:shd w:val="clear" w:color="auto" w:fill="FFFFFF"/>
        </w:rPr>
        <w:t>George E. Murphy</w:t>
      </w:r>
    </w:p>
    <w:p w:rsidR="00B113D2" w:rsidRPr="00B113D2" w:rsidP="00B113D2" w14:paraId="39230AFB" w14:textId="77777777">
      <w:pPr>
        <w:spacing w:after="0" w:line="240" w:lineRule="auto"/>
        <w:jc w:val="left"/>
        <w:rPr>
          <w:sz w:val="24"/>
          <w:szCs w:val="24"/>
        </w:rPr>
      </w:pPr>
      <w:r w:rsidRPr="00B113D2">
        <w:rPr>
          <w:sz w:val="24"/>
          <w:szCs w:val="24"/>
        </w:rPr>
        <w:t>Murphy, Campbell, Alliston &amp; Quinn</w:t>
      </w:r>
    </w:p>
    <w:p w:rsidR="00B113D2" w:rsidRPr="00B113D2" w:rsidP="00B113D2" w14:paraId="1069167A" w14:textId="77777777">
      <w:pPr>
        <w:spacing w:after="0" w:line="240" w:lineRule="auto"/>
        <w:jc w:val="left"/>
        <w:rPr>
          <w:sz w:val="24"/>
          <w:szCs w:val="24"/>
        </w:rPr>
      </w:pPr>
      <w:r w:rsidRPr="00B113D2">
        <w:rPr>
          <w:sz w:val="24"/>
          <w:szCs w:val="24"/>
        </w:rPr>
        <w:t>2220 Douglas Boulevard, #240</w:t>
      </w:r>
    </w:p>
    <w:p w:rsidR="00B113D2" w:rsidRPr="00B113D2" w:rsidP="00B113D2" w14:paraId="2A901140" w14:textId="77777777">
      <w:pPr>
        <w:spacing w:after="0" w:line="240" w:lineRule="auto"/>
        <w:jc w:val="left"/>
        <w:rPr>
          <w:sz w:val="24"/>
          <w:szCs w:val="24"/>
        </w:rPr>
      </w:pPr>
      <w:r w:rsidRPr="00B113D2">
        <w:rPr>
          <w:sz w:val="24"/>
          <w:szCs w:val="24"/>
        </w:rPr>
        <w:t>Roseville, CA 95661</w:t>
      </w:r>
    </w:p>
    <w:p w:rsidR="00B113D2" w:rsidRPr="00B113D2" w:rsidP="00B113D2" w14:paraId="73F2904D" w14:textId="77777777">
      <w:pPr>
        <w:spacing w:after="0" w:line="240" w:lineRule="auto"/>
        <w:jc w:val="left"/>
        <w:rPr>
          <w:sz w:val="24"/>
          <w:szCs w:val="24"/>
        </w:rPr>
      </w:pPr>
      <w:r w:rsidRPr="00B113D2">
        <w:rPr>
          <w:sz w:val="24"/>
          <w:szCs w:val="24"/>
        </w:rPr>
        <w:t>(916) 400-2300</w:t>
      </w:r>
    </w:p>
    <w:p w:rsidR="00B113D2" w:rsidRPr="00B113D2" w:rsidP="00B113D2" w14:paraId="3B96C1D3" w14:textId="77777777">
      <w:pPr>
        <w:spacing w:after="0" w:line="240" w:lineRule="auto"/>
        <w:jc w:val="left"/>
        <w:rPr>
          <w:sz w:val="24"/>
          <w:szCs w:val="24"/>
        </w:rPr>
      </w:pPr>
    </w:p>
    <w:p w:rsidR="00B113D2" w:rsidRPr="00B113D2" w:rsidP="00B113D2" w14:paraId="21968C34" w14:textId="77777777">
      <w:pPr>
        <w:spacing w:after="0" w:line="240" w:lineRule="auto"/>
        <w:jc w:val="left"/>
        <w:rPr>
          <w:color w:val="212121"/>
          <w:sz w:val="24"/>
          <w:szCs w:val="24"/>
          <w:shd w:val="clear" w:color="auto" w:fill="FFFFFF"/>
        </w:rPr>
      </w:pPr>
      <w:r w:rsidRPr="00B113D2">
        <w:rPr>
          <w:color w:val="212121"/>
          <w:sz w:val="24"/>
          <w:szCs w:val="24"/>
          <w:shd w:val="clear" w:color="auto" w:fill="FFFFFF"/>
        </w:rPr>
        <w:t>Joshua Patashnik</w:t>
      </w:r>
    </w:p>
    <w:p w:rsidR="00B113D2" w:rsidRPr="00B113D2" w:rsidP="00B113D2" w14:paraId="278D647C" w14:textId="77777777">
      <w:pPr>
        <w:spacing w:after="0" w:line="240" w:lineRule="auto"/>
        <w:jc w:val="left"/>
        <w:rPr>
          <w:color w:val="212121"/>
          <w:sz w:val="24"/>
          <w:szCs w:val="24"/>
          <w:shd w:val="clear" w:color="auto" w:fill="FFFFFF"/>
        </w:rPr>
      </w:pPr>
      <w:r w:rsidRPr="00B113D2">
        <w:rPr>
          <w:color w:val="212121"/>
          <w:sz w:val="24"/>
          <w:szCs w:val="24"/>
          <w:shd w:val="clear" w:color="auto" w:fill="FFFFFF"/>
        </w:rPr>
        <w:t>Deputy State Solicitor General</w:t>
      </w:r>
    </w:p>
    <w:p w:rsidR="00B113D2" w:rsidRPr="00B113D2" w:rsidP="00B113D2" w14:paraId="7654A85C" w14:textId="77777777">
      <w:pPr>
        <w:spacing w:after="0" w:line="240" w:lineRule="auto"/>
        <w:jc w:val="left"/>
        <w:rPr>
          <w:color w:val="212121"/>
          <w:sz w:val="24"/>
          <w:szCs w:val="24"/>
          <w:shd w:val="clear" w:color="auto" w:fill="FFFFFF"/>
        </w:rPr>
      </w:pPr>
      <w:r w:rsidRPr="00B113D2">
        <w:rPr>
          <w:color w:val="212121"/>
          <w:sz w:val="24"/>
          <w:szCs w:val="24"/>
          <w:shd w:val="clear" w:color="auto" w:fill="FFFFFF"/>
        </w:rPr>
        <w:t>600 West Broadway, Suite 1800</w:t>
      </w:r>
    </w:p>
    <w:p w:rsidR="00B113D2" w:rsidRPr="00B113D2" w:rsidP="00B113D2" w14:paraId="28CBBDEB" w14:textId="77777777">
      <w:pPr>
        <w:spacing w:after="0" w:line="240" w:lineRule="auto"/>
        <w:jc w:val="left"/>
        <w:rPr>
          <w:color w:val="212121"/>
          <w:sz w:val="24"/>
          <w:szCs w:val="24"/>
          <w:shd w:val="clear" w:color="auto" w:fill="FFFFFF"/>
        </w:rPr>
      </w:pPr>
      <w:r w:rsidRPr="00B113D2">
        <w:rPr>
          <w:color w:val="212121"/>
          <w:sz w:val="24"/>
          <w:szCs w:val="24"/>
          <w:shd w:val="clear" w:color="auto" w:fill="FFFFFF"/>
        </w:rPr>
        <w:t>San Diego, CA 92101</w:t>
      </w:r>
    </w:p>
    <w:p w:rsidR="00B113D2" w:rsidRPr="00B113D2" w:rsidP="00B113D2" w14:paraId="2B41BAD0" w14:textId="77777777">
      <w:pPr>
        <w:spacing w:after="0" w:line="240" w:lineRule="auto"/>
        <w:jc w:val="left"/>
        <w:rPr>
          <w:sz w:val="24"/>
          <w:szCs w:val="24"/>
        </w:rPr>
      </w:pPr>
      <w:r w:rsidRPr="00B113D2">
        <w:rPr>
          <w:color w:val="212121"/>
          <w:sz w:val="24"/>
          <w:szCs w:val="24"/>
          <w:shd w:val="clear" w:color="auto" w:fill="FFFFFF"/>
        </w:rPr>
        <w:t>(619) 738-9628</w:t>
      </w:r>
    </w:p>
    <w:p w:rsidR="00EC2916" w:rsidP="007560BE" w14:paraId="531C6875" w14:textId="77777777">
      <w:pPr>
        <w:spacing w:after="0" w:line="240" w:lineRule="auto"/>
        <w:rPr>
          <w:b/>
          <w:bCs/>
        </w:rPr>
      </w:pPr>
    </w:p>
    <w:sectPr w:rsidSect="00EC2BB8">
      <w:headerReference w:type="default" r:id="rId10"/>
      <w:footerReference w:type="default" r:id="rId11"/>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6D8" w14:paraId="75481C40" w14:textId="77777777">
    <w:pPr>
      <w:pStyle w:val="Footer"/>
    </w:pPr>
    <w:r>
      <w:fldChar w:fldCharType="begin"/>
    </w:r>
    <w:r>
      <w:instrText>PAGE</w:instrText>
    </w:r>
    <w:r>
      <w:fldChar w:fldCharType="separate"/>
    </w:r>
    <w: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218" w14:paraId="75481C42"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747" w:rsidRPr="00854747" w:rsidP="00854747" w14:paraId="20A2189C" w14:textId="0596E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346D" w14:paraId="75481C3A" w14:textId="77777777">
      <w:r>
        <w:separator/>
      </w:r>
    </w:p>
  </w:footnote>
  <w:footnote w:type="continuationSeparator" w:id="1">
    <w:p w:rsidR="0053346D" w14:paraId="75481C3B" w14:textId="77777777">
      <w:pPr>
        <w:rPr>
          <w:sz w:val="22"/>
        </w:rPr>
      </w:pPr>
      <w:r>
        <w:continuationSeparator/>
      </w:r>
    </w:p>
  </w:footnote>
  <w:footnote w:type="continuationNotice" w:id="2">
    <w:p w:rsidR="0053346D" w14:paraId="75481C3C" w14:textId="77777777">
      <w:pPr>
        <w:jc w:val="right"/>
        <w:rPr>
          <w:i/>
          <w:sz w:val="20"/>
        </w:rPr>
      </w:pPr>
    </w:p>
  </w:footnote>
  <w:footnote w:id="3">
    <w:p w:rsidR="00DE7990" w:rsidP="007A0CC8" w14:paraId="75481C43" w14:textId="77777777">
      <w:pPr>
        <w:pStyle w:val="FootnoteText"/>
      </w:pPr>
      <w:r>
        <w:rPr>
          <w:rStyle w:val="FootnoteReference"/>
        </w:rPr>
        <w:footnoteRef/>
      </w:r>
      <w:r>
        <w:t xml:space="preserve"> </w:t>
      </w:r>
      <w:r>
        <w:tab/>
      </w:r>
      <w:r w:rsidR="004B41A9">
        <w:t>T</w:t>
      </w:r>
      <w:r w:rsidR="00A459B0">
        <w:t>his law was amended in 2000 to implement the prospective payment system now in place</w:t>
      </w:r>
      <w:r w:rsidR="00974CED">
        <w:t>,</w:t>
      </w:r>
      <w:r w:rsidR="00A459B0">
        <w:t xml:space="preserve"> which similarly requires payment of </w:t>
      </w:r>
      <w:r>
        <w:t xml:space="preserve">100 percent </w:t>
      </w:r>
      <w:r w:rsidR="00A459B0">
        <w:t xml:space="preserve">of the </w:t>
      </w:r>
      <w:r>
        <w:t xml:space="preserve">costs </w:t>
      </w:r>
      <w:r w:rsidR="00A459B0">
        <w:t xml:space="preserve">of </w:t>
      </w:r>
      <w:r>
        <w:t>furnishing services</w:t>
      </w:r>
      <w:r w:rsidR="00A459B0">
        <w:t>.  (</w:t>
      </w:r>
      <w:r w:rsidRPr="00A459B0">
        <w:rPr>
          <w:i/>
          <w:iCs/>
        </w:rPr>
        <w:t>Three Lower Counties C</w:t>
      </w:r>
      <w:r w:rsidR="00487A89">
        <w:rPr>
          <w:i/>
          <w:iCs/>
        </w:rPr>
        <w:t>ommunity</w:t>
      </w:r>
      <w:r w:rsidRPr="00A459B0">
        <w:rPr>
          <w:i/>
          <w:iCs/>
        </w:rPr>
        <w:t xml:space="preserve"> Health v. M</w:t>
      </w:r>
      <w:r w:rsidR="00487A89">
        <w:rPr>
          <w:i/>
          <w:iCs/>
        </w:rPr>
        <w:t>aryland</w:t>
      </w:r>
      <w:r w:rsidR="00A459B0">
        <w:t xml:space="preserve">, </w:t>
      </w:r>
      <w:r w:rsidRPr="00A459B0" w:rsidR="00A459B0">
        <w:rPr>
          <w:i/>
          <w:iCs/>
        </w:rPr>
        <w:t>supra</w:t>
      </w:r>
      <w:r w:rsidR="00A459B0">
        <w:t xml:space="preserve">, </w:t>
      </w:r>
      <w:r>
        <w:t xml:space="preserve">498 F.3d </w:t>
      </w:r>
      <w:r w:rsidR="00A459B0">
        <w:t>at p. </w:t>
      </w:r>
      <w:r>
        <w:t>298</w:t>
      </w:r>
      <w:r w:rsidR="00A459B0">
        <w:t>; 42 U.S.C. §</w:t>
      </w:r>
      <w:r w:rsidR="006D6ECC">
        <w:t> </w:t>
      </w:r>
      <w:r w:rsidR="00A459B0">
        <w:t>1396a(bb)(2)</w:t>
      </w:r>
      <w:r>
        <w:t>.)</w:t>
      </w:r>
    </w:p>
  </w:footnote>
  <w:footnote w:id="4">
    <w:p w:rsidR="00514DA2" w:rsidP="00514DA2" w14:paraId="75481C44" w14:textId="77777777">
      <w:pPr>
        <w:pStyle w:val="FootnoteText"/>
      </w:pPr>
      <w:r>
        <w:rPr>
          <w:rStyle w:val="FootnoteReference"/>
        </w:rPr>
        <w:footnoteRef/>
      </w:r>
      <w:r>
        <w:tab/>
        <w:t xml:space="preserve">Medicare, another federal medical assistance program, provides payments to providers for the care of elderly persons and persons with disabilities.  The Medicare program is not relevant to this case except insofar as it has produced a body of agency guidance about the calculation of reasonable costs of care. </w:t>
      </w:r>
    </w:p>
  </w:footnote>
  <w:footnote w:id="5">
    <w:p w:rsidR="00A9093B" w:rsidP="00AE1DBB" w14:paraId="75481C45" w14:textId="77777777">
      <w:pPr>
        <w:pStyle w:val="FootnoteText"/>
      </w:pPr>
      <w:r>
        <w:rPr>
          <w:rStyle w:val="FootnoteReference"/>
        </w:rPr>
        <w:footnoteRef/>
      </w:r>
      <w:r>
        <w:t xml:space="preserve"> </w:t>
      </w:r>
      <w:r>
        <w:tab/>
        <w:t xml:space="preserve">An informal hearing may precede a formal hearing to clarify or resolve facts and issues in dispute.  </w:t>
      </w:r>
      <w:r w:rsidR="00AE1DBB">
        <w:t>Unlike the formal hearing</w:t>
      </w:r>
      <w:r w:rsidR="0098733D">
        <w:t> </w:t>
      </w:r>
      <w:r w:rsidR="0059230C">
        <w:t xml:space="preserve">— which is conducted before an </w:t>
      </w:r>
      <w:r w:rsidR="00AE1DBB">
        <w:t>administrative law judge, must comply with a variety of procedural requirements, and results in a final decision</w:t>
      </w:r>
      <w:r w:rsidR="0098733D">
        <w:t> </w:t>
      </w:r>
      <w:r w:rsidR="0059230C">
        <w:t>—</w:t>
      </w:r>
      <w:r w:rsidR="00AE1DBB">
        <w:t xml:space="preserve"> the informal review process is conducted by a hearing auditor and does not itself lead to a final decision of the </w:t>
      </w:r>
      <w:r w:rsidR="0059230C">
        <w:t>D</w:t>
      </w:r>
      <w:r w:rsidR="00AE1DBB">
        <w:t>epartment.  (Health &amp; Saf. Code, §</w:t>
      </w:r>
      <w:r w:rsidR="009412AF">
        <w:t> </w:t>
      </w:r>
      <w:r w:rsidR="00AE1DBB">
        <w:t>100171; Cal. Code Regs., tit. 22, §</w:t>
      </w:r>
      <w:r w:rsidR="00C373B3">
        <w:t> </w:t>
      </w:r>
      <w:r w:rsidR="00AE1DBB">
        <w:t xml:space="preserve">51016, subd. (a) (7), (8), (9), (11).)  </w:t>
      </w:r>
    </w:p>
  </w:footnote>
  <w:footnote w:id="6">
    <w:p w:rsidR="003D7F5D" w14:paraId="75481C46" w14:textId="0CF086FF">
      <w:pPr>
        <w:pStyle w:val="FootnoteText"/>
      </w:pPr>
      <w:r>
        <w:rPr>
          <w:rStyle w:val="FootnoteReference"/>
        </w:rPr>
        <w:footnoteRef/>
      </w:r>
      <w:r>
        <w:t xml:space="preserve"> </w:t>
      </w:r>
      <w:r w:rsidR="001E1DF1">
        <w:tab/>
      </w:r>
      <w:r w:rsidR="008950B4">
        <w:t>Provider Manual available at &lt;</w:t>
      </w:r>
      <w:r w:rsidRPr="004E74D2" w:rsidR="008950B4">
        <w:t>https://www.cms.gov/regulations-and-guidance/guidance/manuals/paper-based-manuals-items/cms021929</w:t>
      </w:r>
      <w:r w:rsidR="008950B4">
        <w:t xml:space="preserve">&gt; [as of </w:t>
      </w:r>
      <w:r w:rsidRPr="0051580D" w:rsidR="008950B4">
        <w:t>July 24, 2023</w:t>
      </w:r>
      <w:r w:rsidR="008950B4">
        <w:t xml:space="preserve">].  </w:t>
      </w:r>
    </w:p>
    <w:p w:rsidR="00EE49B0" w:rsidP="0051580D" w14:paraId="75481C47" w14:textId="77777777">
      <w:pPr>
        <w:pStyle w:val="FootnoteText"/>
        <w:ind w:firstLine="720"/>
      </w:pPr>
      <w:r w:rsidRPr="001E1DF1">
        <w:t>All Internet citations in this opinion are archived by year, docket number, and case name at &lt;http://www.courts.ca.gov/38324.htm&gt;.</w:t>
      </w:r>
    </w:p>
  </w:footnote>
  <w:footnote w:id="7">
    <w:p w:rsidR="008950B4" w14:paraId="75481C48" w14:textId="77777777">
      <w:pPr>
        <w:pStyle w:val="FootnoteText"/>
      </w:pPr>
      <w:r>
        <w:rPr>
          <w:rStyle w:val="FootnoteReference"/>
        </w:rPr>
        <w:footnoteRef/>
      </w:r>
      <w:r>
        <w:t xml:space="preserve"> </w:t>
      </w:r>
      <w:r>
        <w:tab/>
        <w:t>State Medicaid Manual</w:t>
      </w:r>
      <w:r w:rsidRPr="008950B4">
        <w:t xml:space="preserve"> available at </w:t>
      </w:r>
      <w:r w:rsidR="00B75117">
        <w:t>&lt;</w:t>
      </w:r>
      <w:r w:rsidRPr="001819E2" w:rsidR="001038C3">
        <w:t>https://www.cms.gov/Regulations-and-Guidance/Guidance/Manuals/Paper-Based-Manuals-items/CMS021927</w:t>
      </w:r>
      <w:r w:rsidR="00B75117">
        <w:t>&gt;</w:t>
      </w:r>
      <w:r w:rsidR="001038C3">
        <w:t xml:space="preserve"> </w:t>
      </w:r>
      <w:r w:rsidRPr="008950B4">
        <w:t>[as of July</w:t>
      </w:r>
      <w:r w:rsidR="003D7F5D">
        <w:t xml:space="preserve"> </w:t>
      </w:r>
      <w:r w:rsidRPr="008950B4">
        <w:t>24, 2023]</w:t>
      </w:r>
      <w:r>
        <w:t>.</w:t>
      </w:r>
    </w:p>
  </w:footnote>
  <w:footnote w:id="8">
    <w:p w:rsidR="008826DB" w:rsidP="007F6B18" w14:paraId="75481C49" w14:textId="77777777">
      <w:pPr>
        <w:pStyle w:val="FootnoteText"/>
      </w:pPr>
      <w:r>
        <w:rPr>
          <w:rStyle w:val="FootnoteReference"/>
        </w:rPr>
        <w:footnoteRef/>
      </w:r>
      <w:r>
        <w:t xml:space="preserve"> </w:t>
      </w:r>
      <w:r>
        <w:tab/>
        <w:t>This</w:t>
      </w:r>
      <w:r w:rsidRPr="007A0CC8">
        <w:t xml:space="preserve"> </w:t>
      </w:r>
      <w:r>
        <w:t xml:space="preserve">general </w:t>
      </w:r>
      <w:r w:rsidR="00836F11">
        <w:t>view</w:t>
      </w:r>
      <w:r w:rsidRPr="007A0CC8">
        <w:t xml:space="preserve"> </w:t>
      </w:r>
      <w:r>
        <w:t xml:space="preserve">is </w:t>
      </w:r>
      <w:r w:rsidRPr="007A0CC8">
        <w:t xml:space="preserve">also </w:t>
      </w:r>
      <w:r w:rsidR="009E03CB">
        <w:t>echoed</w:t>
      </w:r>
      <w:r w:rsidRPr="007A0CC8">
        <w:t xml:space="preserve"> in informal </w:t>
      </w:r>
      <w:r w:rsidR="00EC332E">
        <w:t xml:space="preserve">Department </w:t>
      </w:r>
      <w:r w:rsidRPr="007A0CC8">
        <w:t>guidance</w:t>
      </w:r>
      <w:r w:rsidR="00836F11">
        <w:t xml:space="preserve">:  </w:t>
      </w:r>
      <w:bookmarkStart w:id="3" w:name="_Hlk139447385"/>
      <w:r w:rsidRPr="00E97314">
        <w:t>a 2004 manual</w:t>
      </w:r>
      <w:bookmarkEnd w:id="3"/>
      <w:r>
        <w:t xml:space="preserve"> regarding Medi-Cal Administrative Activities</w:t>
      </w:r>
      <w:r w:rsidR="00836F11">
        <w:t>, which</w:t>
      </w:r>
      <w:r>
        <w:t xml:space="preserve"> stat</w:t>
      </w:r>
      <w:r w:rsidR="00836F11">
        <w:t>ed</w:t>
      </w:r>
      <w:r>
        <w:t xml:space="preserve"> that outreach is a reimbursable administrative activity when it informs “eligible or potentially eligible individuals about Medi-Cal programs and services and how to access them”</w:t>
      </w:r>
      <w:r w:rsidR="00E97314">
        <w:t xml:space="preserve"> (Dept. of Health Care Services, California School-Ba</w:t>
      </w:r>
      <w:r w:rsidR="001E1DF1">
        <w:t>s</w:t>
      </w:r>
      <w:r w:rsidR="00E97314">
        <w:t xml:space="preserve">ed MAA Manual (June 2004) </w:t>
      </w:r>
      <w:r w:rsidR="00DC5756">
        <w:t>§</w:t>
      </w:r>
      <w:r w:rsidR="001038C3">
        <w:t> </w:t>
      </w:r>
      <w:r w:rsidR="00E97314">
        <w:t>5</w:t>
      </w:r>
      <w:r w:rsidR="00DC5756">
        <w:t>,</w:t>
      </w:r>
      <w:r w:rsidR="00E97314">
        <w:t xml:space="preserve"> Activity Codes: Descriptions and Examples</w:t>
      </w:r>
      <w:r w:rsidR="00DC5756">
        <w:t xml:space="preserve">, </w:t>
      </w:r>
      <w:r w:rsidRPr="00DC5756" w:rsidR="00DC5756">
        <w:t>C</w:t>
      </w:r>
      <w:r w:rsidR="00DC5756">
        <w:t>ode</w:t>
      </w:r>
      <w:r w:rsidRPr="00DC5756" w:rsidR="00DC5756">
        <w:t xml:space="preserve"> 4</w:t>
      </w:r>
      <w:r w:rsidR="00DC5756">
        <w:t>,</w:t>
      </w:r>
      <w:r w:rsidRPr="00DC5756" w:rsidR="00DC5756">
        <w:t xml:space="preserve"> I</w:t>
      </w:r>
      <w:r w:rsidR="00DC5756">
        <w:t>nitial</w:t>
      </w:r>
      <w:r w:rsidRPr="00DC5756" w:rsidR="00DC5756">
        <w:t xml:space="preserve"> M</w:t>
      </w:r>
      <w:r w:rsidR="00DC5756">
        <w:t>edi</w:t>
      </w:r>
      <w:r w:rsidRPr="00DC5756" w:rsidR="00DC5756">
        <w:t>-C</w:t>
      </w:r>
      <w:r w:rsidR="00DC5756">
        <w:t>al</w:t>
      </w:r>
      <w:r w:rsidRPr="00DC5756" w:rsidR="00DC5756">
        <w:t xml:space="preserve"> </w:t>
      </w:r>
      <w:r w:rsidR="00DC5756">
        <w:t>Outreach, p.</w:t>
      </w:r>
      <w:r w:rsidR="001038C3">
        <w:t> </w:t>
      </w:r>
      <w:r w:rsidR="00DC5756">
        <w:t>5-5)</w:t>
      </w:r>
      <w:r w:rsidR="00836F11">
        <w:t>; a</w:t>
      </w:r>
      <w:r>
        <w:t xml:space="preserve">nd </w:t>
      </w:r>
      <w:bookmarkStart w:id="4" w:name="_Hlk139447415"/>
      <w:r>
        <w:t xml:space="preserve">a </w:t>
      </w:r>
      <w:r w:rsidRPr="007F6B18">
        <w:t>2011 Department memorandum</w:t>
      </w:r>
      <w:bookmarkEnd w:id="4"/>
      <w:r>
        <w:t xml:space="preserve"> regarding claims for reimbursement under a County-Based Medi-Cal Administrative Activities program</w:t>
      </w:r>
      <w:r w:rsidR="00836F11">
        <w:t>, which</w:t>
      </w:r>
      <w:r>
        <w:t xml:space="preserve"> </w:t>
      </w:r>
      <w:r w:rsidR="00836F11">
        <w:t>stated</w:t>
      </w:r>
      <w:r>
        <w:t xml:space="preserve"> that the “cost of providing general outreach to the local community is an integrated part” of a federally qualified health center’s per-visit rate</w:t>
      </w:r>
      <w:r w:rsidR="007F6B18">
        <w:t xml:space="preserve"> (</w:t>
      </w:r>
      <w:r w:rsidRPr="007F6B18" w:rsidR="007F6B18">
        <w:t>Administrative Claiming Local and School Services Branch</w:t>
      </w:r>
      <w:r w:rsidR="007F6B18">
        <w:t>, mem. to Local Governmental Agency Coordinators for the County Based Medi-Cal Administrative Activities Program, Sep</w:t>
      </w:r>
      <w:r w:rsidR="001038C3">
        <w:t>t</w:t>
      </w:r>
      <w:r w:rsidR="007F6B18">
        <w:t>. 22, 2011).</w:t>
      </w:r>
    </w:p>
  </w:footnote>
  <w:footnote w:id="9">
    <w:p w:rsidR="00E169E8" w:rsidP="00E169E8" w14:paraId="75481C4A" w14:textId="77777777">
      <w:pPr>
        <w:pStyle w:val="FootnoteText"/>
      </w:pPr>
      <w:r>
        <w:rPr>
          <w:rStyle w:val="FootnoteReference"/>
        </w:rPr>
        <w:footnoteRef/>
      </w:r>
      <w:r>
        <w:t xml:space="preserve"> </w:t>
      </w:r>
      <w:r>
        <w:tab/>
        <w:t xml:space="preserve">The parties do not argue that the Provider Manual is entitled to greater deference as an agency’s interpretation of its own regulations.  (See </w:t>
      </w:r>
      <w:r w:rsidRPr="00EF1299">
        <w:rPr>
          <w:i/>
          <w:iCs/>
        </w:rPr>
        <w:t>Kisor v. Wilkie</w:t>
      </w:r>
      <w:r>
        <w:t xml:space="preserve"> (2019) ___</w:t>
      </w:r>
      <w:r w:rsidR="00465766">
        <w:t xml:space="preserve"> </w:t>
      </w:r>
      <w:r>
        <w:t>U.S.</w:t>
      </w:r>
      <w:r w:rsidR="00465766">
        <w:t xml:space="preserve"> </w:t>
      </w:r>
      <w:r>
        <w:t>___</w:t>
      </w:r>
      <w:r w:rsidR="00E51A0B">
        <w:t>, ___</w:t>
      </w:r>
      <w:r>
        <w:t xml:space="preserve"> [139 S.Ct. 2400, 2414].)  </w:t>
      </w:r>
    </w:p>
  </w:footnote>
  <w:footnote w:id="10">
    <w:p w:rsidR="00C6227B" w:rsidP="00C6227B" w14:paraId="75481C4B" w14:textId="77777777">
      <w:pPr>
        <w:pStyle w:val="FootnoteText"/>
      </w:pPr>
      <w:r>
        <w:rPr>
          <w:rStyle w:val="FootnoteReference"/>
        </w:rPr>
        <w:footnoteRef/>
      </w:r>
      <w:r>
        <w:t xml:space="preserve"> </w:t>
      </w:r>
      <w:r>
        <w:tab/>
      </w:r>
      <w:bookmarkStart w:id="5" w:name="_Hlk140133047"/>
      <w:r w:rsidRPr="00792910">
        <w:t xml:space="preserve">Family Health argues that </w:t>
      </w:r>
      <w:r>
        <w:t xml:space="preserve">the final agency decision’s reliance on section 2136.2 was misplaced because its outreach activities do not constitute advertising.  </w:t>
      </w:r>
      <w:r w:rsidR="004A7849">
        <w:t>Fa</w:t>
      </w:r>
      <w:r>
        <w:t xml:space="preserve">mily Health emphasizes that the outreach at issue involved </w:t>
      </w:r>
      <w:r w:rsidRPr="00792910">
        <w:t xml:space="preserve">individual interactions </w:t>
      </w:r>
      <w:r w:rsidR="00EF21CB">
        <w:t xml:space="preserve">directed toward specific populations, not promotional material </w:t>
      </w:r>
      <w:r w:rsidRPr="00792910">
        <w:t>directed to the “general public” (Provider Manual,</w:t>
      </w:r>
      <w:r>
        <w:t xml:space="preserve"> </w:t>
      </w:r>
      <w:r>
        <w:rPr>
          <w:i/>
          <w:iCs/>
        </w:rPr>
        <w:t>supra</w:t>
      </w:r>
      <w:r>
        <w:t>,</w:t>
      </w:r>
      <w:r w:rsidRPr="00792910">
        <w:t xml:space="preserve"> §</w:t>
      </w:r>
      <w:r>
        <w:t> </w:t>
      </w:r>
      <w:r w:rsidRPr="00792910">
        <w:t>2136.2).</w:t>
      </w:r>
      <w:r>
        <w:t xml:space="preserve">  It is unclear, however, whether person-to-person communications are categorically exempt from restrictions on the reimbursability of certain advertising costs.  We need not decide that issue here.  </w:t>
      </w:r>
      <w:r w:rsidR="00DC5791">
        <w:t>Even if Family Health’s outreach activities are not strictly the sort of advertising contemplated in the Provider Manual</w:t>
      </w:r>
      <w:r w:rsidR="002B7C36">
        <w:t>,</w:t>
      </w:r>
      <w:r w:rsidR="00F365D0">
        <w:t xml:space="preserve"> section 2136 may be considered to the extent it provides relevant, albeit nonbinding, guidance.</w:t>
      </w:r>
      <w:bookmarkEnd w:id="5"/>
    </w:p>
  </w:footnote>
  <w:footnote w:id="11">
    <w:p w:rsidR="002B660E" w:rsidP="002B660E" w14:paraId="75481C4C" w14:textId="77777777">
      <w:pPr>
        <w:pStyle w:val="FootnoteText"/>
      </w:pPr>
      <w:r>
        <w:rPr>
          <w:rStyle w:val="FootnoteReference"/>
        </w:rPr>
        <w:footnoteRef/>
      </w:r>
      <w:r>
        <w:t xml:space="preserve"> </w:t>
      </w:r>
      <w:r>
        <w:tab/>
        <w:t xml:space="preserve">Although it acknowledges that some forms of FQHC outreach may be reimbursable, the Department argues that outreach or education that takes place in a public place such as a beach — as opposed to a location intended for certain underserved populations, such as a homeless shelter — constitutes prohibited advertising to the general public.  We are unpersuaded.  The location and scope of the outreach may </w:t>
      </w:r>
      <w:r w:rsidR="00663A3E">
        <w:t xml:space="preserve">be </w:t>
      </w:r>
      <w:r>
        <w:t xml:space="preserve">relevant in determining whether its primary purpose is to educate underserved persons about available, low- or no-cost options for health care or else to generate revenue for the facility, but it is not alone dispositive.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CC8" w14:paraId="75481C3D" w14:textId="77777777">
    <w:pPr>
      <w:pStyle w:val="Header"/>
    </w:pPr>
    <w:r>
      <w:t xml:space="preserve">FAMILY HEALTH CENTERS </w:t>
    </w:r>
    <w:r w:rsidR="00014B8B">
      <w:t xml:space="preserve">OF SAN DIEGO </w:t>
    </w:r>
    <w:r>
      <w:t>v. STATE DEPARTMENT OF HEALTH CARE SERVICES</w:t>
    </w:r>
  </w:p>
  <w:p w:rsidR="007A0CC8" w14:paraId="75481C3E" w14:textId="77777777">
    <w:pPr>
      <w:pStyle w:val="Header"/>
    </w:pPr>
    <w:r>
      <w:t>Opinion of the Court by K</w:t>
    </w:r>
    <w:r w:rsidR="00AE3242">
      <w:t>ruger</w:t>
    </w:r>
    <w:r>
      <w:t>, J.</w:t>
    </w:r>
  </w:p>
  <w:p w:rsidR="007A0CC8" w14:paraId="75481C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4E0" w:rsidRPr="00E814E0" w:rsidP="00E814E0" w14:paraId="75481C41" w14:textId="77777777">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747" w:rsidRPr="00854747" w:rsidP="00854747" w14:paraId="2E377A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7F42BA"/>
    <w:multiLevelType w:val="hybridMultilevel"/>
    <w:tmpl w:val="A4ACE6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8754759"/>
    <w:multiLevelType w:val="hybridMultilevel"/>
    <w:tmpl w:val="E64ED9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7926AC1"/>
    <w:multiLevelType w:val="hybridMultilevel"/>
    <w:tmpl w:val="388819E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852153C"/>
    <w:multiLevelType w:val="hybridMultilevel"/>
    <w:tmpl w:val="CA78FA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8932D48"/>
    <w:multiLevelType w:val="hybridMultilevel"/>
    <w:tmpl w:val="08CE0854"/>
    <w:lvl w:ilvl="0">
      <w:start w:val="1"/>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73"/>
    <w:rsid w:val="00000829"/>
    <w:rsid w:val="00000CD8"/>
    <w:rsid w:val="00000F6A"/>
    <w:rsid w:val="00000F7E"/>
    <w:rsid w:val="00002FD9"/>
    <w:rsid w:val="0000357D"/>
    <w:rsid w:val="00004803"/>
    <w:rsid w:val="00004C6B"/>
    <w:rsid w:val="000054FA"/>
    <w:rsid w:val="0000558F"/>
    <w:rsid w:val="00005680"/>
    <w:rsid w:val="00005B86"/>
    <w:rsid w:val="00011354"/>
    <w:rsid w:val="00012324"/>
    <w:rsid w:val="0001305F"/>
    <w:rsid w:val="00013A63"/>
    <w:rsid w:val="00014B8B"/>
    <w:rsid w:val="00014DDA"/>
    <w:rsid w:val="00014F66"/>
    <w:rsid w:val="00015732"/>
    <w:rsid w:val="00015947"/>
    <w:rsid w:val="00017658"/>
    <w:rsid w:val="00020000"/>
    <w:rsid w:val="00021634"/>
    <w:rsid w:val="0002251B"/>
    <w:rsid w:val="00022698"/>
    <w:rsid w:val="000245D9"/>
    <w:rsid w:val="000263B9"/>
    <w:rsid w:val="0002656C"/>
    <w:rsid w:val="0003064D"/>
    <w:rsid w:val="00030BB0"/>
    <w:rsid w:val="00033410"/>
    <w:rsid w:val="00033AA5"/>
    <w:rsid w:val="00034DFA"/>
    <w:rsid w:val="00035D2E"/>
    <w:rsid w:val="00040372"/>
    <w:rsid w:val="00040C9C"/>
    <w:rsid w:val="000414A5"/>
    <w:rsid w:val="00041CA1"/>
    <w:rsid w:val="00043BDF"/>
    <w:rsid w:val="000447A6"/>
    <w:rsid w:val="00045C2B"/>
    <w:rsid w:val="00046562"/>
    <w:rsid w:val="000469A5"/>
    <w:rsid w:val="000513EF"/>
    <w:rsid w:val="00051ECB"/>
    <w:rsid w:val="000532A9"/>
    <w:rsid w:val="00053674"/>
    <w:rsid w:val="00053727"/>
    <w:rsid w:val="00054531"/>
    <w:rsid w:val="00055873"/>
    <w:rsid w:val="00055A71"/>
    <w:rsid w:val="00056583"/>
    <w:rsid w:val="00057D8D"/>
    <w:rsid w:val="00060B0C"/>
    <w:rsid w:val="00060BBA"/>
    <w:rsid w:val="00061329"/>
    <w:rsid w:val="0006216A"/>
    <w:rsid w:val="00062246"/>
    <w:rsid w:val="0006228C"/>
    <w:rsid w:val="00062301"/>
    <w:rsid w:val="00062AB7"/>
    <w:rsid w:val="00062BC8"/>
    <w:rsid w:val="00062D87"/>
    <w:rsid w:val="00063216"/>
    <w:rsid w:val="00064DA1"/>
    <w:rsid w:val="00064E58"/>
    <w:rsid w:val="00066E76"/>
    <w:rsid w:val="00067C1B"/>
    <w:rsid w:val="0007141E"/>
    <w:rsid w:val="00071A58"/>
    <w:rsid w:val="00071CB5"/>
    <w:rsid w:val="00077BD2"/>
    <w:rsid w:val="00080759"/>
    <w:rsid w:val="00081286"/>
    <w:rsid w:val="00081670"/>
    <w:rsid w:val="00081A42"/>
    <w:rsid w:val="00083374"/>
    <w:rsid w:val="00083BCD"/>
    <w:rsid w:val="00083D12"/>
    <w:rsid w:val="000842A5"/>
    <w:rsid w:val="0008454A"/>
    <w:rsid w:val="00084B77"/>
    <w:rsid w:val="00085882"/>
    <w:rsid w:val="00085DBC"/>
    <w:rsid w:val="00086204"/>
    <w:rsid w:val="00087A88"/>
    <w:rsid w:val="000903AD"/>
    <w:rsid w:val="00090CF4"/>
    <w:rsid w:val="00091D59"/>
    <w:rsid w:val="00091EA8"/>
    <w:rsid w:val="00094973"/>
    <w:rsid w:val="00094AA7"/>
    <w:rsid w:val="00094D64"/>
    <w:rsid w:val="00095EB3"/>
    <w:rsid w:val="0009616E"/>
    <w:rsid w:val="000963DF"/>
    <w:rsid w:val="00096DA3"/>
    <w:rsid w:val="00096DFD"/>
    <w:rsid w:val="000A2169"/>
    <w:rsid w:val="000A2898"/>
    <w:rsid w:val="000A2C9B"/>
    <w:rsid w:val="000A2F86"/>
    <w:rsid w:val="000A35A7"/>
    <w:rsid w:val="000A395A"/>
    <w:rsid w:val="000A3FAA"/>
    <w:rsid w:val="000A4204"/>
    <w:rsid w:val="000A4AB7"/>
    <w:rsid w:val="000A4CE7"/>
    <w:rsid w:val="000A55D0"/>
    <w:rsid w:val="000A63AA"/>
    <w:rsid w:val="000A6669"/>
    <w:rsid w:val="000A6DFC"/>
    <w:rsid w:val="000A6E17"/>
    <w:rsid w:val="000A7153"/>
    <w:rsid w:val="000A786D"/>
    <w:rsid w:val="000A7917"/>
    <w:rsid w:val="000B0415"/>
    <w:rsid w:val="000B0959"/>
    <w:rsid w:val="000B1056"/>
    <w:rsid w:val="000B16BC"/>
    <w:rsid w:val="000B1D83"/>
    <w:rsid w:val="000B25DA"/>
    <w:rsid w:val="000B28FF"/>
    <w:rsid w:val="000B298A"/>
    <w:rsid w:val="000B2CC7"/>
    <w:rsid w:val="000B2DE0"/>
    <w:rsid w:val="000B2EE4"/>
    <w:rsid w:val="000B377D"/>
    <w:rsid w:val="000B420B"/>
    <w:rsid w:val="000B4518"/>
    <w:rsid w:val="000B5B27"/>
    <w:rsid w:val="000B5C2E"/>
    <w:rsid w:val="000B5ED4"/>
    <w:rsid w:val="000B6BE9"/>
    <w:rsid w:val="000B7855"/>
    <w:rsid w:val="000B7BBC"/>
    <w:rsid w:val="000C18BF"/>
    <w:rsid w:val="000C1A5E"/>
    <w:rsid w:val="000C2FDC"/>
    <w:rsid w:val="000C3CD2"/>
    <w:rsid w:val="000C4387"/>
    <w:rsid w:val="000C4A82"/>
    <w:rsid w:val="000C5BBB"/>
    <w:rsid w:val="000C6789"/>
    <w:rsid w:val="000C6A76"/>
    <w:rsid w:val="000C7431"/>
    <w:rsid w:val="000C7625"/>
    <w:rsid w:val="000D128B"/>
    <w:rsid w:val="000D1E32"/>
    <w:rsid w:val="000D544F"/>
    <w:rsid w:val="000D5852"/>
    <w:rsid w:val="000D6BCC"/>
    <w:rsid w:val="000D7934"/>
    <w:rsid w:val="000E0A17"/>
    <w:rsid w:val="000E1651"/>
    <w:rsid w:val="000E2489"/>
    <w:rsid w:val="000E34DA"/>
    <w:rsid w:val="000E3AE4"/>
    <w:rsid w:val="000E3F15"/>
    <w:rsid w:val="000E4B68"/>
    <w:rsid w:val="000E5AE5"/>
    <w:rsid w:val="000E5DC1"/>
    <w:rsid w:val="000E6679"/>
    <w:rsid w:val="000E68E7"/>
    <w:rsid w:val="000E6A92"/>
    <w:rsid w:val="000E7953"/>
    <w:rsid w:val="000F049B"/>
    <w:rsid w:val="000F05C8"/>
    <w:rsid w:val="000F1035"/>
    <w:rsid w:val="000F183F"/>
    <w:rsid w:val="000F1F73"/>
    <w:rsid w:val="000F343F"/>
    <w:rsid w:val="000F3EFB"/>
    <w:rsid w:val="000F42C8"/>
    <w:rsid w:val="000F4B58"/>
    <w:rsid w:val="000F5448"/>
    <w:rsid w:val="000F5AA2"/>
    <w:rsid w:val="000F6EE6"/>
    <w:rsid w:val="000F70BF"/>
    <w:rsid w:val="000F7840"/>
    <w:rsid w:val="000F7E4F"/>
    <w:rsid w:val="00100ADA"/>
    <w:rsid w:val="00101714"/>
    <w:rsid w:val="001038C3"/>
    <w:rsid w:val="00104A6D"/>
    <w:rsid w:val="00104CE2"/>
    <w:rsid w:val="001059B6"/>
    <w:rsid w:val="00105AA1"/>
    <w:rsid w:val="001069A7"/>
    <w:rsid w:val="00106FAC"/>
    <w:rsid w:val="00107028"/>
    <w:rsid w:val="001073BE"/>
    <w:rsid w:val="00107EF9"/>
    <w:rsid w:val="0011005B"/>
    <w:rsid w:val="00110A66"/>
    <w:rsid w:val="00111771"/>
    <w:rsid w:val="001118CD"/>
    <w:rsid w:val="00111C65"/>
    <w:rsid w:val="00111F37"/>
    <w:rsid w:val="001155FA"/>
    <w:rsid w:val="0011592F"/>
    <w:rsid w:val="00115ED0"/>
    <w:rsid w:val="00117725"/>
    <w:rsid w:val="00120DCA"/>
    <w:rsid w:val="00121EDB"/>
    <w:rsid w:val="00122DC8"/>
    <w:rsid w:val="00122F07"/>
    <w:rsid w:val="00123198"/>
    <w:rsid w:val="00125724"/>
    <w:rsid w:val="00125C74"/>
    <w:rsid w:val="00125DC5"/>
    <w:rsid w:val="00125F64"/>
    <w:rsid w:val="001261F9"/>
    <w:rsid w:val="00126646"/>
    <w:rsid w:val="00130448"/>
    <w:rsid w:val="00130491"/>
    <w:rsid w:val="00130962"/>
    <w:rsid w:val="00130C08"/>
    <w:rsid w:val="0013119C"/>
    <w:rsid w:val="0013130F"/>
    <w:rsid w:val="001316D8"/>
    <w:rsid w:val="0013181B"/>
    <w:rsid w:val="00131943"/>
    <w:rsid w:val="00131BBA"/>
    <w:rsid w:val="001326B3"/>
    <w:rsid w:val="00134B82"/>
    <w:rsid w:val="00134D43"/>
    <w:rsid w:val="00134FBE"/>
    <w:rsid w:val="00135DD3"/>
    <w:rsid w:val="00135F01"/>
    <w:rsid w:val="00136156"/>
    <w:rsid w:val="0013677B"/>
    <w:rsid w:val="0013772E"/>
    <w:rsid w:val="0014079A"/>
    <w:rsid w:val="00140D35"/>
    <w:rsid w:val="00140D61"/>
    <w:rsid w:val="00141662"/>
    <w:rsid w:val="001427E5"/>
    <w:rsid w:val="001435A8"/>
    <w:rsid w:val="001446D0"/>
    <w:rsid w:val="0014513C"/>
    <w:rsid w:val="00145E61"/>
    <w:rsid w:val="001461B1"/>
    <w:rsid w:val="00146908"/>
    <w:rsid w:val="00146F6A"/>
    <w:rsid w:val="00147448"/>
    <w:rsid w:val="001503A2"/>
    <w:rsid w:val="00150803"/>
    <w:rsid w:val="00151AED"/>
    <w:rsid w:val="00151C9E"/>
    <w:rsid w:val="001529C2"/>
    <w:rsid w:val="00152C78"/>
    <w:rsid w:val="00152F6A"/>
    <w:rsid w:val="00153752"/>
    <w:rsid w:val="00153A5B"/>
    <w:rsid w:val="0015540B"/>
    <w:rsid w:val="001571CD"/>
    <w:rsid w:val="00157757"/>
    <w:rsid w:val="00157E7E"/>
    <w:rsid w:val="00160F39"/>
    <w:rsid w:val="001610B2"/>
    <w:rsid w:val="00161C50"/>
    <w:rsid w:val="00162D72"/>
    <w:rsid w:val="0016311B"/>
    <w:rsid w:val="00163650"/>
    <w:rsid w:val="001637EF"/>
    <w:rsid w:val="00164049"/>
    <w:rsid w:val="00164DA0"/>
    <w:rsid w:val="00165268"/>
    <w:rsid w:val="001653AF"/>
    <w:rsid w:val="0016597D"/>
    <w:rsid w:val="001669B6"/>
    <w:rsid w:val="00167186"/>
    <w:rsid w:val="00167FC0"/>
    <w:rsid w:val="0017026A"/>
    <w:rsid w:val="001707BE"/>
    <w:rsid w:val="00170B04"/>
    <w:rsid w:val="0017158A"/>
    <w:rsid w:val="00171BBB"/>
    <w:rsid w:val="00172C49"/>
    <w:rsid w:val="0017446A"/>
    <w:rsid w:val="00174902"/>
    <w:rsid w:val="00175112"/>
    <w:rsid w:val="001754B4"/>
    <w:rsid w:val="001767B2"/>
    <w:rsid w:val="00176D93"/>
    <w:rsid w:val="001804A7"/>
    <w:rsid w:val="00180823"/>
    <w:rsid w:val="001819E2"/>
    <w:rsid w:val="001820CF"/>
    <w:rsid w:val="001825C3"/>
    <w:rsid w:val="00182692"/>
    <w:rsid w:val="00184238"/>
    <w:rsid w:val="001848AE"/>
    <w:rsid w:val="00184C71"/>
    <w:rsid w:val="0018562D"/>
    <w:rsid w:val="0018570F"/>
    <w:rsid w:val="00185E2A"/>
    <w:rsid w:val="00186365"/>
    <w:rsid w:val="00187810"/>
    <w:rsid w:val="00187AD6"/>
    <w:rsid w:val="00187CC1"/>
    <w:rsid w:val="00190577"/>
    <w:rsid w:val="001912D8"/>
    <w:rsid w:val="0019133B"/>
    <w:rsid w:val="0019210A"/>
    <w:rsid w:val="0019258D"/>
    <w:rsid w:val="00193102"/>
    <w:rsid w:val="0019396B"/>
    <w:rsid w:val="001940D8"/>
    <w:rsid w:val="00194593"/>
    <w:rsid w:val="00194D11"/>
    <w:rsid w:val="00195EA7"/>
    <w:rsid w:val="00196A02"/>
    <w:rsid w:val="00196DFF"/>
    <w:rsid w:val="00196F84"/>
    <w:rsid w:val="00197EE5"/>
    <w:rsid w:val="001A0ECA"/>
    <w:rsid w:val="001A20D0"/>
    <w:rsid w:val="001A432B"/>
    <w:rsid w:val="001A4B50"/>
    <w:rsid w:val="001A551A"/>
    <w:rsid w:val="001A5982"/>
    <w:rsid w:val="001A5E2D"/>
    <w:rsid w:val="001A6875"/>
    <w:rsid w:val="001A6A7A"/>
    <w:rsid w:val="001A6F71"/>
    <w:rsid w:val="001A7DBB"/>
    <w:rsid w:val="001A7E1D"/>
    <w:rsid w:val="001B08E7"/>
    <w:rsid w:val="001B0A96"/>
    <w:rsid w:val="001B17E8"/>
    <w:rsid w:val="001B3C24"/>
    <w:rsid w:val="001B4B6E"/>
    <w:rsid w:val="001B5698"/>
    <w:rsid w:val="001B6179"/>
    <w:rsid w:val="001B6286"/>
    <w:rsid w:val="001B7A3F"/>
    <w:rsid w:val="001C1940"/>
    <w:rsid w:val="001C1D3E"/>
    <w:rsid w:val="001C2E88"/>
    <w:rsid w:val="001C3DAF"/>
    <w:rsid w:val="001C3DE2"/>
    <w:rsid w:val="001C3DFE"/>
    <w:rsid w:val="001C50BE"/>
    <w:rsid w:val="001C5DF0"/>
    <w:rsid w:val="001C5EAF"/>
    <w:rsid w:val="001C62B1"/>
    <w:rsid w:val="001C63C0"/>
    <w:rsid w:val="001C728A"/>
    <w:rsid w:val="001D03BF"/>
    <w:rsid w:val="001D0845"/>
    <w:rsid w:val="001D0CC3"/>
    <w:rsid w:val="001D144B"/>
    <w:rsid w:val="001D15F5"/>
    <w:rsid w:val="001D2786"/>
    <w:rsid w:val="001D486B"/>
    <w:rsid w:val="001D68CB"/>
    <w:rsid w:val="001D7566"/>
    <w:rsid w:val="001D773E"/>
    <w:rsid w:val="001E1228"/>
    <w:rsid w:val="001E1300"/>
    <w:rsid w:val="001E15A9"/>
    <w:rsid w:val="001E1DF1"/>
    <w:rsid w:val="001E2846"/>
    <w:rsid w:val="001E2899"/>
    <w:rsid w:val="001E3955"/>
    <w:rsid w:val="001E4492"/>
    <w:rsid w:val="001E4547"/>
    <w:rsid w:val="001E504A"/>
    <w:rsid w:val="001E5294"/>
    <w:rsid w:val="001E73C7"/>
    <w:rsid w:val="001F0267"/>
    <w:rsid w:val="001F0CB7"/>
    <w:rsid w:val="001F1297"/>
    <w:rsid w:val="001F1954"/>
    <w:rsid w:val="001F2214"/>
    <w:rsid w:val="001F2737"/>
    <w:rsid w:val="001F2B03"/>
    <w:rsid w:val="001F2FBE"/>
    <w:rsid w:val="001F3D57"/>
    <w:rsid w:val="001F3ECB"/>
    <w:rsid w:val="001F4D45"/>
    <w:rsid w:val="001F5E92"/>
    <w:rsid w:val="001F616D"/>
    <w:rsid w:val="001F78CE"/>
    <w:rsid w:val="002002F6"/>
    <w:rsid w:val="00200422"/>
    <w:rsid w:val="00200511"/>
    <w:rsid w:val="002041CC"/>
    <w:rsid w:val="002061F7"/>
    <w:rsid w:val="002101CB"/>
    <w:rsid w:val="00210677"/>
    <w:rsid w:val="00210BA3"/>
    <w:rsid w:val="002114DA"/>
    <w:rsid w:val="002118EF"/>
    <w:rsid w:val="00212064"/>
    <w:rsid w:val="00212168"/>
    <w:rsid w:val="0021282F"/>
    <w:rsid w:val="00213FC3"/>
    <w:rsid w:val="002142F9"/>
    <w:rsid w:val="002149E7"/>
    <w:rsid w:val="00215B54"/>
    <w:rsid w:val="00215E8F"/>
    <w:rsid w:val="00216E96"/>
    <w:rsid w:val="002179DF"/>
    <w:rsid w:val="00217AB0"/>
    <w:rsid w:val="002212B5"/>
    <w:rsid w:val="0022255F"/>
    <w:rsid w:val="00223B78"/>
    <w:rsid w:val="002245C6"/>
    <w:rsid w:val="00224C21"/>
    <w:rsid w:val="002252C2"/>
    <w:rsid w:val="002253C2"/>
    <w:rsid w:val="002260C2"/>
    <w:rsid w:val="00226232"/>
    <w:rsid w:val="002264A8"/>
    <w:rsid w:val="00226C15"/>
    <w:rsid w:val="00226C5F"/>
    <w:rsid w:val="0023087E"/>
    <w:rsid w:val="002308A8"/>
    <w:rsid w:val="002315BF"/>
    <w:rsid w:val="00232733"/>
    <w:rsid w:val="00232E68"/>
    <w:rsid w:val="0023325A"/>
    <w:rsid w:val="002336D2"/>
    <w:rsid w:val="002337FA"/>
    <w:rsid w:val="00233943"/>
    <w:rsid w:val="002344AB"/>
    <w:rsid w:val="00235486"/>
    <w:rsid w:val="0023594F"/>
    <w:rsid w:val="00235E06"/>
    <w:rsid w:val="002360B2"/>
    <w:rsid w:val="00240108"/>
    <w:rsid w:val="00242FDC"/>
    <w:rsid w:val="00244270"/>
    <w:rsid w:val="00244FF9"/>
    <w:rsid w:val="0024575D"/>
    <w:rsid w:val="00245BE8"/>
    <w:rsid w:val="00246218"/>
    <w:rsid w:val="0024637D"/>
    <w:rsid w:val="00246656"/>
    <w:rsid w:val="00246A2E"/>
    <w:rsid w:val="00246B74"/>
    <w:rsid w:val="0025009E"/>
    <w:rsid w:val="00251508"/>
    <w:rsid w:val="002523C1"/>
    <w:rsid w:val="00254C2F"/>
    <w:rsid w:val="00254CA0"/>
    <w:rsid w:val="00255022"/>
    <w:rsid w:val="002552A4"/>
    <w:rsid w:val="002557E1"/>
    <w:rsid w:val="00255D79"/>
    <w:rsid w:val="00255FB3"/>
    <w:rsid w:val="00256086"/>
    <w:rsid w:val="0025631F"/>
    <w:rsid w:val="0025632A"/>
    <w:rsid w:val="00257560"/>
    <w:rsid w:val="0026020B"/>
    <w:rsid w:val="002606FB"/>
    <w:rsid w:val="00260BAD"/>
    <w:rsid w:val="00260C3F"/>
    <w:rsid w:val="002626DE"/>
    <w:rsid w:val="002634C9"/>
    <w:rsid w:val="00263874"/>
    <w:rsid w:val="00263FEA"/>
    <w:rsid w:val="00264826"/>
    <w:rsid w:val="0026528E"/>
    <w:rsid w:val="00265675"/>
    <w:rsid w:val="00265B90"/>
    <w:rsid w:val="00267EA0"/>
    <w:rsid w:val="00270667"/>
    <w:rsid w:val="002709C8"/>
    <w:rsid w:val="00270A0D"/>
    <w:rsid w:val="00270ADB"/>
    <w:rsid w:val="00270CEC"/>
    <w:rsid w:val="002718D7"/>
    <w:rsid w:val="00271BB8"/>
    <w:rsid w:val="00271C41"/>
    <w:rsid w:val="0027339C"/>
    <w:rsid w:val="00274760"/>
    <w:rsid w:val="0027482F"/>
    <w:rsid w:val="00275200"/>
    <w:rsid w:val="00275239"/>
    <w:rsid w:val="00277DB1"/>
    <w:rsid w:val="00280500"/>
    <w:rsid w:val="00281C18"/>
    <w:rsid w:val="00282700"/>
    <w:rsid w:val="00282D79"/>
    <w:rsid w:val="00282F40"/>
    <w:rsid w:val="00283E84"/>
    <w:rsid w:val="00285219"/>
    <w:rsid w:val="002868E6"/>
    <w:rsid w:val="00287C20"/>
    <w:rsid w:val="002907BE"/>
    <w:rsid w:val="00290F5A"/>
    <w:rsid w:val="002913E2"/>
    <w:rsid w:val="00291954"/>
    <w:rsid w:val="00293049"/>
    <w:rsid w:val="002951B0"/>
    <w:rsid w:val="002957C3"/>
    <w:rsid w:val="002979E7"/>
    <w:rsid w:val="002A0AE6"/>
    <w:rsid w:val="002A0EC3"/>
    <w:rsid w:val="002A108B"/>
    <w:rsid w:val="002A16B7"/>
    <w:rsid w:val="002A25CD"/>
    <w:rsid w:val="002A27FE"/>
    <w:rsid w:val="002A2B0D"/>
    <w:rsid w:val="002A2B5B"/>
    <w:rsid w:val="002A3FD1"/>
    <w:rsid w:val="002A50A1"/>
    <w:rsid w:val="002A5B54"/>
    <w:rsid w:val="002A713B"/>
    <w:rsid w:val="002A76FC"/>
    <w:rsid w:val="002B05A0"/>
    <w:rsid w:val="002B0642"/>
    <w:rsid w:val="002B0760"/>
    <w:rsid w:val="002B26AC"/>
    <w:rsid w:val="002B2A8B"/>
    <w:rsid w:val="002B4868"/>
    <w:rsid w:val="002B4A86"/>
    <w:rsid w:val="002B4B44"/>
    <w:rsid w:val="002B5506"/>
    <w:rsid w:val="002B5D99"/>
    <w:rsid w:val="002B5EC6"/>
    <w:rsid w:val="002B5FA4"/>
    <w:rsid w:val="002B61E1"/>
    <w:rsid w:val="002B628B"/>
    <w:rsid w:val="002B660E"/>
    <w:rsid w:val="002B732D"/>
    <w:rsid w:val="002B7965"/>
    <w:rsid w:val="002B7C36"/>
    <w:rsid w:val="002B7CFA"/>
    <w:rsid w:val="002C036C"/>
    <w:rsid w:val="002C12E7"/>
    <w:rsid w:val="002C1400"/>
    <w:rsid w:val="002C1C52"/>
    <w:rsid w:val="002C273B"/>
    <w:rsid w:val="002C2C8B"/>
    <w:rsid w:val="002C3AA8"/>
    <w:rsid w:val="002C5B40"/>
    <w:rsid w:val="002D0EC3"/>
    <w:rsid w:val="002D2177"/>
    <w:rsid w:val="002D28AB"/>
    <w:rsid w:val="002D32B1"/>
    <w:rsid w:val="002D4187"/>
    <w:rsid w:val="002D506C"/>
    <w:rsid w:val="002D7594"/>
    <w:rsid w:val="002E033C"/>
    <w:rsid w:val="002E0461"/>
    <w:rsid w:val="002E1D3D"/>
    <w:rsid w:val="002E4E45"/>
    <w:rsid w:val="002E5890"/>
    <w:rsid w:val="002E5F05"/>
    <w:rsid w:val="002E6B86"/>
    <w:rsid w:val="002E6FC4"/>
    <w:rsid w:val="002E6FCE"/>
    <w:rsid w:val="002E746A"/>
    <w:rsid w:val="002E7E20"/>
    <w:rsid w:val="002F01F8"/>
    <w:rsid w:val="002F08F7"/>
    <w:rsid w:val="002F125B"/>
    <w:rsid w:val="002F1F00"/>
    <w:rsid w:val="002F1F2E"/>
    <w:rsid w:val="002F24FA"/>
    <w:rsid w:val="002F3218"/>
    <w:rsid w:val="002F38F4"/>
    <w:rsid w:val="002F39C9"/>
    <w:rsid w:val="002F5EFA"/>
    <w:rsid w:val="002F647A"/>
    <w:rsid w:val="002F6B26"/>
    <w:rsid w:val="002F6EC0"/>
    <w:rsid w:val="0030156C"/>
    <w:rsid w:val="0030257D"/>
    <w:rsid w:val="0030280B"/>
    <w:rsid w:val="00302EBD"/>
    <w:rsid w:val="00302F2A"/>
    <w:rsid w:val="00303670"/>
    <w:rsid w:val="00303978"/>
    <w:rsid w:val="00303D41"/>
    <w:rsid w:val="003044EC"/>
    <w:rsid w:val="0030531F"/>
    <w:rsid w:val="003055F4"/>
    <w:rsid w:val="00305D7F"/>
    <w:rsid w:val="0030660E"/>
    <w:rsid w:val="00307077"/>
    <w:rsid w:val="003105A5"/>
    <w:rsid w:val="003113CE"/>
    <w:rsid w:val="00311D1F"/>
    <w:rsid w:val="003123C7"/>
    <w:rsid w:val="00312F93"/>
    <w:rsid w:val="00313741"/>
    <w:rsid w:val="00313E23"/>
    <w:rsid w:val="00315538"/>
    <w:rsid w:val="0031663A"/>
    <w:rsid w:val="00316DE2"/>
    <w:rsid w:val="0032052A"/>
    <w:rsid w:val="0032182B"/>
    <w:rsid w:val="00322BB7"/>
    <w:rsid w:val="00322EE2"/>
    <w:rsid w:val="003234E8"/>
    <w:rsid w:val="003242E0"/>
    <w:rsid w:val="00324ADE"/>
    <w:rsid w:val="00324D45"/>
    <w:rsid w:val="00325C60"/>
    <w:rsid w:val="00326157"/>
    <w:rsid w:val="003263C6"/>
    <w:rsid w:val="00326933"/>
    <w:rsid w:val="00326FAE"/>
    <w:rsid w:val="00327D24"/>
    <w:rsid w:val="00330A46"/>
    <w:rsid w:val="00330D74"/>
    <w:rsid w:val="00331880"/>
    <w:rsid w:val="00331A6D"/>
    <w:rsid w:val="00332455"/>
    <w:rsid w:val="00332A47"/>
    <w:rsid w:val="00333212"/>
    <w:rsid w:val="00333DC1"/>
    <w:rsid w:val="00334086"/>
    <w:rsid w:val="00334817"/>
    <w:rsid w:val="00334F86"/>
    <w:rsid w:val="00335E1D"/>
    <w:rsid w:val="003362DB"/>
    <w:rsid w:val="003369C1"/>
    <w:rsid w:val="003414BF"/>
    <w:rsid w:val="00341900"/>
    <w:rsid w:val="00342563"/>
    <w:rsid w:val="00342C75"/>
    <w:rsid w:val="00342CEC"/>
    <w:rsid w:val="0034332D"/>
    <w:rsid w:val="00343676"/>
    <w:rsid w:val="003440F7"/>
    <w:rsid w:val="003447DD"/>
    <w:rsid w:val="003449E5"/>
    <w:rsid w:val="003457CE"/>
    <w:rsid w:val="00345A8F"/>
    <w:rsid w:val="00345BC1"/>
    <w:rsid w:val="00345D55"/>
    <w:rsid w:val="003473D9"/>
    <w:rsid w:val="00351274"/>
    <w:rsid w:val="003513DB"/>
    <w:rsid w:val="00354CBB"/>
    <w:rsid w:val="00354F57"/>
    <w:rsid w:val="00356573"/>
    <w:rsid w:val="00356E87"/>
    <w:rsid w:val="0036090E"/>
    <w:rsid w:val="00360BC0"/>
    <w:rsid w:val="003611C1"/>
    <w:rsid w:val="0036166F"/>
    <w:rsid w:val="00361BAB"/>
    <w:rsid w:val="00361C1D"/>
    <w:rsid w:val="00363685"/>
    <w:rsid w:val="00363F24"/>
    <w:rsid w:val="00364C4D"/>
    <w:rsid w:val="003650FA"/>
    <w:rsid w:val="00370022"/>
    <w:rsid w:val="0037040B"/>
    <w:rsid w:val="00370C7C"/>
    <w:rsid w:val="00370DF0"/>
    <w:rsid w:val="00371366"/>
    <w:rsid w:val="003716BA"/>
    <w:rsid w:val="003726BE"/>
    <w:rsid w:val="003726FC"/>
    <w:rsid w:val="00372749"/>
    <w:rsid w:val="00372996"/>
    <w:rsid w:val="003743C6"/>
    <w:rsid w:val="0037455D"/>
    <w:rsid w:val="00375602"/>
    <w:rsid w:val="0037565E"/>
    <w:rsid w:val="0037728F"/>
    <w:rsid w:val="00377330"/>
    <w:rsid w:val="00377841"/>
    <w:rsid w:val="00377F30"/>
    <w:rsid w:val="0038431C"/>
    <w:rsid w:val="0038462A"/>
    <w:rsid w:val="003854FB"/>
    <w:rsid w:val="00385DCF"/>
    <w:rsid w:val="00385E91"/>
    <w:rsid w:val="003860B8"/>
    <w:rsid w:val="00391F5C"/>
    <w:rsid w:val="00393A40"/>
    <w:rsid w:val="00394E6C"/>
    <w:rsid w:val="00395CAB"/>
    <w:rsid w:val="00396048"/>
    <w:rsid w:val="0039614B"/>
    <w:rsid w:val="003961D3"/>
    <w:rsid w:val="00396D10"/>
    <w:rsid w:val="003970EF"/>
    <w:rsid w:val="00397F2B"/>
    <w:rsid w:val="003A1C9D"/>
    <w:rsid w:val="003A489B"/>
    <w:rsid w:val="003A5511"/>
    <w:rsid w:val="003A6850"/>
    <w:rsid w:val="003B026E"/>
    <w:rsid w:val="003B0520"/>
    <w:rsid w:val="003B20B1"/>
    <w:rsid w:val="003B2391"/>
    <w:rsid w:val="003B2665"/>
    <w:rsid w:val="003B289D"/>
    <w:rsid w:val="003B3366"/>
    <w:rsid w:val="003B35AD"/>
    <w:rsid w:val="003B36D8"/>
    <w:rsid w:val="003B3D41"/>
    <w:rsid w:val="003B3F4F"/>
    <w:rsid w:val="003B4B37"/>
    <w:rsid w:val="003B55B3"/>
    <w:rsid w:val="003B6281"/>
    <w:rsid w:val="003B6F2F"/>
    <w:rsid w:val="003C0ECC"/>
    <w:rsid w:val="003C1165"/>
    <w:rsid w:val="003C11BC"/>
    <w:rsid w:val="003C19CC"/>
    <w:rsid w:val="003C2715"/>
    <w:rsid w:val="003C27BC"/>
    <w:rsid w:val="003C48AC"/>
    <w:rsid w:val="003C53A6"/>
    <w:rsid w:val="003C6C5D"/>
    <w:rsid w:val="003D0A55"/>
    <w:rsid w:val="003D0B50"/>
    <w:rsid w:val="003D2232"/>
    <w:rsid w:val="003D2AA1"/>
    <w:rsid w:val="003D4676"/>
    <w:rsid w:val="003D6389"/>
    <w:rsid w:val="003D64CC"/>
    <w:rsid w:val="003D7F5D"/>
    <w:rsid w:val="003E187A"/>
    <w:rsid w:val="003E1D91"/>
    <w:rsid w:val="003E1EE0"/>
    <w:rsid w:val="003E2941"/>
    <w:rsid w:val="003E2C66"/>
    <w:rsid w:val="003E3072"/>
    <w:rsid w:val="003E6835"/>
    <w:rsid w:val="003E6897"/>
    <w:rsid w:val="003E6AA9"/>
    <w:rsid w:val="003E7A55"/>
    <w:rsid w:val="003E7D3B"/>
    <w:rsid w:val="003F031D"/>
    <w:rsid w:val="003F0EAF"/>
    <w:rsid w:val="003F158A"/>
    <w:rsid w:val="003F2B51"/>
    <w:rsid w:val="003F35E5"/>
    <w:rsid w:val="003F3BE8"/>
    <w:rsid w:val="003F43FF"/>
    <w:rsid w:val="003F4A46"/>
    <w:rsid w:val="003F4E0D"/>
    <w:rsid w:val="003F52CB"/>
    <w:rsid w:val="003F610A"/>
    <w:rsid w:val="003F6319"/>
    <w:rsid w:val="003F6BB2"/>
    <w:rsid w:val="003F747E"/>
    <w:rsid w:val="0040125B"/>
    <w:rsid w:val="004016C2"/>
    <w:rsid w:val="0040222C"/>
    <w:rsid w:val="00402290"/>
    <w:rsid w:val="004028EA"/>
    <w:rsid w:val="004051B8"/>
    <w:rsid w:val="00405248"/>
    <w:rsid w:val="004054CB"/>
    <w:rsid w:val="00405AAA"/>
    <w:rsid w:val="004076E8"/>
    <w:rsid w:val="0041082E"/>
    <w:rsid w:val="00410E6A"/>
    <w:rsid w:val="00411019"/>
    <w:rsid w:val="0041130B"/>
    <w:rsid w:val="004119E6"/>
    <w:rsid w:val="00411CF9"/>
    <w:rsid w:val="00411F92"/>
    <w:rsid w:val="004126E6"/>
    <w:rsid w:val="00413AEF"/>
    <w:rsid w:val="00414023"/>
    <w:rsid w:val="004140A4"/>
    <w:rsid w:val="004143AD"/>
    <w:rsid w:val="00414561"/>
    <w:rsid w:val="004146CA"/>
    <w:rsid w:val="00415414"/>
    <w:rsid w:val="0041548E"/>
    <w:rsid w:val="00415715"/>
    <w:rsid w:val="00415F1F"/>
    <w:rsid w:val="00416A86"/>
    <w:rsid w:val="0041739A"/>
    <w:rsid w:val="004207E8"/>
    <w:rsid w:val="0042119C"/>
    <w:rsid w:val="0042168D"/>
    <w:rsid w:val="00421766"/>
    <w:rsid w:val="00422DC6"/>
    <w:rsid w:val="00423258"/>
    <w:rsid w:val="004233D0"/>
    <w:rsid w:val="004235F6"/>
    <w:rsid w:val="00423776"/>
    <w:rsid w:val="00424ACD"/>
    <w:rsid w:val="0042540E"/>
    <w:rsid w:val="00425E25"/>
    <w:rsid w:val="0043013D"/>
    <w:rsid w:val="004301CC"/>
    <w:rsid w:val="004309A1"/>
    <w:rsid w:val="00431CB6"/>
    <w:rsid w:val="00432146"/>
    <w:rsid w:val="004321B1"/>
    <w:rsid w:val="00432715"/>
    <w:rsid w:val="00433BEF"/>
    <w:rsid w:val="00434D3A"/>
    <w:rsid w:val="0043548C"/>
    <w:rsid w:val="00436A2A"/>
    <w:rsid w:val="0043773B"/>
    <w:rsid w:val="00440A0E"/>
    <w:rsid w:val="004413F0"/>
    <w:rsid w:val="00441977"/>
    <w:rsid w:val="004441F4"/>
    <w:rsid w:val="00444602"/>
    <w:rsid w:val="004446C1"/>
    <w:rsid w:val="004450C9"/>
    <w:rsid w:val="004454FE"/>
    <w:rsid w:val="00446487"/>
    <w:rsid w:val="004503FE"/>
    <w:rsid w:val="004513D0"/>
    <w:rsid w:val="00451B4B"/>
    <w:rsid w:val="00451E85"/>
    <w:rsid w:val="004533E7"/>
    <w:rsid w:val="00453A40"/>
    <w:rsid w:val="0045430A"/>
    <w:rsid w:val="004549B2"/>
    <w:rsid w:val="00455040"/>
    <w:rsid w:val="00455F1D"/>
    <w:rsid w:val="00456708"/>
    <w:rsid w:val="00457305"/>
    <w:rsid w:val="00457B34"/>
    <w:rsid w:val="00457FBF"/>
    <w:rsid w:val="0046061C"/>
    <w:rsid w:val="00460FBC"/>
    <w:rsid w:val="00461CCC"/>
    <w:rsid w:val="00463F2B"/>
    <w:rsid w:val="004645F7"/>
    <w:rsid w:val="00465766"/>
    <w:rsid w:val="0046588D"/>
    <w:rsid w:val="00466030"/>
    <w:rsid w:val="00467FA9"/>
    <w:rsid w:val="00470ABB"/>
    <w:rsid w:val="00470AC7"/>
    <w:rsid w:val="004716C7"/>
    <w:rsid w:val="00471A5A"/>
    <w:rsid w:val="00471FD6"/>
    <w:rsid w:val="00472D35"/>
    <w:rsid w:val="00473BD2"/>
    <w:rsid w:val="00473D40"/>
    <w:rsid w:val="00474DB4"/>
    <w:rsid w:val="00474E07"/>
    <w:rsid w:val="0047548A"/>
    <w:rsid w:val="00477307"/>
    <w:rsid w:val="00477565"/>
    <w:rsid w:val="00477F64"/>
    <w:rsid w:val="00480316"/>
    <w:rsid w:val="004807CF"/>
    <w:rsid w:val="0048086A"/>
    <w:rsid w:val="00481FCD"/>
    <w:rsid w:val="00482D56"/>
    <w:rsid w:val="00484047"/>
    <w:rsid w:val="004842F6"/>
    <w:rsid w:val="0048633E"/>
    <w:rsid w:val="00487A89"/>
    <w:rsid w:val="0049293B"/>
    <w:rsid w:val="00492E7D"/>
    <w:rsid w:val="004942D1"/>
    <w:rsid w:val="004942E1"/>
    <w:rsid w:val="00495188"/>
    <w:rsid w:val="00496545"/>
    <w:rsid w:val="00496BA1"/>
    <w:rsid w:val="00497F3A"/>
    <w:rsid w:val="004A0EE1"/>
    <w:rsid w:val="004A127C"/>
    <w:rsid w:val="004A1381"/>
    <w:rsid w:val="004A1EF3"/>
    <w:rsid w:val="004A1F84"/>
    <w:rsid w:val="004A26EC"/>
    <w:rsid w:val="004A364A"/>
    <w:rsid w:val="004A3832"/>
    <w:rsid w:val="004A38A7"/>
    <w:rsid w:val="004A3985"/>
    <w:rsid w:val="004A3BBF"/>
    <w:rsid w:val="004A6797"/>
    <w:rsid w:val="004A733E"/>
    <w:rsid w:val="004A7849"/>
    <w:rsid w:val="004A7F16"/>
    <w:rsid w:val="004B0829"/>
    <w:rsid w:val="004B0FC3"/>
    <w:rsid w:val="004B1FF3"/>
    <w:rsid w:val="004B30DB"/>
    <w:rsid w:val="004B412D"/>
    <w:rsid w:val="004B41A9"/>
    <w:rsid w:val="004B5AFC"/>
    <w:rsid w:val="004B5DC0"/>
    <w:rsid w:val="004B6742"/>
    <w:rsid w:val="004B6C5D"/>
    <w:rsid w:val="004B7322"/>
    <w:rsid w:val="004B7672"/>
    <w:rsid w:val="004C12F7"/>
    <w:rsid w:val="004C150F"/>
    <w:rsid w:val="004C1561"/>
    <w:rsid w:val="004C1B2D"/>
    <w:rsid w:val="004C2114"/>
    <w:rsid w:val="004C2132"/>
    <w:rsid w:val="004C24F9"/>
    <w:rsid w:val="004C3B32"/>
    <w:rsid w:val="004C4AD7"/>
    <w:rsid w:val="004C55E1"/>
    <w:rsid w:val="004C6263"/>
    <w:rsid w:val="004C7266"/>
    <w:rsid w:val="004D07B1"/>
    <w:rsid w:val="004D0D54"/>
    <w:rsid w:val="004D18C8"/>
    <w:rsid w:val="004D2768"/>
    <w:rsid w:val="004D2DD0"/>
    <w:rsid w:val="004D348C"/>
    <w:rsid w:val="004D3DBF"/>
    <w:rsid w:val="004D3E4E"/>
    <w:rsid w:val="004D4E29"/>
    <w:rsid w:val="004D4FC8"/>
    <w:rsid w:val="004D6283"/>
    <w:rsid w:val="004D7922"/>
    <w:rsid w:val="004E1299"/>
    <w:rsid w:val="004E1D3B"/>
    <w:rsid w:val="004E20C0"/>
    <w:rsid w:val="004E2917"/>
    <w:rsid w:val="004E2CC1"/>
    <w:rsid w:val="004E30F7"/>
    <w:rsid w:val="004E586D"/>
    <w:rsid w:val="004E601F"/>
    <w:rsid w:val="004E6451"/>
    <w:rsid w:val="004E64EC"/>
    <w:rsid w:val="004E6AC8"/>
    <w:rsid w:val="004E6D1A"/>
    <w:rsid w:val="004E74D2"/>
    <w:rsid w:val="004E7856"/>
    <w:rsid w:val="004E7919"/>
    <w:rsid w:val="004F02CD"/>
    <w:rsid w:val="004F066C"/>
    <w:rsid w:val="004F1C29"/>
    <w:rsid w:val="004F1CCC"/>
    <w:rsid w:val="004F24F2"/>
    <w:rsid w:val="004F2D2D"/>
    <w:rsid w:val="004F3AEA"/>
    <w:rsid w:val="004F438F"/>
    <w:rsid w:val="004F4762"/>
    <w:rsid w:val="004F4D4C"/>
    <w:rsid w:val="004F58BC"/>
    <w:rsid w:val="004F593B"/>
    <w:rsid w:val="004F59A8"/>
    <w:rsid w:val="004F7286"/>
    <w:rsid w:val="004F7932"/>
    <w:rsid w:val="004F7D5E"/>
    <w:rsid w:val="00500D7B"/>
    <w:rsid w:val="00500EED"/>
    <w:rsid w:val="00501251"/>
    <w:rsid w:val="00501769"/>
    <w:rsid w:val="0050190E"/>
    <w:rsid w:val="00501B6B"/>
    <w:rsid w:val="00501DA3"/>
    <w:rsid w:val="00501E2B"/>
    <w:rsid w:val="005028D1"/>
    <w:rsid w:val="00502A74"/>
    <w:rsid w:val="005031BE"/>
    <w:rsid w:val="0050382A"/>
    <w:rsid w:val="00506245"/>
    <w:rsid w:val="0050767B"/>
    <w:rsid w:val="005102A9"/>
    <w:rsid w:val="00510720"/>
    <w:rsid w:val="0051122D"/>
    <w:rsid w:val="0051130E"/>
    <w:rsid w:val="005127B6"/>
    <w:rsid w:val="005127B8"/>
    <w:rsid w:val="00512BF3"/>
    <w:rsid w:val="00512CE3"/>
    <w:rsid w:val="00512D5B"/>
    <w:rsid w:val="00512E70"/>
    <w:rsid w:val="00512ECC"/>
    <w:rsid w:val="005136D4"/>
    <w:rsid w:val="00514DA2"/>
    <w:rsid w:val="0051580D"/>
    <w:rsid w:val="00517138"/>
    <w:rsid w:val="00517A9A"/>
    <w:rsid w:val="005218E6"/>
    <w:rsid w:val="00521FBC"/>
    <w:rsid w:val="005227E1"/>
    <w:rsid w:val="00523C10"/>
    <w:rsid w:val="00525416"/>
    <w:rsid w:val="005259A8"/>
    <w:rsid w:val="00526696"/>
    <w:rsid w:val="00527924"/>
    <w:rsid w:val="00527A73"/>
    <w:rsid w:val="00527F03"/>
    <w:rsid w:val="005304ED"/>
    <w:rsid w:val="00532653"/>
    <w:rsid w:val="00532B42"/>
    <w:rsid w:val="00533416"/>
    <w:rsid w:val="0053346D"/>
    <w:rsid w:val="005343F4"/>
    <w:rsid w:val="00534526"/>
    <w:rsid w:val="00534EDC"/>
    <w:rsid w:val="00535110"/>
    <w:rsid w:val="0053526F"/>
    <w:rsid w:val="00535C0F"/>
    <w:rsid w:val="00535FD6"/>
    <w:rsid w:val="00536379"/>
    <w:rsid w:val="005365F8"/>
    <w:rsid w:val="005378EE"/>
    <w:rsid w:val="00540371"/>
    <w:rsid w:val="00541E57"/>
    <w:rsid w:val="0054244F"/>
    <w:rsid w:val="00542EA1"/>
    <w:rsid w:val="00543147"/>
    <w:rsid w:val="005448A2"/>
    <w:rsid w:val="00545A34"/>
    <w:rsid w:val="005463DA"/>
    <w:rsid w:val="00547012"/>
    <w:rsid w:val="00550034"/>
    <w:rsid w:val="00552720"/>
    <w:rsid w:val="0055311D"/>
    <w:rsid w:val="0055678D"/>
    <w:rsid w:val="00557289"/>
    <w:rsid w:val="0055773D"/>
    <w:rsid w:val="00557A9C"/>
    <w:rsid w:val="00560019"/>
    <w:rsid w:val="005600C9"/>
    <w:rsid w:val="0056095D"/>
    <w:rsid w:val="00561138"/>
    <w:rsid w:val="005617CF"/>
    <w:rsid w:val="005620E4"/>
    <w:rsid w:val="005636AD"/>
    <w:rsid w:val="00564E57"/>
    <w:rsid w:val="005660AD"/>
    <w:rsid w:val="005665B7"/>
    <w:rsid w:val="0056667C"/>
    <w:rsid w:val="00566E78"/>
    <w:rsid w:val="00567854"/>
    <w:rsid w:val="00570016"/>
    <w:rsid w:val="00570062"/>
    <w:rsid w:val="0057176E"/>
    <w:rsid w:val="005729A5"/>
    <w:rsid w:val="00573689"/>
    <w:rsid w:val="00573B14"/>
    <w:rsid w:val="0057425F"/>
    <w:rsid w:val="0057565E"/>
    <w:rsid w:val="00575822"/>
    <w:rsid w:val="005773CA"/>
    <w:rsid w:val="00577DB9"/>
    <w:rsid w:val="005814BE"/>
    <w:rsid w:val="005822C8"/>
    <w:rsid w:val="0058283A"/>
    <w:rsid w:val="00582FFD"/>
    <w:rsid w:val="00583C8D"/>
    <w:rsid w:val="00583CF3"/>
    <w:rsid w:val="00584723"/>
    <w:rsid w:val="00584AFD"/>
    <w:rsid w:val="0058588F"/>
    <w:rsid w:val="00586333"/>
    <w:rsid w:val="0058706E"/>
    <w:rsid w:val="00587283"/>
    <w:rsid w:val="005879D6"/>
    <w:rsid w:val="005902ED"/>
    <w:rsid w:val="00590571"/>
    <w:rsid w:val="0059092E"/>
    <w:rsid w:val="00591A86"/>
    <w:rsid w:val="00591B69"/>
    <w:rsid w:val="0059230C"/>
    <w:rsid w:val="00592D9C"/>
    <w:rsid w:val="005930E2"/>
    <w:rsid w:val="00593991"/>
    <w:rsid w:val="00594D93"/>
    <w:rsid w:val="0059524D"/>
    <w:rsid w:val="005956D6"/>
    <w:rsid w:val="0059597D"/>
    <w:rsid w:val="00595D94"/>
    <w:rsid w:val="00596323"/>
    <w:rsid w:val="005963EA"/>
    <w:rsid w:val="00596897"/>
    <w:rsid w:val="00597A5B"/>
    <w:rsid w:val="005A00AB"/>
    <w:rsid w:val="005A05CB"/>
    <w:rsid w:val="005A1B26"/>
    <w:rsid w:val="005A278B"/>
    <w:rsid w:val="005A2AFE"/>
    <w:rsid w:val="005A399C"/>
    <w:rsid w:val="005A399E"/>
    <w:rsid w:val="005A3BEB"/>
    <w:rsid w:val="005A4671"/>
    <w:rsid w:val="005A5F71"/>
    <w:rsid w:val="005A6750"/>
    <w:rsid w:val="005A6ECC"/>
    <w:rsid w:val="005A779F"/>
    <w:rsid w:val="005B08E6"/>
    <w:rsid w:val="005B098E"/>
    <w:rsid w:val="005B2DB5"/>
    <w:rsid w:val="005B2F70"/>
    <w:rsid w:val="005B593C"/>
    <w:rsid w:val="005B609C"/>
    <w:rsid w:val="005B658D"/>
    <w:rsid w:val="005B6C4E"/>
    <w:rsid w:val="005B735B"/>
    <w:rsid w:val="005B78EE"/>
    <w:rsid w:val="005B7EEB"/>
    <w:rsid w:val="005C0519"/>
    <w:rsid w:val="005C07B7"/>
    <w:rsid w:val="005C0ABA"/>
    <w:rsid w:val="005C0D8A"/>
    <w:rsid w:val="005C47EB"/>
    <w:rsid w:val="005C57D7"/>
    <w:rsid w:val="005C58E7"/>
    <w:rsid w:val="005D0268"/>
    <w:rsid w:val="005D3C54"/>
    <w:rsid w:val="005E0D65"/>
    <w:rsid w:val="005E2DEC"/>
    <w:rsid w:val="005E3EF9"/>
    <w:rsid w:val="005E3FC7"/>
    <w:rsid w:val="005E4BDF"/>
    <w:rsid w:val="005E4D43"/>
    <w:rsid w:val="005E5B47"/>
    <w:rsid w:val="005E6823"/>
    <w:rsid w:val="005E70C6"/>
    <w:rsid w:val="005E76AE"/>
    <w:rsid w:val="005E76DD"/>
    <w:rsid w:val="005E7F21"/>
    <w:rsid w:val="005F07C4"/>
    <w:rsid w:val="005F1119"/>
    <w:rsid w:val="005F1296"/>
    <w:rsid w:val="005F1964"/>
    <w:rsid w:val="005F241C"/>
    <w:rsid w:val="005F2572"/>
    <w:rsid w:val="005F2B5C"/>
    <w:rsid w:val="005F2D2C"/>
    <w:rsid w:val="005F35D4"/>
    <w:rsid w:val="005F4425"/>
    <w:rsid w:val="005F461E"/>
    <w:rsid w:val="005F5938"/>
    <w:rsid w:val="005F597A"/>
    <w:rsid w:val="005F7DE3"/>
    <w:rsid w:val="006025E1"/>
    <w:rsid w:val="00602685"/>
    <w:rsid w:val="00602BAF"/>
    <w:rsid w:val="00602F70"/>
    <w:rsid w:val="00603542"/>
    <w:rsid w:val="00603600"/>
    <w:rsid w:val="00603A33"/>
    <w:rsid w:val="00605316"/>
    <w:rsid w:val="006057F9"/>
    <w:rsid w:val="0060598A"/>
    <w:rsid w:val="006075F5"/>
    <w:rsid w:val="0060768E"/>
    <w:rsid w:val="0061277C"/>
    <w:rsid w:val="006130E2"/>
    <w:rsid w:val="006141AA"/>
    <w:rsid w:val="00614429"/>
    <w:rsid w:val="0061457C"/>
    <w:rsid w:val="0061583D"/>
    <w:rsid w:val="00615A43"/>
    <w:rsid w:val="006162D5"/>
    <w:rsid w:val="00616436"/>
    <w:rsid w:val="00620684"/>
    <w:rsid w:val="0062233B"/>
    <w:rsid w:val="00622591"/>
    <w:rsid w:val="006226F8"/>
    <w:rsid w:val="0062377D"/>
    <w:rsid w:val="00626959"/>
    <w:rsid w:val="006308B7"/>
    <w:rsid w:val="00630D38"/>
    <w:rsid w:val="00632597"/>
    <w:rsid w:val="00632E39"/>
    <w:rsid w:val="00632F30"/>
    <w:rsid w:val="006337D2"/>
    <w:rsid w:val="00635C63"/>
    <w:rsid w:val="00635D8E"/>
    <w:rsid w:val="00637487"/>
    <w:rsid w:val="00637778"/>
    <w:rsid w:val="00637E5C"/>
    <w:rsid w:val="00640D06"/>
    <w:rsid w:val="0064102C"/>
    <w:rsid w:val="006419A3"/>
    <w:rsid w:val="006419FE"/>
    <w:rsid w:val="00642069"/>
    <w:rsid w:val="00642254"/>
    <w:rsid w:val="00642339"/>
    <w:rsid w:val="006425F6"/>
    <w:rsid w:val="00642F67"/>
    <w:rsid w:val="00644576"/>
    <w:rsid w:val="00647AE9"/>
    <w:rsid w:val="00650C55"/>
    <w:rsid w:val="0065204A"/>
    <w:rsid w:val="0065276F"/>
    <w:rsid w:val="00652B52"/>
    <w:rsid w:val="00653387"/>
    <w:rsid w:val="00653ABF"/>
    <w:rsid w:val="00653C95"/>
    <w:rsid w:val="006553AF"/>
    <w:rsid w:val="00655D80"/>
    <w:rsid w:val="00655E1E"/>
    <w:rsid w:val="006563E3"/>
    <w:rsid w:val="00656A6C"/>
    <w:rsid w:val="00656EE7"/>
    <w:rsid w:val="00660226"/>
    <w:rsid w:val="00661CD0"/>
    <w:rsid w:val="00662478"/>
    <w:rsid w:val="0066253E"/>
    <w:rsid w:val="00663244"/>
    <w:rsid w:val="00663449"/>
    <w:rsid w:val="00663A3E"/>
    <w:rsid w:val="006647EB"/>
    <w:rsid w:val="006663E8"/>
    <w:rsid w:val="0066680B"/>
    <w:rsid w:val="0066702F"/>
    <w:rsid w:val="00667C23"/>
    <w:rsid w:val="00671627"/>
    <w:rsid w:val="00671E77"/>
    <w:rsid w:val="0067352B"/>
    <w:rsid w:val="00674E51"/>
    <w:rsid w:val="0067534B"/>
    <w:rsid w:val="00675C98"/>
    <w:rsid w:val="00675E41"/>
    <w:rsid w:val="006763EA"/>
    <w:rsid w:val="00677BFC"/>
    <w:rsid w:val="00680C4C"/>
    <w:rsid w:val="00681086"/>
    <w:rsid w:val="00681904"/>
    <w:rsid w:val="006835C2"/>
    <w:rsid w:val="00683DA3"/>
    <w:rsid w:val="00684590"/>
    <w:rsid w:val="00684C3B"/>
    <w:rsid w:val="006855EE"/>
    <w:rsid w:val="00685663"/>
    <w:rsid w:val="00686864"/>
    <w:rsid w:val="006875FB"/>
    <w:rsid w:val="0069178D"/>
    <w:rsid w:val="00691973"/>
    <w:rsid w:val="00691E1B"/>
    <w:rsid w:val="006925C1"/>
    <w:rsid w:val="00692E23"/>
    <w:rsid w:val="00692FEA"/>
    <w:rsid w:val="00693059"/>
    <w:rsid w:val="006939C1"/>
    <w:rsid w:val="006952FA"/>
    <w:rsid w:val="0069542B"/>
    <w:rsid w:val="00696AB9"/>
    <w:rsid w:val="00696FA1"/>
    <w:rsid w:val="00697E2B"/>
    <w:rsid w:val="006A01C3"/>
    <w:rsid w:val="006A0657"/>
    <w:rsid w:val="006A0A57"/>
    <w:rsid w:val="006A2917"/>
    <w:rsid w:val="006A2A2F"/>
    <w:rsid w:val="006A31AC"/>
    <w:rsid w:val="006A3B01"/>
    <w:rsid w:val="006A3F9A"/>
    <w:rsid w:val="006A4414"/>
    <w:rsid w:val="006A4637"/>
    <w:rsid w:val="006A4AC0"/>
    <w:rsid w:val="006A5794"/>
    <w:rsid w:val="006A615B"/>
    <w:rsid w:val="006A6A26"/>
    <w:rsid w:val="006A7725"/>
    <w:rsid w:val="006A7727"/>
    <w:rsid w:val="006B06AC"/>
    <w:rsid w:val="006B0A73"/>
    <w:rsid w:val="006B11E1"/>
    <w:rsid w:val="006B252A"/>
    <w:rsid w:val="006B25A7"/>
    <w:rsid w:val="006B2C43"/>
    <w:rsid w:val="006B36FD"/>
    <w:rsid w:val="006B3A86"/>
    <w:rsid w:val="006B4E47"/>
    <w:rsid w:val="006B5993"/>
    <w:rsid w:val="006B74A4"/>
    <w:rsid w:val="006B7B0D"/>
    <w:rsid w:val="006C0A18"/>
    <w:rsid w:val="006C0F08"/>
    <w:rsid w:val="006C116B"/>
    <w:rsid w:val="006C134E"/>
    <w:rsid w:val="006C17E7"/>
    <w:rsid w:val="006C1F8C"/>
    <w:rsid w:val="006C3838"/>
    <w:rsid w:val="006C41A7"/>
    <w:rsid w:val="006C6D8F"/>
    <w:rsid w:val="006C7E5E"/>
    <w:rsid w:val="006D00BA"/>
    <w:rsid w:val="006D07F1"/>
    <w:rsid w:val="006D1C79"/>
    <w:rsid w:val="006D208C"/>
    <w:rsid w:val="006D2E4F"/>
    <w:rsid w:val="006D3363"/>
    <w:rsid w:val="006D491D"/>
    <w:rsid w:val="006D65BB"/>
    <w:rsid w:val="006D68B0"/>
    <w:rsid w:val="006D6ECC"/>
    <w:rsid w:val="006E0787"/>
    <w:rsid w:val="006E144A"/>
    <w:rsid w:val="006E4483"/>
    <w:rsid w:val="006E5D20"/>
    <w:rsid w:val="006E6115"/>
    <w:rsid w:val="006E761A"/>
    <w:rsid w:val="006E7F7B"/>
    <w:rsid w:val="006F2C2A"/>
    <w:rsid w:val="006F2DFC"/>
    <w:rsid w:val="006F2DFF"/>
    <w:rsid w:val="006F38EB"/>
    <w:rsid w:val="006F3B40"/>
    <w:rsid w:val="006F3C06"/>
    <w:rsid w:val="006F533E"/>
    <w:rsid w:val="006F5709"/>
    <w:rsid w:val="006F58BA"/>
    <w:rsid w:val="006F6313"/>
    <w:rsid w:val="006F6D48"/>
    <w:rsid w:val="006F750C"/>
    <w:rsid w:val="006F7F33"/>
    <w:rsid w:val="007014F4"/>
    <w:rsid w:val="00701522"/>
    <w:rsid w:val="0070205A"/>
    <w:rsid w:val="00702ECF"/>
    <w:rsid w:val="007054C1"/>
    <w:rsid w:val="00705B2B"/>
    <w:rsid w:val="00706534"/>
    <w:rsid w:val="007066F1"/>
    <w:rsid w:val="00706BAB"/>
    <w:rsid w:val="00707C32"/>
    <w:rsid w:val="007103AC"/>
    <w:rsid w:val="00710FC3"/>
    <w:rsid w:val="0071268A"/>
    <w:rsid w:val="007144A7"/>
    <w:rsid w:val="00714766"/>
    <w:rsid w:val="0071565E"/>
    <w:rsid w:val="00715E13"/>
    <w:rsid w:val="0071689B"/>
    <w:rsid w:val="00716ACE"/>
    <w:rsid w:val="00716C20"/>
    <w:rsid w:val="00716EAB"/>
    <w:rsid w:val="00716EC7"/>
    <w:rsid w:val="00717948"/>
    <w:rsid w:val="00717CA2"/>
    <w:rsid w:val="0072066A"/>
    <w:rsid w:val="00720B2B"/>
    <w:rsid w:val="00723BE8"/>
    <w:rsid w:val="007244F1"/>
    <w:rsid w:val="00724B41"/>
    <w:rsid w:val="00725A2E"/>
    <w:rsid w:val="00725EA6"/>
    <w:rsid w:val="007265C5"/>
    <w:rsid w:val="00727AFD"/>
    <w:rsid w:val="00730F6E"/>
    <w:rsid w:val="00730FF5"/>
    <w:rsid w:val="007314D0"/>
    <w:rsid w:val="007319F3"/>
    <w:rsid w:val="00732379"/>
    <w:rsid w:val="00732A84"/>
    <w:rsid w:val="007333ED"/>
    <w:rsid w:val="00733416"/>
    <w:rsid w:val="00733D10"/>
    <w:rsid w:val="00734530"/>
    <w:rsid w:val="00734A83"/>
    <w:rsid w:val="007350D0"/>
    <w:rsid w:val="00735A3A"/>
    <w:rsid w:val="00737074"/>
    <w:rsid w:val="00737AE5"/>
    <w:rsid w:val="007406A1"/>
    <w:rsid w:val="00740C36"/>
    <w:rsid w:val="00741B92"/>
    <w:rsid w:val="0074222B"/>
    <w:rsid w:val="00742B3C"/>
    <w:rsid w:val="00743BA1"/>
    <w:rsid w:val="0074411F"/>
    <w:rsid w:val="00744448"/>
    <w:rsid w:val="0074472B"/>
    <w:rsid w:val="00745966"/>
    <w:rsid w:val="00747EB8"/>
    <w:rsid w:val="007502FF"/>
    <w:rsid w:val="0075079F"/>
    <w:rsid w:val="00750BFD"/>
    <w:rsid w:val="00750C3A"/>
    <w:rsid w:val="00751315"/>
    <w:rsid w:val="00751C39"/>
    <w:rsid w:val="0075552F"/>
    <w:rsid w:val="007556A2"/>
    <w:rsid w:val="00755EF6"/>
    <w:rsid w:val="007560BE"/>
    <w:rsid w:val="0075702E"/>
    <w:rsid w:val="0075737D"/>
    <w:rsid w:val="00757504"/>
    <w:rsid w:val="00757572"/>
    <w:rsid w:val="00757AD3"/>
    <w:rsid w:val="00765614"/>
    <w:rsid w:val="0076585F"/>
    <w:rsid w:val="007658BB"/>
    <w:rsid w:val="00766551"/>
    <w:rsid w:val="007702B4"/>
    <w:rsid w:val="00770384"/>
    <w:rsid w:val="007719F0"/>
    <w:rsid w:val="00771FF4"/>
    <w:rsid w:val="007724CA"/>
    <w:rsid w:val="00773CF4"/>
    <w:rsid w:val="007749AB"/>
    <w:rsid w:val="007759F5"/>
    <w:rsid w:val="00775CA7"/>
    <w:rsid w:val="00776535"/>
    <w:rsid w:val="0077696F"/>
    <w:rsid w:val="00776D1F"/>
    <w:rsid w:val="00776DA8"/>
    <w:rsid w:val="0077729B"/>
    <w:rsid w:val="00777B75"/>
    <w:rsid w:val="007822E8"/>
    <w:rsid w:val="00782723"/>
    <w:rsid w:val="00783B30"/>
    <w:rsid w:val="00784548"/>
    <w:rsid w:val="00785966"/>
    <w:rsid w:val="00786CFE"/>
    <w:rsid w:val="00787581"/>
    <w:rsid w:val="00787838"/>
    <w:rsid w:val="0078795E"/>
    <w:rsid w:val="00790C0F"/>
    <w:rsid w:val="00790E25"/>
    <w:rsid w:val="00791E9D"/>
    <w:rsid w:val="00792910"/>
    <w:rsid w:val="0079356A"/>
    <w:rsid w:val="00793644"/>
    <w:rsid w:val="007946B6"/>
    <w:rsid w:val="00796640"/>
    <w:rsid w:val="00796BA6"/>
    <w:rsid w:val="00796CA1"/>
    <w:rsid w:val="00797EF9"/>
    <w:rsid w:val="007A05E3"/>
    <w:rsid w:val="007A0CC8"/>
    <w:rsid w:val="007A4E2A"/>
    <w:rsid w:val="007A4E47"/>
    <w:rsid w:val="007A572B"/>
    <w:rsid w:val="007A58E3"/>
    <w:rsid w:val="007A748F"/>
    <w:rsid w:val="007B0731"/>
    <w:rsid w:val="007B152B"/>
    <w:rsid w:val="007B3C25"/>
    <w:rsid w:val="007B4E7B"/>
    <w:rsid w:val="007B5AEF"/>
    <w:rsid w:val="007C0904"/>
    <w:rsid w:val="007C0F1E"/>
    <w:rsid w:val="007C1D57"/>
    <w:rsid w:val="007C30B7"/>
    <w:rsid w:val="007C31CB"/>
    <w:rsid w:val="007C374C"/>
    <w:rsid w:val="007C3B7B"/>
    <w:rsid w:val="007C3F15"/>
    <w:rsid w:val="007C4296"/>
    <w:rsid w:val="007C4326"/>
    <w:rsid w:val="007C61F7"/>
    <w:rsid w:val="007C6ABD"/>
    <w:rsid w:val="007C6D25"/>
    <w:rsid w:val="007C6E0A"/>
    <w:rsid w:val="007C7263"/>
    <w:rsid w:val="007D0499"/>
    <w:rsid w:val="007D0ACE"/>
    <w:rsid w:val="007D2691"/>
    <w:rsid w:val="007D2A80"/>
    <w:rsid w:val="007D3315"/>
    <w:rsid w:val="007D6D77"/>
    <w:rsid w:val="007E005F"/>
    <w:rsid w:val="007E0C1C"/>
    <w:rsid w:val="007E2472"/>
    <w:rsid w:val="007E2BA0"/>
    <w:rsid w:val="007E342C"/>
    <w:rsid w:val="007E36B8"/>
    <w:rsid w:val="007E42ED"/>
    <w:rsid w:val="007E438F"/>
    <w:rsid w:val="007E592A"/>
    <w:rsid w:val="007E66BD"/>
    <w:rsid w:val="007E7258"/>
    <w:rsid w:val="007E78D2"/>
    <w:rsid w:val="007E7B56"/>
    <w:rsid w:val="007E7E12"/>
    <w:rsid w:val="007F0CF4"/>
    <w:rsid w:val="007F139E"/>
    <w:rsid w:val="007F19D7"/>
    <w:rsid w:val="007F1E7C"/>
    <w:rsid w:val="007F29AC"/>
    <w:rsid w:val="007F2E4F"/>
    <w:rsid w:val="007F3CBD"/>
    <w:rsid w:val="007F4210"/>
    <w:rsid w:val="007F5B1B"/>
    <w:rsid w:val="007F6204"/>
    <w:rsid w:val="007F6706"/>
    <w:rsid w:val="007F6B18"/>
    <w:rsid w:val="007F739B"/>
    <w:rsid w:val="0080013A"/>
    <w:rsid w:val="00800E20"/>
    <w:rsid w:val="008015A7"/>
    <w:rsid w:val="00801C63"/>
    <w:rsid w:val="00801D61"/>
    <w:rsid w:val="008032ED"/>
    <w:rsid w:val="00804C56"/>
    <w:rsid w:val="0080572F"/>
    <w:rsid w:val="0080617C"/>
    <w:rsid w:val="008072AB"/>
    <w:rsid w:val="0080733D"/>
    <w:rsid w:val="00810157"/>
    <w:rsid w:val="0081071A"/>
    <w:rsid w:val="0081098E"/>
    <w:rsid w:val="008109ED"/>
    <w:rsid w:val="00810B01"/>
    <w:rsid w:val="00810B91"/>
    <w:rsid w:val="00811979"/>
    <w:rsid w:val="008123D8"/>
    <w:rsid w:val="0081247F"/>
    <w:rsid w:val="00814916"/>
    <w:rsid w:val="00814DA7"/>
    <w:rsid w:val="008154E7"/>
    <w:rsid w:val="008155C6"/>
    <w:rsid w:val="0081721D"/>
    <w:rsid w:val="00817314"/>
    <w:rsid w:val="0081752E"/>
    <w:rsid w:val="008208FB"/>
    <w:rsid w:val="00822ADA"/>
    <w:rsid w:val="008234A6"/>
    <w:rsid w:val="008243F6"/>
    <w:rsid w:val="00824E0D"/>
    <w:rsid w:val="0082573E"/>
    <w:rsid w:val="008263D5"/>
    <w:rsid w:val="0082711D"/>
    <w:rsid w:val="008273CB"/>
    <w:rsid w:val="0082772B"/>
    <w:rsid w:val="00827F54"/>
    <w:rsid w:val="00832C58"/>
    <w:rsid w:val="0083433F"/>
    <w:rsid w:val="0083461D"/>
    <w:rsid w:val="00836377"/>
    <w:rsid w:val="00836CBC"/>
    <w:rsid w:val="00836F11"/>
    <w:rsid w:val="008379CF"/>
    <w:rsid w:val="00837AA5"/>
    <w:rsid w:val="0084115B"/>
    <w:rsid w:val="00842DE7"/>
    <w:rsid w:val="00843087"/>
    <w:rsid w:val="008448BE"/>
    <w:rsid w:val="00845F06"/>
    <w:rsid w:val="008461ED"/>
    <w:rsid w:val="0084623D"/>
    <w:rsid w:val="00850073"/>
    <w:rsid w:val="00850F4A"/>
    <w:rsid w:val="00853761"/>
    <w:rsid w:val="00854111"/>
    <w:rsid w:val="008541FD"/>
    <w:rsid w:val="00854747"/>
    <w:rsid w:val="00854D5D"/>
    <w:rsid w:val="00855086"/>
    <w:rsid w:val="00855256"/>
    <w:rsid w:val="00855B31"/>
    <w:rsid w:val="00857269"/>
    <w:rsid w:val="00857B50"/>
    <w:rsid w:val="0086039B"/>
    <w:rsid w:val="00860A9B"/>
    <w:rsid w:val="00861B58"/>
    <w:rsid w:val="008624CF"/>
    <w:rsid w:val="008625BE"/>
    <w:rsid w:val="008633B1"/>
    <w:rsid w:val="00863878"/>
    <w:rsid w:val="00865C15"/>
    <w:rsid w:val="008662AA"/>
    <w:rsid w:val="00866981"/>
    <w:rsid w:val="008675F9"/>
    <w:rsid w:val="00867F5E"/>
    <w:rsid w:val="0087129C"/>
    <w:rsid w:val="008714BC"/>
    <w:rsid w:val="0087159C"/>
    <w:rsid w:val="0087255C"/>
    <w:rsid w:val="0087305F"/>
    <w:rsid w:val="008732FA"/>
    <w:rsid w:val="00873499"/>
    <w:rsid w:val="00873609"/>
    <w:rsid w:val="0087413F"/>
    <w:rsid w:val="00876CF1"/>
    <w:rsid w:val="008773DF"/>
    <w:rsid w:val="008775C9"/>
    <w:rsid w:val="00877CF0"/>
    <w:rsid w:val="00880148"/>
    <w:rsid w:val="00881BCE"/>
    <w:rsid w:val="00881F03"/>
    <w:rsid w:val="00881F94"/>
    <w:rsid w:val="008822CB"/>
    <w:rsid w:val="008826DB"/>
    <w:rsid w:val="008827F3"/>
    <w:rsid w:val="008834C4"/>
    <w:rsid w:val="00883629"/>
    <w:rsid w:val="0088610B"/>
    <w:rsid w:val="00887228"/>
    <w:rsid w:val="00887429"/>
    <w:rsid w:val="00890E1C"/>
    <w:rsid w:val="008923AB"/>
    <w:rsid w:val="00892C2B"/>
    <w:rsid w:val="00893507"/>
    <w:rsid w:val="008950B4"/>
    <w:rsid w:val="0089694D"/>
    <w:rsid w:val="008975B0"/>
    <w:rsid w:val="008976F1"/>
    <w:rsid w:val="008979A7"/>
    <w:rsid w:val="008A02EC"/>
    <w:rsid w:val="008A0719"/>
    <w:rsid w:val="008A25F1"/>
    <w:rsid w:val="008A3DA4"/>
    <w:rsid w:val="008A4631"/>
    <w:rsid w:val="008A4F17"/>
    <w:rsid w:val="008A50AE"/>
    <w:rsid w:val="008A59E5"/>
    <w:rsid w:val="008A5C9D"/>
    <w:rsid w:val="008A5E8B"/>
    <w:rsid w:val="008A7BA1"/>
    <w:rsid w:val="008A7D05"/>
    <w:rsid w:val="008B129B"/>
    <w:rsid w:val="008B22B3"/>
    <w:rsid w:val="008B3AC0"/>
    <w:rsid w:val="008B4007"/>
    <w:rsid w:val="008B40D6"/>
    <w:rsid w:val="008B5013"/>
    <w:rsid w:val="008B508E"/>
    <w:rsid w:val="008B5A4D"/>
    <w:rsid w:val="008B5E2C"/>
    <w:rsid w:val="008B632B"/>
    <w:rsid w:val="008B70EF"/>
    <w:rsid w:val="008B7876"/>
    <w:rsid w:val="008C10CE"/>
    <w:rsid w:val="008C1656"/>
    <w:rsid w:val="008C17C1"/>
    <w:rsid w:val="008C3031"/>
    <w:rsid w:val="008C3A6E"/>
    <w:rsid w:val="008C3D1B"/>
    <w:rsid w:val="008C5615"/>
    <w:rsid w:val="008C57FB"/>
    <w:rsid w:val="008C599C"/>
    <w:rsid w:val="008C5E15"/>
    <w:rsid w:val="008C625E"/>
    <w:rsid w:val="008C6780"/>
    <w:rsid w:val="008C7171"/>
    <w:rsid w:val="008D0780"/>
    <w:rsid w:val="008D0924"/>
    <w:rsid w:val="008D1423"/>
    <w:rsid w:val="008D1620"/>
    <w:rsid w:val="008D1857"/>
    <w:rsid w:val="008D2404"/>
    <w:rsid w:val="008D2A97"/>
    <w:rsid w:val="008D434D"/>
    <w:rsid w:val="008D5DC1"/>
    <w:rsid w:val="008E02D6"/>
    <w:rsid w:val="008E0327"/>
    <w:rsid w:val="008E0480"/>
    <w:rsid w:val="008E2D7A"/>
    <w:rsid w:val="008E3660"/>
    <w:rsid w:val="008E37E6"/>
    <w:rsid w:val="008E3EBD"/>
    <w:rsid w:val="008E486F"/>
    <w:rsid w:val="008E5666"/>
    <w:rsid w:val="008E6C76"/>
    <w:rsid w:val="008E7A44"/>
    <w:rsid w:val="008F01DB"/>
    <w:rsid w:val="008F124C"/>
    <w:rsid w:val="008F1DF0"/>
    <w:rsid w:val="008F1F0F"/>
    <w:rsid w:val="008F2461"/>
    <w:rsid w:val="008F4A32"/>
    <w:rsid w:val="008F6590"/>
    <w:rsid w:val="008F7548"/>
    <w:rsid w:val="008F7836"/>
    <w:rsid w:val="00900874"/>
    <w:rsid w:val="0090125B"/>
    <w:rsid w:val="00901C3A"/>
    <w:rsid w:val="00902257"/>
    <w:rsid w:val="009023AB"/>
    <w:rsid w:val="00902B18"/>
    <w:rsid w:val="0090381F"/>
    <w:rsid w:val="00903DB9"/>
    <w:rsid w:val="00904610"/>
    <w:rsid w:val="00905F8E"/>
    <w:rsid w:val="00906A45"/>
    <w:rsid w:val="009076F6"/>
    <w:rsid w:val="00907742"/>
    <w:rsid w:val="00907F0D"/>
    <w:rsid w:val="00910215"/>
    <w:rsid w:val="009103EC"/>
    <w:rsid w:val="00912BB5"/>
    <w:rsid w:val="00912E35"/>
    <w:rsid w:val="00914034"/>
    <w:rsid w:val="00914645"/>
    <w:rsid w:val="00914A5A"/>
    <w:rsid w:val="009151DE"/>
    <w:rsid w:val="00915257"/>
    <w:rsid w:val="00915664"/>
    <w:rsid w:val="0091580C"/>
    <w:rsid w:val="00915FA5"/>
    <w:rsid w:val="00917790"/>
    <w:rsid w:val="00920490"/>
    <w:rsid w:val="0092096B"/>
    <w:rsid w:val="009218AC"/>
    <w:rsid w:val="00921ECB"/>
    <w:rsid w:val="00922006"/>
    <w:rsid w:val="0092213D"/>
    <w:rsid w:val="009233ED"/>
    <w:rsid w:val="009243DE"/>
    <w:rsid w:val="00924673"/>
    <w:rsid w:val="00924E6C"/>
    <w:rsid w:val="009258FC"/>
    <w:rsid w:val="009276E4"/>
    <w:rsid w:val="009303A9"/>
    <w:rsid w:val="00931185"/>
    <w:rsid w:val="00932C83"/>
    <w:rsid w:val="009335C6"/>
    <w:rsid w:val="00933DE7"/>
    <w:rsid w:val="0093439A"/>
    <w:rsid w:val="009347F7"/>
    <w:rsid w:val="00935FE7"/>
    <w:rsid w:val="00936317"/>
    <w:rsid w:val="009377B0"/>
    <w:rsid w:val="00937A2D"/>
    <w:rsid w:val="00940EEC"/>
    <w:rsid w:val="009412AF"/>
    <w:rsid w:val="0094166E"/>
    <w:rsid w:val="00941C25"/>
    <w:rsid w:val="00941CD3"/>
    <w:rsid w:val="00942547"/>
    <w:rsid w:val="0094570A"/>
    <w:rsid w:val="0094667C"/>
    <w:rsid w:val="009467C5"/>
    <w:rsid w:val="00946F61"/>
    <w:rsid w:val="00947EFD"/>
    <w:rsid w:val="00950DFB"/>
    <w:rsid w:val="009547E8"/>
    <w:rsid w:val="009556C7"/>
    <w:rsid w:val="009564E6"/>
    <w:rsid w:val="0095680D"/>
    <w:rsid w:val="00956C7A"/>
    <w:rsid w:val="009576A5"/>
    <w:rsid w:val="00957FF4"/>
    <w:rsid w:val="00961156"/>
    <w:rsid w:val="0096127B"/>
    <w:rsid w:val="009623B4"/>
    <w:rsid w:val="00963108"/>
    <w:rsid w:val="00963128"/>
    <w:rsid w:val="009640DA"/>
    <w:rsid w:val="00964192"/>
    <w:rsid w:val="0096435B"/>
    <w:rsid w:val="00964AF2"/>
    <w:rsid w:val="00965279"/>
    <w:rsid w:val="009653C7"/>
    <w:rsid w:val="00965ACB"/>
    <w:rsid w:val="00965E37"/>
    <w:rsid w:val="0096689A"/>
    <w:rsid w:val="00970710"/>
    <w:rsid w:val="00971050"/>
    <w:rsid w:val="0097198B"/>
    <w:rsid w:val="00973165"/>
    <w:rsid w:val="00973D40"/>
    <w:rsid w:val="00974460"/>
    <w:rsid w:val="00974C7E"/>
    <w:rsid w:val="00974CED"/>
    <w:rsid w:val="009753BF"/>
    <w:rsid w:val="0097617D"/>
    <w:rsid w:val="00976C8D"/>
    <w:rsid w:val="009770C6"/>
    <w:rsid w:val="009779B9"/>
    <w:rsid w:val="009805BF"/>
    <w:rsid w:val="0098076A"/>
    <w:rsid w:val="00981518"/>
    <w:rsid w:val="00981B49"/>
    <w:rsid w:val="00981CA5"/>
    <w:rsid w:val="009821C1"/>
    <w:rsid w:val="00983049"/>
    <w:rsid w:val="00984990"/>
    <w:rsid w:val="009851B3"/>
    <w:rsid w:val="00985ED5"/>
    <w:rsid w:val="00986F03"/>
    <w:rsid w:val="0098716F"/>
    <w:rsid w:val="0098733D"/>
    <w:rsid w:val="00990365"/>
    <w:rsid w:val="009907E5"/>
    <w:rsid w:val="00990E2A"/>
    <w:rsid w:val="00992592"/>
    <w:rsid w:val="00992EA9"/>
    <w:rsid w:val="00993972"/>
    <w:rsid w:val="00994CD9"/>
    <w:rsid w:val="0099638B"/>
    <w:rsid w:val="009963B6"/>
    <w:rsid w:val="00996980"/>
    <w:rsid w:val="00996C4E"/>
    <w:rsid w:val="009A1277"/>
    <w:rsid w:val="009A2806"/>
    <w:rsid w:val="009A382F"/>
    <w:rsid w:val="009A3FAD"/>
    <w:rsid w:val="009A5EFE"/>
    <w:rsid w:val="009A61CB"/>
    <w:rsid w:val="009A63A8"/>
    <w:rsid w:val="009A697B"/>
    <w:rsid w:val="009A7A73"/>
    <w:rsid w:val="009B0B9F"/>
    <w:rsid w:val="009B161A"/>
    <w:rsid w:val="009B1CEB"/>
    <w:rsid w:val="009B1D0B"/>
    <w:rsid w:val="009B2515"/>
    <w:rsid w:val="009B2782"/>
    <w:rsid w:val="009B36CA"/>
    <w:rsid w:val="009B38CA"/>
    <w:rsid w:val="009B392A"/>
    <w:rsid w:val="009B43E5"/>
    <w:rsid w:val="009B5134"/>
    <w:rsid w:val="009B5B99"/>
    <w:rsid w:val="009B6319"/>
    <w:rsid w:val="009B7370"/>
    <w:rsid w:val="009C0567"/>
    <w:rsid w:val="009C07F4"/>
    <w:rsid w:val="009C277A"/>
    <w:rsid w:val="009C39ED"/>
    <w:rsid w:val="009C3C18"/>
    <w:rsid w:val="009C548C"/>
    <w:rsid w:val="009C5602"/>
    <w:rsid w:val="009C5EED"/>
    <w:rsid w:val="009C6D3C"/>
    <w:rsid w:val="009C6D5E"/>
    <w:rsid w:val="009C72D9"/>
    <w:rsid w:val="009C74C6"/>
    <w:rsid w:val="009C7755"/>
    <w:rsid w:val="009D2375"/>
    <w:rsid w:val="009D335F"/>
    <w:rsid w:val="009D3B6D"/>
    <w:rsid w:val="009D4E93"/>
    <w:rsid w:val="009D52C1"/>
    <w:rsid w:val="009D53F5"/>
    <w:rsid w:val="009D58FE"/>
    <w:rsid w:val="009D6099"/>
    <w:rsid w:val="009D6F40"/>
    <w:rsid w:val="009D727A"/>
    <w:rsid w:val="009D7F4D"/>
    <w:rsid w:val="009E03CB"/>
    <w:rsid w:val="009E085D"/>
    <w:rsid w:val="009E0A08"/>
    <w:rsid w:val="009E0AFA"/>
    <w:rsid w:val="009E17CF"/>
    <w:rsid w:val="009E2D4B"/>
    <w:rsid w:val="009E34C0"/>
    <w:rsid w:val="009E3856"/>
    <w:rsid w:val="009E3E1E"/>
    <w:rsid w:val="009E43E1"/>
    <w:rsid w:val="009E4AD5"/>
    <w:rsid w:val="009E5BEA"/>
    <w:rsid w:val="009E5D8A"/>
    <w:rsid w:val="009E6A1B"/>
    <w:rsid w:val="009E6EB9"/>
    <w:rsid w:val="009E7124"/>
    <w:rsid w:val="009F0680"/>
    <w:rsid w:val="009F0B6D"/>
    <w:rsid w:val="009F2BC5"/>
    <w:rsid w:val="009F34EE"/>
    <w:rsid w:val="009F3648"/>
    <w:rsid w:val="009F37FA"/>
    <w:rsid w:val="009F38A0"/>
    <w:rsid w:val="009F4818"/>
    <w:rsid w:val="009F4FCB"/>
    <w:rsid w:val="009F5595"/>
    <w:rsid w:val="00A00280"/>
    <w:rsid w:val="00A01311"/>
    <w:rsid w:val="00A0343D"/>
    <w:rsid w:val="00A04E05"/>
    <w:rsid w:val="00A05E14"/>
    <w:rsid w:val="00A06246"/>
    <w:rsid w:val="00A06D72"/>
    <w:rsid w:val="00A070CB"/>
    <w:rsid w:val="00A107CC"/>
    <w:rsid w:val="00A1140C"/>
    <w:rsid w:val="00A11F76"/>
    <w:rsid w:val="00A12673"/>
    <w:rsid w:val="00A12757"/>
    <w:rsid w:val="00A13BDF"/>
    <w:rsid w:val="00A13F2A"/>
    <w:rsid w:val="00A14F09"/>
    <w:rsid w:val="00A16628"/>
    <w:rsid w:val="00A16E50"/>
    <w:rsid w:val="00A20121"/>
    <w:rsid w:val="00A21ADC"/>
    <w:rsid w:val="00A222D7"/>
    <w:rsid w:val="00A2285A"/>
    <w:rsid w:val="00A23430"/>
    <w:rsid w:val="00A235E1"/>
    <w:rsid w:val="00A23D91"/>
    <w:rsid w:val="00A2429B"/>
    <w:rsid w:val="00A246E0"/>
    <w:rsid w:val="00A2660E"/>
    <w:rsid w:val="00A2667A"/>
    <w:rsid w:val="00A26DE4"/>
    <w:rsid w:val="00A2701A"/>
    <w:rsid w:val="00A2723E"/>
    <w:rsid w:val="00A274DB"/>
    <w:rsid w:val="00A27650"/>
    <w:rsid w:val="00A27A3D"/>
    <w:rsid w:val="00A27FD2"/>
    <w:rsid w:val="00A31B8B"/>
    <w:rsid w:val="00A31FA0"/>
    <w:rsid w:val="00A32A7D"/>
    <w:rsid w:val="00A35B20"/>
    <w:rsid w:val="00A36C26"/>
    <w:rsid w:val="00A37523"/>
    <w:rsid w:val="00A4021B"/>
    <w:rsid w:val="00A42100"/>
    <w:rsid w:val="00A43F2E"/>
    <w:rsid w:val="00A44BA9"/>
    <w:rsid w:val="00A45180"/>
    <w:rsid w:val="00A4541A"/>
    <w:rsid w:val="00A45656"/>
    <w:rsid w:val="00A459B0"/>
    <w:rsid w:val="00A46DEA"/>
    <w:rsid w:val="00A46F7D"/>
    <w:rsid w:val="00A47F01"/>
    <w:rsid w:val="00A50A05"/>
    <w:rsid w:val="00A51460"/>
    <w:rsid w:val="00A514CF"/>
    <w:rsid w:val="00A51849"/>
    <w:rsid w:val="00A53227"/>
    <w:rsid w:val="00A54B9B"/>
    <w:rsid w:val="00A55FC1"/>
    <w:rsid w:val="00A561CD"/>
    <w:rsid w:val="00A56AA3"/>
    <w:rsid w:val="00A578E9"/>
    <w:rsid w:val="00A57AE5"/>
    <w:rsid w:val="00A60110"/>
    <w:rsid w:val="00A61333"/>
    <w:rsid w:val="00A61EA8"/>
    <w:rsid w:val="00A62772"/>
    <w:rsid w:val="00A6453E"/>
    <w:rsid w:val="00A646C9"/>
    <w:rsid w:val="00A65BA1"/>
    <w:rsid w:val="00A660DC"/>
    <w:rsid w:val="00A6656A"/>
    <w:rsid w:val="00A70B88"/>
    <w:rsid w:val="00A70DC7"/>
    <w:rsid w:val="00A714A0"/>
    <w:rsid w:val="00A72566"/>
    <w:rsid w:val="00A7339E"/>
    <w:rsid w:val="00A746B5"/>
    <w:rsid w:val="00A74DF6"/>
    <w:rsid w:val="00A767D0"/>
    <w:rsid w:val="00A77B04"/>
    <w:rsid w:val="00A80A08"/>
    <w:rsid w:val="00A80BD0"/>
    <w:rsid w:val="00A82440"/>
    <w:rsid w:val="00A8297C"/>
    <w:rsid w:val="00A82B06"/>
    <w:rsid w:val="00A838E3"/>
    <w:rsid w:val="00A8607C"/>
    <w:rsid w:val="00A86C04"/>
    <w:rsid w:val="00A8784E"/>
    <w:rsid w:val="00A90055"/>
    <w:rsid w:val="00A9093B"/>
    <w:rsid w:val="00A90DC0"/>
    <w:rsid w:val="00A90E56"/>
    <w:rsid w:val="00A93118"/>
    <w:rsid w:val="00A93173"/>
    <w:rsid w:val="00A94002"/>
    <w:rsid w:val="00A94E61"/>
    <w:rsid w:val="00A94E7C"/>
    <w:rsid w:val="00A94E7F"/>
    <w:rsid w:val="00A95770"/>
    <w:rsid w:val="00A95E21"/>
    <w:rsid w:val="00A972B9"/>
    <w:rsid w:val="00A97A8C"/>
    <w:rsid w:val="00AA0026"/>
    <w:rsid w:val="00AA1CAE"/>
    <w:rsid w:val="00AA285D"/>
    <w:rsid w:val="00AA3499"/>
    <w:rsid w:val="00AA3AE4"/>
    <w:rsid w:val="00AA4A2E"/>
    <w:rsid w:val="00AA4A82"/>
    <w:rsid w:val="00AA4AE5"/>
    <w:rsid w:val="00AA4B41"/>
    <w:rsid w:val="00AA58C3"/>
    <w:rsid w:val="00AA609D"/>
    <w:rsid w:val="00AB0AE3"/>
    <w:rsid w:val="00AB161B"/>
    <w:rsid w:val="00AB1CF6"/>
    <w:rsid w:val="00AB20F2"/>
    <w:rsid w:val="00AB235D"/>
    <w:rsid w:val="00AB26FB"/>
    <w:rsid w:val="00AB2DB5"/>
    <w:rsid w:val="00AB4982"/>
    <w:rsid w:val="00AB49D1"/>
    <w:rsid w:val="00AB4ECC"/>
    <w:rsid w:val="00AB4FF9"/>
    <w:rsid w:val="00AB5C4D"/>
    <w:rsid w:val="00AB6264"/>
    <w:rsid w:val="00AB63D3"/>
    <w:rsid w:val="00AB6A3A"/>
    <w:rsid w:val="00AC0285"/>
    <w:rsid w:val="00AC12E9"/>
    <w:rsid w:val="00AC1664"/>
    <w:rsid w:val="00AC2549"/>
    <w:rsid w:val="00AC2E86"/>
    <w:rsid w:val="00AC3F22"/>
    <w:rsid w:val="00AC44CE"/>
    <w:rsid w:val="00AC7252"/>
    <w:rsid w:val="00AC7845"/>
    <w:rsid w:val="00AC78E4"/>
    <w:rsid w:val="00AC7B2F"/>
    <w:rsid w:val="00AD04D2"/>
    <w:rsid w:val="00AD0966"/>
    <w:rsid w:val="00AD1704"/>
    <w:rsid w:val="00AD20DB"/>
    <w:rsid w:val="00AD31BE"/>
    <w:rsid w:val="00AD36D4"/>
    <w:rsid w:val="00AD52E8"/>
    <w:rsid w:val="00AD604D"/>
    <w:rsid w:val="00AE09D1"/>
    <w:rsid w:val="00AE1365"/>
    <w:rsid w:val="00AE1DBB"/>
    <w:rsid w:val="00AE3242"/>
    <w:rsid w:val="00AE42A0"/>
    <w:rsid w:val="00AE51CC"/>
    <w:rsid w:val="00AE60F5"/>
    <w:rsid w:val="00AE62A9"/>
    <w:rsid w:val="00AE67FF"/>
    <w:rsid w:val="00AE6DEC"/>
    <w:rsid w:val="00AE7586"/>
    <w:rsid w:val="00AF009B"/>
    <w:rsid w:val="00AF0215"/>
    <w:rsid w:val="00AF1DAD"/>
    <w:rsid w:val="00AF2147"/>
    <w:rsid w:val="00AF2D55"/>
    <w:rsid w:val="00AF2F02"/>
    <w:rsid w:val="00AF44E1"/>
    <w:rsid w:val="00AF7DC9"/>
    <w:rsid w:val="00B00880"/>
    <w:rsid w:val="00B00B24"/>
    <w:rsid w:val="00B00E35"/>
    <w:rsid w:val="00B02142"/>
    <w:rsid w:val="00B02AE5"/>
    <w:rsid w:val="00B02BD7"/>
    <w:rsid w:val="00B0330F"/>
    <w:rsid w:val="00B0383A"/>
    <w:rsid w:val="00B0414A"/>
    <w:rsid w:val="00B0603F"/>
    <w:rsid w:val="00B07184"/>
    <w:rsid w:val="00B07CCA"/>
    <w:rsid w:val="00B103D5"/>
    <w:rsid w:val="00B10FF7"/>
    <w:rsid w:val="00B113D2"/>
    <w:rsid w:val="00B128FC"/>
    <w:rsid w:val="00B130B0"/>
    <w:rsid w:val="00B13428"/>
    <w:rsid w:val="00B1351E"/>
    <w:rsid w:val="00B13994"/>
    <w:rsid w:val="00B14400"/>
    <w:rsid w:val="00B147D3"/>
    <w:rsid w:val="00B15284"/>
    <w:rsid w:val="00B156D9"/>
    <w:rsid w:val="00B15A80"/>
    <w:rsid w:val="00B15F78"/>
    <w:rsid w:val="00B174BC"/>
    <w:rsid w:val="00B21568"/>
    <w:rsid w:val="00B253DC"/>
    <w:rsid w:val="00B25FB1"/>
    <w:rsid w:val="00B316B9"/>
    <w:rsid w:val="00B32C2F"/>
    <w:rsid w:val="00B3405F"/>
    <w:rsid w:val="00B344BB"/>
    <w:rsid w:val="00B36656"/>
    <w:rsid w:val="00B36801"/>
    <w:rsid w:val="00B36F76"/>
    <w:rsid w:val="00B36F7F"/>
    <w:rsid w:val="00B37370"/>
    <w:rsid w:val="00B376D5"/>
    <w:rsid w:val="00B37C22"/>
    <w:rsid w:val="00B37E1A"/>
    <w:rsid w:val="00B4192D"/>
    <w:rsid w:val="00B424FB"/>
    <w:rsid w:val="00B429D1"/>
    <w:rsid w:val="00B430BD"/>
    <w:rsid w:val="00B430E9"/>
    <w:rsid w:val="00B4397E"/>
    <w:rsid w:val="00B45915"/>
    <w:rsid w:val="00B46248"/>
    <w:rsid w:val="00B46B57"/>
    <w:rsid w:val="00B47DEA"/>
    <w:rsid w:val="00B50696"/>
    <w:rsid w:val="00B51409"/>
    <w:rsid w:val="00B517B8"/>
    <w:rsid w:val="00B518AE"/>
    <w:rsid w:val="00B551DA"/>
    <w:rsid w:val="00B56C5F"/>
    <w:rsid w:val="00B5722B"/>
    <w:rsid w:val="00B57FE2"/>
    <w:rsid w:val="00B610E7"/>
    <w:rsid w:val="00B6180A"/>
    <w:rsid w:val="00B623F5"/>
    <w:rsid w:val="00B64908"/>
    <w:rsid w:val="00B652CE"/>
    <w:rsid w:val="00B6738C"/>
    <w:rsid w:val="00B67465"/>
    <w:rsid w:val="00B67CEE"/>
    <w:rsid w:val="00B71165"/>
    <w:rsid w:val="00B718EC"/>
    <w:rsid w:val="00B71978"/>
    <w:rsid w:val="00B7388D"/>
    <w:rsid w:val="00B74C55"/>
    <w:rsid w:val="00B75117"/>
    <w:rsid w:val="00B75336"/>
    <w:rsid w:val="00B758F9"/>
    <w:rsid w:val="00B75C16"/>
    <w:rsid w:val="00B77ADD"/>
    <w:rsid w:val="00B80526"/>
    <w:rsid w:val="00B81014"/>
    <w:rsid w:val="00B810E0"/>
    <w:rsid w:val="00B81430"/>
    <w:rsid w:val="00B81E51"/>
    <w:rsid w:val="00B835E1"/>
    <w:rsid w:val="00B85074"/>
    <w:rsid w:val="00B853F7"/>
    <w:rsid w:val="00B8698B"/>
    <w:rsid w:val="00B86D21"/>
    <w:rsid w:val="00B8735F"/>
    <w:rsid w:val="00B87C33"/>
    <w:rsid w:val="00B915EE"/>
    <w:rsid w:val="00B918F8"/>
    <w:rsid w:val="00B919BA"/>
    <w:rsid w:val="00B91E32"/>
    <w:rsid w:val="00B933F2"/>
    <w:rsid w:val="00B94258"/>
    <w:rsid w:val="00B947D0"/>
    <w:rsid w:val="00B94A38"/>
    <w:rsid w:val="00B94F1F"/>
    <w:rsid w:val="00B953F9"/>
    <w:rsid w:val="00B95AFF"/>
    <w:rsid w:val="00B95D28"/>
    <w:rsid w:val="00B966F7"/>
    <w:rsid w:val="00B96A70"/>
    <w:rsid w:val="00B96F7D"/>
    <w:rsid w:val="00B978EB"/>
    <w:rsid w:val="00B97907"/>
    <w:rsid w:val="00BA0125"/>
    <w:rsid w:val="00BA0A94"/>
    <w:rsid w:val="00BA0DBE"/>
    <w:rsid w:val="00BA1E83"/>
    <w:rsid w:val="00BA2390"/>
    <w:rsid w:val="00BA2611"/>
    <w:rsid w:val="00BA2D3C"/>
    <w:rsid w:val="00BA3101"/>
    <w:rsid w:val="00BA3810"/>
    <w:rsid w:val="00BA7B48"/>
    <w:rsid w:val="00BA7FBC"/>
    <w:rsid w:val="00BB0FA3"/>
    <w:rsid w:val="00BB10F6"/>
    <w:rsid w:val="00BB1F2A"/>
    <w:rsid w:val="00BB2536"/>
    <w:rsid w:val="00BB26CA"/>
    <w:rsid w:val="00BB2E71"/>
    <w:rsid w:val="00BB2E83"/>
    <w:rsid w:val="00BB322E"/>
    <w:rsid w:val="00BB3696"/>
    <w:rsid w:val="00BB4F52"/>
    <w:rsid w:val="00BB5406"/>
    <w:rsid w:val="00BB5CA4"/>
    <w:rsid w:val="00BB608C"/>
    <w:rsid w:val="00BB7A2A"/>
    <w:rsid w:val="00BC0D19"/>
    <w:rsid w:val="00BC1D8D"/>
    <w:rsid w:val="00BC2807"/>
    <w:rsid w:val="00BC2DC7"/>
    <w:rsid w:val="00BC3499"/>
    <w:rsid w:val="00BC34B4"/>
    <w:rsid w:val="00BC4631"/>
    <w:rsid w:val="00BC4B10"/>
    <w:rsid w:val="00BC4F82"/>
    <w:rsid w:val="00BC531A"/>
    <w:rsid w:val="00BC7AE1"/>
    <w:rsid w:val="00BD042A"/>
    <w:rsid w:val="00BD08C8"/>
    <w:rsid w:val="00BD0FDE"/>
    <w:rsid w:val="00BD1202"/>
    <w:rsid w:val="00BD17D1"/>
    <w:rsid w:val="00BD2ECF"/>
    <w:rsid w:val="00BD3A85"/>
    <w:rsid w:val="00BD3E85"/>
    <w:rsid w:val="00BD4CDC"/>
    <w:rsid w:val="00BD5D2C"/>
    <w:rsid w:val="00BD726C"/>
    <w:rsid w:val="00BD7589"/>
    <w:rsid w:val="00BE0415"/>
    <w:rsid w:val="00BE1D7C"/>
    <w:rsid w:val="00BE208E"/>
    <w:rsid w:val="00BE2094"/>
    <w:rsid w:val="00BE306F"/>
    <w:rsid w:val="00BE4246"/>
    <w:rsid w:val="00BE452A"/>
    <w:rsid w:val="00BE50F0"/>
    <w:rsid w:val="00BE517B"/>
    <w:rsid w:val="00BE5253"/>
    <w:rsid w:val="00BE6110"/>
    <w:rsid w:val="00BE6417"/>
    <w:rsid w:val="00BE6547"/>
    <w:rsid w:val="00BE6A57"/>
    <w:rsid w:val="00BE7AC8"/>
    <w:rsid w:val="00BF042D"/>
    <w:rsid w:val="00BF0E9C"/>
    <w:rsid w:val="00BF1222"/>
    <w:rsid w:val="00BF30EF"/>
    <w:rsid w:val="00BF3A19"/>
    <w:rsid w:val="00BF4A7B"/>
    <w:rsid w:val="00BF540B"/>
    <w:rsid w:val="00BF5D81"/>
    <w:rsid w:val="00BF64AC"/>
    <w:rsid w:val="00C00AD2"/>
    <w:rsid w:val="00C01B8A"/>
    <w:rsid w:val="00C044F2"/>
    <w:rsid w:val="00C07013"/>
    <w:rsid w:val="00C077D4"/>
    <w:rsid w:val="00C07C2E"/>
    <w:rsid w:val="00C10386"/>
    <w:rsid w:val="00C10737"/>
    <w:rsid w:val="00C10C7A"/>
    <w:rsid w:val="00C11C3F"/>
    <w:rsid w:val="00C126BA"/>
    <w:rsid w:val="00C1292D"/>
    <w:rsid w:val="00C13306"/>
    <w:rsid w:val="00C143B5"/>
    <w:rsid w:val="00C143F3"/>
    <w:rsid w:val="00C14B87"/>
    <w:rsid w:val="00C1517B"/>
    <w:rsid w:val="00C15266"/>
    <w:rsid w:val="00C17332"/>
    <w:rsid w:val="00C17B9B"/>
    <w:rsid w:val="00C20715"/>
    <w:rsid w:val="00C20767"/>
    <w:rsid w:val="00C20D1C"/>
    <w:rsid w:val="00C2149F"/>
    <w:rsid w:val="00C21DFE"/>
    <w:rsid w:val="00C21F4D"/>
    <w:rsid w:val="00C24DC8"/>
    <w:rsid w:val="00C25B1E"/>
    <w:rsid w:val="00C25DA5"/>
    <w:rsid w:val="00C26427"/>
    <w:rsid w:val="00C27128"/>
    <w:rsid w:val="00C27359"/>
    <w:rsid w:val="00C27911"/>
    <w:rsid w:val="00C302C9"/>
    <w:rsid w:val="00C30AC5"/>
    <w:rsid w:val="00C31A19"/>
    <w:rsid w:val="00C32559"/>
    <w:rsid w:val="00C32BB0"/>
    <w:rsid w:val="00C33C5C"/>
    <w:rsid w:val="00C34069"/>
    <w:rsid w:val="00C35283"/>
    <w:rsid w:val="00C36457"/>
    <w:rsid w:val="00C373B3"/>
    <w:rsid w:val="00C37420"/>
    <w:rsid w:val="00C40E0E"/>
    <w:rsid w:val="00C42255"/>
    <w:rsid w:val="00C4275E"/>
    <w:rsid w:val="00C42B7B"/>
    <w:rsid w:val="00C42E82"/>
    <w:rsid w:val="00C43CFE"/>
    <w:rsid w:val="00C45315"/>
    <w:rsid w:val="00C462D8"/>
    <w:rsid w:val="00C47772"/>
    <w:rsid w:val="00C47A07"/>
    <w:rsid w:val="00C506CA"/>
    <w:rsid w:val="00C50F21"/>
    <w:rsid w:val="00C513DD"/>
    <w:rsid w:val="00C518F7"/>
    <w:rsid w:val="00C51ECE"/>
    <w:rsid w:val="00C538CC"/>
    <w:rsid w:val="00C53FC3"/>
    <w:rsid w:val="00C543D6"/>
    <w:rsid w:val="00C5484C"/>
    <w:rsid w:val="00C55047"/>
    <w:rsid w:val="00C5590F"/>
    <w:rsid w:val="00C56D31"/>
    <w:rsid w:val="00C5707D"/>
    <w:rsid w:val="00C5749F"/>
    <w:rsid w:val="00C578D2"/>
    <w:rsid w:val="00C60D9A"/>
    <w:rsid w:val="00C6128A"/>
    <w:rsid w:val="00C61339"/>
    <w:rsid w:val="00C614F5"/>
    <w:rsid w:val="00C617BD"/>
    <w:rsid w:val="00C61B54"/>
    <w:rsid w:val="00C6227B"/>
    <w:rsid w:val="00C62D00"/>
    <w:rsid w:val="00C62F5B"/>
    <w:rsid w:val="00C63431"/>
    <w:rsid w:val="00C639BE"/>
    <w:rsid w:val="00C63AA8"/>
    <w:rsid w:val="00C63C47"/>
    <w:rsid w:val="00C64471"/>
    <w:rsid w:val="00C64630"/>
    <w:rsid w:val="00C647D6"/>
    <w:rsid w:val="00C64D94"/>
    <w:rsid w:val="00C65484"/>
    <w:rsid w:val="00C665A0"/>
    <w:rsid w:val="00C67607"/>
    <w:rsid w:val="00C700EE"/>
    <w:rsid w:val="00C71AAC"/>
    <w:rsid w:val="00C731FF"/>
    <w:rsid w:val="00C7340C"/>
    <w:rsid w:val="00C73C47"/>
    <w:rsid w:val="00C75867"/>
    <w:rsid w:val="00C760A9"/>
    <w:rsid w:val="00C7642D"/>
    <w:rsid w:val="00C77596"/>
    <w:rsid w:val="00C77E54"/>
    <w:rsid w:val="00C81205"/>
    <w:rsid w:val="00C814AD"/>
    <w:rsid w:val="00C81989"/>
    <w:rsid w:val="00C81D67"/>
    <w:rsid w:val="00C82E5C"/>
    <w:rsid w:val="00C83EB2"/>
    <w:rsid w:val="00C840B7"/>
    <w:rsid w:val="00C8448D"/>
    <w:rsid w:val="00C849F6"/>
    <w:rsid w:val="00C850F7"/>
    <w:rsid w:val="00C85352"/>
    <w:rsid w:val="00C862DC"/>
    <w:rsid w:val="00C86912"/>
    <w:rsid w:val="00C8718F"/>
    <w:rsid w:val="00C87386"/>
    <w:rsid w:val="00C9136D"/>
    <w:rsid w:val="00C91F94"/>
    <w:rsid w:val="00C9364E"/>
    <w:rsid w:val="00C941D6"/>
    <w:rsid w:val="00C944B2"/>
    <w:rsid w:val="00C94513"/>
    <w:rsid w:val="00C947CE"/>
    <w:rsid w:val="00C95223"/>
    <w:rsid w:val="00C95ECC"/>
    <w:rsid w:val="00C965AD"/>
    <w:rsid w:val="00C9670E"/>
    <w:rsid w:val="00C967AC"/>
    <w:rsid w:val="00C971CB"/>
    <w:rsid w:val="00C97805"/>
    <w:rsid w:val="00CA2278"/>
    <w:rsid w:val="00CA2860"/>
    <w:rsid w:val="00CA325E"/>
    <w:rsid w:val="00CA4BEA"/>
    <w:rsid w:val="00CA5322"/>
    <w:rsid w:val="00CA5502"/>
    <w:rsid w:val="00CA5AFB"/>
    <w:rsid w:val="00CA6523"/>
    <w:rsid w:val="00CA6EA9"/>
    <w:rsid w:val="00CA7364"/>
    <w:rsid w:val="00CA74AA"/>
    <w:rsid w:val="00CA7904"/>
    <w:rsid w:val="00CB0AC8"/>
    <w:rsid w:val="00CB0BE6"/>
    <w:rsid w:val="00CB0DCB"/>
    <w:rsid w:val="00CB319C"/>
    <w:rsid w:val="00CB4DB1"/>
    <w:rsid w:val="00CB5C09"/>
    <w:rsid w:val="00CB6E7C"/>
    <w:rsid w:val="00CC0B7F"/>
    <w:rsid w:val="00CC0C99"/>
    <w:rsid w:val="00CC2CE4"/>
    <w:rsid w:val="00CC380E"/>
    <w:rsid w:val="00CC3E96"/>
    <w:rsid w:val="00CC47FB"/>
    <w:rsid w:val="00CC4B9A"/>
    <w:rsid w:val="00CC4BC1"/>
    <w:rsid w:val="00CC5264"/>
    <w:rsid w:val="00CC6DE8"/>
    <w:rsid w:val="00CC6EC5"/>
    <w:rsid w:val="00CC7174"/>
    <w:rsid w:val="00CD00A4"/>
    <w:rsid w:val="00CD061F"/>
    <w:rsid w:val="00CD0EA6"/>
    <w:rsid w:val="00CD3F00"/>
    <w:rsid w:val="00CD41D3"/>
    <w:rsid w:val="00CD432B"/>
    <w:rsid w:val="00CD451D"/>
    <w:rsid w:val="00CD4DCB"/>
    <w:rsid w:val="00CD5F24"/>
    <w:rsid w:val="00CD6966"/>
    <w:rsid w:val="00CD6E8F"/>
    <w:rsid w:val="00CD75B7"/>
    <w:rsid w:val="00CD7B17"/>
    <w:rsid w:val="00CD7CCA"/>
    <w:rsid w:val="00CD7FC9"/>
    <w:rsid w:val="00CE0658"/>
    <w:rsid w:val="00CE072F"/>
    <w:rsid w:val="00CE0B11"/>
    <w:rsid w:val="00CE0D60"/>
    <w:rsid w:val="00CE1CB9"/>
    <w:rsid w:val="00CE21A8"/>
    <w:rsid w:val="00CE2C51"/>
    <w:rsid w:val="00CE2DA9"/>
    <w:rsid w:val="00CE39C7"/>
    <w:rsid w:val="00CE3A56"/>
    <w:rsid w:val="00CE52D1"/>
    <w:rsid w:val="00CE6720"/>
    <w:rsid w:val="00CE6827"/>
    <w:rsid w:val="00CE696C"/>
    <w:rsid w:val="00CF0517"/>
    <w:rsid w:val="00CF051D"/>
    <w:rsid w:val="00CF0AC4"/>
    <w:rsid w:val="00CF0FB2"/>
    <w:rsid w:val="00CF0FDD"/>
    <w:rsid w:val="00CF117E"/>
    <w:rsid w:val="00CF2091"/>
    <w:rsid w:val="00CF254D"/>
    <w:rsid w:val="00CF290C"/>
    <w:rsid w:val="00CF2C40"/>
    <w:rsid w:val="00CF2C89"/>
    <w:rsid w:val="00CF33B5"/>
    <w:rsid w:val="00CF33D3"/>
    <w:rsid w:val="00CF4A31"/>
    <w:rsid w:val="00CF5F69"/>
    <w:rsid w:val="00CF653C"/>
    <w:rsid w:val="00CF694C"/>
    <w:rsid w:val="00CF6B0E"/>
    <w:rsid w:val="00CF6DC1"/>
    <w:rsid w:val="00CF7559"/>
    <w:rsid w:val="00D005B0"/>
    <w:rsid w:val="00D01D67"/>
    <w:rsid w:val="00D02D23"/>
    <w:rsid w:val="00D04FA2"/>
    <w:rsid w:val="00D05B44"/>
    <w:rsid w:val="00D0630E"/>
    <w:rsid w:val="00D10035"/>
    <w:rsid w:val="00D106BD"/>
    <w:rsid w:val="00D10710"/>
    <w:rsid w:val="00D10FBF"/>
    <w:rsid w:val="00D11D49"/>
    <w:rsid w:val="00D1295F"/>
    <w:rsid w:val="00D155D0"/>
    <w:rsid w:val="00D15868"/>
    <w:rsid w:val="00D15B48"/>
    <w:rsid w:val="00D16BD7"/>
    <w:rsid w:val="00D1704C"/>
    <w:rsid w:val="00D17CF8"/>
    <w:rsid w:val="00D20C02"/>
    <w:rsid w:val="00D2106D"/>
    <w:rsid w:val="00D212F6"/>
    <w:rsid w:val="00D222DD"/>
    <w:rsid w:val="00D224BA"/>
    <w:rsid w:val="00D22563"/>
    <w:rsid w:val="00D22DE2"/>
    <w:rsid w:val="00D22E07"/>
    <w:rsid w:val="00D23C95"/>
    <w:rsid w:val="00D25CCE"/>
    <w:rsid w:val="00D25DB6"/>
    <w:rsid w:val="00D26717"/>
    <w:rsid w:val="00D26D0E"/>
    <w:rsid w:val="00D27195"/>
    <w:rsid w:val="00D304FA"/>
    <w:rsid w:val="00D30BAB"/>
    <w:rsid w:val="00D3235E"/>
    <w:rsid w:val="00D3286A"/>
    <w:rsid w:val="00D34A0B"/>
    <w:rsid w:val="00D34D2A"/>
    <w:rsid w:val="00D34E92"/>
    <w:rsid w:val="00D3530A"/>
    <w:rsid w:val="00D353FC"/>
    <w:rsid w:val="00D3598B"/>
    <w:rsid w:val="00D36C85"/>
    <w:rsid w:val="00D377A6"/>
    <w:rsid w:val="00D4079C"/>
    <w:rsid w:val="00D41D26"/>
    <w:rsid w:val="00D41D7C"/>
    <w:rsid w:val="00D41EDC"/>
    <w:rsid w:val="00D421C5"/>
    <w:rsid w:val="00D422F1"/>
    <w:rsid w:val="00D42CC6"/>
    <w:rsid w:val="00D42EC8"/>
    <w:rsid w:val="00D42EF9"/>
    <w:rsid w:val="00D434AA"/>
    <w:rsid w:val="00D4369B"/>
    <w:rsid w:val="00D454A8"/>
    <w:rsid w:val="00D458A4"/>
    <w:rsid w:val="00D460A0"/>
    <w:rsid w:val="00D4724B"/>
    <w:rsid w:val="00D4742F"/>
    <w:rsid w:val="00D47BDB"/>
    <w:rsid w:val="00D502F3"/>
    <w:rsid w:val="00D506AA"/>
    <w:rsid w:val="00D508BF"/>
    <w:rsid w:val="00D510CA"/>
    <w:rsid w:val="00D51732"/>
    <w:rsid w:val="00D51BE4"/>
    <w:rsid w:val="00D52071"/>
    <w:rsid w:val="00D5207F"/>
    <w:rsid w:val="00D523C1"/>
    <w:rsid w:val="00D5244C"/>
    <w:rsid w:val="00D53E79"/>
    <w:rsid w:val="00D5440A"/>
    <w:rsid w:val="00D546F7"/>
    <w:rsid w:val="00D55A6B"/>
    <w:rsid w:val="00D5605A"/>
    <w:rsid w:val="00D57DF7"/>
    <w:rsid w:val="00D60CAC"/>
    <w:rsid w:val="00D6117D"/>
    <w:rsid w:val="00D64D40"/>
    <w:rsid w:val="00D65A64"/>
    <w:rsid w:val="00D65E9F"/>
    <w:rsid w:val="00D669BB"/>
    <w:rsid w:val="00D67B47"/>
    <w:rsid w:val="00D67B89"/>
    <w:rsid w:val="00D67C94"/>
    <w:rsid w:val="00D7161F"/>
    <w:rsid w:val="00D7519C"/>
    <w:rsid w:val="00D7521F"/>
    <w:rsid w:val="00D7707B"/>
    <w:rsid w:val="00D77828"/>
    <w:rsid w:val="00D77FB3"/>
    <w:rsid w:val="00D8026A"/>
    <w:rsid w:val="00D80F70"/>
    <w:rsid w:val="00D80FFB"/>
    <w:rsid w:val="00D82420"/>
    <w:rsid w:val="00D8302B"/>
    <w:rsid w:val="00D83167"/>
    <w:rsid w:val="00D836C2"/>
    <w:rsid w:val="00D841F5"/>
    <w:rsid w:val="00D844D8"/>
    <w:rsid w:val="00D84BE2"/>
    <w:rsid w:val="00D86550"/>
    <w:rsid w:val="00D86796"/>
    <w:rsid w:val="00D87955"/>
    <w:rsid w:val="00D90CFB"/>
    <w:rsid w:val="00D90D91"/>
    <w:rsid w:val="00D91D59"/>
    <w:rsid w:val="00D9206A"/>
    <w:rsid w:val="00D9355A"/>
    <w:rsid w:val="00D93E82"/>
    <w:rsid w:val="00D94B37"/>
    <w:rsid w:val="00D94D23"/>
    <w:rsid w:val="00D951AE"/>
    <w:rsid w:val="00D951FA"/>
    <w:rsid w:val="00D95F88"/>
    <w:rsid w:val="00D9641A"/>
    <w:rsid w:val="00D96498"/>
    <w:rsid w:val="00D97C1C"/>
    <w:rsid w:val="00D97E02"/>
    <w:rsid w:val="00D97E88"/>
    <w:rsid w:val="00DA01A1"/>
    <w:rsid w:val="00DA1CA9"/>
    <w:rsid w:val="00DA1F75"/>
    <w:rsid w:val="00DA1FCD"/>
    <w:rsid w:val="00DA2902"/>
    <w:rsid w:val="00DA4C86"/>
    <w:rsid w:val="00DA53C1"/>
    <w:rsid w:val="00DA5B75"/>
    <w:rsid w:val="00DA608A"/>
    <w:rsid w:val="00DA638E"/>
    <w:rsid w:val="00DA7955"/>
    <w:rsid w:val="00DA7AB4"/>
    <w:rsid w:val="00DB0077"/>
    <w:rsid w:val="00DB242D"/>
    <w:rsid w:val="00DB2A77"/>
    <w:rsid w:val="00DB2CE4"/>
    <w:rsid w:val="00DB2E9B"/>
    <w:rsid w:val="00DB3123"/>
    <w:rsid w:val="00DB4149"/>
    <w:rsid w:val="00DB5A13"/>
    <w:rsid w:val="00DB62D8"/>
    <w:rsid w:val="00DB6DD4"/>
    <w:rsid w:val="00DC059C"/>
    <w:rsid w:val="00DC0D6D"/>
    <w:rsid w:val="00DC1025"/>
    <w:rsid w:val="00DC12F5"/>
    <w:rsid w:val="00DC1412"/>
    <w:rsid w:val="00DC26D2"/>
    <w:rsid w:val="00DC2916"/>
    <w:rsid w:val="00DC32B6"/>
    <w:rsid w:val="00DC3D27"/>
    <w:rsid w:val="00DC40EC"/>
    <w:rsid w:val="00DC5756"/>
    <w:rsid w:val="00DC5791"/>
    <w:rsid w:val="00DC63A7"/>
    <w:rsid w:val="00DC67F4"/>
    <w:rsid w:val="00DC6A28"/>
    <w:rsid w:val="00DC6C4F"/>
    <w:rsid w:val="00DC6E62"/>
    <w:rsid w:val="00DC6EE5"/>
    <w:rsid w:val="00DD03FD"/>
    <w:rsid w:val="00DD0FFD"/>
    <w:rsid w:val="00DD29A3"/>
    <w:rsid w:val="00DD2BB9"/>
    <w:rsid w:val="00DD3508"/>
    <w:rsid w:val="00DD4C6F"/>
    <w:rsid w:val="00DD62CD"/>
    <w:rsid w:val="00DD6510"/>
    <w:rsid w:val="00DD75DD"/>
    <w:rsid w:val="00DE051A"/>
    <w:rsid w:val="00DE065C"/>
    <w:rsid w:val="00DE16E5"/>
    <w:rsid w:val="00DE272A"/>
    <w:rsid w:val="00DE2DF7"/>
    <w:rsid w:val="00DE385C"/>
    <w:rsid w:val="00DE3BA8"/>
    <w:rsid w:val="00DE3E3D"/>
    <w:rsid w:val="00DE56E0"/>
    <w:rsid w:val="00DE59FE"/>
    <w:rsid w:val="00DE5EBC"/>
    <w:rsid w:val="00DE68F6"/>
    <w:rsid w:val="00DE706B"/>
    <w:rsid w:val="00DE7416"/>
    <w:rsid w:val="00DE7990"/>
    <w:rsid w:val="00DF0BB4"/>
    <w:rsid w:val="00DF0EC1"/>
    <w:rsid w:val="00DF1078"/>
    <w:rsid w:val="00DF2163"/>
    <w:rsid w:val="00DF2327"/>
    <w:rsid w:val="00DF29FA"/>
    <w:rsid w:val="00DF2F53"/>
    <w:rsid w:val="00DF3BF5"/>
    <w:rsid w:val="00DF3C68"/>
    <w:rsid w:val="00DF4AFD"/>
    <w:rsid w:val="00DF5B29"/>
    <w:rsid w:val="00DF6956"/>
    <w:rsid w:val="00DF712A"/>
    <w:rsid w:val="00DF7803"/>
    <w:rsid w:val="00E0019E"/>
    <w:rsid w:val="00E0020A"/>
    <w:rsid w:val="00E007B3"/>
    <w:rsid w:val="00E00A89"/>
    <w:rsid w:val="00E00AFE"/>
    <w:rsid w:val="00E019BC"/>
    <w:rsid w:val="00E01DC7"/>
    <w:rsid w:val="00E03BCD"/>
    <w:rsid w:val="00E0494C"/>
    <w:rsid w:val="00E05EDD"/>
    <w:rsid w:val="00E06E14"/>
    <w:rsid w:val="00E11660"/>
    <w:rsid w:val="00E1191D"/>
    <w:rsid w:val="00E1358A"/>
    <w:rsid w:val="00E13729"/>
    <w:rsid w:val="00E13B38"/>
    <w:rsid w:val="00E14606"/>
    <w:rsid w:val="00E156D9"/>
    <w:rsid w:val="00E169E8"/>
    <w:rsid w:val="00E1727B"/>
    <w:rsid w:val="00E174B7"/>
    <w:rsid w:val="00E206BF"/>
    <w:rsid w:val="00E20B5A"/>
    <w:rsid w:val="00E22141"/>
    <w:rsid w:val="00E226C8"/>
    <w:rsid w:val="00E23EBA"/>
    <w:rsid w:val="00E24AB6"/>
    <w:rsid w:val="00E26488"/>
    <w:rsid w:val="00E2658A"/>
    <w:rsid w:val="00E265A4"/>
    <w:rsid w:val="00E26C6E"/>
    <w:rsid w:val="00E2760F"/>
    <w:rsid w:val="00E27A92"/>
    <w:rsid w:val="00E27CC1"/>
    <w:rsid w:val="00E313DE"/>
    <w:rsid w:val="00E315B1"/>
    <w:rsid w:val="00E31910"/>
    <w:rsid w:val="00E32AD1"/>
    <w:rsid w:val="00E343FC"/>
    <w:rsid w:val="00E35106"/>
    <w:rsid w:val="00E3644D"/>
    <w:rsid w:val="00E36A6E"/>
    <w:rsid w:val="00E36CE9"/>
    <w:rsid w:val="00E3737A"/>
    <w:rsid w:val="00E378C3"/>
    <w:rsid w:val="00E37B47"/>
    <w:rsid w:val="00E40204"/>
    <w:rsid w:val="00E40A61"/>
    <w:rsid w:val="00E40C5C"/>
    <w:rsid w:val="00E40D52"/>
    <w:rsid w:val="00E41246"/>
    <w:rsid w:val="00E415A8"/>
    <w:rsid w:val="00E41832"/>
    <w:rsid w:val="00E434D9"/>
    <w:rsid w:val="00E43DDA"/>
    <w:rsid w:val="00E4408F"/>
    <w:rsid w:val="00E44DBE"/>
    <w:rsid w:val="00E47990"/>
    <w:rsid w:val="00E47B21"/>
    <w:rsid w:val="00E47F7D"/>
    <w:rsid w:val="00E512C1"/>
    <w:rsid w:val="00E51694"/>
    <w:rsid w:val="00E517FD"/>
    <w:rsid w:val="00E51A0B"/>
    <w:rsid w:val="00E51D21"/>
    <w:rsid w:val="00E5239D"/>
    <w:rsid w:val="00E53506"/>
    <w:rsid w:val="00E53ACA"/>
    <w:rsid w:val="00E54645"/>
    <w:rsid w:val="00E54F85"/>
    <w:rsid w:val="00E55579"/>
    <w:rsid w:val="00E556DF"/>
    <w:rsid w:val="00E57BEC"/>
    <w:rsid w:val="00E57E3C"/>
    <w:rsid w:val="00E60591"/>
    <w:rsid w:val="00E607BE"/>
    <w:rsid w:val="00E61CAA"/>
    <w:rsid w:val="00E61DFE"/>
    <w:rsid w:val="00E62083"/>
    <w:rsid w:val="00E623A5"/>
    <w:rsid w:val="00E63AE3"/>
    <w:rsid w:val="00E63BE6"/>
    <w:rsid w:val="00E64DEF"/>
    <w:rsid w:val="00E656D6"/>
    <w:rsid w:val="00E664A7"/>
    <w:rsid w:val="00E70104"/>
    <w:rsid w:val="00E70A4C"/>
    <w:rsid w:val="00E71DAA"/>
    <w:rsid w:val="00E731F4"/>
    <w:rsid w:val="00E73E08"/>
    <w:rsid w:val="00E74E0D"/>
    <w:rsid w:val="00E75794"/>
    <w:rsid w:val="00E75F6D"/>
    <w:rsid w:val="00E76349"/>
    <w:rsid w:val="00E76702"/>
    <w:rsid w:val="00E778DB"/>
    <w:rsid w:val="00E814E0"/>
    <w:rsid w:val="00E81919"/>
    <w:rsid w:val="00E81ED3"/>
    <w:rsid w:val="00E828FF"/>
    <w:rsid w:val="00E82AB4"/>
    <w:rsid w:val="00E8357C"/>
    <w:rsid w:val="00E84A3E"/>
    <w:rsid w:val="00E85F54"/>
    <w:rsid w:val="00E86922"/>
    <w:rsid w:val="00E87098"/>
    <w:rsid w:val="00E87504"/>
    <w:rsid w:val="00E87775"/>
    <w:rsid w:val="00E9035A"/>
    <w:rsid w:val="00E90498"/>
    <w:rsid w:val="00E90CFF"/>
    <w:rsid w:val="00E915B9"/>
    <w:rsid w:val="00E921C1"/>
    <w:rsid w:val="00E92209"/>
    <w:rsid w:val="00E926B7"/>
    <w:rsid w:val="00E93C2C"/>
    <w:rsid w:val="00E93E80"/>
    <w:rsid w:val="00E94876"/>
    <w:rsid w:val="00E94B32"/>
    <w:rsid w:val="00E94FD5"/>
    <w:rsid w:val="00E955BC"/>
    <w:rsid w:val="00E95932"/>
    <w:rsid w:val="00E96A5D"/>
    <w:rsid w:val="00E96C9D"/>
    <w:rsid w:val="00E97314"/>
    <w:rsid w:val="00E97452"/>
    <w:rsid w:val="00E979EA"/>
    <w:rsid w:val="00E97A54"/>
    <w:rsid w:val="00E97A5B"/>
    <w:rsid w:val="00EA1F10"/>
    <w:rsid w:val="00EA4683"/>
    <w:rsid w:val="00EA5852"/>
    <w:rsid w:val="00EA5910"/>
    <w:rsid w:val="00EA631A"/>
    <w:rsid w:val="00EA66A3"/>
    <w:rsid w:val="00EA6CB6"/>
    <w:rsid w:val="00EA7B93"/>
    <w:rsid w:val="00EB0735"/>
    <w:rsid w:val="00EB0DCF"/>
    <w:rsid w:val="00EB1C05"/>
    <w:rsid w:val="00EB1C6A"/>
    <w:rsid w:val="00EB2CC0"/>
    <w:rsid w:val="00EB3622"/>
    <w:rsid w:val="00EB4642"/>
    <w:rsid w:val="00EB4879"/>
    <w:rsid w:val="00EB563E"/>
    <w:rsid w:val="00EB5FAC"/>
    <w:rsid w:val="00EB64B1"/>
    <w:rsid w:val="00EB6506"/>
    <w:rsid w:val="00EC037F"/>
    <w:rsid w:val="00EC064B"/>
    <w:rsid w:val="00EC1100"/>
    <w:rsid w:val="00EC2916"/>
    <w:rsid w:val="00EC3208"/>
    <w:rsid w:val="00EC332E"/>
    <w:rsid w:val="00EC4D72"/>
    <w:rsid w:val="00EC5F6C"/>
    <w:rsid w:val="00EC74CF"/>
    <w:rsid w:val="00ED1415"/>
    <w:rsid w:val="00ED163C"/>
    <w:rsid w:val="00ED1D2C"/>
    <w:rsid w:val="00ED3E62"/>
    <w:rsid w:val="00ED42E8"/>
    <w:rsid w:val="00ED5407"/>
    <w:rsid w:val="00ED57E9"/>
    <w:rsid w:val="00EE21C7"/>
    <w:rsid w:val="00EE298C"/>
    <w:rsid w:val="00EE3B60"/>
    <w:rsid w:val="00EE405D"/>
    <w:rsid w:val="00EE405E"/>
    <w:rsid w:val="00EE40CE"/>
    <w:rsid w:val="00EE413E"/>
    <w:rsid w:val="00EE49B0"/>
    <w:rsid w:val="00EE4A5F"/>
    <w:rsid w:val="00EE4D61"/>
    <w:rsid w:val="00EE554C"/>
    <w:rsid w:val="00EE56BD"/>
    <w:rsid w:val="00EE6AC5"/>
    <w:rsid w:val="00EE7738"/>
    <w:rsid w:val="00EF05BC"/>
    <w:rsid w:val="00EF07A3"/>
    <w:rsid w:val="00EF0C4E"/>
    <w:rsid w:val="00EF0DFE"/>
    <w:rsid w:val="00EF1299"/>
    <w:rsid w:val="00EF21CB"/>
    <w:rsid w:val="00EF2960"/>
    <w:rsid w:val="00EF2D1B"/>
    <w:rsid w:val="00EF3726"/>
    <w:rsid w:val="00EF3739"/>
    <w:rsid w:val="00EF38E3"/>
    <w:rsid w:val="00EF3E68"/>
    <w:rsid w:val="00EF441C"/>
    <w:rsid w:val="00EF4673"/>
    <w:rsid w:val="00EF58EE"/>
    <w:rsid w:val="00EF65A2"/>
    <w:rsid w:val="00F00676"/>
    <w:rsid w:val="00F0239B"/>
    <w:rsid w:val="00F03748"/>
    <w:rsid w:val="00F03D1B"/>
    <w:rsid w:val="00F04475"/>
    <w:rsid w:val="00F0455F"/>
    <w:rsid w:val="00F065AE"/>
    <w:rsid w:val="00F0686B"/>
    <w:rsid w:val="00F07071"/>
    <w:rsid w:val="00F07DCA"/>
    <w:rsid w:val="00F104CD"/>
    <w:rsid w:val="00F111DD"/>
    <w:rsid w:val="00F112C8"/>
    <w:rsid w:val="00F1142E"/>
    <w:rsid w:val="00F1161B"/>
    <w:rsid w:val="00F12479"/>
    <w:rsid w:val="00F12B3E"/>
    <w:rsid w:val="00F12B9F"/>
    <w:rsid w:val="00F12CD7"/>
    <w:rsid w:val="00F12F93"/>
    <w:rsid w:val="00F134B0"/>
    <w:rsid w:val="00F140C9"/>
    <w:rsid w:val="00F141E7"/>
    <w:rsid w:val="00F145FA"/>
    <w:rsid w:val="00F14942"/>
    <w:rsid w:val="00F14D22"/>
    <w:rsid w:val="00F173A5"/>
    <w:rsid w:val="00F2015A"/>
    <w:rsid w:val="00F216F6"/>
    <w:rsid w:val="00F21977"/>
    <w:rsid w:val="00F224C2"/>
    <w:rsid w:val="00F22FDA"/>
    <w:rsid w:val="00F2319B"/>
    <w:rsid w:val="00F232C3"/>
    <w:rsid w:val="00F239B1"/>
    <w:rsid w:val="00F2434E"/>
    <w:rsid w:val="00F243BD"/>
    <w:rsid w:val="00F257DD"/>
    <w:rsid w:val="00F25927"/>
    <w:rsid w:val="00F26FD6"/>
    <w:rsid w:val="00F2730A"/>
    <w:rsid w:val="00F27F98"/>
    <w:rsid w:val="00F301A3"/>
    <w:rsid w:val="00F309ED"/>
    <w:rsid w:val="00F3327F"/>
    <w:rsid w:val="00F33782"/>
    <w:rsid w:val="00F33796"/>
    <w:rsid w:val="00F33B01"/>
    <w:rsid w:val="00F3483C"/>
    <w:rsid w:val="00F3484C"/>
    <w:rsid w:val="00F35AAA"/>
    <w:rsid w:val="00F35B4C"/>
    <w:rsid w:val="00F360CE"/>
    <w:rsid w:val="00F361D2"/>
    <w:rsid w:val="00F363AC"/>
    <w:rsid w:val="00F365D0"/>
    <w:rsid w:val="00F3673B"/>
    <w:rsid w:val="00F37BC8"/>
    <w:rsid w:val="00F4044A"/>
    <w:rsid w:val="00F409D9"/>
    <w:rsid w:val="00F41FB4"/>
    <w:rsid w:val="00F42169"/>
    <w:rsid w:val="00F433EA"/>
    <w:rsid w:val="00F43F27"/>
    <w:rsid w:val="00F44760"/>
    <w:rsid w:val="00F448D0"/>
    <w:rsid w:val="00F450A9"/>
    <w:rsid w:val="00F46EB2"/>
    <w:rsid w:val="00F47C19"/>
    <w:rsid w:val="00F514B8"/>
    <w:rsid w:val="00F51629"/>
    <w:rsid w:val="00F51979"/>
    <w:rsid w:val="00F51CBF"/>
    <w:rsid w:val="00F51D1D"/>
    <w:rsid w:val="00F53265"/>
    <w:rsid w:val="00F53820"/>
    <w:rsid w:val="00F542F7"/>
    <w:rsid w:val="00F54988"/>
    <w:rsid w:val="00F55D80"/>
    <w:rsid w:val="00F566E4"/>
    <w:rsid w:val="00F5687C"/>
    <w:rsid w:val="00F57C7B"/>
    <w:rsid w:val="00F604D6"/>
    <w:rsid w:val="00F618DC"/>
    <w:rsid w:val="00F61E22"/>
    <w:rsid w:val="00F62985"/>
    <w:rsid w:val="00F62B47"/>
    <w:rsid w:val="00F64341"/>
    <w:rsid w:val="00F6440B"/>
    <w:rsid w:val="00F6450D"/>
    <w:rsid w:val="00F64D95"/>
    <w:rsid w:val="00F65393"/>
    <w:rsid w:val="00F653A8"/>
    <w:rsid w:val="00F6573F"/>
    <w:rsid w:val="00F67192"/>
    <w:rsid w:val="00F672B2"/>
    <w:rsid w:val="00F67447"/>
    <w:rsid w:val="00F67A51"/>
    <w:rsid w:val="00F70194"/>
    <w:rsid w:val="00F705E4"/>
    <w:rsid w:val="00F72B4B"/>
    <w:rsid w:val="00F738C1"/>
    <w:rsid w:val="00F73909"/>
    <w:rsid w:val="00F74009"/>
    <w:rsid w:val="00F746C3"/>
    <w:rsid w:val="00F74A8F"/>
    <w:rsid w:val="00F74E60"/>
    <w:rsid w:val="00F75A1E"/>
    <w:rsid w:val="00F76023"/>
    <w:rsid w:val="00F7675B"/>
    <w:rsid w:val="00F76A99"/>
    <w:rsid w:val="00F76DB1"/>
    <w:rsid w:val="00F76E7B"/>
    <w:rsid w:val="00F7766E"/>
    <w:rsid w:val="00F77EE2"/>
    <w:rsid w:val="00F80140"/>
    <w:rsid w:val="00F80681"/>
    <w:rsid w:val="00F80C50"/>
    <w:rsid w:val="00F80FA8"/>
    <w:rsid w:val="00F81695"/>
    <w:rsid w:val="00F81B00"/>
    <w:rsid w:val="00F81C6B"/>
    <w:rsid w:val="00F8268E"/>
    <w:rsid w:val="00F826A0"/>
    <w:rsid w:val="00F83472"/>
    <w:rsid w:val="00F83ACF"/>
    <w:rsid w:val="00F84766"/>
    <w:rsid w:val="00F849C1"/>
    <w:rsid w:val="00F85629"/>
    <w:rsid w:val="00F86F3F"/>
    <w:rsid w:val="00F87460"/>
    <w:rsid w:val="00F87FEE"/>
    <w:rsid w:val="00F90BA0"/>
    <w:rsid w:val="00F91050"/>
    <w:rsid w:val="00F915DC"/>
    <w:rsid w:val="00F9182E"/>
    <w:rsid w:val="00F92D04"/>
    <w:rsid w:val="00F92F1A"/>
    <w:rsid w:val="00F93C7B"/>
    <w:rsid w:val="00F944DB"/>
    <w:rsid w:val="00F945BB"/>
    <w:rsid w:val="00F94ABF"/>
    <w:rsid w:val="00F9515D"/>
    <w:rsid w:val="00F95FFA"/>
    <w:rsid w:val="00F97604"/>
    <w:rsid w:val="00F97771"/>
    <w:rsid w:val="00FA17E7"/>
    <w:rsid w:val="00FA1CED"/>
    <w:rsid w:val="00FA3316"/>
    <w:rsid w:val="00FA426E"/>
    <w:rsid w:val="00FA4A32"/>
    <w:rsid w:val="00FA4CC5"/>
    <w:rsid w:val="00FA57F4"/>
    <w:rsid w:val="00FA6132"/>
    <w:rsid w:val="00FA73B1"/>
    <w:rsid w:val="00FA7431"/>
    <w:rsid w:val="00FB0220"/>
    <w:rsid w:val="00FB0587"/>
    <w:rsid w:val="00FB0589"/>
    <w:rsid w:val="00FB0DF0"/>
    <w:rsid w:val="00FB181E"/>
    <w:rsid w:val="00FB194E"/>
    <w:rsid w:val="00FB19DA"/>
    <w:rsid w:val="00FB1CB7"/>
    <w:rsid w:val="00FB1E52"/>
    <w:rsid w:val="00FB2150"/>
    <w:rsid w:val="00FB2FC2"/>
    <w:rsid w:val="00FB3094"/>
    <w:rsid w:val="00FB5320"/>
    <w:rsid w:val="00FB68B5"/>
    <w:rsid w:val="00FB6F98"/>
    <w:rsid w:val="00FB76C6"/>
    <w:rsid w:val="00FC090F"/>
    <w:rsid w:val="00FC26ED"/>
    <w:rsid w:val="00FC28FF"/>
    <w:rsid w:val="00FC2FB4"/>
    <w:rsid w:val="00FC2FEE"/>
    <w:rsid w:val="00FC4413"/>
    <w:rsid w:val="00FC49A9"/>
    <w:rsid w:val="00FC5504"/>
    <w:rsid w:val="00FC55DB"/>
    <w:rsid w:val="00FC5755"/>
    <w:rsid w:val="00FC5C55"/>
    <w:rsid w:val="00FC6848"/>
    <w:rsid w:val="00FC6D33"/>
    <w:rsid w:val="00FD0EE8"/>
    <w:rsid w:val="00FD1285"/>
    <w:rsid w:val="00FD2815"/>
    <w:rsid w:val="00FD312C"/>
    <w:rsid w:val="00FD3305"/>
    <w:rsid w:val="00FD3388"/>
    <w:rsid w:val="00FD38AA"/>
    <w:rsid w:val="00FD39B8"/>
    <w:rsid w:val="00FD3A04"/>
    <w:rsid w:val="00FD627C"/>
    <w:rsid w:val="00FD6B0D"/>
    <w:rsid w:val="00FD75C8"/>
    <w:rsid w:val="00FE0F57"/>
    <w:rsid w:val="00FE305B"/>
    <w:rsid w:val="00FE30F6"/>
    <w:rsid w:val="00FE4A19"/>
    <w:rsid w:val="00FE4DDA"/>
    <w:rsid w:val="00FE5649"/>
    <w:rsid w:val="00FE5FBC"/>
    <w:rsid w:val="00FF09B2"/>
    <w:rsid w:val="00FF1084"/>
    <w:rsid w:val="00FF1B2B"/>
    <w:rsid w:val="00FF201A"/>
    <w:rsid w:val="00FF20DA"/>
    <w:rsid w:val="00FF25C2"/>
    <w:rsid w:val="00FF4A0C"/>
    <w:rsid w:val="00FF56D3"/>
    <w:rsid w:val="00FF623A"/>
    <w:rsid w:val="00FF62D9"/>
    <w:rsid w:val="00FF639F"/>
    <w:rsid w:val="00FF6E78"/>
    <w:rsid w:val="00FF755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C8"/>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7A0CC8"/>
    <w:pPr>
      <w:keepNext/>
      <w:spacing w:before="140" w:line="240" w:lineRule="atLeast"/>
      <w:jc w:val="center"/>
      <w:outlineLvl w:val="0"/>
    </w:pPr>
    <w:rPr>
      <w:b/>
      <w:smallCaps/>
    </w:rPr>
  </w:style>
  <w:style w:type="paragraph" w:styleId="Heading2">
    <w:name w:val="heading 2"/>
    <w:basedOn w:val="Normal"/>
    <w:next w:val="Normal"/>
    <w:qFormat/>
    <w:rsid w:val="007A0CC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A0CC8"/>
    <w:pPr>
      <w:keepNext/>
      <w:tabs>
        <w:tab w:val="left" w:pos="1584"/>
      </w:tabs>
      <w:spacing w:before="140" w:line="240" w:lineRule="atLeast"/>
      <w:ind w:left="1584" w:hanging="432"/>
      <w:jc w:val="left"/>
      <w:outlineLvl w:val="2"/>
    </w:pPr>
    <w:rPr>
      <w:i/>
    </w:rPr>
  </w:style>
  <w:style w:type="paragraph" w:styleId="Heading4">
    <w:name w:val="heading 4"/>
    <w:basedOn w:val="Normal"/>
    <w:rsid w:val="007A0CC8"/>
    <w:pPr>
      <w:keepNext/>
      <w:tabs>
        <w:tab w:val="left" w:pos="2016"/>
      </w:tabs>
      <w:spacing w:before="140" w:line="240" w:lineRule="atLeast"/>
      <w:ind w:left="2016" w:hanging="432"/>
      <w:jc w:val="left"/>
      <w:outlineLvl w:val="3"/>
    </w:pPr>
    <w:rPr>
      <w:i/>
    </w:rPr>
  </w:style>
  <w:style w:type="paragraph" w:styleId="Heading5">
    <w:name w:val="heading 5"/>
    <w:basedOn w:val="Normal"/>
    <w:rsid w:val="007A0CC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A0CC8"/>
    <w:pPr>
      <w:ind w:left="720"/>
    </w:pPr>
  </w:style>
  <w:style w:type="paragraph" w:styleId="Footer">
    <w:name w:val="footer"/>
    <w:basedOn w:val="Normal"/>
    <w:qFormat/>
    <w:rsid w:val="007A0CC8"/>
    <w:pPr>
      <w:tabs>
        <w:tab w:val="center" w:pos="3960"/>
        <w:tab w:val="right" w:pos="10080"/>
      </w:tabs>
      <w:spacing w:after="0" w:line="240" w:lineRule="auto"/>
      <w:jc w:val="center"/>
    </w:pPr>
    <w:rPr>
      <w:sz w:val="22"/>
    </w:rPr>
  </w:style>
  <w:style w:type="paragraph" w:styleId="Header">
    <w:name w:val="header"/>
    <w:basedOn w:val="Normal"/>
    <w:qFormat/>
    <w:rsid w:val="007A0CC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A0CC8"/>
    <w:rPr>
      <w:rFonts w:ascii="Century Schoolbook" w:hAnsi="Century Schoolbook"/>
      <w:b/>
      <w:i w:val="0"/>
      <w:position w:val="4"/>
      <w:sz w:val="27"/>
      <w:vertAlign w:val="superscript"/>
    </w:rPr>
  </w:style>
  <w:style w:type="paragraph" w:styleId="FootnoteText">
    <w:name w:val="footnote text"/>
    <w:basedOn w:val="Normal"/>
    <w:link w:val="FootnoteTextChar"/>
    <w:rsid w:val="007A0CC8"/>
    <w:pPr>
      <w:spacing w:line="300" w:lineRule="exact"/>
    </w:pPr>
  </w:style>
  <w:style w:type="paragraph" w:customStyle="1" w:styleId="Title1">
    <w:name w:val="Title1"/>
    <w:basedOn w:val="Normal"/>
    <w:rsid w:val="007A0CC8"/>
    <w:pPr>
      <w:tabs>
        <w:tab w:val="left" w:pos="5760"/>
        <w:tab w:val="left" w:pos="6480"/>
      </w:tabs>
      <w:spacing w:line="240" w:lineRule="atLeast"/>
    </w:pPr>
  </w:style>
  <w:style w:type="paragraph" w:customStyle="1" w:styleId="Recommend">
    <w:name w:val="Recommend"/>
    <w:basedOn w:val="Normal"/>
    <w:rsid w:val="007A0CC8"/>
  </w:style>
  <w:style w:type="paragraph" w:customStyle="1" w:styleId="Summary">
    <w:name w:val="Summary"/>
    <w:basedOn w:val="Normal"/>
    <w:rsid w:val="007A0CC8"/>
    <w:pPr>
      <w:ind w:left="2160" w:hanging="2160"/>
    </w:pPr>
  </w:style>
  <w:style w:type="paragraph" w:customStyle="1" w:styleId="Text">
    <w:name w:val="Text"/>
    <w:basedOn w:val="Normal"/>
    <w:rsid w:val="007A0CC8"/>
    <w:pPr>
      <w:tabs>
        <w:tab w:val="left" w:pos="720"/>
        <w:tab w:val="left" w:pos="1440"/>
        <w:tab w:val="left" w:pos="2160"/>
        <w:tab w:val="center" w:pos="4320"/>
      </w:tabs>
      <w:spacing w:line="480" w:lineRule="atLeast"/>
      <w:ind w:firstLine="540"/>
    </w:pPr>
  </w:style>
  <w:style w:type="paragraph" w:styleId="Date">
    <w:name w:val="Date"/>
    <w:basedOn w:val="Normal"/>
    <w:semiHidden/>
    <w:rsid w:val="007A0CC8"/>
    <w:pPr>
      <w:jc w:val="right"/>
    </w:pPr>
  </w:style>
  <w:style w:type="character" w:styleId="PageNumber">
    <w:name w:val="page number"/>
    <w:basedOn w:val="DefaultParagraphFont"/>
    <w:rsid w:val="007A0CC8"/>
  </w:style>
  <w:style w:type="paragraph" w:customStyle="1" w:styleId="subject">
    <w:name w:val="subject"/>
    <w:basedOn w:val="Normal"/>
    <w:rsid w:val="007A0CC8"/>
    <w:pPr>
      <w:tabs>
        <w:tab w:val="left" w:pos="1008"/>
      </w:tabs>
      <w:ind w:left="990" w:hanging="990"/>
    </w:pPr>
    <w:rPr>
      <w:b/>
    </w:rPr>
  </w:style>
  <w:style w:type="paragraph" w:customStyle="1" w:styleId="Titles">
    <w:name w:val="Titles"/>
    <w:basedOn w:val="Normal"/>
    <w:rsid w:val="007A0CC8"/>
    <w:pPr>
      <w:tabs>
        <w:tab w:val="left" w:pos="2160"/>
      </w:tabs>
      <w:ind w:left="2160" w:hanging="2160"/>
    </w:pPr>
    <w:rPr>
      <w:b/>
    </w:rPr>
  </w:style>
  <w:style w:type="paragraph" w:styleId="TOAHeading">
    <w:name w:val="toa heading"/>
    <w:basedOn w:val="Normal"/>
    <w:next w:val="Normal"/>
    <w:semiHidden/>
    <w:rsid w:val="007A0CC8"/>
    <w:pPr>
      <w:spacing w:before="120"/>
    </w:pPr>
    <w:rPr>
      <w:b/>
    </w:rPr>
  </w:style>
  <w:style w:type="paragraph" w:styleId="TOC1">
    <w:name w:val="toc 1"/>
    <w:basedOn w:val="Normal"/>
    <w:next w:val="Normal"/>
    <w:autoRedefine/>
    <w:semiHidden/>
    <w:rsid w:val="007A0CC8"/>
  </w:style>
  <w:style w:type="paragraph" w:styleId="TOC2">
    <w:name w:val="toc 2"/>
    <w:basedOn w:val="Normal"/>
    <w:next w:val="Normal"/>
    <w:autoRedefine/>
    <w:semiHidden/>
    <w:rsid w:val="007A0CC8"/>
    <w:pPr>
      <w:ind w:left="259"/>
    </w:pPr>
  </w:style>
  <w:style w:type="paragraph" w:styleId="TOC3">
    <w:name w:val="toc 3"/>
    <w:basedOn w:val="Normal"/>
    <w:next w:val="Normal"/>
    <w:autoRedefine/>
    <w:semiHidden/>
    <w:rsid w:val="007A0CC8"/>
    <w:pPr>
      <w:ind w:left="520"/>
    </w:pPr>
  </w:style>
  <w:style w:type="paragraph" w:styleId="TOC4">
    <w:name w:val="toc 4"/>
    <w:basedOn w:val="Normal"/>
    <w:next w:val="Normal"/>
    <w:autoRedefine/>
    <w:semiHidden/>
    <w:rsid w:val="007A0CC8"/>
    <w:pPr>
      <w:ind w:left="780"/>
    </w:pPr>
  </w:style>
  <w:style w:type="paragraph" w:styleId="TOC5">
    <w:name w:val="toc 5"/>
    <w:basedOn w:val="Normal"/>
    <w:next w:val="Normal"/>
    <w:autoRedefine/>
    <w:semiHidden/>
    <w:rsid w:val="007A0CC8"/>
    <w:pPr>
      <w:ind w:left="1040"/>
    </w:pPr>
  </w:style>
  <w:style w:type="paragraph" w:styleId="TOC6">
    <w:name w:val="toc 6"/>
    <w:basedOn w:val="Normal"/>
    <w:next w:val="Normal"/>
    <w:autoRedefine/>
    <w:semiHidden/>
    <w:rsid w:val="007A0CC8"/>
    <w:pPr>
      <w:ind w:left="1300"/>
    </w:pPr>
  </w:style>
  <w:style w:type="paragraph" w:styleId="TOC7">
    <w:name w:val="toc 7"/>
    <w:basedOn w:val="Normal"/>
    <w:next w:val="Normal"/>
    <w:autoRedefine/>
    <w:semiHidden/>
    <w:rsid w:val="007A0CC8"/>
    <w:pPr>
      <w:ind w:left="1560"/>
    </w:pPr>
  </w:style>
  <w:style w:type="paragraph" w:styleId="TOC8">
    <w:name w:val="toc 8"/>
    <w:basedOn w:val="Normal"/>
    <w:next w:val="Normal"/>
    <w:autoRedefine/>
    <w:semiHidden/>
    <w:rsid w:val="007A0CC8"/>
    <w:pPr>
      <w:ind w:left="1820"/>
    </w:pPr>
  </w:style>
  <w:style w:type="paragraph" w:styleId="TOC9">
    <w:name w:val="toc 9"/>
    <w:basedOn w:val="Normal"/>
    <w:next w:val="Normal"/>
    <w:autoRedefine/>
    <w:semiHidden/>
    <w:rsid w:val="007A0CC8"/>
    <w:pPr>
      <w:ind w:left="2080"/>
    </w:pPr>
  </w:style>
  <w:style w:type="paragraph" w:customStyle="1" w:styleId="Contents">
    <w:name w:val="Contents"/>
    <w:basedOn w:val="Normal"/>
    <w:rsid w:val="007A0CC8"/>
    <w:pPr>
      <w:jc w:val="center"/>
    </w:pPr>
    <w:rPr>
      <w:b/>
      <w:spacing w:val="100"/>
    </w:rPr>
  </w:style>
  <w:style w:type="character" w:styleId="CommentReference">
    <w:name w:val="annotation reference"/>
    <w:basedOn w:val="DefaultParagraphFont"/>
    <w:uiPriority w:val="99"/>
    <w:semiHidden/>
    <w:unhideWhenUsed/>
    <w:rsid w:val="00451B4B"/>
    <w:rPr>
      <w:sz w:val="16"/>
      <w:szCs w:val="16"/>
    </w:rPr>
  </w:style>
  <w:style w:type="paragraph" w:styleId="CommentText">
    <w:name w:val="annotation text"/>
    <w:basedOn w:val="Normal"/>
    <w:link w:val="CommentTextChar"/>
    <w:uiPriority w:val="99"/>
    <w:unhideWhenUsed/>
    <w:rsid w:val="00451B4B"/>
    <w:rPr>
      <w:sz w:val="20"/>
    </w:rPr>
  </w:style>
  <w:style w:type="character" w:customStyle="1" w:styleId="CommentTextChar">
    <w:name w:val="Comment Text Char"/>
    <w:basedOn w:val="DefaultParagraphFont"/>
    <w:link w:val="CommentText"/>
    <w:uiPriority w:val="99"/>
    <w:rsid w:val="00451B4B"/>
  </w:style>
  <w:style w:type="paragraph" w:styleId="CommentSubject">
    <w:name w:val="annotation subject"/>
    <w:basedOn w:val="CommentText"/>
    <w:next w:val="CommentText"/>
    <w:link w:val="CommentSubjectChar"/>
    <w:uiPriority w:val="99"/>
    <w:semiHidden/>
    <w:unhideWhenUsed/>
    <w:rsid w:val="00451B4B"/>
    <w:rPr>
      <w:b/>
      <w:bCs/>
    </w:rPr>
  </w:style>
  <w:style w:type="character" w:customStyle="1" w:styleId="CommentSubjectChar">
    <w:name w:val="Comment Subject Char"/>
    <w:basedOn w:val="CommentTextChar"/>
    <w:link w:val="CommentSubject"/>
    <w:uiPriority w:val="99"/>
    <w:semiHidden/>
    <w:rsid w:val="00451B4B"/>
    <w:rPr>
      <w:b/>
      <w:bCs/>
    </w:rPr>
  </w:style>
  <w:style w:type="paragraph" w:styleId="ListParagraph">
    <w:name w:val="List Paragraph"/>
    <w:basedOn w:val="Normal"/>
    <w:uiPriority w:val="34"/>
    <w:qFormat/>
    <w:rsid w:val="00FE4A19"/>
    <w:pPr>
      <w:ind w:left="720"/>
      <w:contextualSpacing/>
    </w:pPr>
  </w:style>
  <w:style w:type="character" w:styleId="Hyperlink">
    <w:name w:val="Hyperlink"/>
    <w:basedOn w:val="DefaultParagraphFont"/>
    <w:unhideWhenUsed/>
    <w:rsid w:val="00D22563"/>
    <w:rPr>
      <w:color w:val="0000FF" w:themeColor="hyperlink"/>
      <w:u w:val="single"/>
    </w:rPr>
  </w:style>
  <w:style w:type="character" w:customStyle="1" w:styleId="UnresolvedMention1">
    <w:name w:val="Unresolved Mention1"/>
    <w:basedOn w:val="DefaultParagraphFont"/>
    <w:uiPriority w:val="99"/>
    <w:semiHidden/>
    <w:unhideWhenUsed/>
    <w:rsid w:val="00D22563"/>
    <w:rPr>
      <w:color w:val="605E5C"/>
      <w:shd w:val="clear" w:color="auto" w:fill="E1DFDD"/>
    </w:rPr>
  </w:style>
  <w:style w:type="character" w:styleId="FollowedHyperlink">
    <w:name w:val="FollowedHyperlink"/>
    <w:basedOn w:val="DefaultParagraphFont"/>
    <w:uiPriority w:val="99"/>
    <w:semiHidden/>
    <w:unhideWhenUsed/>
    <w:rsid w:val="00E517FD"/>
    <w:rPr>
      <w:color w:val="800080" w:themeColor="followedHyperlink"/>
      <w:u w:val="single"/>
    </w:rPr>
  </w:style>
  <w:style w:type="paragraph" w:customStyle="1" w:styleId="Default">
    <w:name w:val="Default"/>
    <w:rsid w:val="008D0780"/>
    <w:pPr>
      <w:autoSpaceDE w:val="0"/>
      <w:autoSpaceDN w:val="0"/>
      <w:adjustRightInd w:val="0"/>
    </w:pPr>
    <w:rPr>
      <w:rFonts w:eastAsiaTheme="minorHAnsi"/>
      <w:color w:val="000000"/>
      <w:sz w:val="24"/>
      <w:szCs w:val="24"/>
    </w:rPr>
  </w:style>
  <w:style w:type="paragraph" w:styleId="Revision">
    <w:name w:val="Revision"/>
    <w:hidden/>
    <w:uiPriority w:val="99"/>
    <w:semiHidden/>
    <w:rsid w:val="00F87460"/>
    <w:rPr>
      <w:sz w:val="26"/>
    </w:rPr>
  </w:style>
  <w:style w:type="character" w:customStyle="1" w:styleId="FootnoteTextChar">
    <w:name w:val="Footnote Text Char"/>
    <w:basedOn w:val="DefaultParagraphFont"/>
    <w:link w:val="FootnoteText"/>
    <w:rsid w:val="00E95932"/>
    <w:rPr>
      <w:rFonts w:ascii="Century Schoolbook" w:hAnsi="Century Schoolbook"/>
      <w:sz w:val="27"/>
    </w:rPr>
  </w:style>
  <w:style w:type="character" w:customStyle="1" w:styleId="Heading1Char">
    <w:name w:val="Heading 1 Char"/>
    <w:basedOn w:val="DefaultParagraphFont"/>
    <w:link w:val="Heading1"/>
    <w:rsid w:val="00BF5D81"/>
    <w:rPr>
      <w:rFonts w:ascii="Century Schoolbook" w:hAnsi="Century Schoolbook"/>
      <w:b/>
      <w:smallCaps/>
      <w:sz w:val="27"/>
    </w:rPr>
  </w:style>
  <w:style w:type="paragraph" w:styleId="BodyText">
    <w:name w:val="Body Text"/>
    <w:basedOn w:val="Normal"/>
    <w:link w:val="BodyTextChar"/>
    <w:qFormat/>
    <w:rsid w:val="007A0CC8"/>
  </w:style>
  <w:style w:type="character" w:customStyle="1" w:styleId="BodyTextChar">
    <w:name w:val="Body Text Char"/>
    <w:basedOn w:val="DefaultParagraphFont"/>
    <w:link w:val="BodyText"/>
    <w:rsid w:val="007A0CC8"/>
    <w:rPr>
      <w:rFonts w:ascii="Century Schoolbook" w:hAnsi="Century Schoolbook"/>
      <w:sz w:val="27"/>
    </w:rPr>
  </w:style>
  <w:style w:type="character" w:customStyle="1" w:styleId="DeltaViewInsertion">
    <w:name w:val="DeltaView Insertion"/>
    <w:uiPriority w:val="99"/>
    <w:rsid w:val="00303670"/>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B65E-62B1-426C-9EC3-AF8D4A38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6209</Words>
  <Characters>35394</Characters>
  <Application>Microsoft Office Word</Application>
  <DocSecurity>0</DocSecurity>
  <Lines>294</Lines>
  <Paragraphs>83</Paragraphs>
  <ScaleCrop>false</ScaleCrop>
  <Company/>
  <LinksUpToDate>false</LinksUpToDate>
  <CharactersWithSpaces>41520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2023-07-24T15:45:10Z</dcterms:created>
  <dcterms:modified xsi:type="dcterms:W3CDTF">2023-07-24T15:45:10Z</dcterms:modified>
</cp:coreProperties>
</file>