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EE18" w14:textId="03D44949" w:rsidR="00E349D9" w:rsidRPr="008E0266" w:rsidRDefault="00E349D9" w:rsidP="008E0266">
      <w:pPr>
        <w:spacing w:after="0"/>
        <w:jc w:val="center"/>
        <w:rPr>
          <w:sz w:val="36"/>
        </w:rPr>
      </w:pPr>
      <w:bookmarkStart w:id="0" w:name="_Hlk130997354"/>
      <w:r w:rsidRPr="008E0266">
        <w:rPr>
          <w:b/>
          <w:sz w:val="36"/>
        </w:rPr>
        <w:t>IN THE SUPREME COURT OF CALIFORNIA</w:t>
      </w:r>
    </w:p>
    <w:p w14:paraId="13F6CF22" w14:textId="77777777" w:rsidR="00E349D9" w:rsidRPr="008E0266" w:rsidRDefault="00E349D9" w:rsidP="008E0266">
      <w:pPr>
        <w:spacing w:after="0"/>
        <w:jc w:val="center"/>
      </w:pPr>
    </w:p>
    <w:p w14:paraId="37FA3B7C" w14:textId="5DB9810D" w:rsidR="00E349D9" w:rsidRPr="008E0266" w:rsidRDefault="00E349D9" w:rsidP="008E0266">
      <w:pPr>
        <w:spacing w:after="0"/>
        <w:jc w:val="center"/>
      </w:pPr>
      <w:r w:rsidRPr="008E0266">
        <w:t>THE PEOPLE ex rel. LILIA GARCIA-BROWER</w:t>
      </w:r>
      <w:r w:rsidR="009B0AFD">
        <w:t>, as Labor Commissioner, etc.,</w:t>
      </w:r>
    </w:p>
    <w:p w14:paraId="39BE5C47" w14:textId="26A1C5F9" w:rsidR="00E349D9" w:rsidRPr="008E0266" w:rsidRDefault="00E349D9" w:rsidP="008E0266">
      <w:pPr>
        <w:spacing w:after="0"/>
        <w:jc w:val="center"/>
      </w:pPr>
      <w:r w:rsidRPr="008E0266">
        <w:t>Plaintiff and Appellant</w:t>
      </w:r>
      <w:r w:rsidR="008458F8">
        <w:t>,</w:t>
      </w:r>
    </w:p>
    <w:p w14:paraId="4AF87FDF" w14:textId="77777777" w:rsidR="00E349D9" w:rsidRPr="008E0266" w:rsidRDefault="00E349D9" w:rsidP="008E0266">
      <w:pPr>
        <w:spacing w:after="0"/>
        <w:jc w:val="center"/>
      </w:pPr>
      <w:r w:rsidRPr="008E0266">
        <w:t>v.</w:t>
      </w:r>
    </w:p>
    <w:p w14:paraId="694139F0" w14:textId="7529CEF8" w:rsidR="00E349D9" w:rsidRPr="008E0266" w:rsidRDefault="00E349D9" w:rsidP="008E0266">
      <w:pPr>
        <w:spacing w:after="0"/>
        <w:jc w:val="center"/>
      </w:pPr>
      <w:r w:rsidRPr="008E0266">
        <w:t>KOLLA’S, I</w:t>
      </w:r>
      <w:r w:rsidR="009B0AFD">
        <w:t>NC</w:t>
      </w:r>
      <w:r w:rsidRPr="008E0266">
        <w:t>.</w:t>
      </w:r>
      <w:r w:rsidR="008458F8">
        <w:t>,</w:t>
      </w:r>
    </w:p>
    <w:p w14:paraId="6B85C4C1" w14:textId="2B0E1B79" w:rsidR="00E349D9" w:rsidRPr="008E0266" w:rsidRDefault="00E349D9" w:rsidP="008E0266">
      <w:pPr>
        <w:spacing w:after="0"/>
        <w:jc w:val="center"/>
      </w:pPr>
      <w:r w:rsidRPr="008E0266">
        <w:t>Defendant and Respondent.</w:t>
      </w:r>
    </w:p>
    <w:p w14:paraId="18D21ABC" w14:textId="77777777" w:rsidR="00E349D9" w:rsidRPr="008E0266" w:rsidRDefault="00E349D9" w:rsidP="008E0266">
      <w:pPr>
        <w:spacing w:after="0"/>
        <w:jc w:val="center"/>
      </w:pPr>
    </w:p>
    <w:p w14:paraId="6C347772" w14:textId="77777777" w:rsidR="00E349D9" w:rsidRPr="008E0266" w:rsidRDefault="00E349D9" w:rsidP="008E0266">
      <w:pPr>
        <w:spacing w:after="0"/>
        <w:jc w:val="center"/>
      </w:pPr>
      <w:r w:rsidRPr="008E0266">
        <w:t>S269456</w:t>
      </w:r>
    </w:p>
    <w:p w14:paraId="65E09348" w14:textId="77777777" w:rsidR="00E349D9" w:rsidRDefault="00E349D9" w:rsidP="008E0266">
      <w:pPr>
        <w:spacing w:after="0"/>
        <w:jc w:val="center"/>
        <w:rPr>
          <w:spacing w:val="100"/>
        </w:rPr>
      </w:pPr>
    </w:p>
    <w:p w14:paraId="767E1628" w14:textId="71C54ECE" w:rsidR="00E349D9" w:rsidRDefault="00E5679B" w:rsidP="00E349D9">
      <w:pPr>
        <w:spacing w:after="0"/>
        <w:jc w:val="center"/>
      </w:pPr>
      <w:r>
        <w:t>Fourth Appellate District</w:t>
      </w:r>
      <w:r w:rsidR="009B0AFD">
        <w:t>, Division Three</w:t>
      </w:r>
    </w:p>
    <w:p w14:paraId="5EFA400E" w14:textId="4BD4D77B" w:rsidR="00E5679B" w:rsidRDefault="00E5679B" w:rsidP="00E349D9">
      <w:pPr>
        <w:spacing w:after="0"/>
        <w:jc w:val="center"/>
      </w:pPr>
      <w:r>
        <w:t>G057831</w:t>
      </w:r>
    </w:p>
    <w:p w14:paraId="3F5B72BC" w14:textId="77777777" w:rsidR="00E5679B" w:rsidRPr="008E0266" w:rsidRDefault="00E5679B" w:rsidP="008E0266">
      <w:pPr>
        <w:spacing w:after="0"/>
        <w:jc w:val="center"/>
      </w:pPr>
    </w:p>
    <w:p w14:paraId="342F48F2" w14:textId="2D6ABBF3" w:rsidR="00E349D9" w:rsidRDefault="00E349D9" w:rsidP="00E349D9">
      <w:pPr>
        <w:pBdr>
          <w:bottom w:val="single" w:sz="4" w:space="1" w:color="auto"/>
        </w:pBdr>
        <w:spacing w:after="0"/>
        <w:jc w:val="center"/>
      </w:pPr>
      <w:r w:rsidRPr="008E0266">
        <w:t>Orange County</w:t>
      </w:r>
      <w:r w:rsidR="00E5679B">
        <w:t xml:space="preserve"> Superior Court</w:t>
      </w:r>
    </w:p>
    <w:p w14:paraId="72B935F6" w14:textId="20C96F3C" w:rsidR="00E5679B" w:rsidRDefault="00ED2E8E" w:rsidP="00E349D9">
      <w:pPr>
        <w:pBdr>
          <w:bottom w:val="single" w:sz="4" w:space="1" w:color="auto"/>
        </w:pBdr>
        <w:spacing w:after="0"/>
        <w:jc w:val="center"/>
      </w:pPr>
      <w:r w:rsidRPr="00E349D9">
        <w:t>30-2017-00950004</w:t>
      </w:r>
    </w:p>
    <w:p w14:paraId="64D94099" w14:textId="77777777" w:rsidR="008458F8" w:rsidRPr="008E0266" w:rsidRDefault="008458F8" w:rsidP="008E0266">
      <w:pPr>
        <w:pBdr>
          <w:bottom w:val="single" w:sz="4" w:space="1" w:color="auto"/>
        </w:pBdr>
        <w:spacing w:after="0"/>
        <w:jc w:val="center"/>
      </w:pPr>
    </w:p>
    <w:p w14:paraId="1F733307" w14:textId="77777777" w:rsidR="00E349D9" w:rsidRPr="008E0266" w:rsidRDefault="00E349D9" w:rsidP="008E0266">
      <w:pPr>
        <w:spacing w:after="0"/>
        <w:jc w:val="center"/>
      </w:pPr>
    </w:p>
    <w:p w14:paraId="3F8E7DF2" w14:textId="63557FD4" w:rsidR="00F55F3C" w:rsidRDefault="007F5239" w:rsidP="00F55F3C">
      <w:pPr>
        <w:tabs>
          <w:tab w:val="left" w:pos="1440"/>
          <w:tab w:val="left" w:pos="4680"/>
          <w:tab w:val="center" w:pos="7200"/>
        </w:tabs>
        <w:spacing w:after="0"/>
        <w:jc w:val="center"/>
      </w:pPr>
      <w:r>
        <w:t>May 22</w:t>
      </w:r>
      <w:r w:rsidR="00F55F3C">
        <w:t>, 2023</w:t>
      </w:r>
    </w:p>
    <w:p w14:paraId="58828B8C" w14:textId="77777777" w:rsidR="00F55F3C" w:rsidRDefault="00F55F3C" w:rsidP="00F55F3C">
      <w:pPr>
        <w:tabs>
          <w:tab w:val="left" w:pos="1440"/>
          <w:tab w:val="left" w:pos="4680"/>
          <w:tab w:val="center" w:pos="7200"/>
        </w:tabs>
        <w:spacing w:after="0"/>
        <w:jc w:val="center"/>
      </w:pPr>
    </w:p>
    <w:p w14:paraId="25ED6F46" w14:textId="53C9C925" w:rsidR="00F55F3C" w:rsidRPr="008E0266" w:rsidRDefault="00F55F3C" w:rsidP="008E0266">
      <w:pPr>
        <w:tabs>
          <w:tab w:val="left" w:pos="1440"/>
          <w:tab w:val="left" w:pos="4680"/>
          <w:tab w:val="center" w:pos="7200"/>
        </w:tabs>
        <w:spacing w:after="0"/>
        <w:jc w:val="left"/>
      </w:pPr>
      <w:r>
        <w:t xml:space="preserve">Justice Liu authored the opinion of the Court, </w:t>
      </w:r>
      <w:bookmarkStart w:id="1" w:name="_Hlk124153526"/>
      <w:r w:rsidR="007F5239" w:rsidRPr="000413AA">
        <w:t xml:space="preserve">in which Chief Justice Guerrero and Justices Corrigan, Kruger, Groban, Jenkins, </w:t>
      </w:r>
      <w:bookmarkEnd w:id="1"/>
      <w:r w:rsidR="007F5239" w:rsidRPr="000413AA">
        <w:t xml:space="preserve">and Evans </w:t>
      </w:r>
      <w:r>
        <w:t>concurred.</w:t>
      </w:r>
    </w:p>
    <w:p w14:paraId="3DCFD329" w14:textId="77777777" w:rsidR="00E349D9" w:rsidRPr="008E0266" w:rsidRDefault="00E349D9" w:rsidP="008E0266">
      <w:pPr>
        <w:pBdr>
          <w:bottom w:val="single" w:sz="4" w:space="1" w:color="auto"/>
        </w:pBdr>
        <w:spacing w:after="0"/>
        <w:jc w:val="left"/>
      </w:pPr>
    </w:p>
    <w:p w14:paraId="09AE96FE" w14:textId="7B2E646E" w:rsidR="008707F3" w:rsidRPr="008E0266" w:rsidRDefault="008707F3" w:rsidP="000B3479">
      <w:pPr>
        <w:pBdr>
          <w:bottom w:val="single" w:sz="4" w:space="1" w:color="auto"/>
        </w:pBdr>
        <w:jc w:val="left"/>
        <w:rPr>
          <w:spacing w:val="100"/>
        </w:rPr>
        <w:sectPr w:rsidR="008707F3" w:rsidRPr="008E0266" w:rsidSect="008E0266">
          <w:headerReference w:type="even" r:id="rId8"/>
          <w:headerReference w:type="default" r:id="rId9"/>
          <w:footerReference w:type="even" r:id="rId10"/>
          <w:footerReference w:type="default" r:id="rId11"/>
          <w:headerReference w:type="first" r:id="rId12"/>
          <w:footerReference w:type="first" r:id="rId13"/>
          <w:pgSz w:w="12240" w:h="15840"/>
          <w:pgMar w:top="1800" w:right="2160" w:bottom="1440" w:left="2160" w:header="720" w:footer="720" w:gutter="0"/>
          <w:cols w:space="720"/>
          <w:titlePg/>
          <w:docGrid w:linePitch="367"/>
        </w:sectPr>
      </w:pPr>
      <w:bookmarkStart w:id="2" w:name="Return"/>
      <w:bookmarkEnd w:id="2"/>
    </w:p>
    <w:p w14:paraId="30C5CF84" w14:textId="67691079" w:rsidR="00E349D9" w:rsidRDefault="00E349D9" w:rsidP="008E0266">
      <w:pPr>
        <w:tabs>
          <w:tab w:val="left" w:pos="1440"/>
        </w:tabs>
        <w:jc w:val="center"/>
        <w:rPr>
          <w:szCs w:val="26"/>
        </w:rPr>
      </w:pPr>
      <w:bookmarkStart w:id="3" w:name="plaintiff"/>
      <w:bookmarkStart w:id="4" w:name="LD"/>
      <w:bookmarkStart w:id="5" w:name="casenum"/>
      <w:bookmarkStart w:id="6" w:name="appealnum"/>
      <w:bookmarkStart w:id="7" w:name="defendant"/>
      <w:bookmarkStart w:id="8" w:name="county"/>
      <w:bookmarkStart w:id="9" w:name="VD"/>
      <w:bookmarkStart w:id="10" w:name="justice"/>
      <w:bookmarkStart w:id="11" w:name="mainstory"/>
      <w:bookmarkEnd w:id="3"/>
      <w:bookmarkEnd w:id="4"/>
      <w:bookmarkEnd w:id="5"/>
      <w:bookmarkEnd w:id="6"/>
      <w:bookmarkEnd w:id="7"/>
      <w:bookmarkEnd w:id="8"/>
      <w:bookmarkEnd w:id="9"/>
      <w:bookmarkEnd w:id="10"/>
      <w:bookmarkEnd w:id="11"/>
      <w:r>
        <w:rPr>
          <w:szCs w:val="26"/>
        </w:rPr>
        <w:lastRenderedPageBreak/>
        <w:t xml:space="preserve">PEOPLE ex rel. </w:t>
      </w:r>
      <w:r w:rsidR="00F30490">
        <w:rPr>
          <w:szCs w:val="26"/>
        </w:rPr>
        <w:t>GARCIA-BROWER</w:t>
      </w:r>
      <w:r>
        <w:rPr>
          <w:szCs w:val="26"/>
        </w:rPr>
        <w:t xml:space="preserve"> v. KOLLA’S, I</w:t>
      </w:r>
      <w:r w:rsidR="009B0AFD">
        <w:rPr>
          <w:szCs w:val="26"/>
        </w:rPr>
        <w:t>NC</w:t>
      </w:r>
      <w:r>
        <w:rPr>
          <w:szCs w:val="26"/>
        </w:rPr>
        <w:t>.</w:t>
      </w:r>
    </w:p>
    <w:p w14:paraId="338DB3AD" w14:textId="77777777" w:rsidR="00E349D9" w:rsidRDefault="00E349D9" w:rsidP="008E0266">
      <w:pPr>
        <w:tabs>
          <w:tab w:val="left" w:pos="1440"/>
        </w:tabs>
        <w:jc w:val="center"/>
        <w:rPr>
          <w:szCs w:val="26"/>
        </w:rPr>
      </w:pPr>
      <w:r>
        <w:rPr>
          <w:szCs w:val="26"/>
        </w:rPr>
        <w:t>S269456</w:t>
      </w:r>
    </w:p>
    <w:p w14:paraId="5C493EC8" w14:textId="77777777" w:rsidR="00E349D9" w:rsidRDefault="00E349D9" w:rsidP="003B3D4F">
      <w:pPr>
        <w:tabs>
          <w:tab w:val="left" w:pos="1440"/>
        </w:tabs>
        <w:jc w:val="center"/>
        <w:rPr>
          <w:szCs w:val="26"/>
        </w:rPr>
      </w:pPr>
    </w:p>
    <w:p w14:paraId="7C8CCDD2" w14:textId="28028690" w:rsidR="00E349D9" w:rsidRDefault="00E349D9" w:rsidP="00F30490">
      <w:pPr>
        <w:tabs>
          <w:tab w:val="left" w:pos="1440"/>
        </w:tabs>
        <w:jc w:val="center"/>
        <w:rPr>
          <w:szCs w:val="26"/>
        </w:rPr>
      </w:pPr>
      <w:r>
        <w:rPr>
          <w:szCs w:val="26"/>
        </w:rPr>
        <w:t xml:space="preserve">Opinion of the Court by </w:t>
      </w:r>
      <w:r w:rsidR="00F30490">
        <w:rPr>
          <w:szCs w:val="26"/>
        </w:rPr>
        <w:t>Liu, J.</w:t>
      </w:r>
    </w:p>
    <w:p w14:paraId="03F11496" w14:textId="77777777" w:rsidR="00F30490" w:rsidRDefault="00F30490" w:rsidP="008E0266">
      <w:pPr>
        <w:tabs>
          <w:tab w:val="left" w:pos="1440"/>
        </w:tabs>
        <w:jc w:val="center"/>
        <w:rPr>
          <w:szCs w:val="26"/>
        </w:rPr>
      </w:pPr>
    </w:p>
    <w:p w14:paraId="394DC6A9" w14:textId="6B74B576" w:rsidR="00F85120" w:rsidRPr="00E349D9" w:rsidRDefault="00B968FB" w:rsidP="008E0266">
      <w:pPr>
        <w:tabs>
          <w:tab w:val="left" w:pos="1440"/>
        </w:tabs>
        <w:ind w:firstLine="720"/>
        <w:rPr>
          <w:szCs w:val="26"/>
        </w:rPr>
      </w:pPr>
      <w:r>
        <w:rPr>
          <w:szCs w:val="26"/>
        </w:rPr>
        <w:t>T</w:t>
      </w:r>
      <w:r w:rsidR="007932AF" w:rsidRPr="00E349D9">
        <w:rPr>
          <w:szCs w:val="26"/>
        </w:rPr>
        <w:t xml:space="preserve">he </w:t>
      </w:r>
      <w:r w:rsidR="0068000F" w:rsidRPr="00E349D9">
        <w:rPr>
          <w:szCs w:val="26"/>
        </w:rPr>
        <w:t>Labor Code</w:t>
      </w:r>
      <w:r>
        <w:rPr>
          <w:szCs w:val="26"/>
        </w:rPr>
        <w:t xml:space="preserve"> prohibits</w:t>
      </w:r>
      <w:r w:rsidR="0068000F" w:rsidRPr="00E349D9">
        <w:rPr>
          <w:szCs w:val="26"/>
        </w:rPr>
        <w:t xml:space="preserve"> </w:t>
      </w:r>
      <w:r w:rsidR="00875791" w:rsidRPr="00E349D9">
        <w:rPr>
          <w:szCs w:val="26"/>
        </w:rPr>
        <w:t>employers from retaliating against</w:t>
      </w:r>
      <w:r w:rsidR="00FD0A9E" w:rsidRPr="00E349D9">
        <w:rPr>
          <w:szCs w:val="26"/>
        </w:rPr>
        <w:t xml:space="preserve"> </w:t>
      </w:r>
      <w:r w:rsidR="00586643" w:rsidRPr="00E349D9">
        <w:rPr>
          <w:szCs w:val="26"/>
        </w:rPr>
        <w:t>employees</w:t>
      </w:r>
      <w:r w:rsidR="00652727" w:rsidRPr="00E349D9">
        <w:rPr>
          <w:szCs w:val="26"/>
        </w:rPr>
        <w:t xml:space="preserve"> </w:t>
      </w:r>
      <w:r w:rsidR="00A31DDC" w:rsidRPr="00E349D9">
        <w:rPr>
          <w:szCs w:val="26"/>
        </w:rPr>
        <w:t xml:space="preserve">for </w:t>
      </w:r>
      <w:r w:rsidR="00652727" w:rsidRPr="00E349D9">
        <w:rPr>
          <w:szCs w:val="26"/>
        </w:rPr>
        <w:t>“disclos</w:t>
      </w:r>
      <w:r w:rsidR="00A31DDC" w:rsidRPr="00E349D9">
        <w:rPr>
          <w:szCs w:val="26"/>
        </w:rPr>
        <w:t>ing</w:t>
      </w:r>
      <w:r w:rsidR="00652727" w:rsidRPr="00E349D9">
        <w:rPr>
          <w:szCs w:val="26"/>
        </w:rPr>
        <w:t xml:space="preserve"> information</w:t>
      </w:r>
      <w:r w:rsidR="000C30E4" w:rsidRPr="00E349D9">
        <w:rPr>
          <w:szCs w:val="26"/>
        </w:rPr>
        <w:t>”</w:t>
      </w:r>
      <w:r w:rsidR="00652727" w:rsidRPr="00E349D9">
        <w:rPr>
          <w:szCs w:val="26"/>
        </w:rPr>
        <w:t xml:space="preserve"> concerning </w:t>
      </w:r>
      <w:r w:rsidR="00622986" w:rsidRPr="00E349D9">
        <w:rPr>
          <w:szCs w:val="26"/>
        </w:rPr>
        <w:t xml:space="preserve">suspected </w:t>
      </w:r>
      <w:r w:rsidR="00652727" w:rsidRPr="00E349D9">
        <w:rPr>
          <w:szCs w:val="26"/>
        </w:rPr>
        <w:t>violations of the law</w:t>
      </w:r>
      <w:r w:rsidR="00875791" w:rsidRPr="00E349D9">
        <w:rPr>
          <w:szCs w:val="26"/>
        </w:rPr>
        <w:t xml:space="preserve"> </w:t>
      </w:r>
      <w:r w:rsidR="00904A70" w:rsidRPr="00E349D9">
        <w:rPr>
          <w:szCs w:val="26"/>
        </w:rPr>
        <w:t xml:space="preserve">either internally or </w:t>
      </w:r>
      <w:r w:rsidR="0075367B" w:rsidRPr="00E349D9">
        <w:rPr>
          <w:szCs w:val="26"/>
        </w:rPr>
        <w:t xml:space="preserve">to government </w:t>
      </w:r>
      <w:r w:rsidR="0099571F" w:rsidRPr="00E349D9">
        <w:rPr>
          <w:szCs w:val="26"/>
        </w:rPr>
        <w:t xml:space="preserve">or law enforcement </w:t>
      </w:r>
      <w:r w:rsidR="0075367B" w:rsidRPr="00E349D9">
        <w:rPr>
          <w:szCs w:val="26"/>
        </w:rPr>
        <w:t xml:space="preserve">agencies. </w:t>
      </w:r>
      <w:r w:rsidR="000D74DE" w:rsidRPr="00E349D9">
        <w:rPr>
          <w:szCs w:val="26"/>
        </w:rPr>
        <w:t xml:space="preserve"> (Lab. Code</w:t>
      </w:r>
      <w:r w:rsidR="008B1E10" w:rsidRPr="00E349D9">
        <w:rPr>
          <w:szCs w:val="26"/>
        </w:rPr>
        <w:t>,</w:t>
      </w:r>
      <w:r w:rsidR="000D74DE" w:rsidRPr="00E349D9">
        <w:rPr>
          <w:szCs w:val="26"/>
        </w:rPr>
        <w:t xml:space="preserve"> §</w:t>
      </w:r>
      <w:r w:rsidR="007977FF" w:rsidRPr="00E349D9">
        <w:rPr>
          <w:szCs w:val="26"/>
        </w:rPr>
        <w:t> </w:t>
      </w:r>
      <w:r w:rsidR="000D74DE" w:rsidRPr="00E349D9">
        <w:rPr>
          <w:szCs w:val="26"/>
        </w:rPr>
        <w:t>1102.5, subd.</w:t>
      </w:r>
      <w:r w:rsidR="00F74B1A" w:rsidRPr="00E349D9">
        <w:rPr>
          <w:szCs w:val="26"/>
        </w:rPr>
        <w:t> </w:t>
      </w:r>
      <w:r w:rsidR="000D74DE" w:rsidRPr="00E349D9">
        <w:rPr>
          <w:szCs w:val="26"/>
        </w:rPr>
        <w:t>(b)</w:t>
      </w:r>
      <w:r w:rsidR="006C6FC2" w:rsidRPr="00E349D9">
        <w:rPr>
          <w:szCs w:val="26"/>
        </w:rPr>
        <w:t xml:space="preserve"> </w:t>
      </w:r>
      <w:bookmarkStart w:id="12" w:name="_Hlk131063533"/>
      <w:r w:rsidR="006C6FC2" w:rsidRPr="00E349D9">
        <w:rPr>
          <w:szCs w:val="26"/>
        </w:rPr>
        <w:t>(</w:t>
      </w:r>
      <w:r w:rsidR="005C0B6F" w:rsidRPr="00E349D9">
        <w:rPr>
          <w:szCs w:val="26"/>
        </w:rPr>
        <w:t>section</w:t>
      </w:r>
      <w:r w:rsidR="006C6FC2" w:rsidRPr="00E349D9">
        <w:rPr>
          <w:szCs w:val="26"/>
        </w:rPr>
        <w:t xml:space="preserve"> 1102.5(b)</w:t>
      </w:r>
      <w:r w:rsidR="005C0B6F" w:rsidRPr="00E349D9">
        <w:rPr>
          <w:szCs w:val="26"/>
        </w:rPr>
        <w:t>)</w:t>
      </w:r>
      <w:bookmarkEnd w:id="12"/>
      <w:r w:rsidR="006C6FC2" w:rsidRPr="00E349D9">
        <w:rPr>
          <w:szCs w:val="26"/>
        </w:rPr>
        <w:t>; all undesignated statutory references are to th</w:t>
      </w:r>
      <w:r w:rsidR="002F2871" w:rsidRPr="00E349D9">
        <w:rPr>
          <w:szCs w:val="26"/>
        </w:rPr>
        <w:t>e Labor</w:t>
      </w:r>
      <w:r w:rsidR="006C6FC2" w:rsidRPr="00E349D9">
        <w:rPr>
          <w:szCs w:val="26"/>
        </w:rPr>
        <w:t xml:space="preserve"> </w:t>
      </w:r>
      <w:r w:rsidR="002F2871" w:rsidRPr="00E349D9">
        <w:rPr>
          <w:szCs w:val="26"/>
        </w:rPr>
        <w:t>C</w:t>
      </w:r>
      <w:r w:rsidR="006C6FC2" w:rsidRPr="00E349D9">
        <w:rPr>
          <w:szCs w:val="26"/>
        </w:rPr>
        <w:t xml:space="preserve">ode.) </w:t>
      </w:r>
      <w:r w:rsidR="000A0279" w:rsidRPr="00E349D9">
        <w:rPr>
          <w:szCs w:val="26"/>
        </w:rPr>
        <w:t xml:space="preserve"> </w:t>
      </w:r>
      <w:r w:rsidR="007977FF" w:rsidRPr="00E349D9">
        <w:rPr>
          <w:szCs w:val="26"/>
        </w:rPr>
        <w:t>Violators</w:t>
      </w:r>
      <w:r w:rsidR="000A0279" w:rsidRPr="00E349D9">
        <w:rPr>
          <w:szCs w:val="26"/>
        </w:rPr>
        <w:t xml:space="preserve"> </w:t>
      </w:r>
      <w:r w:rsidR="00622986" w:rsidRPr="00E349D9">
        <w:rPr>
          <w:szCs w:val="26"/>
        </w:rPr>
        <w:t xml:space="preserve">are </w:t>
      </w:r>
      <w:r w:rsidR="000A0279" w:rsidRPr="00E349D9">
        <w:rPr>
          <w:szCs w:val="26"/>
        </w:rPr>
        <w:t xml:space="preserve">subject to </w:t>
      </w:r>
      <w:r w:rsidR="00EA16D9" w:rsidRPr="00E349D9">
        <w:rPr>
          <w:szCs w:val="26"/>
        </w:rPr>
        <w:t xml:space="preserve">various sanctions, including civil </w:t>
      </w:r>
      <w:r w:rsidR="00267034" w:rsidRPr="00E349D9">
        <w:rPr>
          <w:szCs w:val="26"/>
        </w:rPr>
        <w:t>penalties</w:t>
      </w:r>
      <w:r w:rsidR="00EA16D9" w:rsidRPr="00E349D9">
        <w:rPr>
          <w:szCs w:val="26"/>
        </w:rPr>
        <w:t xml:space="preserve"> </w:t>
      </w:r>
      <w:r w:rsidR="00386BFE" w:rsidRPr="00E349D9">
        <w:rPr>
          <w:szCs w:val="26"/>
        </w:rPr>
        <w:t xml:space="preserve">remitted </w:t>
      </w:r>
      <w:r w:rsidR="00EA16D9" w:rsidRPr="00E349D9">
        <w:rPr>
          <w:szCs w:val="26"/>
        </w:rPr>
        <w:t xml:space="preserve">to </w:t>
      </w:r>
      <w:r w:rsidR="00C71FC4" w:rsidRPr="00E349D9">
        <w:rPr>
          <w:szCs w:val="26"/>
        </w:rPr>
        <w:t xml:space="preserve">the </w:t>
      </w:r>
      <w:r w:rsidR="007C560C" w:rsidRPr="00E349D9">
        <w:rPr>
          <w:szCs w:val="26"/>
        </w:rPr>
        <w:t>Division of Labor Standards Enforcement</w:t>
      </w:r>
      <w:r w:rsidR="00C34F1B" w:rsidRPr="00E349D9">
        <w:rPr>
          <w:szCs w:val="26"/>
        </w:rPr>
        <w:t xml:space="preserve"> (DLSE) of the Department of Industrial Relations</w:t>
      </w:r>
      <w:r w:rsidR="007C560C" w:rsidRPr="00E349D9">
        <w:rPr>
          <w:szCs w:val="26"/>
        </w:rPr>
        <w:t>.</w:t>
      </w:r>
      <w:r w:rsidR="007977FF" w:rsidRPr="00E349D9">
        <w:rPr>
          <w:szCs w:val="26"/>
        </w:rPr>
        <w:t xml:space="preserve">  </w:t>
      </w:r>
      <w:r w:rsidR="00D73466" w:rsidRPr="00E349D9">
        <w:rPr>
          <w:szCs w:val="26"/>
        </w:rPr>
        <w:t>(</w:t>
      </w:r>
      <w:r w:rsidR="00E128FF" w:rsidRPr="00E349D9">
        <w:rPr>
          <w:i/>
          <w:iCs/>
          <w:szCs w:val="26"/>
        </w:rPr>
        <w:t>Id.</w:t>
      </w:r>
      <w:r w:rsidR="00E128FF" w:rsidRPr="00E349D9">
        <w:rPr>
          <w:szCs w:val="26"/>
        </w:rPr>
        <w:t>, subd</w:t>
      </w:r>
      <w:r w:rsidR="006258D9" w:rsidRPr="00E349D9">
        <w:rPr>
          <w:szCs w:val="26"/>
        </w:rPr>
        <w:t>.</w:t>
      </w:r>
      <w:r w:rsidR="00AA6972" w:rsidRPr="00E349D9">
        <w:rPr>
          <w:szCs w:val="26"/>
        </w:rPr>
        <w:t> (f).</w:t>
      </w:r>
      <w:r w:rsidR="00D73466" w:rsidRPr="00E349D9">
        <w:rPr>
          <w:szCs w:val="26"/>
        </w:rPr>
        <w:t>)</w:t>
      </w:r>
      <w:r w:rsidR="007977FF" w:rsidRPr="00E349D9">
        <w:rPr>
          <w:szCs w:val="26"/>
        </w:rPr>
        <w:t xml:space="preserve">  In this case, e</w:t>
      </w:r>
      <w:r w:rsidR="006F657E" w:rsidRPr="00E349D9">
        <w:rPr>
          <w:szCs w:val="26"/>
        </w:rPr>
        <w:t xml:space="preserve">mployee </w:t>
      </w:r>
      <w:r w:rsidR="006F657E" w:rsidRPr="00380710">
        <w:rPr>
          <w:szCs w:val="26"/>
        </w:rPr>
        <w:t>A.C.</w:t>
      </w:r>
      <w:r w:rsidR="00CD2AB4" w:rsidRPr="00380710">
        <w:rPr>
          <w:szCs w:val="26"/>
        </w:rPr>
        <w:t>R</w:t>
      </w:r>
      <w:r w:rsidR="006F657E" w:rsidRPr="00380710">
        <w:rPr>
          <w:szCs w:val="26"/>
        </w:rPr>
        <w:t>.</w:t>
      </w:r>
      <w:r w:rsidR="006F657E" w:rsidRPr="00E349D9">
        <w:rPr>
          <w:szCs w:val="26"/>
        </w:rPr>
        <w:t xml:space="preserve"> complained to </w:t>
      </w:r>
      <w:r w:rsidR="005203EB" w:rsidRPr="00E349D9">
        <w:rPr>
          <w:szCs w:val="26"/>
        </w:rPr>
        <w:t xml:space="preserve">the owner of the </w:t>
      </w:r>
      <w:r w:rsidR="000078C2" w:rsidRPr="00E349D9">
        <w:rPr>
          <w:szCs w:val="26"/>
        </w:rPr>
        <w:t>nightclub</w:t>
      </w:r>
      <w:r w:rsidR="005203EB" w:rsidRPr="00E349D9">
        <w:rPr>
          <w:szCs w:val="26"/>
        </w:rPr>
        <w:t xml:space="preserve"> where she worked </w:t>
      </w:r>
      <w:r w:rsidR="00BB71AC" w:rsidRPr="00E349D9">
        <w:rPr>
          <w:szCs w:val="26"/>
        </w:rPr>
        <w:t>about unpaid wages</w:t>
      </w:r>
      <w:r w:rsidR="00E328A1" w:rsidRPr="00E349D9">
        <w:rPr>
          <w:szCs w:val="26"/>
        </w:rPr>
        <w:t xml:space="preserve"> she was owed</w:t>
      </w:r>
      <w:r w:rsidR="005203EB" w:rsidRPr="00E349D9">
        <w:rPr>
          <w:szCs w:val="26"/>
        </w:rPr>
        <w:t xml:space="preserve">.  </w:t>
      </w:r>
      <w:r w:rsidR="0074271E">
        <w:rPr>
          <w:szCs w:val="26"/>
        </w:rPr>
        <w:t>In response, h</w:t>
      </w:r>
      <w:r w:rsidR="007977FF" w:rsidRPr="00E349D9">
        <w:rPr>
          <w:szCs w:val="26"/>
        </w:rPr>
        <w:t>er</w:t>
      </w:r>
      <w:r w:rsidR="005203EB" w:rsidRPr="00E349D9">
        <w:rPr>
          <w:szCs w:val="26"/>
        </w:rPr>
        <w:t xml:space="preserve"> employer </w:t>
      </w:r>
      <w:r w:rsidR="0074271E">
        <w:rPr>
          <w:szCs w:val="26"/>
        </w:rPr>
        <w:t>fired</w:t>
      </w:r>
      <w:r w:rsidR="000078C2" w:rsidRPr="00E349D9">
        <w:rPr>
          <w:szCs w:val="26"/>
        </w:rPr>
        <w:t xml:space="preserve"> </w:t>
      </w:r>
      <w:r w:rsidR="00237F0E" w:rsidRPr="00E349D9">
        <w:rPr>
          <w:szCs w:val="26"/>
        </w:rPr>
        <w:t>her</w:t>
      </w:r>
      <w:r w:rsidR="000078C2" w:rsidRPr="00E349D9">
        <w:rPr>
          <w:szCs w:val="26"/>
        </w:rPr>
        <w:t>, threaten</w:t>
      </w:r>
      <w:r w:rsidR="0074271E">
        <w:rPr>
          <w:szCs w:val="26"/>
        </w:rPr>
        <w:t>ed</w:t>
      </w:r>
      <w:r w:rsidR="000078C2" w:rsidRPr="00E349D9">
        <w:rPr>
          <w:szCs w:val="26"/>
        </w:rPr>
        <w:t xml:space="preserve"> to report her to immigration authorities, and </w:t>
      </w:r>
      <w:r w:rsidR="0074271E">
        <w:rPr>
          <w:szCs w:val="26"/>
        </w:rPr>
        <w:t>told</w:t>
      </w:r>
      <w:r w:rsidR="0074271E" w:rsidRPr="00E349D9">
        <w:rPr>
          <w:szCs w:val="26"/>
        </w:rPr>
        <w:t xml:space="preserve"> </w:t>
      </w:r>
      <w:r w:rsidR="000078C2" w:rsidRPr="00E349D9">
        <w:rPr>
          <w:szCs w:val="26"/>
        </w:rPr>
        <w:t xml:space="preserve">her never to return to the nightclub.  </w:t>
      </w:r>
      <w:r w:rsidR="00852498" w:rsidRPr="00E349D9">
        <w:rPr>
          <w:szCs w:val="26"/>
        </w:rPr>
        <w:t>(</w:t>
      </w:r>
      <w:r w:rsidR="00852498" w:rsidRPr="00E349D9">
        <w:t xml:space="preserve">We follow </w:t>
      </w:r>
      <w:r w:rsidR="00A62488" w:rsidRPr="00E349D9">
        <w:t xml:space="preserve">the practice of </w:t>
      </w:r>
      <w:r w:rsidR="00852498" w:rsidRPr="00E349D9">
        <w:t xml:space="preserve">the trial court and the Court of Appeal in using the complainant’s initials in light of the immigration-related threats against her.)  </w:t>
      </w:r>
      <w:r w:rsidR="007977FF" w:rsidRPr="00E349D9">
        <w:rPr>
          <w:szCs w:val="26"/>
        </w:rPr>
        <w:t xml:space="preserve">It is undisputed that </w:t>
      </w:r>
      <w:r w:rsidR="00363C52" w:rsidRPr="00E349D9">
        <w:rPr>
          <w:szCs w:val="26"/>
        </w:rPr>
        <w:t>the employer</w:t>
      </w:r>
      <w:r w:rsidR="008B6AC4" w:rsidRPr="00E349D9">
        <w:rPr>
          <w:szCs w:val="26"/>
        </w:rPr>
        <w:t>’</w:t>
      </w:r>
      <w:r w:rsidR="00363C52" w:rsidRPr="00E349D9">
        <w:rPr>
          <w:szCs w:val="26"/>
        </w:rPr>
        <w:t xml:space="preserve">s </w:t>
      </w:r>
      <w:r w:rsidR="00C34F1B" w:rsidRPr="00E349D9">
        <w:rPr>
          <w:szCs w:val="26"/>
        </w:rPr>
        <w:t xml:space="preserve">conduct </w:t>
      </w:r>
      <w:r w:rsidR="00363C52" w:rsidRPr="00E349D9">
        <w:rPr>
          <w:szCs w:val="26"/>
        </w:rPr>
        <w:t xml:space="preserve">was prohibited by the Labor Code.  </w:t>
      </w:r>
      <w:r w:rsidR="0075367B" w:rsidRPr="00E349D9">
        <w:rPr>
          <w:szCs w:val="26"/>
        </w:rPr>
        <w:t xml:space="preserve">The question here </w:t>
      </w:r>
      <w:r w:rsidR="00CE289F" w:rsidRPr="00E349D9">
        <w:rPr>
          <w:szCs w:val="26"/>
        </w:rPr>
        <w:t xml:space="preserve">is </w:t>
      </w:r>
      <w:r w:rsidR="0075367B" w:rsidRPr="00E349D9">
        <w:rPr>
          <w:szCs w:val="26"/>
        </w:rPr>
        <w:t>whether</w:t>
      </w:r>
      <w:r w:rsidR="009D03D7" w:rsidRPr="00E349D9">
        <w:rPr>
          <w:szCs w:val="26"/>
        </w:rPr>
        <w:t xml:space="preserve"> </w:t>
      </w:r>
      <w:r w:rsidR="00EA5A04">
        <w:rPr>
          <w:szCs w:val="26"/>
        </w:rPr>
        <w:t>a</w:t>
      </w:r>
      <w:r w:rsidR="009D03D7" w:rsidRPr="00E349D9">
        <w:rPr>
          <w:szCs w:val="26"/>
        </w:rPr>
        <w:t xml:space="preserve"> </w:t>
      </w:r>
      <w:r w:rsidR="00F1186E" w:rsidRPr="00E349D9">
        <w:rPr>
          <w:szCs w:val="26"/>
        </w:rPr>
        <w:t xml:space="preserve">report of unlawful activities made to </w:t>
      </w:r>
      <w:r w:rsidR="00EA5A04">
        <w:rPr>
          <w:szCs w:val="26"/>
        </w:rPr>
        <w:t>an</w:t>
      </w:r>
      <w:r w:rsidR="00EA5A04" w:rsidRPr="00E349D9">
        <w:rPr>
          <w:szCs w:val="26"/>
        </w:rPr>
        <w:t xml:space="preserve"> </w:t>
      </w:r>
      <w:r w:rsidR="00F1186E" w:rsidRPr="00E349D9">
        <w:rPr>
          <w:szCs w:val="26"/>
        </w:rPr>
        <w:t>employer</w:t>
      </w:r>
      <w:r w:rsidR="00EA5A04">
        <w:rPr>
          <w:szCs w:val="26"/>
        </w:rPr>
        <w:t xml:space="preserve"> or</w:t>
      </w:r>
      <w:r w:rsidR="00CD76F9">
        <w:rPr>
          <w:szCs w:val="26"/>
        </w:rPr>
        <w:t xml:space="preserve"> agency</w:t>
      </w:r>
      <w:r w:rsidR="00F1186E" w:rsidRPr="00E349D9">
        <w:rPr>
          <w:szCs w:val="26"/>
        </w:rPr>
        <w:t xml:space="preserve"> </w:t>
      </w:r>
      <w:r w:rsidR="00CD76F9">
        <w:rPr>
          <w:szCs w:val="26"/>
        </w:rPr>
        <w:t>that</w:t>
      </w:r>
      <w:r w:rsidR="003D65F2" w:rsidRPr="00E349D9">
        <w:rPr>
          <w:szCs w:val="26"/>
        </w:rPr>
        <w:t xml:space="preserve"> </w:t>
      </w:r>
      <w:r w:rsidR="00E04CA2" w:rsidRPr="00E349D9">
        <w:rPr>
          <w:szCs w:val="26"/>
        </w:rPr>
        <w:t>already kn</w:t>
      </w:r>
      <w:r w:rsidR="000869EC" w:rsidRPr="00E349D9">
        <w:rPr>
          <w:szCs w:val="26"/>
        </w:rPr>
        <w:t>ew</w:t>
      </w:r>
      <w:r w:rsidR="00E04CA2" w:rsidRPr="00E349D9">
        <w:rPr>
          <w:szCs w:val="26"/>
        </w:rPr>
        <w:t xml:space="preserve"> about the violation </w:t>
      </w:r>
      <w:r w:rsidR="007977FF" w:rsidRPr="00E349D9">
        <w:rPr>
          <w:szCs w:val="26"/>
        </w:rPr>
        <w:t xml:space="preserve">is </w:t>
      </w:r>
      <w:r w:rsidR="000142F9" w:rsidRPr="00E349D9">
        <w:rPr>
          <w:szCs w:val="26"/>
        </w:rPr>
        <w:t>a protected “disclosure</w:t>
      </w:r>
      <w:r w:rsidR="002E42D9" w:rsidRPr="00E349D9">
        <w:rPr>
          <w:szCs w:val="26"/>
        </w:rPr>
        <w:t>” within the meaning of section 1102.5(b).</w:t>
      </w:r>
      <w:r w:rsidR="00D334D1" w:rsidRPr="00E349D9">
        <w:rPr>
          <w:szCs w:val="26"/>
        </w:rPr>
        <w:t xml:space="preserve"> </w:t>
      </w:r>
      <w:r w:rsidR="0095231E" w:rsidRPr="00E349D9">
        <w:rPr>
          <w:szCs w:val="26"/>
        </w:rPr>
        <w:t xml:space="preserve"> </w:t>
      </w:r>
      <w:r w:rsidR="00D5275F">
        <w:rPr>
          <w:szCs w:val="26"/>
        </w:rPr>
        <w:t>W</w:t>
      </w:r>
      <w:r w:rsidR="008B1E10" w:rsidRPr="00E349D9">
        <w:rPr>
          <w:szCs w:val="26"/>
        </w:rPr>
        <w:t xml:space="preserve">e hold </w:t>
      </w:r>
      <w:r w:rsidR="00F1186E" w:rsidRPr="00E349D9">
        <w:rPr>
          <w:szCs w:val="26"/>
        </w:rPr>
        <w:t xml:space="preserve">it </w:t>
      </w:r>
      <w:r w:rsidR="007977FF" w:rsidRPr="00E349D9">
        <w:rPr>
          <w:szCs w:val="26"/>
        </w:rPr>
        <w:t>is</w:t>
      </w:r>
      <w:r w:rsidR="00F1186E" w:rsidRPr="00E349D9">
        <w:rPr>
          <w:szCs w:val="26"/>
        </w:rPr>
        <w:t>.</w:t>
      </w:r>
    </w:p>
    <w:p w14:paraId="71E09F1F" w14:textId="2E3A7322" w:rsidR="00B52920" w:rsidRPr="00E349D9" w:rsidRDefault="00B52920" w:rsidP="00E349D9">
      <w:pPr>
        <w:pStyle w:val="Heading1"/>
      </w:pPr>
      <w:r w:rsidRPr="00E349D9">
        <w:t>I.</w:t>
      </w:r>
    </w:p>
    <w:p w14:paraId="6B9D3C1A" w14:textId="77626726" w:rsidR="005962C2" w:rsidRPr="00E349D9" w:rsidRDefault="00D216F8" w:rsidP="0087786A">
      <w:pPr>
        <w:tabs>
          <w:tab w:val="left" w:pos="1440"/>
        </w:tabs>
        <w:ind w:firstLine="720"/>
        <w:rPr>
          <w:szCs w:val="26"/>
        </w:rPr>
      </w:pPr>
      <w:r w:rsidRPr="00E349D9">
        <w:rPr>
          <w:szCs w:val="26"/>
        </w:rPr>
        <w:t xml:space="preserve">From </w:t>
      </w:r>
      <w:r w:rsidR="007034D1" w:rsidRPr="00E349D9">
        <w:rPr>
          <w:szCs w:val="26"/>
        </w:rPr>
        <w:t xml:space="preserve">May </w:t>
      </w:r>
      <w:r w:rsidRPr="00E349D9">
        <w:rPr>
          <w:szCs w:val="26"/>
        </w:rPr>
        <w:t xml:space="preserve">2010 to </w:t>
      </w:r>
      <w:r w:rsidR="007034D1" w:rsidRPr="00E349D9">
        <w:rPr>
          <w:szCs w:val="26"/>
        </w:rPr>
        <w:t xml:space="preserve">April </w:t>
      </w:r>
      <w:r w:rsidRPr="00E349D9">
        <w:rPr>
          <w:szCs w:val="26"/>
        </w:rPr>
        <w:t>2014</w:t>
      </w:r>
      <w:r w:rsidR="00523AE1" w:rsidRPr="00E349D9">
        <w:rPr>
          <w:szCs w:val="26"/>
        </w:rPr>
        <w:t xml:space="preserve">, complainant </w:t>
      </w:r>
      <w:r w:rsidR="00E91799" w:rsidRPr="00E349D9">
        <w:rPr>
          <w:szCs w:val="26"/>
        </w:rPr>
        <w:t xml:space="preserve">A.C.R. worked as a bartender at </w:t>
      </w:r>
      <w:r w:rsidR="00C956A1" w:rsidRPr="00E349D9">
        <w:rPr>
          <w:szCs w:val="26"/>
        </w:rPr>
        <w:t>Kolla</w:t>
      </w:r>
      <w:r w:rsidR="008B6AC4" w:rsidRPr="00E349D9">
        <w:rPr>
          <w:szCs w:val="26"/>
        </w:rPr>
        <w:t>’</w:t>
      </w:r>
      <w:r w:rsidR="00C956A1" w:rsidRPr="00E349D9">
        <w:rPr>
          <w:szCs w:val="26"/>
        </w:rPr>
        <w:t>s, Inc.</w:t>
      </w:r>
      <w:r w:rsidRPr="00E349D9">
        <w:rPr>
          <w:szCs w:val="26"/>
        </w:rPr>
        <w:t xml:space="preserve">, a nightclub in </w:t>
      </w:r>
      <w:r w:rsidR="006B2518" w:rsidRPr="00E349D9">
        <w:rPr>
          <w:szCs w:val="26"/>
        </w:rPr>
        <w:t>Orange County</w:t>
      </w:r>
      <w:r w:rsidRPr="00E349D9">
        <w:rPr>
          <w:szCs w:val="26"/>
        </w:rPr>
        <w:t>.</w:t>
      </w:r>
      <w:r w:rsidR="006C27FC" w:rsidRPr="00E349D9">
        <w:rPr>
          <w:szCs w:val="26"/>
        </w:rPr>
        <w:t xml:space="preserve">  </w:t>
      </w:r>
      <w:r w:rsidR="005F04E8" w:rsidRPr="00E349D9">
        <w:rPr>
          <w:szCs w:val="26"/>
        </w:rPr>
        <w:lastRenderedPageBreak/>
        <w:t>Because neither Kolla’s nor</w:t>
      </w:r>
      <w:r w:rsidR="00DD0509" w:rsidRPr="00E349D9">
        <w:rPr>
          <w:szCs w:val="26"/>
        </w:rPr>
        <w:t xml:space="preserve"> the club’s owner,</w:t>
      </w:r>
      <w:r w:rsidR="005F04E8" w:rsidRPr="00E349D9">
        <w:rPr>
          <w:szCs w:val="26"/>
        </w:rPr>
        <w:t xml:space="preserve"> </w:t>
      </w:r>
      <w:r w:rsidR="00DE4210" w:rsidRPr="00E349D9">
        <w:rPr>
          <w:szCs w:val="26"/>
        </w:rPr>
        <w:t xml:space="preserve">Gonzalo Sanalla Estrada, </w:t>
      </w:r>
      <w:r w:rsidR="00DD0509" w:rsidRPr="00E349D9">
        <w:rPr>
          <w:szCs w:val="26"/>
        </w:rPr>
        <w:t xml:space="preserve">has </w:t>
      </w:r>
      <w:r w:rsidR="005F04E8" w:rsidRPr="00E349D9">
        <w:rPr>
          <w:szCs w:val="26"/>
        </w:rPr>
        <w:t>participated in th</w:t>
      </w:r>
      <w:r w:rsidR="00DD0509" w:rsidRPr="00E349D9">
        <w:rPr>
          <w:szCs w:val="26"/>
        </w:rPr>
        <w:t>is</w:t>
      </w:r>
      <w:r w:rsidR="005F04E8" w:rsidRPr="00E349D9">
        <w:rPr>
          <w:szCs w:val="26"/>
        </w:rPr>
        <w:t xml:space="preserve"> litigation, we take the facts as presented in the Labor Commissioner’s complaint and accepted by the trial court.  </w:t>
      </w:r>
      <w:r w:rsidR="00B52D03" w:rsidRPr="00E349D9">
        <w:rPr>
          <w:szCs w:val="26"/>
        </w:rPr>
        <w:t>On April 5, 2014, A.C.R. complained to Estrada that she had</w:t>
      </w:r>
      <w:r w:rsidR="0039075A" w:rsidRPr="00E349D9">
        <w:rPr>
          <w:szCs w:val="26"/>
        </w:rPr>
        <w:t xml:space="preserve"> not been paid wages owed for her previous three shifts of work. </w:t>
      </w:r>
      <w:r w:rsidR="00014AF4" w:rsidRPr="00E349D9">
        <w:rPr>
          <w:szCs w:val="26"/>
        </w:rPr>
        <w:t xml:space="preserve"> </w:t>
      </w:r>
      <w:r w:rsidR="0039075A" w:rsidRPr="00E349D9">
        <w:rPr>
          <w:szCs w:val="26"/>
        </w:rPr>
        <w:t xml:space="preserve">Estrada responded by threatening to report A.C.R. to immigration authorities, </w:t>
      </w:r>
      <w:r w:rsidR="00DF1BAB" w:rsidRPr="00E349D9">
        <w:rPr>
          <w:szCs w:val="26"/>
        </w:rPr>
        <w:t>terminating</w:t>
      </w:r>
      <w:r w:rsidR="0039075A" w:rsidRPr="00E349D9">
        <w:rPr>
          <w:szCs w:val="26"/>
        </w:rPr>
        <w:t xml:space="preserve"> her</w:t>
      </w:r>
      <w:r w:rsidR="00DF1BAB" w:rsidRPr="00E349D9">
        <w:rPr>
          <w:szCs w:val="26"/>
        </w:rPr>
        <w:t xml:space="preserve"> employment</w:t>
      </w:r>
      <w:r w:rsidR="0039075A" w:rsidRPr="00E349D9">
        <w:rPr>
          <w:szCs w:val="26"/>
        </w:rPr>
        <w:t xml:space="preserve">, and telling her </w:t>
      </w:r>
      <w:r w:rsidR="00DF1BAB" w:rsidRPr="00E349D9">
        <w:rPr>
          <w:szCs w:val="26"/>
        </w:rPr>
        <w:t>never</w:t>
      </w:r>
      <w:r w:rsidRPr="00E349D9">
        <w:rPr>
          <w:szCs w:val="26"/>
        </w:rPr>
        <w:t xml:space="preserve"> to return to the </w:t>
      </w:r>
      <w:r w:rsidR="00D35829" w:rsidRPr="00E349D9">
        <w:rPr>
          <w:szCs w:val="26"/>
        </w:rPr>
        <w:t xml:space="preserve">club.  </w:t>
      </w:r>
      <w:r w:rsidR="001B1EAC" w:rsidRPr="00E349D9">
        <w:rPr>
          <w:szCs w:val="26"/>
        </w:rPr>
        <w:t xml:space="preserve">In June 2014, </w:t>
      </w:r>
      <w:r w:rsidR="00173CAA" w:rsidRPr="00E349D9">
        <w:rPr>
          <w:szCs w:val="26"/>
        </w:rPr>
        <w:t xml:space="preserve">A.C.R. filed a complaint </w:t>
      </w:r>
      <w:r w:rsidR="001B1EAC" w:rsidRPr="00E349D9">
        <w:rPr>
          <w:szCs w:val="26"/>
        </w:rPr>
        <w:t>against</w:t>
      </w:r>
      <w:r w:rsidR="00843151" w:rsidRPr="00E349D9">
        <w:rPr>
          <w:szCs w:val="26"/>
        </w:rPr>
        <w:t xml:space="preserve"> Estrada</w:t>
      </w:r>
      <w:r w:rsidR="001B1EAC" w:rsidRPr="00E349D9">
        <w:rPr>
          <w:szCs w:val="26"/>
        </w:rPr>
        <w:t xml:space="preserve"> and Kolla</w:t>
      </w:r>
      <w:r w:rsidR="008B6AC4" w:rsidRPr="00E349D9">
        <w:rPr>
          <w:szCs w:val="26"/>
        </w:rPr>
        <w:t>’</w:t>
      </w:r>
      <w:r w:rsidR="001B1EAC" w:rsidRPr="00E349D9">
        <w:rPr>
          <w:szCs w:val="26"/>
        </w:rPr>
        <w:t>s</w:t>
      </w:r>
      <w:r w:rsidR="00843151" w:rsidRPr="00E349D9">
        <w:rPr>
          <w:szCs w:val="26"/>
        </w:rPr>
        <w:t xml:space="preserve"> </w:t>
      </w:r>
      <w:r w:rsidR="00173CAA" w:rsidRPr="00E349D9">
        <w:rPr>
          <w:szCs w:val="26"/>
        </w:rPr>
        <w:t xml:space="preserve">with </w:t>
      </w:r>
      <w:r w:rsidR="00B2098C" w:rsidRPr="00E349D9">
        <w:rPr>
          <w:szCs w:val="26"/>
        </w:rPr>
        <w:t>DLSE</w:t>
      </w:r>
      <w:r w:rsidR="00173CAA" w:rsidRPr="00E349D9">
        <w:rPr>
          <w:szCs w:val="26"/>
        </w:rPr>
        <w:t>, which opened</w:t>
      </w:r>
      <w:r w:rsidR="008B6F50" w:rsidRPr="00E349D9">
        <w:rPr>
          <w:szCs w:val="26"/>
        </w:rPr>
        <w:t xml:space="preserve"> an investigation.  After determining that </w:t>
      </w:r>
      <w:r w:rsidR="003572B1" w:rsidRPr="00E349D9">
        <w:rPr>
          <w:szCs w:val="26"/>
        </w:rPr>
        <w:t>Estrada</w:t>
      </w:r>
      <w:r w:rsidR="008B6AC4" w:rsidRPr="00E349D9">
        <w:rPr>
          <w:szCs w:val="26"/>
        </w:rPr>
        <w:t>’</w:t>
      </w:r>
      <w:r w:rsidR="003572B1" w:rsidRPr="00E349D9">
        <w:rPr>
          <w:szCs w:val="26"/>
        </w:rPr>
        <w:t>s</w:t>
      </w:r>
      <w:r w:rsidR="008B6F50" w:rsidRPr="00E349D9">
        <w:rPr>
          <w:szCs w:val="26"/>
        </w:rPr>
        <w:t xml:space="preserve"> </w:t>
      </w:r>
      <w:r w:rsidR="000A5EDD" w:rsidRPr="00E349D9">
        <w:rPr>
          <w:szCs w:val="26"/>
        </w:rPr>
        <w:t xml:space="preserve">immigration-based threats and termination </w:t>
      </w:r>
      <w:r w:rsidR="003572B1" w:rsidRPr="00E349D9">
        <w:rPr>
          <w:szCs w:val="26"/>
        </w:rPr>
        <w:t xml:space="preserve">of A.C.R. </w:t>
      </w:r>
      <w:r w:rsidR="000A5EDD" w:rsidRPr="00E349D9">
        <w:rPr>
          <w:szCs w:val="26"/>
        </w:rPr>
        <w:t>violated California law</w:t>
      </w:r>
      <w:r w:rsidR="00DC448E" w:rsidRPr="00E349D9">
        <w:rPr>
          <w:szCs w:val="26"/>
        </w:rPr>
        <w:t xml:space="preserve">, </w:t>
      </w:r>
      <w:r w:rsidR="00B2098C" w:rsidRPr="00E349D9">
        <w:rPr>
          <w:szCs w:val="26"/>
        </w:rPr>
        <w:t>DLSE</w:t>
      </w:r>
      <w:r w:rsidR="00DC448E" w:rsidRPr="00E349D9">
        <w:rPr>
          <w:szCs w:val="26"/>
        </w:rPr>
        <w:t xml:space="preserve"> </w:t>
      </w:r>
      <w:r w:rsidR="00617D39" w:rsidRPr="00E349D9">
        <w:rPr>
          <w:szCs w:val="26"/>
        </w:rPr>
        <w:t>notified</w:t>
      </w:r>
      <w:r w:rsidR="00DC448E" w:rsidRPr="00E349D9">
        <w:rPr>
          <w:szCs w:val="26"/>
        </w:rPr>
        <w:t xml:space="preserve"> Estrada and Kolla</w:t>
      </w:r>
      <w:r w:rsidR="008B6AC4" w:rsidRPr="00E349D9">
        <w:rPr>
          <w:szCs w:val="26"/>
        </w:rPr>
        <w:t>’</w:t>
      </w:r>
      <w:r w:rsidR="00DC448E" w:rsidRPr="00E349D9">
        <w:rPr>
          <w:szCs w:val="26"/>
        </w:rPr>
        <w:t xml:space="preserve">s </w:t>
      </w:r>
      <w:r w:rsidR="00617D39" w:rsidRPr="00E349D9">
        <w:rPr>
          <w:szCs w:val="26"/>
        </w:rPr>
        <w:t>of proposed remedies, including payment of lost wages to A.C.R., reinstatement of A.C.R.</w:t>
      </w:r>
      <w:r w:rsidR="008B6AC4" w:rsidRPr="00E349D9">
        <w:rPr>
          <w:szCs w:val="26"/>
        </w:rPr>
        <w:t>’</w:t>
      </w:r>
      <w:r w:rsidR="00617D39" w:rsidRPr="00E349D9">
        <w:rPr>
          <w:szCs w:val="26"/>
        </w:rPr>
        <w:t xml:space="preserve">s previous position, and </w:t>
      </w:r>
      <w:r w:rsidR="00350078" w:rsidRPr="00E349D9">
        <w:rPr>
          <w:szCs w:val="26"/>
        </w:rPr>
        <w:t xml:space="preserve">payment of </w:t>
      </w:r>
      <w:r w:rsidR="00617D39" w:rsidRPr="00E349D9">
        <w:rPr>
          <w:szCs w:val="26"/>
        </w:rPr>
        <w:t xml:space="preserve">civil penalties to A.C.R. and </w:t>
      </w:r>
      <w:r w:rsidR="00D136FB" w:rsidRPr="00E349D9">
        <w:rPr>
          <w:szCs w:val="26"/>
        </w:rPr>
        <w:t>DLSE</w:t>
      </w:r>
      <w:r w:rsidR="00617D39" w:rsidRPr="00E349D9">
        <w:rPr>
          <w:szCs w:val="26"/>
        </w:rPr>
        <w:t xml:space="preserve">. </w:t>
      </w:r>
      <w:r w:rsidR="00350078" w:rsidRPr="00E349D9">
        <w:rPr>
          <w:szCs w:val="26"/>
        </w:rPr>
        <w:t xml:space="preserve"> </w:t>
      </w:r>
      <w:r w:rsidR="004E43C7" w:rsidRPr="00E349D9">
        <w:rPr>
          <w:szCs w:val="26"/>
        </w:rPr>
        <w:t>After</w:t>
      </w:r>
      <w:r w:rsidR="00DD0509" w:rsidRPr="00E349D9">
        <w:rPr>
          <w:szCs w:val="26"/>
        </w:rPr>
        <w:t xml:space="preserve"> </w:t>
      </w:r>
      <w:r w:rsidR="00FE7ABA" w:rsidRPr="00E349D9">
        <w:rPr>
          <w:szCs w:val="26"/>
        </w:rPr>
        <w:t>Estrada and Kolla</w:t>
      </w:r>
      <w:r w:rsidR="008B6AC4" w:rsidRPr="00E349D9">
        <w:rPr>
          <w:szCs w:val="26"/>
        </w:rPr>
        <w:t>’</w:t>
      </w:r>
      <w:r w:rsidR="00FE7ABA" w:rsidRPr="00E349D9">
        <w:rPr>
          <w:szCs w:val="26"/>
        </w:rPr>
        <w:t xml:space="preserve">s declined to accept </w:t>
      </w:r>
      <w:r w:rsidR="004C6BCA" w:rsidRPr="00E349D9">
        <w:rPr>
          <w:szCs w:val="26"/>
        </w:rPr>
        <w:t>DLSE</w:t>
      </w:r>
      <w:r w:rsidR="008B6AC4" w:rsidRPr="00E349D9">
        <w:rPr>
          <w:szCs w:val="26"/>
        </w:rPr>
        <w:t>’</w:t>
      </w:r>
      <w:r w:rsidR="004C6BCA" w:rsidRPr="00E349D9">
        <w:rPr>
          <w:szCs w:val="26"/>
        </w:rPr>
        <w:t xml:space="preserve">s </w:t>
      </w:r>
      <w:r w:rsidR="00A10E84" w:rsidRPr="00E349D9">
        <w:rPr>
          <w:szCs w:val="26"/>
        </w:rPr>
        <w:t xml:space="preserve">proposed remedies, the </w:t>
      </w:r>
      <w:r w:rsidR="00397554" w:rsidRPr="00E349D9">
        <w:rPr>
          <w:szCs w:val="26"/>
        </w:rPr>
        <w:t xml:space="preserve">Labor </w:t>
      </w:r>
      <w:r w:rsidR="00A10E84" w:rsidRPr="00E349D9">
        <w:rPr>
          <w:szCs w:val="26"/>
        </w:rPr>
        <w:t>Commission</w:t>
      </w:r>
      <w:r w:rsidR="00447662" w:rsidRPr="00E349D9">
        <w:rPr>
          <w:szCs w:val="26"/>
        </w:rPr>
        <w:t>er</w:t>
      </w:r>
      <w:r w:rsidR="00A10E84" w:rsidRPr="00E349D9">
        <w:rPr>
          <w:szCs w:val="26"/>
        </w:rPr>
        <w:t xml:space="preserve"> </w:t>
      </w:r>
      <w:r w:rsidR="000A5EDD" w:rsidRPr="00E349D9">
        <w:rPr>
          <w:szCs w:val="26"/>
        </w:rPr>
        <w:t xml:space="preserve">sued </w:t>
      </w:r>
      <w:r w:rsidR="001E2AED" w:rsidRPr="00E349D9">
        <w:rPr>
          <w:szCs w:val="26"/>
        </w:rPr>
        <w:t>them</w:t>
      </w:r>
      <w:r w:rsidR="00481EB3" w:rsidRPr="00E349D9">
        <w:rPr>
          <w:szCs w:val="26"/>
        </w:rPr>
        <w:t xml:space="preserve"> for violations of the Labor Code</w:t>
      </w:r>
      <w:r w:rsidR="001E2AED" w:rsidRPr="00E349D9">
        <w:rPr>
          <w:szCs w:val="26"/>
        </w:rPr>
        <w:t>,</w:t>
      </w:r>
      <w:r w:rsidR="003729E5" w:rsidRPr="00E349D9">
        <w:rPr>
          <w:szCs w:val="26"/>
        </w:rPr>
        <w:t xml:space="preserve"> including retaliation in violation of section 1102.5(b).</w:t>
      </w:r>
    </w:p>
    <w:p w14:paraId="39397969" w14:textId="302E7D1F" w:rsidR="00754593" w:rsidRPr="00E349D9" w:rsidRDefault="003F3A6B" w:rsidP="0087786A">
      <w:pPr>
        <w:autoSpaceDE w:val="0"/>
        <w:autoSpaceDN w:val="0"/>
        <w:adjustRightInd w:val="0"/>
        <w:ind w:firstLine="720"/>
        <w:rPr>
          <w:szCs w:val="26"/>
        </w:rPr>
      </w:pPr>
      <w:r w:rsidRPr="00E349D9">
        <w:rPr>
          <w:szCs w:val="26"/>
        </w:rPr>
        <w:t xml:space="preserve">The trial court entered </w:t>
      </w:r>
      <w:r w:rsidR="00424C39" w:rsidRPr="00E349D9">
        <w:rPr>
          <w:szCs w:val="26"/>
        </w:rPr>
        <w:t>an order granting in part the</w:t>
      </w:r>
      <w:r w:rsidR="005962C2" w:rsidRPr="00E349D9">
        <w:rPr>
          <w:szCs w:val="26"/>
        </w:rPr>
        <w:t xml:space="preserve"> </w:t>
      </w:r>
      <w:r w:rsidR="00397554" w:rsidRPr="00E349D9">
        <w:rPr>
          <w:szCs w:val="26"/>
        </w:rPr>
        <w:t xml:space="preserve">Labor </w:t>
      </w:r>
      <w:r w:rsidR="005962C2" w:rsidRPr="00E349D9">
        <w:rPr>
          <w:szCs w:val="26"/>
        </w:rPr>
        <w:t>Commission</w:t>
      </w:r>
      <w:r w:rsidR="003D1DAE" w:rsidRPr="00E349D9">
        <w:rPr>
          <w:szCs w:val="26"/>
        </w:rPr>
        <w:t>er</w:t>
      </w:r>
      <w:r w:rsidR="008B6AC4" w:rsidRPr="00E349D9">
        <w:rPr>
          <w:szCs w:val="26"/>
        </w:rPr>
        <w:t>’</w:t>
      </w:r>
      <w:r w:rsidR="00424C39" w:rsidRPr="00E349D9">
        <w:rPr>
          <w:szCs w:val="26"/>
        </w:rPr>
        <w:t xml:space="preserve">s </w:t>
      </w:r>
      <w:r w:rsidR="000D79E8" w:rsidRPr="00E349D9">
        <w:rPr>
          <w:szCs w:val="26"/>
        </w:rPr>
        <w:t>application for default judgment</w:t>
      </w:r>
      <w:r w:rsidR="00557C4E" w:rsidRPr="00E349D9">
        <w:rPr>
          <w:szCs w:val="26"/>
        </w:rPr>
        <w:t xml:space="preserve"> </w:t>
      </w:r>
      <w:r w:rsidR="005962C2" w:rsidRPr="00E349D9">
        <w:rPr>
          <w:szCs w:val="26"/>
        </w:rPr>
        <w:t xml:space="preserve">but </w:t>
      </w:r>
      <w:r w:rsidR="00A16C52" w:rsidRPr="00E349D9">
        <w:rPr>
          <w:szCs w:val="26"/>
        </w:rPr>
        <w:t xml:space="preserve">ruled </w:t>
      </w:r>
      <w:r w:rsidRPr="00E349D9">
        <w:rPr>
          <w:szCs w:val="26"/>
        </w:rPr>
        <w:t xml:space="preserve">against the </w:t>
      </w:r>
      <w:r w:rsidR="00397554" w:rsidRPr="00E349D9">
        <w:rPr>
          <w:szCs w:val="26"/>
        </w:rPr>
        <w:t xml:space="preserve">Labor </w:t>
      </w:r>
      <w:r w:rsidRPr="00E349D9">
        <w:rPr>
          <w:szCs w:val="26"/>
        </w:rPr>
        <w:t>Commission</w:t>
      </w:r>
      <w:r w:rsidR="003D1DAE" w:rsidRPr="00E349D9">
        <w:rPr>
          <w:szCs w:val="26"/>
        </w:rPr>
        <w:t>er</w:t>
      </w:r>
      <w:r w:rsidRPr="00E349D9">
        <w:rPr>
          <w:szCs w:val="26"/>
        </w:rPr>
        <w:t xml:space="preserve"> on the </w:t>
      </w:r>
      <w:r w:rsidR="00722296" w:rsidRPr="00E349D9">
        <w:rPr>
          <w:szCs w:val="26"/>
        </w:rPr>
        <w:t>section 1102.5(b) claim</w:t>
      </w:r>
      <w:r w:rsidR="005962C2" w:rsidRPr="00E349D9">
        <w:rPr>
          <w:szCs w:val="26"/>
        </w:rPr>
        <w:t xml:space="preserve">. </w:t>
      </w:r>
      <w:r w:rsidR="00924D3F" w:rsidRPr="00E349D9">
        <w:rPr>
          <w:szCs w:val="26"/>
        </w:rPr>
        <w:t xml:space="preserve"> </w:t>
      </w:r>
      <w:r w:rsidR="00195990" w:rsidRPr="00E349D9">
        <w:rPr>
          <w:szCs w:val="26"/>
        </w:rPr>
        <w:t>T</w:t>
      </w:r>
      <w:r w:rsidR="005962C2" w:rsidRPr="00E349D9">
        <w:rPr>
          <w:szCs w:val="26"/>
        </w:rPr>
        <w:t>he court</w:t>
      </w:r>
      <w:r w:rsidR="00722296" w:rsidRPr="00E349D9">
        <w:rPr>
          <w:szCs w:val="26"/>
        </w:rPr>
        <w:t xml:space="preserve"> </w:t>
      </w:r>
      <w:r w:rsidR="005962C2" w:rsidRPr="00E349D9">
        <w:rPr>
          <w:szCs w:val="26"/>
        </w:rPr>
        <w:t>held</w:t>
      </w:r>
      <w:r w:rsidR="00722296" w:rsidRPr="00E349D9">
        <w:rPr>
          <w:szCs w:val="26"/>
        </w:rPr>
        <w:t xml:space="preserve"> that </w:t>
      </w:r>
      <w:r w:rsidR="00CE1C6B" w:rsidRPr="00E349D9">
        <w:rPr>
          <w:szCs w:val="26"/>
        </w:rPr>
        <w:t>the Labor Commission</w:t>
      </w:r>
      <w:r w:rsidR="00211BF7" w:rsidRPr="00E349D9">
        <w:rPr>
          <w:szCs w:val="26"/>
        </w:rPr>
        <w:t>er</w:t>
      </w:r>
      <w:r w:rsidR="00CE1C6B" w:rsidRPr="00E349D9">
        <w:rPr>
          <w:szCs w:val="26"/>
        </w:rPr>
        <w:t xml:space="preserve"> did not state a valid cause of action </w:t>
      </w:r>
      <w:r w:rsidR="00195990" w:rsidRPr="00E349D9">
        <w:rPr>
          <w:szCs w:val="26"/>
        </w:rPr>
        <w:t xml:space="preserve">under section 1102.5(b) </w:t>
      </w:r>
      <w:r w:rsidR="00CE1C6B" w:rsidRPr="00E349D9">
        <w:rPr>
          <w:szCs w:val="26"/>
        </w:rPr>
        <w:t xml:space="preserve">because A.C.R. reported </w:t>
      </w:r>
      <w:r w:rsidR="00DF5875" w:rsidRPr="00E349D9">
        <w:rPr>
          <w:szCs w:val="26"/>
        </w:rPr>
        <w:t xml:space="preserve">her complaints to her employer rather than a government agency. </w:t>
      </w:r>
      <w:r w:rsidR="00F52443" w:rsidRPr="00E349D9">
        <w:rPr>
          <w:szCs w:val="26"/>
        </w:rPr>
        <w:t xml:space="preserve"> </w:t>
      </w:r>
      <w:r w:rsidR="003D1DAE" w:rsidRPr="00E349D9">
        <w:rPr>
          <w:szCs w:val="26"/>
        </w:rPr>
        <w:t>T</w:t>
      </w:r>
      <w:r w:rsidR="00DF5875" w:rsidRPr="00E349D9">
        <w:rPr>
          <w:szCs w:val="26"/>
        </w:rPr>
        <w:t>he</w:t>
      </w:r>
      <w:r w:rsidR="002A0F08" w:rsidRPr="00E349D9">
        <w:rPr>
          <w:szCs w:val="26"/>
        </w:rPr>
        <w:t xml:space="preserve"> Labor Commissioner appealed</w:t>
      </w:r>
      <w:r w:rsidR="00A012DF" w:rsidRPr="00E349D9">
        <w:rPr>
          <w:szCs w:val="26"/>
        </w:rPr>
        <w:t xml:space="preserve">.  </w:t>
      </w:r>
    </w:p>
    <w:p w14:paraId="752EA61B" w14:textId="151C239B" w:rsidR="00C970C6" w:rsidRPr="00E349D9" w:rsidRDefault="00A012DF" w:rsidP="0087786A">
      <w:pPr>
        <w:autoSpaceDE w:val="0"/>
        <w:autoSpaceDN w:val="0"/>
        <w:adjustRightInd w:val="0"/>
        <w:ind w:firstLine="720"/>
        <w:rPr>
          <w:szCs w:val="26"/>
          <w:bdr w:val="none" w:sz="0" w:space="0" w:color="auto" w:frame="1"/>
          <w:shd w:val="clear" w:color="auto" w:fill="FFFFFF"/>
        </w:rPr>
      </w:pPr>
      <w:r w:rsidRPr="00E349D9">
        <w:rPr>
          <w:szCs w:val="26"/>
        </w:rPr>
        <w:t>The</w:t>
      </w:r>
      <w:r w:rsidR="00DF5875" w:rsidRPr="00E349D9">
        <w:rPr>
          <w:szCs w:val="26"/>
        </w:rPr>
        <w:t xml:space="preserve"> </w:t>
      </w:r>
      <w:r w:rsidR="00982DE0" w:rsidRPr="00E349D9">
        <w:rPr>
          <w:szCs w:val="26"/>
        </w:rPr>
        <w:t>Court of Appea</w:t>
      </w:r>
      <w:r w:rsidR="003D1DAE" w:rsidRPr="00E349D9">
        <w:rPr>
          <w:szCs w:val="26"/>
        </w:rPr>
        <w:t>l</w:t>
      </w:r>
      <w:r w:rsidR="00982DE0" w:rsidRPr="00E349D9">
        <w:rPr>
          <w:szCs w:val="26"/>
        </w:rPr>
        <w:t xml:space="preserve"> held that the trial court had relied on a</w:t>
      </w:r>
      <w:r w:rsidR="003D1DAE" w:rsidRPr="00E349D9">
        <w:rPr>
          <w:szCs w:val="26"/>
        </w:rPr>
        <w:t xml:space="preserve">n outdated </w:t>
      </w:r>
      <w:r w:rsidR="00982DE0" w:rsidRPr="00E349D9">
        <w:rPr>
          <w:szCs w:val="26"/>
        </w:rPr>
        <w:t xml:space="preserve">version of section 1102.5(b) and that </w:t>
      </w:r>
      <w:r w:rsidR="00B03DAF" w:rsidRPr="00E349D9">
        <w:rPr>
          <w:szCs w:val="26"/>
        </w:rPr>
        <w:t>the current version of the law protect</w:t>
      </w:r>
      <w:r w:rsidR="00C34F1B" w:rsidRPr="00E349D9">
        <w:rPr>
          <w:szCs w:val="26"/>
        </w:rPr>
        <w:t>s</w:t>
      </w:r>
      <w:r w:rsidR="00B03DAF" w:rsidRPr="00E349D9">
        <w:rPr>
          <w:szCs w:val="26"/>
        </w:rPr>
        <w:t xml:space="preserve"> disclosures made to one</w:t>
      </w:r>
      <w:r w:rsidR="008B6AC4" w:rsidRPr="00E349D9">
        <w:rPr>
          <w:szCs w:val="26"/>
        </w:rPr>
        <w:t>’</w:t>
      </w:r>
      <w:r w:rsidR="00B03DAF" w:rsidRPr="00E349D9">
        <w:rPr>
          <w:szCs w:val="26"/>
        </w:rPr>
        <w:t>s employer.</w:t>
      </w:r>
      <w:r w:rsidR="005962C2" w:rsidRPr="00E349D9">
        <w:rPr>
          <w:szCs w:val="26"/>
        </w:rPr>
        <w:t xml:space="preserve">  </w:t>
      </w:r>
      <w:r w:rsidR="00D564C9" w:rsidRPr="00E349D9">
        <w:rPr>
          <w:szCs w:val="26"/>
        </w:rPr>
        <w:t>T</w:t>
      </w:r>
      <w:r w:rsidR="00B03DAF" w:rsidRPr="00E349D9">
        <w:rPr>
          <w:szCs w:val="26"/>
        </w:rPr>
        <w:t xml:space="preserve">he </w:t>
      </w:r>
      <w:r w:rsidR="00762B69" w:rsidRPr="00E349D9">
        <w:rPr>
          <w:szCs w:val="26"/>
        </w:rPr>
        <w:t>C</w:t>
      </w:r>
      <w:r w:rsidR="001F4E6F" w:rsidRPr="00E349D9">
        <w:rPr>
          <w:szCs w:val="26"/>
        </w:rPr>
        <w:t xml:space="preserve">ourt of Appeal </w:t>
      </w:r>
      <w:r w:rsidR="00B620F7" w:rsidRPr="00E349D9">
        <w:rPr>
          <w:szCs w:val="26"/>
        </w:rPr>
        <w:t xml:space="preserve">nonetheless </w:t>
      </w:r>
      <w:r w:rsidR="00854431" w:rsidRPr="00E349D9">
        <w:rPr>
          <w:szCs w:val="26"/>
        </w:rPr>
        <w:t>affirmed the trial court</w:t>
      </w:r>
      <w:r w:rsidR="008B6AC4" w:rsidRPr="00E349D9">
        <w:rPr>
          <w:szCs w:val="26"/>
        </w:rPr>
        <w:t>’</w:t>
      </w:r>
      <w:r w:rsidR="00854431" w:rsidRPr="00E349D9">
        <w:rPr>
          <w:szCs w:val="26"/>
        </w:rPr>
        <w:t xml:space="preserve">s judgment on </w:t>
      </w:r>
      <w:r w:rsidR="00AF6C54" w:rsidRPr="00E349D9">
        <w:rPr>
          <w:szCs w:val="26"/>
        </w:rPr>
        <w:t>the section 1102.5(b)</w:t>
      </w:r>
      <w:r w:rsidR="00854431" w:rsidRPr="00E349D9">
        <w:rPr>
          <w:szCs w:val="26"/>
        </w:rPr>
        <w:t xml:space="preserve"> </w:t>
      </w:r>
      <w:r w:rsidR="00AF6C54" w:rsidRPr="00E349D9">
        <w:rPr>
          <w:szCs w:val="26"/>
        </w:rPr>
        <w:t>claim</w:t>
      </w:r>
      <w:r w:rsidR="00D564C9" w:rsidRPr="00E349D9">
        <w:rPr>
          <w:szCs w:val="26"/>
        </w:rPr>
        <w:t xml:space="preserve">, </w:t>
      </w:r>
      <w:r w:rsidR="00E06564" w:rsidRPr="00E349D9">
        <w:rPr>
          <w:szCs w:val="26"/>
        </w:rPr>
        <w:t xml:space="preserve">concluding </w:t>
      </w:r>
      <w:r w:rsidR="00854431" w:rsidRPr="00E349D9">
        <w:rPr>
          <w:szCs w:val="26"/>
        </w:rPr>
        <w:t xml:space="preserve">that </w:t>
      </w:r>
      <w:r w:rsidR="00DA2526" w:rsidRPr="00E349D9">
        <w:rPr>
          <w:szCs w:val="26"/>
        </w:rPr>
        <w:t>a</w:t>
      </w:r>
      <w:r w:rsidR="00BD62CC" w:rsidRPr="00E349D9">
        <w:rPr>
          <w:szCs w:val="26"/>
        </w:rPr>
        <w:t xml:space="preserve"> private </w:t>
      </w:r>
      <w:r w:rsidR="00DA2526" w:rsidRPr="00E349D9">
        <w:rPr>
          <w:szCs w:val="26"/>
        </w:rPr>
        <w:t>employee</w:t>
      </w:r>
      <w:r w:rsidR="008B6AC4" w:rsidRPr="00E349D9">
        <w:rPr>
          <w:szCs w:val="26"/>
        </w:rPr>
        <w:t>’</w:t>
      </w:r>
      <w:r w:rsidR="00DA2526" w:rsidRPr="00E349D9">
        <w:rPr>
          <w:szCs w:val="26"/>
        </w:rPr>
        <w:t xml:space="preserve">s report of unlawful activity directly to </w:t>
      </w:r>
      <w:r w:rsidR="00B64E0A" w:rsidRPr="00E349D9">
        <w:rPr>
          <w:szCs w:val="26"/>
        </w:rPr>
        <w:t>his or her</w:t>
      </w:r>
      <w:r w:rsidR="00DA2526" w:rsidRPr="00E349D9">
        <w:rPr>
          <w:szCs w:val="26"/>
        </w:rPr>
        <w:t xml:space="preserve"> wrongdo</w:t>
      </w:r>
      <w:r w:rsidR="00163109" w:rsidRPr="00E349D9">
        <w:rPr>
          <w:szCs w:val="26"/>
        </w:rPr>
        <w:t>ing employer</w:t>
      </w:r>
      <w:r w:rsidR="00DA2526" w:rsidRPr="00E349D9">
        <w:rPr>
          <w:szCs w:val="26"/>
        </w:rPr>
        <w:t xml:space="preserve"> is not </w:t>
      </w:r>
      <w:r w:rsidR="0086245E" w:rsidRPr="00E349D9">
        <w:rPr>
          <w:szCs w:val="26"/>
        </w:rPr>
        <w:t xml:space="preserve">a </w:t>
      </w:r>
      <w:r w:rsidR="005B77B7" w:rsidRPr="00E349D9">
        <w:rPr>
          <w:szCs w:val="26"/>
        </w:rPr>
        <w:t xml:space="preserve">protected </w:t>
      </w:r>
      <w:r w:rsidR="0086245E" w:rsidRPr="00E349D9">
        <w:rPr>
          <w:szCs w:val="26"/>
        </w:rPr>
        <w:t xml:space="preserve">disclosure </w:t>
      </w:r>
      <w:r w:rsidR="005B77B7" w:rsidRPr="00E349D9">
        <w:rPr>
          <w:szCs w:val="26"/>
        </w:rPr>
        <w:t>under section 1102.5(b).</w:t>
      </w:r>
      <w:r w:rsidR="00754593" w:rsidRPr="00E349D9">
        <w:rPr>
          <w:szCs w:val="26"/>
        </w:rPr>
        <w:t xml:space="preserve">  </w:t>
      </w:r>
      <w:r w:rsidR="00C34F1B" w:rsidRPr="00E349D9">
        <w:rPr>
          <w:szCs w:val="26"/>
        </w:rPr>
        <w:t>T</w:t>
      </w:r>
      <w:r w:rsidR="00D564C9" w:rsidRPr="00E349D9">
        <w:rPr>
          <w:szCs w:val="26"/>
        </w:rPr>
        <w:t xml:space="preserve">he </w:t>
      </w:r>
      <w:r w:rsidR="00754593" w:rsidRPr="00E349D9">
        <w:rPr>
          <w:szCs w:val="26"/>
        </w:rPr>
        <w:t xml:space="preserve">court </w:t>
      </w:r>
      <w:r w:rsidR="00C34F1B" w:rsidRPr="00E349D9">
        <w:rPr>
          <w:szCs w:val="26"/>
        </w:rPr>
        <w:t xml:space="preserve">reasoned </w:t>
      </w:r>
      <w:r w:rsidR="003A029D" w:rsidRPr="00E349D9">
        <w:rPr>
          <w:szCs w:val="26"/>
        </w:rPr>
        <w:t xml:space="preserve">that </w:t>
      </w:r>
      <w:r w:rsidR="00D00A52" w:rsidRPr="00E349D9">
        <w:rPr>
          <w:szCs w:val="26"/>
        </w:rPr>
        <w:t xml:space="preserve">the </w:t>
      </w:r>
      <w:r w:rsidR="00D00A52" w:rsidRPr="0082355F">
        <w:rPr>
          <w:szCs w:val="26"/>
        </w:rPr>
        <w:t xml:space="preserve">term </w:t>
      </w:r>
      <w:r w:rsidR="006362D8" w:rsidRPr="0082355F">
        <w:rPr>
          <w:szCs w:val="26"/>
        </w:rPr>
        <w:t>“</w:t>
      </w:r>
      <w:r w:rsidR="00D00A52" w:rsidRPr="0082355F">
        <w:rPr>
          <w:szCs w:val="26"/>
        </w:rPr>
        <w:t>disclo</w:t>
      </w:r>
      <w:r w:rsidR="001F4E6F" w:rsidRPr="0082355F">
        <w:rPr>
          <w:szCs w:val="26"/>
        </w:rPr>
        <w:t>s</w:t>
      </w:r>
      <w:r w:rsidR="00D00A52" w:rsidRPr="0082355F">
        <w:rPr>
          <w:szCs w:val="26"/>
        </w:rPr>
        <w:t>e</w:t>
      </w:r>
      <w:r w:rsidR="006362D8" w:rsidRPr="0082355F">
        <w:rPr>
          <w:szCs w:val="26"/>
        </w:rPr>
        <w:t>”</w:t>
      </w:r>
      <w:r w:rsidR="00D00A52" w:rsidRPr="00E349D9">
        <w:rPr>
          <w:szCs w:val="26"/>
        </w:rPr>
        <w:t xml:space="preserve"> requires “</w:t>
      </w:r>
      <w:r w:rsidR="003A029D" w:rsidRPr="00E349D9">
        <w:rPr>
          <w:szCs w:val="26"/>
          <w:shd w:val="clear" w:color="auto" w:fill="FFFFFF"/>
        </w:rPr>
        <w:t>the revelation of something new, or at least believed by the discloser to be new, to the person or agency to whom the disclosure is made</w:t>
      </w:r>
      <w:r w:rsidR="00D00A52" w:rsidRPr="00E349D9">
        <w:rPr>
          <w:szCs w:val="26"/>
          <w:shd w:val="clear" w:color="auto" w:fill="FFFFFF"/>
        </w:rPr>
        <w:t>.”</w:t>
      </w:r>
      <w:r w:rsidR="00B755E1" w:rsidRPr="00E349D9">
        <w:rPr>
          <w:szCs w:val="26"/>
        </w:rPr>
        <w:t xml:space="preserve">  </w:t>
      </w:r>
      <w:r w:rsidR="002F4807" w:rsidRPr="00E349D9">
        <w:rPr>
          <w:szCs w:val="26"/>
        </w:rPr>
        <w:t xml:space="preserve">The </w:t>
      </w:r>
      <w:r w:rsidR="006362D8" w:rsidRPr="00E349D9">
        <w:rPr>
          <w:szCs w:val="26"/>
        </w:rPr>
        <w:t xml:space="preserve">court </w:t>
      </w:r>
      <w:r w:rsidR="00C34F1B" w:rsidRPr="00E349D9">
        <w:rPr>
          <w:szCs w:val="26"/>
        </w:rPr>
        <w:t xml:space="preserve">explained </w:t>
      </w:r>
      <w:r w:rsidR="002F4807" w:rsidRPr="00E349D9">
        <w:rPr>
          <w:szCs w:val="26"/>
        </w:rPr>
        <w:t xml:space="preserve">that </w:t>
      </w:r>
      <w:r w:rsidR="00C34F1B" w:rsidRPr="00E349D9">
        <w:rPr>
          <w:szCs w:val="26"/>
        </w:rPr>
        <w:t xml:space="preserve">Estrada, </w:t>
      </w:r>
      <w:r w:rsidR="00682EDC" w:rsidRPr="00E349D9">
        <w:rPr>
          <w:szCs w:val="26"/>
        </w:rPr>
        <w:t>as the owner of the nightclub, “</w:t>
      </w:r>
      <w:r w:rsidR="00682EDC" w:rsidRPr="00E349D9">
        <w:rPr>
          <w:szCs w:val="26"/>
          <w:shd w:val="clear" w:color="auto" w:fill="FFFFFF"/>
        </w:rPr>
        <w:t>was at least aware of</w:t>
      </w:r>
      <w:r w:rsidR="00F668E2" w:rsidRPr="00E349D9">
        <w:rPr>
          <w:szCs w:val="26"/>
          <w:shd w:val="clear" w:color="auto" w:fill="FFFFFF"/>
        </w:rPr>
        <w:t> </w:t>
      </w:r>
      <w:r w:rsidR="00B74DF2" w:rsidRPr="00E349D9">
        <w:rPr>
          <w:szCs w:val="26"/>
          <w:shd w:val="clear" w:color="auto" w:fill="FFFFFF"/>
        </w:rPr>
        <w:t>—</w:t>
      </w:r>
      <w:r w:rsidR="00682EDC" w:rsidRPr="00E349D9">
        <w:rPr>
          <w:szCs w:val="26"/>
          <w:shd w:val="clear" w:color="auto" w:fill="FFFFFF"/>
        </w:rPr>
        <w:t xml:space="preserve"> if not responsible for</w:t>
      </w:r>
      <w:r w:rsidR="004754B1" w:rsidRPr="00E349D9">
        <w:rPr>
          <w:szCs w:val="26"/>
          <w:shd w:val="clear" w:color="auto" w:fill="FFFFFF"/>
        </w:rPr>
        <w:t> </w:t>
      </w:r>
      <w:r w:rsidR="00B74DF2" w:rsidRPr="00E349D9">
        <w:rPr>
          <w:szCs w:val="26"/>
          <w:shd w:val="clear" w:color="auto" w:fill="FFFFFF"/>
        </w:rPr>
        <w:t>—</w:t>
      </w:r>
      <w:r w:rsidR="00682EDC" w:rsidRPr="00E349D9">
        <w:rPr>
          <w:szCs w:val="26"/>
          <w:shd w:val="clear" w:color="auto" w:fill="FFFFFF"/>
        </w:rPr>
        <w:t xml:space="preserve"> the non-payment of wages”</w:t>
      </w:r>
      <w:r w:rsidR="00144F2B" w:rsidRPr="00E349D9">
        <w:rPr>
          <w:szCs w:val="26"/>
          <w:shd w:val="clear" w:color="auto" w:fill="FFFFFF"/>
        </w:rPr>
        <w:t xml:space="preserve"> </w:t>
      </w:r>
      <w:r w:rsidR="00C34F1B" w:rsidRPr="00E349D9">
        <w:rPr>
          <w:szCs w:val="26"/>
          <w:shd w:val="clear" w:color="auto" w:fill="FFFFFF"/>
        </w:rPr>
        <w:t>and that</w:t>
      </w:r>
      <w:r w:rsidR="00455D0E" w:rsidRPr="00E349D9">
        <w:rPr>
          <w:szCs w:val="26"/>
          <w:shd w:val="clear" w:color="auto" w:fill="FFFFFF"/>
        </w:rPr>
        <w:t xml:space="preserve"> an “</w:t>
      </w:r>
      <w:r w:rsidR="0000512C" w:rsidRPr="00E349D9">
        <w:rPr>
          <w:szCs w:val="26"/>
          <w:shd w:val="clear" w:color="auto" w:fill="FFFFFF"/>
        </w:rPr>
        <w:t> ‘</w:t>
      </w:r>
      <w:r w:rsidR="00455D0E" w:rsidRPr="00E349D9">
        <w:rPr>
          <w:szCs w:val="26"/>
          <w:shd w:val="clear" w:color="auto" w:fill="FFFFFF"/>
        </w:rPr>
        <w:t>employee</w:t>
      </w:r>
      <w:r w:rsidR="008B6AC4" w:rsidRPr="00E349D9">
        <w:rPr>
          <w:szCs w:val="26"/>
          <w:shd w:val="clear" w:color="auto" w:fill="FFFFFF"/>
        </w:rPr>
        <w:t>’</w:t>
      </w:r>
      <w:r w:rsidR="00455D0E" w:rsidRPr="00E349D9">
        <w:rPr>
          <w:szCs w:val="26"/>
          <w:shd w:val="clear" w:color="auto" w:fill="FFFFFF"/>
        </w:rPr>
        <w:t>s report to the employee</w:t>
      </w:r>
      <w:r w:rsidR="008B6AC4" w:rsidRPr="00E349D9">
        <w:rPr>
          <w:szCs w:val="26"/>
          <w:shd w:val="clear" w:color="auto" w:fill="FFFFFF"/>
        </w:rPr>
        <w:t>’</w:t>
      </w:r>
      <w:r w:rsidR="00455D0E" w:rsidRPr="00E349D9">
        <w:rPr>
          <w:szCs w:val="26"/>
          <w:shd w:val="clear" w:color="auto" w:fill="FFFFFF"/>
        </w:rPr>
        <w:t>s supervisor about the supervisor</w:t>
      </w:r>
      <w:r w:rsidR="008B6AC4" w:rsidRPr="00E349D9">
        <w:rPr>
          <w:szCs w:val="26"/>
          <w:shd w:val="clear" w:color="auto" w:fill="FFFFFF"/>
        </w:rPr>
        <w:t>’</w:t>
      </w:r>
      <w:r w:rsidR="00455D0E" w:rsidRPr="00E349D9">
        <w:rPr>
          <w:szCs w:val="26"/>
          <w:shd w:val="clear" w:color="auto" w:fill="FFFFFF"/>
        </w:rPr>
        <w:t xml:space="preserve">s own wrongdoing is not a </w:t>
      </w:r>
      <w:r w:rsidR="0000512C" w:rsidRPr="00E349D9">
        <w:rPr>
          <w:szCs w:val="26"/>
          <w:shd w:val="clear" w:color="auto" w:fill="FFFFFF"/>
        </w:rPr>
        <w:t>“</w:t>
      </w:r>
      <w:r w:rsidR="00455D0E" w:rsidRPr="00E349D9">
        <w:rPr>
          <w:szCs w:val="26"/>
          <w:shd w:val="clear" w:color="auto" w:fill="FFFFFF"/>
        </w:rPr>
        <w:t>disclosure</w:t>
      </w:r>
      <w:r w:rsidR="0000512C" w:rsidRPr="00E349D9">
        <w:rPr>
          <w:szCs w:val="26"/>
          <w:shd w:val="clear" w:color="auto" w:fill="FFFFFF"/>
        </w:rPr>
        <w:t>”</w:t>
      </w:r>
      <w:r w:rsidR="00455D0E" w:rsidRPr="00E349D9">
        <w:rPr>
          <w:szCs w:val="26"/>
          <w:shd w:val="clear" w:color="auto" w:fill="FFFFFF"/>
        </w:rPr>
        <w:t xml:space="preserve"> and is not protected whistleblowing activity, because the employer already knows about his or her wrongdoing</w:t>
      </w:r>
      <w:r w:rsidR="000B1145">
        <w:rPr>
          <w:szCs w:val="26"/>
          <w:shd w:val="clear" w:color="auto" w:fill="FFFFFF"/>
        </w:rPr>
        <w:t>.</w:t>
      </w:r>
      <w:r w:rsidR="006C1766" w:rsidRPr="00E349D9">
        <w:rPr>
          <w:szCs w:val="26"/>
          <w:shd w:val="clear" w:color="auto" w:fill="FFFFFF"/>
        </w:rPr>
        <w:t>’</w:t>
      </w:r>
      <w:r w:rsidR="00C61221" w:rsidRPr="00E349D9">
        <w:rPr>
          <w:szCs w:val="26"/>
          <w:shd w:val="clear" w:color="auto" w:fill="FFFFFF"/>
        </w:rPr>
        <w:t> </w:t>
      </w:r>
      <w:r w:rsidR="006C1766" w:rsidRPr="00E349D9">
        <w:rPr>
          <w:szCs w:val="26"/>
          <w:shd w:val="clear" w:color="auto" w:fill="FFFFFF"/>
        </w:rPr>
        <w:t>”</w:t>
      </w:r>
      <w:r w:rsidR="00455D0E" w:rsidRPr="00E349D9">
        <w:rPr>
          <w:szCs w:val="26"/>
          <w:shd w:val="clear" w:color="auto" w:fill="FFFFFF"/>
        </w:rPr>
        <w:t xml:space="preserve"> </w:t>
      </w:r>
      <w:r w:rsidR="000B1145">
        <w:rPr>
          <w:szCs w:val="26"/>
          <w:shd w:val="clear" w:color="auto" w:fill="FFFFFF"/>
        </w:rPr>
        <w:t xml:space="preserve"> </w:t>
      </w:r>
      <w:r w:rsidR="00455D0E" w:rsidRPr="00E349D9">
        <w:rPr>
          <w:szCs w:val="26"/>
          <w:shd w:val="clear" w:color="auto" w:fill="FFFFFF"/>
        </w:rPr>
        <w:t>(</w:t>
      </w:r>
      <w:r w:rsidR="00DF3A21" w:rsidRPr="00E349D9">
        <w:rPr>
          <w:i/>
          <w:iCs/>
          <w:szCs w:val="26"/>
          <w:bdr w:val="none" w:sz="0" w:space="0" w:color="auto" w:frame="1"/>
        </w:rPr>
        <w:t>People v. Kolla’s Inc.</w:t>
      </w:r>
      <w:r w:rsidR="00DF3A21" w:rsidRPr="00E349D9">
        <w:rPr>
          <w:szCs w:val="26"/>
        </w:rPr>
        <w:t xml:space="preserve"> (May 10, 2021, G057831) </w:t>
      </w:r>
      <w:r w:rsidR="00DF3A21">
        <w:rPr>
          <w:szCs w:val="26"/>
        </w:rPr>
        <w:t>[nonpub. opn.],</w:t>
      </w:r>
      <w:r w:rsidR="000B1145">
        <w:rPr>
          <w:szCs w:val="26"/>
        </w:rPr>
        <w:t xml:space="preserve"> </w:t>
      </w:r>
      <w:r w:rsidR="00455D0E" w:rsidRPr="00E349D9">
        <w:rPr>
          <w:szCs w:val="26"/>
          <w:shd w:val="clear" w:color="auto" w:fill="FFFFFF"/>
        </w:rPr>
        <w:t xml:space="preserve">quoting </w:t>
      </w:r>
      <w:r w:rsidR="00617053" w:rsidRPr="00E349D9">
        <w:rPr>
          <w:i/>
          <w:iCs/>
          <w:szCs w:val="26"/>
          <w:bdr w:val="none" w:sz="0" w:space="0" w:color="auto" w:frame="1"/>
        </w:rPr>
        <w:t>Mize-Kurzman v. Marin Community College Dist.</w:t>
      </w:r>
      <w:r w:rsidR="00617053" w:rsidRPr="00E349D9">
        <w:rPr>
          <w:szCs w:val="26"/>
          <w:shd w:val="clear" w:color="auto" w:fill="FFFFFF"/>
        </w:rPr>
        <w:t> (2012) 202 Cal.App.4th 832, 859 (</w:t>
      </w:r>
      <w:r w:rsidR="00617053" w:rsidRPr="00E349D9">
        <w:rPr>
          <w:i/>
          <w:iCs/>
          <w:szCs w:val="26"/>
          <w:bdr w:val="none" w:sz="0" w:space="0" w:color="auto" w:frame="1"/>
        </w:rPr>
        <w:t>Mize-Kurzman</w:t>
      </w:r>
      <w:r w:rsidR="00617053" w:rsidRPr="00E349D9">
        <w:rPr>
          <w:szCs w:val="26"/>
          <w:shd w:val="clear" w:color="auto" w:fill="FFFFFF"/>
        </w:rPr>
        <w:t>)</w:t>
      </w:r>
      <w:r w:rsidR="000B1145">
        <w:rPr>
          <w:szCs w:val="26"/>
          <w:shd w:val="clear" w:color="auto" w:fill="FFFFFF"/>
        </w:rPr>
        <w:t>.</w:t>
      </w:r>
      <w:r w:rsidR="00617053" w:rsidRPr="00E349D9">
        <w:rPr>
          <w:szCs w:val="26"/>
          <w:shd w:val="clear" w:color="auto" w:fill="FFFFFF"/>
        </w:rPr>
        <w:t>)</w:t>
      </w:r>
    </w:p>
    <w:p w14:paraId="5BF4C30E" w14:textId="1C857FC9" w:rsidR="007E08B9" w:rsidRPr="00E349D9" w:rsidRDefault="00784C0C" w:rsidP="0087786A">
      <w:pPr>
        <w:ind w:firstLine="720"/>
        <w:rPr>
          <w:szCs w:val="26"/>
        </w:rPr>
      </w:pPr>
      <w:r w:rsidRPr="00E349D9">
        <w:rPr>
          <w:szCs w:val="26"/>
          <w:bdr w:val="none" w:sz="0" w:space="0" w:color="auto" w:frame="1"/>
          <w:shd w:val="clear" w:color="auto" w:fill="FFFFFF"/>
        </w:rPr>
        <w:t>Justice Fybel dissented</w:t>
      </w:r>
      <w:r w:rsidR="00E05F4E" w:rsidRPr="00E349D9">
        <w:rPr>
          <w:szCs w:val="26"/>
          <w:bdr w:val="none" w:sz="0" w:space="0" w:color="auto" w:frame="1"/>
          <w:shd w:val="clear" w:color="auto" w:fill="FFFFFF"/>
        </w:rPr>
        <w:t xml:space="preserve"> </w:t>
      </w:r>
      <w:r w:rsidR="001E2AED" w:rsidRPr="00E349D9">
        <w:rPr>
          <w:szCs w:val="26"/>
          <w:bdr w:val="none" w:sz="0" w:space="0" w:color="auto" w:frame="1"/>
          <w:shd w:val="clear" w:color="auto" w:fill="FFFFFF"/>
        </w:rPr>
        <w:t>on this point</w:t>
      </w:r>
      <w:r w:rsidRPr="00E349D9">
        <w:rPr>
          <w:szCs w:val="26"/>
          <w:bdr w:val="none" w:sz="0" w:space="0" w:color="auto" w:frame="1"/>
          <w:shd w:val="clear" w:color="auto" w:fill="FFFFFF"/>
        </w:rPr>
        <w:t xml:space="preserve">, </w:t>
      </w:r>
      <w:r w:rsidR="006362D8" w:rsidRPr="00E349D9">
        <w:rPr>
          <w:szCs w:val="26"/>
          <w:bdr w:val="none" w:sz="0" w:space="0" w:color="auto" w:frame="1"/>
          <w:shd w:val="clear" w:color="auto" w:fill="FFFFFF"/>
        </w:rPr>
        <w:t xml:space="preserve">explaining </w:t>
      </w:r>
      <w:r w:rsidRPr="00E349D9">
        <w:rPr>
          <w:szCs w:val="26"/>
          <w:bdr w:val="none" w:sz="0" w:space="0" w:color="auto" w:frame="1"/>
          <w:shd w:val="clear" w:color="auto" w:fill="FFFFFF"/>
        </w:rPr>
        <w:t xml:space="preserve">that the </w:t>
      </w:r>
      <w:r w:rsidR="006362D8" w:rsidRPr="00E349D9">
        <w:rPr>
          <w:szCs w:val="26"/>
          <w:bdr w:val="none" w:sz="0" w:space="0" w:color="auto" w:frame="1"/>
          <w:shd w:val="clear" w:color="auto" w:fill="FFFFFF"/>
        </w:rPr>
        <w:t xml:space="preserve">court’s </w:t>
      </w:r>
      <w:r w:rsidR="00E528BE" w:rsidRPr="00E349D9">
        <w:rPr>
          <w:szCs w:val="26"/>
          <w:bdr w:val="none" w:sz="0" w:space="0" w:color="auto" w:frame="1"/>
          <w:shd w:val="clear" w:color="auto" w:fill="FFFFFF"/>
        </w:rPr>
        <w:t xml:space="preserve">narrow reading of </w:t>
      </w:r>
      <w:r w:rsidR="00E528BE" w:rsidRPr="0082355F">
        <w:rPr>
          <w:szCs w:val="26"/>
          <w:bdr w:val="none" w:sz="0" w:space="0" w:color="auto" w:frame="1"/>
          <w:shd w:val="clear" w:color="auto" w:fill="FFFFFF"/>
        </w:rPr>
        <w:t>“disclos</w:t>
      </w:r>
      <w:r w:rsidR="000F687D" w:rsidRPr="0082355F">
        <w:rPr>
          <w:szCs w:val="26"/>
          <w:bdr w:val="none" w:sz="0" w:space="0" w:color="auto" w:frame="1"/>
          <w:shd w:val="clear" w:color="auto" w:fill="FFFFFF"/>
        </w:rPr>
        <w:t>ure</w:t>
      </w:r>
      <w:r w:rsidR="00E528BE" w:rsidRPr="0082355F">
        <w:rPr>
          <w:szCs w:val="26"/>
          <w:bdr w:val="none" w:sz="0" w:space="0" w:color="auto" w:frame="1"/>
          <w:shd w:val="clear" w:color="auto" w:fill="FFFFFF"/>
        </w:rPr>
        <w:t>”</w:t>
      </w:r>
      <w:r w:rsidR="00E528BE" w:rsidRPr="00E349D9">
        <w:rPr>
          <w:szCs w:val="26"/>
          <w:bdr w:val="none" w:sz="0" w:space="0" w:color="auto" w:frame="1"/>
          <w:shd w:val="clear" w:color="auto" w:fill="FFFFFF"/>
        </w:rPr>
        <w:t xml:space="preserve"> did not accord with the term as used throughout section 1102.5, </w:t>
      </w:r>
      <w:r w:rsidR="004C6758" w:rsidRPr="00E349D9">
        <w:rPr>
          <w:szCs w:val="26"/>
          <w:bdr w:val="none" w:sz="0" w:space="0" w:color="auto" w:frame="1"/>
          <w:shd w:val="clear" w:color="auto" w:fill="FFFFFF"/>
        </w:rPr>
        <w:t xml:space="preserve">was “thoroughly inconsistent with clear legislative intent,” and </w:t>
      </w:r>
      <w:r w:rsidR="00186652" w:rsidRPr="00E349D9">
        <w:rPr>
          <w:szCs w:val="26"/>
          <w:bdr w:val="none" w:sz="0" w:space="0" w:color="auto" w:frame="1"/>
          <w:shd w:val="clear" w:color="auto" w:fill="FFFFFF"/>
        </w:rPr>
        <w:t xml:space="preserve">relied indirectly on </w:t>
      </w:r>
      <w:r w:rsidR="001C2AB4" w:rsidRPr="00E349D9">
        <w:rPr>
          <w:szCs w:val="26"/>
          <w:bdr w:val="none" w:sz="0" w:space="0" w:color="auto" w:frame="1"/>
          <w:shd w:val="clear" w:color="auto" w:fill="FFFFFF"/>
        </w:rPr>
        <w:t xml:space="preserve">outdated </w:t>
      </w:r>
      <w:r w:rsidR="00186652" w:rsidRPr="00E349D9">
        <w:rPr>
          <w:szCs w:val="26"/>
          <w:bdr w:val="none" w:sz="0" w:space="0" w:color="auto" w:frame="1"/>
          <w:shd w:val="clear" w:color="auto" w:fill="FFFFFF"/>
        </w:rPr>
        <w:t xml:space="preserve">federal precedent that </w:t>
      </w:r>
      <w:r w:rsidR="001C2AB4" w:rsidRPr="00E349D9">
        <w:rPr>
          <w:szCs w:val="26"/>
          <w:bdr w:val="none" w:sz="0" w:space="0" w:color="auto" w:frame="1"/>
          <w:shd w:val="clear" w:color="auto" w:fill="FFFFFF"/>
        </w:rPr>
        <w:t>was overruled by Congres</w:t>
      </w:r>
      <w:r w:rsidR="00B74DF2" w:rsidRPr="00E349D9">
        <w:rPr>
          <w:szCs w:val="26"/>
          <w:bdr w:val="none" w:sz="0" w:space="0" w:color="auto" w:frame="1"/>
          <w:shd w:val="clear" w:color="auto" w:fill="FFFFFF"/>
        </w:rPr>
        <w:t>s</w:t>
      </w:r>
      <w:r w:rsidR="008B6AC4" w:rsidRPr="00E349D9">
        <w:rPr>
          <w:szCs w:val="26"/>
          <w:bdr w:val="none" w:sz="0" w:space="0" w:color="auto" w:frame="1"/>
          <w:shd w:val="clear" w:color="auto" w:fill="FFFFFF"/>
        </w:rPr>
        <w:t>’</w:t>
      </w:r>
      <w:r w:rsidR="00B74DF2" w:rsidRPr="00E349D9">
        <w:rPr>
          <w:szCs w:val="26"/>
          <w:bdr w:val="none" w:sz="0" w:space="0" w:color="auto" w:frame="1"/>
          <w:shd w:val="clear" w:color="auto" w:fill="FFFFFF"/>
        </w:rPr>
        <w:t>s</w:t>
      </w:r>
      <w:r w:rsidR="001C2AB4" w:rsidRPr="00E349D9">
        <w:rPr>
          <w:szCs w:val="26"/>
          <w:bdr w:val="none" w:sz="0" w:space="0" w:color="auto" w:frame="1"/>
          <w:shd w:val="clear" w:color="auto" w:fill="FFFFFF"/>
        </w:rPr>
        <w:t xml:space="preserve"> </w:t>
      </w:r>
      <w:r w:rsidR="00B74DF2" w:rsidRPr="00E349D9">
        <w:rPr>
          <w:szCs w:val="26"/>
          <w:bdr w:val="none" w:sz="0" w:space="0" w:color="auto" w:frame="1"/>
          <w:shd w:val="clear" w:color="auto" w:fill="FFFFFF"/>
        </w:rPr>
        <w:t>revision of</w:t>
      </w:r>
      <w:r w:rsidR="002F0427" w:rsidRPr="00E349D9">
        <w:rPr>
          <w:szCs w:val="26"/>
          <w:bdr w:val="none" w:sz="0" w:space="0" w:color="auto" w:frame="1"/>
          <w:shd w:val="clear" w:color="auto" w:fill="FFFFFF"/>
        </w:rPr>
        <w:t xml:space="preserve"> </w:t>
      </w:r>
      <w:r w:rsidR="001C2AB4" w:rsidRPr="00E349D9">
        <w:rPr>
          <w:szCs w:val="26"/>
          <w:bdr w:val="none" w:sz="0" w:space="0" w:color="auto" w:frame="1"/>
          <w:shd w:val="clear" w:color="auto" w:fill="FFFFFF"/>
        </w:rPr>
        <w:t>federal whistleblower protections.</w:t>
      </w:r>
      <w:r w:rsidR="00413CCA" w:rsidRPr="00E349D9">
        <w:rPr>
          <w:szCs w:val="26"/>
          <w:bdr w:val="none" w:sz="0" w:space="0" w:color="auto" w:frame="1"/>
          <w:shd w:val="clear" w:color="auto" w:fill="FFFFFF"/>
        </w:rPr>
        <w:t xml:space="preserve"> </w:t>
      </w:r>
      <w:r w:rsidR="00EE189A" w:rsidRPr="00E349D9">
        <w:rPr>
          <w:szCs w:val="26"/>
          <w:bdr w:val="none" w:sz="0" w:space="0" w:color="auto" w:frame="1"/>
          <w:shd w:val="clear" w:color="auto" w:fill="FFFFFF"/>
        </w:rPr>
        <w:t xml:space="preserve"> Justice Fybel</w:t>
      </w:r>
      <w:r w:rsidR="001A2089" w:rsidRPr="00E349D9">
        <w:rPr>
          <w:szCs w:val="26"/>
          <w:bdr w:val="none" w:sz="0" w:space="0" w:color="auto" w:frame="1"/>
          <w:shd w:val="clear" w:color="auto" w:fill="FFFFFF"/>
        </w:rPr>
        <w:t xml:space="preserve"> </w:t>
      </w:r>
      <w:r w:rsidR="00EE189A" w:rsidRPr="00E349D9">
        <w:rPr>
          <w:szCs w:val="26"/>
          <w:bdr w:val="none" w:sz="0" w:space="0" w:color="auto" w:frame="1"/>
          <w:shd w:val="clear" w:color="auto" w:fill="FFFFFF"/>
        </w:rPr>
        <w:t>not</w:t>
      </w:r>
      <w:r w:rsidR="002628FC" w:rsidRPr="00E349D9">
        <w:rPr>
          <w:szCs w:val="26"/>
          <w:bdr w:val="none" w:sz="0" w:space="0" w:color="auto" w:frame="1"/>
          <w:shd w:val="clear" w:color="auto" w:fill="FFFFFF"/>
        </w:rPr>
        <w:t>ed</w:t>
      </w:r>
      <w:r w:rsidR="00EE189A" w:rsidRPr="00E349D9">
        <w:rPr>
          <w:szCs w:val="26"/>
          <w:bdr w:val="none" w:sz="0" w:space="0" w:color="auto" w:frame="1"/>
          <w:shd w:val="clear" w:color="auto" w:fill="FFFFFF"/>
        </w:rPr>
        <w:t xml:space="preserve"> that </w:t>
      </w:r>
      <w:r w:rsidR="00894A05" w:rsidRPr="00E349D9">
        <w:rPr>
          <w:szCs w:val="26"/>
          <w:bdr w:val="none" w:sz="0" w:space="0" w:color="auto" w:frame="1"/>
          <w:shd w:val="clear" w:color="auto" w:fill="FFFFFF"/>
        </w:rPr>
        <w:t xml:space="preserve">the Courts of Appeal appear to be </w:t>
      </w:r>
      <w:r w:rsidR="007E08B9" w:rsidRPr="00E349D9">
        <w:rPr>
          <w:szCs w:val="26"/>
          <w:bdr w:val="none" w:sz="0" w:space="0" w:color="auto" w:frame="1"/>
          <w:shd w:val="clear" w:color="auto" w:fill="FFFFFF"/>
        </w:rPr>
        <w:t xml:space="preserve">split </w:t>
      </w:r>
      <w:r w:rsidR="0045636C" w:rsidRPr="00E349D9">
        <w:rPr>
          <w:szCs w:val="26"/>
          <w:bdr w:val="none" w:sz="0" w:space="0" w:color="auto" w:frame="1"/>
          <w:shd w:val="clear" w:color="auto" w:fill="FFFFFF"/>
        </w:rPr>
        <w:t xml:space="preserve">on the proper meaning of “disclose” </w:t>
      </w:r>
      <w:r w:rsidR="00911E85" w:rsidRPr="00E349D9">
        <w:rPr>
          <w:szCs w:val="26"/>
          <w:bdr w:val="none" w:sz="0" w:space="0" w:color="auto" w:frame="1"/>
          <w:shd w:val="clear" w:color="auto" w:fill="FFFFFF"/>
        </w:rPr>
        <w:t xml:space="preserve">as used </w:t>
      </w:r>
      <w:r w:rsidR="0045636C" w:rsidRPr="00E349D9">
        <w:rPr>
          <w:szCs w:val="26"/>
          <w:bdr w:val="none" w:sz="0" w:space="0" w:color="auto" w:frame="1"/>
          <w:shd w:val="clear" w:color="auto" w:fill="FFFFFF"/>
        </w:rPr>
        <w:t>in section 1102.5</w:t>
      </w:r>
      <w:r w:rsidR="00911E85" w:rsidRPr="00E349D9">
        <w:rPr>
          <w:szCs w:val="26"/>
          <w:bdr w:val="none" w:sz="0" w:space="0" w:color="auto" w:frame="1"/>
          <w:shd w:val="clear" w:color="auto" w:fill="FFFFFF"/>
        </w:rPr>
        <w:t>(b)</w:t>
      </w:r>
      <w:r w:rsidR="0045636C" w:rsidRPr="00E349D9">
        <w:rPr>
          <w:szCs w:val="26"/>
          <w:bdr w:val="none" w:sz="0" w:space="0" w:color="auto" w:frame="1"/>
          <w:shd w:val="clear" w:color="auto" w:fill="FFFFFF"/>
        </w:rPr>
        <w:t>, with</w:t>
      </w:r>
      <w:r w:rsidR="00911E85" w:rsidRPr="00E349D9">
        <w:rPr>
          <w:szCs w:val="26"/>
          <w:bdr w:val="none" w:sz="0" w:space="0" w:color="auto" w:frame="1"/>
          <w:shd w:val="clear" w:color="auto" w:fill="FFFFFF"/>
        </w:rPr>
        <w:t xml:space="preserve"> </w:t>
      </w:r>
      <w:r w:rsidR="0045636C" w:rsidRPr="00E349D9">
        <w:rPr>
          <w:i/>
          <w:iCs/>
          <w:szCs w:val="26"/>
          <w:bdr w:val="none" w:sz="0" w:space="0" w:color="auto" w:frame="1"/>
          <w:shd w:val="clear" w:color="auto" w:fill="FFFFFF"/>
        </w:rPr>
        <w:t>Kolla</w:t>
      </w:r>
      <w:r w:rsidR="008B6AC4" w:rsidRPr="00E349D9">
        <w:rPr>
          <w:i/>
          <w:iCs/>
          <w:szCs w:val="26"/>
          <w:bdr w:val="none" w:sz="0" w:space="0" w:color="auto" w:frame="1"/>
        </w:rPr>
        <w:t>’</w:t>
      </w:r>
      <w:r w:rsidR="0045636C" w:rsidRPr="00E349D9">
        <w:rPr>
          <w:i/>
          <w:iCs/>
          <w:szCs w:val="26"/>
          <w:bdr w:val="none" w:sz="0" w:space="0" w:color="auto" w:frame="1"/>
          <w:shd w:val="clear" w:color="auto" w:fill="FFFFFF"/>
        </w:rPr>
        <w:t>s</w:t>
      </w:r>
      <w:r w:rsidR="0045636C" w:rsidRPr="00E349D9">
        <w:rPr>
          <w:szCs w:val="26"/>
          <w:bdr w:val="none" w:sz="0" w:space="0" w:color="auto" w:frame="1"/>
          <w:shd w:val="clear" w:color="auto" w:fill="FFFFFF"/>
        </w:rPr>
        <w:t xml:space="preserve"> and </w:t>
      </w:r>
      <w:r w:rsidR="0045636C" w:rsidRPr="00E349D9">
        <w:rPr>
          <w:i/>
          <w:iCs/>
          <w:szCs w:val="26"/>
          <w:bdr w:val="none" w:sz="0" w:space="0" w:color="auto" w:frame="1"/>
          <w:shd w:val="clear" w:color="auto" w:fill="FFFFFF"/>
        </w:rPr>
        <w:t>Mize-Kurzman</w:t>
      </w:r>
      <w:r w:rsidR="0045636C" w:rsidRPr="00E349D9">
        <w:rPr>
          <w:szCs w:val="26"/>
          <w:bdr w:val="none" w:sz="0" w:space="0" w:color="auto" w:frame="1"/>
          <w:shd w:val="clear" w:color="auto" w:fill="FFFFFF"/>
        </w:rPr>
        <w:t xml:space="preserve"> </w:t>
      </w:r>
      <w:r w:rsidR="00C34F1B" w:rsidRPr="00E349D9">
        <w:rPr>
          <w:szCs w:val="26"/>
          <w:bdr w:val="none" w:sz="0" w:space="0" w:color="auto" w:frame="1"/>
          <w:shd w:val="clear" w:color="auto" w:fill="FFFFFF"/>
        </w:rPr>
        <w:t>taking a different view than</w:t>
      </w:r>
      <w:r w:rsidR="0045636C" w:rsidRPr="00E349D9">
        <w:rPr>
          <w:szCs w:val="26"/>
          <w:bdr w:val="none" w:sz="0" w:space="0" w:color="auto" w:frame="1"/>
          <w:shd w:val="clear" w:color="auto" w:fill="FFFFFF"/>
        </w:rPr>
        <w:t xml:space="preserve"> </w:t>
      </w:r>
      <w:r w:rsidR="007E08B9" w:rsidRPr="00E349D9">
        <w:rPr>
          <w:i/>
          <w:iCs/>
          <w:szCs w:val="26"/>
          <w:bdr w:val="none" w:sz="0" w:space="0" w:color="auto" w:frame="1"/>
        </w:rPr>
        <w:t>Hager v. County of Los Angeles</w:t>
      </w:r>
      <w:r w:rsidR="007E08B9" w:rsidRPr="00E349D9">
        <w:rPr>
          <w:szCs w:val="26"/>
        </w:rPr>
        <w:t> (2014) 228 Cal.App.4th 1538</w:t>
      </w:r>
      <w:r w:rsidR="009C6F30" w:rsidRPr="00E349D9">
        <w:rPr>
          <w:szCs w:val="26"/>
        </w:rPr>
        <w:t>, 1549–1550</w:t>
      </w:r>
      <w:r w:rsidR="00250C3B" w:rsidRPr="00E349D9">
        <w:rPr>
          <w:szCs w:val="26"/>
        </w:rPr>
        <w:t xml:space="preserve"> (</w:t>
      </w:r>
      <w:r w:rsidR="00250C3B" w:rsidRPr="00E349D9">
        <w:rPr>
          <w:i/>
          <w:iCs/>
          <w:szCs w:val="26"/>
        </w:rPr>
        <w:t>Hager</w:t>
      </w:r>
      <w:r w:rsidR="00250C3B" w:rsidRPr="00E349D9">
        <w:rPr>
          <w:szCs w:val="26"/>
        </w:rPr>
        <w:t>)</w:t>
      </w:r>
      <w:r w:rsidR="005C3D81" w:rsidRPr="00E349D9">
        <w:rPr>
          <w:szCs w:val="26"/>
        </w:rPr>
        <w:t>.</w:t>
      </w:r>
      <w:r w:rsidR="002D62A2" w:rsidRPr="00E349D9">
        <w:rPr>
          <w:szCs w:val="26"/>
        </w:rPr>
        <w:t xml:space="preserve">  </w:t>
      </w:r>
    </w:p>
    <w:p w14:paraId="6AB04C91" w14:textId="6429577A" w:rsidR="002F2097" w:rsidRPr="008E0266" w:rsidRDefault="005C3D81" w:rsidP="0087786A">
      <w:pPr>
        <w:pStyle w:val="CommentText"/>
        <w:rPr>
          <w:sz w:val="27"/>
          <w:szCs w:val="26"/>
        </w:rPr>
      </w:pPr>
      <w:r w:rsidRPr="008E0266">
        <w:rPr>
          <w:sz w:val="27"/>
          <w:szCs w:val="26"/>
        </w:rPr>
        <w:tab/>
        <w:t xml:space="preserve">We granted review.  </w:t>
      </w:r>
      <w:r w:rsidR="00EE66B1" w:rsidRPr="008E0266">
        <w:rPr>
          <w:sz w:val="27"/>
          <w:szCs w:val="26"/>
        </w:rPr>
        <w:t>Because Kolla</w:t>
      </w:r>
      <w:r w:rsidR="008B6AC4" w:rsidRPr="008E0266">
        <w:rPr>
          <w:sz w:val="27"/>
          <w:szCs w:val="26"/>
        </w:rPr>
        <w:t>’</w:t>
      </w:r>
      <w:r w:rsidR="00EE66B1" w:rsidRPr="008E0266">
        <w:rPr>
          <w:sz w:val="27"/>
          <w:szCs w:val="26"/>
        </w:rPr>
        <w:t xml:space="preserve">s has </w:t>
      </w:r>
      <w:r w:rsidR="00DF3389" w:rsidRPr="008E0266">
        <w:rPr>
          <w:sz w:val="27"/>
          <w:szCs w:val="26"/>
        </w:rPr>
        <w:t xml:space="preserve">not </w:t>
      </w:r>
      <w:r w:rsidR="00EE66B1" w:rsidRPr="008E0266">
        <w:rPr>
          <w:sz w:val="27"/>
          <w:szCs w:val="26"/>
        </w:rPr>
        <w:t xml:space="preserve">participated in </w:t>
      </w:r>
      <w:r w:rsidR="00A62FA1" w:rsidRPr="008E0266">
        <w:rPr>
          <w:sz w:val="27"/>
          <w:szCs w:val="26"/>
        </w:rPr>
        <w:t xml:space="preserve">this case, we appointed </w:t>
      </w:r>
      <w:r w:rsidR="006B71B4" w:rsidRPr="008E0266">
        <w:rPr>
          <w:sz w:val="27"/>
          <w:szCs w:val="26"/>
        </w:rPr>
        <w:t>Christopher Hu of Horvitz &amp; Levy, LLP</w:t>
      </w:r>
      <w:r w:rsidR="001375D4">
        <w:rPr>
          <w:sz w:val="27"/>
          <w:szCs w:val="26"/>
        </w:rPr>
        <w:t>,</w:t>
      </w:r>
      <w:r w:rsidR="0094132A" w:rsidRPr="008E0266">
        <w:rPr>
          <w:sz w:val="27"/>
          <w:szCs w:val="26"/>
        </w:rPr>
        <w:t xml:space="preserve"> </w:t>
      </w:r>
      <w:r w:rsidR="00A62FA1" w:rsidRPr="008E0266">
        <w:rPr>
          <w:sz w:val="27"/>
          <w:szCs w:val="26"/>
        </w:rPr>
        <w:t xml:space="preserve">to </w:t>
      </w:r>
      <w:r w:rsidR="00FD7B9D" w:rsidRPr="008E0266">
        <w:rPr>
          <w:sz w:val="27"/>
          <w:szCs w:val="26"/>
        </w:rPr>
        <w:t>“brief and argue this case</w:t>
      </w:r>
      <w:r w:rsidR="007C2BCA" w:rsidRPr="008E0266">
        <w:rPr>
          <w:sz w:val="27"/>
          <w:szCs w:val="26"/>
        </w:rPr>
        <w:t>, on a pro bono basis,</w:t>
      </w:r>
      <w:r w:rsidR="00FD7B9D" w:rsidRPr="008E0266">
        <w:rPr>
          <w:sz w:val="27"/>
          <w:szCs w:val="26"/>
        </w:rPr>
        <w:t xml:space="preserve"> in support of</w:t>
      </w:r>
      <w:r w:rsidR="00A81179" w:rsidRPr="008E0266">
        <w:rPr>
          <w:sz w:val="27"/>
          <w:szCs w:val="26"/>
        </w:rPr>
        <w:t xml:space="preserve"> the Court of Appeal</w:t>
      </w:r>
      <w:r w:rsidR="008B6AC4" w:rsidRPr="008E0266">
        <w:rPr>
          <w:sz w:val="27"/>
          <w:szCs w:val="26"/>
        </w:rPr>
        <w:t>’</w:t>
      </w:r>
      <w:r w:rsidR="00A81179" w:rsidRPr="008E0266">
        <w:rPr>
          <w:sz w:val="27"/>
          <w:szCs w:val="26"/>
        </w:rPr>
        <w:t>s holding that Labor Code section 1102.5, subdivision (b) does not protect an employee from retaliation for disclosing unlawful activity to a person or agency that already knows about the unlawful activity</w:t>
      </w:r>
      <w:r w:rsidR="00FD7B9D" w:rsidRPr="008E0266">
        <w:rPr>
          <w:sz w:val="27"/>
          <w:szCs w:val="26"/>
        </w:rPr>
        <w:t>.”</w:t>
      </w:r>
      <w:r w:rsidR="006B71B4" w:rsidRPr="008E0266">
        <w:rPr>
          <w:sz w:val="27"/>
          <w:szCs w:val="26"/>
        </w:rPr>
        <w:t xml:space="preserve">  We thank Mr. Hu for his </w:t>
      </w:r>
      <w:r w:rsidR="0056529F" w:rsidRPr="008E0266">
        <w:rPr>
          <w:sz w:val="27"/>
          <w:szCs w:val="26"/>
        </w:rPr>
        <w:t>service</w:t>
      </w:r>
      <w:r w:rsidR="009D6281" w:rsidRPr="008E0266">
        <w:rPr>
          <w:sz w:val="27"/>
          <w:szCs w:val="26"/>
        </w:rPr>
        <w:t xml:space="preserve"> as amicus curiae.</w:t>
      </w:r>
      <w:r w:rsidR="005910DC" w:rsidRPr="00E349D9" w:rsidDel="005910DC">
        <w:rPr>
          <w:rStyle w:val="FootnoteReference"/>
          <w:szCs w:val="26"/>
        </w:rPr>
        <w:t xml:space="preserve"> </w:t>
      </w:r>
    </w:p>
    <w:p w14:paraId="42CECF28" w14:textId="6F2E2953" w:rsidR="00141EF0" w:rsidRPr="00E349D9" w:rsidRDefault="002F2097" w:rsidP="00E349D9">
      <w:pPr>
        <w:pStyle w:val="Heading1"/>
      </w:pPr>
      <w:r w:rsidRPr="00E349D9">
        <w:t>II.</w:t>
      </w:r>
    </w:p>
    <w:p w14:paraId="1865FDFA" w14:textId="77379D0F" w:rsidR="00EA5DD9" w:rsidRPr="00E349D9" w:rsidRDefault="001E2AED" w:rsidP="00904B11">
      <w:pPr>
        <w:ind w:firstLine="720"/>
      </w:pPr>
      <w:r w:rsidRPr="00E349D9">
        <w:t>T</w:t>
      </w:r>
      <w:r w:rsidR="006B1460" w:rsidRPr="00E349D9">
        <w:t xml:space="preserve">he Legislature enacted section 1102.5 </w:t>
      </w:r>
      <w:r w:rsidRPr="00E349D9">
        <w:t xml:space="preserve">in 1984 </w:t>
      </w:r>
      <w:r w:rsidR="00950235" w:rsidRPr="00E349D9">
        <w:t xml:space="preserve">to provide </w:t>
      </w:r>
      <w:r w:rsidR="00036672" w:rsidRPr="00E349D9">
        <w:t>whistleblowers with</w:t>
      </w:r>
      <w:r w:rsidR="006C18EA" w:rsidRPr="00E349D9">
        <w:t xml:space="preserve"> </w:t>
      </w:r>
      <w:r w:rsidR="00950235" w:rsidRPr="00E349D9">
        <w:t xml:space="preserve">protection </w:t>
      </w:r>
      <w:r w:rsidR="00C16D60" w:rsidRPr="00E349D9">
        <w:t xml:space="preserve">from </w:t>
      </w:r>
      <w:r w:rsidR="006C18EA" w:rsidRPr="00E349D9">
        <w:t xml:space="preserve">employer </w:t>
      </w:r>
      <w:r w:rsidR="00C16D60" w:rsidRPr="00E349D9">
        <w:t>retaliation</w:t>
      </w:r>
      <w:r w:rsidR="00950235" w:rsidRPr="00E349D9">
        <w:t xml:space="preserve">. </w:t>
      </w:r>
      <w:r w:rsidR="00C16D60" w:rsidRPr="00E349D9">
        <w:t xml:space="preserve"> </w:t>
      </w:r>
      <w:r w:rsidR="00A669D4" w:rsidRPr="00E349D9">
        <w:t>(</w:t>
      </w:r>
      <w:r w:rsidR="00A83989" w:rsidRPr="00E349D9">
        <w:rPr>
          <w:szCs w:val="26"/>
        </w:rPr>
        <w:t xml:space="preserve">See Assem. Com. </w:t>
      </w:r>
      <w:r w:rsidR="001B19C9" w:rsidRPr="00E349D9">
        <w:rPr>
          <w:szCs w:val="26"/>
        </w:rPr>
        <w:t>o</w:t>
      </w:r>
      <w:r w:rsidR="00A83989" w:rsidRPr="00E349D9">
        <w:rPr>
          <w:szCs w:val="26"/>
        </w:rPr>
        <w:t>n Labor and Employment, Analysis of Assem. Bill No.</w:t>
      </w:r>
      <w:r w:rsidR="00724BBD" w:rsidRPr="00E349D9">
        <w:rPr>
          <w:szCs w:val="26"/>
        </w:rPr>
        <w:t> </w:t>
      </w:r>
      <w:r w:rsidR="00A83989" w:rsidRPr="00E349D9">
        <w:rPr>
          <w:szCs w:val="26"/>
        </w:rPr>
        <w:t>2</w:t>
      </w:r>
      <w:r w:rsidR="005A72B2">
        <w:rPr>
          <w:szCs w:val="26"/>
        </w:rPr>
        <w:t>4</w:t>
      </w:r>
      <w:r w:rsidR="00A83989" w:rsidRPr="00E349D9">
        <w:rPr>
          <w:szCs w:val="26"/>
        </w:rPr>
        <w:t>52 (1983–1984</w:t>
      </w:r>
      <w:r w:rsidR="003622E7" w:rsidRPr="00E349D9">
        <w:rPr>
          <w:szCs w:val="26"/>
        </w:rPr>
        <w:t xml:space="preserve"> Reg. Sess.</w:t>
      </w:r>
      <w:r w:rsidR="00A83989" w:rsidRPr="00E349D9">
        <w:rPr>
          <w:szCs w:val="26"/>
        </w:rPr>
        <w:t>)</w:t>
      </w:r>
      <w:r w:rsidR="007639B4" w:rsidRPr="00E349D9">
        <w:rPr>
          <w:szCs w:val="26"/>
        </w:rPr>
        <w:t xml:space="preserve"> as introduced Jan. 24, 1984</w:t>
      </w:r>
      <w:r w:rsidR="00A83989" w:rsidRPr="00E349D9">
        <w:rPr>
          <w:szCs w:val="26"/>
        </w:rPr>
        <w:t>, p.</w:t>
      </w:r>
      <w:r w:rsidR="00F74B1A" w:rsidRPr="00E349D9">
        <w:rPr>
          <w:szCs w:val="26"/>
        </w:rPr>
        <w:t> </w:t>
      </w:r>
      <w:r w:rsidR="00A83989" w:rsidRPr="00E349D9">
        <w:rPr>
          <w:szCs w:val="26"/>
        </w:rPr>
        <w:t xml:space="preserve">1 </w:t>
      </w:r>
      <w:r w:rsidR="00DA6E16" w:rsidRPr="00E349D9">
        <w:t>[“Th</w:t>
      </w:r>
      <w:r w:rsidR="007E141B" w:rsidRPr="00E349D9">
        <w:t xml:space="preserve">e intent of </w:t>
      </w:r>
      <w:r w:rsidR="00C80198" w:rsidRPr="00E349D9">
        <w:t>this measure</w:t>
      </w:r>
      <w:r w:rsidR="007E141B" w:rsidRPr="00E349D9">
        <w:t xml:space="preserve"> is to afford employees some minimum protection against retribution by an employer when the employee reports crimes or violations of the law occurring at his or her place of employment</w:t>
      </w:r>
      <w:r w:rsidR="008562B2" w:rsidRPr="00E349D9">
        <w:t>.”].)</w:t>
      </w:r>
      <w:r w:rsidR="00950235" w:rsidRPr="00E349D9">
        <w:t xml:space="preserve">  Section 1102.5</w:t>
      </w:r>
      <w:r w:rsidR="001A2089" w:rsidRPr="00E349D9">
        <w:t>(b)</w:t>
      </w:r>
      <w:r w:rsidR="00950235" w:rsidRPr="00E349D9">
        <w:t xml:space="preserve"> initially </w:t>
      </w:r>
      <w:r w:rsidR="008B0683" w:rsidRPr="00E349D9">
        <w:t xml:space="preserve">applied only to </w:t>
      </w:r>
      <w:r w:rsidR="00ED593B" w:rsidRPr="00E349D9">
        <w:t>employees who</w:t>
      </w:r>
      <w:r w:rsidR="00834C85" w:rsidRPr="00E349D9">
        <w:t xml:space="preserve"> disclose suspected </w:t>
      </w:r>
      <w:r w:rsidR="000359AF" w:rsidRPr="00E349D9">
        <w:t xml:space="preserve">unlawful activity </w:t>
      </w:r>
      <w:r w:rsidR="00834C85" w:rsidRPr="00E349D9">
        <w:t xml:space="preserve">to </w:t>
      </w:r>
      <w:r w:rsidR="00CE69F6" w:rsidRPr="00E349D9">
        <w:t>a government or law enforcement agency.</w:t>
      </w:r>
      <w:r w:rsidR="00BC1F3A" w:rsidRPr="00E349D9">
        <w:t xml:space="preserve">  (Stats</w:t>
      </w:r>
      <w:r w:rsidR="009A2D1A" w:rsidRPr="00E349D9">
        <w:t>. 198</w:t>
      </w:r>
      <w:r w:rsidR="00C179E8" w:rsidRPr="00E349D9">
        <w:t>4</w:t>
      </w:r>
      <w:r w:rsidR="009A2D1A" w:rsidRPr="00E349D9">
        <w:t>, ch. 1083, § 1</w:t>
      </w:r>
      <w:r w:rsidR="00065DCC">
        <w:t>, p.</w:t>
      </w:r>
      <w:r w:rsidR="00930C6A">
        <w:t> 3698</w:t>
      </w:r>
      <w:r w:rsidR="009A2D1A" w:rsidRPr="00E349D9">
        <w:t>.)</w:t>
      </w:r>
    </w:p>
    <w:p w14:paraId="24B31C37" w14:textId="1E43BFC2" w:rsidR="00EA5DD9" w:rsidRPr="00E349D9" w:rsidRDefault="006C18EA" w:rsidP="00904B11">
      <w:pPr>
        <w:ind w:firstLine="720"/>
      </w:pPr>
      <w:r w:rsidRPr="00E349D9">
        <w:t xml:space="preserve">In 2003, </w:t>
      </w:r>
      <w:r w:rsidR="00CE69F6" w:rsidRPr="00E349D9">
        <w:t xml:space="preserve">in the wake of </w:t>
      </w:r>
      <w:r w:rsidR="009C213D" w:rsidRPr="00E349D9">
        <w:t>a “recent spate of false business reports and other illegal activity by Enron, WorldCom and others</w:t>
      </w:r>
      <w:r w:rsidR="00EA5DD9" w:rsidRPr="00E349D9">
        <w:t>,</w:t>
      </w:r>
      <w:r w:rsidR="009C213D" w:rsidRPr="00E349D9">
        <w:t>”</w:t>
      </w:r>
      <w:r w:rsidRPr="00E349D9">
        <w:t xml:space="preserve"> </w:t>
      </w:r>
      <w:r w:rsidR="00EA5DD9" w:rsidRPr="00E349D9">
        <w:t xml:space="preserve">the Legislature amended section 1102.5(b) </w:t>
      </w:r>
      <w:r w:rsidRPr="00E349D9">
        <w:t xml:space="preserve">to </w:t>
      </w:r>
      <w:r w:rsidR="008F45E2" w:rsidRPr="00E349D9">
        <w:t>include</w:t>
      </w:r>
      <w:r w:rsidRPr="00E349D9">
        <w:t xml:space="preserve"> several </w:t>
      </w:r>
      <w:r w:rsidR="008F45E2" w:rsidRPr="00E349D9">
        <w:t xml:space="preserve">additional </w:t>
      </w:r>
      <w:r w:rsidRPr="00E349D9">
        <w:t xml:space="preserve">employee protections. </w:t>
      </w:r>
      <w:r w:rsidR="00A83989" w:rsidRPr="00E349D9">
        <w:t xml:space="preserve"> </w:t>
      </w:r>
      <w:r w:rsidR="009C213D" w:rsidRPr="00E349D9">
        <w:t>(</w:t>
      </w:r>
      <w:r w:rsidR="00A83989" w:rsidRPr="00E349D9">
        <w:rPr>
          <w:szCs w:val="26"/>
          <w:shd w:val="clear" w:color="auto" w:fill="FFFFFF"/>
        </w:rPr>
        <w:t xml:space="preserve">Assem. Com. </w:t>
      </w:r>
      <w:r w:rsidR="00A701F9" w:rsidRPr="00E349D9">
        <w:rPr>
          <w:szCs w:val="26"/>
          <w:shd w:val="clear" w:color="auto" w:fill="FFFFFF"/>
        </w:rPr>
        <w:t>o</w:t>
      </w:r>
      <w:r w:rsidR="00A83989" w:rsidRPr="00E349D9">
        <w:rPr>
          <w:szCs w:val="26"/>
          <w:shd w:val="clear" w:color="auto" w:fill="FFFFFF"/>
        </w:rPr>
        <w:t>n Judiciary, Analysis of Sen. Bill No.</w:t>
      </w:r>
      <w:r w:rsidR="00724BBD" w:rsidRPr="00E349D9">
        <w:rPr>
          <w:szCs w:val="26"/>
          <w:shd w:val="clear" w:color="auto" w:fill="FFFFFF"/>
        </w:rPr>
        <w:t> </w:t>
      </w:r>
      <w:r w:rsidR="00A83989" w:rsidRPr="00E349D9">
        <w:rPr>
          <w:szCs w:val="26"/>
          <w:shd w:val="clear" w:color="auto" w:fill="FFFFFF"/>
        </w:rPr>
        <w:t>777 (2003–2004 Reg. Sess.) as amended May 29, 2003, p.</w:t>
      </w:r>
      <w:r w:rsidR="00F74B1A" w:rsidRPr="00E349D9">
        <w:rPr>
          <w:szCs w:val="26"/>
        </w:rPr>
        <w:t> </w:t>
      </w:r>
      <w:r w:rsidR="00A83989" w:rsidRPr="00E349D9">
        <w:rPr>
          <w:szCs w:val="26"/>
          <w:shd w:val="clear" w:color="auto" w:fill="FFFFFF"/>
        </w:rPr>
        <w:t>1.</w:t>
      </w:r>
      <w:r w:rsidRPr="00E349D9">
        <w:t>)</w:t>
      </w:r>
      <w:r w:rsidR="004B15CF" w:rsidRPr="00E349D9">
        <w:t xml:space="preserve">  </w:t>
      </w:r>
      <w:r w:rsidR="001C0B37" w:rsidRPr="00E349D9">
        <w:t>The</w:t>
      </w:r>
      <w:r w:rsidRPr="00E349D9">
        <w:t xml:space="preserve">se </w:t>
      </w:r>
      <w:r w:rsidR="001C0B37" w:rsidRPr="00E349D9">
        <w:t xml:space="preserve">amendments </w:t>
      </w:r>
      <w:r w:rsidR="001A2089" w:rsidRPr="00E349D9">
        <w:t xml:space="preserve">provided new </w:t>
      </w:r>
      <w:r w:rsidR="0094589D" w:rsidRPr="00E349D9">
        <w:t xml:space="preserve">antiretaliation </w:t>
      </w:r>
      <w:r w:rsidR="001A2089" w:rsidRPr="00E349D9">
        <w:t>protections</w:t>
      </w:r>
      <w:r w:rsidR="0010100A" w:rsidRPr="00E349D9">
        <w:t xml:space="preserve"> </w:t>
      </w:r>
      <w:r w:rsidR="006E58F8" w:rsidRPr="00E349D9">
        <w:t xml:space="preserve">to </w:t>
      </w:r>
      <w:r w:rsidR="00BD7656" w:rsidRPr="00E349D9">
        <w:t>workers</w:t>
      </w:r>
      <w:r w:rsidR="00900206" w:rsidRPr="00E349D9">
        <w:t xml:space="preserve"> who refuse to participate in activit</w:t>
      </w:r>
      <w:r w:rsidR="00BD7656" w:rsidRPr="00E349D9">
        <w:t>ies</w:t>
      </w:r>
      <w:r w:rsidR="00900206" w:rsidRPr="00E349D9">
        <w:t xml:space="preserve"> that violate the law</w:t>
      </w:r>
      <w:r w:rsidR="00C767BD" w:rsidRPr="00E349D9">
        <w:t xml:space="preserve"> or who</w:t>
      </w:r>
      <w:r w:rsidR="00900206" w:rsidRPr="00E349D9">
        <w:t xml:space="preserve"> </w:t>
      </w:r>
      <w:r w:rsidR="002E4A3A" w:rsidRPr="00E349D9">
        <w:t>had</w:t>
      </w:r>
      <w:r w:rsidR="00A812B0" w:rsidRPr="00E349D9">
        <w:t xml:space="preserve"> </w:t>
      </w:r>
      <w:r w:rsidR="00C767BD" w:rsidRPr="00E349D9">
        <w:t>engaged in protected</w:t>
      </w:r>
      <w:r w:rsidR="00900206" w:rsidRPr="00E349D9">
        <w:t xml:space="preserve"> </w:t>
      </w:r>
      <w:r w:rsidR="00A1059F" w:rsidRPr="00E349D9">
        <w:t>whistleblowing</w:t>
      </w:r>
      <w:r w:rsidR="00C767BD" w:rsidRPr="00E349D9">
        <w:t xml:space="preserve"> activity</w:t>
      </w:r>
      <w:r w:rsidR="00A1059F" w:rsidRPr="00E349D9">
        <w:t xml:space="preserve"> in </w:t>
      </w:r>
      <w:r w:rsidR="00A812B0" w:rsidRPr="00E349D9">
        <w:t>past</w:t>
      </w:r>
      <w:r w:rsidR="00A1059F" w:rsidRPr="00E349D9">
        <w:t xml:space="preserve"> employment, </w:t>
      </w:r>
      <w:r w:rsidR="00A812B0" w:rsidRPr="00E349D9">
        <w:t>while</w:t>
      </w:r>
      <w:r w:rsidR="0001367B" w:rsidRPr="00E349D9">
        <w:t xml:space="preserve"> add</w:t>
      </w:r>
      <w:r w:rsidR="00A812B0" w:rsidRPr="00E349D9">
        <w:t>ing</w:t>
      </w:r>
      <w:r w:rsidR="0001367B" w:rsidRPr="00E349D9">
        <w:t xml:space="preserve"> a civil penalty of up to $10,000 for corporations and </w:t>
      </w:r>
      <w:r w:rsidR="002509B8" w:rsidRPr="00E349D9">
        <w:t xml:space="preserve">limited liability companies </w:t>
      </w:r>
      <w:r w:rsidR="002352C7" w:rsidRPr="00E349D9">
        <w:t>that violate the statute</w:t>
      </w:r>
      <w:r w:rsidR="0001367B" w:rsidRPr="00E349D9">
        <w:t>.</w:t>
      </w:r>
      <w:r w:rsidR="00A15F6D" w:rsidRPr="00E349D9">
        <w:rPr>
          <w:b/>
          <w:bCs/>
        </w:rPr>
        <w:t xml:space="preserve"> </w:t>
      </w:r>
      <w:r w:rsidR="00602F29" w:rsidRPr="00E349D9">
        <w:rPr>
          <w:b/>
          <w:bCs/>
        </w:rPr>
        <w:t xml:space="preserve"> </w:t>
      </w:r>
      <w:r w:rsidR="00602F29" w:rsidRPr="00E349D9">
        <w:t>(Stats.</w:t>
      </w:r>
      <w:r w:rsidR="0006362B" w:rsidRPr="00E349D9">
        <w:t> </w:t>
      </w:r>
      <w:r w:rsidR="00602F29" w:rsidRPr="00E349D9">
        <w:t>200</w:t>
      </w:r>
      <w:r w:rsidR="0006362B" w:rsidRPr="00E349D9">
        <w:t>3</w:t>
      </w:r>
      <w:r w:rsidR="0023297A" w:rsidRPr="00E349D9">
        <w:t>, ch. 484, §</w:t>
      </w:r>
      <w:r w:rsidR="003E3716" w:rsidRPr="00E349D9">
        <w:t> 2</w:t>
      </w:r>
      <w:r w:rsidR="00065DCC">
        <w:t>, p.</w:t>
      </w:r>
      <w:r w:rsidR="0082355F">
        <w:t> 3518</w:t>
      </w:r>
      <w:r w:rsidR="00572A9C" w:rsidRPr="00E349D9">
        <w:t>.)</w:t>
      </w:r>
      <w:r w:rsidR="0001367B" w:rsidRPr="00E349D9">
        <w:t xml:space="preserve"> </w:t>
      </w:r>
      <w:r w:rsidR="00AD3B68" w:rsidRPr="00E349D9">
        <w:t xml:space="preserve"> The</w:t>
      </w:r>
      <w:r w:rsidR="008B17F6" w:rsidRPr="00E349D9">
        <w:t xml:space="preserve"> </w:t>
      </w:r>
      <w:r w:rsidR="00E83ADB" w:rsidRPr="00E349D9">
        <w:t xml:space="preserve">Legislature </w:t>
      </w:r>
      <w:r w:rsidR="0001367B" w:rsidRPr="00E349D9">
        <w:t xml:space="preserve">also </w:t>
      </w:r>
      <w:r w:rsidR="002327DC" w:rsidRPr="00E349D9">
        <w:t>added section 1102.5</w:t>
      </w:r>
      <w:r w:rsidR="00C12648" w:rsidRPr="00E349D9">
        <w:t>, subdivision (e)</w:t>
      </w:r>
      <w:r w:rsidR="008C19FB" w:rsidRPr="00E349D9">
        <w:t xml:space="preserve"> (section 1102.5(e))</w:t>
      </w:r>
      <w:r w:rsidR="002327DC" w:rsidRPr="00E349D9">
        <w:t xml:space="preserve"> in order to </w:t>
      </w:r>
      <w:r w:rsidR="00E83ADB" w:rsidRPr="00E349D9">
        <w:t>codif</w:t>
      </w:r>
      <w:r w:rsidR="002327DC" w:rsidRPr="00E349D9">
        <w:t>y</w:t>
      </w:r>
      <w:r w:rsidR="00E83ADB" w:rsidRPr="00E349D9">
        <w:t xml:space="preserve"> </w:t>
      </w:r>
      <w:r w:rsidR="00E853C1" w:rsidRPr="00E349D9">
        <w:t xml:space="preserve">the </w:t>
      </w:r>
      <w:r w:rsidR="00EA5DD9" w:rsidRPr="00E349D9">
        <w:t xml:space="preserve">holding </w:t>
      </w:r>
      <w:r w:rsidR="00E83ADB" w:rsidRPr="00E349D9">
        <w:t xml:space="preserve">in </w:t>
      </w:r>
      <w:r w:rsidR="00E83ADB" w:rsidRPr="00E349D9">
        <w:rPr>
          <w:i/>
          <w:iCs/>
        </w:rPr>
        <w:t>Gardenhire</w:t>
      </w:r>
      <w:r w:rsidR="00AD3B68" w:rsidRPr="00E349D9">
        <w:rPr>
          <w:i/>
          <w:iCs/>
        </w:rPr>
        <w:t xml:space="preserve"> v. Housing Authority</w:t>
      </w:r>
      <w:r w:rsidR="00667BDE" w:rsidRPr="00E349D9">
        <w:rPr>
          <w:bdr w:val="none" w:sz="0" w:space="0" w:color="auto" w:frame="1"/>
        </w:rPr>
        <w:t xml:space="preserve"> (2000) 85 Cal.App.4th 236, 24</w:t>
      </w:r>
      <w:r w:rsidR="00360208" w:rsidRPr="00E349D9">
        <w:rPr>
          <w:bdr w:val="none" w:sz="0" w:space="0" w:color="auto" w:frame="1"/>
        </w:rPr>
        <w:t>3</w:t>
      </w:r>
      <w:r w:rsidR="00667BDE" w:rsidRPr="00E349D9">
        <w:rPr>
          <w:bdr w:val="none" w:sz="0" w:space="0" w:color="auto" w:frame="1"/>
        </w:rPr>
        <w:t xml:space="preserve"> (</w:t>
      </w:r>
      <w:r w:rsidR="00667BDE" w:rsidRPr="00E349D9">
        <w:rPr>
          <w:i/>
          <w:iCs/>
          <w:bdr w:val="none" w:sz="0" w:space="0" w:color="auto" w:frame="1"/>
        </w:rPr>
        <w:t>Gardenhire</w:t>
      </w:r>
      <w:r w:rsidR="00667BDE" w:rsidRPr="00E349D9">
        <w:rPr>
          <w:bdr w:val="none" w:sz="0" w:space="0" w:color="auto" w:frame="1"/>
        </w:rPr>
        <w:t xml:space="preserve">) </w:t>
      </w:r>
      <w:r w:rsidR="00E83ADB" w:rsidRPr="00E349D9">
        <w:t>that a public employee</w:t>
      </w:r>
      <w:r w:rsidR="008B6AC4" w:rsidRPr="00E349D9">
        <w:t>’</w:t>
      </w:r>
      <w:r w:rsidR="00E83ADB" w:rsidRPr="00E349D9">
        <w:t xml:space="preserve">s </w:t>
      </w:r>
      <w:r w:rsidR="0010100A" w:rsidRPr="00E349D9">
        <w:t>report</w:t>
      </w:r>
      <w:r w:rsidR="00E83ADB" w:rsidRPr="00E349D9">
        <w:t xml:space="preserve"> to his or her own agency </w:t>
      </w:r>
      <w:r w:rsidR="0094589D" w:rsidRPr="00E349D9">
        <w:t xml:space="preserve">is </w:t>
      </w:r>
      <w:r w:rsidR="00E83ADB" w:rsidRPr="00E349D9">
        <w:t>a protected disclosure under section 1102.5</w:t>
      </w:r>
      <w:r w:rsidR="00BC69D5" w:rsidRPr="00E349D9">
        <w:t xml:space="preserve">, subdivisions (a) and </w:t>
      </w:r>
      <w:r w:rsidR="00E83ADB" w:rsidRPr="00E349D9">
        <w:t>(b).</w:t>
      </w:r>
      <w:r w:rsidR="000767C0" w:rsidRPr="00E349D9">
        <w:rPr>
          <w:b/>
          <w:bCs/>
        </w:rPr>
        <w:t xml:space="preserve">  </w:t>
      </w:r>
      <w:r w:rsidR="000767C0" w:rsidRPr="00E349D9">
        <w:t>(Stats. 2003, ch. 484, § 2</w:t>
      </w:r>
      <w:r w:rsidR="00065DCC">
        <w:t>, p.</w:t>
      </w:r>
      <w:r w:rsidR="0082355F">
        <w:t> 3518</w:t>
      </w:r>
      <w:r w:rsidR="000767C0" w:rsidRPr="00E349D9">
        <w:t xml:space="preserve">.)  </w:t>
      </w:r>
    </w:p>
    <w:p w14:paraId="39871D70" w14:textId="15C9F71A" w:rsidR="006D3BD9" w:rsidRPr="00E349D9" w:rsidRDefault="00EA5DD9" w:rsidP="00904B11">
      <w:pPr>
        <w:ind w:firstLine="720"/>
      </w:pPr>
      <w:r w:rsidRPr="00E349D9">
        <w:t>In 2013, t</w:t>
      </w:r>
      <w:r w:rsidR="000356EA" w:rsidRPr="00E349D9">
        <w:t xml:space="preserve">he </w:t>
      </w:r>
      <w:r w:rsidR="00ED11CD" w:rsidRPr="00E349D9">
        <w:t xml:space="preserve">Legislature again amended section 1102.5(b), </w:t>
      </w:r>
      <w:r w:rsidR="00411DCA" w:rsidRPr="00E349D9">
        <w:t xml:space="preserve">expanding </w:t>
      </w:r>
      <w:r w:rsidRPr="00E349D9">
        <w:t xml:space="preserve">its </w:t>
      </w:r>
      <w:r w:rsidR="00411DCA" w:rsidRPr="00E349D9">
        <w:t>protect</w:t>
      </w:r>
      <w:r w:rsidR="003C39BC" w:rsidRPr="00E349D9">
        <w:t>ions to include an employee</w:t>
      </w:r>
      <w:r w:rsidR="008B6AC4" w:rsidRPr="00E349D9">
        <w:t>’</w:t>
      </w:r>
      <w:r w:rsidR="003C39BC" w:rsidRPr="00E349D9">
        <w:t>s</w:t>
      </w:r>
      <w:r w:rsidR="00411DCA" w:rsidRPr="00E349D9">
        <w:t xml:space="preserve"> disclosure made “to a person with authority over the employee or another employee who has the authority to investigate, discover, or correct the violation or noncompliance.” </w:t>
      </w:r>
      <w:r w:rsidR="00273767" w:rsidRPr="00E349D9">
        <w:t xml:space="preserve"> </w:t>
      </w:r>
      <w:r w:rsidR="007B1C66" w:rsidRPr="00E349D9">
        <w:t>(Stats. 2013</w:t>
      </w:r>
      <w:r w:rsidR="00747EA4" w:rsidRPr="00E349D9">
        <w:t xml:space="preserve">, ch. 781, </w:t>
      </w:r>
      <w:r w:rsidR="00BE6879" w:rsidRPr="00E349D9">
        <w:t>§ </w:t>
      </w:r>
      <w:r w:rsidR="00163B76" w:rsidRPr="00E349D9">
        <w:t>4.1</w:t>
      </w:r>
      <w:r w:rsidR="00754378">
        <w:t xml:space="preserve">; see </w:t>
      </w:r>
      <w:r w:rsidR="00754378">
        <w:rPr>
          <w:i/>
          <w:iCs/>
        </w:rPr>
        <w:t>id.</w:t>
      </w:r>
      <w:r w:rsidR="00163B76" w:rsidRPr="00E349D9">
        <w:t xml:space="preserve">, </w:t>
      </w:r>
      <w:r w:rsidR="00754378" w:rsidRPr="00E349D9">
        <w:t>§</w:t>
      </w:r>
      <w:r w:rsidR="0082355F">
        <w:t> </w:t>
      </w:r>
      <w:r w:rsidR="00163B76" w:rsidRPr="00E349D9">
        <w:t xml:space="preserve">5.) </w:t>
      </w:r>
      <w:r w:rsidR="00B90459" w:rsidRPr="00E349D9">
        <w:t xml:space="preserve"> </w:t>
      </w:r>
      <w:r w:rsidR="00273767" w:rsidRPr="00E349D9">
        <w:t xml:space="preserve">We have repeatedly held that section 1102.5(b) “reflects </w:t>
      </w:r>
      <w:r w:rsidR="00273767" w:rsidRPr="00E349D9">
        <w:rPr>
          <w:shd w:val="clear" w:color="auto" w:fill="FFFFFF"/>
        </w:rPr>
        <w:t>the broad public policy interest in encouraging workplace whistle</w:t>
      </w:r>
      <w:r w:rsidR="00754378">
        <w:rPr>
          <w:shd w:val="clear" w:color="auto" w:fill="FFFFFF"/>
        </w:rPr>
        <w:t>-</w:t>
      </w:r>
      <w:r w:rsidR="00273767" w:rsidRPr="00E349D9">
        <w:rPr>
          <w:shd w:val="clear" w:color="auto" w:fill="FFFFFF"/>
        </w:rPr>
        <w:t>blowers to report unlawful acts without fearing retaliation.”</w:t>
      </w:r>
      <w:r w:rsidR="00273767" w:rsidRPr="00E349D9">
        <w:t xml:space="preserve"> </w:t>
      </w:r>
      <w:bookmarkStart w:id="13" w:name="_Hlk131060404"/>
      <w:r w:rsidR="00273767" w:rsidRPr="00E349D9">
        <w:t xml:space="preserve"> (</w:t>
      </w:r>
      <w:r w:rsidR="00273767" w:rsidRPr="00E349D9">
        <w:rPr>
          <w:i/>
          <w:iCs/>
          <w:bdr w:val="none" w:sz="0" w:space="0" w:color="auto" w:frame="1"/>
        </w:rPr>
        <w:t>Green v. Ralee Engineering Co.</w:t>
      </w:r>
      <w:r w:rsidR="00273767" w:rsidRPr="00E349D9">
        <w:t> (1998) 19 Cal.4th 66, 77 (</w:t>
      </w:r>
      <w:r w:rsidR="00273767" w:rsidRPr="00E349D9">
        <w:rPr>
          <w:i/>
          <w:iCs/>
        </w:rPr>
        <w:t>Green</w:t>
      </w:r>
      <w:r w:rsidR="00273767" w:rsidRPr="00E349D9">
        <w:t xml:space="preserve">); </w:t>
      </w:r>
      <w:r w:rsidR="00273767" w:rsidRPr="00E349D9">
        <w:rPr>
          <w:i/>
          <w:iCs/>
          <w:bdr w:val="none" w:sz="0" w:space="0" w:color="auto" w:frame="1"/>
        </w:rPr>
        <w:t>Lawson v. PPG Architectural Finishes, Inc.</w:t>
      </w:r>
      <w:r w:rsidR="00273767" w:rsidRPr="00E349D9">
        <w:t> (2022) 12 Cal.5th 703, 709</w:t>
      </w:r>
      <w:r w:rsidR="00264CB7" w:rsidRPr="00E349D9">
        <w:t xml:space="preserve"> (</w:t>
      </w:r>
      <w:r w:rsidR="00264CB7" w:rsidRPr="00E349D9">
        <w:rPr>
          <w:i/>
          <w:iCs/>
        </w:rPr>
        <w:t>Lawson</w:t>
      </w:r>
      <w:r w:rsidR="00264CB7" w:rsidRPr="00E349D9">
        <w:t>)</w:t>
      </w:r>
      <w:r w:rsidR="00273767" w:rsidRPr="00E349D9">
        <w:t xml:space="preserve">; </w:t>
      </w:r>
      <w:bookmarkEnd w:id="13"/>
      <w:r w:rsidR="00273767" w:rsidRPr="00E349D9">
        <w:rPr>
          <w:i/>
          <w:iCs/>
          <w:bdr w:val="none" w:sz="0" w:space="0" w:color="auto" w:frame="1"/>
        </w:rPr>
        <w:t>Soukup v. Law Offices of Herbert Hafif</w:t>
      </w:r>
      <w:r w:rsidR="00273767" w:rsidRPr="00E349D9">
        <w:t> (2006) 39 Cal.4th 260, 287.)</w:t>
      </w:r>
    </w:p>
    <w:p w14:paraId="2D9E68DA" w14:textId="2B252681" w:rsidR="00A37D91" w:rsidRDefault="00D7373C" w:rsidP="00904B11">
      <w:pPr>
        <w:ind w:firstLine="720"/>
      </w:pPr>
      <w:r w:rsidRPr="00E349D9">
        <w:t>In full, section 1102.5(b) provides:</w:t>
      </w:r>
      <w:r w:rsidR="006D3BD9" w:rsidRPr="00E349D9">
        <w:t xml:space="preserve">  “</w:t>
      </w:r>
      <w:r w:rsidR="00B9600A" w:rsidRPr="00E349D9">
        <w:t>An employer, or any person acting on behalf of the employer, shall not retaliate against an employee for disclosing information, or because the employer believes that the employee disclosed or may disclose information, to a government or law enforcement agency, to a person with authority over the employee or another employee who has the authority to investigate, discover, or correct the violation or noncompliance, or for providing</w:t>
      </w:r>
      <w:r w:rsidR="006D3BD9" w:rsidRPr="00E349D9">
        <w:t xml:space="preserve"> </w:t>
      </w:r>
      <w:r w:rsidR="00B9600A" w:rsidRPr="00E349D9">
        <w:t>information to, or testifying before, any public body conducting an investigation, hearing, or inquiry, if the employee has reasonable cause to believe that the information discloses a violation of state or federal statute, or a violation of or noncompliance with a local, state, or federal rule or regulation, regardless of whether disclosing the information is part of the employee’s job duties.</w:t>
      </w:r>
      <w:r w:rsidR="006D3BD9" w:rsidRPr="00E349D9">
        <w:t>”</w:t>
      </w:r>
    </w:p>
    <w:p w14:paraId="080B2326" w14:textId="492F1E72" w:rsidR="00ED3DBB" w:rsidRPr="00E349D9" w:rsidRDefault="00E9283E" w:rsidP="00904B11">
      <w:pPr>
        <w:ind w:firstLine="720"/>
      </w:pPr>
      <w:r w:rsidRPr="00E349D9">
        <w:rPr>
          <w:szCs w:val="26"/>
        </w:rPr>
        <w:t>Our analysis is informed by t</w:t>
      </w:r>
      <w:r w:rsidR="00DD2245" w:rsidRPr="00E349D9">
        <w:rPr>
          <w:szCs w:val="26"/>
        </w:rPr>
        <w:t>wo Court of Appeal decisions</w:t>
      </w:r>
      <w:r w:rsidR="009529A9" w:rsidRPr="00E349D9">
        <w:rPr>
          <w:szCs w:val="26"/>
        </w:rPr>
        <w:t xml:space="preserve"> that</w:t>
      </w:r>
      <w:r w:rsidR="001F5DAC" w:rsidRPr="00E349D9">
        <w:rPr>
          <w:szCs w:val="26"/>
        </w:rPr>
        <w:t xml:space="preserve"> </w:t>
      </w:r>
      <w:r w:rsidR="009529A9" w:rsidRPr="00E349D9">
        <w:rPr>
          <w:szCs w:val="26"/>
        </w:rPr>
        <w:t>disagree on the meaning of “disclose” in section 1102.5(b)</w:t>
      </w:r>
      <w:r w:rsidR="00DF6321" w:rsidRPr="00E349D9">
        <w:rPr>
          <w:szCs w:val="26"/>
        </w:rPr>
        <w:t xml:space="preserve">.  First, </w:t>
      </w:r>
      <w:r w:rsidR="00C323D8" w:rsidRPr="00E349D9">
        <w:rPr>
          <w:szCs w:val="26"/>
        </w:rPr>
        <w:t xml:space="preserve">the court in </w:t>
      </w:r>
      <w:r w:rsidR="00DF6321" w:rsidRPr="00E349D9">
        <w:rPr>
          <w:i/>
          <w:iCs/>
          <w:szCs w:val="26"/>
        </w:rPr>
        <w:t>Mize-Kurzman</w:t>
      </w:r>
      <w:r w:rsidR="00F632E9" w:rsidRPr="00E349D9">
        <w:rPr>
          <w:szCs w:val="26"/>
        </w:rPr>
        <w:t xml:space="preserve"> held that “</w:t>
      </w:r>
      <w:r w:rsidR="00F632E9" w:rsidRPr="00E349D9">
        <w:rPr>
          <w:szCs w:val="26"/>
          <w:shd w:val="clear" w:color="auto" w:fill="FFFFFF"/>
        </w:rPr>
        <w:t xml:space="preserve">the report of information that was already known </w:t>
      </w:r>
      <w:r w:rsidR="00DD3E23" w:rsidRPr="00E349D9">
        <w:rPr>
          <w:szCs w:val="26"/>
          <w:shd w:val="clear" w:color="auto" w:fill="FFFFFF"/>
        </w:rPr>
        <w:t xml:space="preserve">[does] </w:t>
      </w:r>
      <w:r w:rsidR="00F632E9" w:rsidRPr="00E349D9">
        <w:rPr>
          <w:szCs w:val="26"/>
          <w:shd w:val="clear" w:color="auto" w:fill="FFFFFF"/>
        </w:rPr>
        <w:t>not constitute a protected disclosure.”</w:t>
      </w:r>
      <w:r w:rsidR="00F632E9" w:rsidRPr="00E349D9">
        <w:rPr>
          <w:szCs w:val="26"/>
        </w:rPr>
        <w:t xml:space="preserve">  (</w:t>
      </w:r>
      <w:r w:rsidR="00CB398F" w:rsidRPr="00E349D9">
        <w:rPr>
          <w:i/>
          <w:iCs/>
          <w:szCs w:val="26"/>
        </w:rPr>
        <w:t>Mize-Kurzman</w:t>
      </w:r>
      <w:r w:rsidR="00CB398F" w:rsidRPr="00E349D9">
        <w:rPr>
          <w:szCs w:val="26"/>
        </w:rPr>
        <w:t>,</w:t>
      </w:r>
      <w:r w:rsidR="00CB398F" w:rsidRPr="00E349D9">
        <w:rPr>
          <w:i/>
          <w:iCs/>
          <w:szCs w:val="26"/>
        </w:rPr>
        <w:t xml:space="preserve"> supra</w:t>
      </w:r>
      <w:r w:rsidR="00CB398F" w:rsidRPr="00E349D9">
        <w:rPr>
          <w:szCs w:val="26"/>
        </w:rPr>
        <w:t xml:space="preserve">, </w:t>
      </w:r>
      <w:r w:rsidR="00F632E9" w:rsidRPr="00E349D9">
        <w:rPr>
          <w:szCs w:val="26"/>
        </w:rPr>
        <w:t xml:space="preserve">202 Cal.App.4th </w:t>
      </w:r>
      <w:r w:rsidR="00C323D8" w:rsidRPr="00E349D9">
        <w:rPr>
          <w:szCs w:val="26"/>
        </w:rPr>
        <w:t>at p.</w:t>
      </w:r>
      <w:r w:rsidRPr="00E349D9">
        <w:rPr>
          <w:szCs w:val="26"/>
        </w:rPr>
        <w:t> </w:t>
      </w:r>
      <w:r w:rsidR="00F632E9" w:rsidRPr="00E349D9">
        <w:rPr>
          <w:szCs w:val="26"/>
        </w:rPr>
        <w:t>858.)</w:t>
      </w:r>
      <w:r w:rsidR="00BA0B8B" w:rsidRPr="00E349D9">
        <w:rPr>
          <w:szCs w:val="26"/>
        </w:rPr>
        <w:t xml:space="preserve">  </w:t>
      </w:r>
      <w:r w:rsidR="00031F98" w:rsidRPr="00E349D9">
        <w:rPr>
          <w:szCs w:val="26"/>
        </w:rPr>
        <w:t xml:space="preserve">The court explained </w:t>
      </w:r>
      <w:r w:rsidR="00AA52B2" w:rsidRPr="00E349D9">
        <w:rPr>
          <w:szCs w:val="26"/>
        </w:rPr>
        <w:t>that the “</w:t>
      </w:r>
      <w:r w:rsidRPr="00E349D9">
        <w:rPr>
          <w:szCs w:val="26"/>
        </w:rPr>
        <w:t> ‘</w:t>
      </w:r>
      <w:r w:rsidR="00AA52B2" w:rsidRPr="00E349D9">
        <w:rPr>
          <w:szCs w:val="26"/>
        </w:rPr>
        <w:t>ordinarily understood meaning</w:t>
      </w:r>
      <w:r w:rsidRPr="00E349D9">
        <w:rPr>
          <w:szCs w:val="26"/>
        </w:rPr>
        <w:t>’ </w:t>
      </w:r>
      <w:r w:rsidR="00AA52B2" w:rsidRPr="00E349D9">
        <w:rPr>
          <w:szCs w:val="26"/>
        </w:rPr>
        <w:t xml:space="preserve">” of disclose </w:t>
      </w:r>
      <w:r w:rsidR="00997426">
        <w:rPr>
          <w:szCs w:val="26"/>
        </w:rPr>
        <w:t xml:space="preserve"> is </w:t>
      </w:r>
      <w:r w:rsidR="00AA52B2" w:rsidRPr="00E349D9">
        <w:rPr>
          <w:szCs w:val="26"/>
        </w:rPr>
        <w:t>“</w:t>
      </w:r>
      <w:r w:rsidRPr="00E349D9">
        <w:rPr>
          <w:szCs w:val="26"/>
        </w:rPr>
        <w:t> ‘</w:t>
      </w:r>
      <w:r w:rsidR="00AA52B2" w:rsidRPr="00E349D9">
        <w:rPr>
          <w:szCs w:val="26"/>
        </w:rPr>
        <w:t>to reveal something that was hidden and not known</w:t>
      </w:r>
      <w:r w:rsidR="008E0931" w:rsidRPr="00E349D9">
        <w:rPr>
          <w:szCs w:val="26"/>
        </w:rPr>
        <w:t>.</w:t>
      </w:r>
      <w:r w:rsidRPr="00E349D9">
        <w:rPr>
          <w:szCs w:val="26"/>
        </w:rPr>
        <w:t>’ </w:t>
      </w:r>
      <w:r w:rsidR="008E0931" w:rsidRPr="00E349D9">
        <w:rPr>
          <w:szCs w:val="26"/>
        </w:rPr>
        <w:t xml:space="preserve">” </w:t>
      </w:r>
      <w:r w:rsidR="00C323D8" w:rsidRPr="00E349D9">
        <w:rPr>
          <w:szCs w:val="26"/>
        </w:rPr>
        <w:t xml:space="preserve"> </w:t>
      </w:r>
      <w:r w:rsidR="006F3CF9" w:rsidRPr="00E349D9">
        <w:rPr>
          <w:szCs w:val="26"/>
        </w:rPr>
        <w:t>(</w:t>
      </w:r>
      <w:r w:rsidR="008E0931" w:rsidRPr="00E349D9">
        <w:rPr>
          <w:i/>
          <w:iCs/>
          <w:szCs w:val="26"/>
        </w:rPr>
        <w:t>Ibid.</w:t>
      </w:r>
      <w:r w:rsidRPr="00E349D9">
        <w:rPr>
          <w:szCs w:val="26"/>
        </w:rPr>
        <w:t>, citing Webster’s 3d Internat. Dict. (1968) p. 645.</w:t>
      </w:r>
      <w:r w:rsidR="006F3CF9" w:rsidRPr="00E349D9">
        <w:rPr>
          <w:szCs w:val="26"/>
        </w:rPr>
        <w:t>)</w:t>
      </w:r>
      <w:r w:rsidR="008E0931" w:rsidRPr="00E349D9">
        <w:rPr>
          <w:szCs w:val="26"/>
        </w:rPr>
        <w:t xml:space="preserve">  The court found further support in </w:t>
      </w:r>
      <w:r w:rsidR="00F13B12" w:rsidRPr="00E349D9">
        <w:rPr>
          <w:szCs w:val="26"/>
        </w:rPr>
        <w:t>precedent</w:t>
      </w:r>
      <w:r w:rsidR="008E0931" w:rsidRPr="00E349D9">
        <w:rPr>
          <w:szCs w:val="26"/>
        </w:rPr>
        <w:t xml:space="preserve"> interpreting </w:t>
      </w:r>
      <w:r w:rsidR="002A73F1" w:rsidRPr="00E349D9">
        <w:rPr>
          <w:szCs w:val="26"/>
        </w:rPr>
        <w:t xml:space="preserve">the </w:t>
      </w:r>
      <w:r w:rsidR="00034D7C" w:rsidRPr="00E349D9">
        <w:rPr>
          <w:szCs w:val="26"/>
        </w:rPr>
        <w:t>f</w:t>
      </w:r>
      <w:r w:rsidR="002A73F1" w:rsidRPr="00E349D9">
        <w:rPr>
          <w:szCs w:val="26"/>
        </w:rPr>
        <w:t>ederal Whistleblower Protection Act</w:t>
      </w:r>
      <w:r w:rsidR="00997426">
        <w:rPr>
          <w:szCs w:val="26"/>
        </w:rPr>
        <w:t xml:space="preserve"> of 1989 (Pub.L. No. 101-12 (Apr. 10, 1989) 103 Stat. 16)</w:t>
      </w:r>
      <w:r w:rsidR="00FE402D" w:rsidRPr="00E349D9">
        <w:rPr>
          <w:szCs w:val="26"/>
        </w:rPr>
        <w:t xml:space="preserve">. </w:t>
      </w:r>
      <w:r w:rsidR="002A73F1" w:rsidRPr="00E349D9">
        <w:rPr>
          <w:szCs w:val="26"/>
        </w:rPr>
        <w:t xml:space="preserve"> </w:t>
      </w:r>
      <w:r w:rsidR="006F3CF9" w:rsidRPr="00E349D9">
        <w:rPr>
          <w:szCs w:val="26"/>
        </w:rPr>
        <w:t>(</w:t>
      </w:r>
      <w:r w:rsidR="006F3CF9" w:rsidRPr="00E349D9">
        <w:rPr>
          <w:i/>
          <w:iCs/>
          <w:szCs w:val="26"/>
        </w:rPr>
        <w:t>Mize-Kurzman</w:t>
      </w:r>
      <w:r w:rsidR="005F6519" w:rsidRPr="00E349D9">
        <w:rPr>
          <w:szCs w:val="26"/>
        </w:rPr>
        <w:t>,</w:t>
      </w:r>
      <w:r w:rsidR="006F3CF9" w:rsidRPr="00E349D9">
        <w:rPr>
          <w:szCs w:val="26"/>
        </w:rPr>
        <w:t xml:space="preserve"> at p.</w:t>
      </w:r>
      <w:r w:rsidR="009529A9" w:rsidRPr="00E349D9">
        <w:rPr>
          <w:szCs w:val="26"/>
        </w:rPr>
        <w:t> </w:t>
      </w:r>
      <w:r w:rsidR="006F3CF9" w:rsidRPr="00E349D9">
        <w:rPr>
          <w:szCs w:val="26"/>
        </w:rPr>
        <w:t>858</w:t>
      </w:r>
      <w:r w:rsidR="00FE402D" w:rsidRPr="00E349D9">
        <w:rPr>
          <w:szCs w:val="26"/>
        </w:rPr>
        <w:t xml:space="preserve">, citing </w:t>
      </w:r>
      <w:r w:rsidR="00DB61AC" w:rsidRPr="00E349D9">
        <w:rPr>
          <w:i/>
          <w:iCs/>
        </w:rPr>
        <w:t>Huffman v. Office of Personnel Management</w:t>
      </w:r>
      <w:r w:rsidR="00DB61AC" w:rsidRPr="00E349D9">
        <w:t> (Fed.Cir. 2001) 263 F.3d 1341, 1349–1350</w:t>
      </w:r>
      <w:r w:rsidR="00997426">
        <w:t xml:space="preserve">; see </w:t>
      </w:r>
      <w:r w:rsidR="00997426">
        <w:rPr>
          <w:i/>
          <w:iCs/>
        </w:rPr>
        <w:t>Huffman</w:t>
      </w:r>
      <w:r w:rsidR="00997426">
        <w:t xml:space="preserve">, at p. </w:t>
      </w:r>
      <w:r w:rsidR="00997426" w:rsidRPr="00E349D9">
        <w:t>1350</w:t>
      </w:r>
      <w:r w:rsidR="00597C81" w:rsidRPr="00E349D9">
        <w:rPr>
          <w:szCs w:val="26"/>
        </w:rPr>
        <w:t xml:space="preserve"> [“</w:t>
      </w:r>
      <w:r w:rsidR="00597C81" w:rsidRPr="00E349D9">
        <w:rPr>
          <w:shd w:val="clear" w:color="auto" w:fill="FFFFFF"/>
        </w:rPr>
        <w:t xml:space="preserve">When an employee reports or states that there has been misconduct by a wrongdoer to the wrongdoer, the employee is not making a </w:t>
      </w:r>
      <w:r w:rsidR="008B6AC4" w:rsidRPr="00E349D9">
        <w:rPr>
          <w:shd w:val="clear" w:color="auto" w:fill="FFFFFF"/>
        </w:rPr>
        <w:t>‘</w:t>
      </w:r>
      <w:r w:rsidR="00597C81" w:rsidRPr="00E349D9">
        <w:rPr>
          <w:shd w:val="clear" w:color="auto" w:fill="FFFFFF"/>
        </w:rPr>
        <w:t>disclosure</w:t>
      </w:r>
      <w:r w:rsidR="008B6AC4" w:rsidRPr="00E349D9">
        <w:rPr>
          <w:shd w:val="clear" w:color="auto" w:fill="FFFFFF"/>
        </w:rPr>
        <w:t>’</w:t>
      </w:r>
      <w:r w:rsidR="00597C81" w:rsidRPr="00E349D9">
        <w:rPr>
          <w:shd w:val="clear" w:color="auto" w:fill="FFFFFF"/>
        </w:rPr>
        <w:t xml:space="preserve"> of misconduct</w:t>
      </w:r>
      <w:r w:rsidR="00597C81" w:rsidRPr="00E349D9">
        <w:t xml:space="preserve">.”].)  </w:t>
      </w:r>
      <w:r w:rsidR="00CB398F" w:rsidRPr="00E349D9">
        <w:rPr>
          <w:szCs w:val="26"/>
        </w:rPr>
        <w:t xml:space="preserve">The </w:t>
      </w:r>
      <w:r w:rsidR="00D76B7F" w:rsidRPr="00E349D9">
        <w:rPr>
          <w:i/>
          <w:iCs/>
          <w:szCs w:val="26"/>
        </w:rPr>
        <w:t>Mize-Kurzman</w:t>
      </w:r>
      <w:r w:rsidR="00D76B7F" w:rsidRPr="00E349D9">
        <w:rPr>
          <w:szCs w:val="26"/>
        </w:rPr>
        <w:t xml:space="preserve"> court</w:t>
      </w:r>
      <w:r w:rsidR="0081153E" w:rsidRPr="00E349D9">
        <w:rPr>
          <w:szCs w:val="26"/>
        </w:rPr>
        <w:t xml:space="preserve"> </w:t>
      </w:r>
      <w:r w:rsidR="00AC1FC1" w:rsidRPr="00E349D9">
        <w:rPr>
          <w:szCs w:val="26"/>
        </w:rPr>
        <w:t>reasoned</w:t>
      </w:r>
      <w:r w:rsidR="0081153E" w:rsidRPr="00E349D9">
        <w:rPr>
          <w:szCs w:val="26"/>
        </w:rPr>
        <w:t xml:space="preserve"> that </w:t>
      </w:r>
      <w:r w:rsidR="002D5E50" w:rsidRPr="00E349D9">
        <w:rPr>
          <w:szCs w:val="26"/>
        </w:rPr>
        <w:t>“the</w:t>
      </w:r>
      <w:r w:rsidR="00A63121">
        <w:rPr>
          <w:szCs w:val="26"/>
        </w:rPr>
        <w:t xml:space="preserve"> </w:t>
      </w:r>
      <w:r w:rsidR="002D5E50" w:rsidRPr="00E349D9">
        <w:rPr>
          <w:szCs w:val="26"/>
        </w:rPr>
        <w:t>employer</w:t>
      </w:r>
      <w:r w:rsidR="00A63121">
        <w:rPr>
          <w:szCs w:val="26"/>
        </w:rPr>
        <w:t xml:space="preserve"> </w:t>
      </w:r>
      <w:r w:rsidR="002D5E50" w:rsidRPr="00E349D9">
        <w:rPr>
          <w:i/>
          <w:iCs/>
          <w:szCs w:val="26"/>
        </w:rPr>
        <w:t>already knows</w:t>
      </w:r>
      <w:r w:rsidR="00A63121">
        <w:rPr>
          <w:szCs w:val="26"/>
        </w:rPr>
        <w:t xml:space="preserve"> </w:t>
      </w:r>
      <w:r w:rsidR="002D5E50" w:rsidRPr="00E349D9">
        <w:rPr>
          <w:szCs w:val="26"/>
        </w:rPr>
        <w:t>about his or her wrongdoing</w:t>
      </w:r>
      <w:r w:rsidR="00997426">
        <w:rPr>
          <w:szCs w:val="26"/>
        </w:rPr>
        <w:t xml:space="preserve">” </w:t>
      </w:r>
      <w:r w:rsidR="002D5E50" w:rsidRPr="00E349D9">
        <w:rPr>
          <w:szCs w:val="26"/>
        </w:rPr>
        <w:t>and</w:t>
      </w:r>
      <w:r w:rsidR="00E04F74" w:rsidRPr="00E349D9">
        <w:rPr>
          <w:szCs w:val="26"/>
        </w:rPr>
        <w:t xml:space="preserve"> </w:t>
      </w:r>
      <w:r w:rsidR="00997426">
        <w:rPr>
          <w:szCs w:val="26"/>
        </w:rPr>
        <w:t>“</w:t>
      </w:r>
      <w:r w:rsidR="00E04F74" w:rsidRPr="00E349D9">
        <w:rPr>
          <w:szCs w:val="26"/>
          <w:shd w:val="clear" w:color="auto" w:fill="FFFFFF"/>
        </w:rPr>
        <w:t>criticism delivered directly to the wrongdoer</w:t>
      </w:r>
      <w:r w:rsidR="007B5FE5" w:rsidRPr="00E349D9">
        <w:rPr>
          <w:szCs w:val="26"/>
          <w:shd w:val="clear" w:color="auto" w:fill="FFFFFF"/>
        </w:rPr>
        <w:t>s</w:t>
      </w:r>
      <w:r w:rsidR="00E04F74" w:rsidRPr="00E349D9">
        <w:rPr>
          <w:szCs w:val="26"/>
          <w:shd w:val="clear" w:color="auto" w:fill="FFFFFF"/>
        </w:rPr>
        <w:t xml:space="preserve"> does not further the purpose of</w:t>
      </w:r>
      <w:r w:rsidR="00182036" w:rsidRPr="00E349D9">
        <w:rPr>
          <w:szCs w:val="26"/>
          <w:shd w:val="clear" w:color="auto" w:fill="FFFFFF"/>
        </w:rPr>
        <w:t> </w:t>
      </w:r>
      <w:r w:rsidR="00995E18" w:rsidRPr="00E349D9">
        <w:rPr>
          <w:szCs w:val="26"/>
          <w:shd w:val="clear" w:color="auto" w:fill="FFFFFF"/>
        </w:rPr>
        <w:t xml:space="preserve">. . . </w:t>
      </w:r>
      <w:r w:rsidR="00E04F74" w:rsidRPr="00E349D9">
        <w:rPr>
          <w:szCs w:val="26"/>
          <w:shd w:val="clear" w:color="auto" w:fill="FFFFFF"/>
        </w:rPr>
        <w:t>California whistleblower laws to encourage disclosure of wrongdoing to persons who may be in a position to act to remedy it</w:t>
      </w:r>
      <w:r w:rsidR="004C44B5" w:rsidRPr="00E349D9">
        <w:rPr>
          <w:szCs w:val="26"/>
          <w:shd w:val="clear" w:color="auto" w:fill="FFFFFF"/>
        </w:rPr>
        <w:t xml:space="preserve">.”  </w:t>
      </w:r>
      <w:r w:rsidR="007B5FE5" w:rsidRPr="00E349D9">
        <w:rPr>
          <w:szCs w:val="26"/>
          <w:shd w:val="clear" w:color="auto" w:fill="FFFFFF"/>
        </w:rPr>
        <w:t>(</w:t>
      </w:r>
      <w:r w:rsidR="00D76B7F" w:rsidRPr="00E349D9">
        <w:rPr>
          <w:i/>
          <w:iCs/>
          <w:szCs w:val="26"/>
          <w:shd w:val="clear" w:color="auto" w:fill="FFFFFF"/>
        </w:rPr>
        <w:t>Mize-Kurzman</w:t>
      </w:r>
      <w:r w:rsidR="005F6519" w:rsidRPr="00E349D9">
        <w:rPr>
          <w:szCs w:val="26"/>
          <w:shd w:val="clear" w:color="auto" w:fill="FFFFFF"/>
        </w:rPr>
        <w:t>,</w:t>
      </w:r>
      <w:r w:rsidR="004C44B5" w:rsidRPr="00E349D9">
        <w:rPr>
          <w:szCs w:val="26"/>
          <w:shd w:val="clear" w:color="auto" w:fill="FFFFFF"/>
        </w:rPr>
        <w:t xml:space="preserve"> at p.</w:t>
      </w:r>
      <w:r w:rsidR="00F74B1A" w:rsidRPr="00E349D9">
        <w:rPr>
          <w:szCs w:val="26"/>
        </w:rPr>
        <w:t> </w:t>
      </w:r>
      <w:r w:rsidR="004C44B5" w:rsidRPr="00E349D9">
        <w:rPr>
          <w:szCs w:val="26"/>
          <w:shd w:val="clear" w:color="auto" w:fill="FFFFFF"/>
        </w:rPr>
        <w:t>859.</w:t>
      </w:r>
      <w:r w:rsidR="007B5FE5" w:rsidRPr="00E349D9">
        <w:rPr>
          <w:szCs w:val="26"/>
          <w:shd w:val="clear" w:color="auto" w:fill="FFFFFF"/>
        </w:rPr>
        <w:t>)</w:t>
      </w:r>
    </w:p>
    <w:p w14:paraId="7E2C57C1" w14:textId="4A61F39A" w:rsidR="006D1575" w:rsidRPr="00E349D9" w:rsidRDefault="00957C53" w:rsidP="00904B11">
      <w:pPr>
        <w:autoSpaceDE w:val="0"/>
        <w:autoSpaceDN w:val="0"/>
        <w:adjustRightInd w:val="0"/>
        <w:ind w:firstLine="720"/>
        <w:rPr>
          <w:szCs w:val="26"/>
          <w:shd w:val="clear" w:color="auto" w:fill="FFFFFF"/>
        </w:rPr>
      </w:pPr>
      <w:r w:rsidRPr="00E349D9">
        <w:rPr>
          <w:szCs w:val="26"/>
        </w:rPr>
        <w:t>Subsequently</w:t>
      </w:r>
      <w:r w:rsidR="00DF6321" w:rsidRPr="00E349D9">
        <w:rPr>
          <w:szCs w:val="26"/>
        </w:rPr>
        <w:t xml:space="preserve">, </w:t>
      </w:r>
      <w:r w:rsidR="00477F12" w:rsidRPr="00E349D9">
        <w:rPr>
          <w:szCs w:val="26"/>
        </w:rPr>
        <w:t xml:space="preserve">the Court of Appeal in </w:t>
      </w:r>
      <w:r w:rsidR="00477F12" w:rsidRPr="00E349D9">
        <w:rPr>
          <w:i/>
          <w:iCs/>
          <w:szCs w:val="26"/>
        </w:rPr>
        <w:t>Hager</w:t>
      </w:r>
      <w:r w:rsidR="00454091" w:rsidRPr="00E349D9">
        <w:rPr>
          <w:szCs w:val="26"/>
        </w:rPr>
        <w:t xml:space="preserve"> held that section 1102.5</w:t>
      </w:r>
      <w:r w:rsidR="00ED56CE" w:rsidRPr="00E349D9">
        <w:rPr>
          <w:szCs w:val="26"/>
        </w:rPr>
        <w:t xml:space="preserve">(b) </w:t>
      </w:r>
      <w:r w:rsidR="005825BB" w:rsidRPr="00E349D9">
        <w:rPr>
          <w:szCs w:val="26"/>
        </w:rPr>
        <w:t>“</w:t>
      </w:r>
      <w:r w:rsidR="008D5375" w:rsidRPr="00E349D9">
        <w:rPr>
          <w:szCs w:val="26"/>
          <w:shd w:val="clear" w:color="auto" w:fill="FFFFFF"/>
        </w:rPr>
        <w:t>does not limit whistleblower protection only to an employee who discloses unlawful conduct that had not been previously disclosed by another employee.”</w:t>
      </w:r>
      <w:r w:rsidR="008D5375" w:rsidRPr="00E349D9">
        <w:rPr>
          <w:szCs w:val="26"/>
        </w:rPr>
        <w:t xml:space="preserve">  </w:t>
      </w:r>
      <w:r w:rsidR="00250C3B" w:rsidRPr="00E349D9">
        <w:rPr>
          <w:szCs w:val="26"/>
        </w:rPr>
        <w:t>(</w:t>
      </w:r>
      <w:r w:rsidR="00250C3B" w:rsidRPr="00E349D9">
        <w:rPr>
          <w:i/>
          <w:iCs/>
          <w:szCs w:val="26"/>
        </w:rPr>
        <w:t>Hager</w:t>
      </w:r>
      <w:r w:rsidR="00250C3B" w:rsidRPr="00E349D9">
        <w:rPr>
          <w:szCs w:val="26"/>
        </w:rPr>
        <w:t xml:space="preserve">, </w:t>
      </w:r>
      <w:r w:rsidR="00250C3B" w:rsidRPr="00E349D9">
        <w:rPr>
          <w:i/>
          <w:iCs/>
          <w:szCs w:val="26"/>
        </w:rPr>
        <w:t>supra</w:t>
      </w:r>
      <w:r w:rsidR="00250C3B" w:rsidRPr="00E349D9">
        <w:rPr>
          <w:szCs w:val="26"/>
        </w:rPr>
        <w:t>, 228 Cal.App.4th at p.</w:t>
      </w:r>
      <w:r w:rsidR="00F74B1A" w:rsidRPr="00E349D9">
        <w:rPr>
          <w:szCs w:val="26"/>
        </w:rPr>
        <w:t> </w:t>
      </w:r>
      <w:r w:rsidR="00250C3B" w:rsidRPr="00E349D9">
        <w:rPr>
          <w:szCs w:val="26"/>
        </w:rPr>
        <w:t xml:space="preserve">1549.)  </w:t>
      </w:r>
      <w:r w:rsidR="00875BB2" w:rsidRPr="00E349D9">
        <w:rPr>
          <w:szCs w:val="26"/>
        </w:rPr>
        <w:t xml:space="preserve">The </w:t>
      </w:r>
      <w:r w:rsidR="00875BB2" w:rsidRPr="00E349D9">
        <w:rPr>
          <w:i/>
          <w:iCs/>
          <w:szCs w:val="26"/>
        </w:rPr>
        <w:t>Hager</w:t>
      </w:r>
      <w:r w:rsidR="00875BB2" w:rsidRPr="00E349D9">
        <w:rPr>
          <w:szCs w:val="26"/>
        </w:rPr>
        <w:t xml:space="preserve"> court</w:t>
      </w:r>
      <w:r w:rsidR="006D1575" w:rsidRPr="00E349D9">
        <w:rPr>
          <w:szCs w:val="26"/>
        </w:rPr>
        <w:t xml:space="preserve"> </w:t>
      </w:r>
      <w:r w:rsidR="00875BB2" w:rsidRPr="00E349D9">
        <w:rPr>
          <w:szCs w:val="26"/>
        </w:rPr>
        <w:t>“</w:t>
      </w:r>
      <w:r w:rsidR="00875BB2" w:rsidRPr="00E349D9">
        <w:rPr>
          <w:szCs w:val="26"/>
          <w:shd w:val="clear" w:color="auto" w:fill="FFFFFF"/>
        </w:rPr>
        <w:t xml:space="preserve">accept[ed] the dictionary definition of </w:t>
      </w:r>
      <w:r w:rsidR="00BA16FD" w:rsidRPr="00E349D9">
        <w:rPr>
          <w:szCs w:val="26"/>
          <w:shd w:val="clear" w:color="auto" w:fill="FFFFFF"/>
        </w:rPr>
        <w:t>‘</w:t>
      </w:r>
      <w:r w:rsidR="00875BB2" w:rsidRPr="00E349D9">
        <w:rPr>
          <w:szCs w:val="26"/>
          <w:shd w:val="clear" w:color="auto" w:fill="FFFFFF"/>
        </w:rPr>
        <w:t>disclosure</w:t>
      </w:r>
      <w:r w:rsidR="00BA16FD" w:rsidRPr="00E349D9">
        <w:rPr>
          <w:szCs w:val="26"/>
          <w:shd w:val="clear" w:color="auto" w:fill="FFFFFF"/>
        </w:rPr>
        <w:t>’</w:t>
      </w:r>
      <w:r w:rsidR="00875BB2" w:rsidRPr="00E349D9">
        <w:rPr>
          <w:szCs w:val="26"/>
          <w:shd w:val="clear" w:color="auto" w:fill="FFFFFF"/>
        </w:rPr>
        <w:t xml:space="preserve"> as used by the</w:t>
      </w:r>
      <w:r w:rsidR="00CF717C" w:rsidRPr="00E349D9">
        <w:rPr>
          <w:szCs w:val="26"/>
          <w:shd w:val="clear" w:color="auto" w:fill="FFFFFF"/>
        </w:rPr>
        <w:t xml:space="preserve"> </w:t>
      </w:r>
      <w:r w:rsidR="00875BB2" w:rsidRPr="00E349D9">
        <w:rPr>
          <w:szCs w:val="26"/>
          <w:shd w:val="clear" w:color="auto" w:fill="FFFFFF"/>
        </w:rPr>
        <w:t>court in</w:t>
      </w:r>
      <w:r w:rsidR="00CF717C" w:rsidRPr="00E349D9">
        <w:rPr>
          <w:szCs w:val="26"/>
          <w:shd w:val="clear" w:color="auto" w:fill="FFFFFF"/>
        </w:rPr>
        <w:t xml:space="preserve"> </w:t>
      </w:r>
      <w:r w:rsidR="00875BB2" w:rsidRPr="00E349D9">
        <w:rPr>
          <w:i/>
          <w:iCs/>
          <w:szCs w:val="26"/>
        </w:rPr>
        <w:t>Mize-Kurzman</w:t>
      </w:r>
      <w:r w:rsidR="00997426" w:rsidRPr="00E349D9">
        <w:rPr>
          <w:szCs w:val="26"/>
          <w:shd w:val="clear" w:color="auto" w:fill="FFFFFF"/>
        </w:rPr>
        <w:t>. . .</w:t>
      </w:r>
      <w:r w:rsidR="00875BB2" w:rsidRPr="00E349D9">
        <w:rPr>
          <w:szCs w:val="26"/>
        </w:rPr>
        <w:t>,</w:t>
      </w:r>
      <w:r w:rsidR="009B10CA" w:rsidRPr="00E349D9">
        <w:rPr>
          <w:szCs w:val="26"/>
        </w:rPr>
        <w:t xml:space="preserve">” but </w:t>
      </w:r>
      <w:r w:rsidR="00B93E47" w:rsidRPr="00E349D9">
        <w:rPr>
          <w:szCs w:val="26"/>
        </w:rPr>
        <w:t xml:space="preserve">concluded </w:t>
      </w:r>
      <w:r w:rsidR="009B10CA" w:rsidRPr="00E349D9">
        <w:rPr>
          <w:szCs w:val="26"/>
        </w:rPr>
        <w:t>that</w:t>
      </w:r>
      <w:r w:rsidR="00875BB2" w:rsidRPr="00E349D9">
        <w:rPr>
          <w:szCs w:val="26"/>
          <w:shd w:val="clear" w:color="auto" w:fill="FFFFFF"/>
        </w:rPr>
        <w:t xml:space="preserve"> </w:t>
      </w:r>
      <w:r w:rsidR="009B10CA" w:rsidRPr="00E349D9">
        <w:rPr>
          <w:szCs w:val="26"/>
          <w:shd w:val="clear" w:color="auto" w:fill="FFFFFF"/>
        </w:rPr>
        <w:t>“</w:t>
      </w:r>
      <w:r w:rsidR="00875BB2" w:rsidRPr="00E349D9">
        <w:rPr>
          <w:szCs w:val="26"/>
          <w:shd w:val="clear" w:color="auto" w:fill="FFFFFF"/>
        </w:rPr>
        <w:t xml:space="preserve">the </w:t>
      </w:r>
      <w:r w:rsidR="00D76B7F" w:rsidRPr="00E349D9">
        <w:rPr>
          <w:szCs w:val="26"/>
          <w:shd w:val="clear" w:color="auto" w:fill="FFFFFF"/>
        </w:rPr>
        <w:t>[</w:t>
      </w:r>
      <w:r w:rsidR="00D76B7F" w:rsidRPr="00E349D9">
        <w:rPr>
          <w:i/>
          <w:iCs/>
          <w:szCs w:val="26"/>
          <w:shd w:val="clear" w:color="auto" w:fill="FFFFFF"/>
        </w:rPr>
        <w:t>Mize-Kurzman</w:t>
      </w:r>
      <w:r w:rsidR="00D76B7F" w:rsidRPr="00E349D9">
        <w:rPr>
          <w:szCs w:val="26"/>
          <w:shd w:val="clear" w:color="auto" w:fill="FFFFFF"/>
        </w:rPr>
        <w:t xml:space="preserve">] </w:t>
      </w:r>
      <w:r w:rsidR="00875BB2" w:rsidRPr="00E349D9">
        <w:rPr>
          <w:szCs w:val="26"/>
          <w:shd w:val="clear" w:color="auto" w:fill="FFFFFF"/>
        </w:rPr>
        <w:t>court did not construe the statutory language in the context of the statute as a whole.”</w:t>
      </w:r>
      <w:r w:rsidR="004A0BF2" w:rsidRPr="00E349D9">
        <w:rPr>
          <w:szCs w:val="26"/>
          <w:shd w:val="clear" w:color="auto" w:fill="FFFFFF"/>
        </w:rPr>
        <w:t xml:space="preserve"> </w:t>
      </w:r>
      <w:r w:rsidR="009B10CA" w:rsidRPr="00E349D9">
        <w:rPr>
          <w:szCs w:val="26"/>
          <w:shd w:val="clear" w:color="auto" w:fill="FFFFFF"/>
        </w:rPr>
        <w:t xml:space="preserve"> (</w:t>
      </w:r>
      <w:r w:rsidR="00031F98" w:rsidRPr="00E349D9">
        <w:rPr>
          <w:i/>
          <w:iCs/>
          <w:szCs w:val="26"/>
        </w:rPr>
        <w:t>Id.</w:t>
      </w:r>
      <w:r w:rsidR="004A0BF2" w:rsidRPr="00E349D9">
        <w:rPr>
          <w:szCs w:val="26"/>
          <w:shd w:val="clear" w:color="auto" w:fill="FFFFFF"/>
        </w:rPr>
        <w:t xml:space="preserve"> at p.</w:t>
      </w:r>
      <w:r w:rsidR="00F74B1A" w:rsidRPr="00E349D9">
        <w:rPr>
          <w:szCs w:val="26"/>
        </w:rPr>
        <w:t> </w:t>
      </w:r>
      <w:r w:rsidR="004A0BF2" w:rsidRPr="00E349D9">
        <w:rPr>
          <w:szCs w:val="26"/>
          <w:shd w:val="clear" w:color="auto" w:fill="FFFFFF"/>
        </w:rPr>
        <w:t>1550.</w:t>
      </w:r>
      <w:r w:rsidR="009B10CA" w:rsidRPr="00E349D9">
        <w:rPr>
          <w:szCs w:val="26"/>
          <w:shd w:val="clear" w:color="auto" w:fill="FFFFFF"/>
        </w:rPr>
        <w:t>)</w:t>
      </w:r>
      <w:r w:rsidR="004A0BF2" w:rsidRPr="00E349D9">
        <w:rPr>
          <w:szCs w:val="26"/>
          <w:shd w:val="clear" w:color="auto" w:fill="FFFFFF"/>
        </w:rPr>
        <w:t xml:space="preserve">  </w:t>
      </w:r>
      <w:r w:rsidR="009571A6" w:rsidRPr="00E349D9">
        <w:rPr>
          <w:i/>
          <w:iCs/>
          <w:szCs w:val="26"/>
          <w:shd w:val="clear" w:color="auto" w:fill="FFFFFF"/>
        </w:rPr>
        <w:t xml:space="preserve">Hager </w:t>
      </w:r>
      <w:r w:rsidR="004A0BF2" w:rsidRPr="00E349D9">
        <w:rPr>
          <w:szCs w:val="26"/>
          <w:shd w:val="clear" w:color="auto" w:fill="FFFFFF"/>
        </w:rPr>
        <w:t>went on to find that neither the legislative intent of section</w:t>
      </w:r>
      <w:r w:rsidR="00BD66FA" w:rsidRPr="00E349D9">
        <w:rPr>
          <w:szCs w:val="26"/>
          <w:shd w:val="clear" w:color="auto" w:fill="FFFFFF"/>
        </w:rPr>
        <w:t> </w:t>
      </w:r>
      <w:r w:rsidR="004A0BF2" w:rsidRPr="00E349D9">
        <w:rPr>
          <w:szCs w:val="26"/>
          <w:shd w:val="clear" w:color="auto" w:fill="FFFFFF"/>
        </w:rPr>
        <w:t xml:space="preserve">1102.5(b) nor the </w:t>
      </w:r>
      <w:r w:rsidR="00A14E22" w:rsidRPr="00E349D9">
        <w:rPr>
          <w:szCs w:val="26"/>
          <w:shd w:val="clear" w:color="auto" w:fill="FFFFFF"/>
        </w:rPr>
        <w:t>Court of Appeal</w:t>
      </w:r>
      <w:r w:rsidR="008B0D57" w:rsidRPr="00E349D9">
        <w:rPr>
          <w:szCs w:val="26"/>
          <w:shd w:val="clear" w:color="auto" w:fill="FFFFFF"/>
        </w:rPr>
        <w:t xml:space="preserve"> cases relied on by </w:t>
      </w:r>
      <w:r w:rsidR="008B0D57" w:rsidRPr="00E349D9">
        <w:rPr>
          <w:i/>
          <w:iCs/>
          <w:szCs w:val="26"/>
          <w:shd w:val="clear" w:color="auto" w:fill="FFFFFF"/>
        </w:rPr>
        <w:t>Mize-Kurzman</w:t>
      </w:r>
      <w:r w:rsidR="008B0D57" w:rsidRPr="00E349D9">
        <w:rPr>
          <w:szCs w:val="26"/>
          <w:shd w:val="clear" w:color="auto" w:fill="FFFFFF"/>
        </w:rPr>
        <w:t xml:space="preserve"> supported </w:t>
      </w:r>
      <w:r w:rsidR="006B0037" w:rsidRPr="00E349D9">
        <w:rPr>
          <w:szCs w:val="26"/>
          <w:shd w:val="clear" w:color="auto" w:fill="FFFFFF"/>
        </w:rPr>
        <w:t>limiting whistleblower protection to</w:t>
      </w:r>
      <w:r w:rsidR="008B0D57" w:rsidRPr="00E349D9">
        <w:rPr>
          <w:szCs w:val="26"/>
          <w:shd w:val="clear" w:color="auto" w:fill="FFFFFF"/>
        </w:rPr>
        <w:t xml:space="preserve"> </w:t>
      </w:r>
      <w:r w:rsidR="006B0037" w:rsidRPr="00E349D9">
        <w:rPr>
          <w:szCs w:val="26"/>
          <w:shd w:val="clear" w:color="auto" w:fill="FFFFFF"/>
        </w:rPr>
        <w:t>the first employee to disclose a violation.</w:t>
      </w:r>
      <w:r w:rsidR="008B0D57" w:rsidRPr="00E349D9">
        <w:rPr>
          <w:szCs w:val="26"/>
          <w:shd w:val="clear" w:color="auto" w:fill="FFFFFF"/>
        </w:rPr>
        <w:t xml:space="preserve">  </w:t>
      </w:r>
      <w:r w:rsidR="00223EF9" w:rsidRPr="00E349D9">
        <w:rPr>
          <w:szCs w:val="26"/>
          <w:shd w:val="clear" w:color="auto" w:fill="FFFFFF"/>
        </w:rPr>
        <w:t>(</w:t>
      </w:r>
      <w:r w:rsidR="005F0970" w:rsidRPr="00E349D9">
        <w:rPr>
          <w:i/>
          <w:iCs/>
          <w:szCs w:val="26"/>
        </w:rPr>
        <w:t>Hager</w:t>
      </w:r>
      <w:r w:rsidR="005F0970" w:rsidRPr="00E349D9">
        <w:rPr>
          <w:szCs w:val="26"/>
        </w:rPr>
        <w:t>,</w:t>
      </w:r>
      <w:r w:rsidR="008B0D57" w:rsidRPr="00E349D9">
        <w:rPr>
          <w:szCs w:val="26"/>
          <w:shd w:val="clear" w:color="auto" w:fill="FFFFFF"/>
        </w:rPr>
        <w:t xml:space="preserve"> at pp.</w:t>
      </w:r>
      <w:r w:rsidR="006B0037" w:rsidRPr="00E349D9">
        <w:rPr>
          <w:szCs w:val="26"/>
          <w:shd w:val="clear" w:color="auto" w:fill="FFFFFF"/>
        </w:rPr>
        <w:t> </w:t>
      </w:r>
      <w:r w:rsidR="00223EF9" w:rsidRPr="00E349D9">
        <w:rPr>
          <w:szCs w:val="26"/>
          <w:shd w:val="clear" w:color="auto" w:fill="FFFFFF"/>
        </w:rPr>
        <w:t>1550</w:t>
      </w:r>
      <w:r w:rsidR="006B0037" w:rsidRPr="00E349D9">
        <w:rPr>
          <w:szCs w:val="26"/>
          <w:shd w:val="clear" w:color="auto" w:fill="FFFFFF"/>
        </w:rPr>
        <w:t>–</w:t>
      </w:r>
      <w:r w:rsidR="00223EF9" w:rsidRPr="00E349D9">
        <w:rPr>
          <w:szCs w:val="26"/>
          <w:shd w:val="clear" w:color="auto" w:fill="FFFFFF"/>
        </w:rPr>
        <w:t xml:space="preserve">1552.)  </w:t>
      </w:r>
      <w:r w:rsidR="00BD46D4" w:rsidRPr="00E349D9">
        <w:rPr>
          <w:szCs w:val="26"/>
          <w:shd w:val="clear" w:color="auto" w:fill="FFFFFF"/>
        </w:rPr>
        <w:t>“Protection only to the first employee to disclose unlawful acts would defeat the legislative purpose of protecting workplace whistleblowers, as employees would not come forward to report unlawful conduct for fear that someone else already had done so.”  (</w:t>
      </w:r>
      <w:r w:rsidR="00BD46D4" w:rsidRPr="00E349D9">
        <w:rPr>
          <w:i/>
          <w:iCs/>
          <w:szCs w:val="26"/>
          <w:shd w:val="clear" w:color="auto" w:fill="FFFFFF"/>
        </w:rPr>
        <w:t>Id</w:t>
      </w:r>
      <w:r w:rsidR="00BD46D4" w:rsidRPr="00E349D9">
        <w:rPr>
          <w:szCs w:val="26"/>
          <w:shd w:val="clear" w:color="auto" w:fill="FFFFFF"/>
        </w:rPr>
        <w:t>. at p.</w:t>
      </w:r>
      <w:r w:rsidR="00F74B1A" w:rsidRPr="00E349D9">
        <w:rPr>
          <w:szCs w:val="26"/>
        </w:rPr>
        <w:t> </w:t>
      </w:r>
      <w:r w:rsidR="00BD46D4" w:rsidRPr="00E349D9">
        <w:rPr>
          <w:szCs w:val="26"/>
          <w:shd w:val="clear" w:color="auto" w:fill="FFFFFF"/>
        </w:rPr>
        <w:t>1</w:t>
      </w:r>
      <w:r w:rsidR="001375D4">
        <w:rPr>
          <w:szCs w:val="26"/>
          <w:shd w:val="clear" w:color="auto" w:fill="FFFFFF"/>
        </w:rPr>
        <w:t>5</w:t>
      </w:r>
      <w:r w:rsidR="00BD46D4" w:rsidRPr="00E349D9">
        <w:rPr>
          <w:szCs w:val="26"/>
          <w:shd w:val="clear" w:color="auto" w:fill="FFFFFF"/>
        </w:rPr>
        <w:t>50.)</w:t>
      </w:r>
    </w:p>
    <w:p w14:paraId="1BE93C9C" w14:textId="5CC231ED" w:rsidR="00A351E3" w:rsidRPr="0087786A" w:rsidRDefault="00615691" w:rsidP="00904B11">
      <w:pPr>
        <w:autoSpaceDE w:val="0"/>
        <w:autoSpaceDN w:val="0"/>
        <w:adjustRightInd w:val="0"/>
        <w:ind w:firstLine="720"/>
      </w:pPr>
      <w:r w:rsidRPr="00E349D9">
        <w:rPr>
          <w:szCs w:val="26"/>
          <w:shd w:val="clear" w:color="auto" w:fill="FFFFFF"/>
        </w:rPr>
        <w:t>In this case, t</w:t>
      </w:r>
      <w:r w:rsidR="00EA4706" w:rsidRPr="00E349D9">
        <w:rPr>
          <w:szCs w:val="26"/>
          <w:shd w:val="clear" w:color="auto" w:fill="FFFFFF"/>
        </w:rPr>
        <w:t xml:space="preserve">he Court of Appeal </w:t>
      </w:r>
      <w:r w:rsidR="00C12FB3" w:rsidRPr="00E349D9">
        <w:rPr>
          <w:szCs w:val="26"/>
          <w:shd w:val="clear" w:color="auto" w:fill="FFFFFF"/>
        </w:rPr>
        <w:t xml:space="preserve">relied on </w:t>
      </w:r>
      <w:r w:rsidR="00C12FB3" w:rsidRPr="00E349D9">
        <w:rPr>
          <w:i/>
          <w:iCs/>
          <w:szCs w:val="26"/>
          <w:shd w:val="clear" w:color="auto" w:fill="FFFFFF"/>
        </w:rPr>
        <w:t>Mize-Kurzman</w:t>
      </w:r>
      <w:r w:rsidR="00031F98" w:rsidRPr="00E349D9">
        <w:rPr>
          <w:szCs w:val="26"/>
          <w:shd w:val="clear" w:color="auto" w:fill="FFFFFF"/>
        </w:rPr>
        <w:t xml:space="preserve"> and sought to</w:t>
      </w:r>
      <w:r w:rsidR="00B641A7" w:rsidRPr="00E349D9">
        <w:rPr>
          <w:szCs w:val="26"/>
        </w:rPr>
        <w:t xml:space="preserve"> distinguish </w:t>
      </w:r>
      <w:r w:rsidR="00B641A7" w:rsidRPr="00E349D9">
        <w:rPr>
          <w:i/>
          <w:iCs/>
          <w:szCs w:val="26"/>
        </w:rPr>
        <w:t>Hager</w:t>
      </w:r>
      <w:r w:rsidR="00031F98" w:rsidRPr="00E349D9">
        <w:rPr>
          <w:szCs w:val="26"/>
        </w:rPr>
        <w:t xml:space="preserve"> on the ground that</w:t>
      </w:r>
      <w:r w:rsidR="005F0970" w:rsidRPr="00E349D9">
        <w:rPr>
          <w:szCs w:val="26"/>
        </w:rPr>
        <w:t xml:space="preserve"> </w:t>
      </w:r>
      <w:r w:rsidR="00B60E4F" w:rsidRPr="00E349D9">
        <w:rPr>
          <w:i/>
          <w:iCs/>
          <w:szCs w:val="26"/>
        </w:rPr>
        <w:t xml:space="preserve">Hager </w:t>
      </w:r>
      <w:r w:rsidR="00B60E4F" w:rsidRPr="00E349D9">
        <w:rPr>
          <w:szCs w:val="26"/>
        </w:rPr>
        <w:t xml:space="preserve">focused on whether </w:t>
      </w:r>
      <w:r w:rsidR="00AF5296">
        <w:rPr>
          <w:szCs w:val="26"/>
        </w:rPr>
        <w:t>section 1102.5 includes a “</w:t>
      </w:r>
      <w:r w:rsidR="003C1508">
        <w:rPr>
          <w:szCs w:val="26"/>
        </w:rPr>
        <w:t> ‘</w:t>
      </w:r>
      <w:r w:rsidR="00AF5296">
        <w:rPr>
          <w:szCs w:val="26"/>
        </w:rPr>
        <w:t>first report</w:t>
      </w:r>
      <w:r w:rsidR="003C1508">
        <w:rPr>
          <w:szCs w:val="26"/>
        </w:rPr>
        <w:t>’</w:t>
      </w:r>
      <w:r w:rsidR="008E7EDE">
        <w:rPr>
          <w:szCs w:val="26"/>
        </w:rPr>
        <w:t xml:space="preserve"> </w:t>
      </w:r>
      <w:r w:rsidR="00AF5296">
        <w:rPr>
          <w:szCs w:val="26"/>
        </w:rPr>
        <w:t>rule</w:t>
      </w:r>
      <w:r w:rsidR="003C1508">
        <w:rPr>
          <w:szCs w:val="26"/>
        </w:rPr>
        <w:t>”</w:t>
      </w:r>
      <w:r w:rsidR="00AF5296">
        <w:rPr>
          <w:szCs w:val="26"/>
        </w:rPr>
        <w:t xml:space="preserve"> — that is, whether whistleblower protections apply only to the first </w:t>
      </w:r>
      <w:r w:rsidR="00091900">
        <w:rPr>
          <w:szCs w:val="26"/>
        </w:rPr>
        <w:t>employee to report wrongdoing</w:t>
      </w:r>
      <w:r w:rsidR="00C46BEE">
        <w:rPr>
          <w:szCs w:val="26"/>
        </w:rPr>
        <w:t>, such that</w:t>
      </w:r>
      <w:r w:rsidR="00935F96">
        <w:rPr>
          <w:szCs w:val="26"/>
        </w:rPr>
        <w:t xml:space="preserve"> a </w:t>
      </w:r>
      <w:r w:rsidR="00935F96" w:rsidRPr="00E349D9">
        <w:rPr>
          <w:szCs w:val="26"/>
        </w:rPr>
        <w:t xml:space="preserve">“disclosure” </w:t>
      </w:r>
      <w:r w:rsidR="00897B19">
        <w:rPr>
          <w:szCs w:val="26"/>
        </w:rPr>
        <w:t>can</w:t>
      </w:r>
      <w:r w:rsidR="00C46BEE">
        <w:rPr>
          <w:szCs w:val="26"/>
        </w:rPr>
        <w:t>not</w:t>
      </w:r>
      <w:r w:rsidR="00897B19">
        <w:rPr>
          <w:szCs w:val="26"/>
        </w:rPr>
        <w:t xml:space="preserve"> </w:t>
      </w:r>
      <w:r w:rsidR="00935F96" w:rsidRPr="00E349D9">
        <w:rPr>
          <w:szCs w:val="26"/>
        </w:rPr>
        <w:t xml:space="preserve">include information previously </w:t>
      </w:r>
      <w:r w:rsidR="00E35901">
        <w:rPr>
          <w:szCs w:val="26"/>
        </w:rPr>
        <w:t>reported</w:t>
      </w:r>
      <w:r w:rsidR="00935F96" w:rsidRPr="00E349D9">
        <w:rPr>
          <w:szCs w:val="26"/>
        </w:rPr>
        <w:t xml:space="preserve"> by other employees</w:t>
      </w:r>
      <w:r w:rsidR="000257F7" w:rsidRPr="00E349D9">
        <w:rPr>
          <w:szCs w:val="26"/>
        </w:rPr>
        <w:t xml:space="preserve">.  </w:t>
      </w:r>
      <w:r w:rsidR="003C1508">
        <w:rPr>
          <w:szCs w:val="26"/>
        </w:rPr>
        <w:t>(</w:t>
      </w:r>
      <w:r w:rsidR="003C1508" w:rsidRPr="00E349D9">
        <w:rPr>
          <w:i/>
          <w:iCs/>
          <w:szCs w:val="26"/>
        </w:rPr>
        <w:t>Hager</w:t>
      </w:r>
      <w:r w:rsidR="003C1508" w:rsidRPr="00E349D9">
        <w:rPr>
          <w:szCs w:val="26"/>
        </w:rPr>
        <w:t>,</w:t>
      </w:r>
      <w:r w:rsidR="0082355F">
        <w:rPr>
          <w:szCs w:val="26"/>
        </w:rPr>
        <w:t xml:space="preserve"> </w:t>
      </w:r>
      <w:r w:rsidR="0082355F">
        <w:rPr>
          <w:i/>
          <w:iCs/>
          <w:szCs w:val="26"/>
        </w:rPr>
        <w:t>supra</w:t>
      </w:r>
      <w:r w:rsidR="0082355F">
        <w:rPr>
          <w:szCs w:val="26"/>
        </w:rPr>
        <w:t>, 228 Cal.App.4th</w:t>
      </w:r>
      <w:r w:rsidR="003C1508" w:rsidRPr="00E349D9">
        <w:rPr>
          <w:szCs w:val="26"/>
          <w:shd w:val="clear" w:color="auto" w:fill="FFFFFF"/>
        </w:rPr>
        <w:t xml:space="preserve"> at p. 15</w:t>
      </w:r>
      <w:r w:rsidR="003C1508">
        <w:rPr>
          <w:szCs w:val="26"/>
          <w:shd w:val="clear" w:color="auto" w:fill="FFFFFF"/>
        </w:rPr>
        <w:t xml:space="preserve">50.)  </w:t>
      </w:r>
      <w:r w:rsidR="00D86701">
        <w:rPr>
          <w:szCs w:val="26"/>
        </w:rPr>
        <w:t xml:space="preserve">The Court of Appeal </w:t>
      </w:r>
      <w:r w:rsidR="00AA6D52">
        <w:rPr>
          <w:szCs w:val="26"/>
        </w:rPr>
        <w:t xml:space="preserve">also reasoned that </w:t>
      </w:r>
      <w:r w:rsidR="006769FA">
        <w:rPr>
          <w:szCs w:val="26"/>
        </w:rPr>
        <w:t xml:space="preserve">because </w:t>
      </w:r>
      <w:r w:rsidR="00AA6D52">
        <w:rPr>
          <w:i/>
          <w:iCs/>
          <w:szCs w:val="26"/>
        </w:rPr>
        <w:t>Hager</w:t>
      </w:r>
      <w:r w:rsidR="00AA6D52">
        <w:rPr>
          <w:szCs w:val="26"/>
        </w:rPr>
        <w:t xml:space="preserve">, like </w:t>
      </w:r>
      <w:r w:rsidR="00AA6D52">
        <w:rPr>
          <w:i/>
          <w:iCs/>
          <w:szCs w:val="26"/>
        </w:rPr>
        <w:t>Mize-Kurzman</w:t>
      </w:r>
      <w:r w:rsidR="00F55E8E">
        <w:rPr>
          <w:i/>
          <w:iCs/>
          <w:szCs w:val="26"/>
        </w:rPr>
        <w:t xml:space="preserve"> </w:t>
      </w:r>
      <w:r w:rsidR="00F55E8E">
        <w:rPr>
          <w:szCs w:val="26"/>
        </w:rPr>
        <w:t>but unlike the present case</w:t>
      </w:r>
      <w:r w:rsidR="00AA6D52">
        <w:rPr>
          <w:szCs w:val="26"/>
        </w:rPr>
        <w:t>, involved a public employe</w:t>
      </w:r>
      <w:r w:rsidR="00AE2951">
        <w:rPr>
          <w:szCs w:val="26"/>
        </w:rPr>
        <w:t>e</w:t>
      </w:r>
      <w:r w:rsidR="006769FA">
        <w:rPr>
          <w:szCs w:val="26"/>
        </w:rPr>
        <w:t>,</w:t>
      </w:r>
      <w:r w:rsidR="00F55E8E">
        <w:rPr>
          <w:szCs w:val="26"/>
        </w:rPr>
        <w:t xml:space="preserve"> section 1102.5(e)</w:t>
      </w:r>
      <w:r w:rsidR="006769FA">
        <w:rPr>
          <w:szCs w:val="26"/>
        </w:rPr>
        <w:t xml:space="preserve"> </w:t>
      </w:r>
      <w:r w:rsidR="001346B1">
        <w:rPr>
          <w:szCs w:val="26"/>
        </w:rPr>
        <w:t>governed the court’s analysis and protected an employee’s “report” of wrongdoing</w:t>
      </w:r>
      <w:r w:rsidR="0054785D">
        <w:rPr>
          <w:szCs w:val="26"/>
        </w:rPr>
        <w:t>.</w:t>
      </w:r>
    </w:p>
    <w:p w14:paraId="47A5B59E" w14:textId="1B1C63B6" w:rsidR="00FA7F40" w:rsidRPr="00E349D9" w:rsidRDefault="002F2097" w:rsidP="00E349D9">
      <w:pPr>
        <w:pStyle w:val="Heading1"/>
      </w:pPr>
      <w:r w:rsidRPr="00E349D9">
        <w:t>III.</w:t>
      </w:r>
    </w:p>
    <w:p w14:paraId="7255F89D" w14:textId="59935E92" w:rsidR="00D87A12" w:rsidRPr="00E349D9" w:rsidRDefault="00CD5708" w:rsidP="009F3FED">
      <w:pPr>
        <w:ind w:firstLine="720"/>
        <w:rPr>
          <w:szCs w:val="26"/>
          <w:shd w:val="clear" w:color="auto" w:fill="FFFFFF"/>
        </w:rPr>
      </w:pPr>
      <w:r w:rsidRPr="00E349D9">
        <w:rPr>
          <w:szCs w:val="26"/>
          <w:shd w:val="clear" w:color="auto" w:fill="FFFFFF"/>
        </w:rPr>
        <w:t xml:space="preserve">When </w:t>
      </w:r>
      <w:r w:rsidR="00CE621A" w:rsidRPr="00E349D9">
        <w:rPr>
          <w:szCs w:val="26"/>
          <w:shd w:val="clear" w:color="auto" w:fill="FFFFFF"/>
        </w:rPr>
        <w:t xml:space="preserve">interpreting a statute, we adopt the construction that best </w:t>
      </w:r>
      <w:r w:rsidR="00BA16FD" w:rsidRPr="00E349D9">
        <w:rPr>
          <w:szCs w:val="26"/>
          <w:shd w:val="clear" w:color="auto" w:fill="FFFFFF"/>
        </w:rPr>
        <w:t>reflects</w:t>
      </w:r>
      <w:r w:rsidR="00CE621A" w:rsidRPr="00E349D9">
        <w:rPr>
          <w:szCs w:val="26"/>
          <w:shd w:val="clear" w:color="auto" w:fill="FFFFFF"/>
        </w:rPr>
        <w:t xml:space="preserve"> the </w:t>
      </w:r>
      <w:r w:rsidR="00600BFF" w:rsidRPr="00E349D9">
        <w:rPr>
          <w:szCs w:val="26"/>
          <w:shd w:val="clear" w:color="auto" w:fill="FFFFFF"/>
        </w:rPr>
        <w:t>Legislature</w:t>
      </w:r>
      <w:r w:rsidR="008B6AC4" w:rsidRPr="00E349D9">
        <w:rPr>
          <w:szCs w:val="26"/>
          <w:shd w:val="clear" w:color="auto" w:fill="FFFFFF"/>
        </w:rPr>
        <w:t>’</w:t>
      </w:r>
      <w:r w:rsidR="00600BFF" w:rsidRPr="00E349D9">
        <w:rPr>
          <w:szCs w:val="26"/>
          <w:shd w:val="clear" w:color="auto" w:fill="FFFFFF"/>
        </w:rPr>
        <w:t xml:space="preserve">s </w:t>
      </w:r>
      <w:r w:rsidR="00CE621A" w:rsidRPr="00E349D9">
        <w:rPr>
          <w:szCs w:val="26"/>
          <w:shd w:val="clear" w:color="auto" w:fill="FFFFFF"/>
        </w:rPr>
        <w:t xml:space="preserve">purpose.  </w:t>
      </w:r>
      <w:r w:rsidR="00790E72" w:rsidRPr="00E349D9">
        <w:rPr>
          <w:szCs w:val="26"/>
        </w:rPr>
        <w:t>(</w:t>
      </w:r>
      <w:bookmarkStart w:id="14" w:name="_Hlk131060554"/>
      <w:r w:rsidR="00790E72" w:rsidRPr="00E349D9">
        <w:rPr>
          <w:i/>
          <w:iCs/>
          <w:szCs w:val="26"/>
          <w:bdr w:val="none" w:sz="0" w:space="0" w:color="auto" w:frame="1"/>
        </w:rPr>
        <w:t>Ferra v. Loews Hollywood Hotel, LLC</w:t>
      </w:r>
      <w:r w:rsidR="00790E72" w:rsidRPr="00E349D9">
        <w:rPr>
          <w:szCs w:val="26"/>
        </w:rPr>
        <w:t xml:space="preserve"> (2021) 11 Cal.5th 858, 865 (</w:t>
      </w:r>
      <w:r w:rsidR="00790E72" w:rsidRPr="00E349D9">
        <w:rPr>
          <w:i/>
          <w:iCs/>
          <w:szCs w:val="26"/>
        </w:rPr>
        <w:t>Ferra</w:t>
      </w:r>
      <w:r w:rsidR="00790E72" w:rsidRPr="00E349D9">
        <w:rPr>
          <w:szCs w:val="26"/>
        </w:rPr>
        <w:t>).)</w:t>
      </w:r>
      <w:bookmarkEnd w:id="14"/>
      <w:r w:rsidR="00790E72" w:rsidRPr="00E349D9">
        <w:rPr>
          <w:szCs w:val="26"/>
        </w:rPr>
        <w:t xml:space="preserve"> </w:t>
      </w:r>
      <w:r w:rsidR="00790E72" w:rsidRPr="00E349D9">
        <w:rPr>
          <w:szCs w:val="26"/>
          <w:shd w:val="clear" w:color="auto" w:fill="FFFFFF"/>
        </w:rPr>
        <w:t xml:space="preserve"> </w:t>
      </w:r>
      <w:r w:rsidR="00600BFF" w:rsidRPr="00E349D9">
        <w:rPr>
          <w:szCs w:val="26"/>
          <w:shd w:val="clear" w:color="auto" w:fill="FFFFFF"/>
        </w:rPr>
        <w:t xml:space="preserve">When construing provisions of the Labor Code, </w:t>
      </w:r>
      <w:r w:rsidR="00A14495" w:rsidRPr="00E349D9">
        <w:rPr>
          <w:szCs w:val="26"/>
          <w:shd w:val="clear" w:color="auto" w:fill="FFFFFF"/>
        </w:rPr>
        <w:t>“</w:t>
      </w:r>
      <w:r w:rsidR="00995E18" w:rsidRPr="00E349D9">
        <w:rPr>
          <w:szCs w:val="26"/>
          <w:shd w:val="clear" w:color="auto" w:fill="FFFFFF"/>
        </w:rPr>
        <w:t> </w:t>
      </w:r>
      <w:r w:rsidR="008B6AC4" w:rsidRPr="00E349D9">
        <w:rPr>
          <w:szCs w:val="26"/>
          <w:shd w:val="clear" w:color="auto" w:fill="FFFFFF"/>
        </w:rPr>
        <w:t>‘</w:t>
      </w:r>
      <w:r w:rsidR="00995E18" w:rsidRPr="00E349D9">
        <w:rPr>
          <w:szCs w:val="26"/>
          <w:shd w:val="clear" w:color="auto" w:fill="FFFFFF"/>
        </w:rPr>
        <w:t> </w:t>
      </w:r>
      <w:r w:rsidRPr="00E349D9">
        <w:rPr>
          <w:szCs w:val="26"/>
          <w:shd w:val="clear" w:color="auto" w:fill="FFFFFF"/>
        </w:rPr>
        <w:t>“</w:t>
      </w:r>
      <w:r w:rsidR="00600BFF" w:rsidRPr="00E349D9">
        <w:rPr>
          <w:szCs w:val="26"/>
          <w:shd w:val="clear" w:color="auto" w:fill="FFFFFF"/>
        </w:rPr>
        <w:t>[t]</w:t>
      </w:r>
      <w:r w:rsidR="00D87A12" w:rsidRPr="00E349D9">
        <w:rPr>
          <w:szCs w:val="26"/>
          <w:shd w:val="clear" w:color="auto" w:fill="FFFFFF"/>
        </w:rPr>
        <w:t>ime and again, we have characterized that purpose as the protection of employees</w:t>
      </w:r>
      <w:r w:rsidR="007B70D5" w:rsidRPr="00E349D9">
        <w:rPr>
          <w:szCs w:val="26"/>
          <w:shd w:val="clear" w:color="auto" w:fill="FFFFFF"/>
        </w:rPr>
        <w:t> </w:t>
      </w:r>
      <w:r w:rsidR="00D87A12" w:rsidRPr="00E349D9">
        <w:rPr>
          <w:szCs w:val="26"/>
          <w:shd w:val="clear" w:color="auto" w:fill="FFFFFF"/>
        </w:rPr>
        <w:t>— particularly given the extent of legislative concern about working conditions, wages, and hours when the Legislature enacted key portions of the Labor Code.</w:t>
      </w:r>
      <w:r w:rsidR="00600BFF" w:rsidRPr="00E349D9">
        <w:rPr>
          <w:szCs w:val="26"/>
          <w:shd w:val="clear" w:color="auto" w:fill="FFFFFF"/>
        </w:rPr>
        <w:t>”</w:t>
      </w:r>
      <w:r w:rsidR="00995E18" w:rsidRPr="00E349D9">
        <w:rPr>
          <w:szCs w:val="26"/>
          <w:shd w:val="clear" w:color="auto" w:fill="FFFFFF"/>
        </w:rPr>
        <w:t> </w:t>
      </w:r>
      <w:r w:rsidR="00741E47" w:rsidRPr="00E349D9">
        <w:rPr>
          <w:szCs w:val="26"/>
          <w:shd w:val="clear" w:color="auto" w:fill="FFFFFF"/>
        </w:rPr>
        <w:t>’</w:t>
      </w:r>
      <w:r w:rsidR="00995E18" w:rsidRPr="00E349D9">
        <w:rPr>
          <w:szCs w:val="26"/>
          <w:shd w:val="clear" w:color="auto" w:fill="FFFFFF"/>
        </w:rPr>
        <w:t> </w:t>
      </w:r>
      <w:r w:rsidR="00741E47" w:rsidRPr="00E349D9">
        <w:rPr>
          <w:szCs w:val="26"/>
          <w:shd w:val="clear" w:color="auto" w:fill="FFFFFF"/>
        </w:rPr>
        <w:t>”</w:t>
      </w:r>
      <w:r w:rsidR="00AC7C8E" w:rsidRPr="00E349D9">
        <w:rPr>
          <w:szCs w:val="26"/>
          <w:shd w:val="clear" w:color="auto" w:fill="FFFFFF"/>
        </w:rPr>
        <w:t xml:space="preserve"> </w:t>
      </w:r>
      <w:r w:rsidR="00600BFF" w:rsidRPr="00E349D9">
        <w:rPr>
          <w:szCs w:val="26"/>
          <w:shd w:val="clear" w:color="auto" w:fill="FFFFFF"/>
        </w:rPr>
        <w:t xml:space="preserve"> </w:t>
      </w:r>
      <w:r w:rsidR="00AC7C8E" w:rsidRPr="00E349D9">
        <w:rPr>
          <w:szCs w:val="26"/>
        </w:rPr>
        <w:t>(</w:t>
      </w:r>
      <w:r w:rsidR="00741E47" w:rsidRPr="00E349D9">
        <w:rPr>
          <w:i/>
          <w:iCs/>
          <w:szCs w:val="26"/>
          <w:bdr w:val="none" w:sz="0" w:space="0" w:color="auto" w:frame="1"/>
        </w:rPr>
        <w:t>Ibid</w:t>
      </w:r>
      <w:r w:rsidR="00741E47" w:rsidRPr="00E349D9">
        <w:rPr>
          <w:szCs w:val="26"/>
          <w:bdr w:val="none" w:sz="0" w:space="0" w:color="auto" w:frame="1"/>
        </w:rPr>
        <w:t>.)</w:t>
      </w:r>
      <w:r w:rsidR="00AC7C8E" w:rsidRPr="00E349D9">
        <w:rPr>
          <w:szCs w:val="26"/>
        </w:rPr>
        <w:t xml:space="preserve"> </w:t>
      </w:r>
      <w:r w:rsidR="00600BFF" w:rsidRPr="00E349D9">
        <w:rPr>
          <w:szCs w:val="26"/>
          <w:shd w:val="clear" w:color="auto" w:fill="FFFFFF"/>
        </w:rPr>
        <w:t xml:space="preserve"> We therefore</w:t>
      </w:r>
      <w:r w:rsidR="00D87A12" w:rsidRPr="00E349D9">
        <w:rPr>
          <w:szCs w:val="26"/>
          <w:shd w:val="clear" w:color="auto" w:fill="FFFFFF"/>
        </w:rPr>
        <w:t xml:space="preserve"> </w:t>
      </w:r>
      <w:r w:rsidR="00600BFF" w:rsidRPr="00E349D9">
        <w:rPr>
          <w:szCs w:val="26"/>
          <w:shd w:val="clear" w:color="auto" w:fill="FFFFFF"/>
        </w:rPr>
        <w:t>“</w:t>
      </w:r>
      <w:r w:rsidR="00995E18" w:rsidRPr="00E349D9">
        <w:rPr>
          <w:szCs w:val="26"/>
          <w:shd w:val="clear" w:color="auto" w:fill="FFFFFF"/>
        </w:rPr>
        <w:t> </w:t>
      </w:r>
      <w:r w:rsidR="00741E47" w:rsidRPr="00E349D9">
        <w:rPr>
          <w:szCs w:val="26"/>
          <w:shd w:val="clear" w:color="auto" w:fill="FFFFFF"/>
        </w:rPr>
        <w:t>‘</w:t>
      </w:r>
      <w:r w:rsidR="00995E18" w:rsidRPr="00E349D9">
        <w:rPr>
          <w:szCs w:val="26"/>
          <w:shd w:val="clear" w:color="auto" w:fill="FFFFFF"/>
        </w:rPr>
        <w:t> </w:t>
      </w:r>
      <w:r w:rsidR="00741E47" w:rsidRPr="00E349D9">
        <w:rPr>
          <w:szCs w:val="26"/>
          <w:shd w:val="clear" w:color="auto" w:fill="FFFFFF"/>
        </w:rPr>
        <w:t>“</w:t>
      </w:r>
      <w:r w:rsidR="00D87A12" w:rsidRPr="00E349D9">
        <w:rPr>
          <w:szCs w:val="26"/>
          <w:shd w:val="clear" w:color="auto" w:fill="FFFFFF"/>
        </w:rPr>
        <w:t>liberally construe the Labor Code</w:t>
      </w:r>
      <w:r w:rsidR="009F502D" w:rsidRPr="0087786A">
        <w:rPr>
          <w:szCs w:val="28"/>
          <w:shd w:val="clear" w:color="auto" w:fill="FFFFFF"/>
        </w:rPr>
        <w:t> </w:t>
      </w:r>
      <w:r w:rsidR="00995E18" w:rsidRPr="0087786A">
        <w:rPr>
          <w:szCs w:val="28"/>
          <w:shd w:val="clear" w:color="auto" w:fill="FFFFFF"/>
        </w:rPr>
        <w:t>. . .</w:t>
      </w:r>
      <w:r w:rsidR="00995E18" w:rsidRPr="00E349D9">
        <w:rPr>
          <w:szCs w:val="26"/>
          <w:shd w:val="clear" w:color="auto" w:fill="FFFFFF"/>
        </w:rPr>
        <w:t xml:space="preserve"> </w:t>
      </w:r>
      <w:r w:rsidR="00D87A12" w:rsidRPr="00E349D9">
        <w:rPr>
          <w:szCs w:val="26"/>
          <w:shd w:val="clear" w:color="auto" w:fill="FFFFFF"/>
        </w:rPr>
        <w:t>to favor the protection of employees.</w:t>
      </w:r>
      <w:r w:rsidR="00A97A95" w:rsidRPr="00E349D9">
        <w:rPr>
          <w:szCs w:val="26"/>
          <w:shd w:val="clear" w:color="auto" w:fill="FFFFFF"/>
        </w:rPr>
        <w:t>”</w:t>
      </w:r>
      <w:r w:rsidR="00995E18" w:rsidRPr="00E349D9">
        <w:rPr>
          <w:szCs w:val="26"/>
          <w:shd w:val="clear" w:color="auto" w:fill="FFFFFF"/>
        </w:rPr>
        <w:t> </w:t>
      </w:r>
      <w:r w:rsidR="00741E47" w:rsidRPr="00E349D9">
        <w:rPr>
          <w:szCs w:val="26"/>
          <w:shd w:val="clear" w:color="auto" w:fill="FFFFFF"/>
        </w:rPr>
        <w:t>’</w:t>
      </w:r>
      <w:r w:rsidR="00995E18" w:rsidRPr="00E349D9">
        <w:rPr>
          <w:szCs w:val="26"/>
          <w:shd w:val="clear" w:color="auto" w:fill="FFFFFF"/>
        </w:rPr>
        <w:t> </w:t>
      </w:r>
      <w:r w:rsidR="00D87A12" w:rsidRPr="00E349D9">
        <w:rPr>
          <w:szCs w:val="26"/>
          <w:shd w:val="clear" w:color="auto" w:fill="FFFFFF"/>
        </w:rPr>
        <w:t>”</w:t>
      </w:r>
      <w:r w:rsidR="00D87A12" w:rsidRPr="00E349D9">
        <w:rPr>
          <w:szCs w:val="26"/>
        </w:rPr>
        <w:t xml:space="preserve"> </w:t>
      </w:r>
      <w:r w:rsidR="00AC7C8E" w:rsidRPr="00E349D9">
        <w:rPr>
          <w:szCs w:val="26"/>
        </w:rPr>
        <w:t xml:space="preserve"> (</w:t>
      </w:r>
      <w:r w:rsidR="00AC7C8E" w:rsidRPr="00E349D9">
        <w:rPr>
          <w:i/>
          <w:iCs/>
          <w:szCs w:val="26"/>
        </w:rPr>
        <w:t>Ibid</w:t>
      </w:r>
      <w:r w:rsidR="00AC7C8E" w:rsidRPr="00E349D9">
        <w:rPr>
          <w:szCs w:val="26"/>
        </w:rPr>
        <w:t>.)</w:t>
      </w:r>
    </w:p>
    <w:p w14:paraId="175C4077" w14:textId="1D4F8A16" w:rsidR="00E84C14" w:rsidRPr="00E349D9" w:rsidRDefault="00DC7DD1" w:rsidP="005910DC">
      <w:pPr>
        <w:pStyle w:val="Heading2"/>
        <w:ind w:left="0" w:firstLine="0"/>
        <w:jc w:val="center"/>
      </w:pPr>
      <w:r w:rsidRPr="00E349D9">
        <w:t>A.</w:t>
      </w:r>
    </w:p>
    <w:p w14:paraId="3F9963A8" w14:textId="2BB083A2" w:rsidR="006D7A2C" w:rsidRPr="0087786A" w:rsidRDefault="009529A9" w:rsidP="009F3FED">
      <w:pPr>
        <w:ind w:firstLine="720"/>
      </w:pPr>
      <w:r w:rsidRPr="00E349D9">
        <w:rPr>
          <w:szCs w:val="26"/>
          <w:shd w:val="clear" w:color="auto" w:fill="FFFFFF"/>
        </w:rPr>
        <w:t xml:space="preserve">We begin by </w:t>
      </w:r>
      <w:r w:rsidR="00394BBF" w:rsidRPr="00E349D9">
        <w:rPr>
          <w:szCs w:val="26"/>
          <w:shd w:val="clear" w:color="auto" w:fill="FFFFFF"/>
        </w:rPr>
        <w:t xml:space="preserve">examining the text of the statute.  </w:t>
      </w:r>
      <w:r w:rsidR="00006938" w:rsidRPr="00E349D9">
        <w:rPr>
          <w:szCs w:val="26"/>
        </w:rPr>
        <w:t>The</w:t>
      </w:r>
      <w:r w:rsidR="00E84C14" w:rsidRPr="00E349D9">
        <w:rPr>
          <w:szCs w:val="26"/>
        </w:rPr>
        <w:t xml:space="preserve"> Court of Appeal</w:t>
      </w:r>
      <w:r w:rsidR="003E5E5F" w:rsidRPr="00E349D9">
        <w:rPr>
          <w:szCs w:val="26"/>
        </w:rPr>
        <w:t xml:space="preserve"> </w:t>
      </w:r>
      <w:r w:rsidR="00006938" w:rsidRPr="00E349D9">
        <w:rPr>
          <w:szCs w:val="26"/>
        </w:rPr>
        <w:t xml:space="preserve">held </w:t>
      </w:r>
      <w:r w:rsidR="00E84C14" w:rsidRPr="00E349D9">
        <w:rPr>
          <w:szCs w:val="26"/>
        </w:rPr>
        <w:t xml:space="preserve">that </w:t>
      </w:r>
      <w:r w:rsidR="00FD1929" w:rsidRPr="00E349D9">
        <w:rPr>
          <w:szCs w:val="26"/>
        </w:rPr>
        <w:t>the word “</w:t>
      </w:r>
      <w:r w:rsidR="00FD1929" w:rsidRPr="0082355F">
        <w:rPr>
          <w:szCs w:val="26"/>
        </w:rPr>
        <w:t>disclo</w:t>
      </w:r>
      <w:r w:rsidR="00FD1929" w:rsidRPr="00A63121">
        <w:rPr>
          <w:szCs w:val="26"/>
        </w:rPr>
        <w:t>s</w:t>
      </w:r>
      <w:r w:rsidR="0082355F" w:rsidRPr="00A63121">
        <w:rPr>
          <w:szCs w:val="26"/>
        </w:rPr>
        <w:t>ure</w:t>
      </w:r>
      <w:r w:rsidR="00FD1929" w:rsidRPr="00E349D9">
        <w:rPr>
          <w:szCs w:val="26"/>
        </w:rPr>
        <w:t xml:space="preserve">” </w:t>
      </w:r>
      <w:r w:rsidR="00BA16FD" w:rsidRPr="00E349D9">
        <w:rPr>
          <w:szCs w:val="26"/>
        </w:rPr>
        <w:t>means</w:t>
      </w:r>
      <w:r w:rsidR="00D91C27" w:rsidRPr="00E349D9">
        <w:rPr>
          <w:i/>
          <w:iCs/>
          <w:szCs w:val="26"/>
        </w:rPr>
        <w:t xml:space="preserve"> </w:t>
      </w:r>
      <w:r w:rsidR="0018484D" w:rsidRPr="00E349D9">
        <w:rPr>
          <w:szCs w:val="26"/>
        </w:rPr>
        <w:t>“the revelation of something new</w:t>
      </w:r>
      <w:r w:rsidR="00BF27B8" w:rsidRPr="00E349D9">
        <w:rPr>
          <w:szCs w:val="26"/>
        </w:rPr>
        <w:t>, or at least believed by the discloser to be new, to the person or agency to whom the disclosure is made</w:t>
      </w:r>
      <w:r w:rsidR="007E73C9" w:rsidRPr="00E349D9">
        <w:rPr>
          <w:szCs w:val="26"/>
        </w:rPr>
        <w:t>.</w:t>
      </w:r>
      <w:r w:rsidR="00BF27B8" w:rsidRPr="00E349D9">
        <w:rPr>
          <w:szCs w:val="26"/>
        </w:rPr>
        <w:t>”</w:t>
      </w:r>
      <w:r w:rsidR="0018353B" w:rsidRPr="00E349D9">
        <w:rPr>
          <w:szCs w:val="26"/>
        </w:rPr>
        <w:t xml:space="preserve"> </w:t>
      </w:r>
      <w:r w:rsidR="009C26D0">
        <w:rPr>
          <w:szCs w:val="26"/>
        </w:rPr>
        <w:t xml:space="preserve"> </w:t>
      </w:r>
      <w:r w:rsidR="0012757E" w:rsidRPr="00E349D9">
        <w:rPr>
          <w:szCs w:val="26"/>
        </w:rPr>
        <w:t xml:space="preserve">But </w:t>
      </w:r>
      <w:r w:rsidR="00812D47" w:rsidRPr="00E349D9">
        <w:rPr>
          <w:szCs w:val="26"/>
        </w:rPr>
        <w:t xml:space="preserve">dictionary </w:t>
      </w:r>
      <w:r w:rsidR="00E3408F" w:rsidRPr="00E349D9">
        <w:rPr>
          <w:szCs w:val="26"/>
        </w:rPr>
        <w:t xml:space="preserve">definitions of </w:t>
      </w:r>
      <w:r w:rsidR="0012757E" w:rsidRPr="00E349D9">
        <w:rPr>
          <w:szCs w:val="26"/>
        </w:rPr>
        <w:t>“</w:t>
      </w:r>
      <w:r w:rsidR="00E3408F" w:rsidRPr="00E349D9">
        <w:rPr>
          <w:szCs w:val="26"/>
        </w:rPr>
        <w:t>disclose</w:t>
      </w:r>
      <w:r w:rsidR="0012757E" w:rsidRPr="00E349D9">
        <w:rPr>
          <w:szCs w:val="26"/>
        </w:rPr>
        <w:t>”</w:t>
      </w:r>
      <w:r w:rsidR="00E3408F" w:rsidRPr="00E349D9">
        <w:rPr>
          <w:szCs w:val="26"/>
        </w:rPr>
        <w:t xml:space="preserve"> include </w:t>
      </w:r>
      <w:r w:rsidR="009F60C5">
        <w:rPr>
          <w:szCs w:val="26"/>
        </w:rPr>
        <w:t>“to make openly known”</w:t>
      </w:r>
      <w:r w:rsidR="003158EE">
        <w:rPr>
          <w:szCs w:val="26"/>
        </w:rPr>
        <w:t xml:space="preserve"> (</w:t>
      </w:r>
      <w:r w:rsidR="00424D5B">
        <w:rPr>
          <w:szCs w:val="26"/>
        </w:rPr>
        <w:t>4 Oxford English Dict.</w:t>
      </w:r>
      <w:r w:rsidR="0047467E">
        <w:rPr>
          <w:szCs w:val="26"/>
        </w:rPr>
        <w:t xml:space="preserve"> (2d. ed. 1989) p. </w:t>
      </w:r>
      <w:r w:rsidR="00E8341C">
        <w:rPr>
          <w:szCs w:val="26"/>
        </w:rPr>
        <w:t>738, col. 1)</w:t>
      </w:r>
      <w:r w:rsidR="00FD011B">
        <w:rPr>
          <w:szCs w:val="26"/>
        </w:rPr>
        <w:t xml:space="preserve"> and </w:t>
      </w:r>
      <w:r w:rsidR="00A44EED">
        <w:rPr>
          <w:szCs w:val="26"/>
        </w:rPr>
        <w:t xml:space="preserve">to </w:t>
      </w:r>
      <w:r w:rsidR="00FD259C">
        <w:rPr>
          <w:szCs w:val="26"/>
        </w:rPr>
        <w:t>“</w:t>
      </w:r>
      <w:r w:rsidR="00A44EED">
        <w:rPr>
          <w:szCs w:val="26"/>
        </w:rPr>
        <w:t>open up to general knowledge</w:t>
      </w:r>
      <w:r w:rsidR="00EB43A4">
        <w:rPr>
          <w:szCs w:val="26"/>
        </w:rPr>
        <w:t>”</w:t>
      </w:r>
      <w:r w:rsidR="00E8341C">
        <w:rPr>
          <w:szCs w:val="26"/>
        </w:rPr>
        <w:t xml:space="preserve"> </w:t>
      </w:r>
      <w:r w:rsidR="00E8341C" w:rsidRPr="00EB43A4">
        <w:rPr>
          <w:szCs w:val="26"/>
        </w:rPr>
        <w:t>(</w:t>
      </w:r>
      <w:r w:rsidR="009B2CBD" w:rsidRPr="00BF13D8">
        <w:rPr>
          <w:szCs w:val="26"/>
        </w:rPr>
        <w:t xml:space="preserve">Webster’s 3d </w:t>
      </w:r>
      <w:r w:rsidR="005327E2">
        <w:rPr>
          <w:szCs w:val="26"/>
        </w:rPr>
        <w:t xml:space="preserve">New </w:t>
      </w:r>
      <w:r w:rsidR="009B2CBD" w:rsidRPr="00BF13D8">
        <w:rPr>
          <w:szCs w:val="26"/>
        </w:rPr>
        <w:t>Internat. Dict. (</w:t>
      </w:r>
      <w:r w:rsidR="009B2CBD">
        <w:rPr>
          <w:szCs w:val="26"/>
        </w:rPr>
        <w:t>2002</w:t>
      </w:r>
      <w:r w:rsidR="009B2CBD" w:rsidRPr="00BF13D8">
        <w:rPr>
          <w:szCs w:val="26"/>
        </w:rPr>
        <w:t>) p. 645</w:t>
      </w:r>
      <w:r w:rsidR="009B2CBD">
        <w:rPr>
          <w:szCs w:val="26"/>
        </w:rPr>
        <w:t>, col. 2</w:t>
      </w:r>
      <w:r w:rsidR="00E82DB9" w:rsidRPr="00EB43A4">
        <w:rPr>
          <w:szCs w:val="26"/>
        </w:rPr>
        <w:t xml:space="preserve">). </w:t>
      </w:r>
      <w:r w:rsidR="00E8341C" w:rsidRPr="00EB43A4">
        <w:rPr>
          <w:szCs w:val="26"/>
        </w:rPr>
        <w:t xml:space="preserve"> </w:t>
      </w:r>
      <w:r w:rsidR="006D7A2C" w:rsidRPr="00E349D9">
        <w:rPr>
          <w:szCs w:val="26"/>
        </w:rPr>
        <w:t xml:space="preserve">The Labor Commissioner argues that </w:t>
      </w:r>
      <w:r w:rsidR="0012757E" w:rsidRPr="00E349D9">
        <w:rPr>
          <w:szCs w:val="26"/>
        </w:rPr>
        <w:t xml:space="preserve">according to </w:t>
      </w:r>
      <w:r w:rsidR="00CE4A60" w:rsidRPr="00E349D9">
        <w:rPr>
          <w:szCs w:val="26"/>
        </w:rPr>
        <w:t xml:space="preserve">these definitions the information disclosed </w:t>
      </w:r>
      <w:r w:rsidR="0012757E" w:rsidRPr="00E349D9">
        <w:rPr>
          <w:szCs w:val="26"/>
        </w:rPr>
        <w:t xml:space="preserve">need not be </w:t>
      </w:r>
      <w:r w:rsidR="00CE4A60" w:rsidRPr="00E349D9">
        <w:rPr>
          <w:szCs w:val="26"/>
        </w:rPr>
        <w:t xml:space="preserve">previously unknown to the recipient.  </w:t>
      </w:r>
      <w:r w:rsidR="001542DF">
        <w:rPr>
          <w:szCs w:val="26"/>
        </w:rPr>
        <w:t>We</w:t>
      </w:r>
      <w:r w:rsidR="0012757E" w:rsidRPr="00E349D9">
        <w:rPr>
          <w:szCs w:val="26"/>
        </w:rPr>
        <w:t xml:space="preserve"> </w:t>
      </w:r>
      <w:r w:rsidR="006D7A2C" w:rsidRPr="00E349D9">
        <w:rPr>
          <w:szCs w:val="26"/>
        </w:rPr>
        <w:t xml:space="preserve">agree. </w:t>
      </w:r>
      <w:r w:rsidR="00585AF1" w:rsidRPr="00E349D9">
        <w:rPr>
          <w:szCs w:val="26"/>
        </w:rPr>
        <w:t xml:space="preserve"> </w:t>
      </w:r>
      <w:r w:rsidR="000406C2" w:rsidRPr="00E349D9">
        <w:rPr>
          <w:szCs w:val="26"/>
        </w:rPr>
        <w:t>To</w:t>
      </w:r>
      <w:r w:rsidR="00924F23" w:rsidRPr="00E349D9">
        <w:rPr>
          <w:szCs w:val="26"/>
        </w:rPr>
        <w:t xml:space="preserve"> </w:t>
      </w:r>
      <w:r w:rsidR="0012757E" w:rsidRPr="00E349D9">
        <w:rPr>
          <w:szCs w:val="26"/>
        </w:rPr>
        <w:t>“</w:t>
      </w:r>
      <w:r w:rsidR="00A8313A">
        <w:rPr>
          <w:szCs w:val="26"/>
        </w:rPr>
        <w:t xml:space="preserve">make </w:t>
      </w:r>
      <w:r w:rsidR="00D7276D">
        <w:rPr>
          <w:szCs w:val="26"/>
        </w:rPr>
        <w:t xml:space="preserve">[something] </w:t>
      </w:r>
      <w:r w:rsidR="00A8313A">
        <w:rPr>
          <w:szCs w:val="26"/>
        </w:rPr>
        <w:t>openly known</w:t>
      </w:r>
      <w:r w:rsidR="0012757E" w:rsidRPr="00E349D9">
        <w:rPr>
          <w:szCs w:val="26"/>
        </w:rPr>
        <w:t xml:space="preserve">” </w:t>
      </w:r>
      <w:r w:rsidR="0041410E">
        <w:rPr>
          <w:szCs w:val="26"/>
        </w:rPr>
        <w:t xml:space="preserve">(4 Oxford English Dict., </w:t>
      </w:r>
      <w:r w:rsidR="0041410E">
        <w:rPr>
          <w:i/>
          <w:iCs/>
          <w:szCs w:val="26"/>
        </w:rPr>
        <w:t>supra</w:t>
      </w:r>
      <w:r w:rsidR="0041410E">
        <w:rPr>
          <w:szCs w:val="26"/>
        </w:rPr>
        <w:t xml:space="preserve">, p. 738, col. 1) </w:t>
      </w:r>
      <w:r w:rsidR="0012757E" w:rsidRPr="00E349D9">
        <w:rPr>
          <w:szCs w:val="26"/>
        </w:rPr>
        <w:t xml:space="preserve">or </w:t>
      </w:r>
      <w:r w:rsidR="00924F23" w:rsidRPr="00E349D9">
        <w:rPr>
          <w:szCs w:val="26"/>
        </w:rPr>
        <w:t>“</w:t>
      </w:r>
      <w:r w:rsidR="00C7051B">
        <w:rPr>
          <w:szCs w:val="26"/>
        </w:rPr>
        <w:t>open</w:t>
      </w:r>
      <w:r w:rsidR="00A8313A">
        <w:rPr>
          <w:szCs w:val="26"/>
        </w:rPr>
        <w:t xml:space="preserve"> </w:t>
      </w:r>
      <w:r w:rsidR="00D7276D">
        <w:rPr>
          <w:szCs w:val="26"/>
        </w:rPr>
        <w:t xml:space="preserve">[something] </w:t>
      </w:r>
      <w:r w:rsidR="00C7051B">
        <w:rPr>
          <w:szCs w:val="26"/>
        </w:rPr>
        <w:t>up to general knowledge</w:t>
      </w:r>
      <w:r w:rsidR="00924F23" w:rsidRPr="00E349D9">
        <w:rPr>
          <w:szCs w:val="26"/>
        </w:rPr>
        <w:t xml:space="preserve">” </w:t>
      </w:r>
      <w:r w:rsidR="0041410E">
        <w:rPr>
          <w:szCs w:val="26"/>
        </w:rPr>
        <w:t>(</w:t>
      </w:r>
      <w:r w:rsidR="0041410E" w:rsidRPr="00BF13D8">
        <w:rPr>
          <w:szCs w:val="26"/>
        </w:rPr>
        <w:t xml:space="preserve">Webster’s 3d </w:t>
      </w:r>
      <w:r w:rsidR="0041410E">
        <w:rPr>
          <w:szCs w:val="26"/>
        </w:rPr>
        <w:t xml:space="preserve">New </w:t>
      </w:r>
      <w:r w:rsidR="0041410E" w:rsidRPr="00BF13D8">
        <w:rPr>
          <w:szCs w:val="26"/>
        </w:rPr>
        <w:t>Internat. Dict.</w:t>
      </w:r>
      <w:r w:rsidR="0041410E">
        <w:rPr>
          <w:szCs w:val="26"/>
        </w:rPr>
        <w:t xml:space="preserve">, </w:t>
      </w:r>
      <w:r w:rsidR="0041410E">
        <w:rPr>
          <w:i/>
          <w:iCs/>
          <w:szCs w:val="26"/>
        </w:rPr>
        <w:t>supra</w:t>
      </w:r>
      <w:r w:rsidR="0041410E">
        <w:rPr>
          <w:szCs w:val="26"/>
        </w:rPr>
        <w:t>,</w:t>
      </w:r>
      <w:r w:rsidR="0041410E" w:rsidRPr="00BF13D8">
        <w:rPr>
          <w:szCs w:val="26"/>
        </w:rPr>
        <w:t xml:space="preserve"> p. 645</w:t>
      </w:r>
      <w:r w:rsidR="0041410E">
        <w:rPr>
          <w:szCs w:val="26"/>
        </w:rPr>
        <w:t xml:space="preserve">, col. 2) </w:t>
      </w:r>
      <w:r w:rsidR="000406C2" w:rsidRPr="00E349D9">
        <w:rPr>
          <w:szCs w:val="26"/>
        </w:rPr>
        <w:t xml:space="preserve">does not require that the </w:t>
      </w:r>
      <w:r w:rsidR="00585AF1" w:rsidRPr="00E349D9">
        <w:rPr>
          <w:szCs w:val="26"/>
        </w:rPr>
        <w:t>“something”</w:t>
      </w:r>
      <w:r w:rsidR="000406C2" w:rsidRPr="00E349D9">
        <w:rPr>
          <w:szCs w:val="26"/>
        </w:rPr>
        <w:t xml:space="preserve"> </w:t>
      </w:r>
      <w:r w:rsidR="00585AF1" w:rsidRPr="00E349D9">
        <w:rPr>
          <w:szCs w:val="26"/>
        </w:rPr>
        <w:t>be</w:t>
      </w:r>
      <w:r w:rsidR="000406C2" w:rsidRPr="00E349D9">
        <w:rPr>
          <w:szCs w:val="26"/>
        </w:rPr>
        <w:t xml:space="preserve"> unknown to the current recipient</w:t>
      </w:r>
      <w:r w:rsidR="0062111C" w:rsidRPr="00E349D9">
        <w:rPr>
          <w:szCs w:val="26"/>
        </w:rPr>
        <w:t>.</w:t>
      </w:r>
    </w:p>
    <w:p w14:paraId="1B6FD45E" w14:textId="59E36763" w:rsidR="00EE1DD7" w:rsidRPr="00E349D9" w:rsidRDefault="004004CD" w:rsidP="0087786A">
      <w:pPr>
        <w:ind w:firstLine="720"/>
      </w:pPr>
      <w:r w:rsidRPr="00E349D9">
        <w:rPr>
          <w:szCs w:val="26"/>
        </w:rPr>
        <w:t xml:space="preserve">Although </w:t>
      </w:r>
      <w:r w:rsidR="00BA623A" w:rsidRPr="00E349D9">
        <w:rPr>
          <w:szCs w:val="26"/>
        </w:rPr>
        <w:t xml:space="preserve">the word “disclose” often refers to </w:t>
      </w:r>
      <w:r w:rsidR="00AE0C9B" w:rsidRPr="00E349D9">
        <w:rPr>
          <w:szCs w:val="26"/>
        </w:rPr>
        <w:t>sharing</w:t>
      </w:r>
      <w:r w:rsidR="001C390C" w:rsidRPr="00E349D9">
        <w:rPr>
          <w:szCs w:val="26"/>
        </w:rPr>
        <w:t xml:space="preserve"> </w:t>
      </w:r>
      <w:r w:rsidR="00BA623A" w:rsidRPr="00E349D9">
        <w:rPr>
          <w:szCs w:val="26"/>
        </w:rPr>
        <w:t>previously unknown information</w:t>
      </w:r>
      <w:r w:rsidRPr="00E349D9">
        <w:rPr>
          <w:szCs w:val="26"/>
        </w:rPr>
        <w:t>,</w:t>
      </w:r>
      <w:r w:rsidR="00BA623A" w:rsidRPr="00E349D9">
        <w:rPr>
          <w:szCs w:val="26"/>
        </w:rPr>
        <w:t xml:space="preserve"> the word also </w:t>
      </w:r>
      <w:r w:rsidR="0012757E" w:rsidRPr="00E349D9">
        <w:rPr>
          <w:szCs w:val="26"/>
        </w:rPr>
        <w:t>means</w:t>
      </w:r>
      <w:r w:rsidR="00BA623A" w:rsidRPr="00E349D9">
        <w:rPr>
          <w:szCs w:val="26"/>
        </w:rPr>
        <w:t xml:space="preserve"> </w:t>
      </w:r>
      <w:r w:rsidR="004536A8">
        <w:rPr>
          <w:szCs w:val="26"/>
        </w:rPr>
        <w:t xml:space="preserve">bringing </w:t>
      </w:r>
      <w:r w:rsidR="004536A8" w:rsidRPr="00E349D9">
        <w:rPr>
          <w:szCs w:val="26"/>
        </w:rPr>
        <w:t xml:space="preserve">into view in a particular context </w:t>
      </w:r>
      <w:r w:rsidR="00305D76">
        <w:rPr>
          <w:szCs w:val="26"/>
        </w:rPr>
        <w:t xml:space="preserve">a type of </w:t>
      </w:r>
      <w:r w:rsidR="00BA623A" w:rsidRPr="00E349D9">
        <w:rPr>
          <w:szCs w:val="26"/>
        </w:rPr>
        <w:t xml:space="preserve">information </w:t>
      </w:r>
      <w:r w:rsidR="00B839F0">
        <w:rPr>
          <w:szCs w:val="26"/>
        </w:rPr>
        <w:t xml:space="preserve">to which </w:t>
      </w:r>
      <w:r w:rsidR="00C46BEE">
        <w:rPr>
          <w:szCs w:val="26"/>
        </w:rPr>
        <w:t>the discloser</w:t>
      </w:r>
      <w:r w:rsidR="00B839F0">
        <w:rPr>
          <w:szCs w:val="26"/>
        </w:rPr>
        <w:t xml:space="preserve"> </w:t>
      </w:r>
      <w:r w:rsidR="00525AD7">
        <w:rPr>
          <w:szCs w:val="26"/>
        </w:rPr>
        <w:t>tends to have</w:t>
      </w:r>
      <w:r w:rsidR="00B839F0">
        <w:rPr>
          <w:szCs w:val="26"/>
        </w:rPr>
        <w:t xml:space="preserve"> special access</w:t>
      </w:r>
      <w:r w:rsidR="00351B31" w:rsidRPr="00E349D9">
        <w:rPr>
          <w:szCs w:val="26"/>
        </w:rPr>
        <w:t xml:space="preserve">.  </w:t>
      </w:r>
      <w:r w:rsidR="009B7E69">
        <w:rPr>
          <w:szCs w:val="26"/>
        </w:rPr>
        <w:t>The Legislature has</w:t>
      </w:r>
      <w:r w:rsidR="001A6817">
        <w:rPr>
          <w:szCs w:val="26"/>
        </w:rPr>
        <w:t xml:space="preserve"> invoked</w:t>
      </w:r>
      <w:r w:rsidR="009B7E69">
        <w:rPr>
          <w:szCs w:val="26"/>
        </w:rPr>
        <w:t xml:space="preserve"> </w:t>
      </w:r>
      <w:r w:rsidR="001A6817">
        <w:rPr>
          <w:szCs w:val="26"/>
        </w:rPr>
        <w:t xml:space="preserve">this </w:t>
      </w:r>
      <w:r w:rsidR="0012757E" w:rsidRPr="00E349D9">
        <w:rPr>
          <w:szCs w:val="26"/>
        </w:rPr>
        <w:t xml:space="preserve">latter meaning in other </w:t>
      </w:r>
      <w:r w:rsidR="001A6817">
        <w:rPr>
          <w:szCs w:val="26"/>
        </w:rPr>
        <w:t>statut</w:t>
      </w:r>
      <w:r w:rsidR="004536A8">
        <w:rPr>
          <w:szCs w:val="26"/>
        </w:rPr>
        <w:t>es</w:t>
      </w:r>
      <w:r w:rsidR="00835E9F" w:rsidRPr="00E349D9">
        <w:rPr>
          <w:szCs w:val="26"/>
        </w:rPr>
        <w:t xml:space="preserve">.  </w:t>
      </w:r>
      <w:r w:rsidR="002F651E" w:rsidRPr="00E349D9">
        <w:rPr>
          <w:szCs w:val="26"/>
        </w:rPr>
        <w:t xml:space="preserve">For example, </w:t>
      </w:r>
      <w:r w:rsidR="00433A19" w:rsidRPr="00E349D9">
        <w:t xml:space="preserve">various </w:t>
      </w:r>
      <w:r w:rsidR="00D56A59" w:rsidRPr="00E349D9">
        <w:t>p</w:t>
      </w:r>
      <w:r w:rsidR="00365118" w:rsidRPr="00E349D9">
        <w:t xml:space="preserve">ublic officials </w:t>
      </w:r>
      <w:r w:rsidR="00DF5F9C" w:rsidRPr="00E349D9">
        <w:t xml:space="preserve">are required </w:t>
      </w:r>
      <w:r w:rsidR="00365118" w:rsidRPr="00E349D9">
        <w:t xml:space="preserve">to </w:t>
      </w:r>
      <w:r w:rsidR="0042747C" w:rsidRPr="00E349D9">
        <w:t>“file a</w:t>
      </w:r>
      <w:r w:rsidR="002F651E" w:rsidRPr="00E349D9">
        <w:t>[n annual]</w:t>
      </w:r>
      <w:r w:rsidR="0042747C" w:rsidRPr="00E349D9">
        <w:t xml:space="preserve"> statement disclosing the person’s investments, interests in real property, and income</w:t>
      </w:r>
      <w:r w:rsidR="005E2EAA">
        <w:t>.</w:t>
      </w:r>
      <w:r w:rsidR="007B2D54" w:rsidRPr="00E349D9">
        <w:t>”  (</w:t>
      </w:r>
      <w:r w:rsidR="003E43F0" w:rsidRPr="00E349D9">
        <w:t>Gov. Code, § 87203</w:t>
      </w:r>
      <w:r w:rsidR="00D56A59" w:rsidRPr="00E349D9">
        <w:t xml:space="preserve">.)  </w:t>
      </w:r>
      <w:r w:rsidR="00433A19" w:rsidRPr="00E349D9">
        <w:t>J</w:t>
      </w:r>
      <w:r w:rsidR="00D56A59" w:rsidRPr="00E349D9">
        <w:t xml:space="preserve">udges </w:t>
      </w:r>
      <w:r w:rsidR="005F361E" w:rsidRPr="00E349D9">
        <w:t xml:space="preserve">are required to </w:t>
      </w:r>
      <w:r w:rsidR="00DE2F31" w:rsidRPr="00E349D9">
        <w:t xml:space="preserve">“disclose any </w:t>
      </w:r>
      <w:r w:rsidR="00C77A08" w:rsidRPr="00E349D9">
        <w:t>[</w:t>
      </w:r>
      <w:r w:rsidR="00C31686" w:rsidRPr="00E349D9">
        <w:t>campaign</w:t>
      </w:r>
      <w:r w:rsidR="008A6DCA" w:rsidRPr="00E349D9">
        <w:t>]</w:t>
      </w:r>
      <w:r w:rsidR="00C77A08" w:rsidRPr="00E349D9">
        <w:t xml:space="preserve"> </w:t>
      </w:r>
      <w:r w:rsidR="00DE2F31" w:rsidRPr="00E349D9">
        <w:t xml:space="preserve">contribution from </w:t>
      </w:r>
      <w:r w:rsidR="001B368B" w:rsidRPr="00E349D9">
        <w:t>a party or lawyer in a matter before the court</w:t>
      </w:r>
      <w:r w:rsidR="002622B8" w:rsidRPr="00E349D9">
        <w:t>” (</w:t>
      </w:r>
      <w:r w:rsidR="00DF30BF" w:rsidRPr="00E349D9">
        <w:t>C</w:t>
      </w:r>
      <w:r w:rsidR="00771A5F" w:rsidRPr="00E349D9">
        <w:t>ode Civ. Proc., § 170.1</w:t>
      </w:r>
      <w:r w:rsidR="00CC44F6" w:rsidRPr="00E349D9">
        <w:t>, subd. </w:t>
      </w:r>
      <w:r w:rsidR="00771A5F" w:rsidRPr="00E349D9">
        <w:t>(a)(</w:t>
      </w:r>
      <w:r w:rsidR="00970121" w:rsidRPr="00E349D9">
        <w:t>9)(C)</w:t>
      </w:r>
      <w:r w:rsidR="00787C62" w:rsidRPr="00E349D9">
        <w:t xml:space="preserve">), an </w:t>
      </w:r>
      <w:r w:rsidR="00183C04" w:rsidRPr="00E349D9">
        <w:t>obligation</w:t>
      </w:r>
      <w:r w:rsidR="0010090C" w:rsidRPr="00E349D9">
        <w:t xml:space="preserve"> that</w:t>
      </w:r>
      <w:r w:rsidR="00183C04" w:rsidRPr="00E349D9">
        <w:t xml:space="preserve"> </w:t>
      </w:r>
      <w:r w:rsidR="002D3B10" w:rsidRPr="00E349D9">
        <w:t>applies in “any</w:t>
      </w:r>
      <w:r w:rsidR="002D3B10" w:rsidRPr="00E349D9">
        <w:rPr>
          <w:i/>
          <w:iCs/>
        </w:rPr>
        <w:t xml:space="preserve"> </w:t>
      </w:r>
      <w:r w:rsidR="002D3B10" w:rsidRPr="00E349D9">
        <w:t xml:space="preserve">matter before [the] judge” </w:t>
      </w:r>
      <w:r w:rsidR="00787C62" w:rsidRPr="00E349D9">
        <w:t>(</w:t>
      </w:r>
      <w:r w:rsidR="00CC44F6" w:rsidRPr="00E349D9">
        <w:t xml:space="preserve">Cal. </w:t>
      </w:r>
      <w:r w:rsidR="00787C62" w:rsidRPr="00E349D9">
        <w:t xml:space="preserve">Code Jud. Ethics, </w:t>
      </w:r>
      <w:r w:rsidR="00CC44F6" w:rsidRPr="00E349D9">
        <w:t>c</w:t>
      </w:r>
      <w:r w:rsidR="00787C62" w:rsidRPr="00E349D9">
        <w:t>anon 3E(2)(b)(i))</w:t>
      </w:r>
      <w:r w:rsidR="0010090C" w:rsidRPr="00E349D9">
        <w:t>.</w:t>
      </w:r>
      <w:r w:rsidR="00787C62" w:rsidRPr="00E349D9">
        <w:t xml:space="preserve"> </w:t>
      </w:r>
      <w:r w:rsidR="00183C04" w:rsidRPr="00E349D9">
        <w:t xml:space="preserve"> </w:t>
      </w:r>
      <w:r w:rsidR="0012757E" w:rsidRPr="00E349D9">
        <w:t>Provision of information in compliance with these requirements</w:t>
      </w:r>
      <w:r w:rsidR="00433A19" w:rsidRPr="00E349D9">
        <w:t>,</w:t>
      </w:r>
      <w:r w:rsidR="0012757E" w:rsidRPr="00E349D9">
        <w:t xml:space="preserve"> </w:t>
      </w:r>
      <w:r w:rsidR="00C96E33" w:rsidRPr="00E349D9">
        <w:t xml:space="preserve">which focuses attention on </w:t>
      </w:r>
      <w:r w:rsidR="00F653A9" w:rsidRPr="00E349D9">
        <w:t>potential conflicts of interest</w:t>
      </w:r>
      <w:r w:rsidR="00C96E33" w:rsidRPr="00E349D9">
        <w:t>,</w:t>
      </w:r>
      <w:r w:rsidR="0012757E" w:rsidRPr="00E349D9">
        <w:t xml:space="preserve"> </w:t>
      </w:r>
      <w:r w:rsidR="00433A19" w:rsidRPr="00E349D9">
        <w:t xml:space="preserve">constitutes a “disclosure” </w:t>
      </w:r>
      <w:r w:rsidR="0012757E" w:rsidRPr="00E349D9">
        <w:t xml:space="preserve">whether or not the information is already known to </w:t>
      </w:r>
      <w:r w:rsidR="009B76F9">
        <w:t xml:space="preserve">some or all of </w:t>
      </w:r>
      <w:r w:rsidR="0012757E" w:rsidRPr="00E349D9">
        <w:t>the recipients.</w:t>
      </w:r>
      <w:r w:rsidR="00AD1317" w:rsidRPr="00E349D9">
        <w:t xml:space="preserve">  </w:t>
      </w:r>
      <w:r w:rsidR="00676965" w:rsidRPr="00E349D9">
        <w:t>Residential landlords are required</w:t>
      </w:r>
      <w:r w:rsidR="0082668A" w:rsidRPr="00E349D9">
        <w:t xml:space="preserve"> to provide “written disclosure</w:t>
      </w:r>
      <w:r w:rsidR="007C129E" w:rsidRPr="00E349D9">
        <w:t xml:space="preserve"> to</w:t>
      </w:r>
      <w:r w:rsidR="0041410E">
        <w:t xml:space="preserve"> prospective and</w:t>
      </w:r>
      <w:r w:rsidR="005F337B" w:rsidRPr="00E349D9">
        <w:t xml:space="preserve"> </w:t>
      </w:r>
      <w:r w:rsidR="00F65DAA" w:rsidRPr="00E349D9">
        <w:t>current tenants</w:t>
      </w:r>
      <w:r w:rsidR="005F337B" w:rsidRPr="00E349D9">
        <w:t xml:space="preserve">” where </w:t>
      </w:r>
      <w:r w:rsidR="00F65DAA" w:rsidRPr="00E349D9">
        <w:t xml:space="preserve">any </w:t>
      </w:r>
      <w:r w:rsidR="0082668A" w:rsidRPr="00E349D9">
        <w:t>mold that “poses a health threat</w:t>
      </w:r>
      <w:r w:rsidR="00F65DAA" w:rsidRPr="00E349D9">
        <w:t>”</w:t>
      </w:r>
      <w:r w:rsidR="005F337B" w:rsidRPr="00E349D9">
        <w:t xml:space="preserve"> is found,</w:t>
      </w:r>
      <w:r w:rsidR="00F65DAA" w:rsidRPr="00E349D9">
        <w:t xml:space="preserve"> even when that mold is </w:t>
      </w:r>
      <w:r w:rsidR="00197570" w:rsidRPr="00E349D9">
        <w:t>visible</w:t>
      </w:r>
      <w:r w:rsidR="00E155B5" w:rsidRPr="00E349D9">
        <w:t xml:space="preserve"> </w:t>
      </w:r>
      <w:r w:rsidR="00FC5DA3" w:rsidRPr="00E349D9">
        <w:t>or</w:t>
      </w:r>
      <w:r w:rsidR="005F337B" w:rsidRPr="00E349D9">
        <w:t xml:space="preserve"> </w:t>
      </w:r>
      <w:r w:rsidR="00FC5DA3" w:rsidRPr="00E349D9">
        <w:t xml:space="preserve">first </w:t>
      </w:r>
      <w:r w:rsidR="005F337B" w:rsidRPr="00E349D9">
        <w:t>noticed by the tenants themselves.  (</w:t>
      </w:r>
      <w:r w:rsidR="004567E4" w:rsidRPr="00E349D9">
        <w:t>Health &amp; Saf.</w:t>
      </w:r>
      <w:r w:rsidR="005F337B" w:rsidRPr="00E349D9">
        <w:t xml:space="preserve"> Code, § </w:t>
      </w:r>
      <w:r w:rsidR="00E619F2" w:rsidRPr="00E349D9">
        <w:t xml:space="preserve">26147, subd. (a).)  Sellers of single-family homes are required to </w:t>
      </w:r>
      <w:r w:rsidR="00DA4FA9" w:rsidRPr="00E349D9">
        <w:t>complete an extensive “disclosure form</w:t>
      </w:r>
      <w:r w:rsidR="00F05FAE" w:rsidRPr="00E349D9">
        <w:t>” that</w:t>
      </w:r>
      <w:r w:rsidR="00AA12D2" w:rsidRPr="00E349D9">
        <w:t xml:space="preserve"> includ</w:t>
      </w:r>
      <w:r w:rsidR="00F05FAE" w:rsidRPr="00E349D9">
        <w:t>es</w:t>
      </w:r>
      <w:r w:rsidR="00AA12D2" w:rsidRPr="00E349D9">
        <w:t xml:space="preserve"> </w:t>
      </w:r>
      <w:r w:rsidR="00B770BB" w:rsidRPr="00E349D9">
        <w:t>information</w:t>
      </w:r>
      <w:r w:rsidR="00AA12D2" w:rsidRPr="00E349D9">
        <w:t xml:space="preserve"> that </w:t>
      </w:r>
      <w:r w:rsidR="002F740C" w:rsidRPr="00E349D9">
        <w:t xml:space="preserve">would </w:t>
      </w:r>
      <w:r w:rsidR="00535BF3" w:rsidRPr="00E349D9">
        <w:t>likely be known</w:t>
      </w:r>
      <w:r w:rsidR="00B770BB" w:rsidRPr="00E349D9">
        <w:t xml:space="preserve"> </w:t>
      </w:r>
      <w:r w:rsidR="00535BF3" w:rsidRPr="00E349D9">
        <w:t>by</w:t>
      </w:r>
      <w:r w:rsidR="002F740C" w:rsidRPr="00E349D9">
        <w:t xml:space="preserve"> many prospective buyers.</w:t>
      </w:r>
      <w:r w:rsidR="00E619F2" w:rsidRPr="00E349D9">
        <w:t xml:space="preserve"> </w:t>
      </w:r>
      <w:r w:rsidR="002F740C" w:rsidRPr="00E349D9">
        <w:t xml:space="preserve"> (</w:t>
      </w:r>
      <w:r w:rsidR="00D11D94" w:rsidRPr="00E349D9">
        <w:t>Civ.</w:t>
      </w:r>
      <w:r w:rsidR="00F05FAE" w:rsidRPr="00E349D9">
        <w:t xml:space="preserve"> </w:t>
      </w:r>
      <w:r w:rsidR="00D1517D" w:rsidRPr="00E349D9">
        <w:t>Code,</w:t>
      </w:r>
      <w:r w:rsidR="00F05FAE" w:rsidRPr="00E349D9">
        <w:t xml:space="preserve"> </w:t>
      </w:r>
      <w:r w:rsidR="00FC5DA3" w:rsidRPr="00E349D9">
        <w:t>§</w:t>
      </w:r>
      <w:r w:rsidR="00D1517D" w:rsidRPr="00E349D9">
        <w:t>§ 1102.6</w:t>
      </w:r>
      <w:r w:rsidR="00197570" w:rsidRPr="00E349D9">
        <w:t xml:space="preserve"> </w:t>
      </w:r>
      <w:r w:rsidR="00D1517D" w:rsidRPr="00E349D9">
        <w:t>[</w:t>
      </w:r>
      <w:r w:rsidR="0014007B" w:rsidRPr="00E349D9">
        <w:t>seller’s required disclosur</w:t>
      </w:r>
      <w:r w:rsidR="0011593A" w:rsidRPr="00E349D9">
        <w:t xml:space="preserve">es include </w:t>
      </w:r>
      <w:r w:rsidR="00D13204" w:rsidRPr="00E349D9">
        <w:t xml:space="preserve">the </w:t>
      </w:r>
      <w:r w:rsidR="0011593A" w:rsidRPr="00E349D9">
        <w:t>presence or absence of</w:t>
      </w:r>
      <w:r w:rsidR="00D1517D" w:rsidRPr="00E349D9">
        <w:t xml:space="preserve"> an oven, </w:t>
      </w:r>
      <w:r w:rsidR="0011593A" w:rsidRPr="00E349D9">
        <w:t>patio, and gazebo</w:t>
      </w:r>
      <w:r w:rsidR="008B2F28" w:rsidRPr="00E349D9">
        <w:t xml:space="preserve">]; </w:t>
      </w:r>
      <w:r w:rsidR="00302DA1" w:rsidRPr="00E349D9">
        <w:t xml:space="preserve">1102.155 [seller </w:t>
      </w:r>
      <w:r w:rsidR="0032116B" w:rsidRPr="00E349D9">
        <w:t>“shall disclose</w:t>
      </w:r>
      <w:r w:rsidR="00FD3859" w:rsidRPr="00E349D9">
        <w:t>”</w:t>
      </w:r>
      <w:r w:rsidR="0025106B" w:rsidRPr="00E349D9">
        <w:t xml:space="preserve"> statutory requirement for the installation of water-conserving plumbing fixtures</w:t>
      </w:r>
      <w:r w:rsidR="007779DB" w:rsidRPr="00E349D9">
        <w:t xml:space="preserve">].)  </w:t>
      </w:r>
      <w:r w:rsidR="008317CD" w:rsidRPr="00E349D9">
        <w:t xml:space="preserve">These disclosures </w:t>
      </w:r>
      <w:r w:rsidR="007107C4" w:rsidRPr="00E349D9">
        <w:t xml:space="preserve">again </w:t>
      </w:r>
      <w:r w:rsidR="00FC5DA3" w:rsidRPr="00E349D9">
        <w:t xml:space="preserve">derive their import from </w:t>
      </w:r>
      <w:r w:rsidR="00FF7253">
        <w:t xml:space="preserve">the particular </w:t>
      </w:r>
      <w:r w:rsidR="007107C4" w:rsidRPr="00E349D9">
        <w:t xml:space="preserve">context </w:t>
      </w:r>
      <w:r w:rsidR="00FF7253">
        <w:t>in which they are required</w:t>
      </w:r>
      <w:r w:rsidR="00C46BEE">
        <w:t>,</w:t>
      </w:r>
      <w:r w:rsidR="00FF7253">
        <w:t xml:space="preserve"> </w:t>
      </w:r>
      <w:r w:rsidR="007107C4" w:rsidRPr="00E349D9">
        <w:t xml:space="preserve">and </w:t>
      </w:r>
      <w:r w:rsidR="00C46BEE">
        <w:t xml:space="preserve">they </w:t>
      </w:r>
      <w:r w:rsidR="00736448">
        <w:t>involve</w:t>
      </w:r>
      <w:r w:rsidR="00E64306">
        <w:t xml:space="preserve"> </w:t>
      </w:r>
      <w:r w:rsidR="00303631">
        <w:t>information to which the discloser tends to have special access,</w:t>
      </w:r>
      <w:r w:rsidR="007107C4" w:rsidRPr="00E349D9">
        <w:t xml:space="preserve"> </w:t>
      </w:r>
      <w:r w:rsidR="00C46BEE">
        <w:t>whether or not</w:t>
      </w:r>
      <w:r w:rsidR="007107C4" w:rsidRPr="00E349D9">
        <w:t xml:space="preserve"> </w:t>
      </w:r>
      <w:r w:rsidR="009B76F9">
        <w:t xml:space="preserve">any particular </w:t>
      </w:r>
      <w:r w:rsidR="007107C4" w:rsidRPr="00E349D9">
        <w:t xml:space="preserve">recipient </w:t>
      </w:r>
      <w:r w:rsidR="0097660A">
        <w:t>lack</w:t>
      </w:r>
      <w:r w:rsidR="00C46BEE">
        <w:t>s</w:t>
      </w:r>
      <w:r w:rsidR="0097660A" w:rsidRPr="00E349D9">
        <w:t xml:space="preserve"> </w:t>
      </w:r>
      <w:r w:rsidR="007107C4" w:rsidRPr="00E349D9">
        <w:t xml:space="preserve">prior knowledge of the </w:t>
      </w:r>
      <w:r w:rsidR="004536A8">
        <w:t xml:space="preserve">specific </w:t>
      </w:r>
      <w:r w:rsidR="007107C4" w:rsidRPr="00E349D9">
        <w:t>information d</w:t>
      </w:r>
      <w:r w:rsidR="00BF4C22" w:rsidRPr="00E349D9">
        <w:t xml:space="preserve">isclosed. </w:t>
      </w:r>
    </w:p>
    <w:p w14:paraId="7CC98AD0" w14:textId="6C4ACB48" w:rsidR="00D570DC" w:rsidRDefault="007674B9" w:rsidP="0087786A">
      <w:pPr>
        <w:ind w:firstLine="720"/>
        <w:rPr>
          <w:szCs w:val="26"/>
        </w:rPr>
      </w:pPr>
      <w:r>
        <w:t xml:space="preserve">While </w:t>
      </w:r>
      <w:r w:rsidR="00C06F48">
        <w:t xml:space="preserve">mandatory </w:t>
      </w:r>
      <w:r w:rsidR="00CF22E1">
        <w:t>disclosure</w:t>
      </w:r>
      <w:r w:rsidR="00C06F48">
        <w:t xml:space="preserve"> requirements </w:t>
      </w:r>
      <w:r w:rsidR="00602C35">
        <w:t xml:space="preserve">found </w:t>
      </w:r>
      <w:r w:rsidR="00C06F48">
        <w:t xml:space="preserve">in </w:t>
      </w:r>
      <w:r w:rsidR="004536A8">
        <w:t>a wide range of</w:t>
      </w:r>
      <w:r w:rsidR="00C06F48">
        <w:t xml:space="preserve"> statutes </w:t>
      </w:r>
      <w:r w:rsidR="000A2167">
        <w:t>can</w:t>
      </w:r>
      <w:r w:rsidR="00602C35">
        <w:t xml:space="preserve">not </w:t>
      </w:r>
      <w:r w:rsidR="0082538F">
        <w:t>define</w:t>
      </w:r>
      <w:r w:rsidR="00C06F48">
        <w:t xml:space="preserve"> </w:t>
      </w:r>
      <w:r w:rsidR="00602C35">
        <w:t xml:space="preserve">the </w:t>
      </w:r>
      <w:r w:rsidR="00807BDE" w:rsidRPr="00E349D9">
        <w:t>term “</w:t>
      </w:r>
      <w:r w:rsidR="00807BDE" w:rsidRPr="005E2EAA">
        <w:t>disclos</w:t>
      </w:r>
      <w:r w:rsidR="00807BDE" w:rsidRPr="00E349D9">
        <w:t xml:space="preserve">e” </w:t>
      </w:r>
      <w:r w:rsidR="0082538F">
        <w:t xml:space="preserve">as used </w:t>
      </w:r>
      <w:r w:rsidR="00807BDE" w:rsidRPr="00E349D9">
        <w:t>in section 1102.5(b)</w:t>
      </w:r>
      <w:r w:rsidR="0082538F">
        <w:t xml:space="preserve">, these </w:t>
      </w:r>
      <w:r w:rsidR="00C46BEE">
        <w:t>usages illustrate</w:t>
      </w:r>
      <w:r w:rsidR="00C011E9">
        <w:t xml:space="preserve"> that “disclose”</w:t>
      </w:r>
      <w:r w:rsidR="00807BDE" w:rsidRPr="00E349D9">
        <w:t xml:space="preserve"> need not mean only the revelation of information previously unknown to the recipient.  </w:t>
      </w:r>
      <w:r w:rsidR="00C46BEE">
        <w:rPr>
          <w:szCs w:val="26"/>
        </w:rPr>
        <w:t>The text of section 1102.5(b) includes protection for disclosures</w:t>
      </w:r>
      <w:r w:rsidR="00C46BEE" w:rsidRPr="00E349D9">
        <w:rPr>
          <w:szCs w:val="26"/>
        </w:rPr>
        <w:t xml:space="preserve"> made </w:t>
      </w:r>
      <w:r w:rsidR="00C46BEE">
        <w:rPr>
          <w:szCs w:val="26"/>
        </w:rPr>
        <w:t>to</w:t>
      </w:r>
      <w:r w:rsidR="00C46BEE" w:rsidRPr="00E349D9">
        <w:rPr>
          <w:szCs w:val="26"/>
        </w:rPr>
        <w:t xml:space="preserve"> </w:t>
      </w:r>
      <w:r w:rsidR="00C46BEE">
        <w:rPr>
          <w:szCs w:val="26"/>
        </w:rPr>
        <w:t>“</w:t>
      </w:r>
      <w:r w:rsidR="00C46BEE" w:rsidRPr="00E349D9">
        <w:rPr>
          <w:szCs w:val="26"/>
        </w:rPr>
        <w:t xml:space="preserve">another employee who has the authority to </w:t>
      </w:r>
      <w:r w:rsidR="00C46BEE" w:rsidRPr="00800ECE">
        <w:rPr>
          <w:i/>
          <w:iCs/>
          <w:szCs w:val="26"/>
        </w:rPr>
        <w:t>investigate</w:t>
      </w:r>
      <w:r w:rsidR="00D570DC">
        <w:rPr>
          <w:szCs w:val="26"/>
        </w:rPr>
        <w:t xml:space="preserve"> . . .</w:t>
      </w:r>
      <w:r w:rsidR="00C46BEE" w:rsidRPr="00E349D9">
        <w:rPr>
          <w:szCs w:val="26"/>
        </w:rPr>
        <w:t xml:space="preserve"> or </w:t>
      </w:r>
      <w:r w:rsidR="00C46BEE" w:rsidRPr="0087786A">
        <w:rPr>
          <w:i/>
          <w:iCs/>
          <w:szCs w:val="26"/>
        </w:rPr>
        <w:t>correct</w:t>
      </w:r>
      <w:r w:rsidR="00C46BEE" w:rsidRPr="00E349D9">
        <w:rPr>
          <w:szCs w:val="26"/>
        </w:rPr>
        <w:t xml:space="preserve"> the violatio</w:t>
      </w:r>
      <w:r w:rsidR="00C46BEE">
        <w:rPr>
          <w:szCs w:val="26"/>
        </w:rPr>
        <w:t>n</w:t>
      </w:r>
      <w:r w:rsidR="00D570DC">
        <w:rPr>
          <w:szCs w:val="26"/>
        </w:rPr>
        <w:t>,</w:t>
      </w:r>
      <w:r w:rsidR="00C46BEE" w:rsidRPr="00E349D9">
        <w:rPr>
          <w:szCs w:val="26"/>
        </w:rPr>
        <w:t>”</w:t>
      </w:r>
      <w:r w:rsidR="00C46BEE">
        <w:rPr>
          <w:szCs w:val="26"/>
        </w:rPr>
        <w:t xml:space="preserve"> without regard to </w:t>
      </w:r>
      <w:r w:rsidR="00D570DC">
        <w:rPr>
          <w:szCs w:val="26"/>
        </w:rPr>
        <w:t xml:space="preserve">whether </w:t>
      </w:r>
      <w:r w:rsidR="00C46BEE">
        <w:rPr>
          <w:szCs w:val="26"/>
        </w:rPr>
        <w:t>the recipient</w:t>
      </w:r>
      <w:r w:rsidR="00D570DC">
        <w:rPr>
          <w:szCs w:val="26"/>
        </w:rPr>
        <w:t xml:space="preserve"> already</w:t>
      </w:r>
      <w:r w:rsidR="00C46BEE">
        <w:rPr>
          <w:szCs w:val="26"/>
        </w:rPr>
        <w:t xml:space="preserve"> </w:t>
      </w:r>
      <w:r w:rsidR="00D570DC">
        <w:rPr>
          <w:szCs w:val="26"/>
        </w:rPr>
        <w:t>knew</w:t>
      </w:r>
      <w:r w:rsidR="00C46BEE">
        <w:rPr>
          <w:szCs w:val="26"/>
        </w:rPr>
        <w:t xml:space="preserve"> of the violation.  </w:t>
      </w:r>
      <w:r w:rsidR="00C46BEE" w:rsidRPr="00E349D9">
        <w:rPr>
          <w:szCs w:val="26"/>
        </w:rPr>
        <w:t>(</w:t>
      </w:r>
      <w:r w:rsidR="00C46BEE">
        <w:rPr>
          <w:szCs w:val="26"/>
        </w:rPr>
        <w:t>Italics added.</w:t>
      </w:r>
      <w:r w:rsidR="00C46BEE" w:rsidRPr="00E349D9">
        <w:rPr>
          <w:szCs w:val="26"/>
        </w:rPr>
        <w:t>)</w:t>
      </w:r>
      <w:r w:rsidR="00C46BEE">
        <w:rPr>
          <w:szCs w:val="26"/>
        </w:rPr>
        <w:t xml:space="preserve">  </w:t>
      </w:r>
      <w:r w:rsidR="00807BDE" w:rsidRPr="00E349D9">
        <w:t xml:space="preserve">The term </w:t>
      </w:r>
      <w:r w:rsidR="00C46BEE">
        <w:t>“</w:t>
      </w:r>
      <w:r w:rsidR="00C46BEE" w:rsidRPr="005E2EAA">
        <w:t>disclosure</w:t>
      </w:r>
      <w:r w:rsidR="00C46BEE">
        <w:t xml:space="preserve">” </w:t>
      </w:r>
      <w:r w:rsidR="00807BDE" w:rsidRPr="00E349D9">
        <w:t xml:space="preserve">may reasonably </w:t>
      </w:r>
      <w:r w:rsidR="008B6F5D" w:rsidRPr="00E349D9">
        <w:rPr>
          <w:szCs w:val="26"/>
        </w:rPr>
        <w:t>encompass</w:t>
      </w:r>
      <w:r w:rsidR="00265DFB" w:rsidRPr="00E349D9">
        <w:rPr>
          <w:szCs w:val="26"/>
        </w:rPr>
        <w:t xml:space="preserve"> </w:t>
      </w:r>
      <w:r w:rsidR="00FD1AC5">
        <w:rPr>
          <w:szCs w:val="26"/>
        </w:rPr>
        <w:t xml:space="preserve">an </w:t>
      </w:r>
      <w:r w:rsidR="00807BDE" w:rsidRPr="00E349D9">
        <w:rPr>
          <w:szCs w:val="26"/>
        </w:rPr>
        <w:t>employee</w:t>
      </w:r>
      <w:r w:rsidR="00FD1AC5">
        <w:rPr>
          <w:szCs w:val="26"/>
        </w:rPr>
        <w:t xml:space="preserve">’s report or complaint </w:t>
      </w:r>
      <w:r w:rsidR="00807BDE" w:rsidRPr="00E349D9">
        <w:rPr>
          <w:szCs w:val="26"/>
        </w:rPr>
        <w:t>that calls attention to</w:t>
      </w:r>
      <w:r w:rsidR="009D3AE7" w:rsidRPr="00E349D9">
        <w:rPr>
          <w:szCs w:val="26"/>
        </w:rPr>
        <w:t xml:space="preserve"> </w:t>
      </w:r>
      <w:r w:rsidR="009B48E3" w:rsidRPr="00E349D9">
        <w:rPr>
          <w:szCs w:val="26"/>
        </w:rPr>
        <w:t xml:space="preserve">a </w:t>
      </w:r>
      <w:r w:rsidR="00F2595D" w:rsidRPr="00E349D9">
        <w:rPr>
          <w:szCs w:val="26"/>
        </w:rPr>
        <w:t xml:space="preserve">legal violation </w:t>
      </w:r>
      <w:r w:rsidR="00807BDE" w:rsidRPr="00E349D9">
        <w:rPr>
          <w:szCs w:val="26"/>
        </w:rPr>
        <w:t xml:space="preserve">or potential violation </w:t>
      </w:r>
      <w:r w:rsidR="00F2595D" w:rsidRPr="00E349D9">
        <w:rPr>
          <w:szCs w:val="26"/>
        </w:rPr>
        <w:t xml:space="preserve">in </w:t>
      </w:r>
      <w:r w:rsidR="009B48E3" w:rsidRPr="00E349D9">
        <w:rPr>
          <w:szCs w:val="26"/>
        </w:rPr>
        <w:t>the</w:t>
      </w:r>
      <w:r w:rsidR="00F2595D" w:rsidRPr="00E349D9">
        <w:rPr>
          <w:szCs w:val="26"/>
        </w:rPr>
        <w:t xml:space="preserve"> workplace</w:t>
      </w:r>
      <w:r w:rsidR="00431439">
        <w:rPr>
          <w:szCs w:val="26"/>
        </w:rPr>
        <w:t xml:space="preserve">.  </w:t>
      </w:r>
      <w:r w:rsidR="00FD131C">
        <w:rPr>
          <w:szCs w:val="26"/>
        </w:rPr>
        <w:t>Workplace wrongdoing is</w:t>
      </w:r>
      <w:r w:rsidR="00C2154A">
        <w:rPr>
          <w:szCs w:val="26"/>
        </w:rPr>
        <w:t xml:space="preserve"> the type of information to which an employee </w:t>
      </w:r>
      <w:r w:rsidR="00431439">
        <w:rPr>
          <w:szCs w:val="26"/>
        </w:rPr>
        <w:t xml:space="preserve">tends to have special access, whether or not </w:t>
      </w:r>
      <w:r w:rsidR="009B76F9">
        <w:rPr>
          <w:szCs w:val="26"/>
        </w:rPr>
        <w:t xml:space="preserve">any particular </w:t>
      </w:r>
      <w:r w:rsidR="00431439">
        <w:rPr>
          <w:szCs w:val="26"/>
        </w:rPr>
        <w:t xml:space="preserve">recipient of </w:t>
      </w:r>
      <w:r w:rsidR="00C46BEE">
        <w:rPr>
          <w:szCs w:val="26"/>
        </w:rPr>
        <w:t>such information</w:t>
      </w:r>
      <w:r w:rsidR="00431439">
        <w:rPr>
          <w:szCs w:val="26"/>
        </w:rPr>
        <w:t xml:space="preserve"> </w:t>
      </w:r>
      <w:r w:rsidR="00FD131C">
        <w:rPr>
          <w:szCs w:val="26"/>
        </w:rPr>
        <w:t>has prior knowledge.</w:t>
      </w:r>
    </w:p>
    <w:p w14:paraId="6C1E9FDD" w14:textId="6A34A5A5" w:rsidR="00D570DC" w:rsidRDefault="00807BDE" w:rsidP="00D570DC">
      <w:pPr>
        <w:ind w:firstLine="720"/>
        <w:rPr>
          <w:szCs w:val="26"/>
        </w:rPr>
      </w:pPr>
      <w:r w:rsidRPr="00E349D9">
        <w:rPr>
          <w:szCs w:val="26"/>
        </w:rPr>
        <w:t>Indeed, t</w:t>
      </w:r>
      <w:r w:rsidR="000101E9" w:rsidRPr="00E349D9">
        <w:rPr>
          <w:szCs w:val="26"/>
        </w:rPr>
        <w:t xml:space="preserve">wo </w:t>
      </w:r>
      <w:r w:rsidR="00146BB8" w:rsidRPr="00E349D9">
        <w:rPr>
          <w:szCs w:val="26"/>
        </w:rPr>
        <w:t xml:space="preserve">Court of Appeal </w:t>
      </w:r>
      <w:r w:rsidR="008A1E3C" w:rsidRPr="00E349D9">
        <w:rPr>
          <w:szCs w:val="26"/>
        </w:rPr>
        <w:t xml:space="preserve">decisions support </w:t>
      </w:r>
      <w:r w:rsidR="00E0561D" w:rsidRPr="00E349D9">
        <w:rPr>
          <w:szCs w:val="26"/>
        </w:rPr>
        <w:t xml:space="preserve">this </w:t>
      </w:r>
      <w:r w:rsidR="00CA1C28" w:rsidRPr="00E349D9">
        <w:rPr>
          <w:szCs w:val="26"/>
        </w:rPr>
        <w:t xml:space="preserve">definition of “disclose” </w:t>
      </w:r>
      <w:r w:rsidRPr="00E349D9">
        <w:rPr>
          <w:szCs w:val="26"/>
        </w:rPr>
        <w:t xml:space="preserve">as the term is used in </w:t>
      </w:r>
      <w:r w:rsidR="00146BB8" w:rsidRPr="00E349D9">
        <w:rPr>
          <w:szCs w:val="26"/>
        </w:rPr>
        <w:t xml:space="preserve">section 1102.5.  (See </w:t>
      </w:r>
      <w:r w:rsidR="00146BB8" w:rsidRPr="00E349D9">
        <w:rPr>
          <w:i/>
          <w:iCs/>
          <w:szCs w:val="26"/>
        </w:rPr>
        <w:t>Hager</w:t>
      </w:r>
      <w:r w:rsidR="00146BB8" w:rsidRPr="00E349D9">
        <w:rPr>
          <w:szCs w:val="26"/>
        </w:rPr>
        <w:t xml:space="preserve">, </w:t>
      </w:r>
      <w:r w:rsidR="00146BB8" w:rsidRPr="00E349D9">
        <w:rPr>
          <w:i/>
          <w:iCs/>
          <w:szCs w:val="26"/>
        </w:rPr>
        <w:t>supra</w:t>
      </w:r>
      <w:r w:rsidR="00146BB8" w:rsidRPr="00E349D9">
        <w:rPr>
          <w:szCs w:val="26"/>
        </w:rPr>
        <w:t>, 228 Cal.App.4th at pp.</w:t>
      </w:r>
      <w:r w:rsidR="00F74B1A" w:rsidRPr="00E349D9">
        <w:rPr>
          <w:szCs w:val="26"/>
        </w:rPr>
        <w:t> </w:t>
      </w:r>
      <w:r w:rsidR="00146BB8" w:rsidRPr="00E349D9">
        <w:rPr>
          <w:szCs w:val="26"/>
        </w:rPr>
        <w:t>1549–1550 [finding public employee’s disclosure to wrongdoer covered by section</w:t>
      </w:r>
      <w:r w:rsidR="00D07664" w:rsidRPr="00E349D9">
        <w:rPr>
          <w:szCs w:val="26"/>
        </w:rPr>
        <w:t> </w:t>
      </w:r>
      <w:r w:rsidR="00146BB8" w:rsidRPr="00E349D9">
        <w:rPr>
          <w:szCs w:val="26"/>
        </w:rPr>
        <w:t xml:space="preserve">1102.5(b)]; </w:t>
      </w:r>
      <w:bookmarkStart w:id="15" w:name="_Hlk131060701"/>
      <w:r w:rsidR="00146BB8" w:rsidRPr="00E349D9">
        <w:rPr>
          <w:i/>
          <w:iCs/>
          <w:szCs w:val="26"/>
          <w:bdr w:val="none" w:sz="0" w:space="0" w:color="auto" w:frame="1"/>
        </w:rPr>
        <w:t>Jaramillo v. County of Orange</w:t>
      </w:r>
      <w:r w:rsidR="00146BB8" w:rsidRPr="00E349D9">
        <w:rPr>
          <w:szCs w:val="26"/>
          <w:bdr w:val="none" w:sz="0" w:space="0" w:color="auto" w:frame="1"/>
        </w:rPr>
        <w:t> (2011) 200 Cal.App.4th 811, 826 (</w:t>
      </w:r>
      <w:r w:rsidR="00146BB8" w:rsidRPr="00E349D9">
        <w:rPr>
          <w:i/>
          <w:iCs/>
          <w:szCs w:val="26"/>
          <w:bdr w:val="none" w:sz="0" w:space="0" w:color="auto" w:frame="1"/>
        </w:rPr>
        <w:t>Jaramillo</w:t>
      </w:r>
      <w:r w:rsidR="00146BB8" w:rsidRPr="00E349D9">
        <w:rPr>
          <w:szCs w:val="26"/>
          <w:bdr w:val="none" w:sz="0" w:space="0" w:color="auto" w:frame="1"/>
        </w:rPr>
        <w:t>)</w:t>
      </w:r>
      <w:r w:rsidR="000A69A9" w:rsidRPr="00E349D9">
        <w:rPr>
          <w:szCs w:val="26"/>
          <w:bdr w:val="none" w:sz="0" w:space="0" w:color="auto" w:frame="1"/>
        </w:rPr>
        <w:t xml:space="preserve"> </w:t>
      </w:r>
      <w:bookmarkEnd w:id="15"/>
      <w:r w:rsidR="000A69A9" w:rsidRPr="00E349D9">
        <w:rPr>
          <w:szCs w:val="26"/>
          <w:bdr w:val="none" w:sz="0" w:space="0" w:color="auto" w:frame="1"/>
        </w:rPr>
        <w:t>[same]</w:t>
      </w:r>
      <w:r w:rsidR="00146BB8" w:rsidRPr="00E349D9">
        <w:rPr>
          <w:szCs w:val="26"/>
          <w:bdr w:val="none" w:sz="0" w:space="0" w:color="auto" w:frame="1"/>
        </w:rPr>
        <w:t>.)</w:t>
      </w:r>
      <w:r w:rsidR="00D570DC">
        <w:rPr>
          <w:szCs w:val="26"/>
        </w:rPr>
        <w:t xml:space="preserve">  </w:t>
      </w:r>
      <w:r w:rsidR="00146BB8" w:rsidRPr="00E349D9">
        <w:rPr>
          <w:szCs w:val="26"/>
        </w:rPr>
        <w:t xml:space="preserve">In </w:t>
      </w:r>
      <w:r w:rsidR="00146BB8" w:rsidRPr="00E349D9">
        <w:rPr>
          <w:i/>
          <w:iCs/>
          <w:szCs w:val="26"/>
        </w:rPr>
        <w:t>Jaramillo</w:t>
      </w:r>
      <w:r w:rsidR="00146BB8" w:rsidRPr="00E349D9">
        <w:rPr>
          <w:szCs w:val="26"/>
        </w:rPr>
        <w:t>, the Court of Appeal held that section 1102.5 protected an assistant sheriff who confronted the county sheriff about the latter’s wrongdoing.  (</w:t>
      </w:r>
      <w:r w:rsidR="00732A9B" w:rsidRPr="00E349D9">
        <w:rPr>
          <w:i/>
          <w:iCs/>
          <w:szCs w:val="26"/>
        </w:rPr>
        <w:t>Jaramillo</w:t>
      </w:r>
      <w:r w:rsidR="00732A9B" w:rsidRPr="00E349D9">
        <w:rPr>
          <w:szCs w:val="26"/>
        </w:rPr>
        <w:t>,</w:t>
      </w:r>
      <w:r w:rsidRPr="00E349D9">
        <w:rPr>
          <w:szCs w:val="26"/>
        </w:rPr>
        <w:t xml:space="preserve"> </w:t>
      </w:r>
      <w:r w:rsidR="00732A9B" w:rsidRPr="00E349D9">
        <w:rPr>
          <w:szCs w:val="26"/>
          <w:bdr w:val="none" w:sz="0" w:space="0" w:color="auto" w:frame="1"/>
        </w:rPr>
        <w:t>at pp.</w:t>
      </w:r>
      <w:r w:rsidR="00F74B1A" w:rsidRPr="00E349D9">
        <w:rPr>
          <w:szCs w:val="26"/>
        </w:rPr>
        <w:t> </w:t>
      </w:r>
      <w:r w:rsidR="00ED1643" w:rsidRPr="00E349D9">
        <w:rPr>
          <w:szCs w:val="26"/>
          <w:bdr w:val="none" w:sz="0" w:space="0" w:color="auto" w:frame="1"/>
        </w:rPr>
        <w:t>825–827</w:t>
      </w:r>
      <w:r w:rsidR="00146BB8" w:rsidRPr="00E349D9">
        <w:rPr>
          <w:szCs w:val="26"/>
        </w:rPr>
        <w:t xml:space="preserve">.)  </w:t>
      </w:r>
      <w:r w:rsidR="00FC5DA3" w:rsidRPr="00E349D9">
        <w:rPr>
          <w:szCs w:val="26"/>
        </w:rPr>
        <w:t xml:space="preserve">The court </w:t>
      </w:r>
      <w:r w:rsidR="00146BB8" w:rsidRPr="00E349D9">
        <w:rPr>
          <w:szCs w:val="26"/>
        </w:rPr>
        <w:t xml:space="preserve">concluded that “there is no question” that </w:t>
      </w:r>
      <w:r w:rsidR="00DD761E" w:rsidRPr="00E349D9">
        <w:rPr>
          <w:szCs w:val="26"/>
        </w:rPr>
        <w:t xml:space="preserve">the </w:t>
      </w:r>
      <w:r w:rsidR="00146BB8" w:rsidRPr="00E349D9">
        <w:rPr>
          <w:szCs w:val="26"/>
        </w:rPr>
        <w:t>assistant sheriff’s disclosure “fits within the literal definition of whistleblowing under Labor Code section 1102.5.”  (</w:t>
      </w:r>
      <w:r w:rsidR="000A69A9" w:rsidRPr="00E349D9">
        <w:rPr>
          <w:i/>
          <w:iCs/>
          <w:szCs w:val="26"/>
        </w:rPr>
        <w:t>Id.</w:t>
      </w:r>
      <w:r w:rsidR="00146BB8" w:rsidRPr="00E349D9">
        <w:rPr>
          <w:szCs w:val="26"/>
        </w:rPr>
        <w:t xml:space="preserve"> at pp.</w:t>
      </w:r>
      <w:r w:rsidR="00F74B1A" w:rsidRPr="00E349D9">
        <w:rPr>
          <w:szCs w:val="26"/>
        </w:rPr>
        <w:t> </w:t>
      </w:r>
      <w:r w:rsidR="00146BB8" w:rsidRPr="00E349D9">
        <w:rPr>
          <w:szCs w:val="26"/>
        </w:rPr>
        <w:t xml:space="preserve">825–826.)  </w:t>
      </w:r>
      <w:r w:rsidRPr="00E349D9">
        <w:rPr>
          <w:szCs w:val="26"/>
        </w:rPr>
        <w:t>A</w:t>
      </w:r>
      <w:r w:rsidR="00146BB8" w:rsidRPr="00E349D9">
        <w:rPr>
          <w:szCs w:val="26"/>
        </w:rPr>
        <w:t xml:space="preserve">lthough </w:t>
      </w:r>
      <w:r w:rsidR="00A92280" w:rsidRPr="00E349D9">
        <w:rPr>
          <w:szCs w:val="26"/>
        </w:rPr>
        <w:t xml:space="preserve">the </w:t>
      </w:r>
      <w:r w:rsidR="00146BB8" w:rsidRPr="00E349D9">
        <w:rPr>
          <w:szCs w:val="26"/>
        </w:rPr>
        <w:t>assistant sheriff</w:t>
      </w:r>
      <w:r w:rsidR="003123C9" w:rsidRPr="00E349D9">
        <w:rPr>
          <w:szCs w:val="26"/>
        </w:rPr>
        <w:t>’s disclosure</w:t>
      </w:r>
      <w:r w:rsidR="00146BB8" w:rsidRPr="00E349D9">
        <w:rPr>
          <w:szCs w:val="26"/>
        </w:rPr>
        <w:t xml:space="preserve"> would have been covered under section 1102.5(e),</w:t>
      </w:r>
      <w:r w:rsidRPr="00E349D9">
        <w:rPr>
          <w:szCs w:val="26"/>
        </w:rPr>
        <w:t xml:space="preserve"> which applies to “</w:t>
      </w:r>
      <w:r w:rsidR="003123C9" w:rsidRPr="00E349D9">
        <w:rPr>
          <w:szCs w:val="26"/>
        </w:rPr>
        <w:t>[a] report made by an employee of a government agency to their employer,”</w:t>
      </w:r>
      <w:r w:rsidR="00146BB8" w:rsidRPr="00E349D9">
        <w:rPr>
          <w:szCs w:val="26"/>
        </w:rPr>
        <w:t xml:space="preserve"> the </w:t>
      </w:r>
      <w:r w:rsidR="00146BB8" w:rsidRPr="00E349D9">
        <w:rPr>
          <w:i/>
          <w:iCs/>
          <w:szCs w:val="26"/>
        </w:rPr>
        <w:t>Jaramillo</w:t>
      </w:r>
      <w:r w:rsidR="00146BB8" w:rsidRPr="00E349D9">
        <w:rPr>
          <w:szCs w:val="26"/>
        </w:rPr>
        <w:t xml:space="preserve"> court </w:t>
      </w:r>
      <w:r w:rsidR="00A92280" w:rsidRPr="00E349D9">
        <w:rPr>
          <w:szCs w:val="26"/>
        </w:rPr>
        <w:t>referenced</w:t>
      </w:r>
      <w:r w:rsidR="00146BB8" w:rsidRPr="00E349D9">
        <w:rPr>
          <w:szCs w:val="26"/>
        </w:rPr>
        <w:t xml:space="preserve"> only section 1102.5(b) and ma</w:t>
      </w:r>
      <w:r w:rsidR="00A92280" w:rsidRPr="00E349D9">
        <w:rPr>
          <w:szCs w:val="26"/>
        </w:rPr>
        <w:t>de</w:t>
      </w:r>
      <w:r w:rsidR="00146BB8" w:rsidRPr="00E349D9">
        <w:rPr>
          <w:szCs w:val="26"/>
        </w:rPr>
        <w:t xml:space="preserve"> no distinction based on Jaramillo’s public employment.</w:t>
      </w:r>
    </w:p>
    <w:p w14:paraId="4A1616EC" w14:textId="68283AAA" w:rsidR="005915C9" w:rsidRPr="00E349D9" w:rsidRDefault="003123C9" w:rsidP="00D570DC">
      <w:pPr>
        <w:ind w:firstLine="720"/>
        <w:rPr>
          <w:szCs w:val="26"/>
        </w:rPr>
      </w:pPr>
      <w:r w:rsidRPr="00E349D9">
        <w:rPr>
          <w:szCs w:val="26"/>
        </w:rPr>
        <w:t>Instead</w:t>
      </w:r>
      <w:r w:rsidR="00146BB8" w:rsidRPr="00E349D9">
        <w:rPr>
          <w:szCs w:val="26"/>
        </w:rPr>
        <w:t>, the court note</w:t>
      </w:r>
      <w:r w:rsidR="00A92280" w:rsidRPr="00E349D9">
        <w:rPr>
          <w:szCs w:val="26"/>
        </w:rPr>
        <w:t>d</w:t>
      </w:r>
      <w:r w:rsidR="00146BB8" w:rsidRPr="00E349D9">
        <w:rPr>
          <w:szCs w:val="26"/>
        </w:rPr>
        <w:t xml:space="preserve"> that the defendant county’s “real complaint” about the statute </w:t>
      </w:r>
      <w:r w:rsidR="00A92280" w:rsidRPr="00E349D9">
        <w:rPr>
          <w:szCs w:val="26"/>
        </w:rPr>
        <w:t>wa</w:t>
      </w:r>
      <w:r w:rsidR="00146BB8" w:rsidRPr="00E349D9">
        <w:rPr>
          <w:szCs w:val="26"/>
        </w:rPr>
        <w:t xml:space="preserve">s that a disclosure made directly to the wrongdoer </w:t>
      </w:r>
      <w:r w:rsidR="00A92280" w:rsidRPr="00E349D9">
        <w:rPr>
          <w:szCs w:val="26"/>
        </w:rPr>
        <w:t>might ultimately prove</w:t>
      </w:r>
      <w:r w:rsidR="00146BB8" w:rsidRPr="00E349D9">
        <w:rPr>
          <w:szCs w:val="26"/>
        </w:rPr>
        <w:t xml:space="preserve"> ineffective, as that individual “may be the last person</w:t>
      </w:r>
      <w:r w:rsidR="00E258D5">
        <w:rPr>
          <w:szCs w:val="26"/>
        </w:rPr>
        <w:t> . . .</w:t>
      </w:r>
      <w:r w:rsidR="00146BB8" w:rsidRPr="00E349D9">
        <w:rPr>
          <w:szCs w:val="26"/>
        </w:rPr>
        <w:t xml:space="preserve"> willing to do anything about [the violation</w:t>
      </w:r>
      <w:r w:rsidR="001A73E1">
        <w:rPr>
          <w:szCs w:val="26"/>
        </w:rPr>
        <w:t>].</w:t>
      </w:r>
      <w:r w:rsidR="00146BB8" w:rsidRPr="00E349D9">
        <w:rPr>
          <w:szCs w:val="26"/>
        </w:rPr>
        <w:t>”  (</w:t>
      </w:r>
      <w:r w:rsidR="00ED1643" w:rsidRPr="00E349D9">
        <w:rPr>
          <w:i/>
          <w:iCs/>
          <w:szCs w:val="26"/>
        </w:rPr>
        <w:t>Jaramillo</w:t>
      </w:r>
      <w:r w:rsidR="00ED1643" w:rsidRPr="00E349D9">
        <w:rPr>
          <w:szCs w:val="26"/>
        </w:rPr>
        <w:t>,</w:t>
      </w:r>
      <w:r w:rsidR="00D570DC">
        <w:rPr>
          <w:szCs w:val="26"/>
        </w:rPr>
        <w:t xml:space="preserve"> </w:t>
      </w:r>
      <w:r w:rsidR="00D570DC">
        <w:rPr>
          <w:i/>
          <w:iCs/>
          <w:szCs w:val="26"/>
        </w:rPr>
        <w:t>supra</w:t>
      </w:r>
      <w:r w:rsidR="00D570DC">
        <w:rPr>
          <w:szCs w:val="26"/>
        </w:rPr>
        <w:t>, 200 Cal.App.4th</w:t>
      </w:r>
      <w:r w:rsidR="00146BB8" w:rsidRPr="00E349D9">
        <w:rPr>
          <w:szCs w:val="26"/>
        </w:rPr>
        <w:t xml:space="preserve"> at p.</w:t>
      </w:r>
      <w:r w:rsidR="00CB56E1" w:rsidRPr="00E349D9">
        <w:rPr>
          <w:szCs w:val="26"/>
        </w:rPr>
        <w:t> </w:t>
      </w:r>
      <w:r w:rsidR="00146BB8" w:rsidRPr="00E349D9">
        <w:rPr>
          <w:szCs w:val="26"/>
        </w:rPr>
        <w:t>827.)</w:t>
      </w:r>
      <w:r w:rsidR="00B7426E" w:rsidRPr="00E349D9">
        <w:rPr>
          <w:szCs w:val="26"/>
        </w:rPr>
        <w:t xml:space="preserve">  </w:t>
      </w:r>
      <w:r w:rsidR="007B74B1" w:rsidRPr="00E349D9">
        <w:rPr>
          <w:szCs w:val="26"/>
        </w:rPr>
        <w:t>On this point, the court responded that “the injunction obtained by Ja</w:t>
      </w:r>
      <w:r w:rsidR="0049044B" w:rsidRPr="00E349D9">
        <w:rPr>
          <w:szCs w:val="26"/>
        </w:rPr>
        <w:t>r</w:t>
      </w:r>
      <w:r w:rsidR="007B74B1" w:rsidRPr="00E349D9">
        <w:rPr>
          <w:szCs w:val="26"/>
        </w:rPr>
        <w:t>a</w:t>
      </w:r>
      <w:r w:rsidR="0049044B" w:rsidRPr="00E349D9">
        <w:rPr>
          <w:szCs w:val="26"/>
        </w:rPr>
        <w:t>m</w:t>
      </w:r>
      <w:r w:rsidR="007B74B1" w:rsidRPr="00E349D9">
        <w:rPr>
          <w:szCs w:val="26"/>
        </w:rPr>
        <w:t>illo established a ‘public benefit’ ” (</w:t>
      </w:r>
      <w:r w:rsidR="007B74B1" w:rsidRPr="00E349D9">
        <w:rPr>
          <w:i/>
          <w:iCs/>
          <w:szCs w:val="26"/>
        </w:rPr>
        <w:t>ibid.</w:t>
      </w:r>
      <w:r w:rsidR="007B74B1" w:rsidRPr="00E349D9">
        <w:rPr>
          <w:szCs w:val="26"/>
        </w:rPr>
        <w:t>) because it “</w:t>
      </w:r>
      <w:r w:rsidR="007B74B1" w:rsidRPr="00E349D9">
        <w:rPr>
          <w:szCs w:val="26"/>
          <w:shd w:val="clear" w:color="auto" w:fill="FFFFFF"/>
        </w:rPr>
        <w:t>will</w:t>
      </w:r>
      <w:r w:rsidR="00C14DD2">
        <w:rPr>
          <w:szCs w:val="26"/>
          <w:shd w:val="clear" w:color="auto" w:fill="FFFFFF"/>
        </w:rPr>
        <w:t> </w:t>
      </w:r>
      <w:r w:rsidR="007B74B1" w:rsidRPr="00E349D9">
        <w:rPr>
          <w:szCs w:val="26"/>
          <w:shd w:val="clear" w:color="auto" w:fill="FFFFFF"/>
        </w:rPr>
        <w:t>. . . inure to the benefit of the citizens and taxpayers of the County by lessening the probabilities of abuse and corruption in the sheriff's office” (</w:t>
      </w:r>
      <w:r w:rsidR="007B74B1" w:rsidRPr="00E349D9">
        <w:rPr>
          <w:i/>
          <w:iCs/>
          <w:szCs w:val="26"/>
          <w:shd w:val="clear" w:color="auto" w:fill="FFFFFF"/>
        </w:rPr>
        <w:t>id.</w:t>
      </w:r>
      <w:r w:rsidR="007B74B1" w:rsidRPr="00E349D9">
        <w:rPr>
          <w:szCs w:val="26"/>
          <w:shd w:val="clear" w:color="auto" w:fill="FFFFFF"/>
        </w:rPr>
        <w:t xml:space="preserve"> at p. 829), and that any “anomaly is properly addressed to the Legislature, not this court” (</w:t>
      </w:r>
      <w:r w:rsidR="007B74B1" w:rsidRPr="00E349D9">
        <w:rPr>
          <w:i/>
          <w:iCs/>
          <w:szCs w:val="26"/>
          <w:shd w:val="clear" w:color="auto" w:fill="FFFFFF"/>
        </w:rPr>
        <w:t>id.</w:t>
      </w:r>
      <w:r w:rsidR="007B74B1" w:rsidRPr="00E349D9">
        <w:rPr>
          <w:szCs w:val="26"/>
        </w:rPr>
        <w:t xml:space="preserve"> at p. 827).  </w:t>
      </w:r>
      <w:r w:rsidR="000A69A9" w:rsidRPr="00E349D9">
        <w:rPr>
          <w:szCs w:val="26"/>
        </w:rPr>
        <w:t>In a recent decision, the Ninth Circuit agreed with this reading of section 1102.5(b).  (</w:t>
      </w:r>
      <w:r w:rsidR="000A69A9" w:rsidRPr="00E349D9">
        <w:rPr>
          <w:i/>
          <w:iCs/>
          <w:szCs w:val="26"/>
          <w:bdr w:val="none" w:sz="0" w:space="0" w:color="auto" w:frame="1"/>
        </w:rPr>
        <w:t>Killgore v. SpecPro Professional Services, LLC</w:t>
      </w:r>
      <w:r w:rsidR="000A69A9" w:rsidRPr="00E349D9">
        <w:rPr>
          <w:szCs w:val="26"/>
          <w:bdr w:val="none" w:sz="0" w:space="0" w:color="auto" w:frame="1"/>
        </w:rPr>
        <w:t> (9th Cir. 2022) 51 F.4th 973</w:t>
      </w:r>
      <w:r w:rsidR="009E3543" w:rsidRPr="00E349D9">
        <w:rPr>
          <w:szCs w:val="26"/>
          <w:bdr w:val="none" w:sz="0" w:space="0" w:color="auto" w:frame="1"/>
        </w:rPr>
        <w:t>, 988</w:t>
      </w:r>
      <w:r w:rsidR="000A69A9" w:rsidRPr="00E349D9">
        <w:rPr>
          <w:szCs w:val="26"/>
        </w:rPr>
        <w:t xml:space="preserve"> [“</w:t>
      </w:r>
      <w:r w:rsidR="00E70980">
        <w:rPr>
          <w:szCs w:val="26"/>
        </w:rPr>
        <w:t xml:space="preserve">[T]he </w:t>
      </w:r>
      <w:r w:rsidR="000A69A9" w:rsidRPr="00E349D9">
        <w:rPr>
          <w:szCs w:val="26"/>
          <w:shd w:val="clear" w:color="auto" w:fill="FFFFFF"/>
        </w:rPr>
        <w:t>district court misapplied California law when it rejected evidence of [</w:t>
      </w:r>
      <w:r w:rsidR="00E70980">
        <w:rPr>
          <w:szCs w:val="26"/>
          <w:shd w:val="clear" w:color="auto" w:fill="FFFFFF"/>
        </w:rPr>
        <w:t xml:space="preserve">the </w:t>
      </w:r>
      <w:r w:rsidR="000A69A9" w:rsidRPr="00E349D9">
        <w:rPr>
          <w:szCs w:val="26"/>
          <w:shd w:val="clear" w:color="auto" w:fill="FFFFFF"/>
        </w:rPr>
        <w:t>employee’s] disclosures </w:t>
      </w:r>
      <w:r w:rsidR="007D0E1F" w:rsidRPr="00E349D9">
        <w:rPr>
          <w:szCs w:val="26"/>
          <w:shd w:val="clear" w:color="auto" w:fill="FFFFFF"/>
        </w:rPr>
        <w:t>. . .</w:t>
      </w:r>
      <w:r w:rsidR="000A69A9" w:rsidRPr="00E349D9">
        <w:rPr>
          <w:szCs w:val="26"/>
          <w:shd w:val="clear" w:color="auto" w:fill="FFFFFF"/>
        </w:rPr>
        <w:t xml:space="preserve"> because [</w:t>
      </w:r>
      <w:r w:rsidR="006A1561">
        <w:rPr>
          <w:szCs w:val="26"/>
          <w:shd w:val="clear" w:color="auto" w:fill="FFFFFF"/>
        </w:rPr>
        <w:t xml:space="preserve">the </w:t>
      </w:r>
      <w:r w:rsidR="000A69A9" w:rsidRPr="00E349D9">
        <w:rPr>
          <w:szCs w:val="26"/>
          <w:shd w:val="clear" w:color="auto" w:fill="FFFFFF"/>
        </w:rPr>
        <w:t>recipient] was assertedly involved in the wrongful conduct</w:t>
      </w:r>
      <w:r w:rsidR="006A1561">
        <w:rPr>
          <w:szCs w:val="26"/>
          <w:shd w:val="clear" w:color="auto" w:fill="FFFFFF"/>
        </w:rPr>
        <w:t>.</w:t>
      </w:r>
      <w:r w:rsidR="000A69A9" w:rsidRPr="00E349D9">
        <w:rPr>
          <w:szCs w:val="26"/>
          <w:shd w:val="clear" w:color="auto" w:fill="FFFFFF"/>
        </w:rPr>
        <w:t>”]</w:t>
      </w:r>
      <w:r w:rsidR="00083753">
        <w:rPr>
          <w:szCs w:val="26"/>
          <w:shd w:val="clear" w:color="auto" w:fill="FFFFFF"/>
        </w:rPr>
        <w:t>.</w:t>
      </w:r>
      <w:r w:rsidR="000A69A9" w:rsidRPr="00E349D9">
        <w:rPr>
          <w:szCs w:val="26"/>
          <w:shd w:val="clear" w:color="auto" w:fill="FFFFFF"/>
        </w:rPr>
        <w:t>)</w:t>
      </w:r>
    </w:p>
    <w:p w14:paraId="65AF4BD8" w14:textId="371B828D" w:rsidR="00D570DC" w:rsidRDefault="007B74B1" w:rsidP="0087786A">
      <w:pPr>
        <w:autoSpaceDE w:val="0"/>
        <w:autoSpaceDN w:val="0"/>
        <w:adjustRightInd w:val="0"/>
        <w:ind w:firstLine="720"/>
        <w:rPr>
          <w:szCs w:val="26"/>
        </w:rPr>
      </w:pPr>
      <w:r w:rsidRPr="00E349D9">
        <w:rPr>
          <w:szCs w:val="26"/>
        </w:rPr>
        <w:t>P</w:t>
      </w:r>
      <w:r w:rsidR="00251086" w:rsidRPr="00E349D9">
        <w:rPr>
          <w:szCs w:val="26"/>
        </w:rPr>
        <w:t>arallel whistleblower protections in federal law are also instructive</w:t>
      </w:r>
      <w:r w:rsidR="00BE6254" w:rsidRPr="00E349D9">
        <w:rPr>
          <w:szCs w:val="26"/>
        </w:rPr>
        <w:t>.</w:t>
      </w:r>
      <w:r w:rsidR="00251086" w:rsidRPr="00E349D9">
        <w:rPr>
          <w:szCs w:val="26"/>
        </w:rPr>
        <w:t xml:space="preserve">  </w:t>
      </w:r>
      <w:r w:rsidRPr="00E349D9">
        <w:rPr>
          <w:szCs w:val="26"/>
        </w:rPr>
        <w:t xml:space="preserve">As noted in </w:t>
      </w:r>
      <w:r w:rsidR="00ED5193" w:rsidRPr="00E349D9">
        <w:rPr>
          <w:szCs w:val="26"/>
        </w:rPr>
        <w:t>Justice Fybel</w:t>
      </w:r>
      <w:r w:rsidR="008B6AC4" w:rsidRPr="00E349D9">
        <w:rPr>
          <w:szCs w:val="26"/>
        </w:rPr>
        <w:t>’</w:t>
      </w:r>
      <w:r w:rsidR="00ED5193" w:rsidRPr="00E349D9">
        <w:rPr>
          <w:szCs w:val="26"/>
        </w:rPr>
        <w:t xml:space="preserve">s dissent </w:t>
      </w:r>
      <w:r w:rsidRPr="00E349D9">
        <w:rPr>
          <w:szCs w:val="26"/>
        </w:rPr>
        <w:t xml:space="preserve">and </w:t>
      </w:r>
      <w:r w:rsidR="00ED5193" w:rsidRPr="00E349D9">
        <w:rPr>
          <w:szCs w:val="26"/>
        </w:rPr>
        <w:t xml:space="preserve">the </w:t>
      </w:r>
      <w:r w:rsidR="00397554" w:rsidRPr="00E349D9">
        <w:rPr>
          <w:szCs w:val="26"/>
        </w:rPr>
        <w:t xml:space="preserve">Labor </w:t>
      </w:r>
      <w:r w:rsidR="00ED5193" w:rsidRPr="00E349D9">
        <w:rPr>
          <w:szCs w:val="26"/>
        </w:rPr>
        <w:t>Commissioner</w:t>
      </w:r>
      <w:r w:rsidRPr="00E349D9">
        <w:rPr>
          <w:szCs w:val="26"/>
        </w:rPr>
        <w:t>’s briefing here</w:t>
      </w:r>
      <w:r w:rsidR="00ED5193" w:rsidRPr="00E349D9">
        <w:rPr>
          <w:szCs w:val="26"/>
        </w:rPr>
        <w:t xml:space="preserve">, </w:t>
      </w:r>
      <w:r w:rsidR="00ED5193" w:rsidRPr="00E349D9">
        <w:rPr>
          <w:i/>
          <w:iCs/>
          <w:szCs w:val="26"/>
        </w:rPr>
        <w:t>Mize-Kurzman</w:t>
      </w:r>
      <w:r w:rsidR="00ED5193" w:rsidRPr="00E349D9">
        <w:rPr>
          <w:szCs w:val="26"/>
        </w:rPr>
        <w:t xml:space="preserve"> rested on federal precedent </w:t>
      </w:r>
      <w:r w:rsidR="008A1E3C" w:rsidRPr="00E349D9">
        <w:rPr>
          <w:szCs w:val="26"/>
        </w:rPr>
        <w:t>subsequently</w:t>
      </w:r>
      <w:r w:rsidR="00ED5193" w:rsidRPr="00E349D9">
        <w:rPr>
          <w:szCs w:val="26"/>
        </w:rPr>
        <w:t xml:space="preserve"> </w:t>
      </w:r>
      <w:r w:rsidR="006165AE" w:rsidRPr="00E349D9">
        <w:rPr>
          <w:szCs w:val="26"/>
        </w:rPr>
        <w:t xml:space="preserve">abrogated </w:t>
      </w:r>
      <w:r w:rsidR="00ED5193" w:rsidRPr="00E349D9">
        <w:rPr>
          <w:szCs w:val="26"/>
        </w:rPr>
        <w:t xml:space="preserve">by Congress. </w:t>
      </w:r>
      <w:r w:rsidR="00F02426" w:rsidRPr="00E349D9">
        <w:rPr>
          <w:szCs w:val="26"/>
        </w:rPr>
        <w:t xml:space="preserve"> </w:t>
      </w:r>
      <w:r w:rsidR="00ED5193" w:rsidRPr="00E349D9">
        <w:rPr>
          <w:szCs w:val="26"/>
        </w:rPr>
        <w:t xml:space="preserve">In 2012, Congress passed the </w:t>
      </w:r>
      <w:bookmarkStart w:id="16" w:name="_Hlk131412469"/>
      <w:r w:rsidR="00ED5193" w:rsidRPr="00E349D9">
        <w:rPr>
          <w:szCs w:val="26"/>
        </w:rPr>
        <w:t>Whistleblower Protection Enhancement Act</w:t>
      </w:r>
      <w:r w:rsidR="006921BA" w:rsidRPr="00E349D9">
        <w:rPr>
          <w:szCs w:val="26"/>
        </w:rPr>
        <w:t xml:space="preserve"> </w:t>
      </w:r>
      <w:r w:rsidR="00E258D5">
        <w:rPr>
          <w:szCs w:val="26"/>
        </w:rPr>
        <w:t xml:space="preserve">of 2012 </w:t>
      </w:r>
      <w:r w:rsidR="006921BA" w:rsidRPr="00E349D9">
        <w:rPr>
          <w:szCs w:val="26"/>
        </w:rPr>
        <w:t>(WPEA)</w:t>
      </w:r>
      <w:r w:rsidR="00E258D5">
        <w:rPr>
          <w:szCs w:val="26"/>
        </w:rPr>
        <w:t xml:space="preserve"> (Pub.L. No. 112-199 (Nov. 27, 2012) 126 Stat. 1465)</w:t>
      </w:r>
      <w:r w:rsidR="00ED5193" w:rsidRPr="00E349D9">
        <w:rPr>
          <w:szCs w:val="26"/>
        </w:rPr>
        <w:t xml:space="preserve">, an update to the Whistleblower Protection Act </w:t>
      </w:r>
      <w:r w:rsidR="006921BA" w:rsidRPr="00E349D9">
        <w:rPr>
          <w:szCs w:val="26"/>
        </w:rPr>
        <w:t>(WPA)</w:t>
      </w:r>
      <w:r w:rsidR="00BE6254" w:rsidRPr="00E349D9">
        <w:rPr>
          <w:szCs w:val="26"/>
        </w:rPr>
        <w:t>,</w:t>
      </w:r>
      <w:bookmarkEnd w:id="16"/>
      <w:r w:rsidR="006921BA" w:rsidRPr="00E349D9">
        <w:rPr>
          <w:szCs w:val="26"/>
        </w:rPr>
        <w:t xml:space="preserve"> </w:t>
      </w:r>
      <w:r w:rsidR="00ED5193" w:rsidRPr="00E349D9">
        <w:rPr>
          <w:szCs w:val="26"/>
        </w:rPr>
        <w:t>that “</w:t>
      </w:r>
      <w:r w:rsidR="00492B65" w:rsidRPr="00E349D9">
        <w:rPr>
          <w:szCs w:val="26"/>
        </w:rPr>
        <w:t>clarif[ied]</w:t>
      </w:r>
      <w:r w:rsidR="00ED5193" w:rsidRPr="00E349D9">
        <w:rPr>
          <w:szCs w:val="26"/>
        </w:rPr>
        <w:t xml:space="preserve"> the broad meaning” of disclosure to correct Federal Circuit precedent </w:t>
      </w:r>
      <w:r w:rsidR="00BE6254" w:rsidRPr="00E349D9">
        <w:rPr>
          <w:szCs w:val="26"/>
        </w:rPr>
        <w:t xml:space="preserve">that had </w:t>
      </w:r>
      <w:r w:rsidR="00ED5193" w:rsidRPr="00E349D9">
        <w:rPr>
          <w:szCs w:val="26"/>
        </w:rPr>
        <w:t>“wrongly accorded a narrow definition to the type of disclosure that qualifies for whistleblower protection.”</w:t>
      </w:r>
      <w:r w:rsidR="00492B65" w:rsidRPr="00E349D9">
        <w:rPr>
          <w:szCs w:val="26"/>
        </w:rPr>
        <w:t xml:space="preserve"> </w:t>
      </w:r>
      <w:r w:rsidR="00ED5193" w:rsidRPr="00E349D9">
        <w:rPr>
          <w:szCs w:val="26"/>
        </w:rPr>
        <w:t xml:space="preserve"> (</w:t>
      </w:r>
      <w:r w:rsidR="00E676CB" w:rsidRPr="00E349D9">
        <w:rPr>
          <w:szCs w:val="26"/>
        </w:rPr>
        <w:t>Sen.</w:t>
      </w:r>
      <w:r w:rsidR="00493CFB" w:rsidRPr="00E349D9">
        <w:rPr>
          <w:szCs w:val="26"/>
        </w:rPr>
        <w:t>Rep.</w:t>
      </w:r>
      <w:r w:rsidR="00E820E1" w:rsidRPr="00E349D9">
        <w:rPr>
          <w:szCs w:val="26"/>
        </w:rPr>
        <w:t xml:space="preserve"> </w:t>
      </w:r>
      <w:r w:rsidR="00724BBD" w:rsidRPr="00E349D9">
        <w:rPr>
          <w:szCs w:val="26"/>
        </w:rPr>
        <w:t>No. </w:t>
      </w:r>
      <w:r w:rsidR="00E820E1" w:rsidRPr="00E349D9">
        <w:rPr>
          <w:szCs w:val="26"/>
        </w:rPr>
        <w:t>112</w:t>
      </w:r>
      <w:r w:rsidR="00332813">
        <w:rPr>
          <w:szCs w:val="26"/>
        </w:rPr>
        <w:t>-</w:t>
      </w:r>
      <w:r w:rsidR="00E820E1" w:rsidRPr="00E349D9">
        <w:rPr>
          <w:szCs w:val="26"/>
        </w:rPr>
        <w:t>155, 2d Sess., p</w:t>
      </w:r>
      <w:r w:rsidR="004950F9" w:rsidRPr="00E349D9">
        <w:rPr>
          <w:szCs w:val="26"/>
        </w:rPr>
        <w:t>p</w:t>
      </w:r>
      <w:r w:rsidR="00E820E1" w:rsidRPr="00E349D9">
        <w:rPr>
          <w:szCs w:val="26"/>
        </w:rPr>
        <w:t>.</w:t>
      </w:r>
      <w:r w:rsidR="00CB56E1" w:rsidRPr="00E349D9">
        <w:rPr>
          <w:szCs w:val="26"/>
        </w:rPr>
        <w:t> </w:t>
      </w:r>
      <w:r w:rsidR="00E820E1" w:rsidRPr="00E349D9">
        <w:rPr>
          <w:szCs w:val="26"/>
        </w:rPr>
        <w:t>2</w:t>
      </w:r>
      <w:r w:rsidR="004950F9" w:rsidRPr="00E349D9">
        <w:rPr>
          <w:szCs w:val="26"/>
        </w:rPr>
        <w:t>, 5</w:t>
      </w:r>
      <w:r w:rsidR="00E820E1" w:rsidRPr="00E349D9">
        <w:rPr>
          <w:szCs w:val="26"/>
        </w:rPr>
        <w:t xml:space="preserve"> (2012)</w:t>
      </w:r>
      <w:r w:rsidR="00ED5193" w:rsidRPr="00E349D9">
        <w:rPr>
          <w:szCs w:val="26"/>
        </w:rPr>
        <w:t xml:space="preserve"> [</w:t>
      </w:r>
      <w:r w:rsidR="00BE6254" w:rsidRPr="00E349D9">
        <w:rPr>
          <w:szCs w:val="26"/>
        </w:rPr>
        <w:t xml:space="preserve">WPEA </w:t>
      </w:r>
      <w:r w:rsidR="000F2757" w:rsidRPr="00E349D9">
        <w:rPr>
          <w:szCs w:val="26"/>
        </w:rPr>
        <w:t>overrul</w:t>
      </w:r>
      <w:r w:rsidR="00BE6254" w:rsidRPr="00E349D9">
        <w:rPr>
          <w:szCs w:val="26"/>
        </w:rPr>
        <w:t>ed</w:t>
      </w:r>
      <w:r w:rsidR="00ED5193" w:rsidRPr="00E349D9">
        <w:rPr>
          <w:szCs w:val="26"/>
        </w:rPr>
        <w:t xml:space="preserve">, among other cases, </w:t>
      </w:r>
      <w:r w:rsidR="00ED5193" w:rsidRPr="00E349D9">
        <w:rPr>
          <w:i/>
          <w:iCs/>
          <w:szCs w:val="26"/>
        </w:rPr>
        <w:t>Horton v. Department of Navy</w:t>
      </w:r>
      <w:r w:rsidR="00CB56E1" w:rsidRPr="00E349D9">
        <w:rPr>
          <w:szCs w:val="26"/>
        </w:rPr>
        <w:t> </w:t>
      </w:r>
      <w:r w:rsidR="00861E01" w:rsidRPr="00E349D9">
        <w:rPr>
          <w:bdr w:val="none" w:sz="0" w:space="0" w:color="auto" w:frame="1"/>
        </w:rPr>
        <w:t>(Fed.Cir. 1995) 66 F.3d 279, 282</w:t>
      </w:r>
      <w:r w:rsidR="00907995" w:rsidRPr="00E349D9">
        <w:rPr>
          <w:szCs w:val="26"/>
        </w:rPr>
        <w:t>, which held</w:t>
      </w:r>
      <w:r w:rsidR="00ED5193" w:rsidRPr="00E349D9">
        <w:rPr>
          <w:szCs w:val="26"/>
        </w:rPr>
        <w:t xml:space="preserve"> disclosures to </w:t>
      </w:r>
      <w:r w:rsidR="00D20F62">
        <w:rPr>
          <w:szCs w:val="26"/>
        </w:rPr>
        <w:t>an</w:t>
      </w:r>
      <w:r w:rsidR="00B47D19">
        <w:rPr>
          <w:szCs w:val="26"/>
        </w:rPr>
        <w:t xml:space="preserve"> </w:t>
      </w:r>
      <w:r w:rsidR="00ED5193" w:rsidRPr="00E349D9">
        <w:rPr>
          <w:szCs w:val="26"/>
        </w:rPr>
        <w:t>alleged</w:t>
      </w:r>
      <w:r w:rsidR="00ED5193" w:rsidRPr="00E349D9">
        <w:rPr>
          <w:i/>
          <w:iCs/>
          <w:szCs w:val="26"/>
        </w:rPr>
        <w:t xml:space="preserve"> </w:t>
      </w:r>
      <w:r w:rsidR="00ED5193" w:rsidRPr="00E349D9">
        <w:rPr>
          <w:szCs w:val="26"/>
        </w:rPr>
        <w:t xml:space="preserve">wrongdoer </w:t>
      </w:r>
      <w:r w:rsidR="00D20F62">
        <w:rPr>
          <w:szCs w:val="26"/>
        </w:rPr>
        <w:t xml:space="preserve">are </w:t>
      </w:r>
      <w:r w:rsidR="00ED5193" w:rsidRPr="00E349D9">
        <w:rPr>
          <w:szCs w:val="26"/>
        </w:rPr>
        <w:t xml:space="preserve">not protected because disclosures </w:t>
      </w:r>
      <w:r w:rsidR="002D15D2">
        <w:rPr>
          <w:szCs w:val="26"/>
        </w:rPr>
        <w:t xml:space="preserve">were </w:t>
      </w:r>
      <w:r w:rsidR="00ED5193" w:rsidRPr="00E349D9">
        <w:rPr>
          <w:szCs w:val="26"/>
        </w:rPr>
        <w:t>not</w:t>
      </w:r>
      <w:r w:rsidR="00ED5193" w:rsidRPr="00E349D9">
        <w:rPr>
          <w:i/>
          <w:iCs/>
          <w:szCs w:val="26"/>
        </w:rPr>
        <w:t xml:space="preserve"> </w:t>
      </w:r>
      <w:r w:rsidR="00ED5193" w:rsidRPr="00E349D9">
        <w:rPr>
          <w:szCs w:val="26"/>
        </w:rPr>
        <w:t xml:space="preserve">made to someone in </w:t>
      </w:r>
      <w:r w:rsidR="00B47D19">
        <w:rPr>
          <w:szCs w:val="26"/>
        </w:rPr>
        <w:t xml:space="preserve">a </w:t>
      </w:r>
      <w:r w:rsidR="00ED5193" w:rsidRPr="00E349D9">
        <w:rPr>
          <w:szCs w:val="26"/>
        </w:rPr>
        <w:t>position to remedy wrongdoing</w:t>
      </w:r>
      <w:r w:rsidR="00D570DC">
        <w:rPr>
          <w:szCs w:val="26"/>
        </w:rPr>
        <w:t>,</w:t>
      </w:r>
      <w:r w:rsidR="00B261DC">
        <w:rPr>
          <w:szCs w:val="26"/>
        </w:rPr>
        <w:t xml:space="preserve"> and </w:t>
      </w:r>
      <w:r w:rsidR="00B261DC">
        <w:rPr>
          <w:i/>
          <w:iCs/>
          <w:szCs w:val="26"/>
        </w:rPr>
        <w:t>Meuwissen v. Department of</w:t>
      </w:r>
      <w:r w:rsidR="00774DBB">
        <w:rPr>
          <w:i/>
          <w:iCs/>
          <w:szCs w:val="26"/>
        </w:rPr>
        <w:t xml:space="preserve"> Interior </w:t>
      </w:r>
      <w:r w:rsidR="00774DBB">
        <w:rPr>
          <w:szCs w:val="26"/>
        </w:rPr>
        <w:t>(</w:t>
      </w:r>
      <w:r w:rsidR="00B47D19">
        <w:rPr>
          <w:szCs w:val="26"/>
        </w:rPr>
        <w:t xml:space="preserve">Fed.Cir. </w:t>
      </w:r>
      <w:r w:rsidR="00774DBB">
        <w:rPr>
          <w:szCs w:val="26"/>
        </w:rPr>
        <w:t>2000)</w:t>
      </w:r>
      <w:r w:rsidR="002C53D1">
        <w:rPr>
          <w:szCs w:val="26"/>
        </w:rPr>
        <w:t xml:space="preserve"> 234 F.3d 9, 12–13, which</w:t>
      </w:r>
      <w:r w:rsidR="00492B65" w:rsidRPr="00E349D9">
        <w:rPr>
          <w:szCs w:val="26"/>
        </w:rPr>
        <w:t xml:space="preserve"> </w:t>
      </w:r>
      <w:r w:rsidR="002C53D1">
        <w:rPr>
          <w:szCs w:val="26"/>
        </w:rPr>
        <w:t xml:space="preserve">held </w:t>
      </w:r>
      <w:r w:rsidR="00545716">
        <w:rPr>
          <w:szCs w:val="26"/>
        </w:rPr>
        <w:t>disclosures must reveal information that is concealed or not publicly known</w:t>
      </w:r>
      <w:r w:rsidR="00B47D19">
        <w:rPr>
          <w:szCs w:val="26"/>
        </w:rPr>
        <w:t>]</w:t>
      </w:r>
      <w:r w:rsidR="00CF5D3D">
        <w:rPr>
          <w:szCs w:val="26"/>
        </w:rPr>
        <w:t xml:space="preserve">; see also </w:t>
      </w:r>
      <w:r w:rsidR="005A5144">
        <w:rPr>
          <w:szCs w:val="26"/>
        </w:rPr>
        <w:t>5 U.S.C. § 2302(f)(1)</w:t>
      </w:r>
      <w:r w:rsidR="00E37E5C">
        <w:rPr>
          <w:szCs w:val="26"/>
        </w:rPr>
        <w:t>(A)–(B)</w:t>
      </w:r>
      <w:r w:rsidR="00FE110E">
        <w:rPr>
          <w:szCs w:val="26"/>
        </w:rPr>
        <w:t xml:space="preserve"> [</w:t>
      </w:r>
      <w:r w:rsidR="00743201">
        <w:rPr>
          <w:szCs w:val="26"/>
        </w:rPr>
        <w:t>confirming that</w:t>
      </w:r>
      <w:r w:rsidR="00030939">
        <w:rPr>
          <w:szCs w:val="26"/>
        </w:rPr>
        <w:t xml:space="preserve"> </w:t>
      </w:r>
      <w:r w:rsidR="00743201">
        <w:rPr>
          <w:szCs w:val="26"/>
        </w:rPr>
        <w:t>anti</w:t>
      </w:r>
      <w:r w:rsidR="00A53740">
        <w:rPr>
          <w:szCs w:val="26"/>
        </w:rPr>
        <w:t xml:space="preserve">retaliation </w:t>
      </w:r>
      <w:r w:rsidR="00743201">
        <w:rPr>
          <w:szCs w:val="26"/>
        </w:rPr>
        <w:t xml:space="preserve">protection is available </w:t>
      </w:r>
      <w:r w:rsidR="00A53740">
        <w:rPr>
          <w:szCs w:val="26"/>
        </w:rPr>
        <w:t>for disclosures that</w:t>
      </w:r>
      <w:r w:rsidR="00643683">
        <w:rPr>
          <w:szCs w:val="26"/>
        </w:rPr>
        <w:t xml:space="preserve"> </w:t>
      </w:r>
      <w:r w:rsidR="007B2E34">
        <w:rPr>
          <w:szCs w:val="26"/>
        </w:rPr>
        <w:t>are</w:t>
      </w:r>
      <w:r w:rsidR="00643683">
        <w:rPr>
          <w:szCs w:val="26"/>
        </w:rPr>
        <w:t xml:space="preserve"> “made to a supervisor or to a person who participated in</w:t>
      </w:r>
      <w:r w:rsidR="007B2E34">
        <w:rPr>
          <w:szCs w:val="26"/>
        </w:rPr>
        <w:t xml:space="preserve">” the alleged wrongdoing </w:t>
      </w:r>
      <w:r w:rsidR="007C10F1">
        <w:rPr>
          <w:szCs w:val="26"/>
        </w:rPr>
        <w:t>or that “reveal[] information that had been previously disclosed”].</w:t>
      </w:r>
      <w:r w:rsidR="00B47D19">
        <w:rPr>
          <w:szCs w:val="26"/>
        </w:rPr>
        <w:t>)</w:t>
      </w:r>
    </w:p>
    <w:p w14:paraId="2BFBCB3A" w14:textId="07F2F46A" w:rsidR="00ED5193" w:rsidRPr="00E349D9" w:rsidRDefault="00BE6254" w:rsidP="0087786A">
      <w:pPr>
        <w:autoSpaceDE w:val="0"/>
        <w:autoSpaceDN w:val="0"/>
        <w:adjustRightInd w:val="0"/>
        <w:ind w:firstLine="720"/>
        <w:rPr>
          <w:szCs w:val="26"/>
        </w:rPr>
      </w:pPr>
      <w:r w:rsidRPr="00E349D9">
        <w:rPr>
          <w:szCs w:val="26"/>
        </w:rPr>
        <w:t>Of course, c</w:t>
      </w:r>
      <w:r w:rsidR="00ED5193" w:rsidRPr="00E349D9">
        <w:rPr>
          <w:szCs w:val="26"/>
        </w:rPr>
        <w:t xml:space="preserve">ongressional disapproval of federal court decisions interpreting similar statutes </w:t>
      </w:r>
      <w:r w:rsidRPr="00E349D9">
        <w:rPr>
          <w:szCs w:val="26"/>
        </w:rPr>
        <w:t>do</w:t>
      </w:r>
      <w:r w:rsidR="00A23B73" w:rsidRPr="00E349D9">
        <w:rPr>
          <w:szCs w:val="26"/>
        </w:rPr>
        <w:t>es</w:t>
      </w:r>
      <w:r w:rsidRPr="00E349D9">
        <w:rPr>
          <w:szCs w:val="26"/>
        </w:rPr>
        <w:t xml:space="preserve"> not control</w:t>
      </w:r>
      <w:r w:rsidR="00ED5193" w:rsidRPr="00E349D9">
        <w:rPr>
          <w:szCs w:val="26"/>
        </w:rPr>
        <w:t xml:space="preserve"> the meaning of the term </w:t>
      </w:r>
      <w:r w:rsidRPr="00E349D9">
        <w:rPr>
          <w:szCs w:val="26"/>
        </w:rPr>
        <w:t>“</w:t>
      </w:r>
      <w:r w:rsidR="00ED5193" w:rsidRPr="00E349D9">
        <w:rPr>
          <w:szCs w:val="26"/>
        </w:rPr>
        <w:t>disclose</w:t>
      </w:r>
      <w:r w:rsidRPr="00E349D9">
        <w:rPr>
          <w:szCs w:val="26"/>
        </w:rPr>
        <w:t>”</w:t>
      </w:r>
      <w:r w:rsidR="00ED5193" w:rsidRPr="00E349D9">
        <w:rPr>
          <w:szCs w:val="26"/>
        </w:rPr>
        <w:t xml:space="preserve"> as used in California law</w:t>
      </w:r>
      <w:r w:rsidRPr="00E349D9">
        <w:rPr>
          <w:szCs w:val="26"/>
        </w:rPr>
        <w:t xml:space="preserve">.  But </w:t>
      </w:r>
      <w:r w:rsidR="00ED5193" w:rsidRPr="00E349D9">
        <w:rPr>
          <w:szCs w:val="26"/>
        </w:rPr>
        <w:t>Congress</w:t>
      </w:r>
      <w:r w:rsidR="008B6AC4" w:rsidRPr="00E349D9">
        <w:rPr>
          <w:szCs w:val="26"/>
        </w:rPr>
        <w:t>’</w:t>
      </w:r>
      <w:r w:rsidR="00ED5193" w:rsidRPr="00E349D9">
        <w:rPr>
          <w:szCs w:val="26"/>
        </w:rPr>
        <w:t xml:space="preserve">s clear statement that </w:t>
      </w:r>
      <w:r w:rsidR="008655A5" w:rsidRPr="00E349D9">
        <w:rPr>
          <w:szCs w:val="26"/>
        </w:rPr>
        <w:t xml:space="preserve">the </w:t>
      </w:r>
      <w:r w:rsidR="00ED5193" w:rsidRPr="00E349D9">
        <w:rPr>
          <w:szCs w:val="26"/>
        </w:rPr>
        <w:t xml:space="preserve">protection of disclosures </w:t>
      </w:r>
      <w:r w:rsidR="008655A5" w:rsidRPr="00E349D9">
        <w:rPr>
          <w:szCs w:val="26"/>
        </w:rPr>
        <w:t xml:space="preserve">made </w:t>
      </w:r>
      <w:r w:rsidR="00ED5193" w:rsidRPr="00E349D9">
        <w:rPr>
          <w:szCs w:val="26"/>
        </w:rPr>
        <w:t>to the alleged wrongdoer is “required by the plain language of the WPA” (</w:t>
      </w:r>
      <w:r w:rsidR="002F0B5A" w:rsidRPr="00E349D9">
        <w:rPr>
          <w:szCs w:val="26"/>
        </w:rPr>
        <w:t>Sen.Rep. No.</w:t>
      </w:r>
      <w:r w:rsidR="00724BBD" w:rsidRPr="00E349D9">
        <w:rPr>
          <w:szCs w:val="26"/>
        </w:rPr>
        <w:t> </w:t>
      </w:r>
      <w:r w:rsidR="002F0B5A" w:rsidRPr="00E349D9">
        <w:rPr>
          <w:szCs w:val="26"/>
        </w:rPr>
        <w:t>112</w:t>
      </w:r>
      <w:r w:rsidR="00332813">
        <w:rPr>
          <w:szCs w:val="26"/>
        </w:rPr>
        <w:t>-</w:t>
      </w:r>
      <w:r w:rsidR="002F0B5A" w:rsidRPr="00E349D9">
        <w:rPr>
          <w:szCs w:val="26"/>
        </w:rPr>
        <w:t xml:space="preserve">155, </w:t>
      </w:r>
      <w:r w:rsidR="000C6112">
        <w:rPr>
          <w:szCs w:val="26"/>
        </w:rPr>
        <w:t xml:space="preserve">2d Sess., </w:t>
      </w:r>
      <w:r w:rsidR="000C6112">
        <w:rPr>
          <w:i/>
          <w:iCs/>
          <w:szCs w:val="26"/>
        </w:rPr>
        <w:t>supra</w:t>
      </w:r>
      <w:r w:rsidR="000C6112">
        <w:rPr>
          <w:szCs w:val="26"/>
        </w:rPr>
        <w:t>,</w:t>
      </w:r>
      <w:r w:rsidR="000C6112">
        <w:rPr>
          <w:i/>
          <w:iCs/>
          <w:szCs w:val="26"/>
        </w:rPr>
        <w:t xml:space="preserve"> </w:t>
      </w:r>
      <w:r w:rsidRPr="00E349D9">
        <w:rPr>
          <w:szCs w:val="26"/>
        </w:rPr>
        <w:t xml:space="preserve">at </w:t>
      </w:r>
      <w:r w:rsidR="002F0B5A" w:rsidRPr="00E349D9">
        <w:rPr>
          <w:szCs w:val="26"/>
        </w:rPr>
        <w:t>p.</w:t>
      </w:r>
      <w:r w:rsidRPr="00E349D9">
        <w:rPr>
          <w:szCs w:val="26"/>
        </w:rPr>
        <w:t> </w:t>
      </w:r>
      <w:r w:rsidR="002F0B5A" w:rsidRPr="00E349D9">
        <w:rPr>
          <w:szCs w:val="26"/>
        </w:rPr>
        <w:t>5</w:t>
      </w:r>
      <w:r w:rsidR="00ED5193" w:rsidRPr="00E349D9">
        <w:rPr>
          <w:szCs w:val="26"/>
        </w:rPr>
        <w:t xml:space="preserve">) </w:t>
      </w:r>
      <w:r w:rsidR="000A69A9" w:rsidRPr="00E349D9">
        <w:rPr>
          <w:szCs w:val="26"/>
        </w:rPr>
        <w:t xml:space="preserve">weighs </w:t>
      </w:r>
      <w:r w:rsidR="00ED5193" w:rsidRPr="00E349D9">
        <w:rPr>
          <w:szCs w:val="26"/>
        </w:rPr>
        <w:t xml:space="preserve">against </w:t>
      </w:r>
      <w:r w:rsidR="008655A5" w:rsidRPr="00E349D9">
        <w:rPr>
          <w:szCs w:val="26"/>
        </w:rPr>
        <w:t xml:space="preserve">the </w:t>
      </w:r>
      <w:r w:rsidR="00FC5DA3" w:rsidRPr="00E349D9">
        <w:rPr>
          <w:szCs w:val="26"/>
        </w:rPr>
        <w:t xml:space="preserve">textual </w:t>
      </w:r>
      <w:r w:rsidR="008655A5" w:rsidRPr="00E349D9">
        <w:rPr>
          <w:szCs w:val="26"/>
        </w:rPr>
        <w:t>argument</w:t>
      </w:r>
      <w:r w:rsidR="00ED5193" w:rsidRPr="00E349D9">
        <w:rPr>
          <w:szCs w:val="26"/>
        </w:rPr>
        <w:t xml:space="preserve"> that </w:t>
      </w:r>
      <w:r w:rsidR="000A69A9" w:rsidRPr="00E349D9">
        <w:rPr>
          <w:szCs w:val="26"/>
        </w:rPr>
        <w:t>“</w:t>
      </w:r>
      <w:r w:rsidR="00ED5193" w:rsidRPr="005E2EAA">
        <w:rPr>
          <w:szCs w:val="26"/>
        </w:rPr>
        <w:t>disclosure</w:t>
      </w:r>
      <w:r w:rsidR="000A69A9" w:rsidRPr="00E349D9">
        <w:rPr>
          <w:szCs w:val="26"/>
        </w:rPr>
        <w:t>”</w:t>
      </w:r>
      <w:r w:rsidR="00ED5193" w:rsidRPr="00E349D9">
        <w:rPr>
          <w:szCs w:val="26"/>
        </w:rPr>
        <w:t xml:space="preserve"> can only mean the revelation of </w:t>
      </w:r>
      <w:r w:rsidR="000A69A9" w:rsidRPr="00E349D9">
        <w:rPr>
          <w:szCs w:val="26"/>
        </w:rPr>
        <w:t xml:space="preserve">information that was </w:t>
      </w:r>
      <w:r w:rsidR="00ED5193" w:rsidRPr="00E349D9">
        <w:rPr>
          <w:szCs w:val="26"/>
        </w:rPr>
        <w:t>previously unknown</w:t>
      </w:r>
      <w:r w:rsidRPr="00E349D9">
        <w:rPr>
          <w:szCs w:val="26"/>
        </w:rPr>
        <w:t>,</w:t>
      </w:r>
      <w:r w:rsidR="00ED5193" w:rsidRPr="00E349D9">
        <w:rPr>
          <w:szCs w:val="26"/>
        </w:rPr>
        <w:t xml:space="preserve"> </w:t>
      </w:r>
      <w:r w:rsidR="000A69A9" w:rsidRPr="00E349D9">
        <w:rPr>
          <w:szCs w:val="26"/>
        </w:rPr>
        <w:t>or perceived by the discloser to be unknown</w:t>
      </w:r>
      <w:r w:rsidRPr="00E349D9">
        <w:rPr>
          <w:szCs w:val="26"/>
        </w:rPr>
        <w:t>, to the recipient</w:t>
      </w:r>
      <w:r w:rsidR="00ED5193" w:rsidRPr="00E349D9">
        <w:rPr>
          <w:szCs w:val="26"/>
        </w:rPr>
        <w:t xml:space="preserve">.  Congress </w:t>
      </w:r>
      <w:r w:rsidR="00A11F60" w:rsidRPr="00E349D9">
        <w:rPr>
          <w:szCs w:val="26"/>
        </w:rPr>
        <w:t>did not think</w:t>
      </w:r>
      <w:r w:rsidR="000A69A9" w:rsidRPr="00E349D9">
        <w:rPr>
          <w:szCs w:val="26"/>
        </w:rPr>
        <w:t xml:space="preserve"> the word</w:t>
      </w:r>
      <w:r w:rsidR="00554100" w:rsidRPr="00E349D9">
        <w:rPr>
          <w:szCs w:val="26"/>
        </w:rPr>
        <w:t xml:space="preserve"> </w:t>
      </w:r>
      <w:r w:rsidR="00B556EF" w:rsidRPr="00E349D9">
        <w:rPr>
          <w:szCs w:val="26"/>
        </w:rPr>
        <w:t>“</w:t>
      </w:r>
      <w:r w:rsidR="00554100" w:rsidRPr="005E2EAA">
        <w:rPr>
          <w:szCs w:val="26"/>
        </w:rPr>
        <w:t>disclose</w:t>
      </w:r>
      <w:r w:rsidR="00B556EF" w:rsidRPr="00E349D9">
        <w:rPr>
          <w:szCs w:val="26"/>
        </w:rPr>
        <w:t xml:space="preserve">” </w:t>
      </w:r>
      <w:r w:rsidR="00B72F0D" w:rsidRPr="00E349D9">
        <w:rPr>
          <w:szCs w:val="26"/>
        </w:rPr>
        <w:t>necessitates such a narrow reading</w:t>
      </w:r>
      <w:r w:rsidR="00ED5193" w:rsidRPr="00E349D9">
        <w:rPr>
          <w:szCs w:val="26"/>
        </w:rPr>
        <w:t xml:space="preserve">.  </w:t>
      </w:r>
      <w:r w:rsidR="00A11F60" w:rsidRPr="00E349D9">
        <w:rPr>
          <w:szCs w:val="26"/>
        </w:rPr>
        <w:t xml:space="preserve">Neither </w:t>
      </w:r>
      <w:r w:rsidR="00ED5193" w:rsidRPr="00E349D9">
        <w:rPr>
          <w:szCs w:val="26"/>
        </w:rPr>
        <w:t>do we.</w:t>
      </w:r>
    </w:p>
    <w:p w14:paraId="07E6C27C" w14:textId="1E8763F1" w:rsidR="00DC7DD1" w:rsidRPr="00E349D9" w:rsidRDefault="00DC7DD1" w:rsidP="001542DF">
      <w:pPr>
        <w:pStyle w:val="Heading2"/>
        <w:ind w:left="0" w:firstLine="0"/>
        <w:jc w:val="center"/>
      </w:pPr>
      <w:r w:rsidRPr="00E349D9">
        <w:t>B.</w:t>
      </w:r>
    </w:p>
    <w:p w14:paraId="21511E1B" w14:textId="55175C87" w:rsidR="00BB5DAD" w:rsidRPr="00E349D9" w:rsidRDefault="00C03F4B" w:rsidP="00367F59">
      <w:pPr>
        <w:ind w:firstLine="720"/>
        <w:rPr>
          <w:szCs w:val="26"/>
        </w:rPr>
      </w:pPr>
      <w:r w:rsidRPr="00E349D9">
        <w:rPr>
          <w:szCs w:val="26"/>
        </w:rPr>
        <w:t>Where</w:t>
      </w:r>
      <w:r w:rsidR="00BD0209" w:rsidRPr="00E349D9">
        <w:rPr>
          <w:szCs w:val="26"/>
          <w:shd w:val="clear" w:color="auto" w:fill="FFFFFF"/>
        </w:rPr>
        <w:t xml:space="preserve"> </w:t>
      </w:r>
      <w:r w:rsidR="00930706" w:rsidRPr="00E349D9">
        <w:rPr>
          <w:szCs w:val="26"/>
          <w:shd w:val="clear" w:color="auto" w:fill="FFFFFF"/>
        </w:rPr>
        <w:t xml:space="preserve">a statute is subject to </w:t>
      </w:r>
      <w:r w:rsidR="00BD0209" w:rsidRPr="00E349D9">
        <w:rPr>
          <w:szCs w:val="26"/>
          <w:shd w:val="clear" w:color="auto" w:fill="FFFFFF"/>
        </w:rPr>
        <w:t xml:space="preserve">“more than one reasonable interpretation, we consider </w:t>
      </w:r>
      <w:r w:rsidR="008B6AC4" w:rsidRPr="00E349D9">
        <w:rPr>
          <w:szCs w:val="26"/>
          <w:shd w:val="clear" w:color="auto" w:fill="FFFFFF"/>
        </w:rPr>
        <w:t>‘</w:t>
      </w:r>
      <w:r w:rsidR="00BD0209" w:rsidRPr="00E349D9">
        <w:rPr>
          <w:szCs w:val="26"/>
          <w:shd w:val="clear" w:color="auto" w:fill="FFFFFF"/>
        </w:rPr>
        <w:t>the ostensible objectives to be achieved by the statute, the evils to be remedied, the legislative history, public policy, contemporaneous administrative construction and the statutory scheme of which the statute is a part.</w:t>
      </w:r>
      <w:r w:rsidR="008B6AC4" w:rsidRPr="00E349D9">
        <w:rPr>
          <w:szCs w:val="26"/>
          <w:shd w:val="clear" w:color="auto" w:fill="FFFFFF"/>
        </w:rPr>
        <w:t>’</w:t>
      </w:r>
      <w:r w:rsidR="00BE6254" w:rsidRPr="00E349D9">
        <w:rPr>
          <w:szCs w:val="26"/>
          <w:shd w:val="clear" w:color="auto" w:fill="FFFFFF"/>
        </w:rPr>
        <w:t> </w:t>
      </w:r>
      <w:r w:rsidR="00BD0209" w:rsidRPr="00E349D9">
        <w:rPr>
          <w:szCs w:val="26"/>
          <w:shd w:val="clear" w:color="auto" w:fill="FFFFFF"/>
        </w:rPr>
        <w:t>”</w:t>
      </w:r>
      <w:r w:rsidR="00BD0209" w:rsidRPr="00E349D9">
        <w:rPr>
          <w:szCs w:val="26"/>
        </w:rPr>
        <w:t xml:space="preserve"> </w:t>
      </w:r>
      <w:r w:rsidR="00B51179" w:rsidRPr="00E349D9">
        <w:rPr>
          <w:szCs w:val="26"/>
        </w:rPr>
        <w:t xml:space="preserve"> </w:t>
      </w:r>
      <w:r w:rsidR="00BD0209" w:rsidRPr="00E349D9">
        <w:rPr>
          <w:szCs w:val="26"/>
        </w:rPr>
        <w:t>(</w:t>
      </w:r>
      <w:r w:rsidR="008D2C08" w:rsidRPr="00E349D9">
        <w:rPr>
          <w:i/>
          <w:iCs/>
          <w:szCs w:val="26"/>
          <w:bdr w:val="none" w:sz="0" w:space="0" w:color="auto" w:frame="1"/>
        </w:rPr>
        <w:t>Ferra</w:t>
      </w:r>
      <w:r w:rsidR="008D2C08" w:rsidRPr="00E349D9">
        <w:rPr>
          <w:szCs w:val="26"/>
          <w:bdr w:val="none" w:sz="0" w:space="0" w:color="auto" w:frame="1"/>
        </w:rPr>
        <w:t xml:space="preserve">, </w:t>
      </w:r>
      <w:r w:rsidR="008D2C08" w:rsidRPr="00E349D9">
        <w:rPr>
          <w:i/>
          <w:iCs/>
          <w:szCs w:val="26"/>
          <w:bdr w:val="none" w:sz="0" w:space="0" w:color="auto" w:frame="1"/>
        </w:rPr>
        <w:t>supra</w:t>
      </w:r>
      <w:r w:rsidR="008D2C08" w:rsidRPr="00E349D9">
        <w:rPr>
          <w:szCs w:val="26"/>
          <w:bdr w:val="none" w:sz="0" w:space="0" w:color="auto" w:frame="1"/>
        </w:rPr>
        <w:t xml:space="preserve">, </w:t>
      </w:r>
      <w:r w:rsidR="00BD0209" w:rsidRPr="00E349D9">
        <w:rPr>
          <w:szCs w:val="26"/>
        </w:rPr>
        <w:t xml:space="preserve">11 Cal.5th </w:t>
      </w:r>
      <w:r w:rsidR="008D2C08" w:rsidRPr="00E349D9">
        <w:rPr>
          <w:szCs w:val="26"/>
        </w:rPr>
        <w:t>at p.</w:t>
      </w:r>
      <w:r w:rsidR="00CB56E1" w:rsidRPr="00E349D9">
        <w:rPr>
          <w:szCs w:val="26"/>
        </w:rPr>
        <w:t> </w:t>
      </w:r>
      <w:r w:rsidR="00BD0209" w:rsidRPr="00E349D9">
        <w:rPr>
          <w:szCs w:val="26"/>
        </w:rPr>
        <w:t xml:space="preserve">865.)  </w:t>
      </w:r>
      <w:r w:rsidR="00600B52" w:rsidRPr="00E349D9">
        <w:rPr>
          <w:szCs w:val="26"/>
        </w:rPr>
        <w:t>The</w:t>
      </w:r>
      <w:r w:rsidR="00233665" w:rsidRPr="00E349D9">
        <w:rPr>
          <w:szCs w:val="26"/>
        </w:rPr>
        <w:t xml:space="preserve"> legislative history of section 1102.5</w:t>
      </w:r>
      <w:r w:rsidR="00157EB4" w:rsidRPr="00E349D9">
        <w:rPr>
          <w:szCs w:val="26"/>
        </w:rPr>
        <w:t>(b)</w:t>
      </w:r>
      <w:r w:rsidR="00044B2E" w:rsidRPr="00E349D9">
        <w:rPr>
          <w:szCs w:val="26"/>
        </w:rPr>
        <w:t>, its purpose,</w:t>
      </w:r>
      <w:r w:rsidR="00233665" w:rsidRPr="00E349D9">
        <w:rPr>
          <w:szCs w:val="26"/>
        </w:rPr>
        <w:t xml:space="preserve"> and </w:t>
      </w:r>
      <w:r w:rsidR="00600B52" w:rsidRPr="00E349D9">
        <w:rPr>
          <w:szCs w:val="26"/>
        </w:rPr>
        <w:t>its place</w:t>
      </w:r>
      <w:r w:rsidR="00914DE1" w:rsidRPr="00E349D9">
        <w:rPr>
          <w:szCs w:val="26"/>
        </w:rPr>
        <w:t>ment</w:t>
      </w:r>
      <w:r w:rsidR="00600B52" w:rsidRPr="00E349D9">
        <w:rPr>
          <w:szCs w:val="26"/>
        </w:rPr>
        <w:t xml:space="preserve"> within a larger statutory scheme </w:t>
      </w:r>
      <w:r w:rsidR="00031E76" w:rsidRPr="00E349D9">
        <w:rPr>
          <w:szCs w:val="26"/>
        </w:rPr>
        <w:t xml:space="preserve">designed to protect workers </w:t>
      </w:r>
      <w:r w:rsidR="00600B52" w:rsidRPr="00E349D9">
        <w:rPr>
          <w:szCs w:val="26"/>
        </w:rPr>
        <w:t xml:space="preserve">support a broad reading of the term “disclose” that </w:t>
      </w:r>
      <w:r w:rsidR="00BE6254" w:rsidRPr="00E349D9">
        <w:rPr>
          <w:szCs w:val="26"/>
        </w:rPr>
        <w:t xml:space="preserve">covers </w:t>
      </w:r>
      <w:r w:rsidR="00600B52" w:rsidRPr="00E349D9">
        <w:rPr>
          <w:szCs w:val="26"/>
        </w:rPr>
        <w:t>A.C.R.</w:t>
      </w:r>
      <w:r w:rsidR="008B6AC4" w:rsidRPr="00E349D9">
        <w:rPr>
          <w:szCs w:val="26"/>
        </w:rPr>
        <w:t>’</w:t>
      </w:r>
      <w:r w:rsidR="00600B52" w:rsidRPr="00E349D9">
        <w:rPr>
          <w:szCs w:val="26"/>
        </w:rPr>
        <w:t xml:space="preserve">s </w:t>
      </w:r>
      <w:r w:rsidR="00BE6254" w:rsidRPr="00E349D9">
        <w:rPr>
          <w:szCs w:val="26"/>
        </w:rPr>
        <w:t xml:space="preserve">conduct </w:t>
      </w:r>
      <w:r w:rsidR="00600B52" w:rsidRPr="00E349D9">
        <w:rPr>
          <w:szCs w:val="26"/>
        </w:rPr>
        <w:t>here.</w:t>
      </w:r>
      <w:r w:rsidR="001542DF" w:rsidRPr="00E349D9" w:rsidDel="001542DF">
        <w:rPr>
          <w:rStyle w:val="FootnoteReference"/>
          <w:szCs w:val="26"/>
        </w:rPr>
        <w:t xml:space="preserve"> </w:t>
      </w:r>
    </w:p>
    <w:p w14:paraId="01FD834E" w14:textId="10E7633E" w:rsidR="0041507E" w:rsidRPr="00E349D9" w:rsidRDefault="00554100" w:rsidP="00367F59">
      <w:pPr>
        <w:ind w:firstLine="720"/>
        <w:rPr>
          <w:szCs w:val="26"/>
        </w:rPr>
      </w:pPr>
      <w:r w:rsidRPr="00E349D9">
        <w:rPr>
          <w:szCs w:val="26"/>
        </w:rPr>
        <w:t xml:space="preserve">Starting with </w:t>
      </w:r>
      <w:r w:rsidR="0057553D" w:rsidRPr="00E349D9">
        <w:rPr>
          <w:szCs w:val="26"/>
        </w:rPr>
        <w:t xml:space="preserve">the original debate, passage, and codification of section 1102.5(b) in 1984, the </w:t>
      </w:r>
      <w:r w:rsidR="005866E3" w:rsidRPr="00E349D9">
        <w:rPr>
          <w:szCs w:val="26"/>
        </w:rPr>
        <w:t xml:space="preserve">terms “report,” “inform,” and “complain” </w:t>
      </w:r>
      <w:r w:rsidR="00E75223" w:rsidRPr="00E349D9">
        <w:rPr>
          <w:szCs w:val="26"/>
        </w:rPr>
        <w:t xml:space="preserve">have been used interchangeably </w:t>
      </w:r>
      <w:r w:rsidR="005866E3" w:rsidRPr="00E349D9">
        <w:rPr>
          <w:szCs w:val="26"/>
        </w:rPr>
        <w:t xml:space="preserve">to describe </w:t>
      </w:r>
      <w:r w:rsidR="000C4340" w:rsidRPr="00E349D9">
        <w:rPr>
          <w:szCs w:val="26"/>
        </w:rPr>
        <w:t xml:space="preserve">disclosures protected by </w:t>
      </w:r>
      <w:r w:rsidR="00E15289" w:rsidRPr="00E349D9">
        <w:rPr>
          <w:szCs w:val="26"/>
        </w:rPr>
        <w:t>the statute.</w:t>
      </w:r>
      <w:r w:rsidR="000873DC" w:rsidRPr="00E349D9">
        <w:rPr>
          <w:szCs w:val="26"/>
        </w:rPr>
        <w:t xml:space="preserve">  Legislative analyses of the original 1984 bill </w:t>
      </w:r>
      <w:r w:rsidR="00E15289" w:rsidRPr="00E349D9">
        <w:rPr>
          <w:szCs w:val="26"/>
        </w:rPr>
        <w:t>used</w:t>
      </w:r>
      <w:r w:rsidR="000873DC" w:rsidRPr="00E349D9">
        <w:rPr>
          <w:szCs w:val="26"/>
        </w:rPr>
        <w:t xml:space="preserve"> these terms </w:t>
      </w:r>
      <w:r w:rsidR="00E15289" w:rsidRPr="00E349D9">
        <w:rPr>
          <w:szCs w:val="26"/>
        </w:rPr>
        <w:t>interchangeably</w:t>
      </w:r>
      <w:r w:rsidR="000873DC" w:rsidRPr="00E349D9">
        <w:rPr>
          <w:szCs w:val="26"/>
        </w:rPr>
        <w:t xml:space="preserve">.  </w:t>
      </w:r>
      <w:bookmarkStart w:id="17" w:name="_Hlk125358708"/>
      <w:r w:rsidR="000873DC" w:rsidRPr="00E349D9">
        <w:rPr>
          <w:szCs w:val="26"/>
        </w:rPr>
        <w:t>(</w:t>
      </w:r>
      <w:bookmarkStart w:id="18" w:name="_Hlk125358755"/>
      <w:r w:rsidR="00E47B3C" w:rsidRPr="00E349D9">
        <w:rPr>
          <w:szCs w:val="26"/>
        </w:rPr>
        <w:t xml:space="preserve">See, e.g., </w:t>
      </w:r>
      <w:r w:rsidR="000873DC" w:rsidRPr="00E349D9">
        <w:rPr>
          <w:szCs w:val="26"/>
        </w:rPr>
        <w:t>Assem</w:t>
      </w:r>
      <w:r w:rsidR="00300152" w:rsidRPr="00E349D9">
        <w:rPr>
          <w:szCs w:val="26"/>
        </w:rPr>
        <w:t>. Com. on</w:t>
      </w:r>
      <w:r w:rsidR="000873DC" w:rsidRPr="00E349D9">
        <w:rPr>
          <w:szCs w:val="26"/>
        </w:rPr>
        <w:t xml:space="preserve"> Labor and Employment</w:t>
      </w:r>
      <w:r w:rsidR="00CB1823" w:rsidRPr="00E349D9">
        <w:rPr>
          <w:szCs w:val="26"/>
        </w:rPr>
        <w:t xml:space="preserve">, </w:t>
      </w:r>
      <w:r w:rsidR="00556BA3">
        <w:rPr>
          <w:szCs w:val="26"/>
        </w:rPr>
        <w:t>Analysis</w:t>
      </w:r>
      <w:r w:rsidR="00FD2CE0" w:rsidRPr="00E349D9">
        <w:rPr>
          <w:szCs w:val="26"/>
        </w:rPr>
        <w:t xml:space="preserve"> o</w:t>
      </w:r>
      <w:r w:rsidR="00556BA3">
        <w:rPr>
          <w:szCs w:val="26"/>
        </w:rPr>
        <w:t>f</w:t>
      </w:r>
      <w:r w:rsidR="00FD2CE0" w:rsidRPr="00E349D9">
        <w:rPr>
          <w:szCs w:val="26"/>
        </w:rPr>
        <w:t xml:space="preserve"> Assem. Bill No.</w:t>
      </w:r>
      <w:r w:rsidR="00724BBD" w:rsidRPr="00E349D9">
        <w:rPr>
          <w:szCs w:val="26"/>
        </w:rPr>
        <w:t> </w:t>
      </w:r>
      <w:r w:rsidR="00FD2CE0" w:rsidRPr="00E349D9">
        <w:rPr>
          <w:szCs w:val="26"/>
        </w:rPr>
        <w:t>2</w:t>
      </w:r>
      <w:r w:rsidR="005A72B2">
        <w:rPr>
          <w:szCs w:val="26"/>
        </w:rPr>
        <w:t>4</w:t>
      </w:r>
      <w:r w:rsidR="00FD2CE0" w:rsidRPr="00E349D9">
        <w:rPr>
          <w:szCs w:val="26"/>
        </w:rPr>
        <w:t>52</w:t>
      </w:r>
      <w:r w:rsidR="00B77966" w:rsidRPr="00E349D9">
        <w:rPr>
          <w:szCs w:val="26"/>
        </w:rPr>
        <w:t xml:space="preserve">, </w:t>
      </w:r>
      <w:r w:rsidR="00B77966" w:rsidRPr="00E349D9">
        <w:rPr>
          <w:i/>
          <w:iCs/>
          <w:szCs w:val="26"/>
        </w:rPr>
        <w:t>supra</w:t>
      </w:r>
      <w:r w:rsidR="00B77966" w:rsidRPr="00E349D9">
        <w:rPr>
          <w:szCs w:val="26"/>
        </w:rPr>
        <w:t>,</w:t>
      </w:r>
      <w:r w:rsidR="000873DC" w:rsidRPr="00E349D9">
        <w:rPr>
          <w:szCs w:val="26"/>
        </w:rPr>
        <w:t xml:space="preserve"> </w:t>
      </w:r>
      <w:r w:rsidR="00403D24" w:rsidRPr="00E349D9">
        <w:rPr>
          <w:szCs w:val="26"/>
        </w:rPr>
        <w:t xml:space="preserve">as introduced </w:t>
      </w:r>
      <w:r w:rsidR="00A97603" w:rsidRPr="00E349D9">
        <w:rPr>
          <w:szCs w:val="26"/>
        </w:rPr>
        <w:t xml:space="preserve">Jan. 24, 1984, </w:t>
      </w:r>
      <w:r w:rsidR="000873DC" w:rsidRPr="00E349D9">
        <w:rPr>
          <w:szCs w:val="26"/>
        </w:rPr>
        <w:t>p.</w:t>
      </w:r>
      <w:r w:rsidR="00CB56E1" w:rsidRPr="00E349D9">
        <w:rPr>
          <w:szCs w:val="26"/>
        </w:rPr>
        <w:t> </w:t>
      </w:r>
      <w:r w:rsidR="000873DC" w:rsidRPr="00E349D9">
        <w:rPr>
          <w:szCs w:val="26"/>
        </w:rPr>
        <w:t>1</w:t>
      </w:r>
      <w:r w:rsidR="00A97603" w:rsidRPr="00E349D9">
        <w:rPr>
          <w:szCs w:val="26"/>
        </w:rPr>
        <w:t xml:space="preserve"> </w:t>
      </w:r>
      <w:r w:rsidR="000873DC" w:rsidRPr="00E349D9">
        <w:rPr>
          <w:szCs w:val="26"/>
        </w:rPr>
        <w:t>[bill protects employees who are “reporting or contacting the</w:t>
      </w:r>
      <w:r w:rsidR="00042ED5" w:rsidRPr="00E349D9">
        <w:rPr>
          <w:szCs w:val="26"/>
        </w:rPr>
        <w:t> . . .</w:t>
      </w:r>
      <w:r w:rsidR="000873DC" w:rsidRPr="00E349D9">
        <w:rPr>
          <w:szCs w:val="26"/>
        </w:rPr>
        <w:t xml:space="preserve"> government” about violations of the law]; Sen</w:t>
      </w:r>
      <w:r w:rsidR="00A97603" w:rsidRPr="00E349D9">
        <w:rPr>
          <w:szCs w:val="26"/>
        </w:rPr>
        <w:t>.</w:t>
      </w:r>
      <w:r w:rsidR="000873DC" w:rsidRPr="00E349D9">
        <w:rPr>
          <w:szCs w:val="26"/>
        </w:rPr>
        <w:t xml:space="preserve"> Com</w:t>
      </w:r>
      <w:r w:rsidR="00A97603" w:rsidRPr="00E349D9">
        <w:rPr>
          <w:szCs w:val="26"/>
        </w:rPr>
        <w:t>.</w:t>
      </w:r>
      <w:r w:rsidR="000873DC" w:rsidRPr="00E349D9">
        <w:rPr>
          <w:szCs w:val="26"/>
        </w:rPr>
        <w:t xml:space="preserve"> on Industrial Relations</w:t>
      </w:r>
      <w:r w:rsidR="00A97603" w:rsidRPr="00E349D9">
        <w:rPr>
          <w:szCs w:val="26"/>
        </w:rPr>
        <w:t>, Analysis of Assem. Bill No.</w:t>
      </w:r>
      <w:r w:rsidR="00C515AA" w:rsidRPr="00E349D9">
        <w:rPr>
          <w:szCs w:val="26"/>
        </w:rPr>
        <w:t> </w:t>
      </w:r>
      <w:r w:rsidR="00A97603" w:rsidRPr="00E349D9">
        <w:rPr>
          <w:szCs w:val="26"/>
        </w:rPr>
        <w:t>2452</w:t>
      </w:r>
      <w:r w:rsidR="00EC02C4" w:rsidRPr="00E349D9">
        <w:rPr>
          <w:szCs w:val="26"/>
        </w:rPr>
        <w:t xml:space="preserve"> (1983–1984 Reg. Sess.) as amended Apr</w:t>
      </w:r>
      <w:r w:rsidR="00CB1823" w:rsidRPr="00E349D9">
        <w:rPr>
          <w:szCs w:val="26"/>
        </w:rPr>
        <w:t>.</w:t>
      </w:r>
      <w:r w:rsidR="00EC02C4" w:rsidRPr="00E349D9">
        <w:rPr>
          <w:szCs w:val="26"/>
        </w:rPr>
        <w:t xml:space="preserve"> 26, </w:t>
      </w:r>
      <w:r w:rsidR="00717172" w:rsidRPr="00E349D9">
        <w:rPr>
          <w:szCs w:val="26"/>
        </w:rPr>
        <w:t xml:space="preserve">1984, </w:t>
      </w:r>
      <w:r w:rsidR="000873DC" w:rsidRPr="00E349D9">
        <w:rPr>
          <w:szCs w:val="26"/>
        </w:rPr>
        <w:t>p</w:t>
      </w:r>
      <w:r w:rsidR="00EC02C4" w:rsidRPr="00E349D9">
        <w:rPr>
          <w:szCs w:val="26"/>
        </w:rPr>
        <w:t>p</w:t>
      </w:r>
      <w:r w:rsidR="000873DC" w:rsidRPr="00E349D9">
        <w:rPr>
          <w:szCs w:val="26"/>
        </w:rPr>
        <w:t>.</w:t>
      </w:r>
      <w:r w:rsidR="00CB56E1" w:rsidRPr="00E349D9">
        <w:rPr>
          <w:szCs w:val="26"/>
        </w:rPr>
        <w:t> </w:t>
      </w:r>
      <w:r w:rsidR="000873DC" w:rsidRPr="00E349D9">
        <w:rPr>
          <w:szCs w:val="26"/>
        </w:rPr>
        <w:t>1</w:t>
      </w:r>
      <w:r w:rsidR="00717172" w:rsidRPr="00E349D9">
        <w:rPr>
          <w:szCs w:val="26"/>
        </w:rPr>
        <w:t>–</w:t>
      </w:r>
      <w:r w:rsidR="00C17B45" w:rsidRPr="00E349D9">
        <w:rPr>
          <w:szCs w:val="26"/>
        </w:rPr>
        <w:t>2</w:t>
      </w:r>
      <w:r w:rsidR="000873DC" w:rsidRPr="00E349D9">
        <w:rPr>
          <w:szCs w:val="26"/>
        </w:rPr>
        <w:t xml:space="preserve"> [bill protects “providing information” to a government agency and “reporting crimes</w:t>
      </w:r>
      <w:r w:rsidR="00E47B3C" w:rsidRPr="00E349D9">
        <w:rPr>
          <w:szCs w:val="26"/>
        </w:rPr>
        <w:t>”</w:t>
      </w:r>
      <w:r w:rsidR="000873DC" w:rsidRPr="00E349D9">
        <w:rPr>
          <w:szCs w:val="26"/>
        </w:rPr>
        <w:t xml:space="preserve">]; </w:t>
      </w:r>
      <w:bookmarkStart w:id="19" w:name="_Hlk125358078"/>
      <w:r w:rsidR="00122FE1" w:rsidRPr="00E349D9">
        <w:rPr>
          <w:szCs w:val="26"/>
        </w:rPr>
        <w:t xml:space="preserve">Dept. of Industrial Relations, </w:t>
      </w:r>
      <w:r w:rsidR="000873DC" w:rsidRPr="00E349D9">
        <w:rPr>
          <w:szCs w:val="26"/>
        </w:rPr>
        <w:t>D</w:t>
      </w:r>
      <w:r w:rsidR="00717172" w:rsidRPr="00E349D9">
        <w:rPr>
          <w:szCs w:val="26"/>
        </w:rPr>
        <w:t>iv. of Labor Standards Enforcement,</w:t>
      </w:r>
      <w:r w:rsidR="000873DC" w:rsidRPr="00E349D9">
        <w:rPr>
          <w:szCs w:val="26"/>
        </w:rPr>
        <w:t xml:space="preserve"> Enrolled Bill Rep</w:t>
      </w:r>
      <w:r w:rsidR="00DE6B64" w:rsidRPr="00E349D9">
        <w:rPr>
          <w:szCs w:val="26"/>
        </w:rPr>
        <w:t>.</w:t>
      </w:r>
      <w:r w:rsidR="00717172" w:rsidRPr="00E349D9">
        <w:rPr>
          <w:szCs w:val="26"/>
        </w:rPr>
        <w:t xml:space="preserve"> on</w:t>
      </w:r>
      <w:r w:rsidR="000873DC" w:rsidRPr="00E349D9">
        <w:rPr>
          <w:szCs w:val="26"/>
        </w:rPr>
        <w:t xml:space="preserve"> </w:t>
      </w:r>
      <w:r w:rsidR="00717172" w:rsidRPr="00E349D9">
        <w:rPr>
          <w:szCs w:val="26"/>
        </w:rPr>
        <w:t>Assem. Bill No.</w:t>
      </w:r>
      <w:r w:rsidR="00C515AA" w:rsidRPr="00E349D9">
        <w:rPr>
          <w:szCs w:val="26"/>
        </w:rPr>
        <w:t> </w:t>
      </w:r>
      <w:r w:rsidR="00717172" w:rsidRPr="00E349D9">
        <w:rPr>
          <w:szCs w:val="26"/>
        </w:rPr>
        <w:t>2452 (1983–1984 Reg. Sess.) Aug. 2</w:t>
      </w:r>
      <w:r w:rsidR="00436E86" w:rsidRPr="00E349D9">
        <w:rPr>
          <w:szCs w:val="26"/>
        </w:rPr>
        <w:t>2</w:t>
      </w:r>
      <w:r w:rsidR="00717172" w:rsidRPr="00E349D9">
        <w:rPr>
          <w:szCs w:val="26"/>
        </w:rPr>
        <w:t>, 1984</w:t>
      </w:r>
      <w:r w:rsidR="00A85765" w:rsidRPr="00E349D9">
        <w:rPr>
          <w:szCs w:val="26"/>
        </w:rPr>
        <w:t>,</w:t>
      </w:r>
      <w:r w:rsidR="00717172" w:rsidRPr="00E349D9">
        <w:rPr>
          <w:szCs w:val="26"/>
        </w:rPr>
        <w:t xml:space="preserve"> </w:t>
      </w:r>
      <w:r w:rsidR="000873DC" w:rsidRPr="00E349D9">
        <w:rPr>
          <w:szCs w:val="26"/>
        </w:rPr>
        <w:t>p.</w:t>
      </w:r>
      <w:r w:rsidR="00CB56E1" w:rsidRPr="00E349D9">
        <w:rPr>
          <w:szCs w:val="26"/>
        </w:rPr>
        <w:t> </w:t>
      </w:r>
      <w:r w:rsidR="000873DC" w:rsidRPr="00E349D9">
        <w:rPr>
          <w:szCs w:val="26"/>
        </w:rPr>
        <w:t>1 [intent of bill is to protect workers who “report[] crimes” by making “complaints” to the Labor Commissioner].)</w:t>
      </w:r>
      <w:bookmarkEnd w:id="17"/>
    </w:p>
    <w:bookmarkEnd w:id="18"/>
    <w:bookmarkEnd w:id="19"/>
    <w:p w14:paraId="18B4453A" w14:textId="08DF245F" w:rsidR="00C0669D" w:rsidRPr="009324D7" w:rsidRDefault="00E15289" w:rsidP="00367F59">
      <w:pPr>
        <w:ind w:firstLine="720"/>
        <w:rPr>
          <w:szCs w:val="26"/>
        </w:rPr>
      </w:pPr>
      <w:r w:rsidRPr="00E349D9">
        <w:rPr>
          <w:szCs w:val="26"/>
        </w:rPr>
        <w:t xml:space="preserve">When the Legislature </w:t>
      </w:r>
      <w:r w:rsidR="00810F3E" w:rsidRPr="00E349D9">
        <w:rPr>
          <w:szCs w:val="26"/>
        </w:rPr>
        <w:t xml:space="preserve">first </w:t>
      </w:r>
      <w:r w:rsidRPr="00E349D9">
        <w:rPr>
          <w:szCs w:val="26"/>
        </w:rPr>
        <w:t>amended</w:t>
      </w:r>
      <w:r w:rsidR="003C5272" w:rsidRPr="00E349D9">
        <w:rPr>
          <w:szCs w:val="26"/>
        </w:rPr>
        <w:t xml:space="preserve"> </w:t>
      </w:r>
      <w:r w:rsidR="00810F3E" w:rsidRPr="00E349D9">
        <w:rPr>
          <w:szCs w:val="26"/>
        </w:rPr>
        <w:t xml:space="preserve">section 1102.5 </w:t>
      </w:r>
      <w:r w:rsidR="003C5272" w:rsidRPr="00E349D9">
        <w:rPr>
          <w:szCs w:val="26"/>
        </w:rPr>
        <w:t xml:space="preserve">in 2003, </w:t>
      </w:r>
      <w:r w:rsidR="00E75223" w:rsidRPr="00E349D9">
        <w:rPr>
          <w:szCs w:val="26"/>
        </w:rPr>
        <w:t>the</w:t>
      </w:r>
      <w:r w:rsidR="005E2EAA">
        <w:rPr>
          <w:szCs w:val="26"/>
        </w:rPr>
        <w:t>se</w:t>
      </w:r>
      <w:r w:rsidR="003C5272" w:rsidRPr="00E349D9">
        <w:rPr>
          <w:szCs w:val="26"/>
        </w:rPr>
        <w:t xml:space="preserve"> terms</w:t>
      </w:r>
      <w:r w:rsidR="00E75223" w:rsidRPr="00E349D9">
        <w:rPr>
          <w:szCs w:val="26"/>
        </w:rPr>
        <w:t xml:space="preserve"> were again used interchangeably</w:t>
      </w:r>
      <w:r w:rsidR="003C5272" w:rsidRPr="00E349D9">
        <w:rPr>
          <w:szCs w:val="26"/>
        </w:rPr>
        <w:t>.</w:t>
      </w:r>
      <w:r w:rsidR="000873DC" w:rsidRPr="00E349D9">
        <w:rPr>
          <w:szCs w:val="26"/>
        </w:rPr>
        <w:t xml:space="preserve"> </w:t>
      </w:r>
      <w:r w:rsidR="003C5272" w:rsidRPr="00E349D9">
        <w:rPr>
          <w:szCs w:val="26"/>
        </w:rPr>
        <w:t xml:space="preserve"> </w:t>
      </w:r>
      <w:r w:rsidR="000873DC" w:rsidRPr="00E349D9">
        <w:rPr>
          <w:szCs w:val="26"/>
        </w:rPr>
        <w:t>(</w:t>
      </w:r>
      <w:r w:rsidR="009249AA" w:rsidRPr="00E349D9">
        <w:rPr>
          <w:szCs w:val="26"/>
        </w:rPr>
        <w:t xml:space="preserve">See, e.g., </w:t>
      </w:r>
      <w:r w:rsidR="00861E50" w:rsidRPr="00E349D9">
        <w:rPr>
          <w:szCs w:val="26"/>
        </w:rPr>
        <w:t xml:space="preserve">Sen. </w:t>
      </w:r>
      <w:r w:rsidR="000C6112">
        <w:rPr>
          <w:szCs w:val="26"/>
        </w:rPr>
        <w:t xml:space="preserve">Judiciary </w:t>
      </w:r>
      <w:r w:rsidR="00861E50" w:rsidRPr="00E349D9">
        <w:rPr>
          <w:szCs w:val="26"/>
        </w:rPr>
        <w:t>Com., Analysis</w:t>
      </w:r>
      <w:r w:rsidR="000873DC" w:rsidRPr="00E349D9">
        <w:rPr>
          <w:szCs w:val="26"/>
        </w:rPr>
        <w:t xml:space="preserve"> </w:t>
      </w:r>
      <w:r w:rsidR="00861E50" w:rsidRPr="00E349D9">
        <w:rPr>
          <w:szCs w:val="26"/>
        </w:rPr>
        <w:t>of Sen</w:t>
      </w:r>
      <w:r w:rsidR="008A7851" w:rsidRPr="00E349D9">
        <w:rPr>
          <w:szCs w:val="26"/>
        </w:rPr>
        <w:t>. Bill No.</w:t>
      </w:r>
      <w:r w:rsidR="00C515AA" w:rsidRPr="00E349D9">
        <w:rPr>
          <w:szCs w:val="26"/>
        </w:rPr>
        <w:t> </w:t>
      </w:r>
      <w:r w:rsidR="008A7851" w:rsidRPr="00E349D9">
        <w:rPr>
          <w:szCs w:val="26"/>
        </w:rPr>
        <w:t>777</w:t>
      </w:r>
      <w:r w:rsidR="000873DC" w:rsidRPr="00E349D9">
        <w:rPr>
          <w:szCs w:val="26"/>
        </w:rPr>
        <w:t xml:space="preserve"> </w:t>
      </w:r>
      <w:r w:rsidR="00861E50" w:rsidRPr="00E349D9">
        <w:rPr>
          <w:szCs w:val="26"/>
          <w:shd w:val="clear" w:color="auto" w:fill="FFFFFF"/>
        </w:rPr>
        <w:t>(2003–2004 Reg. Sess.)</w:t>
      </w:r>
      <w:r w:rsidR="00545AE7" w:rsidRPr="00E349D9">
        <w:rPr>
          <w:szCs w:val="26"/>
          <w:shd w:val="clear" w:color="auto" w:fill="FFFFFF"/>
        </w:rPr>
        <w:t xml:space="preserve"> as introduced</w:t>
      </w:r>
      <w:r w:rsidR="000009DD" w:rsidRPr="00E349D9">
        <w:rPr>
          <w:szCs w:val="26"/>
          <w:shd w:val="clear" w:color="auto" w:fill="FFFFFF"/>
        </w:rPr>
        <w:t xml:space="preserve"> Feb. 21, 2003</w:t>
      </w:r>
      <w:r w:rsidR="008A7851" w:rsidRPr="00E349D9">
        <w:rPr>
          <w:szCs w:val="26"/>
          <w:shd w:val="clear" w:color="auto" w:fill="FFFFFF"/>
        </w:rPr>
        <w:t xml:space="preserve">, </w:t>
      </w:r>
      <w:r w:rsidR="00861E50" w:rsidRPr="00E349D9">
        <w:rPr>
          <w:szCs w:val="26"/>
          <w:shd w:val="clear" w:color="auto" w:fill="FFFFFF"/>
        </w:rPr>
        <w:t>p.</w:t>
      </w:r>
      <w:r w:rsidR="00CB56E1" w:rsidRPr="00E349D9">
        <w:rPr>
          <w:szCs w:val="26"/>
        </w:rPr>
        <w:t> </w:t>
      </w:r>
      <w:r w:rsidR="000C6112">
        <w:rPr>
          <w:szCs w:val="26"/>
          <w:shd w:val="clear" w:color="auto" w:fill="FFFFFF"/>
        </w:rPr>
        <w:t>9</w:t>
      </w:r>
      <w:r w:rsidR="00861E50" w:rsidRPr="00E349D9">
        <w:t xml:space="preserve"> </w:t>
      </w:r>
      <w:r w:rsidR="000873DC" w:rsidRPr="00E349D9">
        <w:rPr>
          <w:szCs w:val="26"/>
        </w:rPr>
        <w:t xml:space="preserve">[describing codification of </w:t>
      </w:r>
      <w:r w:rsidR="000873DC" w:rsidRPr="00E349D9">
        <w:rPr>
          <w:i/>
          <w:iCs/>
          <w:szCs w:val="26"/>
        </w:rPr>
        <w:t xml:space="preserve">Gardenhire </w:t>
      </w:r>
      <w:r w:rsidR="00D13AED" w:rsidRPr="00E349D9">
        <w:rPr>
          <w:szCs w:val="26"/>
        </w:rPr>
        <w:t xml:space="preserve">to </w:t>
      </w:r>
      <w:r w:rsidR="000873DC" w:rsidRPr="00E349D9">
        <w:rPr>
          <w:szCs w:val="26"/>
        </w:rPr>
        <w:t>mean “employee who has made a disclosure to his or her employing agency is deemed to have made the disclosure to a government or law enforcement agency” before, in the next sentence, saying public employee</w:t>
      </w:r>
      <w:r w:rsidR="008B6AC4" w:rsidRPr="00E349D9">
        <w:rPr>
          <w:szCs w:val="26"/>
        </w:rPr>
        <w:t>’</w:t>
      </w:r>
      <w:r w:rsidR="000873DC" w:rsidRPr="00E349D9">
        <w:rPr>
          <w:szCs w:val="26"/>
        </w:rPr>
        <w:t xml:space="preserve">s “report” would be protected].)  </w:t>
      </w:r>
      <w:r w:rsidR="00D13AED" w:rsidRPr="00E349D9">
        <w:rPr>
          <w:szCs w:val="26"/>
        </w:rPr>
        <w:t>In</w:t>
      </w:r>
      <w:r w:rsidR="000873DC" w:rsidRPr="00E349D9">
        <w:rPr>
          <w:szCs w:val="26"/>
        </w:rPr>
        <w:t xml:space="preserve"> 2013</w:t>
      </w:r>
      <w:r w:rsidR="00C8262E" w:rsidRPr="00E349D9">
        <w:rPr>
          <w:szCs w:val="26"/>
        </w:rPr>
        <w:t xml:space="preserve">, </w:t>
      </w:r>
      <w:r w:rsidR="00E75223" w:rsidRPr="00E349D9">
        <w:rPr>
          <w:szCs w:val="26"/>
        </w:rPr>
        <w:t>committee reports</w:t>
      </w:r>
      <w:r w:rsidR="00C8262E" w:rsidRPr="00E349D9">
        <w:rPr>
          <w:szCs w:val="26"/>
        </w:rPr>
        <w:t xml:space="preserve"> once more used these terms interchangeably.</w:t>
      </w:r>
      <w:r w:rsidR="000873DC" w:rsidRPr="00E349D9">
        <w:rPr>
          <w:szCs w:val="26"/>
        </w:rPr>
        <w:t xml:space="preserve"> </w:t>
      </w:r>
      <w:r w:rsidR="00C8262E" w:rsidRPr="00E349D9">
        <w:rPr>
          <w:szCs w:val="26"/>
        </w:rPr>
        <w:t xml:space="preserve"> </w:t>
      </w:r>
      <w:r w:rsidR="000873DC" w:rsidRPr="00E349D9">
        <w:rPr>
          <w:szCs w:val="26"/>
        </w:rPr>
        <w:t>(</w:t>
      </w:r>
      <w:r w:rsidR="00F111C8" w:rsidRPr="00E349D9">
        <w:rPr>
          <w:szCs w:val="26"/>
        </w:rPr>
        <w:t xml:space="preserve">See, e.g., </w:t>
      </w:r>
      <w:r w:rsidR="000873DC" w:rsidRPr="00E349D9">
        <w:rPr>
          <w:szCs w:val="26"/>
        </w:rPr>
        <w:t>Assem</w:t>
      </w:r>
      <w:r w:rsidR="006F223D" w:rsidRPr="00E349D9">
        <w:rPr>
          <w:szCs w:val="26"/>
        </w:rPr>
        <w:t>.</w:t>
      </w:r>
      <w:r w:rsidR="000873DC" w:rsidRPr="00E349D9">
        <w:rPr>
          <w:szCs w:val="26"/>
        </w:rPr>
        <w:t xml:space="preserve"> Com</w:t>
      </w:r>
      <w:r w:rsidR="006F223D" w:rsidRPr="00E349D9">
        <w:rPr>
          <w:szCs w:val="26"/>
        </w:rPr>
        <w:t>.</w:t>
      </w:r>
      <w:r w:rsidR="000873DC" w:rsidRPr="00E349D9">
        <w:rPr>
          <w:szCs w:val="26"/>
        </w:rPr>
        <w:t xml:space="preserve"> on Labor and Employment</w:t>
      </w:r>
      <w:r w:rsidR="006F223D" w:rsidRPr="00E349D9">
        <w:rPr>
          <w:szCs w:val="26"/>
        </w:rPr>
        <w:t>,</w:t>
      </w:r>
      <w:r w:rsidR="000873DC" w:rsidRPr="00E349D9">
        <w:rPr>
          <w:szCs w:val="26"/>
        </w:rPr>
        <w:t xml:space="preserve"> </w:t>
      </w:r>
      <w:r w:rsidR="006F223D" w:rsidRPr="00E349D9">
        <w:rPr>
          <w:szCs w:val="26"/>
        </w:rPr>
        <w:t>Analysis</w:t>
      </w:r>
      <w:r w:rsidR="000873DC" w:rsidRPr="00E349D9">
        <w:rPr>
          <w:szCs w:val="26"/>
        </w:rPr>
        <w:t xml:space="preserve"> o</w:t>
      </w:r>
      <w:r w:rsidR="001F0CB0" w:rsidRPr="00E349D9">
        <w:rPr>
          <w:szCs w:val="26"/>
        </w:rPr>
        <w:t>f</w:t>
      </w:r>
      <w:r w:rsidR="000873DC" w:rsidRPr="00E349D9">
        <w:rPr>
          <w:szCs w:val="26"/>
        </w:rPr>
        <w:t xml:space="preserve"> A</w:t>
      </w:r>
      <w:r w:rsidR="006F223D" w:rsidRPr="00E349D9">
        <w:rPr>
          <w:szCs w:val="26"/>
        </w:rPr>
        <w:t xml:space="preserve">ssem. </w:t>
      </w:r>
      <w:r w:rsidR="000873DC" w:rsidRPr="00E349D9">
        <w:rPr>
          <w:szCs w:val="26"/>
        </w:rPr>
        <w:t>B</w:t>
      </w:r>
      <w:r w:rsidR="006F223D" w:rsidRPr="00E349D9">
        <w:rPr>
          <w:szCs w:val="26"/>
        </w:rPr>
        <w:t>ill No.</w:t>
      </w:r>
      <w:r w:rsidR="00CB56E1" w:rsidRPr="00E349D9">
        <w:rPr>
          <w:szCs w:val="26"/>
        </w:rPr>
        <w:t> </w:t>
      </w:r>
      <w:r w:rsidR="000873DC" w:rsidRPr="00E349D9">
        <w:rPr>
          <w:szCs w:val="26"/>
        </w:rPr>
        <w:t>263</w:t>
      </w:r>
      <w:r w:rsidR="006F223D" w:rsidRPr="00E349D9">
        <w:rPr>
          <w:szCs w:val="26"/>
        </w:rPr>
        <w:t xml:space="preserve"> (2013–2014 Reg. Sess.)</w:t>
      </w:r>
      <w:r w:rsidR="000873DC" w:rsidRPr="00E349D9">
        <w:rPr>
          <w:szCs w:val="26"/>
        </w:rPr>
        <w:t xml:space="preserve"> </w:t>
      </w:r>
      <w:r w:rsidR="006F223D" w:rsidRPr="00E349D9">
        <w:rPr>
          <w:szCs w:val="26"/>
        </w:rPr>
        <w:t>as amended Apr</w:t>
      </w:r>
      <w:r w:rsidR="00F97295" w:rsidRPr="00E349D9">
        <w:rPr>
          <w:szCs w:val="26"/>
        </w:rPr>
        <w:t>.</w:t>
      </w:r>
      <w:r w:rsidR="006F223D" w:rsidRPr="00E349D9">
        <w:rPr>
          <w:szCs w:val="26"/>
        </w:rPr>
        <w:t xml:space="preserve"> 11, 2013</w:t>
      </w:r>
      <w:r w:rsidR="000873DC" w:rsidRPr="00E349D9">
        <w:rPr>
          <w:szCs w:val="26"/>
        </w:rPr>
        <w:t>, p</w:t>
      </w:r>
      <w:r w:rsidR="001F0CB0" w:rsidRPr="00E349D9">
        <w:rPr>
          <w:szCs w:val="26"/>
        </w:rPr>
        <w:t>.</w:t>
      </w:r>
      <w:r w:rsidR="00CB56E1" w:rsidRPr="00E349D9">
        <w:rPr>
          <w:szCs w:val="26"/>
        </w:rPr>
        <w:t> </w:t>
      </w:r>
      <w:r w:rsidR="001F0CB0" w:rsidRPr="00E349D9">
        <w:rPr>
          <w:szCs w:val="26"/>
        </w:rPr>
        <w:t xml:space="preserve">1 </w:t>
      </w:r>
      <w:r w:rsidR="000873DC" w:rsidRPr="00E349D9">
        <w:rPr>
          <w:szCs w:val="26"/>
        </w:rPr>
        <w:t>[bill protects employees who “fil[e] a complaint or inform[] any person of an employer</w:t>
      </w:r>
      <w:r w:rsidR="00674D7B" w:rsidRPr="00E349D9">
        <w:rPr>
          <w:szCs w:val="26"/>
          <w:bdr w:val="none" w:sz="0" w:space="0" w:color="auto" w:frame="1"/>
        </w:rPr>
        <w:t>’</w:t>
      </w:r>
      <w:r w:rsidR="000873DC" w:rsidRPr="00E349D9">
        <w:rPr>
          <w:szCs w:val="26"/>
        </w:rPr>
        <w:t>s [wrongdoing] so long as the complaint or disclosure is made in good faith”]</w:t>
      </w:r>
      <w:r w:rsidR="004B2266" w:rsidRPr="00E349D9">
        <w:rPr>
          <w:szCs w:val="26"/>
        </w:rPr>
        <w:t xml:space="preserve">.)  </w:t>
      </w:r>
      <w:r w:rsidR="00C0669D" w:rsidRPr="00E349D9">
        <w:rPr>
          <w:szCs w:val="26"/>
        </w:rPr>
        <w:t xml:space="preserve">Committees in both </w:t>
      </w:r>
      <w:r w:rsidR="00510125" w:rsidRPr="00E349D9">
        <w:rPr>
          <w:szCs w:val="26"/>
        </w:rPr>
        <w:t>chambers of the Legislature</w:t>
      </w:r>
      <w:r w:rsidR="00C0669D" w:rsidRPr="00E349D9">
        <w:rPr>
          <w:szCs w:val="26"/>
        </w:rPr>
        <w:t xml:space="preserve"> repeated</w:t>
      </w:r>
      <w:r w:rsidR="00B8173B" w:rsidRPr="00E349D9">
        <w:rPr>
          <w:szCs w:val="26"/>
        </w:rPr>
        <w:t>ly stated</w:t>
      </w:r>
      <w:r w:rsidR="00C0669D" w:rsidRPr="00E349D9">
        <w:rPr>
          <w:szCs w:val="26"/>
        </w:rPr>
        <w:t xml:space="preserve"> that “complaints about alleged violations of local law are covered, as well as internal complaints.”  (</w:t>
      </w:r>
      <w:r w:rsidR="001F0CB0" w:rsidRPr="00E349D9">
        <w:rPr>
          <w:szCs w:val="26"/>
        </w:rPr>
        <w:t>Sen. Rule</w:t>
      </w:r>
      <w:r w:rsidR="00F111C8" w:rsidRPr="00E349D9">
        <w:rPr>
          <w:szCs w:val="26"/>
        </w:rPr>
        <w:t>s</w:t>
      </w:r>
      <w:r w:rsidR="001F0CB0" w:rsidRPr="00E349D9">
        <w:rPr>
          <w:szCs w:val="26"/>
        </w:rPr>
        <w:t xml:space="preserve"> Com.</w:t>
      </w:r>
      <w:r w:rsidR="00577490" w:rsidRPr="00E349D9">
        <w:rPr>
          <w:szCs w:val="26"/>
        </w:rPr>
        <w:t xml:space="preserve">, </w:t>
      </w:r>
      <w:r w:rsidR="00332813">
        <w:rPr>
          <w:szCs w:val="26"/>
        </w:rPr>
        <w:t xml:space="preserve">Off of Sen. Floor Analysis, </w:t>
      </w:r>
      <w:r w:rsidR="00577490" w:rsidRPr="00E349D9">
        <w:rPr>
          <w:szCs w:val="26"/>
        </w:rPr>
        <w:t xml:space="preserve">Analysis of Sen. Bill </w:t>
      </w:r>
      <w:r w:rsidR="00CB56E1" w:rsidRPr="00E349D9">
        <w:rPr>
          <w:szCs w:val="26"/>
        </w:rPr>
        <w:t>No. </w:t>
      </w:r>
      <w:r w:rsidR="00577490" w:rsidRPr="00E349D9">
        <w:rPr>
          <w:szCs w:val="26"/>
        </w:rPr>
        <w:t xml:space="preserve">496 (2013–2014 Reg. Sess.) as amended Sept. </w:t>
      </w:r>
      <w:r w:rsidR="00332813">
        <w:rPr>
          <w:szCs w:val="26"/>
        </w:rPr>
        <w:t>6</w:t>
      </w:r>
      <w:r w:rsidR="00577490" w:rsidRPr="00E349D9">
        <w:rPr>
          <w:szCs w:val="26"/>
        </w:rPr>
        <w:t>, 2013, pp.</w:t>
      </w:r>
      <w:r w:rsidR="00CB56E1" w:rsidRPr="00E349D9">
        <w:rPr>
          <w:szCs w:val="26"/>
        </w:rPr>
        <w:t> </w:t>
      </w:r>
      <w:r w:rsidR="00577490" w:rsidRPr="00E349D9">
        <w:rPr>
          <w:szCs w:val="26"/>
        </w:rPr>
        <w:t>4–5</w:t>
      </w:r>
      <w:r w:rsidR="00C0669D" w:rsidRPr="00E349D9">
        <w:rPr>
          <w:szCs w:val="26"/>
        </w:rPr>
        <w:t xml:space="preserve">; </w:t>
      </w:r>
      <w:r w:rsidR="00B56BAB">
        <w:rPr>
          <w:szCs w:val="26"/>
        </w:rPr>
        <w:t xml:space="preserve">Off. of </w:t>
      </w:r>
      <w:r w:rsidR="00577490" w:rsidRPr="00E349D9">
        <w:rPr>
          <w:szCs w:val="26"/>
        </w:rPr>
        <w:t>Assem.</w:t>
      </w:r>
      <w:r w:rsidR="00C0669D" w:rsidRPr="00E349D9">
        <w:rPr>
          <w:szCs w:val="26"/>
        </w:rPr>
        <w:t xml:space="preserve"> Floor Analys</w:t>
      </w:r>
      <w:r w:rsidR="007D22E8" w:rsidRPr="00E349D9">
        <w:rPr>
          <w:szCs w:val="26"/>
        </w:rPr>
        <w:t>e</w:t>
      </w:r>
      <w:r w:rsidR="00C0669D" w:rsidRPr="00E349D9">
        <w:rPr>
          <w:szCs w:val="26"/>
        </w:rPr>
        <w:t>s</w:t>
      </w:r>
      <w:r w:rsidR="00577490" w:rsidRPr="00E349D9">
        <w:rPr>
          <w:szCs w:val="26"/>
        </w:rPr>
        <w:t xml:space="preserve">, </w:t>
      </w:r>
      <w:r w:rsidR="009F75E6" w:rsidRPr="00E349D9">
        <w:rPr>
          <w:szCs w:val="26"/>
        </w:rPr>
        <w:t>3</w:t>
      </w:r>
      <w:r w:rsidR="00577490" w:rsidRPr="00E349D9">
        <w:rPr>
          <w:szCs w:val="26"/>
        </w:rPr>
        <w:t xml:space="preserve">d </w:t>
      </w:r>
      <w:r w:rsidR="009F75E6" w:rsidRPr="00E349D9">
        <w:rPr>
          <w:szCs w:val="26"/>
        </w:rPr>
        <w:t>r</w:t>
      </w:r>
      <w:r w:rsidR="00577490" w:rsidRPr="00E349D9">
        <w:rPr>
          <w:szCs w:val="26"/>
        </w:rPr>
        <w:t xml:space="preserve">eading </w:t>
      </w:r>
      <w:r w:rsidR="007D22E8" w:rsidRPr="00E349D9">
        <w:rPr>
          <w:szCs w:val="26"/>
        </w:rPr>
        <w:t xml:space="preserve">analysis </w:t>
      </w:r>
      <w:r w:rsidR="00577490" w:rsidRPr="00E349D9">
        <w:rPr>
          <w:szCs w:val="26"/>
        </w:rPr>
        <w:t>of Sen. Bill No.</w:t>
      </w:r>
      <w:r w:rsidR="00CB56E1" w:rsidRPr="00E349D9">
        <w:rPr>
          <w:szCs w:val="26"/>
        </w:rPr>
        <w:t> </w:t>
      </w:r>
      <w:r w:rsidR="00577490" w:rsidRPr="00E349D9">
        <w:rPr>
          <w:szCs w:val="26"/>
        </w:rPr>
        <w:t>496 (2013–2014 Reg. Sess.) as amended Sept. 6, 2013, p.</w:t>
      </w:r>
      <w:r w:rsidR="00CB56E1" w:rsidRPr="00E349D9">
        <w:rPr>
          <w:szCs w:val="26"/>
        </w:rPr>
        <w:t> </w:t>
      </w:r>
      <w:r w:rsidR="00577490" w:rsidRPr="00E349D9">
        <w:rPr>
          <w:szCs w:val="26"/>
        </w:rPr>
        <w:t>2.)</w:t>
      </w:r>
      <w:r w:rsidR="00075551" w:rsidRPr="00E349D9">
        <w:rPr>
          <w:szCs w:val="26"/>
        </w:rPr>
        <w:t xml:space="preserve">  Thus, the legislative history suggests </w:t>
      </w:r>
      <w:r w:rsidR="000873DC" w:rsidRPr="00E349D9">
        <w:rPr>
          <w:szCs w:val="26"/>
        </w:rPr>
        <w:t xml:space="preserve">that </w:t>
      </w:r>
      <w:r w:rsidR="00BD33F6" w:rsidRPr="00E349D9">
        <w:rPr>
          <w:szCs w:val="26"/>
        </w:rPr>
        <w:t xml:space="preserve">the </w:t>
      </w:r>
      <w:r w:rsidR="00075551" w:rsidRPr="00E349D9">
        <w:rPr>
          <w:szCs w:val="26"/>
        </w:rPr>
        <w:t>term “</w:t>
      </w:r>
      <w:r w:rsidR="00A14ED4" w:rsidRPr="00E349D9">
        <w:rPr>
          <w:szCs w:val="26"/>
        </w:rPr>
        <w:t>disclose</w:t>
      </w:r>
      <w:r w:rsidR="00075551" w:rsidRPr="00E349D9">
        <w:rPr>
          <w:szCs w:val="26"/>
        </w:rPr>
        <w:t>” in section 1102.5(b) was intended</w:t>
      </w:r>
      <w:r w:rsidR="00A14ED4" w:rsidRPr="00E349D9">
        <w:rPr>
          <w:szCs w:val="26"/>
        </w:rPr>
        <w:t xml:space="preserve"> </w:t>
      </w:r>
      <w:r w:rsidR="00BD33F6" w:rsidRPr="00E349D9">
        <w:rPr>
          <w:szCs w:val="26"/>
        </w:rPr>
        <w:t xml:space="preserve">to </w:t>
      </w:r>
      <w:r w:rsidR="00075551" w:rsidRPr="00E349D9">
        <w:rPr>
          <w:szCs w:val="26"/>
        </w:rPr>
        <w:t>mean</w:t>
      </w:r>
      <w:r w:rsidR="000873DC" w:rsidRPr="00E349D9">
        <w:rPr>
          <w:szCs w:val="26"/>
        </w:rPr>
        <w:t xml:space="preserve"> </w:t>
      </w:r>
      <w:r w:rsidR="00075551" w:rsidRPr="00E349D9">
        <w:rPr>
          <w:szCs w:val="26"/>
        </w:rPr>
        <w:t>“</w:t>
      </w:r>
      <w:r w:rsidR="000873DC" w:rsidRPr="00E349D9">
        <w:rPr>
          <w:szCs w:val="26"/>
        </w:rPr>
        <w:t>report,</w:t>
      </w:r>
      <w:r w:rsidR="00075551" w:rsidRPr="00E349D9">
        <w:rPr>
          <w:szCs w:val="26"/>
        </w:rPr>
        <w:t>”</w:t>
      </w:r>
      <w:r w:rsidR="000873DC" w:rsidRPr="00E349D9">
        <w:rPr>
          <w:szCs w:val="26"/>
        </w:rPr>
        <w:t xml:space="preserve"> </w:t>
      </w:r>
      <w:r w:rsidR="00075551" w:rsidRPr="00E349D9">
        <w:rPr>
          <w:szCs w:val="26"/>
        </w:rPr>
        <w:t>“</w:t>
      </w:r>
      <w:r w:rsidR="000873DC" w:rsidRPr="00E349D9">
        <w:rPr>
          <w:szCs w:val="26"/>
        </w:rPr>
        <w:t>inform,</w:t>
      </w:r>
      <w:r w:rsidR="00075551" w:rsidRPr="00E349D9">
        <w:rPr>
          <w:szCs w:val="26"/>
        </w:rPr>
        <w:t>”</w:t>
      </w:r>
      <w:r w:rsidR="000873DC" w:rsidRPr="00E349D9">
        <w:rPr>
          <w:szCs w:val="26"/>
        </w:rPr>
        <w:t xml:space="preserve"> or </w:t>
      </w:r>
      <w:r w:rsidR="00075551" w:rsidRPr="00E349D9">
        <w:rPr>
          <w:szCs w:val="26"/>
        </w:rPr>
        <w:t>“</w:t>
      </w:r>
      <w:r w:rsidR="000873DC" w:rsidRPr="00E349D9">
        <w:rPr>
          <w:szCs w:val="26"/>
        </w:rPr>
        <w:t>complain</w:t>
      </w:r>
      <w:r w:rsidR="00075551" w:rsidRPr="00E349D9">
        <w:rPr>
          <w:szCs w:val="26"/>
        </w:rPr>
        <w:t>”</w:t>
      </w:r>
      <w:r w:rsidR="001542DF">
        <w:rPr>
          <w:szCs w:val="26"/>
        </w:rPr>
        <w:t> </w:t>
      </w:r>
      <w:r w:rsidR="00075551" w:rsidRPr="00E349D9">
        <w:rPr>
          <w:szCs w:val="26"/>
        </w:rPr>
        <w:t>— which readily encompasses A.C.R.’s complaint to Estrada in this case.</w:t>
      </w:r>
      <w:r w:rsidR="00A25A16" w:rsidRPr="00251086">
        <w:rPr>
          <w:szCs w:val="26"/>
        </w:rPr>
        <w:t xml:space="preserve"> </w:t>
      </w:r>
    </w:p>
    <w:p w14:paraId="011DA57A" w14:textId="3BD08BEB" w:rsidR="00E26F7B" w:rsidRPr="0087786A" w:rsidRDefault="001E6B6F" w:rsidP="008E7EDE">
      <w:pPr>
        <w:autoSpaceDE w:val="0"/>
        <w:autoSpaceDN w:val="0"/>
        <w:adjustRightInd w:val="0"/>
        <w:spacing w:before="240"/>
        <w:ind w:firstLine="720"/>
        <w:rPr>
          <w:rFonts w:cs="TimesNewRomanPSMT"/>
          <w:szCs w:val="26"/>
        </w:rPr>
      </w:pPr>
      <w:r w:rsidRPr="00E349D9">
        <w:rPr>
          <w:szCs w:val="26"/>
        </w:rPr>
        <w:t>Amendments</w:t>
      </w:r>
      <w:r w:rsidR="00BD0EB3" w:rsidRPr="00E349D9">
        <w:rPr>
          <w:szCs w:val="26"/>
        </w:rPr>
        <w:t xml:space="preserve"> to section 1102.5(b) </w:t>
      </w:r>
      <w:r w:rsidRPr="00E349D9">
        <w:rPr>
          <w:szCs w:val="26"/>
        </w:rPr>
        <w:t xml:space="preserve">in </w:t>
      </w:r>
      <w:r w:rsidR="000873DC" w:rsidRPr="00E349D9">
        <w:rPr>
          <w:szCs w:val="26"/>
        </w:rPr>
        <w:t>2013</w:t>
      </w:r>
      <w:r w:rsidR="003F7169" w:rsidRPr="00E349D9">
        <w:rPr>
          <w:szCs w:val="26"/>
        </w:rPr>
        <w:t>, which are directly implicated by this case,</w:t>
      </w:r>
      <w:r w:rsidR="000873DC" w:rsidRPr="00E349D9">
        <w:rPr>
          <w:szCs w:val="26"/>
        </w:rPr>
        <w:t xml:space="preserve"> further support a broad reading of the term </w:t>
      </w:r>
      <w:r w:rsidRPr="00E349D9">
        <w:rPr>
          <w:szCs w:val="26"/>
        </w:rPr>
        <w:t>“</w:t>
      </w:r>
      <w:r w:rsidR="000873DC" w:rsidRPr="00E349D9">
        <w:rPr>
          <w:szCs w:val="26"/>
        </w:rPr>
        <w:t>disclose.</w:t>
      </w:r>
      <w:r w:rsidRPr="00E349D9">
        <w:rPr>
          <w:szCs w:val="26"/>
        </w:rPr>
        <w:t>”</w:t>
      </w:r>
      <w:r w:rsidR="000873DC" w:rsidRPr="00E349D9">
        <w:rPr>
          <w:szCs w:val="26"/>
        </w:rPr>
        <w:t xml:space="preserve">  </w:t>
      </w:r>
      <w:r w:rsidR="00E26F7B" w:rsidRPr="00E349D9">
        <w:rPr>
          <w:szCs w:val="26"/>
        </w:rPr>
        <w:t xml:space="preserve">In </w:t>
      </w:r>
      <w:r w:rsidRPr="00E349D9">
        <w:rPr>
          <w:szCs w:val="26"/>
        </w:rPr>
        <w:t>that year</w:t>
      </w:r>
      <w:r w:rsidR="00E26F7B" w:rsidRPr="00E349D9">
        <w:rPr>
          <w:szCs w:val="26"/>
        </w:rPr>
        <w:t xml:space="preserve">, three proposed bills sought to amend section 1102.5(b): </w:t>
      </w:r>
      <w:r w:rsidRPr="00E349D9">
        <w:rPr>
          <w:szCs w:val="26"/>
        </w:rPr>
        <w:t xml:space="preserve"> </w:t>
      </w:r>
      <w:r w:rsidR="00BA59D6" w:rsidRPr="00E349D9">
        <w:rPr>
          <w:szCs w:val="26"/>
        </w:rPr>
        <w:t>Senate Bill No.</w:t>
      </w:r>
      <w:r w:rsidR="00386E8C" w:rsidRPr="00E349D9">
        <w:rPr>
          <w:szCs w:val="26"/>
        </w:rPr>
        <w:t> </w:t>
      </w:r>
      <w:r w:rsidR="00BA59D6" w:rsidRPr="00E349D9">
        <w:rPr>
          <w:szCs w:val="26"/>
        </w:rPr>
        <w:t xml:space="preserve">666 </w:t>
      </w:r>
      <w:r w:rsidR="003A6B4B" w:rsidRPr="00E349D9">
        <w:rPr>
          <w:szCs w:val="26"/>
        </w:rPr>
        <w:t xml:space="preserve">(2013–2014 Reg. Sess.) </w:t>
      </w:r>
      <w:r w:rsidR="00BA59D6" w:rsidRPr="00E349D9">
        <w:rPr>
          <w:szCs w:val="26"/>
        </w:rPr>
        <w:t>(S</w:t>
      </w:r>
      <w:r w:rsidR="009B0AFD">
        <w:rPr>
          <w:szCs w:val="26"/>
        </w:rPr>
        <w:t xml:space="preserve">enate </w:t>
      </w:r>
      <w:r w:rsidR="00BA59D6" w:rsidRPr="00E349D9">
        <w:rPr>
          <w:szCs w:val="26"/>
        </w:rPr>
        <w:t>B</w:t>
      </w:r>
      <w:r w:rsidR="009B0AFD">
        <w:rPr>
          <w:szCs w:val="26"/>
        </w:rPr>
        <w:t>ill</w:t>
      </w:r>
      <w:r w:rsidR="00BA59D6" w:rsidRPr="00E349D9">
        <w:rPr>
          <w:szCs w:val="26"/>
        </w:rPr>
        <w:t xml:space="preserve"> 666)</w:t>
      </w:r>
      <w:r w:rsidR="002B3166" w:rsidRPr="00E349D9">
        <w:rPr>
          <w:szCs w:val="26"/>
        </w:rPr>
        <w:t xml:space="preserve">, </w:t>
      </w:r>
      <w:r w:rsidR="00E26F7B" w:rsidRPr="00E349D9">
        <w:rPr>
          <w:szCs w:val="26"/>
        </w:rPr>
        <w:t>A</w:t>
      </w:r>
      <w:r w:rsidR="001F0CB0" w:rsidRPr="00E349D9">
        <w:rPr>
          <w:szCs w:val="26"/>
        </w:rPr>
        <w:t xml:space="preserve">ssembly </w:t>
      </w:r>
      <w:r w:rsidR="00E26F7B" w:rsidRPr="00E349D9">
        <w:rPr>
          <w:szCs w:val="26"/>
        </w:rPr>
        <w:t>B</w:t>
      </w:r>
      <w:r w:rsidR="001F0CB0" w:rsidRPr="00E349D9">
        <w:rPr>
          <w:szCs w:val="26"/>
        </w:rPr>
        <w:t xml:space="preserve">ill </w:t>
      </w:r>
      <w:r w:rsidR="00C76A85" w:rsidRPr="00E349D9">
        <w:rPr>
          <w:szCs w:val="26"/>
        </w:rPr>
        <w:t>No.</w:t>
      </w:r>
      <w:r w:rsidR="00386E8C" w:rsidRPr="00E349D9">
        <w:rPr>
          <w:szCs w:val="26"/>
        </w:rPr>
        <w:t> </w:t>
      </w:r>
      <w:r w:rsidR="001F0CB0" w:rsidRPr="00E349D9">
        <w:rPr>
          <w:szCs w:val="26"/>
        </w:rPr>
        <w:t xml:space="preserve">263 </w:t>
      </w:r>
      <w:r w:rsidR="003A6B4B" w:rsidRPr="00E349D9">
        <w:rPr>
          <w:szCs w:val="26"/>
        </w:rPr>
        <w:t xml:space="preserve">(2013–2014 Reg. Sess.) </w:t>
      </w:r>
      <w:r w:rsidR="00BA59D6" w:rsidRPr="00E349D9">
        <w:rPr>
          <w:szCs w:val="26"/>
        </w:rPr>
        <w:t>(A</w:t>
      </w:r>
      <w:r w:rsidR="009B0AFD">
        <w:rPr>
          <w:szCs w:val="26"/>
        </w:rPr>
        <w:t xml:space="preserve">ssembly </w:t>
      </w:r>
      <w:r w:rsidR="00BA59D6" w:rsidRPr="00E349D9">
        <w:rPr>
          <w:szCs w:val="26"/>
        </w:rPr>
        <w:t>B</w:t>
      </w:r>
      <w:r w:rsidR="009B0AFD">
        <w:rPr>
          <w:szCs w:val="26"/>
        </w:rPr>
        <w:t>ill</w:t>
      </w:r>
      <w:r w:rsidR="00BA59D6" w:rsidRPr="00E349D9">
        <w:rPr>
          <w:szCs w:val="26"/>
        </w:rPr>
        <w:t xml:space="preserve"> 263)</w:t>
      </w:r>
      <w:r w:rsidR="002B3166" w:rsidRPr="00E349D9">
        <w:rPr>
          <w:szCs w:val="26"/>
        </w:rPr>
        <w:t>, and Senate Bill</w:t>
      </w:r>
      <w:r w:rsidR="00E26F7B" w:rsidRPr="00E349D9">
        <w:rPr>
          <w:szCs w:val="26"/>
        </w:rPr>
        <w:t xml:space="preserve"> </w:t>
      </w:r>
      <w:r w:rsidR="00C76A85" w:rsidRPr="00E349D9">
        <w:rPr>
          <w:szCs w:val="26"/>
        </w:rPr>
        <w:t>No.</w:t>
      </w:r>
      <w:r w:rsidR="00C515AA" w:rsidRPr="00E349D9">
        <w:rPr>
          <w:szCs w:val="26"/>
        </w:rPr>
        <w:t> </w:t>
      </w:r>
      <w:r w:rsidR="00E26F7B" w:rsidRPr="00E349D9">
        <w:rPr>
          <w:szCs w:val="26"/>
        </w:rPr>
        <w:t>496</w:t>
      </w:r>
      <w:r w:rsidR="00BA59D6" w:rsidRPr="00E349D9">
        <w:rPr>
          <w:szCs w:val="26"/>
        </w:rPr>
        <w:t xml:space="preserve"> </w:t>
      </w:r>
      <w:r w:rsidR="003A6B4B" w:rsidRPr="00E349D9">
        <w:rPr>
          <w:szCs w:val="26"/>
        </w:rPr>
        <w:t xml:space="preserve">(2013–2014 Reg. Sess.) </w:t>
      </w:r>
      <w:r w:rsidR="00BA59D6" w:rsidRPr="00E349D9">
        <w:rPr>
          <w:szCs w:val="26"/>
        </w:rPr>
        <w:t>(</w:t>
      </w:r>
      <w:r w:rsidR="002B3166" w:rsidRPr="00E349D9">
        <w:rPr>
          <w:szCs w:val="26"/>
        </w:rPr>
        <w:t>S</w:t>
      </w:r>
      <w:r w:rsidR="009B0AFD">
        <w:rPr>
          <w:szCs w:val="26"/>
        </w:rPr>
        <w:t xml:space="preserve">enate </w:t>
      </w:r>
      <w:r w:rsidR="00BA59D6" w:rsidRPr="00E349D9">
        <w:rPr>
          <w:szCs w:val="26"/>
        </w:rPr>
        <w:t>B</w:t>
      </w:r>
      <w:r w:rsidR="009B0AFD">
        <w:rPr>
          <w:szCs w:val="26"/>
        </w:rPr>
        <w:t>ill</w:t>
      </w:r>
      <w:r w:rsidR="00BA59D6" w:rsidRPr="00E349D9">
        <w:rPr>
          <w:szCs w:val="26"/>
        </w:rPr>
        <w:t xml:space="preserve"> 496)</w:t>
      </w:r>
      <w:r w:rsidR="00E26F7B" w:rsidRPr="00E349D9">
        <w:rPr>
          <w:szCs w:val="26"/>
        </w:rPr>
        <w:t xml:space="preserve">.  </w:t>
      </w:r>
      <w:r w:rsidR="00BA59D6" w:rsidRPr="00E349D9">
        <w:rPr>
          <w:szCs w:val="26"/>
        </w:rPr>
        <w:t>The first two bills</w:t>
      </w:r>
      <w:r w:rsidR="00E26F7B" w:rsidRPr="00E349D9">
        <w:rPr>
          <w:szCs w:val="26"/>
        </w:rPr>
        <w:t xml:space="preserve"> </w:t>
      </w:r>
      <w:r w:rsidR="00813F36" w:rsidRPr="00E349D9">
        <w:rPr>
          <w:szCs w:val="26"/>
        </w:rPr>
        <w:t xml:space="preserve">centered on </w:t>
      </w:r>
      <w:r w:rsidR="00E26F7B" w:rsidRPr="00E349D9">
        <w:rPr>
          <w:szCs w:val="26"/>
        </w:rPr>
        <w:t>immigration</w:t>
      </w:r>
      <w:r w:rsidR="00B10A70" w:rsidRPr="00E349D9">
        <w:rPr>
          <w:szCs w:val="26"/>
        </w:rPr>
        <w:t>-related</w:t>
      </w:r>
      <w:r w:rsidR="00E26F7B" w:rsidRPr="00E349D9">
        <w:rPr>
          <w:szCs w:val="26"/>
        </w:rPr>
        <w:t xml:space="preserve"> protections; </w:t>
      </w:r>
      <w:r w:rsidR="00BA59D6" w:rsidRPr="00E349D9">
        <w:rPr>
          <w:szCs w:val="26"/>
        </w:rPr>
        <w:t xml:space="preserve">the </w:t>
      </w:r>
      <w:r w:rsidR="00BF5AD6" w:rsidRPr="00E349D9">
        <w:rPr>
          <w:szCs w:val="26"/>
        </w:rPr>
        <w:t>third</w:t>
      </w:r>
      <w:r w:rsidR="00E26F7B" w:rsidRPr="00E349D9">
        <w:rPr>
          <w:szCs w:val="26"/>
        </w:rPr>
        <w:t xml:space="preserve"> focused on expanding </w:t>
      </w:r>
      <w:r w:rsidR="00CF2276" w:rsidRPr="00E349D9">
        <w:rPr>
          <w:szCs w:val="26"/>
        </w:rPr>
        <w:t xml:space="preserve">whistleblower protections </w:t>
      </w:r>
      <w:r w:rsidR="009B76F9">
        <w:rPr>
          <w:szCs w:val="26"/>
        </w:rPr>
        <w:t>to cover</w:t>
      </w:r>
      <w:r w:rsidR="00CF2276" w:rsidRPr="00E349D9">
        <w:rPr>
          <w:szCs w:val="26"/>
        </w:rPr>
        <w:t xml:space="preserve"> internal disclosures.  </w:t>
      </w:r>
      <w:r w:rsidR="00004BBB" w:rsidRPr="00E349D9">
        <w:rPr>
          <w:szCs w:val="26"/>
        </w:rPr>
        <w:t>The</w:t>
      </w:r>
      <w:r w:rsidR="008D3627" w:rsidRPr="00E349D9">
        <w:rPr>
          <w:szCs w:val="26"/>
        </w:rPr>
        <w:t xml:space="preserve"> </w:t>
      </w:r>
      <w:r w:rsidR="00FE0C81" w:rsidRPr="00E349D9">
        <w:rPr>
          <w:szCs w:val="26"/>
        </w:rPr>
        <w:t xml:space="preserve">section 1102.5 amendments within </w:t>
      </w:r>
      <w:r w:rsidR="00D12122" w:rsidRPr="00E349D9">
        <w:rPr>
          <w:szCs w:val="26"/>
        </w:rPr>
        <w:t xml:space="preserve">the </w:t>
      </w:r>
      <w:r w:rsidR="008D3627" w:rsidRPr="00E349D9">
        <w:rPr>
          <w:szCs w:val="26"/>
        </w:rPr>
        <w:t xml:space="preserve">three bills </w:t>
      </w:r>
      <w:r w:rsidR="00004BBB" w:rsidRPr="00E349D9">
        <w:rPr>
          <w:szCs w:val="26"/>
        </w:rPr>
        <w:t xml:space="preserve">were closely related, with </w:t>
      </w:r>
      <w:r w:rsidR="00A940BE" w:rsidRPr="00E349D9">
        <w:rPr>
          <w:szCs w:val="26"/>
        </w:rPr>
        <w:t>each bill</w:t>
      </w:r>
      <w:r w:rsidR="00004BBB" w:rsidRPr="00E349D9">
        <w:rPr>
          <w:szCs w:val="26"/>
        </w:rPr>
        <w:t xml:space="preserve"> containing </w:t>
      </w:r>
      <w:r w:rsidR="000E40ED" w:rsidRPr="00E349D9">
        <w:rPr>
          <w:szCs w:val="26"/>
        </w:rPr>
        <w:t>changes to</w:t>
      </w:r>
      <w:r w:rsidR="00004BBB" w:rsidRPr="00E349D9">
        <w:rPr>
          <w:szCs w:val="26"/>
        </w:rPr>
        <w:t xml:space="preserve"> section 1102.5(b</w:t>
      </w:r>
      <w:r w:rsidR="00D017E1" w:rsidRPr="00E349D9">
        <w:rPr>
          <w:szCs w:val="26"/>
        </w:rPr>
        <w:t xml:space="preserve">) </w:t>
      </w:r>
      <w:r w:rsidR="000E40ED" w:rsidRPr="00E349D9">
        <w:rPr>
          <w:szCs w:val="26"/>
        </w:rPr>
        <w:t>originally proposed by S</w:t>
      </w:r>
      <w:r w:rsidR="003A6B4B">
        <w:rPr>
          <w:szCs w:val="26"/>
        </w:rPr>
        <w:t xml:space="preserve">enate </w:t>
      </w:r>
      <w:r w:rsidR="000E40ED" w:rsidRPr="00E349D9">
        <w:rPr>
          <w:szCs w:val="26"/>
        </w:rPr>
        <w:t>B</w:t>
      </w:r>
      <w:r w:rsidR="003A6B4B">
        <w:rPr>
          <w:szCs w:val="26"/>
        </w:rPr>
        <w:t>ill</w:t>
      </w:r>
      <w:r w:rsidR="000E40ED" w:rsidRPr="00E349D9">
        <w:rPr>
          <w:szCs w:val="26"/>
        </w:rPr>
        <w:t xml:space="preserve"> 496 </w:t>
      </w:r>
      <w:r w:rsidR="00D017E1" w:rsidRPr="00E349D9">
        <w:rPr>
          <w:szCs w:val="26"/>
        </w:rPr>
        <w:t xml:space="preserve">and a provision that </w:t>
      </w:r>
      <w:r w:rsidR="000E40ED" w:rsidRPr="00E349D9">
        <w:rPr>
          <w:szCs w:val="26"/>
        </w:rPr>
        <w:t xml:space="preserve">those </w:t>
      </w:r>
      <w:r w:rsidR="00E57C36" w:rsidRPr="00E349D9">
        <w:rPr>
          <w:szCs w:val="26"/>
        </w:rPr>
        <w:t>changes would take effect through</w:t>
      </w:r>
      <w:r w:rsidR="00D017E1" w:rsidRPr="00E349D9">
        <w:rPr>
          <w:szCs w:val="26"/>
        </w:rPr>
        <w:t xml:space="preserve"> whichever bill was enacted last.  (</w:t>
      </w:r>
      <w:r w:rsidR="005400FE" w:rsidRPr="00E349D9">
        <w:rPr>
          <w:szCs w:val="26"/>
        </w:rPr>
        <w:t>Stats.</w:t>
      </w:r>
      <w:r w:rsidR="00B94A5C" w:rsidRPr="00E349D9">
        <w:rPr>
          <w:szCs w:val="26"/>
        </w:rPr>
        <w:t> </w:t>
      </w:r>
      <w:r w:rsidR="005400FE" w:rsidRPr="00E349D9">
        <w:rPr>
          <w:szCs w:val="26"/>
        </w:rPr>
        <w:t>2013</w:t>
      </w:r>
      <w:r w:rsidR="005416E5" w:rsidRPr="00E349D9">
        <w:rPr>
          <w:szCs w:val="26"/>
        </w:rPr>
        <w:t>,</w:t>
      </w:r>
      <w:r w:rsidR="00BE5352" w:rsidRPr="00E349D9">
        <w:rPr>
          <w:szCs w:val="26"/>
        </w:rPr>
        <w:t xml:space="preserve"> ch. 577,</w:t>
      </w:r>
      <w:r w:rsidR="005416E5" w:rsidRPr="00E349D9">
        <w:rPr>
          <w:szCs w:val="26"/>
        </w:rPr>
        <w:t> §§</w:t>
      </w:r>
      <w:r w:rsidR="00B94A5C" w:rsidRPr="00E349D9">
        <w:rPr>
          <w:szCs w:val="26"/>
        </w:rPr>
        <w:t> </w:t>
      </w:r>
      <w:r w:rsidR="005416E5" w:rsidRPr="00E349D9">
        <w:rPr>
          <w:szCs w:val="26"/>
        </w:rPr>
        <w:t xml:space="preserve">5, 5.5, 7; </w:t>
      </w:r>
      <w:r w:rsidR="00BE5352" w:rsidRPr="00E349D9">
        <w:rPr>
          <w:szCs w:val="26"/>
        </w:rPr>
        <w:t>Stats.</w:t>
      </w:r>
      <w:r w:rsidR="00B94A5C" w:rsidRPr="00E349D9">
        <w:rPr>
          <w:szCs w:val="26"/>
        </w:rPr>
        <w:t> </w:t>
      </w:r>
      <w:r w:rsidR="00BE5352" w:rsidRPr="00E349D9">
        <w:rPr>
          <w:szCs w:val="26"/>
        </w:rPr>
        <w:t>2013</w:t>
      </w:r>
      <w:r w:rsidR="005416E5" w:rsidRPr="00E349D9">
        <w:rPr>
          <w:szCs w:val="26"/>
        </w:rPr>
        <w:t>,</w:t>
      </w:r>
      <w:r w:rsidR="00B94A5C" w:rsidRPr="00E349D9">
        <w:rPr>
          <w:szCs w:val="26"/>
        </w:rPr>
        <w:t xml:space="preserve"> </w:t>
      </w:r>
      <w:r w:rsidR="004429B3" w:rsidRPr="00E349D9">
        <w:rPr>
          <w:szCs w:val="26"/>
        </w:rPr>
        <w:t xml:space="preserve">ch. 732, </w:t>
      </w:r>
      <w:r w:rsidR="005416E5" w:rsidRPr="00E349D9">
        <w:rPr>
          <w:szCs w:val="26"/>
        </w:rPr>
        <w:t>§§</w:t>
      </w:r>
      <w:r w:rsidR="00B94A5C" w:rsidRPr="00E349D9">
        <w:rPr>
          <w:szCs w:val="26"/>
        </w:rPr>
        <w:t> </w:t>
      </w:r>
      <w:r w:rsidR="0007117F" w:rsidRPr="00E349D9">
        <w:rPr>
          <w:szCs w:val="26"/>
        </w:rPr>
        <w:t>6</w:t>
      </w:r>
      <w:r w:rsidR="005416E5" w:rsidRPr="00E349D9">
        <w:rPr>
          <w:szCs w:val="26"/>
        </w:rPr>
        <w:t xml:space="preserve">, </w:t>
      </w:r>
      <w:r w:rsidR="0007117F" w:rsidRPr="00E349D9">
        <w:rPr>
          <w:szCs w:val="26"/>
        </w:rPr>
        <w:t>6</w:t>
      </w:r>
      <w:r w:rsidR="005416E5" w:rsidRPr="00E349D9">
        <w:rPr>
          <w:szCs w:val="26"/>
        </w:rPr>
        <w:t xml:space="preserve">.5, </w:t>
      </w:r>
      <w:r w:rsidR="0007117F" w:rsidRPr="00E349D9">
        <w:rPr>
          <w:szCs w:val="26"/>
        </w:rPr>
        <w:t>9</w:t>
      </w:r>
      <w:r w:rsidR="005416E5" w:rsidRPr="00E349D9">
        <w:rPr>
          <w:szCs w:val="26"/>
        </w:rPr>
        <w:t xml:space="preserve">; </w:t>
      </w:r>
      <w:r w:rsidR="00BE5352" w:rsidRPr="00E349D9">
        <w:rPr>
          <w:szCs w:val="26"/>
        </w:rPr>
        <w:t>Stats.</w:t>
      </w:r>
      <w:r w:rsidR="00B94A5C" w:rsidRPr="00E349D9">
        <w:rPr>
          <w:szCs w:val="26"/>
        </w:rPr>
        <w:t> </w:t>
      </w:r>
      <w:r w:rsidR="00BE5352" w:rsidRPr="00E349D9">
        <w:rPr>
          <w:szCs w:val="26"/>
        </w:rPr>
        <w:t>2013</w:t>
      </w:r>
      <w:r w:rsidR="004429B3" w:rsidRPr="00E349D9">
        <w:rPr>
          <w:szCs w:val="26"/>
        </w:rPr>
        <w:t>, ch. 781</w:t>
      </w:r>
      <w:r w:rsidR="005416E5" w:rsidRPr="00E349D9">
        <w:rPr>
          <w:szCs w:val="26"/>
        </w:rPr>
        <w:t>,</w:t>
      </w:r>
      <w:r w:rsidR="00B94A5C" w:rsidRPr="00E349D9">
        <w:rPr>
          <w:szCs w:val="26"/>
        </w:rPr>
        <w:t xml:space="preserve"> </w:t>
      </w:r>
      <w:r w:rsidR="005416E5" w:rsidRPr="00E349D9">
        <w:rPr>
          <w:szCs w:val="26"/>
        </w:rPr>
        <w:t>§§</w:t>
      </w:r>
      <w:r w:rsidR="00B94A5C" w:rsidRPr="00E349D9">
        <w:rPr>
          <w:szCs w:val="26"/>
        </w:rPr>
        <w:t> </w:t>
      </w:r>
      <w:r w:rsidR="00CA6559" w:rsidRPr="00E349D9">
        <w:rPr>
          <w:szCs w:val="26"/>
        </w:rPr>
        <w:t>4, 4.1, 5.)</w:t>
      </w:r>
      <w:r w:rsidR="00F51E4F" w:rsidRPr="00E349D9">
        <w:rPr>
          <w:szCs w:val="26"/>
        </w:rPr>
        <w:t xml:space="preserve">  </w:t>
      </w:r>
      <w:r w:rsidR="00CF2276" w:rsidRPr="00E349D9">
        <w:rPr>
          <w:szCs w:val="26"/>
        </w:rPr>
        <w:t xml:space="preserve">Because these three bills were enacted at the same time on the same subject, we </w:t>
      </w:r>
      <w:r w:rsidR="007B4322" w:rsidRPr="00E349D9">
        <w:rPr>
          <w:szCs w:val="26"/>
        </w:rPr>
        <w:t>read them as having a common policy goal and an intention to take effect together.</w:t>
      </w:r>
      <w:r w:rsidR="00BF5AD6" w:rsidRPr="00E349D9">
        <w:rPr>
          <w:szCs w:val="26"/>
        </w:rPr>
        <w:t xml:space="preserve"> </w:t>
      </w:r>
      <w:r w:rsidR="007B4322" w:rsidRPr="00E349D9">
        <w:rPr>
          <w:szCs w:val="26"/>
        </w:rPr>
        <w:t xml:space="preserve"> (</w:t>
      </w:r>
      <w:r w:rsidR="007B4322" w:rsidRPr="0087786A">
        <w:rPr>
          <w:rFonts w:cs="TimesNewRomanPSMT"/>
          <w:szCs w:val="26"/>
        </w:rPr>
        <w:t xml:space="preserve">Singer, Sutherland Statutes and Statutory Construction </w:t>
      </w:r>
      <w:r w:rsidR="005F3575" w:rsidRPr="0087786A">
        <w:rPr>
          <w:rFonts w:cs="TimesNewRomanPSMT"/>
          <w:szCs w:val="26"/>
        </w:rPr>
        <w:t xml:space="preserve">(7th ed. 2013) </w:t>
      </w:r>
      <w:r w:rsidR="007B4322" w:rsidRPr="0087786A">
        <w:rPr>
          <w:rFonts w:cs="TimesNewRomanPSMT"/>
          <w:szCs w:val="26"/>
        </w:rPr>
        <w:t>§</w:t>
      </w:r>
      <w:r w:rsidR="00386E8C" w:rsidRPr="00E349D9">
        <w:rPr>
          <w:szCs w:val="26"/>
        </w:rPr>
        <w:t> </w:t>
      </w:r>
      <w:r w:rsidR="007B4322" w:rsidRPr="0087786A">
        <w:rPr>
          <w:rFonts w:cs="TimesNewRomanPSMT"/>
          <w:szCs w:val="26"/>
        </w:rPr>
        <w:t xml:space="preserve">23:18 [“If the same legislative session enacts two or more acts on the same subject they are presumed to embody the same policy and have been intended to have effect together.”].)  </w:t>
      </w:r>
      <w:r w:rsidR="000053EA" w:rsidRPr="0087786A">
        <w:rPr>
          <w:rFonts w:cs="TimesNewRomanPSMT"/>
          <w:szCs w:val="26"/>
        </w:rPr>
        <w:t>As enacted</w:t>
      </w:r>
      <w:r w:rsidR="0096595C" w:rsidRPr="0087786A">
        <w:rPr>
          <w:rFonts w:cs="TimesNewRomanPSMT"/>
          <w:szCs w:val="26"/>
        </w:rPr>
        <w:t xml:space="preserve">, </w:t>
      </w:r>
      <w:r w:rsidR="00BA59D6" w:rsidRPr="0087786A">
        <w:rPr>
          <w:rFonts w:cs="TimesNewRomanPSMT"/>
          <w:szCs w:val="26"/>
        </w:rPr>
        <w:t>A</w:t>
      </w:r>
      <w:r w:rsidR="003A6B4B">
        <w:rPr>
          <w:rFonts w:cs="TimesNewRomanPSMT"/>
          <w:szCs w:val="26"/>
        </w:rPr>
        <w:t xml:space="preserve">ssembly </w:t>
      </w:r>
      <w:r w:rsidR="00BA59D6" w:rsidRPr="0087786A">
        <w:rPr>
          <w:rFonts w:cs="TimesNewRomanPSMT"/>
          <w:szCs w:val="26"/>
        </w:rPr>
        <w:t>B</w:t>
      </w:r>
      <w:r w:rsidR="003A6B4B">
        <w:rPr>
          <w:rFonts w:cs="TimesNewRomanPSMT"/>
          <w:szCs w:val="26"/>
        </w:rPr>
        <w:t>ill</w:t>
      </w:r>
      <w:r w:rsidR="0096595C" w:rsidRPr="0087786A">
        <w:rPr>
          <w:rFonts w:cs="TimesNewRomanPSMT"/>
          <w:szCs w:val="26"/>
        </w:rPr>
        <w:t xml:space="preserve"> 263 declare</w:t>
      </w:r>
      <w:r w:rsidR="00B10A70" w:rsidRPr="0087786A">
        <w:rPr>
          <w:rFonts w:cs="TimesNewRomanPSMT"/>
          <w:szCs w:val="26"/>
        </w:rPr>
        <w:t>d</w:t>
      </w:r>
      <w:r w:rsidR="00B82A3E" w:rsidRPr="0087786A">
        <w:rPr>
          <w:rFonts w:cs="TimesNewRomanPSMT"/>
          <w:szCs w:val="26"/>
        </w:rPr>
        <w:t xml:space="preserve">: </w:t>
      </w:r>
      <w:r w:rsidR="0096595C" w:rsidRPr="0087786A">
        <w:rPr>
          <w:rFonts w:cs="TimesNewRomanPSMT"/>
          <w:szCs w:val="26"/>
        </w:rPr>
        <w:t xml:space="preserve"> “It is in the public policy interest of the State of California that workers be able to report concerns to their employers without fear of retaliation or discrimination.”  (</w:t>
      </w:r>
      <w:r w:rsidR="00577490" w:rsidRPr="0087786A">
        <w:rPr>
          <w:rFonts w:cs="TimesNewRomanPSMT"/>
          <w:szCs w:val="26"/>
        </w:rPr>
        <w:t>Stats.</w:t>
      </w:r>
      <w:r w:rsidR="00114E04" w:rsidRPr="0087786A">
        <w:rPr>
          <w:rFonts w:cs="TimesNewRomanPSMT"/>
          <w:szCs w:val="26"/>
        </w:rPr>
        <w:t> </w:t>
      </w:r>
      <w:r w:rsidR="00577490" w:rsidRPr="0087786A">
        <w:rPr>
          <w:rFonts w:cs="TimesNewRomanPSMT"/>
          <w:szCs w:val="26"/>
        </w:rPr>
        <w:t>2013, c</w:t>
      </w:r>
      <w:r w:rsidR="0096595C" w:rsidRPr="0087786A">
        <w:rPr>
          <w:rFonts w:cs="TimesNewRomanPSMT"/>
          <w:szCs w:val="26"/>
        </w:rPr>
        <w:t>h.</w:t>
      </w:r>
      <w:r w:rsidR="00114E04" w:rsidRPr="0087786A">
        <w:rPr>
          <w:rFonts w:cs="TimesNewRomanPSMT"/>
          <w:szCs w:val="26"/>
        </w:rPr>
        <w:t> </w:t>
      </w:r>
      <w:r w:rsidR="0096595C" w:rsidRPr="0087786A">
        <w:rPr>
          <w:rFonts w:cs="TimesNewRomanPSMT"/>
          <w:szCs w:val="26"/>
        </w:rPr>
        <w:t xml:space="preserve">732, </w:t>
      </w:r>
      <w:r w:rsidR="000D072E" w:rsidRPr="0087786A">
        <w:rPr>
          <w:rFonts w:cs="TimesNewRomanPSMT"/>
          <w:szCs w:val="26"/>
        </w:rPr>
        <w:t>§</w:t>
      </w:r>
      <w:r w:rsidR="00386E8C" w:rsidRPr="00E349D9">
        <w:rPr>
          <w:szCs w:val="26"/>
        </w:rPr>
        <w:t> </w:t>
      </w:r>
      <w:r w:rsidR="0096595C" w:rsidRPr="0087786A">
        <w:rPr>
          <w:rFonts w:cs="TimesNewRomanPSMT"/>
          <w:szCs w:val="26"/>
        </w:rPr>
        <w:t>1</w:t>
      </w:r>
      <w:r w:rsidR="000D072E" w:rsidRPr="0087786A">
        <w:rPr>
          <w:rFonts w:cs="TimesNewRomanPSMT"/>
          <w:szCs w:val="26"/>
        </w:rPr>
        <w:t>, subd.</w:t>
      </w:r>
      <w:r w:rsidR="00386E8C" w:rsidRPr="00E349D9">
        <w:rPr>
          <w:szCs w:val="26"/>
        </w:rPr>
        <w:t> </w:t>
      </w:r>
      <w:r w:rsidR="0096595C" w:rsidRPr="0087786A">
        <w:rPr>
          <w:rFonts w:cs="TimesNewRomanPSMT"/>
          <w:szCs w:val="26"/>
        </w:rPr>
        <w:t xml:space="preserve">(h).) </w:t>
      </w:r>
      <w:r w:rsidR="004718DB" w:rsidRPr="0087786A">
        <w:rPr>
          <w:rFonts w:cs="TimesNewRomanPSMT"/>
          <w:szCs w:val="26"/>
        </w:rPr>
        <w:t xml:space="preserve"> </w:t>
      </w:r>
      <w:r w:rsidR="004C156D" w:rsidRPr="0087786A">
        <w:rPr>
          <w:rFonts w:cs="TimesNewRomanPSMT"/>
          <w:szCs w:val="26"/>
        </w:rPr>
        <w:t>T</w:t>
      </w:r>
      <w:r w:rsidR="00577AD2" w:rsidRPr="0087786A">
        <w:rPr>
          <w:rFonts w:cs="TimesNewRomanPSMT"/>
          <w:szCs w:val="26"/>
        </w:rPr>
        <w:t>he Legislature</w:t>
      </w:r>
      <w:r w:rsidR="008B6AC4" w:rsidRPr="0087786A">
        <w:rPr>
          <w:rFonts w:cs="TimesNewRomanPSMT"/>
          <w:szCs w:val="26"/>
        </w:rPr>
        <w:t>’</w:t>
      </w:r>
      <w:r w:rsidR="00577AD2" w:rsidRPr="0087786A">
        <w:rPr>
          <w:rFonts w:cs="TimesNewRomanPSMT"/>
          <w:szCs w:val="26"/>
        </w:rPr>
        <w:t xml:space="preserve">s </w:t>
      </w:r>
      <w:r w:rsidRPr="0087786A">
        <w:rPr>
          <w:rFonts w:cs="TimesNewRomanPSMT"/>
          <w:szCs w:val="26"/>
        </w:rPr>
        <w:t xml:space="preserve">stated </w:t>
      </w:r>
      <w:r w:rsidR="00601956" w:rsidRPr="0087786A">
        <w:rPr>
          <w:rFonts w:cs="TimesNewRomanPSMT"/>
          <w:szCs w:val="26"/>
        </w:rPr>
        <w:t>aim</w:t>
      </w:r>
      <w:r w:rsidR="00577AD2" w:rsidRPr="0087786A">
        <w:rPr>
          <w:rFonts w:cs="TimesNewRomanPSMT"/>
          <w:szCs w:val="26"/>
        </w:rPr>
        <w:t xml:space="preserve"> to protect </w:t>
      </w:r>
      <w:r w:rsidR="00531572" w:rsidRPr="0087786A">
        <w:rPr>
          <w:rFonts w:cs="TimesNewRomanPSMT"/>
          <w:szCs w:val="26"/>
        </w:rPr>
        <w:t>workers who “report</w:t>
      </w:r>
      <w:r w:rsidRPr="0087786A">
        <w:rPr>
          <w:rFonts w:cs="TimesNewRomanPSMT"/>
          <w:szCs w:val="26"/>
        </w:rPr>
        <w:t xml:space="preserve"> concerns</w:t>
      </w:r>
      <w:r w:rsidR="00531572" w:rsidRPr="0087786A">
        <w:rPr>
          <w:rFonts w:cs="TimesNewRomanPSMT"/>
          <w:szCs w:val="26"/>
        </w:rPr>
        <w:t xml:space="preserve"> to their employers</w:t>
      </w:r>
      <w:r w:rsidRPr="0087786A">
        <w:rPr>
          <w:rFonts w:cs="TimesNewRomanPSMT"/>
          <w:szCs w:val="26"/>
        </w:rPr>
        <w:t>”</w:t>
      </w:r>
      <w:r w:rsidR="00531572" w:rsidRPr="0087786A">
        <w:rPr>
          <w:rFonts w:cs="TimesNewRomanPSMT"/>
          <w:szCs w:val="26"/>
        </w:rPr>
        <w:t xml:space="preserve"> </w:t>
      </w:r>
      <w:r w:rsidR="00CA5D33">
        <w:rPr>
          <w:rFonts w:cs="TimesNewRomanPSMT"/>
          <w:szCs w:val="26"/>
        </w:rPr>
        <w:t>(</w:t>
      </w:r>
      <w:r w:rsidR="00CA5D33">
        <w:rPr>
          <w:rFonts w:cs="TimesNewRomanPSMT"/>
          <w:i/>
          <w:iCs/>
          <w:szCs w:val="26"/>
        </w:rPr>
        <w:t>ibid.</w:t>
      </w:r>
      <w:r w:rsidR="00CA5D33">
        <w:rPr>
          <w:rFonts w:cs="TimesNewRomanPSMT"/>
          <w:szCs w:val="26"/>
        </w:rPr>
        <w:t xml:space="preserve">) </w:t>
      </w:r>
      <w:r w:rsidR="00531572" w:rsidRPr="0087786A">
        <w:rPr>
          <w:rFonts w:cs="TimesNewRomanPSMT"/>
          <w:szCs w:val="26"/>
        </w:rPr>
        <w:t>is entitled to significant weight</w:t>
      </w:r>
      <w:r w:rsidR="00601956" w:rsidRPr="0087786A">
        <w:rPr>
          <w:rFonts w:cs="TimesNewRomanPSMT"/>
          <w:szCs w:val="26"/>
        </w:rPr>
        <w:t xml:space="preserve"> in discerning the </w:t>
      </w:r>
      <w:r w:rsidRPr="0087786A">
        <w:rPr>
          <w:rFonts w:cs="TimesNewRomanPSMT"/>
          <w:szCs w:val="26"/>
        </w:rPr>
        <w:t>statute’s purpose</w:t>
      </w:r>
      <w:r w:rsidR="00601956" w:rsidRPr="0087786A">
        <w:rPr>
          <w:rFonts w:cs="TimesNewRomanPSMT"/>
          <w:szCs w:val="26"/>
        </w:rPr>
        <w:t>.</w:t>
      </w:r>
    </w:p>
    <w:p w14:paraId="27F6E0D3" w14:textId="47B3A75D" w:rsidR="00FC5DA3" w:rsidRPr="00E349D9" w:rsidRDefault="000873DC" w:rsidP="00367F59">
      <w:pPr>
        <w:ind w:firstLine="720"/>
        <w:rPr>
          <w:szCs w:val="26"/>
        </w:rPr>
      </w:pPr>
      <w:r w:rsidRPr="00E349D9">
        <w:rPr>
          <w:szCs w:val="26"/>
        </w:rPr>
        <w:t>The</w:t>
      </w:r>
      <w:r w:rsidR="00531572" w:rsidRPr="00E349D9">
        <w:rPr>
          <w:szCs w:val="26"/>
        </w:rPr>
        <w:t xml:space="preserve"> 2013</w:t>
      </w:r>
      <w:r w:rsidRPr="00E349D9">
        <w:rPr>
          <w:szCs w:val="26"/>
        </w:rPr>
        <w:t xml:space="preserve"> amendments </w:t>
      </w:r>
      <w:r w:rsidR="00462C7F" w:rsidRPr="00E349D9">
        <w:rPr>
          <w:szCs w:val="26"/>
        </w:rPr>
        <w:t xml:space="preserve">also </w:t>
      </w:r>
      <w:r w:rsidRPr="00E349D9">
        <w:rPr>
          <w:szCs w:val="26"/>
        </w:rPr>
        <w:t>expanded whistleblower protections beyond disclosures made to a government or law enforcement agency to include disclosures made “to a person with authority over the employee or another employee who has the authority to investigate, discover, or correct the violation.”  (</w:t>
      </w:r>
      <w:r w:rsidR="000D072E" w:rsidRPr="00E349D9">
        <w:rPr>
          <w:szCs w:val="26"/>
        </w:rPr>
        <w:t>§</w:t>
      </w:r>
      <w:r w:rsidR="00386E8C" w:rsidRPr="00E349D9">
        <w:rPr>
          <w:szCs w:val="26"/>
        </w:rPr>
        <w:t> </w:t>
      </w:r>
      <w:r w:rsidRPr="00E349D9">
        <w:rPr>
          <w:szCs w:val="26"/>
        </w:rPr>
        <w:t>1102.5</w:t>
      </w:r>
      <w:r w:rsidR="000D072E" w:rsidRPr="00E349D9">
        <w:rPr>
          <w:szCs w:val="26"/>
        </w:rPr>
        <w:t>(</w:t>
      </w:r>
      <w:r w:rsidRPr="00E349D9">
        <w:rPr>
          <w:szCs w:val="26"/>
        </w:rPr>
        <w:t>b)</w:t>
      </w:r>
      <w:r w:rsidR="00CA5D33">
        <w:rPr>
          <w:szCs w:val="26"/>
        </w:rPr>
        <w:t xml:space="preserve">, as amended by Stats. 2013, </w:t>
      </w:r>
      <w:r w:rsidR="00CA5D33" w:rsidRPr="0087786A">
        <w:rPr>
          <w:rFonts w:cs="TimesNewRomanPSMT"/>
          <w:szCs w:val="26"/>
        </w:rPr>
        <w:t>ch. 732, §</w:t>
      </w:r>
      <w:r w:rsidR="00CA5D33" w:rsidRPr="00E349D9">
        <w:rPr>
          <w:szCs w:val="26"/>
        </w:rPr>
        <w:t> </w:t>
      </w:r>
      <w:r w:rsidR="00CA5D33">
        <w:rPr>
          <w:rFonts w:cs="TimesNewRomanPSMT"/>
          <w:szCs w:val="26"/>
        </w:rPr>
        <w:t>6</w:t>
      </w:r>
      <w:r w:rsidRPr="00E349D9">
        <w:rPr>
          <w:szCs w:val="26"/>
        </w:rPr>
        <w:t xml:space="preserve">.)  </w:t>
      </w:r>
      <w:r w:rsidR="00571B46">
        <w:rPr>
          <w:szCs w:val="26"/>
        </w:rPr>
        <w:t>As noted</w:t>
      </w:r>
      <w:r w:rsidR="00827E10" w:rsidRPr="00E349D9">
        <w:rPr>
          <w:szCs w:val="26"/>
        </w:rPr>
        <w:t>,</w:t>
      </w:r>
      <w:r w:rsidRPr="00E349D9">
        <w:rPr>
          <w:szCs w:val="26"/>
        </w:rPr>
        <w:t xml:space="preserve"> the </w:t>
      </w:r>
      <w:r w:rsidR="009F0DEE" w:rsidRPr="00E349D9">
        <w:rPr>
          <w:szCs w:val="26"/>
        </w:rPr>
        <w:t>statute</w:t>
      </w:r>
      <w:r w:rsidRPr="00E349D9">
        <w:rPr>
          <w:szCs w:val="26"/>
        </w:rPr>
        <w:t xml:space="preserve"> does not limit</w:t>
      </w:r>
      <w:r w:rsidR="006E7639" w:rsidRPr="00E349D9">
        <w:rPr>
          <w:szCs w:val="26"/>
        </w:rPr>
        <w:t xml:space="preserve"> its protections to</w:t>
      </w:r>
      <w:r w:rsidRPr="00E349D9">
        <w:rPr>
          <w:szCs w:val="26"/>
        </w:rPr>
        <w:t xml:space="preserve"> </w:t>
      </w:r>
      <w:r w:rsidR="00571B46">
        <w:rPr>
          <w:szCs w:val="26"/>
        </w:rPr>
        <w:t xml:space="preserve">a </w:t>
      </w:r>
      <w:r w:rsidRPr="00E349D9">
        <w:rPr>
          <w:szCs w:val="26"/>
        </w:rPr>
        <w:t xml:space="preserve">disclosure directed </w:t>
      </w:r>
      <w:r w:rsidR="001E6B6F" w:rsidRPr="00E349D9">
        <w:rPr>
          <w:szCs w:val="26"/>
        </w:rPr>
        <w:t xml:space="preserve">to </w:t>
      </w:r>
      <w:r w:rsidR="00571B46">
        <w:rPr>
          <w:szCs w:val="26"/>
        </w:rPr>
        <w:t xml:space="preserve">a </w:t>
      </w:r>
      <w:r w:rsidR="001E6B6F" w:rsidRPr="00E349D9">
        <w:rPr>
          <w:szCs w:val="26"/>
        </w:rPr>
        <w:t xml:space="preserve">person </w:t>
      </w:r>
      <w:r w:rsidR="006E7639" w:rsidRPr="00E349D9">
        <w:rPr>
          <w:szCs w:val="26"/>
        </w:rPr>
        <w:t xml:space="preserve">with the authority to </w:t>
      </w:r>
      <w:r w:rsidR="00571B46">
        <w:rPr>
          <w:szCs w:val="26"/>
        </w:rPr>
        <w:t>“</w:t>
      </w:r>
      <w:r w:rsidRPr="00E349D9">
        <w:rPr>
          <w:szCs w:val="26"/>
        </w:rPr>
        <w:t>discover</w:t>
      </w:r>
      <w:r w:rsidR="00571B46">
        <w:rPr>
          <w:szCs w:val="26"/>
        </w:rPr>
        <w:t>”</w:t>
      </w:r>
      <w:r w:rsidRPr="00E349D9">
        <w:rPr>
          <w:szCs w:val="26"/>
        </w:rPr>
        <w:t xml:space="preserve"> the alleged violation </w:t>
      </w:r>
      <w:r w:rsidR="009F0DEE" w:rsidRPr="00E349D9">
        <w:rPr>
          <w:szCs w:val="26"/>
        </w:rPr>
        <w:t>(</w:t>
      </w:r>
      <w:r w:rsidR="006E7639" w:rsidRPr="00E349D9">
        <w:rPr>
          <w:szCs w:val="26"/>
        </w:rPr>
        <w:t xml:space="preserve">i.e., </w:t>
      </w:r>
      <w:r w:rsidR="00571B46">
        <w:rPr>
          <w:szCs w:val="26"/>
        </w:rPr>
        <w:t xml:space="preserve">a </w:t>
      </w:r>
      <w:r w:rsidR="006E7639" w:rsidRPr="00E349D9">
        <w:rPr>
          <w:szCs w:val="26"/>
        </w:rPr>
        <w:t xml:space="preserve">person who previously did not know about </w:t>
      </w:r>
      <w:r w:rsidR="001E6B6F" w:rsidRPr="00E349D9">
        <w:rPr>
          <w:szCs w:val="26"/>
        </w:rPr>
        <w:t>the alleged violation</w:t>
      </w:r>
      <w:r w:rsidR="009F0DEE" w:rsidRPr="00E349D9">
        <w:rPr>
          <w:szCs w:val="26"/>
        </w:rPr>
        <w:t>)</w:t>
      </w:r>
      <w:r w:rsidR="00571B46">
        <w:rPr>
          <w:szCs w:val="26"/>
        </w:rPr>
        <w:t xml:space="preserve">; instead, it also </w:t>
      </w:r>
      <w:r w:rsidR="00571B46" w:rsidRPr="00E349D9">
        <w:rPr>
          <w:szCs w:val="26"/>
        </w:rPr>
        <w:t>protect</w:t>
      </w:r>
      <w:r w:rsidR="00571B46">
        <w:rPr>
          <w:szCs w:val="26"/>
        </w:rPr>
        <w:t>s</w:t>
      </w:r>
      <w:r w:rsidR="00571B46" w:rsidRPr="00E349D9">
        <w:rPr>
          <w:szCs w:val="26"/>
        </w:rPr>
        <w:t xml:space="preserve"> </w:t>
      </w:r>
      <w:r w:rsidR="00571B46">
        <w:rPr>
          <w:szCs w:val="26"/>
        </w:rPr>
        <w:t xml:space="preserve">a </w:t>
      </w:r>
      <w:r w:rsidR="00571B46" w:rsidRPr="00E349D9">
        <w:rPr>
          <w:szCs w:val="26"/>
        </w:rPr>
        <w:t xml:space="preserve">disclosure made to </w:t>
      </w:r>
      <w:r w:rsidR="00571B46">
        <w:rPr>
          <w:szCs w:val="26"/>
        </w:rPr>
        <w:t>a person</w:t>
      </w:r>
      <w:r w:rsidR="00571B46" w:rsidRPr="00E349D9">
        <w:rPr>
          <w:szCs w:val="26"/>
        </w:rPr>
        <w:t xml:space="preserve"> with the authority to </w:t>
      </w:r>
      <w:r w:rsidR="00571B46">
        <w:rPr>
          <w:szCs w:val="26"/>
        </w:rPr>
        <w:t>“</w:t>
      </w:r>
      <w:r w:rsidR="00571B46" w:rsidRPr="00E349D9">
        <w:rPr>
          <w:szCs w:val="26"/>
        </w:rPr>
        <w:t>investigate</w:t>
      </w:r>
      <w:r w:rsidR="00571B46">
        <w:rPr>
          <w:szCs w:val="26"/>
        </w:rPr>
        <w:t xml:space="preserve"> . . .</w:t>
      </w:r>
      <w:r w:rsidR="00571B46" w:rsidRPr="00E349D9">
        <w:rPr>
          <w:szCs w:val="26"/>
        </w:rPr>
        <w:t xml:space="preserve"> </w:t>
      </w:r>
      <w:r w:rsidR="00571B46" w:rsidRPr="00FD7457">
        <w:rPr>
          <w:szCs w:val="26"/>
        </w:rPr>
        <w:t>or</w:t>
      </w:r>
      <w:r w:rsidR="00571B46" w:rsidRPr="00E349D9">
        <w:rPr>
          <w:szCs w:val="26"/>
        </w:rPr>
        <w:t xml:space="preserve"> correct</w:t>
      </w:r>
      <w:r w:rsidR="00571B46">
        <w:rPr>
          <w:szCs w:val="26"/>
        </w:rPr>
        <w:t>”</w:t>
      </w:r>
      <w:r w:rsidR="00571B46" w:rsidRPr="00E349D9">
        <w:rPr>
          <w:szCs w:val="26"/>
        </w:rPr>
        <w:t xml:space="preserve"> the violation</w:t>
      </w:r>
      <w:r w:rsidR="00571B46">
        <w:rPr>
          <w:szCs w:val="26"/>
        </w:rPr>
        <w:t>, even if the disclosure does not cause the person to “discover” the violation</w:t>
      </w:r>
      <w:r w:rsidR="009F0DEE" w:rsidRPr="00E349D9">
        <w:rPr>
          <w:szCs w:val="26"/>
        </w:rPr>
        <w:t>.</w:t>
      </w:r>
      <w:r w:rsidR="00571B46">
        <w:rPr>
          <w:szCs w:val="26"/>
        </w:rPr>
        <w:t xml:space="preserve">  (</w:t>
      </w:r>
      <w:r w:rsidR="00571B46">
        <w:rPr>
          <w:i/>
          <w:iCs/>
          <w:szCs w:val="26"/>
        </w:rPr>
        <w:t>Ibid.</w:t>
      </w:r>
      <w:r w:rsidR="00571B46">
        <w:rPr>
          <w:szCs w:val="26"/>
        </w:rPr>
        <w:t>)</w:t>
      </w:r>
    </w:p>
    <w:p w14:paraId="0287C48F" w14:textId="4193C33D" w:rsidR="00CC796F" w:rsidRPr="00E349D9" w:rsidRDefault="009E5CC6" w:rsidP="00367F59">
      <w:pPr>
        <w:ind w:firstLine="720"/>
        <w:rPr>
          <w:szCs w:val="26"/>
        </w:rPr>
      </w:pPr>
      <w:r>
        <w:rPr>
          <w:szCs w:val="26"/>
        </w:rPr>
        <w:t xml:space="preserve">Relying on </w:t>
      </w:r>
      <w:r w:rsidRPr="00E349D9">
        <w:rPr>
          <w:i/>
          <w:iCs/>
          <w:szCs w:val="26"/>
        </w:rPr>
        <w:t>Mize-Kurzman</w:t>
      </w:r>
      <w:r w:rsidRPr="00E349D9">
        <w:rPr>
          <w:szCs w:val="26"/>
        </w:rPr>
        <w:t xml:space="preserve">, </w:t>
      </w:r>
      <w:r w:rsidRPr="00E349D9">
        <w:rPr>
          <w:i/>
          <w:iCs/>
          <w:szCs w:val="26"/>
        </w:rPr>
        <w:t>supra</w:t>
      </w:r>
      <w:r w:rsidRPr="00E349D9">
        <w:rPr>
          <w:szCs w:val="26"/>
        </w:rPr>
        <w:t xml:space="preserve">, 202 Cal.App.4th </w:t>
      </w:r>
      <w:r w:rsidR="000305DA">
        <w:rPr>
          <w:szCs w:val="26"/>
        </w:rPr>
        <w:t xml:space="preserve">832, </w:t>
      </w:r>
      <w:r w:rsidRPr="00E349D9">
        <w:rPr>
          <w:szCs w:val="26"/>
        </w:rPr>
        <w:t>859</w:t>
      </w:r>
      <w:r>
        <w:rPr>
          <w:szCs w:val="26"/>
        </w:rPr>
        <w:t>, t</w:t>
      </w:r>
      <w:r w:rsidR="00280843" w:rsidRPr="00E349D9">
        <w:rPr>
          <w:szCs w:val="26"/>
        </w:rPr>
        <w:t>he</w:t>
      </w:r>
      <w:r w:rsidR="005B2E19" w:rsidRPr="00E349D9">
        <w:rPr>
          <w:szCs w:val="26"/>
        </w:rPr>
        <w:t xml:space="preserve"> Court of Appeal </w:t>
      </w:r>
      <w:r w:rsidR="00280843" w:rsidRPr="00E349D9">
        <w:rPr>
          <w:szCs w:val="26"/>
        </w:rPr>
        <w:t xml:space="preserve">reasoned </w:t>
      </w:r>
      <w:r w:rsidR="005B2E19" w:rsidRPr="00E349D9">
        <w:rPr>
          <w:szCs w:val="26"/>
        </w:rPr>
        <w:t xml:space="preserve">that </w:t>
      </w:r>
      <w:r w:rsidR="003B0E0D" w:rsidRPr="00E349D9">
        <w:rPr>
          <w:szCs w:val="26"/>
        </w:rPr>
        <w:t>“</w:t>
      </w:r>
      <w:r w:rsidR="001374A5" w:rsidRPr="00E349D9">
        <w:rPr>
          <w:szCs w:val="26"/>
        </w:rPr>
        <w:t> ‘</w:t>
      </w:r>
      <w:r w:rsidR="003B0E0D" w:rsidRPr="00E349D9">
        <w:rPr>
          <w:szCs w:val="26"/>
        </w:rPr>
        <w:t xml:space="preserve">criticism delivered directly to </w:t>
      </w:r>
      <w:r w:rsidR="00A03619" w:rsidRPr="00E349D9">
        <w:rPr>
          <w:szCs w:val="26"/>
        </w:rPr>
        <w:t>the wrongdoer[] does not further the purpose of</w:t>
      </w:r>
      <w:r w:rsidR="00A053C4" w:rsidRPr="00E349D9">
        <w:rPr>
          <w:szCs w:val="26"/>
        </w:rPr>
        <w:t xml:space="preserve"> . . . encourag[ing] disclosure </w:t>
      </w:r>
      <w:r w:rsidR="001374A5" w:rsidRPr="00E349D9">
        <w:rPr>
          <w:szCs w:val="26"/>
        </w:rPr>
        <w:t xml:space="preserve">of wrongdoing to persons who may be in a position to act to remedy it.’ ”  </w:t>
      </w:r>
      <w:r w:rsidR="00280843" w:rsidRPr="00E349D9">
        <w:rPr>
          <w:szCs w:val="26"/>
        </w:rPr>
        <w:t xml:space="preserve">However, </w:t>
      </w:r>
      <w:r w:rsidR="006E7639" w:rsidRPr="00E349D9">
        <w:rPr>
          <w:szCs w:val="26"/>
        </w:rPr>
        <w:t xml:space="preserve">the Legislature reasonably could have believed that </w:t>
      </w:r>
      <w:r w:rsidR="00280843" w:rsidRPr="00E349D9">
        <w:rPr>
          <w:szCs w:val="26"/>
        </w:rPr>
        <w:t>w</w:t>
      </w:r>
      <w:r w:rsidR="000873DC" w:rsidRPr="00E349D9">
        <w:rPr>
          <w:szCs w:val="26"/>
        </w:rPr>
        <w:t xml:space="preserve">rongdoers themselves </w:t>
      </w:r>
      <w:r w:rsidR="006E7639" w:rsidRPr="00E349D9">
        <w:rPr>
          <w:szCs w:val="26"/>
        </w:rPr>
        <w:t xml:space="preserve">may </w:t>
      </w:r>
      <w:r w:rsidR="00A550DD" w:rsidRPr="00E349D9">
        <w:rPr>
          <w:szCs w:val="26"/>
        </w:rPr>
        <w:t xml:space="preserve">often </w:t>
      </w:r>
      <w:r w:rsidR="000873DC" w:rsidRPr="00E349D9">
        <w:rPr>
          <w:szCs w:val="26"/>
        </w:rPr>
        <w:t xml:space="preserve">be </w:t>
      </w:r>
      <w:r w:rsidR="006E7639" w:rsidRPr="00E349D9">
        <w:rPr>
          <w:szCs w:val="26"/>
        </w:rPr>
        <w:t>well</w:t>
      </w:r>
      <w:r w:rsidR="000873DC" w:rsidRPr="00E349D9">
        <w:rPr>
          <w:szCs w:val="26"/>
        </w:rPr>
        <w:t xml:space="preserve"> position</w:t>
      </w:r>
      <w:r w:rsidR="006E7639" w:rsidRPr="00E349D9">
        <w:rPr>
          <w:szCs w:val="26"/>
        </w:rPr>
        <w:t>ed</w:t>
      </w:r>
      <w:r w:rsidR="000873DC" w:rsidRPr="00E349D9">
        <w:rPr>
          <w:szCs w:val="26"/>
        </w:rPr>
        <w:t xml:space="preserve"> to correct their </w:t>
      </w:r>
      <w:r w:rsidR="00A0162E" w:rsidRPr="00E349D9">
        <w:rPr>
          <w:szCs w:val="26"/>
        </w:rPr>
        <w:t xml:space="preserve">own </w:t>
      </w:r>
      <w:r w:rsidR="000873DC" w:rsidRPr="00E349D9">
        <w:rPr>
          <w:szCs w:val="26"/>
        </w:rPr>
        <w:t>violations</w:t>
      </w:r>
      <w:r w:rsidR="00381500" w:rsidRPr="00E349D9">
        <w:rPr>
          <w:szCs w:val="26"/>
        </w:rPr>
        <w:t xml:space="preserve"> and </w:t>
      </w:r>
      <w:r w:rsidR="001D49E4" w:rsidRPr="00E349D9">
        <w:rPr>
          <w:szCs w:val="26"/>
        </w:rPr>
        <w:t xml:space="preserve">that being confronted by an employee about </w:t>
      </w:r>
      <w:r w:rsidR="000957BA" w:rsidRPr="00E349D9">
        <w:rPr>
          <w:szCs w:val="26"/>
        </w:rPr>
        <w:t>violations</w:t>
      </w:r>
      <w:r w:rsidR="001D49E4" w:rsidRPr="00E349D9">
        <w:rPr>
          <w:szCs w:val="26"/>
        </w:rPr>
        <w:t xml:space="preserve"> </w:t>
      </w:r>
      <w:r w:rsidR="00C83A9E" w:rsidRPr="00E349D9">
        <w:rPr>
          <w:szCs w:val="26"/>
        </w:rPr>
        <w:t>c</w:t>
      </w:r>
      <w:r w:rsidR="001D49E4" w:rsidRPr="00E349D9">
        <w:rPr>
          <w:szCs w:val="26"/>
        </w:rPr>
        <w:t xml:space="preserve">ould </w:t>
      </w:r>
      <w:r w:rsidR="00E869EF" w:rsidRPr="00E349D9">
        <w:rPr>
          <w:szCs w:val="26"/>
        </w:rPr>
        <w:t>motivate</w:t>
      </w:r>
      <w:r w:rsidR="001D49E4" w:rsidRPr="00E349D9">
        <w:rPr>
          <w:szCs w:val="26"/>
        </w:rPr>
        <w:t xml:space="preserve"> an employer to correct </w:t>
      </w:r>
      <w:r w:rsidR="000957BA" w:rsidRPr="00E349D9">
        <w:rPr>
          <w:szCs w:val="26"/>
        </w:rPr>
        <w:t>those</w:t>
      </w:r>
      <w:r w:rsidR="001D49E4" w:rsidRPr="00E349D9">
        <w:rPr>
          <w:szCs w:val="26"/>
        </w:rPr>
        <w:t xml:space="preserve"> </w:t>
      </w:r>
      <w:r w:rsidR="000957BA" w:rsidRPr="00E349D9">
        <w:rPr>
          <w:szCs w:val="26"/>
        </w:rPr>
        <w:t xml:space="preserve">violations.  Moreover, </w:t>
      </w:r>
      <w:r w:rsidR="006E7639" w:rsidRPr="00E349D9">
        <w:rPr>
          <w:szCs w:val="26"/>
        </w:rPr>
        <w:t xml:space="preserve">whether or not </w:t>
      </w:r>
      <w:r w:rsidR="00E9372E" w:rsidRPr="00E349D9">
        <w:rPr>
          <w:szCs w:val="26"/>
        </w:rPr>
        <w:t>such confrontation lead</w:t>
      </w:r>
      <w:r w:rsidR="006E7639" w:rsidRPr="00E349D9">
        <w:rPr>
          <w:szCs w:val="26"/>
        </w:rPr>
        <w:t>s</w:t>
      </w:r>
      <w:r w:rsidR="00E9372E" w:rsidRPr="00E349D9">
        <w:rPr>
          <w:szCs w:val="26"/>
        </w:rPr>
        <w:t xml:space="preserve"> to </w:t>
      </w:r>
      <w:r w:rsidR="006E7639" w:rsidRPr="00E349D9">
        <w:rPr>
          <w:szCs w:val="26"/>
        </w:rPr>
        <w:t>a remedy in a given case</w:t>
      </w:r>
      <w:r w:rsidR="00E9372E" w:rsidRPr="00E349D9">
        <w:rPr>
          <w:szCs w:val="26"/>
        </w:rPr>
        <w:t xml:space="preserve">, </w:t>
      </w:r>
      <w:r w:rsidR="00BC270C" w:rsidRPr="00E349D9">
        <w:rPr>
          <w:szCs w:val="26"/>
        </w:rPr>
        <w:t>providing</w:t>
      </w:r>
      <w:r w:rsidR="00A657F9" w:rsidRPr="00E349D9">
        <w:rPr>
          <w:szCs w:val="26"/>
        </w:rPr>
        <w:t xml:space="preserve"> employees with an internal disclosure option</w:t>
      </w:r>
      <w:r w:rsidR="00BC270C" w:rsidRPr="00E349D9">
        <w:rPr>
          <w:szCs w:val="26"/>
        </w:rPr>
        <w:t xml:space="preserve"> and protecting those employees who disclose wrongdoing</w:t>
      </w:r>
      <w:r w:rsidR="00562166" w:rsidRPr="00E349D9">
        <w:rPr>
          <w:szCs w:val="26"/>
        </w:rPr>
        <w:t xml:space="preserve"> directly to the wrongdoer further the purpose of whistleblower protection laws.</w:t>
      </w:r>
      <w:r w:rsidR="00A657F9" w:rsidRPr="00E349D9">
        <w:rPr>
          <w:szCs w:val="26"/>
        </w:rPr>
        <w:t xml:space="preserve"> </w:t>
      </w:r>
      <w:r w:rsidR="000873DC" w:rsidRPr="00E349D9">
        <w:rPr>
          <w:szCs w:val="26"/>
        </w:rPr>
        <w:t xml:space="preserve"> </w:t>
      </w:r>
      <w:r w:rsidR="005F3101" w:rsidRPr="00E349D9">
        <w:rPr>
          <w:szCs w:val="26"/>
        </w:rPr>
        <w:t>Estrada, as the owner of Kolla</w:t>
      </w:r>
      <w:r w:rsidR="008B6AC4" w:rsidRPr="00E349D9">
        <w:rPr>
          <w:szCs w:val="26"/>
        </w:rPr>
        <w:t>’</w:t>
      </w:r>
      <w:r w:rsidR="005F3101" w:rsidRPr="00E349D9">
        <w:rPr>
          <w:szCs w:val="26"/>
        </w:rPr>
        <w:t>s, was a “person with authority” over employee A.C.R.</w:t>
      </w:r>
      <w:r w:rsidR="006E7639" w:rsidRPr="00E349D9">
        <w:rPr>
          <w:szCs w:val="26"/>
        </w:rPr>
        <w:t xml:space="preserve">, and he </w:t>
      </w:r>
      <w:r w:rsidR="005F3101" w:rsidRPr="00E349D9">
        <w:rPr>
          <w:szCs w:val="26"/>
        </w:rPr>
        <w:t>appeared well situated to “correct the violation” disclosed by A.C.R.</w:t>
      </w:r>
      <w:r w:rsidR="00B82A3E" w:rsidRPr="00E349D9">
        <w:rPr>
          <w:szCs w:val="26"/>
        </w:rPr>
        <w:t xml:space="preserve">  (</w:t>
      </w:r>
      <w:r w:rsidR="003C52C2" w:rsidRPr="00E349D9">
        <w:rPr>
          <w:szCs w:val="26"/>
        </w:rPr>
        <w:t>§ 1102.5(b).</w:t>
      </w:r>
      <w:r w:rsidR="00B82A3E" w:rsidRPr="00E349D9">
        <w:rPr>
          <w:szCs w:val="26"/>
        </w:rPr>
        <w:t>)</w:t>
      </w:r>
      <w:r w:rsidR="00826BE5" w:rsidRPr="00E349D9">
        <w:rPr>
          <w:szCs w:val="26"/>
        </w:rPr>
        <w:t xml:space="preserve">  </w:t>
      </w:r>
      <w:r w:rsidR="0048141F" w:rsidRPr="00E349D9">
        <w:rPr>
          <w:szCs w:val="26"/>
        </w:rPr>
        <w:t xml:space="preserve">Construing section 1102.5(b) to cover A.C.R.’s complaint here is fully consistent with the </w:t>
      </w:r>
      <w:r w:rsidR="00CB57F6" w:rsidRPr="00E349D9">
        <w:rPr>
          <w:szCs w:val="26"/>
        </w:rPr>
        <w:t xml:space="preserve">statute’s text and with the </w:t>
      </w:r>
      <w:r w:rsidR="0048141F" w:rsidRPr="00E349D9">
        <w:rPr>
          <w:szCs w:val="26"/>
        </w:rPr>
        <w:t xml:space="preserve">Legislature’s purpose in adding the </w:t>
      </w:r>
      <w:r w:rsidR="00172A70" w:rsidRPr="00E349D9">
        <w:rPr>
          <w:szCs w:val="26"/>
        </w:rPr>
        <w:t>internal disclosure</w:t>
      </w:r>
      <w:r w:rsidR="007A45F6" w:rsidRPr="00E349D9">
        <w:rPr>
          <w:szCs w:val="26"/>
        </w:rPr>
        <w:t xml:space="preserve"> protections </w:t>
      </w:r>
      <w:r w:rsidR="0048141F" w:rsidRPr="00E349D9">
        <w:rPr>
          <w:szCs w:val="26"/>
        </w:rPr>
        <w:t xml:space="preserve">to the statute in </w:t>
      </w:r>
      <w:r w:rsidR="007A45F6" w:rsidRPr="00E349D9">
        <w:rPr>
          <w:szCs w:val="26"/>
        </w:rPr>
        <w:t>2013.</w:t>
      </w:r>
      <w:r w:rsidR="005F3101" w:rsidRPr="00E349D9">
        <w:rPr>
          <w:szCs w:val="26"/>
        </w:rPr>
        <w:t xml:space="preserve"> </w:t>
      </w:r>
    </w:p>
    <w:p w14:paraId="5EC19CCD" w14:textId="287B9706" w:rsidR="00A44F33" w:rsidRPr="00E349D9" w:rsidRDefault="00A44F33" w:rsidP="00367F59">
      <w:pPr>
        <w:ind w:firstLine="720"/>
        <w:rPr>
          <w:szCs w:val="26"/>
        </w:rPr>
      </w:pPr>
      <w:r w:rsidRPr="00E349D9">
        <w:rPr>
          <w:szCs w:val="26"/>
        </w:rPr>
        <w:t>Applying the C</w:t>
      </w:r>
      <w:r w:rsidR="000236DF" w:rsidRPr="00E349D9">
        <w:rPr>
          <w:szCs w:val="26"/>
        </w:rPr>
        <w:t xml:space="preserve">ourt of </w:t>
      </w:r>
      <w:r w:rsidRPr="00E349D9">
        <w:rPr>
          <w:szCs w:val="26"/>
        </w:rPr>
        <w:t>A</w:t>
      </w:r>
      <w:r w:rsidR="000236DF" w:rsidRPr="00E349D9">
        <w:rPr>
          <w:szCs w:val="26"/>
        </w:rPr>
        <w:t>ppeal</w:t>
      </w:r>
      <w:r w:rsidR="008B6AC4" w:rsidRPr="00E349D9">
        <w:rPr>
          <w:szCs w:val="26"/>
        </w:rPr>
        <w:t>’</w:t>
      </w:r>
      <w:r w:rsidRPr="00E349D9">
        <w:rPr>
          <w:szCs w:val="26"/>
        </w:rPr>
        <w:t xml:space="preserve">s reasoning here would result in outcomes </w:t>
      </w:r>
      <w:r w:rsidR="00CB57F6" w:rsidRPr="00E349D9">
        <w:rPr>
          <w:szCs w:val="26"/>
        </w:rPr>
        <w:t>contrary</w:t>
      </w:r>
      <w:r w:rsidRPr="00E349D9">
        <w:rPr>
          <w:szCs w:val="26"/>
        </w:rPr>
        <w:t xml:space="preserve"> to the </w:t>
      </w:r>
      <w:r w:rsidR="007F5D20" w:rsidRPr="00E349D9">
        <w:rPr>
          <w:szCs w:val="26"/>
        </w:rPr>
        <w:t>L</w:t>
      </w:r>
      <w:r w:rsidRPr="00E349D9">
        <w:rPr>
          <w:szCs w:val="26"/>
        </w:rPr>
        <w:t>egislature</w:t>
      </w:r>
      <w:r w:rsidR="00CB57F6" w:rsidRPr="00E349D9">
        <w:rPr>
          <w:szCs w:val="26"/>
        </w:rPr>
        <w:t>’s purpose</w:t>
      </w:r>
      <w:r w:rsidRPr="00E349D9">
        <w:rPr>
          <w:szCs w:val="26"/>
        </w:rPr>
        <w:t>.  First, although the C</w:t>
      </w:r>
      <w:r w:rsidR="000236DF" w:rsidRPr="00E349D9">
        <w:rPr>
          <w:szCs w:val="26"/>
        </w:rPr>
        <w:t xml:space="preserve">ourt of </w:t>
      </w:r>
      <w:r w:rsidRPr="00E349D9">
        <w:rPr>
          <w:szCs w:val="26"/>
        </w:rPr>
        <w:t>A</w:t>
      </w:r>
      <w:r w:rsidR="000236DF" w:rsidRPr="00E349D9">
        <w:rPr>
          <w:szCs w:val="26"/>
        </w:rPr>
        <w:t>ppeal</w:t>
      </w:r>
      <w:r w:rsidRPr="00E349D9">
        <w:rPr>
          <w:szCs w:val="26"/>
        </w:rPr>
        <w:t xml:space="preserve"> </w:t>
      </w:r>
      <w:r w:rsidR="00CB57F6" w:rsidRPr="00E349D9">
        <w:rPr>
          <w:szCs w:val="26"/>
        </w:rPr>
        <w:t xml:space="preserve">purported to </w:t>
      </w:r>
      <w:r w:rsidRPr="00E349D9">
        <w:rPr>
          <w:szCs w:val="26"/>
        </w:rPr>
        <w:t>reject a “first report” rule, the court</w:t>
      </w:r>
      <w:r w:rsidR="00266446" w:rsidRPr="00E349D9">
        <w:rPr>
          <w:szCs w:val="26"/>
        </w:rPr>
        <w:t xml:space="preserve">’s opinion </w:t>
      </w:r>
      <w:r w:rsidR="00CB57F6" w:rsidRPr="00E349D9">
        <w:rPr>
          <w:szCs w:val="26"/>
        </w:rPr>
        <w:t>appears</w:t>
      </w:r>
      <w:r w:rsidR="00266446" w:rsidRPr="00E349D9">
        <w:rPr>
          <w:szCs w:val="26"/>
        </w:rPr>
        <w:t xml:space="preserve"> to</w:t>
      </w:r>
      <w:r w:rsidRPr="00E349D9">
        <w:rPr>
          <w:szCs w:val="26"/>
        </w:rPr>
        <w:t xml:space="preserve"> prescribe what amounts to a “first </w:t>
      </w:r>
      <w:r w:rsidRPr="00E349D9">
        <w:rPr>
          <w:i/>
          <w:iCs/>
          <w:szCs w:val="26"/>
        </w:rPr>
        <w:t>known</w:t>
      </w:r>
      <w:r w:rsidRPr="00E349D9">
        <w:rPr>
          <w:szCs w:val="26"/>
        </w:rPr>
        <w:t xml:space="preserve"> report” rule</w:t>
      </w:r>
      <w:r w:rsidR="00CB57F6" w:rsidRPr="00E349D9">
        <w:rPr>
          <w:szCs w:val="26"/>
        </w:rPr>
        <w:t xml:space="preserve">. </w:t>
      </w:r>
      <w:r w:rsidR="001C107A" w:rsidRPr="00E349D9">
        <w:rPr>
          <w:szCs w:val="26"/>
        </w:rPr>
        <w:t xml:space="preserve"> </w:t>
      </w:r>
      <w:r w:rsidRPr="00E349D9">
        <w:rPr>
          <w:szCs w:val="26"/>
        </w:rPr>
        <w:t>Th</w:t>
      </w:r>
      <w:r w:rsidR="00961874" w:rsidRPr="00E349D9">
        <w:rPr>
          <w:szCs w:val="26"/>
        </w:rPr>
        <w:t>is</w:t>
      </w:r>
      <w:r w:rsidRPr="00E349D9">
        <w:rPr>
          <w:szCs w:val="26"/>
        </w:rPr>
        <w:t xml:space="preserve"> rule would exclude from section</w:t>
      </w:r>
      <w:r w:rsidR="00CB57F6" w:rsidRPr="00E349D9">
        <w:rPr>
          <w:szCs w:val="26"/>
        </w:rPr>
        <w:t> </w:t>
      </w:r>
      <w:r w:rsidRPr="00E349D9">
        <w:rPr>
          <w:szCs w:val="26"/>
        </w:rPr>
        <w:t>1102.5(b)</w:t>
      </w:r>
      <w:r w:rsidR="00CB57F6" w:rsidRPr="00E349D9">
        <w:rPr>
          <w:szCs w:val="26"/>
        </w:rPr>
        <w:t>’s</w:t>
      </w:r>
      <w:r w:rsidRPr="00E349D9">
        <w:rPr>
          <w:szCs w:val="26"/>
        </w:rPr>
        <w:t xml:space="preserve"> protection a worker who discloses a workplace violation to his or her employer or to a government or law enforcement agency with the knowledge that another employee has disclosed the same violation</w:t>
      </w:r>
      <w:r w:rsidR="00CB57F6" w:rsidRPr="00E349D9">
        <w:rPr>
          <w:szCs w:val="26"/>
        </w:rPr>
        <w:t>,</w:t>
      </w:r>
      <w:r w:rsidR="000305DA">
        <w:rPr>
          <w:szCs w:val="26"/>
        </w:rPr>
        <w:t xml:space="preserve"> </w:t>
      </w:r>
      <w:r w:rsidRPr="00E349D9">
        <w:rPr>
          <w:szCs w:val="26"/>
        </w:rPr>
        <w:t>or with the unreasonable belief that no one has disclosed the violation</w:t>
      </w:r>
      <w:r w:rsidR="000313F6">
        <w:rPr>
          <w:szCs w:val="26"/>
        </w:rPr>
        <w:t>.</w:t>
      </w:r>
      <w:r w:rsidRPr="00E349D9">
        <w:rPr>
          <w:szCs w:val="26"/>
        </w:rPr>
        <w:t xml:space="preserve">  But denying protection for these corroborating disclosures undermines the purpose of section 1102.5(b).  Because multiple disclosures would not </w:t>
      </w:r>
      <w:r w:rsidR="00A10BB8" w:rsidRPr="00E349D9">
        <w:rPr>
          <w:szCs w:val="26"/>
        </w:rPr>
        <w:t>receive protection</w:t>
      </w:r>
      <w:r w:rsidRPr="00E349D9">
        <w:rPr>
          <w:szCs w:val="26"/>
        </w:rPr>
        <w:t xml:space="preserve">, </w:t>
      </w:r>
      <w:r w:rsidR="00CB57F6" w:rsidRPr="00E349D9">
        <w:rPr>
          <w:szCs w:val="26"/>
        </w:rPr>
        <w:t xml:space="preserve">employers </w:t>
      </w:r>
      <w:r w:rsidR="00FC5DA3" w:rsidRPr="00E349D9">
        <w:rPr>
          <w:szCs w:val="26"/>
        </w:rPr>
        <w:t xml:space="preserve">and government agencies </w:t>
      </w:r>
      <w:r w:rsidRPr="00E349D9">
        <w:rPr>
          <w:szCs w:val="26"/>
        </w:rPr>
        <w:t xml:space="preserve">would miss out on potentially corroborating information that </w:t>
      </w:r>
      <w:r w:rsidR="00CB57F6" w:rsidRPr="00E349D9">
        <w:rPr>
          <w:szCs w:val="26"/>
        </w:rPr>
        <w:t xml:space="preserve">may </w:t>
      </w:r>
      <w:r w:rsidRPr="00E349D9">
        <w:rPr>
          <w:szCs w:val="26"/>
        </w:rPr>
        <w:t xml:space="preserve">be valuable in investigating and confirming violations of the law.  </w:t>
      </w:r>
      <w:r w:rsidR="00486542" w:rsidRPr="00E349D9">
        <w:rPr>
          <w:szCs w:val="26"/>
        </w:rPr>
        <w:t>Without antiretaliation protections, a</w:t>
      </w:r>
      <w:r w:rsidRPr="00E349D9">
        <w:rPr>
          <w:szCs w:val="26"/>
        </w:rPr>
        <w:t xml:space="preserve">n employee who knows that his or her coworker has </w:t>
      </w:r>
      <w:r w:rsidR="00486542" w:rsidRPr="00E349D9">
        <w:rPr>
          <w:szCs w:val="26"/>
        </w:rPr>
        <w:t xml:space="preserve">already </w:t>
      </w:r>
      <w:r w:rsidRPr="00E349D9">
        <w:rPr>
          <w:szCs w:val="26"/>
        </w:rPr>
        <w:t xml:space="preserve">disclosed a violation </w:t>
      </w:r>
      <w:r w:rsidR="00486542" w:rsidRPr="00E349D9">
        <w:rPr>
          <w:szCs w:val="26"/>
        </w:rPr>
        <w:t>may</w:t>
      </w:r>
      <w:r w:rsidR="00A10BB8" w:rsidRPr="00E349D9">
        <w:rPr>
          <w:szCs w:val="26"/>
        </w:rPr>
        <w:t xml:space="preserve"> </w:t>
      </w:r>
      <w:r w:rsidRPr="00E349D9">
        <w:rPr>
          <w:szCs w:val="26"/>
        </w:rPr>
        <w:t>be hesitant to disclose the same violation.</w:t>
      </w:r>
    </w:p>
    <w:p w14:paraId="44A94069" w14:textId="285D8D29" w:rsidR="00A44F33" w:rsidRDefault="00486542">
      <w:pPr>
        <w:ind w:firstLine="720"/>
        <w:rPr>
          <w:szCs w:val="26"/>
        </w:rPr>
      </w:pPr>
      <w:r w:rsidRPr="00E349D9">
        <w:rPr>
          <w:szCs w:val="26"/>
        </w:rPr>
        <w:t>Conversely, a</w:t>
      </w:r>
      <w:r w:rsidR="00A44F33" w:rsidRPr="00E349D9">
        <w:rPr>
          <w:szCs w:val="26"/>
        </w:rPr>
        <w:t xml:space="preserve">n employee </w:t>
      </w:r>
      <w:r w:rsidRPr="00E349D9">
        <w:rPr>
          <w:szCs w:val="26"/>
        </w:rPr>
        <w:t xml:space="preserve">may </w:t>
      </w:r>
      <w:r w:rsidR="00A44F33" w:rsidRPr="00E349D9">
        <w:rPr>
          <w:szCs w:val="26"/>
        </w:rPr>
        <w:t xml:space="preserve">reasonably feel more willing to </w:t>
      </w:r>
      <w:r w:rsidR="007F4FF3" w:rsidRPr="00E349D9">
        <w:rPr>
          <w:szCs w:val="26"/>
        </w:rPr>
        <w:t xml:space="preserve">approach </w:t>
      </w:r>
      <w:r w:rsidR="00A44F33" w:rsidRPr="00E349D9">
        <w:rPr>
          <w:szCs w:val="26"/>
        </w:rPr>
        <w:t>a</w:t>
      </w:r>
      <w:r w:rsidRPr="00E349D9">
        <w:rPr>
          <w:szCs w:val="26"/>
        </w:rPr>
        <w:t>n</w:t>
      </w:r>
      <w:r w:rsidR="00A44F33" w:rsidRPr="00E349D9">
        <w:rPr>
          <w:szCs w:val="26"/>
        </w:rPr>
        <w:t xml:space="preserve"> employer about </w:t>
      </w:r>
      <w:r w:rsidR="00B07CFB" w:rsidRPr="00E349D9">
        <w:rPr>
          <w:szCs w:val="26"/>
        </w:rPr>
        <w:t>workplace safety</w:t>
      </w:r>
      <w:r w:rsidR="00A44F33" w:rsidRPr="00E349D9">
        <w:rPr>
          <w:szCs w:val="26"/>
        </w:rPr>
        <w:t xml:space="preserve"> hazards, unpaid wages, or overtime violations knowing that his or her coworkers were </w:t>
      </w:r>
      <w:r w:rsidR="007F4FF3" w:rsidRPr="00E349D9">
        <w:rPr>
          <w:szCs w:val="26"/>
        </w:rPr>
        <w:t xml:space="preserve">also disclosing </w:t>
      </w:r>
      <w:r w:rsidR="00A44F33" w:rsidRPr="00E349D9">
        <w:rPr>
          <w:szCs w:val="26"/>
        </w:rPr>
        <w:t xml:space="preserve">the same unlawful activity.  </w:t>
      </w:r>
      <w:r w:rsidRPr="00E349D9">
        <w:rPr>
          <w:szCs w:val="26"/>
        </w:rPr>
        <w:t>A</w:t>
      </w:r>
      <w:r w:rsidR="00A44F33" w:rsidRPr="00E349D9">
        <w:rPr>
          <w:szCs w:val="26"/>
        </w:rPr>
        <w:t xml:space="preserve">n employer </w:t>
      </w:r>
      <w:r w:rsidRPr="00E349D9">
        <w:rPr>
          <w:szCs w:val="26"/>
        </w:rPr>
        <w:t xml:space="preserve">may </w:t>
      </w:r>
      <w:r w:rsidR="00A44F33" w:rsidRPr="00E349D9">
        <w:rPr>
          <w:szCs w:val="26"/>
        </w:rPr>
        <w:t>also be more likely to ameliorate violations</w:t>
      </w:r>
      <w:r w:rsidRPr="00E349D9">
        <w:rPr>
          <w:szCs w:val="26"/>
        </w:rPr>
        <w:t>,</w:t>
      </w:r>
      <w:r w:rsidR="00CB3740" w:rsidRPr="00E349D9">
        <w:rPr>
          <w:szCs w:val="26"/>
        </w:rPr>
        <w:t> </w:t>
      </w:r>
      <w:r w:rsidR="00A44F33" w:rsidRPr="00E349D9">
        <w:rPr>
          <w:szCs w:val="26"/>
        </w:rPr>
        <w:t>and less able to sweep them under the rug</w:t>
      </w:r>
      <w:r w:rsidRPr="00E349D9">
        <w:rPr>
          <w:szCs w:val="26"/>
        </w:rPr>
        <w:t>,</w:t>
      </w:r>
      <w:r w:rsidR="00CB3740" w:rsidRPr="00E349D9">
        <w:rPr>
          <w:szCs w:val="26"/>
        </w:rPr>
        <w:t> </w:t>
      </w:r>
      <w:r w:rsidR="00A44F33" w:rsidRPr="00E349D9">
        <w:rPr>
          <w:szCs w:val="26"/>
        </w:rPr>
        <w:t xml:space="preserve">when </w:t>
      </w:r>
      <w:r w:rsidR="00CB3740" w:rsidRPr="00E349D9">
        <w:rPr>
          <w:szCs w:val="26"/>
        </w:rPr>
        <w:t xml:space="preserve">multiple </w:t>
      </w:r>
      <w:r w:rsidR="00A44F33" w:rsidRPr="00E349D9">
        <w:rPr>
          <w:szCs w:val="26"/>
        </w:rPr>
        <w:t>employees ha</w:t>
      </w:r>
      <w:r w:rsidR="00047798" w:rsidRPr="00E349D9">
        <w:rPr>
          <w:szCs w:val="26"/>
        </w:rPr>
        <w:t>ve</w:t>
      </w:r>
      <w:r w:rsidR="00A44F33" w:rsidRPr="00E349D9">
        <w:rPr>
          <w:szCs w:val="26"/>
        </w:rPr>
        <w:t xml:space="preserve"> disclose</w:t>
      </w:r>
      <w:r w:rsidR="00CB3740" w:rsidRPr="00E349D9">
        <w:rPr>
          <w:szCs w:val="26"/>
        </w:rPr>
        <w:t>d</w:t>
      </w:r>
      <w:r w:rsidR="00A44F33" w:rsidRPr="00E349D9">
        <w:rPr>
          <w:szCs w:val="26"/>
        </w:rPr>
        <w:t xml:space="preserve"> </w:t>
      </w:r>
      <w:r w:rsidRPr="00E349D9">
        <w:rPr>
          <w:szCs w:val="26"/>
        </w:rPr>
        <w:t xml:space="preserve">the same </w:t>
      </w:r>
      <w:r w:rsidR="00A44F33" w:rsidRPr="00E349D9">
        <w:rPr>
          <w:szCs w:val="26"/>
        </w:rPr>
        <w:t xml:space="preserve">wrongdoing. </w:t>
      </w:r>
      <w:r w:rsidR="00932855" w:rsidRPr="00E349D9">
        <w:rPr>
          <w:szCs w:val="26"/>
        </w:rPr>
        <w:t xml:space="preserve"> </w:t>
      </w:r>
      <w:r w:rsidR="00A44F33" w:rsidRPr="00E349D9">
        <w:rPr>
          <w:szCs w:val="26"/>
        </w:rPr>
        <w:t>T</w:t>
      </w:r>
      <w:r w:rsidR="00EB2A40" w:rsidRPr="00E349D9">
        <w:rPr>
          <w:szCs w:val="26"/>
        </w:rPr>
        <w:t>he</w:t>
      </w:r>
      <w:r w:rsidR="00A44F33" w:rsidRPr="00E349D9">
        <w:rPr>
          <w:szCs w:val="26"/>
        </w:rPr>
        <w:t xml:space="preserve"> </w:t>
      </w:r>
      <w:r w:rsidR="00C1629B" w:rsidRPr="00E349D9">
        <w:rPr>
          <w:szCs w:val="26"/>
        </w:rPr>
        <w:t xml:space="preserve">Court of Appeal </w:t>
      </w:r>
      <w:r w:rsidR="00A44F33" w:rsidRPr="00E349D9">
        <w:rPr>
          <w:szCs w:val="26"/>
        </w:rPr>
        <w:t xml:space="preserve">decision would </w:t>
      </w:r>
      <w:r w:rsidRPr="00E349D9">
        <w:rPr>
          <w:szCs w:val="26"/>
        </w:rPr>
        <w:t xml:space="preserve">limit </w:t>
      </w:r>
      <w:r w:rsidR="00A44F33" w:rsidRPr="00E349D9">
        <w:rPr>
          <w:szCs w:val="26"/>
        </w:rPr>
        <w:t>the ability of employees to report violations, corroborate a coworker</w:t>
      </w:r>
      <w:r w:rsidR="008B6AC4" w:rsidRPr="00E349D9">
        <w:rPr>
          <w:szCs w:val="26"/>
        </w:rPr>
        <w:t>’</w:t>
      </w:r>
      <w:r w:rsidR="00A44F33" w:rsidRPr="00E349D9">
        <w:rPr>
          <w:szCs w:val="26"/>
        </w:rPr>
        <w:t xml:space="preserve">s disclosure, </w:t>
      </w:r>
      <w:r w:rsidR="000305DA">
        <w:rPr>
          <w:szCs w:val="26"/>
        </w:rPr>
        <w:t>or</w:t>
      </w:r>
      <w:r w:rsidR="000305DA" w:rsidRPr="00E349D9">
        <w:rPr>
          <w:szCs w:val="26"/>
        </w:rPr>
        <w:t xml:space="preserve"> </w:t>
      </w:r>
      <w:r w:rsidR="00A44F33" w:rsidRPr="00E349D9">
        <w:rPr>
          <w:szCs w:val="26"/>
        </w:rPr>
        <w:t>encourage their employers to remedy violations of the law.</w:t>
      </w:r>
    </w:p>
    <w:p w14:paraId="75341C0E" w14:textId="37B46679" w:rsidR="00C83CA8" w:rsidRPr="00617FFD" w:rsidRDefault="00961874" w:rsidP="00617FFD">
      <w:pPr>
        <w:ind w:firstLine="720"/>
        <w:rPr>
          <w:rFonts w:cs="TimesNewRomanPSMT"/>
          <w:szCs w:val="26"/>
        </w:rPr>
      </w:pPr>
      <w:r w:rsidRPr="00E349D9">
        <w:rPr>
          <w:szCs w:val="26"/>
        </w:rPr>
        <w:t>Although it is t</w:t>
      </w:r>
      <w:r w:rsidR="00A44F33" w:rsidRPr="00E349D9">
        <w:rPr>
          <w:szCs w:val="26"/>
        </w:rPr>
        <w:t>he Legislature</w:t>
      </w:r>
      <w:r w:rsidRPr="00E349D9">
        <w:rPr>
          <w:szCs w:val="26"/>
        </w:rPr>
        <w:t>’s</w:t>
      </w:r>
      <w:r w:rsidR="00A44F33" w:rsidRPr="00E349D9">
        <w:rPr>
          <w:szCs w:val="26"/>
        </w:rPr>
        <w:t xml:space="preserve"> prerogative to impose </w:t>
      </w:r>
      <w:r w:rsidRPr="00E349D9">
        <w:rPr>
          <w:szCs w:val="26"/>
        </w:rPr>
        <w:t xml:space="preserve">such </w:t>
      </w:r>
      <w:r w:rsidR="00A44F33" w:rsidRPr="00E349D9">
        <w:rPr>
          <w:szCs w:val="26"/>
        </w:rPr>
        <w:t>limitations</w:t>
      </w:r>
      <w:r w:rsidRPr="00E349D9">
        <w:rPr>
          <w:szCs w:val="26"/>
        </w:rPr>
        <w:t>, n</w:t>
      </w:r>
      <w:r w:rsidR="00A44F33" w:rsidRPr="00E349D9">
        <w:rPr>
          <w:szCs w:val="26"/>
        </w:rPr>
        <w:t>othing in the legislative history indicates a</w:t>
      </w:r>
      <w:r w:rsidRPr="00E349D9">
        <w:rPr>
          <w:szCs w:val="26"/>
        </w:rPr>
        <w:t>n intent</w:t>
      </w:r>
      <w:r w:rsidR="00A44F33" w:rsidRPr="00E349D9">
        <w:rPr>
          <w:szCs w:val="26"/>
        </w:rPr>
        <w:t xml:space="preserve"> to do so.  </w:t>
      </w:r>
      <w:r w:rsidR="00486542" w:rsidRPr="00E349D9">
        <w:rPr>
          <w:szCs w:val="26"/>
        </w:rPr>
        <w:t xml:space="preserve">In developing the statute, the relevant committees </w:t>
      </w:r>
      <w:r w:rsidR="00C5311D" w:rsidRPr="00E349D9">
        <w:rPr>
          <w:szCs w:val="26"/>
        </w:rPr>
        <w:t xml:space="preserve">spoke </w:t>
      </w:r>
      <w:r w:rsidR="00E43E41">
        <w:rPr>
          <w:szCs w:val="26"/>
        </w:rPr>
        <w:t xml:space="preserve">clearly and </w:t>
      </w:r>
      <w:r w:rsidR="00A44F33" w:rsidRPr="00E349D9">
        <w:rPr>
          <w:szCs w:val="26"/>
        </w:rPr>
        <w:t>repeatedly about the purposes and reasoning behind the enactment and expansion of section 1102.5</w:t>
      </w:r>
      <w:r w:rsidR="00EB2A40" w:rsidRPr="00E349D9">
        <w:rPr>
          <w:szCs w:val="26"/>
        </w:rPr>
        <w:t>(b)</w:t>
      </w:r>
      <w:r w:rsidR="00F546AE" w:rsidRPr="00E349D9">
        <w:rPr>
          <w:szCs w:val="26"/>
        </w:rPr>
        <w:t xml:space="preserve">: </w:t>
      </w:r>
      <w:r w:rsidRPr="00E349D9">
        <w:rPr>
          <w:szCs w:val="26"/>
        </w:rPr>
        <w:t xml:space="preserve"> </w:t>
      </w:r>
      <w:r w:rsidR="00F546AE" w:rsidRPr="00E349D9">
        <w:rPr>
          <w:szCs w:val="26"/>
        </w:rPr>
        <w:t xml:space="preserve">to protect workers, to encourage disclosure, and to promote compliance with employment-related laws and regulations. </w:t>
      </w:r>
      <w:r w:rsidR="00375788" w:rsidRPr="00E349D9">
        <w:rPr>
          <w:szCs w:val="26"/>
        </w:rPr>
        <w:t xml:space="preserve"> (See, e.g., Assem. Com. </w:t>
      </w:r>
      <w:r w:rsidR="00416D46" w:rsidRPr="00E349D9">
        <w:rPr>
          <w:szCs w:val="26"/>
        </w:rPr>
        <w:t>o</w:t>
      </w:r>
      <w:r w:rsidR="00375788" w:rsidRPr="00E349D9">
        <w:rPr>
          <w:szCs w:val="26"/>
        </w:rPr>
        <w:t>n Labor and Employment, Analysis of Assem. Bill No.</w:t>
      </w:r>
      <w:r w:rsidR="00C515AA" w:rsidRPr="00E349D9">
        <w:rPr>
          <w:szCs w:val="26"/>
        </w:rPr>
        <w:t> </w:t>
      </w:r>
      <w:r w:rsidR="00375788" w:rsidRPr="00E349D9">
        <w:rPr>
          <w:szCs w:val="26"/>
        </w:rPr>
        <w:t>2</w:t>
      </w:r>
      <w:r w:rsidR="00BB5DF0">
        <w:rPr>
          <w:szCs w:val="26"/>
        </w:rPr>
        <w:t>4</w:t>
      </w:r>
      <w:r w:rsidR="00375788" w:rsidRPr="00E349D9">
        <w:rPr>
          <w:szCs w:val="26"/>
        </w:rPr>
        <w:t>52</w:t>
      </w:r>
      <w:r w:rsidR="004151DA" w:rsidRPr="00E349D9">
        <w:rPr>
          <w:szCs w:val="26"/>
        </w:rPr>
        <w:t xml:space="preserve">, </w:t>
      </w:r>
      <w:r w:rsidR="004151DA" w:rsidRPr="00E349D9">
        <w:rPr>
          <w:i/>
          <w:iCs/>
          <w:szCs w:val="26"/>
        </w:rPr>
        <w:t>supra</w:t>
      </w:r>
      <w:r w:rsidR="004151DA" w:rsidRPr="00E349D9">
        <w:rPr>
          <w:szCs w:val="26"/>
        </w:rPr>
        <w:t>,</w:t>
      </w:r>
      <w:r w:rsidR="00F37D13" w:rsidRPr="00E349D9">
        <w:rPr>
          <w:szCs w:val="26"/>
        </w:rPr>
        <w:t xml:space="preserve"> </w:t>
      </w:r>
      <w:r w:rsidR="00046ADE" w:rsidRPr="00E349D9">
        <w:rPr>
          <w:szCs w:val="26"/>
        </w:rPr>
        <w:t>as introduced Jan. 24, 1984</w:t>
      </w:r>
      <w:r w:rsidR="00F37D13" w:rsidRPr="00E349D9">
        <w:rPr>
          <w:szCs w:val="26"/>
        </w:rPr>
        <w:t>, p.</w:t>
      </w:r>
      <w:r w:rsidR="00386E8C" w:rsidRPr="00E349D9">
        <w:rPr>
          <w:szCs w:val="26"/>
        </w:rPr>
        <w:t> </w:t>
      </w:r>
      <w:r w:rsidR="00F37D13" w:rsidRPr="00E349D9">
        <w:rPr>
          <w:szCs w:val="26"/>
        </w:rPr>
        <w:t xml:space="preserve">1 [“The intent of this measure is to afford employees some minimum protections against retribution by an employer when the employee reports crimes or violations of the law occurring at his or her place of employment”]; </w:t>
      </w:r>
      <w:r w:rsidR="00F37D13" w:rsidRPr="00E349D9">
        <w:rPr>
          <w:szCs w:val="26"/>
          <w:shd w:val="clear" w:color="auto" w:fill="FFFFFF"/>
        </w:rPr>
        <w:t xml:space="preserve">Sen. </w:t>
      </w:r>
      <w:r w:rsidR="000C6112">
        <w:rPr>
          <w:szCs w:val="26"/>
          <w:shd w:val="clear" w:color="auto" w:fill="FFFFFF"/>
        </w:rPr>
        <w:t xml:space="preserve">Judiciary </w:t>
      </w:r>
      <w:r w:rsidR="00F37D13" w:rsidRPr="00E349D9">
        <w:rPr>
          <w:szCs w:val="26"/>
          <w:shd w:val="clear" w:color="auto" w:fill="FFFFFF"/>
        </w:rPr>
        <w:t>Com., Analysis of Sen. Bill No.</w:t>
      </w:r>
      <w:r w:rsidR="00C515AA" w:rsidRPr="00E349D9">
        <w:rPr>
          <w:szCs w:val="26"/>
          <w:shd w:val="clear" w:color="auto" w:fill="FFFFFF"/>
        </w:rPr>
        <w:t> </w:t>
      </w:r>
      <w:r w:rsidR="00F37D13" w:rsidRPr="00E349D9">
        <w:rPr>
          <w:szCs w:val="26"/>
          <w:shd w:val="clear" w:color="auto" w:fill="FFFFFF"/>
        </w:rPr>
        <w:t>777</w:t>
      </w:r>
      <w:r w:rsidR="001470AA" w:rsidRPr="00E349D9">
        <w:rPr>
          <w:szCs w:val="26"/>
          <w:shd w:val="clear" w:color="auto" w:fill="FFFFFF"/>
        </w:rPr>
        <w:t xml:space="preserve">, </w:t>
      </w:r>
      <w:r w:rsidR="001470AA" w:rsidRPr="00E349D9">
        <w:rPr>
          <w:i/>
          <w:iCs/>
          <w:szCs w:val="26"/>
          <w:shd w:val="clear" w:color="auto" w:fill="FFFFFF"/>
        </w:rPr>
        <w:t>supra</w:t>
      </w:r>
      <w:r w:rsidR="001470AA" w:rsidRPr="00E349D9">
        <w:rPr>
          <w:szCs w:val="26"/>
          <w:shd w:val="clear" w:color="auto" w:fill="FFFFFF"/>
        </w:rPr>
        <w:t>,</w:t>
      </w:r>
      <w:r w:rsidR="00F37D13" w:rsidRPr="00E349D9">
        <w:rPr>
          <w:szCs w:val="26"/>
          <w:shd w:val="clear" w:color="auto" w:fill="FFFFFF"/>
        </w:rPr>
        <w:t xml:space="preserve"> </w:t>
      </w:r>
      <w:r w:rsidR="00DC7C30" w:rsidRPr="00E349D9">
        <w:rPr>
          <w:szCs w:val="26"/>
          <w:shd w:val="clear" w:color="auto" w:fill="FFFFFF"/>
        </w:rPr>
        <w:t>as introduced Feb. 21, 2003</w:t>
      </w:r>
      <w:r w:rsidR="00046ADE" w:rsidRPr="00E349D9">
        <w:rPr>
          <w:szCs w:val="26"/>
          <w:shd w:val="clear" w:color="auto" w:fill="FFFFFF"/>
        </w:rPr>
        <w:t>,</w:t>
      </w:r>
      <w:r w:rsidR="00F37D13" w:rsidRPr="00E349D9">
        <w:rPr>
          <w:szCs w:val="26"/>
          <w:shd w:val="clear" w:color="auto" w:fill="FFFFFF"/>
        </w:rPr>
        <w:t xml:space="preserve"> p.</w:t>
      </w:r>
      <w:r w:rsidR="00386E8C" w:rsidRPr="00E349D9">
        <w:rPr>
          <w:szCs w:val="26"/>
        </w:rPr>
        <w:t> </w:t>
      </w:r>
      <w:r w:rsidR="00556BA3">
        <w:rPr>
          <w:szCs w:val="26"/>
          <w:shd w:val="clear" w:color="auto" w:fill="FFFFFF"/>
        </w:rPr>
        <w:t>7</w:t>
      </w:r>
      <w:r w:rsidR="00F37D13" w:rsidRPr="00E349D9">
        <w:rPr>
          <w:szCs w:val="26"/>
          <w:shd w:val="clear" w:color="auto" w:fill="FFFFFF"/>
        </w:rPr>
        <w:t xml:space="preserve"> [Senate Bill No.</w:t>
      </w:r>
      <w:r w:rsidR="00C515AA" w:rsidRPr="00E349D9">
        <w:rPr>
          <w:szCs w:val="26"/>
          <w:shd w:val="clear" w:color="auto" w:fill="FFFFFF"/>
        </w:rPr>
        <w:t> </w:t>
      </w:r>
      <w:r w:rsidR="00F37D13" w:rsidRPr="00E349D9">
        <w:rPr>
          <w:szCs w:val="26"/>
          <w:shd w:val="clear" w:color="auto" w:fill="FFFFFF"/>
        </w:rPr>
        <w:t xml:space="preserve">777 </w:t>
      </w:r>
      <w:r w:rsidR="00486542" w:rsidRPr="00E349D9">
        <w:rPr>
          <w:szCs w:val="26"/>
          <w:shd w:val="clear" w:color="auto" w:fill="FFFFFF"/>
        </w:rPr>
        <w:t xml:space="preserve">is intended </w:t>
      </w:r>
      <w:r w:rsidR="00F37D13" w:rsidRPr="00E349D9">
        <w:rPr>
          <w:szCs w:val="26"/>
          <w:shd w:val="clear" w:color="auto" w:fill="FFFFFF"/>
        </w:rPr>
        <w:t xml:space="preserve">to </w:t>
      </w:r>
      <w:r w:rsidR="00FD0195" w:rsidRPr="00E349D9">
        <w:rPr>
          <w:szCs w:val="26"/>
          <w:shd w:val="clear" w:color="auto" w:fill="FFFFFF"/>
        </w:rPr>
        <w:t xml:space="preserve">be </w:t>
      </w:r>
      <w:r w:rsidRPr="00E349D9">
        <w:rPr>
          <w:szCs w:val="26"/>
          <w:shd w:val="clear" w:color="auto" w:fill="FFFFFF"/>
        </w:rPr>
        <w:t xml:space="preserve">the </w:t>
      </w:r>
      <w:r w:rsidR="00F37D13" w:rsidRPr="00E349D9">
        <w:rPr>
          <w:szCs w:val="26"/>
          <w:shd w:val="clear" w:color="auto" w:fill="FFFFFF"/>
        </w:rPr>
        <w:t>“strongest whistleblower protection and corporate accountability law in the nation” t</w:t>
      </w:r>
      <w:r w:rsidR="00EB2A40" w:rsidRPr="00E349D9">
        <w:rPr>
          <w:szCs w:val="26"/>
          <w:shd w:val="clear" w:color="auto" w:fill="FFFFFF"/>
        </w:rPr>
        <w:t xml:space="preserve">o </w:t>
      </w:r>
      <w:r w:rsidR="00F37D13" w:rsidRPr="00E349D9">
        <w:rPr>
          <w:szCs w:val="26"/>
          <w:shd w:val="clear" w:color="auto" w:fill="FFFFFF"/>
        </w:rPr>
        <w:t>provide “</w:t>
      </w:r>
      <w:r w:rsidR="00845899" w:rsidRPr="00E349D9">
        <w:rPr>
          <w:szCs w:val="26"/>
          <w:shd w:val="clear" w:color="auto" w:fill="FFFFFF"/>
        </w:rPr>
        <w:t> ‘</w:t>
      </w:r>
      <w:r w:rsidR="00F37D13" w:rsidRPr="00E349D9">
        <w:rPr>
          <w:szCs w:val="26"/>
          <w:shd w:val="clear" w:color="auto" w:fill="FFFFFF"/>
        </w:rPr>
        <w:t>an effective early warning system</w:t>
      </w:r>
      <w:r w:rsidR="00ED02C2" w:rsidRPr="00E349D9">
        <w:rPr>
          <w:szCs w:val="26"/>
          <w:shd w:val="clear" w:color="auto" w:fill="FFFFFF"/>
        </w:rPr>
        <w:t> </w:t>
      </w:r>
      <w:r w:rsidR="00E95A91" w:rsidRPr="00E349D9">
        <w:rPr>
          <w:szCs w:val="26"/>
          <w:shd w:val="clear" w:color="auto" w:fill="FFFFFF"/>
        </w:rPr>
        <w:t>. . .</w:t>
      </w:r>
      <w:r w:rsidR="00F37D13" w:rsidRPr="00E349D9">
        <w:rPr>
          <w:szCs w:val="26"/>
          <w:shd w:val="clear" w:color="auto" w:fill="FFFFFF"/>
        </w:rPr>
        <w:t xml:space="preserve"> [to detect] corporate fraud</w:t>
      </w:r>
      <w:r w:rsidR="00845899" w:rsidRPr="00E349D9">
        <w:rPr>
          <w:szCs w:val="26"/>
          <w:shd w:val="clear" w:color="auto" w:fill="FFFFFF"/>
        </w:rPr>
        <w:t>’ </w:t>
      </w:r>
      <w:r w:rsidR="00F37D13" w:rsidRPr="00E349D9">
        <w:rPr>
          <w:szCs w:val="26"/>
          <w:shd w:val="clear" w:color="auto" w:fill="FFFFFF"/>
        </w:rPr>
        <w:t xml:space="preserve">”]; </w:t>
      </w:r>
      <w:r w:rsidR="00F37D13" w:rsidRPr="00617FFD">
        <w:rPr>
          <w:rFonts w:cs="TimesNewRomanPSMT"/>
          <w:szCs w:val="26"/>
        </w:rPr>
        <w:t>Stats.</w:t>
      </w:r>
      <w:r w:rsidR="00E95A91" w:rsidRPr="00617FFD">
        <w:rPr>
          <w:rFonts w:cs="TimesNewRomanPSMT"/>
          <w:szCs w:val="26"/>
        </w:rPr>
        <w:t> </w:t>
      </w:r>
      <w:r w:rsidR="00F37D13" w:rsidRPr="00617FFD">
        <w:rPr>
          <w:rFonts w:cs="TimesNewRomanPSMT"/>
          <w:szCs w:val="26"/>
        </w:rPr>
        <w:t>2013, ch.</w:t>
      </w:r>
      <w:r w:rsidR="00386E8C" w:rsidRPr="00E349D9">
        <w:rPr>
          <w:szCs w:val="26"/>
        </w:rPr>
        <w:t> </w:t>
      </w:r>
      <w:r w:rsidR="00F37D13" w:rsidRPr="00617FFD">
        <w:rPr>
          <w:rFonts w:cs="TimesNewRomanPSMT"/>
          <w:szCs w:val="26"/>
        </w:rPr>
        <w:t>732, §</w:t>
      </w:r>
      <w:r w:rsidR="00386E8C" w:rsidRPr="00E349D9">
        <w:rPr>
          <w:szCs w:val="26"/>
        </w:rPr>
        <w:t> </w:t>
      </w:r>
      <w:r w:rsidR="00F37D13" w:rsidRPr="00617FFD">
        <w:rPr>
          <w:rFonts w:cs="TimesNewRomanPSMT"/>
          <w:szCs w:val="26"/>
        </w:rPr>
        <w:t>1, subd.</w:t>
      </w:r>
      <w:r w:rsidR="00386E8C" w:rsidRPr="00E349D9">
        <w:rPr>
          <w:szCs w:val="26"/>
        </w:rPr>
        <w:t> </w:t>
      </w:r>
      <w:r w:rsidR="00F37D13" w:rsidRPr="00617FFD">
        <w:rPr>
          <w:rFonts w:cs="TimesNewRomanPSMT"/>
          <w:szCs w:val="26"/>
        </w:rPr>
        <w:t>(j) [“It is essential to the enforcement of this state</w:t>
      </w:r>
      <w:r w:rsidR="00674D7B" w:rsidRPr="00E349D9">
        <w:rPr>
          <w:szCs w:val="26"/>
          <w:bdr w:val="none" w:sz="0" w:space="0" w:color="auto" w:frame="1"/>
        </w:rPr>
        <w:t>’</w:t>
      </w:r>
      <w:r w:rsidR="00F37D13" w:rsidRPr="00617FFD">
        <w:rPr>
          <w:rFonts w:cs="TimesNewRomanPSMT"/>
          <w:szCs w:val="26"/>
        </w:rPr>
        <w:t>s labor laws that we have broad, clear, and effective protections for workers engaging in conduct protected by law from all forms of employer retaliation</w:t>
      </w:r>
      <w:r w:rsidR="00CE099A">
        <w:rPr>
          <w:rFonts w:cs="TimesNewRomanPSMT"/>
          <w:szCs w:val="26"/>
        </w:rPr>
        <w:t> . . . .</w:t>
      </w:r>
      <w:r w:rsidR="00F37D13" w:rsidRPr="00617FFD">
        <w:rPr>
          <w:rFonts w:cs="TimesNewRomanPSMT"/>
          <w:szCs w:val="26"/>
        </w:rPr>
        <w:t>”].)</w:t>
      </w:r>
      <w:r w:rsidR="008801A5" w:rsidRPr="00617FFD">
        <w:rPr>
          <w:rFonts w:cs="TimesNewRomanPSMT"/>
          <w:szCs w:val="26"/>
        </w:rPr>
        <w:t xml:space="preserve">  </w:t>
      </w:r>
    </w:p>
    <w:p w14:paraId="25C41B14" w14:textId="408D19F0" w:rsidR="008462F6" w:rsidRDefault="00802FAB">
      <w:pPr>
        <w:ind w:firstLine="720"/>
        <w:rPr>
          <w:szCs w:val="26"/>
        </w:rPr>
      </w:pPr>
      <w:r w:rsidRPr="00E349D9">
        <w:rPr>
          <w:szCs w:val="26"/>
        </w:rPr>
        <w:t xml:space="preserve">Moreover, </w:t>
      </w:r>
      <w:r w:rsidR="000167BA" w:rsidRPr="00E349D9">
        <w:rPr>
          <w:szCs w:val="26"/>
        </w:rPr>
        <w:t xml:space="preserve">the language of section 1102.5(b) does not support a “first known report” rule.  </w:t>
      </w:r>
      <w:r w:rsidR="00367144" w:rsidRPr="00E349D9">
        <w:rPr>
          <w:szCs w:val="26"/>
        </w:rPr>
        <w:t xml:space="preserve">The only reference to an employee’s state of mind </w:t>
      </w:r>
      <w:r w:rsidR="006F01BD" w:rsidRPr="00E349D9">
        <w:rPr>
          <w:szCs w:val="26"/>
        </w:rPr>
        <w:t xml:space="preserve">in section </w:t>
      </w:r>
      <w:r w:rsidR="00512A24" w:rsidRPr="00E349D9">
        <w:rPr>
          <w:szCs w:val="26"/>
        </w:rPr>
        <w:t xml:space="preserve">1102.5(b) </w:t>
      </w:r>
      <w:r w:rsidR="001F0056" w:rsidRPr="00E349D9">
        <w:rPr>
          <w:szCs w:val="26"/>
        </w:rPr>
        <w:t xml:space="preserve">is the requirement that the employee “has reasonable cause to believe that the information discloses a </w:t>
      </w:r>
      <w:r w:rsidR="00B33C2D" w:rsidRPr="00E349D9">
        <w:rPr>
          <w:szCs w:val="26"/>
        </w:rPr>
        <w:t xml:space="preserve">[legal] </w:t>
      </w:r>
      <w:r w:rsidR="001F0056" w:rsidRPr="00E349D9">
        <w:rPr>
          <w:szCs w:val="26"/>
        </w:rPr>
        <w:t>violation</w:t>
      </w:r>
      <w:r w:rsidR="00E60C31" w:rsidRPr="00E349D9">
        <w:rPr>
          <w:szCs w:val="26"/>
        </w:rPr>
        <w:t>.”  (</w:t>
      </w:r>
      <w:r w:rsidR="00556BA3">
        <w:rPr>
          <w:i/>
          <w:iCs/>
          <w:szCs w:val="26"/>
        </w:rPr>
        <w:t>Ibid.</w:t>
      </w:r>
      <w:r w:rsidR="00E60C31" w:rsidRPr="00E349D9">
        <w:rPr>
          <w:szCs w:val="26"/>
        </w:rPr>
        <w:t xml:space="preserve">)  </w:t>
      </w:r>
      <w:r w:rsidR="008856F0" w:rsidRPr="00E349D9">
        <w:rPr>
          <w:szCs w:val="26"/>
        </w:rPr>
        <w:t>The statute</w:t>
      </w:r>
      <w:r w:rsidR="00646D97" w:rsidRPr="00E349D9">
        <w:rPr>
          <w:szCs w:val="26"/>
        </w:rPr>
        <w:t xml:space="preserve"> </w:t>
      </w:r>
      <w:r w:rsidR="00131D0E" w:rsidRPr="00E349D9">
        <w:rPr>
          <w:szCs w:val="26"/>
        </w:rPr>
        <w:t xml:space="preserve">thus </w:t>
      </w:r>
      <w:r w:rsidR="00646D97" w:rsidRPr="00E349D9">
        <w:rPr>
          <w:szCs w:val="26"/>
        </w:rPr>
        <w:t xml:space="preserve">does not protect employees who do not believe </w:t>
      </w:r>
      <w:r w:rsidR="008856F0" w:rsidRPr="00E349D9">
        <w:rPr>
          <w:szCs w:val="26"/>
        </w:rPr>
        <w:t xml:space="preserve">or who unreasonably believe that </w:t>
      </w:r>
      <w:r w:rsidR="00E80BB9" w:rsidRPr="00E349D9">
        <w:rPr>
          <w:szCs w:val="26"/>
        </w:rPr>
        <w:t>the</w:t>
      </w:r>
      <w:r w:rsidR="008856F0" w:rsidRPr="00E349D9">
        <w:rPr>
          <w:szCs w:val="26"/>
        </w:rPr>
        <w:t xml:space="preserve"> information they are disclosing shows</w:t>
      </w:r>
      <w:r w:rsidR="00646D97" w:rsidRPr="00E349D9">
        <w:rPr>
          <w:szCs w:val="26"/>
        </w:rPr>
        <w:t xml:space="preserve"> a violation </w:t>
      </w:r>
      <w:r w:rsidR="00FB1F4D" w:rsidRPr="00E349D9">
        <w:rPr>
          <w:szCs w:val="26"/>
        </w:rPr>
        <w:t>of the law</w:t>
      </w:r>
      <w:r w:rsidR="00504F8D" w:rsidRPr="00E349D9">
        <w:rPr>
          <w:szCs w:val="26"/>
        </w:rPr>
        <w:t>.  However, t</w:t>
      </w:r>
      <w:r w:rsidR="00586EA2" w:rsidRPr="00E349D9">
        <w:rPr>
          <w:szCs w:val="26"/>
        </w:rPr>
        <w:t xml:space="preserve">here is no </w:t>
      </w:r>
      <w:r w:rsidR="008856F0" w:rsidRPr="00E349D9">
        <w:rPr>
          <w:szCs w:val="26"/>
        </w:rPr>
        <w:t xml:space="preserve">indication </w:t>
      </w:r>
      <w:r w:rsidR="00586EA2" w:rsidRPr="00E349D9">
        <w:rPr>
          <w:szCs w:val="26"/>
        </w:rPr>
        <w:t xml:space="preserve">that </w:t>
      </w:r>
      <w:r w:rsidR="00504F8D" w:rsidRPr="00E349D9">
        <w:rPr>
          <w:szCs w:val="26"/>
        </w:rPr>
        <w:t xml:space="preserve">an </w:t>
      </w:r>
      <w:r w:rsidR="00586EA2" w:rsidRPr="00E349D9">
        <w:rPr>
          <w:szCs w:val="26"/>
        </w:rPr>
        <w:t xml:space="preserve">employee </w:t>
      </w:r>
      <w:r w:rsidR="00131D0E" w:rsidRPr="00E349D9">
        <w:rPr>
          <w:szCs w:val="26"/>
        </w:rPr>
        <w:t xml:space="preserve">must also </w:t>
      </w:r>
      <w:r w:rsidR="009B76F9">
        <w:rPr>
          <w:szCs w:val="26"/>
        </w:rPr>
        <w:t xml:space="preserve">have reasonable cause to </w:t>
      </w:r>
      <w:r w:rsidR="00586EA2" w:rsidRPr="00E349D9">
        <w:rPr>
          <w:szCs w:val="26"/>
        </w:rPr>
        <w:t xml:space="preserve">believe </w:t>
      </w:r>
      <w:r w:rsidR="009B76F9">
        <w:rPr>
          <w:szCs w:val="26"/>
        </w:rPr>
        <w:t xml:space="preserve">that </w:t>
      </w:r>
      <w:r w:rsidR="00504F8D" w:rsidRPr="00E349D9">
        <w:rPr>
          <w:szCs w:val="26"/>
        </w:rPr>
        <w:t xml:space="preserve">he or she is </w:t>
      </w:r>
      <w:r w:rsidR="00586EA2" w:rsidRPr="00E349D9">
        <w:rPr>
          <w:szCs w:val="26"/>
        </w:rPr>
        <w:t xml:space="preserve">the first to </w:t>
      </w:r>
      <w:r w:rsidR="0062232C" w:rsidRPr="00E349D9">
        <w:rPr>
          <w:szCs w:val="26"/>
        </w:rPr>
        <w:t xml:space="preserve">report </w:t>
      </w:r>
      <w:r w:rsidR="00AB4FFE" w:rsidRPr="00E349D9">
        <w:rPr>
          <w:szCs w:val="26"/>
        </w:rPr>
        <w:t>th</w:t>
      </w:r>
      <w:r w:rsidR="008856F0" w:rsidRPr="00E349D9">
        <w:rPr>
          <w:szCs w:val="26"/>
        </w:rPr>
        <w:t>e alleged</w:t>
      </w:r>
      <w:r w:rsidR="00AB4FFE" w:rsidRPr="00E349D9">
        <w:rPr>
          <w:szCs w:val="26"/>
        </w:rPr>
        <w:t xml:space="preserve"> violation</w:t>
      </w:r>
      <w:r w:rsidR="00372EE1" w:rsidRPr="00E349D9">
        <w:rPr>
          <w:szCs w:val="26"/>
        </w:rPr>
        <w:t xml:space="preserve">, and </w:t>
      </w:r>
      <w:r w:rsidR="008856F0" w:rsidRPr="00E349D9">
        <w:rPr>
          <w:szCs w:val="26"/>
        </w:rPr>
        <w:t xml:space="preserve">we see </w:t>
      </w:r>
      <w:r w:rsidR="00372EE1" w:rsidRPr="00E349D9">
        <w:rPr>
          <w:szCs w:val="26"/>
        </w:rPr>
        <w:t xml:space="preserve">no basis for reading </w:t>
      </w:r>
      <w:r w:rsidR="003D5FAF" w:rsidRPr="00E349D9">
        <w:rPr>
          <w:szCs w:val="26"/>
        </w:rPr>
        <w:t>such a requirement in</w:t>
      </w:r>
      <w:r w:rsidR="008856F0" w:rsidRPr="00E349D9">
        <w:rPr>
          <w:szCs w:val="26"/>
        </w:rPr>
        <w:t>to</w:t>
      </w:r>
      <w:r w:rsidR="003D5FAF" w:rsidRPr="00E349D9">
        <w:rPr>
          <w:szCs w:val="26"/>
        </w:rPr>
        <w:t xml:space="preserve"> the statute.</w:t>
      </w:r>
    </w:p>
    <w:p w14:paraId="1787B82E" w14:textId="31AE2AB5" w:rsidR="00E223FD" w:rsidRPr="00E349D9" w:rsidRDefault="00E223FD" w:rsidP="00E223FD">
      <w:pPr>
        <w:ind w:firstLine="720"/>
        <w:rPr>
          <w:szCs w:val="26"/>
        </w:rPr>
      </w:pPr>
      <w:r>
        <w:rPr>
          <w:szCs w:val="26"/>
        </w:rPr>
        <w:t xml:space="preserve">The Court of Appeal’s interpretation </w:t>
      </w:r>
      <w:r w:rsidR="00E43E41">
        <w:rPr>
          <w:szCs w:val="26"/>
        </w:rPr>
        <w:t>risks</w:t>
      </w:r>
      <w:r w:rsidR="00382659">
        <w:rPr>
          <w:szCs w:val="26"/>
        </w:rPr>
        <w:t xml:space="preserve"> </w:t>
      </w:r>
      <w:r>
        <w:rPr>
          <w:szCs w:val="26"/>
        </w:rPr>
        <w:t>limit</w:t>
      </w:r>
      <w:r w:rsidR="00E43E41">
        <w:rPr>
          <w:szCs w:val="26"/>
        </w:rPr>
        <w:t>ing</w:t>
      </w:r>
      <w:r>
        <w:rPr>
          <w:szCs w:val="26"/>
        </w:rPr>
        <w:t xml:space="preserve"> internal disclosures, as</w:t>
      </w:r>
      <w:r w:rsidR="008671F5">
        <w:t xml:space="preserve"> employees </w:t>
      </w:r>
      <w:r w:rsidR="00E43E41">
        <w:t>may fear</w:t>
      </w:r>
      <w:r w:rsidR="003B032D">
        <w:t xml:space="preserve"> that </w:t>
      </w:r>
      <w:r w:rsidR="004F775B">
        <w:t>report</w:t>
      </w:r>
      <w:r w:rsidR="00E43E41">
        <w:t xml:space="preserve">ing </w:t>
      </w:r>
      <w:r w:rsidR="003B032D">
        <w:t xml:space="preserve">wrongdoing </w:t>
      </w:r>
      <w:r w:rsidR="00E43E41">
        <w:t xml:space="preserve">to their </w:t>
      </w:r>
      <w:r w:rsidR="003B032D">
        <w:t>employers</w:t>
      </w:r>
      <w:r w:rsidR="004F775B">
        <w:t>, who</w:t>
      </w:r>
      <w:r w:rsidR="003B032D">
        <w:t xml:space="preserve"> </w:t>
      </w:r>
      <w:r w:rsidR="00E43E41">
        <w:t>may</w:t>
      </w:r>
      <w:r w:rsidR="003B032D">
        <w:t xml:space="preserve"> know of the alleged violations</w:t>
      </w:r>
      <w:r w:rsidR="004F775B">
        <w:t>, would leave them unprotected under section 1102.5(b).</w:t>
      </w:r>
      <w:r w:rsidR="003B032D">
        <w:t xml:space="preserve">  </w:t>
      </w:r>
      <w:r w:rsidR="00E43E41">
        <w:t xml:space="preserve">Although </w:t>
      </w:r>
      <w:r w:rsidR="003B032D">
        <w:t>employees</w:t>
      </w:r>
      <w:r w:rsidR="004F775B">
        <w:t xml:space="preserve"> </w:t>
      </w:r>
      <w:r w:rsidR="00746183">
        <w:t>might instead report the</w:t>
      </w:r>
      <w:r w:rsidR="000E0914">
        <w:t xml:space="preserve"> violations to a government agency</w:t>
      </w:r>
      <w:r w:rsidR="004F775B">
        <w:t xml:space="preserve">, </w:t>
      </w:r>
      <w:r w:rsidR="000026F4">
        <w:t xml:space="preserve">the Legislature’s 2013 amendments </w:t>
      </w:r>
      <w:r w:rsidR="003567B4">
        <w:t xml:space="preserve">expanded antiretaliation protections to </w:t>
      </w:r>
      <w:r w:rsidR="00911A76">
        <w:t>cover</w:t>
      </w:r>
      <w:r w:rsidR="003567B4">
        <w:t xml:space="preserve"> internal disclosures, </w:t>
      </w:r>
      <w:r w:rsidR="00911A76">
        <w:t xml:space="preserve">simultaneously </w:t>
      </w:r>
      <w:r w:rsidR="003567B4">
        <w:t xml:space="preserve">providing employees with protection and employers with the opportunity to correct </w:t>
      </w:r>
      <w:r w:rsidR="00E57244">
        <w:t>wrongdoing without government involvement.  (</w:t>
      </w:r>
      <w:r w:rsidR="000C29F8">
        <w:t>Stats.</w:t>
      </w:r>
      <w:r w:rsidR="00265840">
        <w:t xml:space="preserve"> 2013, c</w:t>
      </w:r>
      <w:r w:rsidR="00BD4208">
        <w:t>h</w:t>
      </w:r>
      <w:r w:rsidR="00265840">
        <w:t>. 732, § 1</w:t>
      </w:r>
      <w:r w:rsidR="00BD4208">
        <w:t>, subd. (</w:t>
      </w:r>
      <w:r w:rsidR="00265840">
        <w:t>h)</w:t>
      </w:r>
      <w:r w:rsidR="00336108">
        <w:t xml:space="preserve"> </w:t>
      </w:r>
      <w:r w:rsidR="00D765EC">
        <w:t xml:space="preserve">[expressing </w:t>
      </w:r>
      <w:r w:rsidR="00E43E41">
        <w:t>s</w:t>
      </w:r>
      <w:r w:rsidR="00D765EC">
        <w:t>tate interest</w:t>
      </w:r>
      <w:r w:rsidR="00336108">
        <w:t xml:space="preserve"> </w:t>
      </w:r>
      <w:r w:rsidR="00D765EC">
        <w:t>“</w:t>
      </w:r>
      <w:r w:rsidR="00336108">
        <w:t>that workers be able to report concerns to their employers without fear of retaliation</w:t>
      </w:r>
      <w:r w:rsidR="003638CE">
        <w:t>”].)</w:t>
      </w:r>
    </w:p>
    <w:p w14:paraId="125A93D3" w14:textId="2BCE55F3" w:rsidR="0012701D" w:rsidRPr="00E349D9" w:rsidRDefault="00A44F33" w:rsidP="000313F6">
      <w:pPr>
        <w:pStyle w:val="Heading2"/>
        <w:ind w:left="0" w:firstLine="0"/>
        <w:jc w:val="center"/>
        <w:rPr>
          <w:szCs w:val="26"/>
        </w:rPr>
      </w:pPr>
      <w:r w:rsidRPr="00E349D9">
        <w:t>C.</w:t>
      </w:r>
    </w:p>
    <w:p w14:paraId="21E004FF" w14:textId="429FA9A3" w:rsidR="003D7036" w:rsidRPr="00E349D9" w:rsidRDefault="00C60D43" w:rsidP="000B3479">
      <w:pPr>
        <w:ind w:firstLine="720"/>
        <w:rPr>
          <w:szCs w:val="26"/>
        </w:rPr>
      </w:pPr>
      <w:r w:rsidRPr="00E349D9">
        <w:rPr>
          <w:szCs w:val="26"/>
        </w:rPr>
        <w:t>Amicus</w:t>
      </w:r>
      <w:r w:rsidR="003D7036" w:rsidRPr="00E349D9">
        <w:rPr>
          <w:szCs w:val="26"/>
        </w:rPr>
        <w:t xml:space="preserve"> </w:t>
      </w:r>
      <w:r w:rsidR="00B872DE" w:rsidRPr="00E349D9">
        <w:rPr>
          <w:szCs w:val="26"/>
        </w:rPr>
        <w:t xml:space="preserve">curiae </w:t>
      </w:r>
      <w:r w:rsidR="003D7036" w:rsidRPr="00E349D9">
        <w:rPr>
          <w:szCs w:val="26"/>
        </w:rPr>
        <w:t xml:space="preserve">raises several arguments </w:t>
      </w:r>
      <w:r w:rsidR="00F12369" w:rsidRPr="00E349D9">
        <w:rPr>
          <w:szCs w:val="26"/>
        </w:rPr>
        <w:t>that section 1102.5(b) should be given the narrow reading endorsed by the Court of Appeal.</w:t>
      </w:r>
    </w:p>
    <w:p w14:paraId="40E76921" w14:textId="47097ABF" w:rsidR="00E43E41" w:rsidRDefault="006A5B67">
      <w:pPr>
        <w:autoSpaceDE w:val="0"/>
        <w:autoSpaceDN w:val="0"/>
        <w:adjustRightInd w:val="0"/>
        <w:ind w:firstLine="720"/>
        <w:rPr>
          <w:szCs w:val="26"/>
        </w:rPr>
      </w:pPr>
      <w:r w:rsidRPr="00E349D9">
        <w:rPr>
          <w:szCs w:val="26"/>
        </w:rPr>
        <w:t>A</w:t>
      </w:r>
      <w:r w:rsidR="00C60D43" w:rsidRPr="00E349D9">
        <w:rPr>
          <w:szCs w:val="26"/>
        </w:rPr>
        <w:t xml:space="preserve">micus </w:t>
      </w:r>
      <w:r w:rsidR="003A6B4B" w:rsidRPr="008E0266">
        <w:rPr>
          <w:szCs w:val="26"/>
        </w:rPr>
        <w:t>curiae</w:t>
      </w:r>
      <w:r w:rsidR="003A6B4B" w:rsidRPr="00E349D9">
        <w:rPr>
          <w:szCs w:val="26"/>
        </w:rPr>
        <w:t xml:space="preserve"> </w:t>
      </w:r>
      <w:r w:rsidR="0012701D" w:rsidRPr="00E349D9">
        <w:rPr>
          <w:szCs w:val="26"/>
        </w:rPr>
        <w:t xml:space="preserve">argues that </w:t>
      </w:r>
      <w:r w:rsidR="00D817FC" w:rsidRPr="00E349D9">
        <w:rPr>
          <w:szCs w:val="26"/>
        </w:rPr>
        <w:t xml:space="preserve">allowing </w:t>
      </w:r>
      <w:r w:rsidRPr="00E349D9">
        <w:rPr>
          <w:szCs w:val="26"/>
        </w:rPr>
        <w:t xml:space="preserve">coverage under section 1102.5(b) for a disclosure of known information to an employer would render </w:t>
      </w:r>
      <w:r w:rsidR="00826695" w:rsidRPr="00E349D9">
        <w:rPr>
          <w:szCs w:val="26"/>
        </w:rPr>
        <w:t xml:space="preserve">duplicative </w:t>
      </w:r>
      <w:r w:rsidRPr="00E349D9">
        <w:rPr>
          <w:szCs w:val="26"/>
        </w:rPr>
        <w:t>section</w:t>
      </w:r>
      <w:r w:rsidR="00C040D2">
        <w:rPr>
          <w:szCs w:val="26"/>
        </w:rPr>
        <w:t xml:space="preserve"> </w:t>
      </w:r>
      <w:r w:rsidRPr="00E349D9">
        <w:rPr>
          <w:szCs w:val="26"/>
        </w:rPr>
        <w:t>98.6</w:t>
      </w:r>
      <w:r w:rsidR="00826695" w:rsidRPr="00E349D9">
        <w:rPr>
          <w:szCs w:val="26"/>
        </w:rPr>
        <w:t>, which also provides protection against employer retaliation</w:t>
      </w:r>
      <w:r w:rsidR="005C0FCE" w:rsidRPr="00E349D9">
        <w:rPr>
          <w:szCs w:val="26"/>
        </w:rPr>
        <w:t>.</w:t>
      </w:r>
      <w:r w:rsidR="00A621AA" w:rsidRPr="00E349D9">
        <w:rPr>
          <w:szCs w:val="26"/>
        </w:rPr>
        <w:t xml:space="preserve"> </w:t>
      </w:r>
      <w:r w:rsidR="00E058B3" w:rsidRPr="00E349D9">
        <w:rPr>
          <w:szCs w:val="26"/>
        </w:rPr>
        <w:t xml:space="preserve"> </w:t>
      </w:r>
      <w:r w:rsidR="00AC086D" w:rsidRPr="00E349D9">
        <w:rPr>
          <w:szCs w:val="26"/>
        </w:rPr>
        <w:t>I</w:t>
      </w:r>
      <w:r w:rsidR="00FB1ABA" w:rsidRPr="00E349D9">
        <w:rPr>
          <w:szCs w:val="26"/>
        </w:rPr>
        <w:t>n general,</w:t>
      </w:r>
      <w:r w:rsidR="00A621AA" w:rsidRPr="00E349D9">
        <w:rPr>
          <w:szCs w:val="26"/>
        </w:rPr>
        <w:t xml:space="preserve"> “we must avoid interpretations [of statutes] that would render related provisions unnecessary or redundant</w:t>
      </w:r>
      <w:r w:rsidR="00FB1ABA" w:rsidRPr="00E349D9">
        <w:rPr>
          <w:szCs w:val="26"/>
        </w:rPr>
        <w:t>.</w:t>
      </w:r>
      <w:r w:rsidR="00A621AA" w:rsidRPr="00E349D9">
        <w:rPr>
          <w:szCs w:val="26"/>
        </w:rPr>
        <w:t>”</w:t>
      </w:r>
      <w:r w:rsidR="00FB1ABA" w:rsidRPr="00E349D9">
        <w:rPr>
          <w:szCs w:val="26"/>
        </w:rPr>
        <w:t xml:space="preserve"> </w:t>
      </w:r>
      <w:r w:rsidR="00A621AA" w:rsidRPr="00E349D9">
        <w:rPr>
          <w:szCs w:val="26"/>
        </w:rPr>
        <w:t xml:space="preserve"> </w:t>
      </w:r>
      <w:r w:rsidR="00F12369" w:rsidRPr="00E349D9">
        <w:rPr>
          <w:szCs w:val="26"/>
        </w:rPr>
        <w:t>(</w:t>
      </w:r>
      <w:r w:rsidR="00F12369" w:rsidRPr="00E349D9">
        <w:rPr>
          <w:i/>
          <w:iCs/>
          <w:szCs w:val="26"/>
        </w:rPr>
        <w:t xml:space="preserve">Kleffman v. Vonage Holdings Corp. </w:t>
      </w:r>
      <w:r w:rsidR="00F12369" w:rsidRPr="00E349D9">
        <w:rPr>
          <w:szCs w:val="26"/>
        </w:rPr>
        <w:t>(2010) 49 Cal.4th 334, 345</w:t>
      </w:r>
      <w:r w:rsidR="009B76F9">
        <w:rPr>
          <w:szCs w:val="26"/>
        </w:rPr>
        <w:t>.</w:t>
      </w:r>
      <w:r w:rsidR="00F12369" w:rsidRPr="00E349D9">
        <w:rPr>
          <w:szCs w:val="26"/>
        </w:rPr>
        <w:t>)</w:t>
      </w:r>
      <w:r w:rsidR="00FB1ABA" w:rsidRPr="00E349D9">
        <w:rPr>
          <w:szCs w:val="26"/>
        </w:rPr>
        <w:t xml:space="preserve">  </w:t>
      </w:r>
      <w:r w:rsidR="00D817FC" w:rsidRPr="00E349D9">
        <w:rPr>
          <w:szCs w:val="26"/>
        </w:rPr>
        <w:t>But</w:t>
      </w:r>
      <w:r w:rsidR="00FB1ABA" w:rsidRPr="00E349D9">
        <w:rPr>
          <w:szCs w:val="26"/>
        </w:rPr>
        <w:t xml:space="preserve"> </w:t>
      </w:r>
      <w:r w:rsidR="00263515" w:rsidRPr="00E349D9">
        <w:rPr>
          <w:szCs w:val="26"/>
        </w:rPr>
        <w:t>a</w:t>
      </w:r>
      <w:r w:rsidR="00034894" w:rsidRPr="00E349D9">
        <w:rPr>
          <w:szCs w:val="26"/>
        </w:rPr>
        <w:t xml:space="preserve"> canon of construction </w:t>
      </w:r>
      <w:r w:rsidR="00AC086D" w:rsidRPr="00E349D9">
        <w:rPr>
          <w:szCs w:val="26"/>
        </w:rPr>
        <w:t xml:space="preserve">cannot </w:t>
      </w:r>
      <w:r w:rsidR="00263515" w:rsidRPr="00E349D9">
        <w:rPr>
          <w:szCs w:val="26"/>
        </w:rPr>
        <w:t>supersede</w:t>
      </w:r>
      <w:r w:rsidR="00034894" w:rsidRPr="00E349D9">
        <w:rPr>
          <w:szCs w:val="26"/>
        </w:rPr>
        <w:t xml:space="preserve"> </w:t>
      </w:r>
      <w:r w:rsidR="00C80316" w:rsidRPr="00E349D9">
        <w:rPr>
          <w:szCs w:val="26"/>
        </w:rPr>
        <w:t>th</w:t>
      </w:r>
      <w:r w:rsidR="00FB1ABA" w:rsidRPr="00E349D9">
        <w:rPr>
          <w:szCs w:val="26"/>
        </w:rPr>
        <w:t>e</w:t>
      </w:r>
      <w:r w:rsidR="00C80316" w:rsidRPr="00E349D9">
        <w:rPr>
          <w:szCs w:val="26"/>
        </w:rPr>
        <w:t xml:space="preserve"> </w:t>
      </w:r>
      <w:r w:rsidR="008856F0" w:rsidRPr="00E349D9">
        <w:rPr>
          <w:szCs w:val="26"/>
        </w:rPr>
        <w:t xml:space="preserve">Legislature’s </w:t>
      </w:r>
      <w:r w:rsidR="00C80316" w:rsidRPr="00E349D9">
        <w:rPr>
          <w:szCs w:val="26"/>
        </w:rPr>
        <w:t xml:space="preserve">clear intent.  </w:t>
      </w:r>
      <w:r w:rsidR="00FB1ABA" w:rsidRPr="00E349D9">
        <w:rPr>
          <w:szCs w:val="26"/>
        </w:rPr>
        <w:t>By its terms, s</w:t>
      </w:r>
      <w:r w:rsidR="00C80316" w:rsidRPr="00E349D9">
        <w:rPr>
          <w:szCs w:val="26"/>
        </w:rPr>
        <w:t xml:space="preserve">ection 98.6 incorporates violations of </w:t>
      </w:r>
      <w:r w:rsidR="00B85B62" w:rsidRPr="00E349D9">
        <w:rPr>
          <w:szCs w:val="26"/>
        </w:rPr>
        <w:t xml:space="preserve">other sections of the Labor Code, including </w:t>
      </w:r>
      <w:r w:rsidR="00EC5B51" w:rsidRPr="00E349D9">
        <w:rPr>
          <w:szCs w:val="26"/>
        </w:rPr>
        <w:t>section 1102.5</w:t>
      </w:r>
      <w:r w:rsidR="008064F1" w:rsidRPr="00E349D9">
        <w:rPr>
          <w:szCs w:val="26"/>
        </w:rPr>
        <w:t xml:space="preserve">. </w:t>
      </w:r>
      <w:r w:rsidR="00EC5B51" w:rsidRPr="00E349D9">
        <w:rPr>
          <w:szCs w:val="26"/>
        </w:rPr>
        <w:t xml:space="preserve"> (§</w:t>
      </w:r>
      <w:r w:rsidR="00386E8C" w:rsidRPr="00E349D9">
        <w:rPr>
          <w:szCs w:val="26"/>
        </w:rPr>
        <w:t> </w:t>
      </w:r>
      <w:r w:rsidR="00EC5B51" w:rsidRPr="00E349D9">
        <w:rPr>
          <w:szCs w:val="26"/>
        </w:rPr>
        <w:t>98.6, subd.</w:t>
      </w:r>
      <w:r w:rsidR="00FD2694" w:rsidRPr="00E349D9">
        <w:rPr>
          <w:szCs w:val="26"/>
        </w:rPr>
        <w:t> </w:t>
      </w:r>
      <w:r w:rsidR="00EC5B51" w:rsidRPr="00E349D9">
        <w:rPr>
          <w:szCs w:val="26"/>
        </w:rPr>
        <w:t>(a) [</w:t>
      </w:r>
      <w:r w:rsidR="000D072E" w:rsidRPr="00E349D9">
        <w:rPr>
          <w:szCs w:val="26"/>
        </w:rPr>
        <w:t>prohibiting retaliation against any employee based on</w:t>
      </w:r>
      <w:r w:rsidR="00EC5B51" w:rsidRPr="00E349D9">
        <w:rPr>
          <w:szCs w:val="26"/>
        </w:rPr>
        <w:t xml:space="preserve"> “conduct delineated in</w:t>
      </w:r>
      <w:r w:rsidR="001D1F78" w:rsidRPr="00E349D9">
        <w:rPr>
          <w:szCs w:val="26"/>
        </w:rPr>
        <w:t> </w:t>
      </w:r>
      <w:r w:rsidR="00EC5B51" w:rsidRPr="00E349D9">
        <w:rPr>
          <w:szCs w:val="26"/>
        </w:rPr>
        <w:t>.</w:t>
      </w:r>
      <w:r w:rsidR="001D1F78" w:rsidRPr="00E349D9">
        <w:rPr>
          <w:szCs w:val="26"/>
        </w:rPr>
        <w:t> </w:t>
      </w:r>
      <w:r w:rsidR="00EC5B51" w:rsidRPr="00E349D9">
        <w:rPr>
          <w:szCs w:val="26"/>
        </w:rPr>
        <w:t>.</w:t>
      </w:r>
      <w:r w:rsidR="001D1F78" w:rsidRPr="00E349D9">
        <w:rPr>
          <w:szCs w:val="26"/>
        </w:rPr>
        <w:t> </w:t>
      </w:r>
      <w:r w:rsidR="00EC5B51" w:rsidRPr="00E349D9">
        <w:rPr>
          <w:szCs w:val="26"/>
        </w:rPr>
        <w:t>. Chapter 5</w:t>
      </w:r>
      <w:r w:rsidR="00030313" w:rsidRPr="00E349D9">
        <w:rPr>
          <w:szCs w:val="26"/>
        </w:rPr>
        <w:t> . . . of Part 3 of Division 2</w:t>
      </w:r>
      <w:r w:rsidR="000D072E" w:rsidRPr="00E349D9">
        <w:rPr>
          <w:szCs w:val="26"/>
        </w:rPr>
        <w:t>”</w:t>
      </w:r>
      <w:r w:rsidR="00EC5B51" w:rsidRPr="00E349D9">
        <w:rPr>
          <w:szCs w:val="26"/>
        </w:rPr>
        <w:t xml:space="preserve"> of </w:t>
      </w:r>
      <w:r w:rsidR="008856F0" w:rsidRPr="00E349D9">
        <w:rPr>
          <w:szCs w:val="26"/>
        </w:rPr>
        <w:t xml:space="preserve">the </w:t>
      </w:r>
      <w:r w:rsidR="00EC5B51" w:rsidRPr="00E349D9">
        <w:rPr>
          <w:szCs w:val="26"/>
        </w:rPr>
        <w:t>Labor Code</w:t>
      </w:r>
      <w:r w:rsidR="003A69BA" w:rsidRPr="00E349D9">
        <w:rPr>
          <w:szCs w:val="26"/>
        </w:rPr>
        <w:t>]</w:t>
      </w:r>
      <w:r w:rsidR="000D072E" w:rsidRPr="00E349D9">
        <w:rPr>
          <w:szCs w:val="26"/>
        </w:rPr>
        <w:t>.)</w:t>
      </w:r>
      <w:r w:rsidR="008064F1" w:rsidRPr="00E349D9">
        <w:rPr>
          <w:szCs w:val="26"/>
        </w:rPr>
        <w:t xml:space="preserve">  </w:t>
      </w:r>
      <w:r w:rsidR="008856F0" w:rsidRPr="00E349D9">
        <w:rPr>
          <w:szCs w:val="26"/>
        </w:rPr>
        <w:t xml:space="preserve">It appears that </w:t>
      </w:r>
      <w:r w:rsidR="003E3632" w:rsidRPr="00E349D9">
        <w:rPr>
          <w:szCs w:val="26"/>
        </w:rPr>
        <w:t>the Legislature</w:t>
      </w:r>
      <w:r w:rsidR="008856F0" w:rsidRPr="00E349D9">
        <w:rPr>
          <w:szCs w:val="26"/>
        </w:rPr>
        <w:t xml:space="preserve"> intentionally crafted a </w:t>
      </w:r>
      <w:r w:rsidR="003E3632" w:rsidRPr="00E349D9">
        <w:rPr>
          <w:szCs w:val="26"/>
        </w:rPr>
        <w:t>statutory scheme</w:t>
      </w:r>
      <w:r w:rsidR="00FD3E6A" w:rsidRPr="00E349D9">
        <w:rPr>
          <w:szCs w:val="26"/>
        </w:rPr>
        <w:t xml:space="preserve"> </w:t>
      </w:r>
      <w:r w:rsidR="008856F0" w:rsidRPr="00E349D9">
        <w:rPr>
          <w:szCs w:val="26"/>
        </w:rPr>
        <w:t xml:space="preserve">with such redundancy in order </w:t>
      </w:r>
      <w:r w:rsidR="00FD3E6A" w:rsidRPr="00E349D9">
        <w:rPr>
          <w:szCs w:val="26"/>
        </w:rPr>
        <w:t>to provide robust worker protections</w:t>
      </w:r>
      <w:r w:rsidR="003E3632" w:rsidRPr="00E349D9">
        <w:rPr>
          <w:szCs w:val="26"/>
        </w:rPr>
        <w:t>.</w:t>
      </w:r>
    </w:p>
    <w:p w14:paraId="1B4AABC8" w14:textId="0C658196" w:rsidR="00BB5DAD" w:rsidRPr="00617FFD" w:rsidRDefault="00FD3E6A" w:rsidP="000B3479">
      <w:pPr>
        <w:autoSpaceDE w:val="0"/>
        <w:autoSpaceDN w:val="0"/>
        <w:adjustRightInd w:val="0"/>
        <w:ind w:firstLine="720"/>
        <w:rPr>
          <w:rFonts w:cs="TimesNewRomanPS-ItalicMT"/>
          <w:i/>
          <w:iCs/>
          <w:szCs w:val="26"/>
        </w:rPr>
      </w:pPr>
      <w:r w:rsidRPr="00E349D9">
        <w:rPr>
          <w:szCs w:val="26"/>
        </w:rPr>
        <w:t xml:space="preserve">In any event, </w:t>
      </w:r>
      <w:r w:rsidR="000F5778" w:rsidRPr="00E349D9">
        <w:rPr>
          <w:szCs w:val="26"/>
        </w:rPr>
        <w:t xml:space="preserve">the </w:t>
      </w:r>
      <w:r w:rsidR="00BA213A" w:rsidRPr="00E349D9">
        <w:rPr>
          <w:szCs w:val="26"/>
        </w:rPr>
        <w:t xml:space="preserve">relief </w:t>
      </w:r>
      <w:r w:rsidR="008856F0" w:rsidRPr="00E349D9">
        <w:rPr>
          <w:szCs w:val="26"/>
        </w:rPr>
        <w:t>available under</w:t>
      </w:r>
      <w:r w:rsidR="00BA213A" w:rsidRPr="00E349D9">
        <w:rPr>
          <w:szCs w:val="26"/>
        </w:rPr>
        <w:t xml:space="preserve"> </w:t>
      </w:r>
      <w:r w:rsidR="004863A5" w:rsidRPr="00E349D9">
        <w:rPr>
          <w:szCs w:val="26"/>
        </w:rPr>
        <w:t xml:space="preserve">section </w:t>
      </w:r>
      <w:r w:rsidR="00AA50A7" w:rsidRPr="00E349D9">
        <w:rPr>
          <w:szCs w:val="26"/>
        </w:rPr>
        <w:t>98.6</w:t>
      </w:r>
      <w:r w:rsidR="004863A5" w:rsidRPr="00E349D9">
        <w:rPr>
          <w:szCs w:val="26"/>
        </w:rPr>
        <w:t xml:space="preserve"> </w:t>
      </w:r>
      <w:r w:rsidR="008856F0" w:rsidRPr="00E349D9">
        <w:rPr>
          <w:szCs w:val="26"/>
        </w:rPr>
        <w:t xml:space="preserve">is not identical to the relief available under section </w:t>
      </w:r>
      <w:r w:rsidR="00AA50A7" w:rsidRPr="00E349D9">
        <w:rPr>
          <w:szCs w:val="26"/>
        </w:rPr>
        <w:t>1102.5</w:t>
      </w:r>
      <w:r w:rsidR="000212D5" w:rsidRPr="00E349D9">
        <w:rPr>
          <w:szCs w:val="26"/>
        </w:rPr>
        <w:t xml:space="preserve">.  </w:t>
      </w:r>
      <w:r w:rsidR="00431FED" w:rsidRPr="00E349D9">
        <w:rPr>
          <w:szCs w:val="26"/>
        </w:rPr>
        <w:t>(</w:t>
      </w:r>
      <w:r w:rsidR="000212D5" w:rsidRPr="00E349D9">
        <w:rPr>
          <w:szCs w:val="26"/>
        </w:rPr>
        <w:t>C</w:t>
      </w:r>
      <w:r w:rsidR="00431FED" w:rsidRPr="00E349D9">
        <w:rPr>
          <w:szCs w:val="26"/>
        </w:rPr>
        <w:t>ompare</w:t>
      </w:r>
      <w:r w:rsidR="00AA50A7" w:rsidRPr="00E349D9">
        <w:rPr>
          <w:szCs w:val="26"/>
        </w:rPr>
        <w:t xml:space="preserve"> </w:t>
      </w:r>
      <w:r w:rsidR="004E6597" w:rsidRPr="00E349D9">
        <w:rPr>
          <w:szCs w:val="26"/>
        </w:rPr>
        <w:t>§ 98.6</w:t>
      </w:r>
      <w:r w:rsidR="008A4AF9" w:rsidRPr="00E349D9">
        <w:rPr>
          <w:szCs w:val="26"/>
        </w:rPr>
        <w:t>, subd. </w:t>
      </w:r>
      <w:r w:rsidR="004E6597" w:rsidRPr="00E349D9">
        <w:rPr>
          <w:szCs w:val="26"/>
        </w:rPr>
        <w:t>(b)(3)</w:t>
      </w:r>
      <w:r w:rsidR="000212D5" w:rsidRPr="00E349D9">
        <w:rPr>
          <w:szCs w:val="26"/>
        </w:rPr>
        <w:t xml:space="preserve"> [</w:t>
      </w:r>
      <w:r w:rsidR="0046055E" w:rsidRPr="00E349D9">
        <w:rPr>
          <w:szCs w:val="26"/>
        </w:rPr>
        <w:t>civil penalties paid to employee]</w:t>
      </w:r>
      <w:r w:rsidR="004E6597" w:rsidRPr="00E349D9">
        <w:rPr>
          <w:szCs w:val="26"/>
        </w:rPr>
        <w:t xml:space="preserve"> with § 1102.5</w:t>
      </w:r>
      <w:r w:rsidR="008A4AF9" w:rsidRPr="00E349D9">
        <w:rPr>
          <w:szCs w:val="26"/>
        </w:rPr>
        <w:t>, subd. </w:t>
      </w:r>
      <w:r w:rsidR="004E6597" w:rsidRPr="00E349D9">
        <w:rPr>
          <w:szCs w:val="26"/>
        </w:rPr>
        <w:t>(f)</w:t>
      </w:r>
      <w:r w:rsidR="006E3F01" w:rsidRPr="00E349D9">
        <w:rPr>
          <w:szCs w:val="26"/>
        </w:rPr>
        <w:t xml:space="preserve"> [authorizing civil penalties remitted to government].</w:t>
      </w:r>
      <w:r w:rsidR="000212D5" w:rsidRPr="00E349D9">
        <w:rPr>
          <w:szCs w:val="26"/>
        </w:rPr>
        <w:t xml:space="preserve">) </w:t>
      </w:r>
      <w:r w:rsidRPr="00E349D9">
        <w:rPr>
          <w:szCs w:val="26"/>
        </w:rPr>
        <w:t xml:space="preserve"> </w:t>
      </w:r>
      <w:r w:rsidR="008A4AF9" w:rsidRPr="00E349D9">
        <w:rPr>
          <w:szCs w:val="26"/>
        </w:rPr>
        <w:t xml:space="preserve">In addition, </w:t>
      </w:r>
      <w:r w:rsidR="006E3F01" w:rsidRPr="00E349D9">
        <w:rPr>
          <w:szCs w:val="26"/>
        </w:rPr>
        <w:t xml:space="preserve">only </w:t>
      </w:r>
      <w:r w:rsidR="00787A92" w:rsidRPr="00E349D9">
        <w:rPr>
          <w:szCs w:val="26"/>
        </w:rPr>
        <w:t>section 1102.5</w:t>
      </w:r>
      <w:r w:rsidR="004C4845">
        <w:rPr>
          <w:szCs w:val="26"/>
        </w:rPr>
        <w:t xml:space="preserve"> authorizes </w:t>
      </w:r>
      <w:r w:rsidR="001C6CE8">
        <w:rPr>
          <w:szCs w:val="26"/>
        </w:rPr>
        <w:t xml:space="preserve">courts to award reasonable </w:t>
      </w:r>
      <w:r w:rsidR="00791867">
        <w:rPr>
          <w:szCs w:val="26"/>
        </w:rPr>
        <w:t xml:space="preserve">attorney’s fees </w:t>
      </w:r>
      <w:r w:rsidR="001C6CE8">
        <w:rPr>
          <w:szCs w:val="26"/>
        </w:rPr>
        <w:t>to</w:t>
      </w:r>
      <w:r w:rsidR="00791867">
        <w:rPr>
          <w:szCs w:val="26"/>
        </w:rPr>
        <w:t xml:space="preserve"> </w:t>
      </w:r>
      <w:r w:rsidR="001C6CE8">
        <w:rPr>
          <w:szCs w:val="26"/>
        </w:rPr>
        <w:t>any “plaintiff who brings a successful action.”</w:t>
      </w:r>
      <w:r w:rsidR="00787A92" w:rsidRPr="00E349D9">
        <w:rPr>
          <w:szCs w:val="26"/>
        </w:rPr>
        <w:t xml:space="preserve"> </w:t>
      </w:r>
      <w:r w:rsidR="006E3F01" w:rsidRPr="00E349D9">
        <w:rPr>
          <w:szCs w:val="26"/>
        </w:rPr>
        <w:t xml:space="preserve"> </w:t>
      </w:r>
      <w:r w:rsidR="00431FED" w:rsidRPr="00E349D9">
        <w:rPr>
          <w:szCs w:val="26"/>
        </w:rPr>
        <w:t>(§ 1102.5</w:t>
      </w:r>
      <w:r w:rsidR="000F5778" w:rsidRPr="00E349D9">
        <w:rPr>
          <w:szCs w:val="26"/>
        </w:rPr>
        <w:t>, subd. </w:t>
      </w:r>
      <w:r w:rsidR="00431FED" w:rsidRPr="00E349D9">
        <w:rPr>
          <w:szCs w:val="26"/>
        </w:rPr>
        <w:t>(j)</w:t>
      </w:r>
      <w:r w:rsidR="006E3F01" w:rsidRPr="00E349D9">
        <w:rPr>
          <w:szCs w:val="26"/>
        </w:rPr>
        <w:t>.</w:t>
      </w:r>
      <w:r w:rsidR="00431FED" w:rsidRPr="00E349D9">
        <w:rPr>
          <w:szCs w:val="26"/>
        </w:rPr>
        <w:t xml:space="preserve">) </w:t>
      </w:r>
      <w:r w:rsidR="006E3F01" w:rsidRPr="00E349D9">
        <w:rPr>
          <w:szCs w:val="26"/>
        </w:rPr>
        <w:t xml:space="preserve"> A</w:t>
      </w:r>
      <w:r w:rsidR="00A95DB1" w:rsidRPr="00E349D9">
        <w:rPr>
          <w:szCs w:val="26"/>
        </w:rPr>
        <w:t xml:space="preserve">nd </w:t>
      </w:r>
      <w:r w:rsidR="00AA63B1" w:rsidRPr="00E349D9">
        <w:rPr>
          <w:szCs w:val="26"/>
        </w:rPr>
        <w:t>section 1102</w:t>
      </w:r>
      <w:r w:rsidR="00561427" w:rsidRPr="00E349D9">
        <w:rPr>
          <w:szCs w:val="26"/>
        </w:rPr>
        <w:t xml:space="preserve">.5 claims are evaluated on </w:t>
      </w:r>
      <w:r w:rsidR="008A4AF9" w:rsidRPr="00E349D9">
        <w:rPr>
          <w:szCs w:val="26"/>
        </w:rPr>
        <w:t xml:space="preserve">the basis of </w:t>
      </w:r>
      <w:r w:rsidR="00561427" w:rsidRPr="00E349D9">
        <w:rPr>
          <w:szCs w:val="26"/>
        </w:rPr>
        <w:t>a</w:t>
      </w:r>
      <w:r w:rsidR="00787A92" w:rsidRPr="00E349D9">
        <w:rPr>
          <w:szCs w:val="26"/>
        </w:rPr>
        <w:t xml:space="preserve"> distinct</w:t>
      </w:r>
      <w:r w:rsidR="00AD2BB3" w:rsidRPr="00E349D9">
        <w:rPr>
          <w:szCs w:val="26"/>
        </w:rPr>
        <w:t xml:space="preserve"> </w:t>
      </w:r>
      <w:r w:rsidR="00561427" w:rsidRPr="00E349D9">
        <w:rPr>
          <w:szCs w:val="26"/>
        </w:rPr>
        <w:t xml:space="preserve">evidentiary standard </w:t>
      </w:r>
      <w:r w:rsidR="00AD2BB3" w:rsidRPr="00E349D9">
        <w:rPr>
          <w:szCs w:val="26"/>
        </w:rPr>
        <w:t>and framework set by statute</w:t>
      </w:r>
      <w:r w:rsidR="006E3F01" w:rsidRPr="00E349D9">
        <w:rPr>
          <w:szCs w:val="26"/>
        </w:rPr>
        <w:t>.</w:t>
      </w:r>
      <w:r w:rsidR="00A95DB1" w:rsidRPr="00E349D9">
        <w:rPr>
          <w:szCs w:val="26"/>
        </w:rPr>
        <w:t xml:space="preserve"> </w:t>
      </w:r>
      <w:r w:rsidR="006E3F01" w:rsidRPr="00E349D9">
        <w:rPr>
          <w:szCs w:val="26"/>
        </w:rPr>
        <w:t xml:space="preserve"> </w:t>
      </w:r>
      <w:r w:rsidR="00A95DB1" w:rsidRPr="00E349D9">
        <w:rPr>
          <w:szCs w:val="26"/>
        </w:rPr>
        <w:t>(</w:t>
      </w:r>
      <w:r w:rsidR="006E3F01" w:rsidRPr="00E349D9">
        <w:rPr>
          <w:szCs w:val="26"/>
        </w:rPr>
        <w:t>S</w:t>
      </w:r>
      <w:r w:rsidR="00AA50A7" w:rsidRPr="00E349D9">
        <w:rPr>
          <w:szCs w:val="26"/>
        </w:rPr>
        <w:t xml:space="preserve">ee § 1102.6; </w:t>
      </w:r>
      <w:r w:rsidR="00F92610" w:rsidRPr="00617FFD">
        <w:rPr>
          <w:rFonts w:cs="TimesNewRomanPS-ItalicMT"/>
          <w:i/>
          <w:iCs/>
          <w:szCs w:val="26"/>
        </w:rPr>
        <w:t>Lawson</w:t>
      </w:r>
      <w:r w:rsidR="00264CB7" w:rsidRPr="00617FFD">
        <w:rPr>
          <w:rFonts w:cs="TimesNewRomanPS-ItalicMT"/>
          <w:szCs w:val="26"/>
        </w:rPr>
        <w:t xml:space="preserve">, </w:t>
      </w:r>
      <w:r w:rsidR="00264CB7" w:rsidRPr="00617FFD">
        <w:rPr>
          <w:rFonts w:cs="TimesNewRomanPS-ItalicMT"/>
          <w:i/>
          <w:iCs/>
          <w:szCs w:val="26"/>
        </w:rPr>
        <w:t>supra</w:t>
      </w:r>
      <w:r w:rsidR="00264CB7" w:rsidRPr="00617FFD">
        <w:rPr>
          <w:rFonts w:cs="TimesNewRomanPS-ItalicMT"/>
          <w:szCs w:val="26"/>
        </w:rPr>
        <w:t>,</w:t>
      </w:r>
      <w:r w:rsidR="00F66D3B" w:rsidRPr="00617FFD">
        <w:rPr>
          <w:rFonts w:cs="TimesNewRomanPS-ItalicMT"/>
          <w:i/>
          <w:iCs/>
          <w:szCs w:val="26"/>
        </w:rPr>
        <w:t xml:space="preserve"> </w:t>
      </w:r>
      <w:r w:rsidR="00F66D3B" w:rsidRPr="00617FFD">
        <w:rPr>
          <w:rFonts w:cs="TimesNewRomanPSMT"/>
          <w:szCs w:val="26"/>
        </w:rPr>
        <w:t>12 Cal.5th</w:t>
      </w:r>
      <w:r w:rsidR="00264CB7" w:rsidRPr="00617FFD">
        <w:rPr>
          <w:rFonts w:cs="TimesNewRomanPSMT"/>
          <w:szCs w:val="26"/>
        </w:rPr>
        <w:t xml:space="preserve"> at p.</w:t>
      </w:r>
      <w:r w:rsidR="00264CB7" w:rsidRPr="00617FFD">
        <w:rPr>
          <w:rFonts w:cs="TimesNewRomanPS-ItalicMT"/>
          <w:i/>
          <w:iCs/>
          <w:szCs w:val="26"/>
        </w:rPr>
        <w:t> </w:t>
      </w:r>
      <w:r w:rsidR="00F66D3B" w:rsidRPr="00E349D9">
        <w:t>712 [</w:t>
      </w:r>
      <w:r w:rsidR="00AE28E5" w:rsidRPr="00E349D9">
        <w:rPr>
          <w:rStyle w:val="Hyperlink"/>
          <w:color w:val="auto"/>
          <w:u w:val="none"/>
        </w:rPr>
        <w:t>“</w:t>
      </w:r>
      <w:r w:rsidR="00AE28E5" w:rsidRPr="00E349D9">
        <w:t>section 1102.6</w:t>
      </w:r>
      <w:r w:rsidR="00604173" w:rsidRPr="00E349D9">
        <w:t> </w:t>
      </w:r>
      <w:r w:rsidR="00AE28E5" w:rsidRPr="00E349D9">
        <w:t>. .</w:t>
      </w:r>
      <w:r w:rsidR="00604173" w:rsidRPr="00E349D9">
        <w:t> </w:t>
      </w:r>
      <w:r w:rsidR="00AE28E5" w:rsidRPr="00E349D9">
        <w:t>. supplies the applicable framework for litigating and adjudicating</w:t>
      </w:r>
      <w:r w:rsidR="002B0A4E" w:rsidRPr="00E349D9">
        <w:t xml:space="preserve"> </w:t>
      </w:r>
      <w:r w:rsidR="00AE28E5" w:rsidRPr="00E349D9">
        <w:t>section 1102.5</w:t>
      </w:r>
      <w:r w:rsidR="002B0A4E" w:rsidRPr="00E349D9">
        <w:t xml:space="preserve"> </w:t>
      </w:r>
      <w:r w:rsidR="00AE28E5" w:rsidRPr="00E349D9">
        <w:t>whistleblower claims”</w:t>
      </w:r>
      <w:r w:rsidR="00AE559C" w:rsidRPr="00E349D9">
        <w:t>]</w:t>
      </w:r>
      <w:r w:rsidR="006E3F01" w:rsidRPr="00E349D9">
        <w:t>.</w:t>
      </w:r>
      <w:r w:rsidR="00AE28E5" w:rsidRPr="00E349D9">
        <w:t>)</w:t>
      </w:r>
      <w:r w:rsidR="00AE559C" w:rsidRPr="00617FFD">
        <w:rPr>
          <w:rFonts w:cs="TimesNewRomanPSMT"/>
          <w:szCs w:val="26"/>
        </w:rPr>
        <w:t xml:space="preserve"> </w:t>
      </w:r>
    </w:p>
    <w:p w14:paraId="4BB19788" w14:textId="1604275A" w:rsidR="007D0B3F" w:rsidRPr="00E349D9" w:rsidRDefault="00C60D43" w:rsidP="000B3479">
      <w:pPr>
        <w:ind w:firstLine="720"/>
        <w:rPr>
          <w:szCs w:val="26"/>
          <w:shd w:val="clear" w:color="auto" w:fill="FFFFFF"/>
        </w:rPr>
      </w:pPr>
      <w:r w:rsidRPr="00E349D9">
        <w:rPr>
          <w:szCs w:val="26"/>
        </w:rPr>
        <w:t>Amicus</w:t>
      </w:r>
      <w:r w:rsidR="00BB5DAD" w:rsidRPr="00E349D9">
        <w:rPr>
          <w:szCs w:val="26"/>
        </w:rPr>
        <w:t xml:space="preserve"> </w:t>
      </w:r>
      <w:r w:rsidR="003A6B4B" w:rsidRPr="008E0266">
        <w:rPr>
          <w:szCs w:val="26"/>
        </w:rPr>
        <w:t>curiae</w:t>
      </w:r>
      <w:r w:rsidR="003A6B4B" w:rsidRPr="00E349D9">
        <w:rPr>
          <w:szCs w:val="26"/>
        </w:rPr>
        <w:t xml:space="preserve"> </w:t>
      </w:r>
      <w:r w:rsidR="00CB663F" w:rsidRPr="00E349D9">
        <w:rPr>
          <w:szCs w:val="26"/>
        </w:rPr>
        <w:t xml:space="preserve">also </w:t>
      </w:r>
      <w:r w:rsidR="00BB5DAD" w:rsidRPr="00E349D9">
        <w:rPr>
          <w:szCs w:val="26"/>
        </w:rPr>
        <w:t xml:space="preserve">argues that the </w:t>
      </w:r>
      <w:r w:rsidR="00CB663F" w:rsidRPr="00E349D9">
        <w:rPr>
          <w:szCs w:val="26"/>
        </w:rPr>
        <w:t>Legislature</w:t>
      </w:r>
      <w:r w:rsidR="008B6AC4" w:rsidRPr="00E349D9">
        <w:rPr>
          <w:szCs w:val="26"/>
        </w:rPr>
        <w:t>’</w:t>
      </w:r>
      <w:r w:rsidR="00CB663F" w:rsidRPr="00E349D9">
        <w:rPr>
          <w:szCs w:val="26"/>
        </w:rPr>
        <w:t xml:space="preserve">s </w:t>
      </w:r>
      <w:r w:rsidR="00BB5DAD" w:rsidRPr="00E349D9">
        <w:rPr>
          <w:szCs w:val="26"/>
        </w:rPr>
        <w:t xml:space="preserve">use of the word “report” in section 1102.5(e) provides evidence </w:t>
      </w:r>
      <w:r w:rsidR="00CB663F" w:rsidRPr="00E349D9">
        <w:rPr>
          <w:szCs w:val="26"/>
        </w:rPr>
        <w:t xml:space="preserve">that </w:t>
      </w:r>
      <w:r w:rsidR="00B9417D" w:rsidRPr="00E349D9">
        <w:rPr>
          <w:szCs w:val="26"/>
        </w:rPr>
        <w:t>“</w:t>
      </w:r>
      <w:r w:rsidR="00AB0186" w:rsidRPr="00E349D9">
        <w:rPr>
          <w:szCs w:val="26"/>
        </w:rPr>
        <w:t>disclose</w:t>
      </w:r>
      <w:r w:rsidR="00B9417D" w:rsidRPr="00E349D9">
        <w:rPr>
          <w:szCs w:val="26"/>
        </w:rPr>
        <w:t>” as used in section 1102.5(b)</w:t>
      </w:r>
      <w:r w:rsidR="00AB0186" w:rsidRPr="00E349D9">
        <w:rPr>
          <w:szCs w:val="26"/>
        </w:rPr>
        <w:t xml:space="preserve"> </w:t>
      </w:r>
      <w:r w:rsidR="00CB663F" w:rsidRPr="00E349D9">
        <w:rPr>
          <w:szCs w:val="26"/>
        </w:rPr>
        <w:t xml:space="preserve">was intended </w:t>
      </w:r>
      <w:r w:rsidR="00AB0186" w:rsidRPr="00E349D9">
        <w:rPr>
          <w:szCs w:val="26"/>
        </w:rPr>
        <w:t>to have a different</w:t>
      </w:r>
      <w:r w:rsidR="00CB011E" w:rsidRPr="00E349D9">
        <w:rPr>
          <w:szCs w:val="26"/>
        </w:rPr>
        <w:t>,</w:t>
      </w:r>
      <w:r w:rsidR="00BB5DAD" w:rsidRPr="00E349D9">
        <w:rPr>
          <w:szCs w:val="26"/>
        </w:rPr>
        <w:t xml:space="preserve"> narrow</w:t>
      </w:r>
      <w:r w:rsidR="00AB0186" w:rsidRPr="00E349D9">
        <w:rPr>
          <w:szCs w:val="26"/>
        </w:rPr>
        <w:t>er</w:t>
      </w:r>
      <w:r w:rsidR="00BB5DAD" w:rsidRPr="00E349D9">
        <w:rPr>
          <w:szCs w:val="26"/>
        </w:rPr>
        <w:t xml:space="preserve"> </w:t>
      </w:r>
      <w:r w:rsidR="00D24C1A" w:rsidRPr="00E349D9">
        <w:rPr>
          <w:szCs w:val="26"/>
        </w:rPr>
        <w:t>meaning</w:t>
      </w:r>
      <w:r w:rsidR="00AB0186" w:rsidRPr="00E349D9">
        <w:rPr>
          <w:szCs w:val="26"/>
        </w:rPr>
        <w:t>.</w:t>
      </w:r>
      <w:r w:rsidR="00BB5DAD" w:rsidRPr="00E349D9">
        <w:rPr>
          <w:szCs w:val="26"/>
        </w:rPr>
        <w:t xml:space="preserve"> </w:t>
      </w:r>
      <w:r w:rsidR="00CB663F" w:rsidRPr="00E349D9">
        <w:rPr>
          <w:szCs w:val="26"/>
        </w:rPr>
        <w:t xml:space="preserve"> </w:t>
      </w:r>
      <w:r w:rsidR="00E43E41">
        <w:rPr>
          <w:szCs w:val="26"/>
        </w:rPr>
        <w:t>But this construction</w:t>
      </w:r>
      <w:r w:rsidR="003F356C">
        <w:rPr>
          <w:szCs w:val="26"/>
        </w:rPr>
        <w:t xml:space="preserve"> would provide </w:t>
      </w:r>
      <w:r w:rsidR="008E51D9">
        <w:rPr>
          <w:szCs w:val="26"/>
        </w:rPr>
        <w:t xml:space="preserve">broader protection to </w:t>
      </w:r>
      <w:r w:rsidR="003F356C">
        <w:rPr>
          <w:szCs w:val="26"/>
        </w:rPr>
        <w:t>public employee</w:t>
      </w:r>
      <w:r w:rsidR="008E51D9">
        <w:rPr>
          <w:szCs w:val="26"/>
        </w:rPr>
        <w:t xml:space="preserve">s who disclose wrongdoing to their own employer (where only a “report” is needed) than to </w:t>
      </w:r>
      <w:r w:rsidR="00E43E41">
        <w:rPr>
          <w:szCs w:val="26"/>
        </w:rPr>
        <w:t xml:space="preserve">public employees who disclose wrongdoing to </w:t>
      </w:r>
      <w:r w:rsidR="008E51D9">
        <w:rPr>
          <w:szCs w:val="26"/>
        </w:rPr>
        <w:t>an outside agency</w:t>
      </w:r>
      <w:r w:rsidR="0044556A">
        <w:rPr>
          <w:szCs w:val="26"/>
        </w:rPr>
        <w:t xml:space="preserve"> (where the “first known report” rule would apply). </w:t>
      </w:r>
      <w:r w:rsidR="00C95D0E">
        <w:rPr>
          <w:szCs w:val="26"/>
        </w:rPr>
        <w:t xml:space="preserve"> There is no indication that the Legislature intended </w:t>
      </w:r>
      <w:r w:rsidR="00E43E41">
        <w:rPr>
          <w:szCs w:val="26"/>
        </w:rPr>
        <w:t>such a</w:t>
      </w:r>
      <w:r w:rsidR="00C95D0E">
        <w:rPr>
          <w:szCs w:val="26"/>
        </w:rPr>
        <w:t xml:space="preserve"> distinction.</w:t>
      </w:r>
    </w:p>
    <w:p w14:paraId="61A39323" w14:textId="704D3E96" w:rsidR="007F5B20" w:rsidRPr="00E349D9" w:rsidRDefault="00C95D0E" w:rsidP="000B3479">
      <w:pPr>
        <w:ind w:firstLine="720"/>
        <w:rPr>
          <w:szCs w:val="26"/>
          <w:shd w:val="clear" w:color="auto" w:fill="FFFFFF"/>
        </w:rPr>
      </w:pPr>
      <w:r>
        <w:rPr>
          <w:szCs w:val="26"/>
          <w:shd w:val="clear" w:color="auto" w:fill="FFFFFF"/>
        </w:rPr>
        <w:t>Moreover,</w:t>
      </w:r>
      <w:r w:rsidR="0029256C" w:rsidRPr="00E349D9">
        <w:rPr>
          <w:szCs w:val="26"/>
          <w:shd w:val="clear" w:color="auto" w:fill="FFFFFF"/>
        </w:rPr>
        <w:t xml:space="preserve"> </w:t>
      </w:r>
      <w:r w:rsidR="00BB5DAD" w:rsidRPr="00E349D9">
        <w:rPr>
          <w:szCs w:val="26"/>
          <w:shd w:val="clear" w:color="auto" w:fill="FFFFFF"/>
        </w:rPr>
        <w:t xml:space="preserve">the legislative history of section </w:t>
      </w:r>
      <w:r w:rsidR="00E05F4E" w:rsidRPr="00E349D9">
        <w:rPr>
          <w:szCs w:val="26"/>
          <w:shd w:val="clear" w:color="auto" w:fill="FFFFFF"/>
        </w:rPr>
        <w:t>1102.5</w:t>
      </w:r>
      <w:r w:rsidR="00BB5DAD" w:rsidRPr="00E349D9">
        <w:rPr>
          <w:szCs w:val="26"/>
          <w:shd w:val="clear" w:color="auto" w:fill="FFFFFF"/>
        </w:rPr>
        <w:t>(e)</w:t>
      </w:r>
      <w:r w:rsidR="008A4AF9" w:rsidRPr="00E349D9">
        <w:rPr>
          <w:szCs w:val="26"/>
          <w:shd w:val="clear" w:color="auto" w:fill="FFFFFF"/>
        </w:rPr>
        <w:t xml:space="preserve"> </w:t>
      </w:r>
      <w:r w:rsidR="007147E9">
        <w:rPr>
          <w:szCs w:val="26"/>
          <w:shd w:val="clear" w:color="auto" w:fill="FFFFFF"/>
        </w:rPr>
        <w:t>does not support amicus</w:t>
      </w:r>
      <w:r w:rsidR="003A6B4B">
        <w:rPr>
          <w:szCs w:val="26"/>
          <w:shd w:val="clear" w:color="auto" w:fill="FFFFFF"/>
        </w:rPr>
        <w:t xml:space="preserve"> </w:t>
      </w:r>
      <w:r w:rsidR="003A6B4B" w:rsidRPr="008E0266">
        <w:rPr>
          <w:szCs w:val="26"/>
        </w:rPr>
        <w:t>curiae</w:t>
      </w:r>
      <w:r w:rsidR="007147E9">
        <w:rPr>
          <w:szCs w:val="26"/>
          <w:shd w:val="clear" w:color="auto" w:fill="FFFFFF"/>
        </w:rPr>
        <w:t>’s argument</w:t>
      </w:r>
      <w:r w:rsidR="00BB5DAD" w:rsidRPr="00E349D9">
        <w:rPr>
          <w:szCs w:val="26"/>
          <w:shd w:val="clear" w:color="auto" w:fill="FFFFFF"/>
        </w:rPr>
        <w:t>.  Prior to the 20</w:t>
      </w:r>
      <w:r w:rsidR="00CC307E" w:rsidRPr="00E349D9">
        <w:rPr>
          <w:szCs w:val="26"/>
          <w:shd w:val="clear" w:color="auto" w:fill="FFFFFF"/>
        </w:rPr>
        <w:t>1</w:t>
      </w:r>
      <w:r w:rsidR="00BB5DAD" w:rsidRPr="00E349D9">
        <w:rPr>
          <w:szCs w:val="26"/>
          <w:shd w:val="clear" w:color="auto" w:fill="FFFFFF"/>
        </w:rPr>
        <w:t>3 amendments, section 1102.5(b) covered only disclosures made to a government or law enforcement agency rather than those made to one</w:t>
      </w:r>
      <w:r w:rsidR="008B6AC4" w:rsidRPr="00E349D9">
        <w:rPr>
          <w:szCs w:val="26"/>
          <w:shd w:val="clear" w:color="auto" w:fill="FFFFFF"/>
        </w:rPr>
        <w:t>’</w:t>
      </w:r>
      <w:r w:rsidR="00BB5DAD" w:rsidRPr="00E349D9">
        <w:rPr>
          <w:szCs w:val="26"/>
          <w:shd w:val="clear" w:color="auto" w:fill="FFFFFF"/>
        </w:rPr>
        <w:t xml:space="preserve">s own employer.  </w:t>
      </w:r>
      <w:r w:rsidR="00383CD3" w:rsidRPr="00E349D9">
        <w:rPr>
          <w:szCs w:val="26"/>
          <w:shd w:val="clear" w:color="auto" w:fill="FFFFFF"/>
        </w:rPr>
        <w:t>(</w:t>
      </w:r>
      <w:r w:rsidR="0047271E" w:rsidRPr="00E349D9">
        <w:rPr>
          <w:szCs w:val="26"/>
          <w:shd w:val="clear" w:color="auto" w:fill="FFFFFF"/>
        </w:rPr>
        <w:t xml:space="preserve">See </w:t>
      </w:r>
      <w:r w:rsidR="009155C9" w:rsidRPr="00E349D9">
        <w:rPr>
          <w:i/>
          <w:iCs/>
          <w:szCs w:val="26"/>
          <w:shd w:val="clear" w:color="auto" w:fill="FFFFFF"/>
        </w:rPr>
        <w:t xml:space="preserve">Green, supra, </w:t>
      </w:r>
      <w:r w:rsidR="009155C9" w:rsidRPr="00E349D9">
        <w:rPr>
          <w:szCs w:val="26"/>
          <w:shd w:val="clear" w:color="auto" w:fill="FFFFFF"/>
        </w:rPr>
        <w:t xml:space="preserve">19 Cal.4th at 77 </w:t>
      </w:r>
      <w:r w:rsidR="0090117D" w:rsidRPr="00E349D9">
        <w:rPr>
          <w:szCs w:val="26"/>
          <w:shd w:val="clear" w:color="auto" w:fill="FFFFFF"/>
        </w:rPr>
        <w:t>[</w:t>
      </w:r>
      <w:r w:rsidR="00D24C1A" w:rsidRPr="00E349D9">
        <w:rPr>
          <w:szCs w:val="26"/>
          <w:shd w:val="clear" w:color="auto" w:fill="FFFFFF"/>
        </w:rPr>
        <w:t xml:space="preserve">previous version of </w:t>
      </w:r>
      <w:r w:rsidR="00B77966" w:rsidRPr="00E349D9">
        <w:rPr>
          <w:szCs w:val="26"/>
        </w:rPr>
        <w:t>§</w:t>
      </w:r>
      <w:r w:rsidR="008E7EDE">
        <w:rPr>
          <w:szCs w:val="26"/>
          <w:shd w:val="clear" w:color="auto" w:fill="FFFFFF"/>
        </w:rPr>
        <w:t> </w:t>
      </w:r>
      <w:r w:rsidR="0090117D" w:rsidRPr="00E349D9">
        <w:rPr>
          <w:szCs w:val="26"/>
          <w:shd w:val="clear" w:color="auto" w:fill="FFFFFF"/>
        </w:rPr>
        <w:t>1102.5(b) “</w:t>
      </w:r>
      <w:r w:rsidR="00C253E7" w:rsidRPr="00E349D9">
        <w:rPr>
          <w:shd w:val="clear" w:color="auto" w:fill="FFFFFF"/>
        </w:rPr>
        <w:t>does not protect plaintiff, who reported his suspicions directly to his employer</w:t>
      </w:r>
      <w:r w:rsidR="0090117D" w:rsidRPr="00E349D9">
        <w:rPr>
          <w:shd w:val="clear" w:color="auto" w:fill="FFFFFF"/>
        </w:rPr>
        <w:t>”</w:t>
      </w:r>
      <w:r w:rsidR="00383CD3" w:rsidRPr="00E349D9">
        <w:rPr>
          <w:shd w:val="clear" w:color="auto" w:fill="FFFFFF"/>
        </w:rPr>
        <w:t>].)</w:t>
      </w:r>
      <w:r w:rsidR="00887B10" w:rsidRPr="00E349D9">
        <w:rPr>
          <w:shd w:val="clear" w:color="auto" w:fill="FFFFFF"/>
        </w:rPr>
        <w:t xml:space="preserve"> </w:t>
      </w:r>
      <w:r w:rsidR="00677362" w:rsidRPr="00E349D9">
        <w:rPr>
          <w:shd w:val="clear" w:color="auto" w:fill="FFFFFF"/>
        </w:rPr>
        <w:t xml:space="preserve"> </w:t>
      </w:r>
      <w:r w:rsidR="00BB5DAD" w:rsidRPr="00E349D9">
        <w:rPr>
          <w:szCs w:val="26"/>
          <w:shd w:val="clear" w:color="auto" w:fill="FFFFFF"/>
        </w:rPr>
        <w:t xml:space="preserve">Under </w:t>
      </w:r>
      <w:r w:rsidR="0028001C" w:rsidRPr="00E349D9">
        <w:rPr>
          <w:szCs w:val="26"/>
          <w:shd w:val="clear" w:color="auto" w:fill="FFFFFF"/>
        </w:rPr>
        <w:t xml:space="preserve">then-current </w:t>
      </w:r>
      <w:r w:rsidR="00BB5DAD" w:rsidRPr="00E349D9">
        <w:rPr>
          <w:szCs w:val="26"/>
          <w:shd w:val="clear" w:color="auto" w:fill="FFFFFF"/>
        </w:rPr>
        <w:t xml:space="preserve">law, </w:t>
      </w:r>
      <w:r w:rsidR="00F54F9A" w:rsidRPr="00E349D9">
        <w:rPr>
          <w:szCs w:val="26"/>
          <w:shd w:val="clear" w:color="auto" w:fill="FFFFFF"/>
        </w:rPr>
        <w:t>it was uncertain whether</w:t>
      </w:r>
      <w:r w:rsidR="001E4A6A" w:rsidRPr="00E349D9">
        <w:rPr>
          <w:szCs w:val="26"/>
          <w:shd w:val="clear" w:color="auto" w:fill="FFFFFF"/>
        </w:rPr>
        <w:t xml:space="preserve"> </w:t>
      </w:r>
      <w:r w:rsidR="00F54F9A" w:rsidRPr="00E349D9">
        <w:rPr>
          <w:szCs w:val="26"/>
          <w:shd w:val="clear" w:color="auto" w:fill="FFFFFF"/>
        </w:rPr>
        <w:t xml:space="preserve">section </w:t>
      </w:r>
      <w:r w:rsidR="00BB5DAD" w:rsidRPr="00E349D9">
        <w:rPr>
          <w:szCs w:val="26"/>
          <w:shd w:val="clear" w:color="auto" w:fill="FFFFFF"/>
        </w:rPr>
        <w:t>1102.5</w:t>
      </w:r>
      <w:r w:rsidR="001E4A6A" w:rsidRPr="00E349D9">
        <w:rPr>
          <w:szCs w:val="26"/>
          <w:shd w:val="clear" w:color="auto" w:fill="FFFFFF"/>
        </w:rPr>
        <w:t>(b)</w:t>
      </w:r>
      <w:r w:rsidR="00BB5DAD" w:rsidRPr="00E349D9">
        <w:rPr>
          <w:szCs w:val="26"/>
          <w:shd w:val="clear" w:color="auto" w:fill="FFFFFF"/>
        </w:rPr>
        <w:t xml:space="preserve"> protected a public employee who made a disclosure to his or her own employing agency</w:t>
      </w:r>
      <w:r w:rsidR="007F5B20" w:rsidRPr="00E349D9">
        <w:rPr>
          <w:szCs w:val="26"/>
          <w:shd w:val="clear" w:color="auto" w:fill="FFFFFF"/>
        </w:rPr>
        <w:t xml:space="preserve">:  Was the disclosure protected because it was made to a government agency or unprotected because it was internal?  </w:t>
      </w:r>
      <w:r w:rsidR="00E853C1" w:rsidRPr="00E349D9">
        <w:rPr>
          <w:szCs w:val="26"/>
          <w:shd w:val="clear" w:color="auto" w:fill="FFFFFF"/>
        </w:rPr>
        <w:t>The Court of Appeal</w:t>
      </w:r>
      <w:r w:rsidR="00BB5DAD" w:rsidRPr="00E349D9">
        <w:rPr>
          <w:szCs w:val="26"/>
          <w:shd w:val="clear" w:color="auto" w:fill="FFFFFF"/>
        </w:rPr>
        <w:t xml:space="preserve"> </w:t>
      </w:r>
      <w:r w:rsidR="008A4AF9" w:rsidRPr="00E349D9">
        <w:rPr>
          <w:szCs w:val="26"/>
          <w:shd w:val="clear" w:color="auto" w:fill="FFFFFF"/>
        </w:rPr>
        <w:t xml:space="preserve">in </w:t>
      </w:r>
      <w:r w:rsidR="008A4AF9" w:rsidRPr="00E349D9">
        <w:rPr>
          <w:i/>
          <w:iCs/>
          <w:szCs w:val="26"/>
          <w:shd w:val="clear" w:color="auto" w:fill="FFFFFF"/>
        </w:rPr>
        <w:t>Gardenhire</w:t>
      </w:r>
      <w:r w:rsidR="008A4AF9" w:rsidRPr="00E349D9">
        <w:rPr>
          <w:szCs w:val="26"/>
          <w:shd w:val="clear" w:color="auto" w:fill="FFFFFF"/>
        </w:rPr>
        <w:t xml:space="preserve"> </w:t>
      </w:r>
      <w:r w:rsidR="00FA1CC4" w:rsidRPr="00E349D9">
        <w:rPr>
          <w:szCs w:val="26"/>
          <w:shd w:val="clear" w:color="auto" w:fill="FFFFFF"/>
        </w:rPr>
        <w:t>answered</w:t>
      </w:r>
      <w:r w:rsidR="00BB5DAD" w:rsidRPr="00E349D9">
        <w:rPr>
          <w:szCs w:val="26"/>
          <w:shd w:val="clear" w:color="auto" w:fill="FFFFFF"/>
        </w:rPr>
        <w:t xml:space="preserve"> this </w:t>
      </w:r>
      <w:r w:rsidR="00FA1CC4" w:rsidRPr="00E349D9">
        <w:rPr>
          <w:szCs w:val="26"/>
          <w:shd w:val="clear" w:color="auto" w:fill="FFFFFF"/>
        </w:rPr>
        <w:t>question</w:t>
      </w:r>
      <w:r w:rsidR="008A4AF9" w:rsidRPr="00E349D9">
        <w:rPr>
          <w:szCs w:val="26"/>
          <w:shd w:val="clear" w:color="auto" w:fill="FFFFFF"/>
        </w:rPr>
        <w:t xml:space="preserve"> by</w:t>
      </w:r>
      <w:r w:rsidR="00BB5DAD" w:rsidRPr="00E349D9">
        <w:rPr>
          <w:szCs w:val="26"/>
          <w:shd w:val="clear" w:color="auto" w:fill="FFFFFF"/>
        </w:rPr>
        <w:t xml:space="preserve"> holding that a public employee</w:t>
      </w:r>
      <w:r w:rsidR="008B6AC4" w:rsidRPr="00E349D9">
        <w:rPr>
          <w:szCs w:val="26"/>
          <w:shd w:val="clear" w:color="auto" w:fill="FFFFFF"/>
        </w:rPr>
        <w:t>’</w:t>
      </w:r>
      <w:r w:rsidR="00BB5DAD" w:rsidRPr="00E349D9">
        <w:rPr>
          <w:szCs w:val="26"/>
          <w:shd w:val="clear" w:color="auto" w:fill="FFFFFF"/>
        </w:rPr>
        <w:t xml:space="preserve">s disclosure to his or her own agency was </w:t>
      </w:r>
      <w:r w:rsidR="00F54F9A" w:rsidRPr="00E349D9">
        <w:rPr>
          <w:szCs w:val="26"/>
          <w:shd w:val="clear" w:color="auto" w:fill="FFFFFF"/>
        </w:rPr>
        <w:t xml:space="preserve">a </w:t>
      </w:r>
      <w:r w:rsidR="00BB5DAD" w:rsidRPr="00E349D9">
        <w:rPr>
          <w:szCs w:val="26"/>
          <w:shd w:val="clear" w:color="auto" w:fill="FFFFFF"/>
        </w:rPr>
        <w:t xml:space="preserve">protected </w:t>
      </w:r>
      <w:r w:rsidR="00F54F9A" w:rsidRPr="00E349D9">
        <w:rPr>
          <w:szCs w:val="26"/>
          <w:shd w:val="clear" w:color="auto" w:fill="FFFFFF"/>
        </w:rPr>
        <w:t>disclosure under</w:t>
      </w:r>
      <w:r w:rsidR="00BB5DAD" w:rsidRPr="00E349D9">
        <w:rPr>
          <w:szCs w:val="26"/>
          <w:shd w:val="clear" w:color="auto" w:fill="FFFFFF"/>
        </w:rPr>
        <w:t xml:space="preserve"> </w:t>
      </w:r>
      <w:r w:rsidR="00B77966">
        <w:rPr>
          <w:szCs w:val="26"/>
          <w:shd w:val="clear" w:color="auto" w:fill="FFFFFF"/>
        </w:rPr>
        <w:t xml:space="preserve">former </w:t>
      </w:r>
      <w:r w:rsidR="00F54F9A" w:rsidRPr="00E349D9">
        <w:rPr>
          <w:szCs w:val="26"/>
          <w:shd w:val="clear" w:color="auto" w:fill="FFFFFF"/>
        </w:rPr>
        <w:t xml:space="preserve">section </w:t>
      </w:r>
      <w:r w:rsidR="00BB5DAD" w:rsidRPr="00E349D9">
        <w:rPr>
          <w:szCs w:val="26"/>
          <w:shd w:val="clear" w:color="auto" w:fill="FFFFFF"/>
        </w:rPr>
        <w:t>1102.5</w:t>
      </w:r>
      <w:r w:rsidR="006D4E60" w:rsidRPr="00E349D9">
        <w:rPr>
          <w:szCs w:val="26"/>
          <w:shd w:val="clear" w:color="auto" w:fill="FFFFFF"/>
        </w:rPr>
        <w:t>(b)</w:t>
      </w:r>
      <w:r w:rsidR="00BB5DAD" w:rsidRPr="00E349D9">
        <w:rPr>
          <w:szCs w:val="26"/>
          <w:shd w:val="clear" w:color="auto" w:fill="FFFFFF"/>
        </w:rPr>
        <w:t xml:space="preserve">. </w:t>
      </w:r>
      <w:r w:rsidR="001E73FF" w:rsidRPr="00E349D9">
        <w:rPr>
          <w:szCs w:val="26"/>
          <w:shd w:val="clear" w:color="auto" w:fill="FFFFFF"/>
        </w:rPr>
        <w:t xml:space="preserve"> (</w:t>
      </w:r>
      <w:r w:rsidR="001E73FF" w:rsidRPr="00E349D9">
        <w:rPr>
          <w:i/>
          <w:iCs/>
          <w:szCs w:val="26"/>
          <w:shd w:val="clear" w:color="auto" w:fill="FFFFFF"/>
        </w:rPr>
        <w:t>Garden</w:t>
      </w:r>
      <w:r w:rsidR="004A1022" w:rsidRPr="00E349D9">
        <w:rPr>
          <w:i/>
          <w:iCs/>
          <w:szCs w:val="26"/>
          <w:shd w:val="clear" w:color="auto" w:fill="FFFFFF"/>
        </w:rPr>
        <w:t>h</w:t>
      </w:r>
      <w:r w:rsidR="001E73FF" w:rsidRPr="00E349D9">
        <w:rPr>
          <w:i/>
          <w:iCs/>
          <w:szCs w:val="26"/>
          <w:shd w:val="clear" w:color="auto" w:fill="FFFFFF"/>
        </w:rPr>
        <w:t>ire</w:t>
      </w:r>
      <w:r w:rsidR="001E73FF" w:rsidRPr="00E349D9">
        <w:rPr>
          <w:szCs w:val="26"/>
          <w:shd w:val="clear" w:color="auto" w:fill="FFFFFF"/>
        </w:rPr>
        <w:t>,</w:t>
      </w:r>
      <w:r w:rsidR="001E73FF" w:rsidRPr="00E349D9">
        <w:rPr>
          <w:i/>
          <w:iCs/>
          <w:szCs w:val="26"/>
          <w:shd w:val="clear" w:color="auto" w:fill="FFFFFF"/>
        </w:rPr>
        <w:t xml:space="preserve"> supra</w:t>
      </w:r>
      <w:r w:rsidR="001E73FF" w:rsidRPr="00E349D9">
        <w:rPr>
          <w:szCs w:val="26"/>
          <w:shd w:val="clear" w:color="auto" w:fill="FFFFFF"/>
        </w:rPr>
        <w:t>,</w:t>
      </w:r>
      <w:r w:rsidR="001E73FF" w:rsidRPr="00E349D9">
        <w:rPr>
          <w:i/>
          <w:iCs/>
          <w:szCs w:val="26"/>
          <w:shd w:val="clear" w:color="auto" w:fill="FFFFFF"/>
        </w:rPr>
        <w:t xml:space="preserve"> </w:t>
      </w:r>
      <w:r w:rsidR="001E73FF" w:rsidRPr="00E349D9">
        <w:rPr>
          <w:bdr w:val="none" w:sz="0" w:space="0" w:color="auto" w:frame="1"/>
        </w:rPr>
        <w:t>85 Cal.App.4th at p.</w:t>
      </w:r>
      <w:r w:rsidR="00386E8C" w:rsidRPr="00E349D9">
        <w:rPr>
          <w:szCs w:val="26"/>
        </w:rPr>
        <w:t> </w:t>
      </w:r>
      <w:r w:rsidR="001E73FF" w:rsidRPr="00E349D9">
        <w:rPr>
          <w:bdr w:val="none" w:sz="0" w:space="0" w:color="auto" w:frame="1"/>
        </w:rPr>
        <w:t>24</w:t>
      </w:r>
      <w:r w:rsidR="00AE5661" w:rsidRPr="00E349D9">
        <w:rPr>
          <w:bdr w:val="none" w:sz="0" w:space="0" w:color="auto" w:frame="1"/>
        </w:rPr>
        <w:t>3</w:t>
      </w:r>
      <w:r w:rsidR="001E73FF" w:rsidRPr="00E349D9">
        <w:rPr>
          <w:bdr w:val="none" w:sz="0" w:space="0" w:color="auto" w:frame="1"/>
        </w:rPr>
        <w:t>.)</w:t>
      </w:r>
      <w:r w:rsidR="00BB5DAD" w:rsidRPr="00E349D9">
        <w:rPr>
          <w:szCs w:val="26"/>
          <w:shd w:val="clear" w:color="auto" w:fill="FFFFFF"/>
        </w:rPr>
        <w:t xml:space="preserve"> </w:t>
      </w:r>
    </w:p>
    <w:p w14:paraId="34EBA169" w14:textId="45D20588" w:rsidR="000B6339" w:rsidRPr="00927983" w:rsidRDefault="008A4AF9" w:rsidP="000B3479">
      <w:pPr>
        <w:ind w:firstLine="720"/>
        <w:rPr>
          <w:szCs w:val="27"/>
          <w:shd w:val="clear" w:color="auto" w:fill="FFFFFF"/>
        </w:rPr>
      </w:pPr>
      <w:r w:rsidRPr="00E349D9">
        <w:rPr>
          <w:szCs w:val="26"/>
          <w:shd w:val="clear" w:color="auto" w:fill="FFFFFF"/>
        </w:rPr>
        <w:t>In enacting</w:t>
      </w:r>
      <w:r w:rsidR="00BA10E7" w:rsidRPr="00E349D9">
        <w:rPr>
          <w:szCs w:val="26"/>
          <w:shd w:val="clear" w:color="auto" w:fill="FFFFFF"/>
        </w:rPr>
        <w:t xml:space="preserve"> section 1102.5(e) in 2003, the Legislature sought to </w:t>
      </w:r>
      <w:r w:rsidR="00FD0B6C" w:rsidRPr="00E349D9">
        <w:rPr>
          <w:szCs w:val="26"/>
          <w:shd w:val="clear" w:color="auto" w:fill="FFFFFF"/>
        </w:rPr>
        <w:t xml:space="preserve">codify the holding in </w:t>
      </w:r>
      <w:r w:rsidR="00FD0B6C" w:rsidRPr="00E349D9">
        <w:rPr>
          <w:i/>
          <w:iCs/>
          <w:szCs w:val="26"/>
          <w:shd w:val="clear" w:color="auto" w:fill="FFFFFF"/>
        </w:rPr>
        <w:t>Gardenhire</w:t>
      </w:r>
      <w:r w:rsidR="00FD0B6C" w:rsidRPr="00E349D9">
        <w:rPr>
          <w:szCs w:val="26"/>
          <w:shd w:val="clear" w:color="auto" w:fill="FFFFFF"/>
        </w:rPr>
        <w:t xml:space="preserve"> </w:t>
      </w:r>
      <w:r w:rsidR="0071658A" w:rsidRPr="00E349D9">
        <w:rPr>
          <w:szCs w:val="26"/>
          <w:shd w:val="clear" w:color="auto" w:fill="FFFFFF"/>
        </w:rPr>
        <w:t>and thus clarify</w:t>
      </w:r>
      <w:r w:rsidR="00586F09" w:rsidRPr="00E349D9">
        <w:rPr>
          <w:szCs w:val="26"/>
          <w:shd w:val="clear" w:color="auto" w:fill="FFFFFF"/>
        </w:rPr>
        <w:t xml:space="preserve">, </w:t>
      </w:r>
      <w:r w:rsidRPr="00E349D9">
        <w:rPr>
          <w:szCs w:val="26"/>
          <w:shd w:val="clear" w:color="auto" w:fill="FFFFFF"/>
        </w:rPr>
        <w:t xml:space="preserve">not </w:t>
      </w:r>
      <w:r w:rsidR="00586F09" w:rsidRPr="00E349D9">
        <w:rPr>
          <w:szCs w:val="26"/>
          <w:shd w:val="clear" w:color="auto" w:fill="FFFFFF"/>
        </w:rPr>
        <w:t>expand, the</w:t>
      </w:r>
      <w:r w:rsidR="0071658A" w:rsidRPr="00E349D9">
        <w:rPr>
          <w:szCs w:val="26"/>
          <w:shd w:val="clear" w:color="auto" w:fill="FFFFFF"/>
        </w:rPr>
        <w:t xml:space="preserve"> existing scope of section 1102.5</w:t>
      </w:r>
      <w:r w:rsidR="008A6E79" w:rsidRPr="00E349D9">
        <w:rPr>
          <w:szCs w:val="26"/>
          <w:shd w:val="clear" w:color="auto" w:fill="FFFFFF"/>
        </w:rPr>
        <w:t xml:space="preserve"> protections</w:t>
      </w:r>
      <w:r w:rsidR="0071658A" w:rsidRPr="00E349D9">
        <w:rPr>
          <w:szCs w:val="26"/>
          <w:shd w:val="clear" w:color="auto" w:fill="FFFFFF"/>
        </w:rPr>
        <w:t>.</w:t>
      </w:r>
      <w:r w:rsidR="00586F09" w:rsidRPr="00E349D9">
        <w:rPr>
          <w:szCs w:val="26"/>
          <w:shd w:val="clear" w:color="auto" w:fill="FFFFFF"/>
        </w:rPr>
        <w:t xml:space="preserve"> </w:t>
      </w:r>
      <w:r w:rsidR="0071658A" w:rsidRPr="00E349D9">
        <w:rPr>
          <w:szCs w:val="26"/>
          <w:shd w:val="clear" w:color="auto" w:fill="FFFFFF"/>
        </w:rPr>
        <w:t xml:space="preserve"> </w:t>
      </w:r>
      <w:r w:rsidR="004C11C9" w:rsidRPr="00E349D9">
        <w:rPr>
          <w:szCs w:val="26"/>
          <w:shd w:val="clear" w:color="auto" w:fill="FFFFFF"/>
        </w:rPr>
        <w:t>(Asse</w:t>
      </w:r>
      <w:r w:rsidR="000D072E" w:rsidRPr="00E349D9">
        <w:rPr>
          <w:szCs w:val="26"/>
          <w:shd w:val="clear" w:color="auto" w:fill="FFFFFF"/>
        </w:rPr>
        <w:t xml:space="preserve">m. Com. </w:t>
      </w:r>
      <w:r w:rsidR="00E117B6" w:rsidRPr="00E349D9">
        <w:rPr>
          <w:szCs w:val="26"/>
          <w:shd w:val="clear" w:color="auto" w:fill="FFFFFF"/>
        </w:rPr>
        <w:t>o</w:t>
      </w:r>
      <w:r w:rsidR="000D072E" w:rsidRPr="00E349D9">
        <w:rPr>
          <w:szCs w:val="26"/>
          <w:shd w:val="clear" w:color="auto" w:fill="FFFFFF"/>
        </w:rPr>
        <w:t>n Judiciary</w:t>
      </w:r>
      <w:r w:rsidR="00375788" w:rsidRPr="00E349D9">
        <w:rPr>
          <w:szCs w:val="26"/>
          <w:shd w:val="clear" w:color="auto" w:fill="FFFFFF"/>
        </w:rPr>
        <w:t xml:space="preserve">, </w:t>
      </w:r>
      <w:r w:rsidR="006B698D" w:rsidRPr="00E349D9">
        <w:rPr>
          <w:szCs w:val="26"/>
          <w:shd w:val="clear" w:color="auto" w:fill="FFFFFF"/>
        </w:rPr>
        <w:t>Analysis</w:t>
      </w:r>
      <w:r w:rsidR="00375788" w:rsidRPr="00E349D9">
        <w:rPr>
          <w:szCs w:val="26"/>
          <w:shd w:val="clear" w:color="auto" w:fill="FFFFFF"/>
        </w:rPr>
        <w:t xml:space="preserve"> of Sen. Bill No.</w:t>
      </w:r>
      <w:r w:rsidR="00386E8C" w:rsidRPr="00E349D9">
        <w:rPr>
          <w:szCs w:val="26"/>
        </w:rPr>
        <w:t> </w:t>
      </w:r>
      <w:r w:rsidR="00375788" w:rsidRPr="00E349D9">
        <w:rPr>
          <w:szCs w:val="26"/>
          <w:shd w:val="clear" w:color="auto" w:fill="FFFFFF"/>
        </w:rPr>
        <w:t>777</w:t>
      </w:r>
      <w:r w:rsidR="00264CB7" w:rsidRPr="00E349D9">
        <w:rPr>
          <w:szCs w:val="26"/>
          <w:shd w:val="clear" w:color="auto" w:fill="FFFFFF"/>
        </w:rPr>
        <w:t xml:space="preserve">, </w:t>
      </w:r>
      <w:r w:rsidR="00264CB7" w:rsidRPr="00E349D9">
        <w:rPr>
          <w:i/>
          <w:iCs/>
          <w:szCs w:val="26"/>
          <w:shd w:val="clear" w:color="auto" w:fill="FFFFFF"/>
        </w:rPr>
        <w:t>supra</w:t>
      </w:r>
      <w:r w:rsidR="00264CB7" w:rsidRPr="00E349D9">
        <w:rPr>
          <w:szCs w:val="26"/>
          <w:shd w:val="clear" w:color="auto" w:fill="FFFFFF"/>
        </w:rPr>
        <w:t>,</w:t>
      </w:r>
      <w:r w:rsidR="00375788" w:rsidRPr="00E349D9">
        <w:rPr>
          <w:szCs w:val="26"/>
          <w:shd w:val="clear" w:color="auto" w:fill="FFFFFF"/>
        </w:rPr>
        <w:t xml:space="preserve"> as amended May 29, 2003, p.</w:t>
      </w:r>
      <w:r w:rsidR="00386E8C" w:rsidRPr="00E349D9">
        <w:rPr>
          <w:szCs w:val="26"/>
        </w:rPr>
        <w:t> </w:t>
      </w:r>
      <w:r w:rsidR="00B77966">
        <w:rPr>
          <w:szCs w:val="26"/>
          <w:shd w:val="clear" w:color="auto" w:fill="FFFFFF"/>
        </w:rPr>
        <w:t>5</w:t>
      </w:r>
      <w:r w:rsidR="00083AE1" w:rsidRPr="00E349D9">
        <w:rPr>
          <w:szCs w:val="26"/>
          <w:shd w:val="clear" w:color="auto" w:fill="FFFFFF"/>
        </w:rPr>
        <w:t xml:space="preserve"> [</w:t>
      </w:r>
      <w:r w:rsidR="007A69CD" w:rsidRPr="00E349D9">
        <w:rPr>
          <w:szCs w:val="26"/>
          <w:shd w:val="clear" w:color="auto" w:fill="FFFFFF"/>
        </w:rPr>
        <w:t xml:space="preserve">“The </w:t>
      </w:r>
      <w:r w:rsidR="009A16C5" w:rsidRPr="00E349D9">
        <w:rPr>
          <w:szCs w:val="26"/>
          <w:shd w:val="clear" w:color="auto" w:fill="FFFFFF"/>
        </w:rPr>
        <w:t>author further states that this bill also would codify the appellate court</w:t>
      </w:r>
      <w:r w:rsidR="00674D7B" w:rsidRPr="00E349D9">
        <w:rPr>
          <w:szCs w:val="26"/>
          <w:bdr w:val="none" w:sz="0" w:space="0" w:color="auto" w:frame="1"/>
        </w:rPr>
        <w:t>’</w:t>
      </w:r>
      <w:r w:rsidR="009A16C5" w:rsidRPr="00E349D9">
        <w:rPr>
          <w:szCs w:val="26"/>
          <w:shd w:val="clear" w:color="auto" w:fill="FFFFFF"/>
        </w:rPr>
        <w:t xml:space="preserve">s ruling in </w:t>
      </w:r>
      <w:r w:rsidR="009A16C5" w:rsidRPr="00E349D9">
        <w:rPr>
          <w:i/>
          <w:iCs/>
          <w:szCs w:val="26"/>
          <w:shd w:val="clear" w:color="auto" w:fill="FFFFFF"/>
        </w:rPr>
        <w:t>Gardenhire v. City of Los Angeles Housing Authority</w:t>
      </w:r>
      <w:r w:rsidR="009A16C5" w:rsidRPr="00E349D9">
        <w:rPr>
          <w:szCs w:val="26"/>
          <w:shd w:val="clear" w:color="auto" w:fill="FFFFFF"/>
        </w:rPr>
        <w:t>”</w:t>
      </w:r>
      <w:r w:rsidR="00F123AB">
        <w:rPr>
          <w:szCs w:val="26"/>
          <w:shd w:val="clear" w:color="auto" w:fill="FFFFFF"/>
        </w:rPr>
        <w:t>],</w:t>
      </w:r>
      <w:r w:rsidR="00B77966">
        <w:rPr>
          <w:szCs w:val="26"/>
          <w:shd w:val="clear" w:color="auto" w:fill="FFFFFF"/>
        </w:rPr>
        <w:t xml:space="preserve"> italics added</w:t>
      </w:r>
      <w:r w:rsidR="009A16C5" w:rsidRPr="00E349D9">
        <w:rPr>
          <w:szCs w:val="26"/>
          <w:shd w:val="clear" w:color="auto" w:fill="FFFFFF"/>
        </w:rPr>
        <w:t>.</w:t>
      </w:r>
      <w:r w:rsidR="00083AE1" w:rsidRPr="00E349D9">
        <w:rPr>
          <w:szCs w:val="26"/>
          <w:shd w:val="clear" w:color="auto" w:fill="FFFFFF"/>
        </w:rPr>
        <w:t>)</w:t>
      </w:r>
      <w:r w:rsidR="00CB53CB" w:rsidRPr="00E349D9">
        <w:rPr>
          <w:szCs w:val="26"/>
          <w:shd w:val="clear" w:color="auto" w:fill="FFFFFF"/>
        </w:rPr>
        <w:t xml:space="preserve">  </w:t>
      </w:r>
      <w:r w:rsidR="00C31EA0" w:rsidRPr="00E349D9">
        <w:rPr>
          <w:szCs w:val="26"/>
          <w:shd w:val="clear" w:color="auto" w:fill="FFFFFF"/>
        </w:rPr>
        <w:t xml:space="preserve">In discussing the </w:t>
      </w:r>
      <w:r w:rsidR="006C41DC" w:rsidRPr="00E349D9">
        <w:rPr>
          <w:szCs w:val="26"/>
          <w:shd w:val="clear" w:color="auto" w:fill="FFFFFF"/>
        </w:rPr>
        <w:t xml:space="preserve">proposal to codify </w:t>
      </w:r>
      <w:r w:rsidR="00FF3DF2" w:rsidRPr="00E349D9">
        <w:rPr>
          <w:i/>
          <w:iCs/>
          <w:szCs w:val="26"/>
          <w:shd w:val="clear" w:color="auto" w:fill="FFFFFF"/>
        </w:rPr>
        <w:t>G</w:t>
      </w:r>
      <w:r w:rsidR="006C41DC" w:rsidRPr="00E349D9">
        <w:rPr>
          <w:i/>
          <w:iCs/>
          <w:szCs w:val="26"/>
          <w:shd w:val="clear" w:color="auto" w:fill="FFFFFF"/>
        </w:rPr>
        <w:t>ardenhire</w:t>
      </w:r>
      <w:r w:rsidR="006C41DC" w:rsidRPr="00E349D9">
        <w:rPr>
          <w:szCs w:val="26"/>
          <w:shd w:val="clear" w:color="auto" w:fill="FFFFFF"/>
        </w:rPr>
        <w:t>, c</w:t>
      </w:r>
      <w:r w:rsidR="00C31EA0" w:rsidRPr="00E349D9">
        <w:rPr>
          <w:szCs w:val="26"/>
          <w:shd w:val="clear" w:color="auto" w:fill="FFFFFF"/>
        </w:rPr>
        <w:t>ommittees in both the Assembly and Senate used “report” and “disclosure” interchangeably</w:t>
      </w:r>
      <w:r w:rsidR="006C41DC" w:rsidRPr="00E349D9">
        <w:rPr>
          <w:szCs w:val="26"/>
          <w:shd w:val="clear" w:color="auto" w:fill="FFFFFF"/>
        </w:rPr>
        <w:t>.  (</w:t>
      </w:r>
      <w:r w:rsidR="00661FD2" w:rsidRPr="00E349D9">
        <w:rPr>
          <w:szCs w:val="26"/>
          <w:shd w:val="clear" w:color="auto" w:fill="FFFFFF"/>
        </w:rPr>
        <w:t xml:space="preserve">See, e.g., </w:t>
      </w:r>
      <w:r w:rsidR="00375788" w:rsidRPr="00E349D9">
        <w:rPr>
          <w:szCs w:val="26"/>
          <w:shd w:val="clear" w:color="auto" w:fill="FFFFFF"/>
        </w:rPr>
        <w:t xml:space="preserve">Sen. </w:t>
      </w:r>
      <w:r w:rsidR="000C6112">
        <w:rPr>
          <w:szCs w:val="26"/>
          <w:shd w:val="clear" w:color="auto" w:fill="FFFFFF"/>
        </w:rPr>
        <w:t xml:space="preserve">Judiciary </w:t>
      </w:r>
      <w:r w:rsidR="00375788" w:rsidRPr="00E349D9">
        <w:rPr>
          <w:szCs w:val="26"/>
          <w:shd w:val="clear" w:color="auto" w:fill="FFFFFF"/>
        </w:rPr>
        <w:t>Com., Analysis of Sen. Bill No.</w:t>
      </w:r>
      <w:r w:rsidR="00386E8C" w:rsidRPr="00E349D9">
        <w:rPr>
          <w:szCs w:val="26"/>
        </w:rPr>
        <w:t> </w:t>
      </w:r>
      <w:r w:rsidR="00375788" w:rsidRPr="00E349D9">
        <w:rPr>
          <w:szCs w:val="26"/>
          <w:shd w:val="clear" w:color="auto" w:fill="FFFFFF"/>
        </w:rPr>
        <w:t>777</w:t>
      </w:r>
      <w:r w:rsidR="001470AA" w:rsidRPr="00E349D9">
        <w:rPr>
          <w:szCs w:val="26"/>
          <w:shd w:val="clear" w:color="auto" w:fill="FFFFFF"/>
        </w:rPr>
        <w:t xml:space="preserve">, </w:t>
      </w:r>
      <w:r w:rsidR="001470AA" w:rsidRPr="00E349D9">
        <w:rPr>
          <w:i/>
          <w:iCs/>
          <w:szCs w:val="26"/>
          <w:shd w:val="clear" w:color="auto" w:fill="FFFFFF"/>
        </w:rPr>
        <w:t>supra</w:t>
      </w:r>
      <w:r w:rsidR="001470AA" w:rsidRPr="00E349D9">
        <w:rPr>
          <w:szCs w:val="26"/>
          <w:shd w:val="clear" w:color="auto" w:fill="FFFFFF"/>
        </w:rPr>
        <w:t>,</w:t>
      </w:r>
      <w:r w:rsidR="00375788" w:rsidRPr="00E349D9">
        <w:rPr>
          <w:szCs w:val="26"/>
          <w:shd w:val="clear" w:color="auto" w:fill="FFFFFF"/>
        </w:rPr>
        <w:t xml:space="preserve"> </w:t>
      </w:r>
      <w:r w:rsidR="00625C64" w:rsidRPr="00E349D9">
        <w:rPr>
          <w:szCs w:val="26"/>
          <w:shd w:val="clear" w:color="auto" w:fill="FFFFFF"/>
        </w:rPr>
        <w:t xml:space="preserve">as introduced Feb. 21, 2003, </w:t>
      </w:r>
      <w:r w:rsidR="00375788" w:rsidRPr="00E349D9">
        <w:rPr>
          <w:szCs w:val="26"/>
          <w:shd w:val="clear" w:color="auto" w:fill="FFFFFF"/>
        </w:rPr>
        <w:t>p.</w:t>
      </w:r>
      <w:r w:rsidR="00386E8C" w:rsidRPr="00E349D9">
        <w:rPr>
          <w:szCs w:val="26"/>
        </w:rPr>
        <w:t> </w:t>
      </w:r>
      <w:r w:rsidR="00B77966">
        <w:rPr>
          <w:szCs w:val="26"/>
          <w:shd w:val="clear" w:color="auto" w:fill="FFFFFF"/>
        </w:rPr>
        <w:t>9</w:t>
      </w:r>
      <w:r w:rsidR="00375788" w:rsidRPr="00E349D9">
        <w:rPr>
          <w:szCs w:val="26"/>
          <w:shd w:val="clear" w:color="auto" w:fill="FFFFFF"/>
        </w:rPr>
        <w:t xml:space="preserve">.)  </w:t>
      </w:r>
      <w:r w:rsidRPr="00E349D9">
        <w:rPr>
          <w:szCs w:val="26"/>
          <w:shd w:val="clear" w:color="auto" w:fill="FFFFFF"/>
        </w:rPr>
        <w:t>Instead of</w:t>
      </w:r>
      <w:r w:rsidR="006E3732" w:rsidRPr="00E349D9">
        <w:rPr>
          <w:szCs w:val="26"/>
          <w:shd w:val="clear" w:color="auto" w:fill="FFFFFF"/>
        </w:rPr>
        <w:t xml:space="preserve"> creat</w:t>
      </w:r>
      <w:r w:rsidRPr="00E349D9">
        <w:rPr>
          <w:szCs w:val="26"/>
          <w:shd w:val="clear" w:color="auto" w:fill="FFFFFF"/>
        </w:rPr>
        <w:t>ing</w:t>
      </w:r>
      <w:r w:rsidR="006E3732" w:rsidRPr="00E349D9">
        <w:rPr>
          <w:szCs w:val="26"/>
          <w:shd w:val="clear" w:color="auto" w:fill="FFFFFF"/>
        </w:rPr>
        <w:t xml:space="preserve"> a new standard for public employees,</w:t>
      </w:r>
      <w:r w:rsidR="008855D0" w:rsidRPr="00E349D9">
        <w:rPr>
          <w:szCs w:val="26"/>
          <w:shd w:val="clear" w:color="auto" w:fill="FFFFFF"/>
        </w:rPr>
        <w:t xml:space="preserve"> as </w:t>
      </w:r>
      <w:r w:rsidR="00C60D43" w:rsidRPr="00E349D9">
        <w:rPr>
          <w:szCs w:val="26"/>
          <w:shd w:val="clear" w:color="auto" w:fill="FFFFFF"/>
        </w:rPr>
        <w:t>amicus</w:t>
      </w:r>
      <w:r w:rsidR="008855D0" w:rsidRPr="00E349D9">
        <w:rPr>
          <w:szCs w:val="26"/>
          <w:shd w:val="clear" w:color="auto" w:fill="FFFFFF"/>
        </w:rPr>
        <w:t xml:space="preserve"> </w:t>
      </w:r>
      <w:r w:rsidR="003A6B4B" w:rsidRPr="008E0266">
        <w:rPr>
          <w:szCs w:val="26"/>
        </w:rPr>
        <w:t>curiae</w:t>
      </w:r>
      <w:r w:rsidR="003A6B4B" w:rsidRPr="00E349D9">
        <w:rPr>
          <w:szCs w:val="26"/>
        </w:rPr>
        <w:t xml:space="preserve"> </w:t>
      </w:r>
      <w:r w:rsidR="008855D0" w:rsidRPr="00E349D9">
        <w:rPr>
          <w:szCs w:val="26"/>
          <w:shd w:val="clear" w:color="auto" w:fill="FFFFFF"/>
        </w:rPr>
        <w:t>argues</w:t>
      </w:r>
      <w:r w:rsidR="00B079ED" w:rsidRPr="00E349D9">
        <w:rPr>
          <w:szCs w:val="26"/>
          <w:shd w:val="clear" w:color="auto" w:fill="FFFFFF"/>
        </w:rPr>
        <w:t>,</w:t>
      </w:r>
      <w:r w:rsidR="006E3732" w:rsidRPr="00E349D9">
        <w:rPr>
          <w:szCs w:val="26"/>
          <w:shd w:val="clear" w:color="auto" w:fill="FFFFFF"/>
        </w:rPr>
        <w:t xml:space="preserve"> the intent of the Legislature in </w:t>
      </w:r>
      <w:r w:rsidRPr="00E349D9">
        <w:rPr>
          <w:szCs w:val="26"/>
          <w:shd w:val="clear" w:color="auto" w:fill="FFFFFF"/>
        </w:rPr>
        <w:t xml:space="preserve">enacting </w:t>
      </w:r>
      <w:r w:rsidR="00B079ED" w:rsidRPr="00E349D9">
        <w:rPr>
          <w:szCs w:val="26"/>
          <w:shd w:val="clear" w:color="auto" w:fill="FFFFFF"/>
        </w:rPr>
        <w:t>section 1102.5(e)</w:t>
      </w:r>
      <w:r w:rsidR="006E3732" w:rsidRPr="00E349D9">
        <w:rPr>
          <w:szCs w:val="26"/>
          <w:shd w:val="clear" w:color="auto" w:fill="FFFFFF"/>
        </w:rPr>
        <w:t xml:space="preserve"> was to clarify that a</w:t>
      </w:r>
      <w:r w:rsidR="00E63CC5" w:rsidRPr="00E349D9">
        <w:rPr>
          <w:szCs w:val="26"/>
          <w:shd w:val="clear" w:color="auto" w:fill="FFFFFF"/>
        </w:rPr>
        <w:t xml:space="preserve"> public employee’s internal</w:t>
      </w:r>
      <w:r w:rsidR="006E3732" w:rsidRPr="00E349D9">
        <w:rPr>
          <w:szCs w:val="26"/>
          <w:shd w:val="clear" w:color="auto" w:fill="FFFFFF"/>
        </w:rPr>
        <w:t xml:space="preserve"> </w:t>
      </w:r>
      <w:r w:rsidRPr="00E349D9">
        <w:rPr>
          <w:szCs w:val="26"/>
          <w:shd w:val="clear" w:color="auto" w:fill="FFFFFF"/>
        </w:rPr>
        <w:t>“</w:t>
      </w:r>
      <w:r w:rsidR="006E3732" w:rsidRPr="00E349D9">
        <w:rPr>
          <w:szCs w:val="26"/>
          <w:shd w:val="clear" w:color="auto" w:fill="FFFFFF"/>
        </w:rPr>
        <w:t>report</w:t>
      </w:r>
      <w:r w:rsidRPr="00E349D9">
        <w:rPr>
          <w:szCs w:val="26"/>
          <w:shd w:val="clear" w:color="auto" w:fill="FFFFFF"/>
        </w:rPr>
        <w:t>”</w:t>
      </w:r>
      <w:r w:rsidR="006E3732" w:rsidRPr="00E349D9">
        <w:rPr>
          <w:szCs w:val="26"/>
          <w:shd w:val="clear" w:color="auto" w:fill="FFFFFF"/>
        </w:rPr>
        <w:t xml:space="preserve"> </w:t>
      </w:r>
      <w:r w:rsidRPr="00E349D9">
        <w:rPr>
          <w:i/>
          <w:iCs/>
          <w:szCs w:val="26"/>
          <w:shd w:val="clear" w:color="auto" w:fill="FFFFFF"/>
        </w:rPr>
        <w:t xml:space="preserve">is </w:t>
      </w:r>
      <w:r w:rsidR="006E3732" w:rsidRPr="00E349D9">
        <w:rPr>
          <w:szCs w:val="26"/>
          <w:shd w:val="clear" w:color="auto" w:fill="FFFFFF"/>
        </w:rPr>
        <w:t xml:space="preserve">a </w:t>
      </w:r>
      <w:r w:rsidRPr="00E349D9">
        <w:rPr>
          <w:szCs w:val="26"/>
          <w:shd w:val="clear" w:color="auto" w:fill="FFFFFF"/>
        </w:rPr>
        <w:t>protected “</w:t>
      </w:r>
      <w:r w:rsidR="006E3732" w:rsidRPr="00E349D9">
        <w:rPr>
          <w:szCs w:val="26"/>
          <w:shd w:val="clear" w:color="auto" w:fill="FFFFFF"/>
        </w:rPr>
        <w:t>disclosure.</w:t>
      </w:r>
      <w:r w:rsidRPr="00E349D9">
        <w:rPr>
          <w:szCs w:val="26"/>
          <w:shd w:val="clear" w:color="auto" w:fill="FFFFFF"/>
        </w:rPr>
        <w:t>”</w:t>
      </w:r>
      <w:r w:rsidR="006E3732" w:rsidRPr="00E349D9">
        <w:rPr>
          <w:szCs w:val="26"/>
          <w:shd w:val="clear" w:color="auto" w:fill="FFFFFF"/>
        </w:rPr>
        <w:t xml:space="preserve">  </w:t>
      </w:r>
      <w:r w:rsidR="00932EE6" w:rsidRPr="00E349D9">
        <w:rPr>
          <w:szCs w:val="26"/>
          <w:shd w:val="clear" w:color="auto" w:fill="FFFFFF"/>
        </w:rPr>
        <w:t>(</w:t>
      </w:r>
      <w:r w:rsidR="002E7457" w:rsidRPr="00E349D9">
        <w:rPr>
          <w:szCs w:val="26"/>
          <w:shd w:val="clear" w:color="auto" w:fill="FFFFFF"/>
        </w:rPr>
        <w:t xml:space="preserve">Compare </w:t>
      </w:r>
      <w:r w:rsidR="00375788" w:rsidRPr="00E349D9">
        <w:rPr>
          <w:szCs w:val="26"/>
          <w:shd w:val="clear" w:color="auto" w:fill="FFFFFF"/>
        </w:rPr>
        <w:t xml:space="preserve">Assem. Com. </w:t>
      </w:r>
      <w:r w:rsidR="00416D46" w:rsidRPr="00E349D9">
        <w:rPr>
          <w:szCs w:val="26"/>
          <w:shd w:val="clear" w:color="auto" w:fill="FFFFFF"/>
        </w:rPr>
        <w:t>o</w:t>
      </w:r>
      <w:r w:rsidR="00375788" w:rsidRPr="00E349D9">
        <w:rPr>
          <w:szCs w:val="26"/>
          <w:shd w:val="clear" w:color="auto" w:fill="FFFFFF"/>
        </w:rPr>
        <w:t>n Judiciary, Analysis of Sen. Bill No.</w:t>
      </w:r>
      <w:r w:rsidR="00386E8C" w:rsidRPr="00E349D9">
        <w:rPr>
          <w:szCs w:val="26"/>
        </w:rPr>
        <w:t> </w:t>
      </w:r>
      <w:r w:rsidR="00375788" w:rsidRPr="00E349D9">
        <w:rPr>
          <w:szCs w:val="26"/>
          <w:shd w:val="clear" w:color="auto" w:fill="FFFFFF"/>
        </w:rPr>
        <w:t>777</w:t>
      </w:r>
      <w:r w:rsidR="00264CB7" w:rsidRPr="00E349D9">
        <w:rPr>
          <w:szCs w:val="26"/>
          <w:shd w:val="clear" w:color="auto" w:fill="FFFFFF"/>
        </w:rPr>
        <w:t xml:space="preserve">, </w:t>
      </w:r>
      <w:r w:rsidR="00264CB7" w:rsidRPr="00E349D9">
        <w:rPr>
          <w:i/>
          <w:iCs/>
          <w:szCs w:val="26"/>
          <w:shd w:val="clear" w:color="auto" w:fill="FFFFFF"/>
        </w:rPr>
        <w:t>supra</w:t>
      </w:r>
      <w:r w:rsidR="00375788" w:rsidRPr="00E349D9">
        <w:rPr>
          <w:szCs w:val="26"/>
          <w:shd w:val="clear" w:color="auto" w:fill="FFFFFF"/>
        </w:rPr>
        <w:t>, as amended May 29, 2003, p.</w:t>
      </w:r>
      <w:r w:rsidR="00386E8C" w:rsidRPr="00E349D9">
        <w:rPr>
          <w:szCs w:val="26"/>
        </w:rPr>
        <w:t> </w:t>
      </w:r>
      <w:r w:rsidR="00B77966">
        <w:rPr>
          <w:szCs w:val="26"/>
          <w:shd w:val="clear" w:color="auto" w:fill="FFFFFF"/>
        </w:rPr>
        <w:t>5</w:t>
      </w:r>
      <w:r w:rsidR="00932EE6" w:rsidRPr="00E349D9">
        <w:rPr>
          <w:szCs w:val="26"/>
          <w:shd w:val="clear" w:color="auto" w:fill="FFFFFF"/>
        </w:rPr>
        <w:t xml:space="preserve"> [</w:t>
      </w:r>
      <w:r w:rsidR="00515DB6" w:rsidRPr="00E349D9">
        <w:rPr>
          <w:szCs w:val="26"/>
          <w:shd w:val="clear" w:color="auto" w:fill="FFFFFF"/>
        </w:rPr>
        <w:t xml:space="preserve">by </w:t>
      </w:r>
      <w:r w:rsidR="00932EE6" w:rsidRPr="00E349D9">
        <w:rPr>
          <w:szCs w:val="26"/>
          <w:shd w:val="clear" w:color="auto" w:fill="FFFFFF"/>
        </w:rPr>
        <w:t xml:space="preserve">codifying </w:t>
      </w:r>
      <w:r w:rsidR="00932EE6" w:rsidRPr="00E349D9">
        <w:rPr>
          <w:i/>
          <w:iCs/>
          <w:szCs w:val="26"/>
          <w:shd w:val="clear" w:color="auto" w:fill="FFFFFF"/>
        </w:rPr>
        <w:t>Gardenhire</w:t>
      </w:r>
      <w:r w:rsidR="00515DB6" w:rsidRPr="00E349D9">
        <w:rPr>
          <w:szCs w:val="26"/>
          <w:shd w:val="clear" w:color="auto" w:fill="FFFFFF"/>
        </w:rPr>
        <w:t xml:space="preserve"> </w:t>
      </w:r>
      <w:r w:rsidR="00932EE6" w:rsidRPr="00E349D9">
        <w:rPr>
          <w:szCs w:val="26"/>
          <w:shd w:val="clear" w:color="auto" w:fill="FFFFFF"/>
        </w:rPr>
        <w:t>“</w:t>
      </w:r>
      <w:r w:rsidR="00515DB6" w:rsidRPr="00E349D9">
        <w:rPr>
          <w:szCs w:val="26"/>
          <w:shd w:val="clear" w:color="auto" w:fill="FFFFFF"/>
        </w:rPr>
        <w:t xml:space="preserve">a </w:t>
      </w:r>
      <w:r w:rsidR="00932EE6" w:rsidRPr="00E349D9">
        <w:rPr>
          <w:szCs w:val="26"/>
          <w:shd w:val="clear" w:color="auto" w:fill="FFFFFF"/>
        </w:rPr>
        <w:t>government employee who has made a disclosure to his or her employing agency is deemed to have made the disclosure to a government or law enforcement agency under the whistleblower statute”</w:t>
      </w:r>
      <w:r w:rsidR="001B2725" w:rsidRPr="00E349D9">
        <w:rPr>
          <w:szCs w:val="26"/>
          <w:shd w:val="clear" w:color="auto" w:fill="FFFFFF"/>
        </w:rPr>
        <w:t>]</w:t>
      </w:r>
      <w:r w:rsidR="002E7457" w:rsidRPr="00E349D9">
        <w:rPr>
          <w:szCs w:val="26"/>
          <w:shd w:val="clear" w:color="auto" w:fill="FFFFFF"/>
        </w:rPr>
        <w:t xml:space="preserve"> with </w:t>
      </w:r>
      <w:r w:rsidR="00AC086D" w:rsidRPr="00E349D9">
        <w:rPr>
          <w:szCs w:val="26"/>
          <w:shd w:val="clear" w:color="auto" w:fill="FFFFFF"/>
        </w:rPr>
        <w:t>§ </w:t>
      </w:r>
      <w:r w:rsidR="002E7457" w:rsidRPr="00E349D9">
        <w:rPr>
          <w:szCs w:val="26"/>
          <w:shd w:val="clear" w:color="auto" w:fill="FFFFFF"/>
        </w:rPr>
        <w:t>1102.5(e) [“</w:t>
      </w:r>
      <w:r w:rsidR="0001049D" w:rsidRPr="00E349D9">
        <w:rPr>
          <w:shd w:val="clear" w:color="auto" w:fill="FFFFFF"/>
        </w:rPr>
        <w:t>A report made by an employee of a government agency to</w:t>
      </w:r>
      <w:r w:rsidR="00D15B70" w:rsidRPr="00E349D9">
        <w:rPr>
          <w:shd w:val="clear" w:color="auto" w:fill="FFFFFF"/>
        </w:rPr>
        <w:t xml:space="preserve"> </w:t>
      </w:r>
      <w:r w:rsidR="0001049D" w:rsidRPr="00E349D9">
        <w:rPr>
          <w:bdr w:val="none" w:sz="0" w:space="0" w:color="auto" w:frame="1"/>
          <w:shd w:val="clear" w:color="auto" w:fill="FFFFFF"/>
        </w:rPr>
        <w:t>their</w:t>
      </w:r>
      <w:r w:rsidR="00D15B70" w:rsidRPr="00E349D9">
        <w:rPr>
          <w:shd w:val="clear" w:color="auto" w:fill="FFFFFF"/>
        </w:rPr>
        <w:t xml:space="preserve"> </w:t>
      </w:r>
      <w:r w:rsidR="0001049D" w:rsidRPr="00E349D9">
        <w:rPr>
          <w:shd w:val="clear" w:color="auto" w:fill="FFFFFF"/>
        </w:rPr>
        <w:t xml:space="preserve">employer is a </w:t>
      </w:r>
      <w:r w:rsidR="0001049D" w:rsidRPr="00927983">
        <w:rPr>
          <w:szCs w:val="27"/>
          <w:shd w:val="clear" w:color="auto" w:fill="FFFFFF"/>
        </w:rPr>
        <w:t>disclosure of information to a government or law enforcement agency</w:t>
      </w:r>
      <w:r w:rsidR="00B77966">
        <w:rPr>
          <w:szCs w:val="27"/>
          <w:shd w:val="clear" w:color="auto" w:fill="FFFFFF"/>
        </w:rPr>
        <w:t> </w:t>
      </w:r>
      <w:r w:rsidR="00994874" w:rsidRPr="00927983">
        <w:rPr>
          <w:szCs w:val="27"/>
          <w:shd w:val="clear" w:color="auto" w:fill="FFFFFF"/>
        </w:rPr>
        <w:t>.</w:t>
      </w:r>
      <w:r w:rsidR="00B77966">
        <w:rPr>
          <w:szCs w:val="27"/>
          <w:shd w:val="clear" w:color="auto" w:fill="FFFFFF"/>
        </w:rPr>
        <w:t> . . .</w:t>
      </w:r>
      <w:r w:rsidR="00994874" w:rsidRPr="00927983">
        <w:rPr>
          <w:szCs w:val="27"/>
          <w:shd w:val="clear" w:color="auto" w:fill="FFFFFF"/>
        </w:rPr>
        <w:t>”].)</w:t>
      </w:r>
      <w:r w:rsidR="006E3732" w:rsidRPr="00927983">
        <w:rPr>
          <w:szCs w:val="27"/>
          <w:shd w:val="clear" w:color="auto" w:fill="FFFFFF"/>
        </w:rPr>
        <w:t xml:space="preserve"> </w:t>
      </w:r>
      <w:r w:rsidR="006A4AA6" w:rsidRPr="00927983">
        <w:rPr>
          <w:szCs w:val="27"/>
          <w:shd w:val="clear" w:color="auto" w:fill="FFFFFF"/>
        </w:rPr>
        <w:t xml:space="preserve"> </w:t>
      </w:r>
      <w:r w:rsidR="00986421">
        <w:rPr>
          <w:szCs w:val="27"/>
          <w:shd w:val="clear" w:color="auto" w:fill="FFFFFF"/>
        </w:rPr>
        <w:t>Moreover, it would be odd to read t</w:t>
      </w:r>
      <w:r w:rsidR="00927983" w:rsidRPr="00927983">
        <w:rPr>
          <w:szCs w:val="27"/>
          <w:shd w:val="clear" w:color="auto" w:fill="FFFFFF"/>
        </w:rPr>
        <w:t xml:space="preserve">he 2003 amendments, </w:t>
      </w:r>
      <w:r w:rsidR="009B40FE" w:rsidRPr="00927983">
        <w:rPr>
          <w:szCs w:val="27"/>
          <w:shd w:val="clear" w:color="auto" w:fill="FFFFFF"/>
        </w:rPr>
        <w:t xml:space="preserve">enacted </w:t>
      </w:r>
      <w:r w:rsidR="00E43E41">
        <w:rPr>
          <w:szCs w:val="27"/>
          <w:shd w:val="clear" w:color="auto" w:fill="FFFFFF"/>
        </w:rPr>
        <w:t xml:space="preserve">after </w:t>
      </w:r>
      <w:r w:rsidR="009B40FE" w:rsidRPr="00927983">
        <w:rPr>
          <w:color w:val="000000"/>
          <w:szCs w:val="27"/>
        </w:rPr>
        <w:t xml:space="preserve">“a series of high profile </w:t>
      </w:r>
      <w:r w:rsidR="009B40FE" w:rsidRPr="00927983">
        <w:rPr>
          <w:i/>
          <w:iCs/>
          <w:color w:val="000000"/>
          <w:szCs w:val="27"/>
        </w:rPr>
        <w:t>corporate</w:t>
      </w:r>
      <w:r w:rsidR="009B40FE" w:rsidRPr="00927983">
        <w:rPr>
          <w:color w:val="000000"/>
          <w:szCs w:val="27"/>
        </w:rPr>
        <w:t xml:space="preserve"> scandals and reports of illicit coverups</w:t>
      </w:r>
      <w:r w:rsidR="003C7A53" w:rsidRPr="00927983">
        <w:rPr>
          <w:color w:val="000000"/>
          <w:szCs w:val="27"/>
        </w:rPr>
        <w:t>” (</w:t>
      </w:r>
      <w:r w:rsidR="003C7A53" w:rsidRPr="00927983">
        <w:rPr>
          <w:i/>
          <w:iCs/>
          <w:color w:val="000000"/>
          <w:szCs w:val="27"/>
        </w:rPr>
        <w:t>Lawson</w:t>
      </w:r>
      <w:r w:rsidR="003C7A53" w:rsidRPr="00927983">
        <w:rPr>
          <w:color w:val="000000"/>
          <w:szCs w:val="27"/>
        </w:rPr>
        <w:t xml:space="preserve">, </w:t>
      </w:r>
      <w:r w:rsidR="003C7A53" w:rsidRPr="00927983">
        <w:rPr>
          <w:i/>
          <w:iCs/>
          <w:color w:val="000000"/>
          <w:szCs w:val="27"/>
        </w:rPr>
        <w:t>supra</w:t>
      </w:r>
      <w:r w:rsidR="003C7A53" w:rsidRPr="00927983">
        <w:rPr>
          <w:color w:val="000000"/>
          <w:szCs w:val="27"/>
        </w:rPr>
        <w:t xml:space="preserve">, </w:t>
      </w:r>
      <w:r w:rsidR="00BF3870" w:rsidRPr="00927983">
        <w:rPr>
          <w:color w:val="000000"/>
          <w:szCs w:val="27"/>
        </w:rPr>
        <w:t>12 Cal.5th at p. </w:t>
      </w:r>
      <w:r w:rsidR="00982E86" w:rsidRPr="00927983">
        <w:rPr>
          <w:color w:val="000000"/>
          <w:szCs w:val="27"/>
        </w:rPr>
        <w:t>710</w:t>
      </w:r>
      <w:r w:rsidR="00986421">
        <w:rPr>
          <w:color w:val="000000"/>
          <w:szCs w:val="27"/>
        </w:rPr>
        <w:t>,</w:t>
      </w:r>
      <w:r w:rsidR="00A8317B">
        <w:rPr>
          <w:color w:val="000000"/>
          <w:szCs w:val="27"/>
        </w:rPr>
        <w:t xml:space="preserve"> italics added</w:t>
      </w:r>
      <w:r w:rsidR="00982E86" w:rsidRPr="00927983">
        <w:rPr>
          <w:color w:val="000000"/>
          <w:szCs w:val="27"/>
        </w:rPr>
        <w:t>)</w:t>
      </w:r>
      <w:r w:rsidR="00927983" w:rsidRPr="00927983">
        <w:rPr>
          <w:color w:val="000000"/>
          <w:szCs w:val="27"/>
        </w:rPr>
        <w:t>,</w:t>
      </w:r>
      <w:r w:rsidR="00E46F91" w:rsidRPr="00927983">
        <w:rPr>
          <w:color w:val="000000"/>
          <w:szCs w:val="27"/>
        </w:rPr>
        <w:t xml:space="preserve"> </w:t>
      </w:r>
      <w:r w:rsidR="00673CAA">
        <w:rPr>
          <w:color w:val="000000"/>
          <w:szCs w:val="27"/>
        </w:rPr>
        <w:t xml:space="preserve">to have the effect of </w:t>
      </w:r>
      <w:r w:rsidR="00986421">
        <w:rPr>
          <w:color w:val="000000"/>
          <w:szCs w:val="27"/>
        </w:rPr>
        <w:t xml:space="preserve">strengthening </w:t>
      </w:r>
      <w:r w:rsidR="00E46F91" w:rsidRPr="00927983">
        <w:rPr>
          <w:color w:val="000000"/>
          <w:szCs w:val="27"/>
        </w:rPr>
        <w:t xml:space="preserve">protections only </w:t>
      </w:r>
      <w:r w:rsidR="00986421">
        <w:rPr>
          <w:color w:val="000000"/>
          <w:szCs w:val="27"/>
        </w:rPr>
        <w:t xml:space="preserve">for </w:t>
      </w:r>
      <w:r w:rsidR="00E46F91" w:rsidRPr="00927983">
        <w:rPr>
          <w:i/>
          <w:iCs/>
          <w:color w:val="000000"/>
          <w:szCs w:val="27"/>
        </w:rPr>
        <w:t>public</w:t>
      </w:r>
      <w:r w:rsidR="00E46F91" w:rsidRPr="00927983">
        <w:rPr>
          <w:color w:val="000000"/>
          <w:szCs w:val="27"/>
        </w:rPr>
        <w:t xml:space="preserve"> employees.</w:t>
      </w:r>
    </w:p>
    <w:p w14:paraId="7DA61DA8" w14:textId="726A241D" w:rsidR="00D92360" w:rsidRPr="00E349D9" w:rsidRDefault="00D92360" w:rsidP="000B3479">
      <w:pPr>
        <w:ind w:firstLine="720"/>
        <w:rPr>
          <w:szCs w:val="26"/>
          <w:shd w:val="clear" w:color="auto" w:fill="FFFFFF"/>
        </w:rPr>
      </w:pPr>
      <w:r w:rsidRPr="00927983">
        <w:rPr>
          <w:szCs w:val="27"/>
          <w:shd w:val="clear" w:color="auto" w:fill="FFFFFF"/>
        </w:rPr>
        <w:t xml:space="preserve">When the Legislature </w:t>
      </w:r>
      <w:r w:rsidR="008A4AF9" w:rsidRPr="00927983">
        <w:rPr>
          <w:szCs w:val="27"/>
          <w:shd w:val="clear" w:color="auto" w:fill="FFFFFF"/>
        </w:rPr>
        <w:t xml:space="preserve">again </w:t>
      </w:r>
      <w:r w:rsidRPr="00927983">
        <w:rPr>
          <w:szCs w:val="27"/>
          <w:shd w:val="clear" w:color="auto" w:fill="FFFFFF"/>
        </w:rPr>
        <w:t>amended section</w:t>
      </w:r>
      <w:r w:rsidRPr="00E349D9">
        <w:rPr>
          <w:szCs w:val="26"/>
          <w:shd w:val="clear" w:color="auto" w:fill="FFFFFF"/>
        </w:rPr>
        <w:t xml:space="preserve"> 1102.5 in 2013, it expanded the range of protected disclosures to include internal disclosures made by private employees.  </w:t>
      </w:r>
      <w:r w:rsidRPr="00E349D9">
        <w:t>(Stats. 2013, ch. 781, § 4.1.)</w:t>
      </w:r>
      <w:r w:rsidRPr="00E349D9">
        <w:rPr>
          <w:szCs w:val="26"/>
          <w:shd w:val="clear" w:color="auto" w:fill="FFFFFF"/>
        </w:rPr>
        <w:t xml:space="preserve">  Because the disclosure requirements did not otherwise change, the Legislature </w:t>
      </w:r>
      <w:r w:rsidR="008A4AF9" w:rsidRPr="00E349D9">
        <w:rPr>
          <w:szCs w:val="26"/>
          <w:shd w:val="clear" w:color="auto" w:fill="FFFFFF"/>
        </w:rPr>
        <w:t xml:space="preserve">presumably </w:t>
      </w:r>
      <w:r w:rsidRPr="00E349D9">
        <w:rPr>
          <w:szCs w:val="26"/>
          <w:shd w:val="clear" w:color="auto" w:fill="FFFFFF"/>
        </w:rPr>
        <w:t xml:space="preserve">intended the protections afforded to </w:t>
      </w:r>
      <w:r w:rsidR="005410BD" w:rsidRPr="00E349D9">
        <w:rPr>
          <w:szCs w:val="26"/>
          <w:shd w:val="clear" w:color="auto" w:fill="FFFFFF"/>
        </w:rPr>
        <w:t>public employees</w:t>
      </w:r>
      <w:r w:rsidRPr="00E349D9">
        <w:rPr>
          <w:szCs w:val="26"/>
          <w:shd w:val="clear" w:color="auto" w:fill="FFFFFF"/>
        </w:rPr>
        <w:t xml:space="preserve"> to apply </w:t>
      </w:r>
      <w:r w:rsidR="006E05AD" w:rsidRPr="00E349D9">
        <w:rPr>
          <w:szCs w:val="26"/>
          <w:shd w:val="clear" w:color="auto" w:fill="FFFFFF"/>
        </w:rPr>
        <w:t xml:space="preserve">also </w:t>
      </w:r>
      <w:r w:rsidRPr="00E349D9">
        <w:rPr>
          <w:szCs w:val="26"/>
          <w:shd w:val="clear" w:color="auto" w:fill="FFFFFF"/>
        </w:rPr>
        <w:t xml:space="preserve">to </w:t>
      </w:r>
      <w:r w:rsidR="005410BD" w:rsidRPr="00E349D9">
        <w:rPr>
          <w:szCs w:val="26"/>
          <w:shd w:val="clear" w:color="auto" w:fill="FFFFFF"/>
        </w:rPr>
        <w:t>private employees</w:t>
      </w:r>
      <w:r w:rsidRPr="00E349D9">
        <w:rPr>
          <w:szCs w:val="26"/>
          <w:shd w:val="clear" w:color="auto" w:fill="FFFFFF"/>
        </w:rPr>
        <w:t xml:space="preserve">.  The history of the 2003 amendments indicates that those </w:t>
      </w:r>
      <w:r w:rsidR="00A62C92" w:rsidRPr="00E349D9">
        <w:rPr>
          <w:szCs w:val="26"/>
          <w:shd w:val="clear" w:color="auto" w:fill="FFFFFF"/>
        </w:rPr>
        <w:t xml:space="preserve">protections covered internal employee </w:t>
      </w:r>
      <w:r w:rsidRPr="00E349D9">
        <w:rPr>
          <w:szCs w:val="26"/>
          <w:shd w:val="clear" w:color="auto" w:fill="FFFFFF"/>
        </w:rPr>
        <w:t xml:space="preserve">“reports” </w:t>
      </w:r>
      <w:r w:rsidR="008A4AF9" w:rsidRPr="00E349D9">
        <w:rPr>
          <w:szCs w:val="26"/>
          <w:shd w:val="clear" w:color="auto" w:fill="FFFFFF"/>
        </w:rPr>
        <w:t>because they are “</w:t>
      </w:r>
      <w:r w:rsidRPr="00E349D9">
        <w:rPr>
          <w:szCs w:val="26"/>
          <w:shd w:val="clear" w:color="auto" w:fill="FFFFFF"/>
        </w:rPr>
        <w:t>disclosures</w:t>
      </w:r>
      <w:r w:rsidR="008A4AF9" w:rsidRPr="00E349D9">
        <w:rPr>
          <w:szCs w:val="26"/>
          <w:shd w:val="clear" w:color="auto" w:fill="FFFFFF"/>
        </w:rPr>
        <w:t>”;</w:t>
      </w:r>
      <w:r w:rsidRPr="00E349D9">
        <w:rPr>
          <w:szCs w:val="26"/>
          <w:shd w:val="clear" w:color="auto" w:fill="FFFFFF"/>
        </w:rPr>
        <w:t xml:space="preserve"> </w:t>
      </w:r>
      <w:r w:rsidR="008A4AF9" w:rsidRPr="00E349D9">
        <w:rPr>
          <w:szCs w:val="26"/>
          <w:shd w:val="clear" w:color="auto" w:fill="FFFFFF"/>
        </w:rPr>
        <w:t xml:space="preserve">in other words, </w:t>
      </w:r>
      <w:r w:rsidR="00584EA7" w:rsidRPr="00E349D9">
        <w:rPr>
          <w:szCs w:val="26"/>
          <w:shd w:val="clear" w:color="auto" w:fill="FFFFFF"/>
        </w:rPr>
        <w:t>the Legislature use</w:t>
      </w:r>
      <w:r w:rsidR="008A4AF9" w:rsidRPr="00E349D9">
        <w:rPr>
          <w:szCs w:val="26"/>
          <w:shd w:val="clear" w:color="auto" w:fill="FFFFFF"/>
        </w:rPr>
        <w:t>d</w:t>
      </w:r>
      <w:r w:rsidR="00584EA7" w:rsidRPr="00E349D9">
        <w:rPr>
          <w:szCs w:val="26"/>
          <w:shd w:val="clear" w:color="auto" w:fill="FFFFFF"/>
        </w:rPr>
        <w:t xml:space="preserve"> the term </w:t>
      </w:r>
      <w:r w:rsidR="008A4AF9" w:rsidRPr="00E349D9">
        <w:rPr>
          <w:szCs w:val="26"/>
          <w:shd w:val="clear" w:color="auto" w:fill="FFFFFF"/>
        </w:rPr>
        <w:t xml:space="preserve">“report” in section 1102.5(e) </w:t>
      </w:r>
      <w:r w:rsidR="00584EA7" w:rsidRPr="00E349D9">
        <w:rPr>
          <w:szCs w:val="26"/>
          <w:shd w:val="clear" w:color="auto" w:fill="FFFFFF"/>
        </w:rPr>
        <w:t xml:space="preserve">synonymously with “disclose” </w:t>
      </w:r>
      <w:r w:rsidR="008A4AF9" w:rsidRPr="00E349D9">
        <w:rPr>
          <w:szCs w:val="26"/>
          <w:shd w:val="clear" w:color="auto" w:fill="FFFFFF"/>
        </w:rPr>
        <w:t xml:space="preserve">in </w:t>
      </w:r>
      <w:r w:rsidR="00584EA7" w:rsidRPr="00E349D9">
        <w:rPr>
          <w:szCs w:val="26"/>
          <w:shd w:val="clear" w:color="auto" w:fill="FFFFFF"/>
        </w:rPr>
        <w:t xml:space="preserve">section 1102.5(b).  </w:t>
      </w:r>
      <w:r w:rsidR="00D253C6" w:rsidRPr="00E349D9">
        <w:rPr>
          <w:szCs w:val="26"/>
          <w:shd w:val="clear" w:color="auto" w:fill="FFFFFF"/>
        </w:rPr>
        <w:t>W</w:t>
      </w:r>
      <w:r w:rsidRPr="00E349D9">
        <w:rPr>
          <w:szCs w:val="26"/>
          <w:shd w:val="clear" w:color="auto" w:fill="FFFFFF"/>
        </w:rPr>
        <w:t xml:space="preserve">hen the Legislature </w:t>
      </w:r>
      <w:r w:rsidR="00D253C6" w:rsidRPr="00E349D9">
        <w:rPr>
          <w:szCs w:val="26"/>
          <w:shd w:val="clear" w:color="auto" w:fill="FFFFFF"/>
        </w:rPr>
        <w:t xml:space="preserve">in 2013 </w:t>
      </w:r>
      <w:r w:rsidRPr="00E349D9">
        <w:rPr>
          <w:szCs w:val="26"/>
          <w:shd w:val="clear" w:color="auto" w:fill="FFFFFF"/>
        </w:rPr>
        <w:t xml:space="preserve">expanded section 1102.5(b) to protect internal disclosures made by all employees rather than only public employees, </w:t>
      </w:r>
      <w:r w:rsidR="00D253C6" w:rsidRPr="00E349D9">
        <w:rPr>
          <w:szCs w:val="26"/>
          <w:shd w:val="clear" w:color="auto" w:fill="FFFFFF"/>
        </w:rPr>
        <w:t xml:space="preserve">it gave no indication that anything but the </w:t>
      </w:r>
      <w:r w:rsidRPr="00E349D9">
        <w:rPr>
          <w:szCs w:val="26"/>
          <w:shd w:val="clear" w:color="auto" w:fill="FFFFFF"/>
        </w:rPr>
        <w:t xml:space="preserve">same broad reading of </w:t>
      </w:r>
      <w:r w:rsidR="00D253C6" w:rsidRPr="00E349D9">
        <w:rPr>
          <w:szCs w:val="26"/>
          <w:shd w:val="clear" w:color="auto" w:fill="FFFFFF"/>
        </w:rPr>
        <w:t>“</w:t>
      </w:r>
      <w:r w:rsidRPr="00E349D9">
        <w:rPr>
          <w:szCs w:val="26"/>
          <w:shd w:val="clear" w:color="auto" w:fill="FFFFFF"/>
        </w:rPr>
        <w:t>disclosure</w:t>
      </w:r>
      <w:r w:rsidR="00D253C6" w:rsidRPr="00E349D9">
        <w:rPr>
          <w:szCs w:val="26"/>
          <w:shd w:val="clear" w:color="auto" w:fill="FFFFFF"/>
        </w:rPr>
        <w:t>”</w:t>
      </w:r>
      <w:r w:rsidRPr="00E349D9">
        <w:rPr>
          <w:szCs w:val="26"/>
          <w:shd w:val="clear" w:color="auto" w:fill="FFFFFF"/>
        </w:rPr>
        <w:t xml:space="preserve"> </w:t>
      </w:r>
      <w:r w:rsidR="00D253C6" w:rsidRPr="00E349D9">
        <w:rPr>
          <w:szCs w:val="26"/>
          <w:shd w:val="clear" w:color="auto" w:fill="FFFFFF"/>
        </w:rPr>
        <w:t>would continue to apply</w:t>
      </w:r>
      <w:r w:rsidRPr="00E349D9">
        <w:rPr>
          <w:szCs w:val="26"/>
          <w:shd w:val="clear" w:color="auto" w:fill="FFFFFF"/>
        </w:rPr>
        <w:t>.</w:t>
      </w:r>
    </w:p>
    <w:p w14:paraId="7433AECC" w14:textId="7F3683C1" w:rsidR="00F574F9" w:rsidRDefault="00311909" w:rsidP="00F574F9">
      <w:pPr>
        <w:ind w:firstLine="720"/>
        <w:rPr>
          <w:szCs w:val="26"/>
          <w:shd w:val="clear" w:color="auto" w:fill="FFFFFF"/>
        </w:rPr>
      </w:pPr>
      <w:r w:rsidRPr="00E349D9">
        <w:rPr>
          <w:szCs w:val="26"/>
          <w:shd w:val="clear" w:color="auto" w:fill="FFFFFF"/>
        </w:rPr>
        <w:t xml:space="preserve">Amicus </w:t>
      </w:r>
      <w:r w:rsidR="003A6B4B" w:rsidRPr="008E0266">
        <w:rPr>
          <w:szCs w:val="26"/>
        </w:rPr>
        <w:t>curiae</w:t>
      </w:r>
      <w:r w:rsidR="003A6B4B" w:rsidRPr="00E349D9">
        <w:rPr>
          <w:szCs w:val="26"/>
        </w:rPr>
        <w:t xml:space="preserve"> </w:t>
      </w:r>
      <w:r w:rsidRPr="00E349D9">
        <w:rPr>
          <w:szCs w:val="26"/>
          <w:shd w:val="clear" w:color="auto" w:fill="FFFFFF"/>
        </w:rPr>
        <w:t xml:space="preserve">also argues that by not </w:t>
      </w:r>
      <w:r w:rsidR="002431FF" w:rsidRPr="00E349D9">
        <w:rPr>
          <w:szCs w:val="26"/>
          <w:shd w:val="clear" w:color="auto" w:fill="FFFFFF"/>
        </w:rPr>
        <w:t xml:space="preserve">amending </w:t>
      </w:r>
      <w:r w:rsidR="00405C5C" w:rsidRPr="00E349D9">
        <w:rPr>
          <w:szCs w:val="26"/>
          <w:shd w:val="clear" w:color="auto" w:fill="FFFFFF"/>
        </w:rPr>
        <w:t>section 1102.5 in light of the</w:t>
      </w:r>
      <w:r w:rsidR="00045213" w:rsidRPr="00E349D9">
        <w:rPr>
          <w:szCs w:val="26"/>
          <w:shd w:val="clear" w:color="auto" w:fill="FFFFFF"/>
        </w:rPr>
        <w:t xml:space="preserve"> </w:t>
      </w:r>
      <w:r w:rsidR="00405C5C" w:rsidRPr="00E349D9">
        <w:rPr>
          <w:i/>
          <w:iCs/>
          <w:szCs w:val="26"/>
          <w:shd w:val="clear" w:color="auto" w:fill="FFFFFF"/>
        </w:rPr>
        <w:t>Mize-Kurzman</w:t>
      </w:r>
      <w:r w:rsidR="00045213" w:rsidRPr="00E349D9">
        <w:rPr>
          <w:i/>
          <w:iCs/>
          <w:szCs w:val="26"/>
          <w:shd w:val="clear" w:color="auto" w:fill="FFFFFF"/>
        </w:rPr>
        <w:t xml:space="preserve"> </w:t>
      </w:r>
      <w:r w:rsidR="00045213" w:rsidRPr="00E349D9">
        <w:rPr>
          <w:szCs w:val="26"/>
          <w:shd w:val="clear" w:color="auto" w:fill="FFFFFF"/>
        </w:rPr>
        <w:t>decision</w:t>
      </w:r>
      <w:r w:rsidR="00405C5C" w:rsidRPr="00E349D9">
        <w:rPr>
          <w:szCs w:val="26"/>
          <w:shd w:val="clear" w:color="auto" w:fill="FFFFFF"/>
        </w:rPr>
        <w:t xml:space="preserve">, the Legislature acquiesced to </w:t>
      </w:r>
      <w:r w:rsidR="00556714" w:rsidRPr="00E349D9">
        <w:rPr>
          <w:szCs w:val="26"/>
          <w:shd w:val="clear" w:color="auto" w:fill="FFFFFF"/>
        </w:rPr>
        <w:t xml:space="preserve">the holding </w:t>
      </w:r>
      <w:r w:rsidR="00407FC3" w:rsidRPr="00E349D9">
        <w:rPr>
          <w:szCs w:val="26"/>
          <w:shd w:val="clear" w:color="auto" w:fill="FFFFFF"/>
        </w:rPr>
        <w:t xml:space="preserve">of that case.  </w:t>
      </w:r>
      <w:r w:rsidR="00996C8B" w:rsidRPr="00E349D9">
        <w:rPr>
          <w:szCs w:val="26"/>
          <w:shd w:val="clear" w:color="auto" w:fill="FFFFFF"/>
        </w:rPr>
        <w:t xml:space="preserve">Amicus </w:t>
      </w:r>
      <w:r w:rsidR="003A6B4B" w:rsidRPr="008E0266">
        <w:rPr>
          <w:szCs w:val="26"/>
        </w:rPr>
        <w:t>curiae</w:t>
      </w:r>
      <w:r w:rsidR="003A6B4B" w:rsidRPr="00E349D9">
        <w:rPr>
          <w:szCs w:val="26"/>
        </w:rPr>
        <w:t xml:space="preserve"> </w:t>
      </w:r>
      <w:r w:rsidR="00996C8B" w:rsidRPr="00E349D9">
        <w:rPr>
          <w:szCs w:val="26"/>
          <w:shd w:val="clear" w:color="auto" w:fill="FFFFFF"/>
        </w:rPr>
        <w:t>is correct that w</w:t>
      </w:r>
      <w:r w:rsidR="00862734" w:rsidRPr="00E349D9">
        <w:rPr>
          <w:szCs w:val="26"/>
          <w:shd w:val="clear" w:color="auto" w:fill="FFFFFF"/>
        </w:rPr>
        <w:t xml:space="preserve">hen the Legislature amended section 1102.5 in 2013, it did not respond directly to </w:t>
      </w:r>
      <w:r w:rsidR="00862734" w:rsidRPr="00E349D9">
        <w:rPr>
          <w:i/>
          <w:iCs/>
          <w:szCs w:val="26"/>
          <w:shd w:val="clear" w:color="auto" w:fill="FFFFFF"/>
        </w:rPr>
        <w:t>Mize-Kurzman</w:t>
      </w:r>
      <w:r w:rsidR="005B7644" w:rsidRPr="00E349D9">
        <w:rPr>
          <w:szCs w:val="26"/>
          <w:shd w:val="clear" w:color="auto" w:fill="FFFFFF"/>
        </w:rPr>
        <w:t>, which was decided a year earlier</w:t>
      </w:r>
      <w:r w:rsidR="00862734" w:rsidRPr="00E349D9">
        <w:rPr>
          <w:szCs w:val="26"/>
          <w:shd w:val="clear" w:color="auto" w:fill="FFFFFF"/>
        </w:rPr>
        <w:t xml:space="preserve">.  </w:t>
      </w:r>
      <w:r w:rsidR="00996C8B" w:rsidRPr="00E349D9">
        <w:rPr>
          <w:szCs w:val="26"/>
          <w:shd w:val="clear" w:color="auto" w:fill="FFFFFF"/>
        </w:rPr>
        <w:t>But “[a]rguments based on supposed legislative acquiescence rarely do much to persuade.”  (</w:t>
      </w:r>
      <w:r w:rsidR="00996C8B" w:rsidRPr="00E349D9">
        <w:rPr>
          <w:i/>
          <w:iCs/>
          <w:szCs w:val="26"/>
          <w:shd w:val="clear" w:color="auto" w:fill="FFFFFF"/>
        </w:rPr>
        <w:t>Scher v. Burke</w:t>
      </w:r>
      <w:r w:rsidR="00996C8B" w:rsidRPr="00E349D9">
        <w:rPr>
          <w:szCs w:val="26"/>
          <w:shd w:val="clear" w:color="auto" w:fill="FFFFFF"/>
        </w:rPr>
        <w:t xml:space="preserve"> (2017) 3 Cal.5th 136, 147</w:t>
      </w:r>
      <w:r w:rsidR="009B76F9">
        <w:rPr>
          <w:szCs w:val="26"/>
          <w:shd w:val="clear" w:color="auto" w:fill="FFFFFF"/>
        </w:rPr>
        <w:t>.</w:t>
      </w:r>
      <w:r w:rsidR="00996C8B" w:rsidRPr="00E349D9">
        <w:rPr>
          <w:szCs w:val="26"/>
          <w:shd w:val="clear" w:color="auto" w:fill="FFFFFF"/>
        </w:rPr>
        <w:t xml:space="preserve">)  </w:t>
      </w:r>
      <w:r w:rsidR="00853727" w:rsidRPr="00E349D9">
        <w:t>“Legislative</w:t>
      </w:r>
      <w:r w:rsidR="00996C8B" w:rsidRPr="00E349D9">
        <w:t xml:space="preserve"> </w:t>
      </w:r>
      <w:r w:rsidR="00853727" w:rsidRPr="00E349D9">
        <w:t xml:space="preserve">inaction may instead reflect nothing more than </w:t>
      </w:r>
      <w:r w:rsidR="00F14796" w:rsidRPr="00E349D9">
        <w:t>‘</w:t>
      </w:r>
      <w:r w:rsidR="00E604DB" w:rsidRPr="00E349D9">
        <w:t> </w:t>
      </w:r>
      <w:r w:rsidR="00F14796" w:rsidRPr="00E349D9">
        <w:t>“</w:t>
      </w:r>
      <w:r w:rsidR="00E604DB" w:rsidRPr="00E349D9">
        <w:t> </w:t>
      </w:r>
      <w:r w:rsidR="00F14796" w:rsidRPr="00E349D9">
        <w:t>‘</w:t>
      </w:r>
      <w:r w:rsidR="00853727" w:rsidRPr="00E349D9">
        <w:t>the sheer pressure of other and more important business, political considerations, or a tendency to trust</w:t>
      </w:r>
      <w:r w:rsidR="00E604DB" w:rsidRPr="00E349D9">
        <w:t> . . .</w:t>
      </w:r>
      <w:r w:rsidR="00853727" w:rsidRPr="00E349D9">
        <w:t xml:space="preserve"> the courts to correct their own errors.</w:t>
      </w:r>
      <w:r w:rsidR="00F14796" w:rsidRPr="00E349D9">
        <w:t>’</w:t>
      </w:r>
      <w:r w:rsidR="00E604DB" w:rsidRPr="00E349D9">
        <w:t> </w:t>
      </w:r>
      <w:r w:rsidR="00853727" w:rsidRPr="00E349D9">
        <w:t>”</w:t>
      </w:r>
      <w:r w:rsidR="00F14796" w:rsidRPr="00E349D9">
        <w:t> ’ ”</w:t>
      </w:r>
      <w:r w:rsidR="00E604DB" w:rsidRPr="00E349D9">
        <w:t xml:space="preserve">  (</w:t>
      </w:r>
      <w:r w:rsidR="00B77966">
        <w:rPr>
          <w:i/>
          <w:iCs/>
        </w:rPr>
        <w:t>Id.</w:t>
      </w:r>
      <w:r w:rsidR="008E7EDE">
        <w:rPr>
          <w:i/>
          <w:iCs/>
        </w:rPr>
        <w:t xml:space="preserve"> </w:t>
      </w:r>
      <w:r w:rsidR="00E604DB" w:rsidRPr="00E349D9">
        <w:t xml:space="preserve">at p. 148.)  </w:t>
      </w:r>
      <w:r w:rsidR="00D253C6" w:rsidRPr="00E349D9">
        <w:t xml:space="preserve">Here, </w:t>
      </w:r>
      <w:r w:rsidR="00753D58" w:rsidRPr="00E349D9">
        <w:t>the case law has continued to develop</w:t>
      </w:r>
      <w:r w:rsidR="00035128" w:rsidRPr="00E349D9">
        <w:t xml:space="preserve"> in the decade since the </w:t>
      </w:r>
      <w:r w:rsidR="00035128" w:rsidRPr="00E349D9">
        <w:rPr>
          <w:i/>
          <w:iCs/>
        </w:rPr>
        <w:t xml:space="preserve">Mize-Kurzman </w:t>
      </w:r>
      <w:r w:rsidR="00035128" w:rsidRPr="00E349D9">
        <w:t xml:space="preserve">decision, and </w:t>
      </w:r>
      <w:r w:rsidR="00D253C6" w:rsidRPr="00E349D9">
        <w:t xml:space="preserve">this is not an instance where the Legislature has </w:t>
      </w:r>
      <w:r w:rsidR="00AC2C71" w:rsidRPr="00E349D9">
        <w:t>repeatedly amended</w:t>
      </w:r>
      <w:r w:rsidR="006D5D99" w:rsidRPr="00E349D9">
        <w:t xml:space="preserve"> a statute </w:t>
      </w:r>
      <w:r w:rsidR="00D03E3E" w:rsidRPr="00E349D9">
        <w:t xml:space="preserve">while leaving in place a </w:t>
      </w:r>
      <w:r w:rsidR="005E38D5" w:rsidRPr="00E349D9">
        <w:t xml:space="preserve">consistent interpretation </w:t>
      </w:r>
      <w:r w:rsidR="00EF743C" w:rsidRPr="00E349D9">
        <w:t>of</w:t>
      </w:r>
      <w:r w:rsidR="005E38D5" w:rsidRPr="00E349D9">
        <w:t xml:space="preserve"> the courts.  (</w:t>
      </w:r>
      <w:r w:rsidR="00060955" w:rsidRPr="00E349D9">
        <w:t>Cf.</w:t>
      </w:r>
      <w:r w:rsidR="005E38D5" w:rsidRPr="00E349D9">
        <w:t xml:space="preserve"> </w:t>
      </w:r>
      <w:r w:rsidR="0065697F" w:rsidRPr="00E349D9">
        <w:rPr>
          <w:i/>
          <w:iCs/>
        </w:rPr>
        <w:t xml:space="preserve">People v. Bouzas </w:t>
      </w:r>
      <w:r w:rsidR="0065697F" w:rsidRPr="00E349D9">
        <w:t>(1991) 53 Cal.3d 467, 475 [</w:t>
      </w:r>
      <w:r w:rsidR="00870A63" w:rsidRPr="00E349D9">
        <w:t xml:space="preserve">finding </w:t>
      </w:r>
      <w:r w:rsidR="00060955" w:rsidRPr="00E349D9">
        <w:t>l</w:t>
      </w:r>
      <w:r w:rsidR="00870A63" w:rsidRPr="00E349D9">
        <w:t xml:space="preserve">egislative acquiescence where Legislature </w:t>
      </w:r>
      <w:r w:rsidR="00BE616C" w:rsidRPr="00E349D9">
        <w:t>amended the relevant statutes “at least 10 times between 1903 and 1976 without altering the courts’ consistent interpretation” of the provisions</w:t>
      </w:r>
      <w:r w:rsidR="00D343E7" w:rsidRPr="00E349D9">
        <w:t xml:space="preserve"> at issue].)  </w:t>
      </w:r>
      <w:r w:rsidR="008838A0" w:rsidRPr="00E349D9">
        <w:rPr>
          <w:szCs w:val="26"/>
          <w:shd w:val="clear" w:color="auto" w:fill="FFFFFF"/>
        </w:rPr>
        <w:t xml:space="preserve">The lack of legislative response to </w:t>
      </w:r>
      <w:r w:rsidR="008838A0" w:rsidRPr="00E349D9">
        <w:rPr>
          <w:i/>
          <w:iCs/>
          <w:szCs w:val="26"/>
          <w:shd w:val="clear" w:color="auto" w:fill="FFFFFF"/>
        </w:rPr>
        <w:t>Mize-Kurzman</w:t>
      </w:r>
      <w:r w:rsidR="008838A0" w:rsidRPr="00E349D9">
        <w:rPr>
          <w:szCs w:val="26"/>
          <w:shd w:val="clear" w:color="auto" w:fill="FFFFFF"/>
        </w:rPr>
        <w:t xml:space="preserve"> is</w:t>
      </w:r>
      <w:r w:rsidR="00B503C5" w:rsidRPr="00E349D9">
        <w:rPr>
          <w:szCs w:val="26"/>
          <w:shd w:val="clear" w:color="auto" w:fill="FFFFFF"/>
        </w:rPr>
        <w:t xml:space="preserve"> thus</w:t>
      </w:r>
      <w:r w:rsidR="008838A0" w:rsidRPr="00E349D9">
        <w:rPr>
          <w:szCs w:val="26"/>
          <w:shd w:val="clear" w:color="auto" w:fill="FFFFFF"/>
        </w:rPr>
        <w:t xml:space="preserve"> “ ‘ “</w:t>
      </w:r>
      <w:r w:rsidR="00B77966">
        <w:rPr>
          <w:szCs w:val="26"/>
          <w:shd w:val="clear" w:color="auto" w:fill="FFFFFF"/>
        </w:rPr>
        <w:t> ‘</w:t>
      </w:r>
      <w:r w:rsidR="008838A0" w:rsidRPr="00E349D9">
        <w:rPr>
          <w:szCs w:val="26"/>
          <w:shd w:val="clear" w:color="auto" w:fill="FFFFFF"/>
        </w:rPr>
        <w:t xml:space="preserve">a weak </w:t>
      </w:r>
      <w:r w:rsidR="00AA1A7E" w:rsidRPr="00E349D9">
        <w:rPr>
          <w:szCs w:val="26"/>
          <w:shd w:val="clear" w:color="auto" w:fill="FFFFFF"/>
        </w:rPr>
        <w:t>reed upon which to lean</w:t>
      </w:r>
      <w:r w:rsidR="00D253C6" w:rsidRPr="00E349D9">
        <w:rPr>
          <w:szCs w:val="26"/>
          <w:shd w:val="clear" w:color="auto" w:fill="FFFFFF"/>
        </w:rPr>
        <w:t>.</w:t>
      </w:r>
      <w:r w:rsidR="00B77966">
        <w:rPr>
          <w:szCs w:val="26"/>
          <w:shd w:val="clear" w:color="auto" w:fill="FFFFFF"/>
        </w:rPr>
        <w:t>’ </w:t>
      </w:r>
      <w:r w:rsidR="00AA1A7E" w:rsidRPr="00E349D9">
        <w:rPr>
          <w:szCs w:val="26"/>
          <w:shd w:val="clear" w:color="auto" w:fill="FFFFFF"/>
        </w:rPr>
        <w:t xml:space="preserve">” ’ ” </w:t>
      </w:r>
      <w:r w:rsidR="00D253C6" w:rsidRPr="00E349D9">
        <w:rPr>
          <w:szCs w:val="26"/>
          <w:shd w:val="clear" w:color="auto" w:fill="FFFFFF"/>
        </w:rPr>
        <w:t xml:space="preserve"> </w:t>
      </w:r>
      <w:r w:rsidR="00AA1A7E" w:rsidRPr="00E349D9">
        <w:rPr>
          <w:szCs w:val="26"/>
          <w:shd w:val="clear" w:color="auto" w:fill="FFFFFF"/>
        </w:rPr>
        <w:t>(</w:t>
      </w:r>
      <w:r w:rsidR="00AA1A7E" w:rsidRPr="00E349D9">
        <w:rPr>
          <w:i/>
          <w:iCs/>
          <w:szCs w:val="26"/>
          <w:shd w:val="clear" w:color="auto" w:fill="FFFFFF"/>
        </w:rPr>
        <w:t>Harris v. Capital</w:t>
      </w:r>
      <w:r w:rsidR="00AE3D12" w:rsidRPr="00E349D9">
        <w:rPr>
          <w:i/>
          <w:iCs/>
          <w:szCs w:val="26"/>
          <w:shd w:val="clear" w:color="auto" w:fill="FFFFFF"/>
        </w:rPr>
        <w:t xml:space="preserve"> Growth Investors XIV</w:t>
      </w:r>
      <w:r w:rsidR="00AE3D12" w:rsidRPr="00E349D9">
        <w:rPr>
          <w:szCs w:val="26"/>
          <w:shd w:val="clear" w:color="auto" w:fill="FFFFFF"/>
        </w:rPr>
        <w:t xml:space="preserve"> (1991) 52 Cal.3d 1142, 1156</w:t>
      </w:r>
      <w:r w:rsidR="00D253C6" w:rsidRPr="00E349D9">
        <w:rPr>
          <w:szCs w:val="26"/>
          <w:shd w:val="clear" w:color="auto" w:fill="FFFFFF"/>
        </w:rPr>
        <w:t>.</w:t>
      </w:r>
      <w:r w:rsidR="00AE3D12" w:rsidRPr="00E349D9">
        <w:rPr>
          <w:szCs w:val="26"/>
          <w:shd w:val="clear" w:color="auto" w:fill="FFFFFF"/>
        </w:rPr>
        <w:t>)</w:t>
      </w:r>
    </w:p>
    <w:p w14:paraId="40F729C4" w14:textId="6BD4AFE0" w:rsidR="00311909" w:rsidRPr="00617FFD" w:rsidRDefault="00673CAA" w:rsidP="00617FFD">
      <w:pPr>
        <w:ind w:firstLine="720"/>
        <w:rPr>
          <w:szCs w:val="26"/>
          <w:shd w:val="clear" w:color="auto" w:fill="FFFFFF"/>
        </w:rPr>
      </w:pPr>
      <w:r>
        <w:rPr>
          <w:szCs w:val="26"/>
          <w:shd w:val="clear" w:color="auto" w:fill="FFFFFF"/>
        </w:rPr>
        <w:t>Further, a</w:t>
      </w:r>
      <w:r w:rsidR="00232E2E" w:rsidRPr="00F574F9">
        <w:rPr>
          <w:szCs w:val="26"/>
          <w:shd w:val="clear" w:color="auto" w:fill="FFFFFF"/>
        </w:rPr>
        <w:t>micus</w:t>
      </w:r>
      <w:r>
        <w:rPr>
          <w:szCs w:val="26"/>
          <w:shd w:val="clear" w:color="auto" w:fill="FFFFFF"/>
        </w:rPr>
        <w:t xml:space="preserve"> </w:t>
      </w:r>
      <w:r w:rsidR="003A6B4B" w:rsidRPr="008E0266">
        <w:rPr>
          <w:szCs w:val="26"/>
        </w:rPr>
        <w:t>curiae</w:t>
      </w:r>
      <w:r w:rsidR="003A6B4B" w:rsidRPr="00E349D9">
        <w:rPr>
          <w:szCs w:val="26"/>
        </w:rPr>
        <w:t xml:space="preserve"> </w:t>
      </w:r>
      <w:r>
        <w:rPr>
          <w:szCs w:val="26"/>
          <w:shd w:val="clear" w:color="auto" w:fill="FFFFFF"/>
        </w:rPr>
        <w:t>contends</w:t>
      </w:r>
      <w:r w:rsidR="00232E2E" w:rsidRPr="00F574F9">
        <w:rPr>
          <w:szCs w:val="26"/>
          <w:shd w:val="clear" w:color="auto" w:fill="FFFFFF"/>
        </w:rPr>
        <w:t xml:space="preserve"> </w:t>
      </w:r>
      <w:r w:rsidR="005B3A60" w:rsidRPr="00F574F9">
        <w:rPr>
          <w:szCs w:val="26"/>
          <w:shd w:val="clear" w:color="auto" w:fill="FFFFFF"/>
        </w:rPr>
        <w:t xml:space="preserve">that </w:t>
      </w:r>
      <w:r>
        <w:rPr>
          <w:szCs w:val="26"/>
          <w:shd w:val="clear" w:color="auto" w:fill="FFFFFF"/>
        </w:rPr>
        <w:t>our</w:t>
      </w:r>
      <w:r w:rsidR="001319C8" w:rsidRPr="00F574F9">
        <w:rPr>
          <w:szCs w:val="26"/>
          <w:shd w:val="clear" w:color="auto" w:fill="FFFFFF"/>
        </w:rPr>
        <w:t xml:space="preserve"> reading of </w:t>
      </w:r>
      <w:r>
        <w:rPr>
          <w:szCs w:val="26"/>
          <w:shd w:val="clear" w:color="auto" w:fill="FFFFFF"/>
        </w:rPr>
        <w:t>“</w:t>
      </w:r>
      <w:r w:rsidR="001319C8" w:rsidRPr="00F574F9">
        <w:rPr>
          <w:szCs w:val="26"/>
          <w:shd w:val="clear" w:color="auto" w:fill="FFFFFF"/>
        </w:rPr>
        <w:t>disclose</w:t>
      </w:r>
      <w:r>
        <w:rPr>
          <w:szCs w:val="26"/>
          <w:shd w:val="clear" w:color="auto" w:fill="FFFFFF"/>
        </w:rPr>
        <w:t>”</w:t>
      </w:r>
      <w:r w:rsidR="001319C8" w:rsidRPr="00F574F9">
        <w:rPr>
          <w:szCs w:val="26"/>
          <w:shd w:val="clear" w:color="auto" w:fill="FFFFFF"/>
        </w:rPr>
        <w:t xml:space="preserve"> </w:t>
      </w:r>
      <w:r w:rsidR="001C211E" w:rsidRPr="00F574F9">
        <w:rPr>
          <w:szCs w:val="26"/>
          <w:shd w:val="clear" w:color="auto" w:fill="FFFFFF"/>
        </w:rPr>
        <w:t xml:space="preserve">threatens </w:t>
      </w:r>
      <w:r w:rsidR="00DA732F">
        <w:rPr>
          <w:szCs w:val="26"/>
          <w:shd w:val="clear" w:color="auto" w:fill="FFFFFF"/>
        </w:rPr>
        <w:t>“</w:t>
      </w:r>
      <w:r w:rsidR="001C211E" w:rsidRPr="00F574F9">
        <w:rPr>
          <w:szCs w:val="26"/>
          <w:shd w:val="clear" w:color="auto" w:fill="FFFFFF"/>
        </w:rPr>
        <w:t xml:space="preserve">to </w:t>
      </w:r>
      <w:r w:rsidR="00DA732F">
        <w:rPr>
          <w:szCs w:val="26"/>
          <w:shd w:val="clear" w:color="auto" w:fill="FFFFFF"/>
        </w:rPr>
        <w:t>convert</w:t>
      </w:r>
      <w:r w:rsidR="001C211E" w:rsidRPr="00F574F9">
        <w:rPr>
          <w:szCs w:val="26"/>
          <w:shd w:val="clear" w:color="auto" w:fill="FFFFFF"/>
        </w:rPr>
        <w:t xml:space="preserve"> everyday workplace disputes into whistleblower cases</w:t>
      </w:r>
      <w:r>
        <w:rPr>
          <w:szCs w:val="26"/>
          <w:shd w:val="clear" w:color="auto" w:fill="FFFFFF"/>
        </w:rPr>
        <w:t>.</w:t>
      </w:r>
      <w:r w:rsidR="001C211E" w:rsidRPr="00F574F9">
        <w:rPr>
          <w:szCs w:val="26"/>
          <w:shd w:val="clear" w:color="auto" w:fill="FFFFFF"/>
        </w:rPr>
        <w:t xml:space="preserve">”  </w:t>
      </w:r>
      <w:r>
        <w:rPr>
          <w:szCs w:val="26"/>
        </w:rPr>
        <w:t>But t</w:t>
      </w:r>
      <w:r w:rsidR="00F574F9" w:rsidRPr="00F574F9">
        <w:rPr>
          <w:szCs w:val="26"/>
        </w:rPr>
        <w:t>he protections of section 1102.5(b) apply only where the disclosing employee “has reasonable cause to believe that the information discloses a [legal] violation.”  (</w:t>
      </w:r>
      <w:r w:rsidR="00556BA3">
        <w:rPr>
          <w:i/>
          <w:iCs/>
          <w:szCs w:val="26"/>
        </w:rPr>
        <w:t>Ibid.</w:t>
      </w:r>
      <w:r w:rsidR="00F574F9" w:rsidRPr="00F574F9">
        <w:rPr>
          <w:szCs w:val="26"/>
        </w:rPr>
        <w:t xml:space="preserve">)  This clause </w:t>
      </w:r>
      <w:r>
        <w:rPr>
          <w:szCs w:val="26"/>
        </w:rPr>
        <w:t>imposes</w:t>
      </w:r>
      <w:r w:rsidRPr="00F574F9">
        <w:rPr>
          <w:szCs w:val="26"/>
        </w:rPr>
        <w:t xml:space="preserve"> a requirement of objective reasonableness</w:t>
      </w:r>
      <w:r>
        <w:rPr>
          <w:szCs w:val="26"/>
        </w:rPr>
        <w:t xml:space="preserve"> and </w:t>
      </w:r>
      <w:r w:rsidR="00F574F9" w:rsidRPr="00F574F9">
        <w:rPr>
          <w:szCs w:val="26"/>
        </w:rPr>
        <w:t>excludes from whistleblower protection disclosures that involve only disagreements over discretionary decisions, policy choices, interpersonal dynamics</w:t>
      </w:r>
      <w:r>
        <w:rPr>
          <w:szCs w:val="26"/>
        </w:rPr>
        <w:t>, or other nonactionable issues</w:t>
      </w:r>
      <w:r w:rsidR="00F574F9" w:rsidRPr="00F574F9">
        <w:rPr>
          <w:szCs w:val="26"/>
        </w:rPr>
        <w:t>.  Moreover, an employer accused of retaliation in violation of section 1102.5(b) can rebut the charge by “demonstrat[ing] by clear and convincing evidence that the alleged [retaliatory] action would have occurred for legitimate, independent reasons even if the employee had not engaged in activities protected by Section 1102.5.”  (§ 1102.6.)</w:t>
      </w:r>
    </w:p>
    <w:p w14:paraId="1DB5FBEC" w14:textId="1450DF33" w:rsidR="00685E6E" w:rsidRPr="00E349D9" w:rsidRDefault="00E869EF" w:rsidP="00617FFD">
      <w:pPr>
        <w:ind w:firstLine="720"/>
        <w:rPr>
          <w:szCs w:val="26"/>
        </w:rPr>
      </w:pPr>
      <w:r w:rsidRPr="00E349D9">
        <w:rPr>
          <w:szCs w:val="26"/>
        </w:rPr>
        <w:t xml:space="preserve">In sum, we hold that a protected disclosure under section 1102.5(b) encompasses reports or complaints of a violation made to an employer </w:t>
      </w:r>
      <w:r w:rsidR="00956BC2">
        <w:rPr>
          <w:szCs w:val="26"/>
        </w:rPr>
        <w:t xml:space="preserve">or agency </w:t>
      </w:r>
      <w:r w:rsidRPr="00E349D9">
        <w:rPr>
          <w:szCs w:val="26"/>
        </w:rPr>
        <w:t xml:space="preserve">even if the </w:t>
      </w:r>
      <w:r w:rsidR="00DF0E18">
        <w:rPr>
          <w:szCs w:val="26"/>
        </w:rPr>
        <w:t>recipient</w:t>
      </w:r>
      <w:r w:rsidR="00DF0E18" w:rsidRPr="00E349D9">
        <w:rPr>
          <w:szCs w:val="26"/>
        </w:rPr>
        <w:t xml:space="preserve"> </w:t>
      </w:r>
      <w:r w:rsidRPr="00E349D9">
        <w:rPr>
          <w:szCs w:val="26"/>
        </w:rPr>
        <w:t xml:space="preserve">already knows of the violation.  </w:t>
      </w:r>
      <w:r w:rsidR="007A75B8">
        <w:rPr>
          <w:szCs w:val="26"/>
        </w:rPr>
        <w:t>W</w:t>
      </w:r>
      <w:r w:rsidR="00617FFD">
        <w:rPr>
          <w:szCs w:val="26"/>
        </w:rPr>
        <w:t xml:space="preserve">e </w:t>
      </w:r>
      <w:r w:rsidRPr="00E349D9">
        <w:rPr>
          <w:szCs w:val="26"/>
        </w:rPr>
        <w:t xml:space="preserve">further conclude that complainant A.C.R. made a disclosure protected by section 1102.5(b).  And </w:t>
      </w:r>
      <w:r w:rsidR="00685E6E" w:rsidRPr="00E349D9">
        <w:rPr>
          <w:szCs w:val="26"/>
        </w:rPr>
        <w:t xml:space="preserve">we disapprove </w:t>
      </w:r>
      <w:r w:rsidR="00685E6E" w:rsidRPr="00E349D9">
        <w:rPr>
          <w:i/>
          <w:iCs/>
          <w:szCs w:val="26"/>
          <w:bdr w:val="none" w:sz="0" w:space="0" w:color="auto" w:frame="1"/>
        </w:rPr>
        <w:t>Mize-Kurzman v. Marin Community College Dist.</w:t>
      </w:r>
      <w:r w:rsidR="00685E6E" w:rsidRPr="00E349D9">
        <w:rPr>
          <w:szCs w:val="26"/>
          <w:shd w:val="clear" w:color="auto" w:fill="FFFFFF"/>
        </w:rPr>
        <w:t xml:space="preserve">, </w:t>
      </w:r>
      <w:r w:rsidR="00685E6E" w:rsidRPr="00E349D9">
        <w:rPr>
          <w:i/>
          <w:iCs/>
          <w:szCs w:val="26"/>
          <w:shd w:val="clear" w:color="auto" w:fill="FFFFFF"/>
        </w:rPr>
        <w:t>supra</w:t>
      </w:r>
      <w:r w:rsidR="00685E6E" w:rsidRPr="00E349D9">
        <w:rPr>
          <w:szCs w:val="26"/>
          <w:shd w:val="clear" w:color="auto" w:fill="FFFFFF"/>
        </w:rPr>
        <w:t>, 202 Cal.App.4th 832</w:t>
      </w:r>
      <w:r w:rsidR="00D53C61" w:rsidRPr="00E349D9">
        <w:t xml:space="preserve"> to the extent it is inconsistent with </w:t>
      </w:r>
      <w:r w:rsidR="00617FFD">
        <w:t>today’s</w:t>
      </w:r>
      <w:r w:rsidR="00F42ACB">
        <w:t xml:space="preserve"> </w:t>
      </w:r>
      <w:r w:rsidR="00D53C61" w:rsidRPr="00E349D9">
        <w:t>opinion.</w:t>
      </w:r>
    </w:p>
    <w:p w14:paraId="16D5E042" w14:textId="557E7540" w:rsidR="005636F6" w:rsidRPr="00E349D9" w:rsidRDefault="00EB1B6B" w:rsidP="00E349D9">
      <w:pPr>
        <w:pStyle w:val="Heading1"/>
      </w:pPr>
      <w:r w:rsidRPr="00E349D9">
        <w:t>CONCLUSION</w:t>
      </w:r>
    </w:p>
    <w:p w14:paraId="2608EED6" w14:textId="29CAB4AB" w:rsidR="005636F6" w:rsidRPr="00E349D9" w:rsidRDefault="00786C82" w:rsidP="000B3479">
      <w:pPr>
        <w:ind w:firstLine="720"/>
        <w:rPr>
          <w:szCs w:val="26"/>
        </w:rPr>
      </w:pPr>
      <w:r>
        <w:rPr>
          <w:szCs w:val="26"/>
        </w:rPr>
        <w:t>W</w:t>
      </w:r>
      <w:r w:rsidR="001F0BE9" w:rsidRPr="00E349D9">
        <w:rPr>
          <w:szCs w:val="26"/>
        </w:rPr>
        <w:t xml:space="preserve">e </w:t>
      </w:r>
      <w:r w:rsidR="00EB1B6B" w:rsidRPr="00E349D9">
        <w:rPr>
          <w:szCs w:val="26"/>
        </w:rPr>
        <w:t>remand this case to the Court of Appeal for</w:t>
      </w:r>
      <w:r w:rsidR="001F0BE9" w:rsidRPr="00E349D9">
        <w:rPr>
          <w:szCs w:val="26"/>
        </w:rPr>
        <w:t xml:space="preserve"> further proceedings consistent </w:t>
      </w:r>
      <w:r w:rsidR="00EB1B6B" w:rsidRPr="00E349D9">
        <w:rPr>
          <w:szCs w:val="26"/>
        </w:rPr>
        <w:t>with this opinion.</w:t>
      </w:r>
    </w:p>
    <w:p w14:paraId="16A10CE1" w14:textId="77777777" w:rsidR="007F291D" w:rsidRPr="00E349D9" w:rsidRDefault="007F291D" w:rsidP="000B3479">
      <w:pPr>
        <w:ind w:firstLine="720"/>
        <w:rPr>
          <w:szCs w:val="26"/>
        </w:rPr>
      </w:pPr>
    </w:p>
    <w:p w14:paraId="01BB2C60" w14:textId="70452CE1" w:rsidR="00E869EF" w:rsidRPr="000B3479" w:rsidRDefault="002C70B6" w:rsidP="000B3479">
      <w:pPr>
        <w:ind w:firstLine="720"/>
        <w:rPr>
          <w:b/>
          <w:bCs/>
          <w:smallCaps/>
          <w:szCs w:val="26"/>
        </w:rPr>
      </w:pPr>
      <w:r w:rsidRPr="00E349D9">
        <w:rPr>
          <w:szCs w:val="26"/>
        </w:rPr>
        <w:tab/>
      </w:r>
      <w:r w:rsidRPr="00E349D9">
        <w:rPr>
          <w:szCs w:val="26"/>
        </w:rPr>
        <w:tab/>
      </w:r>
      <w:r w:rsidRPr="00E349D9">
        <w:rPr>
          <w:szCs w:val="26"/>
        </w:rPr>
        <w:tab/>
      </w:r>
      <w:r w:rsidRPr="00E349D9">
        <w:rPr>
          <w:szCs w:val="26"/>
        </w:rPr>
        <w:tab/>
      </w:r>
      <w:r w:rsidRPr="00E349D9">
        <w:rPr>
          <w:szCs w:val="26"/>
        </w:rPr>
        <w:tab/>
      </w:r>
      <w:r w:rsidRPr="00E349D9">
        <w:rPr>
          <w:szCs w:val="26"/>
        </w:rPr>
        <w:tab/>
      </w:r>
      <w:r w:rsidRPr="00E349D9">
        <w:rPr>
          <w:szCs w:val="26"/>
        </w:rPr>
        <w:tab/>
      </w:r>
      <w:r w:rsidRPr="00E349D9">
        <w:rPr>
          <w:szCs w:val="26"/>
        </w:rPr>
        <w:tab/>
      </w:r>
      <w:r w:rsidR="00F73871" w:rsidRPr="000B3479">
        <w:rPr>
          <w:b/>
          <w:bCs/>
          <w:smallCaps/>
          <w:szCs w:val="26"/>
        </w:rPr>
        <w:t>L</w:t>
      </w:r>
      <w:r w:rsidR="00151422" w:rsidRPr="000B3479">
        <w:rPr>
          <w:b/>
          <w:bCs/>
          <w:smallCaps/>
          <w:szCs w:val="26"/>
        </w:rPr>
        <w:t>IU</w:t>
      </w:r>
      <w:r w:rsidR="00F73871" w:rsidRPr="000B3479">
        <w:rPr>
          <w:b/>
          <w:bCs/>
          <w:smallCaps/>
          <w:szCs w:val="26"/>
        </w:rPr>
        <w:t>, J</w:t>
      </w:r>
      <w:r w:rsidRPr="000B3479">
        <w:rPr>
          <w:b/>
          <w:bCs/>
          <w:smallCaps/>
          <w:szCs w:val="26"/>
        </w:rPr>
        <w:t>.</w:t>
      </w:r>
    </w:p>
    <w:p w14:paraId="08D9BC77" w14:textId="77777777" w:rsidR="00E24D00" w:rsidRPr="00E349D9" w:rsidRDefault="00E24D00" w:rsidP="000B3479">
      <w:pPr>
        <w:rPr>
          <w:szCs w:val="26"/>
        </w:rPr>
      </w:pPr>
    </w:p>
    <w:p w14:paraId="1CA40615" w14:textId="31503179" w:rsidR="00F215E3" w:rsidRDefault="00A136BC" w:rsidP="000B3479">
      <w:pPr>
        <w:rPr>
          <w:b/>
          <w:bCs/>
          <w:szCs w:val="26"/>
        </w:rPr>
      </w:pPr>
      <w:r w:rsidRPr="008E7EDE">
        <w:rPr>
          <w:b/>
          <w:bCs/>
          <w:szCs w:val="26"/>
        </w:rPr>
        <w:t xml:space="preserve">We Concur: </w:t>
      </w:r>
      <w:bookmarkEnd w:id="0"/>
    </w:p>
    <w:p w14:paraId="30DD7C17" w14:textId="3D992DDC" w:rsidR="007F5239" w:rsidRPr="000413AA" w:rsidRDefault="007F5239" w:rsidP="007F5239">
      <w:pPr>
        <w:spacing w:after="0" w:line="240" w:lineRule="auto"/>
        <w:rPr>
          <w:rFonts w:ascii="Calibri" w:hAnsi="Calibri"/>
          <w:b/>
          <w:sz w:val="22"/>
          <w:lang w:val="it-IT"/>
        </w:rPr>
      </w:pPr>
      <w:r w:rsidRPr="000413AA">
        <w:rPr>
          <w:b/>
        </w:rPr>
        <w:t>GUERRERO</w:t>
      </w:r>
      <w:r w:rsidRPr="000413AA">
        <w:rPr>
          <w:b/>
          <w:lang w:val="it-IT"/>
        </w:rPr>
        <w:t>, C.</w:t>
      </w:r>
      <w:r w:rsidR="00D009E7">
        <w:rPr>
          <w:b/>
          <w:lang w:val="it-IT"/>
        </w:rPr>
        <w:t> </w:t>
      </w:r>
      <w:r w:rsidRPr="000413AA">
        <w:rPr>
          <w:b/>
          <w:lang w:val="it-IT"/>
        </w:rPr>
        <w:t>J.</w:t>
      </w:r>
    </w:p>
    <w:p w14:paraId="3BEE4311" w14:textId="77777777" w:rsidR="007F5239" w:rsidRPr="000413AA" w:rsidRDefault="007F5239" w:rsidP="007F5239">
      <w:pPr>
        <w:spacing w:after="0" w:line="240" w:lineRule="auto"/>
        <w:rPr>
          <w:b/>
          <w:lang w:val="it-IT"/>
        </w:rPr>
      </w:pPr>
      <w:r w:rsidRPr="000413AA">
        <w:rPr>
          <w:b/>
          <w:lang w:val="it-IT"/>
        </w:rPr>
        <w:t>CORRIGAN, J.</w:t>
      </w:r>
    </w:p>
    <w:p w14:paraId="3E8FAC4E" w14:textId="77777777" w:rsidR="007F5239" w:rsidRPr="000413AA" w:rsidRDefault="007F5239" w:rsidP="007F5239">
      <w:pPr>
        <w:spacing w:after="0" w:line="240" w:lineRule="auto"/>
        <w:jc w:val="left"/>
        <w:rPr>
          <w:b/>
          <w:lang w:val="it-IT"/>
        </w:rPr>
      </w:pPr>
      <w:r w:rsidRPr="000413AA">
        <w:rPr>
          <w:b/>
          <w:lang w:val="it-IT"/>
        </w:rPr>
        <w:t>KRUGER, J.</w:t>
      </w:r>
    </w:p>
    <w:p w14:paraId="28D210F7" w14:textId="77777777" w:rsidR="007F5239" w:rsidRPr="000413AA" w:rsidRDefault="007F5239" w:rsidP="007F5239">
      <w:pPr>
        <w:spacing w:after="0" w:line="240" w:lineRule="auto"/>
        <w:jc w:val="left"/>
        <w:rPr>
          <w:b/>
        </w:rPr>
      </w:pPr>
      <w:r w:rsidRPr="000413AA">
        <w:rPr>
          <w:b/>
        </w:rPr>
        <w:t>GROBAN, J.</w:t>
      </w:r>
    </w:p>
    <w:p w14:paraId="1DE1AB66" w14:textId="77777777" w:rsidR="007F5239" w:rsidRPr="000413AA" w:rsidRDefault="007F5239" w:rsidP="007F5239">
      <w:pPr>
        <w:spacing w:after="0" w:line="240" w:lineRule="auto"/>
        <w:jc w:val="left"/>
        <w:rPr>
          <w:b/>
        </w:rPr>
      </w:pPr>
      <w:r w:rsidRPr="000413AA">
        <w:rPr>
          <w:b/>
        </w:rPr>
        <w:t>JENKINS, J.</w:t>
      </w:r>
    </w:p>
    <w:p w14:paraId="33199DE3" w14:textId="6EFAFB46" w:rsidR="00F215E3" w:rsidRDefault="007F5239">
      <w:pPr>
        <w:spacing w:after="0" w:line="240" w:lineRule="auto"/>
        <w:jc w:val="left"/>
        <w:rPr>
          <w:b/>
        </w:rPr>
      </w:pPr>
      <w:r w:rsidRPr="000413AA">
        <w:rPr>
          <w:b/>
        </w:rPr>
        <w:t>EVANS, J.</w:t>
      </w:r>
    </w:p>
    <w:p w14:paraId="4EBFB846" w14:textId="77777777" w:rsidR="00A37FE3" w:rsidRDefault="00A37FE3">
      <w:pPr>
        <w:spacing w:after="0" w:line="240" w:lineRule="auto"/>
        <w:jc w:val="left"/>
        <w:rPr>
          <w:bCs/>
        </w:rPr>
        <w:sectPr w:rsidR="00A37FE3" w:rsidSect="008E0266">
          <w:footerReference w:type="first" r:id="rId14"/>
          <w:pgSz w:w="12240" w:h="15840"/>
          <w:pgMar w:top="1800" w:right="2160" w:bottom="1440" w:left="2160" w:header="720" w:footer="720" w:gutter="0"/>
          <w:pgNumType w:start="1"/>
          <w:cols w:space="720"/>
          <w:titlePg/>
          <w:docGrid w:linePitch="367"/>
        </w:sectPr>
      </w:pPr>
    </w:p>
    <w:p w14:paraId="1105638D" w14:textId="77777777" w:rsidR="00FD65F9" w:rsidRPr="00FD65F9" w:rsidRDefault="00FD65F9" w:rsidP="00FD65F9">
      <w:pPr>
        <w:spacing w:after="0" w:line="240" w:lineRule="auto"/>
        <w:jc w:val="left"/>
        <w:rPr>
          <w:i/>
          <w:sz w:val="24"/>
          <w:szCs w:val="24"/>
        </w:rPr>
      </w:pPr>
      <w:r w:rsidRPr="00FD65F9">
        <w:rPr>
          <w:i/>
          <w:sz w:val="24"/>
          <w:szCs w:val="24"/>
        </w:rPr>
        <w:t>See next page for addresses and telephone numbers for counsel who argued in Supreme Court.</w:t>
      </w:r>
    </w:p>
    <w:p w14:paraId="16C8E3AE" w14:textId="77777777" w:rsidR="00FD65F9" w:rsidRPr="00FD65F9" w:rsidRDefault="00FD65F9" w:rsidP="00FD65F9">
      <w:pPr>
        <w:spacing w:after="0" w:line="240" w:lineRule="auto"/>
        <w:jc w:val="left"/>
        <w:rPr>
          <w:i/>
          <w:sz w:val="24"/>
          <w:szCs w:val="24"/>
        </w:rPr>
      </w:pPr>
    </w:p>
    <w:p w14:paraId="33D33A51" w14:textId="77777777" w:rsidR="00FD65F9" w:rsidRPr="00FD65F9" w:rsidRDefault="00FD65F9" w:rsidP="00FD65F9">
      <w:pPr>
        <w:spacing w:after="0" w:line="240" w:lineRule="auto"/>
        <w:jc w:val="left"/>
        <w:rPr>
          <w:bCs/>
          <w:sz w:val="24"/>
          <w:szCs w:val="24"/>
        </w:rPr>
      </w:pPr>
      <w:r w:rsidRPr="00FD65F9">
        <w:rPr>
          <w:b/>
          <w:sz w:val="24"/>
          <w:szCs w:val="24"/>
        </w:rPr>
        <w:t xml:space="preserve">Name of Opinion  </w:t>
      </w:r>
      <w:r w:rsidRPr="00FD65F9">
        <w:rPr>
          <w:bCs/>
          <w:sz w:val="24"/>
          <w:szCs w:val="24"/>
        </w:rPr>
        <w:t>People ex. rel. Garcia-Brower v. Kolla’s, Inc.</w:t>
      </w:r>
    </w:p>
    <w:p w14:paraId="4971006E" w14:textId="77777777" w:rsidR="00FD65F9" w:rsidRPr="00FD65F9" w:rsidRDefault="00FD65F9" w:rsidP="00FD65F9">
      <w:pPr>
        <w:spacing w:after="0" w:line="240" w:lineRule="auto"/>
        <w:jc w:val="left"/>
        <w:rPr>
          <w:b/>
          <w:sz w:val="24"/>
          <w:szCs w:val="24"/>
        </w:rPr>
      </w:pPr>
      <w:r w:rsidRPr="00FD65F9">
        <w:rPr>
          <w:b/>
          <w:sz w:val="24"/>
          <w:szCs w:val="24"/>
        </w:rPr>
        <w:t xml:space="preserve">__________________________________________________________ </w:t>
      </w:r>
    </w:p>
    <w:p w14:paraId="0F2A4EFC" w14:textId="77777777" w:rsidR="00FD65F9" w:rsidRPr="00FD65F9" w:rsidRDefault="00FD65F9" w:rsidP="00FD65F9">
      <w:pPr>
        <w:spacing w:after="0" w:line="240" w:lineRule="auto"/>
        <w:jc w:val="left"/>
        <w:rPr>
          <w:b/>
          <w:sz w:val="24"/>
          <w:szCs w:val="24"/>
        </w:rPr>
      </w:pPr>
    </w:p>
    <w:p w14:paraId="6524D6E9" w14:textId="77777777" w:rsidR="00FD65F9" w:rsidRPr="00FD65F9" w:rsidRDefault="00FD65F9" w:rsidP="00FD65F9">
      <w:pPr>
        <w:spacing w:after="0" w:line="240" w:lineRule="auto"/>
        <w:jc w:val="left"/>
        <w:rPr>
          <w:sz w:val="24"/>
          <w:szCs w:val="24"/>
        </w:rPr>
      </w:pPr>
      <w:r w:rsidRPr="00FD65F9">
        <w:rPr>
          <w:b/>
          <w:bCs/>
          <w:sz w:val="24"/>
          <w:szCs w:val="24"/>
          <w:u w:val="single"/>
        </w:rPr>
        <w:t>Procedural Posture</w:t>
      </w:r>
      <w:r w:rsidRPr="00FD65F9">
        <w:rPr>
          <w:b/>
          <w:bCs/>
          <w:sz w:val="24"/>
          <w:szCs w:val="24"/>
        </w:rPr>
        <w:t xml:space="preserve"> </w:t>
      </w:r>
      <w:r w:rsidRPr="00FD65F9">
        <w:rPr>
          <w:sz w:val="24"/>
          <w:szCs w:val="24"/>
        </w:rPr>
        <w:t>(see XX below)</w:t>
      </w:r>
    </w:p>
    <w:p w14:paraId="51559FC8" w14:textId="77777777" w:rsidR="00FD65F9" w:rsidRPr="00FD65F9" w:rsidRDefault="00FD65F9" w:rsidP="00FD65F9">
      <w:pPr>
        <w:spacing w:after="0" w:line="240" w:lineRule="auto"/>
        <w:jc w:val="left"/>
        <w:rPr>
          <w:sz w:val="24"/>
          <w:szCs w:val="24"/>
        </w:rPr>
      </w:pPr>
      <w:r w:rsidRPr="00FD65F9">
        <w:rPr>
          <w:b/>
          <w:bCs/>
          <w:sz w:val="24"/>
          <w:szCs w:val="24"/>
        </w:rPr>
        <w:t>Original Appeal</w:t>
      </w:r>
      <w:r w:rsidRPr="00FD65F9">
        <w:rPr>
          <w:sz w:val="24"/>
          <w:szCs w:val="24"/>
        </w:rPr>
        <w:t xml:space="preserve"> </w:t>
      </w:r>
    </w:p>
    <w:p w14:paraId="5CDF8E27" w14:textId="77777777" w:rsidR="00FD65F9" w:rsidRPr="00FD65F9" w:rsidRDefault="00FD65F9" w:rsidP="00FD65F9">
      <w:pPr>
        <w:spacing w:after="0" w:line="240" w:lineRule="auto"/>
        <w:jc w:val="left"/>
        <w:rPr>
          <w:b/>
          <w:bCs/>
          <w:sz w:val="24"/>
          <w:szCs w:val="24"/>
        </w:rPr>
      </w:pPr>
      <w:r w:rsidRPr="00FD65F9">
        <w:rPr>
          <w:b/>
          <w:bCs/>
          <w:sz w:val="24"/>
          <w:szCs w:val="24"/>
        </w:rPr>
        <w:t>Original Proceeding</w:t>
      </w:r>
    </w:p>
    <w:p w14:paraId="075D477C" w14:textId="77777777" w:rsidR="00FD65F9" w:rsidRPr="00FD65F9" w:rsidRDefault="00FD65F9" w:rsidP="00FD65F9">
      <w:pPr>
        <w:spacing w:after="0" w:line="240" w:lineRule="auto"/>
        <w:jc w:val="left"/>
        <w:rPr>
          <w:sz w:val="24"/>
          <w:szCs w:val="24"/>
        </w:rPr>
      </w:pPr>
      <w:r w:rsidRPr="00FD65F9">
        <w:rPr>
          <w:b/>
          <w:bCs/>
          <w:sz w:val="24"/>
          <w:szCs w:val="24"/>
        </w:rPr>
        <w:t>Review Granted</w:t>
      </w:r>
      <w:r w:rsidRPr="00FD65F9">
        <w:rPr>
          <w:sz w:val="24"/>
          <w:szCs w:val="24"/>
        </w:rPr>
        <w:t xml:space="preserve"> </w:t>
      </w:r>
      <w:r w:rsidRPr="00FD65F9">
        <w:rPr>
          <w:b/>
          <w:bCs/>
          <w:sz w:val="24"/>
          <w:szCs w:val="24"/>
        </w:rPr>
        <w:t>(published)</w:t>
      </w:r>
    </w:p>
    <w:p w14:paraId="208C274E" w14:textId="77777777" w:rsidR="00FD65F9" w:rsidRPr="00FD65F9" w:rsidRDefault="00FD65F9" w:rsidP="00FD65F9">
      <w:pPr>
        <w:spacing w:after="0" w:line="240" w:lineRule="auto"/>
        <w:jc w:val="left"/>
        <w:rPr>
          <w:sz w:val="24"/>
          <w:szCs w:val="24"/>
        </w:rPr>
      </w:pPr>
      <w:r w:rsidRPr="00FD65F9">
        <w:rPr>
          <w:b/>
          <w:bCs/>
          <w:sz w:val="24"/>
          <w:szCs w:val="24"/>
        </w:rPr>
        <w:t xml:space="preserve">Review Granted (unpublished) </w:t>
      </w:r>
      <w:r w:rsidRPr="00FD65F9">
        <w:rPr>
          <w:sz w:val="24"/>
          <w:szCs w:val="24"/>
        </w:rPr>
        <w:t>XX NP opn. filed 5/10/21 – 4th Dist., Div. 3</w:t>
      </w:r>
    </w:p>
    <w:p w14:paraId="3BCCAB36" w14:textId="77777777" w:rsidR="00FD65F9" w:rsidRPr="00FD65F9" w:rsidRDefault="00FD65F9" w:rsidP="00FD65F9">
      <w:pPr>
        <w:spacing w:after="0" w:line="240" w:lineRule="auto"/>
        <w:jc w:val="left"/>
        <w:rPr>
          <w:b/>
          <w:bCs/>
          <w:sz w:val="24"/>
          <w:szCs w:val="24"/>
        </w:rPr>
      </w:pPr>
      <w:r w:rsidRPr="00FD65F9">
        <w:rPr>
          <w:b/>
          <w:bCs/>
          <w:sz w:val="24"/>
          <w:szCs w:val="24"/>
        </w:rPr>
        <w:t>Rehearing Granted</w:t>
      </w:r>
    </w:p>
    <w:p w14:paraId="35D10239" w14:textId="77777777" w:rsidR="00FD65F9" w:rsidRPr="00FD65F9" w:rsidRDefault="00FD65F9" w:rsidP="00FD65F9">
      <w:pPr>
        <w:spacing w:after="0" w:line="240" w:lineRule="auto"/>
        <w:jc w:val="left"/>
        <w:rPr>
          <w:b/>
          <w:sz w:val="24"/>
          <w:szCs w:val="24"/>
        </w:rPr>
      </w:pPr>
      <w:r w:rsidRPr="00FD65F9">
        <w:rPr>
          <w:b/>
          <w:sz w:val="24"/>
          <w:szCs w:val="24"/>
        </w:rPr>
        <w:t xml:space="preserve">__________________________________________________________ </w:t>
      </w:r>
    </w:p>
    <w:p w14:paraId="2E4F02C0" w14:textId="77777777" w:rsidR="00FD65F9" w:rsidRPr="00FD65F9" w:rsidRDefault="00FD65F9" w:rsidP="00FD65F9">
      <w:pPr>
        <w:spacing w:after="0" w:line="240" w:lineRule="auto"/>
        <w:jc w:val="left"/>
        <w:rPr>
          <w:b/>
          <w:sz w:val="24"/>
          <w:szCs w:val="24"/>
        </w:rPr>
      </w:pPr>
    </w:p>
    <w:p w14:paraId="28294283" w14:textId="77777777" w:rsidR="00FD65F9" w:rsidRPr="00FD65F9" w:rsidRDefault="00FD65F9" w:rsidP="00FD65F9">
      <w:pPr>
        <w:spacing w:after="0" w:line="240" w:lineRule="auto"/>
        <w:jc w:val="left"/>
        <w:rPr>
          <w:bCs/>
          <w:sz w:val="24"/>
          <w:szCs w:val="24"/>
        </w:rPr>
      </w:pPr>
      <w:r w:rsidRPr="00FD65F9">
        <w:rPr>
          <w:b/>
          <w:sz w:val="24"/>
          <w:szCs w:val="24"/>
        </w:rPr>
        <w:t>Opinion No.</w:t>
      </w:r>
      <w:r w:rsidRPr="00FD65F9">
        <w:rPr>
          <w:sz w:val="24"/>
          <w:szCs w:val="24"/>
        </w:rPr>
        <w:t xml:space="preserve"> S269456</w:t>
      </w:r>
    </w:p>
    <w:p w14:paraId="51E96F5C" w14:textId="77777777" w:rsidR="00FD65F9" w:rsidRPr="00FD65F9" w:rsidRDefault="00FD65F9" w:rsidP="00FD65F9">
      <w:pPr>
        <w:spacing w:after="0" w:line="240" w:lineRule="auto"/>
        <w:jc w:val="left"/>
        <w:rPr>
          <w:bCs/>
          <w:sz w:val="24"/>
          <w:szCs w:val="24"/>
        </w:rPr>
      </w:pPr>
      <w:r w:rsidRPr="00FD65F9">
        <w:rPr>
          <w:b/>
          <w:sz w:val="24"/>
          <w:szCs w:val="24"/>
        </w:rPr>
        <w:t>Date Filed:</w:t>
      </w:r>
      <w:r w:rsidRPr="00FD65F9">
        <w:rPr>
          <w:sz w:val="24"/>
          <w:szCs w:val="24"/>
        </w:rPr>
        <w:t xml:space="preserve">  May 22, 2023</w:t>
      </w:r>
    </w:p>
    <w:p w14:paraId="0361F91D" w14:textId="77777777" w:rsidR="00FD65F9" w:rsidRPr="00FD65F9" w:rsidRDefault="00FD65F9" w:rsidP="00FD65F9">
      <w:pPr>
        <w:spacing w:after="0" w:line="240" w:lineRule="auto"/>
        <w:jc w:val="left"/>
        <w:rPr>
          <w:b/>
          <w:sz w:val="24"/>
          <w:szCs w:val="24"/>
        </w:rPr>
      </w:pPr>
      <w:r w:rsidRPr="00FD65F9">
        <w:rPr>
          <w:b/>
          <w:sz w:val="24"/>
          <w:szCs w:val="24"/>
        </w:rPr>
        <w:t xml:space="preserve">__________________________________________________________ </w:t>
      </w:r>
    </w:p>
    <w:p w14:paraId="609E7518" w14:textId="77777777" w:rsidR="00FD65F9" w:rsidRPr="00FD65F9" w:rsidRDefault="00FD65F9" w:rsidP="00FD65F9">
      <w:pPr>
        <w:spacing w:after="0" w:line="240" w:lineRule="auto"/>
        <w:jc w:val="left"/>
        <w:rPr>
          <w:b/>
          <w:sz w:val="24"/>
          <w:szCs w:val="24"/>
        </w:rPr>
      </w:pPr>
    </w:p>
    <w:p w14:paraId="39FF1653" w14:textId="77777777" w:rsidR="00FD65F9" w:rsidRPr="00FD65F9" w:rsidRDefault="00FD65F9" w:rsidP="00FD65F9">
      <w:pPr>
        <w:spacing w:after="0" w:line="240" w:lineRule="auto"/>
        <w:jc w:val="left"/>
        <w:rPr>
          <w:bCs/>
          <w:sz w:val="24"/>
          <w:szCs w:val="24"/>
        </w:rPr>
      </w:pPr>
      <w:r w:rsidRPr="00FD65F9">
        <w:rPr>
          <w:b/>
          <w:sz w:val="24"/>
          <w:szCs w:val="24"/>
        </w:rPr>
        <w:t xml:space="preserve">Court:  </w:t>
      </w:r>
      <w:r w:rsidRPr="00FD65F9">
        <w:rPr>
          <w:bCs/>
          <w:sz w:val="24"/>
          <w:szCs w:val="24"/>
        </w:rPr>
        <w:t>Superior</w:t>
      </w:r>
      <w:r w:rsidRPr="00FD65F9">
        <w:rPr>
          <w:b/>
          <w:sz w:val="24"/>
          <w:szCs w:val="24"/>
        </w:rPr>
        <w:t xml:space="preserve"> </w:t>
      </w:r>
    </w:p>
    <w:p w14:paraId="0A084A9E" w14:textId="77777777" w:rsidR="00FD65F9" w:rsidRPr="00FD65F9" w:rsidRDefault="00FD65F9" w:rsidP="00FD65F9">
      <w:pPr>
        <w:spacing w:after="0" w:line="240" w:lineRule="auto"/>
        <w:jc w:val="left"/>
        <w:rPr>
          <w:bCs/>
          <w:sz w:val="24"/>
          <w:szCs w:val="24"/>
        </w:rPr>
      </w:pPr>
      <w:r w:rsidRPr="00FD65F9">
        <w:rPr>
          <w:b/>
          <w:sz w:val="24"/>
          <w:szCs w:val="24"/>
        </w:rPr>
        <w:t xml:space="preserve">County:  </w:t>
      </w:r>
      <w:r w:rsidRPr="00FD65F9">
        <w:rPr>
          <w:bCs/>
          <w:sz w:val="24"/>
          <w:szCs w:val="24"/>
        </w:rPr>
        <w:t>Orange</w:t>
      </w:r>
    </w:p>
    <w:p w14:paraId="7B23486A" w14:textId="77777777" w:rsidR="00FD65F9" w:rsidRPr="00FD65F9" w:rsidRDefault="00FD65F9" w:rsidP="00FD65F9">
      <w:pPr>
        <w:spacing w:after="0" w:line="240" w:lineRule="auto"/>
        <w:ind w:left="720" w:hanging="720"/>
        <w:jc w:val="left"/>
        <w:rPr>
          <w:bCs/>
          <w:sz w:val="24"/>
          <w:szCs w:val="24"/>
        </w:rPr>
      </w:pPr>
      <w:r w:rsidRPr="00FD65F9">
        <w:rPr>
          <w:b/>
          <w:sz w:val="24"/>
          <w:szCs w:val="24"/>
        </w:rPr>
        <w:t xml:space="preserve">Judge: </w:t>
      </w:r>
      <w:r w:rsidRPr="00FD65F9">
        <w:rPr>
          <w:bCs/>
          <w:sz w:val="24"/>
          <w:szCs w:val="24"/>
        </w:rPr>
        <w:t xml:space="preserve"> Martha K. Gooding</w:t>
      </w:r>
    </w:p>
    <w:p w14:paraId="139E137B" w14:textId="77777777" w:rsidR="00FD65F9" w:rsidRPr="00FD65F9" w:rsidRDefault="00FD65F9" w:rsidP="00FD65F9">
      <w:pPr>
        <w:spacing w:after="0" w:line="240" w:lineRule="auto"/>
        <w:jc w:val="left"/>
        <w:rPr>
          <w:b/>
          <w:sz w:val="24"/>
          <w:szCs w:val="24"/>
        </w:rPr>
      </w:pPr>
      <w:r w:rsidRPr="00FD65F9">
        <w:rPr>
          <w:b/>
          <w:sz w:val="24"/>
          <w:szCs w:val="24"/>
        </w:rPr>
        <w:t xml:space="preserve">__________________________________________________________  </w:t>
      </w:r>
    </w:p>
    <w:p w14:paraId="325E0AA9" w14:textId="77777777" w:rsidR="00FD65F9" w:rsidRPr="00FD65F9" w:rsidRDefault="00FD65F9" w:rsidP="00FD65F9">
      <w:pPr>
        <w:spacing w:after="0" w:line="240" w:lineRule="auto"/>
        <w:jc w:val="left"/>
        <w:rPr>
          <w:b/>
          <w:sz w:val="24"/>
          <w:szCs w:val="24"/>
        </w:rPr>
      </w:pPr>
    </w:p>
    <w:p w14:paraId="5CCBB8FA" w14:textId="77777777" w:rsidR="00FD65F9" w:rsidRPr="00FD65F9" w:rsidRDefault="00FD65F9" w:rsidP="00FD65F9">
      <w:pPr>
        <w:spacing w:after="0" w:line="240" w:lineRule="auto"/>
        <w:jc w:val="left"/>
        <w:rPr>
          <w:b/>
          <w:sz w:val="24"/>
          <w:szCs w:val="24"/>
        </w:rPr>
      </w:pPr>
      <w:r w:rsidRPr="00FD65F9">
        <w:rPr>
          <w:b/>
          <w:sz w:val="24"/>
          <w:szCs w:val="24"/>
        </w:rPr>
        <w:t>Counsel:</w:t>
      </w:r>
    </w:p>
    <w:p w14:paraId="0E8448E2" w14:textId="77777777" w:rsidR="00FD65F9" w:rsidRPr="00FD65F9" w:rsidRDefault="00FD65F9" w:rsidP="00FD65F9">
      <w:pPr>
        <w:spacing w:after="0" w:line="240" w:lineRule="auto"/>
        <w:jc w:val="left"/>
        <w:rPr>
          <w:bCs/>
          <w:sz w:val="24"/>
          <w:szCs w:val="24"/>
        </w:rPr>
      </w:pPr>
    </w:p>
    <w:p w14:paraId="03ECB576" w14:textId="77777777" w:rsidR="00FD65F9" w:rsidRPr="00FD65F9" w:rsidRDefault="00FD65F9" w:rsidP="00FD65F9">
      <w:pPr>
        <w:spacing w:after="0" w:line="240" w:lineRule="auto"/>
        <w:jc w:val="left"/>
        <w:rPr>
          <w:color w:val="212121"/>
          <w:sz w:val="24"/>
          <w:szCs w:val="24"/>
          <w:shd w:val="clear" w:color="auto" w:fill="FFFFFF"/>
        </w:rPr>
      </w:pPr>
      <w:r w:rsidRPr="00FD65F9">
        <w:rPr>
          <w:color w:val="212121"/>
          <w:sz w:val="24"/>
          <w:szCs w:val="24"/>
          <w:shd w:val="clear" w:color="auto" w:fill="FFFFFF"/>
        </w:rPr>
        <w:t>Nicholas Patrick Seitz for Plaintiff and Appellant.</w:t>
      </w:r>
    </w:p>
    <w:p w14:paraId="2AFA1B8D" w14:textId="77777777" w:rsidR="00FD65F9" w:rsidRPr="00FD65F9" w:rsidRDefault="00FD65F9" w:rsidP="00FD65F9">
      <w:pPr>
        <w:spacing w:after="0" w:line="240" w:lineRule="auto"/>
        <w:jc w:val="left"/>
        <w:rPr>
          <w:color w:val="212121"/>
          <w:sz w:val="24"/>
          <w:szCs w:val="24"/>
          <w:shd w:val="clear" w:color="auto" w:fill="FFFFFF"/>
        </w:rPr>
      </w:pPr>
    </w:p>
    <w:p w14:paraId="57FFC617" w14:textId="77777777" w:rsidR="00FD65F9" w:rsidRPr="00FD65F9" w:rsidRDefault="00FD65F9" w:rsidP="00FD65F9">
      <w:pPr>
        <w:spacing w:after="0" w:line="240" w:lineRule="auto"/>
        <w:jc w:val="left"/>
        <w:rPr>
          <w:color w:val="212121"/>
          <w:sz w:val="24"/>
          <w:szCs w:val="24"/>
          <w:shd w:val="clear" w:color="auto" w:fill="FFFFFF"/>
        </w:rPr>
      </w:pPr>
      <w:r w:rsidRPr="00FD65F9">
        <w:rPr>
          <w:color w:val="212121"/>
          <w:sz w:val="24"/>
          <w:szCs w:val="24"/>
          <w:shd w:val="clear" w:color="auto" w:fill="FFFFFF"/>
        </w:rPr>
        <w:t>No appearance for Defendant and Respondent.</w:t>
      </w:r>
    </w:p>
    <w:p w14:paraId="0A5F4058" w14:textId="77777777" w:rsidR="00FD65F9" w:rsidRPr="00FD65F9" w:rsidRDefault="00FD65F9" w:rsidP="00FD65F9">
      <w:pPr>
        <w:spacing w:after="0" w:line="240" w:lineRule="auto"/>
        <w:jc w:val="left"/>
        <w:rPr>
          <w:color w:val="212121"/>
          <w:sz w:val="24"/>
          <w:szCs w:val="24"/>
          <w:shd w:val="clear" w:color="auto" w:fill="FFFFFF"/>
        </w:rPr>
      </w:pPr>
    </w:p>
    <w:p w14:paraId="0334173C" w14:textId="77777777" w:rsidR="00FD65F9" w:rsidRPr="00FD65F9" w:rsidRDefault="00FD65F9" w:rsidP="00FD65F9">
      <w:pPr>
        <w:spacing w:after="0" w:line="240" w:lineRule="auto"/>
        <w:jc w:val="left"/>
        <w:rPr>
          <w:color w:val="212121"/>
          <w:sz w:val="24"/>
          <w:szCs w:val="24"/>
          <w:shd w:val="clear" w:color="auto" w:fill="FFFFFF"/>
        </w:rPr>
      </w:pPr>
      <w:r w:rsidRPr="00FD65F9">
        <w:rPr>
          <w:color w:val="212121"/>
          <w:sz w:val="24"/>
          <w:szCs w:val="24"/>
          <w:shd w:val="clear" w:color="auto" w:fill="FFFFFF"/>
        </w:rPr>
        <w:t xml:space="preserve">Horvitz &amp; Levy, Christopher D. Hu, </w:t>
      </w:r>
      <w:r w:rsidRPr="00FD65F9" w:rsidDel="003866EE">
        <w:rPr>
          <w:color w:val="212121"/>
          <w:sz w:val="24"/>
          <w:szCs w:val="24"/>
          <w:shd w:val="clear" w:color="auto" w:fill="FFFFFF"/>
        </w:rPr>
        <w:t>Bradley S. Pauley</w:t>
      </w:r>
      <w:r w:rsidRPr="00FD65F9">
        <w:rPr>
          <w:color w:val="212121"/>
          <w:sz w:val="24"/>
          <w:szCs w:val="24"/>
          <w:shd w:val="clear" w:color="auto" w:fill="FFFFFF"/>
        </w:rPr>
        <w:t xml:space="preserve"> and</w:t>
      </w:r>
      <w:r w:rsidRPr="00FD65F9" w:rsidDel="003866EE">
        <w:rPr>
          <w:color w:val="212121"/>
          <w:sz w:val="24"/>
          <w:szCs w:val="24"/>
          <w:shd w:val="clear" w:color="auto" w:fill="FFFFFF"/>
        </w:rPr>
        <w:t xml:space="preserve"> Beth J. Jay</w:t>
      </w:r>
      <w:r w:rsidRPr="00FD65F9">
        <w:rPr>
          <w:color w:val="FF0000"/>
          <w:sz w:val="24"/>
          <w:szCs w:val="24"/>
          <w:shd w:val="clear" w:color="auto" w:fill="FFFFFF"/>
        </w:rPr>
        <w:t xml:space="preserve"> </w:t>
      </w:r>
      <w:r w:rsidRPr="00FD65F9">
        <w:rPr>
          <w:sz w:val="24"/>
          <w:szCs w:val="24"/>
          <w:shd w:val="clear" w:color="auto" w:fill="FFFFFF"/>
        </w:rPr>
        <w:t>as Amicus Curiae upon the request of the Supreme Court</w:t>
      </w:r>
      <w:r w:rsidRPr="00FD65F9">
        <w:rPr>
          <w:color w:val="212121"/>
          <w:sz w:val="24"/>
          <w:szCs w:val="24"/>
          <w:shd w:val="clear" w:color="auto" w:fill="FFFFFF"/>
        </w:rPr>
        <w:t>.</w:t>
      </w:r>
    </w:p>
    <w:p w14:paraId="006C132C" w14:textId="77777777" w:rsidR="00FD65F9" w:rsidRPr="00FD65F9" w:rsidRDefault="00FD65F9" w:rsidP="00FD65F9">
      <w:pPr>
        <w:spacing w:after="0" w:line="240" w:lineRule="auto"/>
        <w:jc w:val="left"/>
        <w:rPr>
          <w:b/>
          <w:sz w:val="24"/>
          <w:szCs w:val="24"/>
        </w:rPr>
      </w:pPr>
      <w:r w:rsidRPr="00FD65F9">
        <w:rPr>
          <w:color w:val="212121"/>
          <w:sz w:val="24"/>
          <w:szCs w:val="24"/>
          <w:shd w:val="clear" w:color="auto" w:fill="FFFFFF"/>
        </w:rPr>
        <w:br w:type="page"/>
      </w:r>
      <w:r w:rsidRPr="00FD65F9">
        <w:rPr>
          <w:b/>
          <w:sz w:val="24"/>
          <w:szCs w:val="24"/>
        </w:rPr>
        <w:t>Counsel who argued in Supreme Court (not intended for publication with opinion):</w:t>
      </w:r>
    </w:p>
    <w:p w14:paraId="4D281F35" w14:textId="77777777" w:rsidR="00FD65F9" w:rsidRPr="00FD65F9" w:rsidRDefault="00FD65F9" w:rsidP="00FD65F9">
      <w:pPr>
        <w:spacing w:after="0" w:line="240" w:lineRule="auto"/>
        <w:jc w:val="left"/>
        <w:rPr>
          <w:b/>
          <w:sz w:val="24"/>
          <w:szCs w:val="24"/>
        </w:rPr>
      </w:pPr>
    </w:p>
    <w:p w14:paraId="174202C7" w14:textId="77777777" w:rsidR="00FD65F9" w:rsidRPr="00FD65F9" w:rsidRDefault="00FD65F9" w:rsidP="00FD65F9">
      <w:pPr>
        <w:spacing w:after="0" w:line="240" w:lineRule="auto"/>
        <w:jc w:val="left"/>
        <w:rPr>
          <w:sz w:val="24"/>
          <w:szCs w:val="24"/>
        </w:rPr>
      </w:pPr>
      <w:r w:rsidRPr="00FD65F9">
        <w:rPr>
          <w:sz w:val="24"/>
          <w:szCs w:val="24"/>
        </w:rPr>
        <w:t>Nicholas Patrick Seitz</w:t>
      </w:r>
    </w:p>
    <w:p w14:paraId="5A713A73" w14:textId="77777777" w:rsidR="00FD65F9" w:rsidRPr="00FD65F9" w:rsidRDefault="00FD65F9" w:rsidP="00FD65F9">
      <w:pPr>
        <w:spacing w:after="0" w:line="240" w:lineRule="auto"/>
        <w:jc w:val="left"/>
        <w:rPr>
          <w:sz w:val="24"/>
          <w:szCs w:val="24"/>
        </w:rPr>
      </w:pPr>
      <w:r w:rsidRPr="00FD65F9">
        <w:rPr>
          <w:sz w:val="24"/>
          <w:szCs w:val="24"/>
        </w:rPr>
        <w:t>Department of Industrial Relations, Division of Labor Standards Enforcement</w:t>
      </w:r>
    </w:p>
    <w:p w14:paraId="44DC236C" w14:textId="77777777" w:rsidR="00FD65F9" w:rsidRPr="00FD65F9" w:rsidRDefault="00FD65F9" w:rsidP="00FD65F9">
      <w:pPr>
        <w:spacing w:after="0" w:line="240" w:lineRule="auto"/>
        <w:jc w:val="left"/>
        <w:rPr>
          <w:sz w:val="24"/>
          <w:szCs w:val="24"/>
        </w:rPr>
      </w:pPr>
      <w:r w:rsidRPr="00FD65F9">
        <w:rPr>
          <w:sz w:val="24"/>
          <w:szCs w:val="24"/>
        </w:rPr>
        <w:t>464 West 4th Street, Suite 348</w:t>
      </w:r>
    </w:p>
    <w:p w14:paraId="4C47B150" w14:textId="77777777" w:rsidR="00FD65F9" w:rsidRPr="00FD65F9" w:rsidRDefault="00FD65F9" w:rsidP="00FD65F9">
      <w:pPr>
        <w:spacing w:after="0" w:line="240" w:lineRule="auto"/>
        <w:jc w:val="left"/>
        <w:rPr>
          <w:sz w:val="24"/>
          <w:szCs w:val="24"/>
        </w:rPr>
      </w:pPr>
      <w:r w:rsidRPr="00FD65F9">
        <w:rPr>
          <w:sz w:val="24"/>
          <w:szCs w:val="24"/>
        </w:rPr>
        <w:t>San Bernardino, CA 92401</w:t>
      </w:r>
    </w:p>
    <w:p w14:paraId="756A240C" w14:textId="77777777" w:rsidR="00FD65F9" w:rsidRPr="00FD65F9" w:rsidRDefault="00FD65F9" w:rsidP="00FD65F9">
      <w:pPr>
        <w:spacing w:after="0" w:line="240" w:lineRule="auto"/>
        <w:jc w:val="left"/>
        <w:rPr>
          <w:sz w:val="24"/>
          <w:szCs w:val="24"/>
        </w:rPr>
      </w:pPr>
      <w:r w:rsidRPr="00FD65F9">
        <w:rPr>
          <w:sz w:val="24"/>
          <w:szCs w:val="24"/>
        </w:rPr>
        <w:t>(909) 521-3853</w:t>
      </w:r>
    </w:p>
    <w:p w14:paraId="03F5E656" w14:textId="77777777" w:rsidR="00FD65F9" w:rsidRPr="00FD65F9" w:rsidRDefault="00FD65F9" w:rsidP="00FD65F9">
      <w:pPr>
        <w:spacing w:after="0" w:line="240" w:lineRule="auto"/>
        <w:jc w:val="left"/>
        <w:rPr>
          <w:sz w:val="24"/>
          <w:szCs w:val="24"/>
        </w:rPr>
      </w:pPr>
    </w:p>
    <w:p w14:paraId="0B921C08" w14:textId="77777777" w:rsidR="00FD65F9" w:rsidRPr="00FD65F9" w:rsidRDefault="00FD65F9" w:rsidP="00FD65F9">
      <w:pPr>
        <w:spacing w:after="0" w:line="240" w:lineRule="auto"/>
        <w:jc w:val="left"/>
        <w:rPr>
          <w:color w:val="212121"/>
          <w:sz w:val="24"/>
          <w:szCs w:val="24"/>
          <w:shd w:val="clear" w:color="auto" w:fill="FFFFFF"/>
        </w:rPr>
      </w:pPr>
      <w:r w:rsidRPr="00FD65F9">
        <w:rPr>
          <w:color w:val="212121"/>
          <w:sz w:val="24"/>
          <w:szCs w:val="24"/>
          <w:shd w:val="clear" w:color="auto" w:fill="FFFFFF"/>
        </w:rPr>
        <w:t>Christopher D. Hu</w:t>
      </w:r>
    </w:p>
    <w:p w14:paraId="7F4A0784" w14:textId="77777777" w:rsidR="00FD65F9" w:rsidRPr="00FD65F9" w:rsidRDefault="00FD65F9" w:rsidP="00FD65F9">
      <w:pPr>
        <w:spacing w:after="0" w:line="240" w:lineRule="auto"/>
        <w:jc w:val="left"/>
        <w:rPr>
          <w:color w:val="212121"/>
          <w:sz w:val="24"/>
          <w:szCs w:val="24"/>
          <w:shd w:val="clear" w:color="auto" w:fill="FFFFFF"/>
        </w:rPr>
      </w:pPr>
      <w:r w:rsidRPr="00FD65F9">
        <w:rPr>
          <w:color w:val="212121"/>
          <w:sz w:val="24"/>
          <w:szCs w:val="24"/>
          <w:shd w:val="clear" w:color="auto" w:fill="FFFFFF"/>
        </w:rPr>
        <w:t>Horvitz &amp; Levy LLP</w:t>
      </w:r>
    </w:p>
    <w:p w14:paraId="560F3E06" w14:textId="77777777" w:rsidR="00FD65F9" w:rsidRPr="00FD65F9" w:rsidRDefault="00FD65F9" w:rsidP="00FD65F9">
      <w:pPr>
        <w:spacing w:after="0" w:line="240" w:lineRule="auto"/>
        <w:jc w:val="left"/>
        <w:rPr>
          <w:sz w:val="24"/>
          <w:szCs w:val="24"/>
        </w:rPr>
      </w:pPr>
      <w:r w:rsidRPr="00FD65F9">
        <w:rPr>
          <w:sz w:val="24"/>
          <w:szCs w:val="24"/>
        </w:rPr>
        <w:t>505 Sansome Street, Suite 375</w:t>
      </w:r>
    </w:p>
    <w:p w14:paraId="21CB5BC0" w14:textId="77777777" w:rsidR="00FD65F9" w:rsidRPr="00FD65F9" w:rsidRDefault="00FD65F9" w:rsidP="00FD65F9">
      <w:pPr>
        <w:spacing w:after="0" w:line="240" w:lineRule="auto"/>
        <w:jc w:val="left"/>
        <w:rPr>
          <w:sz w:val="24"/>
          <w:szCs w:val="24"/>
        </w:rPr>
      </w:pPr>
      <w:r w:rsidRPr="00FD65F9">
        <w:rPr>
          <w:sz w:val="24"/>
          <w:szCs w:val="24"/>
        </w:rPr>
        <w:t>San Francisco, CA 94111-3175</w:t>
      </w:r>
    </w:p>
    <w:p w14:paraId="118B99FD" w14:textId="77777777" w:rsidR="00FD65F9" w:rsidRPr="00FD65F9" w:rsidRDefault="00FD65F9" w:rsidP="00FD65F9">
      <w:pPr>
        <w:spacing w:after="0" w:line="240" w:lineRule="auto"/>
        <w:jc w:val="left"/>
        <w:rPr>
          <w:sz w:val="24"/>
          <w:szCs w:val="24"/>
        </w:rPr>
      </w:pPr>
      <w:r w:rsidRPr="00FD65F9">
        <w:rPr>
          <w:sz w:val="24"/>
          <w:szCs w:val="24"/>
        </w:rPr>
        <w:t>(415) 462-5600</w:t>
      </w:r>
    </w:p>
    <w:p w14:paraId="01301F12" w14:textId="77777777" w:rsidR="00A37FE3" w:rsidRPr="007F5239" w:rsidRDefault="00A37FE3">
      <w:pPr>
        <w:spacing w:after="0" w:line="240" w:lineRule="auto"/>
        <w:jc w:val="left"/>
        <w:rPr>
          <w:bCs/>
        </w:rPr>
      </w:pPr>
    </w:p>
    <w:sectPr w:rsidR="00A37FE3" w:rsidRPr="007F5239" w:rsidSect="00EC2BB8">
      <w:headerReference w:type="even" r:id="rId15"/>
      <w:headerReference w:type="default" r:id="rId16"/>
      <w:footerReference w:type="even" r:id="rId17"/>
      <w:footerReference w:type="default" r:id="rId18"/>
      <w:headerReference w:type="first" r:id="rId19"/>
      <w:footerReference w:type="first" r:id="rId20"/>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8B74" w14:textId="77777777" w:rsidR="0020231E" w:rsidRDefault="0020231E">
      <w:r>
        <w:separator/>
      </w:r>
    </w:p>
  </w:endnote>
  <w:endnote w:type="continuationSeparator" w:id="0">
    <w:p w14:paraId="0D90F76F" w14:textId="77777777" w:rsidR="0020231E" w:rsidRDefault="0020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878B8" w14:textId="77777777" w:rsidR="00D9752C" w:rsidRDefault="00D97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CBE10" w14:textId="77777777" w:rsidR="00493462" w:rsidRDefault="006A4F83">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CC65F" w14:textId="77777777" w:rsidR="00D9752C" w:rsidRDefault="00D975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51C69" w14:textId="77777777" w:rsidR="00E349D9" w:rsidRDefault="00E349D9">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7B65" w14:textId="77777777" w:rsidR="0025500B" w:rsidRDefault="00D975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A738" w14:textId="77777777" w:rsidR="0025500B" w:rsidRDefault="00D975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3E38" w14:textId="77777777" w:rsidR="0025500B" w:rsidRDefault="00D9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B9166" w14:textId="77777777" w:rsidR="0020231E" w:rsidRDefault="0020231E">
      <w:r>
        <w:separator/>
      </w:r>
    </w:p>
  </w:footnote>
  <w:footnote w:type="continuationSeparator" w:id="0">
    <w:p w14:paraId="5C9DA8DB" w14:textId="77777777" w:rsidR="0020231E" w:rsidRDefault="0020231E">
      <w:pPr>
        <w:rPr>
          <w:sz w:val="22"/>
        </w:rPr>
      </w:pPr>
      <w:r>
        <w:continuationSeparator/>
      </w:r>
    </w:p>
  </w:footnote>
  <w:footnote w:type="continuationNotice" w:id="1">
    <w:p w14:paraId="3A6139A3" w14:textId="77777777" w:rsidR="0020231E" w:rsidRDefault="0020231E">
      <w:pPr>
        <w:jc w:val="right"/>
        <w:rPr>
          <w: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210F" w14:textId="77777777" w:rsidR="00D9752C" w:rsidRDefault="00D97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98942" w14:textId="0503DA4B" w:rsidR="00E349D9" w:rsidRDefault="009B0AFD">
    <w:pPr>
      <w:pStyle w:val="Header"/>
    </w:pPr>
    <w:r>
      <w:t xml:space="preserve">PEOPLE ex rel. </w:t>
    </w:r>
    <w:r w:rsidR="00F42ACB">
      <w:t>GARCIA-BROWER</w:t>
    </w:r>
    <w:r w:rsidR="00E349D9">
      <w:t xml:space="preserve"> v. KOLLA’S</w:t>
    </w:r>
    <w:r>
      <w:t>, INC.</w:t>
    </w:r>
  </w:p>
  <w:p w14:paraId="2B40EAFE" w14:textId="24A6F512" w:rsidR="00E349D9" w:rsidRDefault="00E349D9">
    <w:pPr>
      <w:pStyle w:val="Header"/>
    </w:pPr>
    <w:r>
      <w:t xml:space="preserve">Opinion of the Court by </w:t>
    </w:r>
    <w:r w:rsidR="003E18D2">
      <w:t>Liu, J.</w:t>
    </w:r>
  </w:p>
  <w:p w14:paraId="328F050A" w14:textId="77777777" w:rsidR="00E349D9" w:rsidRDefault="00E349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0BE" w14:textId="77777777" w:rsidR="00D9752C" w:rsidRDefault="00D975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2C18" w14:textId="77777777" w:rsidR="0025500B" w:rsidRDefault="00D975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74CA" w14:textId="77777777" w:rsidR="0025500B" w:rsidRDefault="00D9752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4276" w14:textId="77777777" w:rsidR="0025500B" w:rsidRDefault="00D97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C9C"/>
    <w:multiLevelType w:val="hybridMultilevel"/>
    <w:tmpl w:val="D422C756"/>
    <w:lvl w:ilvl="0" w:tplc="6FD24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AA32A1"/>
    <w:multiLevelType w:val="hybridMultilevel"/>
    <w:tmpl w:val="9F48170A"/>
    <w:lvl w:ilvl="0" w:tplc="5F7C9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1A1C48"/>
    <w:multiLevelType w:val="hybridMultilevel"/>
    <w:tmpl w:val="A154B0F6"/>
    <w:lvl w:ilvl="0" w:tplc="AD808700">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D10B1"/>
    <w:multiLevelType w:val="hybridMultilevel"/>
    <w:tmpl w:val="370C2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B1267"/>
    <w:multiLevelType w:val="hybridMultilevel"/>
    <w:tmpl w:val="FAD686AA"/>
    <w:lvl w:ilvl="0" w:tplc="41D60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6B19D8"/>
    <w:multiLevelType w:val="hybridMultilevel"/>
    <w:tmpl w:val="1EC484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84F22"/>
    <w:multiLevelType w:val="hybridMultilevel"/>
    <w:tmpl w:val="2B3AA6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32C5A"/>
    <w:multiLevelType w:val="hybridMultilevel"/>
    <w:tmpl w:val="45B46F1C"/>
    <w:lvl w:ilvl="0" w:tplc="1374B460">
      <w:start w:val="3"/>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925F71"/>
    <w:multiLevelType w:val="hybridMultilevel"/>
    <w:tmpl w:val="5DB8E6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2403507"/>
    <w:multiLevelType w:val="hybridMultilevel"/>
    <w:tmpl w:val="E50EEF6A"/>
    <w:lvl w:ilvl="0" w:tplc="004EFF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4EF6E5D"/>
    <w:multiLevelType w:val="hybridMultilevel"/>
    <w:tmpl w:val="E3C48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E509A5"/>
    <w:multiLevelType w:val="hybridMultilevel"/>
    <w:tmpl w:val="6E4E10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45F2E"/>
    <w:multiLevelType w:val="hybridMultilevel"/>
    <w:tmpl w:val="5010DBE8"/>
    <w:lvl w:ilvl="0" w:tplc="24E257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661137">
    <w:abstractNumId w:val="9"/>
  </w:num>
  <w:num w:numId="2" w16cid:durableId="870920984">
    <w:abstractNumId w:val="5"/>
  </w:num>
  <w:num w:numId="3" w16cid:durableId="319698878">
    <w:abstractNumId w:val="8"/>
  </w:num>
  <w:num w:numId="4" w16cid:durableId="658966447">
    <w:abstractNumId w:val="12"/>
  </w:num>
  <w:num w:numId="5" w16cid:durableId="1410153053">
    <w:abstractNumId w:val="4"/>
  </w:num>
  <w:num w:numId="6" w16cid:durableId="1631325170">
    <w:abstractNumId w:val="0"/>
  </w:num>
  <w:num w:numId="7" w16cid:durableId="211188703">
    <w:abstractNumId w:val="6"/>
  </w:num>
  <w:num w:numId="8" w16cid:durableId="2133622442">
    <w:abstractNumId w:val="11"/>
  </w:num>
  <w:num w:numId="9" w16cid:durableId="40398318">
    <w:abstractNumId w:val="1"/>
  </w:num>
  <w:num w:numId="10" w16cid:durableId="1820612176">
    <w:abstractNumId w:val="7"/>
  </w:num>
  <w:num w:numId="11" w16cid:durableId="811483552">
    <w:abstractNumId w:val="2"/>
  </w:num>
  <w:num w:numId="12" w16cid:durableId="1159422131">
    <w:abstractNumId w:val="3"/>
  </w:num>
  <w:num w:numId="13" w16cid:durableId="204487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intFractionalCharacterWidth/>
  <w:activeWritingStyle w:appName="MSWord" w:lang="en-US" w:vendorID="64" w:dllVersion="5" w:nlCheck="1" w:checkStyle="1"/>
  <w:activeWritingStyle w:appName="MSWord" w:lang="en-US" w:vendorID="64" w:dllVersion="0" w:nlCheck="1" w:checkStyle="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21"/>
    <w:rsid w:val="000009DD"/>
    <w:rsid w:val="00001DCD"/>
    <w:rsid w:val="000026F4"/>
    <w:rsid w:val="00003562"/>
    <w:rsid w:val="00004BBB"/>
    <w:rsid w:val="0000512C"/>
    <w:rsid w:val="000053EA"/>
    <w:rsid w:val="0000636F"/>
    <w:rsid w:val="00006938"/>
    <w:rsid w:val="000078C2"/>
    <w:rsid w:val="00007C0D"/>
    <w:rsid w:val="000101E9"/>
    <w:rsid w:val="0001049D"/>
    <w:rsid w:val="00010794"/>
    <w:rsid w:val="0001367B"/>
    <w:rsid w:val="000142F9"/>
    <w:rsid w:val="00014731"/>
    <w:rsid w:val="00014AF4"/>
    <w:rsid w:val="00014CE8"/>
    <w:rsid w:val="000167BA"/>
    <w:rsid w:val="000212D5"/>
    <w:rsid w:val="000216C1"/>
    <w:rsid w:val="000236DF"/>
    <w:rsid w:val="00023BDD"/>
    <w:rsid w:val="00023FEA"/>
    <w:rsid w:val="00024A76"/>
    <w:rsid w:val="000257DB"/>
    <w:rsid w:val="000257F7"/>
    <w:rsid w:val="000258FF"/>
    <w:rsid w:val="000267C8"/>
    <w:rsid w:val="0002685C"/>
    <w:rsid w:val="00027076"/>
    <w:rsid w:val="000270D2"/>
    <w:rsid w:val="00030313"/>
    <w:rsid w:val="000305DA"/>
    <w:rsid w:val="00030939"/>
    <w:rsid w:val="00030F88"/>
    <w:rsid w:val="0003108C"/>
    <w:rsid w:val="000313F6"/>
    <w:rsid w:val="00031C1F"/>
    <w:rsid w:val="00031E76"/>
    <w:rsid w:val="00031F98"/>
    <w:rsid w:val="0003206A"/>
    <w:rsid w:val="00032351"/>
    <w:rsid w:val="000344AD"/>
    <w:rsid w:val="00034894"/>
    <w:rsid w:val="00034B4E"/>
    <w:rsid w:val="00034D7C"/>
    <w:rsid w:val="00035128"/>
    <w:rsid w:val="000356EA"/>
    <w:rsid w:val="000359AF"/>
    <w:rsid w:val="00035E19"/>
    <w:rsid w:val="00036250"/>
    <w:rsid w:val="00036672"/>
    <w:rsid w:val="000406C2"/>
    <w:rsid w:val="000408F4"/>
    <w:rsid w:val="00041008"/>
    <w:rsid w:val="00041108"/>
    <w:rsid w:val="000422D2"/>
    <w:rsid w:val="00042ED5"/>
    <w:rsid w:val="00043D92"/>
    <w:rsid w:val="0004454F"/>
    <w:rsid w:val="00044B2E"/>
    <w:rsid w:val="00045213"/>
    <w:rsid w:val="0004619C"/>
    <w:rsid w:val="0004696F"/>
    <w:rsid w:val="00046ADE"/>
    <w:rsid w:val="00047798"/>
    <w:rsid w:val="00050960"/>
    <w:rsid w:val="000518A8"/>
    <w:rsid w:val="000518BC"/>
    <w:rsid w:val="00054551"/>
    <w:rsid w:val="00056D75"/>
    <w:rsid w:val="00060342"/>
    <w:rsid w:val="00060955"/>
    <w:rsid w:val="00060DC3"/>
    <w:rsid w:val="00060ED7"/>
    <w:rsid w:val="000614A3"/>
    <w:rsid w:val="000615F8"/>
    <w:rsid w:val="00061698"/>
    <w:rsid w:val="00062899"/>
    <w:rsid w:val="0006362B"/>
    <w:rsid w:val="000654A4"/>
    <w:rsid w:val="00065DCC"/>
    <w:rsid w:val="0006669D"/>
    <w:rsid w:val="00066752"/>
    <w:rsid w:val="00067B04"/>
    <w:rsid w:val="0007117F"/>
    <w:rsid w:val="00072CCF"/>
    <w:rsid w:val="00073BB9"/>
    <w:rsid w:val="00074E6C"/>
    <w:rsid w:val="00075551"/>
    <w:rsid w:val="000757A7"/>
    <w:rsid w:val="00075948"/>
    <w:rsid w:val="0007674C"/>
    <w:rsid w:val="000767C0"/>
    <w:rsid w:val="00076FFE"/>
    <w:rsid w:val="000826D9"/>
    <w:rsid w:val="00083753"/>
    <w:rsid w:val="000837E1"/>
    <w:rsid w:val="00083968"/>
    <w:rsid w:val="00083AE1"/>
    <w:rsid w:val="00084D50"/>
    <w:rsid w:val="00085B33"/>
    <w:rsid w:val="000869EC"/>
    <w:rsid w:val="000873DC"/>
    <w:rsid w:val="00091900"/>
    <w:rsid w:val="000925A0"/>
    <w:rsid w:val="00093E9D"/>
    <w:rsid w:val="00094131"/>
    <w:rsid w:val="000942EE"/>
    <w:rsid w:val="00094B96"/>
    <w:rsid w:val="000957BA"/>
    <w:rsid w:val="00096214"/>
    <w:rsid w:val="00096CE7"/>
    <w:rsid w:val="00097920"/>
    <w:rsid w:val="000A023D"/>
    <w:rsid w:val="000A0279"/>
    <w:rsid w:val="000A2167"/>
    <w:rsid w:val="000A4518"/>
    <w:rsid w:val="000A5305"/>
    <w:rsid w:val="000A55E2"/>
    <w:rsid w:val="000A5EDD"/>
    <w:rsid w:val="000A621A"/>
    <w:rsid w:val="000A6753"/>
    <w:rsid w:val="000A69A9"/>
    <w:rsid w:val="000B0F12"/>
    <w:rsid w:val="000B1145"/>
    <w:rsid w:val="000B1A99"/>
    <w:rsid w:val="000B2FD3"/>
    <w:rsid w:val="000B3479"/>
    <w:rsid w:val="000B49FB"/>
    <w:rsid w:val="000B6339"/>
    <w:rsid w:val="000B7484"/>
    <w:rsid w:val="000C2285"/>
    <w:rsid w:val="000C29F8"/>
    <w:rsid w:val="000C2A41"/>
    <w:rsid w:val="000C30E4"/>
    <w:rsid w:val="000C31D0"/>
    <w:rsid w:val="000C3406"/>
    <w:rsid w:val="000C36F9"/>
    <w:rsid w:val="000C4340"/>
    <w:rsid w:val="000C5284"/>
    <w:rsid w:val="000C579B"/>
    <w:rsid w:val="000C6112"/>
    <w:rsid w:val="000C6AC9"/>
    <w:rsid w:val="000C76B0"/>
    <w:rsid w:val="000D0262"/>
    <w:rsid w:val="000D072E"/>
    <w:rsid w:val="000D39A1"/>
    <w:rsid w:val="000D4C0F"/>
    <w:rsid w:val="000D4C85"/>
    <w:rsid w:val="000D4E06"/>
    <w:rsid w:val="000D5E4B"/>
    <w:rsid w:val="000D71D3"/>
    <w:rsid w:val="000D7405"/>
    <w:rsid w:val="000D74DE"/>
    <w:rsid w:val="000D79E8"/>
    <w:rsid w:val="000E0914"/>
    <w:rsid w:val="000E0BD5"/>
    <w:rsid w:val="000E0BF1"/>
    <w:rsid w:val="000E30FA"/>
    <w:rsid w:val="000E40ED"/>
    <w:rsid w:val="000E51DD"/>
    <w:rsid w:val="000F230C"/>
    <w:rsid w:val="000F2757"/>
    <w:rsid w:val="000F4E3F"/>
    <w:rsid w:val="000F5778"/>
    <w:rsid w:val="000F65F5"/>
    <w:rsid w:val="000F687D"/>
    <w:rsid w:val="000F6FA7"/>
    <w:rsid w:val="000F7788"/>
    <w:rsid w:val="0010090C"/>
    <w:rsid w:val="0010100A"/>
    <w:rsid w:val="001012F4"/>
    <w:rsid w:val="00102F79"/>
    <w:rsid w:val="00103841"/>
    <w:rsid w:val="00103E8B"/>
    <w:rsid w:val="00105CAB"/>
    <w:rsid w:val="001061A1"/>
    <w:rsid w:val="0011115E"/>
    <w:rsid w:val="00114168"/>
    <w:rsid w:val="00114E04"/>
    <w:rsid w:val="0011593A"/>
    <w:rsid w:val="00116320"/>
    <w:rsid w:val="001174EA"/>
    <w:rsid w:val="00121E21"/>
    <w:rsid w:val="0012214E"/>
    <w:rsid w:val="00122FE1"/>
    <w:rsid w:val="001234A4"/>
    <w:rsid w:val="00124CBE"/>
    <w:rsid w:val="00125DFD"/>
    <w:rsid w:val="00126341"/>
    <w:rsid w:val="001267B2"/>
    <w:rsid w:val="0012701D"/>
    <w:rsid w:val="0012757E"/>
    <w:rsid w:val="001279C3"/>
    <w:rsid w:val="00130B0E"/>
    <w:rsid w:val="001319C8"/>
    <w:rsid w:val="00131D0E"/>
    <w:rsid w:val="00132696"/>
    <w:rsid w:val="00133971"/>
    <w:rsid w:val="001346B1"/>
    <w:rsid w:val="00134B55"/>
    <w:rsid w:val="001353B2"/>
    <w:rsid w:val="00135618"/>
    <w:rsid w:val="001374A5"/>
    <w:rsid w:val="001375D4"/>
    <w:rsid w:val="0014007B"/>
    <w:rsid w:val="00141E65"/>
    <w:rsid w:val="00141E9A"/>
    <w:rsid w:val="00141EF0"/>
    <w:rsid w:val="00142076"/>
    <w:rsid w:val="00142F37"/>
    <w:rsid w:val="00144F2B"/>
    <w:rsid w:val="001465EC"/>
    <w:rsid w:val="00146A47"/>
    <w:rsid w:val="00146BB8"/>
    <w:rsid w:val="001470AA"/>
    <w:rsid w:val="00147A50"/>
    <w:rsid w:val="00150E02"/>
    <w:rsid w:val="00151422"/>
    <w:rsid w:val="00151D8D"/>
    <w:rsid w:val="00152725"/>
    <w:rsid w:val="00152988"/>
    <w:rsid w:val="001542DF"/>
    <w:rsid w:val="00155036"/>
    <w:rsid w:val="00155CFA"/>
    <w:rsid w:val="0015655D"/>
    <w:rsid w:val="00156978"/>
    <w:rsid w:val="00157445"/>
    <w:rsid w:val="00157EB4"/>
    <w:rsid w:val="001605C6"/>
    <w:rsid w:val="001611C2"/>
    <w:rsid w:val="00162C3F"/>
    <w:rsid w:val="00163109"/>
    <w:rsid w:val="00163421"/>
    <w:rsid w:val="00163B76"/>
    <w:rsid w:val="0016518B"/>
    <w:rsid w:val="00165C42"/>
    <w:rsid w:val="00166E38"/>
    <w:rsid w:val="00171B34"/>
    <w:rsid w:val="00172A70"/>
    <w:rsid w:val="00172CF3"/>
    <w:rsid w:val="00172F1D"/>
    <w:rsid w:val="00173B48"/>
    <w:rsid w:val="00173CAA"/>
    <w:rsid w:val="00173EBF"/>
    <w:rsid w:val="00177342"/>
    <w:rsid w:val="00182036"/>
    <w:rsid w:val="001825A9"/>
    <w:rsid w:val="0018353B"/>
    <w:rsid w:val="001835DC"/>
    <w:rsid w:val="001836BD"/>
    <w:rsid w:val="00183C04"/>
    <w:rsid w:val="00183E11"/>
    <w:rsid w:val="0018484D"/>
    <w:rsid w:val="00185BF7"/>
    <w:rsid w:val="0018651C"/>
    <w:rsid w:val="00186652"/>
    <w:rsid w:val="0019088F"/>
    <w:rsid w:val="00193710"/>
    <w:rsid w:val="00193A1F"/>
    <w:rsid w:val="00193B49"/>
    <w:rsid w:val="00194B02"/>
    <w:rsid w:val="0019560B"/>
    <w:rsid w:val="00195990"/>
    <w:rsid w:val="00196236"/>
    <w:rsid w:val="00197570"/>
    <w:rsid w:val="001A10A3"/>
    <w:rsid w:val="001A17CA"/>
    <w:rsid w:val="001A2089"/>
    <w:rsid w:val="001A276E"/>
    <w:rsid w:val="001A306C"/>
    <w:rsid w:val="001A454A"/>
    <w:rsid w:val="001A5B75"/>
    <w:rsid w:val="001A6817"/>
    <w:rsid w:val="001A73E1"/>
    <w:rsid w:val="001B19C9"/>
    <w:rsid w:val="001B1EAC"/>
    <w:rsid w:val="001B2725"/>
    <w:rsid w:val="001B29DF"/>
    <w:rsid w:val="001B368B"/>
    <w:rsid w:val="001B3E46"/>
    <w:rsid w:val="001B46E5"/>
    <w:rsid w:val="001B4A86"/>
    <w:rsid w:val="001B562C"/>
    <w:rsid w:val="001B57E0"/>
    <w:rsid w:val="001B72A3"/>
    <w:rsid w:val="001B796E"/>
    <w:rsid w:val="001C0B37"/>
    <w:rsid w:val="001C107A"/>
    <w:rsid w:val="001C211E"/>
    <w:rsid w:val="001C2169"/>
    <w:rsid w:val="001C2AB4"/>
    <w:rsid w:val="001C31E2"/>
    <w:rsid w:val="001C390C"/>
    <w:rsid w:val="001C4182"/>
    <w:rsid w:val="001C5C72"/>
    <w:rsid w:val="001C6106"/>
    <w:rsid w:val="001C6A1B"/>
    <w:rsid w:val="001C6CE8"/>
    <w:rsid w:val="001D11F3"/>
    <w:rsid w:val="001D1F78"/>
    <w:rsid w:val="001D3AD4"/>
    <w:rsid w:val="001D49E4"/>
    <w:rsid w:val="001D5EF6"/>
    <w:rsid w:val="001E02E3"/>
    <w:rsid w:val="001E2115"/>
    <w:rsid w:val="001E26F3"/>
    <w:rsid w:val="001E2921"/>
    <w:rsid w:val="001E2AD6"/>
    <w:rsid w:val="001E2AED"/>
    <w:rsid w:val="001E4A6A"/>
    <w:rsid w:val="001E6242"/>
    <w:rsid w:val="001E6B6F"/>
    <w:rsid w:val="001E73FF"/>
    <w:rsid w:val="001F0056"/>
    <w:rsid w:val="001F0BE9"/>
    <w:rsid w:val="001F0CB0"/>
    <w:rsid w:val="001F0CB8"/>
    <w:rsid w:val="001F198E"/>
    <w:rsid w:val="001F200B"/>
    <w:rsid w:val="001F22DA"/>
    <w:rsid w:val="001F2871"/>
    <w:rsid w:val="001F2A53"/>
    <w:rsid w:val="001F2F66"/>
    <w:rsid w:val="001F32FF"/>
    <w:rsid w:val="001F4E6F"/>
    <w:rsid w:val="001F5DAC"/>
    <w:rsid w:val="001F6209"/>
    <w:rsid w:val="001F6262"/>
    <w:rsid w:val="00200860"/>
    <w:rsid w:val="0020231E"/>
    <w:rsid w:val="002027C9"/>
    <w:rsid w:val="002029BF"/>
    <w:rsid w:val="00203FF2"/>
    <w:rsid w:val="002053DE"/>
    <w:rsid w:val="00206322"/>
    <w:rsid w:val="0020664F"/>
    <w:rsid w:val="002108FD"/>
    <w:rsid w:val="00211BF7"/>
    <w:rsid w:val="002120BB"/>
    <w:rsid w:val="00213F6F"/>
    <w:rsid w:val="002140F1"/>
    <w:rsid w:val="00214171"/>
    <w:rsid w:val="00216F63"/>
    <w:rsid w:val="00217FE3"/>
    <w:rsid w:val="00222B10"/>
    <w:rsid w:val="00223EF9"/>
    <w:rsid w:val="00225A3A"/>
    <w:rsid w:val="002263B9"/>
    <w:rsid w:val="00227276"/>
    <w:rsid w:val="00227384"/>
    <w:rsid w:val="002279CF"/>
    <w:rsid w:val="00230E4B"/>
    <w:rsid w:val="002310C4"/>
    <w:rsid w:val="002327DC"/>
    <w:rsid w:val="0023297A"/>
    <w:rsid w:val="00232E2E"/>
    <w:rsid w:val="002335C1"/>
    <w:rsid w:val="00233665"/>
    <w:rsid w:val="0023485A"/>
    <w:rsid w:val="002352C7"/>
    <w:rsid w:val="00235604"/>
    <w:rsid w:val="00235721"/>
    <w:rsid w:val="00237F0E"/>
    <w:rsid w:val="00240239"/>
    <w:rsid w:val="0024111F"/>
    <w:rsid w:val="002415EB"/>
    <w:rsid w:val="002431FF"/>
    <w:rsid w:val="00244204"/>
    <w:rsid w:val="0024453F"/>
    <w:rsid w:val="00244778"/>
    <w:rsid w:val="002465DD"/>
    <w:rsid w:val="002474FB"/>
    <w:rsid w:val="00247B9F"/>
    <w:rsid w:val="0025011A"/>
    <w:rsid w:val="0025025C"/>
    <w:rsid w:val="002509B8"/>
    <w:rsid w:val="00250C3B"/>
    <w:rsid w:val="0025106B"/>
    <w:rsid w:val="00251086"/>
    <w:rsid w:val="002510AC"/>
    <w:rsid w:val="00251A93"/>
    <w:rsid w:val="00252992"/>
    <w:rsid w:val="00253B84"/>
    <w:rsid w:val="00255BB0"/>
    <w:rsid w:val="00257D14"/>
    <w:rsid w:val="00261C31"/>
    <w:rsid w:val="002622B8"/>
    <w:rsid w:val="002628FC"/>
    <w:rsid w:val="00263515"/>
    <w:rsid w:val="00263F3E"/>
    <w:rsid w:val="00264CB7"/>
    <w:rsid w:val="00265840"/>
    <w:rsid w:val="00265DFB"/>
    <w:rsid w:val="00266446"/>
    <w:rsid w:val="00266CD6"/>
    <w:rsid w:val="00266FEF"/>
    <w:rsid w:val="00267034"/>
    <w:rsid w:val="00270EA2"/>
    <w:rsid w:val="00271DF2"/>
    <w:rsid w:val="00272D2E"/>
    <w:rsid w:val="00273767"/>
    <w:rsid w:val="00273AE2"/>
    <w:rsid w:val="002776B4"/>
    <w:rsid w:val="0028001C"/>
    <w:rsid w:val="00280252"/>
    <w:rsid w:val="00280843"/>
    <w:rsid w:val="00281129"/>
    <w:rsid w:val="0028181F"/>
    <w:rsid w:val="00281897"/>
    <w:rsid w:val="00282929"/>
    <w:rsid w:val="0028434C"/>
    <w:rsid w:val="002851F2"/>
    <w:rsid w:val="00285574"/>
    <w:rsid w:val="002871FE"/>
    <w:rsid w:val="0029256C"/>
    <w:rsid w:val="00293910"/>
    <w:rsid w:val="002943FF"/>
    <w:rsid w:val="002945D2"/>
    <w:rsid w:val="002955A2"/>
    <w:rsid w:val="00295977"/>
    <w:rsid w:val="00295B0F"/>
    <w:rsid w:val="00295D92"/>
    <w:rsid w:val="002A045B"/>
    <w:rsid w:val="002A0F08"/>
    <w:rsid w:val="002A3609"/>
    <w:rsid w:val="002A37AF"/>
    <w:rsid w:val="002A5CB9"/>
    <w:rsid w:val="002A5E8D"/>
    <w:rsid w:val="002A61FD"/>
    <w:rsid w:val="002A6D54"/>
    <w:rsid w:val="002A73F1"/>
    <w:rsid w:val="002A7698"/>
    <w:rsid w:val="002B0A4E"/>
    <w:rsid w:val="002B1721"/>
    <w:rsid w:val="002B3166"/>
    <w:rsid w:val="002B3F5B"/>
    <w:rsid w:val="002B5709"/>
    <w:rsid w:val="002B57EE"/>
    <w:rsid w:val="002B6E6F"/>
    <w:rsid w:val="002C0054"/>
    <w:rsid w:val="002C10C4"/>
    <w:rsid w:val="002C12FD"/>
    <w:rsid w:val="002C1449"/>
    <w:rsid w:val="002C23D7"/>
    <w:rsid w:val="002C2C7C"/>
    <w:rsid w:val="002C2FA9"/>
    <w:rsid w:val="002C43E0"/>
    <w:rsid w:val="002C465C"/>
    <w:rsid w:val="002C4A1F"/>
    <w:rsid w:val="002C4DA5"/>
    <w:rsid w:val="002C53D1"/>
    <w:rsid w:val="002C596C"/>
    <w:rsid w:val="002C5D14"/>
    <w:rsid w:val="002C6ECC"/>
    <w:rsid w:val="002C6FB7"/>
    <w:rsid w:val="002C6FFC"/>
    <w:rsid w:val="002C70B6"/>
    <w:rsid w:val="002C7EB0"/>
    <w:rsid w:val="002C7F39"/>
    <w:rsid w:val="002D15D2"/>
    <w:rsid w:val="002D255D"/>
    <w:rsid w:val="002D3B10"/>
    <w:rsid w:val="002D413E"/>
    <w:rsid w:val="002D4522"/>
    <w:rsid w:val="002D5E50"/>
    <w:rsid w:val="002D62A2"/>
    <w:rsid w:val="002D6A74"/>
    <w:rsid w:val="002D7710"/>
    <w:rsid w:val="002D7E14"/>
    <w:rsid w:val="002E42D9"/>
    <w:rsid w:val="002E476E"/>
    <w:rsid w:val="002E4A3A"/>
    <w:rsid w:val="002E675A"/>
    <w:rsid w:val="002E7457"/>
    <w:rsid w:val="002F0427"/>
    <w:rsid w:val="002F0B5A"/>
    <w:rsid w:val="002F0D76"/>
    <w:rsid w:val="002F11A5"/>
    <w:rsid w:val="002F1528"/>
    <w:rsid w:val="002F185B"/>
    <w:rsid w:val="002F1B1A"/>
    <w:rsid w:val="002F1FED"/>
    <w:rsid w:val="002F2097"/>
    <w:rsid w:val="002F2748"/>
    <w:rsid w:val="002F2871"/>
    <w:rsid w:val="002F4807"/>
    <w:rsid w:val="002F539E"/>
    <w:rsid w:val="002F58DB"/>
    <w:rsid w:val="002F5CE4"/>
    <w:rsid w:val="002F6404"/>
    <w:rsid w:val="002F651E"/>
    <w:rsid w:val="002F65B9"/>
    <w:rsid w:val="002F6BCC"/>
    <w:rsid w:val="002F7269"/>
    <w:rsid w:val="002F740C"/>
    <w:rsid w:val="002F7824"/>
    <w:rsid w:val="00300152"/>
    <w:rsid w:val="00300ED0"/>
    <w:rsid w:val="00301ABB"/>
    <w:rsid w:val="00302DA1"/>
    <w:rsid w:val="00303631"/>
    <w:rsid w:val="00303E49"/>
    <w:rsid w:val="00305922"/>
    <w:rsid w:val="00305D76"/>
    <w:rsid w:val="00310202"/>
    <w:rsid w:val="00311909"/>
    <w:rsid w:val="003123C9"/>
    <w:rsid w:val="00313537"/>
    <w:rsid w:val="003158EE"/>
    <w:rsid w:val="00315B2E"/>
    <w:rsid w:val="00317B1F"/>
    <w:rsid w:val="00317D23"/>
    <w:rsid w:val="0032116B"/>
    <w:rsid w:val="00323A45"/>
    <w:rsid w:val="003253EA"/>
    <w:rsid w:val="00326960"/>
    <w:rsid w:val="0033019E"/>
    <w:rsid w:val="00330C85"/>
    <w:rsid w:val="0033175E"/>
    <w:rsid w:val="00332042"/>
    <w:rsid w:val="00332813"/>
    <w:rsid w:val="00333086"/>
    <w:rsid w:val="0033557A"/>
    <w:rsid w:val="00336108"/>
    <w:rsid w:val="003362E8"/>
    <w:rsid w:val="00336488"/>
    <w:rsid w:val="00340280"/>
    <w:rsid w:val="00343B0C"/>
    <w:rsid w:val="00344AEC"/>
    <w:rsid w:val="003472A0"/>
    <w:rsid w:val="00350078"/>
    <w:rsid w:val="00351B31"/>
    <w:rsid w:val="003534EA"/>
    <w:rsid w:val="0035439D"/>
    <w:rsid w:val="00355BEA"/>
    <w:rsid w:val="003567B4"/>
    <w:rsid w:val="00356DE5"/>
    <w:rsid w:val="003572B1"/>
    <w:rsid w:val="0035748D"/>
    <w:rsid w:val="00357B0C"/>
    <w:rsid w:val="00360208"/>
    <w:rsid w:val="003606A7"/>
    <w:rsid w:val="00361C02"/>
    <w:rsid w:val="003622E7"/>
    <w:rsid w:val="00362C09"/>
    <w:rsid w:val="0036310C"/>
    <w:rsid w:val="003633F0"/>
    <w:rsid w:val="003638CE"/>
    <w:rsid w:val="00363C52"/>
    <w:rsid w:val="0036454C"/>
    <w:rsid w:val="0036455E"/>
    <w:rsid w:val="00364885"/>
    <w:rsid w:val="00365118"/>
    <w:rsid w:val="003656A4"/>
    <w:rsid w:val="00365CC1"/>
    <w:rsid w:val="00366B7A"/>
    <w:rsid w:val="00367144"/>
    <w:rsid w:val="00367D8D"/>
    <w:rsid w:val="00367F59"/>
    <w:rsid w:val="003729E5"/>
    <w:rsid w:val="00372C68"/>
    <w:rsid w:val="00372EE1"/>
    <w:rsid w:val="0037473B"/>
    <w:rsid w:val="0037540C"/>
    <w:rsid w:val="00375788"/>
    <w:rsid w:val="00380710"/>
    <w:rsid w:val="003809ED"/>
    <w:rsid w:val="00380B48"/>
    <w:rsid w:val="00380F55"/>
    <w:rsid w:val="00381500"/>
    <w:rsid w:val="003825B4"/>
    <w:rsid w:val="00382659"/>
    <w:rsid w:val="00382CE3"/>
    <w:rsid w:val="00383CD3"/>
    <w:rsid w:val="00383DB4"/>
    <w:rsid w:val="003858E7"/>
    <w:rsid w:val="003859FC"/>
    <w:rsid w:val="00385A99"/>
    <w:rsid w:val="00386BFE"/>
    <w:rsid w:val="00386E8C"/>
    <w:rsid w:val="0039075A"/>
    <w:rsid w:val="003943AF"/>
    <w:rsid w:val="00394969"/>
    <w:rsid w:val="00394BBF"/>
    <w:rsid w:val="00395B1E"/>
    <w:rsid w:val="0039612C"/>
    <w:rsid w:val="003966B7"/>
    <w:rsid w:val="00397554"/>
    <w:rsid w:val="00397ECE"/>
    <w:rsid w:val="003A029D"/>
    <w:rsid w:val="003A11C4"/>
    <w:rsid w:val="003A22CA"/>
    <w:rsid w:val="003A2C94"/>
    <w:rsid w:val="003A2CA4"/>
    <w:rsid w:val="003A2E28"/>
    <w:rsid w:val="003A60A2"/>
    <w:rsid w:val="003A62AC"/>
    <w:rsid w:val="003A69BA"/>
    <w:rsid w:val="003A6B4B"/>
    <w:rsid w:val="003B032D"/>
    <w:rsid w:val="003B09B1"/>
    <w:rsid w:val="003B0E0D"/>
    <w:rsid w:val="003B15A7"/>
    <w:rsid w:val="003B2A6A"/>
    <w:rsid w:val="003B3D4F"/>
    <w:rsid w:val="003B516E"/>
    <w:rsid w:val="003B6119"/>
    <w:rsid w:val="003B668F"/>
    <w:rsid w:val="003B6CE9"/>
    <w:rsid w:val="003B77F9"/>
    <w:rsid w:val="003B7868"/>
    <w:rsid w:val="003C12AA"/>
    <w:rsid w:val="003C1508"/>
    <w:rsid w:val="003C39BC"/>
    <w:rsid w:val="003C3CA5"/>
    <w:rsid w:val="003C5272"/>
    <w:rsid w:val="003C52C2"/>
    <w:rsid w:val="003C7A53"/>
    <w:rsid w:val="003D1601"/>
    <w:rsid w:val="003D1DAE"/>
    <w:rsid w:val="003D333B"/>
    <w:rsid w:val="003D4378"/>
    <w:rsid w:val="003D5FAF"/>
    <w:rsid w:val="003D65F2"/>
    <w:rsid w:val="003D6720"/>
    <w:rsid w:val="003D7036"/>
    <w:rsid w:val="003D7C76"/>
    <w:rsid w:val="003E12AD"/>
    <w:rsid w:val="003E18D2"/>
    <w:rsid w:val="003E196F"/>
    <w:rsid w:val="003E2385"/>
    <w:rsid w:val="003E3632"/>
    <w:rsid w:val="003E3716"/>
    <w:rsid w:val="003E43F0"/>
    <w:rsid w:val="003E5D7C"/>
    <w:rsid w:val="003E5E5F"/>
    <w:rsid w:val="003E715A"/>
    <w:rsid w:val="003E7CBE"/>
    <w:rsid w:val="003F1C1D"/>
    <w:rsid w:val="003F21E1"/>
    <w:rsid w:val="003F2EBA"/>
    <w:rsid w:val="003F33ED"/>
    <w:rsid w:val="003F356C"/>
    <w:rsid w:val="003F3A6B"/>
    <w:rsid w:val="003F3FA8"/>
    <w:rsid w:val="003F46C8"/>
    <w:rsid w:val="003F4C74"/>
    <w:rsid w:val="003F7169"/>
    <w:rsid w:val="003F784F"/>
    <w:rsid w:val="003F78AA"/>
    <w:rsid w:val="004004CD"/>
    <w:rsid w:val="00400CFE"/>
    <w:rsid w:val="00403089"/>
    <w:rsid w:val="0040323E"/>
    <w:rsid w:val="00403D24"/>
    <w:rsid w:val="00405C5C"/>
    <w:rsid w:val="004076E6"/>
    <w:rsid w:val="00407991"/>
    <w:rsid w:val="00407C51"/>
    <w:rsid w:val="00407FC3"/>
    <w:rsid w:val="0041093A"/>
    <w:rsid w:val="00411DCA"/>
    <w:rsid w:val="004120CF"/>
    <w:rsid w:val="0041380E"/>
    <w:rsid w:val="00413CCA"/>
    <w:rsid w:val="00413D1C"/>
    <w:rsid w:val="0041410E"/>
    <w:rsid w:val="0041451E"/>
    <w:rsid w:val="004146B6"/>
    <w:rsid w:val="0041507E"/>
    <w:rsid w:val="004151DA"/>
    <w:rsid w:val="00415E81"/>
    <w:rsid w:val="004167B4"/>
    <w:rsid w:val="00416D46"/>
    <w:rsid w:val="00420193"/>
    <w:rsid w:val="00420891"/>
    <w:rsid w:val="00422D63"/>
    <w:rsid w:val="00424C39"/>
    <w:rsid w:val="00424D5B"/>
    <w:rsid w:val="0042537C"/>
    <w:rsid w:val="00426CCA"/>
    <w:rsid w:val="00426F03"/>
    <w:rsid w:val="0042747C"/>
    <w:rsid w:val="00427C43"/>
    <w:rsid w:val="00430B54"/>
    <w:rsid w:val="00430F1E"/>
    <w:rsid w:val="00431302"/>
    <w:rsid w:val="00431439"/>
    <w:rsid w:val="00431739"/>
    <w:rsid w:val="0043178E"/>
    <w:rsid w:val="00431FED"/>
    <w:rsid w:val="00432D9E"/>
    <w:rsid w:val="0043372F"/>
    <w:rsid w:val="00433A19"/>
    <w:rsid w:val="004349C3"/>
    <w:rsid w:val="00435A3B"/>
    <w:rsid w:val="004367B2"/>
    <w:rsid w:val="00436E86"/>
    <w:rsid w:val="00440491"/>
    <w:rsid w:val="00441211"/>
    <w:rsid w:val="00441635"/>
    <w:rsid w:val="004419CA"/>
    <w:rsid w:val="00441A16"/>
    <w:rsid w:val="004429B3"/>
    <w:rsid w:val="00443FD0"/>
    <w:rsid w:val="0044556A"/>
    <w:rsid w:val="00446FE3"/>
    <w:rsid w:val="00447662"/>
    <w:rsid w:val="004508FE"/>
    <w:rsid w:val="00453287"/>
    <w:rsid w:val="004533C5"/>
    <w:rsid w:val="004536A8"/>
    <w:rsid w:val="00454091"/>
    <w:rsid w:val="00454861"/>
    <w:rsid w:val="00455D0E"/>
    <w:rsid w:val="00456013"/>
    <w:rsid w:val="0045636C"/>
    <w:rsid w:val="004567E4"/>
    <w:rsid w:val="00457224"/>
    <w:rsid w:val="0046055E"/>
    <w:rsid w:val="00460A91"/>
    <w:rsid w:val="00460CC4"/>
    <w:rsid w:val="00461AE6"/>
    <w:rsid w:val="00462C7F"/>
    <w:rsid w:val="00464059"/>
    <w:rsid w:val="004662F3"/>
    <w:rsid w:val="0046699C"/>
    <w:rsid w:val="004708B2"/>
    <w:rsid w:val="004718DB"/>
    <w:rsid w:val="0047271E"/>
    <w:rsid w:val="00473430"/>
    <w:rsid w:val="0047467E"/>
    <w:rsid w:val="00474889"/>
    <w:rsid w:val="004754B1"/>
    <w:rsid w:val="00475F2C"/>
    <w:rsid w:val="0047640F"/>
    <w:rsid w:val="00477ED8"/>
    <w:rsid w:val="00477F12"/>
    <w:rsid w:val="0048141F"/>
    <w:rsid w:val="00481EB3"/>
    <w:rsid w:val="00482B9F"/>
    <w:rsid w:val="00483035"/>
    <w:rsid w:val="004831AC"/>
    <w:rsid w:val="004838EE"/>
    <w:rsid w:val="004863A5"/>
    <w:rsid w:val="00486542"/>
    <w:rsid w:val="00486C5F"/>
    <w:rsid w:val="004877FE"/>
    <w:rsid w:val="0049036A"/>
    <w:rsid w:val="0049044B"/>
    <w:rsid w:val="0049161A"/>
    <w:rsid w:val="00491C7E"/>
    <w:rsid w:val="00492B65"/>
    <w:rsid w:val="00492EA3"/>
    <w:rsid w:val="00492F58"/>
    <w:rsid w:val="00492F9D"/>
    <w:rsid w:val="00493462"/>
    <w:rsid w:val="004935D9"/>
    <w:rsid w:val="00493CFB"/>
    <w:rsid w:val="004950F9"/>
    <w:rsid w:val="004953BC"/>
    <w:rsid w:val="004955D6"/>
    <w:rsid w:val="0049687E"/>
    <w:rsid w:val="00497C25"/>
    <w:rsid w:val="004A0BF2"/>
    <w:rsid w:val="004A1022"/>
    <w:rsid w:val="004A1409"/>
    <w:rsid w:val="004A1B19"/>
    <w:rsid w:val="004A3D30"/>
    <w:rsid w:val="004A4276"/>
    <w:rsid w:val="004A4C88"/>
    <w:rsid w:val="004A61EB"/>
    <w:rsid w:val="004A6F51"/>
    <w:rsid w:val="004A6F79"/>
    <w:rsid w:val="004A78B1"/>
    <w:rsid w:val="004B0B97"/>
    <w:rsid w:val="004B102D"/>
    <w:rsid w:val="004B15CF"/>
    <w:rsid w:val="004B219C"/>
    <w:rsid w:val="004B2266"/>
    <w:rsid w:val="004B4EA6"/>
    <w:rsid w:val="004B742F"/>
    <w:rsid w:val="004B7FBF"/>
    <w:rsid w:val="004C0F1F"/>
    <w:rsid w:val="004C11C9"/>
    <w:rsid w:val="004C156D"/>
    <w:rsid w:val="004C22F9"/>
    <w:rsid w:val="004C44B5"/>
    <w:rsid w:val="004C4845"/>
    <w:rsid w:val="004C6758"/>
    <w:rsid w:val="004C6BCA"/>
    <w:rsid w:val="004C6DD8"/>
    <w:rsid w:val="004D1724"/>
    <w:rsid w:val="004D51AD"/>
    <w:rsid w:val="004D530A"/>
    <w:rsid w:val="004D5617"/>
    <w:rsid w:val="004D721C"/>
    <w:rsid w:val="004D72E4"/>
    <w:rsid w:val="004E17B6"/>
    <w:rsid w:val="004E183F"/>
    <w:rsid w:val="004E1C04"/>
    <w:rsid w:val="004E25D1"/>
    <w:rsid w:val="004E393F"/>
    <w:rsid w:val="004E4258"/>
    <w:rsid w:val="004E43C7"/>
    <w:rsid w:val="004E5F5F"/>
    <w:rsid w:val="004E6597"/>
    <w:rsid w:val="004E678B"/>
    <w:rsid w:val="004E7A36"/>
    <w:rsid w:val="004F1170"/>
    <w:rsid w:val="004F2B49"/>
    <w:rsid w:val="004F37D8"/>
    <w:rsid w:val="004F3EE6"/>
    <w:rsid w:val="004F3F74"/>
    <w:rsid w:val="004F58D4"/>
    <w:rsid w:val="004F5E0A"/>
    <w:rsid w:val="004F5F85"/>
    <w:rsid w:val="004F621F"/>
    <w:rsid w:val="004F6234"/>
    <w:rsid w:val="004F75DA"/>
    <w:rsid w:val="004F775B"/>
    <w:rsid w:val="00500814"/>
    <w:rsid w:val="00501194"/>
    <w:rsid w:val="00503834"/>
    <w:rsid w:val="00503D31"/>
    <w:rsid w:val="00504918"/>
    <w:rsid w:val="00504F8D"/>
    <w:rsid w:val="00505B37"/>
    <w:rsid w:val="00510125"/>
    <w:rsid w:val="00512A24"/>
    <w:rsid w:val="005133C9"/>
    <w:rsid w:val="00514502"/>
    <w:rsid w:val="00515116"/>
    <w:rsid w:val="00515B20"/>
    <w:rsid w:val="00515DB6"/>
    <w:rsid w:val="0051681E"/>
    <w:rsid w:val="005203EB"/>
    <w:rsid w:val="00520839"/>
    <w:rsid w:val="00523AE1"/>
    <w:rsid w:val="0052531A"/>
    <w:rsid w:val="00525376"/>
    <w:rsid w:val="00525AD7"/>
    <w:rsid w:val="00525FC7"/>
    <w:rsid w:val="005267BA"/>
    <w:rsid w:val="00530075"/>
    <w:rsid w:val="00531572"/>
    <w:rsid w:val="00532072"/>
    <w:rsid w:val="005327E2"/>
    <w:rsid w:val="00533A07"/>
    <w:rsid w:val="00535BF3"/>
    <w:rsid w:val="00536360"/>
    <w:rsid w:val="005400FE"/>
    <w:rsid w:val="005410BD"/>
    <w:rsid w:val="005416E5"/>
    <w:rsid w:val="00541E0D"/>
    <w:rsid w:val="00542CEF"/>
    <w:rsid w:val="00543EF8"/>
    <w:rsid w:val="005453AF"/>
    <w:rsid w:val="00545716"/>
    <w:rsid w:val="00545AE7"/>
    <w:rsid w:val="005467F7"/>
    <w:rsid w:val="00546AD1"/>
    <w:rsid w:val="005471A9"/>
    <w:rsid w:val="0054785D"/>
    <w:rsid w:val="00547B15"/>
    <w:rsid w:val="00547CA3"/>
    <w:rsid w:val="00551684"/>
    <w:rsid w:val="00552401"/>
    <w:rsid w:val="00553B41"/>
    <w:rsid w:val="00554100"/>
    <w:rsid w:val="005541CD"/>
    <w:rsid w:val="0055581F"/>
    <w:rsid w:val="00555D65"/>
    <w:rsid w:val="00556714"/>
    <w:rsid w:val="00556BA3"/>
    <w:rsid w:val="00557A6C"/>
    <w:rsid w:val="00557C4E"/>
    <w:rsid w:val="00560748"/>
    <w:rsid w:val="00561427"/>
    <w:rsid w:val="00562166"/>
    <w:rsid w:val="005636F6"/>
    <w:rsid w:val="005641A0"/>
    <w:rsid w:val="00564A1B"/>
    <w:rsid w:val="0056529F"/>
    <w:rsid w:val="00565EC1"/>
    <w:rsid w:val="0056633F"/>
    <w:rsid w:val="00566968"/>
    <w:rsid w:val="00567097"/>
    <w:rsid w:val="005673F6"/>
    <w:rsid w:val="005675F1"/>
    <w:rsid w:val="00571B46"/>
    <w:rsid w:val="00572A9C"/>
    <w:rsid w:val="005733EF"/>
    <w:rsid w:val="005737E4"/>
    <w:rsid w:val="00574721"/>
    <w:rsid w:val="0057553D"/>
    <w:rsid w:val="00575C32"/>
    <w:rsid w:val="00575E09"/>
    <w:rsid w:val="00577060"/>
    <w:rsid w:val="00577490"/>
    <w:rsid w:val="00577AD2"/>
    <w:rsid w:val="00580B62"/>
    <w:rsid w:val="005811D1"/>
    <w:rsid w:val="005825BB"/>
    <w:rsid w:val="005828A8"/>
    <w:rsid w:val="00582B34"/>
    <w:rsid w:val="005842D7"/>
    <w:rsid w:val="00584EA7"/>
    <w:rsid w:val="00585AF1"/>
    <w:rsid w:val="0058638E"/>
    <w:rsid w:val="00586643"/>
    <w:rsid w:val="005866E3"/>
    <w:rsid w:val="00586EA2"/>
    <w:rsid w:val="00586F09"/>
    <w:rsid w:val="005875E9"/>
    <w:rsid w:val="00590AEC"/>
    <w:rsid w:val="00590BDA"/>
    <w:rsid w:val="005910DC"/>
    <w:rsid w:val="005915C9"/>
    <w:rsid w:val="00591899"/>
    <w:rsid w:val="0059206B"/>
    <w:rsid w:val="00593363"/>
    <w:rsid w:val="005935F3"/>
    <w:rsid w:val="00595E4E"/>
    <w:rsid w:val="005962C2"/>
    <w:rsid w:val="005977DE"/>
    <w:rsid w:val="00597C81"/>
    <w:rsid w:val="00597E56"/>
    <w:rsid w:val="005A0654"/>
    <w:rsid w:val="005A1997"/>
    <w:rsid w:val="005A37F0"/>
    <w:rsid w:val="005A4F85"/>
    <w:rsid w:val="005A5144"/>
    <w:rsid w:val="005A6372"/>
    <w:rsid w:val="005A7168"/>
    <w:rsid w:val="005A72B2"/>
    <w:rsid w:val="005A7BED"/>
    <w:rsid w:val="005B2B33"/>
    <w:rsid w:val="005B2E19"/>
    <w:rsid w:val="005B3A60"/>
    <w:rsid w:val="005B4DD1"/>
    <w:rsid w:val="005B5C9D"/>
    <w:rsid w:val="005B61EC"/>
    <w:rsid w:val="005B6BFF"/>
    <w:rsid w:val="005B7644"/>
    <w:rsid w:val="005B77B7"/>
    <w:rsid w:val="005B7D05"/>
    <w:rsid w:val="005C02BD"/>
    <w:rsid w:val="005C0B6F"/>
    <w:rsid w:val="005C0FCE"/>
    <w:rsid w:val="005C1666"/>
    <w:rsid w:val="005C2C42"/>
    <w:rsid w:val="005C3C6F"/>
    <w:rsid w:val="005C3D81"/>
    <w:rsid w:val="005C3DA8"/>
    <w:rsid w:val="005C4208"/>
    <w:rsid w:val="005C56EA"/>
    <w:rsid w:val="005C62AF"/>
    <w:rsid w:val="005C6800"/>
    <w:rsid w:val="005C6C4D"/>
    <w:rsid w:val="005C6F44"/>
    <w:rsid w:val="005C74E5"/>
    <w:rsid w:val="005C75EA"/>
    <w:rsid w:val="005D0426"/>
    <w:rsid w:val="005D2409"/>
    <w:rsid w:val="005D3A10"/>
    <w:rsid w:val="005D41BC"/>
    <w:rsid w:val="005D4B16"/>
    <w:rsid w:val="005D6BFA"/>
    <w:rsid w:val="005D798A"/>
    <w:rsid w:val="005E0C77"/>
    <w:rsid w:val="005E1A07"/>
    <w:rsid w:val="005E226B"/>
    <w:rsid w:val="005E2EAA"/>
    <w:rsid w:val="005E38D5"/>
    <w:rsid w:val="005E38F2"/>
    <w:rsid w:val="005E447A"/>
    <w:rsid w:val="005E4B91"/>
    <w:rsid w:val="005E66A9"/>
    <w:rsid w:val="005E730D"/>
    <w:rsid w:val="005E7C81"/>
    <w:rsid w:val="005F03CE"/>
    <w:rsid w:val="005F04E8"/>
    <w:rsid w:val="005F0970"/>
    <w:rsid w:val="005F2B7A"/>
    <w:rsid w:val="005F3101"/>
    <w:rsid w:val="005F337B"/>
    <w:rsid w:val="005F3575"/>
    <w:rsid w:val="005F361E"/>
    <w:rsid w:val="005F3D4F"/>
    <w:rsid w:val="005F4526"/>
    <w:rsid w:val="005F4796"/>
    <w:rsid w:val="005F50CB"/>
    <w:rsid w:val="005F515B"/>
    <w:rsid w:val="005F51B9"/>
    <w:rsid w:val="005F5DE2"/>
    <w:rsid w:val="005F6519"/>
    <w:rsid w:val="005F7BF8"/>
    <w:rsid w:val="005F7C15"/>
    <w:rsid w:val="00600B52"/>
    <w:rsid w:val="00600BFF"/>
    <w:rsid w:val="00600E60"/>
    <w:rsid w:val="00601089"/>
    <w:rsid w:val="00601098"/>
    <w:rsid w:val="00601956"/>
    <w:rsid w:val="00601D6B"/>
    <w:rsid w:val="00602316"/>
    <w:rsid w:val="006029A3"/>
    <w:rsid w:val="00602C35"/>
    <w:rsid w:val="00602DED"/>
    <w:rsid w:val="00602F29"/>
    <w:rsid w:val="00604173"/>
    <w:rsid w:val="006068DF"/>
    <w:rsid w:val="00607287"/>
    <w:rsid w:val="00612DAA"/>
    <w:rsid w:val="006130AC"/>
    <w:rsid w:val="0061451A"/>
    <w:rsid w:val="00615691"/>
    <w:rsid w:val="006165AE"/>
    <w:rsid w:val="00616FA5"/>
    <w:rsid w:val="00617053"/>
    <w:rsid w:val="00617D39"/>
    <w:rsid w:val="00617FFD"/>
    <w:rsid w:val="0062111C"/>
    <w:rsid w:val="0062232C"/>
    <w:rsid w:val="0062264D"/>
    <w:rsid w:val="00622675"/>
    <w:rsid w:val="00622986"/>
    <w:rsid w:val="00624C05"/>
    <w:rsid w:val="00624E2F"/>
    <w:rsid w:val="006258D9"/>
    <w:rsid w:val="00625C64"/>
    <w:rsid w:val="006323C1"/>
    <w:rsid w:val="00632E31"/>
    <w:rsid w:val="00634103"/>
    <w:rsid w:val="006343E2"/>
    <w:rsid w:val="0063449F"/>
    <w:rsid w:val="006344D1"/>
    <w:rsid w:val="00635390"/>
    <w:rsid w:val="00636153"/>
    <w:rsid w:val="006362D8"/>
    <w:rsid w:val="0063668F"/>
    <w:rsid w:val="006373AE"/>
    <w:rsid w:val="00641B8F"/>
    <w:rsid w:val="006429AC"/>
    <w:rsid w:val="00642C15"/>
    <w:rsid w:val="00643683"/>
    <w:rsid w:val="00644B9F"/>
    <w:rsid w:val="00645D58"/>
    <w:rsid w:val="00646D8F"/>
    <w:rsid w:val="00646D97"/>
    <w:rsid w:val="00647516"/>
    <w:rsid w:val="0064778C"/>
    <w:rsid w:val="00647E6C"/>
    <w:rsid w:val="00650457"/>
    <w:rsid w:val="00652727"/>
    <w:rsid w:val="00654287"/>
    <w:rsid w:val="006543ED"/>
    <w:rsid w:val="00655E88"/>
    <w:rsid w:val="00656669"/>
    <w:rsid w:val="0065697F"/>
    <w:rsid w:val="006607CC"/>
    <w:rsid w:val="00661948"/>
    <w:rsid w:val="00661FD2"/>
    <w:rsid w:val="0066209B"/>
    <w:rsid w:val="00662339"/>
    <w:rsid w:val="00662C39"/>
    <w:rsid w:val="00662EFC"/>
    <w:rsid w:val="006637EB"/>
    <w:rsid w:val="0066530E"/>
    <w:rsid w:val="0066757D"/>
    <w:rsid w:val="00667BDE"/>
    <w:rsid w:val="006717E5"/>
    <w:rsid w:val="00672421"/>
    <w:rsid w:val="0067288A"/>
    <w:rsid w:val="00673855"/>
    <w:rsid w:val="00673CAA"/>
    <w:rsid w:val="006746D8"/>
    <w:rsid w:val="00674D7B"/>
    <w:rsid w:val="00675010"/>
    <w:rsid w:val="006751A4"/>
    <w:rsid w:val="00675A22"/>
    <w:rsid w:val="006761D2"/>
    <w:rsid w:val="00676965"/>
    <w:rsid w:val="006769FA"/>
    <w:rsid w:val="00677362"/>
    <w:rsid w:val="006774A5"/>
    <w:rsid w:val="00677DBB"/>
    <w:rsid w:val="0068000F"/>
    <w:rsid w:val="006826B3"/>
    <w:rsid w:val="00682EDC"/>
    <w:rsid w:val="00683D9A"/>
    <w:rsid w:val="00684338"/>
    <w:rsid w:val="00684F0D"/>
    <w:rsid w:val="00685E6E"/>
    <w:rsid w:val="0068716C"/>
    <w:rsid w:val="00687B94"/>
    <w:rsid w:val="0069092C"/>
    <w:rsid w:val="006915A8"/>
    <w:rsid w:val="006917D4"/>
    <w:rsid w:val="006921BA"/>
    <w:rsid w:val="0069512E"/>
    <w:rsid w:val="006963B7"/>
    <w:rsid w:val="00696994"/>
    <w:rsid w:val="006976A8"/>
    <w:rsid w:val="00697E95"/>
    <w:rsid w:val="006A00F7"/>
    <w:rsid w:val="006A0DAB"/>
    <w:rsid w:val="006A1399"/>
    <w:rsid w:val="006A1561"/>
    <w:rsid w:val="006A3FC3"/>
    <w:rsid w:val="006A4AA6"/>
    <w:rsid w:val="006A4F83"/>
    <w:rsid w:val="006A5B67"/>
    <w:rsid w:val="006A6791"/>
    <w:rsid w:val="006A7537"/>
    <w:rsid w:val="006A79AA"/>
    <w:rsid w:val="006B0037"/>
    <w:rsid w:val="006B12D1"/>
    <w:rsid w:val="006B1460"/>
    <w:rsid w:val="006B2518"/>
    <w:rsid w:val="006B4F95"/>
    <w:rsid w:val="006B5050"/>
    <w:rsid w:val="006B603E"/>
    <w:rsid w:val="006B698D"/>
    <w:rsid w:val="006B71B4"/>
    <w:rsid w:val="006B727A"/>
    <w:rsid w:val="006B7298"/>
    <w:rsid w:val="006C1766"/>
    <w:rsid w:val="006C18EA"/>
    <w:rsid w:val="006C20C6"/>
    <w:rsid w:val="006C27F1"/>
    <w:rsid w:val="006C27FC"/>
    <w:rsid w:val="006C41DC"/>
    <w:rsid w:val="006C5997"/>
    <w:rsid w:val="006C5F65"/>
    <w:rsid w:val="006C6488"/>
    <w:rsid w:val="006C6847"/>
    <w:rsid w:val="006C6AC8"/>
    <w:rsid w:val="006C6FC2"/>
    <w:rsid w:val="006C7419"/>
    <w:rsid w:val="006D1575"/>
    <w:rsid w:val="006D1A1F"/>
    <w:rsid w:val="006D3BD9"/>
    <w:rsid w:val="006D4E60"/>
    <w:rsid w:val="006D57B2"/>
    <w:rsid w:val="006D5D99"/>
    <w:rsid w:val="006D7A2C"/>
    <w:rsid w:val="006D7DD6"/>
    <w:rsid w:val="006E04AF"/>
    <w:rsid w:val="006E05AD"/>
    <w:rsid w:val="006E07F0"/>
    <w:rsid w:val="006E2265"/>
    <w:rsid w:val="006E2376"/>
    <w:rsid w:val="006E2D6B"/>
    <w:rsid w:val="006E3732"/>
    <w:rsid w:val="006E387E"/>
    <w:rsid w:val="006E3F01"/>
    <w:rsid w:val="006E58F8"/>
    <w:rsid w:val="006E7639"/>
    <w:rsid w:val="006F01BD"/>
    <w:rsid w:val="006F10B5"/>
    <w:rsid w:val="006F223D"/>
    <w:rsid w:val="006F3CF9"/>
    <w:rsid w:val="006F4479"/>
    <w:rsid w:val="006F4904"/>
    <w:rsid w:val="006F4BC3"/>
    <w:rsid w:val="006F5A7C"/>
    <w:rsid w:val="006F657E"/>
    <w:rsid w:val="0070034D"/>
    <w:rsid w:val="00700553"/>
    <w:rsid w:val="00702E21"/>
    <w:rsid w:val="007034D1"/>
    <w:rsid w:val="007053B2"/>
    <w:rsid w:val="007054ED"/>
    <w:rsid w:val="00706C9A"/>
    <w:rsid w:val="00707E64"/>
    <w:rsid w:val="00710620"/>
    <w:rsid w:val="007107C4"/>
    <w:rsid w:val="0071218B"/>
    <w:rsid w:val="007147E9"/>
    <w:rsid w:val="007150E2"/>
    <w:rsid w:val="007155AA"/>
    <w:rsid w:val="0071658A"/>
    <w:rsid w:val="00716DF9"/>
    <w:rsid w:val="00717172"/>
    <w:rsid w:val="00717A5C"/>
    <w:rsid w:val="007206A0"/>
    <w:rsid w:val="007214E5"/>
    <w:rsid w:val="007215B4"/>
    <w:rsid w:val="007215F7"/>
    <w:rsid w:val="00722296"/>
    <w:rsid w:val="007233EA"/>
    <w:rsid w:val="00724BBD"/>
    <w:rsid w:val="0072529A"/>
    <w:rsid w:val="00725D5A"/>
    <w:rsid w:val="00727E26"/>
    <w:rsid w:val="007305FD"/>
    <w:rsid w:val="00732191"/>
    <w:rsid w:val="00732A9B"/>
    <w:rsid w:val="007348F3"/>
    <w:rsid w:val="00736448"/>
    <w:rsid w:val="007366AD"/>
    <w:rsid w:val="00740A8F"/>
    <w:rsid w:val="00740D84"/>
    <w:rsid w:val="00741763"/>
    <w:rsid w:val="00741E47"/>
    <w:rsid w:val="00741FA5"/>
    <w:rsid w:val="0074271E"/>
    <w:rsid w:val="00743201"/>
    <w:rsid w:val="00744252"/>
    <w:rsid w:val="0074516A"/>
    <w:rsid w:val="00745962"/>
    <w:rsid w:val="00745DDE"/>
    <w:rsid w:val="00746183"/>
    <w:rsid w:val="00746832"/>
    <w:rsid w:val="00746866"/>
    <w:rsid w:val="00746870"/>
    <w:rsid w:val="00747EA4"/>
    <w:rsid w:val="00751CC9"/>
    <w:rsid w:val="00751FBA"/>
    <w:rsid w:val="0075367B"/>
    <w:rsid w:val="00753D58"/>
    <w:rsid w:val="00754378"/>
    <w:rsid w:val="00754533"/>
    <w:rsid w:val="00754593"/>
    <w:rsid w:val="00754807"/>
    <w:rsid w:val="0075680E"/>
    <w:rsid w:val="00757830"/>
    <w:rsid w:val="0076041E"/>
    <w:rsid w:val="007613AD"/>
    <w:rsid w:val="0076166A"/>
    <w:rsid w:val="00761B4E"/>
    <w:rsid w:val="00762B69"/>
    <w:rsid w:val="0076386F"/>
    <w:rsid w:val="007639B4"/>
    <w:rsid w:val="007648DB"/>
    <w:rsid w:val="007674B9"/>
    <w:rsid w:val="00771A5F"/>
    <w:rsid w:val="00771ABB"/>
    <w:rsid w:val="00774DBB"/>
    <w:rsid w:val="007779DB"/>
    <w:rsid w:val="0078226A"/>
    <w:rsid w:val="007843D4"/>
    <w:rsid w:val="00784C0C"/>
    <w:rsid w:val="007862DC"/>
    <w:rsid w:val="00786C82"/>
    <w:rsid w:val="00787A92"/>
    <w:rsid w:val="00787C62"/>
    <w:rsid w:val="00790E72"/>
    <w:rsid w:val="00791867"/>
    <w:rsid w:val="007932AF"/>
    <w:rsid w:val="00793B11"/>
    <w:rsid w:val="007947E4"/>
    <w:rsid w:val="00794DEB"/>
    <w:rsid w:val="00795F58"/>
    <w:rsid w:val="007977FF"/>
    <w:rsid w:val="007A149A"/>
    <w:rsid w:val="007A45F6"/>
    <w:rsid w:val="007A69CD"/>
    <w:rsid w:val="007A75B8"/>
    <w:rsid w:val="007A7C43"/>
    <w:rsid w:val="007B1C66"/>
    <w:rsid w:val="007B1CDD"/>
    <w:rsid w:val="007B1F11"/>
    <w:rsid w:val="007B28B1"/>
    <w:rsid w:val="007B2D54"/>
    <w:rsid w:val="007B2E34"/>
    <w:rsid w:val="007B34A6"/>
    <w:rsid w:val="007B3D79"/>
    <w:rsid w:val="007B4250"/>
    <w:rsid w:val="007B4322"/>
    <w:rsid w:val="007B5FE5"/>
    <w:rsid w:val="007B70D5"/>
    <w:rsid w:val="007B74B1"/>
    <w:rsid w:val="007C0CD7"/>
    <w:rsid w:val="007C0E75"/>
    <w:rsid w:val="007C0F33"/>
    <w:rsid w:val="007C10F1"/>
    <w:rsid w:val="007C129E"/>
    <w:rsid w:val="007C2BCA"/>
    <w:rsid w:val="007C2FDF"/>
    <w:rsid w:val="007C3D1A"/>
    <w:rsid w:val="007C560C"/>
    <w:rsid w:val="007C5FF4"/>
    <w:rsid w:val="007C6E3F"/>
    <w:rsid w:val="007D0B3F"/>
    <w:rsid w:val="007D0E1F"/>
    <w:rsid w:val="007D1465"/>
    <w:rsid w:val="007D22E8"/>
    <w:rsid w:val="007D5DBE"/>
    <w:rsid w:val="007D6778"/>
    <w:rsid w:val="007D68FC"/>
    <w:rsid w:val="007D768D"/>
    <w:rsid w:val="007E08B9"/>
    <w:rsid w:val="007E141B"/>
    <w:rsid w:val="007E28C8"/>
    <w:rsid w:val="007E401E"/>
    <w:rsid w:val="007E4331"/>
    <w:rsid w:val="007E55F0"/>
    <w:rsid w:val="007E57F3"/>
    <w:rsid w:val="007E5C05"/>
    <w:rsid w:val="007E6790"/>
    <w:rsid w:val="007E73C9"/>
    <w:rsid w:val="007E770F"/>
    <w:rsid w:val="007F184B"/>
    <w:rsid w:val="007F2003"/>
    <w:rsid w:val="007F291D"/>
    <w:rsid w:val="007F32DD"/>
    <w:rsid w:val="007F33E1"/>
    <w:rsid w:val="007F387B"/>
    <w:rsid w:val="007F404F"/>
    <w:rsid w:val="007F4FF3"/>
    <w:rsid w:val="007F5239"/>
    <w:rsid w:val="007F5B20"/>
    <w:rsid w:val="007F5CE7"/>
    <w:rsid w:val="007F5D20"/>
    <w:rsid w:val="007F6610"/>
    <w:rsid w:val="00800ECE"/>
    <w:rsid w:val="00801D0A"/>
    <w:rsid w:val="00802FAB"/>
    <w:rsid w:val="008064F1"/>
    <w:rsid w:val="00807BDE"/>
    <w:rsid w:val="00810F3E"/>
    <w:rsid w:val="0081153E"/>
    <w:rsid w:val="00812D47"/>
    <w:rsid w:val="0081347C"/>
    <w:rsid w:val="00813F36"/>
    <w:rsid w:val="008148D8"/>
    <w:rsid w:val="00814C8D"/>
    <w:rsid w:val="0081504D"/>
    <w:rsid w:val="00815221"/>
    <w:rsid w:val="0081754E"/>
    <w:rsid w:val="00817B12"/>
    <w:rsid w:val="00821E94"/>
    <w:rsid w:val="00822421"/>
    <w:rsid w:val="0082355F"/>
    <w:rsid w:val="00824D89"/>
    <w:rsid w:val="0082538F"/>
    <w:rsid w:val="0082668A"/>
    <w:rsid w:val="00826695"/>
    <w:rsid w:val="00826BE5"/>
    <w:rsid w:val="00827E10"/>
    <w:rsid w:val="008305C6"/>
    <w:rsid w:val="008317CD"/>
    <w:rsid w:val="0083252F"/>
    <w:rsid w:val="0083427E"/>
    <w:rsid w:val="00834C85"/>
    <w:rsid w:val="008359F4"/>
    <w:rsid w:val="00835E9F"/>
    <w:rsid w:val="00835FA9"/>
    <w:rsid w:val="00836B76"/>
    <w:rsid w:val="008379B6"/>
    <w:rsid w:val="00840F66"/>
    <w:rsid w:val="0084198E"/>
    <w:rsid w:val="00841B8D"/>
    <w:rsid w:val="00841D5A"/>
    <w:rsid w:val="008423E7"/>
    <w:rsid w:val="00843151"/>
    <w:rsid w:val="00843B8E"/>
    <w:rsid w:val="008456ED"/>
    <w:rsid w:val="00845899"/>
    <w:rsid w:val="008458F8"/>
    <w:rsid w:val="008462F6"/>
    <w:rsid w:val="00846B6F"/>
    <w:rsid w:val="00846BDD"/>
    <w:rsid w:val="00852498"/>
    <w:rsid w:val="00853236"/>
    <w:rsid w:val="00853727"/>
    <w:rsid w:val="00854431"/>
    <w:rsid w:val="008544AE"/>
    <w:rsid w:val="0085464D"/>
    <w:rsid w:val="0085559A"/>
    <w:rsid w:val="00856150"/>
    <w:rsid w:val="008562B2"/>
    <w:rsid w:val="00860E21"/>
    <w:rsid w:val="00861E01"/>
    <w:rsid w:val="00861E27"/>
    <w:rsid w:val="00861E50"/>
    <w:rsid w:val="0086245E"/>
    <w:rsid w:val="00862734"/>
    <w:rsid w:val="00863F11"/>
    <w:rsid w:val="0086416A"/>
    <w:rsid w:val="0086418B"/>
    <w:rsid w:val="008655A5"/>
    <w:rsid w:val="008671F5"/>
    <w:rsid w:val="0086742A"/>
    <w:rsid w:val="008707F3"/>
    <w:rsid w:val="00870A63"/>
    <w:rsid w:val="00873028"/>
    <w:rsid w:val="008730E2"/>
    <w:rsid w:val="00874064"/>
    <w:rsid w:val="008740C2"/>
    <w:rsid w:val="00874E27"/>
    <w:rsid w:val="00875791"/>
    <w:rsid w:val="00875BB2"/>
    <w:rsid w:val="0087630E"/>
    <w:rsid w:val="0087786A"/>
    <w:rsid w:val="008800B3"/>
    <w:rsid w:val="008801A5"/>
    <w:rsid w:val="008838A0"/>
    <w:rsid w:val="00883A3C"/>
    <w:rsid w:val="00884359"/>
    <w:rsid w:val="00885052"/>
    <w:rsid w:val="008855D0"/>
    <w:rsid w:val="008856F0"/>
    <w:rsid w:val="0088599F"/>
    <w:rsid w:val="00885E34"/>
    <w:rsid w:val="00886FD8"/>
    <w:rsid w:val="008873FA"/>
    <w:rsid w:val="00887B10"/>
    <w:rsid w:val="008919B5"/>
    <w:rsid w:val="00893696"/>
    <w:rsid w:val="00893864"/>
    <w:rsid w:val="00894A05"/>
    <w:rsid w:val="00897B19"/>
    <w:rsid w:val="008A0D38"/>
    <w:rsid w:val="008A0DFA"/>
    <w:rsid w:val="008A0E84"/>
    <w:rsid w:val="008A13A0"/>
    <w:rsid w:val="008A1E3C"/>
    <w:rsid w:val="008A2ED4"/>
    <w:rsid w:val="008A3A3D"/>
    <w:rsid w:val="008A462A"/>
    <w:rsid w:val="008A4AF9"/>
    <w:rsid w:val="008A50DA"/>
    <w:rsid w:val="008A6DCA"/>
    <w:rsid w:val="008A6E79"/>
    <w:rsid w:val="008A782C"/>
    <w:rsid w:val="008A7851"/>
    <w:rsid w:val="008A7E48"/>
    <w:rsid w:val="008B0683"/>
    <w:rsid w:val="008B0C63"/>
    <w:rsid w:val="008B0D57"/>
    <w:rsid w:val="008B17F6"/>
    <w:rsid w:val="008B1D9F"/>
    <w:rsid w:val="008B1E10"/>
    <w:rsid w:val="008B2F28"/>
    <w:rsid w:val="008B5093"/>
    <w:rsid w:val="008B5516"/>
    <w:rsid w:val="008B5F74"/>
    <w:rsid w:val="008B6AC4"/>
    <w:rsid w:val="008B6F50"/>
    <w:rsid w:val="008B6F5D"/>
    <w:rsid w:val="008C05C6"/>
    <w:rsid w:val="008C19FB"/>
    <w:rsid w:val="008C2037"/>
    <w:rsid w:val="008C4D16"/>
    <w:rsid w:val="008C54A5"/>
    <w:rsid w:val="008D12A0"/>
    <w:rsid w:val="008D2C08"/>
    <w:rsid w:val="008D3627"/>
    <w:rsid w:val="008D5375"/>
    <w:rsid w:val="008D6967"/>
    <w:rsid w:val="008D7FAC"/>
    <w:rsid w:val="008E01BE"/>
    <w:rsid w:val="008E0266"/>
    <w:rsid w:val="008E0931"/>
    <w:rsid w:val="008E0E78"/>
    <w:rsid w:val="008E2968"/>
    <w:rsid w:val="008E2A74"/>
    <w:rsid w:val="008E4762"/>
    <w:rsid w:val="008E4912"/>
    <w:rsid w:val="008E51D9"/>
    <w:rsid w:val="008E5885"/>
    <w:rsid w:val="008E7C20"/>
    <w:rsid w:val="008E7EDE"/>
    <w:rsid w:val="008F03C5"/>
    <w:rsid w:val="008F0685"/>
    <w:rsid w:val="008F1FC7"/>
    <w:rsid w:val="008F3F0D"/>
    <w:rsid w:val="008F45E2"/>
    <w:rsid w:val="008F49C0"/>
    <w:rsid w:val="008F4A40"/>
    <w:rsid w:val="008F6ED8"/>
    <w:rsid w:val="008F7D69"/>
    <w:rsid w:val="00900206"/>
    <w:rsid w:val="0090072E"/>
    <w:rsid w:val="00900C0B"/>
    <w:rsid w:val="0090117D"/>
    <w:rsid w:val="009015F9"/>
    <w:rsid w:val="00904A70"/>
    <w:rsid w:val="00904B11"/>
    <w:rsid w:val="00904B79"/>
    <w:rsid w:val="009053CF"/>
    <w:rsid w:val="00906F44"/>
    <w:rsid w:val="00907995"/>
    <w:rsid w:val="00911677"/>
    <w:rsid w:val="00911A76"/>
    <w:rsid w:val="00911E85"/>
    <w:rsid w:val="00912633"/>
    <w:rsid w:val="00912764"/>
    <w:rsid w:val="00913CF0"/>
    <w:rsid w:val="00914335"/>
    <w:rsid w:val="00914DE1"/>
    <w:rsid w:val="009155C9"/>
    <w:rsid w:val="0091563B"/>
    <w:rsid w:val="0091757A"/>
    <w:rsid w:val="00920587"/>
    <w:rsid w:val="00920DF1"/>
    <w:rsid w:val="00920F69"/>
    <w:rsid w:val="0092268A"/>
    <w:rsid w:val="00922DEC"/>
    <w:rsid w:val="00922E21"/>
    <w:rsid w:val="009249AA"/>
    <w:rsid w:val="00924D3F"/>
    <w:rsid w:val="00924F23"/>
    <w:rsid w:val="0092520C"/>
    <w:rsid w:val="00925957"/>
    <w:rsid w:val="00925D7F"/>
    <w:rsid w:val="00927983"/>
    <w:rsid w:val="00930706"/>
    <w:rsid w:val="00930ABA"/>
    <w:rsid w:val="00930C6A"/>
    <w:rsid w:val="00931816"/>
    <w:rsid w:val="00931988"/>
    <w:rsid w:val="00932371"/>
    <w:rsid w:val="009324D7"/>
    <w:rsid w:val="00932855"/>
    <w:rsid w:val="009328D5"/>
    <w:rsid w:val="00932EE6"/>
    <w:rsid w:val="00935F96"/>
    <w:rsid w:val="0094132A"/>
    <w:rsid w:val="009418A6"/>
    <w:rsid w:val="00943A20"/>
    <w:rsid w:val="00944946"/>
    <w:rsid w:val="0094589D"/>
    <w:rsid w:val="00950235"/>
    <w:rsid w:val="009506DF"/>
    <w:rsid w:val="00951B0A"/>
    <w:rsid w:val="0095231E"/>
    <w:rsid w:val="009528AA"/>
    <w:rsid w:val="009529A9"/>
    <w:rsid w:val="00953014"/>
    <w:rsid w:val="00953340"/>
    <w:rsid w:val="00956BC2"/>
    <w:rsid w:val="009571A6"/>
    <w:rsid w:val="009579EE"/>
    <w:rsid w:val="00957C53"/>
    <w:rsid w:val="00957D88"/>
    <w:rsid w:val="00960030"/>
    <w:rsid w:val="009616B5"/>
    <w:rsid w:val="00961874"/>
    <w:rsid w:val="00961885"/>
    <w:rsid w:val="00961AD9"/>
    <w:rsid w:val="00961F1A"/>
    <w:rsid w:val="0096266B"/>
    <w:rsid w:val="00962B44"/>
    <w:rsid w:val="00962D6A"/>
    <w:rsid w:val="00964A3C"/>
    <w:rsid w:val="0096595C"/>
    <w:rsid w:val="00966520"/>
    <w:rsid w:val="009669E1"/>
    <w:rsid w:val="00966EF4"/>
    <w:rsid w:val="00967A96"/>
    <w:rsid w:val="00970121"/>
    <w:rsid w:val="009705BD"/>
    <w:rsid w:val="00974A12"/>
    <w:rsid w:val="00974EF9"/>
    <w:rsid w:val="0097548B"/>
    <w:rsid w:val="0097660A"/>
    <w:rsid w:val="00977983"/>
    <w:rsid w:val="00977AAD"/>
    <w:rsid w:val="00977B3E"/>
    <w:rsid w:val="009803CA"/>
    <w:rsid w:val="0098078C"/>
    <w:rsid w:val="00981498"/>
    <w:rsid w:val="009817EF"/>
    <w:rsid w:val="009826E4"/>
    <w:rsid w:val="0098270E"/>
    <w:rsid w:val="00982DE0"/>
    <w:rsid w:val="00982E86"/>
    <w:rsid w:val="00985265"/>
    <w:rsid w:val="00986421"/>
    <w:rsid w:val="0098653C"/>
    <w:rsid w:val="009901FF"/>
    <w:rsid w:val="00991163"/>
    <w:rsid w:val="00991BCA"/>
    <w:rsid w:val="00991FDB"/>
    <w:rsid w:val="00992B56"/>
    <w:rsid w:val="00992F6C"/>
    <w:rsid w:val="0099402D"/>
    <w:rsid w:val="00994563"/>
    <w:rsid w:val="00994874"/>
    <w:rsid w:val="00995452"/>
    <w:rsid w:val="0099571F"/>
    <w:rsid w:val="00995BC2"/>
    <w:rsid w:val="00995E18"/>
    <w:rsid w:val="00995E94"/>
    <w:rsid w:val="00996654"/>
    <w:rsid w:val="00996C8B"/>
    <w:rsid w:val="00997426"/>
    <w:rsid w:val="0099754B"/>
    <w:rsid w:val="009A04FC"/>
    <w:rsid w:val="009A0808"/>
    <w:rsid w:val="009A16C5"/>
    <w:rsid w:val="009A238D"/>
    <w:rsid w:val="009A2444"/>
    <w:rsid w:val="009A2D1A"/>
    <w:rsid w:val="009A61F3"/>
    <w:rsid w:val="009A632F"/>
    <w:rsid w:val="009A7A94"/>
    <w:rsid w:val="009B0AFD"/>
    <w:rsid w:val="009B10CA"/>
    <w:rsid w:val="009B2268"/>
    <w:rsid w:val="009B2CBD"/>
    <w:rsid w:val="009B38A1"/>
    <w:rsid w:val="009B40FE"/>
    <w:rsid w:val="009B48E3"/>
    <w:rsid w:val="009B6496"/>
    <w:rsid w:val="009B76F9"/>
    <w:rsid w:val="009B7E69"/>
    <w:rsid w:val="009C0525"/>
    <w:rsid w:val="009C213D"/>
    <w:rsid w:val="009C2348"/>
    <w:rsid w:val="009C26D0"/>
    <w:rsid w:val="009C2753"/>
    <w:rsid w:val="009C29AB"/>
    <w:rsid w:val="009C37C6"/>
    <w:rsid w:val="009C6342"/>
    <w:rsid w:val="009C6F30"/>
    <w:rsid w:val="009D03D7"/>
    <w:rsid w:val="009D0475"/>
    <w:rsid w:val="009D0690"/>
    <w:rsid w:val="009D140F"/>
    <w:rsid w:val="009D1703"/>
    <w:rsid w:val="009D22D6"/>
    <w:rsid w:val="009D321F"/>
    <w:rsid w:val="009D3AE7"/>
    <w:rsid w:val="009D3D75"/>
    <w:rsid w:val="009D4245"/>
    <w:rsid w:val="009D6281"/>
    <w:rsid w:val="009D648C"/>
    <w:rsid w:val="009E06D8"/>
    <w:rsid w:val="009E11BC"/>
    <w:rsid w:val="009E2C6B"/>
    <w:rsid w:val="009E3543"/>
    <w:rsid w:val="009E408D"/>
    <w:rsid w:val="009E5CC6"/>
    <w:rsid w:val="009E7C9D"/>
    <w:rsid w:val="009F0DEE"/>
    <w:rsid w:val="009F2B23"/>
    <w:rsid w:val="009F3B89"/>
    <w:rsid w:val="009F3FED"/>
    <w:rsid w:val="009F42CB"/>
    <w:rsid w:val="009F4F4A"/>
    <w:rsid w:val="009F502D"/>
    <w:rsid w:val="009F52EA"/>
    <w:rsid w:val="009F5DB5"/>
    <w:rsid w:val="009F60C5"/>
    <w:rsid w:val="009F7090"/>
    <w:rsid w:val="009F75E6"/>
    <w:rsid w:val="00A012DF"/>
    <w:rsid w:val="00A0162E"/>
    <w:rsid w:val="00A03619"/>
    <w:rsid w:val="00A053C4"/>
    <w:rsid w:val="00A1059F"/>
    <w:rsid w:val="00A108E0"/>
    <w:rsid w:val="00A10BB8"/>
    <w:rsid w:val="00A10E84"/>
    <w:rsid w:val="00A11734"/>
    <w:rsid w:val="00A11F60"/>
    <w:rsid w:val="00A12103"/>
    <w:rsid w:val="00A127BE"/>
    <w:rsid w:val="00A136BC"/>
    <w:rsid w:val="00A13B83"/>
    <w:rsid w:val="00A14495"/>
    <w:rsid w:val="00A1483C"/>
    <w:rsid w:val="00A14E22"/>
    <w:rsid w:val="00A14ED4"/>
    <w:rsid w:val="00A15849"/>
    <w:rsid w:val="00A15F6D"/>
    <w:rsid w:val="00A16C52"/>
    <w:rsid w:val="00A2105C"/>
    <w:rsid w:val="00A223DA"/>
    <w:rsid w:val="00A23952"/>
    <w:rsid w:val="00A23B73"/>
    <w:rsid w:val="00A23CD4"/>
    <w:rsid w:val="00A2435D"/>
    <w:rsid w:val="00A24BCD"/>
    <w:rsid w:val="00A24BED"/>
    <w:rsid w:val="00A25A16"/>
    <w:rsid w:val="00A26BF4"/>
    <w:rsid w:val="00A26E61"/>
    <w:rsid w:val="00A27484"/>
    <w:rsid w:val="00A300AF"/>
    <w:rsid w:val="00A318DC"/>
    <w:rsid w:val="00A31DDC"/>
    <w:rsid w:val="00A320DF"/>
    <w:rsid w:val="00A32B65"/>
    <w:rsid w:val="00A33BF1"/>
    <w:rsid w:val="00A34820"/>
    <w:rsid w:val="00A351E3"/>
    <w:rsid w:val="00A359CA"/>
    <w:rsid w:val="00A37205"/>
    <w:rsid w:val="00A3740B"/>
    <w:rsid w:val="00A3747B"/>
    <w:rsid w:val="00A37658"/>
    <w:rsid w:val="00A37D91"/>
    <w:rsid w:val="00A37FE3"/>
    <w:rsid w:val="00A40A3E"/>
    <w:rsid w:val="00A43FB7"/>
    <w:rsid w:val="00A44EED"/>
    <w:rsid w:val="00A44F33"/>
    <w:rsid w:val="00A45A93"/>
    <w:rsid w:val="00A51D3A"/>
    <w:rsid w:val="00A524EE"/>
    <w:rsid w:val="00A53740"/>
    <w:rsid w:val="00A54398"/>
    <w:rsid w:val="00A5472B"/>
    <w:rsid w:val="00A550DD"/>
    <w:rsid w:val="00A60C2A"/>
    <w:rsid w:val="00A61126"/>
    <w:rsid w:val="00A6187C"/>
    <w:rsid w:val="00A621AA"/>
    <w:rsid w:val="00A621B3"/>
    <w:rsid w:val="00A62235"/>
    <w:rsid w:val="00A62488"/>
    <w:rsid w:val="00A62C92"/>
    <w:rsid w:val="00A62DD4"/>
    <w:rsid w:val="00A62DD6"/>
    <w:rsid w:val="00A62FA1"/>
    <w:rsid w:val="00A63121"/>
    <w:rsid w:val="00A6346D"/>
    <w:rsid w:val="00A634B8"/>
    <w:rsid w:val="00A657F9"/>
    <w:rsid w:val="00A669D4"/>
    <w:rsid w:val="00A677FF"/>
    <w:rsid w:val="00A67D4F"/>
    <w:rsid w:val="00A7016A"/>
    <w:rsid w:val="00A701F9"/>
    <w:rsid w:val="00A70782"/>
    <w:rsid w:val="00A71A6C"/>
    <w:rsid w:val="00A73711"/>
    <w:rsid w:val="00A77D1A"/>
    <w:rsid w:val="00A81179"/>
    <w:rsid w:val="00A812B0"/>
    <w:rsid w:val="00A82EA4"/>
    <w:rsid w:val="00A8313A"/>
    <w:rsid w:val="00A8317B"/>
    <w:rsid w:val="00A83989"/>
    <w:rsid w:val="00A84086"/>
    <w:rsid w:val="00A85765"/>
    <w:rsid w:val="00A86119"/>
    <w:rsid w:val="00A866F2"/>
    <w:rsid w:val="00A871DF"/>
    <w:rsid w:val="00A90E24"/>
    <w:rsid w:val="00A91957"/>
    <w:rsid w:val="00A92280"/>
    <w:rsid w:val="00A928CD"/>
    <w:rsid w:val="00A9312D"/>
    <w:rsid w:val="00A93418"/>
    <w:rsid w:val="00A935E6"/>
    <w:rsid w:val="00A940BE"/>
    <w:rsid w:val="00A95DB1"/>
    <w:rsid w:val="00A95F6B"/>
    <w:rsid w:val="00A97045"/>
    <w:rsid w:val="00A97603"/>
    <w:rsid w:val="00A976C3"/>
    <w:rsid w:val="00A97A95"/>
    <w:rsid w:val="00AA12D2"/>
    <w:rsid w:val="00AA1A7E"/>
    <w:rsid w:val="00AA4282"/>
    <w:rsid w:val="00AA4315"/>
    <w:rsid w:val="00AA4624"/>
    <w:rsid w:val="00AA50A7"/>
    <w:rsid w:val="00AA52B2"/>
    <w:rsid w:val="00AA5356"/>
    <w:rsid w:val="00AA625A"/>
    <w:rsid w:val="00AA63B1"/>
    <w:rsid w:val="00AA6972"/>
    <w:rsid w:val="00AA6D52"/>
    <w:rsid w:val="00AA7278"/>
    <w:rsid w:val="00AB0186"/>
    <w:rsid w:val="00AB029E"/>
    <w:rsid w:val="00AB1DBF"/>
    <w:rsid w:val="00AB2B16"/>
    <w:rsid w:val="00AB4FFE"/>
    <w:rsid w:val="00AB5678"/>
    <w:rsid w:val="00AB687D"/>
    <w:rsid w:val="00AB6A96"/>
    <w:rsid w:val="00AB7ABE"/>
    <w:rsid w:val="00AC06A5"/>
    <w:rsid w:val="00AC086D"/>
    <w:rsid w:val="00AC0B84"/>
    <w:rsid w:val="00AC189A"/>
    <w:rsid w:val="00AC1FC1"/>
    <w:rsid w:val="00AC2C71"/>
    <w:rsid w:val="00AC3874"/>
    <w:rsid w:val="00AC3DB1"/>
    <w:rsid w:val="00AC4311"/>
    <w:rsid w:val="00AC4B89"/>
    <w:rsid w:val="00AC4D69"/>
    <w:rsid w:val="00AC571F"/>
    <w:rsid w:val="00AC755E"/>
    <w:rsid w:val="00AC7C8E"/>
    <w:rsid w:val="00AD1317"/>
    <w:rsid w:val="00AD2150"/>
    <w:rsid w:val="00AD2BB3"/>
    <w:rsid w:val="00AD2D57"/>
    <w:rsid w:val="00AD356F"/>
    <w:rsid w:val="00AD364A"/>
    <w:rsid w:val="00AD3B68"/>
    <w:rsid w:val="00AD4FE7"/>
    <w:rsid w:val="00AD57DC"/>
    <w:rsid w:val="00AE02BC"/>
    <w:rsid w:val="00AE05B5"/>
    <w:rsid w:val="00AE0C9B"/>
    <w:rsid w:val="00AE12CD"/>
    <w:rsid w:val="00AE1C86"/>
    <w:rsid w:val="00AE23F8"/>
    <w:rsid w:val="00AE28E5"/>
    <w:rsid w:val="00AE2951"/>
    <w:rsid w:val="00AE39BA"/>
    <w:rsid w:val="00AE3AEB"/>
    <w:rsid w:val="00AE3D12"/>
    <w:rsid w:val="00AE559C"/>
    <w:rsid w:val="00AE5661"/>
    <w:rsid w:val="00AE6E83"/>
    <w:rsid w:val="00AE6F6E"/>
    <w:rsid w:val="00AF5296"/>
    <w:rsid w:val="00AF58A2"/>
    <w:rsid w:val="00AF6C54"/>
    <w:rsid w:val="00AF6C5C"/>
    <w:rsid w:val="00AF75A7"/>
    <w:rsid w:val="00B00CDF"/>
    <w:rsid w:val="00B03DAF"/>
    <w:rsid w:val="00B056F5"/>
    <w:rsid w:val="00B06A1C"/>
    <w:rsid w:val="00B07574"/>
    <w:rsid w:val="00B079ED"/>
    <w:rsid w:val="00B07CFB"/>
    <w:rsid w:val="00B1070D"/>
    <w:rsid w:val="00B10A70"/>
    <w:rsid w:val="00B1232E"/>
    <w:rsid w:val="00B163D4"/>
    <w:rsid w:val="00B16B7D"/>
    <w:rsid w:val="00B1762D"/>
    <w:rsid w:val="00B20887"/>
    <w:rsid w:val="00B2098C"/>
    <w:rsid w:val="00B22250"/>
    <w:rsid w:val="00B22CE3"/>
    <w:rsid w:val="00B259F1"/>
    <w:rsid w:val="00B26086"/>
    <w:rsid w:val="00B261DC"/>
    <w:rsid w:val="00B31963"/>
    <w:rsid w:val="00B33C2D"/>
    <w:rsid w:val="00B367A9"/>
    <w:rsid w:val="00B41D97"/>
    <w:rsid w:val="00B43BDA"/>
    <w:rsid w:val="00B4461D"/>
    <w:rsid w:val="00B45AE5"/>
    <w:rsid w:val="00B47D19"/>
    <w:rsid w:val="00B503C5"/>
    <w:rsid w:val="00B50C36"/>
    <w:rsid w:val="00B51179"/>
    <w:rsid w:val="00B52920"/>
    <w:rsid w:val="00B52D03"/>
    <w:rsid w:val="00B53CC6"/>
    <w:rsid w:val="00B556EF"/>
    <w:rsid w:val="00B558F0"/>
    <w:rsid w:val="00B566BB"/>
    <w:rsid w:val="00B56BAB"/>
    <w:rsid w:val="00B57828"/>
    <w:rsid w:val="00B57EBD"/>
    <w:rsid w:val="00B606BA"/>
    <w:rsid w:val="00B60E4F"/>
    <w:rsid w:val="00B6107E"/>
    <w:rsid w:val="00B61849"/>
    <w:rsid w:val="00B620F7"/>
    <w:rsid w:val="00B62208"/>
    <w:rsid w:val="00B6287A"/>
    <w:rsid w:val="00B641A7"/>
    <w:rsid w:val="00B644ED"/>
    <w:rsid w:val="00B64E0A"/>
    <w:rsid w:val="00B656C9"/>
    <w:rsid w:val="00B65C0F"/>
    <w:rsid w:val="00B6759E"/>
    <w:rsid w:val="00B678DC"/>
    <w:rsid w:val="00B67B7E"/>
    <w:rsid w:val="00B700B6"/>
    <w:rsid w:val="00B7015D"/>
    <w:rsid w:val="00B701B5"/>
    <w:rsid w:val="00B714E8"/>
    <w:rsid w:val="00B7198F"/>
    <w:rsid w:val="00B72F0D"/>
    <w:rsid w:val="00B7426E"/>
    <w:rsid w:val="00B74956"/>
    <w:rsid w:val="00B74DF2"/>
    <w:rsid w:val="00B755E1"/>
    <w:rsid w:val="00B75643"/>
    <w:rsid w:val="00B75C29"/>
    <w:rsid w:val="00B769E4"/>
    <w:rsid w:val="00B770BB"/>
    <w:rsid w:val="00B77966"/>
    <w:rsid w:val="00B80169"/>
    <w:rsid w:val="00B80454"/>
    <w:rsid w:val="00B8173B"/>
    <w:rsid w:val="00B82A3E"/>
    <w:rsid w:val="00B83384"/>
    <w:rsid w:val="00B839F0"/>
    <w:rsid w:val="00B83DC2"/>
    <w:rsid w:val="00B83F85"/>
    <w:rsid w:val="00B847F6"/>
    <w:rsid w:val="00B85B62"/>
    <w:rsid w:val="00B86080"/>
    <w:rsid w:val="00B86FB4"/>
    <w:rsid w:val="00B872DE"/>
    <w:rsid w:val="00B875EC"/>
    <w:rsid w:val="00B87CFA"/>
    <w:rsid w:val="00B90459"/>
    <w:rsid w:val="00B90598"/>
    <w:rsid w:val="00B910BE"/>
    <w:rsid w:val="00B93E47"/>
    <w:rsid w:val="00B9417D"/>
    <w:rsid w:val="00B94A5C"/>
    <w:rsid w:val="00B9600A"/>
    <w:rsid w:val="00B96218"/>
    <w:rsid w:val="00B962ED"/>
    <w:rsid w:val="00B968FB"/>
    <w:rsid w:val="00B969A8"/>
    <w:rsid w:val="00B9724E"/>
    <w:rsid w:val="00B97F3E"/>
    <w:rsid w:val="00BA0B8B"/>
    <w:rsid w:val="00BA0E03"/>
    <w:rsid w:val="00BA10E7"/>
    <w:rsid w:val="00BA16FD"/>
    <w:rsid w:val="00BA213A"/>
    <w:rsid w:val="00BA59D6"/>
    <w:rsid w:val="00BA5F0A"/>
    <w:rsid w:val="00BA623A"/>
    <w:rsid w:val="00BB0046"/>
    <w:rsid w:val="00BB0EAA"/>
    <w:rsid w:val="00BB18C8"/>
    <w:rsid w:val="00BB2263"/>
    <w:rsid w:val="00BB238D"/>
    <w:rsid w:val="00BB3D1B"/>
    <w:rsid w:val="00BB530F"/>
    <w:rsid w:val="00BB5479"/>
    <w:rsid w:val="00BB5AA6"/>
    <w:rsid w:val="00BB5D2A"/>
    <w:rsid w:val="00BB5DAD"/>
    <w:rsid w:val="00BB5DF0"/>
    <w:rsid w:val="00BB67A2"/>
    <w:rsid w:val="00BB6A96"/>
    <w:rsid w:val="00BB71AC"/>
    <w:rsid w:val="00BC0541"/>
    <w:rsid w:val="00BC1DDD"/>
    <w:rsid w:val="00BC1F3A"/>
    <w:rsid w:val="00BC270C"/>
    <w:rsid w:val="00BC51DE"/>
    <w:rsid w:val="00BC55A8"/>
    <w:rsid w:val="00BC69D5"/>
    <w:rsid w:val="00BC7195"/>
    <w:rsid w:val="00BD0209"/>
    <w:rsid w:val="00BD0EB3"/>
    <w:rsid w:val="00BD1AE2"/>
    <w:rsid w:val="00BD241B"/>
    <w:rsid w:val="00BD33F6"/>
    <w:rsid w:val="00BD4128"/>
    <w:rsid w:val="00BD4208"/>
    <w:rsid w:val="00BD46D4"/>
    <w:rsid w:val="00BD62CC"/>
    <w:rsid w:val="00BD66FA"/>
    <w:rsid w:val="00BD71B1"/>
    <w:rsid w:val="00BD73F4"/>
    <w:rsid w:val="00BD7656"/>
    <w:rsid w:val="00BE01CE"/>
    <w:rsid w:val="00BE1A0B"/>
    <w:rsid w:val="00BE5352"/>
    <w:rsid w:val="00BE616C"/>
    <w:rsid w:val="00BE6254"/>
    <w:rsid w:val="00BE6879"/>
    <w:rsid w:val="00BE79E9"/>
    <w:rsid w:val="00BF13D8"/>
    <w:rsid w:val="00BF27B8"/>
    <w:rsid w:val="00BF3870"/>
    <w:rsid w:val="00BF4C22"/>
    <w:rsid w:val="00BF5AD6"/>
    <w:rsid w:val="00BF60C6"/>
    <w:rsid w:val="00BF7FD9"/>
    <w:rsid w:val="00C009AB"/>
    <w:rsid w:val="00C011E9"/>
    <w:rsid w:val="00C0154C"/>
    <w:rsid w:val="00C03451"/>
    <w:rsid w:val="00C03A96"/>
    <w:rsid w:val="00C03F4B"/>
    <w:rsid w:val="00C0405A"/>
    <w:rsid w:val="00C040D2"/>
    <w:rsid w:val="00C0669D"/>
    <w:rsid w:val="00C068E5"/>
    <w:rsid w:val="00C06F48"/>
    <w:rsid w:val="00C07C89"/>
    <w:rsid w:val="00C11999"/>
    <w:rsid w:val="00C12648"/>
    <w:rsid w:val="00C12FB3"/>
    <w:rsid w:val="00C14DD2"/>
    <w:rsid w:val="00C14FEB"/>
    <w:rsid w:val="00C15387"/>
    <w:rsid w:val="00C1619C"/>
    <w:rsid w:val="00C1629B"/>
    <w:rsid w:val="00C16D60"/>
    <w:rsid w:val="00C16E4A"/>
    <w:rsid w:val="00C179E8"/>
    <w:rsid w:val="00C17B45"/>
    <w:rsid w:val="00C2154A"/>
    <w:rsid w:val="00C21A56"/>
    <w:rsid w:val="00C2213F"/>
    <w:rsid w:val="00C226EE"/>
    <w:rsid w:val="00C22A46"/>
    <w:rsid w:val="00C22D52"/>
    <w:rsid w:val="00C2536A"/>
    <w:rsid w:val="00C253E7"/>
    <w:rsid w:val="00C31686"/>
    <w:rsid w:val="00C31C4C"/>
    <w:rsid w:val="00C31EA0"/>
    <w:rsid w:val="00C323D8"/>
    <w:rsid w:val="00C34F1B"/>
    <w:rsid w:val="00C34F83"/>
    <w:rsid w:val="00C35885"/>
    <w:rsid w:val="00C358C1"/>
    <w:rsid w:val="00C36454"/>
    <w:rsid w:val="00C40170"/>
    <w:rsid w:val="00C41182"/>
    <w:rsid w:val="00C42F73"/>
    <w:rsid w:val="00C43DEB"/>
    <w:rsid w:val="00C46BEE"/>
    <w:rsid w:val="00C502F8"/>
    <w:rsid w:val="00C515AA"/>
    <w:rsid w:val="00C51D76"/>
    <w:rsid w:val="00C52A46"/>
    <w:rsid w:val="00C530D2"/>
    <w:rsid w:val="00C5311D"/>
    <w:rsid w:val="00C5367F"/>
    <w:rsid w:val="00C556D7"/>
    <w:rsid w:val="00C562F1"/>
    <w:rsid w:val="00C56EB1"/>
    <w:rsid w:val="00C57BAE"/>
    <w:rsid w:val="00C57C47"/>
    <w:rsid w:val="00C60D43"/>
    <w:rsid w:val="00C60D9C"/>
    <w:rsid w:val="00C60E52"/>
    <w:rsid w:val="00C61221"/>
    <w:rsid w:val="00C6243F"/>
    <w:rsid w:val="00C64ADA"/>
    <w:rsid w:val="00C652E4"/>
    <w:rsid w:val="00C663E2"/>
    <w:rsid w:val="00C7051B"/>
    <w:rsid w:val="00C71FC4"/>
    <w:rsid w:val="00C723FD"/>
    <w:rsid w:val="00C76355"/>
    <w:rsid w:val="00C767BD"/>
    <w:rsid w:val="00C76A51"/>
    <w:rsid w:val="00C76A85"/>
    <w:rsid w:val="00C77A08"/>
    <w:rsid w:val="00C77F26"/>
    <w:rsid w:val="00C80198"/>
    <w:rsid w:val="00C80316"/>
    <w:rsid w:val="00C8262E"/>
    <w:rsid w:val="00C82EA9"/>
    <w:rsid w:val="00C83A9E"/>
    <w:rsid w:val="00C83CA8"/>
    <w:rsid w:val="00C8570C"/>
    <w:rsid w:val="00C861A3"/>
    <w:rsid w:val="00C86E16"/>
    <w:rsid w:val="00C86EDC"/>
    <w:rsid w:val="00C90E88"/>
    <w:rsid w:val="00C91039"/>
    <w:rsid w:val="00C910AA"/>
    <w:rsid w:val="00C918F2"/>
    <w:rsid w:val="00C92433"/>
    <w:rsid w:val="00C92F4F"/>
    <w:rsid w:val="00C948D5"/>
    <w:rsid w:val="00C94F8F"/>
    <w:rsid w:val="00C95240"/>
    <w:rsid w:val="00C953E0"/>
    <w:rsid w:val="00C956A1"/>
    <w:rsid w:val="00C95C2B"/>
    <w:rsid w:val="00C95D0E"/>
    <w:rsid w:val="00C96E33"/>
    <w:rsid w:val="00C970C6"/>
    <w:rsid w:val="00C9785D"/>
    <w:rsid w:val="00CA0786"/>
    <w:rsid w:val="00CA0D65"/>
    <w:rsid w:val="00CA1458"/>
    <w:rsid w:val="00CA1C28"/>
    <w:rsid w:val="00CA1F0F"/>
    <w:rsid w:val="00CA3029"/>
    <w:rsid w:val="00CA4507"/>
    <w:rsid w:val="00CA49B3"/>
    <w:rsid w:val="00CA5D33"/>
    <w:rsid w:val="00CA6559"/>
    <w:rsid w:val="00CB011E"/>
    <w:rsid w:val="00CB0EFE"/>
    <w:rsid w:val="00CB1823"/>
    <w:rsid w:val="00CB2E31"/>
    <w:rsid w:val="00CB3740"/>
    <w:rsid w:val="00CB398F"/>
    <w:rsid w:val="00CB53CB"/>
    <w:rsid w:val="00CB56E1"/>
    <w:rsid w:val="00CB57F6"/>
    <w:rsid w:val="00CB5EB7"/>
    <w:rsid w:val="00CB663F"/>
    <w:rsid w:val="00CB7166"/>
    <w:rsid w:val="00CB72B3"/>
    <w:rsid w:val="00CB77C6"/>
    <w:rsid w:val="00CB7F24"/>
    <w:rsid w:val="00CC0EC1"/>
    <w:rsid w:val="00CC2040"/>
    <w:rsid w:val="00CC29A3"/>
    <w:rsid w:val="00CC307E"/>
    <w:rsid w:val="00CC44F6"/>
    <w:rsid w:val="00CC796F"/>
    <w:rsid w:val="00CD0124"/>
    <w:rsid w:val="00CD2AB4"/>
    <w:rsid w:val="00CD2FF3"/>
    <w:rsid w:val="00CD3B83"/>
    <w:rsid w:val="00CD4132"/>
    <w:rsid w:val="00CD4F56"/>
    <w:rsid w:val="00CD55A0"/>
    <w:rsid w:val="00CD5708"/>
    <w:rsid w:val="00CD62EA"/>
    <w:rsid w:val="00CD6AA8"/>
    <w:rsid w:val="00CD6B47"/>
    <w:rsid w:val="00CD76F9"/>
    <w:rsid w:val="00CE099A"/>
    <w:rsid w:val="00CE0B21"/>
    <w:rsid w:val="00CE1965"/>
    <w:rsid w:val="00CE1C6B"/>
    <w:rsid w:val="00CE1DBA"/>
    <w:rsid w:val="00CE1F4A"/>
    <w:rsid w:val="00CE2827"/>
    <w:rsid w:val="00CE289F"/>
    <w:rsid w:val="00CE35B0"/>
    <w:rsid w:val="00CE4389"/>
    <w:rsid w:val="00CE4418"/>
    <w:rsid w:val="00CE4A60"/>
    <w:rsid w:val="00CE5005"/>
    <w:rsid w:val="00CE5609"/>
    <w:rsid w:val="00CE5C16"/>
    <w:rsid w:val="00CE621A"/>
    <w:rsid w:val="00CE69F6"/>
    <w:rsid w:val="00CF2276"/>
    <w:rsid w:val="00CF22E1"/>
    <w:rsid w:val="00CF28D3"/>
    <w:rsid w:val="00CF4258"/>
    <w:rsid w:val="00CF4B38"/>
    <w:rsid w:val="00CF5D3D"/>
    <w:rsid w:val="00CF717C"/>
    <w:rsid w:val="00D00667"/>
    <w:rsid w:val="00D009E7"/>
    <w:rsid w:val="00D00A52"/>
    <w:rsid w:val="00D017D5"/>
    <w:rsid w:val="00D017E1"/>
    <w:rsid w:val="00D02C8A"/>
    <w:rsid w:val="00D03E3E"/>
    <w:rsid w:val="00D046A5"/>
    <w:rsid w:val="00D04B3B"/>
    <w:rsid w:val="00D05455"/>
    <w:rsid w:val="00D0616C"/>
    <w:rsid w:val="00D07664"/>
    <w:rsid w:val="00D117E3"/>
    <w:rsid w:val="00D11D94"/>
    <w:rsid w:val="00D11F09"/>
    <w:rsid w:val="00D12122"/>
    <w:rsid w:val="00D13204"/>
    <w:rsid w:val="00D136FB"/>
    <w:rsid w:val="00D139AC"/>
    <w:rsid w:val="00D13AED"/>
    <w:rsid w:val="00D14A29"/>
    <w:rsid w:val="00D1517D"/>
    <w:rsid w:val="00D15B70"/>
    <w:rsid w:val="00D1637F"/>
    <w:rsid w:val="00D17F34"/>
    <w:rsid w:val="00D20422"/>
    <w:rsid w:val="00D20F62"/>
    <w:rsid w:val="00D2108D"/>
    <w:rsid w:val="00D216F8"/>
    <w:rsid w:val="00D24C1A"/>
    <w:rsid w:val="00D253C6"/>
    <w:rsid w:val="00D258DB"/>
    <w:rsid w:val="00D272F0"/>
    <w:rsid w:val="00D27451"/>
    <w:rsid w:val="00D275AA"/>
    <w:rsid w:val="00D27D49"/>
    <w:rsid w:val="00D308BE"/>
    <w:rsid w:val="00D3164A"/>
    <w:rsid w:val="00D320B3"/>
    <w:rsid w:val="00D334D1"/>
    <w:rsid w:val="00D34274"/>
    <w:rsid w:val="00D343E7"/>
    <w:rsid w:val="00D34E40"/>
    <w:rsid w:val="00D35829"/>
    <w:rsid w:val="00D364FA"/>
    <w:rsid w:val="00D414C6"/>
    <w:rsid w:val="00D42541"/>
    <w:rsid w:val="00D4335D"/>
    <w:rsid w:val="00D4455D"/>
    <w:rsid w:val="00D452D1"/>
    <w:rsid w:val="00D45B45"/>
    <w:rsid w:val="00D463D0"/>
    <w:rsid w:val="00D4647E"/>
    <w:rsid w:val="00D51EF6"/>
    <w:rsid w:val="00D5275F"/>
    <w:rsid w:val="00D53310"/>
    <w:rsid w:val="00D5347A"/>
    <w:rsid w:val="00D53C61"/>
    <w:rsid w:val="00D560C8"/>
    <w:rsid w:val="00D564C9"/>
    <w:rsid w:val="00D56A59"/>
    <w:rsid w:val="00D570DC"/>
    <w:rsid w:val="00D60431"/>
    <w:rsid w:val="00D60980"/>
    <w:rsid w:val="00D60ACE"/>
    <w:rsid w:val="00D61BE9"/>
    <w:rsid w:val="00D62EE9"/>
    <w:rsid w:val="00D631DB"/>
    <w:rsid w:val="00D63460"/>
    <w:rsid w:val="00D64675"/>
    <w:rsid w:val="00D7276D"/>
    <w:rsid w:val="00D731DE"/>
    <w:rsid w:val="00D73466"/>
    <w:rsid w:val="00D7373C"/>
    <w:rsid w:val="00D73EF6"/>
    <w:rsid w:val="00D74054"/>
    <w:rsid w:val="00D74F46"/>
    <w:rsid w:val="00D75139"/>
    <w:rsid w:val="00D75AC2"/>
    <w:rsid w:val="00D765EC"/>
    <w:rsid w:val="00D76B7F"/>
    <w:rsid w:val="00D7763B"/>
    <w:rsid w:val="00D817FC"/>
    <w:rsid w:val="00D8305B"/>
    <w:rsid w:val="00D8443C"/>
    <w:rsid w:val="00D848B2"/>
    <w:rsid w:val="00D86701"/>
    <w:rsid w:val="00D8688D"/>
    <w:rsid w:val="00D87A12"/>
    <w:rsid w:val="00D907BE"/>
    <w:rsid w:val="00D9089C"/>
    <w:rsid w:val="00D90927"/>
    <w:rsid w:val="00D91849"/>
    <w:rsid w:val="00D91C27"/>
    <w:rsid w:val="00D9226F"/>
    <w:rsid w:val="00D92360"/>
    <w:rsid w:val="00D92478"/>
    <w:rsid w:val="00D9343B"/>
    <w:rsid w:val="00D93529"/>
    <w:rsid w:val="00D951DA"/>
    <w:rsid w:val="00D96C3E"/>
    <w:rsid w:val="00D9752C"/>
    <w:rsid w:val="00DA0EDF"/>
    <w:rsid w:val="00DA1A46"/>
    <w:rsid w:val="00DA1DE6"/>
    <w:rsid w:val="00DA1F56"/>
    <w:rsid w:val="00DA2526"/>
    <w:rsid w:val="00DA3F21"/>
    <w:rsid w:val="00DA4FA9"/>
    <w:rsid w:val="00DA6E16"/>
    <w:rsid w:val="00DA732F"/>
    <w:rsid w:val="00DB15A6"/>
    <w:rsid w:val="00DB22C4"/>
    <w:rsid w:val="00DB30CD"/>
    <w:rsid w:val="00DB4CA8"/>
    <w:rsid w:val="00DB5589"/>
    <w:rsid w:val="00DB597C"/>
    <w:rsid w:val="00DB61AC"/>
    <w:rsid w:val="00DB63AC"/>
    <w:rsid w:val="00DB7FC8"/>
    <w:rsid w:val="00DC021A"/>
    <w:rsid w:val="00DC1180"/>
    <w:rsid w:val="00DC14DE"/>
    <w:rsid w:val="00DC20B3"/>
    <w:rsid w:val="00DC2689"/>
    <w:rsid w:val="00DC2786"/>
    <w:rsid w:val="00DC2C91"/>
    <w:rsid w:val="00DC317E"/>
    <w:rsid w:val="00DC42A6"/>
    <w:rsid w:val="00DC448E"/>
    <w:rsid w:val="00DC4689"/>
    <w:rsid w:val="00DC4A2B"/>
    <w:rsid w:val="00DC7132"/>
    <w:rsid w:val="00DC7339"/>
    <w:rsid w:val="00DC7C30"/>
    <w:rsid w:val="00DC7DD1"/>
    <w:rsid w:val="00DD0509"/>
    <w:rsid w:val="00DD2245"/>
    <w:rsid w:val="00DD293C"/>
    <w:rsid w:val="00DD3679"/>
    <w:rsid w:val="00DD3E23"/>
    <w:rsid w:val="00DD43FD"/>
    <w:rsid w:val="00DD761E"/>
    <w:rsid w:val="00DD7893"/>
    <w:rsid w:val="00DE0409"/>
    <w:rsid w:val="00DE17C6"/>
    <w:rsid w:val="00DE2F31"/>
    <w:rsid w:val="00DE4210"/>
    <w:rsid w:val="00DE44F8"/>
    <w:rsid w:val="00DE50A1"/>
    <w:rsid w:val="00DE6B64"/>
    <w:rsid w:val="00DF0E18"/>
    <w:rsid w:val="00DF1BAB"/>
    <w:rsid w:val="00DF295A"/>
    <w:rsid w:val="00DF296F"/>
    <w:rsid w:val="00DF30BF"/>
    <w:rsid w:val="00DF3389"/>
    <w:rsid w:val="00DF3A21"/>
    <w:rsid w:val="00DF528D"/>
    <w:rsid w:val="00DF5875"/>
    <w:rsid w:val="00DF5F9C"/>
    <w:rsid w:val="00DF6321"/>
    <w:rsid w:val="00DF6971"/>
    <w:rsid w:val="00DF7244"/>
    <w:rsid w:val="00E026A3"/>
    <w:rsid w:val="00E02BA4"/>
    <w:rsid w:val="00E041D4"/>
    <w:rsid w:val="00E043C5"/>
    <w:rsid w:val="00E0495B"/>
    <w:rsid w:val="00E04CA2"/>
    <w:rsid w:val="00E04F70"/>
    <w:rsid w:val="00E04F74"/>
    <w:rsid w:val="00E05123"/>
    <w:rsid w:val="00E0561D"/>
    <w:rsid w:val="00E058B3"/>
    <w:rsid w:val="00E05D90"/>
    <w:rsid w:val="00E05F4E"/>
    <w:rsid w:val="00E06564"/>
    <w:rsid w:val="00E073AA"/>
    <w:rsid w:val="00E074F1"/>
    <w:rsid w:val="00E10A5D"/>
    <w:rsid w:val="00E10C75"/>
    <w:rsid w:val="00E117B6"/>
    <w:rsid w:val="00E1288D"/>
    <w:rsid w:val="00E128FF"/>
    <w:rsid w:val="00E12E4A"/>
    <w:rsid w:val="00E13256"/>
    <w:rsid w:val="00E15289"/>
    <w:rsid w:val="00E155B5"/>
    <w:rsid w:val="00E15F1A"/>
    <w:rsid w:val="00E209B4"/>
    <w:rsid w:val="00E21049"/>
    <w:rsid w:val="00E21645"/>
    <w:rsid w:val="00E21982"/>
    <w:rsid w:val="00E223FD"/>
    <w:rsid w:val="00E22844"/>
    <w:rsid w:val="00E23070"/>
    <w:rsid w:val="00E23736"/>
    <w:rsid w:val="00E24360"/>
    <w:rsid w:val="00E2459E"/>
    <w:rsid w:val="00E24D00"/>
    <w:rsid w:val="00E258D5"/>
    <w:rsid w:val="00E260A3"/>
    <w:rsid w:val="00E26785"/>
    <w:rsid w:val="00E26F7B"/>
    <w:rsid w:val="00E30A93"/>
    <w:rsid w:val="00E3176C"/>
    <w:rsid w:val="00E328A1"/>
    <w:rsid w:val="00E32FC7"/>
    <w:rsid w:val="00E3408F"/>
    <w:rsid w:val="00E34757"/>
    <w:rsid w:val="00E34763"/>
    <w:rsid w:val="00E349D9"/>
    <w:rsid w:val="00E3587F"/>
    <w:rsid w:val="00E35901"/>
    <w:rsid w:val="00E3596E"/>
    <w:rsid w:val="00E36658"/>
    <w:rsid w:val="00E3679A"/>
    <w:rsid w:val="00E36E62"/>
    <w:rsid w:val="00E37E5C"/>
    <w:rsid w:val="00E40B1D"/>
    <w:rsid w:val="00E42909"/>
    <w:rsid w:val="00E430FC"/>
    <w:rsid w:val="00E43E41"/>
    <w:rsid w:val="00E466E4"/>
    <w:rsid w:val="00E46F91"/>
    <w:rsid w:val="00E47B3C"/>
    <w:rsid w:val="00E50A41"/>
    <w:rsid w:val="00E521B5"/>
    <w:rsid w:val="00E522CA"/>
    <w:rsid w:val="00E52357"/>
    <w:rsid w:val="00E528BE"/>
    <w:rsid w:val="00E53FA1"/>
    <w:rsid w:val="00E54DAF"/>
    <w:rsid w:val="00E5616F"/>
    <w:rsid w:val="00E5679B"/>
    <w:rsid w:val="00E57244"/>
    <w:rsid w:val="00E574DC"/>
    <w:rsid w:val="00E57A1B"/>
    <w:rsid w:val="00E57C36"/>
    <w:rsid w:val="00E604DB"/>
    <w:rsid w:val="00E60C31"/>
    <w:rsid w:val="00E617E3"/>
    <w:rsid w:val="00E619F2"/>
    <w:rsid w:val="00E62F45"/>
    <w:rsid w:val="00E62FCE"/>
    <w:rsid w:val="00E63CC5"/>
    <w:rsid w:val="00E64306"/>
    <w:rsid w:val="00E6527B"/>
    <w:rsid w:val="00E65825"/>
    <w:rsid w:val="00E65A01"/>
    <w:rsid w:val="00E6697D"/>
    <w:rsid w:val="00E66DAF"/>
    <w:rsid w:val="00E676CB"/>
    <w:rsid w:val="00E6795C"/>
    <w:rsid w:val="00E70980"/>
    <w:rsid w:val="00E75223"/>
    <w:rsid w:val="00E7721B"/>
    <w:rsid w:val="00E77507"/>
    <w:rsid w:val="00E800BB"/>
    <w:rsid w:val="00E808A6"/>
    <w:rsid w:val="00E808C9"/>
    <w:rsid w:val="00E80BB9"/>
    <w:rsid w:val="00E820E1"/>
    <w:rsid w:val="00E827EF"/>
    <w:rsid w:val="00E82DB9"/>
    <w:rsid w:val="00E8341C"/>
    <w:rsid w:val="00E83ADB"/>
    <w:rsid w:val="00E84C14"/>
    <w:rsid w:val="00E853C1"/>
    <w:rsid w:val="00E869EF"/>
    <w:rsid w:val="00E86F81"/>
    <w:rsid w:val="00E876B8"/>
    <w:rsid w:val="00E903F7"/>
    <w:rsid w:val="00E90909"/>
    <w:rsid w:val="00E91799"/>
    <w:rsid w:val="00E9283E"/>
    <w:rsid w:val="00E92B3B"/>
    <w:rsid w:val="00E9372E"/>
    <w:rsid w:val="00E942A2"/>
    <w:rsid w:val="00E9482E"/>
    <w:rsid w:val="00E95A91"/>
    <w:rsid w:val="00E97B5D"/>
    <w:rsid w:val="00EA00D3"/>
    <w:rsid w:val="00EA16D9"/>
    <w:rsid w:val="00EA2F1B"/>
    <w:rsid w:val="00EA4706"/>
    <w:rsid w:val="00EA5A04"/>
    <w:rsid w:val="00EA5DD9"/>
    <w:rsid w:val="00EA671D"/>
    <w:rsid w:val="00EA68B0"/>
    <w:rsid w:val="00EB03D5"/>
    <w:rsid w:val="00EB1B6B"/>
    <w:rsid w:val="00EB2A40"/>
    <w:rsid w:val="00EB3D0C"/>
    <w:rsid w:val="00EB43A4"/>
    <w:rsid w:val="00EB5457"/>
    <w:rsid w:val="00EB76BB"/>
    <w:rsid w:val="00EC02C4"/>
    <w:rsid w:val="00EC099F"/>
    <w:rsid w:val="00EC0C6D"/>
    <w:rsid w:val="00EC2D6A"/>
    <w:rsid w:val="00EC5250"/>
    <w:rsid w:val="00EC57E2"/>
    <w:rsid w:val="00EC5B51"/>
    <w:rsid w:val="00EC6DFF"/>
    <w:rsid w:val="00ED02C2"/>
    <w:rsid w:val="00ED11CD"/>
    <w:rsid w:val="00ED1230"/>
    <w:rsid w:val="00ED1643"/>
    <w:rsid w:val="00ED2E8E"/>
    <w:rsid w:val="00ED2E9D"/>
    <w:rsid w:val="00ED3DBB"/>
    <w:rsid w:val="00ED43BD"/>
    <w:rsid w:val="00ED43D9"/>
    <w:rsid w:val="00ED4848"/>
    <w:rsid w:val="00ED514C"/>
    <w:rsid w:val="00ED5193"/>
    <w:rsid w:val="00ED56CE"/>
    <w:rsid w:val="00ED593B"/>
    <w:rsid w:val="00ED76F9"/>
    <w:rsid w:val="00EE0F2E"/>
    <w:rsid w:val="00EE11B1"/>
    <w:rsid w:val="00EE189A"/>
    <w:rsid w:val="00EE1DD7"/>
    <w:rsid w:val="00EE44E4"/>
    <w:rsid w:val="00EE4E94"/>
    <w:rsid w:val="00EE584A"/>
    <w:rsid w:val="00EE64CB"/>
    <w:rsid w:val="00EE66B1"/>
    <w:rsid w:val="00EE6B3F"/>
    <w:rsid w:val="00EE7C20"/>
    <w:rsid w:val="00EE7D9C"/>
    <w:rsid w:val="00EF10FA"/>
    <w:rsid w:val="00EF319A"/>
    <w:rsid w:val="00EF4079"/>
    <w:rsid w:val="00EF52E4"/>
    <w:rsid w:val="00EF6EFE"/>
    <w:rsid w:val="00EF743C"/>
    <w:rsid w:val="00EF7555"/>
    <w:rsid w:val="00F02426"/>
    <w:rsid w:val="00F02CB0"/>
    <w:rsid w:val="00F03B5E"/>
    <w:rsid w:val="00F04A58"/>
    <w:rsid w:val="00F05FAE"/>
    <w:rsid w:val="00F0680C"/>
    <w:rsid w:val="00F079B4"/>
    <w:rsid w:val="00F07D6E"/>
    <w:rsid w:val="00F10A9F"/>
    <w:rsid w:val="00F10F99"/>
    <w:rsid w:val="00F111C8"/>
    <w:rsid w:val="00F1186E"/>
    <w:rsid w:val="00F11D16"/>
    <w:rsid w:val="00F12209"/>
    <w:rsid w:val="00F12369"/>
    <w:rsid w:val="00F123AB"/>
    <w:rsid w:val="00F127BF"/>
    <w:rsid w:val="00F13A80"/>
    <w:rsid w:val="00F13B12"/>
    <w:rsid w:val="00F141CC"/>
    <w:rsid w:val="00F14796"/>
    <w:rsid w:val="00F179A9"/>
    <w:rsid w:val="00F21547"/>
    <w:rsid w:val="00F215E3"/>
    <w:rsid w:val="00F22CB6"/>
    <w:rsid w:val="00F24EA2"/>
    <w:rsid w:val="00F2595D"/>
    <w:rsid w:val="00F25BF6"/>
    <w:rsid w:val="00F2626D"/>
    <w:rsid w:val="00F27D6D"/>
    <w:rsid w:val="00F30490"/>
    <w:rsid w:val="00F30B8F"/>
    <w:rsid w:val="00F32803"/>
    <w:rsid w:val="00F33843"/>
    <w:rsid w:val="00F33C65"/>
    <w:rsid w:val="00F34581"/>
    <w:rsid w:val="00F347E3"/>
    <w:rsid w:val="00F34FD7"/>
    <w:rsid w:val="00F35E98"/>
    <w:rsid w:val="00F3600E"/>
    <w:rsid w:val="00F36F3D"/>
    <w:rsid w:val="00F37BF6"/>
    <w:rsid w:val="00F37D13"/>
    <w:rsid w:val="00F408F5"/>
    <w:rsid w:val="00F41918"/>
    <w:rsid w:val="00F41D03"/>
    <w:rsid w:val="00F422F7"/>
    <w:rsid w:val="00F42ACB"/>
    <w:rsid w:val="00F454D4"/>
    <w:rsid w:val="00F462DC"/>
    <w:rsid w:val="00F46E12"/>
    <w:rsid w:val="00F47983"/>
    <w:rsid w:val="00F514DF"/>
    <w:rsid w:val="00F51967"/>
    <w:rsid w:val="00F51E4F"/>
    <w:rsid w:val="00F52443"/>
    <w:rsid w:val="00F53290"/>
    <w:rsid w:val="00F5437D"/>
    <w:rsid w:val="00F5468E"/>
    <w:rsid w:val="00F546AE"/>
    <w:rsid w:val="00F54F9A"/>
    <w:rsid w:val="00F55E8E"/>
    <w:rsid w:val="00F55E95"/>
    <w:rsid w:val="00F55F3C"/>
    <w:rsid w:val="00F5601A"/>
    <w:rsid w:val="00F562A6"/>
    <w:rsid w:val="00F574F9"/>
    <w:rsid w:val="00F57B6F"/>
    <w:rsid w:val="00F604C8"/>
    <w:rsid w:val="00F632E9"/>
    <w:rsid w:val="00F63643"/>
    <w:rsid w:val="00F63A59"/>
    <w:rsid w:val="00F653A9"/>
    <w:rsid w:val="00F6579F"/>
    <w:rsid w:val="00F65BC0"/>
    <w:rsid w:val="00F65DAA"/>
    <w:rsid w:val="00F660AC"/>
    <w:rsid w:val="00F668E2"/>
    <w:rsid w:val="00F66D3B"/>
    <w:rsid w:val="00F67BCD"/>
    <w:rsid w:val="00F71D48"/>
    <w:rsid w:val="00F73871"/>
    <w:rsid w:val="00F73F3D"/>
    <w:rsid w:val="00F74B1A"/>
    <w:rsid w:val="00F77777"/>
    <w:rsid w:val="00F81A52"/>
    <w:rsid w:val="00F82798"/>
    <w:rsid w:val="00F82A1E"/>
    <w:rsid w:val="00F84002"/>
    <w:rsid w:val="00F84216"/>
    <w:rsid w:val="00F84F63"/>
    <w:rsid w:val="00F85120"/>
    <w:rsid w:val="00F855A0"/>
    <w:rsid w:val="00F85CA8"/>
    <w:rsid w:val="00F87933"/>
    <w:rsid w:val="00F87A80"/>
    <w:rsid w:val="00F87F9D"/>
    <w:rsid w:val="00F90A9E"/>
    <w:rsid w:val="00F9176B"/>
    <w:rsid w:val="00F92610"/>
    <w:rsid w:val="00F97295"/>
    <w:rsid w:val="00F97BD2"/>
    <w:rsid w:val="00F97CB7"/>
    <w:rsid w:val="00FA1CC4"/>
    <w:rsid w:val="00FA1FD0"/>
    <w:rsid w:val="00FA2410"/>
    <w:rsid w:val="00FA28FB"/>
    <w:rsid w:val="00FA2B67"/>
    <w:rsid w:val="00FA353F"/>
    <w:rsid w:val="00FA3920"/>
    <w:rsid w:val="00FA3A65"/>
    <w:rsid w:val="00FA7F40"/>
    <w:rsid w:val="00FB1ABA"/>
    <w:rsid w:val="00FB1F4D"/>
    <w:rsid w:val="00FB25DF"/>
    <w:rsid w:val="00FB4C22"/>
    <w:rsid w:val="00FB5828"/>
    <w:rsid w:val="00FC02BC"/>
    <w:rsid w:val="00FC1616"/>
    <w:rsid w:val="00FC3936"/>
    <w:rsid w:val="00FC3F88"/>
    <w:rsid w:val="00FC45E9"/>
    <w:rsid w:val="00FC4F3C"/>
    <w:rsid w:val="00FC5981"/>
    <w:rsid w:val="00FC5DA3"/>
    <w:rsid w:val="00FC5DA9"/>
    <w:rsid w:val="00FC7B94"/>
    <w:rsid w:val="00FC7BBD"/>
    <w:rsid w:val="00FD011B"/>
    <w:rsid w:val="00FD0195"/>
    <w:rsid w:val="00FD0A9E"/>
    <w:rsid w:val="00FD0B6C"/>
    <w:rsid w:val="00FD131C"/>
    <w:rsid w:val="00FD1929"/>
    <w:rsid w:val="00FD1AC5"/>
    <w:rsid w:val="00FD1FB9"/>
    <w:rsid w:val="00FD259C"/>
    <w:rsid w:val="00FD263D"/>
    <w:rsid w:val="00FD2694"/>
    <w:rsid w:val="00FD2CE0"/>
    <w:rsid w:val="00FD3618"/>
    <w:rsid w:val="00FD36AD"/>
    <w:rsid w:val="00FD3859"/>
    <w:rsid w:val="00FD3D5F"/>
    <w:rsid w:val="00FD3E6A"/>
    <w:rsid w:val="00FD3F79"/>
    <w:rsid w:val="00FD65F9"/>
    <w:rsid w:val="00FD7B9D"/>
    <w:rsid w:val="00FE0C81"/>
    <w:rsid w:val="00FE110E"/>
    <w:rsid w:val="00FE1E30"/>
    <w:rsid w:val="00FE2BCE"/>
    <w:rsid w:val="00FE2CFD"/>
    <w:rsid w:val="00FE39CE"/>
    <w:rsid w:val="00FE3D55"/>
    <w:rsid w:val="00FE402D"/>
    <w:rsid w:val="00FE40AC"/>
    <w:rsid w:val="00FE7ABA"/>
    <w:rsid w:val="00FE7EA6"/>
    <w:rsid w:val="00FF0C94"/>
    <w:rsid w:val="00FF0DE0"/>
    <w:rsid w:val="00FF1293"/>
    <w:rsid w:val="00FF1C1E"/>
    <w:rsid w:val="00FF3DF2"/>
    <w:rsid w:val="00FF4841"/>
    <w:rsid w:val="00FF5E06"/>
    <w:rsid w:val="00FF7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AD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D9"/>
    <w:pPr>
      <w:spacing w:after="100" w:line="400" w:lineRule="exact"/>
      <w:jc w:val="both"/>
    </w:pPr>
    <w:rPr>
      <w:rFonts w:ascii="Century Schoolbook" w:hAnsi="Century Schoolbook"/>
      <w:sz w:val="27"/>
    </w:rPr>
  </w:style>
  <w:style w:type="paragraph" w:styleId="Heading1">
    <w:name w:val="heading 1"/>
    <w:basedOn w:val="Normal"/>
    <w:next w:val="Normal"/>
    <w:qFormat/>
    <w:rsid w:val="00E349D9"/>
    <w:pPr>
      <w:keepNext/>
      <w:spacing w:before="140" w:line="240" w:lineRule="atLeast"/>
      <w:jc w:val="center"/>
      <w:outlineLvl w:val="0"/>
    </w:pPr>
    <w:rPr>
      <w:b/>
      <w:smallCaps/>
    </w:rPr>
  </w:style>
  <w:style w:type="paragraph" w:styleId="Heading2">
    <w:name w:val="heading 2"/>
    <w:basedOn w:val="Normal"/>
    <w:next w:val="Normal"/>
    <w:qFormat/>
    <w:rsid w:val="00E349D9"/>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349D9"/>
    <w:pPr>
      <w:keepNext/>
      <w:tabs>
        <w:tab w:val="left" w:pos="1584"/>
      </w:tabs>
      <w:spacing w:before="140" w:line="240" w:lineRule="atLeast"/>
      <w:ind w:left="1584" w:hanging="432"/>
      <w:jc w:val="left"/>
      <w:outlineLvl w:val="2"/>
    </w:pPr>
    <w:rPr>
      <w:i/>
    </w:rPr>
  </w:style>
  <w:style w:type="paragraph" w:styleId="Heading4">
    <w:name w:val="heading 4"/>
    <w:basedOn w:val="Normal"/>
    <w:rsid w:val="00E349D9"/>
    <w:pPr>
      <w:keepNext/>
      <w:tabs>
        <w:tab w:val="left" w:pos="2016"/>
      </w:tabs>
      <w:spacing w:before="140" w:line="240" w:lineRule="atLeast"/>
      <w:ind w:left="2016" w:hanging="432"/>
      <w:jc w:val="left"/>
      <w:outlineLvl w:val="3"/>
    </w:pPr>
    <w:rPr>
      <w:i/>
    </w:rPr>
  </w:style>
  <w:style w:type="paragraph" w:styleId="Heading5">
    <w:name w:val="heading 5"/>
    <w:basedOn w:val="Normal"/>
    <w:rsid w:val="00E349D9"/>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349D9"/>
    <w:pPr>
      <w:ind w:left="720"/>
    </w:pPr>
  </w:style>
  <w:style w:type="paragraph" w:styleId="Footer">
    <w:name w:val="footer"/>
    <w:basedOn w:val="Normal"/>
    <w:qFormat/>
    <w:rsid w:val="00E349D9"/>
    <w:pPr>
      <w:tabs>
        <w:tab w:val="center" w:pos="3960"/>
        <w:tab w:val="right" w:pos="10080"/>
      </w:tabs>
      <w:spacing w:after="0" w:line="240" w:lineRule="auto"/>
      <w:jc w:val="center"/>
    </w:pPr>
    <w:rPr>
      <w:sz w:val="22"/>
    </w:rPr>
  </w:style>
  <w:style w:type="paragraph" w:styleId="Header">
    <w:name w:val="header"/>
    <w:basedOn w:val="Normal"/>
    <w:qFormat/>
    <w:rsid w:val="00E349D9"/>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349D9"/>
    <w:rPr>
      <w:rFonts w:ascii="Century Schoolbook" w:hAnsi="Century Schoolbook"/>
      <w:b/>
      <w:i w:val="0"/>
      <w:position w:val="4"/>
      <w:sz w:val="27"/>
      <w:vertAlign w:val="superscript"/>
    </w:rPr>
  </w:style>
  <w:style w:type="paragraph" w:styleId="FootnoteText">
    <w:name w:val="footnote text"/>
    <w:basedOn w:val="Normal"/>
    <w:link w:val="FootnoteTextChar"/>
    <w:rsid w:val="00E349D9"/>
    <w:pPr>
      <w:spacing w:line="300" w:lineRule="exact"/>
    </w:pPr>
  </w:style>
  <w:style w:type="paragraph" w:customStyle="1" w:styleId="Title1">
    <w:name w:val="Title1"/>
    <w:basedOn w:val="Normal"/>
    <w:rsid w:val="00E349D9"/>
    <w:pPr>
      <w:tabs>
        <w:tab w:val="left" w:pos="5760"/>
        <w:tab w:val="left" w:pos="6480"/>
      </w:tabs>
      <w:spacing w:line="240" w:lineRule="atLeast"/>
    </w:pPr>
  </w:style>
  <w:style w:type="paragraph" w:customStyle="1" w:styleId="Recommend">
    <w:name w:val="Recommend"/>
    <w:basedOn w:val="Normal"/>
    <w:rsid w:val="00E349D9"/>
  </w:style>
  <w:style w:type="paragraph" w:customStyle="1" w:styleId="Summary">
    <w:name w:val="Summary"/>
    <w:basedOn w:val="Normal"/>
    <w:rsid w:val="00E349D9"/>
    <w:pPr>
      <w:ind w:left="2160" w:hanging="2160"/>
    </w:pPr>
  </w:style>
  <w:style w:type="paragraph" w:customStyle="1" w:styleId="Text">
    <w:name w:val="Text"/>
    <w:basedOn w:val="Normal"/>
    <w:rsid w:val="00E349D9"/>
    <w:pPr>
      <w:tabs>
        <w:tab w:val="left" w:pos="720"/>
        <w:tab w:val="left" w:pos="1440"/>
        <w:tab w:val="left" w:pos="2160"/>
        <w:tab w:val="center" w:pos="4320"/>
      </w:tabs>
      <w:spacing w:line="480" w:lineRule="atLeast"/>
      <w:ind w:firstLine="540"/>
    </w:pPr>
  </w:style>
  <w:style w:type="paragraph" w:styleId="Date">
    <w:name w:val="Date"/>
    <w:basedOn w:val="Normal"/>
    <w:semiHidden/>
    <w:rsid w:val="00E349D9"/>
    <w:pPr>
      <w:jc w:val="right"/>
    </w:pPr>
  </w:style>
  <w:style w:type="character" w:styleId="PageNumber">
    <w:name w:val="page number"/>
    <w:basedOn w:val="DefaultParagraphFont"/>
    <w:rsid w:val="00E349D9"/>
  </w:style>
  <w:style w:type="paragraph" w:customStyle="1" w:styleId="subject">
    <w:name w:val="subject"/>
    <w:basedOn w:val="Normal"/>
    <w:rsid w:val="00E349D9"/>
    <w:pPr>
      <w:tabs>
        <w:tab w:val="left" w:pos="1008"/>
      </w:tabs>
      <w:ind w:left="990" w:hanging="990"/>
    </w:pPr>
    <w:rPr>
      <w:b/>
    </w:rPr>
  </w:style>
  <w:style w:type="paragraph" w:customStyle="1" w:styleId="Titles">
    <w:name w:val="Titles"/>
    <w:basedOn w:val="Normal"/>
    <w:rsid w:val="00E349D9"/>
    <w:pPr>
      <w:tabs>
        <w:tab w:val="left" w:pos="2160"/>
      </w:tabs>
      <w:ind w:left="2160" w:hanging="2160"/>
    </w:pPr>
    <w:rPr>
      <w:b/>
    </w:rPr>
  </w:style>
  <w:style w:type="paragraph" w:styleId="TOAHeading">
    <w:name w:val="toa heading"/>
    <w:basedOn w:val="Normal"/>
    <w:next w:val="Normal"/>
    <w:semiHidden/>
    <w:rsid w:val="00E349D9"/>
    <w:pPr>
      <w:spacing w:before="120"/>
    </w:pPr>
    <w:rPr>
      <w:b/>
    </w:rPr>
  </w:style>
  <w:style w:type="paragraph" w:styleId="TOC1">
    <w:name w:val="toc 1"/>
    <w:basedOn w:val="Normal"/>
    <w:next w:val="Normal"/>
    <w:autoRedefine/>
    <w:semiHidden/>
    <w:rsid w:val="00E349D9"/>
  </w:style>
  <w:style w:type="paragraph" w:styleId="TOC2">
    <w:name w:val="toc 2"/>
    <w:basedOn w:val="Normal"/>
    <w:next w:val="Normal"/>
    <w:autoRedefine/>
    <w:semiHidden/>
    <w:rsid w:val="00E349D9"/>
    <w:pPr>
      <w:ind w:left="259"/>
    </w:pPr>
  </w:style>
  <w:style w:type="paragraph" w:styleId="TOC3">
    <w:name w:val="toc 3"/>
    <w:basedOn w:val="Normal"/>
    <w:next w:val="Normal"/>
    <w:autoRedefine/>
    <w:semiHidden/>
    <w:rsid w:val="00E349D9"/>
    <w:pPr>
      <w:ind w:left="520"/>
    </w:pPr>
  </w:style>
  <w:style w:type="paragraph" w:styleId="TOC4">
    <w:name w:val="toc 4"/>
    <w:basedOn w:val="Normal"/>
    <w:next w:val="Normal"/>
    <w:autoRedefine/>
    <w:semiHidden/>
    <w:rsid w:val="00E349D9"/>
    <w:pPr>
      <w:ind w:left="780"/>
    </w:pPr>
  </w:style>
  <w:style w:type="paragraph" w:styleId="TOC5">
    <w:name w:val="toc 5"/>
    <w:basedOn w:val="Normal"/>
    <w:next w:val="Normal"/>
    <w:autoRedefine/>
    <w:semiHidden/>
    <w:rsid w:val="00E349D9"/>
    <w:pPr>
      <w:ind w:left="1040"/>
    </w:pPr>
  </w:style>
  <w:style w:type="paragraph" w:styleId="TOC6">
    <w:name w:val="toc 6"/>
    <w:basedOn w:val="Normal"/>
    <w:next w:val="Normal"/>
    <w:autoRedefine/>
    <w:semiHidden/>
    <w:rsid w:val="00E349D9"/>
    <w:pPr>
      <w:ind w:left="1300"/>
    </w:pPr>
  </w:style>
  <w:style w:type="paragraph" w:styleId="TOC7">
    <w:name w:val="toc 7"/>
    <w:basedOn w:val="Normal"/>
    <w:next w:val="Normal"/>
    <w:autoRedefine/>
    <w:semiHidden/>
    <w:rsid w:val="00E349D9"/>
    <w:pPr>
      <w:ind w:left="1560"/>
    </w:pPr>
  </w:style>
  <w:style w:type="paragraph" w:styleId="TOC8">
    <w:name w:val="toc 8"/>
    <w:basedOn w:val="Normal"/>
    <w:next w:val="Normal"/>
    <w:autoRedefine/>
    <w:semiHidden/>
    <w:rsid w:val="00E349D9"/>
    <w:pPr>
      <w:ind w:left="1820"/>
    </w:pPr>
  </w:style>
  <w:style w:type="paragraph" w:styleId="TOC9">
    <w:name w:val="toc 9"/>
    <w:basedOn w:val="Normal"/>
    <w:next w:val="Normal"/>
    <w:autoRedefine/>
    <w:semiHidden/>
    <w:rsid w:val="00E349D9"/>
    <w:pPr>
      <w:ind w:left="2080"/>
    </w:pPr>
  </w:style>
  <w:style w:type="paragraph" w:customStyle="1" w:styleId="Contents">
    <w:name w:val="Contents"/>
    <w:basedOn w:val="Normal"/>
    <w:rsid w:val="00E349D9"/>
    <w:pPr>
      <w:jc w:val="center"/>
    </w:pPr>
    <w:rPr>
      <w:b/>
      <w:spacing w:val="100"/>
    </w:rPr>
  </w:style>
  <w:style w:type="paragraph" w:styleId="ListParagraph">
    <w:name w:val="List Paragraph"/>
    <w:basedOn w:val="Normal"/>
    <w:uiPriority w:val="34"/>
    <w:qFormat/>
    <w:rsid w:val="00F85120"/>
    <w:pPr>
      <w:ind w:left="720"/>
      <w:contextualSpacing/>
    </w:pPr>
  </w:style>
  <w:style w:type="character" w:customStyle="1" w:styleId="FootnoteTextChar">
    <w:name w:val="Footnote Text Char"/>
    <w:basedOn w:val="DefaultParagraphFont"/>
    <w:link w:val="FootnoteText"/>
    <w:rsid w:val="00754593"/>
    <w:rPr>
      <w:rFonts w:ascii="Century Schoolbook" w:hAnsi="Century Schoolbook"/>
      <w:sz w:val="27"/>
    </w:rPr>
  </w:style>
  <w:style w:type="character" w:customStyle="1" w:styleId="cohl">
    <w:name w:val="co_hl"/>
    <w:basedOn w:val="DefaultParagraphFont"/>
    <w:rsid w:val="00455D0E"/>
  </w:style>
  <w:style w:type="character" w:styleId="Emphasis">
    <w:name w:val="Emphasis"/>
    <w:basedOn w:val="DefaultParagraphFont"/>
    <w:uiPriority w:val="20"/>
    <w:qFormat/>
    <w:rsid w:val="00455D0E"/>
    <w:rPr>
      <w:i/>
      <w:iCs/>
    </w:rPr>
  </w:style>
  <w:style w:type="character" w:customStyle="1" w:styleId="cohighlightpoints">
    <w:name w:val="co_highlightpoints"/>
    <w:basedOn w:val="DefaultParagraphFont"/>
    <w:rsid w:val="00400CFE"/>
  </w:style>
  <w:style w:type="character" w:customStyle="1" w:styleId="coinlinekeyciteflag">
    <w:name w:val="co_inlinekeyciteflag"/>
    <w:basedOn w:val="DefaultParagraphFont"/>
    <w:rsid w:val="00C95C2B"/>
  </w:style>
  <w:style w:type="character" w:customStyle="1" w:styleId="costarpage">
    <w:name w:val="co_starpage"/>
    <w:basedOn w:val="DefaultParagraphFont"/>
    <w:rsid w:val="00875BB2"/>
  </w:style>
  <w:style w:type="character" w:styleId="Hyperlink">
    <w:name w:val="Hyperlink"/>
    <w:basedOn w:val="DefaultParagraphFont"/>
    <w:uiPriority w:val="99"/>
    <w:unhideWhenUsed/>
    <w:rsid w:val="00875BB2"/>
    <w:rPr>
      <w:color w:val="0000FF"/>
      <w:u w:val="single"/>
    </w:rPr>
  </w:style>
  <w:style w:type="character" w:styleId="CommentReference">
    <w:name w:val="annotation reference"/>
    <w:basedOn w:val="DefaultParagraphFont"/>
    <w:uiPriority w:val="99"/>
    <w:semiHidden/>
    <w:unhideWhenUsed/>
    <w:rsid w:val="003B15A7"/>
    <w:rPr>
      <w:sz w:val="16"/>
      <w:szCs w:val="16"/>
    </w:rPr>
  </w:style>
  <w:style w:type="paragraph" w:styleId="CommentText">
    <w:name w:val="annotation text"/>
    <w:basedOn w:val="Normal"/>
    <w:link w:val="CommentTextChar"/>
    <w:uiPriority w:val="99"/>
    <w:unhideWhenUsed/>
    <w:rsid w:val="003B15A7"/>
    <w:rPr>
      <w:sz w:val="20"/>
    </w:rPr>
  </w:style>
  <w:style w:type="character" w:customStyle="1" w:styleId="CommentTextChar">
    <w:name w:val="Comment Text Char"/>
    <w:basedOn w:val="DefaultParagraphFont"/>
    <w:link w:val="CommentText"/>
    <w:uiPriority w:val="99"/>
    <w:rsid w:val="003B15A7"/>
  </w:style>
  <w:style w:type="paragraph" w:styleId="CommentSubject">
    <w:name w:val="annotation subject"/>
    <w:basedOn w:val="CommentText"/>
    <w:next w:val="CommentText"/>
    <w:link w:val="CommentSubjectChar"/>
    <w:uiPriority w:val="99"/>
    <w:semiHidden/>
    <w:unhideWhenUsed/>
    <w:rsid w:val="003B15A7"/>
    <w:rPr>
      <w:b/>
      <w:bCs/>
    </w:rPr>
  </w:style>
  <w:style w:type="character" w:customStyle="1" w:styleId="CommentSubjectChar">
    <w:name w:val="Comment Subject Char"/>
    <w:basedOn w:val="CommentTextChar"/>
    <w:link w:val="CommentSubject"/>
    <w:uiPriority w:val="99"/>
    <w:semiHidden/>
    <w:rsid w:val="003B15A7"/>
    <w:rPr>
      <w:b/>
      <w:bCs/>
    </w:rPr>
  </w:style>
  <w:style w:type="character" w:styleId="FollowedHyperlink">
    <w:name w:val="FollowedHyperlink"/>
    <w:basedOn w:val="DefaultParagraphFont"/>
    <w:uiPriority w:val="99"/>
    <w:semiHidden/>
    <w:unhideWhenUsed/>
    <w:rsid w:val="00C16D60"/>
    <w:rPr>
      <w:color w:val="800080" w:themeColor="followedHyperlink"/>
      <w:u w:val="single"/>
    </w:rPr>
  </w:style>
  <w:style w:type="paragraph" w:styleId="Revision">
    <w:name w:val="Revision"/>
    <w:hidden/>
    <w:uiPriority w:val="99"/>
    <w:semiHidden/>
    <w:rsid w:val="00995E18"/>
    <w:rPr>
      <w:sz w:val="26"/>
    </w:rPr>
  </w:style>
  <w:style w:type="character" w:customStyle="1" w:styleId="coconcept212">
    <w:name w:val="co_concept_2_12"/>
    <w:basedOn w:val="DefaultParagraphFont"/>
    <w:rsid w:val="00853727"/>
  </w:style>
  <w:style w:type="character" w:styleId="UnresolvedMention">
    <w:name w:val="Unresolved Mention"/>
    <w:basedOn w:val="DefaultParagraphFont"/>
    <w:uiPriority w:val="99"/>
    <w:semiHidden/>
    <w:unhideWhenUsed/>
    <w:rsid w:val="00FC5DA9"/>
    <w:rPr>
      <w:color w:val="605E5C"/>
      <w:shd w:val="clear" w:color="auto" w:fill="E1DFDD"/>
    </w:rPr>
  </w:style>
  <w:style w:type="paragraph" w:styleId="BodyText">
    <w:name w:val="Body Text"/>
    <w:basedOn w:val="Normal"/>
    <w:link w:val="BodyTextChar"/>
    <w:qFormat/>
    <w:rsid w:val="00E349D9"/>
  </w:style>
  <w:style w:type="character" w:customStyle="1" w:styleId="BodyTextChar">
    <w:name w:val="Body Text Char"/>
    <w:basedOn w:val="DefaultParagraphFont"/>
    <w:link w:val="BodyText"/>
    <w:rsid w:val="00E349D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5860">
      <w:bodyDiv w:val="1"/>
      <w:marLeft w:val="0"/>
      <w:marRight w:val="0"/>
      <w:marTop w:val="0"/>
      <w:marBottom w:val="0"/>
      <w:divBdr>
        <w:top w:val="none" w:sz="0" w:space="0" w:color="auto"/>
        <w:left w:val="none" w:sz="0" w:space="0" w:color="auto"/>
        <w:bottom w:val="none" w:sz="0" w:space="0" w:color="auto"/>
        <w:right w:val="none" w:sz="0" w:space="0" w:color="auto"/>
      </w:divBdr>
      <w:divsChild>
        <w:div w:id="1903171105">
          <w:marLeft w:val="0"/>
          <w:marRight w:val="0"/>
          <w:marTop w:val="0"/>
          <w:marBottom w:val="0"/>
          <w:divBdr>
            <w:top w:val="none" w:sz="0" w:space="0" w:color="auto"/>
            <w:left w:val="none" w:sz="0" w:space="0" w:color="auto"/>
            <w:bottom w:val="none" w:sz="0" w:space="0" w:color="auto"/>
            <w:right w:val="none" w:sz="0" w:space="0" w:color="auto"/>
          </w:divBdr>
        </w:div>
      </w:divsChild>
    </w:div>
    <w:div w:id="97213530">
      <w:bodyDiv w:val="1"/>
      <w:marLeft w:val="0"/>
      <w:marRight w:val="0"/>
      <w:marTop w:val="0"/>
      <w:marBottom w:val="0"/>
      <w:divBdr>
        <w:top w:val="none" w:sz="0" w:space="0" w:color="auto"/>
        <w:left w:val="none" w:sz="0" w:space="0" w:color="auto"/>
        <w:bottom w:val="none" w:sz="0" w:space="0" w:color="auto"/>
        <w:right w:val="none" w:sz="0" w:space="0" w:color="auto"/>
      </w:divBdr>
      <w:divsChild>
        <w:div w:id="865873199">
          <w:marLeft w:val="0"/>
          <w:marRight w:val="0"/>
          <w:marTop w:val="0"/>
          <w:marBottom w:val="0"/>
          <w:divBdr>
            <w:top w:val="none" w:sz="0" w:space="0" w:color="auto"/>
            <w:left w:val="none" w:sz="0" w:space="0" w:color="auto"/>
            <w:bottom w:val="none" w:sz="0" w:space="0" w:color="auto"/>
            <w:right w:val="none" w:sz="0" w:space="0" w:color="auto"/>
          </w:divBdr>
        </w:div>
      </w:divsChild>
    </w:div>
    <w:div w:id="117920278">
      <w:bodyDiv w:val="1"/>
      <w:marLeft w:val="0"/>
      <w:marRight w:val="0"/>
      <w:marTop w:val="0"/>
      <w:marBottom w:val="0"/>
      <w:divBdr>
        <w:top w:val="none" w:sz="0" w:space="0" w:color="auto"/>
        <w:left w:val="none" w:sz="0" w:space="0" w:color="auto"/>
        <w:bottom w:val="none" w:sz="0" w:space="0" w:color="auto"/>
        <w:right w:val="none" w:sz="0" w:space="0" w:color="auto"/>
      </w:divBdr>
      <w:divsChild>
        <w:div w:id="1382556464">
          <w:marLeft w:val="0"/>
          <w:marRight w:val="0"/>
          <w:marTop w:val="0"/>
          <w:marBottom w:val="0"/>
          <w:divBdr>
            <w:top w:val="none" w:sz="0" w:space="0" w:color="auto"/>
            <w:left w:val="none" w:sz="0" w:space="0" w:color="auto"/>
            <w:bottom w:val="none" w:sz="0" w:space="0" w:color="auto"/>
            <w:right w:val="none" w:sz="0" w:space="0" w:color="auto"/>
          </w:divBdr>
        </w:div>
      </w:divsChild>
    </w:div>
    <w:div w:id="131096578">
      <w:bodyDiv w:val="1"/>
      <w:marLeft w:val="0"/>
      <w:marRight w:val="0"/>
      <w:marTop w:val="0"/>
      <w:marBottom w:val="0"/>
      <w:divBdr>
        <w:top w:val="none" w:sz="0" w:space="0" w:color="auto"/>
        <w:left w:val="none" w:sz="0" w:space="0" w:color="auto"/>
        <w:bottom w:val="none" w:sz="0" w:space="0" w:color="auto"/>
        <w:right w:val="none" w:sz="0" w:space="0" w:color="auto"/>
      </w:divBdr>
      <w:divsChild>
        <w:div w:id="1118179870">
          <w:marLeft w:val="0"/>
          <w:marRight w:val="0"/>
          <w:marTop w:val="0"/>
          <w:marBottom w:val="0"/>
          <w:divBdr>
            <w:top w:val="none" w:sz="0" w:space="0" w:color="auto"/>
            <w:left w:val="none" w:sz="0" w:space="0" w:color="auto"/>
            <w:bottom w:val="none" w:sz="0" w:space="0" w:color="auto"/>
            <w:right w:val="none" w:sz="0" w:space="0" w:color="auto"/>
          </w:divBdr>
        </w:div>
      </w:divsChild>
    </w:div>
    <w:div w:id="174270876">
      <w:bodyDiv w:val="1"/>
      <w:marLeft w:val="0"/>
      <w:marRight w:val="0"/>
      <w:marTop w:val="0"/>
      <w:marBottom w:val="0"/>
      <w:divBdr>
        <w:top w:val="none" w:sz="0" w:space="0" w:color="auto"/>
        <w:left w:val="none" w:sz="0" w:space="0" w:color="auto"/>
        <w:bottom w:val="none" w:sz="0" w:space="0" w:color="auto"/>
        <w:right w:val="none" w:sz="0" w:space="0" w:color="auto"/>
      </w:divBdr>
      <w:divsChild>
        <w:div w:id="427892985">
          <w:marLeft w:val="0"/>
          <w:marRight w:val="0"/>
          <w:marTop w:val="0"/>
          <w:marBottom w:val="0"/>
          <w:divBdr>
            <w:top w:val="none" w:sz="0" w:space="0" w:color="auto"/>
            <w:left w:val="none" w:sz="0" w:space="0" w:color="auto"/>
            <w:bottom w:val="none" w:sz="0" w:space="0" w:color="auto"/>
            <w:right w:val="none" w:sz="0" w:space="0" w:color="auto"/>
          </w:divBdr>
        </w:div>
      </w:divsChild>
    </w:div>
    <w:div w:id="179123157">
      <w:bodyDiv w:val="1"/>
      <w:marLeft w:val="0"/>
      <w:marRight w:val="0"/>
      <w:marTop w:val="0"/>
      <w:marBottom w:val="0"/>
      <w:divBdr>
        <w:top w:val="none" w:sz="0" w:space="0" w:color="auto"/>
        <w:left w:val="none" w:sz="0" w:space="0" w:color="auto"/>
        <w:bottom w:val="none" w:sz="0" w:space="0" w:color="auto"/>
        <w:right w:val="none" w:sz="0" w:space="0" w:color="auto"/>
      </w:divBdr>
      <w:divsChild>
        <w:div w:id="1579292117">
          <w:marLeft w:val="0"/>
          <w:marRight w:val="0"/>
          <w:marTop w:val="0"/>
          <w:marBottom w:val="0"/>
          <w:divBdr>
            <w:top w:val="none" w:sz="0" w:space="0" w:color="auto"/>
            <w:left w:val="none" w:sz="0" w:space="0" w:color="auto"/>
            <w:bottom w:val="none" w:sz="0" w:space="0" w:color="auto"/>
            <w:right w:val="none" w:sz="0" w:space="0" w:color="auto"/>
          </w:divBdr>
        </w:div>
      </w:divsChild>
    </w:div>
    <w:div w:id="245001792">
      <w:bodyDiv w:val="1"/>
      <w:marLeft w:val="0"/>
      <w:marRight w:val="0"/>
      <w:marTop w:val="0"/>
      <w:marBottom w:val="0"/>
      <w:divBdr>
        <w:top w:val="none" w:sz="0" w:space="0" w:color="auto"/>
        <w:left w:val="none" w:sz="0" w:space="0" w:color="auto"/>
        <w:bottom w:val="none" w:sz="0" w:space="0" w:color="auto"/>
        <w:right w:val="none" w:sz="0" w:space="0" w:color="auto"/>
      </w:divBdr>
      <w:divsChild>
        <w:div w:id="1114323248">
          <w:marLeft w:val="0"/>
          <w:marRight w:val="0"/>
          <w:marTop w:val="0"/>
          <w:marBottom w:val="0"/>
          <w:divBdr>
            <w:top w:val="none" w:sz="0" w:space="0" w:color="auto"/>
            <w:left w:val="none" w:sz="0" w:space="0" w:color="auto"/>
            <w:bottom w:val="none" w:sz="0" w:space="0" w:color="auto"/>
            <w:right w:val="none" w:sz="0" w:space="0" w:color="auto"/>
          </w:divBdr>
        </w:div>
      </w:divsChild>
    </w:div>
    <w:div w:id="271979697">
      <w:bodyDiv w:val="1"/>
      <w:marLeft w:val="0"/>
      <w:marRight w:val="0"/>
      <w:marTop w:val="0"/>
      <w:marBottom w:val="0"/>
      <w:divBdr>
        <w:top w:val="none" w:sz="0" w:space="0" w:color="auto"/>
        <w:left w:val="none" w:sz="0" w:space="0" w:color="auto"/>
        <w:bottom w:val="none" w:sz="0" w:space="0" w:color="auto"/>
        <w:right w:val="none" w:sz="0" w:space="0" w:color="auto"/>
      </w:divBdr>
      <w:divsChild>
        <w:div w:id="113450997">
          <w:marLeft w:val="0"/>
          <w:marRight w:val="0"/>
          <w:marTop w:val="0"/>
          <w:marBottom w:val="0"/>
          <w:divBdr>
            <w:top w:val="none" w:sz="0" w:space="0" w:color="auto"/>
            <w:left w:val="none" w:sz="0" w:space="0" w:color="auto"/>
            <w:bottom w:val="none" w:sz="0" w:space="0" w:color="auto"/>
            <w:right w:val="none" w:sz="0" w:space="0" w:color="auto"/>
          </w:divBdr>
        </w:div>
      </w:divsChild>
    </w:div>
    <w:div w:id="386758274">
      <w:bodyDiv w:val="1"/>
      <w:marLeft w:val="0"/>
      <w:marRight w:val="0"/>
      <w:marTop w:val="0"/>
      <w:marBottom w:val="0"/>
      <w:divBdr>
        <w:top w:val="none" w:sz="0" w:space="0" w:color="auto"/>
        <w:left w:val="none" w:sz="0" w:space="0" w:color="auto"/>
        <w:bottom w:val="none" w:sz="0" w:space="0" w:color="auto"/>
        <w:right w:val="none" w:sz="0" w:space="0" w:color="auto"/>
      </w:divBdr>
      <w:divsChild>
        <w:div w:id="172037946">
          <w:marLeft w:val="0"/>
          <w:marRight w:val="0"/>
          <w:marTop w:val="0"/>
          <w:marBottom w:val="0"/>
          <w:divBdr>
            <w:top w:val="none" w:sz="0" w:space="0" w:color="auto"/>
            <w:left w:val="none" w:sz="0" w:space="0" w:color="auto"/>
            <w:bottom w:val="none" w:sz="0" w:space="0" w:color="auto"/>
            <w:right w:val="none" w:sz="0" w:space="0" w:color="auto"/>
          </w:divBdr>
        </w:div>
      </w:divsChild>
    </w:div>
    <w:div w:id="449328031">
      <w:bodyDiv w:val="1"/>
      <w:marLeft w:val="0"/>
      <w:marRight w:val="0"/>
      <w:marTop w:val="0"/>
      <w:marBottom w:val="0"/>
      <w:divBdr>
        <w:top w:val="none" w:sz="0" w:space="0" w:color="auto"/>
        <w:left w:val="none" w:sz="0" w:space="0" w:color="auto"/>
        <w:bottom w:val="none" w:sz="0" w:space="0" w:color="auto"/>
        <w:right w:val="none" w:sz="0" w:space="0" w:color="auto"/>
      </w:divBdr>
      <w:divsChild>
        <w:div w:id="1224754329">
          <w:marLeft w:val="0"/>
          <w:marRight w:val="0"/>
          <w:marTop w:val="0"/>
          <w:marBottom w:val="0"/>
          <w:divBdr>
            <w:top w:val="none" w:sz="0" w:space="0" w:color="auto"/>
            <w:left w:val="none" w:sz="0" w:space="0" w:color="auto"/>
            <w:bottom w:val="none" w:sz="0" w:space="0" w:color="auto"/>
            <w:right w:val="none" w:sz="0" w:space="0" w:color="auto"/>
          </w:divBdr>
          <w:divsChild>
            <w:div w:id="1311789053">
              <w:marLeft w:val="0"/>
              <w:marRight w:val="0"/>
              <w:marTop w:val="0"/>
              <w:marBottom w:val="0"/>
              <w:divBdr>
                <w:top w:val="none" w:sz="0" w:space="0" w:color="auto"/>
                <w:left w:val="none" w:sz="0" w:space="0" w:color="auto"/>
                <w:bottom w:val="none" w:sz="0" w:space="0" w:color="auto"/>
                <w:right w:val="none" w:sz="0" w:space="0" w:color="auto"/>
              </w:divBdr>
              <w:divsChild>
                <w:div w:id="11709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3425">
          <w:marLeft w:val="0"/>
          <w:marRight w:val="0"/>
          <w:marTop w:val="0"/>
          <w:marBottom w:val="0"/>
          <w:divBdr>
            <w:top w:val="none" w:sz="0" w:space="0" w:color="auto"/>
            <w:left w:val="none" w:sz="0" w:space="0" w:color="auto"/>
            <w:bottom w:val="none" w:sz="0" w:space="0" w:color="auto"/>
            <w:right w:val="none" w:sz="0" w:space="0" w:color="auto"/>
          </w:divBdr>
        </w:div>
      </w:divsChild>
    </w:div>
    <w:div w:id="546256050">
      <w:bodyDiv w:val="1"/>
      <w:marLeft w:val="0"/>
      <w:marRight w:val="0"/>
      <w:marTop w:val="0"/>
      <w:marBottom w:val="0"/>
      <w:divBdr>
        <w:top w:val="none" w:sz="0" w:space="0" w:color="auto"/>
        <w:left w:val="none" w:sz="0" w:space="0" w:color="auto"/>
        <w:bottom w:val="none" w:sz="0" w:space="0" w:color="auto"/>
        <w:right w:val="none" w:sz="0" w:space="0" w:color="auto"/>
      </w:divBdr>
      <w:divsChild>
        <w:div w:id="1710841336">
          <w:marLeft w:val="0"/>
          <w:marRight w:val="0"/>
          <w:marTop w:val="0"/>
          <w:marBottom w:val="0"/>
          <w:divBdr>
            <w:top w:val="none" w:sz="0" w:space="0" w:color="auto"/>
            <w:left w:val="none" w:sz="0" w:space="0" w:color="auto"/>
            <w:bottom w:val="none" w:sz="0" w:space="0" w:color="auto"/>
            <w:right w:val="none" w:sz="0" w:space="0" w:color="auto"/>
          </w:divBdr>
        </w:div>
      </w:divsChild>
    </w:div>
    <w:div w:id="581447302">
      <w:bodyDiv w:val="1"/>
      <w:marLeft w:val="0"/>
      <w:marRight w:val="0"/>
      <w:marTop w:val="0"/>
      <w:marBottom w:val="0"/>
      <w:divBdr>
        <w:top w:val="none" w:sz="0" w:space="0" w:color="auto"/>
        <w:left w:val="none" w:sz="0" w:space="0" w:color="auto"/>
        <w:bottom w:val="none" w:sz="0" w:space="0" w:color="auto"/>
        <w:right w:val="none" w:sz="0" w:space="0" w:color="auto"/>
      </w:divBdr>
      <w:divsChild>
        <w:div w:id="1548254995">
          <w:marLeft w:val="0"/>
          <w:marRight w:val="0"/>
          <w:marTop w:val="0"/>
          <w:marBottom w:val="0"/>
          <w:divBdr>
            <w:top w:val="none" w:sz="0" w:space="0" w:color="auto"/>
            <w:left w:val="none" w:sz="0" w:space="0" w:color="auto"/>
            <w:bottom w:val="none" w:sz="0" w:space="0" w:color="auto"/>
            <w:right w:val="none" w:sz="0" w:space="0" w:color="auto"/>
          </w:divBdr>
        </w:div>
      </w:divsChild>
    </w:div>
    <w:div w:id="698428770">
      <w:bodyDiv w:val="1"/>
      <w:marLeft w:val="0"/>
      <w:marRight w:val="0"/>
      <w:marTop w:val="0"/>
      <w:marBottom w:val="0"/>
      <w:divBdr>
        <w:top w:val="none" w:sz="0" w:space="0" w:color="auto"/>
        <w:left w:val="none" w:sz="0" w:space="0" w:color="auto"/>
        <w:bottom w:val="none" w:sz="0" w:space="0" w:color="auto"/>
        <w:right w:val="none" w:sz="0" w:space="0" w:color="auto"/>
      </w:divBdr>
      <w:divsChild>
        <w:div w:id="1082409503">
          <w:marLeft w:val="0"/>
          <w:marRight w:val="0"/>
          <w:marTop w:val="0"/>
          <w:marBottom w:val="0"/>
          <w:divBdr>
            <w:top w:val="none" w:sz="0" w:space="0" w:color="auto"/>
            <w:left w:val="none" w:sz="0" w:space="0" w:color="auto"/>
            <w:bottom w:val="none" w:sz="0" w:space="0" w:color="auto"/>
            <w:right w:val="none" w:sz="0" w:space="0" w:color="auto"/>
          </w:divBdr>
        </w:div>
      </w:divsChild>
    </w:div>
    <w:div w:id="893127352">
      <w:bodyDiv w:val="1"/>
      <w:marLeft w:val="0"/>
      <w:marRight w:val="0"/>
      <w:marTop w:val="0"/>
      <w:marBottom w:val="0"/>
      <w:divBdr>
        <w:top w:val="none" w:sz="0" w:space="0" w:color="auto"/>
        <w:left w:val="none" w:sz="0" w:space="0" w:color="auto"/>
        <w:bottom w:val="none" w:sz="0" w:space="0" w:color="auto"/>
        <w:right w:val="none" w:sz="0" w:space="0" w:color="auto"/>
      </w:divBdr>
      <w:divsChild>
        <w:div w:id="565342657">
          <w:marLeft w:val="0"/>
          <w:marRight w:val="0"/>
          <w:marTop w:val="0"/>
          <w:marBottom w:val="0"/>
          <w:divBdr>
            <w:top w:val="none" w:sz="0" w:space="0" w:color="auto"/>
            <w:left w:val="none" w:sz="0" w:space="0" w:color="auto"/>
            <w:bottom w:val="none" w:sz="0" w:space="0" w:color="auto"/>
            <w:right w:val="none" w:sz="0" w:space="0" w:color="auto"/>
          </w:divBdr>
        </w:div>
      </w:divsChild>
    </w:div>
    <w:div w:id="920913204">
      <w:bodyDiv w:val="1"/>
      <w:marLeft w:val="0"/>
      <w:marRight w:val="0"/>
      <w:marTop w:val="0"/>
      <w:marBottom w:val="0"/>
      <w:divBdr>
        <w:top w:val="none" w:sz="0" w:space="0" w:color="auto"/>
        <w:left w:val="none" w:sz="0" w:space="0" w:color="auto"/>
        <w:bottom w:val="none" w:sz="0" w:space="0" w:color="auto"/>
        <w:right w:val="none" w:sz="0" w:space="0" w:color="auto"/>
      </w:divBdr>
      <w:divsChild>
        <w:div w:id="1345286684">
          <w:marLeft w:val="0"/>
          <w:marRight w:val="0"/>
          <w:marTop w:val="0"/>
          <w:marBottom w:val="0"/>
          <w:divBdr>
            <w:top w:val="none" w:sz="0" w:space="0" w:color="auto"/>
            <w:left w:val="none" w:sz="0" w:space="0" w:color="auto"/>
            <w:bottom w:val="none" w:sz="0" w:space="0" w:color="auto"/>
            <w:right w:val="none" w:sz="0" w:space="0" w:color="auto"/>
          </w:divBdr>
        </w:div>
      </w:divsChild>
    </w:div>
    <w:div w:id="979918724">
      <w:bodyDiv w:val="1"/>
      <w:marLeft w:val="0"/>
      <w:marRight w:val="0"/>
      <w:marTop w:val="0"/>
      <w:marBottom w:val="0"/>
      <w:divBdr>
        <w:top w:val="none" w:sz="0" w:space="0" w:color="auto"/>
        <w:left w:val="none" w:sz="0" w:space="0" w:color="auto"/>
        <w:bottom w:val="none" w:sz="0" w:space="0" w:color="auto"/>
        <w:right w:val="none" w:sz="0" w:space="0" w:color="auto"/>
      </w:divBdr>
      <w:divsChild>
        <w:div w:id="560097459">
          <w:marLeft w:val="0"/>
          <w:marRight w:val="0"/>
          <w:marTop w:val="0"/>
          <w:marBottom w:val="0"/>
          <w:divBdr>
            <w:top w:val="none" w:sz="0" w:space="0" w:color="auto"/>
            <w:left w:val="none" w:sz="0" w:space="0" w:color="auto"/>
            <w:bottom w:val="none" w:sz="0" w:space="0" w:color="auto"/>
            <w:right w:val="none" w:sz="0" w:space="0" w:color="auto"/>
          </w:divBdr>
        </w:div>
      </w:divsChild>
    </w:div>
    <w:div w:id="1007248572">
      <w:bodyDiv w:val="1"/>
      <w:marLeft w:val="0"/>
      <w:marRight w:val="0"/>
      <w:marTop w:val="0"/>
      <w:marBottom w:val="0"/>
      <w:divBdr>
        <w:top w:val="none" w:sz="0" w:space="0" w:color="auto"/>
        <w:left w:val="none" w:sz="0" w:space="0" w:color="auto"/>
        <w:bottom w:val="none" w:sz="0" w:space="0" w:color="auto"/>
        <w:right w:val="none" w:sz="0" w:space="0" w:color="auto"/>
      </w:divBdr>
      <w:divsChild>
        <w:div w:id="1360937960">
          <w:marLeft w:val="0"/>
          <w:marRight w:val="0"/>
          <w:marTop w:val="0"/>
          <w:marBottom w:val="0"/>
          <w:divBdr>
            <w:top w:val="none" w:sz="0" w:space="0" w:color="auto"/>
            <w:left w:val="none" w:sz="0" w:space="0" w:color="auto"/>
            <w:bottom w:val="none" w:sz="0" w:space="0" w:color="auto"/>
            <w:right w:val="none" w:sz="0" w:space="0" w:color="auto"/>
          </w:divBdr>
        </w:div>
      </w:divsChild>
    </w:div>
    <w:div w:id="1011571523">
      <w:bodyDiv w:val="1"/>
      <w:marLeft w:val="0"/>
      <w:marRight w:val="0"/>
      <w:marTop w:val="0"/>
      <w:marBottom w:val="0"/>
      <w:divBdr>
        <w:top w:val="none" w:sz="0" w:space="0" w:color="auto"/>
        <w:left w:val="none" w:sz="0" w:space="0" w:color="auto"/>
        <w:bottom w:val="none" w:sz="0" w:space="0" w:color="auto"/>
        <w:right w:val="none" w:sz="0" w:space="0" w:color="auto"/>
      </w:divBdr>
      <w:divsChild>
        <w:div w:id="460996207">
          <w:marLeft w:val="0"/>
          <w:marRight w:val="0"/>
          <w:marTop w:val="0"/>
          <w:marBottom w:val="0"/>
          <w:divBdr>
            <w:top w:val="none" w:sz="0" w:space="0" w:color="auto"/>
            <w:left w:val="none" w:sz="0" w:space="0" w:color="auto"/>
            <w:bottom w:val="none" w:sz="0" w:space="0" w:color="auto"/>
            <w:right w:val="none" w:sz="0" w:space="0" w:color="auto"/>
          </w:divBdr>
        </w:div>
      </w:divsChild>
    </w:div>
    <w:div w:id="1092429674">
      <w:bodyDiv w:val="1"/>
      <w:marLeft w:val="0"/>
      <w:marRight w:val="0"/>
      <w:marTop w:val="0"/>
      <w:marBottom w:val="0"/>
      <w:divBdr>
        <w:top w:val="none" w:sz="0" w:space="0" w:color="auto"/>
        <w:left w:val="none" w:sz="0" w:space="0" w:color="auto"/>
        <w:bottom w:val="none" w:sz="0" w:space="0" w:color="auto"/>
        <w:right w:val="none" w:sz="0" w:space="0" w:color="auto"/>
      </w:divBdr>
    </w:div>
    <w:div w:id="1163668366">
      <w:bodyDiv w:val="1"/>
      <w:marLeft w:val="0"/>
      <w:marRight w:val="0"/>
      <w:marTop w:val="0"/>
      <w:marBottom w:val="0"/>
      <w:divBdr>
        <w:top w:val="none" w:sz="0" w:space="0" w:color="auto"/>
        <w:left w:val="none" w:sz="0" w:space="0" w:color="auto"/>
        <w:bottom w:val="none" w:sz="0" w:space="0" w:color="auto"/>
        <w:right w:val="none" w:sz="0" w:space="0" w:color="auto"/>
      </w:divBdr>
      <w:divsChild>
        <w:div w:id="1932347282">
          <w:marLeft w:val="0"/>
          <w:marRight w:val="0"/>
          <w:marTop w:val="0"/>
          <w:marBottom w:val="0"/>
          <w:divBdr>
            <w:top w:val="none" w:sz="0" w:space="0" w:color="auto"/>
            <w:left w:val="none" w:sz="0" w:space="0" w:color="auto"/>
            <w:bottom w:val="none" w:sz="0" w:space="0" w:color="auto"/>
            <w:right w:val="none" w:sz="0" w:space="0" w:color="auto"/>
          </w:divBdr>
        </w:div>
      </w:divsChild>
    </w:div>
    <w:div w:id="1271932463">
      <w:bodyDiv w:val="1"/>
      <w:marLeft w:val="0"/>
      <w:marRight w:val="0"/>
      <w:marTop w:val="0"/>
      <w:marBottom w:val="0"/>
      <w:divBdr>
        <w:top w:val="none" w:sz="0" w:space="0" w:color="auto"/>
        <w:left w:val="none" w:sz="0" w:space="0" w:color="auto"/>
        <w:bottom w:val="none" w:sz="0" w:space="0" w:color="auto"/>
        <w:right w:val="none" w:sz="0" w:space="0" w:color="auto"/>
      </w:divBdr>
      <w:divsChild>
        <w:div w:id="518928533">
          <w:marLeft w:val="0"/>
          <w:marRight w:val="0"/>
          <w:marTop w:val="0"/>
          <w:marBottom w:val="0"/>
          <w:divBdr>
            <w:top w:val="none" w:sz="0" w:space="0" w:color="auto"/>
            <w:left w:val="none" w:sz="0" w:space="0" w:color="auto"/>
            <w:bottom w:val="none" w:sz="0" w:space="0" w:color="auto"/>
            <w:right w:val="none" w:sz="0" w:space="0" w:color="auto"/>
          </w:divBdr>
        </w:div>
      </w:divsChild>
    </w:div>
    <w:div w:id="1298871943">
      <w:bodyDiv w:val="1"/>
      <w:marLeft w:val="0"/>
      <w:marRight w:val="0"/>
      <w:marTop w:val="0"/>
      <w:marBottom w:val="0"/>
      <w:divBdr>
        <w:top w:val="none" w:sz="0" w:space="0" w:color="auto"/>
        <w:left w:val="none" w:sz="0" w:space="0" w:color="auto"/>
        <w:bottom w:val="none" w:sz="0" w:space="0" w:color="auto"/>
        <w:right w:val="none" w:sz="0" w:space="0" w:color="auto"/>
      </w:divBdr>
      <w:divsChild>
        <w:div w:id="1223445127">
          <w:marLeft w:val="0"/>
          <w:marRight w:val="0"/>
          <w:marTop w:val="0"/>
          <w:marBottom w:val="0"/>
          <w:divBdr>
            <w:top w:val="none" w:sz="0" w:space="0" w:color="auto"/>
            <w:left w:val="none" w:sz="0" w:space="0" w:color="auto"/>
            <w:bottom w:val="none" w:sz="0" w:space="0" w:color="auto"/>
            <w:right w:val="none" w:sz="0" w:space="0" w:color="auto"/>
          </w:divBdr>
        </w:div>
      </w:divsChild>
    </w:div>
    <w:div w:id="1362590727">
      <w:bodyDiv w:val="1"/>
      <w:marLeft w:val="0"/>
      <w:marRight w:val="0"/>
      <w:marTop w:val="0"/>
      <w:marBottom w:val="0"/>
      <w:divBdr>
        <w:top w:val="none" w:sz="0" w:space="0" w:color="auto"/>
        <w:left w:val="none" w:sz="0" w:space="0" w:color="auto"/>
        <w:bottom w:val="none" w:sz="0" w:space="0" w:color="auto"/>
        <w:right w:val="none" w:sz="0" w:space="0" w:color="auto"/>
      </w:divBdr>
      <w:divsChild>
        <w:div w:id="1576666388">
          <w:marLeft w:val="0"/>
          <w:marRight w:val="0"/>
          <w:marTop w:val="0"/>
          <w:marBottom w:val="0"/>
          <w:divBdr>
            <w:top w:val="none" w:sz="0" w:space="0" w:color="auto"/>
            <w:left w:val="none" w:sz="0" w:space="0" w:color="auto"/>
            <w:bottom w:val="none" w:sz="0" w:space="0" w:color="auto"/>
            <w:right w:val="none" w:sz="0" w:space="0" w:color="auto"/>
          </w:divBdr>
        </w:div>
      </w:divsChild>
    </w:div>
    <w:div w:id="1402563504">
      <w:bodyDiv w:val="1"/>
      <w:marLeft w:val="0"/>
      <w:marRight w:val="0"/>
      <w:marTop w:val="0"/>
      <w:marBottom w:val="0"/>
      <w:divBdr>
        <w:top w:val="none" w:sz="0" w:space="0" w:color="auto"/>
        <w:left w:val="none" w:sz="0" w:space="0" w:color="auto"/>
        <w:bottom w:val="none" w:sz="0" w:space="0" w:color="auto"/>
        <w:right w:val="none" w:sz="0" w:space="0" w:color="auto"/>
      </w:divBdr>
      <w:divsChild>
        <w:div w:id="479929072">
          <w:marLeft w:val="0"/>
          <w:marRight w:val="0"/>
          <w:marTop w:val="0"/>
          <w:marBottom w:val="0"/>
          <w:divBdr>
            <w:top w:val="none" w:sz="0" w:space="0" w:color="auto"/>
            <w:left w:val="none" w:sz="0" w:space="0" w:color="auto"/>
            <w:bottom w:val="none" w:sz="0" w:space="0" w:color="auto"/>
            <w:right w:val="none" w:sz="0" w:space="0" w:color="auto"/>
          </w:divBdr>
        </w:div>
      </w:divsChild>
    </w:div>
    <w:div w:id="1412039571">
      <w:bodyDiv w:val="1"/>
      <w:marLeft w:val="0"/>
      <w:marRight w:val="0"/>
      <w:marTop w:val="0"/>
      <w:marBottom w:val="0"/>
      <w:divBdr>
        <w:top w:val="none" w:sz="0" w:space="0" w:color="auto"/>
        <w:left w:val="none" w:sz="0" w:space="0" w:color="auto"/>
        <w:bottom w:val="none" w:sz="0" w:space="0" w:color="auto"/>
        <w:right w:val="none" w:sz="0" w:space="0" w:color="auto"/>
      </w:divBdr>
      <w:divsChild>
        <w:div w:id="2065105659">
          <w:marLeft w:val="0"/>
          <w:marRight w:val="0"/>
          <w:marTop w:val="0"/>
          <w:marBottom w:val="0"/>
          <w:divBdr>
            <w:top w:val="none" w:sz="0" w:space="0" w:color="auto"/>
            <w:left w:val="none" w:sz="0" w:space="0" w:color="auto"/>
            <w:bottom w:val="none" w:sz="0" w:space="0" w:color="auto"/>
            <w:right w:val="none" w:sz="0" w:space="0" w:color="auto"/>
          </w:divBdr>
        </w:div>
      </w:divsChild>
    </w:div>
    <w:div w:id="1518959632">
      <w:bodyDiv w:val="1"/>
      <w:marLeft w:val="0"/>
      <w:marRight w:val="0"/>
      <w:marTop w:val="0"/>
      <w:marBottom w:val="0"/>
      <w:divBdr>
        <w:top w:val="none" w:sz="0" w:space="0" w:color="auto"/>
        <w:left w:val="none" w:sz="0" w:space="0" w:color="auto"/>
        <w:bottom w:val="none" w:sz="0" w:space="0" w:color="auto"/>
        <w:right w:val="none" w:sz="0" w:space="0" w:color="auto"/>
      </w:divBdr>
      <w:divsChild>
        <w:div w:id="1821575915">
          <w:marLeft w:val="0"/>
          <w:marRight w:val="0"/>
          <w:marTop w:val="0"/>
          <w:marBottom w:val="0"/>
          <w:divBdr>
            <w:top w:val="none" w:sz="0" w:space="0" w:color="auto"/>
            <w:left w:val="none" w:sz="0" w:space="0" w:color="auto"/>
            <w:bottom w:val="none" w:sz="0" w:space="0" w:color="auto"/>
            <w:right w:val="none" w:sz="0" w:space="0" w:color="auto"/>
          </w:divBdr>
        </w:div>
      </w:divsChild>
    </w:div>
    <w:div w:id="1526285771">
      <w:bodyDiv w:val="1"/>
      <w:marLeft w:val="0"/>
      <w:marRight w:val="0"/>
      <w:marTop w:val="0"/>
      <w:marBottom w:val="0"/>
      <w:divBdr>
        <w:top w:val="none" w:sz="0" w:space="0" w:color="auto"/>
        <w:left w:val="none" w:sz="0" w:space="0" w:color="auto"/>
        <w:bottom w:val="none" w:sz="0" w:space="0" w:color="auto"/>
        <w:right w:val="none" w:sz="0" w:space="0" w:color="auto"/>
      </w:divBdr>
      <w:divsChild>
        <w:div w:id="1037319585">
          <w:marLeft w:val="0"/>
          <w:marRight w:val="0"/>
          <w:marTop w:val="0"/>
          <w:marBottom w:val="0"/>
          <w:divBdr>
            <w:top w:val="none" w:sz="0" w:space="0" w:color="auto"/>
            <w:left w:val="none" w:sz="0" w:space="0" w:color="auto"/>
            <w:bottom w:val="none" w:sz="0" w:space="0" w:color="auto"/>
            <w:right w:val="none" w:sz="0" w:space="0" w:color="auto"/>
          </w:divBdr>
        </w:div>
      </w:divsChild>
    </w:div>
    <w:div w:id="1538733038">
      <w:bodyDiv w:val="1"/>
      <w:marLeft w:val="0"/>
      <w:marRight w:val="0"/>
      <w:marTop w:val="0"/>
      <w:marBottom w:val="0"/>
      <w:divBdr>
        <w:top w:val="none" w:sz="0" w:space="0" w:color="auto"/>
        <w:left w:val="none" w:sz="0" w:space="0" w:color="auto"/>
        <w:bottom w:val="none" w:sz="0" w:space="0" w:color="auto"/>
        <w:right w:val="none" w:sz="0" w:space="0" w:color="auto"/>
      </w:divBdr>
      <w:divsChild>
        <w:div w:id="1984963872">
          <w:marLeft w:val="0"/>
          <w:marRight w:val="0"/>
          <w:marTop w:val="0"/>
          <w:marBottom w:val="0"/>
          <w:divBdr>
            <w:top w:val="none" w:sz="0" w:space="0" w:color="auto"/>
            <w:left w:val="none" w:sz="0" w:space="0" w:color="auto"/>
            <w:bottom w:val="none" w:sz="0" w:space="0" w:color="auto"/>
            <w:right w:val="none" w:sz="0" w:space="0" w:color="auto"/>
          </w:divBdr>
          <w:divsChild>
            <w:div w:id="982200947">
              <w:marLeft w:val="0"/>
              <w:marRight w:val="0"/>
              <w:marTop w:val="0"/>
              <w:marBottom w:val="0"/>
              <w:divBdr>
                <w:top w:val="none" w:sz="0" w:space="0" w:color="auto"/>
                <w:left w:val="none" w:sz="0" w:space="0" w:color="auto"/>
                <w:bottom w:val="none" w:sz="0" w:space="0" w:color="auto"/>
                <w:right w:val="none" w:sz="0" w:space="0" w:color="auto"/>
              </w:divBdr>
            </w:div>
          </w:divsChild>
        </w:div>
        <w:div w:id="1272666395">
          <w:marLeft w:val="0"/>
          <w:marRight w:val="0"/>
          <w:marTop w:val="0"/>
          <w:marBottom w:val="0"/>
          <w:divBdr>
            <w:top w:val="none" w:sz="0" w:space="0" w:color="auto"/>
            <w:left w:val="none" w:sz="0" w:space="0" w:color="auto"/>
            <w:bottom w:val="none" w:sz="0" w:space="0" w:color="auto"/>
            <w:right w:val="none" w:sz="0" w:space="0" w:color="auto"/>
          </w:divBdr>
          <w:divsChild>
            <w:div w:id="1391881342">
              <w:marLeft w:val="0"/>
              <w:marRight w:val="0"/>
              <w:marTop w:val="0"/>
              <w:marBottom w:val="0"/>
              <w:divBdr>
                <w:top w:val="none" w:sz="0" w:space="0" w:color="auto"/>
                <w:left w:val="none" w:sz="0" w:space="0" w:color="auto"/>
                <w:bottom w:val="none" w:sz="0" w:space="0" w:color="auto"/>
                <w:right w:val="none" w:sz="0" w:space="0" w:color="auto"/>
              </w:divBdr>
            </w:div>
          </w:divsChild>
        </w:div>
        <w:div w:id="1928072419">
          <w:marLeft w:val="0"/>
          <w:marRight w:val="0"/>
          <w:marTop w:val="0"/>
          <w:marBottom w:val="0"/>
          <w:divBdr>
            <w:top w:val="none" w:sz="0" w:space="0" w:color="auto"/>
            <w:left w:val="none" w:sz="0" w:space="0" w:color="auto"/>
            <w:bottom w:val="none" w:sz="0" w:space="0" w:color="auto"/>
            <w:right w:val="none" w:sz="0" w:space="0" w:color="auto"/>
          </w:divBdr>
        </w:div>
      </w:divsChild>
    </w:div>
    <w:div w:id="1585338721">
      <w:bodyDiv w:val="1"/>
      <w:marLeft w:val="0"/>
      <w:marRight w:val="0"/>
      <w:marTop w:val="0"/>
      <w:marBottom w:val="0"/>
      <w:divBdr>
        <w:top w:val="none" w:sz="0" w:space="0" w:color="auto"/>
        <w:left w:val="none" w:sz="0" w:space="0" w:color="auto"/>
        <w:bottom w:val="none" w:sz="0" w:space="0" w:color="auto"/>
        <w:right w:val="none" w:sz="0" w:space="0" w:color="auto"/>
      </w:divBdr>
      <w:divsChild>
        <w:div w:id="208151573">
          <w:marLeft w:val="0"/>
          <w:marRight w:val="0"/>
          <w:marTop w:val="0"/>
          <w:marBottom w:val="0"/>
          <w:divBdr>
            <w:top w:val="none" w:sz="0" w:space="0" w:color="auto"/>
            <w:left w:val="none" w:sz="0" w:space="0" w:color="auto"/>
            <w:bottom w:val="none" w:sz="0" w:space="0" w:color="auto"/>
            <w:right w:val="none" w:sz="0" w:space="0" w:color="auto"/>
          </w:divBdr>
        </w:div>
      </w:divsChild>
    </w:div>
    <w:div w:id="1621843236">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6">
          <w:marLeft w:val="0"/>
          <w:marRight w:val="0"/>
          <w:marTop w:val="0"/>
          <w:marBottom w:val="0"/>
          <w:divBdr>
            <w:top w:val="none" w:sz="0" w:space="0" w:color="auto"/>
            <w:left w:val="none" w:sz="0" w:space="0" w:color="auto"/>
            <w:bottom w:val="none" w:sz="0" w:space="0" w:color="auto"/>
            <w:right w:val="none" w:sz="0" w:space="0" w:color="auto"/>
          </w:divBdr>
        </w:div>
      </w:divsChild>
    </w:div>
    <w:div w:id="1625505332">
      <w:bodyDiv w:val="1"/>
      <w:marLeft w:val="0"/>
      <w:marRight w:val="0"/>
      <w:marTop w:val="0"/>
      <w:marBottom w:val="0"/>
      <w:divBdr>
        <w:top w:val="none" w:sz="0" w:space="0" w:color="auto"/>
        <w:left w:val="none" w:sz="0" w:space="0" w:color="auto"/>
        <w:bottom w:val="none" w:sz="0" w:space="0" w:color="auto"/>
        <w:right w:val="none" w:sz="0" w:space="0" w:color="auto"/>
      </w:divBdr>
      <w:divsChild>
        <w:div w:id="455104384">
          <w:marLeft w:val="0"/>
          <w:marRight w:val="0"/>
          <w:marTop w:val="0"/>
          <w:marBottom w:val="0"/>
          <w:divBdr>
            <w:top w:val="none" w:sz="0" w:space="0" w:color="auto"/>
            <w:left w:val="none" w:sz="0" w:space="0" w:color="auto"/>
            <w:bottom w:val="none" w:sz="0" w:space="0" w:color="auto"/>
            <w:right w:val="none" w:sz="0" w:space="0" w:color="auto"/>
          </w:divBdr>
        </w:div>
      </w:divsChild>
    </w:div>
    <w:div w:id="1654260081">
      <w:bodyDiv w:val="1"/>
      <w:marLeft w:val="0"/>
      <w:marRight w:val="0"/>
      <w:marTop w:val="0"/>
      <w:marBottom w:val="0"/>
      <w:divBdr>
        <w:top w:val="none" w:sz="0" w:space="0" w:color="auto"/>
        <w:left w:val="none" w:sz="0" w:space="0" w:color="auto"/>
        <w:bottom w:val="none" w:sz="0" w:space="0" w:color="auto"/>
        <w:right w:val="none" w:sz="0" w:space="0" w:color="auto"/>
      </w:divBdr>
      <w:divsChild>
        <w:div w:id="983197118">
          <w:marLeft w:val="0"/>
          <w:marRight w:val="0"/>
          <w:marTop w:val="0"/>
          <w:marBottom w:val="0"/>
          <w:divBdr>
            <w:top w:val="none" w:sz="0" w:space="0" w:color="auto"/>
            <w:left w:val="none" w:sz="0" w:space="0" w:color="auto"/>
            <w:bottom w:val="none" w:sz="0" w:space="0" w:color="auto"/>
            <w:right w:val="none" w:sz="0" w:space="0" w:color="auto"/>
          </w:divBdr>
        </w:div>
      </w:divsChild>
    </w:div>
    <w:div w:id="1660185889">
      <w:bodyDiv w:val="1"/>
      <w:marLeft w:val="0"/>
      <w:marRight w:val="0"/>
      <w:marTop w:val="0"/>
      <w:marBottom w:val="0"/>
      <w:divBdr>
        <w:top w:val="none" w:sz="0" w:space="0" w:color="auto"/>
        <w:left w:val="none" w:sz="0" w:space="0" w:color="auto"/>
        <w:bottom w:val="none" w:sz="0" w:space="0" w:color="auto"/>
        <w:right w:val="none" w:sz="0" w:space="0" w:color="auto"/>
      </w:divBdr>
      <w:divsChild>
        <w:div w:id="1882087557">
          <w:marLeft w:val="0"/>
          <w:marRight w:val="0"/>
          <w:marTop w:val="0"/>
          <w:marBottom w:val="0"/>
          <w:divBdr>
            <w:top w:val="none" w:sz="0" w:space="0" w:color="auto"/>
            <w:left w:val="none" w:sz="0" w:space="0" w:color="auto"/>
            <w:bottom w:val="none" w:sz="0" w:space="0" w:color="auto"/>
            <w:right w:val="none" w:sz="0" w:space="0" w:color="auto"/>
          </w:divBdr>
        </w:div>
      </w:divsChild>
    </w:div>
    <w:div w:id="1664892668">
      <w:bodyDiv w:val="1"/>
      <w:marLeft w:val="0"/>
      <w:marRight w:val="0"/>
      <w:marTop w:val="0"/>
      <w:marBottom w:val="0"/>
      <w:divBdr>
        <w:top w:val="none" w:sz="0" w:space="0" w:color="auto"/>
        <w:left w:val="none" w:sz="0" w:space="0" w:color="auto"/>
        <w:bottom w:val="none" w:sz="0" w:space="0" w:color="auto"/>
        <w:right w:val="none" w:sz="0" w:space="0" w:color="auto"/>
      </w:divBdr>
      <w:divsChild>
        <w:div w:id="1254316274">
          <w:marLeft w:val="0"/>
          <w:marRight w:val="0"/>
          <w:marTop w:val="0"/>
          <w:marBottom w:val="0"/>
          <w:divBdr>
            <w:top w:val="none" w:sz="0" w:space="0" w:color="auto"/>
            <w:left w:val="none" w:sz="0" w:space="0" w:color="auto"/>
            <w:bottom w:val="none" w:sz="0" w:space="0" w:color="auto"/>
            <w:right w:val="none" w:sz="0" w:space="0" w:color="auto"/>
          </w:divBdr>
        </w:div>
      </w:divsChild>
    </w:div>
    <w:div w:id="1698922287">
      <w:bodyDiv w:val="1"/>
      <w:marLeft w:val="0"/>
      <w:marRight w:val="0"/>
      <w:marTop w:val="0"/>
      <w:marBottom w:val="0"/>
      <w:divBdr>
        <w:top w:val="none" w:sz="0" w:space="0" w:color="auto"/>
        <w:left w:val="none" w:sz="0" w:space="0" w:color="auto"/>
        <w:bottom w:val="none" w:sz="0" w:space="0" w:color="auto"/>
        <w:right w:val="none" w:sz="0" w:space="0" w:color="auto"/>
      </w:divBdr>
      <w:divsChild>
        <w:div w:id="459882937">
          <w:marLeft w:val="0"/>
          <w:marRight w:val="0"/>
          <w:marTop w:val="0"/>
          <w:marBottom w:val="0"/>
          <w:divBdr>
            <w:top w:val="none" w:sz="0" w:space="0" w:color="auto"/>
            <w:left w:val="none" w:sz="0" w:space="0" w:color="auto"/>
            <w:bottom w:val="none" w:sz="0" w:space="0" w:color="auto"/>
            <w:right w:val="none" w:sz="0" w:space="0" w:color="auto"/>
          </w:divBdr>
        </w:div>
      </w:divsChild>
    </w:div>
    <w:div w:id="1704359473">
      <w:bodyDiv w:val="1"/>
      <w:marLeft w:val="0"/>
      <w:marRight w:val="0"/>
      <w:marTop w:val="0"/>
      <w:marBottom w:val="0"/>
      <w:divBdr>
        <w:top w:val="none" w:sz="0" w:space="0" w:color="auto"/>
        <w:left w:val="none" w:sz="0" w:space="0" w:color="auto"/>
        <w:bottom w:val="none" w:sz="0" w:space="0" w:color="auto"/>
        <w:right w:val="none" w:sz="0" w:space="0" w:color="auto"/>
      </w:divBdr>
      <w:divsChild>
        <w:div w:id="2037340586">
          <w:marLeft w:val="0"/>
          <w:marRight w:val="0"/>
          <w:marTop w:val="0"/>
          <w:marBottom w:val="0"/>
          <w:divBdr>
            <w:top w:val="none" w:sz="0" w:space="0" w:color="auto"/>
            <w:left w:val="none" w:sz="0" w:space="0" w:color="auto"/>
            <w:bottom w:val="none" w:sz="0" w:space="0" w:color="auto"/>
            <w:right w:val="none" w:sz="0" w:space="0" w:color="auto"/>
          </w:divBdr>
        </w:div>
      </w:divsChild>
    </w:div>
    <w:div w:id="1736927167">
      <w:bodyDiv w:val="1"/>
      <w:marLeft w:val="0"/>
      <w:marRight w:val="0"/>
      <w:marTop w:val="0"/>
      <w:marBottom w:val="0"/>
      <w:divBdr>
        <w:top w:val="none" w:sz="0" w:space="0" w:color="auto"/>
        <w:left w:val="none" w:sz="0" w:space="0" w:color="auto"/>
        <w:bottom w:val="none" w:sz="0" w:space="0" w:color="auto"/>
        <w:right w:val="none" w:sz="0" w:space="0" w:color="auto"/>
      </w:divBdr>
      <w:divsChild>
        <w:div w:id="1981762701">
          <w:marLeft w:val="0"/>
          <w:marRight w:val="0"/>
          <w:marTop w:val="0"/>
          <w:marBottom w:val="0"/>
          <w:divBdr>
            <w:top w:val="none" w:sz="0" w:space="0" w:color="auto"/>
            <w:left w:val="none" w:sz="0" w:space="0" w:color="auto"/>
            <w:bottom w:val="none" w:sz="0" w:space="0" w:color="auto"/>
            <w:right w:val="none" w:sz="0" w:space="0" w:color="auto"/>
          </w:divBdr>
        </w:div>
      </w:divsChild>
    </w:div>
    <w:div w:id="1811362456">
      <w:bodyDiv w:val="1"/>
      <w:marLeft w:val="0"/>
      <w:marRight w:val="0"/>
      <w:marTop w:val="0"/>
      <w:marBottom w:val="0"/>
      <w:divBdr>
        <w:top w:val="none" w:sz="0" w:space="0" w:color="auto"/>
        <w:left w:val="none" w:sz="0" w:space="0" w:color="auto"/>
        <w:bottom w:val="none" w:sz="0" w:space="0" w:color="auto"/>
        <w:right w:val="none" w:sz="0" w:space="0" w:color="auto"/>
      </w:divBdr>
      <w:divsChild>
        <w:div w:id="923994516">
          <w:marLeft w:val="0"/>
          <w:marRight w:val="0"/>
          <w:marTop w:val="0"/>
          <w:marBottom w:val="0"/>
          <w:divBdr>
            <w:top w:val="none" w:sz="0" w:space="0" w:color="auto"/>
            <w:left w:val="none" w:sz="0" w:space="0" w:color="auto"/>
            <w:bottom w:val="none" w:sz="0" w:space="0" w:color="auto"/>
            <w:right w:val="none" w:sz="0" w:space="0" w:color="auto"/>
          </w:divBdr>
        </w:div>
      </w:divsChild>
    </w:div>
    <w:div w:id="1850218435">
      <w:bodyDiv w:val="1"/>
      <w:marLeft w:val="0"/>
      <w:marRight w:val="0"/>
      <w:marTop w:val="0"/>
      <w:marBottom w:val="0"/>
      <w:divBdr>
        <w:top w:val="none" w:sz="0" w:space="0" w:color="auto"/>
        <w:left w:val="none" w:sz="0" w:space="0" w:color="auto"/>
        <w:bottom w:val="none" w:sz="0" w:space="0" w:color="auto"/>
        <w:right w:val="none" w:sz="0" w:space="0" w:color="auto"/>
      </w:divBdr>
      <w:divsChild>
        <w:div w:id="935790148">
          <w:marLeft w:val="0"/>
          <w:marRight w:val="0"/>
          <w:marTop w:val="0"/>
          <w:marBottom w:val="0"/>
          <w:divBdr>
            <w:top w:val="none" w:sz="0" w:space="0" w:color="auto"/>
            <w:left w:val="none" w:sz="0" w:space="0" w:color="auto"/>
            <w:bottom w:val="none" w:sz="0" w:space="0" w:color="auto"/>
            <w:right w:val="none" w:sz="0" w:space="0" w:color="auto"/>
          </w:divBdr>
          <w:divsChild>
            <w:div w:id="282201671">
              <w:marLeft w:val="0"/>
              <w:marRight w:val="0"/>
              <w:marTop w:val="0"/>
              <w:marBottom w:val="0"/>
              <w:divBdr>
                <w:top w:val="none" w:sz="0" w:space="0" w:color="auto"/>
                <w:left w:val="none" w:sz="0" w:space="0" w:color="auto"/>
                <w:bottom w:val="none" w:sz="0" w:space="0" w:color="auto"/>
                <w:right w:val="none" w:sz="0" w:space="0" w:color="auto"/>
              </w:divBdr>
              <w:divsChild>
                <w:div w:id="15579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1536">
          <w:marLeft w:val="0"/>
          <w:marRight w:val="0"/>
          <w:marTop w:val="0"/>
          <w:marBottom w:val="0"/>
          <w:divBdr>
            <w:top w:val="none" w:sz="0" w:space="0" w:color="auto"/>
            <w:left w:val="none" w:sz="0" w:space="0" w:color="auto"/>
            <w:bottom w:val="none" w:sz="0" w:space="0" w:color="auto"/>
            <w:right w:val="none" w:sz="0" w:space="0" w:color="auto"/>
          </w:divBdr>
        </w:div>
      </w:divsChild>
    </w:div>
    <w:div w:id="1860849255">
      <w:bodyDiv w:val="1"/>
      <w:marLeft w:val="0"/>
      <w:marRight w:val="0"/>
      <w:marTop w:val="0"/>
      <w:marBottom w:val="0"/>
      <w:divBdr>
        <w:top w:val="none" w:sz="0" w:space="0" w:color="auto"/>
        <w:left w:val="none" w:sz="0" w:space="0" w:color="auto"/>
        <w:bottom w:val="none" w:sz="0" w:space="0" w:color="auto"/>
        <w:right w:val="none" w:sz="0" w:space="0" w:color="auto"/>
      </w:divBdr>
      <w:divsChild>
        <w:div w:id="2123449538">
          <w:marLeft w:val="0"/>
          <w:marRight w:val="0"/>
          <w:marTop w:val="0"/>
          <w:marBottom w:val="0"/>
          <w:divBdr>
            <w:top w:val="none" w:sz="0" w:space="0" w:color="auto"/>
            <w:left w:val="none" w:sz="0" w:space="0" w:color="auto"/>
            <w:bottom w:val="none" w:sz="0" w:space="0" w:color="auto"/>
            <w:right w:val="none" w:sz="0" w:space="0" w:color="auto"/>
          </w:divBdr>
        </w:div>
      </w:divsChild>
    </w:div>
    <w:div w:id="2070611143">
      <w:bodyDiv w:val="1"/>
      <w:marLeft w:val="0"/>
      <w:marRight w:val="0"/>
      <w:marTop w:val="0"/>
      <w:marBottom w:val="0"/>
      <w:divBdr>
        <w:top w:val="none" w:sz="0" w:space="0" w:color="auto"/>
        <w:left w:val="none" w:sz="0" w:space="0" w:color="auto"/>
        <w:bottom w:val="none" w:sz="0" w:space="0" w:color="auto"/>
        <w:right w:val="none" w:sz="0" w:space="0" w:color="auto"/>
      </w:divBdr>
      <w:divsChild>
        <w:div w:id="127429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83F0-5D50-4167-AA89-39312E74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6414</Words>
  <Characters>35149</Characters>
  <Application>Microsoft Office Word</Application>
  <DocSecurity>0</DocSecurity>
  <Lines>763</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2023-05-19T17:17:19.9290145Z</dcterms:created>
  <dcterms:modified xsi:type="dcterms:W3CDTF">2023-05-19T17:17:19.9290145Z</dcterms:modified>
</cp:coreProperties>
</file>