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B0B05" w:rsidP="00AF343B">
      <w:pPr>
        <w:tabs>
          <w:tab w:val="left" w:pos="1440"/>
          <w:tab w:val="left" w:pos="4680"/>
          <w:tab w:val="center" w:pos="7200"/>
        </w:tabs>
        <w:spacing w:after="0"/>
        <w:jc w:val="center"/>
        <w:rPr>
          <w:sz w:val="36"/>
        </w:rPr>
      </w:pPr>
      <w:bookmarkStart w:id="0" w:name="MarkDocLoc"/>
      <w:bookmarkEnd w:id="0"/>
      <w:r>
        <w:rPr>
          <w:b/>
          <w:sz w:val="36"/>
        </w:rPr>
        <w:t>IN THE SUPREME COURT OF CALIFORNIA</w:t>
      </w:r>
    </w:p>
    <w:p w:rsidR="00AF343B" w:rsidP="00AF343B">
      <w:pPr>
        <w:tabs>
          <w:tab w:val="left" w:pos="1440"/>
          <w:tab w:val="left" w:pos="4680"/>
          <w:tab w:val="center" w:pos="7200"/>
        </w:tabs>
        <w:spacing w:after="0"/>
        <w:jc w:val="center"/>
      </w:pPr>
    </w:p>
    <w:p w:rsidR="00AF343B" w:rsidP="00AF343B">
      <w:pPr>
        <w:tabs>
          <w:tab w:val="left" w:pos="1440"/>
          <w:tab w:val="left" w:pos="4680"/>
          <w:tab w:val="center" w:pos="7200"/>
        </w:tabs>
        <w:spacing w:after="0"/>
        <w:jc w:val="center"/>
      </w:pPr>
      <w:r>
        <w:t>STEPHEN K. DAVIS</w:t>
      </w:r>
      <w:r w:rsidR="002E299F">
        <w:t>,</w:t>
      </w:r>
    </w:p>
    <w:p w:rsidR="00AF343B" w:rsidP="00AF343B">
      <w:pPr>
        <w:tabs>
          <w:tab w:val="left" w:pos="1440"/>
          <w:tab w:val="left" w:pos="4680"/>
          <w:tab w:val="center" w:pos="7200"/>
        </w:tabs>
        <w:spacing w:after="0"/>
        <w:jc w:val="center"/>
      </w:pPr>
      <w:r>
        <w:t>Plaintiff and Appellant</w:t>
      </w:r>
      <w:r w:rsidR="002E299F">
        <w:t>,</w:t>
      </w:r>
    </w:p>
    <w:p w:rsidR="00AF343B" w:rsidP="00AF343B">
      <w:pPr>
        <w:tabs>
          <w:tab w:val="left" w:pos="1440"/>
          <w:tab w:val="left" w:pos="4680"/>
          <w:tab w:val="center" w:pos="7200"/>
        </w:tabs>
        <w:spacing w:after="0"/>
        <w:jc w:val="center"/>
      </w:pPr>
      <w:r>
        <w:t>v.</w:t>
      </w:r>
    </w:p>
    <w:p w:rsidR="00AF343B" w:rsidP="00AF343B">
      <w:pPr>
        <w:tabs>
          <w:tab w:val="left" w:pos="1440"/>
          <w:tab w:val="left" w:pos="4680"/>
          <w:tab w:val="center" w:pos="7200"/>
        </w:tabs>
        <w:spacing w:after="0"/>
        <w:jc w:val="center"/>
      </w:pPr>
      <w:r>
        <w:t>FRESNO UNIFIED SCHOOL DIST</w:t>
      </w:r>
      <w:r w:rsidR="002E299F">
        <w:t>RICT et al.,</w:t>
      </w:r>
    </w:p>
    <w:p w:rsidR="00AF343B" w:rsidP="00AF343B">
      <w:pPr>
        <w:tabs>
          <w:tab w:val="left" w:pos="1440"/>
          <w:tab w:val="left" w:pos="4680"/>
          <w:tab w:val="center" w:pos="7200"/>
        </w:tabs>
        <w:spacing w:after="0"/>
        <w:jc w:val="center"/>
      </w:pPr>
      <w:r>
        <w:t>Defendants and Respondents</w:t>
      </w:r>
      <w:r w:rsidR="002E299F">
        <w:t>.</w:t>
      </w:r>
    </w:p>
    <w:p w:rsidR="00AF343B" w:rsidP="00AF343B">
      <w:pPr>
        <w:tabs>
          <w:tab w:val="left" w:pos="1440"/>
          <w:tab w:val="left" w:pos="4680"/>
          <w:tab w:val="center" w:pos="7200"/>
        </w:tabs>
        <w:spacing w:after="0"/>
        <w:jc w:val="center"/>
      </w:pPr>
    </w:p>
    <w:p w:rsidR="00AF343B" w:rsidP="00AF343B">
      <w:pPr>
        <w:tabs>
          <w:tab w:val="left" w:pos="1440"/>
          <w:tab w:val="left" w:pos="4680"/>
          <w:tab w:val="center" w:pos="7200"/>
        </w:tabs>
        <w:spacing w:after="0"/>
        <w:jc w:val="center"/>
      </w:pPr>
      <w:r>
        <w:t>S266344</w:t>
      </w:r>
    </w:p>
    <w:p w:rsidR="002E299F" w:rsidP="00AF343B">
      <w:pPr>
        <w:tabs>
          <w:tab w:val="left" w:pos="1440"/>
          <w:tab w:val="left" w:pos="4680"/>
          <w:tab w:val="center" w:pos="7200"/>
        </w:tabs>
        <w:spacing w:after="0"/>
        <w:jc w:val="center"/>
      </w:pPr>
    </w:p>
    <w:p w:rsidR="002E299F" w:rsidP="00AF343B">
      <w:pPr>
        <w:tabs>
          <w:tab w:val="left" w:pos="1440"/>
          <w:tab w:val="left" w:pos="4680"/>
          <w:tab w:val="center" w:pos="7200"/>
        </w:tabs>
        <w:spacing w:after="0"/>
        <w:jc w:val="center"/>
      </w:pPr>
      <w:r>
        <w:t>Fifth Appellate District</w:t>
      </w:r>
    </w:p>
    <w:p w:rsidR="002E299F" w:rsidP="00AF343B">
      <w:pPr>
        <w:tabs>
          <w:tab w:val="left" w:pos="1440"/>
          <w:tab w:val="left" w:pos="4680"/>
          <w:tab w:val="center" w:pos="7200"/>
        </w:tabs>
        <w:spacing w:after="0"/>
        <w:jc w:val="center"/>
      </w:pPr>
      <w:r>
        <w:t>F079811</w:t>
      </w:r>
    </w:p>
    <w:p w:rsidR="00AF343B" w:rsidP="00AF343B">
      <w:pPr>
        <w:tabs>
          <w:tab w:val="left" w:pos="1440"/>
          <w:tab w:val="left" w:pos="4680"/>
          <w:tab w:val="center" w:pos="7200"/>
        </w:tabs>
        <w:spacing w:after="0"/>
        <w:jc w:val="center"/>
      </w:pPr>
    </w:p>
    <w:p w:rsidR="00AF343B" w:rsidP="00AF343B">
      <w:pPr>
        <w:tabs>
          <w:tab w:val="left" w:pos="1440"/>
          <w:tab w:val="left" w:pos="4680"/>
          <w:tab w:val="center" w:pos="7200"/>
        </w:tabs>
        <w:spacing w:after="0"/>
        <w:jc w:val="center"/>
      </w:pPr>
      <w:r>
        <w:t>Fresno County</w:t>
      </w:r>
      <w:r w:rsidR="002E299F">
        <w:t xml:space="preserve"> Superior Court</w:t>
      </w:r>
    </w:p>
    <w:p w:rsidR="00AF343B" w:rsidP="00AF343B">
      <w:pPr>
        <w:tabs>
          <w:tab w:val="left" w:pos="1440"/>
          <w:tab w:val="left" w:pos="4680"/>
          <w:tab w:val="center" w:pos="7200"/>
        </w:tabs>
        <w:spacing w:after="0"/>
        <w:jc w:val="center"/>
      </w:pPr>
      <w:r>
        <w:t>12CECG03718</w:t>
      </w:r>
    </w:p>
    <w:p w:rsidR="00AF343B" w:rsidP="00AF343B">
      <w:pPr>
        <w:pBdr>
          <w:bottom w:val="single" w:sz="4" w:space="1" w:color="auto"/>
        </w:pBdr>
        <w:tabs>
          <w:tab w:val="left" w:pos="1440"/>
          <w:tab w:val="left" w:pos="4680"/>
          <w:tab w:val="center" w:pos="7200"/>
        </w:tabs>
        <w:spacing w:after="0"/>
        <w:jc w:val="center"/>
      </w:pPr>
    </w:p>
    <w:p w:rsidR="00AF343B" w:rsidP="00AF343B">
      <w:pPr>
        <w:tabs>
          <w:tab w:val="left" w:pos="1440"/>
          <w:tab w:val="left" w:pos="4680"/>
          <w:tab w:val="center" w:pos="7200"/>
        </w:tabs>
        <w:spacing w:after="0"/>
        <w:jc w:val="center"/>
      </w:pPr>
      <w:bookmarkStart w:id="1" w:name="Return"/>
      <w:bookmarkEnd w:id="1"/>
    </w:p>
    <w:p w:rsidR="00AF343B" w:rsidP="00AF343B">
      <w:pPr>
        <w:tabs>
          <w:tab w:val="left" w:pos="1440"/>
          <w:tab w:val="left" w:pos="4680"/>
          <w:tab w:val="center" w:pos="7200"/>
        </w:tabs>
        <w:spacing w:after="0"/>
        <w:jc w:val="center"/>
      </w:pPr>
      <w:r>
        <w:t>April 27,</w:t>
      </w:r>
      <w:r>
        <w:t xml:space="preserve"> 2023</w:t>
      </w:r>
    </w:p>
    <w:p w:rsidR="00AF343B" w:rsidP="00AF343B">
      <w:pPr>
        <w:tabs>
          <w:tab w:val="left" w:pos="1440"/>
          <w:tab w:val="left" w:pos="4680"/>
          <w:tab w:val="center" w:pos="7200"/>
        </w:tabs>
        <w:spacing w:after="0"/>
        <w:jc w:val="center"/>
      </w:pPr>
    </w:p>
    <w:p w:rsidR="00104FD7" w:rsidP="00104FD7">
      <w:pPr>
        <w:pBdr>
          <w:bottom w:val="single" w:sz="4" w:space="1" w:color="auto"/>
        </w:pBdr>
        <w:tabs>
          <w:tab w:val="left" w:pos="1440"/>
          <w:tab w:val="left" w:pos="4680"/>
          <w:tab w:val="center" w:pos="7200"/>
        </w:tabs>
        <w:spacing w:after="0"/>
        <w:jc w:val="left"/>
      </w:pPr>
      <w:r w:rsidRPr="006A434A">
        <w:t xml:space="preserve">Justice </w:t>
      </w:r>
      <w:r>
        <w:t>Jenkins</w:t>
      </w:r>
      <w:r w:rsidRPr="006A434A">
        <w:t xml:space="preserve"> authored the opinion of the Court, </w:t>
      </w:r>
      <w:r>
        <w:t>in which Chief Justice Guerrero and Justices Corrigan, Liu, Kruger, Groban, and Evans concurred.</w:t>
      </w:r>
    </w:p>
    <w:p w:rsidR="00AF343B" w:rsidRPr="00AF343B" w:rsidP="00AF343B">
      <w:pPr>
        <w:pBdr>
          <w:bottom w:val="single" w:sz="4" w:space="1" w:color="auto"/>
        </w:pBdr>
        <w:tabs>
          <w:tab w:val="left" w:pos="1440"/>
          <w:tab w:val="left" w:pos="4680"/>
          <w:tab w:val="center" w:pos="7200"/>
        </w:tabs>
        <w:spacing w:line="480" w:lineRule="atLeast"/>
        <w:jc w:val="left"/>
      </w:pPr>
    </w:p>
    <w:p w:rsidR="00AF343B">
      <w:pPr>
        <w:tabs>
          <w:tab w:val="left" w:pos="1440"/>
          <w:tab w:val="left" w:pos="4680"/>
          <w:tab w:val="center" w:pos="7200"/>
        </w:tabs>
        <w:spacing w:line="480" w:lineRule="atLeast"/>
        <w:sectPr w:rsidSect="00AF343B">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AF343B" w:rsidP="00AF343B">
      <w:pPr>
        <w:tabs>
          <w:tab w:val="left" w:pos="1440"/>
          <w:tab w:val="left" w:pos="4680"/>
          <w:tab w:val="center" w:pos="7200"/>
        </w:tabs>
        <w:jc w:val="center"/>
      </w:pPr>
      <w:r>
        <w:t>DAVIS v. FRESNO UNIFIED SCHOOL DIST</w:t>
      </w:r>
      <w:r w:rsidR="002E299F">
        <w:t>RICT</w:t>
      </w:r>
    </w:p>
    <w:p w:rsidR="00AF343B" w:rsidP="00AF343B">
      <w:pPr>
        <w:tabs>
          <w:tab w:val="left" w:pos="1440"/>
          <w:tab w:val="left" w:pos="4680"/>
          <w:tab w:val="center" w:pos="7200"/>
        </w:tabs>
        <w:jc w:val="center"/>
      </w:pPr>
      <w:r>
        <w:t>S266344</w:t>
      </w:r>
    </w:p>
    <w:p w:rsidR="00AF343B" w:rsidP="00AF343B">
      <w:pPr>
        <w:tabs>
          <w:tab w:val="left" w:pos="1440"/>
          <w:tab w:val="left" w:pos="4680"/>
          <w:tab w:val="center" w:pos="7200"/>
        </w:tabs>
        <w:jc w:val="center"/>
      </w:pPr>
    </w:p>
    <w:p w:rsidR="00AF343B" w:rsidP="00AF343B">
      <w:pPr>
        <w:tabs>
          <w:tab w:val="left" w:pos="1440"/>
          <w:tab w:val="left" w:pos="4680"/>
          <w:tab w:val="center" w:pos="7200"/>
        </w:tabs>
        <w:jc w:val="center"/>
      </w:pPr>
      <w:r>
        <w:t>Opinion of the Court by Jenkins, J.</w:t>
      </w:r>
    </w:p>
    <w:p w:rsidR="00AF343B" w:rsidRPr="00AF343B" w:rsidP="00AF343B">
      <w:pPr>
        <w:tabs>
          <w:tab w:val="left" w:pos="1440"/>
          <w:tab w:val="left" w:pos="4680"/>
          <w:tab w:val="center" w:pos="7200"/>
        </w:tabs>
        <w:jc w:val="center"/>
      </w:pPr>
    </w:p>
    <w:p w:rsidR="00F871DE" w:rsidRPr="00AF343B" w:rsidP="00AF343B">
      <w:pPr>
        <w:tabs>
          <w:tab w:val="left" w:pos="1440"/>
        </w:tabs>
        <w:ind w:firstLine="720"/>
      </w:pPr>
      <w:bookmarkStart w:id="2" w:name="justice"/>
      <w:bookmarkStart w:id="3" w:name="_Hlk51520113"/>
      <w:bookmarkEnd w:id="2"/>
      <w:r w:rsidRPr="00AF343B">
        <w:t>Plaintiff Stephen</w:t>
      </w:r>
      <w:r w:rsidR="00B257CD">
        <w:t xml:space="preserve"> K.</w:t>
      </w:r>
      <w:r w:rsidRPr="00AF343B">
        <w:t xml:space="preserve"> Davis sued the Fresno Unified School District </w:t>
      </w:r>
      <w:r w:rsidRPr="00AF343B" w:rsidR="006A2C4C">
        <w:t>(</w:t>
      </w:r>
      <w:r w:rsidRPr="00AF343B" w:rsidR="00C14604">
        <w:t>the District</w:t>
      </w:r>
      <w:r w:rsidRPr="00AF343B" w:rsidR="006A2C4C">
        <w:t xml:space="preserve">) </w:t>
      </w:r>
      <w:r w:rsidRPr="00AF343B">
        <w:t>and Harris</w:t>
      </w:r>
      <w:r w:rsidRPr="00AF343B" w:rsidR="005072FB">
        <w:t xml:space="preserve"> </w:t>
      </w:r>
      <w:r w:rsidRPr="00AF343B">
        <w:t>Construction Co., Inc.</w:t>
      </w:r>
      <w:r w:rsidRPr="00AF343B" w:rsidR="006A2C4C">
        <w:t xml:space="preserve"> (</w:t>
      </w:r>
      <w:r w:rsidRPr="00AF343B" w:rsidR="00C14604">
        <w:t xml:space="preserve">the </w:t>
      </w:r>
      <w:r w:rsidRPr="00AF343B" w:rsidR="009D00CF">
        <w:t>Contractor</w:t>
      </w:r>
      <w:r w:rsidRPr="00AF343B" w:rsidR="006A2C4C">
        <w:t>)</w:t>
      </w:r>
      <w:r w:rsidRPr="00AF343B">
        <w:t xml:space="preserve">, alleging </w:t>
      </w:r>
      <w:r w:rsidRPr="00AF343B" w:rsidR="007B08D4">
        <w:t>that d</w:t>
      </w:r>
      <w:r w:rsidRPr="00AF343B" w:rsidR="00A7155A">
        <w:t xml:space="preserve">efendants entered into a lease-leaseback construction </w:t>
      </w:r>
      <w:r w:rsidRPr="00AF343B" w:rsidR="00345E0D">
        <w:t xml:space="preserve">agreement </w:t>
      </w:r>
      <w:r w:rsidRPr="00AF343B" w:rsidR="00A7155A">
        <w:t xml:space="preserve">in violation of </w:t>
      </w:r>
      <w:r w:rsidRPr="00AF343B" w:rsidR="00EA4A22">
        <w:t xml:space="preserve">various </w:t>
      </w:r>
      <w:r w:rsidRPr="00AF343B" w:rsidR="00824B7D">
        <w:t xml:space="preserve">statutes and </w:t>
      </w:r>
      <w:r w:rsidRPr="00AF343B" w:rsidR="00A7155A">
        <w:t>common law rules.</w:t>
      </w:r>
      <w:r w:rsidRPr="00AF343B" w:rsidR="007B08D4">
        <w:t xml:space="preserve">  The lawsuit raises </w:t>
      </w:r>
      <w:r w:rsidRPr="00AF343B" w:rsidR="00D87309">
        <w:t>numerous</w:t>
      </w:r>
      <w:r w:rsidRPr="00AF343B" w:rsidR="007B08D4">
        <w:t xml:space="preserve"> legal questions and has a lengthy procedural history</w:t>
      </w:r>
      <w:r w:rsidRPr="00AF343B" w:rsidR="00163A17">
        <w:t xml:space="preserve">.  However, we granted review to address </w:t>
      </w:r>
      <w:r w:rsidRPr="00AF343B" w:rsidR="002A1300">
        <w:t xml:space="preserve">a single </w:t>
      </w:r>
      <w:r w:rsidRPr="00AF343B" w:rsidR="007B08D4">
        <w:t xml:space="preserve">question: </w:t>
      </w:r>
      <w:bookmarkStart w:id="4" w:name="_Hlk85141293"/>
      <w:r w:rsidRPr="00AF343B" w:rsidR="007B08D4">
        <w:t xml:space="preserve"> </w:t>
      </w:r>
      <w:r w:rsidRPr="00AF343B" w:rsidR="003707E4">
        <w:t xml:space="preserve">“Is a lease-leaseback arrangement in which construction is financed through bond proceeds rather than by or through the builder a </w:t>
      </w:r>
      <w:r w:rsidRPr="00AF343B" w:rsidR="00C97193">
        <w:t>‘</w:t>
      </w:r>
      <w:r w:rsidRPr="00AF343B" w:rsidR="003707E4">
        <w:t>contract</w:t>
      </w:r>
      <w:r w:rsidRPr="00AF343B" w:rsidR="00C97193">
        <w:t>’</w:t>
      </w:r>
      <w:r w:rsidRPr="00AF343B" w:rsidR="003707E4">
        <w:t xml:space="preserve"> within the meaning of Government Code section 53511</w:t>
      </w:r>
      <w:r w:rsidRPr="00AF343B" w:rsidR="007B08D4">
        <w:t>?</w:t>
      </w:r>
      <w:bookmarkEnd w:id="4"/>
      <w:r w:rsidRPr="00AF343B" w:rsidR="003707E4">
        <w:t>”</w:t>
      </w:r>
      <w:r w:rsidRPr="00AF343B" w:rsidR="007B08D4">
        <w:t xml:space="preserve">  </w:t>
      </w:r>
      <w:r w:rsidRPr="00AF343B" w:rsidR="00645320">
        <w:t xml:space="preserve">We </w:t>
      </w:r>
      <w:r w:rsidRPr="00AF343B" w:rsidR="007B08D4">
        <w:t xml:space="preserve">conclude that </w:t>
      </w:r>
      <w:r w:rsidRPr="00AF343B" w:rsidR="007C5033">
        <w:t xml:space="preserve">the specific </w:t>
      </w:r>
      <w:r w:rsidRPr="00AF343B" w:rsidR="007B08D4">
        <w:t xml:space="preserve">lease-leaseback arrangement </w:t>
      </w:r>
      <w:r w:rsidRPr="00AF343B" w:rsidR="007C5033">
        <w:t xml:space="preserve">at issue here </w:t>
      </w:r>
      <w:r w:rsidRPr="00AF343B" w:rsidR="007B08D4">
        <w:t xml:space="preserve">is not a </w:t>
      </w:r>
      <w:r w:rsidRPr="00AF343B" w:rsidR="006A2C4C">
        <w:t>“</w:t>
      </w:r>
      <w:r w:rsidRPr="00AF343B" w:rsidR="007B08D4">
        <w:t>contract</w:t>
      </w:r>
      <w:r w:rsidRPr="00AF343B" w:rsidR="007C5033">
        <w:t>[]</w:t>
      </w:r>
      <w:r w:rsidRPr="00AF343B" w:rsidR="006A2C4C">
        <w:t>”</w:t>
      </w:r>
      <w:r w:rsidRPr="00AF343B" w:rsidR="007B08D4">
        <w:t xml:space="preserve"> within the meaning of </w:t>
      </w:r>
      <w:r w:rsidRPr="00AF343B" w:rsidR="00373232">
        <w:t xml:space="preserve">Government Code </w:t>
      </w:r>
      <w:r w:rsidRPr="00AF343B" w:rsidR="007B08D4">
        <w:t>section 53511</w:t>
      </w:r>
      <w:r w:rsidRPr="00AF343B" w:rsidR="00020046">
        <w:t xml:space="preserve"> </w:t>
      </w:r>
      <w:r w:rsidRPr="00AF343B" w:rsidR="00B257CD">
        <w:t>(</w:t>
      </w:r>
      <w:r w:rsidR="00B257CD">
        <w:t>section</w:t>
      </w:r>
      <w:r w:rsidRPr="00AF343B" w:rsidR="00B257CD">
        <w:t> </w:t>
      </w:r>
      <w:r w:rsidRPr="00AF343B" w:rsidR="00020046">
        <w:t>53511)</w:t>
      </w:r>
      <w:r w:rsidRPr="00AF343B" w:rsidR="00163A17">
        <w:t>.</w:t>
      </w:r>
      <w:r w:rsidRPr="00AF343B" w:rsidR="006B5212">
        <w:t xml:space="preserve">  A local agency contract is subject to validation under section 53511 if it is inextricably bound up with government indebtedness or </w:t>
      </w:r>
      <w:r w:rsidRPr="00AF343B" w:rsidR="007C5033">
        <w:t xml:space="preserve">with </w:t>
      </w:r>
      <w:r w:rsidRPr="001E3EEA" w:rsidR="001E3EEA">
        <w:t>debt financing guaranteed by the agency</w:t>
      </w:r>
      <w:r w:rsidRPr="00AF343B" w:rsidR="006B5212">
        <w:t xml:space="preserve">.  To satisfy this standard, the contract </w:t>
      </w:r>
      <w:r w:rsidRPr="00AF343B" w:rsidR="007C5033">
        <w:t xml:space="preserve">must </w:t>
      </w:r>
      <w:r w:rsidRPr="00AF343B" w:rsidR="006B5212">
        <w:t xml:space="preserve">be one on which the debt financing of the project directly depends.  </w:t>
      </w:r>
      <w:r w:rsidRPr="00AF343B" w:rsidR="00CC629C">
        <w:t>T</w:t>
      </w:r>
      <w:r w:rsidRPr="00AF343B" w:rsidR="006B5212">
        <w:t xml:space="preserve">he lease-leaseback arrangement at issue here does not </w:t>
      </w:r>
      <w:r w:rsidRPr="00AF343B" w:rsidR="00CC629C">
        <w:t xml:space="preserve">satisfy this standard because </w:t>
      </w:r>
      <w:r w:rsidRPr="00AF343B" w:rsidR="00020046">
        <w:t xml:space="preserve">the </w:t>
      </w:r>
      <w:r w:rsidRPr="00AF343B" w:rsidR="002A1ACA">
        <w:t xml:space="preserve">underlying </w:t>
      </w:r>
      <w:r w:rsidRPr="00AF343B" w:rsidR="00020046">
        <w:t xml:space="preserve">project was </w:t>
      </w:r>
      <w:r w:rsidRPr="00AF343B" w:rsidR="00CC629C">
        <w:t xml:space="preserve">fully funded by </w:t>
      </w:r>
      <w:r w:rsidRPr="00AF343B" w:rsidR="00020046">
        <w:t xml:space="preserve">a prior sale of </w:t>
      </w:r>
      <w:r w:rsidRPr="00AF343B" w:rsidR="00CC629C">
        <w:t>general obligation bonds</w:t>
      </w:r>
      <w:r w:rsidRPr="00AF343B" w:rsidR="002A1ACA">
        <w:t>, and p</w:t>
      </w:r>
      <w:r w:rsidRPr="00AF343B" w:rsidR="00020046">
        <w:t xml:space="preserve">ayment of the debt service on the bonds </w:t>
      </w:r>
      <w:r w:rsidRPr="00AF343B" w:rsidR="00202844">
        <w:t>was from ad valorem property taxes</w:t>
      </w:r>
      <w:r w:rsidRPr="00AF343B" w:rsidR="002A1ACA">
        <w:t xml:space="preserve">.  Therefore, payment </w:t>
      </w:r>
      <w:r w:rsidRPr="00AF343B" w:rsidR="00020046">
        <w:t xml:space="preserve">did not depend on </w:t>
      </w:r>
      <w:r w:rsidRPr="00AF343B" w:rsidR="00202844">
        <w:t xml:space="preserve">the lease-leaseback arrangement or </w:t>
      </w:r>
      <w:r w:rsidRPr="00AF343B" w:rsidR="002A1ACA">
        <w:t xml:space="preserve">even on </w:t>
      </w:r>
      <w:r w:rsidRPr="00AF343B" w:rsidR="00020046">
        <w:t>completion of the project.</w:t>
      </w:r>
      <w:r w:rsidRPr="00AF343B" w:rsidR="006547B6">
        <w:t xml:space="preserve">  In light of this conclusion, we affirm the judgment of the Court of Appeal.</w:t>
      </w:r>
    </w:p>
    <w:p w:rsidR="00DB1B69" w:rsidRPr="00AF343B" w:rsidP="00AF343B">
      <w:pPr>
        <w:pStyle w:val="Heading1"/>
      </w:pPr>
      <w:r w:rsidRPr="00AF343B">
        <w:t xml:space="preserve">I. </w:t>
      </w:r>
      <w:r w:rsidRPr="00AF343B">
        <w:t>Facts</w:t>
      </w:r>
    </w:p>
    <w:p w:rsidR="00D43280" w:rsidRPr="00AF343B" w:rsidP="00AF343B">
      <w:pPr>
        <w:tabs>
          <w:tab w:val="left" w:pos="1440"/>
        </w:tabs>
        <w:ind w:firstLine="720"/>
      </w:pPr>
      <w:r w:rsidRPr="00AF343B">
        <w:t xml:space="preserve">On March 6, 2001, voters within the District approved Measure K, authorizing the District to sell bonds to raise money for improvements to school facilities.  On November 2, 2010, voters within the District approved Measure Q, authorizing additional bonds for the same general purpose.  </w:t>
      </w:r>
      <w:r w:rsidRPr="00AF343B" w:rsidR="00F23ED0">
        <w:t xml:space="preserve">The ballot measures were broadly worded, listing hundreds of projects at numerous school sites.  They did not require the District to complete all the listed projects, and they did not specify details about individual projects or how the necessary agreements with architects and builders would be structured.  </w:t>
      </w:r>
      <w:r w:rsidRPr="00AF343B" w:rsidR="00927E4B">
        <w:t xml:space="preserve">On October 13, 2011, </w:t>
      </w:r>
      <w:r w:rsidRPr="00AF343B" w:rsidR="00AC0874">
        <w:t xml:space="preserve">the District </w:t>
      </w:r>
      <w:r w:rsidRPr="00AF343B" w:rsidR="005C7E05">
        <w:t xml:space="preserve">sold $55,570,914.90 in Series G </w:t>
      </w:r>
      <w:r w:rsidRPr="00AF343B" w:rsidR="00927E4B">
        <w:t xml:space="preserve">general obligation </w:t>
      </w:r>
      <w:r w:rsidRPr="00AF343B" w:rsidR="005C7E05">
        <w:t>bonds (</w:t>
      </w:r>
      <w:r w:rsidRPr="00AF343B">
        <w:t>Measure K</w:t>
      </w:r>
      <w:r w:rsidRPr="00AF343B" w:rsidR="005C7E05">
        <w:t xml:space="preserve">) and $50,434,849.50 in Series B </w:t>
      </w:r>
      <w:r w:rsidRPr="00AF343B" w:rsidR="00927E4B">
        <w:t xml:space="preserve">general </w:t>
      </w:r>
      <w:r w:rsidRPr="00AF343B" w:rsidR="00B34270">
        <w:t>obligation</w:t>
      </w:r>
      <w:r w:rsidRPr="00AF343B" w:rsidR="00927E4B">
        <w:t xml:space="preserve"> </w:t>
      </w:r>
      <w:r w:rsidRPr="00AF343B" w:rsidR="005C7E05">
        <w:t>bonds (</w:t>
      </w:r>
      <w:r w:rsidRPr="00AF343B">
        <w:t>Measure Q</w:t>
      </w:r>
      <w:r w:rsidRPr="00AF343B" w:rsidR="005C7E05">
        <w:t xml:space="preserve">).  </w:t>
      </w:r>
      <w:r w:rsidRPr="00AF343B">
        <w:t>To pay the debt service on the bonds, t</w:t>
      </w:r>
      <w:r w:rsidRPr="00AF343B" w:rsidR="00927E4B">
        <w:t xml:space="preserve">he District pledged receipts from </w:t>
      </w:r>
      <w:r w:rsidRPr="00AF343B" w:rsidR="00F23ED0">
        <w:t xml:space="preserve">certain </w:t>
      </w:r>
      <w:r w:rsidRPr="00AF343B" w:rsidR="00927E4B">
        <w:t>levies of ad valorem taxes</w:t>
      </w:r>
      <w:r w:rsidRPr="00AF343B" w:rsidR="00F23ED0">
        <w:t xml:space="preserve"> on propert</w:t>
      </w:r>
      <w:r w:rsidRPr="00AF343B" w:rsidR="00026ABD">
        <w:t xml:space="preserve">y </w:t>
      </w:r>
      <w:r w:rsidRPr="00AF343B" w:rsidR="00F23ED0">
        <w:t>within the District</w:t>
      </w:r>
      <w:r w:rsidRPr="00AF343B" w:rsidR="00927E4B">
        <w:t xml:space="preserve">.  </w:t>
      </w:r>
      <w:r w:rsidRPr="00AF343B" w:rsidR="0047251D">
        <w:t xml:space="preserve">The </w:t>
      </w:r>
      <w:r w:rsidRPr="00AF343B">
        <w:t xml:space="preserve">total </w:t>
      </w:r>
      <w:r w:rsidRPr="00AF343B" w:rsidR="0047251D">
        <w:t xml:space="preserve">purchase price </w:t>
      </w:r>
      <w:r w:rsidRPr="00AF343B" w:rsidR="001B026E">
        <w:t xml:space="preserve">for </w:t>
      </w:r>
      <w:r w:rsidRPr="00AF343B" w:rsidR="0047251D">
        <w:t xml:space="preserve">the Series G bonds was $55,570,914.90.  The </w:t>
      </w:r>
      <w:r w:rsidRPr="00AF343B">
        <w:t xml:space="preserve">total </w:t>
      </w:r>
      <w:r w:rsidRPr="00AF343B" w:rsidR="0047251D">
        <w:t>purchase price f</w:t>
      </w:r>
      <w:r w:rsidRPr="00AF343B" w:rsidR="001B026E">
        <w:t>or</w:t>
      </w:r>
      <w:r w:rsidRPr="00AF343B" w:rsidR="0047251D">
        <w:t xml:space="preserve"> the Series B bonds</w:t>
      </w:r>
      <w:r w:rsidRPr="00AF343B" w:rsidR="0017502C">
        <w:t xml:space="preserve"> (</w:t>
      </w:r>
      <w:r w:rsidRPr="00AF343B" w:rsidR="0047251D">
        <w:t xml:space="preserve">which </w:t>
      </w:r>
      <w:r w:rsidRPr="00AF343B">
        <w:t>included a larger original issue premium than the Series G bonds</w:t>
      </w:r>
      <w:r w:rsidRPr="00AF343B" w:rsidR="0017502C">
        <w:t>)</w:t>
      </w:r>
      <w:r w:rsidRPr="00AF343B">
        <w:t xml:space="preserve"> </w:t>
      </w:r>
      <w:r w:rsidRPr="00AF343B" w:rsidR="0047251D">
        <w:t>was $52,148,790.01</w:t>
      </w:r>
      <w:r w:rsidRPr="00AF343B">
        <w:t xml:space="preserve">.  </w:t>
      </w:r>
      <w:r w:rsidRPr="00AF343B" w:rsidR="00927E4B">
        <w:t>Therefore, o</w:t>
      </w:r>
      <w:r w:rsidRPr="00AF343B" w:rsidR="00880B65">
        <w:t>n t</w:t>
      </w:r>
      <w:r w:rsidRPr="00AF343B">
        <w:t>he closing date</w:t>
      </w:r>
      <w:r w:rsidRPr="00AF343B" w:rsidR="00927E4B">
        <w:t xml:space="preserve"> of October 13, 2011</w:t>
      </w:r>
      <w:r w:rsidRPr="00AF343B" w:rsidR="00880B65">
        <w:t xml:space="preserve">, </w:t>
      </w:r>
      <w:r w:rsidRPr="00AF343B">
        <w:t xml:space="preserve">the District received nearly $108 million </w:t>
      </w:r>
      <w:r w:rsidRPr="00AF343B" w:rsidR="00927E4B">
        <w:t xml:space="preserve">in </w:t>
      </w:r>
      <w:r w:rsidRPr="00AF343B">
        <w:t>immediately available funds</w:t>
      </w:r>
      <w:r w:rsidRPr="00AF343B" w:rsidR="00EC6659">
        <w:t>.</w:t>
      </w:r>
      <w:r w:rsidRPr="00AF343B" w:rsidR="001B026E">
        <w:t xml:space="preserve">  For federal tax reasons, it was advantageous to the District to proceed quickly with the planned </w:t>
      </w:r>
      <w:r w:rsidRPr="00AF343B" w:rsidR="00F23ED0">
        <w:t xml:space="preserve">school facility </w:t>
      </w:r>
      <w:r w:rsidRPr="00AF343B" w:rsidR="001B026E">
        <w:t>improvements</w:t>
      </w:r>
      <w:r w:rsidRPr="00AF343B" w:rsidR="00F23ED0">
        <w:t xml:space="preserve">, </w:t>
      </w:r>
      <w:r w:rsidRPr="00AF343B" w:rsidR="001B026E">
        <w:t>spend</w:t>
      </w:r>
      <w:r w:rsidRPr="00AF343B" w:rsidR="00F23ED0">
        <w:t>ing</w:t>
      </w:r>
      <w:r w:rsidRPr="00AF343B" w:rsidR="001B026E">
        <w:t xml:space="preserve"> th</w:t>
      </w:r>
      <w:r w:rsidRPr="00AF343B" w:rsidR="00C57C67">
        <w:t>e</w:t>
      </w:r>
      <w:r w:rsidRPr="00AF343B" w:rsidR="001B026E">
        <w:t xml:space="preserve"> money</w:t>
      </w:r>
      <w:r w:rsidRPr="00AF343B" w:rsidR="00C57C67">
        <w:t xml:space="preserve"> received from sale of the bonds</w:t>
      </w:r>
      <w:r w:rsidRPr="00AF343B" w:rsidR="001B026E">
        <w:t>.</w:t>
      </w:r>
    </w:p>
    <w:p w:rsidR="0040575B" w:rsidRPr="00AF343B" w:rsidP="00AF343B">
      <w:pPr>
        <w:tabs>
          <w:tab w:val="left" w:pos="1440"/>
        </w:tabs>
        <w:ind w:firstLine="720"/>
      </w:pPr>
      <w:r w:rsidRPr="00AF343B">
        <w:t>I</w:t>
      </w:r>
      <w:r w:rsidRPr="00AF343B" w:rsidR="00C9567A">
        <w:t>n September 2012, t</w:t>
      </w:r>
      <w:r w:rsidRPr="00AF343B" w:rsidR="00C14604">
        <w:t xml:space="preserve">he District </w:t>
      </w:r>
      <w:r w:rsidRPr="00AF343B" w:rsidR="006A2C4C">
        <w:t xml:space="preserve">entered into a </w:t>
      </w:r>
      <w:r w:rsidRPr="00AF343B" w:rsidR="00854C70">
        <w:t>$36</w:t>
      </w:r>
      <w:r w:rsidRPr="00AF343B" w:rsidR="00A55797">
        <w:t>.7</w:t>
      </w:r>
      <w:r w:rsidRPr="00AF343B" w:rsidR="00880B65">
        <w:t> </w:t>
      </w:r>
      <w:r w:rsidRPr="00AF343B" w:rsidR="00854C70">
        <w:t xml:space="preserve">million </w:t>
      </w:r>
      <w:r w:rsidRPr="00AF343B" w:rsidR="00010AAF">
        <w:t xml:space="preserve">deal </w:t>
      </w:r>
      <w:r w:rsidRPr="00AF343B" w:rsidR="00C14604">
        <w:t xml:space="preserve">with the </w:t>
      </w:r>
      <w:r w:rsidRPr="00AF343B" w:rsidR="009D00CF">
        <w:t xml:space="preserve">Contractor </w:t>
      </w:r>
      <w:r w:rsidRPr="00AF343B" w:rsidR="006A2C4C">
        <w:t>for the construction of</w:t>
      </w:r>
      <w:r w:rsidRPr="00AF343B" w:rsidR="00504160">
        <w:t xml:space="preserve"> </w:t>
      </w:r>
      <w:r w:rsidRPr="00AF343B" w:rsidR="00571D5B">
        <w:t xml:space="preserve">a </w:t>
      </w:r>
      <w:r w:rsidRPr="00AF343B" w:rsidR="006539F9">
        <w:t xml:space="preserve">new </w:t>
      </w:r>
      <w:r w:rsidRPr="00AF343B" w:rsidR="00571D5B">
        <w:t xml:space="preserve">middle school </w:t>
      </w:r>
      <w:r w:rsidRPr="00AF343B" w:rsidR="00010AAF">
        <w:t xml:space="preserve">on land </w:t>
      </w:r>
      <w:r w:rsidRPr="00AF343B" w:rsidR="00615DA5">
        <w:t xml:space="preserve">the District owned </w:t>
      </w:r>
      <w:r w:rsidRPr="00AF343B" w:rsidR="00E51C28">
        <w:t>at 1100 East Church Avenue in Fresno</w:t>
      </w:r>
      <w:r w:rsidRPr="00AF343B" w:rsidR="006A2C4C">
        <w:t xml:space="preserve">.  </w:t>
      </w:r>
      <w:r w:rsidRPr="00AF343B" w:rsidR="00010AAF">
        <w:t>The deal was structured as a lease-leaseback</w:t>
      </w:r>
      <w:r w:rsidRPr="00AF343B" w:rsidR="009200E7">
        <w:t xml:space="preserve"> </w:t>
      </w:r>
      <w:r w:rsidRPr="00AF343B" w:rsidR="00504160">
        <w:t xml:space="preserve">arrangement </w:t>
      </w:r>
      <w:r w:rsidRPr="00AF343B" w:rsidR="009200E7">
        <w:t>under Education Code section 17406</w:t>
      </w:r>
      <w:r w:rsidRPr="00AF343B" w:rsidR="00010AAF">
        <w:t xml:space="preserve">.  </w:t>
      </w:r>
      <w:r w:rsidRPr="00AF343B" w:rsidR="0035033C">
        <w:t>Under th</w:t>
      </w:r>
      <w:r w:rsidRPr="00AF343B" w:rsidR="000560FF">
        <w:t xml:space="preserve">at </w:t>
      </w:r>
      <w:r w:rsidRPr="00AF343B" w:rsidR="0035033C">
        <w:t>arrang</w:t>
      </w:r>
      <w:r w:rsidRPr="00AF343B" w:rsidR="002E4743">
        <w:t>e</w:t>
      </w:r>
      <w:r w:rsidRPr="00AF343B" w:rsidR="0035033C">
        <w:t xml:space="preserve">ment, </w:t>
      </w:r>
      <w:r w:rsidRPr="00AF343B" w:rsidR="00C14604">
        <w:t xml:space="preserve">the District </w:t>
      </w:r>
      <w:r w:rsidRPr="00AF343B" w:rsidR="00010AAF">
        <w:t xml:space="preserve">leased its land to </w:t>
      </w:r>
      <w:r w:rsidRPr="00AF343B" w:rsidR="00C14604">
        <w:t xml:space="preserve">the </w:t>
      </w:r>
      <w:r w:rsidRPr="00AF343B" w:rsidR="009D00CF">
        <w:t xml:space="preserve">Contractor </w:t>
      </w:r>
      <w:r w:rsidRPr="00AF343B" w:rsidR="00010AAF">
        <w:t>for $1</w:t>
      </w:r>
      <w:r w:rsidRPr="00AF343B" w:rsidR="00EC0A2F">
        <w:t xml:space="preserve"> </w:t>
      </w:r>
      <w:r w:rsidRPr="00AF343B" w:rsidR="00E51C28">
        <w:t>(the Site Lease)</w:t>
      </w:r>
      <w:r w:rsidRPr="00AF343B" w:rsidR="005A4D73">
        <w:t>.  T</w:t>
      </w:r>
      <w:r w:rsidRPr="00AF343B" w:rsidR="00C14604">
        <w:t xml:space="preserve">he </w:t>
      </w:r>
      <w:r w:rsidRPr="00AF343B" w:rsidR="009D00CF">
        <w:t xml:space="preserve">Contractor </w:t>
      </w:r>
      <w:r w:rsidRPr="00AF343B" w:rsidR="005A4D73">
        <w:t xml:space="preserve">then </w:t>
      </w:r>
      <w:r w:rsidRPr="00AF343B" w:rsidR="00E51C28">
        <w:t xml:space="preserve">constructed </w:t>
      </w:r>
      <w:r w:rsidRPr="00AF343B" w:rsidR="009200E7">
        <w:t xml:space="preserve">the </w:t>
      </w:r>
      <w:r w:rsidRPr="00AF343B" w:rsidR="006539F9">
        <w:t xml:space="preserve">new </w:t>
      </w:r>
      <w:r w:rsidRPr="00AF343B" w:rsidR="00E51C28">
        <w:t>school facilities on th</w:t>
      </w:r>
      <w:r w:rsidRPr="00AF343B" w:rsidR="00B43196">
        <w:t>e</w:t>
      </w:r>
      <w:r w:rsidRPr="00AF343B" w:rsidR="00E51C28">
        <w:t xml:space="preserve"> land and </w:t>
      </w:r>
      <w:r w:rsidRPr="00AF343B" w:rsidR="00010AAF">
        <w:t xml:space="preserve">leased the land </w:t>
      </w:r>
      <w:r w:rsidRPr="00AF343B" w:rsidR="006539F9">
        <w:t>and</w:t>
      </w:r>
      <w:r w:rsidRPr="00AF343B" w:rsidR="00010AAF">
        <w:t xml:space="preserve"> the new</w:t>
      </w:r>
      <w:r w:rsidRPr="00AF343B" w:rsidR="00E51C28">
        <w:t xml:space="preserve"> facilities (</w:t>
      </w:r>
      <w:r w:rsidRPr="00AF343B" w:rsidR="00946DC5">
        <w:t xml:space="preserve">still under </w:t>
      </w:r>
      <w:r w:rsidRPr="00AF343B" w:rsidR="00E51C28">
        <w:t>construction</w:t>
      </w:r>
      <w:r w:rsidRPr="00AF343B" w:rsidR="009200E7">
        <w:t xml:space="preserve">) </w:t>
      </w:r>
      <w:r w:rsidRPr="00AF343B" w:rsidR="00010AAF">
        <w:t xml:space="preserve">back to </w:t>
      </w:r>
      <w:r w:rsidRPr="00AF343B" w:rsidR="00E51C28">
        <w:t>the District</w:t>
      </w:r>
      <w:r w:rsidRPr="00AF343B" w:rsidR="00C0002A">
        <w:t xml:space="preserve"> </w:t>
      </w:r>
      <w:r w:rsidRPr="00AF343B" w:rsidR="00E51C28">
        <w:t>(the Facilities Lease)</w:t>
      </w:r>
      <w:r w:rsidRPr="00AF343B" w:rsidR="005A4D73">
        <w:t xml:space="preserve">.  </w:t>
      </w:r>
      <w:r w:rsidRPr="00AF343B" w:rsidR="00C0002A">
        <w:t>T</w:t>
      </w:r>
      <w:r w:rsidRPr="00AF343B" w:rsidR="002357CE">
        <w:t xml:space="preserve">he </w:t>
      </w:r>
      <w:r w:rsidRPr="00AF343B" w:rsidR="00EA242C">
        <w:t>Facilities Lease</w:t>
      </w:r>
      <w:r w:rsidRPr="00AF343B" w:rsidR="005C238C">
        <w:t xml:space="preserve"> obligated the </w:t>
      </w:r>
      <w:r w:rsidRPr="00AF343B" w:rsidR="00EA242C">
        <w:t>Contractor</w:t>
      </w:r>
      <w:r w:rsidRPr="00AF343B" w:rsidR="00D73B3F">
        <w:t xml:space="preserve"> </w:t>
      </w:r>
      <w:r w:rsidRPr="00AF343B" w:rsidR="00EA242C">
        <w:t xml:space="preserve">to build </w:t>
      </w:r>
      <w:r w:rsidRPr="00AF343B" w:rsidR="00601116">
        <w:t xml:space="preserve">the new </w:t>
      </w:r>
      <w:r w:rsidRPr="00AF343B" w:rsidR="004100FF">
        <w:t xml:space="preserve">school </w:t>
      </w:r>
      <w:r w:rsidRPr="00AF343B" w:rsidR="00EA242C">
        <w:t>facilit</w:t>
      </w:r>
      <w:r w:rsidRPr="00AF343B" w:rsidR="009200E7">
        <w:t xml:space="preserve">ies </w:t>
      </w:r>
      <w:r w:rsidRPr="00AF343B" w:rsidR="00EA242C">
        <w:t>in accordance with</w:t>
      </w:r>
      <w:r w:rsidRPr="00AF343B">
        <w:t xml:space="preserve"> </w:t>
      </w:r>
      <w:r w:rsidRPr="00AF343B" w:rsidR="00EA242C">
        <w:t>“Construction Provisions”</w:t>
      </w:r>
      <w:r w:rsidRPr="00AF343B" w:rsidR="00041453">
        <w:t xml:space="preserve"> </w:t>
      </w:r>
      <w:r w:rsidRPr="00AF343B" w:rsidR="0064103F">
        <w:t xml:space="preserve">that </w:t>
      </w:r>
      <w:r w:rsidRPr="00AF343B" w:rsidR="005C238C">
        <w:t xml:space="preserve">were </w:t>
      </w:r>
      <w:r w:rsidRPr="00AF343B" w:rsidR="009200E7">
        <w:t xml:space="preserve">detailed </w:t>
      </w:r>
      <w:r w:rsidRPr="00AF343B" w:rsidR="00601116">
        <w:t>in a 5</w:t>
      </w:r>
      <w:r w:rsidRPr="00AF343B" w:rsidR="007928DB">
        <w:t>6</w:t>
      </w:r>
      <w:r w:rsidRPr="00AF343B" w:rsidR="00601116">
        <w:t>-page document</w:t>
      </w:r>
      <w:r w:rsidRPr="00AF343B" w:rsidR="009200E7">
        <w:t xml:space="preserve"> </w:t>
      </w:r>
      <w:r w:rsidRPr="00AF343B" w:rsidR="0050686A">
        <w:t>attached</w:t>
      </w:r>
      <w:r w:rsidRPr="00AF343B" w:rsidR="0064103F">
        <w:t xml:space="preserve"> </w:t>
      </w:r>
      <w:r w:rsidRPr="00AF343B" w:rsidR="004100FF">
        <w:t xml:space="preserve">as an exhibit </w:t>
      </w:r>
      <w:r w:rsidRPr="00AF343B" w:rsidR="0050686A">
        <w:t xml:space="preserve">to the </w:t>
      </w:r>
      <w:r w:rsidRPr="00AF343B" w:rsidR="00824B7D">
        <w:t>l</w:t>
      </w:r>
      <w:r w:rsidRPr="00AF343B" w:rsidR="0050686A">
        <w:t>ease</w:t>
      </w:r>
      <w:r w:rsidRPr="00AF343B" w:rsidR="00C0002A">
        <w:t xml:space="preserve">, and it </w:t>
      </w:r>
      <w:r w:rsidRPr="00AF343B" w:rsidR="00041453">
        <w:t xml:space="preserve">obligated </w:t>
      </w:r>
      <w:r w:rsidRPr="00AF343B" w:rsidR="00601116">
        <w:t xml:space="preserve">the District </w:t>
      </w:r>
      <w:r w:rsidRPr="00AF343B" w:rsidR="00041453">
        <w:t xml:space="preserve">to make </w:t>
      </w:r>
      <w:r w:rsidRPr="00AF343B" w:rsidR="005C238C">
        <w:t>monthly “L</w:t>
      </w:r>
      <w:r w:rsidRPr="00AF343B" w:rsidR="00601116">
        <w:t xml:space="preserve">ease </w:t>
      </w:r>
      <w:r w:rsidRPr="00AF343B" w:rsidR="005C238C">
        <w:t>P</w:t>
      </w:r>
      <w:r w:rsidRPr="00AF343B" w:rsidR="00601116">
        <w:t>ayments</w:t>
      </w:r>
      <w:r w:rsidRPr="00AF343B" w:rsidR="005C238C">
        <w:t xml:space="preserve">” </w:t>
      </w:r>
      <w:r w:rsidRPr="00AF343B" w:rsidR="00D73B3F">
        <w:t xml:space="preserve">that </w:t>
      </w:r>
      <w:r w:rsidRPr="00AF343B" w:rsidR="005C238C">
        <w:t xml:space="preserve">reflected </w:t>
      </w:r>
      <w:r w:rsidRPr="00AF343B" w:rsidR="00F30674">
        <w:t>“</w:t>
      </w:r>
      <w:r w:rsidRPr="00AF343B" w:rsidR="007928DB">
        <w:t>the value of the construction service work performed</w:t>
      </w:r>
      <w:r w:rsidRPr="00AF343B" w:rsidR="004F5871">
        <w:t xml:space="preserve">” during </w:t>
      </w:r>
      <w:r w:rsidRPr="00AF343B" w:rsidR="008907CB">
        <w:t>the month</w:t>
      </w:r>
      <w:r w:rsidRPr="00AF343B" w:rsidR="004100FF">
        <w:t xml:space="preserve"> in question</w:t>
      </w:r>
      <w:r w:rsidRPr="00AF343B" w:rsidR="008907CB">
        <w:t xml:space="preserve">, </w:t>
      </w:r>
      <w:r w:rsidRPr="00AF343B" w:rsidR="00C0002A">
        <w:t xml:space="preserve">less </w:t>
      </w:r>
      <w:r w:rsidRPr="00AF343B" w:rsidR="00E40902">
        <w:t xml:space="preserve">a </w:t>
      </w:r>
      <w:r w:rsidRPr="00AF343B" w:rsidR="00C0002A">
        <w:t>five percent “retainage.”</w:t>
      </w:r>
      <w:r>
        <w:rPr>
          <w:rStyle w:val="FootnoteReference"/>
        </w:rPr>
        <w:footnoteReference w:id="3"/>
      </w:r>
      <w:r w:rsidRPr="00AF343B" w:rsidR="007928DB">
        <w:t xml:space="preserve">  </w:t>
      </w:r>
      <w:r w:rsidRPr="00AF343B" w:rsidR="00601116">
        <w:t xml:space="preserve">The </w:t>
      </w:r>
      <w:r w:rsidRPr="00AF343B" w:rsidR="008907CB">
        <w:t xml:space="preserve">Contractor was obligated to complete </w:t>
      </w:r>
      <w:r w:rsidRPr="00AF343B" w:rsidR="005A33B2">
        <w:t xml:space="preserve">the </w:t>
      </w:r>
      <w:r w:rsidRPr="00AF343B" w:rsidR="008907CB">
        <w:t>construction</w:t>
      </w:r>
      <w:r w:rsidRPr="00AF343B" w:rsidR="00E40902">
        <w:t xml:space="preserve"> </w:t>
      </w:r>
      <w:r w:rsidRPr="00AF343B" w:rsidR="001C1A84">
        <w:t>withi</w:t>
      </w:r>
      <w:r w:rsidRPr="00AF343B" w:rsidR="00601116">
        <w:t xml:space="preserve">n 595 days, and the </w:t>
      </w:r>
      <w:r w:rsidRPr="00AF343B" w:rsidR="004F5871">
        <w:t xml:space="preserve">total </w:t>
      </w:r>
      <w:r w:rsidRPr="00AF343B" w:rsidR="00601116">
        <w:t xml:space="preserve">price </w:t>
      </w:r>
      <w:r w:rsidRPr="00AF343B" w:rsidR="008907CB">
        <w:t xml:space="preserve">for the project </w:t>
      </w:r>
      <w:r w:rsidRPr="00AF343B" w:rsidR="00601116">
        <w:t xml:space="preserve">was not to exceed </w:t>
      </w:r>
      <w:r w:rsidRPr="00AF343B" w:rsidR="00EA242C">
        <w:t>$36,702,876</w:t>
      </w:r>
      <w:r w:rsidRPr="00AF343B" w:rsidR="001C1A84">
        <w:t>.</w:t>
      </w:r>
      <w:r w:rsidRPr="00AF343B" w:rsidR="0017502C">
        <w:t xml:space="preserve"> </w:t>
      </w:r>
      <w:r w:rsidRPr="00AF343B" w:rsidR="00C0002A">
        <w:t xml:space="preserve"> </w:t>
      </w:r>
      <w:r w:rsidRPr="00AF343B" w:rsidR="005A33B2">
        <w:t xml:space="preserve">Under the </w:t>
      </w:r>
      <w:r w:rsidRPr="00AF343B" w:rsidR="005266C9">
        <w:t>agreement</w:t>
      </w:r>
      <w:r w:rsidRPr="00AF343B" w:rsidR="005A33B2">
        <w:t>, t</w:t>
      </w:r>
      <w:r w:rsidRPr="00AF343B" w:rsidR="005645B0">
        <w:t xml:space="preserve">he final lease payment </w:t>
      </w:r>
      <w:r w:rsidRPr="00AF343B" w:rsidR="00E40902">
        <w:t xml:space="preserve">had to be </w:t>
      </w:r>
      <w:r w:rsidRPr="00AF343B" w:rsidR="005645B0">
        <w:t xml:space="preserve">made within 35 days of the recordation </w:t>
      </w:r>
      <w:r w:rsidRPr="00AF343B" w:rsidR="008907CB">
        <w:t xml:space="preserve">by the District </w:t>
      </w:r>
      <w:r w:rsidRPr="00AF343B" w:rsidR="005645B0">
        <w:t xml:space="preserve">of a </w:t>
      </w:r>
      <w:r w:rsidRPr="00AF343B" w:rsidR="004100FF">
        <w:t>“</w:t>
      </w:r>
      <w:r w:rsidRPr="00AF343B" w:rsidR="00664F1C">
        <w:t>N</w:t>
      </w:r>
      <w:r w:rsidRPr="00AF343B" w:rsidR="005645B0">
        <w:t xml:space="preserve">otice of </w:t>
      </w:r>
      <w:r w:rsidRPr="00AF343B" w:rsidR="00664F1C">
        <w:t>C</w:t>
      </w:r>
      <w:r w:rsidRPr="00AF343B" w:rsidR="005645B0">
        <w:t>ompletion</w:t>
      </w:r>
      <w:r w:rsidRPr="00AF343B" w:rsidR="00B0177C">
        <w:t>,</w:t>
      </w:r>
      <w:r w:rsidRPr="00AF343B" w:rsidR="004100FF">
        <w:t>”</w:t>
      </w:r>
      <w:r w:rsidRPr="00AF343B" w:rsidR="00B0177C">
        <w:t xml:space="preserve"> </w:t>
      </w:r>
      <w:r w:rsidRPr="00AF343B" w:rsidR="00824B7D">
        <w:t xml:space="preserve">indicating completion of the construction, </w:t>
      </w:r>
      <w:r w:rsidRPr="00AF343B" w:rsidR="005645B0">
        <w:t xml:space="preserve">and </w:t>
      </w:r>
      <w:r w:rsidRPr="00AF343B" w:rsidR="009A5F51">
        <w:t xml:space="preserve">both </w:t>
      </w:r>
      <w:r w:rsidRPr="00AF343B" w:rsidR="005645B0">
        <w:t xml:space="preserve">the Site Lease and the Facilities </w:t>
      </w:r>
      <w:r w:rsidR="00B257CD">
        <w:t>L</w:t>
      </w:r>
      <w:r w:rsidRPr="00AF343B" w:rsidR="005645B0">
        <w:t xml:space="preserve">ease terminated </w:t>
      </w:r>
      <w:r w:rsidRPr="00AF343B" w:rsidR="004F5871">
        <w:t xml:space="preserve">once that final </w:t>
      </w:r>
      <w:r w:rsidRPr="00AF343B" w:rsidR="005266C9">
        <w:t xml:space="preserve">lease </w:t>
      </w:r>
      <w:r w:rsidRPr="00AF343B" w:rsidR="004F5871">
        <w:t>payment was made</w:t>
      </w:r>
      <w:r w:rsidRPr="00AF343B" w:rsidR="006B1824">
        <w:t xml:space="preserve">, </w:t>
      </w:r>
      <w:r w:rsidRPr="00AF343B" w:rsidR="008907CB">
        <w:t xml:space="preserve">with the </w:t>
      </w:r>
      <w:r w:rsidRPr="00AF343B" w:rsidR="006B1824">
        <w:t xml:space="preserve">District </w:t>
      </w:r>
      <w:r w:rsidRPr="00AF343B" w:rsidR="00C0002A">
        <w:t xml:space="preserve">gaining </w:t>
      </w:r>
      <w:r w:rsidRPr="00AF343B" w:rsidR="00E60AE2">
        <w:t xml:space="preserve">title to the site and the </w:t>
      </w:r>
      <w:r w:rsidRPr="00AF343B" w:rsidR="00332403">
        <w:t xml:space="preserve">newly constructed </w:t>
      </w:r>
      <w:r w:rsidRPr="00AF343B" w:rsidR="008907CB">
        <w:t>facilities</w:t>
      </w:r>
      <w:r w:rsidRPr="00AF343B" w:rsidR="00332403">
        <w:t>.</w:t>
      </w:r>
    </w:p>
    <w:p w:rsidR="00C17B2F" w:rsidRPr="00AF343B" w:rsidP="00AF343B">
      <w:pPr>
        <w:tabs>
          <w:tab w:val="left" w:pos="1440"/>
        </w:tabs>
        <w:ind w:firstLine="720"/>
      </w:pPr>
      <w:r w:rsidRPr="00AF343B">
        <w:t xml:space="preserve">The Site Lease </w:t>
      </w:r>
      <w:r w:rsidRPr="00AF343B" w:rsidR="003B1BED">
        <w:t xml:space="preserve">and Facilities Lease were </w:t>
      </w:r>
      <w:r w:rsidRPr="00AF343B" w:rsidR="00EA1E95">
        <w:t xml:space="preserve">both </w:t>
      </w:r>
      <w:r w:rsidRPr="00AF343B" w:rsidR="003B1BED">
        <w:t xml:space="preserve">executed on </w:t>
      </w:r>
      <w:r w:rsidRPr="00AF343B">
        <w:t xml:space="preserve">September 27, 2012, and the notice of completion was recorded </w:t>
      </w:r>
      <w:r w:rsidRPr="00AF343B" w:rsidR="00B8176A">
        <w:t xml:space="preserve">by the District </w:t>
      </w:r>
      <w:r w:rsidRPr="00AF343B">
        <w:t xml:space="preserve">on </w:t>
      </w:r>
      <w:r w:rsidRPr="00AF343B">
        <w:t>December 4, 2014</w:t>
      </w:r>
      <w:r w:rsidRPr="00AF343B">
        <w:t xml:space="preserve">, </w:t>
      </w:r>
      <w:r w:rsidRPr="00AF343B" w:rsidR="00B8176A">
        <w:t xml:space="preserve">stating that the </w:t>
      </w:r>
      <w:r w:rsidRPr="00AF343B" w:rsidR="00332403">
        <w:t xml:space="preserve">work </w:t>
      </w:r>
      <w:r w:rsidRPr="00AF343B" w:rsidR="008907CB">
        <w:t xml:space="preserve">had been </w:t>
      </w:r>
      <w:r w:rsidRPr="00AF343B" w:rsidR="00B8176A">
        <w:t xml:space="preserve">completed </w:t>
      </w:r>
      <w:r w:rsidRPr="00AF343B">
        <w:t xml:space="preserve">on </w:t>
      </w:r>
      <w:r w:rsidRPr="00AF343B">
        <w:t>November 13, 2014</w:t>
      </w:r>
      <w:r w:rsidRPr="00AF343B">
        <w:t>.</w:t>
      </w:r>
    </w:p>
    <w:p w:rsidR="008907CB" w:rsidRPr="00AF343B" w:rsidP="00AF343B">
      <w:pPr>
        <w:pStyle w:val="Heading1"/>
      </w:pPr>
      <w:r w:rsidRPr="00AF343B">
        <w:t>II. Procedural History</w:t>
      </w:r>
    </w:p>
    <w:p w:rsidR="00CA724E" w:rsidRPr="00AF343B" w:rsidP="00AF343B">
      <w:pPr>
        <w:tabs>
          <w:tab w:val="left" w:pos="1440"/>
        </w:tabs>
        <w:ind w:firstLine="720"/>
      </w:pPr>
      <w:r w:rsidRPr="00AF343B">
        <w:t>Plaintiff</w:t>
      </w:r>
      <w:r w:rsidRPr="00AF343B" w:rsidR="000C5DB2">
        <w:t xml:space="preserve"> </w:t>
      </w:r>
      <w:r w:rsidRPr="00AF343B" w:rsidR="00674300">
        <w:t xml:space="preserve">owns real property and pays taxes </w:t>
      </w:r>
      <w:r w:rsidRPr="00AF343B" w:rsidR="004248DF">
        <w:t>with</w:t>
      </w:r>
      <w:r w:rsidRPr="00AF343B" w:rsidR="00674300">
        <w:t xml:space="preserve">in </w:t>
      </w:r>
      <w:r w:rsidRPr="00AF343B" w:rsidR="009A5F51">
        <w:t xml:space="preserve">the Fresno Unified School District.  </w:t>
      </w:r>
      <w:r w:rsidRPr="00AF343B" w:rsidR="00C60EA8">
        <w:t>In addition, plaintiff is the president of Davis Moreno Construction,</w:t>
      </w:r>
      <w:r w:rsidR="00B257CD">
        <w:t xml:space="preserve"> Inc.,</w:t>
      </w:r>
      <w:r w:rsidRPr="00AF343B" w:rsidR="00C60EA8">
        <w:t xml:space="preserve"> a Fresno-based contractor that has handled construction projects for school districts.  (</w:t>
      </w:r>
      <w:r w:rsidRPr="00AF343B" w:rsidR="00EA3F70">
        <w:t xml:space="preserve">See </w:t>
      </w:r>
      <w:r w:rsidRPr="00AF343B" w:rsidR="00EA3F70">
        <w:rPr>
          <w:i/>
          <w:iCs/>
        </w:rPr>
        <w:t>Davis v. Fresno Unified School Dist.</w:t>
      </w:r>
      <w:r w:rsidRPr="00AF343B" w:rsidR="00EA3F70">
        <w:t xml:space="preserve"> (2015) 237 Cal.App.4th 261, </w:t>
      </w:r>
      <w:r w:rsidRPr="00AF343B" w:rsidR="00C60EA8">
        <w:t>273, fn. 4</w:t>
      </w:r>
      <w:r w:rsidRPr="00AF343B" w:rsidR="00EA3F70">
        <w:t xml:space="preserve"> (</w:t>
      </w:r>
      <w:r w:rsidRPr="00AF343B" w:rsidR="00EA3F70">
        <w:rPr>
          <w:i/>
          <w:iCs/>
        </w:rPr>
        <w:t>Davis I</w:t>
      </w:r>
      <w:r w:rsidRPr="00AF343B" w:rsidR="00EA3F70">
        <w:t>)</w:t>
      </w:r>
      <w:r w:rsidRPr="00AF343B" w:rsidR="00C60EA8">
        <w:t xml:space="preserve">.)  Plaintiff </w:t>
      </w:r>
      <w:r w:rsidRPr="00AF343B" w:rsidR="00A55797">
        <w:t xml:space="preserve">brought this action </w:t>
      </w:r>
      <w:r w:rsidRPr="00AF343B" w:rsidR="00FA6A13">
        <w:t>o</w:t>
      </w:r>
      <w:r w:rsidRPr="00AF343B" w:rsidR="00A55797">
        <w:t xml:space="preserve">n </w:t>
      </w:r>
      <w:r w:rsidRPr="00AF343B" w:rsidR="009D00CF">
        <w:t xml:space="preserve">November </w:t>
      </w:r>
      <w:r w:rsidRPr="00AF343B" w:rsidR="00FA6A13">
        <w:t xml:space="preserve">20, </w:t>
      </w:r>
      <w:r w:rsidRPr="00AF343B" w:rsidR="00A55797">
        <w:t xml:space="preserve">2012, asserting that the </w:t>
      </w:r>
      <w:r w:rsidRPr="00AF343B" w:rsidR="008907CB">
        <w:t xml:space="preserve">construction arrangement between the District and the Contractor </w:t>
      </w:r>
      <w:r w:rsidRPr="00AF343B" w:rsidR="00A55797">
        <w:t xml:space="preserve">was invalid and seeking, among other things, an order requiring the </w:t>
      </w:r>
      <w:r w:rsidRPr="00AF343B" w:rsidR="009D00CF">
        <w:t>Contracto</w:t>
      </w:r>
      <w:r w:rsidRPr="00AF343B" w:rsidR="00A55797">
        <w:t xml:space="preserve">r to pay back to the District </w:t>
      </w:r>
      <w:r w:rsidRPr="00AF343B" w:rsidR="00946637">
        <w:t xml:space="preserve">money </w:t>
      </w:r>
      <w:r w:rsidRPr="00AF343B" w:rsidR="00FA6A13">
        <w:t xml:space="preserve">payments </w:t>
      </w:r>
      <w:r w:rsidRPr="00AF343B" w:rsidR="00674300">
        <w:t xml:space="preserve">it </w:t>
      </w:r>
      <w:r w:rsidRPr="00AF343B" w:rsidR="004315EA">
        <w:t xml:space="preserve">had </w:t>
      </w:r>
      <w:r w:rsidRPr="00AF343B" w:rsidR="009D00CF">
        <w:t>receive</w:t>
      </w:r>
      <w:r w:rsidRPr="00AF343B" w:rsidR="008907CB">
        <w:t>d</w:t>
      </w:r>
      <w:r w:rsidRPr="00AF343B" w:rsidR="009D00CF">
        <w:t xml:space="preserve"> under the Facilities Lease.</w:t>
      </w:r>
      <w:r w:rsidRPr="00AF343B" w:rsidR="00144A74">
        <w:t xml:space="preserve">  </w:t>
      </w:r>
      <w:r w:rsidRPr="00AF343B" w:rsidR="0039473C">
        <w:t xml:space="preserve">On March 19, 2013, </w:t>
      </w:r>
      <w:r w:rsidRPr="00AF343B" w:rsidR="00425D94">
        <w:t>plaintiff</w:t>
      </w:r>
      <w:r w:rsidRPr="00AF343B" w:rsidR="0039473C">
        <w:t xml:space="preserve"> filed a </w:t>
      </w:r>
      <w:r w:rsidRPr="00AF343B" w:rsidR="00425D94">
        <w:t>first amended complaint</w:t>
      </w:r>
      <w:r w:rsidRPr="00AF343B" w:rsidR="0039473C">
        <w:t>, which is the operative complaint</w:t>
      </w:r>
      <w:r w:rsidRPr="00AF343B" w:rsidR="00425D94">
        <w:t>.</w:t>
      </w:r>
      <w:r w:rsidRPr="00AF343B" w:rsidR="001D254B">
        <w:t xml:space="preserve">  The trial court sustained demurrers to that complaint, entered judgment for defendants, and plaintiff appealed.  The Court of Appeal </w:t>
      </w:r>
      <w:r w:rsidRPr="00AF343B" w:rsidR="001C6B3D">
        <w:t xml:space="preserve">then </w:t>
      </w:r>
      <w:r w:rsidRPr="00AF343B" w:rsidR="001D254B">
        <w:t>reversed and remanded.  After further proceedings, the trial court</w:t>
      </w:r>
      <w:r w:rsidRPr="00AF343B" w:rsidR="00614A18">
        <w:t xml:space="preserve"> eventually granted defendants’ motion for judgment on the pleadings, a motion asserting that the lawsuit bec</w:t>
      </w:r>
      <w:r w:rsidRPr="00AF343B" w:rsidR="001C6B3D">
        <w:t>a</w:t>
      </w:r>
      <w:r w:rsidRPr="00AF343B" w:rsidR="00614A18">
        <w:t>me moot</w:t>
      </w:r>
      <w:r w:rsidRPr="00AF343B" w:rsidR="001C6B3D">
        <w:t xml:space="preserve"> when the construction of the new school facilities was completed and the leases terminated</w:t>
      </w:r>
      <w:r w:rsidRPr="00AF343B" w:rsidR="00614A18">
        <w:t xml:space="preserve">.  Plaintiff again appealed, and the Court of Appeal again reversed.  </w:t>
      </w:r>
      <w:r w:rsidRPr="00AF343B">
        <w:t xml:space="preserve">The Court of Appeal’s second judgment of reversal is </w:t>
      </w:r>
      <w:r w:rsidRPr="00AF343B" w:rsidR="0039473C">
        <w:t xml:space="preserve">now </w:t>
      </w:r>
      <w:r w:rsidRPr="00AF343B">
        <w:t>before us on review.</w:t>
      </w:r>
    </w:p>
    <w:p w:rsidR="00A55797" w:rsidRPr="00AF343B" w:rsidP="00AF343B">
      <w:pPr>
        <w:tabs>
          <w:tab w:val="left" w:pos="1440"/>
        </w:tabs>
        <w:ind w:firstLine="720"/>
      </w:pPr>
      <w:r w:rsidRPr="00AF343B">
        <w:t xml:space="preserve">The main issue in the second appeal </w:t>
      </w:r>
      <w:r w:rsidRPr="00AF343B" w:rsidR="00CC547A">
        <w:t>i</w:t>
      </w:r>
      <w:r w:rsidRPr="00AF343B">
        <w:t xml:space="preserve">s whether plaintiff’s </w:t>
      </w:r>
      <w:r w:rsidRPr="00AF343B" w:rsidR="009F112A">
        <w:t xml:space="preserve">lawsuit </w:t>
      </w:r>
      <w:r w:rsidRPr="00AF343B" w:rsidR="00562DC1">
        <w:t>bec</w:t>
      </w:r>
      <w:r w:rsidRPr="00AF343B">
        <w:t>a</w:t>
      </w:r>
      <w:r w:rsidRPr="00AF343B" w:rsidR="00562DC1">
        <w:t xml:space="preserve">me </w:t>
      </w:r>
      <w:r w:rsidRPr="00AF343B" w:rsidR="007904F5">
        <w:t>moot</w:t>
      </w:r>
      <w:r w:rsidRPr="00AF343B">
        <w:t xml:space="preserve"> when the leases terminated</w:t>
      </w:r>
      <w:r w:rsidRPr="00AF343B" w:rsidR="00565A4F">
        <w:t xml:space="preserve">.  The trial court </w:t>
      </w:r>
      <w:r w:rsidRPr="00AF343B" w:rsidR="007904F5">
        <w:t xml:space="preserve">agreed with defendants that the </w:t>
      </w:r>
      <w:r w:rsidRPr="00AF343B" w:rsidR="009F112A">
        <w:t xml:space="preserve">lawsuit </w:t>
      </w:r>
      <w:r w:rsidRPr="00AF343B" w:rsidR="007904F5">
        <w:t xml:space="preserve">was </w:t>
      </w:r>
      <w:r w:rsidRPr="00AF343B" w:rsidR="0039473C">
        <w:t xml:space="preserve">exclusively </w:t>
      </w:r>
      <w:r w:rsidRPr="00AF343B" w:rsidR="007904F5">
        <w:t xml:space="preserve">a reverse validation action brought under the validation </w:t>
      </w:r>
      <w:r w:rsidRPr="00AF343B" w:rsidR="00646B42">
        <w:t xml:space="preserve">provisions of the Code of Civil Procedure </w:t>
      </w:r>
      <w:r w:rsidRPr="00AF343B" w:rsidR="007904F5">
        <w:t>(</w:t>
      </w:r>
      <w:r w:rsidRPr="00AF343B" w:rsidR="00646B42">
        <w:t xml:space="preserve">see </w:t>
      </w:r>
      <w:r w:rsidRPr="00AF343B" w:rsidR="007904F5">
        <w:t>Code</w:t>
      </w:r>
      <w:r w:rsidRPr="00AF343B" w:rsidR="00BD44C8">
        <w:t xml:space="preserve"> </w:t>
      </w:r>
      <w:r w:rsidRPr="00AF343B" w:rsidR="007904F5">
        <w:t>Civ. Pro</w:t>
      </w:r>
      <w:r w:rsidRPr="00AF343B" w:rsidR="00603686">
        <w:t>c.</w:t>
      </w:r>
      <w:r w:rsidRPr="00AF343B" w:rsidR="007904F5">
        <w:t xml:space="preserve">, </w:t>
      </w:r>
      <w:r w:rsidRPr="00AF343B" w:rsidR="007904F5">
        <w:t>§ 860 et seq.)</w:t>
      </w:r>
      <w:r w:rsidRPr="00AF343B" w:rsidR="00B465F5">
        <w:t>,</w:t>
      </w:r>
      <w:r>
        <w:rPr>
          <w:rStyle w:val="FootnoteReference"/>
        </w:rPr>
        <w:footnoteReference w:id="4"/>
      </w:r>
      <w:r w:rsidRPr="00AF343B" w:rsidR="00B465F5">
        <w:t xml:space="preserve"> and </w:t>
      </w:r>
      <w:r w:rsidRPr="00AF343B" w:rsidR="00F34CE1">
        <w:t xml:space="preserve">consistent with settled law, </w:t>
      </w:r>
      <w:r w:rsidRPr="00AF343B" w:rsidR="00D72558">
        <w:t xml:space="preserve">the </w:t>
      </w:r>
      <w:r w:rsidRPr="00AF343B" w:rsidR="009F112A">
        <w:t xml:space="preserve">trial </w:t>
      </w:r>
      <w:r w:rsidRPr="00AF343B" w:rsidR="00D72558">
        <w:t xml:space="preserve">court </w:t>
      </w:r>
      <w:r w:rsidRPr="00AF343B" w:rsidR="00562DC1">
        <w:t>rule</w:t>
      </w:r>
      <w:r w:rsidRPr="00AF343B" w:rsidR="00807953">
        <w:t xml:space="preserve">d </w:t>
      </w:r>
      <w:r w:rsidRPr="00AF343B" w:rsidR="00B465F5">
        <w:t xml:space="preserve">that </w:t>
      </w:r>
      <w:r w:rsidRPr="00AF343B" w:rsidR="00D72558">
        <w:t xml:space="preserve">a </w:t>
      </w:r>
      <w:r w:rsidRPr="00AF343B" w:rsidR="007904F5">
        <w:t>reverse validation action</w:t>
      </w:r>
      <w:r w:rsidRPr="00AF343B" w:rsidR="00646B42">
        <w:t xml:space="preserve"> — </w:t>
      </w:r>
      <w:r w:rsidRPr="00AF343B" w:rsidR="001F5A07">
        <w:t>which is a proceeding</w:t>
      </w:r>
      <w:r w:rsidRPr="00AF343B" w:rsidR="00AF6CE0">
        <w:t xml:space="preserve"> in rem</w:t>
      </w:r>
      <w:r w:rsidRPr="00AF343B" w:rsidR="00646B42">
        <w:t xml:space="preserve"> — </w:t>
      </w:r>
      <w:r w:rsidRPr="00AF343B" w:rsidR="007904F5">
        <w:t>become</w:t>
      </w:r>
      <w:r w:rsidRPr="00AF343B" w:rsidR="00D72558">
        <w:t>s</w:t>
      </w:r>
      <w:r w:rsidRPr="00AF343B" w:rsidR="007904F5">
        <w:t xml:space="preserve"> moot when the contract at issue </w:t>
      </w:r>
      <w:r w:rsidRPr="00AF343B" w:rsidR="00562DC1">
        <w:t>has been</w:t>
      </w:r>
      <w:r w:rsidRPr="00AF343B" w:rsidR="003F64C7">
        <w:t xml:space="preserve"> </w:t>
      </w:r>
      <w:r w:rsidRPr="00AF343B" w:rsidR="007904F5">
        <w:t xml:space="preserve">fully performed (see </w:t>
      </w:r>
      <w:r w:rsidRPr="00AF343B" w:rsidR="007904F5">
        <w:rPr>
          <w:i/>
          <w:iCs/>
        </w:rPr>
        <w:t>Wilson &amp; Wilson v. City Council of Redwood City</w:t>
      </w:r>
      <w:r w:rsidRPr="00AF343B" w:rsidR="007904F5">
        <w:t xml:space="preserve"> (2011) 191 Cal.App.4th 1559, 157</w:t>
      </w:r>
      <w:r w:rsidRPr="00AF343B" w:rsidR="009B77A3">
        <w:t>9–158</w:t>
      </w:r>
      <w:r w:rsidRPr="00AF343B" w:rsidR="00AB11E2">
        <w:t>1</w:t>
      </w:r>
      <w:r w:rsidRPr="00AF343B" w:rsidR="007904F5">
        <w:t xml:space="preserve">).  </w:t>
      </w:r>
      <w:r w:rsidRPr="00AF343B" w:rsidR="00D72558">
        <w:t xml:space="preserve">The </w:t>
      </w:r>
      <w:r w:rsidRPr="00AF343B" w:rsidR="00804BC5">
        <w:t xml:space="preserve">trial </w:t>
      </w:r>
      <w:r w:rsidRPr="00AF343B" w:rsidR="00D72558">
        <w:t xml:space="preserve">court </w:t>
      </w:r>
      <w:r w:rsidRPr="00AF343B" w:rsidR="007904F5">
        <w:t>rejected plai</w:t>
      </w:r>
      <w:r w:rsidRPr="00AF343B" w:rsidR="000E3935">
        <w:t>n</w:t>
      </w:r>
      <w:r w:rsidRPr="00AF343B" w:rsidR="007904F5">
        <w:t xml:space="preserve">tiff’s </w:t>
      </w:r>
      <w:r w:rsidRPr="00AF343B" w:rsidR="00106499">
        <w:t xml:space="preserve">argument </w:t>
      </w:r>
      <w:r w:rsidRPr="00AF343B" w:rsidR="007904F5">
        <w:t xml:space="preserve">that </w:t>
      </w:r>
      <w:r w:rsidRPr="00AF343B" w:rsidR="00FB7E2C">
        <w:t xml:space="preserve">the </w:t>
      </w:r>
      <w:r w:rsidRPr="00AF343B" w:rsidR="009F112A">
        <w:t xml:space="preserve">lawsuit </w:t>
      </w:r>
      <w:r w:rsidRPr="00AF343B" w:rsidR="00FB7E2C">
        <w:t xml:space="preserve">was not moot because </w:t>
      </w:r>
      <w:r w:rsidRPr="00AF343B" w:rsidR="00CC547A">
        <w:t xml:space="preserve">the </w:t>
      </w:r>
      <w:r w:rsidRPr="00AF343B" w:rsidR="008E10D5">
        <w:t>validation</w:t>
      </w:r>
      <w:r w:rsidRPr="00AF343B" w:rsidR="00CC547A">
        <w:t xml:space="preserve"> statutes </w:t>
      </w:r>
      <w:r w:rsidRPr="00AF343B" w:rsidR="008E10D5">
        <w:t>w</w:t>
      </w:r>
      <w:r w:rsidRPr="00AF343B" w:rsidR="00CC547A">
        <w:t>ere</w:t>
      </w:r>
      <w:r w:rsidRPr="00AF343B" w:rsidR="008E10D5">
        <w:t xml:space="preserve"> only </w:t>
      </w:r>
      <w:r w:rsidRPr="00AF343B" w:rsidR="008E10D5">
        <w:rPr>
          <w:i/>
          <w:iCs/>
        </w:rPr>
        <w:t>one</w:t>
      </w:r>
      <w:r w:rsidRPr="00AF343B" w:rsidR="008E10D5">
        <w:t xml:space="preserve"> of </w:t>
      </w:r>
      <w:r w:rsidRPr="00AF343B" w:rsidR="0039473C">
        <w:t xml:space="preserve">several </w:t>
      </w:r>
      <w:r w:rsidRPr="00AF343B" w:rsidR="00BC4FBB">
        <w:t xml:space="preserve">theories </w:t>
      </w:r>
      <w:r w:rsidRPr="00AF343B" w:rsidR="007C0E4A">
        <w:t xml:space="preserve">of </w:t>
      </w:r>
      <w:r w:rsidRPr="00AF343B" w:rsidR="00BC4FBB">
        <w:t xml:space="preserve">standing under which he was bringing </w:t>
      </w:r>
      <w:r w:rsidRPr="00AF343B" w:rsidR="008E10D5">
        <w:t>his l</w:t>
      </w:r>
      <w:r w:rsidRPr="00AF343B" w:rsidR="007C0E4A">
        <w:t>awsuit</w:t>
      </w:r>
      <w:r w:rsidRPr="00AF343B" w:rsidR="000E3935">
        <w:t>.</w:t>
      </w:r>
      <w:r w:rsidRPr="00AF343B" w:rsidR="006A2CAD">
        <w:t xml:space="preserve">  </w:t>
      </w:r>
      <w:r w:rsidRPr="00AF343B" w:rsidR="000E3935">
        <w:t>T</w:t>
      </w:r>
      <w:r w:rsidRPr="00AF343B" w:rsidR="00AB3BCA">
        <w:t xml:space="preserve">he </w:t>
      </w:r>
      <w:r w:rsidRPr="00AF343B" w:rsidR="006A2CAD">
        <w:t xml:space="preserve">trial </w:t>
      </w:r>
      <w:r w:rsidRPr="00AF343B" w:rsidR="00AB3BCA">
        <w:t>court reasoned</w:t>
      </w:r>
      <w:r w:rsidRPr="00AF343B" w:rsidR="000E3935">
        <w:t xml:space="preserve"> </w:t>
      </w:r>
      <w:r w:rsidRPr="00AF343B" w:rsidR="00AB3BCA">
        <w:t xml:space="preserve">that </w:t>
      </w:r>
      <w:r w:rsidRPr="00AF343B" w:rsidR="008E10D5">
        <w:t>when the</w:t>
      </w:r>
      <w:r w:rsidRPr="00AF343B" w:rsidR="00AB3BCA">
        <w:t xml:space="preserve"> validation statutes </w:t>
      </w:r>
      <w:r w:rsidRPr="00AF343B" w:rsidR="008E10D5">
        <w:t xml:space="preserve">apply, they </w:t>
      </w:r>
      <w:r w:rsidRPr="00AF343B" w:rsidR="00AB3BCA">
        <w:t xml:space="preserve">are </w:t>
      </w:r>
      <w:r w:rsidRPr="00AF343B" w:rsidR="0093229F">
        <w:t xml:space="preserve">a party’s </w:t>
      </w:r>
      <w:r w:rsidRPr="00AF343B" w:rsidR="00D72558">
        <w:t>e</w:t>
      </w:r>
      <w:r w:rsidRPr="00AF343B" w:rsidR="00AB3BCA">
        <w:t>xclusive remedy</w:t>
      </w:r>
      <w:r w:rsidRPr="00AF343B" w:rsidR="000E3935">
        <w:t>.</w:t>
      </w:r>
      <w:r w:rsidRPr="00AF343B" w:rsidR="00AB3BCA">
        <w:t xml:space="preserve"> </w:t>
      </w:r>
      <w:r w:rsidRPr="00AF343B" w:rsidR="000E3935">
        <w:t xml:space="preserve"> </w:t>
      </w:r>
      <w:r w:rsidRPr="00AF343B" w:rsidR="00AB3BCA">
        <w:t>(</w:t>
      </w:r>
      <w:r w:rsidRPr="00AF343B" w:rsidR="00F9228F">
        <w:t xml:space="preserve">See </w:t>
      </w:r>
      <w:r w:rsidRPr="00AF343B" w:rsidR="000E3935">
        <w:t xml:space="preserve">Code Civ. </w:t>
      </w:r>
      <w:r w:rsidRPr="00AF343B" w:rsidR="00603686">
        <w:t>Proc.</w:t>
      </w:r>
      <w:r w:rsidRPr="00AF343B" w:rsidR="000E3935">
        <w:t xml:space="preserve">, </w:t>
      </w:r>
      <w:r w:rsidRPr="00AF343B" w:rsidR="00AB3BCA">
        <w:t>§ 869</w:t>
      </w:r>
      <w:r w:rsidRPr="00AF343B" w:rsidR="008806BB">
        <w:t xml:space="preserve">; </w:t>
      </w:r>
      <w:r w:rsidRPr="00AF343B" w:rsidR="00F9228F">
        <w:t xml:space="preserve">see also </w:t>
      </w:r>
      <w:r w:rsidRPr="00AF343B" w:rsidR="009A3861">
        <w:rPr>
          <w:i/>
          <w:iCs/>
        </w:rPr>
        <w:t>Friedland v. City of Long Beach</w:t>
      </w:r>
      <w:r w:rsidRPr="00AF343B" w:rsidR="009A3861">
        <w:t xml:space="preserve"> (1998) 62 Cal.App.4th 835, 849–850</w:t>
      </w:r>
      <w:r w:rsidRPr="00AF343B" w:rsidR="006901CB">
        <w:t xml:space="preserve"> (</w:t>
      </w:r>
      <w:r w:rsidRPr="00AF343B" w:rsidR="006901CB">
        <w:rPr>
          <w:i/>
          <w:iCs/>
        </w:rPr>
        <w:t>Friedland</w:t>
      </w:r>
      <w:r w:rsidRPr="00AF343B" w:rsidR="006901CB">
        <w:t>)</w:t>
      </w:r>
      <w:r w:rsidRPr="00AF343B" w:rsidR="008806BB">
        <w:t>.)</w:t>
      </w:r>
    </w:p>
    <w:p w:rsidR="00605D23" w:rsidRPr="00AF343B" w:rsidP="00AF343B">
      <w:pPr>
        <w:tabs>
          <w:tab w:val="left" w:pos="1440"/>
        </w:tabs>
        <w:ind w:firstLine="720"/>
      </w:pPr>
      <w:r w:rsidRPr="00AF343B">
        <w:t>On appeal, p</w:t>
      </w:r>
      <w:r w:rsidRPr="00AF343B" w:rsidR="002D2584">
        <w:t xml:space="preserve">laintiff </w:t>
      </w:r>
      <w:r w:rsidRPr="00AF343B" w:rsidR="00F94B3C">
        <w:t>a</w:t>
      </w:r>
      <w:r w:rsidRPr="00AF343B" w:rsidR="0039473C">
        <w:t>rgued</w:t>
      </w:r>
      <w:r w:rsidRPr="00AF343B" w:rsidR="00131E23">
        <w:t xml:space="preserve"> </w:t>
      </w:r>
      <w:r w:rsidRPr="00AF343B" w:rsidR="002D2584">
        <w:t xml:space="preserve">that </w:t>
      </w:r>
      <w:r w:rsidRPr="00AF343B" w:rsidR="008E10D5">
        <w:t xml:space="preserve">the first amended complaint “was </w:t>
      </w:r>
      <w:r w:rsidRPr="00AF343B" w:rsidR="008E10D5">
        <w:rPr>
          <w:u w:val="single"/>
        </w:rPr>
        <w:t>both</w:t>
      </w:r>
      <w:r w:rsidRPr="00AF343B" w:rsidR="008E10D5">
        <w:t xml:space="preserve"> an in rem validation action </w:t>
      </w:r>
      <w:r w:rsidRPr="00AF343B" w:rsidR="008E10D5">
        <w:rPr>
          <w:u w:val="single"/>
        </w:rPr>
        <w:t>and</w:t>
      </w:r>
      <w:r w:rsidRPr="00AF343B" w:rsidR="008E10D5">
        <w:t xml:space="preserve"> an in person</w:t>
      </w:r>
      <w:r w:rsidRPr="00AF343B" w:rsidR="002D2584">
        <w:t>a</w:t>
      </w:r>
      <w:r w:rsidRPr="00AF343B" w:rsidR="008E10D5">
        <w:t>m</w:t>
      </w:r>
      <w:r w:rsidRPr="00AF343B" w:rsidR="002D2584">
        <w:t xml:space="preserve"> </w:t>
      </w:r>
      <w:r w:rsidRPr="00AF343B" w:rsidR="008E10D5">
        <w:t>disgorgement action based upon multiple legal theories</w:t>
      </w:r>
      <w:r w:rsidRPr="00AF343B" w:rsidR="00CD78F7">
        <w:t>,</w:t>
      </w:r>
      <w:r w:rsidRPr="00AF343B" w:rsidR="008E10D5">
        <w:t>”</w:t>
      </w:r>
      <w:r w:rsidRPr="00AF343B" w:rsidR="002D2584">
        <w:t xml:space="preserve"> and plaintiff </w:t>
      </w:r>
      <w:r w:rsidRPr="00AF343B" w:rsidR="0039473C">
        <w:t xml:space="preserve">asserted </w:t>
      </w:r>
      <w:r w:rsidRPr="00AF343B" w:rsidR="002D2584">
        <w:t xml:space="preserve">that the action was not moot as </w:t>
      </w:r>
      <w:r w:rsidRPr="00AF343B" w:rsidR="004312A5">
        <w:t>to</w:t>
      </w:r>
      <w:r w:rsidRPr="00AF343B" w:rsidR="002D2584">
        <w:t xml:space="preserve"> </w:t>
      </w:r>
      <w:r w:rsidRPr="00AF343B" w:rsidR="0039473C">
        <w:t xml:space="preserve">his </w:t>
      </w:r>
      <w:r w:rsidRPr="00AF343B" w:rsidR="002D2584">
        <w:t>disgorgement claims.</w:t>
      </w:r>
      <w:r w:rsidRPr="00AF343B" w:rsidR="00654DA8">
        <w:t xml:space="preserve">  </w:t>
      </w:r>
      <w:r w:rsidRPr="00AF343B" w:rsidR="008E10D5">
        <w:t>T</w:t>
      </w:r>
      <w:r w:rsidRPr="00AF343B" w:rsidR="0027259B">
        <w:t xml:space="preserve">he Court of Appeal </w:t>
      </w:r>
      <w:r w:rsidRPr="00AF343B" w:rsidR="00654DA8">
        <w:t>agreed</w:t>
      </w:r>
      <w:r w:rsidRPr="00AF343B" w:rsidR="00562DC1">
        <w:t>, reversing the trial court</w:t>
      </w:r>
      <w:r w:rsidRPr="00AF343B" w:rsidR="00654DA8">
        <w:t>.</w:t>
      </w:r>
      <w:r w:rsidRPr="00AF343B" w:rsidR="00592DFF">
        <w:t xml:space="preserve">  (</w:t>
      </w:r>
      <w:r w:rsidRPr="00AF343B" w:rsidR="00592DFF">
        <w:rPr>
          <w:i/>
          <w:iCs/>
        </w:rPr>
        <w:t>Davis v. Fresno Unified School Dist.</w:t>
      </w:r>
      <w:r w:rsidRPr="00AF343B" w:rsidR="00592DFF">
        <w:t xml:space="preserve"> (2020) 57 Cal.App.5th </w:t>
      </w:r>
      <w:r w:rsidRPr="00AF343B" w:rsidR="00AB2883">
        <w:t>91</w:t>
      </w:r>
      <w:r w:rsidRPr="00AF343B" w:rsidR="00592DFF">
        <w:t>1</w:t>
      </w:r>
      <w:r w:rsidRPr="00AF343B" w:rsidR="00AB2883">
        <w:t xml:space="preserve">, 941–942 </w:t>
      </w:r>
      <w:r w:rsidRPr="00AF343B" w:rsidR="00592DFF">
        <w:t>(</w:t>
      </w:r>
      <w:r w:rsidRPr="00AF343B" w:rsidR="00592DFF">
        <w:rPr>
          <w:i/>
          <w:iCs/>
        </w:rPr>
        <w:t>Davis I</w:t>
      </w:r>
      <w:r w:rsidRPr="00AF343B" w:rsidR="00AB2883">
        <w:rPr>
          <w:i/>
          <w:iCs/>
        </w:rPr>
        <w:t>I</w:t>
      </w:r>
      <w:r w:rsidRPr="00AF343B" w:rsidR="00DF60C6">
        <w:t>)</w:t>
      </w:r>
      <w:r w:rsidRPr="00AF343B" w:rsidR="00562DC1">
        <w:t>.)</w:t>
      </w:r>
    </w:p>
    <w:p w:rsidR="00B40568" w:rsidRPr="00AF343B" w:rsidP="00AF343B">
      <w:pPr>
        <w:tabs>
          <w:tab w:val="left" w:pos="1440"/>
        </w:tabs>
        <w:ind w:firstLine="720"/>
      </w:pPr>
      <w:r w:rsidRPr="00AF343B">
        <w:t>In support of its conclusion that plaintiff’s action was not moot, t</w:t>
      </w:r>
      <w:r w:rsidRPr="00AF343B" w:rsidR="008A3955">
        <w:t xml:space="preserve">he Court of Appeal first considered whether the </w:t>
      </w:r>
      <w:r w:rsidRPr="00AF343B" w:rsidR="00795A88">
        <w:t xml:space="preserve">operative </w:t>
      </w:r>
      <w:r w:rsidRPr="00AF343B" w:rsidR="008A3955">
        <w:t xml:space="preserve">complaint </w:t>
      </w:r>
      <w:r w:rsidRPr="00AF343B" w:rsidR="001F5A07">
        <w:t xml:space="preserve">had </w:t>
      </w:r>
      <w:r w:rsidRPr="00AF343B" w:rsidR="008A3955">
        <w:t>adequately alleged a</w:t>
      </w:r>
      <w:r w:rsidRPr="00AF343B" w:rsidR="001F5A07">
        <w:t>n in personam</w:t>
      </w:r>
      <w:r w:rsidRPr="00AF343B" w:rsidR="008A3955">
        <w:t xml:space="preserve"> taxpayer action </w:t>
      </w:r>
      <w:r w:rsidRPr="00AF343B" w:rsidR="006531DB">
        <w:t>(</w:t>
      </w:r>
      <w:r w:rsidRPr="00AF343B" w:rsidR="008A3955">
        <w:t>Code Civ</w:t>
      </w:r>
      <w:r w:rsidRPr="00AF343B" w:rsidR="006531DB">
        <w:t>.</w:t>
      </w:r>
      <w:r w:rsidRPr="00AF343B" w:rsidR="008A3955">
        <w:t xml:space="preserve"> Proc</w:t>
      </w:r>
      <w:r w:rsidRPr="00AF343B" w:rsidR="006531DB">
        <w:t>., § </w:t>
      </w:r>
      <w:r w:rsidRPr="00AF343B" w:rsidR="008A3955">
        <w:t>526a</w:t>
      </w:r>
      <w:r w:rsidRPr="00AF343B" w:rsidR="006531DB">
        <w:t>)</w:t>
      </w:r>
      <w:r w:rsidRPr="00AF343B" w:rsidR="008A3955">
        <w:t xml:space="preserve"> in addition to a</w:t>
      </w:r>
      <w:r w:rsidRPr="00AF343B" w:rsidR="001F5A07">
        <w:t xml:space="preserve">n in rem </w:t>
      </w:r>
      <w:r w:rsidRPr="00AF343B" w:rsidR="008A3955">
        <w:t xml:space="preserve">validation action </w:t>
      </w:r>
      <w:r w:rsidRPr="00AF343B" w:rsidR="006531DB">
        <w:t>(</w:t>
      </w:r>
      <w:r w:rsidRPr="00AF343B" w:rsidR="008A3955">
        <w:t>Code Civ</w:t>
      </w:r>
      <w:r w:rsidRPr="00AF343B" w:rsidR="006531DB">
        <w:t>.</w:t>
      </w:r>
      <w:r w:rsidRPr="00AF343B" w:rsidR="008A3955">
        <w:t xml:space="preserve"> Proc</w:t>
      </w:r>
      <w:r w:rsidRPr="00AF343B" w:rsidR="006531DB">
        <w:t>., § </w:t>
      </w:r>
      <w:r w:rsidRPr="00AF343B" w:rsidR="008A3955">
        <w:t>863</w:t>
      </w:r>
      <w:r w:rsidRPr="00AF343B" w:rsidR="00752EEE">
        <w:t>)</w:t>
      </w:r>
      <w:r w:rsidRPr="00AF343B" w:rsidR="008A3955">
        <w:t>.  (</w:t>
      </w:r>
      <w:r w:rsidRPr="00AF343B" w:rsidR="00794EBC">
        <w:t xml:space="preserve">See </w:t>
      </w:r>
      <w:r w:rsidRPr="00AF343B" w:rsidR="008A3955">
        <w:rPr>
          <w:i/>
          <w:iCs/>
        </w:rPr>
        <w:t>Davis</w:t>
      </w:r>
      <w:r w:rsidRPr="00AF343B" w:rsidR="00906D6B">
        <w:rPr>
          <w:i/>
          <w:iCs/>
        </w:rPr>
        <w:t xml:space="preserve"> </w:t>
      </w:r>
      <w:r w:rsidRPr="00AF343B" w:rsidR="008A3955">
        <w:rPr>
          <w:i/>
          <w:iCs/>
        </w:rPr>
        <w:t>II</w:t>
      </w:r>
      <w:r w:rsidRPr="00AF343B" w:rsidR="008A3955">
        <w:t xml:space="preserve">, </w:t>
      </w:r>
      <w:r w:rsidRPr="00AF343B" w:rsidR="00794EBC">
        <w:rPr>
          <w:i/>
          <w:iCs/>
        </w:rPr>
        <w:t>supra</w:t>
      </w:r>
      <w:r w:rsidRPr="00AF343B" w:rsidR="00794EBC">
        <w:t xml:space="preserve">, 57 Cal.App.5th at pp. </w:t>
      </w:r>
      <w:r w:rsidRPr="00AF343B" w:rsidR="008A3955">
        <w:t xml:space="preserve">930–936.)  </w:t>
      </w:r>
      <w:r w:rsidR="00DD3361">
        <w:t>As t</w:t>
      </w:r>
      <w:r w:rsidRPr="00AF343B" w:rsidR="008A3955">
        <w:t xml:space="preserve">he </w:t>
      </w:r>
      <w:r w:rsidRPr="00AF343B" w:rsidR="001F5A07">
        <w:t>C</w:t>
      </w:r>
      <w:r w:rsidRPr="00AF343B">
        <w:t xml:space="preserve">ourt of </w:t>
      </w:r>
      <w:r w:rsidRPr="00AF343B" w:rsidR="001F5A07">
        <w:t>A</w:t>
      </w:r>
      <w:r w:rsidRPr="00AF343B">
        <w:t>ppeal noted</w:t>
      </w:r>
      <w:r w:rsidR="00DD3361">
        <w:t xml:space="preserve">, </w:t>
      </w:r>
      <w:r w:rsidRPr="00AF343B">
        <w:t xml:space="preserve">the </w:t>
      </w:r>
      <w:r w:rsidRPr="00AF343B" w:rsidR="008A3955">
        <w:t xml:space="preserve">complaint </w:t>
      </w:r>
      <w:r w:rsidRPr="00AF343B" w:rsidR="00EC0C13">
        <w:t>r</w:t>
      </w:r>
      <w:r w:rsidRPr="00AF343B" w:rsidR="008A3955">
        <w:t>efer</w:t>
      </w:r>
      <w:r w:rsidRPr="00AF343B" w:rsidR="00EC0C13">
        <w:t>s</w:t>
      </w:r>
      <w:r w:rsidRPr="00AF343B" w:rsidR="008A3955">
        <w:t xml:space="preserve"> to the lawsuit as an “</w:t>
      </w:r>
      <w:r w:rsidRPr="00AF343B" w:rsidR="008A3955">
        <w:rPr>
          <w:i/>
          <w:iCs/>
        </w:rPr>
        <w:t>in rem</w:t>
      </w:r>
      <w:r w:rsidRPr="00AF343B" w:rsidR="008A3955">
        <w:t xml:space="preserve"> proceeding” </w:t>
      </w:r>
      <w:r w:rsidRPr="00AF343B" w:rsidR="00600818">
        <w:t xml:space="preserve">based on </w:t>
      </w:r>
      <w:r w:rsidRPr="00AF343B" w:rsidR="006971F8">
        <w:t>Code of Civil Procedure section 863</w:t>
      </w:r>
      <w:r w:rsidRPr="00AF343B" w:rsidR="008A3955">
        <w:t xml:space="preserve">, </w:t>
      </w:r>
      <w:r w:rsidRPr="00AF343B" w:rsidR="002862BD">
        <w:t>but</w:t>
      </w:r>
      <w:r w:rsidRPr="00AF343B" w:rsidR="008A3955">
        <w:t xml:space="preserve"> it </w:t>
      </w:r>
      <w:r w:rsidRPr="00AF343B" w:rsidR="00EC0C13">
        <w:t xml:space="preserve">also </w:t>
      </w:r>
      <w:r w:rsidRPr="00AF343B" w:rsidR="002862BD">
        <w:t xml:space="preserve">refers to </w:t>
      </w:r>
      <w:r w:rsidRPr="00AF343B" w:rsidR="008A3955">
        <w:t>the lawsuit as a “suit filed by a taxpayer</w:t>
      </w:r>
      <w:r w:rsidRPr="00AF343B" w:rsidR="00173997">
        <w:t>,</w:t>
      </w:r>
      <w:r w:rsidRPr="00AF343B" w:rsidR="008A3955">
        <w:t>”</w:t>
      </w:r>
      <w:r w:rsidRPr="00AF343B" w:rsidR="00A45540">
        <w:t xml:space="preserve"> and it requests in </w:t>
      </w:r>
      <w:r w:rsidRPr="00AF343B" w:rsidR="00A45540">
        <w:t>personam relief that is not available in an in rem proceeding</w:t>
      </w:r>
      <w:r w:rsidRPr="00AF343B" w:rsidR="008A3955">
        <w:t>.</w:t>
      </w:r>
      <w:r w:rsidRPr="00AF343B" w:rsidR="00572DE4">
        <w:t xml:space="preserve">  </w:t>
      </w:r>
      <w:r w:rsidRPr="00AF343B" w:rsidR="00DF52A2">
        <w:t>Accordingly, t</w:t>
      </w:r>
      <w:r w:rsidRPr="00AF343B" w:rsidR="008A3955">
        <w:t>he Court of Appeal concluded that plaintiff had</w:t>
      </w:r>
      <w:r w:rsidRPr="00AF343B" w:rsidR="00794EBC">
        <w:t xml:space="preserve"> adequately </w:t>
      </w:r>
      <w:r w:rsidRPr="00AF343B">
        <w:t xml:space="preserve">alleged </w:t>
      </w:r>
      <w:r w:rsidRPr="00AF343B" w:rsidR="008A3955">
        <w:t>standing to sue based on both a reverse validation theory and a taxpayer theory.</w:t>
      </w:r>
      <w:r w:rsidRPr="00AF343B" w:rsidR="007E6EA1">
        <w:t xml:space="preserve">  (</w:t>
      </w:r>
      <w:r w:rsidRPr="00AF343B" w:rsidR="007E6EA1">
        <w:rPr>
          <w:i/>
          <w:iCs/>
        </w:rPr>
        <w:t>Davis</w:t>
      </w:r>
      <w:r w:rsidRPr="00AF343B" w:rsidR="00906D6B">
        <w:rPr>
          <w:i/>
          <w:iCs/>
        </w:rPr>
        <w:t xml:space="preserve"> </w:t>
      </w:r>
      <w:r w:rsidRPr="00AF343B" w:rsidR="007E6EA1">
        <w:rPr>
          <w:i/>
          <w:iCs/>
        </w:rPr>
        <w:t>II</w:t>
      </w:r>
      <w:r w:rsidRPr="00AF343B" w:rsidR="007E6EA1">
        <w:t>, at pp. 933–93</w:t>
      </w:r>
      <w:r w:rsidRPr="00AF343B" w:rsidR="00794EBC">
        <w:t>6</w:t>
      </w:r>
      <w:r w:rsidRPr="00AF343B" w:rsidR="007E6EA1">
        <w:t>.)</w:t>
      </w:r>
      <w:r w:rsidRPr="00AF343B" w:rsidR="00B60058">
        <w:t xml:space="preserve">  </w:t>
      </w:r>
      <w:r w:rsidRPr="00AF343B" w:rsidR="003A694A">
        <w:t>T</w:t>
      </w:r>
      <w:r w:rsidRPr="00AF343B" w:rsidR="001E00D1">
        <w:t xml:space="preserve">he </w:t>
      </w:r>
      <w:r w:rsidRPr="00AF343B" w:rsidR="003A694A">
        <w:t>C</w:t>
      </w:r>
      <w:r w:rsidRPr="00AF343B" w:rsidR="001E00D1">
        <w:t xml:space="preserve">ourt </w:t>
      </w:r>
      <w:r w:rsidRPr="00AF343B" w:rsidR="003A694A">
        <w:t xml:space="preserve">of Appeal then </w:t>
      </w:r>
      <w:r w:rsidRPr="00AF343B" w:rsidR="008F6B44">
        <w:t>proceeded</w:t>
      </w:r>
      <w:r w:rsidRPr="00AF343B" w:rsidR="00C231AC">
        <w:t xml:space="preserve"> to </w:t>
      </w:r>
      <w:r w:rsidRPr="00AF343B" w:rsidR="001E00D1">
        <w:t>consider whether the validation statutes were plaintiff’s exclusive remedy</w:t>
      </w:r>
      <w:r w:rsidRPr="00AF343B" w:rsidR="00F94B3C">
        <w:t xml:space="preserve">, </w:t>
      </w:r>
      <w:r w:rsidRPr="00AF343B" w:rsidR="00FB2B50">
        <w:t xml:space="preserve">precluding recovery on </w:t>
      </w:r>
      <w:r w:rsidRPr="00AF343B" w:rsidR="002956F7">
        <w:t xml:space="preserve">plaintiff’s </w:t>
      </w:r>
      <w:r w:rsidRPr="00AF343B" w:rsidR="00FB2B50">
        <w:t xml:space="preserve">taxpayer theory.  </w:t>
      </w:r>
      <w:r w:rsidRPr="00AF343B">
        <w:t xml:space="preserve">Rather </w:t>
      </w:r>
      <w:r w:rsidRPr="00AF343B" w:rsidR="00F01AB0">
        <w:t>than address</w:t>
      </w:r>
      <w:r w:rsidRPr="00AF343B">
        <w:t xml:space="preserve">ing </w:t>
      </w:r>
      <w:r w:rsidRPr="00AF343B" w:rsidR="00F01AB0">
        <w:t>that issue</w:t>
      </w:r>
      <w:r w:rsidRPr="00AF343B" w:rsidR="00FC55F5">
        <w:t xml:space="preserve"> on the merits</w:t>
      </w:r>
      <w:r w:rsidRPr="00AF343B" w:rsidR="00F01AB0">
        <w:t xml:space="preserve">, </w:t>
      </w:r>
      <w:r w:rsidRPr="00AF343B" w:rsidR="001F5A07">
        <w:t xml:space="preserve">however, </w:t>
      </w:r>
      <w:r w:rsidRPr="00AF343B" w:rsidR="00F01AB0">
        <w:t xml:space="preserve">the </w:t>
      </w:r>
      <w:r w:rsidRPr="00AF343B" w:rsidR="003A694A">
        <w:t>c</w:t>
      </w:r>
      <w:r w:rsidRPr="00AF343B" w:rsidR="00F01AB0">
        <w:t>ourt</w:t>
      </w:r>
      <w:r w:rsidRPr="00AF343B" w:rsidR="003A694A">
        <w:t xml:space="preserve"> </w:t>
      </w:r>
      <w:r w:rsidRPr="00AF343B" w:rsidR="00D44C7C">
        <w:rPr>
          <w:i/>
          <w:iCs/>
        </w:rPr>
        <w:t>assumed</w:t>
      </w:r>
      <w:r w:rsidRPr="00AF343B" w:rsidR="00D44C7C">
        <w:t xml:space="preserve"> t</w:t>
      </w:r>
      <w:r w:rsidRPr="00AF343B" w:rsidR="006F5897">
        <w:t>hat t</w:t>
      </w:r>
      <w:r w:rsidRPr="00AF343B" w:rsidR="00D44C7C">
        <w:t>he</w:t>
      </w:r>
      <w:r w:rsidRPr="00AF343B" w:rsidR="00FB2B50">
        <w:t xml:space="preserve"> validation statutes w</w:t>
      </w:r>
      <w:r w:rsidRPr="00AF343B" w:rsidR="00930D8E">
        <w:t xml:space="preserve">ould be </w:t>
      </w:r>
      <w:r w:rsidRPr="00AF343B" w:rsidR="00FB2B50">
        <w:t xml:space="preserve">plaintiff’s </w:t>
      </w:r>
      <w:r w:rsidRPr="00AF343B" w:rsidR="00794EBC">
        <w:t xml:space="preserve">exclusive </w:t>
      </w:r>
      <w:r w:rsidRPr="00AF343B" w:rsidR="00CB7A72">
        <w:t>remedy</w:t>
      </w:r>
      <w:r w:rsidRPr="00AF343B" w:rsidR="006F5897">
        <w:t xml:space="preserve"> if they were applicable</w:t>
      </w:r>
      <w:r w:rsidRPr="00AF343B" w:rsidR="00752EEE">
        <w:t>,</w:t>
      </w:r>
      <w:r w:rsidRPr="00AF343B" w:rsidR="00FC55F5">
        <w:t xml:space="preserve"> </w:t>
      </w:r>
      <w:r w:rsidRPr="00AF343B" w:rsidR="004A5C53">
        <w:t xml:space="preserve">and </w:t>
      </w:r>
      <w:r w:rsidRPr="00AF343B" w:rsidR="00752EEE">
        <w:t xml:space="preserve">it </w:t>
      </w:r>
      <w:r w:rsidRPr="00AF343B" w:rsidR="00FC55F5">
        <w:t>h</w:t>
      </w:r>
      <w:r w:rsidRPr="00AF343B" w:rsidR="005F084B">
        <w:t>e</w:t>
      </w:r>
      <w:r w:rsidRPr="00AF343B" w:rsidR="00FC55F5">
        <w:t xml:space="preserve">ld </w:t>
      </w:r>
      <w:r w:rsidRPr="00AF343B" w:rsidR="00F01AB0">
        <w:t>that the validation statutes did</w:t>
      </w:r>
      <w:r w:rsidRPr="00AF343B" w:rsidR="003A694A">
        <w:t xml:space="preserve"> </w:t>
      </w:r>
      <w:r w:rsidRPr="00AF343B" w:rsidR="00F01AB0">
        <w:t>n</w:t>
      </w:r>
      <w:r w:rsidRPr="00AF343B" w:rsidR="003A694A">
        <w:t>o</w:t>
      </w:r>
      <w:r w:rsidRPr="00AF343B" w:rsidR="00F01AB0">
        <w:t>t apply.  (</w:t>
      </w:r>
      <w:r w:rsidRPr="00AF343B" w:rsidR="006F5897">
        <w:rPr>
          <w:i/>
          <w:iCs/>
        </w:rPr>
        <w:t>Id</w:t>
      </w:r>
      <w:r w:rsidRPr="00AF343B" w:rsidR="006F5897">
        <w:t xml:space="preserve">. </w:t>
      </w:r>
      <w:r w:rsidRPr="00AF343B" w:rsidR="00CB344A">
        <w:t>at pp</w:t>
      </w:r>
      <w:r w:rsidRPr="00AF343B" w:rsidR="00F01AB0">
        <w:t xml:space="preserve">. </w:t>
      </w:r>
      <w:r w:rsidRPr="00AF343B" w:rsidR="00D44C7C">
        <w:t>939</w:t>
      </w:r>
      <w:r w:rsidRPr="00AF343B" w:rsidR="00F01AB0">
        <w:t>–</w:t>
      </w:r>
      <w:r w:rsidRPr="00AF343B" w:rsidR="00D44C7C">
        <w:t>942</w:t>
      </w:r>
      <w:r w:rsidRPr="00AF343B" w:rsidR="00F01AB0">
        <w:t>.)</w:t>
      </w:r>
    </w:p>
    <w:p w:rsidR="00D55B77" w:rsidRPr="00AF343B" w:rsidP="00AF343B">
      <w:pPr>
        <w:tabs>
          <w:tab w:val="left" w:pos="1440"/>
        </w:tabs>
        <w:ind w:firstLine="720"/>
      </w:pPr>
      <w:r w:rsidRPr="00AF343B">
        <w:t>As the Court of Appeal explained, t</w:t>
      </w:r>
      <w:r w:rsidRPr="00AF343B" w:rsidR="00725279">
        <w:t xml:space="preserve">he </w:t>
      </w:r>
      <w:r w:rsidRPr="00AF343B" w:rsidR="00A74C61">
        <w:t xml:space="preserve">validation statutes </w:t>
      </w:r>
      <w:r w:rsidRPr="00AF343B" w:rsidR="00AA7CD5">
        <w:t>establish</w:t>
      </w:r>
      <w:r w:rsidRPr="00AF343B" w:rsidR="00A74C61">
        <w:t xml:space="preserve"> a </w:t>
      </w:r>
      <w:r w:rsidRPr="00AF343B" w:rsidR="008A3448">
        <w:t xml:space="preserve">general </w:t>
      </w:r>
      <w:r w:rsidRPr="00AF343B" w:rsidR="00A74C61">
        <w:t xml:space="preserve">procedure for testing </w:t>
      </w:r>
      <w:r w:rsidRPr="00AF343B" w:rsidR="00F527D7">
        <w:t xml:space="preserve">the validity of </w:t>
      </w:r>
      <w:r w:rsidRPr="00AF343B" w:rsidR="00A74C61">
        <w:t>public agency action</w:t>
      </w:r>
      <w:r w:rsidRPr="00AF343B" w:rsidR="00F527D7">
        <w:t>s</w:t>
      </w:r>
      <w:r w:rsidRPr="00AF343B" w:rsidR="00A74C61">
        <w:t>, but th</w:t>
      </w:r>
      <w:r w:rsidRPr="00AF343B" w:rsidR="00CD355A">
        <w:t xml:space="preserve">e validation </w:t>
      </w:r>
      <w:r w:rsidRPr="00AF343B" w:rsidR="00A74C61">
        <w:t xml:space="preserve">procedure is not available unless some </w:t>
      </w:r>
      <w:r w:rsidRPr="00AF343B" w:rsidR="00A74C61">
        <w:rPr>
          <w:i/>
          <w:iCs/>
        </w:rPr>
        <w:t>other</w:t>
      </w:r>
      <w:r w:rsidRPr="00AF343B" w:rsidR="00A74C61">
        <w:t xml:space="preserve"> statute authorizes its use in a particular context</w:t>
      </w:r>
      <w:r w:rsidRPr="00AF343B" w:rsidR="00C461E2">
        <w:t>.  T</w:t>
      </w:r>
      <w:r w:rsidRPr="00AF343B" w:rsidR="00A74C61">
        <w:t xml:space="preserve">he </w:t>
      </w:r>
      <w:r w:rsidRPr="00AF343B" w:rsidR="006A7B5B">
        <w:t>C</w:t>
      </w:r>
      <w:r w:rsidRPr="00AF343B" w:rsidR="00725279">
        <w:t xml:space="preserve">ourt </w:t>
      </w:r>
      <w:r w:rsidRPr="00AF343B" w:rsidR="006A7B5B">
        <w:t xml:space="preserve">of Appeal </w:t>
      </w:r>
      <w:r w:rsidRPr="00AF343B" w:rsidR="00725279">
        <w:t>noted</w:t>
      </w:r>
      <w:r w:rsidRPr="00AF343B" w:rsidR="00A74E2C">
        <w:t xml:space="preserve"> </w:t>
      </w:r>
      <w:r w:rsidRPr="00AF343B" w:rsidR="00A75387">
        <w:t>that the sole basis for d</w:t>
      </w:r>
      <w:r w:rsidRPr="00AF343B" w:rsidR="00725279">
        <w:t xml:space="preserve">efendants’ </w:t>
      </w:r>
      <w:r w:rsidRPr="00AF343B" w:rsidR="00A75387">
        <w:t>contention that the</w:t>
      </w:r>
      <w:r w:rsidRPr="00AF343B" w:rsidR="00A74E2C">
        <w:t xml:space="preserve"> </w:t>
      </w:r>
      <w:r w:rsidRPr="00AF343B" w:rsidR="00930D8E">
        <w:t xml:space="preserve">validation statutes applied </w:t>
      </w:r>
      <w:r w:rsidRPr="00AF343B" w:rsidR="00B140D6">
        <w:t xml:space="preserve">in this case </w:t>
      </w:r>
      <w:r w:rsidRPr="00AF343B" w:rsidR="00930D8E">
        <w:t>was</w:t>
      </w:r>
      <w:r w:rsidRPr="00AF343B" w:rsidR="00A75387">
        <w:t xml:space="preserve"> </w:t>
      </w:r>
      <w:r w:rsidRPr="00AF343B" w:rsidR="00B140D6">
        <w:t xml:space="preserve">Government Code </w:t>
      </w:r>
      <w:r w:rsidRPr="00AF343B" w:rsidR="00725279">
        <w:t>section 53511</w:t>
      </w:r>
      <w:r w:rsidRPr="00AF343B" w:rsidR="00A74C61">
        <w:t>.  (</w:t>
      </w:r>
      <w:bookmarkStart w:id="5" w:name="_Hlk111637027"/>
      <w:r w:rsidRPr="00AF343B" w:rsidR="00B40568">
        <w:rPr>
          <w:i/>
          <w:iCs/>
        </w:rPr>
        <w:t>Davis II</w:t>
      </w:r>
      <w:r w:rsidRPr="00AF343B" w:rsidR="00B40568">
        <w:t xml:space="preserve">, </w:t>
      </w:r>
      <w:r w:rsidRPr="00AF343B" w:rsidR="00B40568">
        <w:rPr>
          <w:i/>
          <w:iCs/>
        </w:rPr>
        <w:t>supra</w:t>
      </w:r>
      <w:r w:rsidRPr="00AF343B" w:rsidR="00B40568">
        <w:t>, 57 Cal.App.5th at p</w:t>
      </w:r>
      <w:bookmarkEnd w:id="5"/>
      <w:r w:rsidRPr="00AF343B" w:rsidR="00A74C61">
        <w:t xml:space="preserve">. </w:t>
      </w:r>
      <w:r w:rsidRPr="00AF343B" w:rsidR="00E2303C">
        <w:t>939</w:t>
      </w:r>
      <w:r w:rsidRPr="00AF343B" w:rsidR="00A74C61">
        <w:t>.)</w:t>
      </w:r>
      <w:r w:rsidRPr="00AF343B" w:rsidR="00AA7CD5">
        <w:t xml:space="preserve">  </w:t>
      </w:r>
      <w:r w:rsidRPr="00AF343B" w:rsidR="00A74E2C">
        <w:t>T</w:t>
      </w:r>
      <w:r w:rsidRPr="00AF343B" w:rsidR="00AA7CD5">
        <w:t xml:space="preserve">he court examined section 53511, and it rejected </w:t>
      </w:r>
      <w:r w:rsidRPr="00AF343B" w:rsidR="00725279">
        <w:t>defendants’ a</w:t>
      </w:r>
      <w:r w:rsidRPr="00AF343B" w:rsidR="00AA7CD5">
        <w:t xml:space="preserve">rgument </w:t>
      </w:r>
      <w:r w:rsidRPr="00AF343B" w:rsidR="00725279">
        <w:t xml:space="preserve">that the language of </w:t>
      </w:r>
      <w:r w:rsidRPr="00AF343B" w:rsidR="005D34B6">
        <w:t xml:space="preserve">that </w:t>
      </w:r>
      <w:r w:rsidRPr="00AF343B" w:rsidR="00725279">
        <w:t>section encompassed</w:t>
      </w:r>
      <w:r w:rsidRPr="00AF343B" w:rsidR="003E54E2">
        <w:t xml:space="preserve"> </w:t>
      </w:r>
      <w:r w:rsidRPr="00AF343B" w:rsidR="00725279">
        <w:t xml:space="preserve">the </w:t>
      </w:r>
      <w:r w:rsidRPr="00AF343B" w:rsidR="00CD355A">
        <w:t>lease-</w:t>
      </w:r>
      <w:r w:rsidRPr="00AF343B" w:rsidR="00EF328C">
        <w:t xml:space="preserve">leaseback </w:t>
      </w:r>
      <w:r w:rsidRPr="00AF343B" w:rsidR="00CD355A">
        <w:t xml:space="preserve">arrangement </w:t>
      </w:r>
      <w:r w:rsidRPr="00AF343B" w:rsidR="00725279">
        <w:t xml:space="preserve">at issue </w:t>
      </w:r>
      <w:r w:rsidRPr="00AF343B" w:rsidR="00654DA8">
        <w:t>here</w:t>
      </w:r>
      <w:r w:rsidRPr="00AF343B" w:rsidR="00725279">
        <w:t>.</w:t>
      </w:r>
      <w:r w:rsidRPr="00AF343B" w:rsidR="00AA7CD5">
        <w:t xml:space="preserve">  (</w:t>
      </w:r>
      <w:r w:rsidRPr="00AF343B" w:rsidR="00AA7CD5">
        <w:rPr>
          <w:i/>
          <w:iCs/>
        </w:rPr>
        <w:t>Davis</w:t>
      </w:r>
      <w:r w:rsidRPr="00AF343B" w:rsidR="00906D6B">
        <w:rPr>
          <w:i/>
          <w:iCs/>
        </w:rPr>
        <w:t xml:space="preserve"> </w:t>
      </w:r>
      <w:r w:rsidRPr="00AF343B" w:rsidR="00AA7CD5">
        <w:rPr>
          <w:i/>
          <w:iCs/>
        </w:rPr>
        <w:t>II</w:t>
      </w:r>
      <w:r w:rsidRPr="00AF343B" w:rsidR="00AA7CD5">
        <w:t>, at p</w:t>
      </w:r>
      <w:r w:rsidRPr="00AF343B" w:rsidR="00F354C5">
        <w:t>p</w:t>
      </w:r>
      <w:r w:rsidRPr="00AF343B" w:rsidR="00AA7CD5">
        <w:t xml:space="preserve">. </w:t>
      </w:r>
      <w:r w:rsidRPr="00AF343B" w:rsidR="00F354C5">
        <w:t>940–941</w:t>
      </w:r>
      <w:r w:rsidRPr="00AF343B" w:rsidR="00AA7CD5">
        <w:t>.)</w:t>
      </w:r>
      <w:r w:rsidRPr="00AF343B" w:rsidR="00A5322D">
        <w:t xml:space="preserve">  </w:t>
      </w:r>
      <w:r w:rsidRPr="00AF343B" w:rsidR="00A75387">
        <w:t xml:space="preserve">Absent a statutory basis to support a reverse validation claim, the </w:t>
      </w:r>
      <w:r w:rsidRPr="00AF343B" w:rsidR="00E265CC">
        <w:t xml:space="preserve">Court of Appeal concluded that </w:t>
      </w:r>
      <w:r w:rsidRPr="00AF343B" w:rsidR="00654DA8">
        <w:t>plaintiff</w:t>
      </w:r>
      <w:r w:rsidRPr="00AF343B" w:rsidR="00A75387">
        <w:t xml:space="preserve"> </w:t>
      </w:r>
      <w:r w:rsidRPr="00AF343B" w:rsidR="00A74E2C">
        <w:t xml:space="preserve">could not </w:t>
      </w:r>
      <w:r w:rsidRPr="00AF343B" w:rsidR="00A75387">
        <w:t>assert a viable claim under the</w:t>
      </w:r>
      <w:r w:rsidRPr="00AF343B" w:rsidR="00A74E2C">
        <w:t xml:space="preserve"> </w:t>
      </w:r>
      <w:r w:rsidRPr="00AF343B" w:rsidR="008926A4">
        <w:t>validation statutes</w:t>
      </w:r>
      <w:r w:rsidRPr="00AF343B" w:rsidR="00A74E2C">
        <w:t xml:space="preserve"> — </w:t>
      </w:r>
      <w:r w:rsidRPr="00AF343B" w:rsidR="00A5322D">
        <w:t xml:space="preserve">which </w:t>
      </w:r>
      <w:r w:rsidRPr="00AF343B" w:rsidR="003E54E2">
        <w:t xml:space="preserve">of course </w:t>
      </w:r>
      <w:r w:rsidRPr="00AF343B" w:rsidR="00A5322D">
        <w:t>meant</w:t>
      </w:r>
      <w:r w:rsidRPr="00AF343B" w:rsidR="00E265CC">
        <w:t xml:space="preserve"> t</w:t>
      </w:r>
      <w:r w:rsidRPr="00AF343B" w:rsidR="00A5322D">
        <w:t xml:space="preserve">hat </w:t>
      </w:r>
      <w:r w:rsidRPr="00AF343B" w:rsidR="00E70DE7">
        <w:t>th</w:t>
      </w:r>
      <w:r w:rsidRPr="00AF343B" w:rsidR="00A5322D">
        <w:t xml:space="preserve">ose statutes </w:t>
      </w:r>
      <w:r w:rsidRPr="00AF343B" w:rsidR="00E265CC">
        <w:t xml:space="preserve">could not be </w:t>
      </w:r>
      <w:r w:rsidRPr="00AF343B" w:rsidR="00A5322D">
        <w:t xml:space="preserve">plaintiff’s </w:t>
      </w:r>
      <w:r w:rsidRPr="00AF343B" w:rsidR="00E70DE7">
        <w:t xml:space="preserve">exclusive remedy.  </w:t>
      </w:r>
      <w:r w:rsidRPr="00AF343B" w:rsidR="00F354C5">
        <w:t>(</w:t>
      </w:r>
      <w:r w:rsidRPr="00AF343B" w:rsidR="00F354C5">
        <w:rPr>
          <w:i/>
          <w:iCs/>
        </w:rPr>
        <w:t>Id</w:t>
      </w:r>
      <w:r w:rsidRPr="00AF343B" w:rsidR="00F354C5">
        <w:t>. at p. 941.)</w:t>
      </w:r>
    </w:p>
    <w:p w:rsidR="0027259B" w:rsidRPr="00AF343B" w:rsidP="00AF343B">
      <w:pPr>
        <w:tabs>
          <w:tab w:val="left" w:pos="1440"/>
        </w:tabs>
        <w:ind w:firstLine="720"/>
      </w:pPr>
      <w:r w:rsidRPr="00AF343B">
        <w:t xml:space="preserve">Having </w:t>
      </w:r>
      <w:r w:rsidRPr="00AF343B" w:rsidR="00CA4047">
        <w:t xml:space="preserve">found </w:t>
      </w:r>
      <w:r w:rsidRPr="00AF343B">
        <w:t>the validation statutes inapplicable</w:t>
      </w:r>
      <w:r w:rsidRPr="00AF343B" w:rsidR="00693B8C">
        <w:t xml:space="preserve">, </w:t>
      </w:r>
      <w:r w:rsidRPr="00AF343B">
        <w:t xml:space="preserve">the Court of Appeal concluded that </w:t>
      </w:r>
      <w:r w:rsidRPr="00AF343B" w:rsidR="00CE2A72">
        <w:t xml:space="preserve">plaintiff’s taxpayer </w:t>
      </w:r>
      <w:r w:rsidRPr="00AF343B" w:rsidR="008463FD">
        <w:t>action (</w:t>
      </w:r>
      <w:r w:rsidRPr="00AF343B" w:rsidR="00C7501A">
        <w:t>Code Civ</w:t>
      </w:r>
      <w:r w:rsidRPr="00AF343B" w:rsidR="008463FD">
        <w:t>.</w:t>
      </w:r>
      <w:r w:rsidRPr="00AF343B" w:rsidR="00C7501A">
        <w:t xml:space="preserve"> Proc</w:t>
      </w:r>
      <w:r w:rsidRPr="00AF343B" w:rsidR="008463FD">
        <w:t>., § </w:t>
      </w:r>
      <w:r w:rsidRPr="00AF343B" w:rsidR="00C7501A">
        <w:t>526a</w:t>
      </w:r>
      <w:r w:rsidRPr="00AF343B" w:rsidR="008463FD">
        <w:t xml:space="preserve">) </w:t>
      </w:r>
      <w:r w:rsidRPr="00AF343B" w:rsidR="00447456">
        <w:t xml:space="preserve">should have </w:t>
      </w:r>
      <w:r w:rsidRPr="00AF343B" w:rsidR="00693B8C">
        <w:t>survive</w:t>
      </w:r>
      <w:r w:rsidRPr="00AF343B" w:rsidR="00447456">
        <w:t>d</w:t>
      </w:r>
      <w:r w:rsidRPr="00AF343B" w:rsidR="00693B8C">
        <w:t xml:space="preserve"> defendants’ motion for judgment on the pleadings.  (</w:t>
      </w:r>
      <w:r w:rsidRPr="00AF343B" w:rsidR="00B60058">
        <w:rPr>
          <w:i/>
          <w:iCs/>
        </w:rPr>
        <w:t>Davis II</w:t>
      </w:r>
      <w:r w:rsidRPr="00AF343B" w:rsidR="00B60058">
        <w:t xml:space="preserve">, </w:t>
      </w:r>
      <w:r w:rsidRPr="00AF343B" w:rsidR="00B60058">
        <w:rPr>
          <w:i/>
          <w:iCs/>
        </w:rPr>
        <w:t>supra</w:t>
      </w:r>
      <w:r w:rsidRPr="00AF343B" w:rsidR="00B60058">
        <w:t xml:space="preserve">, 57 Cal.App.5th at </w:t>
      </w:r>
      <w:r w:rsidRPr="00AF343B" w:rsidR="00B60058">
        <w:t>p</w:t>
      </w:r>
      <w:r w:rsidRPr="00AF343B" w:rsidR="00FB040C">
        <w:t>p</w:t>
      </w:r>
      <w:r w:rsidRPr="00AF343B" w:rsidR="00693B8C">
        <w:t xml:space="preserve">. </w:t>
      </w:r>
      <w:r w:rsidRPr="00AF343B" w:rsidR="00FB040C">
        <w:t>941–942</w:t>
      </w:r>
      <w:r w:rsidRPr="00AF343B" w:rsidR="00693B8C">
        <w:t>.)</w:t>
      </w:r>
      <w:r w:rsidRPr="00AF343B" w:rsidR="008809BD">
        <w:t xml:space="preserve">  It therefore reversed the </w:t>
      </w:r>
      <w:r w:rsidRPr="00AF343B" w:rsidR="00C7501A">
        <w:t xml:space="preserve">trial court’s </w:t>
      </w:r>
      <w:r w:rsidRPr="00AF343B" w:rsidR="00D64B59">
        <w:t>judgment</w:t>
      </w:r>
      <w:r w:rsidRPr="00AF343B" w:rsidR="008809BD">
        <w:t>.  (</w:t>
      </w:r>
      <w:r w:rsidRPr="00AF343B" w:rsidR="008809BD">
        <w:rPr>
          <w:i/>
          <w:iCs/>
        </w:rPr>
        <w:t>Id</w:t>
      </w:r>
      <w:r w:rsidRPr="00AF343B" w:rsidR="008809BD">
        <w:t>. at p</w:t>
      </w:r>
      <w:r w:rsidRPr="00AF343B" w:rsidR="00D64B59">
        <w:t>p</w:t>
      </w:r>
      <w:r w:rsidRPr="00AF343B" w:rsidR="008809BD">
        <w:t xml:space="preserve">. </w:t>
      </w:r>
      <w:r w:rsidRPr="00AF343B" w:rsidR="00D64B59">
        <w:t>944–945</w:t>
      </w:r>
      <w:r w:rsidRPr="00AF343B" w:rsidR="008809BD">
        <w:t>.)</w:t>
      </w:r>
    </w:p>
    <w:p w:rsidR="0097553D" w:rsidRPr="00AF343B" w:rsidP="00AF343B">
      <w:pPr>
        <w:tabs>
          <w:tab w:val="left" w:pos="1440"/>
        </w:tabs>
        <w:ind w:firstLine="720"/>
      </w:pPr>
      <w:r w:rsidRPr="00AF343B">
        <w:t xml:space="preserve">We </w:t>
      </w:r>
      <w:r w:rsidRPr="00AF343B" w:rsidR="008502A6">
        <w:t xml:space="preserve">granted defendants’ petitions for review.  We </w:t>
      </w:r>
      <w:r w:rsidRPr="00AF343B">
        <w:t xml:space="preserve">conclude that </w:t>
      </w:r>
      <w:r w:rsidRPr="00AF343B" w:rsidR="00CA1095">
        <w:t xml:space="preserve">the </w:t>
      </w:r>
      <w:r w:rsidRPr="00AF343B" w:rsidR="00A54155">
        <w:t xml:space="preserve">lease-leaseback arrangement </w:t>
      </w:r>
      <w:r w:rsidRPr="00AF343B">
        <w:t xml:space="preserve">at issue here </w:t>
      </w:r>
      <w:r w:rsidRPr="00AF343B" w:rsidR="00CA1095">
        <w:t xml:space="preserve">is not a </w:t>
      </w:r>
      <w:r w:rsidRPr="00AF343B" w:rsidR="005F05CD">
        <w:t>“</w:t>
      </w:r>
      <w:r w:rsidRPr="00AF343B" w:rsidR="00CA1095">
        <w:t>contract</w:t>
      </w:r>
      <w:r w:rsidRPr="00AF343B" w:rsidR="008502A6">
        <w:t>[]</w:t>
      </w:r>
      <w:r w:rsidRPr="00AF343B" w:rsidR="005F05CD">
        <w:t>”</w:t>
      </w:r>
      <w:r w:rsidRPr="00AF343B" w:rsidR="00CA1095">
        <w:t xml:space="preserve"> within the meaning of section 53511, </w:t>
      </w:r>
      <w:r w:rsidRPr="00AF343B" w:rsidR="00602FE9">
        <w:t xml:space="preserve">and therefore </w:t>
      </w:r>
      <w:r w:rsidRPr="00AF343B">
        <w:t>we</w:t>
      </w:r>
      <w:r w:rsidRPr="00AF343B" w:rsidR="00602FE9">
        <w:t xml:space="preserve"> agree with </w:t>
      </w:r>
      <w:r w:rsidRPr="00AF343B" w:rsidR="00C96177">
        <w:t xml:space="preserve">the Court of Appeal </w:t>
      </w:r>
      <w:r w:rsidRPr="00AF343B" w:rsidR="00602FE9">
        <w:t>that the validation statutes do not apply.</w:t>
      </w:r>
      <w:r w:rsidRPr="00AF343B" w:rsidR="001F5EFD">
        <w:t xml:space="preserve">  Accordingly, we affirm the judgment of the Court of Appeal.</w:t>
      </w:r>
    </w:p>
    <w:p w:rsidR="00DB1B69" w:rsidRPr="00AF343B" w:rsidP="00AF343B">
      <w:pPr>
        <w:pStyle w:val="Heading1"/>
      </w:pPr>
      <w:r w:rsidRPr="00AF343B">
        <w:t>I</w:t>
      </w:r>
      <w:r w:rsidRPr="00AF343B" w:rsidR="00A22B05">
        <w:t>I</w:t>
      </w:r>
      <w:r w:rsidRPr="00AF343B">
        <w:t xml:space="preserve">I. </w:t>
      </w:r>
      <w:r w:rsidRPr="00AF343B">
        <w:t>Discussion</w:t>
      </w:r>
    </w:p>
    <w:p w:rsidR="00373232" w:rsidRPr="00AF343B" w:rsidP="00AF343B">
      <w:pPr>
        <w:tabs>
          <w:tab w:val="left" w:pos="1440"/>
        </w:tabs>
        <w:ind w:firstLine="720"/>
      </w:pPr>
      <w:r w:rsidRPr="00AF343B">
        <w:t>Our</w:t>
      </w:r>
      <w:r w:rsidRPr="00AF343B">
        <w:t xml:space="preserve"> analysis begins</w:t>
      </w:r>
      <w:r w:rsidRPr="00AF343B" w:rsidR="00B575F3">
        <w:t xml:space="preserve"> in part III.A.,</w:t>
      </w:r>
      <w:r w:rsidRPr="00AF343B">
        <w:t xml:space="preserve"> with </w:t>
      </w:r>
      <w:r w:rsidRPr="00AF343B" w:rsidR="00016FD4">
        <w:t xml:space="preserve">background </w:t>
      </w:r>
      <w:r w:rsidRPr="00AF343B" w:rsidR="00CB04CE">
        <w:t xml:space="preserve">information regarding the use of </w:t>
      </w:r>
      <w:r w:rsidRPr="00AF343B">
        <w:t xml:space="preserve">lease-leaseback arrangements </w:t>
      </w:r>
      <w:r w:rsidRPr="00AF343B" w:rsidR="00CB04CE">
        <w:t xml:space="preserve">to </w:t>
      </w:r>
      <w:r w:rsidRPr="00AF343B">
        <w:t xml:space="preserve">construct school facilities in California.  </w:t>
      </w:r>
      <w:r w:rsidRPr="00AF343B" w:rsidR="00B575F3">
        <w:t xml:space="preserve">Then, in part III.B., </w:t>
      </w:r>
      <w:r w:rsidRPr="00AF343B">
        <w:t>we</w:t>
      </w:r>
      <w:r w:rsidRPr="00AF343B" w:rsidR="00B575F3">
        <w:t xml:space="preserve"> </w:t>
      </w:r>
      <w:r w:rsidRPr="00AF343B">
        <w:t xml:space="preserve">discuss the validation </w:t>
      </w:r>
      <w:r w:rsidRPr="00AF343B">
        <w:t xml:space="preserve">provisions </w:t>
      </w:r>
      <w:r w:rsidRPr="00AF343B" w:rsidR="00B575F3">
        <w:t>of the Code of Civil Procedure</w:t>
      </w:r>
      <w:r w:rsidRPr="00AF343B" w:rsidR="00842E24">
        <w:t>.  I</w:t>
      </w:r>
      <w:r w:rsidRPr="00AF343B" w:rsidR="00B575F3">
        <w:t xml:space="preserve">n part III.C., </w:t>
      </w:r>
      <w:r w:rsidRPr="00AF343B">
        <w:t>we</w:t>
      </w:r>
      <w:r w:rsidRPr="00AF343B" w:rsidR="00B575F3">
        <w:t xml:space="preserve"> </w:t>
      </w:r>
      <w:r w:rsidRPr="00AF343B" w:rsidR="004D5F59">
        <w:t>turn to</w:t>
      </w:r>
      <w:r w:rsidRPr="00AF343B" w:rsidR="00B575F3">
        <w:t xml:space="preserve"> </w:t>
      </w:r>
      <w:r w:rsidRPr="00AF343B">
        <w:t>section 53511</w:t>
      </w:r>
      <w:r w:rsidRPr="00AF343B" w:rsidR="00B575F3">
        <w:t>,</w:t>
      </w:r>
      <w:r w:rsidRPr="00AF343B">
        <w:t xml:space="preserve"> </w:t>
      </w:r>
      <w:r w:rsidRPr="00AF343B" w:rsidR="008673EB">
        <w:t>conclud</w:t>
      </w:r>
      <w:r w:rsidRPr="00AF343B" w:rsidR="00CB04CE">
        <w:t>ing</w:t>
      </w:r>
      <w:r w:rsidRPr="00AF343B" w:rsidR="008673EB">
        <w:t xml:space="preserve"> that the lease-leaseback arrangement at issue </w:t>
      </w:r>
      <w:r w:rsidRPr="00AF343B" w:rsidR="003246DE">
        <w:t>here</w:t>
      </w:r>
      <w:r w:rsidRPr="00AF343B" w:rsidR="004D5F59">
        <w:t xml:space="preserve"> </w:t>
      </w:r>
      <w:r w:rsidRPr="00AF343B" w:rsidR="008673EB">
        <w:t>does not qualify as a contract for purposes of section 53511</w:t>
      </w:r>
      <w:r w:rsidRPr="00AF343B" w:rsidR="004434D3">
        <w:t xml:space="preserve">, and therefore the validation statutes </w:t>
      </w:r>
      <w:r w:rsidRPr="00AF343B" w:rsidR="004D5F59">
        <w:t>do not apply</w:t>
      </w:r>
      <w:r w:rsidRPr="00AF343B" w:rsidR="008673EB">
        <w:t>.</w:t>
      </w:r>
      <w:r w:rsidRPr="00AF343B" w:rsidR="00CB04CE">
        <w:t xml:space="preserve">  </w:t>
      </w:r>
      <w:r w:rsidRPr="00AF343B" w:rsidR="004B49BA">
        <w:t xml:space="preserve">Finally, in part III.D., </w:t>
      </w:r>
      <w:r w:rsidRPr="00AF343B">
        <w:t xml:space="preserve">we </w:t>
      </w:r>
      <w:r w:rsidRPr="00AF343B" w:rsidR="004434D3">
        <w:t xml:space="preserve">reject </w:t>
      </w:r>
      <w:r w:rsidRPr="00AF343B" w:rsidR="004B49BA">
        <w:t>defendants’ arguments</w:t>
      </w:r>
      <w:r w:rsidRPr="00AF343B" w:rsidR="004434D3">
        <w:t xml:space="preserve"> </w:t>
      </w:r>
      <w:r w:rsidRPr="00AF343B" w:rsidR="008673EB">
        <w:t>to the contrary.</w:t>
      </w:r>
    </w:p>
    <w:p w:rsidR="00A22B05" w:rsidRPr="00AF343B" w:rsidP="00AF343B">
      <w:pPr>
        <w:pStyle w:val="Heading2"/>
      </w:pPr>
      <w:r w:rsidRPr="00AF343B">
        <w:t xml:space="preserve">A. </w:t>
      </w:r>
      <w:r w:rsidRPr="00AF343B" w:rsidR="00205500">
        <w:t xml:space="preserve">History of </w:t>
      </w:r>
      <w:r w:rsidRPr="00AF343B" w:rsidR="00D5452E">
        <w:t>Lease-</w:t>
      </w:r>
      <w:r w:rsidR="00236EDF">
        <w:t>l</w:t>
      </w:r>
      <w:r w:rsidRPr="00AF343B" w:rsidR="00236EDF">
        <w:t xml:space="preserve">easeback </w:t>
      </w:r>
      <w:r w:rsidRPr="00AF343B" w:rsidR="00806A1F">
        <w:t>Construction</w:t>
      </w:r>
      <w:r w:rsidRPr="00AF343B" w:rsidR="00205500">
        <w:t xml:space="preserve"> in California</w:t>
      </w:r>
    </w:p>
    <w:p w:rsidR="00B22099" w:rsidRPr="00AF343B" w:rsidP="00AF343B">
      <w:pPr>
        <w:tabs>
          <w:tab w:val="left" w:pos="1440"/>
        </w:tabs>
        <w:ind w:firstLine="720"/>
      </w:pPr>
      <w:r w:rsidRPr="00AF343B">
        <w:t xml:space="preserve">The state Constitution imposes </w:t>
      </w:r>
      <w:r w:rsidRPr="00AF343B" w:rsidR="00D76DCB">
        <w:t xml:space="preserve">restrictions </w:t>
      </w:r>
      <w:r w:rsidRPr="00AF343B">
        <w:t>on local government debt.</w:t>
      </w:r>
      <w:r w:rsidRPr="00AF343B" w:rsidR="001457E1">
        <w:t xml:space="preserve">  Specifically, such d</w:t>
      </w:r>
      <w:r w:rsidRPr="00AF343B">
        <w:t xml:space="preserve">ebt may not exceed </w:t>
      </w:r>
      <w:r w:rsidRPr="00AF343B" w:rsidR="00D76DCB">
        <w:t xml:space="preserve">the total </w:t>
      </w:r>
      <w:r w:rsidRPr="00AF343B">
        <w:t xml:space="preserve">annual </w:t>
      </w:r>
      <w:r w:rsidRPr="00AF343B" w:rsidR="00466A4B">
        <w:t xml:space="preserve">income and </w:t>
      </w:r>
      <w:r w:rsidRPr="00AF343B">
        <w:t xml:space="preserve">revenues </w:t>
      </w:r>
      <w:r w:rsidRPr="00AF343B" w:rsidR="00D76DCB">
        <w:t xml:space="preserve">of the local </w:t>
      </w:r>
      <w:r w:rsidRPr="00AF343B" w:rsidR="008F03DF">
        <w:t xml:space="preserve">entity </w:t>
      </w:r>
      <w:r w:rsidRPr="00AF343B" w:rsidR="00BB6675">
        <w:t xml:space="preserve">in question </w:t>
      </w:r>
      <w:r w:rsidRPr="00AF343B">
        <w:t xml:space="preserve">without satisfying </w:t>
      </w:r>
      <w:r w:rsidRPr="00AF343B" w:rsidR="00FC0E9D">
        <w:t xml:space="preserve">specified </w:t>
      </w:r>
      <w:r w:rsidRPr="00AF343B">
        <w:t>voter</w:t>
      </w:r>
      <w:r w:rsidRPr="00AF343B" w:rsidR="00D76DCB">
        <w:t>-</w:t>
      </w:r>
      <w:r w:rsidRPr="00AF343B">
        <w:t xml:space="preserve">approval requirements.  </w:t>
      </w:r>
      <w:r w:rsidRPr="00AF343B" w:rsidR="001457E1">
        <w:t>(</w:t>
      </w:r>
      <w:r w:rsidRPr="00AF343B" w:rsidR="00EC4FAD">
        <w:t xml:space="preserve">See </w:t>
      </w:r>
      <w:r w:rsidRPr="00AF343B" w:rsidR="001457E1">
        <w:t xml:space="preserve">Cal. Const., art. XVI, § 18, subd. (a).)  </w:t>
      </w:r>
      <w:r w:rsidRPr="00AF343B">
        <w:t>This court held</w:t>
      </w:r>
      <w:r w:rsidRPr="00AF343B" w:rsidR="00EE40A2">
        <w:t>, however,</w:t>
      </w:r>
      <w:r w:rsidRPr="00AF343B">
        <w:t xml:space="preserve"> in </w:t>
      </w:r>
      <w:r w:rsidRPr="00AF343B" w:rsidR="00CB1B1D">
        <w:rPr>
          <w:i/>
          <w:iCs/>
        </w:rPr>
        <w:t>City of Los Angeles v. Offner</w:t>
      </w:r>
      <w:r w:rsidRPr="00AF343B" w:rsidR="00CB1B1D">
        <w:t xml:space="preserve"> (1942) 19 Cal.2d 483</w:t>
      </w:r>
      <w:r w:rsidRPr="00AF343B" w:rsidR="00D76DCB">
        <w:t>,</w:t>
      </w:r>
      <w:r w:rsidRPr="00AF343B">
        <w:t xml:space="preserve"> that the cumulative amount payable under a multiyear lease is not a debt</w:t>
      </w:r>
      <w:r w:rsidRPr="00AF343B" w:rsidR="00C761B6">
        <w:t xml:space="preserve"> for purposes of the Constitution’s debt limitation</w:t>
      </w:r>
      <w:r w:rsidRPr="00AF343B" w:rsidR="0060710E">
        <w:t xml:space="preserve"> — </w:t>
      </w:r>
      <w:r w:rsidRPr="00AF343B" w:rsidR="00BB6675">
        <w:t>provided</w:t>
      </w:r>
      <w:r w:rsidRPr="00AF343B" w:rsidR="0060710E">
        <w:t>, that is,</w:t>
      </w:r>
      <w:r w:rsidRPr="00AF343B" w:rsidR="00EE40A2">
        <w:t xml:space="preserve"> </w:t>
      </w:r>
      <w:r w:rsidRPr="00AF343B" w:rsidR="00FC0E9D">
        <w:t xml:space="preserve">that </w:t>
      </w:r>
      <w:r w:rsidRPr="00AF343B" w:rsidR="00EE40A2">
        <w:t>the local entity receive</w:t>
      </w:r>
      <w:r w:rsidRPr="00AF343B" w:rsidR="003D6F7E">
        <w:t>s</w:t>
      </w:r>
      <w:r w:rsidRPr="00AF343B" w:rsidR="00EE40A2">
        <w:t xml:space="preserve"> appropriate consideration in each year for the lease payments </w:t>
      </w:r>
      <w:r w:rsidRPr="00AF343B" w:rsidR="003D6F7E">
        <w:t>it make</w:t>
      </w:r>
      <w:r w:rsidRPr="00AF343B" w:rsidR="0060710E">
        <w:t>s</w:t>
      </w:r>
      <w:r w:rsidRPr="00AF343B" w:rsidR="003D6F7E">
        <w:t xml:space="preserve"> </w:t>
      </w:r>
      <w:r w:rsidRPr="00AF343B" w:rsidR="00943B3F">
        <w:t xml:space="preserve">during </w:t>
      </w:r>
      <w:r w:rsidRPr="00AF343B" w:rsidR="00EE40A2">
        <w:t>that year</w:t>
      </w:r>
      <w:r w:rsidRPr="00AF343B">
        <w:t>.</w:t>
      </w:r>
    </w:p>
    <w:p w:rsidR="00E53486" w:rsidRPr="00AF343B" w:rsidP="00AF343B">
      <w:pPr>
        <w:tabs>
          <w:tab w:val="left" w:pos="1440"/>
        </w:tabs>
        <w:ind w:firstLine="720"/>
      </w:pPr>
      <w:r w:rsidRPr="00AF343B">
        <w:t>I</w:t>
      </w:r>
      <w:r w:rsidRPr="00AF343B" w:rsidR="00EE40A2">
        <w:t xml:space="preserve">n 1957, </w:t>
      </w:r>
      <w:r w:rsidRPr="00AF343B">
        <w:t>15 years after our dec</w:t>
      </w:r>
      <w:r w:rsidRPr="00AF343B" w:rsidR="00D02A42">
        <w:t>i</w:t>
      </w:r>
      <w:r w:rsidRPr="00AF343B">
        <w:t xml:space="preserve">sion in </w:t>
      </w:r>
      <w:r w:rsidRPr="00AF343B">
        <w:rPr>
          <w:i/>
          <w:iCs/>
        </w:rPr>
        <w:t>City of Los Angeles v. Offner</w:t>
      </w:r>
      <w:r w:rsidRPr="00AF343B">
        <w:t xml:space="preserve">, </w:t>
      </w:r>
      <w:r w:rsidRPr="00AF343B">
        <w:rPr>
          <w:i/>
          <w:iCs/>
        </w:rPr>
        <w:t>supra</w:t>
      </w:r>
      <w:r w:rsidRPr="00AF343B">
        <w:t xml:space="preserve">, 19 Cal.2d 483, </w:t>
      </w:r>
      <w:r w:rsidRPr="00AF343B" w:rsidR="00EE40A2">
        <w:t>t</w:t>
      </w:r>
      <w:r w:rsidRPr="00AF343B" w:rsidR="00F16B1E">
        <w:t xml:space="preserve">he Legislature enacted </w:t>
      </w:r>
      <w:r w:rsidRPr="00AF343B" w:rsidR="00FC7100">
        <w:t xml:space="preserve">the </w:t>
      </w:r>
      <w:r w:rsidRPr="00AF343B" w:rsidR="000F7F31">
        <w:t xml:space="preserve">provision of the Education Code </w:t>
      </w:r>
      <w:r w:rsidRPr="00AF343B" w:rsidR="003D6F7E">
        <w:t xml:space="preserve">that is </w:t>
      </w:r>
      <w:r w:rsidRPr="00AF343B" w:rsidR="00FC7100">
        <w:t>at the heart of this proceeding</w:t>
      </w:r>
      <w:r w:rsidRPr="00AF343B" w:rsidR="002B29AF">
        <w:t>,</w:t>
      </w:r>
      <w:r w:rsidRPr="00AF343B" w:rsidR="00F16B1E">
        <w:t xml:space="preserve"> a</w:t>
      </w:r>
      <w:r w:rsidRPr="00AF343B" w:rsidR="002B29AF">
        <w:t xml:space="preserve">uthorizing </w:t>
      </w:r>
      <w:r w:rsidRPr="00AF343B" w:rsidR="00F16B1E">
        <w:t>school districts to use lease</w:t>
      </w:r>
      <w:r w:rsidRPr="00AF343B" w:rsidR="00E47C6C">
        <w:t>-leaseback</w:t>
      </w:r>
      <w:r w:rsidRPr="00AF343B" w:rsidR="00C70EE4">
        <w:t xml:space="preserve"> </w:t>
      </w:r>
      <w:r w:rsidRPr="00AF343B" w:rsidR="004E64E7">
        <w:t>arrangements</w:t>
      </w:r>
      <w:r w:rsidRPr="00AF343B" w:rsidR="00630742">
        <w:t xml:space="preserve"> </w:t>
      </w:r>
      <w:r w:rsidRPr="00AF343B" w:rsidR="00F16B1E">
        <w:t xml:space="preserve">as a way </w:t>
      </w:r>
      <w:r w:rsidRPr="00AF343B" w:rsidR="00630742">
        <w:t xml:space="preserve">of </w:t>
      </w:r>
      <w:r w:rsidRPr="00AF343B" w:rsidR="00245D57">
        <w:t>financ</w:t>
      </w:r>
      <w:r w:rsidRPr="00AF343B" w:rsidR="00630742">
        <w:t xml:space="preserve">ing </w:t>
      </w:r>
      <w:r w:rsidRPr="00AF343B" w:rsidR="00F16B1E">
        <w:t xml:space="preserve">the construction of school facilities.  </w:t>
      </w:r>
      <w:r w:rsidRPr="00AF343B" w:rsidR="00C761B6">
        <w:t>(</w:t>
      </w:r>
      <w:r w:rsidRPr="00AF343B" w:rsidR="00BF6C3E">
        <w:t xml:space="preserve">See </w:t>
      </w:r>
      <w:r w:rsidRPr="00AF343B" w:rsidR="00C761B6">
        <w:t>Stats.</w:t>
      </w:r>
      <w:r w:rsidRPr="00AF343B" w:rsidR="00BF6C3E">
        <w:t> </w:t>
      </w:r>
      <w:r w:rsidRPr="00AF343B" w:rsidR="00C761B6">
        <w:t>1957, ch.</w:t>
      </w:r>
      <w:r w:rsidRPr="00AF343B" w:rsidR="00BF6C3E">
        <w:t> </w:t>
      </w:r>
      <w:r w:rsidRPr="00AF343B" w:rsidR="00C761B6">
        <w:t xml:space="preserve">2071, </w:t>
      </w:r>
      <w:r w:rsidRPr="00AF343B" w:rsidR="000F2063">
        <w:t>§</w:t>
      </w:r>
      <w:r w:rsidRPr="00AF343B" w:rsidR="00BF6C3E">
        <w:t> </w:t>
      </w:r>
      <w:r w:rsidRPr="00AF343B" w:rsidR="00C761B6">
        <w:t>1, pp.</w:t>
      </w:r>
      <w:r w:rsidRPr="00AF343B" w:rsidR="00BF6C3E">
        <w:t> </w:t>
      </w:r>
      <w:r w:rsidRPr="00AF343B" w:rsidR="00C761B6">
        <w:t>368</w:t>
      </w:r>
      <w:r w:rsidRPr="00AF343B" w:rsidR="000F2063">
        <w:t>3–</w:t>
      </w:r>
      <w:r w:rsidRPr="00AF343B" w:rsidR="00C761B6">
        <w:t xml:space="preserve">3687.)  </w:t>
      </w:r>
      <w:r w:rsidRPr="00AF343B" w:rsidR="00FC7100">
        <w:t xml:space="preserve">The </w:t>
      </w:r>
      <w:r w:rsidRPr="00AF343B" w:rsidR="00516179">
        <w:t xml:space="preserve">lease-leaseback </w:t>
      </w:r>
      <w:r w:rsidRPr="00AF343B" w:rsidR="00FC7100">
        <w:t xml:space="preserve">provision is now </w:t>
      </w:r>
      <w:r w:rsidRPr="00AF343B" w:rsidR="00CE293E">
        <w:t xml:space="preserve">codified in </w:t>
      </w:r>
      <w:r w:rsidRPr="00AF343B" w:rsidR="00EB0AC6">
        <w:t xml:space="preserve">Education Code </w:t>
      </w:r>
      <w:r w:rsidRPr="00AF343B" w:rsidR="00FC7100">
        <w:t>section 17406</w:t>
      </w:r>
      <w:r w:rsidRPr="00AF343B" w:rsidR="009A4AD3">
        <w:t xml:space="preserve"> </w:t>
      </w:r>
      <w:r w:rsidRPr="00AF343B" w:rsidR="00236EDF">
        <w:t>(</w:t>
      </w:r>
      <w:r w:rsidR="00236EDF">
        <w:t>section</w:t>
      </w:r>
      <w:r w:rsidRPr="00AF343B" w:rsidR="00236EDF">
        <w:t> </w:t>
      </w:r>
      <w:r w:rsidRPr="00AF343B" w:rsidR="009A4AD3">
        <w:t>17406)</w:t>
      </w:r>
      <w:r w:rsidRPr="00AF343B" w:rsidR="00FC7100">
        <w:t>.</w:t>
      </w:r>
      <w:r>
        <w:rPr>
          <w:rStyle w:val="FootnoteReference"/>
        </w:rPr>
        <w:footnoteReference w:id="5"/>
      </w:r>
      <w:r w:rsidRPr="00AF343B" w:rsidR="00FC7100">
        <w:t xml:space="preserve">  </w:t>
      </w:r>
      <w:r w:rsidRPr="00AF343B" w:rsidR="00F16B1E">
        <w:t>Under</w:t>
      </w:r>
      <w:r w:rsidRPr="00AF343B" w:rsidR="00EB0AC6">
        <w:t xml:space="preserve"> </w:t>
      </w:r>
      <w:r w:rsidRPr="00AF343B" w:rsidR="00F16B1E">
        <w:t xml:space="preserve">section 17406, a school district </w:t>
      </w:r>
      <w:r w:rsidRPr="00AF343B" w:rsidR="00A236E7">
        <w:t xml:space="preserve">may </w:t>
      </w:r>
      <w:r w:rsidRPr="00AF343B" w:rsidR="00F16B1E">
        <w:t xml:space="preserve">lease its land to a </w:t>
      </w:r>
      <w:r w:rsidRPr="00AF343B" w:rsidR="00B464C1">
        <w:t xml:space="preserve">builder (or </w:t>
      </w:r>
      <w:r w:rsidRPr="00AF343B" w:rsidR="00F52631">
        <w:t xml:space="preserve">some </w:t>
      </w:r>
      <w:r w:rsidRPr="00AF343B" w:rsidR="00B23A43">
        <w:t xml:space="preserve">related </w:t>
      </w:r>
      <w:r w:rsidRPr="00AF343B" w:rsidR="00B464C1">
        <w:t xml:space="preserve">entity) </w:t>
      </w:r>
      <w:r w:rsidRPr="00AF343B" w:rsidR="00F16B1E">
        <w:t>for $1 per year</w:t>
      </w:r>
      <w:r w:rsidRPr="00AF343B" w:rsidR="00C82D20">
        <w:t xml:space="preserve">, and the </w:t>
      </w:r>
      <w:r w:rsidRPr="00AF343B" w:rsidR="00B464C1">
        <w:t xml:space="preserve">builder </w:t>
      </w:r>
      <w:r w:rsidRPr="00AF343B">
        <w:t xml:space="preserve">then </w:t>
      </w:r>
      <w:r w:rsidRPr="00AF343B" w:rsidR="00B464C1">
        <w:t xml:space="preserve">constructs </w:t>
      </w:r>
      <w:r w:rsidRPr="00AF343B" w:rsidR="00526E0A">
        <w:t>a building</w:t>
      </w:r>
      <w:r w:rsidRPr="00AF343B" w:rsidR="00B464C1">
        <w:t xml:space="preserve"> </w:t>
      </w:r>
      <w:r w:rsidRPr="00AF343B" w:rsidR="00526E0A">
        <w:t xml:space="preserve">or buildings </w:t>
      </w:r>
      <w:r w:rsidRPr="00AF343B" w:rsidR="00643C7E">
        <w:t>on that land</w:t>
      </w:r>
      <w:r w:rsidRPr="00AF343B" w:rsidR="00A71F9A">
        <w:t>.</w:t>
      </w:r>
      <w:r w:rsidRPr="00AF343B" w:rsidR="00CB3014">
        <w:t xml:space="preserve">  </w:t>
      </w:r>
      <w:r w:rsidRPr="00AF343B" w:rsidR="00EF7528">
        <w:t xml:space="preserve">Typically, the builder is compensated by leasing the land and the newly constructed school facilities back to the school district for </w:t>
      </w:r>
      <w:r w:rsidRPr="00AF343B" w:rsidR="007B1474">
        <w:t xml:space="preserve">a period of </w:t>
      </w:r>
      <w:r w:rsidRPr="00AF343B" w:rsidR="00EF3D5C">
        <w:t xml:space="preserve">several </w:t>
      </w:r>
      <w:r w:rsidRPr="00AF343B" w:rsidR="007B1474">
        <w:t>years</w:t>
      </w:r>
      <w:r w:rsidRPr="00AF343B">
        <w:t xml:space="preserve"> after construction is complete, </w:t>
      </w:r>
      <w:r w:rsidRPr="00AF343B" w:rsidR="00E04143">
        <w:t xml:space="preserve">receiving </w:t>
      </w:r>
      <w:r w:rsidRPr="00AF343B">
        <w:t xml:space="preserve">regular </w:t>
      </w:r>
      <w:r w:rsidRPr="00AF343B" w:rsidR="004D3876">
        <w:t xml:space="preserve">lease </w:t>
      </w:r>
      <w:r w:rsidRPr="00AF343B" w:rsidR="00E04143">
        <w:t>payments under that multiyear lease</w:t>
      </w:r>
      <w:r w:rsidRPr="00AF343B" w:rsidR="007B1474">
        <w:t xml:space="preserve">.  </w:t>
      </w:r>
      <w:r w:rsidRPr="00AF343B" w:rsidR="00EF7528">
        <w:t>(</w:t>
      </w:r>
      <w:r w:rsidRPr="00AF343B" w:rsidR="007B1474">
        <w:t>S</w:t>
      </w:r>
      <w:r w:rsidRPr="00AF343B" w:rsidR="00EF7528">
        <w:t xml:space="preserve">ee </w:t>
      </w:r>
      <w:r w:rsidR="00255469">
        <w:t>Ed. Code</w:t>
      </w:r>
      <w:r w:rsidRPr="00AF343B" w:rsidR="00EF7528">
        <w:t>, § 17417</w:t>
      </w:r>
      <w:r w:rsidRPr="00AF343B" w:rsidR="007B1474">
        <w:t>.</w:t>
      </w:r>
      <w:r w:rsidRPr="00AF343B" w:rsidR="00EF7528">
        <w:t>)</w:t>
      </w:r>
      <w:r w:rsidRPr="00AF343B" w:rsidR="007B1474">
        <w:t xml:space="preserve">  </w:t>
      </w:r>
      <w:r w:rsidRPr="00AF343B">
        <w:t xml:space="preserve">Finally, </w:t>
      </w:r>
      <w:r w:rsidRPr="00AF343B" w:rsidR="00EF7528">
        <w:t>when both leases terminate, title to the land and the new facilities vests in the school district</w:t>
      </w:r>
      <w:r w:rsidRPr="00AF343B" w:rsidR="007B1474">
        <w:t>.</w:t>
      </w:r>
      <w:r w:rsidRPr="00AF343B" w:rsidR="00EF7528">
        <w:t xml:space="preserve"> </w:t>
      </w:r>
      <w:r w:rsidRPr="00AF343B" w:rsidR="007B1474">
        <w:t xml:space="preserve"> </w:t>
      </w:r>
      <w:r w:rsidRPr="00AF343B" w:rsidR="00EF7528">
        <w:t>(</w:t>
      </w:r>
      <w:r w:rsidRPr="00AF343B" w:rsidR="007B1474">
        <w:rPr>
          <w:i/>
          <w:iCs/>
        </w:rPr>
        <w:t>I</w:t>
      </w:r>
      <w:r w:rsidRPr="00AF343B" w:rsidR="00EF7528">
        <w:rPr>
          <w:i/>
          <w:iCs/>
        </w:rPr>
        <w:t>d</w:t>
      </w:r>
      <w:r w:rsidRPr="00AF343B" w:rsidR="00EF7528">
        <w:t>., § 17406.</w:t>
      </w:r>
      <w:r w:rsidRPr="00AF343B" w:rsidR="007B1474">
        <w:t>)</w:t>
      </w:r>
      <w:r w:rsidRPr="00AF343B" w:rsidR="00EF7528">
        <w:t xml:space="preserve">  </w:t>
      </w:r>
      <w:r w:rsidRPr="00AF343B">
        <w:t>In this way</w:t>
      </w:r>
      <w:r w:rsidRPr="00AF343B" w:rsidR="00BD57C2">
        <w:t xml:space="preserve">, the school district </w:t>
      </w:r>
      <w:r w:rsidRPr="00AF343B" w:rsidR="002235AF">
        <w:t>obtain</w:t>
      </w:r>
      <w:r w:rsidRPr="00AF343B" w:rsidR="009B06E3">
        <w:t>s</w:t>
      </w:r>
      <w:r w:rsidRPr="00AF343B" w:rsidR="002235AF">
        <w:t xml:space="preserve"> costly </w:t>
      </w:r>
      <w:r w:rsidRPr="00AF343B" w:rsidR="00EE1CA9">
        <w:t>i</w:t>
      </w:r>
      <w:r w:rsidRPr="00AF343B" w:rsidR="002235AF">
        <w:t xml:space="preserve">mprovements </w:t>
      </w:r>
      <w:r w:rsidRPr="00AF343B" w:rsidR="00DE432B">
        <w:t xml:space="preserve">to </w:t>
      </w:r>
      <w:r w:rsidRPr="00AF343B">
        <w:t xml:space="preserve">its </w:t>
      </w:r>
      <w:r w:rsidRPr="00AF343B" w:rsidR="00DE432B">
        <w:t xml:space="preserve">school facilities </w:t>
      </w:r>
      <w:r w:rsidRPr="00AF343B" w:rsidR="002235AF">
        <w:t>and pay</w:t>
      </w:r>
      <w:r w:rsidRPr="00AF343B" w:rsidR="009B06E3">
        <w:t>s</w:t>
      </w:r>
      <w:r w:rsidRPr="00AF343B" w:rsidR="002235AF">
        <w:t xml:space="preserve"> for them over the course of </w:t>
      </w:r>
      <w:r w:rsidRPr="00AF343B" w:rsidR="00F52631">
        <w:t xml:space="preserve">many </w:t>
      </w:r>
      <w:r w:rsidRPr="00AF343B" w:rsidR="002235AF">
        <w:t xml:space="preserve">years, but it </w:t>
      </w:r>
      <w:r w:rsidRPr="00AF343B" w:rsidR="00252A68">
        <w:t>do</w:t>
      </w:r>
      <w:r w:rsidRPr="00AF343B" w:rsidR="009B06E3">
        <w:t>es</w:t>
      </w:r>
      <w:r w:rsidRPr="00AF343B" w:rsidR="00252A68">
        <w:t xml:space="preserve"> so </w:t>
      </w:r>
      <w:r w:rsidRPr="00AF343B" w:rsidR="002235AF">
        <w:t>without entering into a debt obligation that would require voter approval</w:t>
      </w:r>
      <w:r w:rsidRPr="00AF343B" w:rsidR="00BD57C2">
        <w:t xml:space="preserve">.  </w:t>
      </w:r>
      <w:r w:rsidRPr="00AF343B" w:rsidR="00DE432B">
        <w:t>In essence</w:t>
      </w:r>
      <w:r w:rsidRPr="00AF343B" w:rsidR="00252A68">
        <w:t xml:space="preserve">, </w:t>
      </w:r>
      <w:r w:rsidRPr="00AF343B" w:rsidR="00B464C1">
        <w:t xml:space="preserve">the </w:t>
      </w:r>
      <w:r w:rsidRPr="00AF343B" w:rsidR="00933D6B">
        <w:t>school district</w:t>
      </w:r>
      <w:r w:rsidRPr="00AF343B" w:rsidR="00474D11">
        <w:t xml:space="preserve"> </w:t>
      </w:r>
      <w:r w:rsidRPr="00AF343B" w:rsidR="00EE5C3F">
        <w:t>shifts the</w:t>
      </w:r>
      <w:r w:rsidRPr="00AF343B" w:rsidR="00C76710">
        <w:t xml:space="preserve"> </w:t>
      </w:r>
      <w:r w:rsidRPr="00AF343B" w:rsidR="00EE5C3F">
        <w:t xml:space="preserve">financing of the </w:t>
      </w:r>
      <w:r w:rsidRPr="00AF343B" w:rsidR="00D451D0">
        <w:t xml:space="preserve">construction </w:t>
      </w:r>
      <w:r w:rsidRPr="00AF343B" w:rsidR="00EE5C3F">
        <w:t>project to the builder</w:t>
      </w:r>
      <w:r w:rsidRPr="00AF343B" w:rsidR="001D1619">
        <w:t xml:space="preserve"> (or some related entity)</w:t>
      </w:r>
      <w:r w:rsidRPr="00AF343B" w:rsidR="00EE5C3F">
        <w:t xml:space="preserve">, </w:t>
      </w:r>
      <w:r w:rsidRPr="00AF343B" w:rsidR="00205498">
        <w:t>who in order</w:t>
      </w:r>
      <w:r w:rsidRPr="00AF343B" w:rsidR="00983A71">
        <w:t xml:space="preserve"> </w:t>
      </w:r>
      <w:r w:rsidRPr="00AF343B" w:rsidR="00252A68">
        <w:t xml:space="preserve">to </w:t>
      </w:r>
      <w:r w:rsidRPr="00AF343B" w:rsidR="002235AF">
        <w:t xml:space="preserve">secure </w:t>
      </w:r>
      <w:r w:rsidRPr="00AF343B" w:rsidR="00C76710">
        <w:t xml:space="preserve">that </w:t>
      </w:r>
      <w:r w:rsidRPr="00AF343B" w:rsidR="00BB50AA">
        <w:t>financing</w:t>
      </w:r>
      <w:r w:rsidRPr="00AF343B" w:rsidR="002235AF">
        <w:t xml:space="preserve">, </w:t>
      </w:r>
      <w:r w:rsidRPr="00AF343B" w:rsidR="00C76710">
        <w:t>is free to as</w:t>
      </w:r>
      <w:r w:rsidRPr="00AF343B" w:rsidR="002235AF">
        <w:t xml:space="preserve">sign </w:t>
      </w:r>
      <w:r w:rsidRPr="00AF343B" w:rsidR="00D451D0">
        <w:t xml:space="preserve">to a lender </w:t>
      </w:r>
      <w:r w:rsidRPr="00AF343B" w:rsidR="002235AF">
        <w:t>its right</w:t>
      </w:r>
      <w:r w:rsidRPr="00AF343B" w:rsidR="009B06E3">
        <w:t xml:space="preserve"> to </w:t>
      </w:r>
      <w:r w:rsidRPr="00AF343B" w:rsidR="00CB1ACD">
        <w:t xml:space="preserve">receive </w:t>
      </w:r>
      <w:r w:rsidRPr="00AF343B" w:rsidR="009B06E3">
        <w:t>lease payment</w:t>
      </w:r>
      <w:r w:rsidRPr="00AF343B" w:rsidR="00474D11">
        <w:t>s from the school district</w:t>
      </w:r>
      <w:r w:rsidRPr="00AF343B" w:rsidR="002235AF">
        <w:t xml:space="preserve">.  </w:t>
      </w:r>
      <w:r w:rsidRPr="00AF343B" w:rsidR="00FF0830">
        <w:t xml:space="preserve">(See, e.g., </w:t>
      </w:r>
      <w:r w:rsidRPr="00AF343B" w:rsidR="00FF0830">
        <w:rPr>
          <w:i/>
          <w:iCs/>
        </w:rPr>
        <w:t>City of Desert Hot Springs v. County of Riverside</w:t>
      </w:r>
      <w:r w:rsidRPr="00AF343B" w:rsidR="00FF0830">
        <w:t xml:space="preserve"> (</w:t>
      </w:r>
      <w:r w:rsidRPr="00AF343B" w:rsidR="00AD4275">
        <w:t>1979</w:t>
      </w:r>
      <w:r w:rsidRPr="00AF343B" w:rsidR="00FF0830">
        <w:t xml:space="preserve">) </w:t>
      </w:r>
      <w:r w:rsidRPr="00AF343B" w:rsidR="00AD4275">
        <w:t>9</w:t>
      </w:r>
      <w:r w:rsidRPr="00AF343B" w:rsidR="00FF0830">
        <w:t>1</w:t>
      </w:r>
      <w:r w:rsidRPr="00AF343B" w:rsidR="00AD4275">
        <w:t xml:space="preserve"> Cal.App.3d 44</w:t>
      </w:r>
      <w:r w:rsidRPr="00AF343B" w:rsidR="00FF0830">
        <w:t>1</w:t>
      </w:r>
      <w:r w:rsidRPr="00AF343B" w:rsidR="00AD4275">
        <w:t>, 444–445</w:t>
      </w:r>
      <w:r w:rsidRPr="00AF343B" w:rsidR="00FF0830">
        <w:t xml:space="preserve">.)  </w:t>
      </w:r>
      <w:r w:rsidRPr="00AF343B" w:rsidR="00252A68">
        <w:t>T</w:t>
      </w:r>
      <w:r w:rsidRPr="00AF343B" w:rsidR="009B06E3">
        <w:t>hus</w:t>
      </w:r>
      <w:r w:rsidRPr="00AF343B" w:rsidR="00252A68">
        <w:t xml:space="preserve">, </w:t>
      </w:r>
      <w:r w:rsidRPr="00AF343B" w:rsidR="00BD0EC5">
        <w:t>consistent with the provision</w:t>
      </w:r>
      <w:r w:rsidRPr="00AF343B">
        <w:t>s</w:t>
      </w:r>
      <w:r w:rsidRPr="00AF343B" w:rsidR="00BD0EC5">
        <w:t xml:space="preserve"> of </w:t>
      </w:r>
      <w:r w:rsidRPr="00AF343B">
        <w:t>s</w:t>
      </w:r>
      <w:r w:rsidRPr="00AF343B" w:rsidR="00BD0EC5">
        <w:t>ection</w:t>
      </w:r>
      <w:r w:rsidRPr="00AF343B">
        <w:t xml:space="preserve"> </w:t>
      </w:r>
      <w:r w:rsidRPr="00AF343B" w:rsidR="00BD0EC5">
        <w:t xml:space="preserve">17406, even though </w:t>
      </w:r>
      <w:r w:rsidRPr="00AF343B" w:rsidR="009B06E3">
        <w:t>a</w:t>
      </w:r>
      <w:r w:rsidRPr="00AF343B" w:rsidR="002235AF">
        <w:t xml:space="preserve"> school district </w:t>
      </w:r>
      <w:r w:rsidRPr="00AF343B" w:rsidR="00983A71">
        <w:t xml:space="preserve">may </w:t>
      </w:r>
      <w:r w:rsidRPr="00AF343B" w:rsidR="00C76710">
        <w:t xml:space="preserve">end up </w:t>
      </w:r>
      <w:r w:rsidRPr="00AF343B" w:rsidR="00077CC8">
        <w:t xml:space="preserve">making payments directly to a </w:t>
      </w:r>
      <w:r w:rsidRPr="00AF343B" w:rsidR="00252A68">
        <w:t>lender</w:t>
      </w:r>
      <w:r w:rsidRPr="00AF343B" w:rsidR="00C76710">
        <w:t xml:space="preserve">, </w:t>
      </w:r>
      <w:r w:rsidRPr="00AF343B" w:rsidR="00983A71">
        <w:t xml:space="preserve">from the district’s perspective, </w:t>
      </w:r>
      <w:r w:rsidRPr="00AF343B" w:rsidR="00BB50AA">
        <w:t>the payments are lease payments</w:t>
      </w:r>
      <w:r w:rsidRPr="00AF343B" w:rsidR="009430ED">
        <w:t xml:space="preserve"> and</w:t>
      </w:r>
      <w:r w:rsidRPr="00AF343B" w:rsidR="00BB50AA">
        <w:t xml:space="preserve"> not </w:t>
      </w:r>
      <w:r w:rsidRPr="00AF343B" w:rsidR="00933D6B">
        <w:t>debt service</w:t>
      </w:r>
      <w:r w:rsidRPr="00AF343B">
        <w:t>.</w:t>
      </w:r>
    </w:p>
    <w:p w:rsidR="0077213F" w:rsidRPr="00AF343B" w:rsidP="00AF343B">
      <w:pPr>
        <w:tabs>
          <w:tab w:val="left" w:pos="1440"/>
        </w:tabs>
        <w:ind w:firstLine="720"/>
      </w:pPr>
      <w:bookmarkEnd w:id="3"/>
      <w:r w:rsidRPr="00AF343B">
        <w:t xml:space="preserve">Significantly, </w:t>
      </w:r>
      <w:r w:rsidRPr="00AF343B" w:rsidR="00EE23E3">
        <w:t>section 1</w:t>
      </w:r>
      <w:r w:rsidRPr="00AF343B" w:rsidR="00675091">
        <w:t>74</w:t>
      </w:r>
      <w:r w:rsidRPr="00AF343B" w:rsidR="00EE23E3">
        <w:t xml:space="preserve">06 does not </w:t>
      </w:r>
      <w:r w:rsidRPr="00AF343B" w:rsidR="00CA5D2A">
        <w:t>mere</w:t>
      </w:r>
      <w:r w:rsidRPr="00AF343B" w:rsidR="009B06E3">
        <w:t xml:space="preserve">ly </w:t>
      </w:r>
      <w:r w:rsidRPr="00AF343B" w:rsidR="00EE23E3">
        <w:t xml:space="preserve">provide a </w:t>
      </w:r>
      <w:r w:rsidRPr="00AF343B" w:rsidR="00AB18F8">
        <w:t xml:space="preserve">method by which a </w:t>
      </w:r>
      <w:r w:rsidRPr="00AF343B" w:rsidR="00EE23E3">
        <w:t xml:space="preserve">school district can avoid the </w:t>
      </w:r>
      <w:r w:rsidRPr="00AF343B" w:rsidR="008C2347">
        <w:t xml:space="preserve">state </w:t>
      </w:r>
      <w:r w:rsidRPr="00AF343B" w:rsidR="00EE23E3">
        <w:t xml:space="preserve">Constitution’s debt </w:t>
      </w:r>
      <w:r w:rsidRPr="00AF343B" w:rsidR="008C2347">
        <w:t>restric</w:t>
      </w:r>
      <w:r w:rsidRPr="00AF343B" w:rsidR="00591066">
        <w:t>tions</w:t>
      </w:r>
      <w:r w:rsidRPr="00AF343B" w:rsidR="00EE23E3">
        <w:t xml:space="preserve">; it also </w:t>
      </w:r>
      <w:r w:rsidRPr="00AF343B">
        <w:t xml:space="preserve">allows </w:t>
      </w:r>
      <w:r w:rsidRPr="00AF343B" w:rsidR="00AB18F8">
        <w:t xml:space="preserve">a </w:t>
      </w:r>
      <w:r w:rsidRPr="00AF343B" w:rsidR="00EE23E3">
        <w:t xml:space="preserve">school district </w:t>
      </w:r>
      <w:r w:rsidRPr="00AF343B">
        <w:t xml:space="preserve">to </w:t>
      </w:r>
      <w:r w:rsidRPr="00AF343B" w:rsidR="00EE23E3">
        <w:t>avoid competitive bidding requirements</w:t>
      </w:r>
      <w:r w:rsidRPr="00AF343B" w:rsidR="006C66C5">
        <w:t xml:space="preserve"> </w:t>
      </w:r>
      <w:r w:rsidRPr="00AF343B" w:rsidR="00AE5387">
        <w:t xml:space="preserve">otherwise </w:t>
      </w:r>
      <w:r w:rsidRPr="00AF343B" w:rsidR="006C66C5">
        <w:t>mandated by state law</w:t>
      </w:r>
      <w:r w:rsidRPr="00AF343B">
        <w:t>.</w:t>
      </w:r>
      <w:r>
        <w:rPr>
          <w:rStyle w:val="FootnoteReference"/>
        </w:rPr>
        <w:footnoteReference w:id="6"/>
      </w:r>
      <w:r w:rsidRPr="00AF343B" w:rsidR="004E446E">
        <w:t xml:space="preserve">  Moreover, s</w:t>
      </w:r>
      <w:r w:rsidRPr="00AF343B" w:rsidR="003C164B">
        <w:t xml:space="preserve">ome districts </w:t>
      </w:r>
      <w:r w:rsidRPr="00AF343B" w:rsidR="004E446E">
        <w:t xml:space="preserve">use </w:t>
      </w:r>
      <w:r w:rsidRPr="00AF343B" w:rsidR="009E588D">
        <w:t xml:space="preserve">lease-leaseback arrangements </w:t>
      </w:r>
      <w:r w:rsidRPr="00AF343B" w:rsidR="004E446E">
        <w:t xml:space="preserve">for the latter </w:t>
      </w:r>
      <w:r w:rsidRPr="00AF343B" w:rsidR="00587CEA">
        <w:t xml:space="preserve">purpose </w:t>
      </w:r>
      <w:r w:rsidRPr="00AF343B" w:rsidR="00B77DD0">
        <w:t>alone</w:t>
      </w:r>
      <w:r w:rsidRPr="00AF343B" w:rsidR="004E446E">
        <w:t xml:space="preserve">.  </w:t>
      </w:r>
      <w:r w:rsidRPr="00AF343B" w:rsidR="00582152">
        <w:t>U</w:t>
      </w:r>
      <w:r w:rsidRPr="00AF343B" w:rsidR="002C7DAD">
        <w:t xml:space="preserve">nder this approach, </w:t>
      </w:r>
      <w:r w:rsidRPr="00AF343B" w:rsidR="000769BD">
        <w:t>t</w:t>
      </w:r>
      <w:r w:rsidRPr="00AF343B" w:rsidR="0069264F">
        <w:t xml:space="preserve">here </w:t>
      </w:r>
      <w:r w:rsidRPr="00AF343B" w:rsidR="008E236A">
        <w:t>is</w:t>
      </w:r>
      <w:r w:rsidRPr="00AF343B" w:rsidR="00D72C08">
        <w:t xml:space="preserve"> </w:t>
      </w:r>
      <w:r w:rsidRPr="00AF343B" w:rsidR="0069264F">
        <w:t>no multiyear lease</w:t>
      </w:r>
      <w:r w:rsidRPr="00AF343B" w:rsidR="00FA17EE">
        <w:t>back</w:t>
      </w:r>
      <w:r w:rsidRPr="00AF343B" w:rsidR="0069264F">
        <w:t xml:space="preserve"> of the completed project </w:t>
      </w:r>
      <w:r w:rsidRPr="00AF343B" w:rsidR="00AA5AB7">
        <w:t xml:space="preserve">to the school district </w:t>
      </w:r>
      <w:r w:rsidRPr="00AF343B" w:rsidR="0069264F">
        <w:t xml:space="preserve">after </w:t>
      </w:r>
      <w:r w:rsidRPr="00AF343B">
        <w:t>construction is complete</w:t>
      </w:r>
      <w:r w:rsidRPr="00AF343B" w:rsidR="00AE556E">
        <w:t xml:space="preserve">, and </w:t>
      </w:r>
      <w:r w:rsidRPr="00AF343B" w:rsidR="005C4AD2">
        <w:t xml:space="preserve">therefore </w:t>
      </w:r>
      <w:r w:rsidRPr="00AF343B" w:rsidR="00FB2455">
        <w:t xml:space="preserve">there is </w:t>
      </w:r>
      <w:r w:rsidRPr="00AF343B" w:rsidR="00860F9F">
        <w:t>no builder financing of the project</w:t>
      </w:r>
      <w:r w:rsidRPr="00AF343B" w:rsidR="004E446E">
        <w:t>.  T</w:t>
      </w:r>
      <w:r w:rsidRPr="00AF343B" w:rsidR="001E61C7">
        <w:t xml:space="preserve">he </w:t>
      </w:r>
      <w:r w:rsidRPr="00AF343B" w:rsidR="00400AEE">
        <w:t xml:space="preserve">lease </w:t>
      </w:r>
      <w:r w:rsidRPr="00AF343B" w:rsidR="001E61C7">
        <w:t xml:space="preserve">payments </w:t>
      </w:r>
      <w:r w:rsidRPr="00AF343B" w:rsidR="00FA17EE">
        <w:t xml:space="preserve">by the school district </w:t>
      </w:r>
      <w:r w:rsidRPr="00AF343B" w:rsidR="004E446E">
        <w:t>compensate the builder for construction services</w:t>
      </w:r>
      <w:r w:rsidRPr="00AF343B" w:rsidR="00684450">
        <w:t xml:space="preserve"> performed during the period </w:t>
      </w:r>
      <w:r w:rsidRPr="00AF343B" w:rsidR="000F3884">
        <w:t xml:space="preserve">that </w:t>
      </w:r>
      <w:r w:rsidRPr="00AF343B" w:rsidR="00684450">
        <w:t xml:space="preserve">the payment covers, and when the project is complete, the lease payments </w:t>
      </w:r>
      <w:r w:rsidRPr="00AF343B" w:rsidR="000F3884">
        <w:t>cease</w:t>
      </w:r>
      <w:r w:rsidRPr="00AF343B" w:rsidR="00684450">
        <w:t>.</w:t>
      </w:r>
    </w:p>
    <w:p w:rsidR="005915FE" w:rsidRPr="00AF343B" w:rsidP="00AF343B">
      <w:pPr>
        <w:tabs>
          <w:tab w:val="left" w:pos="1440"/>
        </w:tabs>
        <w:ind w:firstLine="720"/>
      </w:pPr>
      <w:r w:rsidRPr="00AF343B">
        <w:t>T</w:t>
      </w:r>
      <w:r w:rsidRPr="00AF343B" w:rsidR="00A438D0">
        <w:t xml:space="preserve">he </w:t>
      </w:r>
      <w:r w:rsidRPr="00AF343B">
        <w:t>C</w:t>
      </w:r>
      <w:r w:rsidRPr="00AF343B" w:rsidR="00A438D0">
        <w:t xml:space="preserve">ourts of </w:t>
      </w:r>
      <w:r w:rsidRPr="00AF343B">
        <w:t>A</w:t>
      </w:r>
      <w:r w:rsidRPr="00AF343B" w:rsidR="00A438D0">
        <w:t xml:space="preserve">ppeal have reached conflicting </w:t>
      </w:r>
      <w:r w:rsidRPr="00AF343B" w:rsidR="0078534F">
        <w:t xml:space="preserve">decisions </w:t>
      </w:r>
      <w:r w:rsidRPr="00AF343B">
        <w:t xml:space="preserve">as to whether </w:t>
      </w:r>
      <w:r w:rsidRPr="00AF343B" w:rsidR="00C3577B">
        <w:t>this</w:t>
      </w:r>
      <w:r w:rsidRPr="00AF343B">
        <w:t xml:space="preserve"> </w:t>
      </w:r>
      <w:r w:rsidRPr="00AF343B" w:rsidR="009430ED">
        <w:t xml:space="preserve">manner of structuring </w:t>
      </w:r>
      <w:r w:rsidRPr="00AF343B">
        <w:t xml:space="preserve">a </w:t>
      </w:r>
      <w:r w:rsidRPr="00AF343B" w:rsidR="00C27219">
        <w:t xml:space="preserve">lease-leaseback arrangement is consistent with </w:t>
      </w:r>
      <w:r w:rsidRPr="00AF343B" w:rsidR="00C3577B">
        <w:t>section 17406</w:t>
      </w:r>
      <w:r w:rsidRPr="00AF343B" w:rsidR="00D709D0">
        <w:t xml:space="preserve"> (compare </w:t>
      </w:r>
      <w:r w:rsidRPr="00AF343B" w:rsidR="00F042A4">
        <w:rPr>
          <w:i/>
          <w:iCs/>
        </w:rPr>
        <w:t>Davis I</w:t>
      </w:r>
      <w:r w:rsidRPr="00AF343B" w:rsidR="00F042A4">
        <w:t xml:space="preserve">, </w:t>
      </w:r>
      <w:r w:rsidRPr="00AF343B" w:rsidR="00F042A4">
        <w:rPr>
          <w:i/>
          <w:iCs/>
        </w:rPr>
        <w:t>supra</w:t>
      </w:r>
      <w:r w:rsidRPr="00AF343B" w:rsidR="00F042A4">
        <w:t xml:space="preserve">, 237 Cal.App.4th </w:t>
      </w:r>
      <w:r w:rsidRPr="00AF343B" w:rsidR="00D709D0">
        <w:t>261 [</w:t>
      </w:r>
      <w:r w:rsidR="006356E1">
        <w:t>§</w:t>
      </w:r>
      <w:r w:rsidRPr="00AF343B" w:rsidR="00D709D0">
        <w:t xml:space="preserve"> 17406 applies only to builder-financed projects, not projects that are </w:t>
      </w:r>
      <w:r w:rsidRPr="00AF343B" w:rsidR="00575EBA">
        <w:t xml:space="preserve">independently </w:t>
      </w:r>
      <w:r w:rsidRPr="00AF343B" w:rsidR="00D709D0">
        <w:t xml:space="preserve">financed by the school district] with </w:t>
      </w:r>
      <w:r w:rsidRPr="00AF343B" w:rsidR="00812BFA">
        <w:rPr>
          <w:i/>
          <w:iCs/>
        </w:rPr>
        <w:t>California Taxpayers Action Network v. Taber Construction, Inc.</w:t>
      </w:r>
      <w:r w:rsidRPr="00AF343B" w:rsidR="00812BFA">
        <w:t xml:space="preserve"> (2017) 12 Cal.App.5th 115 </w:t>
      </w:r>
      <w:r w:rsidRPr="00AF343B" w:rsidR="00D709D0">
        <w:t>[rejecting that conclusion]</w:t>
      </w:r>
      <w:r w:rsidR="006356E1">
        <w:t xml:space="preserve"> and</w:t>
      </w:r>
      <w:r w:rsidRPr="00AF343B" w:rsidR="00D709D0">
        <w:t xml:space="preserve"> </w:t>
      </w:r>
      <w:r w:rsidRPr="00AF343B" w:rsidR="00D709D0">
        <w:rPr>
          <w:i/>
          <w:iCs/>
        </w:rPr>
        <w:t>McGee v. Balfour Beatty Construction, LLC</w:t>
      </w:r>
      <w:r w:rsidRPr="00AF343B" w:rsidR="00D709D0">
        <w:t xml:space="preserve"> (2016) 247 Cal.App.4th 202 [same]),</w:t>
      </w:r>
      <w:r w:rsidRPr="00AF343B" w:rsidR="002240D1">
        <w:t xml:space="preserve"> </w:t>
      </w:r>
      <w:r w:rsidRPr="00AF343B">
        <w:t xml:space="preserve">but </w:t>
      </w:r>
      <w:r w:rsidRPr="00AF343B" w:rsidR="00D709D0">
        <w:t xml:space="preserve">that split of authority </w:t>
      </w:r>
      <w:r w:rsidRPr="00AF343B" w:rsidR="00670C8B">
        <w:t xml:space="preserve">is </w:t>
      </w:r>
      <w:r w:rsidRPr="00AF343B" w:rsidR="00670C8B">
        <w:rPr>
          <w:i/>
          <w:iCs/>
        </w:rPr>
        <w:t>not</w:t>
      </w:r>
      <w:r w:rsidRPr="00AF343B" w:rsidR="00670C8B">
        <w:t xml:space="preserve"> before us.</w:t>
      </w:r>
      <w:r w:rsidRPr="00AF343B" w:rsidR="00D709D0">
        <w:t xml:space="preserve">  </w:t>
      </w:r>
      <w:r w:rsidRPr="00AF343B" w:rsidR="002B6423">
        <w:t>Instead</w:t>
      </w:r>
      <w:r w:rsidRPr="00AF343B" w:rsidR="00501512">
        <w:t>,</w:t>
      </w:r>
      <w:r w:rsidRPr="00AF343B" w:rsidR="002B6423">
        <w:t xml:space="preserve"> the </w:t>
      </w:r>
      <w:r w:rsidRPr="00AF343B" w:rsidR="0078534F">
        <w:t xml:space="preserve">narrow </w:t>
      </w:r>
      <w:r w:rsidRPr="00AF343B" w:rsidR="002B6423">
        <w:t xml:space="preserve">question we </w:t>
      </w:r>
      <w:r w:rsidRPr="00AF343B" w:rsidR="0078534F">
        <w:t xml:space="preserve">decide here is </w:t>
      </w:r>
      <w:r w:rsidRPr="00AF343B" w:rsidR="002B6423">
        <w:t xml:space="preserve">whether a validation action </w:t>
      </w:r>
      <w:r w:rsidRPr="00AF343B" w:rsidR="00424A84">
        <w:t xml:space="preserve">under the validation statutes </w:t>
      </w:r>
      <w:r w:rsidRPr="00AF343B" w:rsidR="002B6423">
        <w:t xml:space="preserve">(Code Civ. </w:t>
      </w:r>
      <w:r w:rsidRPr="00AF343B" w:rsidR="00603686">
        <w:t>Proc.</w:t>
      </w:r>
      <w:r w:rsidRPr="00AF343B" w:rsidR="002B6423">
        <w:t xml:space="preserve">, § 860 et seq.) is </w:t>
      </w:r>
      <w:r w:rsidRPr="00AF343B" w:rsidR="005130A1">
        <w:t xml:space="preserve">the </w:t>
      </w:r>
      <w:r w:rsidRPr="00AF343B" w:rsidR="002B6423">
        <w:t xml:space="preserve">appropriate procedural vehicle </w:t>
      </w:r>
      <w:r w:rsidRPr="00AF343B" w:rsidR="00F84F46">
        <w:t xml:space="preserve">for </w:t>
      </w:r>
      <w:r w:rsidRPr="00AF343B" w:rsidR="006974A5">
        <w:t>challeng</w:t>
      </w:r>
      <w:r w:rsidRPr="00AF343B" w:rsidR="00F84F46">
        <w:t xml:space="preserve">ing </w:t>
      </w:r>
      <w:r w:rsidRPr="00AF343B" w:rsidR="006D21B3">
        <w:t xml:space="preserve">the </w:t>
      </w:r>
      <w:r w:rsidRPr="00AF343B" w:rsidR="002B6423">
        <w:t>valid</w:t>
      </w:r>
      <w:r w:rsidRPr="00AF343B" w:rsidR="006D21B3">
        <w:t xml:space="preserve">ity of </w:t>
      </w:r>
      <w:r w:rsidRPr="00AF343B" w:rsidR="002B6423">
        <w:t xml:space="preserve">a lease-leaseback project that is independently financed by the school </w:t>
      </w:r>
      <w:r w:rsidRPr="00AF343B" w:rsidR="00501512">
        <w:t>district</w:t>
      </w:r>
      <w:r w:rsidRPr="00AF343B" w:rsidR="00684450">
        <w:t>.  T</w:t>
      </w:r>
      <w:r w:rsidRPr="00AF343B" w:rsidR="00EC277A">
        <w:t xml:space="preserve">he resolution of that question turns </w:t>
      </w:r>
      <w:r w:rsidRPr="00AF343B" w:rsidR="003906E1">
        <w:t xml:space="preserve">on whether such a lease-leaseback arrangement qualifies as a </w:t>
      </w:r>
      <w:r w:rsidRPr="00AF343B">
        <w:t>“</w:t>
      </w:r>
      <w:r w:rsidRPr="00AF343B" w:rsidR="003906E1">
        <w:t>contract</w:t>
      </w:r>
      <w:r w:rsidRPr="00AF343B">
        <w:t>[]”</w:t>
      </w:r>
      <w:r w:rsidRPr="00AF343B" w:rsidR="003906E1">
        <w:t xml:space="preserve"> </w:t>
      </w:r>
      <w:r w:rsidRPr="00AF343B" w:rsidR="00EC277A">
        <w:t xml:space="preserve">for purposes of section </w:t>
      </w:r>
      <w:r w:rsidRPr="00AF343B" w:rsidR="003906E1">
        <w:t>53511</w:t>
      </w:r>
      <w:r w:rsidRPr="00AF343B" w:rsidR="002B6423">
        <w:t>.</w:t>
      </w:r>
    </w:p>
    <w:p w:rsidR="00B43F8B" w:rsidRPr="00AF343B" w:rsidP="00AF343B">
      <w:pPr>
        <w:pStyle w:val="Heading2"/>
      </w:pPr>
      <w:r w:rsidRPr="00AF343B">
        <w:t>B. Validation Actions</w:t>
      </w:r>
    </w:p>
    <w:p w:rsidR="000D30D7" w:rsidRPr="00AF343B" w:rsidP="00AF343B">
      <w:pPr>
        <w:tabs>
          <w:tab w:val="left" w:pos="1440"/>
        </w:tabs>
        <w:ind w:firstLine="720"/>
      </w:pPr>
      <w:r w:rsidRPr="00AF343B">
        <w:t>A</w:t>
      </w:r>
      <w:r w:rsidRPr="00AF343B" w:rsidR="004703EA">
        <w:t xml:space="preserve">n action under the </w:t>
      </w:r>
      <w:r w:rsidRPr="00AF343B">
        <w:t xml:space="preserve">validation </w:t>
      </w:r>
      <w:r w:rsidRPr="00AF343B" w:rsidR="004703EA">
        <w:t xml:space="preserve">statutes </w:t>
      </w:r>
      <w:r w:rsidRPr="00AF343B" w:rsidR="004A3581">
        <w:t xml:space="preserve">permits a public agency to obtain a judgment </w:t>
      </w:r>
      <w:r w:rsidRPr="00AF343B" w:rsidR="004703EA">
        <w:t xml:space="preserve">upholding its handling of </w:t>
      </w:r>
      <w:r w:rsidR="00D955B7">
        <w:t xml:space="preserve">an </w:t>
      </w:r>
      <w:r w:rsidRPr="00AF343B" w:rsidR="00D672CB">
        <w:t xml:space="preserve">agency </w:t>
      </w:r>
      <w:r w:rsidRPr="00AF343B" w:rsidR="00071F8A">
        <w:t>matter</w:t>
      </w:r>
      <w:r w:rsidRPr="00AF343B" w:rsidR="004A3581">
        <w:t xml:space="preserve">.  </w:t>
      </w:r>
      <w:r w:rsidRPr="00AF343B" w:rsidR="000D7DA1">
        <w:t xml:space="preserve">(Code Civ. </w:t>
      </w:r>
      <w:r w:rsidRPr="00AF343B" w:rsidR="00603686">
        <w:t>Proc.</w:t>
      </w:r>
      <w:r w:rsidRPr="00AF343B" w:rsidR="000D7DA1">
        <w:t>, § 860.)</w:t>
      </w:r>
      <w:r>
        <w:rPr>
          <w:rStyle w:val="FootnoteReference"/>
        </w:rPr>
        <w:footnoteReference w:id="7"/>
      </w:r>
      <w:r w:rsidRPr="00AF343B" w:rsidR="000D7DA1">
        <w:t xml:space="preserve">  </w:t>
      </w:r>
      <w:r w:rsidRPr="00AF343B" w:rsidR="00815D7C">
        <w:t xml:space="preserve">We discussed the </w:t>
      </w:r>
      <w:r w:rsidRPr="00AF343B" w:rsidR="00CC08EB">
        <w:t>history of th</w:t>
      </w:r>
      <w:r w:rsidRPr="00AF343B" w:rsidR="00071F8A">
        <w:t>e</w:t>
      </w:r>
      <w:r w:rsidRPr="00AF343B" w:rsidR="00CC08EB">
        <w:t xml:space="preserve"> </w:t>
      </w:r>
      <w:r w:rsidRPr="00AF343B" w:rsidR="00815D7C">
        <w:t xml:space="preserve">validation procedure in </w:t>
      </w:r>
      <w:r w:rsidRPr="00AF343B" w:rsidR="00815D7C">
        <w:rPr>
          <w:i/>
          <w:iCs/>
        </w:rPr>
        <w:t xml:space="preserve">Bonander v. </w:t>
      </w:r>
      <w:r w:rsidRPr="00AF343B" w:rsidR="00CC08EB">
        <w:rPr>
          <w:i/>
          <w:iCs/>
        </w:rPr>
        <w:t xml:space="preserve">Town of </w:t>
      </w:r>
      <w:r w:rsidRPr="00AF343B" w:rsidR="00815D7C">
        <w:rPr>
          <w:i/>
          <w:iCs/>
        </w:rPr>
        <w:t>Tiburon</w:t>
      </w:r>
      <w:r w:rsidRPr="00AF343B" w:rsidR="00CC08EB">
        <w:t xml:space="preserve"> (2009) 46 Cal.4th 646</w:t>
      </w:r>
      <w:r w:rsidRPr="00AF343B" w:rsidR="00815D7C">
        <w:t>.  There we said:  “By 1961, the California codes contained a patchwork</w:t>
      </w:r>
      <w:r w:rsidRPr="00AF343B" w:rsidR="00DB29FD">
        <w:t xml:space="preserve"> </w:t>
      </w:r>
      <w:r w:rsidRPr="00AF343B" w:rsidR="00815D7C">
        <w:t>of provisions governing validation proceedings, with</w:t>
      </w:r>
      <w:r w:rsidRPr="00AF343B" w:rsidR="00DB29FD">
        <w:t xml:space="preserve"> </w:t>
      </w:r>
      <w:r w:rsidRPr="00AF343B" w:rsidR="00815D7C">
        <w:t>each set of provisions dedicated to a different statutory</w:t>
      </w:r>
      <w:r w:rsidRPr="00AF343B" w:rsidR="00DB29FD">
        <w:t xml:space="preserve"> </w:t>
      </w:r>
      <w:r w:rsidRPr="00AF343B" w:rsidR="00815D7C">
        <w:t xml:space="preserve">scheme. </w:t>
      </w:r>
      <w:r w:rsidRPr="00AF343B" w:rsidR="00DB29FD">
        <w:t xml:space="preserve"> </w:t>
      </w:r>
      <w:r w:rsidRPr="00AF343B" w:rsidR="00815D7C">
        <w:t>In that year, the Legislature sought to replace</w:t>
      </w:r>
      <w:r w:rsidRPr="00AF343B" w:rsidR="00DB29FD">
        <w:t xml:space="preserve"> </w:t>
      </w:r>
      <w:r w:rsidRPr="00AF343B" w:rsidR="00815D7C">
        <w:t>this patchwork with a general validation procedure.</w:t>
      </w:r>
      <w:r w:rsidRPr="00AF343B" w:rsidR="00DB29FD">
        <w:t xml:space="preserve">  </w:t>
      </w:r>
      <w:r w:rsidRPr="00AF343B" w:rsidR="00815D7C">
        <w:t>(Stats.</w:t>
      </w:r>
      <w:r w:rsidRPr="00AF343B" w:rsidR="00ED741D">
        <w:t xml:space="preserve"> </w:t>
      </w:r>
      <w:r w:rsidRPr="00AF343B" w:rsidR="00815D7C">
        <w:t>1961, ch.</w:t>
      </w:r>
      <w:r w:rsidRPr="00AF343B" w:rsidR="00DB29FD">
        <w:t> </w:t>
      </w:r>
      <w:r w:rsidRPr="00AF343B" w:rsidR="00815D7C">
        <w:t>1479, §§</w:t>
      </w:r>
      <w:r w:rsidRPr="00AF343B" w:rsidR="00DB29FD">
        <w:t> </w:t>
      </w:r>
      <w:r w:rsidRPr="00AF343B" w:rsidR="00815D7C">
        <w:t>1–3, pp.</w:t>
      </w:r>
      <w:r w:rsidRPr="00AF343B" w:rsidR="00DB29FD">
        <w:t> </w:t>
      </w:r>
      <w:r w:rsidRPr="00AF343B" w:rsidR="00815D7C">
        <w:t>3331–3332.)</w:t>
      </w:r>
      <w:r w:rsidRPr="00AF343B" w:rsidR="00DB29FD">
        <w:t xml:space="preserve">  </w:t>
      </w:r>
      <w:r w:rsidRPr="00AF343B" w:rsidR="00815D7C">
        <w:t>This procedure, which the Legislature codified as</w:t>
      </w:r>
      <w:r w:rsidRPr="00AF343B" w:rsidR="00DB29FD">
        <w:t xml:space="preserve"> </w:t>
      </w:r>
      <w:r w:rsidRPr="00AF343B" w:rsidR="00815D7C">
        <w:t>Code of Civil Procedure sections 860 through 870,</w:t>
      </w:r>
      <w:r w:rsidRPr="00AF343B" w:rsidR="00DB29FD">
        <w:t xml:space="preserve"> </w:t>
      </w:r>
      <w:r w:rsidRPr="00AF343B" w:rsidR="00815D7C">
        <w:t>does not, in itself, authorize any validation actions;</w:t>
      </w:r>
      <w:r w:rsidRPr="00AF343B" w:rsidR="00DB29FD">
        <w:t xml:space="preserve"> </w:t>
      </w:r>
      <w:r w:rsidRPr="00AF343B" w:rsidR="00815D7C">
        <w:t>rather, it establishes a uniform system that other</w:t>
      </w:r>
      <w:r w:rsidRPr="00AF343B" w:rsidR="0082500A">
        <w:t xml:space="preserve"> </w:t>
      </w:r>
      <w:r w:rsidRPr="00AF343B" w:rsidR="00815D7C">
        <w:t>statutory schemes must activate by reference.</w:t>
      </w:r>
      <w:r w:rsidRPr="00AF343B" w:rsidR="001F684D">
        <w:t xml:space="preserve">” </w:t>
      </w:r>
      <w:r w:rsidRPr="00AF343B" w:rsidR="00CC08EB">
        <w:t xml:space="preserve"> (</w:t>
      </w:r>
      <w:r w:rsidRPr="00AF343B" w:rsidR="00CC08EB">
        <w:rPr>
          <w:i/>
          <w:iCs/>
        </w:rPr>
        <w:t>Bonander</w:t>
      </w:r>
      <w:r w:rsidRPr="00AF343B" w:rsidR="00CC08EB">
        <w:t>,</w:t>
      </w:r>
      <w:r w:rsidRPr="00AF343B" w:rsidR="00B35C17">
        <w:t xml:space="preserve"> </w:t>
      </w:r>
      <w:r w:rsidRPr="00AF343B" w:rsidR="00CC08EB">
        <w:t>at p. 656.)</w:t>
      </w:r>
      <w:r w:rsidRPr="00AF343B" w:rsidR="001120A3">
        <w:t xml:space="preserve">  Therefore, if no statute authorizes use of the validation statutes to test a particular type of agency matter, then the validation statutes do not apply.</w:t>
      </w:r>
    </w:p>
    <w:p w:rsidR="00AB3F9A" w:rsidRPr="00AF343B" w:rsidP="00AF343B">
      <w:pPr>
        <w:tabs>
          <w:tab w:val="left" w:pos="1440"/>
        </w:tabs>
        <w:ind w:firstLine="720"/>
      </w:pPr>
      <w:r w:rsidRPr="00AF343B">
        <w:t xml:space="preserve">Significantly, validation actions are not always brought by </w:t>
      </w:r>
      <w:r w:rsidRPr="00AF343B" w:rsidR="002706F5">
        <w:t>the agency</w:t>
      </w:r>
      <w:r w:rsidRPr="00AF343B" w:rsidR="001120A3">
        <w:t xml:space="preserve"> involved in the matter</w:t>
      </w:r>
      <w:r w:rsidRPr="00AF343B" w:rsidR="006E03E7">
        <w:t xml:space="preserve">.  Code of Civil Procedure section 863 </w:t>
      </w:r>
      <w:r w:rsidRPr="00AF343B" w:rsidR="0003739F">
        <w:t xml:space="preserve">authorizes private parties </w:t>
      </w:r>
      <w:r w:rsidRPr="00AF343B" w:rsidR="006E03E7">
        <w:t xml:space="preserve">to bring </w:t>
      </w:r>
      <w:r w:rsidRPr="00AF343B" w:rsidR="0003739F">
        <w:t xml:space="preserve">validation </w:t>
      </w:r>
      <w:r w:rsidRPr="00AF343B" w:rsidR="006E03E7">
        <w:t>actions</w:t>
      </w:r>
      <w:r w:rsidRPr="00AF343B" w:rsidR="0003739F">
        <w:t xml:space="preserve">, and the private party </w:t>
      </w:r>
      <w:r w:rsidRPr="00AF343B" w:rsidR="001120A3">
        <w:t xml:space="preserve">is often </w:t>
      </w:r>
      <w:r w:rsidRPr="00AF343B" w:rsidR="00E943F3">
        <w:t xml:space="preserve">seeking </w:t>
      </w:r>
      <w:r w:rsidRPr="00AF343B" w:rsidR="0003739F">
        <w:t xml:space="preserve">to </w:t>
      </w:r>
      <w:r w:rsidRPr="00AF343B" w:rsidR="006E03E7">
        <w:t xml:space="preserve">invalidate </w:t>
      </w:r>
      <w:r w:rsidRPr="00AF343B" w:rsidR="0003739F">
        <w:t xml:space="preserve">the </w:t>
      </w:r>
      <w:r w:rsidRPr="00AF343B" w:rsidR="002706F5">
        <w:t>matter</w:t>
      </w:r>
      <w:r w:rsidRPr="00AF343B" w:rsidR="00E943F3">
        <w:t xml:space="preserve"> in question</w:t>
      </w:r>
      <w:r w:rsidRPr="00AF343B">
        <w:t xml:space="preserve">.  </w:t>
      </w:r>
      <w:r w:rsidRPr="00AF343B" w:rsidR="004A3581">
        <w:t>Code of Civil Procedure section 8</w:t>
      </w:r>
      <w:r w:rsidRPr="00AF343B">
        <w:t xml:space="preserve">63 provides in relevant part:  </w:t>
      </w:r>
      <w:r w:rsidRPr="00AF343B" w:rsidR="00BC495E">
        <w:t xml:space="preserve">“If no proceedings have been brought by the public agency pursuant to this chapter, </w:t>
      </w:r>
      <w:r w:rsidRPr="00AF343B" w:rsidR="00BC495E">
        <w:rPr>
          <w:i/>
          <w:iCs/>
        </w:rPr>
        <w:t>any interested person</w:t>
      </w:r>
      <w:r w:rsidRPr="00AF343B" w:rsidR="00BC495E">
        <w:t xml:space="preserve"> may bring an action within the time and in the court specified by Section 860 to determine the validity of such matter.”</w:t>
      </w:r>
      <w:r w:rsidRPr="00AF343B" w:rsidR="00914689">
        <w:t xml:space="preserve">  (Italics added.)  </w:t>
      </w:r>
      <w:r w:rsidRPr="00AF343B" w:rsidR="002C5CB2">
        <w:t>A</w:t>
      </w:r>
      <w:r w:rsidRPr="00AF343B" w:rsidR="00D62FF6">
        <w:t xml:space="preserve">ctions </w:t>
      </w:r>
      <w:r w:rsidRPr="00AF343B" w:rsidR="002C5CB2">
        <w:t xml:space="preserve">brought </w:t>
      </w:r>
      <w:r w:rsidRPr="00AF343B" w:rsidR="006E03E7">
        <w:t>by private p</w:t>
      </w:r>
      <w:r w:rsidRPr="00AF343B" w:rsidR="00E63E9D">
        <w:t xml:space="preserve">arties </w:t>
      </w:r>
      <w:r w:rsidRPr="00AF343B" w:rsidR="002C5CB2">
        <w:t xml:space="preserve">under section 863 </w:t>
      </w:r>
      <w:r w:rsidRPr="00AF343B" w:rsidR="00D62FF6">
        <w:t>are sometimes called reverse validation actions</w:t>
      </w:r>
      <w:r w:rsidRPr="00AF343B" w:rsidR="006E03E7">
        <w:t>.</w:t>
      </w:r>
    </w:p>
    <w:p w:rsidR="00AB3F9A" w:rsidRPr="00AF343B" w:rsidP="00AF343B">
      <w:pPr>
        <w:tabs>
          <w:tab w:val="left" w:pos="1440"/>
        </w:tabs>
        <w:ind w:firstLine="720"/>
      </w:pPr>
      <w:r w:rsidRPr="00AF343B">
        <w:t>A</w:t>
      </w:r>
      <w:r w:rsidRPr="00AF343B" w:rsidR="002C5CB2">
        <w:t xml:space="preserve"> validation action is</w:t>
      </w:r>
      <w:r w:rsidRPr="00AF343B" w:rsidR="00FF6B4F">
        <w:t xml:space="preserve"> “a proceeding in rem”</w:t>
      </w:r>
      <w:r w:rsidRPr="00AF343B" w:rsidR="002C5CB2">
        <w:t xml:space="preserve"> (Code Civ. </w:t>
      </w:r>
      <w:r w:rsidRPr="00AF343B" w:rsidR="00603686">
        <w:t>Proc.</w:t>
      </w:r>
      <w:r w:rsidRPr="00AF343B" w:rsidR="002C5CB2">
        <w:t>, § 860</w:t>
      </w:r>
      <w:r w:rsidRPr="00AF343B">
        <w:t xml:space="preserve">), which </w:t>
      </w:r>
      <w:r w:rsidRPr="00AF343B" w:rsidR="00372B90">
        <w:t xml:space="preserve">means </w:t>
      </w:r>
      <w:r w:rsidRPr="00AF343B" w:rsidR="00590312">
        <w:t xml:space="preserve">that the judgment binds </w:t>
      </w:r>
      <w:r w:rsidRPr="00AF343B" w:rsidR="00367AAC">
        <w:t>all persons and entities</w:t>
      </w:r>
      <w:r w:rsidRPr="00AF343B" w:rsidR="00420E8A">
        <w:t xml:space="preserve"> having an interest in the agency matter</w:t>
      </w:r>
      <w:r w:rsidRPr="00AF343B" w:rsidR="00CE7579">
        <w:t xml:space="preserve"> in question</w:t>
      </w:r>
      <w:r w:rsidRPr="00AF343B">
        <w:t>.  I</w:t>
      </w:r>
      <w:r w:rsidRPr="00AF343B" w:rsidR="00590312">
        <w:t>t also means</w:t>
      </w:r>
      <w:r w:rsidRPr="00AF343B">
        <w:t>, however,</w:t>
      </w:r>
      <w:r w:rsidRPr="00AF343B" w:rsidR="00590312">
        <w:t xml:space="preserve"> that </w:t>
      </w:r>
      <w:r w:rsidRPr="00AF343B" w:rsidR="00420E8A">
        <w:t xml:space="preserve">in a validation action, </w:t>
      </w:r>
      <w:r w:rsidRPr="00AF343B" w:rsidR="00372B90">
        <w:t>the</w:t>
      </w:r>
      <w:r w:rsidRPr="00AF343B" w:rsidR="00420E8A">
        <w:t xml:space="preserve"> plaintiff cannot obtain </w:t>
      </w:r>
      <w:r w:rsidRPr="00AF343B" w:rsidR="00372B90">
        <w:t xml:space="preserve">injunctive relief </w:t>
      </w:r>
      <w:r w:rsidRPr="00AF343B" w:rsidR="00420E8A">
        <w:t xml:space="preserve">against a </w:t>
      </w:r>
      <w:r w:rsidRPr="00AF343B" w:rsidR="00CE7579">
        <w:t xml:space="preserve">party to the </w:t>
      </w:r>
      <w:r w:rsidRPr="00AF343B" w:rsidR="005603C4">
        <w:t>action</w:t>
      </w:r>
      <w:r w:rsidRPr="00AF343B" w:rsidR="00CE7579">
        <w:t>, for such rel</w:t>
      </w:r>
      <w:r w:rsidRPr="00AF343B" w:rsidR="00582F65">
        <w:t>ie</w:t>
      </w:r>
      <w:r w:rsidRPr="00AF343B" w:rsidR="00CE7579">
        <w:t xml:space="preserve">f </w:t>
      </w:r>
      <w:r w:rsidRPr="00AF343B" w:rsidR="00582F65">
        <w:t xml:space="preserve">would be </w:t>
      </w:r>
      <w:r w:rsidRPr="00AF343B" w:rsidR="00CE7579">
        <w:t>in personam</w:t>
      </w:r>
      <w:r w:rsidRPr="00AF343B" w:rsidR="00372B90">
        <w:t>.  (</w:t>
      </w:r>
      <w:r w:rsidRPr="00AF343B" w:rsidR="003A51A9">
        <w:t xml:space="preserve">See </w:t>
      </w:r>
      <w:r w:rsidRPr="00AF343B" w:rsidR="00372B90">
        <w:rPr>
          <w:i/>
          <w:iCs/>
        </w:rPr>
        <w:t>City of Ontario v. Superior Court</w:t>
      </w:r>
      <w:r w:rsidRPr="00AF343B" w:rsidR="00372B90">
        <w:t xml:space="preserve"> (1970) 2 Cal.3d 335, 344 (</w:t>
      </w:r>
      <w:r w:rsidRPr="00AF343B" w:rsidR="00372B90">
        <w:rPr>
          <w:i/>
          <w:iCs/>
        </w:rPr>
        <w:t>City of Ontario</w:t>
      </w:r>
      <w:r w:rsidRPr="00AF343B" w:rsidR="00372B90">
        <w:t>)</w:t>
      </w:r>
      <w:r w:rsidRPr="00AF343B" w:rsidR="002C5CB2">
        <w:t xml:space="preserve">; </w:t>
      </w:r>
      <w:r w:rsidRPr="00AF343B" w:rsidR="002C5CB2">
        <w:rPr>
          <w:i/>
          <w:iCs/>
        </w:rPr>
        <w:t>Friedland</w:t>
      </w:r>
      <w:r w:rsidRPr="00AF343B" w:rsidR="002C5CB2">
        <w:t xml:space="preserve">, </w:t>
      </w:r>
      <w:r w:rsidRPr="00AF343B" w:rsidR="002C5CB2">
        <w:rPr>
          <w:i/>
          <w:iCs/>
        </w:rPr>
        <w:t>supra</w:t>
      </w:r>
      <w:r w:rsidRPr="00AF343B" w:rsidR="002C5CB2">
        <w:t xml:space="preserve">, 62 Cal.App.4th at p. 843.)  </w:t>
      </w:r>
      <w:r w:rsidRPr="00AF343B" w:rsidR="00914689">
        <w:t xml:space="preserve">Moreover, when the validation </w:t>
      </w:r>
      <w:r w:rsidRPr="00AF343B" w:rsidR="00E9372B">
        <w:t xml:space="preserve">statutes </w:t>
      </w:r>
      <w:r w:rsidRPr="00AF343B" w:rsidR="00820862">
        <w:t>apply</w:t>
      </w:r>
      <w:r w:rsidRPr="00AF343B" w:rsidR="00914689">
        <w:t xml:space="preserve">, </w:t>
      </w:r>
      <w:r w:rsidRPr="00AF343B" w:rsidR="00E9372B">
        <w:t xml:space="preserve">they </w:t>
      </w:r>
      <w:r w:rsidRPr="00AF343B" w:rsidR="00E70F5E">
        <w:t>supersede</w:t>
      </w:r>
      <w:r w:rsidRPr="00AF343B" w:rsidR="00820862">
        <w:t xml:space="preserve"> </w:t>
      </w:r>
      <w:r w:rsidRPr="00AF343B" w:rsidR="00D62FF6">
        <w:t>other mechanisms by which a</w:t>
      </w:r>
      <w:r w:rsidR="00FA0B99">
        <w:t xml:space="preserve">n interested </w:t>
      </w:r>
      <w:r w:rsidRPr="00AF343B" w:rsidR="00582F65">
        <w:t>private</w:t>
      </w:r>
      <w:r w:rsidR="00FA0B99">
        <w:t xml:space="preserve"> </w:t>
      </w:r>
      <w:r w:rsidRPr="00AF343B" w:rsidR="00D62FF6">
        <w:t xml:space="preserve">party might seek </w:t>
      </w:r>
      <w:r w:rsidRPr="00AF343B" w:rsidR="00317B14">
        <w:t xml:space="preserve">to challenge </w:t>
      </w:r>
      <w:r w:rsidRPr="00AF343B" w:rsidR="00420E8A">
        <w:t xml:space="preserve">the </w:t>
      </w:r>
      <w:r w:rsidRPr="00AF343B">
        <w:t xml:space="preserve">same </w:t>
      </w:r>
      <w:r w:rsidRPr="00AF343B" w:rsidR="002C5CB2">
        <w:t xml:space="preserve">agency </w:t>
      </w:r>
      <w:r w:rsidRPr="00AF343B" w:rsidR="00283CD6">
        <w:t>matter</w:t>
      </w:r>
      <w:r w:rsidRPr="00AF343B" w:rsidR="008575E1">
        <w:t>.</w:t>
      </w:r>
      <w:r w:rsidRPr="00AF343B" w:rsidR="00914689">
        <w:t xml:space="preserve">  </w:t>
      </w:r>
      <w:r w:rsidRPr="00AF343B" w:rsidR="00372B90">
        <w:t>Th</w:t>
      </w:r>
      <w:r w:rsidRPr="00AF343B" w:rsidR="00820862">
        <w:t>is</w:t>
      </w:r>
      <w:r w:rsidRPr="00AF343B" w:rsidR="00372B90">
        <w:t xml:space="preserve"> </w:t>
      </w:r>
      <w:r w:rsidRPr="00AF343B" w:rsidR="007738E4">
        <w:t xml:space="preserve">preclusion </w:t>
      </w:r>
      <w:r w:rsidRPr="00AF343B" w:rsidR="009D4D97">
        <w:t xml:space="preserve">of alternative remedies </w:t>
      </w:r>
      <w:r w:rsidRPr="00AF343B" w:rsidR="00372B90">
        <w:t>is necessary if the validation statutes are to serve their purpose</w:t>
      </w:r>
      <w:r w:rsidRPr="00AF343B" w:rsidR="00FC3D30">
        <w:t xml:space="preserve"> of once and for all determining the validity of the agency </w:t>
      </w:r>
      <w:r w:rsidRPr="00AF343B" w:rsidR="00283CD6">
        <w:t>matter</w:t>
      </w:r>
      <w:r w:rsidRPr="00AF343B" w:rsidR="00372B90">
        <w:t xml:space="preserve">.  </w:t>
      </w:r>
      <w:r w:rsidRPr="00AF343B" w:rsidR="00317B14">
        <w:t>T</w:t>
      </w:r>
      <w:bookmarkStart w:id="6" w:name="_Hlk85554149"/>
      <w:r w:rsidRPr="00AF343B" w:rsidR="00317B14">
        <w:t xml:space="preserve">hus, </w:t>
      </w:r>
      <w:r w:rsidRPr="00AF343B" w:rsidR="00914689">
        <w:t>Code of Civil Procedure s</w:t>
      </w:r>
      <w:r w:rsidRPr="00AF343B" w:rsidR="004A3581">
        <w:t>ection 869 provides in relevant part:  “No contest except by the public agency or its officer or agent of any thing or matter under this chapter shall be made other than within the time and the manner herein specified.”</w:t>
      </w:r>
    </w:p>
    <w:p w:rsidR="00D70053" w:rsidRPr="00AF343B" w:rsidP="00AF343B">
      <w:pPr>
        <w:tabs>
          <w:tab w:val="left" w:pos="1440"/>
        </w:tabs>
        <w:ind w:firstLine="720"/>
      </w:pPr>
      <w:bookmarkEnd w:id="6"/>
      <w:r w:rsidRPr="00AF343B">
        <w:t>I</w:t>
      </w:r>
      <w:r w:rsidRPr="00AF343B" w:rsidR="0081378D">
        <w:t xml:space="preserve">n </w:t>
      </w:r>
      <w:r w:rsidRPr="00AF343B" w:rsidR="009A3861">
        <w:rPr>
          <w:i/>
          <w:iCs/>
        </w:rPr>
        <w:t>City of Ontario</w:t>
      </w:r>
      <w:r w:rsidRPr="00AF343B" w:rsidR="00AB3F9A">
        <w:t xml:space="preserve">, </w:t>
      </w:r>
      <w:r w:rsidRPr="00AF343B">
        <w:t>we interpreted th</w:t>
      </w:r>
      <w:r w:rsidRPr="00AF343B" w:rsidR="00582F65">
        <w:t>is</w:t>
      </w:r>
      <w:r w:rsidRPr="00AF343B" w:rsidR="00AB3F9A">
        <w:t xml:space="preserve"> </w:t>
      </w:r>
      <w:r w:rsidRPr="00AF343B" w:rsidR="00582F65">
        <w:t>provision a</w:t>
      </w:r>
      <w:r w:rsidRPr="00AF343B" w:rsidR="00FF6B4F">
        <w:t xml:space="preserve">s </w:t>
      </w:r>
      <w:r w:rsidRPr="00AF343B" w:rsidR="00283CD6">
        <w:t>insulating</w:t>
      </w:r>
      <w:r w:rsidRPr="00AF343B" w:rsidR="00582F65">
        <w:t xml:space="preserve"> </w:t>
      </w:r>
      <w:r w:rsidRPr="00AF343B" w:rsidR="00283CD6">
        <w:t xml:space="preserve">agency matters from </w:t>
      </w:r>
      <w:r w:rsidRPr="00AF343B" w:rsidR="00EE4CCC">
        <w:t xml:space="preserve">challenge </w:t>
      </w:r>
      <w:r w:rsidRPr="00AF343B" w:rsidR="00582F65">
        <w:t xml:space="preserve">once </w:t>
      </w:r>
      <w:r w:rsidRPr="00AF343B" w:rsidR="00283CD6">
        <w:t xml:space="preserve">the </w:t>
      </w:r>
      <w:r w:rsidRPr="00AF343B" w:rsidR="00020FF7">
        <w:t xml:space="preserve">short </w:t>
      </w:r>
      <w:r w:rsidRPr="00AF343B" w:rsidR="00283CD6">
        <w:t xml:space="preserve">limitations period for bringing a validation action has passed.  We said:  </w:t>
      </w:r>
      <w:r w:rsidRPr="00AF343B" w:rsidR="00D1491D">
        <w:t xml:space="preserve">“The practical consequence of [the validation statutes] should be clearly recognized:  an agency may indirectly but effectively ‘validate’ its action </w:t>
      </w:r>
      <w:r w:rsidRPr="00AF343B" w:rsidR="00D1491D">
        <w:rPr>
          <w:i/>
          <w:iCs/>
        </w:rPr>
        <w:t>by doing nothing to validate it</w:t>
      </w:r>
      <w:r w:rsidRPr="00AF343B" w:rsidR="00D1491D">
        <w:t xml:space="preserve">; unless an ‘interested person’ brings an action of his own under </w:t>
      </w:r>
      <w:r w:rsidR="0061076F">
        <w:t xml:space="preserve">[Code of Civil Procedure] </w:t>
      </w:r>
      <w:r w:rsidRPr="00AF343B" w:rsidR="00D1491D">
        <w:t xml:space="preserve">section 863 within the 60-day </w:t>
      </w:r>
      <w:r w:rsidRPr="00AF343B" w:rsidR="00EE4CCC">
        <w:t xml:space="preserve">[limitations] </w:t>
      </w:r>
      <w:r w:rsidRPr="00AF343B" w:rsidR="00D1491D">
        <w:t xml:space="preserve">period, the agency’s action will become immune from attack whether it is legally valid or not.”  </w:t>
      </w:r>
      <w:r w:rsidRPr="00AF343B" w:rsidR="00487D15">
        <w:t>(</w:t>
      </w:r>
      <w:r w:rsidRPr="00AF343B" w:rsidR="009A3861">
        <w:rPr>
          <w:i/>
          <w:iCs/>
        </w:rPr>
        <w:t>City of Ontario</w:t>
      </w:r>
      <w:r w:rsidRPr="00AF343B" w:rsidR="009A3861">
        <w:t xml:space="preserve">, </w:t>
      </w:r>
      <w:r w:rsidRPr="00AF343B">
        <w:rPr>
          <w:i/>
          <w:iCs/>
        </w:rPr>
        <w:t>supra</w:t>
      </w:r>
      <w:r w:rsidRPr="00AF343B">
        <w:t xml:space="preserve">, 2 Cal.3d at </w:t>
      </w:r>
      <w:r w:rsidRPr="00AF343B" w:rsidR="009A3861">
        <w:t>pp. 341–342</w:t>
      </w:r>
      <w:r w:rsidRPr="00AF343B" w:rsidR="00487D15">
        <w:t>.)</w:t>
      </w:r>
      <w:r w:rsidRPr="00AF343B" w:rsidR="00331418">
        <w:t xml:space="preserve">  </w:t>
      </w:r>
      <w:r w:rsidRPr="00AF343B" w:rsidR="00C82E8B">
        <w:t xml:space="preserve">Courts have regularly applied this </w:t>
      </w:r>
      <w:r w:rsidRPr="00AF343B" w:rsidR="002C5CB2">
        <w:t>principle</w:t>
      </w:r>
      <w:r w:rsidRPr="00AF343B">
        <w:t xml:space="preserve">, </w:t>
      </w:r>
      <w:r w:rsidRPr="00AF343B" w:rsidR="002C5CB2">
        <w:t xml:space="preserve">using </w:t>
      </w:r>
      <w:r w:rsidRPr="00AF343B">
        <w:t>enforc</w:t>
      </w:r>
      <w:r w:rsidRPr="00AF343B" w:rsidR="002C5CB2">
        <w:t xml:space="preserve">ement of </w:t>
      </w:r>
      <w:r w:rsidRPr="00AF343B" w:rsidR="00FF6B4F">
        <w:t xml:space="preserve">section 863’s </w:t>
      </w:r>
      <w:r w:rsidRPr="00AF343B">
        <w:t xml:space="preserve">60-day </w:t>
      </w:r>
      <w:r w:rsidRPr="00AF343B" w:rsidR="002C5CB2">
        <w:t xml:space="preserve">limitations period to </w:t>
      </w:r>
      <w:r w:rsidRPr="00AF343B" w:rsidR="006C4A9E">
        <w:t xml:space="preserve">reject challenges to </w:t>
      </w:r>
      <w:r w:rsidRPr="00AF343B" w:rsidR="00AB3F9A">
        <w:t xml:space="preserve">a </w:t>
      </w:r>
      <w:r w:rsidRPr="00AF343B" w:rsidR="00582F65">
        <w:t xml:space="preserve">wide </w:t>
      </w:r>
      <w:r w:rsidRPr="00AF343B" w:rsidR="006C4A9E">
        <w:t>vari</w:t>
      </w:r>
      <w:r w:rsidRPr="00AF343B" w:rsidR="00AB3F9A">
        <w:t xml:space="preserve">ety of </w:t>
      </w:r>
      <w:r w:rsidRPr="00AF343B" w:rsidR="006C4A9E">
        <w:t xml:space="preserve">agency </w:t>
      </w:r>
      <w:r w:rsidRPr="00AF343B" w:rsidR="00BF6846">
        <w:t>matter</w:t>
      </w:r>
      <w:r w:rsidRPr="00AF343B" w:rsidR="006C4A9E">
        <w:t>s</w:t>
      </w:r>
      <w:r w:rsidRPr="00AF343B" w:rsidR="00C82E8B">
        <w:t xml:space="preserve">.  (See, e.g., </w:t>
      </w:r>
      <w:r w:rsidRPr="00AF343B" w:rsidR="00C82E8B">
        <w:rPr>
          <w:i/>
          <w:iCs/>
        </w:rPr>
        <w:t>Santa Clarita Organization for Planning &amp; Environment v. Castaic Lake Water Agency</w:t>
      </w:r>
      <w:r w:rsidRPr="00AF343B" w:rsidR="00C82E8B">
        <w:t xml:space="preserve"> (2016) 1 Cal.App.5th 1084, 1097</w:t>
      </w:r>
      <w:r w:rsidR="0061076F">
        <w:t xml:space="preserve"> </w:t>
      </w:r>
      <w:r w:rsidRPr="00AF343B" w:rsidR="0061076F">
        <w:t>(</w:t>
      </w:r>
      <w:r w:rsidRPr="00AF343B" w:rsidR="0061076F">
        <w:rPr>
          <w:i/>
          <w:iCs/>
        </w:rPr>
        <w:t>Santa Clarita</w:t>
      </w:r>
      <w:r w:rsidRPr="00AF343B" w:rsidR="0061076F">
        <w:t>)</w:t>
      </w:r>
      <w:r w:rsidRPr="00AF343B" w:rsidR="00C82E8B">
        <w:t xml:space="preserve"> [citing cases].)</w:t>
      </w:r>
    </w:p>
    <w:p w:rsidR="00C21BAC" w:rsidRPr="00AF343B" w:rsidP="00AF343B">
      <w:pPr>
        <w:tabs>
          <w:tab w:val="left" w:pos="1440"/>
        </w:tabs>
        <w:ind w:firstLine="720"/>
      </w:pPr>
      <w:r w:rsidRPr="00AF343B">
        <w:t>D</w:t>
      </w:r>
      <w:r w:rsidRPr="00AF343B" w:rsidR="00844F26">
        <w:t>espite th</w:t>
      </w:r>
      <w:r w:rsidRPr="00AF343B" w:rsidR="006968DD">
        <w:t>is rule</w:t>
      </w:r>
      <w:r w:rsidRPr="00AF343B" w:rsidR="005F1FBA">
        <w:t xml:space="preserve"> precluding alternative remedies</w:t>
      </w:r>
      <w:r w:rsidRPr="00AF343B" w:rsidR="0088596F">
        <w:t xml:space="preserve"> when</w:t>
      </w:r>
      <w:r w:rsidRPr="00AF343B" w:rsidR="00870AE7">
        <w:t>ever</w:t>
      </w:r>
      <w:r w:rsidRPr="00AF343B" w:rsidR="0088596F">
        <w:t xml:space="preserve"> the validation remedy is available</w:t>
      </w:r>
      <w:r w:rsidRPr="00AF343B" w:rsidR="00844F26">
        <w:t xml:space="preserve">, </w:t>
      </w:r>
      <w:r w:rsidRPr="00AF343B" w:rsidR="00582F65">
        <w:t xml:space="preserve">several </w:t>
      </w:r>
      <w:r w:rsidRPr="00AF343B" w:rsidR="00844F26">
        <w:t xml:space="preserve">courts have </w:t>
      </w:r>
      <w:r w:rsidRPr="00AF343B" w:rsidR="0081378D">
        <w:t xml:space="preserve">held that when </w:t>
      </w:r>
      <w:r w:rsidRPr="00AF343B" w:rsidR="00A8614C">
        <w:t>a</w:t>
      </w:r>
      <w:r w:rsidRPr="00AF343B" w:rsidR="0081378D">
        <w:t xml:space="preserve">n interested party brings a </w:t>
      </w:r>
      <w:r w:rsidRPr="00AF343B" w:rsidR="00A8614C">
        <w:rPr>
          <w:i/>
          <w:iCs/>
        </w:rPr>
        <w:t>timely</w:t>
      </w:r>
      <w:r w:rsidRPr="00AF343B" w:rsidR="00A8614C">
        <w:t xml:space="preserve"> validation action</w:t>
      </w:r>
      <w:r w:rsidRPr="00AF343B" w:rsidR="00844F26">
        <w:t xml:space="preserve">, it can join </w:t>
      </w:r>
      <w:r w:rsidRPr="00AF343B" w:rsidR="00F60A7E">
        <w:t>other</w:t>
      </w:r>
      <w:r w:rsidRPr="00AF343B" w:rsidR="00EE3053">
        <w:t xml:space="preserve"> </w:t>
      </w:r>
      <w:r w:rsidRPr="00AF343B" w:rsidR="00C60316">
        <w:t>claims</w:t>
      </w:r>
      <w:r w:rsidRPr="00AF343B" w:rsidR="00FC3D30">
        <w:t>,</w:t>
      </w:r>
      <w:r w:rsidRPr="00AF343B" w:rsidR="00C60316">
        <w:t xml:space="preserve"> </w:t>
      </w:r>
      <w:r w:rsidRPr="00AF343B" w:rsidR="00EE3053">
        <w:t xml:space="preserve">including </w:t>
      </w:r>
      <w:r w:rsidRPr="00AF343B" w:rsidR="00F60A7E">
        <w:t xml:space="preserve">a taxpayer action </w:t>
      </w:r>
      <w:r w:rsidRPr="00AF343B" w:rsidR="00582F65">
        <w:t xml:space="preserve">brought pursuant to </w:t>
      </w:r>
      <w:r w:rsidRPr="00AF343B" w:rsidR="00AA36D7">
        <w:t>Code of Civil Procedure section 526a</w:t>
      </w:r>
      <w:r w:rsidRPr="00AF343B" w:rsidR="00844F26">
        <w:t>.</w:t>
      </w:r>
      <w:r w:rsidRPr="00AF343B" w:rsidR="000F18A7">
        <w:t xml:space="preserve">  (See </w:t>
      </w:r>
      <w:r w:rsidRPr="00AF343B" w:rsidR="000F18A7">
        <w:rPr>
          <w:i/>
          <w:iCs/>
        </w:rPr>
        <w:t>Regus v. City of Baldwin Park</w:t>
      </w:r>
      <w:r w:rsidRPr="00AF343B" w:rsidR="000F18A7">
        <w:t xml:space="preserve"> (1977) 70 Cal.App.3d 968, 972; see also </w:t>
      </w:r>
      <w:r w:rsidRPr="00AF343B" w:rsidR="00AA36D7">
        <w:rPr>
          <w:i/>
          <w:iCs/>
        </w:rPr>
        <w:t>Coachella Valley Water Dist. v. Superior Court</w:t>
      </w:r>
      <w:r w:rsidRPr="00AF343B" w:rsidR="00AA36D7">
        <w:t xml:space="preserve"> (2021) 61 Cal.App.5th 755, 771; </w:t>
      </w:r>
      <w:r w:rsidRPr="00AF343B" w:rsidR="005634B4">
        <w:rPr>
          <w:i/>
          <w:iCs/>
        </w:rPr>
        <w:t>McLeod v. Vista Unified School Dist.</w:t>
      </w:r>
      <w:r w:rsidRPr="00AF343B" w:rsidR="005634B4">
        <w:t xml:space="preserve"> (2008) 158 Cal.App.4th 1156, 1166–1167</w:t>
      </w:r>
      <w:r w:rsidRPr="00AF343B" w:rsidR="00EB7EBA">
        <w:t xml:space="preserve"> (</w:t>
      </w:r>
      <w:r w:rsidRPr="00AF343B" w:rsidR="00EB7EBA">
        <w:rPr>
          <w:i/>
          <w:iCs/>
        </w:rPr>
        <w:t>McLeod</w:t>
      </w:r>
      <w:r w:rsidRPr="00AF343B" w:rsidR="00EB7EBA">
        <w:t>)</w:t>
      </w:r>
      <w:r w:rsidRPr="00AF343B" w:rsidR="00EA354A">
        <w:t xml:space="preserve">.)  What is less clear is </w:t>
      </w:r>
      <w:r w:rsidRPr="00AF343B" w:rsidR="0057509E">
        <w:t xml:space="preserve">the extent to which </w:t>
      </w:r>
      <w:r w:rsidRPr="00AF343B" w:rsidR="00D810E9">
        <w:t xml:space="preserve">a </w:t>
      </w:r>
      <w:r w:rsidRPr="00AF343B" w:rsidR="00440CB7">
        <w:t xml:space="preserve">joined taxpayer </w:t>
      </w:r>
      <w:r w:rsidRPr="00AF343B" w:rsidR="00B903A7">
        <w:t>action</w:t>
      </w:r>
      <w:r w:rsidRPr="00AF343B" w:rsidR="00EA354A">
        <w:t xml:space="preserve"> </w:t>
      </w:r>
      <w:r w:rsidRPr="00AF343B" w:rsidR="00EE3053">
        <w:t>may relate to the same subject matter as the validation action</w:t>
      </w:r>
      <w:r w:rsidRPr="00AF343B" w:rsidR="00C60316">
        <w:t xml:space="preserve">, thus </w:t>
      </w:r>
      <w:r w:rsidRPr="00AF343B" w:rsidR="00EA354A">
        <w:t>allow</w:t>
      </w:r>
      <w:r w:rsidRPr="00AF343B" w:rsidR="00C60316">
        <w:t xml:space="preserve">ing the successful </w:t>
      </w:r>
      <w:r w:rsidRPr="00AF343B" w:rsidR="00EA354A">
        <w:t xml:space="preserve">plaintiff </w:t>
      </w:r>
      <w:r w:rsidRPr="00AF343B" w:rsidR="00C60316">
        <w:t>to augment the in rem relief available under the validation statutes with</w:t>
      </w:r>
      <w:r w:rsidRPr="00AF343B" w:rsidR="00717724">
        <w:t xml:space="preserve"> the</w:t>
      </w:r>
      <w:r w:rsidRPr="00AF343B" w:rsidR="00C60316">
        <w:t xml:space="preserve"> </w:t>
      </w:r>
      <w:r w:rsidRPr="00AF343B" w:rsidR="00D810E9">
        <w:t xml:space="preserve">in </w:t>
      </w:r>
      <w:r w:rsidRPr="00AF343B" w:rsidR="00711752">
        <w:t xml:space="preserve">personam </w:t>
      </w:r>
      <w:r w:rsidRPr="00AF343B" w:rsidR="00D810E9">
        <w:t>relief</w:t>
      </w:r>
      <w:r w:rsidRPr="00AF343B" w:rsidR="00C60316">
        <w:t xml:space="preserve"> available under section 526a.</w:t>
      </w:r>
      <w:r w:rsidRPr="00AF343B" w:rsidR="004D51C2">
        <w:t xml:space="preserve">  Several Court of Appeal decisions have </w:t>
      </w:r>
      <w:r w:rsidRPr="00AF343B" w:rsidR="00B903A7">
        <w:t xml:space="preserve">held that the joined taxpayer action may </w:t>
      </w:r>
      <w:r w:rsidRPr="00AF343B" w:rsidR="00B903A7">
        <w:rPr>
          <w:i/>
          <w:iCs/>
        </w:rPr>
        <w:t>not</w:t>
      </w:r>
      <w:r w:rsidRPr="00AF343B" w:rsidR="00B903A7">
        <w:t xml:space="preserve"> relate to the same subject matter as the validation action, thus making the validation remedy exclusive as to matters that are subject to validation.  </w:t>
      </w:r>
      <w:r w:rsidRPr="00AF343B" w:rsidR="006622B5">
        <w:t>(See</w:t>
      </w:r>
      <w:r w:rsidRPr="00AF343B" w:rsidR="0074086A">
        <w:t xml:space="preserve"> </w:t>
      </w:r>
      <w:r w:rsidRPr="00AF343B" w:rsidR="006622B5">
        <w:rPr>
          <w:i/>
          <w:iCs/>
        </w:rPr>
        <w:t>Friedland</w:t>
      </w:r>
      <w:r w:rsidRPr="00AF343B" w:rsidR="006622B5">
        <w:t xml:space="preserve">, </w:t>
      </w:r>
      <w:r w:rsidRPr="00AF343B" w:rsidR="006622B5">
        <w:rPr>
          <w:i/>
          <w:iCs/>
        </w:rPr>
        <w:t>supra</w:t>
      </w:r>
      <w:r w:rsidRPr="00AF343B" w:rsidR="006622B5">
        <w:t>, 62 Cal.App.4th at pp. 84</w:t>
      </w:r>
      <w:r w:rsidRPr="00AF343B" w:rsidR="00186596">
        <w:t>8</w:t>
      </w:r>
      <w:r w:rsidRPr="00AF343B" w:rsidR="006622B5">
        <w:t>–8</w:t>
      </w:r>
      <w:r w:rsidRPr="00AF343B" w:rsidR="00186596">
        <w:t>49</w:t>
      </w:r>
      <w:r w:rsidRPr="00AF343B" w:rsidR="007041F7">
        <w:t xml:space="preserve">; </w:t>
      </w:r>
      <w:r w:rsidRPr="00AF343B" w:rsidR="0074086A">
        <w:t xml:space="preserve">see also </w:t>
      </w:r>
      <w:r w:rsidRPr="00AF343B" w:rsidR="0074086A">
        <w:rPr>
          <w:i/>
          <w:iCs/>
        </w:rPr>
        <w:t>McGee v. Torrance Unified School Dist.</w:t>
      </w:r>
      <w:r w:rsidRPr="00AF343B" w:rsidR="0074086A">
        <w:t xml:space="preserve"> (2020) 49 Cal.App.5th 814, 827–828</w:t>
      </w:r>
      <w:r w:rsidRPr="00AF343B" w:rsidR="00A2043A">
        <w:t xml:space="preserve"> (</w:t>
      </w:r>
      <w:r w:rsidRPr="00AF343B" w:rsidR="00A2043A">
        <w:rPr>
          <w:i/>
          <w:iCs/>
        </w:rPr>
        <w:t>McGee</w:t>
      </w:r>
      <w:r w:rsidRPr="00AF343B" w:rsidR="00A2043A">
        <w:t>)</w:t>
      </w:r>
      <w:r w:rsidRPr="00AF343B" w:rsidR="0074086A">
        <w:t xml:space="preserve">; </w:t>
      </w:r>
      <w:r w:rsidRPr="00AF343B" w:rsidR="00E76FC9">
        <w:rPr>
          <w:i/>
          <w:iCs/>
        </w:rPr>
        <w:t>Katz v. Campbell Union High School Dist.</w:t>
      </w:r>
      <w:r w:rsidRPr="00AF343B" w:rsidR="00E76FC9">
        <w:t xml:space="preserve"> (2006) 144 Cal.App.4th 1024, </w:t>
      </w:r>
      <w:r w:rsidRPr="00AF343B" w:rsidR="00506192">
        <w:t>1033–</w:t>
      </w:r>
      <w:r w:rsidRPr="00AF343B" w:rsidR="00E76FC9">
        <w:t>1034</w:t>
      </w:r>
      <w:r w:rsidRPr="00AF343B" w:rsidR="0074086A">
        <w:t>.</w:t>
      </w:r>
      <w:r w:rsidRPr="00AF343B" w:rsidR="006622B5">
        <w:t>)</w:t>
      </w:r>
    </w:p>
    <w:p w:rsidR="00C44B29" w:rsidRPr="00AF343B" w:rsidP="00AF343B">
      <w:pPr>
        <w:tabs>
          <w:tab w:val="left" w:pos="1440"/>
        </w:tabs>
        <w:ind w:firstLine="720"/>
      </w:pPr>
      <w:r w:rsidRPr="00AF343B">
        <w:t>T</w:t>
      </w:r>
      <w:r w:rsidRPr="00AF343B" w:rsidR="00015A27">
        <w:t xml:space="preserve">he trial court </w:t>
      </w:r>
      <w:r w:rsidRPr="00AF343B" w:rsidR="004D51C2">
        <w:t>in this case</w:t>
      </w:r>
      <w:r w:rsidRPr="00AF343B" w:rsidR="00B15B1E">
        <w:t xml:space="preserve"> aligned with the view that the validation statutes are a party’s exclusive remedy as to matters that are subject to validation, </w:t>
      </w:r>
      <w:r w:rsidRPr="00AF343B" w:rsidR="00232E44">
        <w:t xml:space="preserve">thus </w:t>
      </w:r>
      <w:r w:rsidRPr="00AF343B" w:rsidR="00A501DD">
        <w:t xml:space="preserve">precluding </w:t>
      </w:r>
      <w:r w:rsidRPr="00AF343B" w:rsidR="006572DD">
        <w:t xml:space="preserve">plaintiff’s request for </w:t>
      </w:r>
      <w:r w:rsidRPr="00AF343B" w:rsidR="00A501DD">
        <w:t>in personam relief</w:t>
      </w:r>
      <w:r w:rsidRPr="00AF343B">
        <w:t>.</w:t>
      </w:r>
      <w:r w:rsidRPr="00AF343B" w:rsidR="00015A27">
        <w:t xml:space="preserve"> </w:t>
      </w:r>
      <w:r w:rsidRPr="00AF343B">
        <w:t xml:space="preserve"> </w:t>
      </w:r>
      <w:r w:rsidRPr="00AF343B" w:rsidR="004D122B">
        <w:t>T</w:t>
      </w:r>
      <w:r w:rsidRPr="00AF343B" w:rsidR="0054489D">
        <w:t>he Court of Appeal</w:t>
      </w:r>
      <w:r w:rsidRPr="00AF343B" w:rsidR="004D122B">
        <w:t>, however,</w:t>
      </w:r>
      <w:r w:rsidRPr="00AF343B" w:rsidR="0054489D">
        <w:t xml:space="preserve"> did not </w:t>
      </w:r>
      <w:r w:rsidRPr="00AF343B" w:rsidR="001A35F3">
        <w:t>reach th</w:t>
      </w:r>
      <w:r w:rsidRPr="00AF343B" w:rsidR="009600AE">
        <w:t>at</w:t>
      </w:r>
      <w:r w:rsidRPr="00AF343B" w:rsidR="001A35F3">
        <w:t xml:space="preserve"> </w:t>
      </w:r>
      <w:r w:rsidRPr="00AF343B" w:rsidR="00C21BAC">
        <w:t xml:space="preserve">question.  Instead, the Court of Appeal assumed that </w:t>
      </w:r>
      <w:r w:rsidRPr="00AF343B" w:rsidR="00CE33BB">
        <w:t>the validation statutes</w:t>
      </w:r>
      <w:r w:rsidRPr="00AF343B" w:rsidR="00242C78">
        <w:t xml:space="preserve">, </w:t>
      </w:r>
      <w:r w:rsidRPr="00AF343B" w:rsidR="00C36F15">
        <w:t>if</w:t>
      </w:r>
      <w:r w:rsidRPr="00AF343B" w:rsidR="00242C78">
        <w:t xml:space="preserve"> applicable,</w:t>
      </w:r>
      <w:r w:rsidRPr="00AF343B" w:rsidR="00CE33BB">
        <w:t xml:space="preserve"> </w:t>
      </w:r>
      <w:r w:rsidRPr="00AF343B" w:rsidR="00C21BAC">
        <w:t xml:space="preserve">would have </w:t>
      </w:r>
      <w:r w:rsidRPr="00AF343B" w:rsidR="00232E44">
        <w:t xml:space="preserve">had </w:t>
      </w:r>
      <w:r w:rsidRPr="00AF343B" w:rsidR="00B15B1E">
        <w:t xml:space="preserve">such </w:t>
      </w:r>
      <w:r w:rsidRPr="00AF343B" w:rsidR="00C21BAC">
        <w:t>a pre</w:t>
      </w:r>
      <w:r w:rsidRPr="00AF343B" w:rsidR="007C4BF1">
        <w:t xml:space="preserve">clusive </w:t>
      </w:r>
      <w:r w:rsidRPr="00AF343B" w:rsidR="00C21BAC">
        <w:t xml:space="preserve">effect </w:t>
      </w:r>
      <w:r w:rsidRPr="00AF343B" w:rsidR="0054489D">
        <w:t>(</w:t>
      </w:r>
      <w:r w:rsidRPr="00AF343B" w:rsidR="00F07F6F">
        <w:rPr>
          <w:i/>
          <w:iCs/>
        </w:rPr>
        <w:t>Davis II</w:t>
      </w:r>
      <w:r w:rsidRPr="00AF343B" w:rsidR="00F07F6F">
        <w:t xml:space="preserve">, </w:t>
      </w:r>
      <w:r w:rsidRPr="00AF343B" w:rsidR="00F07F6F">
        <w:rPr>
          <w:i/>
          <w:iCs/>
        </w:rPr>
        <w:t>supra</w:t>
      </w:r>
      <w:r w:rsidRPr="00AF343B" w:rsidR="00F07F6F">
        <w:t>, 57 Cal.App.5th at p. 939</w:t>
      </w:r>
      <w:r w:rsidRPr="00AF343B" w:rsidR="0054489D">
        <w:t xml:space="preserve">), and it </w:t>
      </w:r>
      <w:r w:rsidRPr="00AF343B" w:rsidR="00757EA1">
        <w:t xml:space="preserve">concluded </w:t>
      </w:r>
      <w:r w:rsidRPr="00AF343B" w:rsidR="00095E3E">
        <w:t xml:space="preserve">that the validation statutes </w:t>
      </w:r>
      <w:r w:rsidRPr="00AF343B" w:rsidR="001B53D5">
        <w:t>d</w:t>
      </w:r>
      <w:r w:rsidRPr="00AF343B" w:rsidR="00C36F15">
        <w:t>id</w:t>
      </w:r>
      <w:r w:rsidRPr="00AF343B" w:rsidR="001B53D5">
        <w:t xml:space="preserve"> not apply</w:t>
      </w:r>
      <w:r w:rsidRPr="00AF343B" w:rsidR="00874446">
        <w:t xml:space="preserve">.  </w:t>
      </w:r>
      <w:r w:rsidRPr="00AF343B" w:rsidR="00B15B1E">
        <w:t>We now turn to that issue</w:t>
      </w:r>
      <w:r w:rsidRPr="00AF343B" w:rsidR="00874446">
        <w:t>.</w:t>
      </w:r>
    </w:p>
    <w:p w:rsidR="00121291" w:rsidRPr="00AF343B" w:rsidP="00AF343B">
      <w:pPr>
        <w:pStyle w:val="Heading2"/>
      </w:pPr>
      <w:r w:rsidRPr="00AF343B">
        <w:t>C. Section 53511</w:t>
      </w:r>
    </w:p>
    <w:p w:rsidR="00055935" w:rsidRPr="00AF343B" w:rsidP="00AF343B">
      <w:pPr>
        <w:tabs>
          <w:tab w:val="left" w:pos="1440"/>
        </w:tabs>
        <w:ind w:firstLine="720"/>
      </w:pPr>
      <w:r w:rsidRPr="00AF343B">
        <w:t xml:space="preserve">In proceedings below, </w:t>
      </w:r>
      <w:r w:rsidRPr="00AF343B" w:rsidR="00A438D0">
        <w:t xml:space="preserve">defendants relied </w:t>
      </w:r>
      <w:r w:rsidRPr="00AF343B" w:rsidR="00B15B1E">
        <w:t xml:space="preserve">exclusively </w:t>
      </w:r>
      <w:r w:rsidRPr="00AF343B" w:rsidR="00A438D0">
        <w:t xml:space="preserve">upon </w:t>
      </w:r>
      <w:r w:rsidRPr="00AF343B" w:rsidR="00961A1C">
        <w:t>s</w:t>
      </w:r>
      <w:r w:rsidRPr="00AF343B">
        <w:t xml:space="preserve">ection 53511 </w:t>
      </w:r>
      <w:r w:rsidRPr="00AF343B" w:rsidR="009A4735">
        <w:t xml:space="preserve">to support </w:t>
      </w:r>
      <w:r w:rsidRPr="00AF343B" w:rsidR="00B15B1E">
        <w:t xml:space="preserve">their </w:t>
      </w:r>
      <w:r w:rsidRPr="00AF343B" w:rsidR="009A4735">
        <w:t xml:space="preserve">contention that </w:t>
      </w:r>
      <w:r w:rsidRPr="00AF343B">
        <w:t>the validity of a lease-leaseback arrangement like the one at issue here</w:t>
      </w:r>
      <w:r w:rsidRPr="00AF343B" w:rsidR="009A4735">
        <w:t xml:space="preserve"> f</w:t>
      </w:r>
      <w:r w:rsidRPr="00AF343B" w:rsidR="00B15B1E">
        <w:t xml:space="preserve">alls </w:t>
      </w:r>
      <w:r w:rsidRPr="00AF343B" w:rsidR="009A4735">
        <w:t xml:space="preserve">within the ambit of the validation statutes. </w:t>
      </w:r>
      <w:r w:rsidRPr="00AF343B">
        <w:t xml:space="preserve"> </w:t>
      </w:r>
      <w:r w:rsidRPr="00AF343B" w:rsidR="00472F0E">
        <w:t>S</w:t>
      </w:r>
      <w:r w:rsidRPr="00AF343B" w:rsidR="00500BB8">
        <w:t xml:space="preserve">ection </w:t>
      </w:r>
      <w:r w:rsidRPr="00AF343B" w:rsidR="000D30D7">
        <w:t>53511</w:t>
      </w:r>
      <w:r w:rsidRPr="00AF343B" w:rsidR="003D66C8">
        <w:t xml:space="preserve"> </w:t>
      </w:r>
      <w:r w:rsidRPr="00AF343B" w:rsidR="00BD1D91">
        <w:t>provid</w:t>
      </w:r>
      <w:r w:rsidRPr="00AF343B" w:rsidR="00F15F6E">
        <w:t>es</w:t>
      </w:r>
      <w:r w:rsidRPr="00AF343B" w:rsidR="00C92065">
        <w:t xml:space="preserve"> in full</w:t>
      </w:r>
      <w:r w:rsidRPr="00AF343B" w:rsidR="00F15F6E">
        <w:t>:  “</w:t>
      </w:r>
      <w:r w:rsidRPr="00AF343B" w:rsidR="003D66C8">
        <w:t xml:space="preserve">(a) A local agency may bring an action to determine the validity of its bonds, warrants, </w:t>
      </w:r>
      <w:r w:rsidRPr="00AF343B" w:rsidR="003D66C8">
        <w:rPr>
          <w:i/>
          <w:iCs/>
        </w:rPr>
        <w:t>contracts</w:t>
      </w:r>
      <w:r w:rsidRPr="00AF343B" w:rsidR="003D66C8">
        <w:t>, obligations</w:t>
      </w:r>
      <w:r w:rsidRPr="00AF343B" w:rsidR="00C44EB1">
        <w:t xml:space="preserve"> </w:t>
      </w:r>
      <w:r w:rsidRPr="00AF343B" w:rsidR="003D66C8">
        <w:t xml:space="preserve">or evidences of indebtedness pursuant to </w:t>
      </w:r>
      <w:r w:rsidRPr="00AF343B" w:rsidR="00C44EB1">
        <w:t>[the validation statutes]</w:t>
      </w:r>
      <w:r w:rsidRPr="00AF343B" w:rsidR="003D66C8">
        <w:t>.</w:t>
      </w:r>
      <w:r w:rsidRPr="00AF343B" w:rsidR="00C44EB1">
        <w:t xml:space="preserve">  [¶]  </w:t>
      </w:r>
      <w:r w:rsidRPr="00AF343B" w:rsidR="003D66C8">
        <w:t>(b) A local agency that issues bonds, notes, or other obligations the proceeds of which are to be used to purchase,</w:t>
      </w:r>
      <w:r w:rsidRPr="00AF343B" w:rsidR="00C44EB1">
        <w:t xml:space="preserve"> </w:t>
      </w:r>
      <w:r w:rsidRPr="00AF343B" w:rsidR="003D66C8">
        <w:t xml:space="preserve">or to make loans evidenced or secured by, the bonds, warrants, </w:t>
      </w:r>
      <w:r w:rsidRPr="00AF343B" w:rsidR="003D66C8">
        <w:rPr>
          <w:i/>
          <w:iCs/>
        </w:rPr>
        <w:t>contracts</w:t>
      </w:r>
      <w:r w:rsidRPr="00AF343B" w:rsidR="003D66C8">
        <w:t>, obligations, or evidences of indebtedness</w:t>
      </w:r>
      <w:r w:rsidRPr="00AF343B" w:rsidR="00C44EB1">
        <w:t xml:space="preserve"> </w:t>
      </w:r>
      <w:r w:rsidRPr="00AF343B" w:rsidR="003D66C8">
        <w:t>of other local agencies, may bring a single action in the superior court of the county in which that local agency is</w:t>
      </w:r>
      <w:r w:rsidRPr="00AF343B" w:rsidR="00C44EB1">
        <w:t xml:space="preserve"> </w:t>
      </w:r>
      <w:r w:rsidRPr="00AF343B" w:rsidR="003D66C8">
        <w:t xml:space="preserve">located to determine the validity of the bonds, warrants, </w:t>
      </w:r>
      <w:r w:rsidRPr="00AF343B" w:rsidR="003D66C8">
        <w:rPr>
          <w:i/>
          <w:iCs/>
        </w:rPr>
        <w:t>contracts</w:t>
      </w:r>
      <w:r w:rsidRPr="00AF343B" w:rsidR="003D66C8">
        <w:t>, obligations, or evidences of indebtedness of the</w:t>
      </w:r>
      <w:r w:rsidRPr="00AF343B" w:rsidR="00C44EB1">
        <w:t xml:space="preserve"> </w:t>
      </w:r>
      <w:r w:rsidRPr="00AF343B" w:rsidR="003D66C8">
        <w:t xml:space="preserve">other local agencies, pursuant to </w:t>
      </w:r>
      <w:r w:rsidRPr="00AF343B" w:rsidR="00C44EB1">
        <w:t>[the validation statutes]</w:t>
      </w:r>
      <w:r w:rsidRPr="00AF343B" w:rsidR="003D66C8">
        <w:t>.</w:t>
      </w:r>
      <w:r w:rsidRPr="00AF343B" w:rsidR="00F15F6E">
        <w:t xml:space="preserve">”  </w:t>
      </w:r>
      <w:r w:rsidRPr="00AF343B" w:rsidR="00F96E69">
        <w:t>(Italics added.)</w:t>
      </w:r>
    </w:p>
    <w:p w:rsidR="00904D09" w:rsidRPr="00AF343B" w:rsidP="00580F1A">
      <w:pPr>
        <w:tabs>
          <w:tab w:val="left" w:pos="1440"/>
        </w:tabs>
        <w:ind w:firstLine="720"/>
      </w:pPr>
      <w:r w:rsidRPr="00AF343B">
        <w:rPr>
          <w:szCs w:val="26"/>
        </w:rPr>
        <w:t xml:space="preserve">When as here we are interpreting a statute, </w:t>
      </w:r>
      <w:r w:rsidRPr="00AF343B" w:rsidR="004D56EE">
        <w:rPr>
          <w:szCs w:val="26"/>
        </w:rPr>
        <w:t>“ ‘ “</w:t>
      </w:r>
      <w:r w:rsidRPr="00AF343B">
        <w:rPr>
          <w:szCs w:val="26"/>
        </w:rPr>
        <w:t> </w:t>
      </w:r>
      <w:r w:rsidRPr="00AF343B" w:rsidR="004D56EE">
        <w:rPr>
          <w:szCs w:val="26"/>
        </w:rPr>
        <w:t>‘[o]ur fundamental task . . . is to determine the Legislature’s intent so as to effectuate the law’s purpose.  We first examine the statutory language, giving it a plain and commonsense meaning. . . .  If the language is clear, courts must generally follow its plain meaning unless a literal interpretation would result in absurd consequences the Legislature did not intend.  If the statutory language permits more than one reasonable interpretation, courts may consider other aids, such as the statute’s purpose, legislative history, and public policy.’  [Citation.]  ‘Furthermore, we consider portions of a statute in the context of the entire statute and the statutory scheme of which it is a part, giving significance to every word, phrase, sentence, and part of an act in pursuance of the legislative purpose.’ ” ’ ”  (</w:t>
      </w:r>
      <w:r w:rsidRPr="00CB3BF2" w:rsidR="004D56EE">
        <w:rPr>
          <w:i/>
          <w:iCs/>
          <w:szCs w:val="26"/>
        </w:rPr>
        <w:t>Brennon B. v. Superior C</w:t>
      </w:r>
      <w:r w:rsidR="00CB3BF2">
        <w:rPr>
          <w:i/>
          <w:iCs/>
          <w:szCs w:val="26"/>
        </w:rPr>
        <w:t>ourt</w:t>
      </w:r>
      <w:r w:rsidRPr="00AF343B" w:rsidR="004D56EE">
        <w:rPr>
          <w:szCs w:val="26"/>
        </w:rPr>
        <w:t xml:space="preserve"> (2022) 13 Cal.5th 662, 673.)</w:t>
      </w:r>
      <w:r w:rsidR="00580F1A">
        <w:t xml:space="preserve">  </w:t>
      </w:r>
      <w:r w:rsidRPr="00580F1A" w:rsidR="00580F1A">
        <w:rPr>
          <w:szCs w:val="26"/>
        </w:rPr>
        <w:t>“</w:t>
      </w:r>
      <w:r w:rsidR="00580F1A">
        <w:rPr>
          <w:szCs w:val="26"/>
        </w:rPr>
        <w:t> </w:t>
      </w:r>
      <w:r w:rsidRPr="00580F1A" w:rsidR="00580F1A">
        <w:rPr>
          <w:szCs w:val="26"/>
        </w:rPr>
        <w:t>‘The interpretation of a statute presents a question of law that this court reviews de novo.’</w:t>
      </w:r>
      <w:r w:rsidR="00580F1A">
        <w:rPr>
          <w:szCs w:val="26"/>
        </w:rPr>
        <w:t> </w:t>
      </w:r>
      <w:r w:rsidRPr="00580F1A" w:rsidR="00580F1A">
        <w:rPr>
          <w:szCs w:val="26"/>
        </w:rPr>
        <w:t>”</w:t>
      </w:r>
      <w:r w:rsidR="00580F1A">
        <w:rPr>
          <w:szCs w:val="26"/>
        </w:rPr>
        <w:t xml:space="preserve">  </w:t>
      </w:r>
      <w:r w:rsidRPr="00580F1A" w:rsidR="00580F1A">
        <w:rPr>
          <w:szCs w:val="26"/>
        </w:rPr>
        <w:t>(</w:t>
      </w:r>
      <w:r w:rsidRPr="00580F1A" w:rsidR="00580F1A">
        <w:rPr>
          <w:i/>
          <w:iCs/>
          <w:szCs w:val="26"/>
        </w:rPr>
        <w:t>Segal v. ASICS America Corp.</w:t>
      </w:r>
      <w:r w:rsidR="00580F1A">
        <w:rPr>
          <w:szCs w:val="26"/>
        </w:rPr>
        <w:t xml:space="preserve"> </w:t>
      </w:r>
      <w:r w:rsidRPr="00580F1A" w:rsidR="00580F1A">
        <w:rPr>
          <w:szCs w:val="26"/>
        </w:rPr>
        <w:t>(2022)</w:t>
      </w:r>
      <w:r w:rsidR="00580F1A">
        <w:rPr>
          <w:szCs w:val="26"/>
        </w:rPr>
        <w:t xml:space="preserve"> </w:t>
      </w:r>
      <w:r w:rsidRPr="00580F1A" w:rsidR="00580F1A">
        <w:rPr>
          <w:szCs w:val="26"/>
        </w:rPr>
        <w:t>12</w:t>
      </w:r>
      <w:r w:rsidR="00580F1A">
        <w:rPr>
          <w:szCs w:val="26"/>
        </w:rPr>
        <w:t xml:space="preserve"> </w:t>
      </w:r>
      <w:r w:rsidRPr="00580F1A" w:rsidR="00580F1A">
        <w:rPr>
          <w:szCs w:val="26"/>
        </w:rPr>
        <w:t>Cal.5</w:t>
      </w:r>
      <w:r w:rsidR="00580F1A">
        <w:rPr>
          <w:szCs w:val="26"/>
        </w:rPr>
        <w:t xml:space="preserve">th </w:t>
      </w:r>
      <w:r w:rsidRPr="00580F1A" w:rsidR="00580F1A">
        <w:rPr>
          <w:szCs w:val="26"/>
        </w:rPr>
        <w:t>651,</w:t>
      </w:r>
      <w:r w:rsidR="00580F1A">
        <w:rPr>
          <w:szCs w:val="26"/>
        </w:rPr>
        <w:t xml:space="preserve"> </w:t>
      </w:r>
      <w:r w:rsidRPr="00580F1A" w:rsidR="00580F1A">
        <w:rPr>
          <w:szCs w:val="26"/>
        </w:rPr>
        <w:t>662.)</w:t>
      </w:r>
    </w:p>
    <w:p w:rsidR="00613570" w:rsidRPr="00AF343B" w:rsidP="00AF343B">
      <w:pPr>
        <w:tabs>
          <w:tab w:val="left" w:pos="1440"/>
        </w:tabs>
        <w:ind w:firstLine="720"/>
      </w:pPr>
      <w:r w:rsidRPr="006B61F0">
        <w:t xml:space="preserve">Although one </w:t>
      </w:r>
      <w:r w:rsidRPr="006B61F0" w:rsidR="009A4735">
        <w:t xml:space="preserve">plausible reading of </w:t>
      </w:r>
      <w:r w:rsidRPr="006B61F0" w:rsidR="00B6212C">
        <w:t xml:space="preserve">the </w:t>
      </w:r>
      <w:r w:rsidRPr="006B61F0" w:rsidR="009A4735">
        <w:t xml:space="preserve">language of </w:t>
      </w:r>
      <w:r w:rsidRPr="006B61F0" w:rsidR="00CC19A3">
        <w:t>section 53511</w:t>
      </w:r>
      <w:r w:rsidRPr="006B61F0" w:rsidR="007E121C">
        <w:t xml:space="preserve"> is </w:t>
      </w:r>
      <w:r w:rsidRPr="006B61F0">
        <w:t xml:space="preserve">that </w:t>
      </w:r>
      <w:bookmarkStart w:id="7" w:name="_Hlk116557216"/>
      <w:r w:rsidRPr="006B61F0" w:rsidR="00472F0E">
        <w:t xml:space="preserve">any and all </w:t>
      </w:r>
      <w:r w:rsidRPr="006B61F0" w:rsidR="00816393">
        <w:t>local</w:t>
      </w:r>
      <w:r w:rsidRPr="006B61F0">
        <w:t xml:space="preserve"> agency </w:t>
      </w:r>
      <w:r w:rsidRPr="006B61F0" w:rsidR="00CC19A3">
        <w:t>“</w:t>
      </w:r>
      <w:r w:rsidRPr="006B61F0">
        <w:t>contract</w:t>
      </w:r>
      <w:r w:rsidRPr="006B61F0" w:rsidR="00472F0E">
        <w:t>s</w:t>
      </w:r>
      <w:r w:rsidRPr="006B61F0" w:rsidR="00CC19A3">
        <w:t>”</w:t>
      </w:r>
      <w:r w:rsidRPr="006B61F0">
        <w:t xml:space="preserve"> </w:t>
      </w:r>
      <w:r w:rsidRPr="006B61F0" w:rsidR="00472F0E">
        <w:t xml:space="preserve">are </w:t>
      </w:r>
      <w:r w:rsidRPr="006B61F0">
        <w:t xml:space="preserve">subject to </w:t>
      </w:r>
      <w:r w:rsidRPr="006B61F0" w:rsidR="00CC19A3">
        <w:t>validation</w:t>
      </w:r>
      <w:r w:rsidRPr="006B61F0" w:rsidR="00292077">
        <w:t xml:space="preserve"> u</w:t>
      </w:r>
      <w:bookmarkEnd w:id="7"/>
      <w:r w:rsidRPr="006B61F0" w:rsidR="00292077">
        <w:t>nder the validation statutes</w:t>
      </w:r>
      <w:r w:rsidRPr="006B61F0" w:rsidR="00CC19A3">
        <w:t xml:space="preserve">, </w:t>
      </w:r>
      <w:r w:rsidRPr="006B61F0" w:rsidR="003F748A">
        <w:t xml:space="preserve">the Court of Appeal </w:t>
      </w:r>
      <w:r w:rsidRPr="006B61F0" w:rsidR="007E121C">
        <w:t xml:space="preserve">below </w:t>
      </w:r>
      <w:r w:rsidRPr="006B61F0" w:rsidR="003F748A">
        <w:t xml:space="preserve">did not interpret </w:t>
      </w:r>
      <w:r w:rsidRPr="006B61F0" w:rsidR="00CC19A3">
        <w:t xml:space="preserve">section 53511 </w:t>
      </w:r>
      <w:r w:rsidRPr="006B61F0" w:rsidR="00B6212C">
        <w:t>so</w:t>
      </w:r>
      <w:r w:rsidRPr="006B61F0" w:rsidR="00CC19A3">
        <w:t xml:space="preserve"> broadly.  Rather, </w:t>
      </w:r>
      <w:r w:rsidRPr="006B61F0" w:rsidR="003F748A">
        <w:t xml:space="preserve">the </w:t>
      </w:r>
      <w:r w:rsidRPr="006B61F0" w:rsidR="00CC19A3">
        <w:t>court</w:t>
      </w:r>
      <w:r w:rsidRPr="006B61F0" w:rsidR="003F748A">
        <w:t xml:space="preserve"> </w:t>
      </w:r>
      <w:r w:rsidRPr="006B61F0" w:rsidR="00C11B97">
        <w:t xml:space="preserve">plausibly </w:t>
      </w:r>
      <w:r w:rsidRPr="006B61F0" w:rsidR="00216BF0">
        <w:t>conclude</w:t>
      </w:r>
      <w:r w:rsidRPr="006B61F0" w:rsidR="00186760">
        <w:t>d</w:t>
      </w:r>
      <w:r w:rsidRPr="006B61F0" w:rsidR="00216BF0">
        <w:t xml:space="preserve"> that the reference to “contract</w:t>
      </w:r>
      <w:r w:rsidRPr="006B61F0" w:rsidR="00472F0E">
        <w:t>s</w:t>
      </w:r>
      <w:r w:rsidRPr="006B61F0" w:rsidR="00216BF0">
        <w:t xml:space="preserve">” in section 53511 refers only to contracts that are of the </w:t>
      </w:r>
      <w:r w:rsidRPr="006B61F0" w:rsidR="003F748A">
        <w:t xml:space="preserve">same </w:t>
      </w:r>
      <w:r w:rsidRPr="006B61F0" w:rsidR="00216BF0">
        <w:t xml:space="preserve">type </w:t>
      </w:r>
      <w:r w:rsidRPr="006B61F0" w:rsidR="003F748A">
        <w:t xml:space="preserve">or that share the same subject matter as </w:t>
      </w:r>
      <w:r w:rsidRPr="006B61F0" w:rsidR="00216BF0">
        <w:t xml:space="preserve">the other items </w:t>
      </w:r>
      <w:r w:rsidRPr="006B61F0" w:rsidR="00067D58">
        <w:t>listed in th</w:t>
      </w:r>
      <w:r w:rsidRPr="006B61F0" w:rsidR="00472F0E">
        <w:t>e</w:t>
      </w:r>
      <w:r w:rsidR="00E507CD">
        <w:t xml:space="preserve"> section</w:t>
      </w:r>
      <w:r w:rsidRPr="006B61F0" w:rsidR="00216BF0">
        <w:t>.</w:t>
      </w:r>
      <w:r w:rsidRPr="00AF343B" w:rsidR="00216BF0">
        <w:t xml:space="preserve">  Because the other items</w:t>
      </w:r>
      <w:r w:rsidRPr="00AF343B" w:rsidR="00B6212C">
        <w:t xml:space="preserve"> </w:t>
      </w:r>
      <w:r w:rsidRPr="00AF343B" w:rsidR="00472F0E">
        <w:t xml:space="preserve">all </w:t>
      </w:r>
      <w:r w:rsidRPr="00AF343B" w:rsidR="00216BF0">
        <w:t xml:space="preserve">relate to government </w:t>
      </w:r>
      <w:r w:rsidRPr="00AF343B" w:rsidR="00FA1CB8">
        <w:t>in</w:t>
      </w:r>
      <w:r w:rsidRPr="00AF343B" w:rsidR="00216BF0">
        <w:t>debt</w:t>
      </w:r>
      <w:r w:rsidRPr="00AF343B" w:rsidR="00FA1CB8">
        <w:t>edness</w:t>
      </w:r>
      <w:r w:rsidRPr="00AF343B" w:rsidR="00216BF0">
        <w:t xml:space="preserve">, the </w:t>
      </w:r>
      <w:r w:rsidRPr="00AF343B" w:rsidR="003F748A">
        <w:t xml:space="preserve">Court of Appeal </w:t>
      </w:r>
      <w:r w:rsidRPr="00AF343B" w:rsidR="00DF73D7">
        <w:t>reasoned</w:t>
      </w:r>
      <w:r w:rsidRPr="00AF343B" w:rsidR="003F748A">
        <w:t xml:space="preserve"> that the </w:t>
      </w:r>
      <w:r w:rsidRPr="00AF343B" w:rsidR="00216BF0">
        <w:t>word “contract</w:t>
      </w:r>
      <w:r w:rsidRPr="00AF343B" w:rsidR="00472F0E">
        <w:t>s</w:t>
      </w:r>
      <w:r w:rsidRPr="00AF343B" w:rsidR="00216BF0">
        <w:t xml:space="preserve">” in </w:t>
      </w:r>
      <w:r w:rsidRPr="00AF343B" w:rsidR="003F748A">
        <w:t xml:space="preserve">section 53511 </w:t>
      </w:r>
      <w:r w:rsidRPr="00AF343B" w:rsidR="00216BF0">
        <w:t xml:space="preserve">refers only to contracts </w:t>
      </w:r>
      <w:r w:rsidRPr="00AF343B" w:rsidR="00F5063F">
        <w:t xml:space="preserve">that </w:t>
      </w:r>
      <w:r w:rsidRPr="00AF343B" w:rsidR="00216BF0">
        <w:t xml:space="preserve">relate to government </w:t>
      </w:r>
      <w:r w:rsidRPr="00AF343B" w:rsidR="00BB508E">
        <w:t xml:space="preserve">indebtedness </w:t>
      </w:r>
      <w:r w:rsidRPr="00AF343B" w:rsidR="00216BF0">
        <w:t>or</w:t>
      </w:r>
      <w:r w:rsidRPr="00AF343B" w:rsidR="00F24808">
        <w:t>,</w:t>
      </w:r>
      <w:r w:rsidRPr="00AF343B" w:rsidR="004C6986">
        <w:t xml:space="preserve"> </w:t>
      </w:r>
      <w:r w:rsidRPr="00AF343B" w:rsidR="00A412A5">
        <w:t>at least</w:t>
      </w:r>
      <w:r w:rsidRPr="00AF343B" w:rsidR="00F24808">
        <w:t>,</w:t>
      </w:r>
      <w:r w:rsidRPr="00AF343B" w:rsidR="00A412A5">
        <w:t xml:space="preserve"> </w:t>
      </w:r>
      <w:r w:rsidRPr="00AF343B" w:rsidR="00DF73D7">
        <w:t xml:space="preserve">to </w:t>
      </w:r>
      <w:r w:rsidRPr="00AF343B" w:rsidR="00F5063F">
        <w:t xml:space="preserve">the financing of </w:t>
      </w:r>
      <w:r w:rsidRPr="00AF343B" w:rsidR="00816393">
        <w:t xml:space="preserve">local </w:t>
      </w:r>
      <w:r w:rsidRPr="00AF343B" w:rsidR="00BB508E">
        <w:t xml:space="preserve">agency </w:t>
      </w:r>
      <w:r w:rsidRPr="00AF343B" w:rsidR="00F5063F">
        <w:t>projects</w:t>
      </w:r>
      <w:r w:rsidRPr="00AF343B" w:rsidR="00216BF0">
        <w:t xml:space="preserve">.  </w:t>
      </w:r>
      <w:r w:rsidRPr="00AF343B" w:rsidR="00067D58">
        <w:t>(</w:t>
      </w:r>
      <w:r w:rsidRPr="00AF343B" w:rsidR="00067D58">
        <w:rPr>
          <w:i/>
          <w:iCs/>
        </w:rPr>
        <w:t>Davis II</w:t>
      </w:r>
      <w:r w:rsidRPr="00AF343B" w:rsidR="00067D58">
        <w:t xml:space="preserve">, </w:t>
      </w:r>
      <w:r w:rsidRPr="00AF343B" w:rsidR="00067D58">
        <w:rPr>
          <w:i/>
          <w:iCs/>
        </w:rPr>
        <w:t>supra</w:t>
      </w:r>
      <w:r w:rsidRPr="00AF343B" w:rsidR="00067D58">
        <w:t xml:space="preserve">, </w:t>
      </w:r>
      <w:r w:rsidRPr="00AF343B" w:rsidR="00186760">
        <w:t>57</w:t>
      </w:r>
      <w:r w:rsidRPr="00AF343B" w:rsidR="00067D58">
        <w:t xml:space="preserve"> Cal.App.5th at </w:t>
      </w:r>
      <w:r w:rsidRPr="00AF343B" w:rsidR="00186760">
        <w:t>p. 940</w:t>
      </w:r>
      <w:r w:rsidRPr="00AF343B" w:rsidR="00067D58">
        <w:t xml:space="preserve">.)  </w:t>
      </w:r>
      <w:r w:rsidRPr="00AF343B" w:rsidR="003F748A">
        <w:t xml:space="preserve">The Court of Appeal </w:t>
      </w:r>
      <w:r w:rsidRPr="00AF343B" w:rsidR="003B03DE">
        <w:t xml:space="preserve">therefore </w:t>
      </w:r>
      <w:r w:rsidRPr="00AF343B" w:rsidR="003F748A">
        <w:t xml:space="preserve">concluded that </w:t>
      </w:r>
      <w:r w:rsidRPr="00AF343B" w:rsidR="00F5063F">
        <w:t xml:space="preserve">a </w:t>
      </w:r>
      <w:r w:rsidRPr="00AF343B" w:rsidR="00B6212C">
        <w:t>lease-</w:t>
      </w:r>
      <w:r w:rsidRPr="00AF343B" w:rsidR="00F5063F">
        <w:t>leaseback</w:t>
      </w:r>
      <w:r w:rsidRPr="00AF343B" w:rsidR="00B6212C">
        <w:t xml:space="preserve"> arrangement</w:t>
      </w:r>
      <w:r w:rsidRPr="00AF343B" w:rsidR="00F5063F">
        <w:t xml:space="preserve"> </w:t>
      </w:r>
      <w:r w:rsidRPr="00AF343B" w:rsidR="00BD5CEE">
        <w:t xml:space="preserve">like the one at issue here, one </w:t>
      </w:r>
      <w:r w:rsidRPr="00AF343B" w:rsidR="00F5063F">
        <w:t xml:space="preserve">that </w:t>
      </w:r>
      <w:r w:rsidRPr="00AF343B" w:rsidR="00BD5CEE">
        <w:t xml:space="preserve">does not operate as a mechanism for </w:t>
      </w:r>
      <w:r w:rsidRPr="00AF343B" w:rsidR="00F5063F">
        <w:t xml:space="preserve">financing </w:t>
      </w:r>
      <w:r w:rsidRPr="00AF343B" w:rsidR="00FA1CB8">
        <w:t xml:space="preserve">a </w:t>
      </w:r>
      <w:r w:rsidRPr="00AF343B" w:rsidR="00F5063F">
        <w:t xml:space="preserve">government </w:t>
      </w:r>
      <w:r w:rsidRPr="00AF343B" w:rsidR="00B6212C">
        <w:t xml:space="preserve">construction </w:t>
      </w:r>
      <w:r w:rsidRPr="00AF343B" w:rsidR="00F5063F">
        <w:t>project</w:t>
      </w:r>
      <w:r w:rsidRPr="00AF343B" w:rsidR="00BD5CEE">
        <w:t>,</w:t>
      </w:r>
      <w:r w:rsidRPr="00AF343B" w:rsidR="00F5063F">
        <w:t xml:space="preserve"> is not </w:t>
      </w:r>
      <w:r w:rsidRPr="00AF343B" w:rsidR="00BD5CEE">
        <w:t>a “contract</w:t>
      </w:r>
      <w:r w:rsidRPr="00AF343B" w:rsidR="002D77A6">
        <w:t>[]</w:t>
      </w:r>
      <w:r w:rsidRPr="00AF343B" w:rsidR="00BD5CEE">
        <w:t>” for purposes of section 53511</w:t>
      </w:r>
      <w:r w:rsidRPr="00AF343B" w:rsidR="00DF73D7">
        <w:t xml:space="preserve">.  </w:t>
      </w:r>
      <w:r w:rsidRPr="00AF343B" w:rsidR="00B36623">
        <w:t>And i</w:t>
      </w:r>
      <w:r w:rsidRPr="00AF343B" w:rsidR="00DF73D7">
        <w:t xml:space="preserve">t follows </w:t>
      </w:r>
      <w:r w:rsidRPr="00AF343B" w:rsidR="00B36623">
        <w:t xml:space="preserve">from that conclusion </w:t>
      </w:r>
      <w:r w:rsidRPr="00AF343B" w:rsidR="00DF73D7">
        <w:t xml:space="preserve">that </w:t>
      </w:r>
      <w:r w:rsidRPr="00AF343B" w:rsidR="00BD5CEE">
        <w:t xml:space="preserve">section </w:t>
      </w:r>
      <w:r w:rsidRPr="00AF343B" w:rsidR="00E70E51">
        <w:t xml:space="preserve">53511 </w:t>
      </w:r>
      <w:r w:rsidRPr="00AF343B" w:rsidR="00BD5CEE">
        <w:t xml:space="preserve">does not authorize </w:t>
      </w:r>
      <w:r w:rsidRPr="00AF343B" w:rsidR="00472F0E">
        <w:t xml:space="preserve">the </w:t>
      </w:r>
      <w:r w:rsidRPr="00AF343B" w:rsidR="00BD5CEE">
        <w:t xml:space="preserve">use of the </w:t>
      </w:r>
      <w:r w:rsidRPr="00AF343B" w:rsidR="00F5063F">
        <w:t>validation statutes</w:t>
      </w:r>
      <w:r w:rsidRPr="00AF343B" w:rsidR="00BD5CEE">
        <w:t xml:space="preserve"> </w:t>
      </w:r>
      <w:r w:rsidRPr="00AF343B" w:rsidR="00DF73D7">
        <w:t>in this case</w:t>
      </w:r>
      <w:r w:rsidRPr="00AF343B" w:rsidR="00216BF0">
        <w:t>.</w:t>
      </w:r>
      <w:r w:rsidRPr="00AF343B" w:rsidR="00186760">
        <w:t xml:space="preserve">  (</w:t>
      </w:r>
      <w:r w:rsidRPr="00AF343B" w:rsidR="00186760">
        <w:rPr>
          <w:i/>
          <w:iCs/>
        </w:rPr>
        <w:t>Davis II</w:t>
      </w:r>
      <w:r w:rsidRPr="00AF343B" w:rsidR="00186760">
        <w:t>, at p. 941.)</w:t>
      </w:r>
    </w:p>
    <w:p w:rsidR="00816893" w:rsidRPr="00AF343B" w:rsidP="00AF343B">
      <w:pPr>
        <w:tabs>
          <w:tab w:val="left" w:pos="1440"/>
        </w:tabs>
        <w:ind w:firstLine="720"/>
      </w:pPr>
      <w:r w:rsidRPr="00AF343B">
        <w:t>Because t</w:t>
      </w:r>
      <w:r w:rsidRPr="00AF343B" w:rsidR="005902C8">
        <w:t>he term “contracts” in section 53511 is ambiguous</w:t>
      </w:r>
      <w:r w:rsidRPr="00AF343B" w:rsidR="003B547E">
        <w:t xml:space="preserve"> in this way</w:t>
      </w:r>
      <w:r w:rsidRPr="00AF343B">
        <w:t xml:space="preserve">, we must employ </w:t>
      </w:r>
      <w:r w:rsidRPr="00AF343B" w:rsidR="00C11B97">
        <w:t xml:space="preserve">the usual methods </w:t>
      </w:r>
      <w:r w:rsidRPr="00AF343B">
        <w:t xml:space="preserve">of statutory construction to determine </w:t>
      </w:r>
      <w:r w:rsidRPr="00AF343B" w:rsidR="003B547E">
        <w:t>the L</w:t>
      </w:r>
      <w:r w:rsidRPr="00AF343B">
        <w:t>egislat</w:t>
      </w:r>
      <w:r w:rsidRPr="00AF343B" w:rsidR="003B547E">
        <w:t xml:space="preserve">ure’s </w:t>
      </w:r>
      <w:r w:rsidRPr="00AF343B">
        <w:t>intent</w:t>
      </w:r>
      <w:r w:rsidRPr="00AF343B" w:rsidR="00C11B97">
        <w:t xml:space="preserve"> with respect to that provision</w:t>
      </w:r>
      <w:r w:rsidRPr="00AF343B">
        <w:rPr>
          <w:szCs w:val="26"/>
        </w:rPr>
        <w:t xml:space="preserve">.  The </w:t>
      </w:r>
      <w:r w:rsidRPr="00AF343B" w:rsidR="00FA345A">
        <w:t xml:space="preserve">threshold question </w:t>
      </w:r>
      <w:r w:rsidRPr="00AF343B" w:rsidR="00B36623">
        <w:t xml:space="preserve">we must decide </w:t>
      </w:r>
      <w:r w:rsidRPr="00AF343B" w:rsidR="00FA345A">
        <w:t>is whether</w:t>
      </w:r>
      <w:r w:rsidRPr="00AF343B" w:rsidR="00C92891">
        <w:t>,</w:t>
      </w:r>
      <w:r w:rsidRPr="00AF343B" w:rsidR="00FA345A">
        <w:t xml:space="preserve"> </w:t>
      </w:r>
      <w:r w:rsidRPr="00AF343B" w:rsidR="00C92891">
        <w:t xml:space="preserve">under </w:t>
      </w:r>
      <w:r w:rsidRPr="00AF343B" w:rsidR="00AD7C7A">
        <w:t>section 53511</w:t>
      </w:r>
      <w:r w:rsidRPr="00AF343B" w:rsidR="00C92891">
        <w:t>,</w:t>
      </w:r>
      <w:r w:rsidRPr="00AF343B" w:rsidR="00AD7C7A">
        <w:t xml:space="preserve"> </w:t>
      </w:r>
      <w:r w:rsidRPr="00AF343B" w:rsidR="00FA345A">
        <w:t xml:space="preserve">any and all </w:t>
      </w:r>
      <w:r w:rsidRPr="00AF343B" w:rsidR="004057A2">
        <w:t>local</w:t>
      </w:r>
      <w:r w:rsidRPr="00AF343B" w:rsidR="00FA345A">
        <w:t xml:space="preserve"> agency contracts are subject to validation or whether</w:t>
      </w:r>
      <w:r w:rsidRPr="00AF343B" w:rsidR="00C92891">
        <w:t xml:space="preserve">, under that section, </w:t>
      </w:r>
      <w:r w:rsidRPr="00AF343B" w:rsidR="00FA345A">
        <w:t xml:space="preserve">only a particular type of </w:t>
      </w:r>
      <w:r w:rsidRPr="00AF343B" w:rsidR="004057A2">
        <w:t xml:space="preserve">local agency </w:t>
      </w:r>
      <w:r w:rsidRPr="00AF343B" w:rsidR="00FA345A">
        <w:t xml:space="preserve">contract </w:t>
      </w:r>
      <w:r w:rsidRPr="00AF343B" w:rsidR="00C92891">
        <w:t xml:space="preserve">is </w:t>
      </w:r>
      <w:r w:rsidRPr="00AF343B" w:rsidR="00FA345A">
        <w:t xml:space="preserve">subject to validation.  </w:t>
      </w:r>
      <w:r w:rsidRPr="00AF343B" w:rsidR="00975AD0">
        <w:t>Then, if we conclude that only a particular type of agency contract is subject to validation</w:t>
      </w:r>
      <w:r w:rsidRPr="00AF343B" w:rsidR="007979D5">
        <w:t xml:space="preserve"> under section 53511, </w:t>
      </w:r>
      <w:r w:rsidRPr="00AF343B" w:rsidR="00975AD0">
        <w:t xml:space="preserve">we must </w:t>
      </w:r>
      <w:r w:rsidRPr="00AF343B" w:rsidR="00E85D83">
        <w:t xml:space="preserve">consider </w:t>
      </w:r>
      <w:r w:rsidRPr="00AF343B">
        <w:t>what that type is</w:t>
      </w:r>
      <w:r w:rsidRPr="00AF343B" w:rsidR="0017696E">
        <w:t xml:space="preserve"> and whether it includes the lease-leaseback arrangement at issue here</w:t>
      </w:r>
      <w:r w:rsidRPr="00AF343B">
        <w:t>.</w:t>
      </w:r>
    </w:p>
    <w:p w:rsidR="008D3460" w:rsidRPr="00AF343B" w:rsidP="00AF343B">
      <w:pPr>
        <w:pStyle w:val="Heading3"/>
      </w:pPr>
      <w:r w:rsidRPr="00AF343B">
        <w:t>1. Does the word “contracts” in section 53511 mean any and all local agency contracts?</w:t>
      </w:r>
    </w:p>
    <w:p w:rsidR="006C18EE" w:rsidRPr="00AF343B" w:rsidP="00AF343B">
      <w:pPr>
        <w:tabs>
          <w:tab w:val="left" w:pos="1440"/>
        </w:tabs>
        <w:ind w:firstLine="720"/>
      </w:pPr>
      <w:r w:rsidRPr="00AF343B">
        <w:t xml:space="preserve">The threshold question is not seriously disputed by the parties, who are generally willing to concede that the term “contracts” in section 53511 does not refer to any and all local agency contracts.  </w:t>
      </w:r>
      <w:r w:rsidRPr="00AF343B" w:rsidR="00207B4D">
        <w:t xml:space="preserve">This </w:t>
      </w:r>
      <w:r w:rsidRPr="00AF343B" w:rsidR="005B6C1E">
        <w:t xml:space="preserve">absence </w:t>
      </w:r>
      <w:r w:rsidRPr="00AF343B" w:rsidR="00207B4D">
        <w:t>of dispute is because w</w:t>
      </w:r>
      <w:r w:rsidRPr="00AF343B" w:rsidR="003F748A">
        <w:t>e addressed th</w:t>
      </w:r>
      <w:r w:rsidRPr="00AF343B" w:rsidR="00207B4D">
        <w:t>e</w:t>
      </w:r>
      <w:r w:rsidRPr="00AF343B" w:rsidR="00FA345A">
        <w:t xml:space="preserve"> question </w:t>
      </w:r>
      <w:r w:rsidRPr="00AF343B" w:rsidR="003F748A">
        <w:t xml:space="preserve">in </w:t>
      </w:r>
      <w:r w:rsidRPr="00AF343B" w:rsidR="005B6C1E">
        <w:t xml:space="preserve">dictum in </w:t>
      </w:r>
      <w:r w:rsidRPr="00AF343B" w:rsidR="00D32840">
        <w:rPr>
          <w:i/>
          <w:iCs/>
        </w:rPr>
        <w:t>City of Ontario</w:t>
      </w:r>
      <w:r w:rsidRPr="00AF343B" w:rsidR="0009531E">
        <w:t>.</w:t>
      </w:r>
      <w:r w:rsidRPr="00AF343B" w:rsidR="00D32840">
        <w:t xml:space="preserve">  </w:t>
      </w:r>
      <w:r w:rsidRPr="00AF343B" w:rsidR="00207B4D">
        <w:t>W</w:t>
      </w:r>
      <w:r w:rsidRPr="00AF343B" w:rsidR="00D32840">
        <w:t xml:space="preserve">hat we said </w:t>
      </w:r>
      <w:r w:rsidRPr="00AF343B" w:rsidR="009A4735">
        <w:t xml:space="preserve">in </w:t>
      </w:r>
      <w:r w:rsidRPr="00AF343B" w:rsidR="009A4735">
        <w:rPr>
          <w:i/>
          <w:iCs/>
        </w:rPr>
        <w:t>City of Ontario</w:t>
      </w:r>
      <w:r w:rsidRPr="00AF343B" w:rsidR="009A4735">
        <w:t xml:space="preserve"> </w:t>
      </w:r>
      <w:r w:rsidRPr="00AF343B" w:rsidR="00AB78BE">
        <w:t>i</w:t>
      </w:r>
      <w:r w:rsidRPr="00AF343B" w:rsidR="00D32840">
        <w:t>s persuasive</w:t>
      </w:r>
      <w:r w:rsidRPr="00AF343B" w:rsidR="00F05E4F">
        <w:t>,</w:t>
      </w:r>
      <w:r w:rsidRPr="00AF343B" w:rsidR="00D32840">
        <w:t xml:space="preserve"> and </w:t>
      </w:r>
      <w:r w:rsidRPr="00AF343B" w:rsidR="00F05E4F">
        <w:t xml:space="preserve">it </w:t>
      </w:r>
      <w:r w:rsidRPr="00AF343B" w:rsidR="00D32840">
        <w:t>bears repeating here at length:</w:t>
      </w:r>
      <w:r w:rsidRPr="00AF343B" w:rsidR="007200DC">
        <w:t xml:space="preserve">  </w:t>
      </w:r>
      <w:r w:rsidRPr="00AF343B" w:rsidR="0046081B">
        <w:t>Section 53511</w:t>
      </w:r>
      <w:r w:rsidR="00E507CD">
        <w:t xml:space="preserve"> </w:t>
      </w:r>
      <w:r w:rsidR="00057D05">
        <w:t>“</w:t>
      </w:r>
      <w:r w:rsidRPr="00AF343B">
        <w:t>lists, as matters for validation under</w:t>
      </w:r>
      <w:r w:rsidRPr="00AF343B" w:rsidR="00D5766D">
        <w:t xml:space="preserve"> </w:t>
      </w:r>
      <w:r w:rsidRPr="00AF343B" w:rsidR="0046081B">
        <w:t>[the validation statutes]</w:t>
      </w:r>
      <w:r w:rsidRPr="00AF343B">
        <w:t xml:space="preserve">, ‘bonds, warrants, </w:t>
      </w:r>
      <w:r w:rsidRPr="00AF343B" w:rsidR="007813DF">
        <w:rPr>
          <w:i/>
          <w:iCs/>
        </w:rPr>
        <w:t>c</w:t>
      </w:r>
      <w:r w:rsidRPr="00AF343B">
        <w:rPr>
          <w:i/>
          <w:iCs/>
        </w:rPr>
        <w:t>ontracts</w:t>
      </w:r>
      <w:r w:rsidRPr="00AF343B">
        <w:t>, obligations or</w:t>
      </w:r>
      <w:r w:rsidRPr="00AF343B" w:rsidR="00D5766D">
        <w:t xml:space="preserve"> </w:t>
      </w:r>
      <w:r w:rsidRPr="00AF343B">
        <w:t>evidences of indebtedness</w:t>
      </w:r>
      <w:r w:rsidRPr="00AF343B" w:rsidR="00D5766D">
        <w:t>’</w:t>
      </w:r>
      <w:r w:rsidRPr="00AF343B">
        <w:t xml:space="preserve"> (italics added).  There is</w:t>
      </w:r>
      <w:r w:rsidRPr="00AF343B" w:rsidR="00D5766D">
        <w:t xml:space="preserve"> </w:t>
      </w:r>
      <w:r w:rsidRPr="00AF343B">
        <w:t>no limitation or qualification on the word ‘contracts,’ and it would therefore appear</w:t>
      </w:r>
      <w:r w:rsidRPr="00AF343B" w:rsidR="00D5766D">
        <w:t xml:space="preserve"> </w:t>
      </w:r>
      <w:r w:rsidRPr="00AF343B">
        <w:t>to include a multipurpose municipal contract such</w:t>
      </w:r>
      <w:r w:rsidRPr="00AF343B" w:rsidR="00D5766D">
        <w:t xml:space="preserve"> </w:t>
      </w:r>
      <w:r w:rsidRPr="00AF343B">
        <w:t xml:space="preserve">as the </w:t>
      </w:r>
      <w:r w:rsidRPr="00AF343B" w:rsidR="007200DC">
        <w:t>Ontario Motor Stadium Agreement</w:t>
      </w:r>
      <w:r w:rsidRPr="00AF343B">
        <w:t>.  Yet the</w:t>
      </w:r>
      <w:r w:rsidRPr="00AF343B" w:rsidR="00D5766D">
        <w:t xml:space="preserve"> </w:t>
      </w:r>
      <w:r w:rsidRPr="00AF343B">
        <w:t>legislative history of the statute suggests a contrary</w:t>
      </w:r>
      <w:r w:rsidRPr="00AF343B" w:rsidR="00D5766D">
        <w:t xml:space="preserve"> </w:t>
      </w:r>
      <w:r w:rsidRPr="00AF343B">
        <w:t>result.  First,</w:t>
      </w:r>
      <w:r w:rsidRPr="00AF343B" w:rsidR="0046081B">
        <w:t xml:space="preserve"> </w:t>
      </w:r>
      <w:r w:rsidRPr="00AF343B">
        <w:t>the Legislative Counsel’s digest of the bill</w:t>
      </w:r>
      <w:r w:rsidRPr="00AF343B" w:rsidR="00D5766D">
        <w:t xml:space="preserve"> </w:t>
      </w:r>
      <w:r w:rsidRPr="00AF343B">
        <w:t>proposing section 53511 characterized the measure as</w:t>
      </w:r>
      <w:r w:rsidRPr="00AF343B" w:rsidR="00D5766D">
        <w:t xml:space="preserve"> </w:t>
      </w:r>
      <w:r w:rsidRPr="00AF343B">
        <w:t>one allowing</w:t>
      </w:r>
      <w:r w:rsidRPr="00AF343B" w:rsidR="00862FEF">
        <w:t xml:space="preserve"> </w:t>
      </w:r>
      <w:r w:rsidRPr="00AF343B">
        <w:t xml:space="preserve">‘a local agency </w:t>
      </w:r>
      <w:r w:rsidRPr="00AF343B" w:rsidR="00862FEF">
        <w:t>to</w:t>
      </w:r>
      <w:r w:rsidRPr="00AF343B">
        <w:t xml:space="preserve"> bring an action to</w:t>
      </w:r>
      <w:r w:rsidRPr="00AF343B" w:rsidR="00D5766D">
        <w:t xml:space="preserve"> </w:t>
      </w:r>
      <w:r w:rsidRPr="00AF343B">
        <w:t>determine the validity of evidences of indebtedness.’  Second, section 53511 was enacted as part of chapter</w:t>
      </w:r>
      <w:r w:rsidRPr="00AF343B" w:rsidR="00D5766D">
        <w:t xml:space="preserve"> </w:t>
      </w:r>
      <w:r w:rsidRPr="00AF343B">
        <w:t>3 of part 1, division 2, title 5, of the Government Code.  Chapter 3 is entitled ‘Bonds,’ and deals exclusively</w:t>
      </w:r>
      <w:r w:rsidRPr="00AF343B" w:rsidR="00D5766D">
        <w:t xml:space="preserve"> </w:t>
      </w:r>
      <w:r w:rsidRPr="00AF343B">
        <w:t>with the power of local agencies to sell their bonds,</w:t>
      </w:r>
      <w:r w:rsidRPr="00AF343B" w:rsidR="00D5766D">
        <w:t xml:space="preserve"> </w:t>
      </w:r>
      <w:r w:rsidRPr="00AF343B">
        <w:t>replace defaced or lost bonds, and pledge their</w:t>
      </w:r>
      <w:r w:rsidRPr="00AF343B" w:rsidR="00D5766D">
        <w:t xml:space="preserve"> </w:t>
      </w:r>
      <w:r w:rsidRPr="00AF343B">
        <w:t>revenues to pay or secure such bonds.  If section 53511</w:t>
      </w:r>
      <w:r w:rsidRPr="00AF343B" w:rsidR="00D5766D">
        <w:t xml:space="preserve"> </w:t>
      </w:r>
      <w:r w:rsidRPr="00AF343B">
        <w:t>was intended to be a provision of general application,</w:t>
      </w:r>
      <w:r w:rsidRPr="00AF343B" w:rsidR="00D5766D">
        <w:t xml:space="preserve"> </w:t>
      </w:r>
      <w:r w:rsidRPr="00AF343B">
        <w:t>logically it should have been placed in article 4</w:t>
      </w:r>
      <w:r w:rsidRPr="00AF343B" w:rsidR="00D5766D">
        <w:t xml:space="preserve"> </w:t>
      </w:r>
      <w:r w:rsidRPr="00AF343B">
        <w:t>(‘Miscellaneous’) of chapter 1 (‘General’) of the same</w:t>
      </w:r>
      <w:r w:rsidRPr="00AF343B" w:rsidR="00D5766D">
        <w:t xml:space="preserve"> </w:t>
      </w:r>
      <w:r w:rsidRPr="00AF343B">
        <w:t>part, in which a group of such unrelated matters</w:t>
      </w:r>
      <w:r w:rsidRPr="00AF343B" w:rsidR="00D5766D">
        <w:t xml:space="preserve"> </w:t>
      </w:r>
      <w:r w:rsidRPr="00AF343B">
        <w:t>are collected.  Third, the key language of section</w:t>
      </w:r>
      <w:r w:rsidRPr="00AF343B" w:rsidR="00D5766D">
        <w:t xml:space="preserve"> </w:t>
      </w:r>
      <w:r w:rsidRPr="00AF343B">
        <w:t>53511 — ‘bonds, warrants, contracts, obligations or</w:t>
      </w:r>
      <w:r w:rsidRPr="00AF343B" w:rsidR="00D5766D">
        <w:t xml:space="preserve"> </w:t>
      </w:r>
      <w:r w:rsidRPr="00AF343B">
        <w:t>evidences of indebtedness’ — was taken directly from</w:t>
      </w:r>
      <w:r w:rsidRPr="00AF343B" w:rsidR="00D5766D">
        <w:t xml:space="preserve"> </w:t>
      </w:r>
      <w:r w:rsidRPr="00AF343B">
        <w:t>section 864 of chapter 9; under well</w:t>
      </w:r>
      <w:r w:rsidRPr="00AF343B" w:rsidR="007813DF">
        <w:t>-</w:t>
      </w:r>
      <w:r w:rsidRPr="00AF343B">
        <w:t>known canons of</w:t>
      </w:r>
      <w:r w:rsidRPr="00AF343B" w:rsidR="00D5766D">
        <w:t xml:space="preserve"> </w:t>
      </w:r>
      <w:r w:rsidRPr="00AF343B">
        <w:t>statutory interpretation, it should ordinarily be given</w:t>
      </w:r>
      <w:r w:rsidRPr="00AF343B" w:rsidR="00D5766D">
        <w:t xml:space="preserve"> </w:t>
      </w:r>
      <w:r w:rsidRPr="00AF343B">
        <w:t>the same meaning as it had in the earlier statute.</w:t>
      </w:r>
      <w:r w:rsidRPr="00AF343B" w:rsidR="007813DF">
        <w:t xml:space="preserve"> </w:t>
      </w:r>
      <w:r w:rsidRPr="00AF343B">
        <w:t xml:space="preserve"> But</w:t>
      </w:r>
      <w:r w:rsidRPr="00AF343B" w:rsidR="00D5766D">
        <w:t xml:space="preserve"> </w:t>
      </w:r>
      <w:r w:rsidRPr="00AF343B">
        <w:t>as a perusal of the companion 1961 legislation reveals,</w:t>
      </w:r>
      <w:r w:rsidRPr="00AF343B" w:rsidR="00D5766D">
        <w:t xml:space="preserve"> </w:t>
      </w:r>
      <w:r w:rsidRPr="00AF343B">
        <w:t>when chapter 9 was adopted it was made applicable</w:t>
      </w:r>
      <w:r w:rsidRPr="00AF343B" w:rsidR="00D5766D">
        <w:t xml:space="preserve"> </w:t>
      </w:r>
      <w:r w:rsidRPr="00AF343B">
        <w:t>only to such matters as the legality of the local entity</w:t>
      </w:r>
      <w:r w:rsidRPr="00AF343B" w:rsidR="007813DF">
        <w:t>’</w:t>
      </w:r>
      <w:r w:rsidRPr="00AF343B">
        <w:t>s</w:t>
      </w:r>
      <w:r w:rsidRPr="00AF343B" w:rsidR="00D5766D">
        <w:t xml:space="preserve"> </w:t>
      </w:r>
      <w:r w:rsidRPr="00AF343B">
        <w:t>existence, the validity of its bonds and assessments,</w:t>
      </w:r>
      <w:r w:rsidRPr="00AF343B" w:rsidR="00D5766D">
        <w:t xml:space="preserve"> </w:t>
      </w:r>
      <w:r w:rsidRPr="00AF343B">
        <w:t>and the validity of joint financing agreements with</w:t>
      </w:r>
      <w:r w:rsidRPr="00AF343B" w:rsidR="00D5766D">
        <w:t xml:space="preserve"> </w:t>
      </w:r>
      <w:r w:rsidRPr="00AF343B">
        <w:t xml:space="preserve">other agencies. </w:t>
      </w:r>
      <w:r w:rsidRPr="00AF343B" w:rsidR="007813DF">
        <w:t xml:space="preserve"> </w:t>
      </w:r>
      <w:r w:rsidRPr="00AF343B">
        <w:t>If section 53511 was intended to reach</w:t>
      </w:r>
      <w:r w:rsidRPr="00AF343B" w:rsidR="00D5766D">
        <w:t xml:space="preserve"> </w:t>
      </w:r>
      <w:r w:rsidRPr="00AF343B">
        <w:t>any and all contracts into which an agency</w:t>
      </w:r>
      <w:r w:rsidRPr="00AF343B" w:rsidR="00D5766D">
        <w:t xml:space="preserve"> </w:t>
      </w:r>
      <w:r w:rsidRPr="00AF343B">
        <w:t>may lawfully enter, the restricted language of section</w:t>
      </w:r>
      <w:r w:rsidRPr="00AF343B" w:rsidR="00D5766D">
        <w:t xml:space="preserve"> </w:t>
      </w:r>
      <w:r w:rsidRPr="00AF343B">
        <w:t xml:space="preserve">864 was inappropriate for that purpose. </w:t>
      </w:r>
      <w:r w:rsidRPr="00AF343B" w:rsidR="007813DF">
        <w:t xml:space="preserve"> </w:t>
      </w:r>
      <w:r w:rsidRPr="00AF343B">
        <w:t>Finally, that</w:t>
      </w:r>
      <w:r w:rsidRPr="00AF343B" w:rsidR="0077489B">
        <w:t xml:space="preserve"> </w:t>
      </w:r>
      <w:r w:rsidRPr="00AF343B">
        <w:t>language is peculiarly inapt for expressing such a</w:t>
      </w:r>
      <w:r w:rsidRPr="00AF343B" w:rsidR="0077489B">
        <w:t xml:space="preserve"> </w:t>
      </w:r>
      <w:r w:rsidRPr="00AF343B">
        <w:t>general meaning in any event, as it lists the word</w:t>
      </w:r>
      <w:r w:rsidRPr="00AF343B" w:rsidR="0077489B">
        <w:t xml:space="preserve"> </w:t>
      </w:r>
      <w:r w:rsidRPr="00AF343B">
        <w:t>‘contracts</w:t>
      </w:r>
      <w:r w:rsidRPr="00AF343B" w:rsidR="0077489B">
        <w:t>’</w:t>
      </w:r>
      <w:r w:rsidRPr="00AF343B">
        <w:t xml:space="preserve"> in the midst of four other terms which all</w:t>
      </w:r>
      <w:r w:rsidRPr="00AF343B" w:rsidR="0077489B">
        <w:t xml:space="preserve"> </w:t>
      </w:r>
      <w:r w:rsidRPr="00AF343B">
        <w:t>deal with the limited topic of a local agency</w:t>
      </w:r>
      <w:r w:rsidRPr="00AF343B" w:rsidR="0077489B">
        <w:t>’</w:t>
      </w:r>
      <w:r w:rsidRPr="00AF343B">
        <w:t>s financial</w:t>
      </w:r>
      <w:r w:rsidRPr="00AF343B" w:rsidR="0077489B">
        <w:t xml:space="preserve"> </w:t>
      </w:r>
      <w:r w:rsidRPr="00AF343B">
        <w:t>obligations.”  (</w:t>
      </w:r>
      <w:r w:rsidRPr="00AF343B">
        <w:rPr>
          <w:i/>
          <w:iCs/>
        </w:rPr>
        <w:t>City of Ontario</w:t>
      </w:r>
      <w:r w:rsidRPr="00AF343B">
        <w:t xml:space="preserve">, </w:t>
      </w:r>
      <w:r w:rsidRPr="00AF343B" w:rsidR="00C43CC2">
        <w:rPr>
          <w:i/>
          <w:iCs/>
        </w:rPr>
        <w:t>supra</w:t>
      </w:r>
      <w:r w:rsidRPr="00AF343B" w:rsidR="00C43CC2">
        <w:t xml:space="preserve">, 2 Cal.3d at </w:t>
      </w:r>
      <w:r w:rsidRPr="00AF343B">
        <w:t>pp. 343–344.)</w:t>
      </w:r>
    </w:p>
    <w:p w:rsidR="007D0A19" w:rsidRPr="00AF343B" w:rsidP="00AF343B">
      <w:pPr>
        <w:tabs>
          <w:tab w:val="left" w:pos="1440"/>
        </w:tabs>
        <w:ind w:firstLine="720"/>
      </w:pPr>
      <w:r w:rsidRPr="00AF343B">
        <w:t>I</w:t>
      </w:r>
      <w:r w:rsidRPr="00AF343B" w:rsidR="001B53D5">
        <w:t xml:space="preserve">n </w:t>
      </w:r>
      <w:r w:rsidRPr="00AF343B" w:rsidR="001B53D5">
        <w:rPr>
          <w:i/>
          <w:iCs/>
        </w:rPr>
        <w:t>City of Ontario</w:t>
      </w:r>
      <w:r w:rsidRPr="00AF343B">
        <w:t xml:space="preserve">, </w:t>
      </w:r>
      <w:r w:rsidRPr="00AF343B" w:rsidR="001B53D5">
        <w:t xml:space="preserve">we did not need to </w:t>
      </w:r>
      <w:r w:rsidRPr="00AF343B" w:rsidR="00C3630E">
        <w:t>decide</w:t>
      </w:r>
      <w:r w:rsidRPr="00AF343B" w:rsidR="001B53D5">
        <w:t xml:space="preserve"> the applicability of the validation statutes, because it was enough for us to hold that the </w:t>
      </w:r>
      <w:r w:rsidRPr="00AF343B" w:rsidR="00326C1D">
        <w:t>question was</w:t>
      </w:r>
      <w:r w:rsidRPr="00AF343B" w:rsidR="0060057C">
        <w:t xml:space="preserve"> </w:t>
      </w:r>
      <w:r w:rsidRPr="00AF343B" w:rsidR="001B53D5">
        <w:t>“ ‘complex and debatable’ ” (</w:t>
      </w:r>
      <w:r w:rsidRPr="00AF343B" w:rsidR="001B53D5">
        <w:rPr>
          <w:i/>
          <w:iCs/>
        </w:rPr>
        <w:t>City of Ontario</w:t>
      </w:r>
      <w:r w:rsidRPr="00AF343B" w:rsidR="001B53D5">
        <w:t xml:space="preserve">, </w:t>
      </w:r>
      <w:r w:rsidRPr="00AF343B" w:rsidR="001B53D5">
        <w:rPr>
          <w:i/>
          <w:iCs/>
        </w:rPr>
        <w:t>supra</w:t>
      </w:r>
      <w:r w:rsidRPr="00AF343B" w:rsidR="001B53D5">
        <w:t>, 2 Cal.3d at p. 345)</w:t>
      </w:r>
      <w:r w:rsidRPr="00AF343B" w:rsidR="0060057C">
        <w:t xml:space="preserve">, </w:t>
      </w:r>
      <w:r w:rsidRPr="00AF343B" w:rsidR="001B53D5">
        <w:t>justify</w:t>
      </w:r>
      <w:r w:rsidRPr="00AF343B" w:rsidR="0060057C">
        <w:t>ing</w:t>
      </w:r>
      <w:r w:rsidRPr="00AF343B" w:rsidR="001B53D5">
        <w:t xml:space="preserve"> the </w:t>
      </w:r>
      <w:r w:rsidRPr="00AF343B" w:rsidR="00CA0236">
        <w:t>t</w:t>
      </w:r>
      <w:r w:rsidRPr="00AF343B" w:rsidR="00A20CEF">
        <w:t xml:space="preserve">rial court’s </w:t>
      </w:r>
      <w:r w:rsidRPr="00AF343B" w:rsidR="001B53D5">
        <w:t xml:space="preserve">discretionary decision </w:t>
      </w:r>
      <w:r w:rsidRPr="00AF343B">
        <w:t xml:space="preserve">to </w:t>
      </w:r>
      <w:r w:rsidRPr="00AF343B" w:rsidR="001B53D5">
        <w:t>excus</w:t>
      </w:r>
      <w:r w:rsidRPr="00AF343B">
        <w:t>e</w:t>
      </w:r>
      <w:r w:rsidRPr="00AF343B" w:rsidR="001B53D5">
        <w:t xml:space="preserve"> the plaintiffs’ noncompliance (</w:t>
      </w:r>
      <w:r w:rsidRPr="00AF343B">
        <w:t xml:space="preserve">see </w:t>
      </w:r>
      <w:r w:rsidRPr="00AF343B" w:rsidR="001B53D5">
        <w:rPr>
          <w:i/>
          <w:iCs/>
        </w:rPr>
        <w:t>id</w:t>
      </w:r>
      <w:r w:rsidRPr="00AF343B" w:rsidR="001B53D5">
        <w:t>. at pp. 345–346)</w:t>
      </w:r>
      <w:r w:rsidRPr="00AF343B" w:rsidR="008C5ADC">
        <w:t xml:space="preserve">.  </w:t>
      </w:r>
      <w:r w:rsidRPr="00AF343B" w:rsidR="00CD6C76">
        <w:t xml:space="preserve">Nonetheless, </w:t>
      </w:r>
      <w:r w:rsidRPr="00AF343B" w:rsidR="00136A2A">
        <w:t xml:space="preserve">what we said in </w:t>
      </w:r>
      <w:r w:rsidRPr="00AF343B" w:rsidR="00136A2A">
        <w:rPr>
          <w:i/>
          <w:iCs/>
        </w:rPr>
        <w:t>City of Ontario</w:t>
      </w:r>
      <w:r w:rsidRPr="00AF343B" w:rsidR="00136A2A">
        <w:t xml:space="preserve"> is </w:t>
      </w:r>
      <w:r w:rsidRPr="00AF343B" w:rsidR="00B94F8F">
        <w:t>convincing</w:t>
      </w:r>
      <w:r w:rsidRPr="00AF343B" w:rsidR="00136A2A">
        <w:t>.  We do not believe that</w:t>
      </w:r>
      <w:r w:rsidRPr="00AF343B" w:rsidR="005B275D">
        <w:t xml:space="preserve"> the Legislature intended any and all contracts that a </w:t>
      </w:r>
      <w:r w:rsidRPr="00AF343B" w:rsidR="00EC2C47">
        <w:t xml:space="preserve">local </w:t>
      </w:r>
      <w:r w:rsidRPr="00AF343B" w:rsidR="005B275D">
        <w:t xml:space="preserve">agency might enter into </w:t>
      </w:r>
      <w:r w:rsidRPr="00AF343B" w:rsidR="00D624D0">
        <w:t>(</w:t>
      </w:r>
      <w:r w:rsidRPr="00AF343B" w:rsidR="00CC4761">
        <w:t xml:space="preserve">miscellaneous </w:t>
      </w:r>
      <w:r w:rsidRPr="00AF343B" w:rsidR="00D624D0">
        <w:t xml:space="preserve">supply contracts, employment contracts, etc.) </w:t>
      </w:r>
      <w:r w:rsidRPr="00AF343B" w:rsidR="005B275D">
        <w:t xml:space="preserve">to be subject to </w:t>
      </w:r>
      <w:r w:rsidRPr="00AF343B" w:rsidR="008D6A57">
        <w:t xml:space="preserve">validation under the </w:t>
      </w:r>
      <w:r w:rsidRPr="00AF343B" w:rsidR="005B275D">
        <w:t>validation statutes</w:t>
      </w:r>
      <w:r w:rsidRPr="00AF343B" w:rsidR="00ED336E">
        <w:t xml:space="preserve">, which </w:t>
      </w:r>
      <w:r w:rsidRPr="00AF343B" w:rsidR="008D6A57">
        <w:t xml:space="preserve">would mean that they would need to </w:t>
      </w:r>
      <w:r w:rsidRPr="00AF343B" w:rsidR="00ED336E">
        <w:t xml:space="preserve">be challenged within 60 days (Code Civ. </w:t>
      </w:r>
      <w:r w:rsidRPr="00AF343B" w:rsidR="00603686">
        <w:t>Proc.</w:t>
      </w:r>
      <w:r w:rsidRPr="00AF343B" w:rsidR="00ED336E">
        <w:t>, § 863)</w:t>
      </w:r>
      <w:r w:rsidRPr="00AF343B" w:rsidR="008D6A57">
        <w:t xml:space="preserve"> or </w:t>
      </w:r>
      <w:r w:rsidR="004E3137">
        <w:t xml:space="preserve">become </w:t>
      </w:r>
      <w:r w:rsidRPr="00AF343B" w:rsidR="008D6A57">
        <w:t>forever i</w:t>
      </w:r>
      <w:r w:rsidRPr="00AF343B" w:rsidR="008272DB">
        <w:t>nsulated from attack</w:t>
      </w:r>
      <w:r w:rsidRPr="00AF343B" w:rsidR="00ED336E">
        <w:t xml:space="preserve">.  </w:t>
      </w:r>
      <w:r w:rsidRPr="00AF343B" w:rsidR="00C126CC">
        <w:t>V</w:t>
      </w:r>
      <w:r w:rsidRPr="00AF343B" w:rsidR="002E72A2">
        <w:t xml:space="preserve">alidation actions typically apply to </w:t>
      </w:r>
      <w:r w:rsidRPr="00AF343B" w:rsidR="008D6A57">
        <w:t xml:space="preserve">public agency </w:t>
      </w:r>
      <w:r w:rsidRPr="00AF343B" w:rsidR="002E72A2">
        <w:t xml:space="preserve">matters that </w:t>
      </w:r>
      <w:r w:rsidRPr="00AF343B" w:rsidR="008D6A57">
        <w:t>by their nature</w:t>
      </w:r>
      <w:r w:rsidRPr="00AF343B" w:rsidR="00D624D0">
        <w:t xml:space="preserve"> call for </w:t>
      </w:r>
      <w:r w:rsidRPr="00AF343B" w:rsidR="002E72A2">
        <w:t xml:space="preserve">an expedited and final determination </w:t>
      </w:r>
      <w:r w:rsidRPr="00AF343B" w:rsidR="008272DB">
        <w:t xml:space="preserve">as to </w:t>
      </w:r>
      <w:r w:rsidRPr="00AF343B" w:rsidR="002E72A2">
        <w:t>their validity</w:t>
      </w:r>
      <w:r w:rsidRPr="00AF343B" w:rsidR="008D6A57">
        <w:t xml:space="preserve">.  </w:t>
      </w:r>
      <w:r w:rsidRPr="00AF343B" w:rsidR="00083013">
        <w:t>Th</w:t>
      </w:r>
      <w:r w:rsidRPr="00AF343B" w:rsidR="00EC2C47">
        <w:t>e</w:t>
      </w:r>
      <w:r w:rsidRPr="00AF343B" w:rsidR="00083013">
        <w:t xml:space="preserve"> </w:t>
      </w:r>
      <w:r w:rsidRPr="00AF343B" w:rsidR="00977AE1">
        <w:t xml:space="preserve">need for </w:t>
      </w:r>
      <w:r w:rsidRPr="00AF343B" w:rsidR="0025397D">
        <w:t xml:space="preserve">that sort of </w:t>
      </w:r>
      <w:r w:rsidRPr="00AF343B" w:rsidR="00977AE1">
        <w:t>expedited validation exists</w:t>
      </w:r>
      <w:r w:rsidRPr="00AF343B" w:rsidR="008D6A57">
        <w:t xml:space="preserve">, of course, </w:t>
      </w:r>
      <w:r w:rsidRPr="00AF343B" w:rsidR="00977AE1">
        <w:t xml:space="preserve">in the case </w:t>
      </w:r>
      <w:r w:rsidRPr="00AF343B" w:rsidR="008D6A57">
        <w:t xml:space="preserve">of </w:t>
      </w:r>
      <w:r w:rsidRPr="00AF343B" w:rsidR="00083013">
        <w:t>agency-issued</w:t>
      </w:r>
      <w:r w:rsidRPr="00AF343B" w:rsidR="00335E54">
        <w:t xml:space="preserve"> </w:t>
      </w:r>
      <w:r w:rsidRPr="00AF343B" w:rsidR="008272DB">
        <w:t>bonds</w:t>
      </w:r>
      <w:r w:rsidRPr="00AF343B" w:rsidR="00D624D0">
        <w:t>,</w:t>
      </w:r>
      <w:r w:rsidRPr="00AF343B" w:rsidR="00083013">
        <w:t xml:space="preserve"> </w:t>
      </w:r>
      <w:r w:rsidRPr="00AF343B" w:rsidR="008272DB">
        <w:t xml:space="preserve">because such bonds </w:t>
      </w:r>
      <w:r w:rsidRPr="00AF343B" w:rsidR="00685091">
        <w:t xml:space="preserve">are </w:t>
      </w:r>
      <w:r w:rsidRPr="00AF343B" w:rsidR="00083013">
        <w:t xml:space="preserve">far </w:t>
      </w:r>
      <w:r w:rsidRPr="00AF343B" w:rsidR="00685091">
        <w:t xml:space="preserve">more </w:t>
      </w:r>
      <w:r w:rsidRPr="00AF343B" w:rsidR="002E72A2">
        <w:t xml:space="preserve">marketable </w:t>
      </w:r>
      <w:r w:rsidRPr="00AF343B" w:rsidR="008D6A57">
        <w:t xml:space="preserve">if </w:t>
      </w:r>
      <w:r w:rsidRPr="00AF343B" w:rsidR="002E72A2">
        <w:t xml:space="preserve">their validity </w:t>
      </w:r>
      <w:r w:rsidRPr="00AF343B" w:rsidR="00D624D0">
        <w:t xml:space="preserve">can be </w:t>
      </w:r>
      <w:r w:rsidRPr="00AF343B" w:rsidR="002E72A2">
        <w:t>judicia</w:t>
      </w:r>
      <w:r w:rsidRPr="00AF343B" w:rsidR="008272DB">
        <w:t>l</w:t>
      </w:r>
      <w:r w:rsidRPr="00AF343B" w:rsidR="002E72A2">
        <w:t>ly confirmed</w:t>
      </w:r>
      <w:r w:rsidRPr="00AF343B" w:rsidR="00083013">
        <w:t xml:space="preserve"> in a final judgment</w:t>
      </w:r>
      <w:r w:rsidRPr="00AF343B" w:rsidR="002E72A2">
        <w:t>.</w:t>
      </w:r>
      <w:r w:rsidRPr="00AF343B" w:rsidR="00DD4485">
        <w:t xml:space="preserve">  (See </w:t>
      </w:r>
      <w:r w:rsidRPr="00AF343B" w:rsidR="00DD4485">
        <w:rPr>
          <w:i/>
          <w:iCs/>
        </w:rPr>
        <w:t>Friedland</w:t>
      </w:r>
      <w:r w:rsidRPr="00AF343B" w:rsidR="00DD4485">
        <w:t xml:space="preserve">, </w:t>
      </w:r>
      <w:r w:rsidRPr="00AF343B" w:rsidR="00DD4485">
        <w:rPr>
          <w:i/>
          <w:iCs/>
        </w:rPr>
        <w:t>supra</w:t>
      </w:r>
      <w:r w:rsidRPr="00AF343B" w:rsidR="00DD4485">
        <w:t>, 62 Cal.App.4th at p. 843</w:t>
      </w:r>
      <w:r w:rsidRPr="00AF343B" w:rsidR="00D700E9">
        <w:t xml:space="preserve">; </w:t>
      </w:r>
      <w:r w:rsidRPr="00AF343B" w:rsidR="00D700E9">
        <w:rPr>
          <w:i/>
          <w:iCs/>
        </w:rPr>
        <w:t>Walters v. County of Plumas</w:t>
      </w:r>
      <w:r w:rsidRPr="00AF343B" w:rsidR="00D700E9">
        <w:t xml:space="preserve"> (1976) 61 Cal.App.3d 460, 468</w:t>
      </w:r>
      <w:r w:rsidRPr="00AF343B" w:rsidR="00EA658B">
        <w:t xml:space="preserve"> (</w:t>
      </w:r>
      <w:r w:rsidRPr="00AF343B" w:rsidR="00EA658B">
        <w:rPr>
          <w:i/>
          <w:iCs/>
        </w:rPr>
        <w:t>Walters</w:t>
      </w:r>
      <w:r w:rsidRPr="00AF343B" w:rsidR="00EA658B">
        <w:t>)</w:t>
      </w:r>
      <w:r w:rsidRPr="00AF343B" w:rsidR="00DD4485">
        <w:t xml:space="preserve">.)  </w:t>
      </w:r>
      <w:r w:rsidRPr="00AF343B" w:rsidR="00136A2A">
        <w:t>By contrast</w:t>
      </w:r>
      <w:r w:rsidRPr="00AF343B" w:rsidR="00C126CC">
        <w:t xml:space="preserve">, it </w:t>
      </w:r>
      <w:r w:rsidRPr="00AF343B" w:rsidR="008272DB">
        <w:t xml:space="preserve">would be extraordinary for the Legislature to </w:t>
      </w:r>
      <w:r w:rsidRPr="00AF343B" w:rsidR="008D6A57">
        <w:t xml:space="preserve">adopt a law </w:t>
      </w:r>
      <w:r w:rsidRPr="00AF343B" w:rsidR="008272DB">
        <w:t>apply</w:t>
      </w:r>
      <w:r w:rsidRPr="00AF343B" w:rsidR="008D6A57">
        <w:t xml:space="preserve">ing </w:t>
      </w:r>
      <w:r w:rsidRPr="00AF343B" w:rsidR="008272DB">
        <w:t xml:space="preserve">the validation statutes to </w:t>
      </w:r>
      <w:r w:rsidRPr="00AF343B" w:rsidR="00EC2C47">
        <w:t>any contract a local</w:t>
      </w:r>
      <w:r w:rsidRPr="00AF343B" w:rsidR="008D6A57">
        <w:t xml:space="preserve"> agency </w:t>
      </w:r>
      <w:r w:rsidRPr="00AF343B" w:rsidR="00EC2C47">
        <w:t xml:space="preserve">might execute, </w:t>
      </w:r>
      <w:r w:rsidRPr="00AF343B" w:rsidR="00C126CC">
        <w:t xml:space="preserve">irrespective of </w:t>
      </w:r>
      <w:r w:rsidRPr="00AF343B" w:rsidR="00EC2C47">
        <w:t xml:space="preserve">the need for </w:t>
      </w:r>
      <w:r w:rsidRPr="00AF343B" w:rsidR="00C126CC">
        <w:t xml:space="preserve">expeditious resolution </w:t>
      </w:r>
      <w:r w:rsidRPr="00AF343B" w:rsidR="00CC4761">
        <w:t>of the contract’s validity</w:t>
      </w:r>
      <w:r w:rsidRPr="00AF343B" w:rsidR="00A54DC1">
        <w:t xml:space="preserve"> (see </w:t>
      </w:r>
      <w:r w:rsidRPr="00AF343B" w:rsidR="00A54DC1">
        <w:rPr>
          <w:i/>
          <w:iCs/>
        </w:rPr>
        <w:t>City of Ontario</w:t>
      </w:r>
      <w:r w:rsidRPr="00AF343B" w:rsidR="00A54DC1">
        <w:t>, at pp. 341–342)</w:t>
      </w:r>
      <w:r w:rsidRPr="00AF343B" w:rsidR="00ED4849">
        <w:t>, and we conclude that the Legislature did not do so.</w:t>
      </w:r>
      <w:r w:rsidRPr="00AF343B" w:rsidR="00A54DC1">
        <w:t xml:space="preserve">  (See </w:t>
      </w:r>
      <w:r w:rsidRPr="00AF343B" w:rsidR="00DF6AD2">
        <w:rPr>
          <w:i/>
          <w:iCs/>
        </w:rPr>
        <w:t>Kaatz v. City of Seaside</w:t>
      </w:r>
      <w:r w:rsidRPr="00AF343B" w:rsidR="00DF6AD2">
        <w:t xml:space="preserve"> (2006) 143 Cal.App.4th 13, </w:t>
      </w:r>
      <w:r w:rsidRPr="00AF343B" w:rsidR="00A54DC1">
        <w:t>42, fn. 35 [citing cases holding that various</w:t>
      </w:r>
      <w:r w:rsidRPr="00AF343B" w:rsidR="00EA0B4C">
        <w:t xml:space="preserve"> </w:t>
      </w:r>
      <w:r w:rsidRPr="00AF343B" w:rsidR="00A54DC1">
        <w:t xml:space="preserve">routine local agency contracts are </w:t>
      </w:r>
      <w:r w:rsidRPr="00AF343B" w:rsidR="00A54DC1">
        <w:rPr>
          <w:i/>
          <w:iCs/>
        </w:rPr>
        <w:t>not</w:t>
      </w:r>
      <w:r w:rsidRPr="00AF343B" w:rsidR="00A54DC1">
        <w:t xml:space="preserve"> subject to validation].)</w:t>
      </w:r>
    </w:p>
    <w:p w:rsidR="00B04E41" w:rsidRPr="00AF343B" w:rsidP="00AF343B">
      <w:pPr>
        <w:tabs>
          <w:tab w:val="left" w:pos="1440"/>
        </w:tabs>
        <w:ind w:firstLine="720"/>
      </w:pPr>
      <w:r w:rsidRPr="00AF343B">
        <w:t>The more reasonable approach</w:t>
      </w:r>
      <w:r w:rsidRPr="00AF343B" w:rsidR="00E16252">
        <w:t>, therefore,</w:t>
      </w:r>
      <w:r w:rsidRPr="00AF343B" w:rsidR="00C25F8A">
        <w:t xml:space="preserve"> </w:t>
      </w:r>
      <w:r w:rsidRPr="00AF343B" w:rsidR="00EF2261">
        <w:t xml:space="preserve">is </w:t>
      </w:r>
      <w:r w:rsidRPr="00AF343B" w:rsidR="00C25F8A">
        <w:t>to apply the rule</w:t>
      </w:r>
      <w:r w:rsidRPr="00AF343B" w:rsidR="00E16252">
        <w:t xml:space="preserve"> of</w:t>
      </w:r>
      <w:r w:rsidRPr="00AF343B" w:rsidR="00741B6E">
        <w:t xml:space="preserve"> </w:t>
      </w:r>
      <w:r w:rsidRPr="00AF343B" w:rsidR="00741B6E">
        <w:rPr>
          <w:i/>
          <w:iCs/>
        </w:rPr>
        <w:t>noscitur a sociis</w:t>
      </w:r>
      <w:r w:rsidRPr="00AF343B" w:rsidR="00A54DC1">
        <w:t>, a</w:t>
      </w:r>
      <w:r w:rsidRPr="00AF343B" w:rsidR="00741B6E">
        <w:t xml:space="preserve">ccording to </w:t>
      </w:r>
      <w:r w:rsidRPr="00AF343B" w:rsidR="00A54DC1">
        <w:t xml:space="preserve">which, </w:t>
      </w:r>
      <w:r w:rsidRPr="00AF343B" w:rsidR="00741B6E">
        <w:t xml:space="preserve">a specific item in a statutory list of items is qualified by the overall type or subject matter </w:t>
      </w:r>
      <w:r w:rsidRPr="00AF343B" w:rsidR="00E16252">
        <w:t>ch</w:t>
      </w:r>
      <w:r w:rsidRPr="00AF343B" w:rsidR="00741B6E">
        <w:t>aracteriz</w:t>
      </w:r>
      <w:r w:rsidRPr="00AF343B" w:rsidR="00E16252">
        <w:t>ing</w:t>
      </w:r>
      <w:r w:rsidRPr="00AF343B" w:rsidR="00741B6E">
        <w:t xml:space="preserve"> the list as a whole.</w:t>
      </w:r>
      <w:r w:rsidRPr="00AF343B" w:rsidR="00A54DC1">
        <w:t xml:space="preserve">  (See </w:t>
      </w:r>
      <w:r w:rsidRPr="00AF343B" w:rsidR="00A54DC1">
        <w:rPr>
          <w:i/>
          <w:iCs/>
        </w:rPr>
        <w:t>Kaatz v. City of Seaside</w:t>
      </w:r>
      <w:r w:rsidRPr="00AF343B" w:rsidR="00DF6AD2">
        <w:t xml:space="preserve">, </w:t>
      </w:r>
      <w:r w:rsidRPr="00AF343B" w:rsidR="00DF6AD2">
        <w:rPr>
          <w:i/>
          <w:iCs/>
        </w:rPr>
        <w:t>supra</w:t>
      </w:r>
      <w:r w:rsidRPr="00AF343B" w:rsidR="00DF6AD2">
        <w:t xml:space="preserve">, </w:t>
      </w:r>
      <w:r w:rsidRPr="00AF343B" w:rsidR="00A54DC1">
        <w:t xml:space="preserve">143 Cal.App.4th </w:t>
      </w:r>
      <w:r w:rsidRPr="00AF343B" w:rsidR="00DF6AD2">
        <w:t xml:space="preserve">at p. </w:t>
      </w:r>
      <w:r w:rsidRPr="00AF343B" w:rsidR="00A54DC1">
        <w:t>40.)</w:t>
      </w:r>
      <w:r w:rsidRPr="00AF343B" w:rsidR="00C24364">
        <w:t xml:space="preserve">  </w:t>
      </w:r>
      <w:r w:rsidRPr="00AF343B" w:rsidR="00A54DC1">
        <w:t xml:space="preserve">Thus, </w:t>
      </w:r>
      <w:r w:rsidRPr="00AF343B" w:rsidR="00C25F8A">
        <w:t>the word “contract</w:t>
      </w:r>
      <w:r w:rsidRPr="00AF343B" w:rsidR="002D77A6">
        <w:t>[]</w:t>
      </w:r>
      <w:r w:rsidRPr="00AF343B" w:rsidR="00C25F8A">
        <w:t xml:space="preserve">” in section 53511 is defined by the subject matter of the other items in the list, </w:t>
      </w:r>
      <w:r w:rsidRPr="00AF343B" w:rsidR="00A54DC1">
        <w:t>which</w:t>
      </w:r>
      <w:r w:rsidRPr="00AF343B" w:rsidR="00824BBC">
        <w:t xml:space="preserve"> is</w:t>
      </w:r>
      <w:r w:rsidRPr="00AF343B" w:rsidR="00E16252">
        <w:t>,</w:t>
      </w:r>
      <w:r w:rsidRPr="00AF343B" w:rsidR="00685091">
        <w:t xml:space="preserve"> </w:t>
      </w:r>
      <w:r w:rsidRPr="00AF343B" w:rsidR="00C25F8A">
        <w:t>of course</w:t>
      </w:r>
      <w:r w:rsidRPr="00AF343B" w:rsidR="00E16252">
        <w:t>,</w:t>
      </w:r>
      <w:r w:rsidRPr="00AF343B" w:rsidR="00C25F8A">
        <w:t xml:space="preserve"> </w:t>
      </w:r>
      <w:r w:rsidRPr="00AF343B" w:rsidR="00095F74">
        <w:t xml:space="preserve">government indebtedness.  </w:t>
      </w:r>
      <w:r w:rsidRPr="00AF343B" w:rsidR="00A54DC1">
        <w:t xml:space="preserve">It follows that </w:t>
      </w:r>
      <w:r w:rsidRPr="00AF343B" w:rsidR="00C24364">
        <w:t xml:space="preserve">under section 53511, only contracts that </w:t>
      </w:r>
      <w:r w:rsidRPr="00AF343B" w:rsidR="008D3460">
        <w:t xml:space="preserve">somehow </w:t>
      </w:r>
      <w:r w:rsidRPr="00AF343B" w:rsidR="00C24364">
        <w:t>relate to government indebtedness are subject to validation</w:t>
      </w:r>
      <w:r w:rsidRPr="00AF343B" w:rsidR="00D869F7">
        <w:t xml:space="preserve">, but the </w:t>
      </w:r>
      <w:r w:rsidRPr="00AF343B" w:rsidR="00F27D7A">
        <w:t>particulars</w:t>
      </w:r>
      <w:r w:rsidRPr="00AF343B" w:rsidR="00D869F7">
        <w:t xml:space="preserve"> of </w:t>
      </w:r>
      <w:r w:rsidRPr="00AF343B" w:rsidR="009651A9">
        <w:t xml:space="preserve">that necessary relationship </w:t>
      </w:r>
      <w:r w:rsidRPr="00AF343B" w:rsidR="00D869F7">
        <w:t xml:space="preserve">remain to be determined.  </w:t>
      </w:r>
      <w:r w:rsidRPr="00AF343B" w:rsidR="00A54DC1">
        <w:t>We</w:t>
      </w:r>
      <w:r w:rsidRPr="00AF343B" w:rsidR="00D869F7">
        <w:t xml:space="preserve"> now turn to that issue</w:t>
      </w:r>
      <w:r w:rsidRPr="00AF343B" w:rsidR="00380783">
        <w:t>.</w:t>
      </w:r>
    </w:p>
    <w:p w:rsidR="008D3460" w:rsidRPr="00AF343B" w:rsidP="00AF343B">
      <w:pPr>
        <w:pStyle w:val="Heading3"/>
      </w:pPr>
      <w:r w:rsidRPr="00AF343B">
        <w:t xml:space="preserve">2. What </w:t>
      </w:r>
      <w:r w:rsidRPr="00AF343B" w:rsidR="00527EC9">
        <w:t>contract</w:t>
      </w:r>
      <w:r w:rsidRPr="00AF343B" w:rsidR="00E50586">
        <w:t>s</w:t>
      </w:r>
      <w:r w:rsidRPr="00AF343B" w:rsidR="00527EC9">
        <w:t xml:space="preserve"> sufficiently </w:t>
      </w:r>
      <w:r w:rsidRPr="00AF343B">
        <w:t>relate to government indebtedness</w:t>
      </w:r>
      <w:r w:rsidRPr="00AF343B" w:rsidR="00527EC9">
        <w:t xml:space="preserve"> to bring </w:t>
      </w:r>
      <w:r w:rsidRPr="00AF343B" w:rsidR="00E50586">
        <w:t xml:space="preserve">them </w:t>
      </w:r>
      <w:r w:rsidRPr="00AF343B" w:rsidR="00527EC9">
        <w:t>within the scope of section 53511</w:t>
      </w:r>
      <w:r w:rsidRPr="00AF343B">
        <w:t>?</w:t>
      </w:r>
    </w:p>
    <w:p w:rsidR="00A97F1C" w:rsidRPr="00AF343B" w:rsidP="00AF343B">
      <w:pPr>
        <w:tabs>
          <w:tab w:val="left" w:pos="1440"/>
        </w:tabs>
        <w:ind w:firstLine="720"/>
      </w:pPr>
      <w:r w:rsidRPr="00AF343B">
        <w:t xml:space="preserve">At </w:t>
      </w:r>
      <w:r w:rsidRPr="00AF343B" w:rsidR="00527EC9">
        <w:t>p</w:t>
      </w:r>
      <w:r w:rsidRPr="00AF343B" w:rsidR="00E50586">
        <w:t xml:space="preserve">laces in their </w:t>
      </w:r>
      <w:r w:rsidRPr="00AF343B" w:rsidR="00527EC9">
        <w:t>briefs, d</w:t>
      </w:r>
      <w:r w:rsidRPr="00AF343B" w:rsidR="00B01BBB">
        <w:t xml:space="preserve">efendants </w:t>
      </w:r>
      <w:r w:rsidRPr="00AF343B" w:rsidR="00527EC9">
        <w:t xml:space="preserve">press a broad argument </w:t>
      </w:r>
      <w:r w:rsidRPr="00AF343B" w:rsidR="004B68DC">
        <w:t xml:space="preserve">that every </w:t>
      </w:r>
      <w:r w:rsidRPr="00AF343B" w:rsidR="008D3460">
        <w:t xml:space="preserve">local </w:t>
      </w:r>
      <w:r w:rsidRPr="00AF343B" w:rsidR="002E1924">
        <w:t xml:space="preserve">agency </w:t>
      </w:r>
      <w:r w:rsidRPr="00AF343B" w:rsidR="004B68DC">
        <w:t xml:space="preserve">contract </w:t>
      </w:r>
      <w:r w:rsidRPr="00AF343B" w:rsidR="00471F80">
        <w:t xml:space="preserve">that is </w:t>
      </w:r>
      <w:r w:rsidRPr="00AF343B" w:rsidR="004B68DC">
        <w:t xml:space="preserve">funded by </w:t>
      </w:r>
      <w:r w:rsidRPr="00AF343B" w:rsidR="00A43ECF">
        <w:t xml:space="preserve">the </w:t>
      </w:r>
      <w:r w:rsidRPr="00AF343B" w:rsidR="00C76EC0">
        <w:t xml:space="preserve">proceeds </w:t>
      </w:r>
      <w:r w:rsidRPr="00AF343B" w:rsidR="00AF7DFC">
        <w:t>of a</w:t>
      </w:r>
      <w:r w:rsidRPr="00AF343B" w:rsidR="00C76EC0">
        <w:t xml:space="preserve"> sale of agency bonds </w:t>
      </w:r>
      <w:r w:rsidRPr="00AF343B" w:rsidR="00471F80">
        <w:t>is</w:t>
      </w:r>
      <w:r w:rsidRPr="00AF343B" w:rsidR="00384E65">
        <w:t>, for that reason</w:t>
      </w:r>
      <w:r w:rsidRPr="00AF343B" w:rsidR="00A43ECF">
        <w:t xml:space="preserve"> alone</w:t>
      </w:r>
      <w:r w:rsidRPr="00AF343B" w:rsidR="00384E65">
        <w:t>,</w:t>
      </w:r>
      <w:r w:rsidRPr="00AF343B" w:rsidR="00471F80">
        <w:t xml:space="preserve"> related to </w:t>
      </w:r>
      <w:r w:rsidRPr="00AF343B" w:rsidR="00C76EC0">
        <w:t xml:space="preserve">government </w:t>
      </w:r>
      <w:r w:rsidRPr="00AF343B" w:rsidR="00434F3B">
        <w:t>in</w:t>
      </w:r>
      <w:r w:rsidRPr="00AF343B" w:rsidR="009D1380">
        <w:t>debt</w:t>
      </w:r>
      <w:r w:rsidRPr="00AF343B" w:rsidR="00434F3B">
        <w:t>edness</w:t>
      </w:r>
      <w:r w:rsidRPr="00AF343B" w:rsidR="00471F80">
        <w:t xml:space="preserve"> and </w:t>
      </w:r>
      <w:r w:rsidRPr="00AF343B" w:rsidR="00384E65">
        <w:t>therefore</w:t>
      </w:r>
      <w:r w:rsidRPr="00AF343B" w:rsidR="00A43ECF">
        <w:t xml:space="preserve"> </w:t>
      </w:r>
      <w:r w:rsidRPr="00AF343B" w:rsidR="00384E65">
        <w:t xml:space="preserve">subject to the validation statutes </w:t>
      </w:r>
      <w:r w:rsidRPr="00AF343B" w:rsidR="00A43ECF">
        <w:t xml:space="preserve">under </w:t>
      </w:r>
      <w:r w:rsidRPr="00AF343B" w:rsidR="00471F80">
        <w:t xml:space="preserve">section 53511. </w:t>
      </w:r>
      <w:r w:rsidRPr="00AF343B" w:rsidR="000C17C2">
        <w:t xml:space="preserve"> </w:t>
      </w:r>
      <w:r w:rsidRPr="00AF343B">
        <w:t xml:space="preserve">At other places, </w:t>
      </w:r>
      <w:r w:rsidRPr="00AF343B" w:rsidR="00BF0668">
        <w:t xml:space="preserve">however, </w:t>
      </w:r>
      <w:r w:rsidRPr="00AF343B">
        <w:t xml:space="preserve">defendants make </w:t>
      </w:r>
      <w:r w:rsidRPr="00AF343B" w:rsidR="002112C7">
        <w:t xml:space="preserve">several </w:t>
      </w:r>
      <w:r w:rsidRPr="00AF343B">
        <w:t xml:space="preserve">more </w:t>
      </w:r>
      <w:r w:rsidRPr="00AF343B" w:rsidR="00773CF8">
        <w:t>specific</w:t>
      </w:r>
      <w:r w:rsidRPr="00AF343B">
        <w:t xml:space="preserve"> arguments focusing on the special nature of schools and the complexities of federal tax</w:t>
      </w:r>
      <w:r w:rsidRPr="00AF343B" w:rsidR="00752332">
        <w:t xml:space="preserve"> law</w:t>
      </w:r>
      <w:r w:rsidRPr="00AF343B">
        <w:t xml:space="preserve">.  We address defendant’s </w:t>
      </w:r>
      <w:r w:rsidRPr="00AF343B" w:rsidR="00773CF8">
        <w:t xml:space="preserve">more </w:t>
      </w:r>
      <w:r w:rsidRPr="00AF343B">
        <w:t>specific arguments</w:t>
      </w:r>
      <w:r w:rsidRPr="00AF343B" w:rsidR="002112C7">
        <w:t xml:space="preserve"> </w:t>
      </w:r>
      <w:r w:rsidRPr="00AF343B">
        <w:t>in part III.D.</w:t>
      </w:r>
      <w:r w:rsidRPr="00AF343B" w:rsidR="002112C7">
        <w:t xml:space="preserve">, </w:t>
      </w:r>
      <w:r w:rsidRPr="00AF343B" w:rsidR="002112C7">
        <w:rPr>
          <w:i/>
          <w:iCs/>
        </w:rPr>
        <w:t>post</w:t>
      </w:r>
      <w:r w:rsidRPr="00AF343B" w:rsidR="001054E3">
        <w:t>, b</w:t>
      </w:r>
      <w:r w:rsidRPr="00AF343B" w:rsidR="002112C7">
        <w:t xml:space="preserve">ut we reject at the outset </w:t>
      </w:r>
      <w:r w:rsidRPr="00AF343B" w:rsidR="001054E3">
        <w:t xml:space="preserve">defendants’ </w:t>
      </w:r>
      <w:r w:rsidRPr="00AF343B" w:rsidR="002112C7">
        <w:t xml:space="preserve">broad argument that every local agency contract that is funded by </w:t>
      </w:r>
      <w:r w:rsidRPr="00AF343B" w:rsidR="002C6E1D">
        <w:t xml:space="preserve">local agency bonds </w:t>
      </w:r>
      <w:r w:rsidRPr="00AF343B" w:rsidR="002112C7">
        <w:t>is</w:t>
      </w:r>
      <w:r w:rsidR="00B13CA3">
        <w:t xml:space="preserve"> </w:t>
      </w:r>
      <w:r w:rsidRPr="00AF343B" w:rsidR="002112C7">
        <w:t>subject to validation</w:t>
      </w:r>
      <w:r w:rsidRPr="00AF343B">
        <w:t xml:space="preserve">.  </w:t>
      </w:r>
      <w:r w:rsidRPr="00AF343B" w:rsidR="00B04E41">
        <w:t xml:space="preserve">Under </w:t>
      </w:r>
      <w:r w:rsidRPr="00AF343B" w:rsidR="00E50586">
        <w:t xml:space="preserve">that </w:t>
      </w:r>
      <w:r w:rsidRPr="00AF343B" w:rsidR="00B04E41">
        <w:t>interpretation,</w:t>
      </w:r>
      <w:r w:rsidRPr="00AF343B" w:rsidR="00FF4C8A">
        <w:t xml:space="preserve"> </w:t>
      </w:r>
      <w:r w:rsidRPr="00AF343B" w:rsidR="00C76EC0">
        <w:t xml:space="preserve">even </w:t>
      </w:r>
      <w:r w:rsidRPr="00AF343B" w:rsidR="00FF4C8A">
        <w:t>minor contract</w:t>
      </w:r>
      <w:r w:rsidRPr="00AF343B" w:rsidR="00C76EC0">
        <w:t>s</w:t>
      </w:r>
      <w:r w:rsidRPr="00AF343B" w:rsidR="00384E65">
        <w:t>,</w:t>
      </w:r>
      <w:r w:rsidRPr="00AF343B" w:rsidR="00C76EC0">
        <w:t xml:space="preserve"> </w:t>
      </w:r>
      <w:r w:rsidRPr="00AF343B" w:rsidR="00384E65">
        <w:t xml:space="preserve">such as a contract to </w:t>
      </w:r>
      <w:r w:rsidRPr="00AF343B" w:rsidR="0058233A">
        <w:t xml:space="preserve">resurface a roof, </w:t>
      </w:r>
      <w:r w:rsidRPr="00AF343B" w:rsidR="00384E65">
        <w:t>install a fence</w:t>
      </w:r>
      <w:r w:rsidRPr="00AF343B" w:rsidR="0058233A">
        <w:t>,</w:t>
      </w:r>
      <w:r w:rsidRPr="00AF343B" w:rsidR="00384E65">
        <w:t xml:space="preserve"> or pave a parking </w:t>
      </w:r>
      <w:r w:rsidRPr="00AF343B" w:rsidR="00773CF8">
        <w:t>lot</w:t>
      </w:r>
      <w:r w:rsidRPr="00AF343B" w:rsidR="00384E65">
        <w:t xml:space="preserve">, </w:t>
      </w:r>
      <w:r w:rsidRPr="00AF343B" w:rsidR="002E1924">
        <w:t>would</w:t>
      </w:r>
      <w:r w:rsidRPr="00AF343B" w:rsidR="00FF4C8A">
        <w:t xml:space="preserve"> be subject to </w:t>
      </w:r>
      <w:r w:rsidRPr="00AF343B" w:rsidR="002E1924">
        <w:t>validation</w:t>
      </w:r>
      <w:r w:rsidRPr="00AF343B" w:rsidR="00380783">
        <w:t>,</w:t>
      </w:r>
      <w:r w:rsidRPr="00AF343B" w:rsidR="002E1924">
        <w:t xml:space="preserve"> </w:t>
      </w:r>
      <w:r w:rsidRPr="00AF343B" w:rsidR="00A43ECF">
        <w:t xml:space="preserve">provided that government indebtedness </w:t>
      </w:r>
      <w:r w:rsidRPr="00AF343B" w:rsidR="00FF4C8A">
        <w:t>fund</w:t>
      </w:r>
      <w:r w:rsidRPr="00AF343B" w:rsidR="00FC04A6">
        <w:t>ed</w:t>
      </w:r>
      <w:r w:rsidRPr="00AF343B" w:rsidR="00FF4C8A">
        <w:t xml:space="preserve"> </w:t>
      </w:r>
      <w:r w:rsidRPr="00AF343B" w:rsidR="002E1924">
        <w:t>the contract</w:t>
      </w:r>
      <w:r w:rsidRPr="00AF343B" w:rsidR="00FF4C8A">
        <w:t>.</w:t>
      </w:r>
      <w:r w:rsidRPr="00AF343B" w:rsidR="00BF0668">
        <w:t xml:space="preserve">  </w:t>
      </w:r>
      <w:r w:rsidRPr="00AF343B" w:rsidR="006F7C7D">
        <w:t>A</w:t>
      </w:r>
      <w:r w:rsidRPr="00AF343B" w:rsidR="00C76EC0">
        <w:t xml:space="preserve"> </w:t>
      </w:r>
      <w:r w:rsidRPr="00AF343B" w:rsidR="00A43ECF">
        <w:t xml:space="preserve">minor </w:t>
      </w:r>
      <w:r w:rsidRPr="00AF343B" w:rsidR="00972BCE">
        <w:t xml:space="preserve">contract </w:t>
      </w:r>
      <w:r w:rsidRPr="00AF343B" w:rsidR="006F7C7D">
        <w:t>of th</w:t>
      </w:r>
      <w:r w:rsidRPr="00AF343B" w:rsidR="0017616A">
        <w:t>e</w:t>
      </w:r>
      <w:r w:rsidRPr="00AF343B" w:rsidR="006F7C7D">
        <w:t xml:space="preserve"> sort </w:t>
      </w:r>
      <w:r w:rsidRPr="00AF343B" w:rsidR="009651A9">
        <w:t xml:space="preserve">just </w:t>
      </w:r>
      <w:r w:rsidRPr="00AF343B" w:rsidR="0017616A">
        <w:t xml:space="preserve">described </w:t>
      </w:r>
      <w:r w:rsidRPr="00AF343B" w:rsidR="00972BCE">
        <w:t xml:space="preserve">might not even come to the public’s attention during the 60-day limitations period that applies </w:t>
      </w:r>
      <w:r w:rsidRPr="00AF343B" w:rsidR="00FC04A6">
        <w:t xml:space="preserve">to </w:t>
      </w:r>
      <w:r w:rsidRPr="00AF343B" w:rsidR="00972BCE">
        <w:t>validation actions</w:t>
      </w:r>
      <w:r w:rsidRPr="00AF343B" w:rsidR="00A43ECF">
        <w:t xml:space="preserve"> (Code Civ. Proc., § 863)</w:t>
      </w:r>
      <w:r w:rsidRPr="00AF343B" w:rsidR="00972BCE">
        <w:t xml:space="preserve">, and </w:t>
      </w:r>
      <w:r w:rsidRPr="00AF343B" w:rsidR="00120F55">
        <w:t xml:space="preserve">by the time </w:t>
      </w:r>
      <w:r w:rsidRPr="00AF343B" w:rsidR="00972BCE">
        <w:t xml:space="preserve">the public learned of the contract, </w:t>
      </w:r>
      <w:r w:rsidRPr="00AF343B" w:rsidR="00FC04A6">
        <w:t xml:space="preserve">the contract </w:t>
      </w:r>
      <w:r w:rsidRPr="00AF343B" w:rsidR="00972BCE">
        <w:t>would already be insulated from attack</w:t>
      </w:r>
      <w:r w:rsidRPr="00AF343B" w:rsidR="00384E65">
        <w:t xml:space="preserve">, making it possible for </w:t>
      </w:r>
      <w:r w:rsidRPr="00AF343B" w:rsidR="000C17C2">
        <w:t xml:space="preserve">local </w:t>
      </w:r>
      <w:r w:rsidRPr="00AF343B" w:rsidR="00384E65">
        <w:t xml:space="preserve">public agencies to award such contracts with </w:t>
      </w:r>
      <w:r w:rsidRPr="00AF343B" w:rsidR="00A43ECF">
        <w:t xml:space="preserve">minimal </w:t>
      </w:r>
      <w:r w:rsidRPr="00AF343B" w:rsidR="00384E65">
        <w:t>accountability</w:t>
      </w:r>
      <w:r w:rsidRPr="00AF343B" w:rsidR="00972BCE">
        <w:t>.</w:t>
      </w:r>
      <w:r w:rsidRPr="00AF343B" w:rsidR="009651A9">
        <w:t xml:space="preserve">  </w:t>
      </w:r>
      <w:r w:rsidRPr="00AF343B" w:rsidR="00F40A67">
        <w:t>Therefore</w:t>
      </w:r>
      <w:r w:rsidRPr="00AF343B" w:rsidR="009651A9">
        <w:t xml:space="preserve">, </w:t>
      </w:r>
      <w:r w:rsidRPr="00AF343B" w:rsidR="0017616A">
        <w:t xml:space="preserve">California </w:t>
      </w:r>
      <w:r w:rsidRPr="00AF343B" w:rsidR="00471F80">
        <w:t>case</w:t>
      </w:r>
      <w:r w:rsidRPr="00AF343B" w:rsidR="00380783">
        <w:t xml:space="preserve"> law </w:t>
      </w:r>
      <w:r w:rsidRPr="00AF343B" w:rsidR="00471F80">
        <w:t>suggest</w:t>
      </w:r>
      <w:r w:rsidRPr="00AF343B" w:rsidR="00380783">
        <w:t>s</w:t>
      </w:r>
      <w:r w:rsidRPr="00AF343B" w:rsidR="00471F80">
        <w:t xml:space="preserve"> that a tighter degree of interdepende</w:t>
      </w:r>
      <w:r w:rsidRPr="00AF343B" w:rsidR="009D1380">
        <w:t>n</w:t>
      </w:r>
      <w:r w:rsidRPr="00AF343B" w:rsidR="00471F80">
        <w:t xml:space="preserve">ce </w:t>
      </w:r>
      <w:r w:rsidRPr="00AF343B" w:rsidR="009D1380">
        <w:t xml:space="preserve">between </w:t>
      </w:r>
      <w:r w:rsidRPr="00AF343B" w:rsidR="00FF4C8A">
        <w:t>a</w:t>
      </w:r>
      <w:r w:rsidRPr="00AF343B" w:rsidR="009D1380">
        <w:t xml:space="preserve"> </w:t>
      </w:r>
      <w:r w:rsidRPr="00AF343B" w:rsidR="00816393">
        <w:t xml:space="preserve">local </w:t>
      </w:r>
      <w:r w:rsidRPr="00AF343B" w:rsidR="00384E65">
        <w:t xml:space="preserve">agency </w:t>
      </w:r>
      <w:r w:rsidRPr="00AF343B" w:rsidR="009D1380">
        <w:t xml:space="preserve">contract and government indebtedness </w:t>
      </w:r>
      <w:r w:rsidRPr="00AF343B" w:rsidR="00471F80">
        <w:t>is necessa</w:t>
      </w:r>
      <w:r w:rsidRPr="00AF343B" w:rsidR="009D1380">
        <w:t>r</w:t>
      </w:r>
      <w:r w:rsidRPr="00AF343B" w:rsidR="00471F80">
        <w:t>y</w:t>
      </w:r>
      <w:r w:rsidRPr="00AF343B" w:rsidR="00FF4C8A">
        <w:t xml:space="preserve"> for the contract to come within the scope of section 53511</w:t>
      </w:r>
      <w:r w:rsidRPr="00AF343B" w:rsidR="00471F80">
        <w:t>.</w:t>
      </w:r>
    </w:p>
    <w:p w:rsidR="00380783" w:rsidRPr="00AF343B" w:rsidP="00AF343B">
      <w:pPr>
        <w:tabs>
          <w:tab w:val="left" w:pos="1440"/>
        </w:tabs>
        <w:ind w:firstLine="720"/>
      </w:pPr>
      <w:r w:rsidRPr="00AF343B">
        <w:t>S</w:t>
      </w:r>
      <w:r w:rsidRPr="00AF343B" w:rsidR="001A0791">
        <w:t>everal c</w:t>
      </w:r>
      <w:r w:rsidRPr="00AF343B" w:rsidR="003D6AD6">
        <w:t xml:space="preserve">ourts have </w:t>
      </w:r>
      <w:r w:rsidRPr="00AF343B" w:rsidR="001A0791">
        <w:t xml:space="preserve">framed the pertinent inquiry by asking </w:t>
      </w:r>
      <w:r w:rsidRPr="00AF343B" w:rsidR="003D6AD6">
        <w:t xml:space="preserve">whether </w:t>
      </w:r>
      <w:r w:rsidRPr="00AF343B" w:rsidR="00984B61">
        <w:t xml:space="preserve">government indebtedness is </w:t>
      </w:r>
      <w:r w:rsidRPr="00AF343B" w:rsidR="003D6AD6">
        <w:t xml:space="preserve">“inextricably bound up with” </w:t>
      </w:r>
      <w:r w:rsidRPr="00AF343B" w:rsidR="00984B61">
        <w:t>the contract in question</w:t>
      </w:r>
      <w:r w:rsidRPr="00AF343B" w:rsidR="003D6AD6">
        <w:t>.  (</w:t>
      </w:r>
      <w:r w:rsidRPr="00AF343B" w:rsidR="00E36D81">
        <w:rPr>
          <w:i/>
          <w:iCs/>
        </w:rPr>
        <w:t>Graydon v.</w:t>
      </w:r>
      <w:r w:rsidRPr="00AF343B" w:rsidR="00B13760">
        <w:rPr>
          <w:i/>
          <w:iCs/>
        </w:rPr>
        <w:t xml:space="preserve"> </w:t>
      </w:r>
      <w:r w:rsidRPr="00AF343B" w:rsidR="00E36D81">
        <w:rPr>
          <w:i/>
          <w:iCs/>
        </w:rPr>
        <w:t>Pasadena Redevelopment Agency</w:t>
      </w:r>
      <w:r w:rsidRPr="00AF343B" w:rsidR="00E36D81">
        <w:t xml:space="preserve"> (1980) 104 Cal.App.3d 631,</w:t>
      </w:r>
      <w:r w:rsidRPr="00AF343B" w:rsidR="003D6AD6">
        <w:t xml:space="preserve"> 646</w:t>
      </w:r>
      <w:r w:rsidRPr="00AF343B" w:rsidR="00E36D81">
        <w:t xml:space="preserve"> (</w:t>
      </w:r>
      <w:r w:rsidRPr="00AF343B" w:rsidR="00E36D81">
        <w:rPr>
          <w:i/>
          <w:iCs/>
        </w:rPr>
        <w:t>Graydon</w:t>
      </w:r>
      <w:r w:rsidRPr="00AF343B" w:rsidR="00E36D81">
        <w:t>)</w:t>
      </w:r>
      <w:r w:rsidRPr="00AF343B" w:rsidR="007C6BC0">
        <w:t xml:space="preserve">; see </w:t>
      </w:r>
      <w:r w:rsidRPr="00AF343B" w:rsidR="00A97F3F">
        <w:rPr>
          <w:i/>
          <w:iCs/>
        </w:rPr>
        <w:t>McLeod</w:t>
      </w:r>
      <w:r w:rsidRPr="00AF343B" w:rsidR="00A97F3F">
        <w:t xml:space="preserve">, </w:t>
      </w:r>
      <w:r w:rsidRPr="00AF343B" w:rsidR="00A97F3F">
        <w:rPr>
          <w:i/>
          <w:iCs/>
        </w:rPr>
        <w:t>supra</w:t>
      </w:r>
      <w:r w:rsidRPr="00AF343B" w:rsidR="00A97F3F">
        <w:t xml:space="preserve">, 158 Cal.App.4th at p. 1169; </w:t>
      </w:r>
      <w:r w:rsidRPr="00AF343B" w:rsidR="007C6BC0">
        <w:rPr>
          <w:i/>
          <w:iCs/>
        </w:rPr>
        <w:t>California Commerce Casino, Inc. v. Schwarzenegger</w:t>
      </w:r>
      <w:r w:rsidRPr="00AF343B" w:rsidR="007C6BC0">
        <w:t xml:space="preserve"> (2007) 146 Cal.App.4th 1406, 1430</w:t>
      </w:r>
      <w:r w:rsidRPr="00AF343B" w:rsidR="00C802EE">
        <w:t>, 1432</w:t>
      </w:r>
      <w:r w:rsidRPr="00AF343B" w:rsidR="007C6BC0">
        <w:t xml:space="preserve"> (</w:t>
      </w:r>
      <w:r w:rsidRPr="00AF343B" w:rsidR="007C6BC0">
        <w:rPr>
          <w:i/>
          <w:iCs/>
        </w:rPr>
        <w:t>California Commerce Casino</w:t>
      </w:r>
      <w:r w:rsidRPr="00AF343B" w:rsidR="007C6BC0">
        <w:t>)</w:t>
      </w:r>
      <w:r w:rsidRPr="00AF343B" w:rsidR="00F003FE">
        <w:t xml:space="preserve">; </w:t>
      </w:r>
      <w:r w:rsidRPr="00AF343B" w:rsidR="00F003FE">
        <w:rPr>
          <w:i/>
          <w:iCs/>
        </w:rPr>
        <w:t>Kaatz v. City of Seaside</w:t>
      </w:r>
      <w:r w:rsidRPr="00AF343B" w:rsidR="00F003FE">
        <w:t xml:space="preserve">, </w:t>
      </w:r>
      <w:r w:rsidRPr="00AF343B" w:rsidR="00F003FE">
        <w:rPr>
          <w:i/>
          <w:iCs/>
        </w:rPr>
        <w:t>supra</w:t>
      </w:r>
      <w:r w:rsidRPr="00AF343B" w:rsidR="00F003FE">
        <w:t>, 143 Cal.App.4th at p. 45</w:t>
      </w:r>
      <w:r w:rsidRPr="00AF343B" w:rsidR="003D6AD6">
        <w:t xml:space="preserve">.) </w:t>
      </w:r>
      <w:r w:rsidRPr="00AF343B" w:rsidR="00984B61">
        <w:t xml:space="preserve"> </w:t>
      </w:r>
      <w:r w:rsidRPr="00AF343B" w:rsidR="000C17C2">
        <w:t>More s</w:t>
      </w:r>
      <w:r w:rsidRPr="00AF343B" w:rsidR="00471F80">
        <w:t xml:space="preserve">pecifically, </w:t>
      </w:r>
      <w:r w:rsidRPr="00AF343B" w:rsidR="009651A9">
        <w:t xml:space="preserve">in those situations where </w:t>
      </w:r>
      <w:r w:rsidRPr="00AF343B" w:rsidR="00471F80">
        <w:t>the contract</w:t>
      </w:r>
      <w:r w:rsidRPr="00AF343B" w:rsidR="00FF4C8A">
        <w:t xml:space="preserve"> is not </w:t>
      </w:r>
      <w:r w:rsidRPr="00AF343B" w:rsidR="00FF4C8A">
        <w:rPr>
          <w:i/>
          <w:iCs/>
        </w:rPr>
        <w:t>itself</w:t>
      </w:r>
      <w:r w:rsidRPr="00AF343B" w:rsidR="00FF4C8A">
        <w:t xml:space="preserve"> a </w:t>
      </w:r>
      <w:r w:rsidRPr="00AF343B" w:rsidR="00682E50">
        <w:t>contract of indebtedness</w:t>
      </w:r>
      <w:r w:rsidRPr="00AF343B" w:rsidR="00FF4C8A">
        <w:t xml:space="preserve">, </w:t>
      </w:r>
      <w:r w:rsidRPr="00AF343B" w:rsidR="000F67D5">
        <w:t xml:space="preserve">courts have focused on whether it is </w:t>
      </w:r>
      <w:r w:rsidRPr="00AF343B" w:rsidR="00FF4C8A">
        <w:t xml:space="preserve">a </w:t>
      </w:r>
      <w:r w:rsidRPr="00AF343B" w:rsidR="00682E50">
        <w:t xml:space="preserve">contract </w:t>
      </w:r>
      <w:r w:rsidRPr="00AF343B" w:rsidR="00471F80">
        <w:t xml:space="preserve">on which the </w:t>
      </w:r>
      <w:r w:rsidRPr="00AF343B" w:rsidR="00384E65">
        <w:t xml:space="preserve">debt </w:t>
      </w:r>
      <w:r w:rsidRPr="00AF343B" w:rsidR="00471F80">
        <w:t xml:space="preserve">financing </w:t>
      </w:r>
      <w:r w:rsidRPr="00AF343B" w:rsidR="00FF4C8A">
        <w:t xml:space="preserve">of </w:t>
      </w:r>
      <w:r w:rsidRPr="00AF343B" w:rsidR="00384E65">
        <w:t xml:space="preserve">a </w:t>
      </w:r>
      <w:r w:rsidRPr="00AF343B" w:rsidR="009651A9">
        <w:t xml:space="preserve">local </w:t>
      </w:r>
      <w:r w:rsidRPr="00AF343B" w:rsidR="00384E65">
        <w:t xml:space="preserve">agency </w:t>
      </w:r>
      <w:r w:rsidRPr="00AF343B" w:rsidR="00682E50">
        <w:t xml:space="preserve">project </w:t>
      </w:r>
      <w:r w:rsidRPr="00AF343B" w:rsidR="007D150A">
        <w:t xml:space="preserve">directly </w:t>
      </w:r>
      <w:r w:rsidRPr="00AF343B" w:rsidR="00471F80">
        <w:t>depend</w:t>
      </w:r>
      <w:r w:rsidRPr="00AF343B" w:rsidR="007D150A">
        <w:t>s</w:t>
      </w:r>
      <w:r w:rsidRPr="00AF343B" w:rsidR="00682E50">
        <w:t xml:space="preserve">.  The latter </w:t>
      </w:r>
      <w:r w:rsidRPr="00AF343B" w:rsidR="00384E65">
        <w:t xml:space="preserve">category </w:t>
      </w:r>
      <w:r w:rsidRPr="00AF343B" w:rsidR="00682E50">
        <w:t>include</w:t>
      </w:r>
      <w:r w:rsidRPr="00AF343B" w:rsidR="00256F32">
        <w:t>s</w:t>
      </w:r>
      <w:r w:rsidRPr="00AF343B">
        <w:t>, for example,</w:t>
      </w:r>
      <w:r w:rsidRPr="00AF343B" w:rsidR="00682E50">
        <w:t xml:space="preserve"> </w:t>
      </w:r>
      <w:r w:rsidRPr="00AF343B" w:rsidR="009651A9">
        <w:t xml:space="preserve">local </w:t>
      </w:r>
      <w:r w:rsidRPr="00AF343B" w:rsidR="002E1924">
        <w:t xml:space="preserve">agency </w:t>
      </w:r>
      <w:r w:rsidRPr="00AF343B" w:rsidR="009D1380">
        <w:t xml:space="preserve">contracts </w:t>
      </w:r>
      <w:r w:rsidRPr="00AF343B" w:rsidR="00682E50">
        <w:t xml:space="preserve">that </w:t>
      </w:r>
      <w:r w:rsidRPr="00AF343B" w:rsidR="009651A9">
        <w:t xml:space="preserve">serve to </w:t>
      </w:r>
      <w:r w:rsidRPr="00AF343B" w:rsidR="00FF4C8A">
        <w:t xml:space="preserve">guarantee </w:t>
      </w:r>
      <w:r w:rsidRPr="00AF343B" w:rsidR="002E1924">
        <w:t>a</w:t>
      </w:r>
      <w:r w:rsidRPr="00AF343B" w:rsidR="00FF4C8A">
        <w:t xml:space="preserve"> debt incurred by </w:t>
      </w:r>
      <w:r w:rsidRPr="00AF343B" w:rsidR="00565BDC">
        <w:t xml:space="preserve">a </w:t>
      </w:r>
      <w:r w:rsidRPr="00AF343B" w:rsidR="002E1924">
        <w:t>third</w:t>
      </w:r>
      <w:r w:rsidRPr="00AF343B" w:rsidR="00FF4C8A">
        <w:t xml:space="preserve"> party</w:t>
      </w:r>
      <w:r w:rsidRPr="00AF343B" w:rsidR="00C02AAB">
        <w:t>.</w:t>
      </w:r>
      <w:r w:rsidRPr="00AF343B" w:rsidR="00FF4C8A">
        <w:t xml:space="preserve"> </w:t>
      </w:r>
      <w:r w:rsidRPr="00AF343B" w:rsidR="00C02AAB">
        <w:t xml:space="preserve"> </w:t>
      </w:r>
      <w:r w:rsidRPr="00AF343B" w:rsidR="002E1924">
        <w:t>(</w:t>
      </w:r>
      <w:r w:rsidRPr="00AF343B" w:rsidR="00C02AAB">
        <w:t>S</w:t>
      </w:r>
      <w:r w:rsidRPr="00AF343B" w:rsidR="002E1924">
        <w:t xml:space="preserve">ee </w:t>
      </w:r>
      <w:r w:rsidRPr="00AF343B" w:rsidR="002E1924">
        <w:rPr>
          <w:i/>
          <w:iCs/>
        </w:rPr>
        <w:t>Friedland</w:t>
      </w:r>
      <w:r w:rsidRPr="00AF343B" w:rsidR="002E1924">
        <w:t xml:space="preserve">, </w:t>
      </w:r>
      <w:r w:rsidRPr="00AF343B" w:rsidR="002E1924">
        <w:rPr>
          <w:i/>
          <w:iCs/>
        </w:rPr>
        <w:t>supra</w:t>
      </w:r>
      <w:r w:rsidRPr="00AF343B" w:rsidR="002E1924">
        <w:t>, 62 Cal.App.4th at pp. 843, 845</w:t>
      </w:r>
      <w:r w:rsidRPr="00AF343B" w:rsidR="00A95922">
        <w:t xml:space="preserve"> [</w:t>
      </w:r>
      <w:r w:rsidRPr="00AF343B" w:rsidR="000C17C2">
        <w:t>local</w:t>
      </w:r>
      <w:r w:rsidRPr="00AF343B" w:rsidR="00A95922">
        <w:t xml:space="preserve"> agencies’ guarantees, necessary </w:t>
      </w:r>
      <w:r w:rsidRPr="00AF343B" w:rsidR="000C17C2">
        <w:t xml:space="preserve">to allow </w:t>
      </w:r>
      <w:r w:rsidRPr="00AF343B" w:rsidR="00A95922">
        <w:t xml:space="preserve">public benefit corporation to obtain project financing, </w:t>
      </w:r>
      <w:r w:rsidRPr="00AF343B" w:rsidR="00623A2E">
        <w:t>w</w:t>
      </w:r>
      <w:r w:rsidR="00623A2E">
        <w:t>ere</w:t>
      </w:r>
      <w:r w:rsidRPr="00AF343B" w:rsidR="00623A2E">
        <w:t xml:space="preserve"> </w:t>
      </w:r>
      <w:r w:rsidRPr="00AF343B" w:rsidR="00A95922">
        <w:t>subject to validation under § 53511]</w:t>
      </w:r>
      <w:r w:rsidRPr="00AF343B" w:rsidR="002E1924">
        <w:t xml:space="preserve">; </w:t>
      </w:r>
      <w:r w:rsidRPr="00AF343B" w:rsidR="002E1924">
        <w:rPr>
          <w:i/>
          <w:iCs/>
        </w:rPr>
        <w:t>Walters</w:t>
      </w:r>
      <w:r w:rsidRPr="00AF343B" w:rsidR="002E1924">
        <w:t xml:space="preserve">, </w:t>
      </w:r>
      <w:r w:rsidRPr="00AF343B" w:rsidR="002E1924">
        <w:rPr>
          <w:i/>
          <w:iCs/>
        </w:rPr>
        <w:t>supra</w:t>
      </w:r>
      <w:r w:rsidRPr="00AF343B" w:rsidR="002E1924">
        <w:t>, 61 Cal.App.3d at pp. 466–468</w:t>
      </w:r>
      <w:r w:rsidRPr="00AF343B" w:rsidR="00A95922">
        <w:t xml:space="preserve"> [county loan guarantees, necessary for private franchisees to finance heavy equipment needed to operate county waste disposal system, </w:t>
      </w:r>
      <w:r w:rsidRPr="00AF343B" w:rsidR="00623A2E">
        <w:t>w</w:t>
      </w:r>
      <w:r w:rsidR="00623A2E">
        <w:t>ere</w:t>
      </w:r>
      <w:r w:rsidRPr="00AF343B" w:rsidR="00623A2E">
        <w:t xml:space="preserve"> </w:t>
      </w:r>
      <w:r w:rsidRPr="00AF343B" w:rsidR="00A95922">
        <w:t>subject to validation under § 53511]</w:t>
      </w:r>
      <w:r w:rsidRPr="00AF343B" w:rsidR="00C02AAB">
        <w:t>.</w:t>
      </w:r>
      <w:r w:rsidRPr="00AF343B" w:rsidR="002E1924">
        <w:t>)</w:t>
      </w:r>
      <w:r w:rsidRPr="00AF343B" w:rsidR="00C02AAB">
        <w:t xml:space="preserve">  </w:t>
      </w:r>
      <w:r w:rsidRPr="00AF343B" w:rsidR="00AC6B9A">
        <w:t xml:space="preserve">In addition, the </w:t>
      </w:r>
      <w:r w:rsidRPr="00AF343B" w:rsidR="000C17C2">
        <w:t xml:space="preserve">category </w:t>
      </w:r>
      <w:r w:rsidRPr="00AF343B" w:rsidR="00C02AAB">
        <w:t>include</w:t>
      </w:r>
      <w:r w:rsidRPr="00AF343B" w:rsidR="00256F32">
        <w:t>s</w:t>
      </w:r>
      <w:r w:rsidRPr="00AF343B" w:rsidR="00C02AAB">
        <w:t xml:space="preserve"> </w:t>
      </w:r>
      <w:r w:rsidRPr="00AF343B" w:rsidR="009651A9">
        <w:t>local</w:t>
      </w:r>
      <w:r w:rsidRPr="00AF343B" w:rsidR="002E1924">
        <w:t xml:space="preserve"> agency </w:t>
      </w:r>
      <w:r w:rsidRPr="00AF343B" w:rsidR="00682E50">
        <w:t>contracts th</w:t>
      </w:r>
      <w:r w:rsidRPr="00AF343B" w:rsidR="009D1380">
        <w:t xml:space="preserve">at </w:t>
      </w:r>
      <w:r w:rsidRPr="00AF343B" w:rsidR="00384E65">
        <w:t xml:space="preserve">are </w:t>
      </w:r>
      <w:r w:rsidRPr="00AF343B" w:rsidR="00A43ECF">
        <w:t xml:space="preserve">intended to </w:t>
      </w:r>
      <w:r w:rsidRPr="00AF343B" w:rsidR="009D1380">
        <w:t>generat</w:t>
      </w:r>
      <w:r w:rsidRPr="00AF343B" w:rsidR="00A43ECF">
        <w:t xml:space="preserve">e </w:t>
      </w:r>
      <w:r w:rsidRPr="00AF343B" w:rsidR="002E1924">
        <w:t xml:space="preserve">the </w:t>
      </w:r>
      <w:r w:rsidRPr="00AF343B" w:rsidR="009D1380">
        <w:t xml:space="preserve">funds </w:t>
      </w:r>
      <w:r w:rsidRPr="00AF343B" w:rsidR="002E1924">
        <w:t>from which a government debt will be paid</w:t>
      </w:r>
      <w:r w:rsidRPr="00AF343B" w:rsidR="00C02AAB">
        <w:t>.</w:t>
      </w:r>
      <w:r w:rsidRPr="00AF343B" w:rsidR="002E1924">
        <w:t xml:space="preserve"> </w:t>
      </w:r>
      <w:r w:rsidRPr="00AF343B" w:rsidR="00C02AAB">
        <w:t xml:space="preserve"> </w:t>
      </w:r>
      <w:r w:rsidRPr="00AF343B" w:rsidR="00682E50">
        <w:t>(</w:t>
      </w:r>
      <w:r w:rsidRPr="00AF343B" w:rsidR="00C02AAB">
        <w:t>S</w:t>
      </w:r>
      <w:r w:rsidRPr="00AF343B" w:rsidR="00682E50">
        <w:t xml:space="preserve">ee </w:t>
      </w:r>
      <w:r w:rsidRPr="00AF343B" w:rsidR="00682E50">
        <w:rPr>
          <w:i/>
          <w:iCs/>
        </w:rPr>
        <w:t>California Commerce Casino</w:t>
      </w:r>
      <w:r w:rsidRPr="00AF343B" w:rsidR="00F92409">
        <w:t xml:space="preserve">, </w:t>
      </w:r>
      <w:r w:rsidRPr="00AF343B" w:rsidR="00F92409">
        <w:rPr>
          <w:i/>
          <w:iCs/>
        </w:rPr>
        <w:t>supra</w:t>
      </w:r>
      <w:r w:rsidRPr="00AF343B" w:rsidR="00F92409">
        <w:t xml:space="preserve">, </w:t>
      </w:r>
      <w:r w:rsidRPr="00AF343B" w:rsidR="001B1630">
        <w:t xml:space="preserve">146 Cal.App.4th </w:t>
      </w:r>
      <w:r w:rsidRPr="00AF343B" w:rsidR="00F92409">
        <w:t xml:space="preserve">at pp. </w:t>
      </w:r>
      <w:r w:rsidRPr="00AF343B" w:rsidR="00682E50">
        <w:t>1424–1433</w:t>
      </w:r>
      <w:r w:rsidRPr="00AF343B" w:rsidR="001F2F8A">
        <w:t xml:space="preserve"> [legislative ratification of gaming compacts, where </w:t>
      </w:r>
      <w:r w:rsidRPr="00AF343B" w:rsidR="00A95922">
        <w:t>state</w:t>
      </w:r>
      <w:r w:rsidRPr="00AF343B" w:rsidR="001F2F8A">
        <w:t xml:space="preserve"> bonds would be paid using revenue from the compacts, was subject to validation under Gov. Code, § 17700, which uses parallel language to § 53511]</w:t>
      </w:r>
      <w:r w:rsidRPr="00AF343B" w:rsidR="00682E50">
        <w:t xml:space="preserve">; </w:t>
      </w:r>
      <w:r w:rsidRPr="00AF343B" w:rsidR="001B1630">
        <w:rPr>
          <w:i/>
          <w:iCs/>
        </w:rPr>
        <w:t>Meaney v. Sacramento Housing &amp; Redevelopment Agency</w:t>
      </w:r>
      <w:r w:rsidRPr="00AF343B" w:rsidR="001B1630">
        <w:t xml:space="preserve"> (1993) 13 Cal.App.4th 566, </w:t>
      </w:r>
      <w:r w:rsidRPr="00AF343B" w:rsidR="00682E50">
        <w:t>576–577</w:t>
      </w:r>
      <w:r w:rsidRPr="00AF343B" w:rsidR="00A95922">
        <w:t xml:space="preserve"> </w:t>
      </w:r>
      <w:r w:rsidRPr="00AF343B" w:rsidR="00C21BBC">
        <w:t>(</w:t>
      </w:r>
      <w:r w:rsidRPr="00AF343B" w:rsidR="00C21BBC">
        <w:rPr>
          <w:i/>
          <w:iCs/>
        </w:rPr>
        <w:t>Meaney</w:t>
      </w:r>
      <w:r w:rsidRPr="00AF343B" w:rsidR="00C21BBC">
        <w:t xml:space="preserve">) </w:t>
      </w:r>
      <w:r w:rsidR="00C21BBC">
        <w:t xml:space="preserve"> </w:t>
      </w:r>
      <w:r w:rsidRPr="00AF343B" w:rsidR="00A95922">
        <w:t>[interagency agreement to use redevelopment tax increment to pay for courthouse construction was subject to validation under § 53511]</w:t>
      </w:r>
      <w:r w:rsidRPr="00AF343B" w:rsidR="00682E50">
        <w:t xml:space="preserve">; </w:t>
      </w:r>
      <w:r w:rsidRPr="00AF343B" w:rsidR="001B1630">
        <w:rPr>
          <w:i/>
          <w:iCs/>
        </w:rPr>
        <w:t>Graydon</w:t>
      </w:r>
      <w:r w:rsidRPr="00AF343B" w:rsidR="001D3A61">
        <w:t xml:space="preserve">, </w:t>
      </w:r>
      <w:r w:rsidRPr="00AF343B" w:rsidR="001D3A61">
        <w:rPr>
          <w:i/>
          <w:iCs/>
        </w:rPr>
        <w:t>supra</w:t>
      </w:r>
      <w:r w:rsidRPr="00AF343B" w:rsidR="001D3A61">
        <w:t xml:space="preserve">, </w:t>
      </w:r>
      <w:r w:rsidRPr="00AF343B" w:rsidR="001B1630">
        <w:t xml:space="preserve">104 Cal.App.3d </w:t>
      </w:r>
      <w:r w:rsidRPr="00AF343B" w:rsidR="001D3A61">
        <w:t xml:space="preserve">at pp. </w:t>
      </w:r>
      <w:r w:rsidRPr="00AF343B" w:rsidR="00682E50">
        <w:t>645–646</w:t>
      </w:r>
      <w:r w:rsidRPr="00AF343B" w:rsidR="00A95922">
        <w:t xml:space="preserve"> [redevelopment agency’s contract for construction of underground parking garage, where garage was financed with bonds to be paid from tax increment generated by retail center of which </w:t>
      </w:r>
      <w:r w:rsidRPr="00AF343B" w:rsidR="00AC6B9A">
        <w:t xml:space="preserve">the </w:t>
      </w:r>
      <w:r w:rsidRPr="00AF343B" w:rsidR="00A95922">
        <w:t>garage was an essential component, was subject to validation under § 53511]</w:t>
      </w:r>
      <w:r w:rsidRPr="00AF343B" w:rsidR="00C02AAB">
        <w:t>.</w:t>
      </w:r>
      <w:r w:rsidRPr="00AF343B" w:rsidR="00682E50">
        <w:t>)</w:t>
      </w:r>
      <w:r>
        <w:rPr>
          <w:rStyle w:val="FootnoteReference"/>
        </w:rPr>
        <w:footnoteReference w:id="8"/>
      </w:r>
    </w:p>
    <w:p w:rsidR="00031146" w:rsidRPr="00AF343B" w:rsidP="00AF343B">
      <w:pPr>
        <w:tabs>
          <w:tab w:val="left" w:pos="1440"/>
        </w:tabs>
        <w:ind w:firstLine="720"/>
      </w:pPr>
      <w:r w:rsidRPr="00AF343B">
        <w:t>We agree generally with the</w:t>
      </w:r>
      <w:r w:rsidRPr="00AF343B" w:rsidR="0084597A">
        <w:t xml:space="preserve">se </w:t>
      </w:r>
      <w:r w:rsidRPr="00AF343B" w:rsidR="001054E3">
        <w:t xml:space="preserve">Court of Appeal </w:t>
      </w:r>
      <w:r w:rsidRPr="00AF343B" w:rsidR="0084597A">
        <w:t xml:space="preserve">decisions and their </w:t>
      </w:r>
      <w:r w:rsidRPr="00AF343B">
        <w:t xml:space="preserve">articulation of the standard that governs whether a </w:t>
      </w:r>
      <w:r w:rsidRPr="00AF343B" w:rsidR="00967ED5">
        <w:t xml:space="preserve">local agency </w:t>
      </w:r>
      <w:r w:rsidRPr="00AF343B">
        <w:t xml:space="preserve">contract comes within section 53511.  In our view, a </w:t>
      </w:r>
      <w:r w:rsidRPr="00AF343B" w:rsidR="00967ED5">
        <w:t xml:space="preserve">local agency </w:t>
      </w:r>
      <w:r w:rsidRPr="00AF343B">
        <w:t>contract does so if</w:t>
      </w:r>
      <w:r w:rsidRPr="00AF343B" w:rsidR="001700FC">
        <w:t xml:space="preserve"> </w:t>
      </w:r>
      <w:bookmarkStart w:id="8" w:name="_Hlk126840652"/>
      <w:r w:rsidRPr="00AF343B">
        <w:t xml:space="preserve">it is inextricably bound up with </w:t>
      </w:r>
      <w:bookmarkEnd w:id="8"/>
      <w:r w:rsidRPr="00AF343B" w:rsidR="00954286">
        <w:t xml:space="preserve">government indebtedness or </w:t>
      </w:r>
      <w:r w:rsidRPr="00AF343B" w:rsidR="001054E3">
        <w:t xml:space="preserve">with </w:t>
      </w:r>
      <w:r w:rsidRPr="001E3EEA" w:rsidR="001E3EEA">
        <w:t>debt financing guaranteed by the agency</w:t>
      </w:r>
      <w:r w:rsidRPr="00AF343B" w:rsidR="001700FC">
        <w:t xml:space="preserve">.  </w:t>
      </w:r>
      <w:r w:rsidRPr="00AF343B" w:rsidR="00257093">
        <w:t xml:space="preserve">To satisfy this standard, the contract </w:t>
      </w:r>
      <w:r w:rsidRPr="00AF343B" w:rsidR="007C5033">
        <w:t xml:space="preserve">must </w:t>
      </w:r>
      <w:r w:rsidRPr="00AF343B" w:rsidR="00257093">
        <w:t xml:space="preserve">be one on which the debt financing of </w:t>
      </w:r>
      <w:r w:rsidRPr="00AF343B" w:rsidR="00954286">
        <w:t xml:space="preserve">the </w:t>
      </w:r>
      <w:r w:rsidRPr="00AF343B" w:rsidR="00257093">
        <w:t xml:space="preserve">project directly depends.  </w:t>
      </w:r>
      <w:r w:rsidRPr="00AF343B" w:rsidR="00954286">
        <w:t xml:space="preserve">Without </w:t>
      </w:r>
      <w:r w:rsidRPr="00AF343B" w:rsidR="00A97F1C">
        <w:t xml:space="preserve">attempting </w:t>
      </w:r>
      <w:r w:rsidRPr="00AF343B" w:rsidR="00954286">
        <w:t xml:space="preserve">to exhaustively describe every type of </w:t>
      </w:r>
      <w:r w:rsidRPr="00AF343B" w:rsidR="00967ED5">
        <w:t xml:space="preserve">local agency </w:t>
      </w:r>
      <w:r w:rsidRPr="00AF343B" w:rsidR="00954286">
        <w:t>contract that might come with</w:t>
      </w:r>
      <w:r w:rsidR="004E3137">
        <w:t>in</w:t>
      </w:r>
      <w:r w:rsidRPr="00AF343B" w:rsidR="00954286">
        <w:t xml:space="preserve"> the scope o</w:t>
      </w:r>
      <w:r w:rsidRPr="00AF343B" w:rsidR="00DD58DB">
        <w:t>f</w:t>
      </w:r>
      <w:r w:rsidRPr="00AF343B" w:rsidR="00954286">
        <w:t xml:space="preserve"> section 53511, we </w:t>
      </w:r>
      <w:r w:rsidRPr="00AF343B" w:rsidR="00DD58DB">
        <w:t xml:space="preserve">conclude that </w:t>
      </w:r>
      <w:r w:rsidRPr="00AF343B" w:rsidR="00954286">
        <w:t>the lease-leaseback arrang</w:t>
      </w:r>
      <w:r w:rsidRPr="00AF343B" w:rsidR="00DD58DB">
        <w:t>e</w:t>
      </w:r>
      <w:r w:rsidRPr="00AF343B" w:rsidR="00954286">
        <w:t>ment at issue here does not</w:t>
      </w:r>
      <w:r w:rsidRPr="00AF343B" w:rsidR="00DD58DB">
        <w:t xml:space="preserve"> do so</w:t>
      </w:r>
      <w:r w:rsidRPr="00AF343B" w:rsidR="00954286">
        <w:t>.</w:t>
      </w:r>
    </w:p>
    <w:p w:rsidR="0045372C" w:rsidRPr="00AF343B" w:rsidP="00EC688C">
      <w:pPr>
        <w:tabs>
          <w:tab w:val="left" w:pos="1440"/>
        </w:tabs>
        <w:ind w:firstLine="720"/>
      </w:pPr>
      <w:r w:rsidRPr="00AF343B">
        <w:t>A</w:t>
      </w:r>
      <w:r w:rsidRPr="00AF343B" w:rsidR="00FA5B76">
        <w:t xml:space="preserve"> </w:t>
      </w:r>
      <w:r w:rsidRPr="00AF343B" w:rsidR="00C02AAB">
        <w:t xml:space="preserve">traditional </w:t>
      </w:r>
      <w:r w:rsidRPr="00AF343B" w:rsidR="00FA5B76">
        <w:t>lease-leaseback arrangement</w:t>
      </w:r>
      <w:r w:rsidRPr="00AF343B" w:rsidR="00B831E5">
        <w:t xml:space="preserve"> — </w:t>
      </w:r>
      <w:r w:rsidRPr="00AF343B">
        <w:t xml:space="preserve">one </w:t>
      </w:r>
      <w:r w:rsidRPr="00AF343B" w:rsidR="00FA5B76">
        <w:t xml:space="preserve">that shifts the financing of a public project to the contractor </w:t>
      </w:r>
      <w:r w:rsidRPr="00AF343B" w:rsidR="00B831E5">
        <w:t xml:space="preserve">(or a related entity) </w:t>
      </w:r>
      <w:r w:rsidRPr="00AF343B">
        <w:t xml:space="preserve">through </w:t>
      </w:r>
      <w:r w:rsidRPr="00AF343B" w:rsidR="000338B5">
        <w:t xml:space="preserve">long-term </w:t>
      </w:r>
      <w:r w:rsidRPr="00AF343B" w:rsidR="00FA5B76">
        <w:t xml:space="preserve">lease payments that the contractor </w:t>
      </w:r>
      <w:r w:rsidRPr="00AF343B" w:rsidR="00B831E5">
        <w:t xml:space="preserve">(or related entity) </w:t>
      </w:r>
      <w:r w:rsidRPr="00AF343B" w:rsidR="00565BDC">
        <w:t xml:space="preserve">can </w:t>
      </w:r>
      <w:r w:rsidRPr="00AF343B" w:rsidR="00FA5B76">
        <w:t>assign to a third</w:t>
      </w:r>
      <w:r w:rsidR="00B841F2">
        <w:t xml:space="preserve"> </w:t>
      </w:r>
      <w:r w:rsidRPr="00AF343B" w:rsidR="00FA5B76">
        <w:t>party lender</w:t>
      </w:r>
      <w:r w:rsidRPr="00AF343B" w:rsidR="00B831E5">
        <w:t xml:space="preserve"> — has </w:t>
      </w:r>
      <w:r w:rsidRPr="00AF343B" w:rsidR="00E04191">
        <w:t xml:space="preserve">some </w:t>
      </w:r>
      <w:r w:rsidRPr="00AF343B" w:rsidR="00B831E5">
        <w:t xml:space="preserve">features that </w:t>
      </w:r>
      <w:r w:rsidRPr="00735CBC" w:rsidR="00EC688C">
        <w:t xml:space="preserve">might be cited in support of an argument that the arrangement is a contract for purposes of section 53511. </w:t>
      </w:r>
      <w:r w:rsidR="00C719C2">
        <w:t xml:space="preserve"> </w:t>
      </w:r>
      <w:r w:rsidRPr="00735CBC" w:rsidR="00EF7C45">
        <w:t xml:space="preserve">Most importantly, </w:t>
      </w:r>
      <w:r w:rsidRPr="00735CBC" w:rsidR="00EC688C">
        <w:t>a traditional lease-leaseback</w:t>
      </w:r>
      <w:r w:rsidRPr="00735CBC" w:rsidR="007C7967">
        <w:t xml:space="preserve"> operates </w:t>
      </w:r>
      <w:r w:rsidRPr="00735CBC" w:rsidR="00EF7C45">
        <w:t xml:space="preserve">in practice </w:t>
      </w:r>
      <w:r w:rsidRPr="00735CBC" w:rsidR="007C7967">
        <w:t>as a financing mechanism</w:t>
      </w:r>
      <w:r w:rsidRPr="00735CBC" w:rsidR="00FA2518">
        <w:t>.</w:t>
      </w:r>
      <w:r w:rsidRPr="00735CBC" w:rsidR="00EC688C">
        <w:t xml:space="preserve"> </w:t>
      </w:r>
      <w:r w:rsidR="00C719C2">
        <w:t xml:space="preserve"> </w:t>
      </w:r>
      <w:r w:rsidRPr="00735CBC" w:rsidR="00EF7C45">
        <w:t>W</w:t>
      </w:r>
      <w:r w:rsidRPr="00735CBC" w:rsidR="00FA2518">
        <w:t xml:space="preserve">e need not </w:t>
      </w:r>
      <w:r w:rsidRPr="00735CBC" w:rsidR="00EC688C">
        <w:t xml:space="preserve">(and do not) </w:t>
      </w:r>
      <w:r w:rsidRPr="00735CBC" w:rsidR="00FA2518">
        <w:t>decide here</w:t>
      </w:r>
      <w:r w:rsidRPr="00735CBC" w:rsidR="00990C76">
        <w:t xml:space="preserve"> whether </w:t>
      </w:r>
      <w:r w:rsidRPr="00735CBC" w:rsidR="007C7967">
        <w:t>a traditional lease-leaseback</w:t>
      </w:r>
      <w:r w:rsidRPr="00735CBC" w:rsidR="00170E95">
        <w:t xml:space="preserve"> </w:t>
      </w:r>
      <w:r w:rsidRPr="00735CBC" w:rsidR="00990C76">
        <w:t xml:space="preserve">arrangement is a contract for purposes of section 53511, but it is </w:t>
      </w:r>
      <w:r w:rsidRPr="00735CBC" w:rsidR="00170E95">
        <w:t xml:space="preserve">important to note </w:t>
      </w:r>
      <w:r w:rsidRPr="00735CBC" w:rsidR="00990C76">
        <w:t xml:space="preserve">that </w:t>
      </w:r>
      <w:r w:rsidRPr="00735CBC" w:rsidR="00EC688C">
        <w:t xml:space="preserve">the </w:t>
      </w:r>
      <w:r w:rsidRPr="00735CBC" w:rsidR="007C7967">
        <w:t xml:space="preserve">lease-leaseback </w:t>
      </w:r>
      <w:r w:rsidRPr="00735CBC" w:rsidR="00EC688C">
        <w:t>arrang</w:t>
      </w:r>
      <w:r w:rsidRPr="00735CBC" w:rsidR="007C7967">
        <w:t>e</w:t>
      </w:r>
      <w:r w:rsidRPr="00735CBC" w:rsidR="00EC688C">
        <w:t xml:space="preserve">ment at issue here </w:t>
      </w:r>
      <w:r w:rsidRPr="00735CBC" w:rsidR="00E85DE1">
        <w:t>d</w:t>
      </w:r>
      <w:r w:rsidRPr="00735CBC" w:rsidR="00B93746">
        <w:t>id</w:t>
      </w:r>
      <w:r w:rsidRPr="00735CBC" w:rsidR="00E85DE1">
        <w:t xml:space="preserve"> not </w:t>
      </w:r>
      <w:r w:rsidRPr="00735CBC" w:rsidR="007059B8">
        <w:t xml:space="preserve">involve a long-term lease that </w:t>
      </w:r>
      <w:r w:rsidRPr="00735CBC" w:rsidR="007C7967">
        <w:t xml:space="preserve">operated in </w:t>
      </w:r>
      <w:r w:rsidRPr="00735CBC" w:rsidR="00735CBC">
        <w:t xml:space="preserve">practice </w:t>
      </w:r>
      <w:r w:rsidRPr="00735CBC" w:rsidR="007C7967">
        <w:t>as a financing mechanism.</w:t>
      </w:r>
      <w:r w:rsidR="007C7967">
        <w:t xml:space="preserve">  </w:t>
      </w:r>
      <w:r w:rsidRPr="00AF343B" w:rsidR="007059B8">
        <w:t xml:space="preserve">Rather, the </w:t>
      </w:r>
      <w:r w:rsidRPr="00AF343B" w:rsidR="007D0C25">
        <w:t xml:space="preserve">cost of the District’s new middle school was fully </w:t>
      </w:r>
      <w:r w:rsidRPr="00AF343B" w:rsidR="00C23454">
        <w:t xml:space="preserve">funded by </w:t>
      </w:r>
      <w:r w:rsidRPr="00AF343B" w:rsidR="007D0C25">
        <w:t xml:space="preserve">the sale of general obligation </w:t>
      </w:r>
      <w:r w:rsidRPr="00AF343B" w:rsidR="00C23454">
        <w:t>bond</w:t>
      </w:r>
      <w:r w:rsidRPr="00AF343B" w:rsidR="007D0C25">
        <w:t xml:space="preserve">s </w:t>
      </w:r>
      <w:r w:rsidRPr="00AF343B" w:rsidR="00C23454">
        <w:t xml:space="preserve">that </w:t>
      </w:r>
      <w:r w:rsidRPr="00AF343B" w:rsidR="00C23454">
        <w:rPr>
          <w:i/>
          <w:iCs/>
        </w:rPr>
        <w:t>preceded</w:t>
      </w:r>
      <w:r w:rsidRPr="00AF343B" w:rsidR="00C23454">
        <w:t xml:space="preserve"> the </w:t>
      </w:r>
      <w:r w:rsidRPr="00AF343B" w:rsidR="007D0C25">
        <w:t xml:space="preserve">lease-leaseback </w:t>
      </w:r>
      <w:r w:rsidRPr="00AF343B" w:rsidR="00C23454">
        <w:t>arr</w:t>
      </w:r>
      <w:r w:rsidRPr="00AF343B" w:rsidR="00C121CA">
        <w:t>an</w:t>
      </w:r>
      <w:r w:rsidRPr="00AF343B" w:rsidR="00C23454">
        <w:t>gement</w:t>
      </w:r>
      <w:r w:rsidRPr="00AF343B" w:rsidR="00927E4B">
        <w:t xml:space="preserve"> by nearly a year</w:t>
      </w:r>
      <w:r w:rsidRPr="00AF343B" w:rsidR="007D0C25">
        <w:t>,</w:t>
      </w:r>
      <w:r>
        <w:rPr>
          <w:rStyle w:val="FootnoteReference"/>
        </w:rPr>
        <w:footnoteReference w:id="9"/>
      </w:r>
      <w:r w:rsidRPr="00AF343B" w:rsidR="00C23454">
        <w:t xml:space="preserve"> </w:t>
      </w:r>
      <w:r w:rsidRPr="00AF343B" w:rsidR="007D0C25">
        <w:t xml:space="preserve">and the lease-leaseback arrangement was </w:t>
      </w:r>
      <w:r w:rsidRPr="00AF343B" w:rsidR="00A16918">
        <w:t xml:space="preserve">to that extent </w:t>
      </w:r>
      <w:r w:rsidRPr="00AF343B" w:rsidR="007D0C25">
        <w:t>an</w:t>
      </w:r>
      <w:r w:rsidRPr="00AF343B" w:rsidR="00C121CA">
        <w:t xml:space="preserve">alogous </w:t>
      </w:r>
      <w:r w:rsidRPr="00AF343B" w:rsidR="000D0B3C">
        <w:t>to an ordinary purchase contract</w:t>
      </w:r>
      <w:r w:rsidRPr="00AF343B" w:rsidR="000C17C2">
        <w:t xml:space="preserve"> </w:t>
      </w:r>
      <w:r w:rsidRPr="00AF343B" w:rsidR="00D10B1B">
        <w:t xml:space="preserve">for </w:t>
      </w:r>
      <w:r w:rsidRPr="00AF343B" w:rsidR="00C23454">
        <w:t xml:space="preserve">the </w:t>
      </w:r>
      <w:r w:rsidRPr="00AF343B" w:rsidR="00D10B1B">
        <w:t>acqui</w:t>
      </w:r>
      <w:r w:rsidRPr="00AF343B" w:rsidR="00C23454">
        <w:t xml:space="preserve">sition of </w:t>
      </w:r>
      <w:r w:rsidRPr="00AF343B" w:rsidR="000C17C2">
        <w:t>goods or services</w:t>
      </w:r>
      <w:r w:rsidRPr="00AF343B" w:rsidR="007D0C25">
        <w:t xml:space="preserve">, a type of contract that is not </w:t>
      </w:r>
      <w:r w:rsidRPr="00AF343B" w:rsidR="00C02AAB">
        <w:t>subject to validation under section 53511</w:t>
      </w:r>
      <w:r w:rsidRPr="00AF343B" w:rsidR="000D0B3C">
        <w:t xml:space="preserve">.  </w:t>
      </w:r>
      <w:r w:rsidRPr="00AF343B" w:rsidR="00565F50">
        <w:t>(See</w:t>
      </w:r>
      <w:r w:rsidRPr="00AF343B" w:rsidR="00E32FC1">
        <w:t>, e.g.,</w:t>
      </w:r>
      <w:r w:rsidRPr="00AF343B" w:rsidR="00565F50">
        <w:t xml:space="preserve"> </w:t>
      </w:r>
      <w:r w:rsidRPr="00AF343B" w:rsidR="00565F50">
        <w:rPr>
          <w:i/>
          <w:iCs/>
        </w:rPr>
        <w:t>Santa Clarita</w:t>
      </w:r>
      <w:r w:rsidRPr="00AF343B" w:rsidR="00565F50">
        <w:t xml:space="preserve">, </w:t>
      </w:r>
      <w:r w:rsidRPr="00AF343B" w:rsidR="00565F50">
        <w:rPr>
          <w:i/>
          <w:iCs/>
        </w:rPr>
        <w:t>supra</w:t>
      </w:r>
      <w:r w:rsidRPr="00AF343B" w:rsidR="00565F50">
        <w:t xml:space="preserve">, 1 Cal.App.5th at p. 1099 [agency’s cash-financed stock purchase was </w:t>
      </w:r>
      <w:r w:rsidRPr="00AF343B" w:rsidR="00565F50">
        <w:rPr>
          <w:i/>
          <w:iCs/>
        </w:rPr>
        <w:t>not</w:t>
      </w:r>
      <w:r w:rsidRPr="00AF343B" w:rsidR="00565F50">
        <w:t xml:space="preserve"> subject to validation under § 53511]; </w:t>
      </w:r>
      <w:r w:rsidRPr="00AF343B" w:rsidR="00565F50">
        <w:rPr>
          <w:i/>
          <w:iCs/>
        </w:rPr>
        <w:t>Kaatz v. City of Seaside</w:t>
      </w:r>
      <w:r w:rsidRPr="00AF343B" w:rsidR="00565F50">
        <w:t xml:space="preserve">, </w:t>
      </w:r>
      <w:r w:rsidRPr="00AF343B" w:rsidR="00565F50">
        <w:rPr>
          <w:i/>
          <w:iCs/>
        </w:rPr>
        <w:t>supra</w:t>
      </w:r>
      <w:r w:rsidRPr="00AF343B" w:rsidR="00565F50">
        <w:t xml:space="preserve">, 143 Cal.App.4th at pp. 40–42, 47–48 [city’s purchase of property from federal government using funds from developer, followed by sale of same property to developer, was </w:t>
      </w:r>
      <w:r w:rsidRPr="00AF343B" w:rsidR="00565F50">
        <w:rPr>
          <w:i/>
          <w:iCs/>
        </w:rPr>
        <w:t>not</w:t>
      </w:r>
      <w:r w:rsidRPr="00AF343B" w:rsidR="00565F50">
        <w:t xml:space="preserve"> subject to validation under § 53511]; </w:t>
      </w:r>
      <w:r w:rsidRPr="00AF343B" w:rsidR="00565F50">
        <w:rPr>
          <w:i/>
          <w:iCs/>
        </w:rPr>
        <w:t>Smith v. Mt. Diablo Unified School Dist.</w:t>
      </w:r>
      <w:r w:rsidRPr="00AF343B" w:rsidR="00565F50">
        <w:t xml:space="preserve"> (1976) 56 Cal.App.3d 412, 418–421 [computer purchase contract was </w:t>
      </w:r>
      <w:r w:rsidRPr="00AF343B" w:rsidR="00565F50">
        <w:rPr>
          <w:i/>
          <w:iCs/>
        </w:rPr>
        <w:t>not</w:t>
      </w:r>
      <w:r w:rsidRPr="00AF343B" w:rsidR="00565F50">
        <w:t xml:space="preserve"> subject to validation under § 53511]; </w:t>
      </w:r>
      <w:r w:rsidRPr="00AF343B" w:rsidR="00565F50">
        <w:rPr>
          <w:i/>
          <w:iCs/>
        </w:rPr>
        <w:t>Phillips v. Seely</w:t>
      </w:r>
      <w:r w:rsidRPr="00AF343B" w:rsidR="00565F50">
        <w:t xml:space="preserve"> (1974) 43 Cal.3d 104, 111–112 [attorney hiring agreement was </w:t>
      </w:r>
      <w:r w:rsidRPr="00AF343B" w:rsidR="00565F50">
        <w:rPr>
          <w:i/>
          <w:iCs/>
        </w:rPr>
        <w:t>not</w:t>
      </w:r>
      <w:r w:rsidRPr="00AF343B" w:rsidR="00565F50">
        <w:t xml:space="preserve"> subject to validation under § 53511].)</w:t>
      </w:r>
    </w:p>
    <w:p w:rsidR="00586DBB" w:rsidRPr="00AF343B" w:rsidP="00AF343B">
      <w:pPr>
        <w:tabs>
          <w:tab w:val="left" w:pos="1440"/>
        </w:tabs>
        <w:ind w:firstLine="720"/>
      </w:pPr>
      <w:r w:rsidRPr="00AF343B">
        <w:t>Here, n</w:t>
      </w:r>
      <w:r w:rsidRPr="00AF343B" w:rsidR="006D1BA2">
        <w:t xml:space="preserve">othing in the documents connected to the approval and sale of the </w:t>
      </w:r>
      <w:r w:rsidRPr="00AF343B" w:rsidR="00DB7D3C">
        <w:t xml:space="preserve">District’s </w:t>
      </w:r>
      <w:r w:rsidRPr="00AF343B" w:rsidR="006D1BA2">
        <w:t xml:space="preserve">bonds suggested any link to or dependence </w:t>
      </w:r>
      <w:r w:rsidRPr="00AF343B" w:rsidR="00DB7D3C">
        <w:t>up</w:t>
      </w:r>
      <w:r w:rsidRPr="00AF343B" w:rsidR="006D1BA2">
        <w:t>on the validity of the lease-leaseback arrang</w:t>
      </w:r>
      <w:r w:rsidRPr="00AF343B" w:rsidR="006C717D">
        <w:t>e</w:t>
      </w:r>
      <w:r w:rsidRPr="00AF343B" w:rsidR="006D1BA2">
        <w:t>ment</w:t>
      </w:r>
      <w:r w:rsidRPr="00AF343B" w:rsidR="00DB7D3C">
        <w:t xml:space="preserve"> now before us</w:t>
      </w:r>
      <w:r w:rsidRPr="00AF343B" w:rsidR="006D1BA2">
        <w:t xml:space="preserve">.  These documents made no </w:t>
      </w:r>
      <w:r w:rsidRPr="00AF343B" w:rsidR="00DB7D3C">
        <w:t xml:space="preserve">specific </w:t>
      </w:r>
      <w:r w:rsidRPr="00AF343B" w:rsidR="006D1BA2">
        <w:t>mention of th</w:t>
      </w:r>
      <w:r w:rsidRPr="00AF343B" w:rsidR="00DB7D3C">
        <w:t xml:space="preserve">e </w:t>
      </w:r>
      <w:r w:rsidRPr="00AF343B" w:rsidR="006D1BA2">
        <w:t>project</w:t>
      </w:r>
      <w:r w:rsidRPr="00AF343B" w:rsidR="00DB7D3C">
        <w:t xml:space="preserve"> that is the subject of the lease-leaseback arrangement</w:t>
      </w:r>
      <w:r w:rsidRPr="00AF343B" w:rsidR="006D1BA2">
        <w:t xml:space="preserve">, let alone how contracts related to the project would be structured.  </w:t>
      </w:r>
      <w:r w:rsidRPr="00AF343B" w:rsidR="00BC5C86">
        <w:t>Likewise</w:t>
      </w:r>
      <w:r w:rsidRPr="00AF343B" w:rsidR="006C717D">
        <w:t>, n</w:t>
      </w:r>
      <w:r w:rsidRPr="00AF343B" w:rsidR="006D1BA2">
        <w:t xml:space="preserve">othing in the </w:t>
      </w:r>
      <w:r w:rsidRPr="00AF343B" w:rsidR="006C717D">
        <w:t xml:space="preserve">lease-leaseback documentation </w:t>
      </w:r>
      <w:r w:rsidRPr="00AF343B" w:rsidR="003B69A9">
        <w:t xml:space="preserve">was concerned with </w:t>
      </w:r>
      <w:r w:rsidRPr="00AF343B" w:rsidR="00BF3DF0">
        <w:t xml:space="preserve">the financing of </w:t>
      </w:r>
      <w:r w:rsidRPr="00AF343B" w:rsidR="00DB7D3C">
        <w:t>the project</w:t>
      </w:r>
      <w:r w:rsidRPr="00AF343B" w:rsidR="006D1BA2">
        <w:t xml:space="preserve">.  </w:t>
      </w:r>
      <w:r w:rsidRPr="00AF343B" w:rsidR="009661EF">
        <w:t xml:space="preserve">The Site Lease entailed the letting of the District’s valuable real property for a term exceeding two years for the nominal sum of $1; it did not enable the District to finance anything.  As for the </w:t>
      </w:r>
      <w:r w:rsidRPr="00AF343B" w:rsidR="0006733E">
        <w:t>Facilities Lease</w:t>
      </w:r>
      <w:r w:rsidRPr="00AF343B" w:rsidR="009661EF">
        <w:t xml:space="preserve">, although it </w:t>
      </w:r>
      <w:r w:rsidRPr="00AF343B" w:rsidR="001A0791">
        <w:t xml:space="preserve">was a contract that was critical to the </w:t>
      </w:r>
      <w:r w:rsidRPr="00AF343B" w:rsidR="001A0791">
        <w:rPr>
          <w:i/>
          <w:iCs/>
        </w:rPr>
        <w:t>construction</w:t>
      </w:r>
      <w:r w:rsidRPr="00AF343B" w:rsidR="001A0791">
        <w:t xml:space="preserve"> of the District’s new middle school, it was not a contract that was critical to the </w:t>
      </w:r>
      <w:r w:rsidRPr="00AF343B" w:rsidR="001A0791">
        <w:rPr>
          <w:i/>
          <w:iCs/>
        </w:rPr>
        <w:t>financing</w:t>
      </w:r>
      <w:r w:rsidRPr="00AF343B" w:rsidR="001A0791">
        <w:t xml:space="preserve"> of that construction</w:t>
      </w:r>
      <w:r w:rsidRPr="00AF343B" w:rsidR="00E57F50">
        <w:t>.</w:t>
      </w:r>
      <w:r w:rsidRPr="00AF343B" w:rsidR="006C717D">
        <w:t xml:space="preserve">  </w:t>
      </w:r>
      <w:r w:rsidRPr="00AF343B" w:rsidR="00BF3DF0">
        <w:t xml:space="preserve">Rather, as noted, </w:t>
      </w:r>
      <w:r w:rsidRPr="00AF343B" w:rsidR="006C717D">
        <w:t xml:space="preserve">the financing </w:t>
      </w:r>
      <w:r w:rsidRPr="00AF343B" w:rsidR="00BF3DF0">
        <w:t xml:space="preserve">of the project </w:t>
      </w:r>
      <w:r w:rsidRPr="00AF343B" w:rsidR="006C717D">
        <w:t xml:space="preserve">was in place </w:t>
      </w:r>
      <w:r w:rsidRPr="00AF343B" w:rsidR="00BC5C86">
        <w:t xml:space="preserve">nearly a year </w:t>
      </w:r>
      <w:r w:rsidRPr="00AF343B" w:rsidR="006C717D">
        <w:t xml:space="preserve">before the Facilities Lease was even executed.  </w:t>
      </w:r>
      <w:r w:rsidRPr="00AF343B" w:rsidR="00DB7D3C">
        <w:t xml:space="preserve">On </w:t>
      </w:r>
      <w:r w:rsidRPr="00AF343B" w:rsidR="00BC5C86">
        <w:t>October 13, 2011, t</w:t>
      </w:r>
      <w:r w:rsidRPr="00AF343B" w:rsidR="00BF3DF0">
        <w:t>he District received nearly $108 million</w:t>
      </w:r>
      <w:r w:rsidRPr="00AF343B" w:rsidR="00BC5C86">
        <w:t>,</w:t>
      </w:r>
      <w:r w:rsidRPr="00AF343B" w:rsidR="00BF3DF0">
        <w:t xml:space="preserve"> and according to the District’s own documentation, it was those funds that were used </w:t>
      </w:r>
      <w:r w:rsidRPr="00AF343B" w:rsidR="00DB7D3C">
        <w:t xml:space="preserve">to make the lease payments </w:t>
      </w:r>
      <w:r w:rsidRPr="00AF343B" w:rsidR="00BF3DF0">
        <w:t>for the present project.</w:t>
      </w:r>
      <w:r w:rsidRPr="00AF343B" w:rsidR="00BC5C86">
        <w:t xml:space="preserve">  </w:t>
      </w:r>
      <w:r w:rsidRPr="00AF343B" w:rsidR="00CE2F65">
        <w:t xml:space="preserve">We </w:t>
      </w:r>
      <w:r w:rsidRPr="00AF343B" w:rsidR="00B901F0">
        <w:t>conclude</w:t>
      </w:r>
      <w:r w:rsidRPr="00AF343B" w:rsidR="00B45962">
        <w:t>, therefore,</w:t>
      </w:r>
      <w:r w:rsidRPr="00AF343B" w:rsidR="00B901F0">
        <w:t xml:space="preserve"> that the </w:t>
      </w:r>
      <w:r w:rsidRPr="00AF343B" w:rsidR="006C717D">
        <w:t xml:space="preserve">lease-leaseback arrangement </w:t>
      </w:r>
      <w:r w:rsidRPr="00AF343B" w:rsidR="00B901F0">
        <w:t xml:space="preserve">was not </w:t>
      </w:r>
      <w:r w:rsidRPr="00AF343B" w:rsidR="00665C46">
        <w:t xml:space="preserve">a contract on which the debt financing of the project directly depended and </w:t>
      </w:r>
      <w:r w:rsidRPr="00AF343B" w:rsidR="00BC5C86">
        <w:t xml:space="preserve">that </w:t>
      </w:r>
      <w:r w:rsidRPr="00AF343B" w:rsidR="00665C46">
        <w:t xml:space="preserve">it </w:t>
      </w:r>
      <w:r w:rsidRPr="00AF343B" w:rsidR="009234D7">
        <w:t xml:space="preserve">did not come </w:t>
      </w:r>
      <w:r w:rsidRPr="00AF343B" w:rsidR="009B70CA">
        <w:t>within the scope of the term “</w:t>
      </w:r>
      <w:r w:rsidRPr="00AF343B" w:rsidR="00B901F0">
        <w:t>contract</w:t>
      </w:r>
      <w:r w:rsidRPr="00AF343B" w:rsidR="009B70CA">
        <w:t>[]”</w:t>
      </w:r>
      <w:r w:rsidRPr="00AF343B" w:rsidR="00B901F0">
        <w:t xml:space="preserve"> for purposes of section 53511.</w:t>
      </w:r>
    </w:p>
    <w:p w:rsidR="000D35CD" w:rsidRPr="00AF343B" w:rsidP="00AF343B">
      <w:pPr>
        <w:pStyle w:val="Heading2"/>
      </w:pPr>
      <w:r w:rsidRPr="00AF343B">
        <w:t>D. Defendants’ Arguments</w:t>
      </w:r>
    </w:p>
    <w:p w:rsidR="00F11499" w:rsidRPr="00AF343B" w:rsidP="00AF343B">
      <w:pPr>
        <w:tabs>
          <w:tab w:val="left" w:pos="1440"/>
        </w:tabs>
        <w:ind w:firstLine="720"/>
      </w:pPr>
      <w:r w:rsidRPr="00AF343B">
        <w:t>D</w:t>
      </w:r>
      <w:r w:rsidRPr="00AF343B" w:rsidR="00CC756A">
        <w:t xml:space="preserve">efendants </w:t>
      </w:r>
      <w:r w:rsidRPr="00AF343B" w:rsidR="00514CC2">
        <w:t xml:space="preserve">press several </w:t>
      </w:r>
      <w:r w:rsidRPr="00AF343B" w:rsidR="00F1767F">
        <w:t xml:space="preserve">more specific </w:t>
      </w:r>
      <w:r w:rsidRPr="00AF343B" w:rsidR="00CC756A">
        <w:t>arguments for why the lease-leaseback arrang</w:t>
      </w:r>
      <w:r w:rsidRPr="00AF343B" w:rsidR="004839EF">
        <w:t>e</w:t>
      </w:r>
      <w:r w:rsidRPr="00AF343B" w:rsidR="00CC756A">
        <w:t xml:space="preserve">ment </w:t>
      </w:r>
      <w:r w:rsidRPr="00AF343B" w:rsidR="00CF4BFC">
        <w:t xml:space="preserve">at issue here </w:t>
      </w:r>
      <w:r w:rsidRPr="00AF343B" w:rsidR="00CC756A">
        <w:t xml:space="preserve">was </w:t>
      </w:r>
      <w:r w:rsidRPr="00AF343B">
        <w:t xml:space="preserve">sufficiently related to government indebtedness to qualify as </w:t>
      </w:r>
      <w:r w:rsidRPr="00AF343B" w:rsidR="00CC756A">
        <w:t>a contract for purposes of section 53511.</w:t>
      </w:r>
      <w:r w:rsidRPr="00AF343B" w:rsidR="00222D67">
        <w:t xml:space="preserve">  </w:t>
      </w:r>
      <w:r w:rsidRPr="00AF343B" w:rsidR="00CF4BFC">
        <w:t xml:space="preserve">We </w:t>
      </w:r>
      <w:r w:rsidRPr="00AF343B" w:rsidR="00222D67">
        <w:t>address</w:t>
      </w:r>
      <w:r w:rsidRPr="00AF343B">
        <w:t xml:space="preserve"> </w:t>
      </w:r>
      <w:r w:rsidRPr="00AF343B" w:rsidR="00222D67">
        <w:t xml:space="preserve">those arguments </w:t>
      </w:r>
      <w:r w:rsidRPr="00AF343B">
        <w:t>below</w:t>
      </w:r>
      <w:r w:rsidRPr="00AF343B" w:rsidR="00222D67">
        <w:t>.</w:t>
      </w:r>
    </w:p>
    <w:p w:rsidR="00D063ED" w:rsidRPr="00AF343B" w:rsidP="00AF343B">
      <w:pPr>
        <w:tabs>
          <w:tab w:val="left" w:pos="1440"/>
        </w:tabs>
        <w:ind w:firstLine="720"/>
      </w:pPr>
      <w:r w:rsidRPr="00AF343B">
        <w:t>First, d</w:t>
      </w:r>
      <w:r w:rsidRPr="00AF343B" w:rsidR="001C1162">
        <w:t>efendants argue</w:t>
      </w:r>
      <w:r w:rsidRPr="00AF343B" w:rsidR="00451F9D">
        <w:t xml:space="preserve"> </w:t>
      </w:r>
      <w:r w:rsidRPr="00AF343B" w:rsidR="001C1162">
        <w:t xml:space="preserve">that </w:t>
      </w:r>
      <w:bookmarkStart w:id="9" w:name="_Hlk111807072"/>
      <w:r w:rsidRPr="00AF343B" w:rsidR="00E35290">
        <w:t>a lease-leaseback arrangement must be subject to swift validation under the validation statutes</w:t>
      </w:r>
      <w:r w:rsidRPr="00AF343B" w:rsidR="00CF4BFC">
        <w:t xml:space="preserve">, for </w:t>
      </w:r>
      <w:r w:rsidRPr="00AF343B" w:rsidR="00E35290">
        <w:t xml:space="preserve">otherwise doubt about the validity of the arrangement will negatively impact the marketability of the </w:t>
      </w:r>
      <w:r w:rsidRPr="00AF343B" w:rsidR="009D5BAB">
        <w:t xml:space="preserve">bonds the </w:t>
      </w:r>
      <w:r w:rsidRPr="00AF343B" w:rsidR="00665C46">
        <w:t>school d</w:t>
      </w:r>
      <w:r w:rsidRPr="00AF343B" w:rsidR="009D5BAB">
        <w:t xml:space="preserve">istrict </w:t>
      </w:r>
      <w:r w:rsidRPr="00AF343B" w:rsidR="00665C46">
        <w:t xml:space="preserve">sells </w:t>
      </w:r>
      <w:r w:rsidRPr="00AF343B" w:rsidR="009D5BAB">
        <w:t xml:space="preserve">to finance </w:t>
      </w:r>
      <w:r w:rsidRPr="00AF343B" w:rsidR="00665C46">
        <w:t xml:space="preserve">its </w:t>
      </w:r>
      <w:r w:rsidRPr="00AF343B" w:rsidR="00CF4BFC">
        <w:t xml:space="preserve">planned </w:t>
      </w:r>
      <w:r w:rsidRPr="00AF343B" w:rsidR="009D5BAB">
        <w:t>construction project</w:t>
      </w:r>
      <w:r w:rsidRPr="00AF343B" w:rsidR="00E35290">
        <w:t>.</w:t>
      </w:r>
      <w:r w:rsidRPr="00AF343B" w:rsidR="00CF4BFC">
        <w:t xml:space="preserve">  </w:t>
      </w:r>
      <w:r w:rsidRPr="00AF343B" w:rsidR="00222116">
        <w:t xml:space="preserve">On this ground, defendants contend that </w:t>
      </w:r>
      <w:r w:rsidRPr="00AF343B" w:rsidR="001C1162">
        <w:t xml:space="preserve">the lease-leaseback arrangement at issue here </w:t>
      </w:r>
      <w:r w:rsidRPr="00AF343B" w:rsidR="004F12D2">
        <w:t>wa</w:t>
      </w:r>
      <w:r w:rsidRPr="00AF343B" w:rsidR="001C1162">
        <w:t>s</w:t>
      </w:r>
      <w:bookmarkStart w:id="10" w:name="_Hlk111969588"/>
      <w:r w:rsidRPr="00AF343B" w:rsidR="001C1162">
        <w:t xml:space="preserve"> </w:t>
      </w:r>
      <w:r w:rsidRPr="00AF343B" w:rsidR="00D15C19">
        <w:t>“</w:t>
      </w:r>
      <w:r w:rsidRPr="00AF343B" w:rsidR="00C21456">
        <w:t>inextricably bound up with</w:t>
      </w:r>
      <w:r w:rsidRPr="00AF343B" w:rsidR="00D15C19">
        <w:t>”</w:t>
      </w:r>
      <w:r w:rsidRPr="00AF343B" w:rsidR="00C21456">
        <w:t xml:space="preserve"> </w:t>
      </w:r>
      <w:r w:rsidRPr="00AF343B" w:rsidR="009D5BAB">
        <w:t>government indebtedness</w:t>
      </w:r>
      <w:bookmarkEnd w:id="9"/>
      <w:r w:rsidRPr="00AF343B" w:rsidR="003F48BF">
        <w:t xml:space="preserve">.  </w:t>
      </w:r>
      <w:r w:rsidRPr="00AF343B" w:rsidR="002A3E21">
        <w:t>(</w:t>
      </w:r>
      <w:r w:rsidRPr="00AF343B" w:rsidR="00222116">
        <w:rPr>
          <w:i/>
          <w:iCs/>
        </w:rPr>
        <w:t>Graydon</w:t>
      </w:r>
      <w:r w:rsidRPr="00AF343B" w:rsidR="00222116">
        <w:t xml:space="preserve">, </w:t>
      </w:r>
      <w:r w:rsidRPr="00AF343B" w:rsidR="00222116">
        <w:rPr>
          <w:i/>
          <w:iCs/>
        </w:rPr>
        <w:t>supra</w:t>
      </w:r>
      <w:r w:rsidRPr="00AF343B" w:rsidR="00222116">
        <w:t xml:space="preserve">, 104 Cal.App.3d at p. 646; see </w:t>
      </w:r>
      <w:r w:rsidRPr="00AF343B" w:rsidR="002A3E21">
        <w:rPr>
          <w:i/>
          <w:iCs/>
        </w:rPr>
        <w:t>McLeod</w:t>
      </w:r>
      <w:r w:rsidRPr="00AF343B" w:rsidR="002A3E21">
        <w:t xml:space="preserve">, </w:t>
      </w:r>
      <w:r w:rsidRPr="00AF343B" w:rsidR="002A3E21">
        <w:rPr>
          <w:i/>
          <w:iCs/>
        </w:rPr>
        <w:t>supra</w:t>
      </w:r>
      <w:r w:rsidRPr="00AF343B" w:rsidR="002A3E21">
        <w:t xml:space="preserve">, 158 Cal.App.4th at p. 1169; </w:t>
      </w:r>
      <w:r w:rsidRPr="00AF343B" w:rsidR="002A3E21">
        <w:rPr>
          <w:i/>
          <w:iCs/>
        </w:rPr>
        <w:t>California Commerce Casino</w:t>
      </w:r>
      <w:r w:rsidRPr="00AF343B" w:rsidR="002A3E21">
        <w:t xml:space="preserve">, </w:t>
      </w:r>
      <w:r w:rsidRPr="00AF343B" w:rsidR="002A3E21">
        <w:rPr>
          <w:i/>
          <w:iCs/>
        </w:rPr>
        <w:t>supra</w:t>
      </w:r>
      <w:r w:rsidRPr="00AF343B" w:rsidR="002A3E21">
        <w:t>, 146 Cal.App.4th at p</w:t>
      </w:r>
      <w:r w:rsidRPr="00AF343B" w:rsidR="00222116">
        <w:t>p</w:t>
      </w:r>
      <w:r w:rsidRPr="00AF343B" w:rsidR="002A3E21">
        <w:t>. 1430</w:t>
      </w:r>
      <w:r w:rsidRPr="00AF343B" w:rsidR="00222116">
        <w:t>, 1432</w:t>
      </w:r>
      <w:r w:rsidRPr="00AF343B" w:rsidR="002A3E21">
        <w:t>.)</w:t>
      </w:r>
      <w:bookmarkStart w:id="11" w:name="_Hlk126922660"/>
      <w:bookmarkEnd w:id="10"/>
    </w:p>
    <w:p w:rsidR="00CB4725" w:rsidRPr="00AF343B" w:rsidP="00AF343B">
      <w:pPr>
        <w:tabs>
          <w:tab w:val="left" w:pos="1440"/>
        </w:tabs>
        <w:ind w:firstLine="720"/>
      </w:pPr>
      <w:bookmarkEnd w:id="11"/>
      <w:r w:rsidRPr="00AF343B">
        <w:t>T</w:t>
      </w:r>
      <w:r w:rsidRPr="00AF343B" w:rsidR="00217FC2">
        <w:t>h</w:t>
      </w:r>
      <w:r w:rsidRPr="00AF343B" w:rsidR="004F12D2">
        <w:t>is</w:t>
      </w:r>
      <w:r w:rsidRPr="00AF343B" w:rsidR="00217FC2">
        <w:t xml:space="preserve"> argument would have more persuasive force if the bonds </w:t>
      </w:r>
      <w:r w:rsidRPr="00AF343B" w:rsidR="004F12D2">
        <w:t xml:space="preserve">in question </w:t>
      </w:r>
      <w:r w:rsidRPr="00AF343B" w:rsidR="00217FC2">
        <w:t>were financing the construction of</w:t>
      </w:r>
      <w:r w:rsidRPr="00AF343B" w:rsidR="00F37AE8">
        <w:t xml:space="preserve"> </w:t>
      </w:r>
      <w:r w:rsidRPr="00AF343B" w:rsidR="003D7E82">
        <w:t>a</w:t>
      </w:r>
      <w:r w:rsidRPr="00AF343B" w:rsidR="00E84A22">
        <w:t xml:space="preserve">n entity that </w:t>
      </w:r>
      <w:r w:rsidRPr="00AF343B" w:rsidR="00026ABD">
        <w:t xml:space="preserve">was going to </w:t>
      </w:r>
      <w:r w:rsidRPr="00AF343B" w:rsidR="00E84A22">
        <w:t>produce re</w:t>
      </w:r>
      <w:r w:rsidRPr="00AF343B" w:rsidR="00F37AE8">
        <w:t xml:space="preserve">venue </w:t>
      </w:r>
      <w:r w:rsidRPr="00AF343B" w:rsidR="00E84A22">
        <w:t>for the District</w:t>
      </w:r>
      <w:r w:rsidRPr="00AF343B" w:rsidR="00121E67">
        <w:t>.</w:t>
      </w:r>
      <w:r w:rsidRPr="00AF343B" w:rsidR="006A1B92">
        <w:t xml:space="preserve">  </w:t>
      </w:r>
      <w:r w:rsidRPr="00AF343B" w:rsidR="00121E67">
        <w:t>In th</w:t>
      </w:r>
      <w:r w:rsidRPr="00AF343B" w:rsidR="00026ABD">
        <w:t>at</w:t>
      </w:r>
      <w:r w:rsidRPr="00AF343B" w:rsidR="00121E67">
        <w:t xml:space="preserve"> scenario, </w:t>
      </w:r>
      <w:r w:rsidRPr="00AF343B" w:rsidR="00217FC2">
        <w:t xml:space="preserve">the </w:t>
      </w:r>
      <w:r w:rsidRPr="00AF343B" w:rsidR="006121C5">
        <w:t xml:space="preserve">anticipated </w:t>
      </w:r>
      <w:r w:rsidRPr="00AF343B" w:rsidR="00F11ACB">
        <w:t>revenue</w:t>
      </w:r>
      <w:r w:rsidRPr="00AF343B" w:rsidR="00F37AE8">
        <w:t>s</w:t>
      </w:r>
      <w:r w:rsidRPr="00AF343B" w:rsidR="00F11ACB">
        <w:t xml:space="preserve"> </w:t>
      </w:r>
      <w:r w:rsidRPr="00AF343B" w:rsidR="003B69A9">
        <w:t>c</w:t>
      </w:r>
      <w:r w:rsidRPr="00AF343B" w:rsidR="00121E67">
        <w:t xml:space="preserve">ould be used </w:t>
      </w:r>
      <w:r w:rsidRPr="00AF343B" w:rsidR="00217FC2">
        <w:t xml:space="preserve">to pay </w:t>
      </w:r>
      <w:r w:rsidRPr="00AF343B" w:rsidR="00552BB7">
        <w:t xml:space="preserve">the debt service on the </w:t>
      </w:r>
      <w:r w:rsidRPr="00AF343B" w:rsidR="006121C5">
        <w:t>bonds</w:t>
      </w:r>
      <w:r w:rsidRPr="00AF343B" w:rsidR="00121E67">
        <w:t xml:space="preserve"> and </w:t>
      </w:r>
      <w:r w:rsidRPr="00AF343B" w:rsidR="00217FC2">
        <w:t xml:space="preserve">prompt completion of the </w:t>
      </w:r>
      <w:r w:rsidRPr="00AF343B" w:rsidR="00F37AE8">
        <w:t xml:space="preserve">construction project </w:t>
      </w:r>
      <w:r w:rsidRPr="00AF343B" w:rsidR="00217FC2">
        <w:t>and receipt of the revenue</w:t>
      </w:r>
      <w:r w:rsidRPr="00AF343B" w:rsidR="00F37AE8">
        <w:t>s</w:t>
      </w:r>
      <w:r w:rsidRPr="00AF343B" w:rsidR="00217FC2">
        <w:t xml:space="preserve"> </w:t>
      </w:r>
      <w:r w:rsidRPr="00AF343B" w:rsidR="00784E8B">
        <w:t xml:space="preserve">could arguably </w:t>
      </w:r>
      <w:r w:rsidRPr="00AF343B" w:rsidR="00121E67">
        <w:t xml:space="preserve">affect </w:t>
      </w:r>
      <w:r w:rsidRPr="00AF343B" w:rsidR="00217FC2">
        <w:t>the marketability of the bonds.</w:t>
      </w:r>
      <w:r w:rsidRPr="00AF343B" w:rsidR="006121C5">
        <w:t xml:space="preserve">  </w:t>
      </w:r>
      <w:r w:rsidRPr="00AF343B" w:rsidR="00F11ACB">
        <w:t xml:space="preserve">(See </w:t>
      </w:r>
      <w:r w:rsidRPr="00AF343B" w:rsidR="00F11ACB">
        <w:rPr>
          <w:i/>
          <w:iCs/>
        </w:rPr>
        <w:t>Graydon</w:t>
      </w:r>
      <w:r w:rsidRPr="00AF343B" w:rsidR="00F11ACB">
        <w:t xml:space="preserve">, </w:t>
      </w:r>
      <w:r w:rsidRPr="00AF343B" w:rsidR="00F11ACB">
        <w:rPr>
          <w:i/>
          <w:iCs/>
        </w:rPr>
        <w:t>supra</w:t>
      </w:r>
      <w:r w:rsidRPr="00AF343B" w:rsidR="00F11ACB">
        <w:t>, 104 Cal.App.3d at p. 645 [“The ability of the Agency to pay its bonds, dependent in large part upon the flow of tax increment monies resulting from the completion of the retail center, was thus directly linked to the award of the questioned contract</w:t>
      </w:r>
      <w:r w:rsidRPr="00AF343B" w:rsidR="00D40C25">
        <w:t xml:space="preserve"> [for construction of the underground parking garage</w:t>
      </w:r>
      <w:r w:rsidRPr="00AF343B" w:rsidR="00F37AE8">
        <w:t xml:space="preserve"> that would serve the retail center</w:t>
      </w:r>
      <w:r w:rsidRPr="00AF343B" w:rsidR="00D40C25">
        <w:t>]</w:t>
      </w:r>
      <w:r w:rsidRPr="00AF343B" w:rsidR="00F11ACB">
        <w:t xml:space="preserve">”].)  </w:t>
      </w:r>
      <w:r w:rsidRPr="00AF343B" w:rsidR="006121C5">
        <w:t xml:space="preserve">But </w:t>
      </w:r>
      <w:r w:rsidRPr="00AF343B" w:rsidR="00F37AE8">
        <w:t xml:space="preserve">here, </w:t>
      </w:r>
      <w:r w:rsidRPr="00AF343B" w:rsidR="006121C5">
        <w:t xml:space="preserve">there is no indication that the school facilities were revenue generating </w:t>
      </w:r>
      <w:r w:rsidRPr="00AF343B" w:rsidR="001868F1">
        <w:t xml:space="preserve">in </w:t>
      </w:r>
      <w:r w:rsidRPr="00AF343B" w:rsidR="006121C5">
        <w:t xml:space="preserve">the </w:t>
      </w:r>
      <w:r w:rsidRPr="00AF343B" w:rsidR="001868F1">
        <w:t xml:space="preserve">same </w:t>
      </w:r>
      <w:r w:rsidRPr="00AF343B" w:rsidR="006121C5">
        <w:t xml:space="preserve">way </w:t>
      </w:r>
      <w:r w:rsidRPr="00AF343B" w:rsidR="00617A03">
        <w:t xml:space="preserve">that </w:t>
      </w:r>
      <w:r w:rsidRPr="00AF343B" w:rsidR="006121C5">
        <w:t xml:space="preserve">a </w:t>
      </w:r>
      <w:r w:rsidRPr="00AF343B" w:rsidR="00617A03">
        <w:t>com</w:t>
      </w:r>
      <w:r w:rsidRPr="00AF343B" w:rsidR="0090379C">
        <w:t xml:space="preserve">mercial </w:t>
      </w:r>
      <w:r w:rsidRPr="00AF343B" w:rsidR="00617A03">
        <w:t xml:space="preserve">redevelopment project </w:t>
      </w:r>
      <w:r w:rsidRPr="00AF343B" w:rsidR="006121C5">
        <w:t>would be</w:t>
      </w:r>
      <w:r w:rsidRPr="00AF343B" w:rsidR="002F7358">
        <w:t>, and</w:t>
      </w:r>
      <w:r w:rsidRPr="00AF343B" w:rsidR="00121E67">
        <w:t>,</w:t>
      </w:r>
      <w:r w:rsidRPr="00AF343B" w:rsidR="002F7358">
        <w:t xml:space="preserve"> in any </w:t>
      </w:r>
      <w:r w:rsidRPr="00AF343B" w:rsidR="0072575A">
        <w:t>event</w:t>
      </w:r>
      <w:r w:rsidRPr="00AF343B" w:rsidR="002F7358">
        <w:t xml:space="preserve">, </w:t>
      </w:r>
      <w:r w:rsidRPr="00AF343B" w:rsidR="006121C5">
        <w:t>the</w:t>
      </w:r>
      <w:r w:rsidRPr="00AF343B" w:rsidR="003D7E82">
        <w:t xml:space="preserve">re was no plan to pay </w:t>
      </w:r>
      <w:r w:rsidRPr="00AF343B" w:rsidR="0076473C">
        <w:t xml:space="preserve">the debt service on the </w:t>
      </w:r>
      <w:r w:rsidRPr="00AF343B" w:rsidR="007A7F28">
        <w:t xml:space="preserve">District’s </w:t>
      </w:r>
      <w:r w:rsidRPr="00AF343B" w:rsidR="006121C5">
        <w:t xml:space="preserve">bonds </w:t>
      </w:r>
      <w:r w:rsidRPr="00AF343B" w:rsidR="00121E67">
        <w:t>with</w:t>
      </w:r>
      <w:r w:rsidRPr="00AF343B" w:rsidR="006A1B92">
        <w:t xml:space="preserve"> </w:t>
      </w:r>
      <w:r w:rsidRPr="00AF343B" w:rsidR="006121C5">
        <w:t xml:space="preserve">revenue </w:t>
      </w:r>
      <w:r w:rsidRPr="00AF343B" w:rsidR="001868F1">
        <w:t xml:space="preserve">that would </w:t>
      </w:r>
      <w:r w:rsidRPr="00AF343B" w:rsidR="0076473C">
        <w:t>be</w:t>
      </w:r>
      <w:r w:rsidRPr="00AF343B" w:rsidR="00822738">
        <w:t>come</w:t>
      </w:r>
      <w:r w:rsidRPr="00AF343B" w:rsidR="0076473C">
        <w:t xml:space="preserve"> </w:t>
      </w:r>
      <w:r w:rsidRPr="00AF343B" w:rsidR="001868F1">
        <w:t xml:space="preserve">unavailable if completion of the </w:t>
      </w:r>
      <w:r w:rsidRPr="00AF343B" w:rsidR="0076473C">
        <w:t xml:space="preserve">new </w:t>
      </w:r>
      <w:r w:rsidRPr="00AF343B" w:rsidR="001474B4">
        <w:t xml:space="preserve">middle </w:t>
      </w:r>
      <w:r w:rsidRPr="00AF343B" w:rsidR="003D7E82">
        <w:t xml:space="preserve">school </w:t>
      </w:r>
      <w:r w:rsidRPr="00AF343B" w:rsidR="001868F1">
        <w:t xml:space="preserve">facilities was </w:t>
      </w:r>
      <w:r w:rsidRPr="00AF343B" w:rsidR="001474B4">
        <w:t xml:space="preserve">somehow </w:t>
      </w:r>
      <w:r w:rsidRPr="00AF343B" w:rsidR="001868F1">
        <w:t xml:space="preserve">delayed.  </w:t>
      </w:r>
      <w:r w:rsidRPr="00AF343B" w:rsidR="006577B8">
        <w:t xml:space="preserve">Rather, </w:t>
      </w:r>
      <w:r w:rsidRPr="00AF343B" w:rsidR="0051137D">
        <w:t>t</w:t>
      </w:r>
      <w:r w:rsidRPr="00AF343B" w:rsidR="002F7358">
        <w:t xml:space="preserve">he District </w:t>
      </w:r>
      <w:r w:rsidRPr="00AF343B" w:rsidR="003D7E82">
        <w:t>planned to pay the debt servic</w:t>
      </w:r>
      <w:bookmarkStart w:id="12" w:name="_Hlk111808521"/>
      <w:r w:rsidRPr="00AF343B" w:rsidR="003D7E82">
        <w:t xml:space="preserve">e using </w:t>
      </w:r>
      <w:r w:rsidRPr="00AF343B" w:rsidR="002F7358">
        <w:t>the receipts from levies of ad valorem property taxes</w:t>
      </w:r>
      <w:bookmarkEnd w:id="12"/>
      <w:r w:rsidRPr="00AF343B" w:rsidR="00026ABD">
        <w:t>, money that would be available regardless of whether the new school facilities were ever completed</w:t>
      </w:r>
      <w:r w:rsidRPr="00AF343B" w:rsidR="002F7358">
        <w:t>.</w:t>
      </w:r>
    </w:p>
    <w:p w:rsidR="009C691B" w:rsidRPr="00AF343B" w:rsidP="00AF343B">
      <w:pPr>
        <w:tabs>
          <w:tab w:val="left" w:pos="1440"/>
        </w:tabs>
        <w:ind w:firstLine="720"/>
      </w:pPr>
      <w:r w:rsidRPr="00AF343B">
        <w:t>The Contractor</w:t>
      </w:r>
      <w:r w:rsidRPr="00AF343B" w:rsidR="006A1B92">
        <w:t xml:space="preserve"> </w:t>
      </w:r>
      <w:r w:rsidRPr="00AF343B">
        <w:t>argues</w:t>
      </w:r>
      <w:r w:rsidRPr="00AF343B" w:rsidR="00464620">
        <w:t xml:space="preserve"> that </w:t>
      </w:r>
      <w:r w:rsidRPr="00AF343B" w:rsidR="00CB4725">
        <w:t xml:space="preserve">top-quality schools often correlate to higher property values, </w:t>
      </w:r>
      <w:r w:rsidRPr="00AF343B" w:rsidR="00F81FC8">
        <w:t xml:space="preserve">thus </w:t>
      </w:r>
      <w:r w:rsidRPr="00AF343B" w:rsidR="004563CA">
        <w:t>generat</w:t>
      </w:r>
      <w:r w:rsidRPr="00AF343B" w:rsidR="00F81FC8">
        <w:t>ing</w:t>
      </w:r>
      <w:r w:rsidRPr="00AF343B" w:rsidR="003D7E82">
        <w:t xml:space="preserve"> </w:t>
      </w:r>
      <w:r w:rsidRPr="00AF343B" w:rsidR="00F81FC8">
        <w:t xml:space="preserve">an increase in </w:t>
      </w:r>
      <w:r w:rsidRPr="00AF343B" w:rsidR="003D7E82">
        <w:t>tax revenues</w:t>
      </w:r>
      <w:r w:rsidRPr="00AF343B" w:rsidR="006A1B92">
        <w:t xml:space="preserve">, and in that </w:t>
      </w:r>
      <w:r w:rsidRPr="00AF343B" w:rsidR="007A7F28">
        <w:t>sense</w:t>
      </w:r>
      <w:r w:rsidR="007A5B24">
        <w:t>,</w:t>
      </w:r>
      <w:r w:rsidRPr="00AF343B" w:rsidR="007A7F28">
        <w:t xml:space="preserve"> </w:t>
      </w:r>
      <w:r w:rsidRPr="00AF343B" w:rsidR="006A1B92">
        <w:t xml:space="preserve">debt service on the </w:t>
      </w:r>
      <w:r w:rsidRPr="00AF343B" w:rsidR="00F81FC8">
        <w:t xml:space="preserve">District’s </w:t>
      </w:r>
      <w:r w:rsidRPr="00AF343B" w:rsidR="006A1B92">
        <w:t xml:space="preserve">bonds would be paid from </w:t>
      </w:r>
      <w:r w:rsidRPr="00AF343B" w:rsidR="007A7F28">
        <w:t xml:space="preserve">new tax </w:t>
      </w:r>
      <w:r w:rsidRPr="00AF343B" w:rsidR="006A1B92">
        <w:t>revenue that would be</w:t>
      </w:r>
      <w:r w:rsidRPr="00AF343B" w:rsidR="007A7F28">
        <w:t>come</w:t>
      </w:r>
      <w:r w:rsidRPr="00AF343B" w:rsidR="006A1B92">
        <w:t xml:space="preserve"> unavailable if the </w:t>
      </w:r>
      <w:r w:rsidRPr="00AF343B" w:rsidR="00F81FC8">
        <w:t xml:space="preserve">school construction </w:t>
      </w:r>
      <w:r w:rsidRPr="00AF343B" w:rsidR="006A1B92">
        <w:t xml:space="preserve">project were delayed.  </w:t>
      </w:r>
      <w:r w:rsidRPr="00AF343B" w:rsidR="00026ABD">
        <w:t xml:space="preserve">We disagree.  </w:t>
      </w:r>
      <w:r w:rsidR="004E3137">
        <w:t xml:space="preserve">As a preliminary matter, though </w:t>
      </w:r>
      <w:r w:rsidRPr="00AF343B" w:rsidR="007A7F28">
        <w:t xml:space="preserve">top-quality schools </w:t>
      </w:r>
      <w:r w:rsidR="004E3137">
        <w:t xml:space="preserve">might </w:t>
      </w:r>
      <w:r w:rsidRPr="00AF343B" w:rsidR="007A7F28">
        <w:t>correlate to higher property values</w:t>
      </w:r>
      <w:r w:rsidRPr="00AF343B" w:rsidR="001474B4">
        <w:t xml:space="preserve">, </w:t>
      </w:r>
      <w:r w:rsidRPr="00AF343B" w:rsidR="00EB11D7">
        <w:t>there are many possible reasons for this correlation</w:t>
      </w:r>
      <w:r w:rsidR="004E3137">
        <w:t xml:space="preserve"> that are not necessarily related to the </w:t>
      </w:r>
      <w:r w:rsidRPr="00AF343B" w:rsidR="00EB11D7">
        <w:t>construction of school facilities</w:t>
      </w:r>
      <w:r w:rsidRPr="00AF343B" w:rsidR="0072575A">
        <w:t xml:space="preserve"> </w:t>
      </w:r>
      <w:r w:rsidR="004E3137">
        <w:t>itself</w:t>
      </w:r>
      <w:r w:rsidRPr="00AF343B" w:rsidR="00EB11D7">
        <w:t xml:space="preserve">.  </w:t>
      </w:r>
      <w:r w:rsidRPr="00AF343B" w:rsidR="001B043F">
        <w:t>Moreover, t</w:t>
      </w:r>
      <w:r w:rsidRPr="00AF343B" w:rsidR="007A7F28">
        <w:t xml:space="preserve">he </w:t>
      </w:r>
      <w:r w:rsidRPr="00AF343B" w:rsidR="00490760">
        <w:t xml:space="preserve">bonds </w:t>
      </w:r>
      <w:r w:rsidRPr="00AF343B" w:rsidR="00F17647">
        <w:t xml:space="preserve">that the District issued </w:t>
      </w:r>
      <w:r w:rsidRPr="00AF343B" w:rsidR="001B043F">
        <w:t xml:space="preserve">to fund the project at issue here </w:t>
      </w:r>
      <w:r w:rsidRPr="00AF343B" w:rsidR="00F17647">
        <w:t xml:space="preserve">were not </w:t>
      </w:r>
      <w:r w:rsidRPr="00AF343B" w:rsidR="0051137D">
        <w:t>ta</w:t>
      </w:r>
      <w:r w:rsidRPr="00AF343B" w:rsidR="00F17647">
        <w:t>x i</w:t>
      </w:r>
      <w:r w:rsidRPr="00AF343B" w:rsidR="0051137D">
        <w:t>ncrement bonds</w:t>
      </w:r>
      <w:r w:rsidRPr="00AF343B" w:rsidR="00353B53">
        <w:t>.</w:t>
      </w:r>
      <w:r w:rsidRPr="00AF343B" w:rsidR="00026ABD">
        <w:t xml:space="preserve">  </w:t>
      </w:r>
      <w:r w:rsidRPr="00AF343B" w:rsidR="00F81FC8">
        <w:t xml:space="preserve">Therefore, </w:t>
      </w:r>
      <w:r w:rsidRPr="00AF343B" w:rsidR="00026ABD">
        <w:t xml:space="preserve">regardless of whether completion of the project would generate an increase in tax revenues, there was </w:t>
      </w:r>
      <w:r w:rsidRPr="00AF343B" w:rsidR="006F15E9">
        <w:t xml:space="preserve">no direct relationship </w:t>
      </w:r>
      <w:r w:rsidRPr="00AF343B" w:rsidR="001868F1">
        <w:t xml:space="preserve">between </w:t>
      </w:r>
      <w:r w:rsidRPr="00AF343B" w:rsidR="00090A60">
        <w:t xml:space="preserve">project </w:t>
      </w:r>
      <w:r w:rsidRPr="00AF343B" w:rsidR="001868F1">
        <w:t>completion</w:t>
      </w:r>
      <w:r w:rsidRPr="00AF343B" w:rsidR="00026ABD">
        <w:t xml:space="preserve"> </w:t>
      </w:r>
      <w:r w:rsidRPr="00AF343B" w:rsidR="001868F1">
        <w:t>and the marketability</w:t>
      </w:r>
      <w:r w:rsidR="006267FC">
        <w:t xml:space="preserve"> </w:t>
      </w:r>
      <w:r w:rsidRPr="00AF343B" w:rsidR="001868F1">
        <w:t xml:space="preserve">of the </w:t>
      </w:r>
      <w:r w:rsidRPr="00AF343B">
        <w:t xml:space="preserve">District’s </w:t>
      </w:r>
      <w:r w:rsidRPr="00AF343B" w:rsidR="001868F1">
        <w:t>bonds</w:t>
      </w:r>
      <w:r w:rsidRPr="00AF343B" w:rsidR="00AC6F34">
        <w:t>.</w:t>
      </w:r>
      <w:r>
        <w:rPr>
          <w:rStyle w:val="FootnoteReference"/>
        </w:rPr>
        <w:footnoteReference w:id="10"/>
      </w:r>
      <w:r w:rsidRPr="00AF343B" w:rsidR="00AC6F34">
        <w:t xml:space="preserve">  </w:t>
      </w:r>
      <w:r w:rsidRPr="00AF343B" w:rsidR="00026ABD">
        <w:t>Indeed, e</w:t>
      </w:r>
      <w:r w:rsidRPr="00AF343B" w:rsidR="00A22E18">
        <w:t xml:space="preserve">ven if the </w:t>
      </w:r>
      <w:r w:rsidRPr="00AF343B" w:rsidR="004F4F4B">
        <w:t xml:space="preserve">project </w:t>
      </w:r>
      <w:r w:rsidRPr="00AF343B" w:rsidR="00026ABD">
        <w:t xml:space="preserve">were </w:t>
      </w:r>
      <w:r w:rsidRPr="00AF343B" w:rsidR="004F4F4B">
        <w:t xml:space="preserve">somehow </w:t>
      </w:r>
      <w:r w:rsidRPr="00AF343B" w:rsidR="00A22E18">
        <w:t xml:space="preserve">delayed, the </w:t>
      </w:r>
      <w:r w:rsidRPr="00AF343B" w:rsidR="001314D2">
        <w:t xml:space="preserve">debt service on the </w:t>
      </w:r>
      <w:r w:rsidRPr="00AF343B" w:rsidR="00A22E18">
        <w:t xml:space="preserve">bonds </w:t>
      </w:r>
      <w:r w:rsidRPr="00AF343B" w:rsidR="00026ABD">
        <w:t>w</w:t>
      </w:r>
      <w:r w:rsidRPr="00AF343B" w:rsidR="00A22E18">
        <w:t xml:space="preserve">ould </w:t>
      </w:r>
      <w:r w:rsidRPr="00AF343B" w:rsidR="001314D2">
        <w:t xml:space="preserve">still </w:t>
      </w:r>
      <w:r w:rsidRPr="00AF343B" w:rsidR="00A22E18">
        <w:t xml:space="preserve">be paid from </w:t>
      </w:r>
      <w:r w:rsidRPr="00AF343B" w:rsidR="001B043F">
        <w:t xml:space="preserve">ad valorem </w:t>
      </w:r>
      <w:r w:rsidRPr="00AF343B" w:rsidR="001314D2">
        <w:t>taxes on property within the District</w:t>
      </w:r>
      <w:r w:rsidRPr="00AF343B" w:rsidR="00026ABD">
        <w:t>, and therefore the bonds w</w:t>
      </w:r>
      <w:r w:rsidRPr="00AF343B" w:rsidR="00E35149">
        <w:t xml:space="preserve">ere </w:t>
      </w:r>
      <w:r w:rsidRPr="00AF343B" w:rsidR="00B32346">
        <w:t>market</w:t>
      </w:r>
      <w:r w:rsidRPr="00AF343B" w:rsidR="00026ABD">
        <w:t>able</w:t>
      </w:r>
      <w:r w:rsidRPr="00AF343B" w:rsidR="001314D2">
        <w:t>.</w:t>
      </w:r>
      <w:r w:rsidRPr="00AF343B" w:rsidR="005E5891">
        <w:t xml:space="preserve">  </w:t>
      </w:r>
      <w:r w:rsidRPr="00AF343B" w:rsidR="00AA15AA">
        <w:t>Th</w:t>
      </w:r>
      <w:r w:rsidRPr="00AF343B" w:rsidR="00897403">
        <w:t>us</w:t>
      </w:r>
      <w:r w:rsidRPr="00AF343B" w:rsidR="00AA15AA">
        <w:t xml:space="preserve">, the </w:t>
      </w:r>
      <w:r w:rsidRPr="00AF343B" w:rsidR="004F4F4B">
        <w:t>lease-leaseback arrang</w:t>
      </w:r>
      <w:r w:rsidRPr="00AF343B" w:rsidR="0068191C">
        <w:t>e</w:t>
      </w:r>
      <w:r w:rsidRPr="00AF343B" w:rsidR="004F4F4B">
        <w:t>ment at issue here</w:t>
      </w:r>
      <w:r w:rsidRPr="00AF343B" w:rsidR="001B043F">
        <w:t xml:space="preserve"> was not “ ‘inextricably bound up with’ ” the District’s bonds</w:t>
      </w:r>
      <w:r w:rsidRPr="00AF343B" w:rsidR="00AA15AA">
        <w:t>.</w:t>
      </w:r>
      <w:r w:rsidRPr="00AF343B" w:rsidR="006C3782">
        <w:t xml:space="preserve">  </w:t>
      </w:r>
      <w:r w:rsidRPr="00AF343B" w:rsidR="00897403">
        <w:t xml:space="preserve">Moreover, </w:t>
      </w:r>
      <w:r w:rsidRPr="00AF343B" w:rsidR="006C3782">
        <w:t xml:space="preserve">under the Contractor’s argument, every debt-financed local agency project would be subject to </w:t>
      </w:r>
      <w:r w:rsidRPr="00AF343B" w:rsidR="001B043F">
        <w:t>th</w:t>
      </w:r>
      <w:r w:rsidRPr="00AF343B" w:rsidR="006C3782">
        <w:t>e validation statutes, because every such project is intended to improve the quality of life in the area and will therefore indirectly increase property values.  As already discussed, that rule stretches section 53511 too far.</w:t>
      </w:r>
    </w:p>
    <w:p w:rsidR="00DC582E" w:rsidRPr="00AF343B" w:rsidP="00AF343B">
      <w:pPr>
        <w:tabs>
          <w:tab w:val="left" w:pos="1440"/>
        </w:tabs>
        <w:ind w:firstLine="720"/>
      </w:pPr>
      <w:r w:rsidRPr="00AF343B">
        <w:t xml:space="preserve">Second, </w:t>
      </w:r>
      <w:r w:rsidRPr="00AF343B" w:rsidR="004D30BE">
        <w:t xml:space="preserve">the District urges a broad interpretation of section 53511 under which a </w:t>
      </w:r>
      <w:r w:rsidRPr="00AF343B">
        <w:t>local</w:t>
      </w:r>
      <w:r w:rsidRPr="00AF343B" w:rsidR="004D30BE">
        <w:t xml:space="preserve"> agency contract is subject to validation if questions about the contract’s validity (and the possibility of litigation to resolve those questions) might impair agency operations.  </w:t>
      </w:r>
      <w:r w:rsidR="007A5B24">
        <w:t>For this standard, t</w:t>
      </w:r>
      <w:r w:rsidRPr="00AF343B" w:rsidR="004D30BE">
        <w:t xml:space="preserve">he District relies on </w:t>
      </w:r>
      <w:r w:rsidRPr="00AF343B" w:rsidR="004D30BE">
        <w:rPr>
          <w:i/>
          <w:iCs/>
        </w:rPr>
        <w:t>Walters</w:t>
      </w:r>
      <w:r w:rsidRPr="00AF343B" w:rsidR="004D30BE">
        <w:t xml:space="preserve">, </w:t>
      </w:r>
      <w:r w:rsidRPr="00AF343B" w:rsidR="004D30BE">
        <w:rPr>
          <w:i/>
          <w:iCs/>
        </w:rPr>
        <w:t>supra</w:t>
      </w:r>
      <w:r w:rsidRPr="00AF343B" w:rsidR="004D30BE">
        <w:t>, 61 Cal.App.3d 460</w:t>
      </w:r>
      <w:r w:rsidRPr="00AF343B" w:rsidR="00F81FC8">
        <w:t xml:space="preserve"> and </w:t>
      </w:r>
      <w:r w:rsidRPr="00AF343B" w:rsidR="00F81FC8">
        <w:rPr>
          <w:i/>
          <w:iCs/>
        </w:rPr>
        <w:t>Friedland</w:t>
      </w:r>
      <w:r w:rsidRPr="00AF343B" w:rsidR="00F81FC8">
        <w:t xml:space="preserve">, </w:t>
      </w:r>
      <w:r w:rsidRPr="00AF343B" w:rsidR="00F81FC8">
        <w:rPr>
          <w:i/>
          <w:iCs/>
        </w:rPr>
        <w:t>supra</w:t>
      </w:r>
      <w:r w:rsidRPr="00AF343B" w:rsidR="00F81FC8">
        <w:t>, 62 Cal.App.4th 835, but an examination of th</w:t>
      </w:r>
      <w:r w:rsidRPr="00AF343B" w:rsidR="006C3782">
        <w:t>o</w:t>
      </w:r>
      <w:r w:rsidRPr="00AF343B" w:rsidR="00F81FC8">
        <w:t>se cases illustrates why the District’s interpretation is wide of the mark</w:t>
      </w:r>
      <w:r w:rsidRPr="00AF343B" w:rsidR="001B043F">
        <w:t xml:space="preserve">.  </w:t>
      </w:r>
      <w:r w:rsidRPr="00AF343B" w:rsidR="00B32346">
        <w:t>Although those cases did discuss possible impairment of agency operations, e</w:t>
      </w:r>
      <w:r w:rsidRPr="00AF343B" w:rsidR="001B043F">
        <w:t xml:space="preserve">ach of those decisions </w:t>
      </w:r>
      <w:r w:rsidRPr="00AF343B" w:rsidR="00F81FC8">
        <w:t xml:space="preserve">ultimately determined that </w:t>
      </w:r>
      <w:r w:rsidRPr="00AF343B">
        <w:t xml:space="preserve">the </w:t>
      </w:r>
      <w:r w:rsidRPr="00AF343B" w:rsidR="00F81FC8">
        <w:t xml:space="preserve">validation statutes applied because </w:t>
      </w:r>
      <w:r w:rsidRPr="00AF343B">
        <w:t xml:space="preserve">the contracts in question guaranteed </w:t>
      </w:r>
      <w:r w:rsidRPr="00AF343B" w:rsidR="00F81FC8">
        <w:t xml:space="preserve">the debt financing </w:t>
      </w:r>
      <w:r w:rsidRPr="00AF343B">
        <w:t>of the project.</w:t>
      </w:r>
    </w:p>
    <w:p w:rsidR="004D30BE" w:rsidRPr="00AF343B" w:rsidP="00AF343B">
      <w:pPr>
        <w:tabs>
          <w:tab w:val="left" w:pos="1440"/>
        </w:tabs>
        <w:ind w:firstLine="720"/>
      </w:pPr>
      <w:r w:rsidRPr="00AF343B">
        <w:rPr>
          <w:i/>
          <w:iCs/>
        </w:rPr>
        <w:t>Walters</w:t>
      </w:r>
      <w:r w:rsidRPr="00AF343B">
        <w:t xml:space="preserve"> involved a county plan to use private franchisees to operate the county’s waste disposal system.  </w:t>
      </w:r>
      <w:r w:rsidRPr="00AF343B" w:rsidR="003740FE">
        <w:t>But w</w:t>
      </w:r>
      <w:r w:rsidRPr="00AF343B">
        <w:t>ithout loan guarantees by the county, the franchisees w</w:t>
      </w:r>
      <w:r w:rsidRPr="00AF343B" w:rsidR="003565FC">
        <w:t xml:space="preserve">ere not </w:t>
      </w:r>
      <w:r w:rsidRPr="00AF343B">
        <w:t>able to obtain third</w:t>
      </w:r>
      <w:r w:rsidR="007A5B24">
        <w:t xml:space="preserve"> </w:t>
      </w:r>
      <w:r w:rsidRPr="00AF343B">
        <w:t xml:space="preserve">party financing for the purchase of </w:t>
      </w:r>
      <w:r w:rsidRPr="00AF343B" w:rsidR="001B3F84">
        <w:t xml:space="preserve">the </w:t>
      </w:r>
      <w:r w:rsidRPr="00AF343B">
        <w:t>necessary heavy equipment.  Therefore, the county provided such guarantees, subject to the condition that in the event of a default by the franchisees, the county would gain title to the financed equipment.  (</w:t>
      </w:r>
      <w:r w:rsidRPr="00AF343B" w:rsidR="00DC582E">
        <w:rPr>
          <w:i/>
          <w:iCs/>
        </w:rPr>
        <w:t>Walters</w:t>
      </w:r>
      <w:r w:rsidRPr="00AF343B" w:rsidR="00DC582E">
        <w:t xml:space="preserve">, </w:t>
      </w:r>
      <w:r w:rsidRPr="00AF343B" w:rsidR="00DC582E">
        <w:rPr>
          <w:i/>
          <w:iCs/>
        </w:rPr>
        <w:t>supra</w:t>
      </w:r>
      <w:r w:rsidRPr="00AF343B" w:rsidR="00DC582E">
        <w:t xml:space="preserve">, 61 Cal.App.3d </w:t>
      </w:r>
      <w:r w:rsidRPr="00AF343B">
        <w:t>at pp. 463–464.)  A county taxpayer then brought a</w:t>
      </w:r>
      <w:r w:rsidRPr="00AF343B" w:rsidR="001314D2">
        <w:t xml:space="preserve"> lawsuit </w:t>
      </w:r>
      <w:r w:rsidRPr="00AF343B">
        <w:t xml:space="preserve">that, among other things, challenged the validity of the loan guarantees, and the trial court dismissed the </w:t>
      </w:r>
      <w:r w:rsidRPr="00AF343B" w:rsidR="00AF74DF">
        <w:t xml:space="preserve">entire </w:t>
      </w:r>
      <w:r w:rsidRPr="00AF343B" w:rsidR="001314D2">
        <w:t>suit</w:t>
      </w:r>
      <w:r w:rsidRPr="00AF343B">
        <w:t xml:space="preserve">.  The Court of Appeal affirmed dismissal of the </w:t>
      </w:r>
      <w:r w:rsidRPr="00AF343B" w:rsidR="00DC6DAA">
        <w:t xml:space="preserve">specific </w:t>
      </w:r>
      <w:r w:rsidRPr="00AF343B">
        <w:t xml:space="preserve">cause of action </w:t>
      </w:r>
      <w:r w:rsidRPr="00AF343B" w:rsidR="006D59F0">
        <w:t xml:space="preserve">that </w:t>
      </w:r>
      <w:r w:rsidRPr="00AF343B">
        <w:t>challeng</w:t>
      </w:r>
      <w:r w:rsidRPr="00AF343B" w:rsidR="006D59F0">
        <w:t>ed</w:t>
      </w:r>
      <w:r w:rsidRPr="00AF343B" w:rsidR="003740FE">
        <w:t xml:space="preserve"> </w:t>
      </w:r>
      <w:r w:rsidRPr="00AF343B" w:rsidR="00F17647">
        <w:t xml:space="preserve">the loan </w:t>
      </w:r>
      <w:r w:rsidRPr="00AF343B">
        <w:t xml:space="preserve">guarantees.  It held that the guarantees were “contracts” for purposes of section 53511, and therefore they were subject to the validation statutes.  </w:t>
      </w:r>
      <w:r w:rsidRPr="00AF343B" w:rsidR="009835F5">
        <w:t>Hence, t</w:t>
      </w:r>
      <w:r w:rsidRPr="00AF343B">
        <w:t xml:space="preserve">he </w:t>
      </w:r>
      <w:r w:rsidRPr="00AF343B" w:rsidR="003740FE">
        <w:t xml:space="preserve">taxpayer’s </w:t>
      </w:r>
      <w:r w:rsidRPr="00AF343B">
        <w:t xml:space="preserve">challenge needed to have been brought as a validation action, </w:t>
      </w:r>
      <w:r w:rsidRPr="00AF343B" w:rsidR="00DC6DAA">
        <w:t xml:space="preserve">and </w:t>
      </w:r>
      <w:r w:rsidRPr="00AF343B">
        <w:t>it was not.  (</w:t>
      </w:r>
      <w:r w:rsidRPr="00AF343B">
        <w:rPr>
          <w:i/>
          <w:iCs/>
        </w:rPr>
        <w:t>Walters</w:t>
      </w:r>
      <w:r w:rsidRPr="00AF343B">
        <w:t xml:space="preserve">, </w:t>
      </w:r>
      <w:r w:rsidR="00970012">
        <w:t xml:space="preserve">at </w:t>
      </w:r>
      <w:r w:rsidRPr="00AF343B">
        <w:t>p</w:t>
      </w:r>
      <w:r w:rsidRPr="00AF343B" w:rsidR="006B473C">
        <w:t>p</w:t>
      </w:r>
      <w:r w:rsidRPr="00AF343B">
        <w:t>. 468–469.)</w:t>
      </w:r>
    </w:p>
    <w:p w:rsidR="00AF74DF" w:rsidRPr="00AF343B" w:rsidP="00AF343B">
      <w:pPr>
        <w:tabs>
          <w:tab w:val="left" w:pos="1440"/>
        </w:tabs>
        <w:ind w:firstLine="720"/>
      </w:pPr>
      <w:r w:rsidRPr="00AF343B">
        <w:t xml:space="preserve">In </w:t>
      </w:r>
      <w:r w:rsidRPr="00AF343B" w:rsidR="00B96348">
        <w:t xml:space="preserve">the course of </w:t>
      </w:r>
      <w:r w:rsidRPr="00AF343B">
        <w:t xml:space="preserve">deciding the </w:t>
      </w:r>
      <w:r w:rsidRPr="00AF343B">
        <w:rPr>
          <w:i/>
          <w:iCs/>
        </w:rPr>
        <w:t>Walters</w:t>
      </w:r>
      <w:r w:rsidRPr="00AF343B">
        <w:t xml:space="preserve"> case, the Court of Appeal made the following </w:t>
      </w:r>
      <w:r w:rsidRPr="00AF343B" w:rsidR="001F7860">
        <w:t>general</w:t>
      </w:r>
      <w:r w:rsidRPr="00AF343B">
        <w:t xml:space="preserve"> comment about public policy:  “[T]he essential difference between those actions which ought and those which ought not to come under [the validation statutes is] the extent to which the lack of a prompt validating procedure </w:t>
      </w:r>
      <w:r w:rsidRPr="00AF343B">
        <w:rPr>
          <w:i/>
          <w:iCs/>
        </w:rPr>
        <w:t>will impair the public agency’s ability to operate</w:t>
      </w:r>
      <w:r w:rsidRPr="00AF343B">
        <w:t>.”  (</w:t>
      </w:r>
      <w:r w:rsidRPr="00AF343B">
        <w:rPr>
          <w:i/>
          <w:iCs/>
        </w:rPr>
        <w:t>Walters</w:t>
      </w:r>
      <w:r w:rsidRPr="00AF343B">
        <w:t xml:space="preserve">, </w:t>
      </w:r>
      <w:r w:rsidRPr="00AF343B">
        <w:rPr>
          <w:i/>
          <w:iCs/>
        </w:rPr>
        <w:t>supra</w:t>
      </w:r>
      <w:r w:rsidRPr="00AF343B">
        <w:t>, 61 Cal.App.3d at p. 468</w:t>
      </w:r>
      <w:r w:rsidRPr="00AF343B" w:rsidR="0045502F">
        <w:t>, italics added</w:t>
      </w:r>
      <w:r w:rsidRPr="00AF343B">
        <w:t xml:space="preserve">.)  </w:t>
      </w:r>
      <w:r w:rsidRPr="00AF343B">
        <w:t>The District takes this statement as the operative standard governing application of the validation statutes, argu</w:t>
      </w:r>
      <w:r w:rsidRPr="00AF343B" w:rsidR="001F7713">
        <w:t xml:space="preserve">ing </w:t>
      </w:r>
      <w:r w:rsidRPr="00AF343B">
        <w:t>that litigation over lease-leaseback arrangements like the one at issue here will impair agency operations, and therefore the validation statutes apply.</w:t>
      </w:r>
    </w:p>
    <w:p w:rsidR="004D30BE" w:rsidRPr="00AF343B" w:rsidP="00AF343B">
      <w:pPr>
        <w:tabs>
          <w:tab w:val="left" w:pos="1440"/>
        </w:tabs>
        <w:ind w:firstLine="720"/>
      </w:pPr>
      <w:r w:rsidRPr="00AF343B">
        <w:t xml:space="preserve">But the </w:t>
      </w:r>
      <w:r w:rsidRPr="00AF343B" w:rsidR="00AF74DF">
        <w:rPr>
          <w:i/>
          <w:iCs/>
        </w:rPr>
        <w:t>Walters</w:t>
      </w:r>
      <w:r w:rsidRPr="00AF343B" w:rsidR="00AF74DF">
        <w:t xml:space="preserve"> </w:t>
      </w:r>
      <w:r w:rsidRPr="00AF343B">
        <w:t xml:space="preserve">court did not </w:t>
      </w:r>
      <w:r w:rsidRPr="00AF343B" w:rsidR="0045502F">
        <w:t xml:space="preserve">rely solely on </w:t>
      </w:r>
      <w:r w:rsidRPr="00AF343B" w:rsidR="00AF74DF">
        <w:t xml:space="preserve">its </w:t>
      </w:r>
      <w:r w:rsidRPr="00AF343B" w:rsidR="0045502F">
        <w:t xml:space="preserve">statement of </w:t>
      </w:r>
      <w:r w:rsidRPr="00AF343B">
        <w:t>public policy as the</w:t>
      </w:r>
      <w:r w:rsidRPr="00AF343B" w:rsidR="00703196">
        <w:t xml:space="preserve"> </w:t>
      </w:r>
      <w:r w:rsidRPr="00AF343B">
        <w:t xml:space="preserve">rationale of its decision.  Instead, </w:t>
      </w:r>
      <w:r w:rsidRPr="00AF343B" w:rsidR="00602BB1">
        <w:t xml:space="preserve">the court focused, </w:t>
      </w:r>
      <w:r w:rsidRPr="00AF343B" w:rsidR="0072575A">
        <w:t xml:space="preserve">as we do here, </w:t>
      </w:r>
      <w:r w:rsidRPr="00AF343B">
        <w:t xml:space="preserve">on whether the </w:t>
      </w:r>
      <w:r w:rsidRPr="00AF343B" w:rsidR="00A82FC4">
        <w:t xml:space="preserve">loan guarantees were critical to the </w:t>
      </w:r>
      <w:r w:rsidRPr="00AF343B" w:rsidR="00643EAC">
        <w:t xml:space="preserve">debt </w:t>
      </w:r>
      <w:r w:rsidRPr="00AF343B" w:rsidR="00A82FC4">
        <w:t>financing of the county’s waste disposal system</w:t>
      </w:r>
      <w:r w:rsidRPr="00AF343B">
        <w:t xml:space="preserve">.  The court said:  “We feel that the possibility of future litigation [over the county’s </w:t>
      </w:r>
      <w:r w:rsidRPr="00AF343B" w:rsidR="007D7175">
        <w:t xml:space="preserve">loan </w:t>
      </w:r>
      <w:r w:rsidRPr="00AF343B">
        <w:t xml:space="preserve">guarantees] is very likely to have </w:t>
      </w:r>
      <w:r w:rsidRPr="00AF343B">
        <w:rPr>
          <w:i/>
          <w:iCs/>
        </w:rPr>
        <w:t>a chilling effect upon potential third party lenders, thus resulting in higher interest rates or even the total denial of credit</w:t>
      </w:r>
      <w:r w:rsidRPr="00AF343B">
        <w:t>, either of which might well impair the county’s ability to maintain an adequate waste disposal program.  Accordingly, we hold that [the validation statutes] are applicable . . . .”  (</w:t>
      </w:r>
      <w:r w:rsidRPr="00AF343B" w:rsidR="00AF74DF">
        <w:rPr>
          <w:i/>
          <w:iCs/>
        </w:rPr>
        <w:t>Walters</w:t>
      </w:r>
      <w:r w:rsidRPr="00AF343B" w:rsidR="00AF74DF">
        <w:t xml:space="preserve">, </w:t>
      </w:r>
      <w:r w:rsidRPr="00AF343B" w:rsidR="00AF74DF">
        <w:rPr>
          <w:i/>
          <w:iCs/>
        </w:rPr>
        <w:t>supra</w:t>
      </w:r>
      <w:r w:rsidRPr="00AF343B" w:rsidR="00AF74DF">
        <w:t>, 61 Cal.App.3d at p. 468</w:t>
      </w:r>
      <w:r w:rsidRPr="00AF343B" w:rsidR="004528C0">
        <w:t>, italics added.</w:t>
      </w:r>
      <w:r w:rsidRPr="00AF343B">
        <w:t xml:space="preserve">)  In short, the loan guarantees were subject to validation because the </w:t>
      </w:r>
      <w:r w:rsidRPr="00AF343B" w:rsidR="00643EAC">
        <w:t xml:space="preserve">debt </w:t>
      </w:r>
      <w:r w:rsidRPr="00AF343B">
        <w:t>financing of the county’s waste disposal operation</w:t>
      </w:r>
      <w:r w:rsidRPr="00AF343B" w:rsidR="00A82FC4">
        <w:t xml:space="preserve"> depended on those guarantees</w:t>
      </w:r>
      <w:r w:rsidRPr="00AF343B" w:rsidR="009A2C66">
        <w:t xml:space="preserve">, not merely because the absence of validation might </w:t>
      </w:r>
      <w:r w:rsidRPr="00AF343B" w:rsidR="001555E0">
        <w:t xml:space="preserve">somehow </w:t>
      </w:r>
      <w:r w:rsidRPr="00AF343B" w:rsidR="009A2C66">
        <w:t>impair the county’s operations.</w:t>
      </w:r>
      <w:r w:rsidRPr="00AF343B" w:rsidR="00DF6AD2">
        <w:t xml:space="preserve">  (See </w:t>
      </w:r>
      <w:r w:rsidRPr="00AF343B" w:rsidR="009B67D8">
        <w:rPr>
          <w:i/>
          <w:iCs/>
        </w:rPr>
        <w:t>Kaatz v. City of Seaside</w:t>
      </w:r>
      <w:r w:rsidRPr="00AF343B" w:rsidR="009B67D8">
        <w:t xml:space="preserve">, </w:t>
      </w:r>
      <w:r w:rsidRPr="00AF343B" w:rsidR="009B67D8">
        <w:rPr>
          <w:i/>
          <w:iCs/>
        </w:rPr>
        <w:t>supra</w:t>
      </w:r>
      <w:r w:rsidRPr="00AF343B" w:rsidR="009B67D8">
        <w:t xml:space="preserve">, 143 Cal.App.4th at p. 44 [“while having a prompt validating procedure to permit a public agency to operate without impairment may be a significant rationale for the validation statutes’ application to agency action as provided in the statutes . . . , </w:t>
      </w:r>
      <w:r w:rsidRPr="00AF343B" w:rsidR="009B67D8">
        <w:rPr>
          <w:i/>
          <w:iCs/>
        </w:rPr>
        <w:t>this rationale should not be transformed into a test for determining the type of agency action encompassed by Government Code section 53511</w:t>
      </w:r>
      <w:r w:rsidRPr="00AF343B" w:rsidR="009B67D8">
        <w:t>”</w:t>
      </w:r>
      <w:r w:rsidRPr="00AF343B" w:rsidR="007768A9">
        <w:t xml:space="preserve"> </w:t>
      </w:r>
      <w:r w:rsidR="00970012">
        <w:t>(</w:t>
      </w:r>
      <w:r w:rsidRPr="00AF343B" w:rsidR="007768A9">
        <w:t>italics added</w:t>
      </w:r>
      <w:r w:rsidR="00970012">
        <w:t>)</w:t>
      </w:r>
      <w:r w:rsidRPr="00AF343B" w:rsidR="009B67D8">
        <w:t>].</w:t>
      </w:r>
      <w:r w:rsidRPr="00AF343B" w:rsidR="00DF6AD2">
        <w:t>)</w:t>
      </w:r>
    </w:p>
    <w:p w:rsidR="004D30BE" w:rsidRPr="00AF343B" w:rsidP="00AF343B">
      <w:pPr>
        <w:tabs>
          <w:tab w:val="left" w:pos="1440"/>
        </w:tabs>
        <w:ind w:firstLine="720"/>
      </w:pPr>
      <w:r w:rsidRPr="00AF343B">
        <w:t xml:space="preserve">The decision in </w:t>
      </w:r>
      <w:r w:rsidRPr="00AF343B">
        <w:rPr>
          <w:i/>
          <w:iCs/>
        </w:rPr>
        <w:t>Friedland</w:t>
      </w:r>
      <w:r w:rsidRPr="00AF343B">
        <w:t xml:space="preserve">, </w:t>
      </w:r>
      <w:r w:rsidRPr="00AF343B">
        <w:rPr>
          <w:i/>
          <w:iCs/>
        </w:rPr>
        <w:t>supra</w:t>
      </w:r>
      <w:r w:rsidRPr="00AF343B">
        <w:t>, 62 Cal.App.4th 835</w:t>
      </w:r>
      <w:r w:rsidRPr="00AF343B" w:rsidR="004E685E">
        <w:t xml:space="preserve"> </w:t>
      </w:r>
      <w:r w:rsidRPr="00AF343B" w:rsidR="00440EC7">
        <w:t xml:space="preserve">is to the same effect.  </w:t>
      </w:r>
      <w:r w:rsidRPr="00AF343B">
        <w:t xml:space="preserve">In </w:t>
      </w:r>
      <w:r w:rsidRPr="00AF343B">
        <w:rPr>
          <w:i/>
          <w:iCs/>
        </w:rPr>
        <w:t>Friedland</w:t>
      </w:r>
      <w:r w:rsidRPr="00AF343B">
        <w:t xml:space="preserve">, a series of </w:t>
      </w:r>
      <w:r w:rsidRPr="00AF343B" w:rsidR="004528C0">
        <w:t>local</w:t>
      </w:r>
      <w:r w:rsidRPr="00AF343B" w:rsidR="00AC5D93">
        <w:t xml:space="preserve"> agency agreement</w:t>
      </w:r>
      <w:r w:rsidRPr="00AF343B">
        <w:t xml:space="preserve">s were held to be </w:t>
      </w:r>
      <w:r w:rsidRPr="00AF343B" w:rsidR="00AC5D93">
        <w:t>“</w:t>
      </w:r>
      <w:r w:rsidRPr="00AF343B">
        <w:t>contracts</w:t>
      </w:r>
      <w:r w:rsidRPr="00AF343B" w:rsidR="00AC5D93">
        <w:t>”</w:t>
      </w:r>
      <w:r w:rsidRPr="00AF343B">
        <w:t xml:space="preserve"> for purposes of section 53511 — and therefore subject to the validation statutes — because they involved agency guarantees of a debt obligation incurred by a</w:t>
      </w:r>
      <w:r w:rsidRPr="00AF343B" w:rsidR="001555E0">
        <w:t xml:space="preserve">n independent </w:t>
      </w:r>
      <w:r w:rsidRPr="00AF343B" w:rsidR="00AC5D93">
        <w:t xml:space="preserve">public benefit </w:t>
      </w:r>
      <w:r w:rsidRPr="00AF343B">
        <w:t>corporation that was building an aquarium.  (</w:t>
      </w:r>
      <w:r w:rsidRPr="00AF343B">
        <w:rPr>
          <w:i/>
          <w:iCs/>
        </w:rPr>
        <w:t>Friedland</w:t>
      </w:r>
      <w:r w:rsidRPr="00AF343B">
        <w:t xml:space="preserve">, at pp. 838–840.)  The </w:t>
      </w:r>
      <w:r w:rsidRPr="00AF343B" w:rsidR="00AC5D93">
        <w:t xml:space="preserve">public benefit </w:t>
      </w:r>
      <w:r w:rsidRPr="00AF343B">
        <w:t xml:space="preserve">corporation anticipated paying off the debt from the aquarium’s operating revenues, but to make the bonds less risky, several local agencies </w:t>
      </w:r>
      <w:r w:rsidRPr="00AF343B" w:rsidR="001555E0">
        <w:t xml:space="preserve">provided </w:t>
      </w:r>
      <w:r w:rsidRPr="00AF343B">
        <w:t xml:space="preserve">security in the event the aquarium revenues proved insufficient, and without that security, the financing of the project would have been in </w:t>
      </w:r>
      <w:r w:rsidRPr="00AF343B" w:rsidR="00AC5D93">
        <w:t>jeopardy</w:t>
      </w:r>
      <w:r w:rsidRPr="00AF343B">
        <w:t>.  (</w:t>
      </w:r>
      <w:r w:rsidRPr="00AF343B">
        <w:rPr>
          <w:i/>
          <w:iCs/>
        </w:rPr>
        <w:t>Id</w:t>
      </w:r>
      <w:r w:rsidRPr="00AF343B">
        <w:t xml:space="preserve">. at p. 838.)  Because the contracts guaranteeing the debt obligation were critical to the successful </w:t>
      </w:r>
      <w:r w:rsidRPr="00AF343B" w:rsidR="00643EAC">
        <w:t xml:space="preserve">debt </w:t>
      </w:r>
      <w:r w:rsidRPr="00AF343B">
        <w:t>financing of the aquarium project, the Court of Appeal held that section 53511 applied and that the contracts were subject to the validation statutes.  (</w:t>
      </w:r>
      <w:r w:rsidRPr="00AF343B">
        <w:rPr>
          <w:i/>
          <w:iCs/>
        </w:rPr>
        <w:t>Friedland</w:t>
      </w:r>
      <w:r w:rsidRPr="00AF343B">
        <w:t>, at p. 845.)</w:t>
      </w:r>
    </w:p>
    <w:p w:rsidR="008370F4" w:rsidRPr="00AF343B" w:rsidP="00AF343B">
      <w:pPr>
        <w:tabs>
          <w:tab w:val="left" w:pos="1440"/>
        </w:tabs>
        <w:ind w:firstLine="720"/>
      </w:pPr>
      <w:r w:rsidRPr="00AF343B">
        <w:t xml:space="preserve">Both </w:t>
      </w:r>
      <w:r w:rsidRPr="00AF343B">
        <w:rPr>
          <w:i/>
          <w:iCs/>
        </w:rPr>
        <w:t>Walters</w:t>
      </w:r>
      <w:r w:rsidRPr="00AF343B">
        <w:t xml:space="preserve"> and </w:t>
      </w:r>
      <w:r w:rsidRPr="00AF343B">
        <w:rPr>
          <w:i/>
          <w:iCs/>
        </w:rPr>
        <w:t>Friedland</w:t>
      </w:r>
      <w:r w:rsidRPr="00AF343B">
        <w:t xml:space="preserve"> stand for the proposition that a </w:t>
      </w:r>
      <w:r w:rsidRPr="00AF343B" w:rsidR="004528C0">
        <w:t xml:space="preserve">local </w:t>
      </w:r>
      <w:r w:rsidRPr="00AF343B">
        <w:t xml:space="preserve">agency’s guarantee </w:t>
      </w:r>
      <w:r w:rsidRPr="00AF343B" w:rsidR="00643EAC">
        <w:t>of</w:t>
      </w:r>
      <w:r w:rsidRPr="00AF343B">
        <w:t xml:space="preserve"> a debt incurred by </w:t>
      </w:r>
      <w:r w:rsidRPr="00AF343B" w:rsidR="004528C0">
        <w:t xml:space="preserve">some other </w:t>
      </w:r>
      <w:r w:rsidRPr="00AF343B">
        <w:t xml:space="preserve">entity falls within section 53511’s use of the term “contract[]” </w:t>
      </w:r>
      <w:r w:rsidRPr="00AF343B" w:rsidR="00471905">
        <w:t xml:space="preserve">if </w:t>
      </w:r>
      <w:r w:rsidRPr="00AF343B">
        <w:t xml:space="preserve">the guarantee is </w:t>
      </w:r>
      <w:r w:rsidRPr="00AF343B" w:rsidR="00A82FC4">
        <w:t>necessary</w:t>
      </w:r>
      <w:r w:rsidRPr="00AF343B">
        <w:t xml:space="preserve"> to secure </w:t>
      </w:r>
      <w:r w:rsidRPr="00AF343B" w:rsidR="00643EAC">
        <w:t xml:space="preserve">the debt </w:t>
      </w:r>
      <w:r w:rsidRPr="00AF343B">
        <w:t xml:space="preserve">financing </w:t>
      </w:r>
      <w:r w:rsidRPr="00AF343B" w:rsidR="00643EAC">
        <w:t xml:space="preserve">of a </w:t>
      </w:r>
      <w:r w:rsidRPr="00AF343B">
        <w:t xml:space="preserve">project that benefits the </w:t>
      </w:r>
      <w:r w:rsidRPr="00AF343B" w:rsidR="004528C0">
        <w:t xml:space="preserve">local </w:t>
      </w:r>
      <w:r w:rsidRPr="00AF343B">
        <w:t>agency.  But that circumstance is not present here</w:t>
      </w:r>
      <w:r w:rsidRPr="00AF343B" w:rsidR="00440EC7">
        <w:t xml:space="preserve">.  </w:t>
      </w:r>
      <w:r w:rsidRPr="00AF343B" w:rsidR="007768A9">
        <w:t>As explained, p</w:t>
      </w:r>
      <w:r w:rsidRPr="00AF343B" w:rsidR="00440EC7">
        <w:t>ayment of the debt service on the District’s bonds does not depend on the lease-leaseback arrangement</w:t>
      </w:r>
      <w:r w:rsidRPr="00AF343B" w:rsidR="005F186E">
        <w:t xml:space="preserve"> now under review</w:t>
      </w:r>
      <w:r w:rsidRPr="00AF343B">
        <w:t>.</w:t>
      </w:r>
      <w:r w:rsidRPr="00AF343B" w:rsidR="004404CC">
        <w:t xml:space="preserve">  </w:t>
      </w:r>
      <w:r w:rsidRPr="00AF343B" w:rsidR="00FB00C2">
        <w:t xml:space="preserve">As for the </w:t>
      </w:r>
      <w:r w:rsidRPr="00AF343B" w:rsidR="004528C0">
        <w:t xml:space="preserve">District’s </w:t>
      </w:r>
      <w:r w:rsidRPr="00AF343B" w:rsidR="00FB00C2">
        <w:t xml:space="preserve">broader </w:t>
      </w:r>
      <w:r w:rsidRPr="00AF343B" w:rsidR="00EE6C72">
        <w:t xml:space="preserve">reading of </w:t>
      </w:r>
      <w:r w:rsidRPr="00AF343B" w:rsidR="00EE6C72">
        <w:rPr>
          <w:i/>
          <w:iCs/>
        </w:rPr>
        <w:t>Walters</w:t>
      </w:r>
      <w:r w:rsidRPr="00AF343B" w:rsidR="00EE6C72">
        <w:t xml:space="preserve"> and </w:t>
      </w:r>
      <w:r w:rsidRPr="00AF343B" w:rsidR="00EE6C72">
        <w:rPr>
          <w:i/>
          <w:iCs/>
        </w:rPr>
        <w:t>Friedland</w:t>
      </w:r>
      <w:r w:rsidRPr="00AF343B" w:rsidR="004528C0">
        <w:t xml:space="preserve">, </w:t>
      </w:r>
      <w:r w:rsidRPr="00AF343B" w:rsidR="00FB00C2">
        <w:t>under which the validation statutes apply whenever litigation over a contract might somehow impair agency operations</w:t>
      </w:r>
      <w:r w:rsidRPr="00AF343B" w:rsidR="00EE6C72">
        <w:t xml:space="preserve"> (</w:t>
      </w:r>
      <w:r w:rsidRPr="00AF343B" w:rsidR="004528C0">
        <w:t xml:space="preserve">see </w:t>
      </w:r>
      <w:r w:rsidRPr="00AF343B" w:rsidR="00EE6C72">
        <w:rPr>
          <w:i/>
          <w:iCs/>
        </w:rPr>
        <w:t>Walters</w:t>
      </w:r>
      <w:r w:rsidRPr="00AF343B" w:rsidR="00EE6C72">
        <w:t xml:space="preserve">, </w:t>
      </w:r>
      <w:r w:rsidRPr="00AF343B" w:rsidR="00EE6C72">
        <w:rPr>
          <w:i/>
          <w:iCs/>
        </w:rPr>
        <w:t>supra</w:t>
      </w:r>
      <w:r w:rsidRPr="00AF343B" w:rsidR="00EE6C72">
        <w:t xml:space="preserve">, 61 Cal.App.3d at p. 468; </w:t>
      </w:r>
      <w:r w:rsidRPr="00AF343B" w:rsidR="00EE6C72">
        <w:rPr>
          <w:i/>
          <w:iCs/>
        </w:rPr>
        <w:t>Friedland</w:t>
      </w:r>
      <w:r w:rsidRPr="00AF343B" w:rsidR="00EE6C72">
        <w:t xml:space="preserve">, </w:t>
      </w:r>
      <w:r w:rsidRPr="00AF343B" w:rsidR="00EE6C72">
        <w:rPr>
          <w:i/>
          <w:iCs/>
        </w:rPr>
        <w:t>supra</w:t>
      </w:r>
      <w:r w:rsidRPr="00AF343B" w:rsidR="00EE6C72">
        <w:t>, 62 Cal.App.4th at p. 843)</w:t>
      </w:r>
      <w:r w:rsidRPr="00AF343B" w:rsidR="00FB00C2">
        <w:t xml:space="preserve">, </w:t>
      </w:r>
      <w:r w:rsidRPr="00AF343B" w:rsidR="0045184B">
        <w:t>n</w:t>
      </w:r>
      <w:r w:rsidRPr="00AF343B" w:rsidR="004404CC">
        <w:t>othing in the text of section 53511 supports th</w:t>
      </w:r>
      <w:r w:rsidRPr="00AF343B" w:rsidR="00FB00C2">
        <w:t xml:space="preserve">at </w:t>
      </w:r>
      <w:r w:rsidRPr="00AF343B" w:rsidR="00106C4F">
        <w:t xml:space="preserve">broad </w:t>
      </w:r>
      <w:r w:rsidRPr="00AF343B" w:rsidR="004404CC">
        <w:t>rule</w:t>
      </w:r>
      <w:r w:rsidRPr="00AF343B" w:rsidR="00106C4F">
        <w:t>, and no case has adopted it as the basis of its decision</w:t>
      </w:r>
      <w:r w:rsidRPr="00AF343B" w:rsidR="004404CC">
        <w:t>.</w:t>
      </w:r>
      <w:r w:rsidRPr="00AF343B" w:rsidR="001555E0">
        <w:t xml:space="preserve">  (See </w:t>
      </w:r>
      <w:r w:rsidRPr="00AF343B" w:rsidR="001555E0">
        <w:rPr>
          <w:i/>
          <w:iCs/>
        </w:rPr>
        <w:t>Kaatz v. City of Seaside</w:t>
      </w:r>
      <w:r w:rsidRPr="00AF343B" w:rsidR="001555E0">
        <w:t xml:space="preserve">, </w:t>
      </w:r>
      <w:r w:rsidRPr="00AF343B" w:rsidR="001555E0">
        <w:rPr>
          <w:i/>
          <w:iCs/>
        </w:rPr>
        <w:t>supra</w:t>
      </w:r>
      <w:r w:rsidRPr="00AF343B" w:rsidR="001555E0">
        <w:t>, 143 Cal.App.4th at pp. 43–44</w:t>
      </w:r>
      <w:r w:rsidRPr="00AF343B" w:rsidR="007768A9">
        <w:t xml:space="preserve"> [rejecting the broad reading of </w:t>
      </w:r>
      <w:r w:rsidRPr="00AF343B" w:rsidR="007768A9">
        <w:rPr>
          <w:i/>
          <w:iCs/>
        </w:rPr>
        <w:t>Walters</w:t>
      </w:r>
      <w:r w:rsidRPr="00AF343B" w:rsidR="007768A9">
        <w:t xml:space="preserve"> and </w:t>
      </w:r>
      <w:r w:rsidRPr="00AF343B" w:rsidR="007768A9">
        <w:rPr>
          <w:i/>
          <w:iCs/>
        </w:rPr>
        <w:t>Friedland</w:t>
      </w:r>
      <w:r w:rsidRPr="00AF343B" w:rsidR="007768A9">
        <w:t>]</w:t>
      </w:r>
      <w:r w:rsidRPr="00AF343B" w:rsidR="001555E0">
        <w:t>.)</w:t>
      </w:r>
    </w:p>
    <w:p w:rsidR="00296F98" w:rsidRPr="00AF343B" w:rsidP="00AF343B">
      <w:pPr>
        <w:tabs>
          <w:tab w:val="left" w:pos="1440"/>
        </w:tabs>
        <w:ind w:firstLine="720"/>
      </w:pPr>
      <w:r w:rsidRPr="00AF343B">
        <w:t>Third, d</w:t>
      </w:r>
      <w:r w:rsidRPr="00AF343B" w:rsidR="00D07CA0">
        <w:t>efendants</w:t>
      </w:r>
      <w:r w:rsidRPr="00AF343B" w:rsidR="009C691B">
        <w:t xml:space="preserve"> </w:t>
      </w:r>
      <w:r w:rsidRPr="00AF343B" w:rsidR="00FC04A6">
        <w:t>argue</w:t>
      </w:r>
      <w:r w:rsidRPr="00AF343B" w:rsidR="00822738">
        <w:t xml:space="preserve"> </w:t>
      </w:r>
      <w:r w:rsidRPr="00AF343B" w:rsidR="00FC04A6">
        <w:t xml:space="preserve">that </w:t>
      </w:r>
      <w:r w:rsidRPr="00AF343B" w:rsidR="00822738">
        <w:t xml:space="preserve">whenever proceeds from the sale of public agency bonds fund an agency contract, </w:t>
      </w:r>
      <w:r w:rsidRPr="00AF343B" w:rsidR="00FC04A6">
        <w:t xml:space="preserve">federal tax law </w:t>
      </w:r>
      <w:r w:rsidRPr="00AF343B" w:rsidR="001630C7">
        <w:t xml:space="preserve">creates the necessary </w:t>
      </w:r>
      <w:r w:rsidRPr="00AF343B" w:rsidR="00FC04A6">
        <w:t xml:space="preserve">degree of interdependence between </w:t>
      </w:r>
      <w:r w:rsidRPr="00AF343B" w:rsidR="00822738">
        <w:t xml:space="preserve">the </w:t>
      </w:r>
      <w:r w:rsidRPr="00AF343B" w:rsidR="00FC04A6">
        <w:t>contract and government indebtedness</w:t>
      </w:r>
      <w:r w:rsidRPr="00AF343B" w:rsidR="00822738">
        <w:t>, thus bringing the contract within the scope of section 53511</w:t>
      </w:r>
      <w:r w:rsidRPr="00AF343B" w:rsidR="00FC04A6">
        <w:t xml:space="preserve">.  Defendants point out that </w:t>
      </w:r>
      <w:r w:rsidRPr="00AF343B" w:rsidR="009C691B">
        <w:t xml:space="preserve">local government bonds offer </w:t>
      </w:r>
      <w:r w:rsidRPr="00AF343B" w:rsidR="00CF28FB">
        <w:t xml:space="preserve">federal </w:t>
      </w:r>
      <w:r w:rsidRPr="00AF343B" w:rsidR="009C691B">
        <w:t>tax benefits to bondholders, meaning in practice that the issuing agency pays a lower interest rate</w:t>
      </w:r>
      <w:r w:rsidRPr="00AF343B" w:rsidR="00C0245F">
        <w:t xml:space="preserve"> than it would otherwise </w:t>
      </w:r>
      <w:r w:rsidRPr="00AF343B" w:rsidR="001630C7">
        <w:t>have</w:t>
      </w:r>
      <w:r w:rsidRPr="00AF343B" w:rsidR="00C0245F">
        <w:t xml:space="preserve"> to pay</w:t>
      </w:r>
      <w:r w:rsidRPr="00AF343B" w:rsidR="009C691B">
        <w:t xml:space="preserve">.  </w:t>
      </w:r>
      <w:r w:rsidRPr="00AF343B" w:rsidR="001D3821">
        <w:t xml:space="preserve">In order to </w:t>
      </w:r>
      <w:r w:rsidRPr="00AF343B" w:rsidR="009C691B">
        <w:t xml:space="preserve">qualify for those </w:t>
      </w:r>
      <w:r w:rsidRPr="00AF343B" w:rsidR="00C0245F">
        <w:t xml:space="preserve">federal </w:t>
      </w:r>
      <w:r w:rsidRPr="00AF343B" w:rsidR="009C691B">
        <w:t xml:space="preserve">tax benefits, </w:t>
      </w:r>
      <w:r w:rsidRPr="00AF343B" w:rsidR="00B855B9">
        <w:t xml:space="preserve">however, </w:t>
      </w:r>
      <w:r w:rsidRPr="00AF343B" w:rsidR="009C691B">
        <w:t xml:space="preserve">the issuing agency cannot </w:t>
      </w:r>
      <w:r w:rsidRPr="00AF343B">
        <w:t>arbitrage</w:t>
      </w:r>
      <w:r w:rsidRPr="00AF343B" w:rsidR="00FC04A6">
        <w:t xml:space="preserve"> </w:t>
      </w:r>
      <w:r w:rsidRPr="00AF343B">
        <w:t xml:space="preserve">the </w:t>
      </w:r>
      <w:r w:rsidRPr="00AF343B" w:rsidR="001630C7">
        <w:t xml:space="preserve">proceeds of the </w:t>
      </w:r>
      <w:r w:rsidRPr="00AF343B" w:rsidR="009C691B">
        <w:t xml:space="preserve">bond </w:t>
      </w:r>
      <w:r w:rsidRPr="00AF343B" w:rsidR="00A263DC">
        <w:t xml:space="preserve">sale </w:t>
      </w:r>
      <w:r w:rsidRPr="00AF343B" w:rsidR="00FC04A6">
        <w:t>(i.e., invest the</w:t>
      </w:r>
      <w:r w:rsidRPr="00AF343B" w:rsidR="001630C7">
        <w:t xml:space="preserve"> proceeds at a rate that exceeds the rate the agency is paying on the bonds</w:t>
      </w:r>
      <w:r w:rsidRPr="00AF343B" w:rsidR="00FC04A6">
        <w:t>)</w:t>
      </w:r>
      <w:r w:rsidRPr="00AF343B" w:rsidR="009C691B">
        <w:t xml:space="preserve">.  </w:t>
      </w:r>
      <w:r w:rsidRPr="00AF343B" w:rsidR="00A263DC">
        <w:t xml:space="preserve">(See 26 U.S.C. § 148.)  </w:t>
      </w:r>
      <w:r w:rsidRPr="00AF343B" w:rsidR="00DF7C06">
        <w:t>An exception is made for temporary investment</w:t>
      </w:r>
      <w:r w:rsidRPr="00AF343B" w:rsidR="00FC04A6">
        <w:t>s</w:t>
      </w:r>
      <w:r w:rsidRPr="00AF343B" w:rsidR="001630C7">
        <w:t xml:space="preserve"> of bond sale proceeds</w:t>
      </w:r>
      <w:r w:rsidRPr="00AF343B" w:rsidR="00DF7C06">
        <w:t xml:space="preserve">, but </w:t>
      </w:r>
      <w:r w:rsidRPr="00AF343B" w:rsidR="00D92DAE">
        <w:t>th</w:t>
      </w:r>
      <w:r w:rsidRPr="00AF343B" w:rsidR="00381386">
        <w:t>is</w:t>
      </w:r>
      <w:r w:rsidRPr="00AF343B" w:rsidR="004F1589">
        <w:t xml:space="preserve"> </w:t>
      </w:r>
      <w:r w:rsidRPr="00AF343B" w:rsidR="00D92DAE">
        <w:t>exception “applies only if the issuer reasonably expects to satisfy</w:t>
      </w:r>
      <w:r w:rsidRPr="00AF343B" w:rsidR="00F75877">
        <w:t xml:space="preserve"> the expenditure test, the time test, and the due diligence test.</w:t>
      </w:r>
      <w:r w:rsidRPr="00AF343B" w:rsidR="00381386">
        <w:t>”</w:t>
      </w:r>
      <w:r w:rsidRPr="00AF343B" w:rsidR="00F75877">
        <w:t xml:space="preserve">  </w:t>
      </w:r>
      <w:r w:rsidRPr="00AF343B" w:rsidR="00D92DAE">
        <w:t>(26 C.F.R. § 1.148-2(e)(2)(i)</w:t>
      </w:r>
      <w:r w:rsidR="00B07881">
        <w:t xml:space="preserve"> (2023)</w:t>
      </w:r>
      <w:r w:rsidRPr="00AF343B" w:rsidR="00D92DAE">
        <w:t>.)</w:t>
      </w:r>
      <w:r>
        <w:rPr>
          <w:rStyle w:val="FootnoteReference"/>
        </w:rPr>
        <w:footnoteReference w:id="11"/>
      </w:r>
      <w:r w:rsidRPr="00AF343B" w:rsidR="00D92DAE">
        <w:t xml:space="preserve">  </w:t>
      </w:r>
      <w:r w:rsidRPr="00AF343B">
        <w:t>Defendants argue that</w:t>
      </w:r>
      <w:r w:rsidRPr="00AF343B" w:rsidR="00381386">
        <w:t xml:space="preserve"> </w:t>
      </w:r>
      <w:r w:rsidRPr="00AF343B" w:rsidR="00310BA7">
        <w:t xml:space="preserve">protracted </w:t>
      </w:r>
      <w:r w:rsidRPr="00AF343B">
        <w:t xml:space="preserve">litigation over </w:t>
      </w:r>
      <w:r w:rsidRPr="00AF343B" w:rsidR="00FC04A6">
        <w:t>a</w:t>
      </w:r>
      <w:r w:rsidRPr="00AF343B" w:rsidR="00F75877">
        <w:t xml:space="preserve"> lease-leaseback arrangement </w:t>
      </w:r>
      <w:r w:rsidRPr="00AF343B">
        <w:t xml:space="preserve">like the one at issue here </w:t>
      </w:r>
      <w:r w:rsidRPr="00AF343B" w:rsidR="00381386">
        <w:t xml:space="preserve">might </w:t>
      </w:r>
      <w:r w:rsidRPr="00AF343B" w:rsidR="006D0FFF">
        <w:t xml:space="preserve">lead to delay that would </w:t>
      </w:r>
      <w:r w:rsidRPr="00AF343B" w:rsidR="00857BEA">
        <w:t xml:space="preserve">cause a school district to invest </w:t>
      </w:r>
      <w:r w:rsidRPr="00AF343B" w:rsidR="00E72BD0">
        <w:t>its</w:t>
      </w:r>
      <w:r w:rsidRPr="00AF343B" w:rsidR="00381386">
        <w:t xml:space="preserve"> bond </w:t>
      </w:r>
      <w:r w:rsidRPr="00AF343B" w:rsidR="00FC04A6">
        <w:t xml:space="preserve">sale </w:t>
      </w:r>
      <w:r w:rsidRPr="00AF343B" w:rsidR="00381386">
        <w:t xml:space="preserve">proceeds </w:t>
      </w:r>
      <w:r w:rsidRPr="00AF343B" w:rsidR="00857BEA">
        <w:t xml:space="preserve">for </w:t>
      </w:r>
      <w:r w:rsidRPr="00AF343B" w:rsidR="00BB4153">
        <w:t xml:space="preserve">a </w:t>
      </w:r>
      <w:r w:rsidRPr="00AF343B" w:rsidR="00857BEA">
        <w:t xml:space="preserve">longer </w:t>
      </w:r>
      <w:r w:rsidRPr="00AF343B" w:rsidR="00BB4153">
        <w:t xml:space="preserve">period </w:t>
      </w:r>
      <w:r w:rsidRPr="00AF343B" w:rsidR="00857BEA">
        <w:t xml:space="preserve">than the </w:t>
      </w:r>
      <w:r w:rsidRPr="00AF343B" w:rsidR="00381386">
        <w:t xml:space="preserve">temporary period permissible under federal tax law, thus </w:t>
      </w:r>
      <w:r w:rsidRPr="00AF343B">
        <w:t>call</w:t>
      </w:r>
      <w:r w:rsidRPr="00AF343B" w:rsidR="00381386">
        <w:t>ing</w:t>
      </w:r>
      <w:r w:rsidRPr="00AF343B">
        <w:t xml:space="preserve"> into </w:t>
      </w:r>
      <w:r w:rsidRPr="00AF343B" w:rsidR="00F75877">
        <w:t>question</w:t>
      </w:r>
      <w:r w:rsidRPr="00AF343B">
        <w:t xml:space="preserve"> the tax-exempt status of </w:t>
      </w:r>
      <w:r w:rsidRPr="00AF343B" w:rsidR="004D57A9">
        <w:t>its</w:t>
      </w:r>
      <w:r w:rsidRPr="00AF343B" w:rsidR="004D5CF6">
        <w:t xml:space="preserve"> </w:t>
      </w:r>
      <w:r w:rsidRPr="00AF343B">
        <w:t>bonds</w:t>
      </w:r>
      <w:r w:rsidRPr="00AF343B" w:rsidR="00381386">
        <w:t>.  In defendants</w:t>
      </w:r>
      <w:r w:rsidRPr="00AF343B" w:rsidR="006A1B92">
        <w:t>’</w:t>
      </w:r>
      <w:r w:rsidRPr="00AF343B" w:rsidR="00381386">
        <w:t xml:space="preserve"> view, </w:t>
      </w:r>
      <w:r w:rsidRPr="00AF343B" w:rsidR="00F75877">
        <w:t xml:space="preserve">the mere possibility of this occurrence </w:t>
      </w:r>
      <w:r w:rsidRPr="00AF343B" w:rsidR="00381386">
        <w:t>w</w:t>
      </w:r>
      <w:r w:rsidRPr="00AF343B" w:rsidR="00B62E39">
        <w:t>ill</w:t>
      </w:r>
      <w:r w:rsidRPr="00AF343B" w:rsidR="00381386">
        <w:t xml:space="preserve"> make </w:t>
      </w:r>
      <w:r w:rsidRPr="00AF343B">
        <w:t>the bonds less marketable</w:t>
      </w:r>
      <w:r w:rsidRPr="00AF343B" w:rsidR="008A27F6">
        <w:t xml:space="preserve">, and therefore </w:t>
      </w:r>
      <w:r w:rsidRPr="00AF343B" w:rsidR="00533272">
        <w:t xml:space="preserve">the </w:t>
      </w:r>
      <w:r w:rsidRPr="00AF343B" w:rsidR="004528C0">
        <w:t xml:space="preserve">marketability of </w:t>
      </w:r>
      <w:r w:rsidRPr="00AF343B" w:rsidR="00477AAA">
        <w:t xml:space="preserve">its </w:t>
      </w:r>
      <w:r w:rsidRPr="00AF343B" w:rsidR="00533272">
        <w:t xml:space="preserve">bonds </w:t>
      </w:r>
      <w:r w:rsidRPr="00AF343B" w:rsidR="004528C0">
        <w:t xml:space="preserve">is </w:t>
      </w:r>
      <w:r w:rsidRPr="00AF343B" w:rsidR="008A27F6">
        <w:t xml:space="preserve">inextricably bound up with </w:t>
      </w:r>
      <w:r w:rsidRPr="00AF343B" w:rsidR="00533272">
        <w:t>the validity of the lease-leaseback arrangement</w:t>
      </w:r>
      <w:r w:rsidRPr="00AF343B">
        <w:t>.</w:t>
      </w:r>
    </w:p>
    <w:p w:rsidR="00857BEA" w:rsidRPr="00AF343B" w:rsidP="00AF343B">
      <w:pPr>
        <w:tabs>
          <w:tab w:val="left" w:pos="1440"/>
        </w:tabs>
        <w:ind w:firstLine="720"/>
      </w:pPr>
      <w:r w:rsidRPr="00AF343B">
        <w:t>In evaluating defendants</w:t>
      </w:r>
      <w:r w:rsidRPr="00AF343B" w:rsidR="004528C0">
        <w:t>’</w:t>
      </w:r>
      <w:r w:rsidRPr="00AF343B" w:rsidR="00310BA7">
        <w:t xml:space="preserve"> argument</w:t>
      </w:r>
      <w:r w:rsidRPr="00AF343B" w:rsidR="004528C0">
        <w:t>,</w:t>
      </w:r>
      <w:r w:rsidRPr="00AF343B" w:rsidR="00310BA7">
        <w:t xml:space="preserve"> </w:t>
      </w:r>
      <w:r w:rsidRPr="00AF343B">
        <w:t xml:space="preserve">we </w:t>
      </w:r>
      <w:r w:rsidRPr="00AF343B" w:rsidR="001D3821">
        <w:t xml:space="preserve">first </w:t>
      </w:r>
      <w:r w:rsidRPr="00AF343B">
        <w:t xml:space="preserve">note that </w:t>
      </w:r>
      <w:r w:rsidRPr="00AF343B" w:rsidR="009C6921">
        <w:t xml:space="preserve">under federal tax law, </w:t>
      </w:r>
      <w:r w:rsidRPr="00AF343B" w:rsidR="00791ED9">
        <w:t>an</w:t>
      </w:r>
      <w:r w:rsidRPr="00AF343B" w:rsidR="00310BA7">
        <w:t xml:space="preserve"> issuing agency need not actually </w:t>
      </w:r>
      <w:r w:rsidRPr="00AF343B" w:rsidR="00B10749">
        <w:t>meet</w:t>
      </w:r>
      <w:r w:rsidRPr="00AF343B" w:rsidR="00310BA7">
        <w:t xml:space="preserve"> the requirements of the expenditure, time, and due diligence tests </w:t>
      </w:r>
      <w:r w:rsidRPr="00AF343B" w:rsidR="004D5CF6">
        <w:t>so long as it</w:t>
      </w:r>
      <w:r w:rsidRPr="00AF343B" w:rsidR="00327443">
        <w:t xml:space="preserve"> </w:t>
      </w:r>
      <w:r w:rsidRPr="00AF343B" w:rsidR="00327443">
        <w:rPr>
          <w:i/>
          <w:iCs/>
        </w:rPr>
        <w:t>reasonably expects</w:t>
      </w:r>
      <w:r w:rsidRPr="00AF343B" w:rsidR="00327443">
        <w:t xml:space="preserve"> to do so.  </w:t>
      </w:r>
      <w:r w:rsidRPr="00AF343B" w:rsidR="00310BA7">
        <w:t>(</w:t>
      </w:r>
      <w:r w:rsidRPr="00AF343B" w:rsidR="00327443">
        <w:t xml:space="preserve">See </w:t>
      </w:r>
      <w:r w:rsidRPr="00AF343B" w:rsidR="00310BA7">
        <w:t>26 C.F.R. § 1.148-2(b)(1)</w:t>
      </w:r>
      <w:r w:rsidR="007574C3">
        <w:t xml:space="preserve"> (2023)</w:t>
      </w:r>
      <w:r w:rsidRPr="00AF343B" w:rsidR="00327443">
        <w:t xml:space="preserve"> [“the determination of whether an issue consists of arbitrage bonds under section 148(a) is based on the issuer’s </w:t>
      </w:r>
      <w:r w:rsidRPr="00AF343B" w:rsidR="00327443">
        <w:rPr>
          <w:i/>
          <w:iCs/>
        </w:rPr>
        <w:t>reasonable expectations</w:t>
      </w:r>
      <w:r w:rsidRPr="00AF343B" w:rsidR="00327443">
        <w:t xml:space="preserve"> as of the issue date regarding the amount and use of the gross proceeds of the issue” </w:t>
      </w:r>
      <w:r w:rsidR="007574C3">
        <w:t>(</w:t>
      </w:r>
      <w:r w:rsidRPr="00AF343B" w:rsidR="00327443">
        <w:t>italics added</w:t>
      </w:r>
      <w:r w:rsidR="007574C3">
        <w:t>)</w:t>
      </w:r>
      <w:r w:rsidRPr="00AF343B" w:rsidR="00327443">
        <w:t>]</w:t>
      </w:r>
      <w:r w:rsidRPr="00AF343B" w:rsidR="00310BA7">
        <w:t xml:space="preserve">; see </w:t>
      </w:r>
      <w:r w:rsidRPr="00AF343B" w:rsidR="00327443">
        <w:t xml:space="preserve">also </w:t>
      </w:r>
      <w:r w:rsidRPr="00AF343B" w:rsidR="00310BA7">
        <w:rPr>
          <w:i/>
          <w:iCs/>
        </w:rPr>
        <w:t>Weiss v. S.E.C.</w:t>
      </w:r>
      <w:r w:rsidRPr="00AF343B" w:rsidR="00310BA7">
        <w:t xml:space="preserve"> (D.C. Cir. 2006) 468 F.3d 849, 851</w:t>
      </w:r>
      <w:r w:rsidRPr="00AF343B" w:rsidR="001F45FB">
        <w:t xml:space="preserve"> (</w:t>
      </w:r>
      <w:r w:rsidRPr="00AF343B" w:rsidR="001F45FB">
        <w:rPr>
          <w:i/>
          <w:iCs/>
        </w:rPr>
        <w:t>Weiss</w:t>
      </w:r>
      <w:r w:rsidRPr="00AF343B" w:rsidR="001F45FB">
        <w:t>)</w:t>
      </w:r>
      <w:r w:rsidRPr="00AF343B" w:rsidR="00310BA7">
        <w:t xml:space="preserve">.)  Hence, </w:t>
      </w:r>
      <w:r w:rsidRPr="00AF343B" w:rsidR="001D3821">
        <w:t xml:space="preserve">practically speaking, </w:t>
      </w:r>
      <w:r w:rsidRPr="00AF343B" w:rsidR="00310BA7">
        <w:t xml:space="preserve">the tax-exempt status of the </w:t>
      </w:r>
      <w:r w:rsidRPr="00AF343B" w:rsidR="00327443">
        <w:t xml:space="preserve">issuing agency’s </w:t>
      </w:r>
      <w:r w:rsidRPr="00AF343B" w:rsidR="00310BA7">
        <w:t xml:space="preserve">bonds would not be in jeopardy </w:t>
      </w:r>
      <w:r w:rsidRPr="00AF343B">
        <w:t>so long as</w:t>
      </w:r>
      <w:r w:rsidRPr="00AF343B" w:rsidR="00310BA7">
        <w:t xml:space="preserve"> the </w:t>
      </w:r>
      <w:r w:rsidRPr="00AF343B" w:rsidR="00327443">
        <w:t xml:space="preserve">agency reasonably expected to </w:t>
      </w:r>
      <w:r w:rsidRPr="00AF343B" w:rsidR="00310BA7">
        <w:t xml:space="preserve">satisfy the </w:t>
      </w:r>
      <w:r w:rsidRPr="00AF343B" w:rsidR="00B10749">
        <w:t xml:space="preserve">federal tax law </w:t>
      </w:r>
      <w:r w:rsidRPr="00AF343B" w:rsidR="00310BA7">
        <w:t>re</w:t>
      </w:r>
      <w:r w:rsidRPr="00AF343B" w:rsidR="00B10749">
        <w:t>quirements</w:t>
      </w:r>
      <w:r w:rsidRPr="00AF343B" w:rsidR="00327443">
        <w:t xml:space="preserve"> </w:t>
      </w:r>
      <w:r w:rsidRPr="00AF343B" w:rsidR="00B62E39">
        <w:t xml:space="preserve">when it issued the bonds </w:t>
      </w:r>
      <w:r w:rsidRPr="00AF343B" w:rsidR="00327443">
        <w:t xml:space="preserve">and </w:t>
      </w:r>
      <w:r w:rsidRPr="00AF343B">
        <w:t xml:space="preserve">thereafter </w:t>
      </w:r>
      <w:r w:rsidRPr="00AF343B" w:rsidR="00452770">
        <w:t xml:space="preserve">proceeded </w:t>
      </w:r>
      <w:r w:rsidRPr="00AF343B" w:rsidR="00327443">
        <w:t>in good faith</w:t>
      </w:r>
      <w:r w:rsidRPr="00AF343B" w:rsidR="00310BA7">
        <w:t xml:space="preserve">.  </w:t>
      </w:r>
      <w:r w:rsidRPr="00AF343B" w:rsidR="001D3821">
        <w:t xml:space="preserve">Moreover, </w:t>
      </w:r>
      <w:r w:rsidRPr="00AF343B" w:rsidR="00310BA7">
        <w:t xml:space="preserve">if </w:t>
      </w:r>
      <w:r w:rsidRPr="00AF343B" w:rsidR="004D5CF6">
        <w:t xml:space="preserve">delays </w:t>
      </w:r>
      <w:r w:rsidRPr="00AF343B" w:rsidR="00477AAA">
        <w:t xml:space="preserve">ever </w:t>
      </w:r>
      <w:r w:rsidRPr="00AF343B" w:rsidR="004D5CF6">
        <w:t xml:space="preserve">occur due to circumstances beyond </w:t>
      </w:r>
      <w:r w:rsidRPr="00AF343B" w:rsidR="00327443">
        <w:t xml:space="preserve">a </w:t>
      </w:r>
      <w:r w:rsidRPr="00AF343B" w:rsidR="00BC3E56">
        <w:t>local</w:t>
      </w:r>
      <w:r w:rsidRPr="00AF343B" w:rsidR="00452770">
        <w:t xml:space="preserve"> agency’s </w:t>
      </w:r>
      <w:r w:rsidRPr="00AF343B" w:rsidR="004D5CF6">
        <w:t xml:space="preserve">control, </w:t>
      </w:r>
      <w:r w:rsidRPr="00AF343B" w:rsidR="00327443">
        <w:t xml:space="preserve">the </w:t>
      </w:r>
      <w:r w:rsidRPr="00AF343B" w:rsidR="00452770">
        <w:t xml:space="preserve">agency </w:t>
      </w:r>
      <w:r w:rsidRPr="00AF343B" w:rsidR="00B10749">
        <w:t xml:space="preserve">can simply </w:t>
      </w:r>
      <w:r w:rsidRPr="00AF343B" w:rsidR="004D5CF6">
        <w:t xml:space="preserve">withdraw the </w:t>
      </w:r>
      <w:r w:rsidRPr="00AF343B" w:rsidR="00B10749">
        <w:t xml:space="preserve">bond sale proceeds </w:t>
      </w:r>
      <w:r w:rsidRPr="00AF343B" w:rsidR="004D5CF6">
        <w:t>from high-yielding investments</w:t>
      </w:r>
      <w:r w:rsidRPr="00AF343B" w:rsidR="00B10749">
        <w:t xml:space="preserve">, </w:t>
      </w:r>
      <w:r w:rsidRPr="00AF343B" w:rsidR="00B62E39">
        <w:t>and</w:t>
      </w:r>
      <w:r w:rsidRPr="00AF343B" w:rsidR="00B10749">
        <w:t xml:space="preserve"> it can rebate any </w:t>
      </w:r>
      <w:r w:rsidRPr="00AF343B" w:rsidR="004D5CF6">
        <w:t>arbitrage profit</w:t>
      </w:r>
      <w:r w:rsidRPr="00AF343B" w:rsidR="00B10749">
        <w:t xml:space="preserve"> to the federal government</w:t>
      </w:r>
      <w:r w:rsidRPr="00AF343B">
        <w:t>,</w:t>
      </w:r>
      <w:r w:rsidRPr="00AF343B" w:rsidR="00B62E39">
        <w:t xml:space="preserve"> thus maintaining the tax-exempt status of </w:t>
      </w:r>
      <w:r w:rsidRPr="00AF343B" w:rsidR="00452770">
        <w:t xml:space="preserve">its </w:t>
      </w:r>
      <w:r w:rsidRPr="00AF343B" w:rsidR="00B62E39">
        <w:t>bonds</w:t>
      </w:r>
      <w:r w:rsidRPr="00AF343B" w:rsidR="00B10749">
        <w:t>.  (See</w:t>
      </w:r>
      <w:r w:rsidRPr="00AF343B" w:rsidR="00B20384">
        <w:t xml:space="preserve"> </w:t>
      </w:r>
      <w:r w:rsidRPr="00AF343B" w:rsidR="00B10749">
        <w:t>26 U.S.C. § 148(f).)</w:t>
      </w:r>
      <w:r>
        <w:rPr>
          <w:rStyle w:val="FootnoteReference"/>
        </w:rPr>
        <w:footnoteReference w:id="12"/>
      </w:r>
      <w:r w:rsidRPr="00AF343B" w:rsidR="00B10749">
        <w:t xml:space="preserve">  </w:t>
      </w:r>
      <w:r w:rsidRPr="00AF343B" w:rsidR="008734A4">
        <w:t xml:space="preserve">Therefore, there was no real risk that delays in the construction project </w:t>
      </w:r>
      <w:r w:rsidRPr="00AF343B" w:rsidR="00A80F0C">
        <w:t xml:space="preserve">at issue here </w:t>
      </w:r>
      <w:r w:rsidRPr="00AF343B" w:rsidR="008734A4">
        <w:t>would affect the tax-exempt status of the District’s bonds.</w:t>
      </w:r>
    </w:p>
    <w:p w:rsidR="00596193" w:rsidRPr="00AF343B" w:rsidP="00AF343B">
      <w:pPr>
        <w:tabs>
          <w:tab w:val="left" w:pos="1440"/>
        </w:tabs>
        <w:ind w:firstLine="720"/>
      </w:pPr>
      <w:r w:rsidRPr="00AF343B">
        <w:t>It is true, o</w:t>
      </w:r>
      <w:r w:rsidRPr="00AF343B" w:rsidR="00E844BE">
        <w:t xml:space="preserve">f course, </w:t>
      </w:r>
      <w:r w:rsidRPr="00AF343B">
        <w:t xml:space="preserve">that </w:t>
      </w:r>
      <w:r w:rsidRPr="00AF343B" w:rsidR="00E844BE">
        <w:t>w</w:t>
      </w:r>
      <w:r w:rsidRPr="00AF343B" w:rsidR="00B20384">
        <w:t xml:space="preserve">hen </w:t>
      </w:r>
      <w:r w:rsidRPr="00AF343B" w:rsidR="00B62E39">
        <w:t>a</w:t>
      </w:r>
      <w:r w:rsidRPr="00AF343B" w:rsidR="00327443">
        <w:t xml:space="preserve"> </w:t>
      </w:r>
      <w:r w:rsidRPr="00AF343B" w:rsidR="00452770">
        <w:t xml:space="preserve">bond-funded </w:t>
      </w:r>
      <w:r w:rsidRPr="00AF343B" w:rsidR="00B20384">
        <w:t xml:space="preserve">project is delayed, a </w:t>
      </w:r>
      <w:r w:rsidRPr="00AF343B" w:rsidR="00452770">
        <w:t xml:space="preserve">public agency </w:t>
      </w:r>
      <w:r w:rsidRPr="00AF343B" w:rsidR="00B20384">
        <w:t xml:space="preserve">will have to forgo </w:t>
      </w:r>
      <w:r w:rsidRPr="00AF343B" w:rsidR="00857BEA">
        <w:t xml:space="preserve">income </w:t>
      </w:r>
      <w:r w:rsidRPr="00AF343B" w:rsidR="00310BA7">
        <w:t>from</w:t>
      </w:r>
      <w:r w:rsidRPr="00AF343B" w:rsidR="000B3F7D">
        <w:t xml:space="preserve"> </w:t>
      </w:r>
      <w:r w:rsidRPr="00AF343B" w:rsidR="00E844BE">
        <w:t>high-</w:t>
      </w:r>
      <w:r w:rsidRPr="00AF343B" w:rsidR="000B3F7D">
        <w:t xml:space="preserve">profit </w:t>
      </w:r>
      <w:r w:rsidRPr="00AF343B" w:rsidR="00310BA7">
        <w:t>investment</w:t>
      </w:r>
      <w:r w:rsidRPr="00AF343B" w:rsidR="000B3F7D">
        <w:t>s</w:t>
      </w:r>
      <w:r w:rsidRPr="00AF343B" w:rsidR="00310BA7">
        <w:t xml:space="preserve"> of the bond proceeds</w:t>
      </w:r>
      <w:r w:rsidRPr="00AF343B" w:rsidR="000B3F7D">
        <w:t xml:space="preserve">.  However, </w:t>
      </w:r>
      <w:r w:rsidRPr="00AF343B" w:rsidR="00310BA7">
        <w:t xml:space="preserve">that contingency is </w:t>
      </w:r>
      <w:r w:rsidRPr="00AF343B" w:rsidR="000B3F7D">
        <w:t xml:space="preserve">one among many </w:t>
      </w:r>
      <w:r w:rsidRPr="00AF343B" w:rsidR="00310BA7">
        <w:t xml:space="preserve">that might affect the overall cost of a </w:t>
      </w:r>
      <w:r w:rsidRPr="00AF343B" w:rsidR="00452770">
        <w:t xml:space="preserve">capital </w:t>
      </w:r>
      <w:r w:rsidRPr="00AF343B" w:rsidR="00B87F81">
        <w:t xml:space="preserve">improvement </w:t>
      </w:r>
      <w:r w:rsidRPr="00AF343B" w:rsidR="00310BA7">
        <w:t>project, and it is unlikely to discourage bond purchasers who</w:t>
      </w:r>
      <w:r w:rsidRPr="00AF343B" w:rsidR="00452770">
        <w:t xml:space="preserve">, </w:t>
      </w:r>
      <w:r w:rsidRPr="00AF343B" w:rsidR="000B3F7D">
        <w:t>regardless of</w:t>
      </w:r>
      <w:r w:rsidRPr="00AF343B" w:rsidR="00662F8F">
        <w:t xml:space="preserve"> unexpected </w:t>
      </w:r>
      <w:r w:rsidRPr="00AF343B" w:rsidR="000B3F7D">
        <w:t xml:space="preserve">increases </w:t>
      </w:r>
      <w:r w:rsidRPr="00AF343B" w:rsidR="00662F8F">
        <w:t xml:space="preserve">in </w:t>
      </w:r>
      <w:r w:rsidRPr="00AF343B" w:rsidR="000B3F7D">
        <w:t>project costs</w:t>
      </w:r>
      <w:r w:rsidRPr="00AF343B" w:rsidR="00452770">
        <w:t>,</w:t>
      </w:r>
      <w:r w:rsidRPr="00AF343B" w:rsidR="00310BA7">
        <w:t xml:space="preserve"> will </w:t>
      </w:r>
      <w:r w:rsidRPr="00AF343B" w:rsidR="00B20384">
        <w:t xml:space="preserve">be </w:t>
      </w:r>
      <w:r w:rsidRPr="00AF343B" w:rsidR="00310BA7">
        <w:t>paid</w:t>
      </w:r>
      <w:r w:rsidRPr="00AF343B" w:rsidR="00662F8F">
        <w:t xml:space="preserve"> using receipts from levies of ad valorem property taxes</w:t>
      </w:r>
      <w:r w:rsidRPr="00AF343B" w:rsidR="00310BA7">
        <w:t>.</w:t>
      </w:r>
    </w:p>
    <w:p w:rsidR="00327443" w:rsidRPr="00AF343B" w:rsidP="00AF343B">
      <w:pPr>
        <w:tabs>
          <w:tab w:val="left" w:pos="1440"/>
        </w:tabs>
        <w:ind w:firstLine="720"/>
      </w:pPr>
      <w:r w:rsidRPr="00AF343B">
        <w:t>The District</w:t>
      </w:r>
      <w:r w:rsidRPr="00AF343B" w:rsidR="001C2385">
        <w:t xml:space="preserve"> also </w:t>
      </w:r>
      <w:r w:rsidRPr="00AF343B" w:rsidR="00D67F2E">
        <w:t xml:space="preserve">relies on the facts of </w:t>
      </w:r>
      <w:r w:rsidRPr="00AF343B" w:rsidR="00C36009">
        <w:rPr>
          <w:i/>
          <w:iCs/>
        </w:rPr>
        <w:t>Weiss</w:t>
      </w:r>
      <w:r w:rsidRPr="00AF343B" w:rsidR="00C36009">
        <w:t xml:space="preserve">, </w:t>
      </w:r>
      <w:r w:rsidRPr="00AF343B" w:rsidR="00C36009">
        <w:rPr>
          <w:i/>
          <w:iCs/>
        </w:rPr>
        <w:t>supra</w:t>
      </w:r>
      <w:r w:rsidRPr="00AF343B" w:rsidR="00C36009">
        <w:t>, 468 F.3d 849,</w:t>
      </w:r>
      <w:r>
        <w:rPr>
          <w:rStyle w:val="FootnoteReference"/>
        </w:rPr>
        <w:footnoteReference w:id="13"/>
      </w:r>
      <w:r w:rsidRPr="00AF343B" w:rsidR="00C36009">
        <w:t xml:space="preserve"> </w:t>
      </w:r>
      <w:r w:rsidRPr="00AF343B" w:rsidR="001D3821">
        <w:t>which, according to the District</w:t>
      </w:r>
      <w:r w:rsidRPr="00AF343B" w:rsidR="00AD27AC">
        <w:t>,</w:t>
      </w:r>
      <w:r w:rsidRPr="00AF343B" w:rsidR="001D3821">
        <w:t xml:space="preserve"> </w:t>
      </w:r>
      <w:r w:rsidRPr="00AF343B" w:rsidR="00A2625F">
        <w:t xml:space="preserve">demonstrate </w:t>
      </w:r>
      <w:r w:rsidRPr="00AF343B" w:rsidR="00C36009">
        <w:t>that taxpayer litigation</w:t>
      </w:r>
      <w:r w:rsidRPr="00AF343B" w:rsidR="001E5747">
        <w:t xml:space="preserve">, and the delays occasioned thereby, </w:t>
      </w:r>
      <w:r w:rsidRPr="00AF343B" w:rsidR="00A2625F">
        <w:t>c</w:t>
      </w:r>
      <w:r w:rsidRPr="00AF343B" w:rsidR="00925D5E">
        <w:t>an sometimes</w:t>
      </w:r>
      <w:r w:rsidRPr="00AF343B" w:rsidR="00A2625F">
        <w:t xml:space="preserve"> alter </w:t>
      </w:r>
      <w:r w:rsidRPr="00AF343B" w:rsidR="00C36009">
        <w:t xml:space="preserve">the </w:t>
      </w:r>
      <w:r w:rsidRPr="00AF343B" w:rsidR="00CC5365">
        <w:t>federal</w:t>
      </w:r>
      <w:r w:rsidR="007574C3">
        <w:t xml:space="preserve"> </w:t>
      </w:r>
      <w:r w:rsidRPr="00AF343B" w:rsidR="00C36009">
        <w:t xml:space="preserve">tax-exempt </w:t>
      </w:r>
      <w:r w:rsidRPr="00AF343B" w:rsidR="00A2625F">
        <w:t xml:space="preserve">status of municipal </w:t>
      </w:r>
      <w:r w:rsidRPr="00AF343B" w:rsidR="00C36009">
        <w:t>bonds.</w:t>
      </w:r>
      <w:r w:rsidRPr="00AF343B" w:rsidR="00A80F0C">
        <w:t xml:space="preserve">  </w:t>
      </w:r>
      <w:r w:rsidRPr="00AF343B" w:rsidR="00AD27AC">
        <w:t xml:space="preserve">To obtain a fuller statement of </w:t>
      </w:r>
      <w:r w:rsidRPr="00AF343B" w:rsidR="00AD27AC">
        <w:rPr>
          <w:i/>
          <w:iCs/>
        </w:rPr>
        <w:t>Weiss</w:t>
      </w:r>
      <w:r w:rsidRPr="00AF343B" w:rsidR="00AD27AC">
        <w:t>’s facts, t</w:t>
      </w:r>
      <w:r w:rsidRPr="00AF343B" w:rsidR="00C36009">
        <w:t xml:space="preserve">he District urges us to consider the Security and Exchange Commission’s “Initial Decision” in that case.  (See </w:t>
      </w:r>
      <w:r w:rsidRPr="00AF343B" w:rsidR="00C36009">
        <w:rPr>
          <w:i/>
          <w:iCs/>
        </w:rPr>
        <w:t>In the Matter of Ira Weiss and L. Andrew Shupe II</w:t>
      </w:r>
      <w:r w:rsidR="007574C3">
        <w:t xml:space="preserve"> (</w:t>
      </w:r>
      <w:r w:rsidRPr="00AF343B" w:rsidR="007574C3">
        <w:t>Feb. 25, 2005</w:t>
      </w:r>
      <w:r w:rsidR="007574C3">
        <w:t>)</w:t>
      </w:r>
      <w:r w:rsidRPr="00AF343B" w:rsidR="00C36009">
        <w:t xml:space="preserve"> </w:t>
      </w:r>
      <w:r w:rsidR="00C36364">
        <w:t xml:space="preserve">S.E.C. </w:t>
      </w:r>
      <w:r w:rsidRPr="00AF343B" w:rsidR="00004028">
        <w:t>Initial Dec</w:t>
      </w:r>
      <w:r w:rsidR="00C36364">
        <w:t>.</w:t>
      </w:r>
      <w:r w:rsidRPr="00AF343B" w:rsidR="00004028">
        <w:t xml:space="preserve"> </w:t>
      </w:r>
      <w:bookmarkStart w:id="13" w:name="_Hlk97316512"/>
      <w:r w:rsidRPr="00AF343B" w:rsidR="00C36009">
        <w:t xml:space="preserve">No. </w:t>
      </w:r>
      <w:bookmarkEnd w:id="13"/>
      <w:r w:rsidR="00C36364">
        <w:t>275</w:t>
      </w:r>
      <w:r w:rsidR="007574C3">
        <w:t xml:space="preserve"> </w:t>
      </w:r>
      <w:r w:rsidRPr="00AF343B" w:rsidR="00C36009">
        <w:t>&lt;</w:t>
      </w:r>
      <w:r w:rsidRPr="00AF343B" w:rsidR="00931423">
        <w:t>https://www.sec.gov/litigation/aljdec/id275lam.htm</w:t>
      </w:r>
      <w:r w:rsidRPr="00AF343B" w:rsidR="00C36009">
        <w:t>&gt; [as of</w:t>
      </w:r>
      <w:r w:rsidR="00824588">
        <w:t xml:space="preserve"> </w:t>
      </w:r>
      <w:r w:rsidRPr="00824588" w:rsidR="00824588">
        <w:t>April 27, 2023</w:t>
      </w:r>
      <w:r w:rsidRPr="00AF343B" w:rsidR="00C36009">
        <w:t>]</w:t>
      </w:r>
      <w:r w:rsidR="00890B6A">
        <w:t>,</w:t>
      </w:r>
      <w:r w:rsidR="007C4F5D">
        <w:t xml:space="preserve"> a</w:t>
      </w:r>
      <w:r w:rsidRPr="0041294A" w:rsidR="007C4F5D">
        <w:t>ll internet citations in this opinion are archived by year, docket number, and case name at http://courts.ca.gov/38324.htm</w:t>
      </w:r>
      <w:r w:rsidRPr="00AF343B" w:rsidR="007C4F5D">
        <w:t>.</w:t>
      </w:r>
      <w:r w:rsidRPr="00AF343B" w:rsidR="00C36009">
        <w:t>)</w:t>
      </w:r>
    </w:p>
    <w:p w:rsidR="00A2625F" w:rsidRPr="00AF343B" w:rsidP="00AF343B">
      <w:pPr>
        <w:tabs>
          <w:tab w:val="left" w:pos="1440"/>
        </w:tabs>
        <w:ind w:firstLine="720"/>
      </w:pPr>
      <w:r w:rsidRPr="00AF343B">
        <w:t xml:space="preserve">The facts of </w:t>
      </w:r>
      <w:r w:rsidRPr="00AF343B" w:rsidR="001E5747">
        <w:rPr>
          <w:i/>
          <w:iCs/>
        </w:rPr>
        <w:t>Weiss</w:t>
      </w:r>
      <w:r w:rsidRPr="00AF343B" w:rsidR="001E5747">
        <w:t>, in our view, ha</w:t>
      </w:r>
      <w:r w:rsidRPr="00AF343B">
        <w:t xml:space="preserve">ve </w:t>
      </w:r>
      <w:r w:rsidRPr="00AF343B" w:rsidR="001E5747">
        <w:t>no purchase on the issue we confront here.</w:t>
      </w:r>
      <w:r w:rsidRPr="00AF343B" w:rsidR="00C36009">
        <w:t xml:space="preserve">  </w:t>
      </w:r>
      <w:r w:rsidRPr="00AF343B" w:rsidR="00507C03">
        <w:t xml:space="preserve">In </w:t>
      </w:r>
      <w:r w:rsidRPr="00AF343B" w:rsidR="00507C03">
        <w:rPr>
          <w:i/>
          <w:iCs/>
        </w:rPr>
        <w:t>Weiss</w:t>
      </w:r>
      <w:r w:rsidRPr="00AF343B" w:rsidR="00507C03">
        <w:t xml:space="preserve">, </w:t>
      </w:r>
      <w:r w:rsidRPr="00AF343B" w:rsidR="00931423">
        <w:t>a school district in Pennsylvania issued bonds for the purpose of constructing specified</w:t>
      </w:r>
      <w:r w:rsidRPr="00AF343B" w:rsidR="004B1B26">
        <w:t xml:space="preserve"> </w:t>
      </w:r>
      <w:r w:rsidRPr="00AF343B" w:rsidR="00931423">
        <w:t xml:space="preserve">improvements to school facilities </w:t>
      </w:r>
      <w:r w:rsidRPr="00AF343B" w:rsidR="00004028">
        <w:t>with</w:t>
      </w:r>
      <w:r w:rsidRPr="00AF343B" w:rsidR="00931423">
        <w:t xml:space="preserve">in the district, </w:t>
      </w:r>
      <w:r w:rsidRPr="00AF343B" w:rsidR="00004028">
        <w:t>but</w:t>
      </w:r>
      <w:r w:rsidRPr="00AF343B" w:rsidR="004B1B26">
        <w:t xml:space="preserve"> </w:t>
      </w:r>
      <w:r w:rsidRPr="00AF343B" w:rsidR="00004028">
        <w:t>a</w:t>
      </w:r>
      <w:r w:rsidRPr="00AF343B" w:rsidR="00931423">
        <w:t xml:space="preserve">fter investing </w:t>
      </w:r>
      <w:r w:rsidRPr="00AF343B" w:rsidR="00004028">
        <w:t xml:space="preserve">the bond sale proceeds at a profit, </w:t>
      </w:r>
      <w:r w:rsidRPr="00AF343B" w:rsidR="00931423">
        <w:t xml:space="preserve">the school district board </w:t>
      </w:r>
      <w:r w:rsidRPr="00AF343B" w:rsidR="00452770">
        <w:t xml:space="preserve">did not proceed in good faith.  Instead, </w:t>
      </w:r>
      <w:r w:rsidRPr="00AF343B" w:rsidR="000D0667">
        <w:t>the board</w:t>
      </w:r>
      <w:r w:rsidRPr="00AF343B" w:rsidR="00452770">
        <w:t xml:space="preserve"> </w:t>
      </w:r>
      <w:r w:rsidRPr="00AF343B" w:rsidR="00931423">
        <w:t xml:space="preserve">became distracted by an array of issues, including the decision to replace a popular football coach, the hiring of a new superintendent, </w:t>
      </w:r>
      <w:r w:rsidRPr="00AF343B" w:rsidR="00004028">
        <w:t xml:space="preserve">the </w:t>
      </w:r>
      <w:r w:rsidRPr="00AF343B" w:rsidR="00931423">
        <w:t xml:space="preserve">dismissals of two employees, a lawsuit brought by a student accused of cheating, the hiring of </w:t>
      </w:r>
      <w:r w:rsidRPr="00AF343B" w:rsidR="00004028">
        <w:t xml:space="preserve">various </w:t>
      </w:r>
      <w:r w:rsidRPr="00AF343B" w:rsidR="00931423">
        <w:t xml:space="preserve">principals and </w:t>
      </w:r>
      <w:r w:rsidRPr="00AF343B" w:rsidR="00004028">
        <w:t xml:space="preserve">school </w:t>
      </w:r>
      <w:r w:rsidRPr="00AF343B" w:rsidR="00931423">
        <w:t xml:space="preserve">administrators, and the cancer </w:t>
      </w:r>
      <w:r w:rsidRPr="00AF343B" w:rsidR="00004028">
        <w:t xml:space="preserve">illness </w:t>
      </w:r>
      <w:r w:rsidRPr="00AF343B" w:rsidR="00931423">
        <w:t xml:space="preserve">of a board member.  As a result of these distractions, the school district </w:t>
      </w:r>
      <w:r w:rsidRPr="00AF343B" w:rsidR="00004028">
        <w:t>failed to proceed with the planned construction</w:t>
      </w:r>
      <w:r w:rsidRPr="00AF343B" w:rsidR="00F7462A">
        <w:t xml:space="preserve"> project</w:t>
      </w:r>
      <w:r w:rsidRPr="00AF343B" w:rsidR="00004028">
        <w:t>, although it continued to earn a profit from i</w:t>
      </w:r>
      <w:r w:rsidRPr="00AF343B" w:rsidR="004B1B26">
        <w:t>ts i</w:t>
      </w:r>
      <w:r w:rsidRPr="00AF343B" w:rsidR="00004028">
        <w:t>nvestment of the bond sale proceeds.  Hence, the Internal Revenue Service determined that the school district had issued taxable arbitrage bonds</w:t>
      </w:r>
      <w:r w:rsidRPr="00AF343B" w:rsidR="00931423">
        <w:t xml:space="preserve">.  </w:t>
      </w:r>
      <w:r w:rsidRPr="00AF343B" w:rsidR="00004028">
        <w:t xml:space="preserve">(See </w:t>
      </w:r>
      <w:r w:rsidRPr="00AF343B" w:rsidR="00004028">
        <w:rPr>
          <w:i/>
          <w:iCs/>
        </w:rPr>
        <w:t>In the Matter of Ira Weiss and L. Andrew Shupe II</w:t>
      </w:r>
      <w:r w:rsidRPr="00AF343B" w:rsidR="00004028">
        <w:t xml:space="preserve">, </w:t>
      </w:r>
      <w:r w:rsidRPr="00AF343B" w:rsidR="00004028">
        <w:rPr>
          <w:i/>
          <w:iCs/>
        </w:rPr>
        <w:t>supra</w:t>
      </w:r>
      <w:r w:rsidRPr="00AF343B" w:rsidR="00A80B12">
        <w:t>, S</w:t>
      </w:r>
      <w:r w:rsidR="00257517">
        <w:t>.</w:t>
      </w:r>
      <w:r w:rsidRPr="00AF343B" w:rsidR="00A80B12">
        <w:t>E</w:t>
      </w:r>
      <w:r w:rsidR="00257517">
        <w:t>.</w:t>
      </w:r>
      <w:r w:rsidRPr="00AF343B" w:rsidR="00A80B12">
        <w:t>C</w:t>
      </w:r>
      <w:r w:rsidR="00257517">
        <w:t>.</w:t>
      </w:r>
      <w:r w:rsidRPr="00AF343B" w:rsidR="00A80B12">
        <w:t xml:space="preserve"> </w:t>
      </w:r>
      <w:r w:rsidR="00257517">
        <w:t>Initial Dec.</w:t>
      </w:r>
      <w:r w:rsidRPr="00AF343B" w:rsidR="00A80B12">
        <w:t xml:space="preserve"> No. </w:t>
      </w:r>
      <w:r w:rsidR="00257517">
        <w:t>275</w:t>
      </w:r>
      <w:r w:rsidRPr="00AF343B" w:rsidR="00004028">
        <w:t>.)</w:t>
      </w:r>
    </w:p>
    <w:p w:rsidR="00857BEA" w:rsidRPr="00AF343B" w:rsidP="00AF343B">
      <w:pPr>
        <w:tabs>
          <w:tab w:val="left" w:pos="1440"/>
        </w:tabs>
        <w:ind w:firstLine="720"/>
      </w:pPr>
      <w:r w:rsidRPr="00AF343B">
        <w:t xml:space="preserve">We see little in the facts of </w:t>
      </w:r>
      <w:r w:rsidRPr="00AF343B">
        <w:rPr>
          <w:i/>
          <w:iCs/>
        </w:rPr>
        <w:t>Weiss</w:t>
      </w:r>
      <w:r w:rsidRPr="00AF343B">
        <w:t xml:space="preserve"> that supports the argument defendants make here</w:t>
      </w:r>
      <w:r w:rsidRPr="00AF343B" w:rsidR="00A80B12">
        <w:t xml:space="preserve">.  </w:t>
      </w:r>
      <w:r w:rsidRPr="00AF343B" w:rsidR="00AD27AC">
        <w:t xml:space="preserve">Those facts merely demonstrate </w:t>
      </w:r>
      <w:r w:rsidRPr="00AF343B" w:rsidR="00A80B12">
        <w:t xml:space="preserve">that </w:t>
      </w:r>
      <w:r w:rsidRPr="00AF343B" w:rsidR="00C803C3">
        <w:t xml:space="preserve">after a school district has issued </w:t>
      </w:r>
      <w:r w:rsidRPr="00AF343B" w:rsidR="007248E6">
        <w:t xml:space="preserve">school </w:t>
      </w:r>
      <w:r w:rsidRPr="00AF343B" w:rsidR="00C803C3">
        <w:t xml:space="preserve">construction bonds, its </w:t>
      </w:r>
      <w:r w:rsidRPr="00AF343B" w:rsidR="00B87F81">
        <w:t xml:space="preserve">deliberate </w:t>
      </w:r>
      <w:r w:rsidRPr="00AF343B" w:rsidR="00A80B12">
        <w:t xml:space="preserve">failure to proceed with </w:t>
      </w:r>
      <w:r w:rsidRPr="00AF343B" w:rsidR="00C803C3">
        <w:t xml:space="preserve">the </w:t>
      </w:r>
      <w:r w:rsidRPr="00AF343B" w:rsidR="00A80B12">
        <w:t>construction project</w:t>
      </w:r>
      <w:r w:rsidRPr="00AF343B" w:rsidR="007248E6">
        <w:t>,</w:t>
      </w:r>
      <w:r w:rsidRPr="00AF343B" w:rsidR="00A80B12">
        <w:t xml:space="preserve"> </w:t>
      </w:r>
      <w:r w:rsidRPr="00AF343B" w:rsidR="00C803C3">
        <w:t xml:space="preserve">despite </w:t>
      </w:r>
      <w:r w:rsidRPr="00AF343B" w:rsidR="00A80B12">
        <w:t xml:space="preserve">investing </w:t>
      </w:r>
      <w:r w:rsidRPr="00AF343B" w:rsidR="00C803C3">
        <w:t xml:space="preserve">the </w:t>
      </w:r>
      <w:r w:rsidRPr="00AF343B" w:rsidR="00A80B12">
        <w:t>bond</w:t>
      </w:r>
      <w:r w:rsidRPr="00AF343B" w:rsidR="00C803C3">
        <w:t xml:space="preserve"> sale proceeds </w:t>
      </w:r>
      <w:r w:rsidRPr="00AF343B" w:rsidR="00A80B12">
        <w:t>at a profit</w:t>
      </w:r>
      <w:r w:rsidRPr="00AF343B" w:rsidR="007248E6">
        <w:t>,</w:t>
      </w:r>
      <w:r w:rsidRPr="00AF343B" w:rsidR="00A80B12">
        <w:t xml:space="preserve"> can cause the bonds to</w:t>
      </w:r>
      <w:r w:rsidRPr="00AF343B" w:rsidR="007248E6">
        <w:t xml:space="preserve"> </w:t>
      </w:r>
      <w:r w:rsidRPr="00AF343B" w:rsidR="00A80B12">
        <w:t>lose their tax-exempt status.  (</w:t>
      </w:r>
      <w:r w:rsidRPr="00AF343B" w:rsidR="007248E6">
        <w:t xml:space="preserve">See </w:t>
      </w:r>
      <w:r w:rsidRPr="00AF343B" w:rsidR="00A80B12">
        <w:t>26 C.F.R. § 1.148-2(c)</w:t>
      </w:r>
      <w:r w:rsidR="00257517">
        <w:t xml:space="preserve"> (2023)</w:t>
      </w:r>
      <w:r w:rsidRPr="00AF343B" w:rsidR="00A80B12">
        <w:t>.)</w:t>
      </w:r>
      <w:r w:rsidRPr="00AF343B" w:rsidR="00C803C3">
        <w:t xml:space="preserve">  </w:t>
      </w:r>
      <w:r w:rsidRPr="00AF343B" w:rsidR="00452770">
        <w:t>I</w:t>
      </w:r>
      <w:r w:rsidRPr="00AF343B" w:rsidR="00E072AE">
        <w:t xml:space="preserve">n </w:t>
      </w:r>
      <w:r w:rsidRPr="00AF343B" w:rsidR="00E072AE">
        <w:rPr>
          <w:i/>
          <w:iCs/>
        </w:rPr>
        <w:t>Weiss</w:t>
      </w:r>
      <w:r w:rsidRPr="00AF343B" w:rsidR="00E072AE">
        <w:t xml:space="preserve">, </w:t>
      </w:r>
      <w:r w:rsidRPr="00AF343B" w:rsidR="00452770">
        <w:t xml:space="preserve">one (among many) of the events that distracted the </w:t>
      </w:r>
      <w:r w:rsidRPr="00AF343B" w:rsidR="00E072AE">
        <w:t xml:space="preserve">Pennsylvania school </w:t>
      </w:r>
      <w:r w:rsidRPr="00AF343B" w:rsidR="00452770">
        <w:t>district</w:t>
      </w:r>
      <w:r w:rsidRPr="00AF343B" w:rsidR="00E072AE">
        <w:t xml:space="preserve"> </w:t>
      </w:r>
      <w:r w:rsidRPr="00AF343B" w:rsidR="00452770">
        <w:t xml:space="preserve">was a lawsuit, but the lawsuit had nothing to do with the </w:t>
      </w:r>
      <w:r w:rsidRPr="00AF343B" w:rsidR="00E072AE">
        <w:t xml:space="preserve">planned </w:t>
      </w:r>
      <w:r w:rsidRPr="00AF343B" w:rsidR="00452770">
        <w:t>construction</w:t>
      </w:r>
      <w:r w:rsidRPr="00AF343B" w:rsidR="00E072AE">
        <w:t xml:space="preserve"> project</w:t>
      </w:r>
      <w:r w:rsidRPr="00AF343B" w:rsidR="00452770">
        <w:t xml:space="preserve">, </w:t>
      </w:r>
      <w:r w:rsidRPr="00AF343B" w:rsidR="00AA5E44">
        <w:t xml:space="preserve">nor did the lawsuit </w:t>
      </w:r>
      <w:r w:rsidRPr="00AF343B" w:rsidR="005E31BA">
        <w:t>requir</w:t>
      </w:r>
      <w:r w:rsidRPr="00AF343B" w:rsidR="00452770">
        <w:t xml:space="preserve">e a delay </w:t>
      </w:r>
      <w:r w:rsidRPr="00AF343B" w:rsidR="00E072AE">
        <w:t>i</w:t>
      </w:r>
      <w:r w:rsidRPr="00AF343B" w:rsidR="00452770">
        <w:t>n that construction.  Thus, t</w:t>
      </w:r>
      <w:r w:rsidRPr="00AF343B" w:rsidR="00FC1E7B">
        <w:t xml:space="preserve">he facts of </w:t>
      </w:r>
      <w:r w:rsidRPr="00AF343B" w:rsidR="00C803C3">
        <w:rPr>
          <w:i/>
          <w:iCs/>
        </w:rPr>
        <w:t>Weiss</w:t>
      </w:r>
      <w:r w:rsidRPr="00AF343B" w:rsidR="00C803C3">
        <w:t xml:space="preserve"> do not s</w:t>
      </w:r>
      <w:r w:rsidRPr="00AF343B" w:rsidR="004703A8">
        <w:t xml:space="preserve">upport </w:t>
      </w:r>
      <w:r w:rsidRPr="00AF343B" w:rsidR="00C803C3">
        <w:t xml:space="preserve">the </w:t>
      </w:r>
      <w:r w:rsidRPr="00AF343B" w:rsidR="00FC1E7B">
        <w:t xml:space="preserve">broad </w:t>
      </w:r>
      <w:r w:rsidRPr="00AF343B" w:rsidR="007248E6">
        <w:t>rule</w:t>
      </w:r>
      <w:r w:rsidRPr="00AF343B" w:rsidR="00C803C3">
        <w:t xml:space="preserve"> </w:t>
      </w:r>
      <w:r w:rsidRPr="00AF343B" w:rsidR="001E5747">
        <w:t>advanced by the</w:t>
      </w:r>
      <w:r w:rsidRPr="00AF343B" w:rsidR="00AD2EB4">
        <w:t xml:space="preserve"> D</w:t>
      </w:r>
      <w:r w:rsidRPr="00AF343B" w:rsidR="001E5747">
        <w:t>istrict here</w:t>
      </w:r>
      <w:r w:rsidRPr="00AF343B" w:rsidR="00AD2EB4">
        <w:t xml:space="preserve">, that </w:t>
      </w:r>
      <w:r w:rsidRPr="00AF343B" w:rsidR="00C803C3">
        <w:t xml:space="preserve">litigation over a </w:t>
      </w:r>
      <w:r w:rsidRPr="00AF343B" w:rsidR="007248E6">
        <w:t xml:space="preserve">bond-financed school </w:t>
      </w:r>
      <w:r w:rsidRPr="00AF343B" w:rsidR="00C803C3">
        <w:t xml:space="preserve">construction project, </w:t>
      </w:r>
      <w:r w:rsidRPr="00AF343B" w:rsidR="00AA5E44">
        <w:t xml:space="preserve">forcing </w:t>
      </w:r>
      <w:r w:rsidRPr="00AF343B" w:rsidR="00C803C3">
        <w:t xml:space="preserve">delays that are beyond the </w:t>
      </w:r>
      <w:r w:rsidRPr="00AF343B" w:rsidR="007248E6">
        <w:t xml:space="preserve">school district’s </w:t>
      </w:r>
      <w:r w:rsidRPr="00AF343B" w:rsidR="00C803C3">
        <w:t xml:space="preserve">control, can cause </w:t>
      </w:r>
      <w:r w:rsidRPr="00AF343B" w:rsidR="007248E6">
        <w:t>the bonds to lose their tax-exempt status</w:t>
      </w:r>
      <w:r w:rsidRPr="00AF343B" w:rsidR="00E072AE">
        <w:t xml:space="preserve"> despite the good faith efforts of the school district to proceed with the project and despite the timely rebate to the federal government of any </w:t>
      </w:r>
      <w:r w:rsidRPr="00AF343B" w:rsidR="00A2625F">
        <w:t xml:space="preserve">improper </w:t>
      </w:r>
      <w:r w:rsidRPr="00AF343B" w:rsidR="00E072AE">
        <w:t>arbitrage profits</w:t>
      </w:r>
      <w:r w:rsidRPr="00AF343B" w:rsidR="007248E6">
        <w:t>.</w:t>
      </w:r>
    </w:p>
    <w:p w:rsidR="004D5CF6" w:rsidRPr="00AF343B" w:rsidP="00AF343B">
      <w:pPr>
        <w:tabs>
          <w:tab w:val="left" w:pos="1440"/>
        </w:tabs>
        <w:ind w:firstLine="720"/>
      </w:pPr>
      <w:r w:rsidRPr="00AF343B">
        <w:t xml:space="preserve">The District also argues that bond counsel will not be able to render an unqualified opinion regarding the tax-exempt status of a </w:t>
      </w:r>
      <w:r w:rsidRPr="00AF343B" w:rsidR="00E072AE">
        <w:t xml:space="preserve">public agency </w:t>
      </w:r>
      <w:r w:rsidRPr="00AF343B">
        <w:t xml:space="preserve">bond issue if there is the possibility that litigation might delay the planned construction project.  </w:t>
      </w:r>
      <w:r w:rsidRPr="00AF343B" w:rsidR="004A28CC">
        <w:t>There are two answers to this argument.  First, the bonds that were used to f</w:t>
      </w:r>
      <w:r w:rsidRPr="00AF343B" w:rsidR="00384B1D">
        <w:t xml:space="preserve">inance </w:t>
      </w:r>
      <w:r w:rsidRPr="00AF343B" w:rsidR="004A28CC">
        <w:t xml:space="preserve">the present project were sold nearly a year before the lease-leaseback arrangement was </w:t>
      </w:r>
      <w:r w:rsidRPr="00AF343B" w:rsidR="00477AAA">
        <w:t xml:space="preserve">even </w:t>
      </w:r>
      <w:r w:rsidRPr="00AF343B" w:rsidR="004A28CC">
        <w:t>executed, and bond counsel was nonetheless able to render an opinion regarding the tax-exempt status of the bonds.</w:t>
      </w:r>
      <w:r w:rsidRPr="00AF343B" w:rsidR="00384B1D">
        <w:t xml:space="preserve">  Therefore, the possibility of future litigation over</w:t>
      </w:r>
      <w:r w:rsidRPr="00AF343B" w:rsidR="00477AAA">
        <w:t xml:space="preserve"> </w:t>
      </w:r>
      <w:r w:rsidRPr="00AF343B" w:rsidR="00384B1D">
        <w:t>projects that the bonds would finance was apparently not a concern</w:t>
      </w:r>
      <w:r w:rsidRPr="00AF343B" w:rsidR="00F85E02">
        <w:t xml:space="preserve"> to bond counsel</w:t>
      </w:r>
      <w:r w:rsidRPr="00AF343B" w:rsidR="00384B1D">
        <w:t xml:space="preserve">.  Second, </w:t>
      </w:r>
      <w:r w:rsidRPr="00AF343B">
        <w:t>the possibility of litigation-related delays exist</w:t>
      </w:r>
      <w:r w:rsidRPr="00AF343B" w:rsidR="004A28CC">
        <w:t>s</w:t>
      </w:r>
      <w:r w:rsidRPr="00AF343B">
        <w:t xml:space="preserve"> with respect to virtually every </w:t>
      </w:r>
      <w:r w:rsidRPr="00AF343B" w:rsidR="002553C7">
        <w:t>bond-funded public</w:t>
      </w:r>
      <w:r w:rsidR="00257517">
        <w:t xml:space="preserve"> </w:t>
      </w:r>
      <w:r w:rsidRPr="00AF343B" w:rsidR="002553C7">
        <w:t xml:space="preserve">agency </w:t>
      </w:r>
      <w:r w:rsidRPr="00AF343B">
        <w:t xml:space="preserve">project, and as discussed, federal tax law can be satisfied despite such delays.  (See, e.g., 26 U.S.C. § 148(f) [permitting rebates to the federal government].)  </w:t>
      </w:r>
      <w:r w:rsidRPr="00AF343B" w:rsidR="00C76EC0">
        <w:t>Hence, the District’s argument proves too much</w:t>
      </w:r>
      <w:r w:rsidRPr="00AF343B" w:rsidR="00E072AE">
        <w:t>.  Under the District’s argument, virtually any contract that is funded by the proceeds of a public agency bond sale w</w:t>
      </w:r>
      <w:r w:rsidRPr="00AF343B" w:rsidR="00477AAA">
        <w:t xml:space="preserve">ould </w:t>
      </w:r>
      <w:r w:rsidRPr="00AF343B" w:rsidR="00E072AE">
        <w:t xml:space="preserve">come within the validation statutes.  </w:t>
      </w:r>
      <w:r w:rsidRPr="00AF343B" w:rsidR="00C7405C">
        <w:t>As discussed,</w:t>
      </w:r>
      <w:r w:rsidRPr="00AF343B" w:rsidR="002553C7">
        <w:t xml:space="preserve"> </w:t>
      </w:r>
      <w:r w:rsidRPr="00AF343B" w:rsidR="00222D67">
        <w:t xml:space="preserve">that rule </w:t>
      </w:r>
      <w:r w:rsidRPr="00AF343B" w:rsidR="00E072AE">
        <w:t>stretches section 53511 too far</w:t>
      </w:r>
      <w:r w:rsidRPr="00AF343B" w:rsidR="00C76EC0">
        <w:t>.</w:t>
      </w:r>
    </w:p>
    <w:p w:rsidR="00832E76" w:rsidRPr="00AF343B" w:rsidP="00AF343B">
      <w:pPr>
        <w:tabs>
          <w:tab w:val="left" w:pos="1440"/>
        </w:tabs>
        <w:ind w:firstLine="720"/>
      </w:pPr>
      <w:r w:rsidRPr="00AF343B">
        <w:t xml:space="preserve">Fourth, </w:t>
      </w:r>
      <w:r w:rsidRPr="00AF343B">
        <w:t xml:space="preserve">the District argues that the </w:t>
      </w:r>
      <w:r w:rsidRPr="00AF343B" w:rsidR="00AD2EB4">
        <w:t>Court of Appeal</w:t>
      </w:r>
      <w:r w:rsidRPr="00AF343B">
        <w:t xml:space="preserve">’s holding in </w:t>
      </w:r>
      <w:r w:rsidRPr="00AF343B">
        <w:rPr>
          <w:i/>
          <w:iCs/>
        </w:rPr>
        <w:t>McLeod</w:t>
      </w:r>
      <w:r w:rsidRPr="00AF343B" w:rsidR="00AD2EB4">
        <w:t xml:space="preserve">, </w:t>
      </w:r>
      <w:r w:rsidRPr="00AF343B" w:rsidR="00AD2EB4">
        <w:rPr>
          <w:i/>
          <w:iCs/>
        </w:rPr>
        <w:t>supra</w:t>
      </w:r>
      <w:r w:rsidRPr="00AF343B" w:rsidR="00AD2EB4">
        <w:t xml:space="preserve">, 158 Cal.App.4th 1156 </w:t>
      </w:r>
      <w:r w:rsidRPr="00AF343B">
        <w:t xml:space="preserve">supports its contention that the validation statutes apply to the lease-leaseback arrangement at issue here.  </w:t>
      </w:r>
      <w:r w:rsidRPr="00AF343B">
        <w:rPr>
          <w:i/>
          <w:iCs/>
        </w:rPr>
        <w:t>McLeod</w:t>
      </w:r>
      <w:r w:rsidRPr="00AF343B">
        <w:t xml:space="preserve">, however, is readily distinguished.  </w:t>
      </w:r>
      <w:r w:rsidRPr="00AF343B">
        <w:rPr>
          <w:i/>
          <w:iCs/>
        </w:rPr>
        <w:t>McLeod</w:t>
      </w:r>
      <w:r w:rsidRPr="00AF343B">
        <w:t xml:space="preserve"> involved a challenge to a school district’s decision to issue bonds for a </w:t>
      </w:r>
      <w:r w:rsidRPr="00AF343B" w:rsidR="007E2E06">
        <w:t xml:space="preserve">purpose </w:t>
      </w:r>
      <w:r w:rsidRPr="00AF343B">
        <w:t xml:space="preserve">different from the purpose presented to the voters when the voters approved the bonds.  The ability of the school district to finance its planned construction project directly depended on the validity of that </w:t>
      </w:r>
      <w:r w:rsidRPr="00AF343B" w:rsidR="00AE0134">
        <w:t xml:space="preserve">disputed </w:t>
      </w:r>
      <w:r w:rsidRPr="00AF343B">
        <w:t xml:space="preserve">decision.  Indeed, the school district in </w:t>
      </w:r>
      <w:r w:rsidRPr="00AF343B">
        <w:rPr>
          <w:i/>
          <w:iCs/>
        </w:rPr>
        <w:t>McLeod</w:t>
      </w:r>
      <w:r w:rsidRPr="00AF343B">
        <w:t xml:space="preserve"> asserted — without disagreement from the plaintiffs — that “ ‘every single day that this case has not been decided</w:t>
      </w:r>
      <w:r w:rsidRPr="00AF343B" w:rsidR="00AE0134">
        <w:t> </w:t>
      </w:r>
      <w:r w:rsidRPr="00AF343B">
        <w:t>.</w:t>
      </w:r>
      <w:r w:rsidRPr="00AF343B" w:rsidR="00AE0134">
        <w:t> </w:t>
      </w:r>
      <w:r w:rsidRPr="00AF343B">
        <w:t>.</w:t>
      </w:r>
      <w:r w:rsidRPr="00AF343B" w:rsidR="00AE0134">
        <w:t> </w:t>
      </w:r>
      <w:r w:rsidRPr="00AF343B">
        <w:t>. impairs the ability of the District to go to the bond markets and get the funding to complete the [high school] construction.</w:t>
      </w:r>
      <w:r w:rsidR="00A026D7">
        <w:t>’</w:t>
      </w:r>
      <w:r w:rsidR="001769D4">
        <w:t> </w:t>
      </w:r>
      <w:r w:rsidRPr="00AF343B">
        <w:t>”  (</w:t>
      </w:r>
      <w:r w:rsidRPr="00AF343B">
        <w:rPr>
          <w:i/>
          <w:iCs/>
        </w:rPr>
        <w:t>McLeod</w:t>
      </w:r>
      <w:r w:rsidRPr="00AF343B">
        <w:t xml:space="preserve">, </w:t>
      </w:r>
      <w:r w:rsidRPr="00AF343B">
        <w:rPr>
          <w:i/>
          <w:iCs/>
        </w:rPr>
        <w:t>supra</w:t>
      </w:r>
      <w:r w:rsidRPr="00AF343B">
        <w:t xml:space="preserve">, 158 Cal.App.4th at p. 1169.)  </w:t>
      </w:r>
      <w:r w:rsidRPr="00AF343B" w:rsidR="001E5747">
        <w:t xml:space="preserve">Not so here. </w:t>
      </w:r>
      <w:r w:rsidRPr="00AF343B">
        <w:t xml:space="preserve"> Plaintiff is not challenging the validity of the District’s decision to issue </w:t>
      </w:r>
      <w:r w:rsidRPr="00AF343B" w:rsidR="005669BD">
        <w:t xml:space="preserve">the </w:t>
      </w:r>
      <w:r w:rsidRPr="00AF343B">
        <w:t>bonds t</w:t>
      </w:r>
      <w:r w:rsidRPr="00AF343B" w:rsidR="00AE0134">
        <w:t xml:space="preserve">hat </w:t>
      </w:r>
      <w:r w:rsidRPr="00AF343B">
        <w:t>fund</w:t>
      </w:r>
      <w:r w:rsidRPr="00AF343B" w:rsidR="00AE0134">
        <w:t>ed</w:t>
      </w:r>
      <w:r w:rsidRPr="00AF343B">
        <w:t xml:space="preserve"> the construction project at issue here</w:t>
      </w:r>
      <w:r w:rsidRPr="00AF343B" w:rsidR="001E5747">
        <w:t xml:space="preserve">. </w:t>
      </w:r>
      <w:r w:rsidRPr="00AF343B" w:rsidR="00AD2EB4">
        <w:t xml:space="preserve"> </w:t>
      </w:r>
      <w:r w:rsidRPr="00AF343B" w:rsidR="001E5747">
        <w:t xml:space="preserve">Rather, </w:t>
      </w:r>
      <w:r w:rsidRPr="00AF343B">
        <w:t>plaintiff is challenging the District’s use of a section 17406 lease-leaseback arrangement</w:t>
      </w:r>
      <w:r w:rsidRPr="00AF343B" w:rsidR="006F7E04">
        <w:t xml:space="preserve"> </w:t>
      </w:r>
      <w:r w:rsidRPr="00AF343B" w:rsidR="001E5747">
        <w:t xml:space="preserve">where </w:t>
      </w:r>
      <w:r w:rsidRPr="00AF343B">
        <w:t xml:space="preserve">the lease-leaseback arrangement </w:t>
      </w:r>
      <w:r w:rsidRPr="00AF343B" w:rsidR="006F7E04">
        <w:t xml:space="preserve">does not involve a long-term lease and where the construction project </w:t>
      </w:r>
      <w:r w:rsidRPr="00AF343B">
        <w:t xml:space="preserve">is </w:t>
      </w:r>
      <w:r w:rsidRPr="00AF343B" w:rsidR="006F7E04">
        <w:t xml:space="preserve">independently </w:t>
      </w:r>
      <w:r w:rsidRPr="00AF343B">
        <w:t xml:space="preserve">financed </w:t>
      </w:r>
      <w:r w:rsidRPr="00AF343B" w:rsidR="006F7E04">
        <w:t>from a bond sale that the District has already completed.</w:t>
      </w:r>
      <w:r w:rsidRPr="00AF343B" w:rsidR="001A6274">
        <w:t xml:space="preserve">  </w:t>
      </w:r>
      <w:r w:rsidRPr="00AF343B" w:rsidR="001A6274">
        <w:rPr>
          <w:i/>
          <w:iCs/>
        </w:rPr>
        <w:t>McLeod</w:t>
      </w:r>
      <w:r w:rsidRPr="00AF343B" w:rsidR="001A6274">
        <w:t xml:space="preserve"> is simply not on point.</w:t>
      </w:r>
    </w:p>
    <w:p w:rsidR="009C04AB" w:rsidRPr="00AF343B" w:rsidP="00AF343B">
      <w:pPr>
        <w:tabs>
          <w:tab w:val="left" w:pos="1440"/>
        </w:tabs>
        <w:ind w:firstLine="720"/>
      </w:pPr>
      <w:r w:rsidRPr="00AF343B">
        <w:t xml:space="preserve">Fifth, </w:t>
      </w:r>
      <w:r w:rsidRPr="00AF343B" w:rsidR="00222D67">
        <w:t>d</w:t>
      </w:r>
      <w:r w:rsidRPr="00AF343B" w:rsidR="00912920">
        <w:t xml:space="preserve">efendants </w:t>
      </w:r>
      <w:r w:rsidRPr="00AF343B" w:rsidR="00E52C20">
        <w:t xml:space="preserve">cite </w:t>
      </w:r>
      <w:r w:rsidRPr="00AF343B">
        <w:rPr>
          <w:i/>
          <w:iCs/>
        </w:rPr>
        <w:t>McGee</w:t>
      </w:r>
      <w:r w:rsidRPr="00AF343B" w:rsidR="00912920">
        <w:t xml:space="preserve">, </w:t>
      </w:r>
      <w:r w:rsidRPr="00AF343B" w:rsidR="00C42F60">
        <w:rPr>
          <w:i/>
          <w:iCs/>
        </w:rPr>
        <w:t>supra</w:t>
      </w:r>
      <w:r w:rsidRPr="00AF343B" w:rsidR="00C42F60">
        <w:t xml:space="preserve">, 49 Cal.App.5th 814, </w:t>
      </w:r>
      <w:r w:rsidRPr="00AF343B" w:rsidR="00C76EC0">
        <w:t xml:space="preserve">in </w:t>
      </w:r>
      <w:r w:rsidRPr="00AF343B" w:rsidR="00912920">
        <w:t xml:space="preserve">which </w:t>
      </w:r>
      <w:r w:rsidRPr="00AF343B" w:rsidR="00C76EC0">
        <w:t xml:space="preserve">the Court of Appeal </w:t>
      </w:r>
      <w:r w:rsidRPr="00AF343B">
        <w:t>addressed the precise question we are deciding</w:t>
      </w:r>
      <w:r w:rsidRPr="00AF343B" w:rsidR="00C76EC0">
        <w:t xml:space="preserve">, concluding </w:t>
      </w:r>
      <w:r w:rsidRPr="00AF343B">
        <w:t xml:space="preserve">that where a lease-leaseback arrangement is </w:t>
      </w:r>
      <w:r w:rsidRPr="00AF343B" w:rsidR="00A24217">
        <w:t xml:space="preserve">independently </w:t>
      </w:r>
      <w:r w:rsidRPr="00AF343B">
        <w:t xml:space="preserve">financed through </w:t>
      </w:r>
      <w:r w:rsidRPr="00AF343B" w:rsidR="00912920">
        <w:t xml:space="preserve">the </w:t>
      </w:r>
      <w:r w:rsidRPr="00AF343B">
        <w:t>issuance</w:t>
      </w:r>
      <w:r w:rsidRPr="00AF343B" w:rsidR="00912920">
        <w:t xml:space="preserve"> of </w:t>
      </w:r>
      <w:r w:rsidRPr="00AF343B" w:rsidR="00C76EC0">
        <w:t xml:space="preserve">district </w:t>
      </w:r>
      <w:r w:rsidRPr="00AF343B" w:rsidR="00912920">
        <w:t>bonds</w:t>
      </w:r>
      <w:r w:rsidRPr="00AF343B">
        <w:t xml:space="preserve">, the </w:t>
      </w:r>
      <w:r w:rsidRPr="00AF343B" w:rsidR="000023E0">
        <w:t xml:space="preserve">bonds are inextricably bound up with the validity of the </w:t>
      </w:r>
      <w:r w:rsidRPr="00AF343B">
        <w:t>lease-leaseback arrangement</w:t>
      </w:r>
      <w:r w:rsidRPr="00AF343B" w:rsidR="00406815">
        <w:t>, and therefore the lease-leaseback arrangement is subject to the validation statutes</w:t>
      </w:r>
      <w:r w:rsidRPr="00AF343B">
        <w:t xml:space="preserve">.  </w:t>
      </w:r>
      <w:r w:rsidRPr="00AF343B" w:rsidR="006F7E04">
        <w:t xml:space="preserve">In our view, </w:t>
      </w:r>
      <w:r w:rsidRPr="00AF343B" w:rsidR="006F7E04">
        <w:rPr>
          <w:i/>
          <w:iCs/>
        </w:rPr>
        <w:t>McGee</w:t>
      </w:r>
      <w:r w:rsidRPr="00AF343B" w:rsidR="006F7E04">
        <w:t xml:space="preserve"> did not meaningfully consider the nature of the relationship between the school district’s bond financing and the agreement in question</w:t>
      </w:r>
      <w:r w:rsidRPr="00AF343B" w:rsidR="001A6274">
        <w:t xml:space="preserve"> in that case</w:t>
      </w:r>
      <w:r w:rsidRPr="00AF343B" w:rsidR="006F7E04">
        <w:t>.  Therefore, we disapprove</w:t>
      </w:r>
      <w:r w:rsidR="00580F1A">
        <w:t xml:space="preserve"> </w:t>
      </w:r>
      <w:r w:rsidRPr="00580F1A" w:rsidR="00580F1A">
        <w:rPr>
          <w:i/>
          <w:iCs/>
        </w:rPr>
        <w:t>McGee v. Torrance Unified School Dist.</w:t>
      </w:r>
      <w:r w:rsidR="00C719C2">
        <w:t xml:space="preserve">, </w:t>
      </w:r>
      <w:r w:rsidRPr="00C719C2" w:rsidR="00C719C2">
        <w:rPr>
          <w:i/>
          <w:iCs/>
        </w:rPr>
        <w:t>supra</w:t>
      </w:r>
      <w:r w:rsidR="00C719C2">
        <w:t xml:space="preserve">, </w:t>
      </w:r>
      <w:r w:rsidRPr="00580F1A" w:rsidR="00580F1A">
        <w:t>49 Cal.App.5th 814</w:t>
      </w:r>
      <w:r w:rsidR="00580F1A">
        <w:t xml:space="preserve"> insofar as it addresses </w:t>
      </w:r>
      <w:r w:rsidRPr="00AF343B" w:rsidR="007F2ED6">
        <w:t xml:space="preserve">the </w:t>
      </w:r>
      <w:r w:rsidRPr="00AF343B" w:rsidR="001A6274">
        <w:t xml:space="preserve">precise </w:t>
      </w:r>
      <w:r w:rsidRPr="00AF343B" w:rsidR="007F2ED6">
        <w:t>issue we decide here.</w:t>
      </w:r>
      <w:r w:rsidRPr="00AF343B" w:rsidR="001A6274">
        <w:t xml:space="preserve">  We express no opinion regarding the other issues decided by the court in that case.</w:t>
      </w:r>
    </w:p>
    <w:p w:rsidR="00923441" w:rsidRPr="00AF343B" w:rsidP="00AF343B">
      <w:pPr>
        <w:tabs>
          <w:tab w:val="left" w:pos="1440"/>
        </w:tabs>
        <w:ind w:firstLine="720"/>
      </w:pPr>
      <w:r w:rsidRPr="00AF343B">
        <w:t>Finally, t</w:t>
      </w:r>
      <w:r w:rsidRPr="00AF343B" w:rsidR="008063F9">
        <w:t xml:space="preserve">he Contractor </w:t>
      </w:r>
      <w:r w:rsidRPr="00AF343B" w:rsidR="00FE76A4">
        <w:t>makes a</w:t>
      </w:r>
      <w:r w:rsidRPr="00AF343B" w:rsidR="00AF3DE7">
        <w:t xml:space="preserve"> </w:t>
      </w:r>
      <w:r w:rsidRPr="00AF343B" w:rsidR="00FE76A4">
        <w:t>policy argument</w:t>
      </w:r>
      <w:r w:rsidRPr="00AF343B" w:rsidR="001F3A0B">
        <w:t xml:space="preserve"> that is unrelated to the </w:t>
      </w:r>
      <w:r w:rsidRPr="00AF343B" w:rsidR="00AF15CA">
        <w:t>text of section 53511</w:t>
      </w:r>
      <w:r w:rsidRPr="00AF343B" w:rsidR="00FE76A4">
        <w:t xml:space="preserve">.  The Contractor correctly </w:t>
      </w:r>
      <w:r w:rsidRPr="00AF343B" w:rsidR="00D14D98">
        <w:t>note</w:t>
      </w:r>
      <w:r w:rsidRPr="00AF343B" w:rsidR="008063F9">
        <w:t>s</w:t>
      </w:r>
      <w:r w:rsidRPr="00AF343B" w:rsidR="00DD6A16">
        <w:t xml:space="preserve"> </w:t>
      </w:r>
      <w:r w:rsidRPr="00AF343B" w:rsidR="00D14D98">
        <w:t>that education has a special status in California, and the</w:t>
      </w:r>
      <w:r w:rsidRPr="00AF343B" w:rsidR="008063F9">
        <w:t xml:space="preserve"> Contractor </w:t>
      </w:r>
      <w:r w:rsidRPr="00AF343B" w:rsidR="00D14D98">
        <w:t>emphasize</w:t>
      </w:r>
      <w:r w:rsidRPr="00AF343B" w:rsidR="008063F9">
        <w:t>s</w:t>
      </w:r>
      <w:r w:rsidRPr="00AF343B" w:rsidR="00D14D98">
        <w:t xml:space="preserve"> the </w:t>
      </w:r>
      <w:r w:rsidRPr="00AF343B" w:rsidR="00CE1EFF">
        <w:t xml:space="preserve">particular </w:t>
      </w:r>
      <w:r w:rsidRPr="00AF343B" w:rsidR="00D14D98">
        <w:t xml:space="preserve">need school districts </w:t>
      </w:r>
      <w:r w:rsidRPr="00AF343B" w:rsidR="00DD6A16">
        <w:t>have for quick validation of lease-leaseback arrangements like the one here</w:t>
      </w:r>
      <w:r w:rsidRPr="00AF343B" w:rsidR="00787669">
        <w:t xml:space="preserve">, thus </w:t>
      </w:r>
      <w:r w:rsidRPr="00AF343B" w:rsidR="008063F9">
        <w:t>protec</w:t>
      </w:r>
      <w:r w:rsidRPr="00AF343B" w:rsidR="00787669">
        <w:t xml:space="preserve">ting such arrangements from attacks </w:t>
      </w:r>
      <w:r w:rsidRPr="00AF343B" w:rsidR="00B23C14">
        <w:t xml:space="preserve">brought </w:t>
      </w:r>
      <w:r w:rsidRPr="00AF343B" w:rsidR="00787669">
        <w:t xml:space="preserve">by </w:t>
      </w:r>
      <w:r w:rsidRPr="00AF343B" w:rsidR="00AF15CA">
        <w:t xml:space="preserve">disgruntled </w:t>
      </w:r>
      <w:r w:rsidRPr="00AF343B" w:rsidR="00787669">
        <w:t>contractor</w:t>
      </w:r>
      <w:r w:rsidRPr="00AF343B" w:rsidR="00FE76A4">
        <w:t>s</w:t>
      </w:r>
      <w:r w:rsidRPr="00AF343B" w:rsidR="00787669">
        <w:t xml:space="preserve"> </w:t>
      </w:r>
      <w:r w:rsidRPr="00AF343B" w:rsidR="00AF15CA">
        <w:t>who were not selected for the project</w:t>
      </w:r>
      <w:r w:rsidRPr="00AF343B" w:rsidR="00295254">
        <w:t>.</w:t>
      </w:r>
      <w:r w:rsidRPr="00AF343B" w:rsidR="00787669">
        <w:t xml:space="preserve">  </w:t>
      </w:r>
      <w:r w:rsidRPr="00AF343B" w:rsidR="003A75E2">
        <w:t xml:space="preserve">The Contractor further warns that because of </w:t>
      </w:r>
      <w:r w:rsidRPr="00AF343B" w:rsidR="00AF15CA">
        <w:t xml:space="preserve">the holdings of </w:t>
      </w:r>
      <w:r w:rsidRPr="00AF343B" w:rsidR="003A75E2">
        <w:rPr>
          <w:i/>
          <w:iCs/>
        </w:rPr>
        <w:t>Davis I</w:t>
      </w:r>
      <w:r w:rsidRPr="00AF343B" w:rsidR="003A75E2">
        <w:t xml:space="preserve"> and </w:t>
      </w:r>
      <w:r w:rsidRPr="00AF343B" w:rsidR="003A75E2">
        <w:rPr>
          <w:i/>
          <w:iCs/>
        </w:rPr>
        <w:t>Davis II</w:t>
      </w:r>
      <w:r w:rsidRPr="00AF343B" w:rsidR="003A75E2">
        <w:t>, school districts are already abandoning lease-leaseback arrangements</w:t>
      </w:r>
      <w:r w:rsidRPr="00AF343B" w:rsidR="0028301E">
        <w:t xml:space="preserve"> like the one at issue here (i.e., ones that are independently financed)</w:t>
      </w:r>
      <w:r w:rsidRPr="00AF343B" w:rsidR="00AF3DE7">
        <w:t>,</w:t>
      </w:r>
      <w:r w:rsidRPr="00AF343B" w:rsidR="003A75E2">
        <w:t xml:space="preserve"> and </w:t>
      </w:r>
      <w:r w:rsidRPr="00AF343B" w:rsidR="00AF3DE7">
        <w:t xml:space="preserve">they </w:t>
      </w:r>
      <w:r w:rsidRPr="00AF343B" w:rsidR="003A75E2">
        <w:t xml:space="preserve">will </w:t>
      </w:r>
      <w:r w:rsidRPr="00AF343B" w:rsidR="00FE76A4">
        <w:t xml:space="preserve">continue to </w:t>
      </w:r>
      <w:r w:rsidRPr="00AF343B" w:rsidR="003A75E2">
        <w:t>do so.</w:t>
      </w:r>
      <w:r w:rsidRPr="00AF343B" w:rsidR="00761611">
        <w:t xml:space="preserve">  To demonstrate the scope of this issue, the Contractor quotes the amicus curiae letter of </w:t>
      </w:r>
      <w:r w:rsidR="009B0352">
        <w:t xml:space="preserve">the </w:t>
      </w:r>
      <w:r w:rsidRPr="00AF343B" w:rsidR="00761611">
        <w:t>Long Beach Unified School District.  That letter states:  “The Long Beach Unified School District is the fourth largest public K–12 school district in the state . . . .  [¶]  The Long Beach Unified School District is currently executing approximately $3.0B in campus improvement projects approved and funded by local general obligations bonds. . . .  The District considers the Lease-Leaseback delivery model to be a valuable method to bring timely &amp; cost effective projects to our students.”</w:t>
      </w:r>
    </w:p>
    <w:p w:rsidR="00721A74" w:rsidP="00AF343B">
      <w:pPr>
        <w:tabs>
          <w:tab w:val="left" w:pos="1440"/>
        </w:tabs>
        <w:ind w:firstLine="720"/>
      </w:pPr>
      <w:r w:rsidRPr="00AF343B">
        <w:t>The</w:t>
      </w:r>
      <w:r w:rsidRPr="00AF343B" w:rsidR="00761611">
        <w:t xml:space="preserve"> Contractor’s </w:t>
      </w:r>
      <w:r w:rsidRPr="00AF343B">
        <w:t xml:space="preserve">arguments </w:t>
      </w:r>
      <w:r w:rsidRPr="00AF343B" w:rsidR="00373232">
        <w:t xml:space="preserve">raise </w:t>
      </w:r>
      <w:r w:rsidRPr="00AF343B" w:rsidR="00AF3DE7">
        <w:t xml:space="preserve">legitimate </w:t>
      </w:r>
      <w:r w:rsidRPr="00AF343B" w:rsidR="007737C5">
        <w:t xml:space="preserve">and weighty policy </w:t>
      </w:r>
      <w:r w:rsidRPr="00AF343B" w:rsidR="00373232">
        <w:t>concerns</w:t>
      </w:r>
      <w:r w:rsidRPr="00AF343B" w:rsidR="00761611">
        <w:t xml:space="preserve"> to which we are </w:t>
      </w:r>
      <w:r w:rsidRPr="00AF343B" w:rsidR="00105EE0">
        <w:t>not unsympathetic</w:t>
      </w:r>
      <w:r w:rsidRPr="00AF343B" w:rsidR="00761611">
        <w:t xml:space="preserve">.  </w:t>
      </w:r>
      <w:r w:rsidRPr="00AF343B" w:rsidR="007737C5">
        <w:t xml:space="preserve">Yet, </w:t>
      </w:r>
      <w:r w:rsidRPr="00AF343B" w:rsidR="00787669">
        <w:t>whether the people of the state are best served by a method of school construction that avoids competitive bidding, favors long-term partnering relationships with contractors, and allows for quick validation of construction deals</w:t>
      </w:r>
      <w:r w:rsidRPr="00AF343B" w:rsidR="00A1720F">
        <w:t xml:space="preserve">, insulating </w:t>
      </w:r>
      <w:r w:rsidRPr="00AF343B" w:rsidR="000B349F">
        <w:t xml:space="preserve">such deals </w:t>
      </w:r>
      <w:r w:rsidRPr="00AF343B" w:rsidR="00A1720F">
        <w:t xml:space="preserve">from </w:t>
      </w:r>
      <w:r w:rsidRPr="00AF343B" w:rsidR="00373232">
        <w:t xml:space="preserve">subsequent </w:t>
      </w:r>
      <w:r w:rsidRPr="00AF343B" w:rsidR="000B349F">
        <w:t>attack</w:t>
      </w:r>
      <w:r w:rsidRPr="00AF343B" w:rsidR="00787669">
        <w:t>, or whether</w:t>
      </w:r>
      <w:r w:rsidRPr="00AF343B" w:rsidR="007D35E0">
        <w:t>, by contrast,</w:t>
      </w:r>
      <w:r w:rsidRPr="00AF343B" w:rsidR="00787669">
        <w:t xml:space="preserve"> </w:t>
      </w:r>
      <w:r w:rsidRPr="00AF343B" w:rsidR="00A1720F">
        <w:t xml:space="preserve">the people </w:t>
      </w:r>
      <w:r w:rsidRPr="00AF343B" w:rsidR="00787669">
        <w:t xml:space="preserve">are best served by a method </w:t>
      </w:r>
      <w:r w:rsidRPr="00AF343B" w:rsidR="00A1720F">
        <w:t xml:space="preserve">of school construction </w:t>
      </w:r>
      <w:r w:rsidRPr="00AF343B" w:rsidR="00787669">
        <w:t xml:space="preserve">that favors </w:t>
      </w:r>
      <w:r w:rsidRPr="00AF343B" w:rsidR="00B23C14">
        <w:t xml:space="preserve">price </w:t>
      </w:r>
      <w:r w:rsidRPr="00AF343B" w:rsidR="00787669">
        <w:t>competition among contractors</w:t>
      </w:r>
      <w:r w:rsidRPr="00AF343B" w:rsidR="00D16CC3">
        <w:t xml:space="preserve"> and avoids favoritism, </w:t>
      </w:r>
      <w:r w:rsidRPr="00AF343B" w:rsidR="00787669">
        <w:t xml:space="preserve">is a policy question best </w:t>
      </w:r>
      <w:r w:rsidRPr="00AF343B" w:rsidR="007D35E0">
        <w:t xml:space="preserve">left </w:t>
      </w:r>
      <w:r w:rsidRPr="00AF343B" w:rsidR="00787669">
        <w:t>to the Legislature.</w:t>
      </w:r>
      <w:r w:rsidRPr="00AF343B" w:rsidR="00A1720F">
        <w:t xml:space="preserve">  </w:t>
      </w:r>
      <w:r w:rsidRPr="00AF343B" w:rsidR="007D35E0">
        <w:t xml:space="preserve">The </w:t>
      </w:r>
      <w:r w:rsidRPr="00AF343B" w:rsidR="00C54720">
        <w:t xml:space="preserve">legal </w:t>
      </w:r>
      <w:r w:rsidRPr="00AF343B" w:rsidR="007D35E0">
        <w:t xml:space="preserve">issue before us is </w:t>
      </w:r>
      <w:r w:rsidRPr="00AF343B" w:rsidR="00A1720F">
        <w:t xml:space="preserve">the scope of the term “contracts” in section 53511, and </w:t>
      </w:r>
      <w:r w:rsidRPr="00AF343B" w:rsidR="00923441">
        <w:t xml:space="preserve">for the reasons explained, </w:t>
      </w:r>
      <w:r w:rsidRPr="00AF343B" w:rsidR="00A1720F">
        <w:t xml:space="preserve">that term </w:t>
      </w:r>
      <w:r w:rsidRPr="00AF343B" w:rsidR="00B23C14">
        <w:t xml:space="preserve">does not in our view </w:t>
      </w:r>
      <w:r w:rsidRPr="00AF343B" w:rsidR="00A1720F">
        <w:t xml:space="preserve">include lease-leaseback arrangements </w:t>
      </w:r>
      <w:r w:rsidRPr="00AF343B" w:rsidR="00B23C14">
        <w:t>like the one at issue here</w:t>
      </w:r>
      <w:r w:rsidRPr="00AF343B" w:rsidR="00406815">
        <w:t>.</w:t>
      </w:r>
      <w:r>
        <w:br w:type="page"/>
      </w:r>
    </w:p>
    <w:p w:rsidR="00B901F0" w:rsidRPr="00AF343B" w:rsidP="00AF343B">
      <w:pPr>
        <w:pStyle w:val="Heading1"/>
      </w:pPr>
      <w:r w:rsidRPr="00AF343B">
        <w:t xml:space="preserve">IV. </w:t>
      </w:r>
      <w:r w:rsidRPr="00AF343B">
        <w:t>Conclusion</w:t>
      </w:r>
    </w:p>
    <w:p w:rsidR="00332FF3" w:rsidRPr="00AF343B" w:rsidP="00AF343B">
      <w:pPr>
        <w:tabs>
          <w:tab w:val="left" w:pos="1440"/>
        </w:tabs>
        <w:ind w:firstLine="720"/>
      </w:pPr>
      <w:r w:rsidRPr="00AF343B">
        <w:t xml:space="preserve">Because section 53511 is the only theory defendants relied on below for asserting that plaintiff was obligated to bring his </w:t>
      </w:r>
      <w:r w:rsidRPr="00AF343B" w:rsidR="00E36D5B">
        <w:t xml:space="preserve">present </w:t>
      </w:r>
      <w:r w:rsidRPr="00AF343B">
        <w:t xml:space="preserve">challenge as a validation action and because the </w:t>
      </w:r>
      <w:r w:rsidRPr="00AF343B" w:rsidR="005F087C">
        <w:t xml:space="preserve">lease-leaseback arrangement at issue here is </w:t>
      </w:r>
      <w:r w:rsidRPr="00AF343B">
        <w:t xml:space="preserve">not </w:t>
      </w:r>
      <w:r w:rsidRPr="00AF343B" w:rsidR="005F087C">
        <w:t xml:space="preserve">a </w:t>
      </w:r>
      <w:r w:rsidRPr="00AF343B">
        <w:t>“contract</w:t>
      </w:r>
      <w:r w:rsidRPr="00AF343B" w:rsidR="005F087C">
        <w:t>[]</w:t>
      </w:r>
      <w:r w:rsidRPr="00AF343B">
        <w:t xml:space="preserve">” for purposes of section 53511, </w:t>
      </w:r>
      <w:r w:rsidRPr="00AF343B" w:rsidR="005F087C">
        <w:t xml:space="preserve">we </w:t>
      </w:r>
      <w:r w:rsidRPr="00AF343B">
        <w:t xml:space="preserve">agree with the Court of Appeal that the validation statutes do not apply.  </w:t>
      </w:r>
      <w:r w:rsidRPr="00AF343B" w:rsidR="001270D2">
        <w:t>T</w:t>
      </w:r>
      <w:r w:rsidRPr="00AF343B">
        <w:t xml:space="preserve">he Court of Appeal also concluded that plaintiff’s first amended complaint adequately alleged a taxpayer action </w:t>
      </w:r>
      <w:r w:rsidRPr="00AF343B" w:rsidR="00816393">
        <w:t xml:space="preserve">under </w:t>
      </w:r>
      <w:r w:rsidRPr="00AF343B">
        <w:t xml:space="preserve">Code </w:t>
      </w:r>
      <w:r w:rsidRPr="00AF343B" w:rsidR="00816393">
        <w:t xml:space="preserve">of </w:t>
      </w:r>
      <w:r w:rsidRPr="00AF343B">
        <w:t>Civ</w:t>
      </w:r>
      <w:r w:rsidRPr="00AF343B" w:rsidR="00816393">
        <w:t xml:space="preserve">il Procedure section </w:t>
      </w:r>
      <w:r w:rsidRPr="00AF343B">
        <w:t xml:space="preserve">526a, and we did not grant review to consider that aspect of the court’s decision, therefore the litigation can proceed </w:t>
      </w:r>
      <w:r w:rsidRPr="00AF343B" w:rsidR="00406815">
        <w:t xml:space="preserve">based </w:t>
      </w:r>
      <w:r w:rsidRPr="00AF343B">
        <w:t xml:space="preserve">on that theory of standing.  </w:t>
      </w:r>
      <w:r w:rsidRPr="00AF343B" w:rsidR="005F087C">
        <w:t xml:space="preserve">We </w:t>
      </w:r>
      <w:r w:rsidRPr="00AF343B">
        <w:t>affirm the judgment of the Court of Appeal</w:t>
      </w:r>
      <w:r w:rsidRPr="00AF343B" w:rsidR="008502A6">
        <w:t xml:space="preserve"> and remand the matter to that court for further proceedings</w:t>
      </w:r>
      <w:r w:rsidRPr="00AF343B" w:rsidR="00923441">
        <w:t xml:space="preserve"> consistent with this opinion</w:t>
      </w:r>
      <w:r w:rsidRPr="00AF343B">
        <w:t>.</w:t>
      </w:r>
    </w:p>
    <w:p w:rsidR="00104FD7" w:rsidP="00104FD7">
      <w:pPr>
        <w:spacing w:before="120"/>
        <w:ind w:left="5040"/>
        <w:rPr>
          <w:b/>
          <w:bCs/>
          <w:color w:val="212121"/>
          <w:szCs w:val="26"/>
        </w:rPr>
      </w:pPr>
      <w:r w:rsidRPr="006E05DF">
        <w:rPr>
          <w:b/>
          <w:bCs/>
          <w:color w:val="212121"/>
          <w:szCs w:val="26"/>
        </w:rPr>
        <w:t>JENKINS, J.</w:t>
      </w:r>
    </w:p>
    <w:p w:rsidR="00A50590" w:rsidRPr="006E05DF" w:rsidP="00104FD7">
      <w:pPr>
        <w:spacing w:before="120"/>
        <w:ind w:left="5040"/>
        <w:rPr>
          <w:b/>
          <w:bCs/>
          <w:color w:val="212121"/>
          <w:szCs w:val="26"/>
        </w:rPr>
      </w:pPr>
    </w:p>
    <w:p w:rsidR="00104FD7" w:rsidP="00104FD7">
      <w:pPr>
        <w:tabs>
          <w:tab w:val="left" w:pos="1440"/>
        </w:tabs>
        <w:rPr>
          <w:b/>
          <w:bCs/>
        </w:rPr>
      </w:pPr>
      <w:r w:rsidRPr="00DA7ADF">
        <w:rPr>
          <w:b/>
          <w:bCs/>
        </w:rPr>
        <w:t>We Concur:</w:t>
      </w:r>
    </w:p>
    <w:p w:rsidR="00104FD7" w:rsidP="00104FD7">
      <w:pPr>
        <w:tabs>
          <w:tab w:val="left" w:pos="1440"/>
        </w:tabs>
        <w:spacing w:after="0" w:line="240" w:lineRule="auto"/>
        <w:rPr>
          <w:b/>
          <w:bCs/>
        </w:rPr>
      </w:pPr>
      <w:r>
        <w:rPr>
          <w:b/>
          <w:bCs/>
        </w:rPr>
        <w:t>GUERRERO, C. J.</w:t>
      </w:r>
    </w:p>
    <w:p w:rsidR="00104FD7" w:rsidP="00104FD7">
      <w:pPr>
        <w:tabs>
          <w:tab w:val="left" w:pos="1440"/>
        </w:tabs>
        <w:spacing w:after="0" w:line="240" w:lineRule="auto"/>
        <w:rPr>
          <w:b/>
          <w:bCs/>
        </w:rPr>
      </w:pPr>
      <w:r>
        <w:rPr>
          <w:b/>
          <w:bCs/>
        </w:rPr>
        <w:t>CORRIGAN, J.</w:t>
      </w:r>
    </w:p>
    <w:p w:rsidR="00104FD7" w:rsidP="00104FD7">
      <w:pPr>
        <w:tabs>
          <w:tab w:val="left" w:pos="1440"/>
        </w:tabs>
        <w:spacing w:after="0" w:line="240" w:lineRule="auto"/>
        <w:rPr>
          <w:b/>
          <w:bCs/>
        </w:rPr>
      </w:pPr>
      <w:r>
        <w:rPr>
          <w:b/>
          <w:bCs/>
        </w:rPr>
        <w:t>LIU, J.</w:t>
      </w:r>
    </w:p>
    <w:p w:rsidR="00104FD7" w:rsidP="00104FD7">
      <w:pPr>
        <w:tabs>
          <w:tab w:val="left" w:pos="1440"/>
        </w:tabs>
        <w:spacing w:after="0" w:line="240" w:lineRule="auto"/>
        <w:rPr>
          <w:b/>
          <w:bCs/>
        </w:rPr>
      </w:pPr>
      <w:r>
        <w:rPr>
          <w:b/>
          <w:bCs/>
        </w:rPr>
        <w:t>KRUGER, J.</w:t>
      </w:r>
    </w:p>
    <w:p w:rsidR="00104FD7" w:rsidP="00104FD7">
      <w:pPr>
        <w:tabs>
          <w:tab w:val="left" w:pos="1440"/>
        </w:tabs>
        <w:spacing w:after="0" w:line="240" w:lineRule="auto"/>
        <w:rPr>
          <w:b/>
          <w:bCs/>
        </w:rPr>
      </w:pPr>
      <w:r>
        <w:rPr>
          <w:b/>
          <w:bCs/>
        </w:rPr>
        <w:t>GROBAN, J.</w:t>
      </w:r>
    </w:p>
    <w:p w:rsidR="001B22BD" w:rsidP="00104FD7">
      <w:pPr>
        <w:tabs>
          <w:tab w:val="left" w:pos="1440"/>
        </w:tabs>
        <w:spacing w:after="0" w:line="240" w:lineRule="auto"/>
        <w:rPr>
          <w:b/>
          <w:bCs/>
        </w:rPr>
        <w:sectPr w:rsidSect="00AF343B">
          <w:footerReference w:type="first" r:id="rId11"/>
          <w:pgSz w:w="12240" w:h="15840"/>
          <w:pgMar w:top="1800" w:right="2160" w:bottom="1440" w:left="2160" w:header="720" w:footer="720" w:gutter="0"/>
          <w:pgNumType w:start="1"/>
          <w:cols w:space="720"/>
          <w:titlePg/>
          <w:docGrid w:linePitch="367"/>
        </w:sectPr>
      </w:pPr>
      <w:r>
        <w:rPr>
          <w:b/>
          <w:bCs/>
        </w:rPr>
        <w:t>EVANS, J.</w:t>
      </w:r>
    </w:p>
    <w:p w:rsidR="008A62FD" w:rsidRPr="008A62FD" w:rsidP="008A62FD">
      <w:pPr>
        <w:spacing w:after="0" w:line="240" w:lineRule="auto"/>
        <w:jc w:val="left"/>
        <w:rPr>
          <w:i/>
          <w:sz w:val="24"/>
          <w:szCs w:val="24"/>
        </w:rPr>
      </w:pPr>
      <w:r w:rsidRPr="008A62FD">
        <w:rPr>
          <w:i/>
          <w:sz w:val="24"/>
          <w:szCs w:val="24"/>
        </w:rPr>
        <w:t>See next page for addresses and telephone numbers for counsel who argued in Supreme Court.</w:t>
      </w:r>
    </w:p>
    <w:p w:rsidR="008A62FD" w:rsidRPr="008A62FD" w:rsidP="008A62FD">
      <w:pPr>
        <w:spacing w:after="0" w:line="240" w:lineRule="auto"/>
        <w:jc w:val="left"/>
        <w:rPr>
          <w:i/>
          <w:sz w:val="24"/>
          <w:szCs w:val="24"/>
        </w:rPr>
      </w:pPr>
    </w:p>
    <w:p w:rsidR="008A62FD" w:rsidRPr="008A62FD" w:rsidP="008A62FD">
      <w:pPr>
        <w:spacing w:after="0" w:line="240" w:lineRule="auto"/>
        <w:jc w:val="left"/>
        <w:rPr>
          <w:bCs/>
          <w:sz w:val="24"/>
          <w:szCs w:val="24"/>
        </w:rPr>
      </w:pPr>
      <w:r w:rsidRPr="008A62FD">
        <w:rPr>
          <w:b/>
          <w:sz w:val="24"/>
          <w:szCs w:val="24"/>
        </w:rPr>
        <w:t xml:space="preserve">Name of Opinion  </w:t>
      </w:r>
      <w:r w:rsidRPr="008A62FD">
        <w:rPr>
          <w:bCs/>
          <w:sz w:val="24"/>
          <w:szCs w:val="24"/>
        </w:rPr>
        <w:t>Davis v. Fresno Unified School District</w:t>
      </w:r>
    </w:p>
    <w:p w:rsidR="008A62FD" w:rsidRPr="008A62FD" w:rsidP="008A62FD">
      <w:pPr>
        <w:spacing w:after="0" w:line="240" w:lineRule="auto"/>
        <w:jc w:val="left"/>
        <w:rPr>
          <w:b/>
          <w:sz w:val="24"/>
          <w:szCs w:val="24"/>
        </w:rPr>
      </w:pPr>
      <w:r w:rsidRPr="008A62FD">
        <w:rPr>
          <w:b/>
          <w:sz w:val="24"/>
          <w:szCs w:val="24"/>
        </w:rPr>
        <w:t xml:space="preserve">__________________________________________________________ </w:t>
      </w:r>
    </w:p>
    <w:p w:rsidR="008A62FD" w:rsidRPr="008A62FD" w:rsidP="008A62FD">
      <w:pPr>
        <w:spacing w:after="0" w:line="240" w:lineRule="auto"/>
        <w:jc w:val="left"/>
        <w:rPr>
          <w:b/>
          <w:sz w:val="24"/>
          <w:szCs w:val="24"/>
        </w:rPr>
      </w:pPr>
    </w:p>
    <w:p w:rsidR="008A62FD" w:rsidRPr="008A62FD" w:rsidP="008A62FD">
      <w:pPr>
        <w:spacing w:after="0" w:line="240" w:lineRule="auto"/>
        <w:jc w:val="left"/>
        <w:rPr>
          <w:sz w:val="24"/>
          <w:szCs w:val="24"/>
        </w:rPr>
      </w:pPr>
      <w:r w:rsidRPr="008A62FD">
        <w:rPr>
          <w:b/>
          <w:bCs/>
          <w:sz w:val="24"/>
          <w:szCs w:val="24"/>
          <w:u w:val="single"/>
        </w:rPr>
        <w:t>Procedural Posture</w:t>
      </w:r>
      <w:r w:rsidRPr="008A62FD">
        <w:rPr>
          <w:b/>
          <w:bCs/>
          <w:sz w:val="24"/>
          <w:szCs w:val="24"/>
        </w:rPr>
        <w:t xml:space="preserve"> </w:t>
      </w:r>
      <w:r w:rsidRPr="008A62FD">
        <w:rPr>
          <w:sz w:val="24"/>
          <w:szCs w:val="24"/>
        </w:rPr>
        <w:t>(see XX below)</w:t>
      </w:r>
    </w:p>
    <w:p w:rsidR="008A62FD" w:rsidRPr="008A62FD" w:rsidP="008A62FD">
      <w:pPr>
        <w:spacing w:after="0" w:line="240" w:lineRule="auto"/>
        <w:jc w:val="left"/>
        <w:rPr>
          <w:sz w:val="24"/>
          <w:szCs w:val="24"/>
        </w:rPr>
      </w:pPr>
      <w:r w:rsidRPr="008A62FD">
        <w:rPr>
          <w:b/>
          <w:bCs/>
          <w:sz w:val="24"/>
          <w:szCs w:val="24"/>
        </w:rPr>
        <w:t>Original Appeal</w:t>
      </w:r>
      <w:r w:rsidRPr="008A62FD">
        <w:rPr>
          <w:sz w:val="24"/>
          <w:szCs w:val="24"/>
        </w:rPr>
        <w:t xml:space="preserve"> </w:t>
      </w:r>
    </w:p>
    <w:p w:rsidR="008A62FD" w:rsidRPr="008A62FD" w:rsidP="008A62FD">
      <w:pPr>
        <w:spacing w:after="0" w:line="240" w:lineRule="auto"/>
        <w:jc w:val="left"/>
        <w:rPr>
          <w:b/>
          <w:bCs/>
          <w:sz w:val="24"/>
          <w:szCs w:val="24"/>
        </w:rPr>
      </w:pPr>
      <w:r w:rsidRPr="008A62FD">
        <w:rPr>
          <w:b/>
          <w:bCs/>
          <w:sz w:val="24"/>
          <w:szCs w:val="24"/>
        </w:rPr>
        <w:t>Original Proceeding</w:t>
      </w:r>
    </w:p>
    <w:p w:rsidR="008A62FD" w:rsidRPr="008A62FD" w:rsidP="008A62FD">
      <w:pPr>
        <w:spacing w:after="0" w:line="240" w:lineRule="auto"/>
        <w:jc w:val="left"/>
        <w:rPr>
          <w:sz w:val="24"/>
          <w:szCs w:val="24"/>
        </w:rPr>
      </w:pPr>
      <w:r w:rsidRPr="008A62FD">
        <w:rPr>
          <w:b/>
          <w:bCs/>
          <w:sz w:val="24"/>
          <w:szCs w:val="24"/>
        </w:rPr>
        <w:t>Review Granted</w:t>
      </w:r>
      <w:r w:rsidRPr="008A62FD">
        <w:rPr>
          <w:sz w:val="24"/>
          <w:szCs w:val="24"/>
        </w:rPr>
        <w:t xml:space="preserve"> </w:t>
      </w:r>
      <w:r w:rsidRPr="008A62FD">
        <w:rPr>
          <w:b/>
          <w:bCs/>
          <w:sz w:val="24"/>
          <w:szCs w:val="24"/>
        </w:rPr>
        <w:t xml:space="preserve">(published) </w:t>
      </w:r>
      <w:r w:rsidRPr="008A62FD">
        <w:rPr>
          <w:sz w:val="24"/>
          <w:szCs w:val="24"/>
        </w:rPr>
        <w:t>XX 57 Cal.App.5th 911</w:t>
      </w:r>
    </w:p>
    <w:p w:rsidR="008A62FD" w:rsidRPr="008A62FD" w:rsidP="008A62FD">
      <w:pPr>
        <w:spacing w:after="0" w:line="240" w:lineRule="auto"/>
        <w:jc w:val="left"/>
        <w:rPr>
          <w:sz w:val="24"/>
          <w:szCs w:val="24"/>
        </w:rPr>
      </w:pPr>
      <w:r w:rsidRPr="008A62FD">
        <w:rPr>
          <w:b/>
          <w:bCs/>
          <w:sz w:val="24"/>
          <w:szCs w:val="24"/>
        </w:rPr>
        <w:t xml:space="preserve">Review Granted (unpublished) </w:t>
      </w:r>
    </w:p>
    <w:p w:rsidR="008A62FD" w:rsidRPr="008A62FD" w:rsidP="008A62FD">
      <w:pPr>
        <w:spacing w:after="0" w:line="240" w:lineRule="auto"/>
        <w:jc w:val="left"/>
        <w:rPr>
          <w:b/>
          <w:bCs/>
          <w:sz w:val="24"/>
          <w:szCs w:val="24"/>
        </w:rPr>
      </w:pPr>
      <w:r w:rsidRPr="008A62FD">
        <w:rPr>
          <w:b/>
          <w:bCs/>
          <w:sz w:val="24"/>
          <w:szCs w:val="24"/>
        </w:rPr>
        <w:t>Rehearing Granted</w:t>
      </w:r>
    </w:p>
    <w:p w:rsidR="008A62FD" w:rsidRPr="008A62FD" w:rsidP="008A62FD">
      <w:pPr>
        <w:spacing w:after="0" w:line="240" w:lineRule="auto"/>
        <w:jc w:val="left"/>
        <w:rPr>
          <w:b/>
          <w:sz w:val="24"/>
          <w:szCs w:val="24"/>
        </w:rPr>
      </w:pPr>
      <w:r w:rsidRPr="008A62FD">
        <w:rPr>
          <w:b/>
          <w:sz w:val="24"/>
          <w:szCs w:val="24"/>
        </w:rPr>
        <w:t xml:space="preserve">__________________________________________________________ </w:t>
      </w:r>
    </w:p>
    <w:p w:rsidR="008A62FD" w:rsidRPr="008A62FD" w:rsidP="008A62FD">
      <w:pPr>
        <w:spacing w:after="0" w:line="240" w:lineRule="auto"/>
        <w:jc w:val="left"/>
        <w:rPr>
          <w:b/>
          <w:sz w:val="24"/>
          <w:szCs w:val="24"/>
        </w:rPr>
      </w:pPr>
    </w:p>
    <w:p w:rsidR="008A62FD" w:rsidRPr="008A62FD" w:rsidP="008A62FD">
      <w:pPr>
        <w:spacing w:after="0" w:line="240" w:lineRule="auto"/>
        <w:jc w:val="left"/>
        <w:rPr>
          <w:bCs/>
          <w:sz w:val="24"/>
          <w:szCs w:val="24"/>
        </w:rPr>
      </w:pPr>
      <w:r w:rsidRPr="008A62FD">
        <w:rPr>
          <w:b/>
          <w:sz w:val="24"/>
          <w:szCs w:val="24"/>
        </w:rPr>
        <w:t>Opinion No.</w:t>
      </w:r>
      <w:r w:rsidRPr="008A62FD">
        <w:rPr>
          <w:sz w:val="24"/>
          <w:szCs w:val="24"/>
        </w:rPr>
        <w:t xml:space="preserve"> S266344</w:t>
      </w:r>
    </w:p>
    <w:p w:rsidR="008A62FD" w:rsidRPr="008A62FD" w:rsidP="008A62FD">
      <w:pPr>
        <w:spacing w:after="0" w:line="240" w:lineRule="auto"/>
        <w:jc w:val="left"/>
        <w:rPr>
          <w:bCs/>
          <w:sz w:val="24"/>
          <w:szCs w:val="24"/>
        </w:rPr>
      </w:pPr>
      <w:r w:rsidRPr="008A62FD">
        <w:rPr>
          <w:b/>
          <w:sz w:val="24"/>
          <w:szCs w:val="24"/>
        </w:rPr>
        <w:t>Date Filed:</w:t>
      </w:r>
      <w:r w:rsidRPr="008A62FD">
        <w:rPr>
          <w:sz w:val="24"/>
          <w:szCs w:val="24"/>
        </w:rPr>
        <w:t xml:space="preserve">  April 27, 2023</w:t>
      </w:r>
    </w:p>
    <w:p w:rsidR="008A62FD" w:rsidRPr="008A62FD" w:rsidP="008A62FD">
      <w:pPr>
        <w:spacing w:after="0" w:line="240" w:lineRule="auto"/>
        <w:jc w:val="left"/>
        <w:rPr>
          <w:b/>
          <w:sz w:val="24"/>
          <w:szCs w:val="24"/>
        </w:rPr>
      </w:pPr>
      <w:r w:rsidRPr="008A62FD">
        <w:rPr>
          <w:b/>
          <w:sz w:val="24"/>
          <w:szCs w:val="24"/>
        </w:rPr>
        <w:t xml:space="preserve">__________________________________________________________ </w:t>
      </w:r>
    </w:p>
    <w:p w:rsidR="008A62FD" w:rsidRPr="008A62FD" w:rsidP="008A62FD">
      <w:pPr>
        <w:spacing w:after="0" w:line="240" w:lineRule="auto"/>
        <w:jc w:val="left"/>
        <w:rPr>
          <w:b/>
          <w:sz w:val="24"/>
          <w:szCs w:val="24"/>
        </w:rPr>
      </w:pPr>
    </w:p>
    <w:p w:rsidR="008A62FD" w:rsidRPr="008A62FD" w:rsidP="008A62FD">
      <w:pPr>
        <w:spacing w:after="0" w:line="240" w:lineRule="auto"/>
        <w:jc w:val="left"/>
        <w:rPr>
          <w:bCs/>
          <w:sz w:val="24"/>
          <w:szCs w:val="24"/>
        </w:rPr>
      </w:pPr>
      <w:r w:rsidRPr="008A62FD">
        <w:rPr>
          <w:b/>
          <w:sz w:val="24"/>
          <w:szCs w:val="24"/>
        </w:rPr>
        <w:t xml:space="preserve">Court:  </w:t>
      </w:r>
      <w:r w:rsidRPr="008A62FD">
        <w:rPr>
          <w:bCs/>
          <w:sz w:val="24"/>
          <w:szCs w:val="24"/>
        </w:rPr>
        <w:t>Superior</w:t>
      </w:r>
      <w:r w:rsidRPr="008A62FD">
        <w:rPr>
          <w:b/>
          <w:sz w:val="24"/>
          <w:szCs w:val="24"/>
        </w:rPr>
        <w:t xml:space="preserve"> </w:t>
      </w:r>
    </w:p>
    <w:p w:rsidR="008A62FD" w:rsidRPr="008A62FD" w:rsidP="008A62FD">
      <w:pPr>
        <w:spacing w:after="0" w:line="240" w:lineRule="auto"/>
        <w:jc w:val="left"/>
        <w:rPr>
          <w:bCs/>
          <w:sz w:val="24"/>
          <w:szCs w:val="24"/>
        </w:rPr>
      </w:pPr>
      <w:r w:rsidRPr="008A62FD">
        <w:rPr>
          <w:b/>
          <w:sz w:val="24"/>
          <w:szCs w:val="24"/>
        </w:rPr>
        <w:t xml:space="preserve">County:  </w:t>
      </w:r>
      <w:r w:rsidRPr="008A62FD">
        <w:rPr>
          <w:bCs/>
          <w:sz w:val="24"/>
          <w:szCs w:val="24"/>
        </w:rPr>
        <w:t>Fresno</w:t>
      </w:r>
    </w:p>
    <w:p w:rsidR="008A62FD" w:rsidRPr="008A62FD" w:rsidP="008A62FD">
      <w:pPr>
        <w:spacing w:after="0" w:line="240" w:lineRule="auto"/>
        <w:ind w:left="720" w:hanging="720"/>
        <w:jc w:val="left"/>
        <w:rPr>
          <w:bCs/>
          <w:sz w:val="24"/>
          <w:szCs w:val="24"/>
        </w:rPr>
      </w:pPr>
      <w:r w:rsidRPr="008A62FD">
        <w:rPr>
          <w:b/>
          <w:sz w:val="24"/>
          <w:szCs w:val="24"/>
        </w:rPr>
        <w:t xml:space="preserve">Judge: </w:t>
      </w:r>
      <w:r w:rsidRPr="008A62FD">
        <w:rPr>
          <w:bCs/>
          <w:sz w:val="24"/>
          <w:szCs w:val="24"/>
        </w:rPr>
        <w:t xml:space="preserve"> Kimberly A. Gaab</w:t>
      </w:r>
    </w:p>
    <w:p w:rsidR="008A62FD" w:rsidRPr="008A62FD" w:rsidP="008A62FD">
      <w:pPr>
        <w:spacing w:after="0" w:line="240" w:lineRule="auto"/>
        <w:jc w:val="left"/>
        <w:rPr>
          <w:b/>
          <w:sz w:val="24"/>
          <w:szCs w:val="24"/>
        </w:rPr>
      </w:pPr>
      <w:r w:rsidRPr="008A62FD">
        <w:rPr>
          <w:b/>
          <w:sz w:val="24"/>
          <w:szCs w:val="24"/>
        </w:rPr>
        <w:t xml:space="preserve">__________________________________________________________  </w:t>
      </w:r>
    </w:p>
    <w:p w:rsidR="008A62FD" w:rsidRPr="008A62FD" w:rsidP="008A62FD">
      <w:pPr>
        <w:spacing w:after="0" w:line="240" w:lineRule="auto"/>
        <w:jc w:val="left"/>
        <w:rPr>
          <w:b/>
          <w:sz w:val="24"/>
          <w:szCs w:val="24"/>
        </w:rPr>
      </w:pPr>
    </w:p>
    <w:p w:rsidR="008A62FD" w:rsidRPr="008A62FD" w:rsidP="008A62FD">
      <w:pPr>
        <w:spacing w:after="0" w:line="240" w:lineRule="auto"/>
        <w:jc w:val="left"/>
        <w:rPr>
          <w:b/>
          <w:sz w:val="24"/>
          <w:szCs w:val="24"/>
        </w:rPr>
      </w:pPr>
      <w:r w:rsidRPr="008A62FD">
        <w:rPr>
          <w:b/>
          <w:sz w:val="24"/>
          <w:szCs w:val="24"/>
        </w:rPr>
        <w:t>Counsel:</w:t>
      </w:r>
    </w:p>
    <w:p w:rsidR="008A62FD" w:rsidRPr="008A62FD" w:rsidP="008A62FD">
      <w:pPr>
        <w:spacing w:after="0" w:line="240" w:lineRule="auto"/>
        <w:jc w:val="left"/>
        <w:rPr>
          <w:b/>
          <w:sz w:val="24"/>
          <w:szCs w:val="24"/>
        </w:rPr>
      </w:pPr>
    </w:p>
    <w:p w:rsidR="008A62FD" w:rsidRPr="008A62FD" w:rsidP="008A62FD">
      <w:pPr>
        <w:spacing w:after="0" w:line="240" w:lineRule="auto"/>
        <w:jc w:val="left"/>
        <w:rPr>
          <w:color w:val="212121"/>
          <w:sz w:val="24"/>
          <w:szCs w:val="24"/>
          <w:shd w:val="clear" w:color="auto" w:fill="FFFFFF"/>
        </w:rPr>
      </w:pPr>
      <w:r w:rsidRPr="008A62FD">
        <w:rPr>
          <w:color w:val="212121"/>
          <w:sz w:val="24"/>
          <w:szCs w:val="24"/>
          <w:shd w:val="clear" w:color="auto" w:fill="FFFFFF"/>
        </w:rPr>
        <w:t>Carlin Law Group and Kevin R. Carlin for Plaintiff and Appellant.</w:t>
      </w:r>
    </w:p>
    <w:p w:rsidR="008A62FD" w:rsidRPr="008A62FD" w:rsidP="008A62FD">
      <w:pPr>
        <w:spacing w:after="0" w:line="240" w:lineRule="auto"/>
        <w:jc w:val="left"/>
        <w:rPr>
          <w:color w:val="212121"/>
          <w:sz w:val="24"/>
          <w:szCs w:val="24"/>
          <w:shd w:val="clear" w:color="auto" w:fill="FFFFFF"/>
        </w:rPr>
      </w:pPr>
    </w:p>
    <w:p w:rsidR="008A62FD" w:rsidRPr="008A62FD" w:rsidP="008A62FD">
      <w:pPr>
        <w:spacing w:after="0" w:line="240" w:lineRule="auto"/>
        <w:jc w:val="left"/>
        <w:rPr>
          <w:color w:val="212121"/>
          <w:sz w:val="24"/>
          <w:szCs w:val="24"/>
          <w:shd w:val="clear" w:color="auto" w:fill="FFFFFF"/>
        </w:rPr>
      </w:pPr>
      <w:r w:rsidRPr="008A62FD">
        <w:rPr>
          <w:color w:val="212121"/>
          <w:sz w:val="24"/>
          <w:szCs w:val="24"/>
          <w:shd w:val="clear" w:color="auto" w:fill="FFFFFF"/>
        </w:rPr>
        <w:t>Briggs Law Corporation, Cory J. Briggs and Janna M. Ferraro for California Association of Bond Oversight Committees as Amicus Curiae on behalf of Plaintiff and Appellant.</w:t>
      </w:r>
    </w:p>
    <w:p w:rsidR="008A62FD" w:rsidRPr="008A62FD" w:rsidP="008A62FD">
      <w:pPr>
        <w:spacing w:after="0" w:line="240" w:lineRule="auto"/>
        <w:jc w:val="left"/>
        <w:rPr>
          <w:color w:val="212121"/>
          <w:sz w:val="24"/>
          <w:szCs w:val="24"/>
          <w:shd w:val="clear" w:color="auto" w:fill="FFFFFF"/>
        </w:rPr>
      </w:pPr>
    </w:p>
    <w:p w:rsidR="008A62FD" w:rsidRPr="008A62FD" w:rsidP="008A62FD">
      <w:pPr>
        <w:spacing w:after="0" w:line="240" w:lineRule="auto"/>
        <w:jc w:val="left"/>
        <w:rPr>
          <w:color w:val="212121"/>
          <w:sz w:val="24"/>
          <w:szCs w:val="24"/>
          <w:shd w:val="clear" w:color="auto" w:fill="FFFFFF"/>
        </w:rPr>
      </w:pPr>
      <w:r w:rsidRPr="008A62FD">
        <w:rPr>
          <w:color w:val="212121"/>
          <w:sz w:val="24"/>
          <w:szCs w:val="24"/>
          <w:shd w:val="clear" w:color="auto" w:fill="FFFFFF"/>
        </w:rPr>
        <w:t>Jonathan M. Coupal, Timothy A. Bittle and</w:t>
      </w:r>
      <w:r w:rsidRPr="008A62FD">
        <w:rPr>
          <w:rFonts w:ascii="Times New Roman" w:hAnsi="Times New Roman"/>
          <w:sz w:val="26"/>
        </w:rPr>
        <w:t xml:space="preserve"> </w:t>
      </w:r>
      <w:r w:rsidRPr="008A62FD">
        <w:rPr>
          <w:color w:val="212121"/>
          <w:sz w:val="24"/>
          <w:szCs w:val="24"/>
          <w:shd w:val="clear" w:color="auto" w:fill="FFFFFF"/>
        </w:rPr>
        <w:t>Laura E. Dougherty for Howard Jarvis Taxpayers Foundation as Amicus Curiae on behalf of Plaintiff and Appellant.</w:t>
      </w:r>
    </w:p>
    <w:p w:rsidR="008A62FD" w:rsidRPr="008A62FD" w:rsidP="008A62FD">
      <w:pPr>
        <w:spacing w:after="0" w:line="240" w:lineRule="auto"/>
        <w:jc w:val="left"/>
        <w:rPr>
          <w:color w:val="212121"/>
          <w:sz w:val="24"/>
          <w:szCs w:val="24"/>
          <w:shd w:val="clear" w:color="auto" w:fill="FFFFFF"/>
        </w:rPr>
      </w:pPr>
    </w:p>
    <w:p w:rsidR="008A62FD" w:rsidRPr="008A62FD" w:rsidP="008A62FD">
      <w:pPr>
        <w:spacing w:after="0" w:line="240" w:lineRule="auto"/>
        <w:jc w:val="left"/>
        <w:rPr>
          <w:color w:val="212121"/>
          <w:sz w:val="24"/>
          <w:szCs w:val="24"/>
          <w:shd w:val="clear" w:color="auto" w:fill="FFFFFF"/>
        </w:rPr>
      </w:pPr>
      <w:r w:rsidRPr="008A62FD">
        <w:rPr>
          <w:color w:val="212121"/>
          <w:sz w:val="24"/>
          <w:szCs w:val="24"/>
          <w:shd w:val="clear" w:color="auto" w:fill="FFFFFF"/>
        </w:rPr>
        <w:t>Lang Richert &amp; Patch, Mark L. Creede, Stan D. Blyth; Jones Hall and Charles F. Adams for Defendant and Respondent Fresno Unified School District.</w:t>
      </w:r>
    </w:p>
    <w:p w:rsidR="008A62FD" w:rsidRPr="008A62FD" w:rsidP="008A62FD">
      <w:pPr>
        <w:spacing w:after="0" w:line="240" w:lineRule="auto"/>
        <w:jc w:val="left"/>
        <w:rPr>
          <w:color w:val="212121"/>
          <w:sz w:val="24"/>
          <w:szCs w:val="24"/>
          <w:shd w:val="clear" w:color="auto" w:fill="FFFFFF"/>
        </w:rPr>
      </w:pPr>
    </w:p>
    <w:p w:rsidR="008A62FD" w:rsidRPr="008A62FD" w:rsidP="008A62FD">
      <w:pPr>
        <w:spacing w:after="0" w:line="240" w:lineRule="auto"/>
        <w:jc w:val="left"/>
        <w:rPr>
          <w:color w:val="212121"/>
          <w:sz w:val="24"/>
          <w:szCs w:val="24"/>
          <w:shd w:val="clear" w:color="auto" w:fill="FFFFFF"/>
        </w:rPr>
      </w:pPr>
      <w:r w:rsidRPr="008A62FD">
        <w:rPr>
          <w:color w:val="212121"/>
          <w:sz w:val="24"/>
          <w:szCs w:val="24"/>
          <w:shd w:val="clear" w:color="auto" w:fill="FFFFFF"/>
        </w:rPr>
        <w:t>Fagen Friedman &amp; Fulfrost, James Traber, Linna Loangkote; Robert J. Tuerck and D. Michael Ambrose for California School Boards Association’s Education Legal Alliance as Amicus Curiae on behalf of Defendant and Respondent Fresno Unified School District.</w:t>
      </w:r>
    </w:p>
    <w:p w:rsidR="008A62FD" w:rsidRPr="008A62FD" w:rsidP="008A62FD">
      <w:pPr>
        <w:spacing w:after="0" w:line="240" w:lineRule="auto"/>
        <w:jc w:val="left"/>
        <w:rPr>
          <w:color w:val="212121"/>
          <w:sz w:val="24"/>
          <w:szCs w:val="24"/>
          <w:shd w:val="clear" w:color="auto" w:fill="FFFFFF"/>
        </w:rPr>
      </w:pPr>
    </w:p>
    <w:p w:rsidR="008A62FD" w:rsidRPr="008A62FD" w:rsidP="008A62FD">
      <w:pPr>
        <w:spacing w:after="0" w:line="240" w:lineRule="auto"/>
        <w:jc w:val="left"/>
        <w:rPr>
          <w:color w:val="212121"/>
          <w:sz w:val="24"/>
          <w:szCs w:val="24"/>
          <w:shd w:val="clear" w:color="auto" w:fill="FFFFFF"/>
        </w:rPr>
      </w:pPr>
      <w:r w:rsidRPr="008A62FD">
        <w:rPr>
          <w:color w:val="212121"/>
          <w:sz w:val="24"/>
          <w:szCs w:val="24"/>
          <w:shd w:val="clear" w:color="auto" w:fill="FFFFFF"/>
        </w:rPr>
        <w:t>Leone &amp; Alberts, Louis A. Leone and Seth L. Gordon for Statewide</w:t>
      </w:r>
    </w:p>
    <w:p w:rsidR="008A62FD" w:rsidRPr="008A62FD" w:rsidP="008A62FD">
      <w:pPr>
        <w:spacing w:after="0" w:line="240" w:lineRule="auto"/>
        <w:jc w:val="left"/>
        <w:rPr>
          <w:color w:val="212121"/>
          <w:sz w:val="24"/>
          <w:szCs w:val="24"/>
          <w:shd w:val="clear" w:color="auto" w:fill="FFFFFF"/>
        </w:rPr>
      </w:pPr>
      <w:r w:rsidRPr="008A62FD">
        <w:rPr>
          <w:color w:val="212121"/>
          <w:sz w:val="24"/>
          <w:szCs w:val="24"/>
          <w:shd w:val="clear" w:color="auto" w:fill="FFFFFF"/>
        </w:rPr>
        <w:t>Educational Wrap Up Program as Amicus Curiae on behalf of Defendant and Respondent Fresno Unified School District.</w:t>
      </w:r>
    </w:p>
    <w:p w:rsidR="008A62FD" w:rsidRPr="008A62FD" w:rsidP="008A62FD">
      <w:pPr>
        <w:spacing w:after="0" w:line="240" w:lineRule="auto"/>
        <w:jc w:val="left"/>
        <w:rPr>
          <w:color w:val="212121"/>
          <w:sz w:val="24"/>
          <w:szCs w:val="24"/>
          <w:shd w:val="clear" w:color="auto" w:fill="FFFFFF"/>
        </w:rPr>
      </w:pPr>
    </w:p>
    <w:p w:rsidR="008A62FD" w:rsidRPr="008A62FD" w:rsidP="008A62FD">
      <w:pPr>
        <w:spacing w:after="0" w:line="240" w:lineRule="auto"/>
        <w:jc w:val="left"/>
        <w:rPr>
          <w:color w:val="212121"/>
          <w:sz w:val="24"/>
          <w:szCs w:val="24"/>
          <w:shd w:val="clear" w:color="auto" w:fill="FFFFFF"/>
        </w:rPr>
      </w:pPr>
      <w:r w:rsidRPr="008A62FD">
        <w:rPr>
          <w:color w:val="212121"/>
          <w:sz w:val="24"/>
          <w:szCs w:val="24"/>
          <w:shd w:val="clear" w:color="auto" w:fill="FFFFFF"/>
        </w:rPr>
        <w:t>Tao Rossini and Martin A. Hom for Coalition for Adequate School Housing, Association of California Construction Managers and Torrance Unified School District as Amici Curiae on behalf of Defendant and Respondent Fresno Unified School District.</w:t>
      </w:r>
    </w:p>
    <w:p w:rsidR="008A62FD" w:rsidRPr="008A62FD" w:rsidP="008A62FD">
      <w:pPr>
        <w:spacing w:after="0" w:line="240" w:lineRule="auto"/>
        <w:jc w:val="left"/>
        <w:rPr>
          <w:color w:val="212121"/>
          <w:sz w:val="24"/>
          <w:szCs w:val="24"/>
          <w:shd w:val="clear" w:color="auto" w:fill="FFFFFF"/>
        </w:rPr>
      </w:pPr>
    </w:p>
    <w:p w:rsidR="008A62FD" w:rsidRPr="008A62FD" w:rsidP="008A62FD">
      <w:pPr>
        <w:spacing w:after="0" w:line="240" w:lineRule="auto"/>
        <w:jc w:val="left"/>
        <w:rPr>
          <w:color w:val="212121"/>
          <w:sz w:val="24"/>
          <w:szCs w:val="24"/>
          <w:shd w:val="clear" w:color="auto" w:fill="FFFFFF"/>
        </w:rPr>
      </w:pPr>
      <w:r w:rsidRPr="008A62FD">
        <w:rPr>
          <w:color w:val="212121"/>
          <w:sz w:val="24"/>
          <w:szCs w:val="24"/>
          <w:shd w:val="clear" w:color="auto" w:fill="FFFFFF"/>
        </w:rPr>
        <w:t>Whitney Thompson &amp; Jeffcoach, Timothy L. Thompson, Mandy L. Jeffcoach; Moskovitz Appellate Team, Myron Moskovitz; Baker Manock &amp; Jensen and Jerry H. Mann for Defendant and Respondent Harris Construction Company, Inc.</w:t>
      </w:r>
    </w:p>
    <w:p w:rsidR="008A62FD" w:rsidRPr="008A62FD" w:rsidP="008A62FD">
      <w:pPr>
        <w:spacing w:after="0" w:line="240" w:lineRule="auto"/>
        <w:jc w:val="left"/>
        <w:rPr>
          <w:color w:val="212121"/>
          <w:sz w:val="24"/>
          <w:szCs w:val="24"/>
          <w:shd w:val="clear" w:color="auto" w:fill="FFFFFF"/>
        </w:rPr>
      </w:pPr>
    </w:p>
    <w:p w:rsidR="008A62FD" w:rsidRPr="008A62FD" w:rsidP="008A62FD">
      <w:pPr>
        <w:spacing w:after="0" w:line="240" w:lineRule="auto"/>
        <w:jc w:val="left"/>
        <w:rPr>
          <w:color w:val="212121"/>
          <w:sz w:val="24"/>
          <w:szCs w:val="24"/>
          <w:shd w:val="clear" w:color="auto" w:fill="FFFFFF"/>
        </w:rPr>
      </w:pPr>
      <w:r w:rsidRPr="008A62FD">
        <w:rPr>
          <w:color w:val="212121"/>
          <w:sz w:val="24"/>
          <w:szCs w:val="24"/>
          <w:shd w:val="clear" w:color="auto" w:fill="FFFFFF"/>
        </w:rPr>
        <w:t xml:space="preserve">Colantuono, Highsmith &amp; Whatley, Michael G. Colantuono, Matthew C. Slentz and Conor W. Harkins for League of California Cities and California Special Districts Association as Amici Curiae on behalf of Defendants and Respondents. </w:t>
      </w:r>
    </w:p>
    <w:p w:rsidR="008A62FD" w:rsidRPr="008A62FD" w:rsidP="008A62FD">
      <w:pPr>
        <w:spacing w:after="0" w:line="240" w:lineRule="auto"/>
        <w:jc w:val="left"/>
        <w:rPr>
          <w:color w:val="212121"/>
          <w:sz w:val="24"/>
          <w:szCs w:val="24"/>
          <w:shd w:val="clear" w:color="auto" w:fill="FFFFFF"/>
        </w:rPr>
      </w:pPr>
    </w:p>
    <w:p w:rsidR="008A62FD" w:rsidRPr="008A62FD" w:rsidP="008A62FD">
      <w:pPr>
        <w:spacing w:after="0" w:line="240" w:lineRule="auto"/>
        <w:jc w:val="left"/>
        <w:rPr>
          <w:bCs/>
          <w:sz w:val="24"/>
          <w:szCs w:val="24"/>
        </w:rPr>
      </w:pPr>
      <w:r w:rsidRPr="008A62FD">
        <w:rPr>
          <w:color w:val="212121"/>
          <w:sz w:val="24"/>
          <w:szCs w:val="24"/>
          <w:shd w:val="clear" w:color="auto" w:fill="FFFFFF"/>
        </w:rPr>
        <w:t>Lozano Smith, Harold M. Freiman and Arne B. Sandberg for California Association of School Business Officials as Amicus Curiae on behalf of Defendants and Respondents.</w:t>
      </w:r>
      <w:r w:rsidRPr="008A62FD">
        <w:rPr>
          <w:color w:val="212121"/>
          <w:sz w:val="24"/>
          <w:szCs w:val="24"/>
          <w:shd w:val="clear" w:color="auto" w:fill="FFFFFF"/>
        </w:rPr>
        <w:br w:type="page"/>
      </w:r>
      <w:r w:rsidRPr="008A62FD">
        <w:rPr>
          <w:b/>
          <w:sz w:val="24"/>
          <w:szCs w:val="24"/>
        </w:rPr>
        <w:t>Counsel who argued in Supreme Court (not intended for publication with opinion):</w:t>
      </w:r>
    </w:p>
    <w:p w:rsidR="008A62FD" w:rsidRPr="008A62FD" w:rsidP="008A62FD">
      <w:pPr>
        <w:spacing w:after="0" w:line="240" w:lineRule="auto"/>
        <w:jc w:val="left"/>
        <w:rPr>
          <w:sz w:val="24"/>
          <w:szCs w:val="24"/>
        </w:rPr>
      </w:pPr>
    </w:p>
    <w:p w:rsidR="008A62FD" w:rsidRPr="008A62FD" w:rsidP="008A62FD">
      <w:pPr>
        <w:spacing w:after="0" w:line="240" w:lineRule="auto"/>
        <w:jc w:val="left"/>
        <w:rPr>
          <w:sz w:val="24"/>
          <w:szCs w:val="24"/>
        </w:rPr>
      </w:pPr>
      <w:r w:rsidRPr="008A62FD">
        <w:rPr>
          <w:sz w:val="24"/>
          <w:szCs w:val="24"/>
        </w:rPr>
        <w:t>Kevin R. Carlin</w:t>
      </w:r>
    </w:p>
    <w:p w:rsidR="008A62FD" w:rsidRPr="008A62FD" w:rsidP="008A62FD">
      <w:pPr>
        <w:spacing w:after="0" w:line="240" w:lineRule="auto"/>
        <w:jc w:val="left"/>
        <w:rPr>
          <w:sz w:val="24"/>
          <w:szCs w:val="24"/>
        </w:rPr>
      </w:pPr>
      <w:r w:rsidRPr="008A62FD">
        <w:rPr>
          <w:sz w:val="24"/>
          <w:szCs w:val="24"/>
        </w:rPr>
        <w:t>Carlin Law Group, APC</w:t>
      </w:r>
    </w:p>
    <w:p w:rsidR="008A62FD" w:rsidRPr="008A62FD" w:rsidP="008A62FD">
      <w:pPr>
        <w:spacing w:after="0" w:line="240" w:lineRule="auto"/>
        <w:jc w:val="left"/>
        <w:rPr>
          <w:sz w:val="24"/>
          <w:szCs w:val="24"/>
        </w:rPr>
      </w:pPr>
      <w:r w:rsidRPr="008A62FD">
        <w:rPr>
          <w:sz w:val="24"/>
          <w:szCs w:val="24"/>
        </w:rPr>
        <w:t>4452 Park Boulevard, Suite 310</w:t>
      </w:r>
    </w:p>
    <w:p w:rsidR="008A62FD" w:rsidRPr="008A62FD" w:rsidP="008A62FD">
      <w:pPr>
        <w:spacing w:after="0" w:line="240" w:lineRule="auto"/>
        <w:jc w:val="left"/>
        <w:rPr>
          <w:sz w:val="24"/>
          <w:szCs w:val="24"/>
        </w:rPr>
      </w:pPr>
      <w:r w:rsidRPr="008A62FD">
        <w:rPr>
          <w:sz w:val="24"/>
          <w:szCs w:val="24"/>
        </w:rPr>
        <w:t>San Diego, CA 92116</w:t>
      </w:r>
    </w:p>
    <w:p w:rsidR="008A62FD" w:rsidRPr="008A62FD" w:rsidP="008A62FD">
      <w:pPr>
        <w:spacing w:after="0" w:line="240" w:lineRule="auto"/>
        <w:jc w:val="left"/>
        <w:rPr>
          <w:sz w:val="24"/>
          <w:szCs w:val="24"/>
        </w:rPr>
      </w:pPr>
      <w:r w:rsidRPr="008A62FD">
        <w:rPr>
          <w:sz w:val="24"/>
          <w:szCs w:val="24"/>
        </w:rPr>
        <w:t>(619) 615-5325</w:t>
      </w:r>
    </w:p>
    <w:p w:rsidR="008A62FD" w:rsidRPr="008A62FD" w:rsidP="008A62FD">
      <w:pPr>
        <w:spacing w:after="0" w:line="240" w:lineRule="auto"/>
        <w:jc w:val="left"/>
        <w:rPr>
          <w:sz w:val="24"/>
          <w:szCs w:val="24"/>
        </w:rPr>
      </w:pPr>
    </w:p>
    <w:p w:rsidR="008A62FD" w:rsidRPr="008A62FD" w:rsidP="008A62FD">
      <w:pPr>
        <w:spacing w:after="0" w:line="240" w:lineRule="auto"/>
        <w:jc w:val="left"/>
        <w:rPr>
          <w:color w:val="212121"/>
          <w:sz w:val="24"/>
          <w:szCs w:val="24"/>
          <w:shd w:val="clear" w:color="auto" w:fill="FFFFFF"/>
        </w:rPr>
      </w:pPr>
      <w:r w:rsidRPr="008A62FD">
        <w:rPr>
          <w:color w:val="212121"/>
          <w:sz w:val="24"/>
          <w:szCs w:val="24"/>
          <w:shd w:val="clear" w:color="auto" w:fill="FFFFFF"/>
        </w:rPr>
        <w:t>Mark L. Creede</w:t>
      </w:r>
    </w:p>
    <w:p w:rsidR="008A62FD" w:rsidRPr="008A62FD" w:rsidP="008A62FD">
      <w:pPr>
        <w:spacing w:after="0" w:line="240" w:lineRule="auto"/>
        <w:jc w:val="left"/>
        <w:rPr>
          <w:sz w:val="24"/>
          <w:szCs w:val="24"/>
        </w:rPr>
      </w:pPr>
      <w:r w:rsidRPr="008A62FD">
        <w:rPr>
          <w:sz w:val="24"/>
          <w:szCs w:val="24"/>
        </w:rPr>
        <w:t>Lang, Richert &amp; Patch</w:t>
      </w:r>
    </w:p>
    <w:p w:rsidR="008A62FD" w:rsidRPr="008A62FD" w:rsidP="008A62FD">
      <w:pPr>
        <w:spacing w:after="0" w:line="240" w:lineRule="auto"/>
        <w:jc w:val="left"/>
        <w:rPr>
          <w:sz w:val="24"/>
          <w:szCs w:val="24"/>
        </w:rPr>
      </w:pPr>
      <w:r w:rsidRPr="008A62FD">
        <w:rPr>
          <w:sz w:val="24"/>
          <w:szCs w:val="24"/>
        </w:rPr>
        <w:t>P.O. Box 40012</w:t>
      </w:r>
    </w:p>
    <w:p w:rsidR="008A62FD" w:rsidRPr="008A62FD" w:rsidP="008A62FD">
      <w:pPr>
        <w:spacing w:after="0" w:line="240" w:lineRule="auto"/>
        <w:jc w:val="left"/>
        <w:rPr>
          <w:sz w:val="24"/>
          <w:szCs w:val="24"/>
        </w:rPr>
      </w:pPr>
      <w:r w:rsidRPr="008A62FD">
        <w:rPr>
          <w:sz w:val="24"/>
          <w:szCs w:val="24"/>
        </w:rPr>
        <w:t>Fresno, CA 93755</w:t>
      </w:r>
    </w:p>
    <w:p w:rsidR="008A62FD" w:rsidRPr="008A62FD" w:rsidP="008A62FD">
      <w:pPr>
        <w:spacing w:after="0" w:line="240" w:lineRule="auto"/>
        <w:jc w:val="left"/>
        <w:rPr>
          <w:sz w:val="24"/>
          <w:szCs w:val="24"/>
        </w:rPr>
      </w:pPr>
      <w:r w:rsidRPr="008A62FD">
        <w:rPr>
          <w:sz w:val="24"/>
          <w:szCs w:val="24"/>
        </w:rPr>
        <w:t>(559) 228-6700</w:t>
      </w:r>
    </w:p>
    <w:p w:rsidR="008A62FD" w:rsidRPr="008A62FD" w:rsidP="008A62FD">
      <w:pPr>
        <w:spacing w:after="0" w:line="240" w:lineRule="auto"/>
        <w:jc w:val="left"/>
        <w:rPr>
          <w:sz w:val="24"/>
          <w:szCs w:val="24"/>
        </w:rPr>
      </w:pPr>
    </w:p>
    <w:p w:rsidR="008A62FD" w:rsidRPr="008A62FD" w:rsidP="008A62FD">
      <w:pPr>
        <w:spacing w:after="0" w:line="240" w:lineRule="auto"/>
        <w:jc w:val="left"/>
        <w:rPr>
          <w:color w:val="212121"/>
          <w:sz w:val="24"/>
          <w:szCs w:val="24"/>
          <w:shd w:val="clear" w:color="auto" w:fill="FFFFFF"/>
        </w:rPr>
      </w:pPr>
      <w:r w:rsidRPr="008A62FD">
        <w:rPr>
          <w:color w:val="212121"/>
          <w:sz w:val="24"/>
          <w:szCs w:val="24"/>
          <w:shd w:val="clear" w:color="auto" w:fill="FFFFFF"/>
        </w:rPr>
        <w:t>Myron Moskovitz</w:t>
      </w:r>
    </w:p>
    <w:p w:rsidR="008A62FD" w:rsidRPr="008A62FD" w:rsidP="008A62FD">
      <w:pPr>
        <w:spacing w:after="0" w:line="240" w:lineRule="auto"/>
        <w:jc w:val="left"/>
        <w:rPr>
          <w:sz w:val="24"/>
          <w:szCs w:val="24"/>
        </w:rPr>
      </w:pPr>
      <w:r w:rsidRPr="008A62FD">
        <w:rPr>
          <w:sz w:val="24"/>
          <w:szCs w:val="24"/>
        </w:rPr>
        <w:t>Moskovitz Appellate Team</w:t>
      </w:r>
    </w:p>
    <w:p w:rsidR="008A62FD" w:rsidRPr="008A62FD" w:rsidP="008A62FD">
      <w:pPr>
        <w:spacing w:after="0" w:line="240" w:lineRule="auto"/>
        <w:jc w:val="left"/>
        <w:rPr>
          <w:sz w:val="24"/>
          <w:szCs w:val="24"/>
        </w:rPr>
      </w:pPr>
      <w:r w:rsidRPr="008A62FD">
        <w:rPr>
          <w:sz w:val="24"/>
          <w:szCs w:val="24"/>
        </w:rPr>
        <w:t>90 Crocker Avenue</w:t>
      </w:r>
    </w:p>
    <w:p w:rsidR="008A62FD" w:rsidRPr="008A62FD" w:rsidP="008A62FD">
      <w:pPr>
        <w:spacing w:after="0" w:line="240" w:lineRule="auto"/>
        <w:jc w:val="left"/>
        <w:rPr>
          <w:sz w:val="24"/>
          <w:szCs w:val="24"/>
        </w:rPr>
      </w:pPr>
      <w:r w:rsidRPr="008A62FD">
        <w:rPr>
          <w:sz w:val="24"/>
          <w:szCs w:val="24"/>
        </w:rPr>
        <w:t>Piedmont, CA 94611</w:t>
      </w:r>
    </w:p>
    <w:p w:rsidR="008A62FD" w:rsidRPr="008A62FD" w:rsidP="008A62FD">
      <w:pPr>
        <w:spacing w:after="0" w:line="240" w:lineRule="auto"/>
        <w:jc w:val="left"/>
        <w:rPr>
          <w:sz w:val="24"/>
          <w:szCs w:val="24"/>
        </w:rPr>
      </w:pPr>
      <w:r w:rsidRPr="008A62FD">
        <w:rPr>
          <w:sz w:val="24"/>
          <w:szCs w:val="24"/>
        </w:rPr>
        <w:t>(510) 384-0354</w:t>
      </w:r>
    </w:p>
    <w:p w:rsidR="001A0395" w:rsidRPr="00AF343B" w:rsidP="00104FD7">
      <w:pPr>
        <w:tabs>
          <w:tab w:val="left" w:pos="1440"/>
        </w:tabs>
        <w:spacing w:after="0" w:line="240" w:lineRule="auto"/>
        <w:rPr>
          <w:b/>
          <w:smallCaps/>
        </w:rPr>
      </w:pP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904">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F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343B">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12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12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7FE3">
      <w:r>
        <w:separator/>
      </w:r>
    </w:p>
  </w:footnote>
  <w:footnote w:type="continuationSeparator" w:id="1">
    <w:p w:rsidR="00D87FE3">
      <w:pPr>
        <w:rPr>
          <w:sz w:val="22"/>
        </w:rPr>
      </w:pPr>
      <w:r>
        <w:continuationSeparator/>
      </w:r>
    </w:p>
  </w:footnote>
  <w:footnote w:type="continuationNotice" w:id="2">
    <w:p w:rsidR="00D87FE3">
      <w:pPr>
        <w:jc w:val="right"/>
        <w:rPr>
          <w:i/>
          <w:sz w:val="20"/>
        </w:rPr>
      </w:pPr>
    </w:p>
  </w:footnote>
  <w:footnote w:id="3">
    <w:p w:rsidR="004B6F2E" w:rsidP="00AF343B">
      <w:pPr>
        <w:pStyle w:val="FootnoteText"/>
      </w:pPr>
      <w:r>
        <w:rPr>
          <w:rStyle w:val="FootnoteReference"/>
        </w:rPr>
        <w:footnoteRef/>
      </w:r>
      <w:r>
        <w:t xml:space="preserve"> </w:t>
      </w:r>
      <w:r>
        <w:tab/>
      </w:r>
      <w:r w:rsidR="00C0002A">
        <w:t xml:space="preserve">The withholding of </w:t>
      </w:r>
      <w:r>
        <w:t>“retainage”</w:t>
      </w:r>
      <w:r w:rsidR="007951E4">
        <w:t xml:space="preserve"> </w:t>
      </w:r>
      <w:r w:rsidR="00C0002A">
        <w:t xml:space="preserve">until construction of the entire project is complete </w:t>
      </w:r>
      <w:r w:rsidR="007951E4">
        <w:t xml:space="preserve">is a </w:t>
      </w:r>
      <w:r>
        <w:t xml:space="preserve">standard practice in </w:t>
      </w:r>
      <w:r w:rsidR="00C0002A">
        <w:t xml:space="preserve">the </w:t>
      </w:r>
      <w:r>
        <w:t xml:space="preserve">construction </w:t>
      </w:r>
      <w:r w:rsidR="00C0002A">
        <w:t xml:space="preserve">industry.  Retainage </w:t>
      </w:r>
      <w:r w:rsidR="00E74CF7">
        <w:t xml:space="preserve">is usually five or </w:t>
      </w:r>
      <w:r w:rsidR="008F2FDC">
        <w:t>10</w:t>
      </w:r>
      <w:r w:rsidR="00E74CF7">
        <w:t xml:space="preserve"> percent of the amount otherwise due</w:t>
      </w:r>
      <w:r>
        <w:t>.</w:t>
      </w:r>
      <w:r w:rsidR="00E74CF7">
        <w:t xml:space="preserve">  </w:t>
      </w:r>
      <w:r>
        <w:t xml:space="preserve">(See </w:t>
      </w:r>
      <w:r w:rsidRPr="00D45166">
        <w:rPr>
          <w:i/>
          <w:iCs/>
        </w:rPr>
        <w:t>United Riggers &amp; Erectors, Inc. v. Coast Iron &amp; Steel Co.</w:t>
      </w:r>
      <w:r>
        <w:t xml:space="preserve"> </w:t>
      </w:r>
      <w:r w:rsidR="00D45166">
        <w:t>(</w:t>
      </w:r>
      <w:r>
        <w:t>2018</w:t>
      </w:r>
      <w:r w:rsidR="00D45166">
        <w:t xml:space="preserve">) </w:t>
      </w:r>
      <w:r>
        <w:t>4 Cal.5th</w:t>
      </w:r>
      <w:r w:rsidR="00D45166">
        <w:t xml:space="preserve"> </w:t>
      </w:r>
      <w:r>
        <w:t>1082</w:t>
      </w:r>
      <w:r w:rsidR="00D45166">
        <w:t>, 1087–1088;</w:t>
      </w:r>
      <w:r w:rsidRPr="00D45166" w:rsidR="00D45166">
        <w:t xml:space="preserve"> </w:t>
      </w:r>
      <w:r w:rsidRPr="00D45166" w:rsidR="00D45166">
        <w:rPr>
          <w:i/>
          <w:iCs/>
        </w:rPr>
        <w:t>Cates Construction, Inc. v. Talbot Partners</w:t>
      </w:r>
      <w:r w:rsidRPr="00D45166" w:rsidR="00D45166">
        <w:t xml:space="preserve"> (1999) 21 Cal.4th 28, 55; </w:t>
      </w:r>
      <w:r w:rsidRPr="00D45166" w:rsidR="00D45166">
        <w:rPr>
          <w:i/>
          <w:iCs/>
        </w:rPr>
        <w:t>Yassin v. Solis</w:t>
      </w:r>
      <w:r w:rsidRPr="00D45166" w:rsidR="00D45166">
        <w:t xml:space="preserve"> (2010) 184 Cal.App.4th 524, 533–534; </w:t>
      </w:r>
      <w:r w:rsidRPr="00D45166" w:rsidR="00D45166">
        <w:rPr>
          <w:i/>
          <w:iCs/>
        </w:rPr>
        <w:t>McAndrew v. Hazegh</w:t>
      </w:r>
      <w:r w:rsidRPr="00D45166" w:rsidR="00D45166">
        <w:t xml:space="preserve"> (2005) 128 Cal.App.4th 1563, 1566–1567</w:t>
      </w:r>
      <w:r w:rsidR="00D45166">
        <w:t>.)</w:t>
      </w:r>
    </w:p>
  </w:footnote>
  <w:footnote w:id="4">
    <w:p w:rsidR="00412A22" w:rsidP="00AF343B">
      <w:pPr>
        <w:pStyle w:val="FootnoteText"/>
      </w:pPr>
      <w:r>
        <w:rPr>
          <w:rStyle w:val="FootnoteReference"/>
        </w:rPr>
        <w:footnoteRef/>
      </w:r>
      <w:r>
        <w:t xml:space="preserve"> </w:t>
      </w:r>
      <w:r>
        <w:tab/>
        <w:t>For convenience, we collectively refer to these provisions of the Code of Civil Procedure as “the validation statutes</w:t>
      </w:r>
      <w:r w:rsidR="001C6B3D">
        <w:t>.</w:t>
      </w:r>
      <w:r>
        <w:t>”</w:t>
      </w:r>
    </w:p>
  </w:footnote>
  <w:footnote w:id="5">
    <w:p w:rsidR="00FC7100" w:rsidP="00AF343B">
      <w:pPr>
        <w:pStyle w:val="FootnoteText"/>
      </w:pPr>
      <w:r>
        <w:rPr>
          <w:rStyle w:val="FootnoteReference"/>
        </w:rPr>
        <w:footnoteRef/>
      </w:r>
      <w:r>
        <w:t xml:space="preserve"> </w:t>
      </w:r>
      <w:r>
        <w:tab/>
      </w:r>
      <w:r w:rsidR="00FE11AC">
        <w:t xml:space="preserve">As of the date defendants entered into the lease-leaseback arrangement at issue here, </w:t>
      </w:r>
      <w:r w:rsidR="00236EDF">
        <w:t xml:space="preserve">former </w:t>
      </w:r>
      <w:r w:rsidR="00FE11AC">
        <w:t>section 17406 provided:  “(a) Notwithstanding Section 17417, the governing board of a school district, without advertising for bids, may let, for a minimum rental of one dollar ($1) a year, to any person, firm, or corporation any real property that belongs to the district if the instrument by which such property is let requires the lessee therein to construct on the demised premises, or provide for the construction thereon of, a building or buildings for the use of the school district during the term thereof, and provides that title to that building shall vest in the school district at the expiration of that term.  The instrument may provide for the means or methods by which that title shall vest in the school district prior to the expiration of that term, and shall contain such other terms and conditions as the governing board may deem to be in the best interest of the school district.  [¶]  (b) Any rental of property that complies with subdivision (a) shall be deemed to have thereby required the payment of adequate consideration for purposes of Section 6 of Article XVI of the California Constitution.”  (Stats. 1996, ch. 277, § 3, p. 2126.)</w:t>
      </w:r>
      <w:r w:rsidR="001A72B6">
        <w:t xml:space="preserve">  This provision was </w:t>
      </w:r>
      <w:r w:rsidR="0029761E">
        <w:t xml:space="preserve">first </w:t>
      </w:r>
      <w:r w:rsidR="001A72B6">
        <w:t xml:space="preserve">enacted as Education Code </w:t>
      </w:r>
      <w:r w:rsidR="00236EDF">
        <w:t xml:space="preserve">former </w:t>
      </w:r>
      <w:r w:rsidR="001A72B6">
        <w:t xml:space="preserve">section 18355.  (Stats. 1957, ch. 2071, § 1, p. 3683.)  </w:t>
      </w:r>
      <w:r w:rsidR="0060710E">
        <w:t>I</w:t>
      </w:r>
      <w:r w:rsidR="001A72B6">
        <w:t xml:space="preserve">n 1959, it was renumbered as </w:t>
      </w:r>
      <w:r w:rsidR="00236EDF">
        <w:t xml:space="preserve">former </w:t>
      </w:r>
      <w:r w:rsidR="001A72B6">
        <w:t xml:space="preserve">section 15705.  (Stats. 1959, ch. 2, § 1, pp. 1086–1087.)  Then, in 1976, it was renumbered as </w:t>
      </w:r>
      <w:r w:rsidR="00236EDF">
        <w:t xml:space="preserve">former </w:t>
      </w:r>
      <w:r w:rsidR="001A72B6">
        <w:t>section 39305.  (Stats. 1976, ch. 1010, § 2, p. 3167.)  Finally, in 1996, it was given its present number.  (Stats. 1996, ch. 277, § 3, p. 2126.)</w:t>
      </w:r>
    </w:p>
  </w:footnote>
  <w:footnote w:id="6">
    <w:p w:rsidR="00F7481F" w:rsidP="00AF343B">
      <w:pPr>
        <w:pStyle w:val="FootnoteText"/>
      </w:pPr>
      <w:r>
        <w:rPr>
          <w:rStyle w:val="FootnoteReference"/>
        </w:rPr>
        <w:footnoteRef/>
      </w:r>
      <w:r>
        <w:t xml:space="preserve"> </w:t>
      </w:r>
      <w:r>
        <w:tab/>
        <w:t xml:space="preserve">The Legislature has shown some concern about the fact that lease-leaseback arrangements are exempt from competitive bidding.  Section 17406 </w:t>
      </w:r>
      <w:r w:rsidRPr="00FA5A5A">
        <w:t xml:space="preserve">was amended </w:t>
      </w:r>
      <w:r>
        <w:t xml:space="preserve">in 2016 </w:t>
      </w:r>
      <w:r w:rsidR="0047169D">
        <w:t>(after the project at issue in th</w:t>
      </w:r>
      <w:r w:rsidR="00661A0F">
        <w:t xml:space="preserve">e present </w:t>
      </w:r>
      <w:r w:rsidR="0047169D">
        <w:t xml:space="preserve">case was complete) </w:t>
      </w:r>
      <w:r w:rsidRPr="00FA5A5A">
        <w:t xml:space="preserve">to impose </w:t>
      </w:r>
      <w:r w:rsidR="004E446E">
        <w:t xml:space="preserve">a </w:t>
      </w:r>
      <w:r w:rsidRPr="00FA5A5A">
        <w:t>competitive bidding requirement</w:t>
      </w:r>
      <w:r>
        <w:t>,</w:t>
      </w:r>
      <w:r w:rsidRPr="00FA5A5A">
        <w:t xml:space="preserve"> effective January 1, 2017</w:t>
      </w:r>
      <w:r>
        <w:t xml:space="preserve"> </w:t>
      </w:r>
      <w:r w:rsidRPr="00FA5A5A">
        <w:t>(</w:t>
      </w:r>
      <w:r>
        <w:t xml:space="preserve">see </w:t>
      </w:r>
      <w:r w:rsidRPr="00FA5A5A">
        <w:t>Stats. 2016, ch. 521, § 2)</w:t>
      </w:r>
      <w:r>
        <w:t>, but t</w:t>
      </w:r>
      <w:r w:rsidRPr="00FA5A5A">
        <w:t>hat amendment</w:t>
      </w:r>
      <w:r>
        <w:t xml:space="preserve"> </w:t>
      </w:r>
      <w:r w:rsidR="00661A0F">
        <w:t xml:space="preserve">also </w:t>
      </w:r>
      <w:r>
        <w:t xml:space="preserve">included </w:t>
      </w:r>
      <w:r w:rsidRPr="00FA5A5A">
        <w:t xml:space="preserve">a sunset provision, </w:t>
      </w:r>
      <w:r>
        <w:t xml:space="preserve">meaning that </w:t>
      </w:r>
      <w:r w:rsidRPr="00FA5A5A">
        <w:t>the law w</w:t>
      </w:r>
      <w:r>
        <w:t xml:space="preserve">ould </w:t>
      </w:r>
      <w:r w:rsidRPr="00FA5A5A">
        <w:t>revert to its pre-2017 form on July 1, 2022</w:t>
      </w:r>
      <w:r>
        <w:t xml:space="preserve"> </w:t>
      </w:r>
      <w:r w:rsidRPr="00FA5A5A">
        <w:t>(</w:t>
      </w:r>
      <w:r>
        <w:t xml:space="preserve">see </w:t>
      </w:r>
      <w:r w:rsidRPr="00FA5A5A">
        <w:t>Stats. 2016, ch. 521, § 3</w:t>
      </w:r>
      <w:r>
        <w:t>)</w:t>
      </w:r>
      <w:r w:rsidRPr="00FA5A5A">
        <w:t>.</w:t>
      </w:r>
      <w:r>
        <w:t xml:space="preserve">  In 2021, the sunset provision was extended to July 1, 2027.  (See Stats. 2021, ch. 666, § 5.)</w:t>
      </w:r>
    </w:p>
  </w:footnote>
  <w:footnote w:id="7">
    <w:p w:rsidR="00B434E9" w:rsidP="00AF343B">
      <w:pPr>
        <w:pStyle w:val="FootnoteText"/>
      </w:pPr>
      <w:r>
        <w:rPr>
          <w:rStyle w:val="FootnoteReference"/>
        </w:rPr>
        <w:footnoteRef/>
      </w:r>
      <w:r>
        <w:t xml:space="preserve"> </w:t>
      </w:r>
      <w:r>
        <w:tab/>
        <w:t>Code of Civil Procedure section 860 provides:  “</w:t>
      </w:r>
      <w:r w:rsidRPr="00B434E9">
        <w:t xml:space="preserve">A public agency may upon the existence of any matter which under any other law is authorized to be determined pursuant to this chapter, and for 60 days thereafter, bring an action in the superior court of the county in which the principal office of the public agency is located to determine the validity of such matter. </w:t>
      </w:r>
      <w:r w:rsidR="00D672CB">
        <w:t xml:space="preserve"> </w:t>
      </w:r>
      <w:r w:rsidRPr="00B434E9">
        <w:t>The action shall be in the nature of a proceeding in rem.</w:t>
      </w:r>
      <w:r>
        <w:t>”</w:t>
      </w:r>
    </w:p>
  </w:footnote>
  <w:footnote w:id="8">
    <w:p w:rsidR="00565840" w:rsidP="00AF343B">
      <w:pPr>
        <w:pStyle w:val="FootnoteText"/>
      </w:pPr>
      <w:r>
        <w:rPr>
          <w:rStyle w:val="FootnoteReference"/>
        </w:rPr>
        <w:footnoteRef/>
      </w:r>
      <w:r>
        <w:t xml:space="preserve"> </w:t>
      </w:r>
      <w:r>
        <w:tab/>
      </w:r>
      <w:r w:rsidR="000C17C2">
        <w:t xml:space="preserve">Several of these cases involve tax increment financing.  </w:t>
      </w:r>
      <w:r w:rsidR="00DB7D8D">
        <w:t xml:space="preserve">We described </w:t>
      </w:r>
      <w:r w:rsidR="000C17C2">
        <w:t xml:space="preserve">such </w:t>
      </w:r>
      <w:r w:rsidR="00DB7D8D">
        <w:t xml:space="preserve">financing in </w:t>
      </w:r>
      <w:r w:rsidRPr="00DB7D8D" w:rsidR="00DB7D8D">
        <w:rPr>
          <w:i/>
          <w:iCs/>
        </w:rPr>
        <w:t xml:space="preserve">Amador Valley Joint High </w:t>
      </w:r>
      <w:r w:rsidRPr="00DB7D8D" w:rsidR="00C21BBC">
        <w:rPr>
          <w:i/>
          <w:iCs/>
        </w:rPr>
        <w:t>Sch</w:t>
      </w:r>
      <w:r w:rsidR="00C21BBC">
        <w:rPr>
          <w:i/>
          <w:iCs/>
        </w:rPr>
        <w:t>.</w:t>
      </w:r>
      <w:r w:rsidRPr="00DB7D8D" w:rsidR="00C21BBC">
        <w:rPr>
          <w:i/>
          <w:iCs/>
        </w:rPr>
        <w:t xml:space="preserve"> </w:t>
      </w:r>
      <w:r w:rsidRPr="00DB7D8D" w:rsidR="00DB7D8D">
        <w:rPr>
          <w:i/>
          <w:iCs/>
        </w:rPr>
        <w:t>Dist. v. State Bd. of Equalization</w:t>
      </w:r>
      <w:r w:rsidR="00DB7D8D">
        <w:t xml:space="preserve"> (1978) 22 Cal.3d 208:  </w:t>
      </w:r>
      <w:r>
        <w:t>“</w:t>
      </w:r>
      <w:r w:rsidRPr="00565840">
        <w:t xml:space="preserve">Redevelopment bonds are secured by a pledge of so-called </w:t>
      </w:r>
      <w:r>
        <w:t>‘</w:t>
      </w:r>
      <w:r w:rsidRPr="00565840">
        <w:t>tax increment</w:t>
      </w:r>
      <w:r>
        <w:t>’</w:t>
      </w:r>
      <w:r w:rsidRPr="00565840">
        <w:t xml:space="preserve"> revenues generated by increases in the assessed</w:t>
      </w:r>
      <w:r>
        <w:t xml:space="preserve"> </w:t>
      </w:r>
      <w:r w:rsidRPr="00565840">
        <w:t>value of the redeveloped property.</w:t>
      </w:r>
      <w:r>
        <w:t xml:space="preserve">  [Citations.]</w:t>
      </w:r>
      <w:r w:rsidR="00DB7D8D">
        <w:t> . . .  ‘</w:t>
      </w:r>
      <w:r w:rsidRPr="00565840">
        <w:t xml:space="preserve">In essence </w:t>
      </w:r>
      <w:r w:rsidR="00DB7D8D">
        <w:t xml:space="preserve">[the state </w:t>
      </w:r>
      <w:r w:rsidR="00C21BBC">
        <w:t>C</w:t>
      </w:r>
      <w:r w:rsidR="00DB7D8D">
        <w:t xml:space="preserve">onstitution] </w:t>
      </w:r>
      <w:r w:rsidRPr="00565840">
        <w:t xml:space="preserve">provides that if, after a redevelopment project has been approved, the assessed valuation of taxable property in the project increases, the taxes levied on such property in the project area are divided between the taxing agency and the redevelopment agency. </w:t>
      </w:r>
      <w:r w:rsidR="00DB7D8D">
        <w:t xml:space="preserve"> </w:t>
      </w:r>
      <w:r w:rsidRPr="00565840">
        <w:t>The taxing agency receives the same amount of money it would have realized under the assessed valuation existing at the time the project was approved, while the additional money resulting from the rise in assessed valuation is placed in a special fund for repayment of indebtedness incurred in financing the project.</w:t>
      </w:r>
      <w:r w:rsidR="00DB7D8D">
        <w:t>’</w:t>
      </w:r>
      <w:r w:rsidR="00C21BBC">
        <w:t> </w:t>
      </w:r>
      <w:r w:rsidR="00DB7D8D">
        <w:t>”  (</w:t>
      </w:r>
      <w:r w:rsidRPr="00DB7D8D" w:rsidR="00DB7D8D">
        <w:rPr>
          <w:i/>
          <w:iCs/>
        </w:rPr>
        <w:t>Id</w:t>
      </w:r>
      <w:r w:rsidR="00DB7D8D">
        <w:t>. at p. 239</w:t>
      </w:r>
      <w:r w:rsidR="00C21BBC">
        <w:t>.</w:t>
      </w:r>
      <w:r w:rsidR="00DB7D8D">
        <w:t>)</w:t>
      </w:r>
    </w:p>
  </w:footnote>
  <w:footnote w:id="9">
    <w:p w:rsidR="007D0C25" w:rsidP="00AF343B">
      <w:pPr>
        <w:pStyle w:val="FootnoteText"/>
      </w:pPr>
      <w:r>
        <w:rPr>
          <w:rStyle w:val="FootnoteReference"/>
        </w:rPr>
        <w:footnoteRef/>
      </w:r>
      <w:r>
        <w:t xml:space="preserve"> </w:t>
      </w:r>
      <w:r>
        <w:tab/>
      </w:r>
      <w:r w:rsidR="00B93746">
        <w:t>U</w:t>
      </w:r>
      <w:r>
        <w:t xml:space="preserve">nder section 53511, the District </w:t>
      </w:r>
      <w:r w:rsidR="00CF2CF8">
        <w:t xml:space="preserve">was free to </w:t>
      </w:r>
      <w:r>
        <w:t>br</w:t>
      </w:r>
      <w:r w:rsidR="00880B65">
        <w:t xml:space="preserve">ing </w:t>
      </w:r>
      <w:r>
        <w:t>a validation action to confirm the validity of its bonds</w:t>
      </w:r>
      <w:r w:rsidR="00B93746">
        <w:t xml:space="preserve">, </w:t>
      </w:r>
      <w:r w:rsidR="004C22B7">
        <w:t>thus ensur</w:t>
      </w:r>
      <w:r w:rsidR="00B93746">
        <w:t>ing</w:t>
      </w:r>
      <w:r w:rsidR="004C22B7">
        <w:t xml:space="preserve"> their marketability.</w:t>
      </w:r>
    </w:p>
  </w:footnote>
  <w:footnote w:id="10">
    <w:p w:rsidR="006267FC">
      <w:pPr>
        <w:pStyle w:val="FootnoteText"/>
      </w:pPr>
      <w:r>
        <w:rPr>
          <w:rStyle w:val="FootnoteReference"/>
        </w:rPr>
        <w:footnoteRef/>
      </w:r>
      <w:r>
        <w:t xml:space="preserve"> </w:t>
      </w:r>
      <w:r>
        <w:tab/>
        <w:t xml:space="preserve">This reasoning applies both </w:t>
      </w:r>
      <w:r w:rsidR="00007085">
        <w:t xml:space="preserve">to </w:t>
      </w:r>
      <w:r>
        <w:t xml:space="preserve">the initial marketability of the bonds and </w:t>
      </w:r>
      <w:r w:rsidR="00007085">
        <w:t xml:space="preserve">to </w:t>
      </w:r>
      <w:r>
        <w:t>their subsequent marketability.</w:t>
      </w:r>
    </w:p>
  </w:footnote>
  <w:footnote w:id="11">
    <w:p w:rsidR="00D16C84" w:rsidP="00AF343B">
      <w:pPr>
        <w:pStyle w:val="FootnoteText"/>
      </w:pPr>
      <w:r>
        <w:rPr>
          <w:rStyle w:val="FootnoteReference"/>
        </w:rPr>
        <w:footnoteRef/>
      </w:r>
      <w:r>
        <w:t xml:space="preserve"> </w:t>
      </w:r>
      <w:r>
        <w:tab/>
      </w:r>
      <w:r w:rsidRPr="00D16C84">
        <w:t xml:space="preserve">These tests require (1) that 85 percent of the net sale proceeds be allocated for expenditure within three years of the issue date (the expenditure test), (2) that the issuer enter into a binding obligation within six months of the issue date to expend five percent of the net sale proceeds (the time test), and (3) that the issuer proceed with due diligence toward completion of the project (the due diligence test).  </w:t>
      </w:r>
      <w:r>
        <w:t xml:space="preserve">(See </w:t>
      </w:r>
      <w:r w:rsidRPr="00D92DAE">
        <w:t>26 C</w:t>
      </w:r>
      <w:r>
        <w:t>.</w:t>
      </w:r>
      <w:r w:rsidRPr="00D92DAE">
        <w:t>F</w:t>
      </w:r>
      <w:r>
        <w:t>.</w:t>
      </w:r>
      <w:r w:rsidRPr="00D92DAE">
        <w:t>R</w:t>
      </w:r>
      <w:r>
        <w:t>.</w:t>
      </w:r>
      <w:r w:rsidRPr="00D92DAE">
        <w:t xml:space="preserve"> §</w:t>
      </w:r>
      <w:r>
        <w:t> </w:t>
      </w:r>
      <w:r w:rsidRPr="00D92DAE">
        <w:t>1.148-2</w:t>
      </w:r>
      <w:r>
        <w:t>(e)(2)(i)</w:t>
      </w:r>
      <w:r w:rsidR="007574C3">
        <w:t xml:space="preserve"> (2023)</w:t>
      </w:r>
      <w:r w:rsidRPr="00D16C84">
        <w:t xml:space="preserve">.)  </w:t>
      </w:r>
    </w:p>
  </w:footnote>
  <w:footnote w:id="12">
    <w:p w:rsidR="008734A4" w:rsidP="00AF343B">
      <w:pPr>
        <w:pStyle w:val="FootnoteText"/>
      </w:pPr>
      <w:r>
        <w:rPr>
          <w:rStyle w:val="FootnoteReference"/>
        </w:rPr>
        <w:footnoteRef/>
      </w:r>
      <w:r>
        <w:t xml:space="preserve"> </w:t>
      </w:r>
      <w:r>
        <w:tab/>
        <w:t xml:space="preserve">In its </w:t>
      </w:r>
      <w:r w:rsidR="007574C3">
        <w:t>“</w:t>
      </w:r>
      <w:r>
        <w:t>Certificate as to Arbitrage,</w:t>
      </w:r>
      <w:r w:rsidR="007574C3">
        <w:t>”</w:t>
      </w:r>
      <w:r>
        <w:t xml:space="preserve"> the District </w:t>
      </w:r>
      <w:r w:rsidR="00391134">
        <w:t>averr</w:t>
      </w:r>
      <w:r w:rsidR="00477AAA">
        <w:t xml:space="preserve">ed </w:t>
      </w:r>
      <w:r>
        <w:t xml:space="preserve">that it would comply with federal tax law regardless of any delay of its planned construction projects.  It said:  “Proceeds of the Bonds and interest earnings and gains thereon, if any, remaining in the Building Funds following the 3-year Temporary Period will be invested at a yield not in excess of the yield of the Bonds . . . </w:t>
      </w:r>
      <w:r w:rsidRPr="00327443">
        <w:rPr>
          <w:i/>
          <w:iCs/>
        </w:rPr>
        <w:t>or yield reduction payments under Section 148 of the Internal Revenue Code of 1986, as amended . . . , will be made to the federal government with respect to such investment after the end of the 3-year Temporary Period</w:t>
      </w:r>
      <w:r>
        <w:t xml:space="preserve">.”  (Italics added.)  </w:t>
      </w:r>
    </w:p>
  </w:footnote>
  <w:footnote w:id="13">
    <w:p w:rsidR="00A53C7D" w:rsidP="00AF343B">
      <w:pPr>
        <w:pStyle w:val="FootnoteText"/>
      </w:pPr>
      <w:r>
        <w:rPr>
          <w:rStyle w:val="FootnoteReference"/>
        </w:rPr>
        <w:footnoteRef/>
      </w:r>
      <w:r>
        <w:t xml:space="preserve"> </w:t>
      </w:r>
      <w:r>
        <w:tab/>
        <w:t xml:space="preserve">The District </w:t>
      </w:r>
      <w:r w:rsidR="00CC5365">
        <w:t xml:space="preserve">relies on the facts rather than the </w:t>
      </w:r>
      <w:r w:rsidRPr="00A53C7D">
        <w:rPr>
          <w:i/>
          <w:iCs/>
        </w:rPr>
        <w:t>holding</w:t>
      </w:r>
      <w:r>
        <w:t xml:space="preserve"> of </w:t>
      </w:r>
      <w:r w:rsidRPr="00A53C7D">
        <w:rPr>
          <w:i/>
          <w:iCs/>
        </w:rPr>
        <w:t>Weiss</w:t>
      </w:r>
      <w:r>
        <w:t xml:space="preserve"> </w:t>
      </w:r>
      <w:r w:rsidR="00CC5365">
        <w:t xml:space="preserve">because </w:t>
      </w:r>
      <w:r w:rsidRPr="00A53C7D">
        <w:rPr>
          <w:i/>
          <w:iCs/>
        </w:rPr>
        <w:t>Weiss</w:t>
      </w:r>
      <w:r>
        <w:t xml:space="preserve"> concerned a</w:t>
      </w:r>
      <w:r w:rsidR="004B3125">
        <w:t xml:space="preserve">n </w:t>
      </w:r>
      <w:r>
        <w:t xml:space="preserve">issue </w:t>
      </w:r>
      <w:r w:rsidR="004B3125">
        <w:t xml:space="preserve">different </w:t>
      </w:r>
      <w:r>
        <w:t>than th</w:t>
      </w:r>
      <w:r w:rsidR="004B3125">
        <w:t>e one</w:t>
      </w:r>
      <w:r>
        <w:t xml:space="preserve"> before 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343B">
    <w:pPr>
      <w:pStyle w:val="Header"/>
    </w:pPr>
    <w:r>
      <w:t>DAVIS v. FRESNO UNIFIED SCHOOL DIST</w:t>
    </w:r>
    <w:r w:rsidR="002E299F">
      <w:t>RICT</w:t>
    </w:r>
  </w:p>
  <w:p w:rsidR="00AF343B">
    <w:pPr>
      <w:pStyle w:val="Header"/>
    </w:pPr>
    <w:r>
      <w:t>Opinion of the Court by Jenkins, J.</w:t>
    </w:r>
  </w:p>
  <w:p w:rsidR="00AF34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F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1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12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43B"/>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AF343B"/>
    <w:pPr>
      <w:keepNext/>
      <w:spacing w:before="140" w:line="240" w:lineRule="atLeast"/>
      <w:jc w:val="center"/>
      <w:outlineLvl w:val="0"/>
    </w:pPr>
    <w:rPr>
      <w:b/>
      <w:smallCaps/>
    </w:rPr>
  </w:style>
  <w:style w:type="paragraph" w:styleId="Heading2">
    <w:name w:val="heading 2"/>
    <w:basedOn w:val="Normal"/>
    <w:next w:val="Normal"/>
    <w:qFormat/>
    <w:rsid w:val="00AF343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F343B"/>
    <w:pPr>
      <w:keepNext/>
      <w:tabs>
        <w:tab w:val="left" w:pos="1584"/>
      </w:tabs>
      <w:spacing w:before="140" w:line="240" w:lineRule="atLeast"/>
      <w:ind w:left="1584" w:hanging="432"/>
      <w:jc w:val="left"/>
      <w:outlineLvl w:val="2"/>
    </w:pPr>
    <w:rPr>
      <w:i/>
    </w:rPr>
  </w:style>
  <w:style w:type="paragraph" w:styleId="Heading4">
    <w:name w:val="heading 4"/>
    <w:basedOn w:val="Normal"/>
    <w:rsid w:val="00AF343B"/>
    <w:pPr>
      <w:keepNext/>
      <w:tabs>
        <w:tab w:val="left" w:pos="2016"/>
      </w:tabs>
      <w:spacing w:before="140" w:line="240" w:lineRule="atLeast"/>
      <w:ind w:left="2016" w:hanging="432"/>
      <w:jc w:val="left"/>
      <w:outlineLvl w:val="3"/>
    </w:pPr>
    <w:rPr>
      <w:i/>
    </w:rPr>
  </w:style>
  <w:style w:type="paragraph" w:styleId="Heading5">
    <w:name w:val="heading 5"/>
    <w:basedOn w:val="Normal"/>
    <w:rsid w:val="00AF343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F343B"/>
    <w:pPr>
      <w:ind w:left="720"/>
    </w:pPr>
  </w:style>
  <w:style w:type="paragraph" w:styleId="Footer">
    <w:name w:val="footer"/>
    <w:basedOn w:val="Normal"/>
    <w:link w:val="FooterChar"/>
    <w:qFormat/>
    <w:rsid w:val="00AF343B"/>
    <w:pPr>
      <w:tabs>
        <w:tab w:val="center" w:pos="3960"/>
        <w:tab w:val="right" w:pos="10080"/>
      </w:tabs>
      <w:spacing w:after="0" w:line="240" w:lineRule="auto"/>
      <w:jc w:val="center"/>
    </w:pPr>
    <w:rPr>
      <w:sz w:val="22"/>
    </w:rPr>
  </w:style>
  <w:style w:type="paragraph" w:styleId="Header">
    <w:name w:val="header"/>
    <w:basedOn w:val="Normal"/>
    <w:qFormat/>
    <w:rsid w:val="00AF343B"/>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F343B"/>
    <w:rPr>
      <w:rFonts w:ascii="Century Schoolbook" w:hAnsi="Century Schoolbook"/>
      <w:b/>
      <w:i w:val="0"/>
      <w:position w:val="4"/>
      <w:sz w:val="27"/>
      <w:vertAlign w:val="superscript"/>
    </w:rPr>
  </w:style>
  <w:style w:type="paragraph" w:styleId="FootnoteText">
    <w:name w:val="footnote text"/>
    <w:basedOn w:val="Normal"/>
    <w:link w:val="FootnoteTextChar"/>
    <w:rsid w:val="00AF343B"/>
    <w:pPr>
      <w:spacing w:line="300" w:lineRule="exact"/>
    </w:pPr>
  </w:style>
  <w:style w:type="paragraph" w:customStyle="1" w:styleId="Title1">
    <w:name w:val="Title1"/>
    <w:basedOn w:val="Normal"/>
    <w:rsid w:val="00AF343B"/>
    <w:pPr>
      <w:tabs>
        <w:tab w:val="left" w:pos="5760"/>
        <w:tab w:val="left" w:pos="6480"/>
      </w:tabs>
      <w:spacing w:line="240" w:lineRule="atLeast"/>
    </w:pPr>
  </w:style>
  <w:style w:type="paragraph" w:customStyle="1" w:styleId="Recommend">
    <w:name w:val="Recommend"/>
    <w:basedOn w:val="Normal"/>
    <w:rsid w:val="00AF343B"/>
  </w:style>
  <w:style w:type="paragraph" w:customStyle="1" w:styleId="Summary">
    <w:name w:val="Summary"/>
    <w:basedOn w:val="Normal"/>
    <w:rsid w:val="00AF343B"/>
    <w:pPr>
      <w:ind w:left="2160" w:hanging="2160"/>
    </w:pPr>
  </w:style>
  <w:style w:type="paragraph" w:customStyle="1" w:styleId="Text">
    <w:name w:val="Text"/>
    <w:basedOn w:val="Normal"/>
    <w:rsid w:val="00AF343B"/>
    <w:pPr>
      <w:tabs>
        <w:tab w:val="left" w:pos="720"/>
        <w:tab w:val="left" w:pos="1440"/>
        <w:tab w:val="left" w:pos="2160"/>
        <w:tab w:val="center" w:pos="4320"/>
      </w:tabs>
      <w:spacing w:line="480" w:lineRule="atLeast"/>
      <w:ind w:firstLine="540"/>
    </w:pPr>
  </w:style>
  <w:style w:type="paragraph" w:styleId="Date">
    <w:name w:val="Date"/>
    <w:basedOn w:val="Normal"/>
    <w:semiHidden/>
    <w:rsid w:val="00AF343B"/>
    <w:pPr>
      <w:jc w:val="right"/>
    </w:pPr>
  </w:style>
  <w:style w:type="character" w:styleId="PageNumber">
    <w:name w:val="page number"/>
    <w:basedOn w:val="DefaultParagraphFont"/>
    <w:semiHidden/>
    <w:rsid w:val="00AF343B"/>
  </w:style>
  <w:style w:type="paragraph" w:customStyle="1" w:styleId="subject">
    <w:name w:val="subject"/>
    <w:basedOn w:val="Normal"/>
    <w:rsid w:val="00AF343B"/>
    <w:pPr>
      <w:tabs>
        <w:tab w:val="left" w:pos="1008"/>
      </w:tabs>
      <w:ind w:left="990" w:hanging="990"/>
    </w:pPr>
    <w:rPr>
      <w:b/>
    </w:rPr>
  </w:style>
  <w:style w:type="paragraph" w:customStyle="1" w:styleId="Titles">
    <w:name w:val="Titles"/>
    <w:basedOn w:val="Normal"/>
    <w:rsid w:val="00AF343B"/>
    <w:pPr>
      <w:tabs>
        <w:tab w:val="left" w:pos="2160"/>
      </w:tabs>
      <w:ind w:left="2160" w:hanging="2160"/>
    </w:pPr>
    <w:rPr>
      <w:b/>
    </w:rPr>
  </w:style>
  <w:style w:type="paragraph" w:styleId="TOAHeading">
    <w:name w:val="toa heading"/>
    <w:basedOn w:val="Normal"/>
    <w:next w:val="Normal"/>
    <w:semiHidden/>
    <w:rsid w:val="00AF343B"/>
    <w:pPr>
      <w:spacing w:before="120"/>
    </w:pPr>
    <w:rPr>
      <w:b/>
    </w:rPr>
  </w:style>
  <w:style w:type="paragraph" w:styleId="TOC1">
    <w:name w:val="toc 1"/>
    <w:basedOn w:val="Normal"/>
    <w:next w:val="Normal"/>
    <w:autoRedefine/>
    <w:semiHidden/>
    <w:rsid w:val="00AF343B"/>
  </w:style>
  <w:style w:type="paragraph" w:styleId="TOC2">
    <w:name w:val="toc 2"/>
    <w:basedOn w:val="Normal"/>
    <w:next w:val="Normal"/>
    <w:autoRedefine/>
    <w:semiHidden/>
    <w:rsid w:val="00AF343B"/>
    <w:pPr>
      <w:ind w:left="259"/>
    </w:pPr>
  </w:style>
  <w:style w:type="paragraph" w:styleId="TOC3">
    <w:name w:val="toc 3"/>
    <w:basedOn w:val="Normal"/>
    <w:next w:val="Normal"/>
    <w:autoRedefine/>
    <w:semiHidden/>
    <w:rsid w:val="00AF343B"/>
    <w:pPr>
      <w:ind w:left="520"/>
    </w:pPr>
  </w:style>
  <w:style w:type="paragraph" w:styleId="TOC4">
    <w:name w:val="toc 4"/>
    <w:basedOn w:val="Normal"/>
    <w:next w:val="Normal"/>
    <w:autoRedefine/>
    <w:semiHidden/>
    <w:rsid w:val="00AF343B"/>
    <w:pPr>
      <w:ind w:left="780"/>
    </w:pPr>
  </w:style>
  <w:style w:type="paragraph" w:styleId="TOC5">
    <w:name w:val="toc 5"/>
    <w:basedOn w:val="Normal"/>
    <w:next w:val="Normal"/>
    <w:autoRedefine/>
    <w:semiHidden/>
    <w:rsid w:val="00AF343B"/>
    <w:pPr>
      <w:ind w:left="1040"/>
    </w:pPr>
  </w:style>
  <w:style w:type="paragraph" w:styleId="TOC6">
    <w:name w:val="toc 6"/>
    <w:basedOn w:val="Normal"/>
    <w:next w:val="Normal"/>
    <w:autoRedefine/>
    <w:semiHidden/>
    <w:rsid w:val="00AF343B"/>
    <w:pPr>
      <w:ind w:left="1300"/>
    </w:pPr>
  </w:style>
  <w:style w:type="paragraph" w:styleId="TOC7">
    <w:name w:val="toc 7"/>
    <w:basedOn w:val="Normal"/>
    <w:next w:val="Normal"/>
    <w:autoRedefine/>
    <w:semiHidden/>
    <w:rsid w:val="00AF343B"/>
    <w:pPr>
      <w:ind w:left="1560"/>
    </w:pPr>
  </w:style>
  <w:style w:type="paragraph" w:styleId="TOC8">
    <w:name w:val="toc 8"/>
    <w:basedOn w:val="Normal"/>
    <w:next w:val="Normal"/>
    <w:autoRedefine/>
    <w:semiHidden/>
    <w:rsid w:val="00AF343B"/>
    <w:pPr>
      <w:ind w:left="1820"/>
    </w:pPr>
  </w:style>
  <w:style w:type="paragraph" w:styleId="TOC9">
    <w:name w:val="toc 9"/>
    <w:basedOn w:val="Normal"/>
    <w:next w:val="Normal"/>
    <w:autoRedefine/>
    <w:semiHidden/>
    <w:rsid w:val="00AF343B"/>
    <w:pPr>
      <w:ind w:left="2080"/>
    </w:pPr>
  </w:style>
  <w:style w:type="paragraph" w:customStyle="1" w:styleId="Contents">
    <w:name w:val="Contents"/>
    <w:basedOn w:val="Normal"/>
    <w:rsid w:val="00AF343B"/>
    <w:pPr>
      <w:jc w:val="center"/>
    </w:pPr>
    <w:rPr>
      <w:b/>
      <w:spacing w:val="100"/>
    </w:rPr>
  </w:style>
  <w:style w:type="character" w:styleId="CommentReference">
    <w:name w:val="annotation reference"/>
    <w:basedOn w:val="DefaultParagraphFont"/>
    <w:uiPriority w:val="99"/>
    <w:semiHidden/>
    <w:unhideWhenUsed/>
    <w:rsid w:val="00714D81"/>
    <w:rPr>
      <w:sz w:val="16"/>
      <w:szCs w:val="16"/>
    </w:rPr>
  </w:style>
  <w:style w:type="paragraph" w:styleId="CommentText">
    <w:name w:val="annotation text"/>
    <w:basedOn w:val="Normal"/>
    <w:link w:val="CommentTextChar"/>
    <w:uiPriority w:val="99"/>
    <w:unhideWhenUsed/>
    <w:rsid w:val="00714D81"/>
    <w:rPr>
      <w:sz w:val="20"/>
    </w:rPr>
  </w:style>
  <w:style w:type="character" w:customStyle="1" w:styleId="CommentTextChar">
    <w:name w:val="Comment Text Char"/>
    <w:basedOn w:val="DefaultParagraphFont"/>
    <w:link w:val="CommentText"/>
    <w:uiPriority w:val="99"/>
    <w:rsid w:val="00714D81"/>
  </w:style>
  <w:style w:type="paragraph" w:styleId="CommentSubject">
    <w:name w:val="annotation subject"/>
    <w:basedOn w:val="CommentText"/>
    <w:next w:val="CommentText"/>
    <w:link w:val="CommentSubjectChar"/>
    <w:uiPriority w:val="99"/>
    <w:semiHidden/>
    <w:unhideWhenUsed/>
    <w:rsid w:val="00714D81"/>
    <w:rPr>
      <w:b/>
      <w:bCs/>
    </w:rPr>
  </w:style>
  <w:style w:type="character" w:customStyle="1" w:styleId="CommentSubjectChar">
    <w:name w:val="Comment Subject Char"/>
    <w:basedOn w:val="CommentTextChar"/>
    <w:link w:val="CommentSubject"/>
    <w:uiPriority w:val="99"/>
    <w:semiHidden/>
    <w:rsid w:val="00714D81"/>
    <w:rPr>
      <w:b/>
      <w:bCs/>
    </w:rPr>
  </w:style>
  <w:style w:type="paragraph" w:styleId="BalloonText">
    <w:name w:val="Balloon Text"/>
    <w:basedOn w:val="Normal"/>
    <w:link w:val="BalloonTextChar"/>
    <w:uiPriority w:val="99"/>
    <w:semiHidden/>
    <w:unhideWhenUsed/>
    <w:rsid w:val="00714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D81"/>
    <w:rPr>
      <w:rFonts w:ascii="Segoe UI" w:hAnsi="Segoe UI" w:cs="Segoe UI"/>
      <w:sz w:val="18"/>
      <w:szCs w:val="18"/>
    </w:rPr>
  </w:style>
  <w:style w:type="paragraph" w:styleId="Revision">
    <w:name w:val="Revision"/>
    <w:hidden/>
    <w:uiPriority w:val="99"/>
    <w:semiHidden/>
    <w:rsid w:val="00714D81"/>
    <w:rPr>
      <w:sz w:val="26"/>
    </w:rPr>
  </w:style>
  <w:style w:type="character" w:customStyle="1" w:styleId="ssrfcpassagedeactivated">
    <w:name w:val="ss_rfcpassage_deactivated"/>
    <w:basedOn w:val="DefaultParagraphFont"/>
    <w:rsid w:val="00236E05"/>
  </w:style>
  <w:style w:type="character" w:customStyle="1" w:styleId="ssrfcsection">
    <w:name w:val="ss_rfcsection"/>
    <w:basedOn w:val="DefaultParagraphFont"/>
    <w:rsid w:val="00236E05"/>
  </w:style>
  <w:style w:type="character" w:customStyle="1" w:styleId="ssit">
    <w:name w:val="ss_it"/>
    <w:basedOn w:val="DefaultParagraphFont"/>
    <w:rsid w:val="00236E05"/>
  </w:style>
  <w:style w:type="character" w:customStyle="1" w:styleId="Heading1Char">
    <w:name w:val="Heading 1 Char"/>
    <w:basedOn w:val="DefaultParagraphFont"/>
    <w:link w:val="Heading1"/>
    <w:rsid w:val="007F3941"/>
    <w:rPr>
      <w:rFonts w:ascii="Century Schoolbook" w:hAnsi="Century Schoolbook"/>
      <w:b/>
      <w:smallCaps/>
      <w:sz w:val="27"/>
    </w:rPr>
  </w:style>
  <w:style w:type="character" w:customStyle="1" w:styleId="FootnoteTextChar">
    <w:name w:val="Footnote Text Char"/>
    <w:basedOn w:val="DefaultParagraphFont"/>
    <w:link w:val="FootnoteText"/>
    <w:rsid w:val="007F3941"/>
    <w:rPr>
      <w:rFonts w:ascii="Century Schoolbook" w:hAnsi="Century Schoolbook"/>
      <w:sz w:val="27"/>
    </w:rPr>
  </w:style>
  <w:style w:type="paragraph" w:styleId="BodyText">
    <w:name w:val="Body Text"/>
    <w:basedOn w:val="Normal"/>
    <w:link w:val="BodyTextChar"/>
    <w:qFormat/>
    <w:rsid w:val="00AF343B"/>
  </w:style>
  <w:style w:type="character" w:customStyle="1" w:styleId="BodyTextChar">
    <w:name w:val="Body Text Char"/>
    <w:basedOn w:val="DefaultParagraphFont"/>
    <w:link w:val="BodyText"/>
    <w:rsid w:val="00AF343B"/>
    <w:rPr>
      <w:rFonts w:ascii="Century Schoolbook" w:hAnsi="Century Schoolbook"/>
      <w:sz w:val="27"/>
    </w:rPr>
  </w:style>
  <w:style w:type="character" w:customStyle="1" w:styleId="FooterChar">
    <w:name w:val="Footer Char"/>
    <w:basedOn w:val="DefaultParagraphFont"/>
    <w:link w:val="Footer"/>
    <w:rsid w:val="00104FD7"/>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9418</Words>
  <Characters>53688</Characters>
  <Application>Microsoft Office Word</Application>
  <DocSecurity>0</DocSecurity>
  <Lines>447</Lines>
  <Paragraphs>125</Paragraphs>
  <ScaleCrop>false</ScaleCrop>
  <Company/>
  <LinksUpToDate>false</LinksUpToDate>
  <CharactersWithSpaces>62981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2023-04-27T16:11:57Z</dcterms:created>
  <dcterms:modified xsi:type="dcterms:W3CDTF">2023-04-27T16:11:57Z</dcterms:modified>
</cp:coreProperties>
</file>