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96D1D" w:rsidRPr="00ED7A7B" w:rsidP="00ED7A7B" w14:paraId="29AEA15D" w14:textId="03379A3F">
      <w:pPr>
        <w:tabs>
          <w:tab w:val="left" w:leader="underscore" w:pos="4680"/>
        </w:tabs>
        <w:spacing w:after="0"/>
        <w:jc w:val="center"/>
        <w:rPr>
          <w:sz w:val="36"/>
        </w:rPr>
      </w:pPr>
      <w:bookmarkStart w:id="0" w:name="MarkDocLoc"/>
      <w:bookmarkStart w:id="1" w:name="_Hlk96944150"/>
      <w:bookmarkEnd w:id="0"/>
      <w:r w:rsidRPr="00ED7A7B">
        <w:rPr>
          <w:b/>
          <w:sz w:val="36"/>
        </w:rPr>
        <w:t>IN THE SUPREME COURT OF CALIFORNIA</w:t>
      </w:r>
    </w:p>
    <w:p w:rsidR="00ED7A7B" w:rsidRPr="00ED7A7B" w:rsidP="00ED7A7B" w14:paraId="072515B1" w14:textId="34BDE0A0">
      <w:pPr>
        <w:tabs>
          <w:tab w:val="left" w:leader="underscore" w:pos="4680"/>
        </w:tabs>
        <w:spacing w:after="0"/>
        <w:jc w:val="center"/>
      </w:pPr>
    </w:p>
    <w:p w:rsidR="00ED7A7B" w:rsidRPr="00ED7A7B" w:rsidP="00ED7A7B" w14:paraId="735F22DE" w14:textId="54B5B9AE">
      <w:pPr>
        <w:tabs>
          <w:tab w:val="left" w:leader="underscore" w:pos="4680"/>
        </w:tabs>
        <w:spacing w:after="0"/>
        <w:jc w:val="center"/>
      </w:pPr>
      <w:r w:rsidRPr="00ED7A7B">
        <w:t xml:space="preserve">COAST COMMUNITY COLLEGE DISTRICT </w:t>
      </w:r>
      <w:r w:rsidR="00CB7485">
        <w:t>et al.</w:t>
      </w:r>
      <w:r w:rsidRPr="00ED7A7B">
        <w:t>,</w:t>
      </w:r>
    </w:p>
    <w:p w:rsidR="00ED7A7B" w:rsidRPr="00ED7A7B" w:rsidP="00ED7A7B" w14:paraId="2DA35C36" w14:textId="73F46A62">
      <w:pPr>
        <w:tabs>
          <w:tab w:val="left" w:leader="underscore" w:pos="4680"/>
        </w:tabs>
        <w:spacing w:after="0"/>
        <w:jc w:val="center"/>
      </w:pPr>
      <w:r w:rsidRPr="00ED7A7B">
        <w:t>Plaintiffs and Appellants,</w:t>
      </w:r>
    </w:p>
    <w:p w:rsidR="00ED7A7B" w:rsidRPr="00ED7A7B" w:rsidP="00ED7A7B" w14:paraId="62CB1BB2" w14:textId="03677DC4">
      <w:pPr>
        <w:tabs>
          <w:tab w:val="left" w:leader="underscore" w:pos="4680"/>
        </w:tabs>
        <w:spacing w:after="0"/>
        <w:jc w:val="center"/>
      </w:pPr>
      <w:r w:rsidRPr="00ED7A7B">
        <w:t>v.</w:t>
      </w:r>
    </w:p>
    <w:p w:rsidR="00ED7A7B" w:rsidRPr="00ED7A7B" w:rsidP="00ED7A7B" w14:paraId="345086D8" w14:textId="6048A59F">
      <w:pPr>
        <w:tabs>
          <w:tab w:val="left" w:leader="underscore" w:pos="4680"/>
        </w:tabs>
        <w:spacing w:after="0"/>
        <w:jc w:val="center"/>
      </w:pPr>
      <w:r w:rsidRPr="00ED7A7B">
        <w:t>COMMISSION ON STATE MANDATES,</w:t>
      </w:r>
    </w:p>
    <w:p w:rsidR="00ED7A7B" w:rsidRPr="00ED7A7B" w:rsidP="00ED7A7B" w14:paraId="40344436" w14:textId="432BCA1A">
      <w:pPr>
        <w:tabs>
          <w:tab w:val="left" w:leader="underscore" w:pos="4680"/>
        </w:tabs>
        <w:spacing w:after="0"/>
        <w:jc w:val="center"/>
      </w:pPr>
      <w:r w:rsidRPr="00ED7A7B">
        <w:t xml:space="preserve">Defendant and Respondent; </w:t>
      </w:r>
    </w:p>
    <w:p w:rsidR="00ED7A7B" w:rsidRPr="00ED7A7B" w:rsidP="00ED7A7B" w14:paraId="01F50DF5" w14:textId="3125208F">
      <w:pPr>
        <w:tabs>
          <w:tab w:val="left" w:leader="underscore" w:pos="4680"/>
        </w:tabs>
        <w:spacing w:after="0"/>
        <w:jc w:val="center"/>
      </w:pPr>
    </w:p>
    <w:p w:rsidR="00ED7A7B" w:rsidRPr="00ED7A7B" w:rsidP="00ED7A7B" w14:paraId="6A3A2CB7" w14:textId="5E069DED">
      <w:pPr>
        <w:tabs>
          <w:tab w:val="left" w:leader="underscore" w:pos="4680"/>
        </w:tabs>
        <w:spacing w:after="0"/>
        <w:jc w:val="center"/>
      </w:pPr>
      <w:r w:rsidRPr="00ED7A7B">
        <w:t>DEPARTMENT OF FINANCE,</w:t>
      </w:r>
    </w:p>
    <w:p w:rsidR="00ED7A7B" w:rsidRPr="00ED7A7B" w:rsidP="00ED7A7B" w14:paraId="785EDC66" w14:textId="6E0F2857">
      <w:pPr>
        <w:tabs>
          <w:tab w:val="left" w:leader="underscore" w:pos="4680"/>
        </w:tabs>
        <w:spacing w:after="0"/>
        <w:jc w:val="center"/>
      </w:pPr>
      <w:r w:rsidRPr="00ED7A7B">
        <w:t xml:space="preserve">Real Party in Interest and Respondent. </w:t>
      </w:r>
    </w:p>
    <w:p w:rsidR="00ED7A7B" w:rsidRPr="00ED7A7B" w:rsidP="00ED7A7B" w14:paraId="38A65341" w14:textId="5FD4AA38">
      <w:pPr>
        <w:tabs>
          <w:tab w:val="left" w:leader="underscore" w:pos="4680"/>
        </w:tabs>
        <w:spacing w:after="0"/>
        <w:jc w:val="center"/>
      </w:pPr>
    </w:p>
    <w:p w:rsidR="00ED7A7B" w:rsidRPr="00ED7A7B" w:rsidP="00ED7A7B" w14:paraId="7C931CBA" w14:textId="593EFD31">
      <w:pPr>
        <w:tabs>
          <w:tab w:val="left" w:leader="underscore" w:pos="4680"/>
        </w:tabs>
        <w:spacing w:after="0"/>
        <w:jc w:val="center"/>
      </w:pPr>
      <w:r w:rsidRPr="00ED7A7B">
        <w:t>S262663</w:t>
      </w:r>
    </w:p>
    <w:p w:rsidR="00ED7A7B" w:rsidRPr="00ED7A7B" w:rsidP="00ED7A7B" w14:paraId="608431A4" w14:textId="4A714F8C">
      <w:pPr>
        <w:tabs>
          <w:tab w:val="left" w:leader="underscore" w:pos="4680"/>
        </w:tabs>
        <w:spacing w:after="0"/>
        <w:jc w:val="center"/>
      </w:pPr>
    </w:p>
    <w:p w:rsidR="00ED7A7B" w:rsidRPr="00ED7A7B" w:rsidP="00ED7A7B" w14:paraId="78058812" w14:textId="0C4850F3">
      <w:pPr>
        <w:tabs>
          <w:tab w:val="left" w:leader="underscore" w:pos="4680"/>
        </w:tabs>
        <w:spacing w:after="0"/>
        <w:jc w:val="center"/>
      </w:pPr>
      <w:r w:rsidRPr="00ED7A7B">
        <w:t>Third Appellate District</w:t>
      </w:r>
    </w:p>
    <w:p w:rsidR="00ED7A7B" w:rsidRPr="00ED7A7B" w:rsidP="00ED7A7B" w14:paraId="4D562AFB" w14:textId="2617A875">
      <w:pPr>
        <w:tabs>
          <w:tab w:val="left" w:leader="underscore" w:pos="4680"/>
        </w:tabs>
        <w:spacing w:after="0"/>
        <w:jc w:val="center"/>
      </w:pPr>
      <w:r w:rsidRPr="00ED7A7B">
        <w:t>C080349</w:t>
      </w:r>
    </w:p>
    <w:p w:rsidR="00ED7A7B" w:rsidRPr="00ED7A7B" w:rsidP="00ED7A7B" w14:paraId="74A650DD" w14:textId="2B792F9D">
      <w:pPr>
        <w:tabs>
          <w:tab w:val="left" w:leader="underscore" w:pos="4680"/>
        </w:tabs>
        <w:spacing w:after="0"/>
        <w:jc w:val="center"/>
      </w:pPr>
    </w:p>
    <w:p w:rsidR="00ED7A7B" w:rsidRPr="00ED7A7B" w:rsidP="00ED7A7B" w14:paraId="6324614A" w14:textId="4132E6DF">
      <w:pPr>
        <w:tabs>
          <w:tab w:val="left" w:leader="underscore" w:pos="4680"/>
        </w:tabs>
        <w:spacing w:after="0"/>
        <w:jc w:val="center"/>
      </w:pPr>
      <w:r w:rsidRPr="00ED7A7B">
        <w:t>Sacramento County Superior Court</w:t>
      </w:r>
    </w:p>
    <w:p w:rsidR="00ED7A7B" w:rsidRPr="00ED7A7B" w:rsidP="00ED7A7B" w14:paraId="101CCCB1" w14:textId="4586CC0E">
      <w:pPr>
        <w:tabs>
          <w:tab w:val="left" w:leader="underscore" w:pos="4680"/>
        </w:tabs>
        <w:spacing w:after="0"/>
        <w:jc w:val="center"/>
      </w:pPr>
      <w:r w:rsidRPr="00ED7A7B">
        <w:t>34-2014-80001842</w:t>
      </w:r>
      <w:r w:rsidR="000D005E">
        <w:t>CUWMGDS</w:t>
      </w:r>
      <w:r w:rsidRPr="00ED7A7B">
        <w:t xml:space="preserve"> </w:t>
      </w:r>
    </w:p>
    <w:p w:rsidR="00ED7A7B" w:rsidP="00ED7A7B" w14:paraId="6FCE32D0" w14:textId="548049DA">
      <w:pPr>
        <w:pBdr>
          <w:bottom w:val="single" w:sz="4" w:space="1" w:color="auto"/>
        </w:pBdr>
        <w:tabs>
          <w:tab w:val="left" w:leader="underscore" w:pos="4680"/>
        </w:tabs>
        <w:spacing w:after="0"/>
        <w:jc w:val="center"/>
        <w:rPr>
          <w:u w:val="single"/>
        </w:rPr>
      </w:pPr>
    </w:p>
    <w:p w:rsidR="00ED7A7B" w:rsidP="00ED7A7B" w14:paraId="589E0670" w14:textId="4169D326">
      <w:pPr>
        <w:tabs>
          <w:tab w:val="left" w:leader="underscore" w:pos="4680"/>
        </w:tabs>
        <w:spacing w:after="0"/>
        <w:jc w:val="center"/>
        <w:rPr>
          <w:u w:val="single"/>
        </w:rPr>
      </w:pPr>
    </w:p>
    <w:p w:rsidR="00ED7A7B" w:rsidRPr="00ED7A7B" w:rsidP="00ED7A7B" w14:paraId="13D63831" w14:textId="71B38F12">
      <w:pPr>
        <w:tabs>
          <w:tab w:val="left" w:leader="underscore" w:pos="4680"/>
        </w:tabs>
        <w:spacing w:after="0"/>
        <w:jc w:val="center"/>
      </w:pPr>
      <w:r>
        <w:t>August 15</w:t>
      </w:r>
      <w:r w:rsidRPr="00ED7A7B">
        <w:t>, 2022</w:t>
      </w:r>
    </w:p>
    <w:p w:rsidR="00ED7A7B" w:rsidP="00ED7A7B" w14:paraId="7EFB4FD3" w14:textId="0A324BDD">
      <w:pPr>
        <w:tabs>
          <w:tab w:val="left" w:leader="underscore" w:pos="4680"/>
        </w:tabs>
        <w:spacing w:after="0"/>
        <w:jc w:val="center"/>
        <w:rPr>
          <w:u w:val="single"/>
        </w:rPr>
      </w:pPr>
    </w:p>
    <w:p w:rsidR="00456376" w:rsidP="00456376" w14:paraId="49D9968C" w14:textId="713484F8">
      <w:pPr>
        <w:tabs>
          <w:tab w:val="left" w:leader="underscore" w:pos="4680"/>
        </w:tabs>
        <w:spacing w:after="0"/>
        <w:jc w:val="left"/>
      </w:pPr>
      <w:r w:rsidRPr="00B67EC3">
        <w:t xml:space="preserve">Justice Groban authored the opinion of the Court, in which </w:t>
      </w:r>
      <w:r>
        <w:rPr>
          <w:szCs w:val="26"/>
        </w:rPr>
        <w:t xml:space="preserve">Chief Justice Cantil-Sakauye and Justices Corrigan, Kruger, Jenkins, and Guerrero </w:t>
      </w:r>
      <w:r w:rsidRPr="00B67EC3">
        <w:t>concurred.</w:t>
      </w:r>
    </w:p>
    <w:p w:rsidR="00456376" w:rsidP="00456376" w14:paraId="3D4E6FBF" w14:textId="77777777">
      <w:pPr>
        <w:pBdr>
          <w:bottom w:val="single" w:sz="4" w:space="1" w:color="auto"/>
        </w:pBdr>
        <w:tabs>
          <w:tab w:val="left" w:pos="1440"/>
          <w:tab w:val="left" w:pos="4680"/>
          <w:tab w:val="center" w:pos="7200"/>
        </w:tabs>
        <w:spacing w:line="480" w:lineRule="atLeast"/>
        <w:jc w:val="left"/>
      </w:pPr>
    </w:p>
    <w:p w:rsidR="00ED7A7B" w:rsidP="00456376" w14:paraId="69F02D2E" w14:textId="4240717C">
      <w:pPr>
        <w:pBdr>
          <w:bottom w:val="single" w:sz="4" w:space="1" w:color="auto"/>
        </w:pBdr>
        <w:tabs>
          <w:tab w:val="left" w:pos="1440"/>
          <w:tab w:val="left" w:pos="4680"/>
          <w:tab w:val="center" w:pos="7200"/>
        </w:tabs>
        <w:spacing w:line="480" w:lineRule="atLeast"/>
        <w:jc w:val="left"/>
      </w:pPr>
      <w:r>
        <w:t>Justice Liu filed a concurring opinion.</w:t>
      </w:r>
      <w:bookmarkStart w:id="2" w:name="Return"/>
      <w:bookmarkEnd w:id="2"/>
    </w:p>
    <w:p w:rsidR="00456376" w:rsidP="00456376" w14:paraId="0D9FB070" w14:textId="77777777">
      <w:pPr>
        <w:pBdr>
          <w:bottom w:val="single" w:sz="4" w:space="1" w:color="auto"/>
        </w:pBdr>
        <w:tabs>
          <w:tab w:val="left" w:pos="1440"/>
          <w:tab w:val="left" w:pos="4680"/>
          <w:tab w:val="center" w:pos="7200"/>
        </w:tabs>
        <w:spacing w:line="480" w:lineRule="atLeast"/>
        <w:jc w:val="left"/>
      </w:pPr>
    </w:p>
    <w:p w:rsidR="00ED7A7B" w:rsidP="00A951AC" w14:paraId="2514AD29" w14:textId="77777777">
      <w:pPr>
        <w:tabs>
          <w:tab w:val="left" w:leader="underscore" w:pos="4680"/>
        </w:tabs>
        <w:spacing w:line="240" w:lineRule="atLeast"/>
        <w:rPr>
          <w:u w:val="single"/>
        </w:rPr>
        <w:sectPr w:rsidSect="00ED7A7B">
          <w:headerReference w:type="default" r:id="rId6"/>
          <w:footerReference w:type="default" r:id="rId7"/>
          <w:pgSz w:w="12240" w:h="15840"/>
          <w:pgMar w:top="1800" w:right="2160" w:bottom="1440" w:left="2160" w:header="720" w:footer="720" w:gutter="0"/>
          <w:cols w:space="720"/>
          <w:titlePg/>
          <w:docGrid w:linePitch="367"/>
        </w:sectPr>
      </w:pPr>
    </w:p>
    <w:p w:rsidR="00ED7A7B" w:rsidRPr="001A1099" w:rsidP="00ED7A7B" w14:paraId="601AC8EB" w14:textId="265E7841">
      <w:pPr>
        <w:tabs>
          <w:tab w:val="left" w:leader="underscore" w:pos="4680"/>
        </w:tabs>
        <w:jc w:val="center"/>
      </w:pPr>
      <w:r w:rsidRPr="001A1099">
        <w:t>COAST COMMUNITY COLLEGE DIST</w:t>
      </w:r>
      <w:r w:rsidR="006B6997">
        <w:t>.</w:t>
      </w:r>
      <w:r w:rsidRPr="001A1099">
        <w:t xml:space="preserve"> </w:t>
      </w:r>
    </w:p>
    <w:p w:rsidR="00ED7A7B" w:rsidRPr="001A1099" w:rsidP="00ED7A7B" w14:paraId="24919147" w14:textId="47DC0E3B">
      <w:pPr>
        <w:tabs>
          <w:tab w:val="left" w:leader="underscore" w:pos="4680"/>
        </w:tabs>
        <w:jc w:val="center"/>
      </w:pPr>
      <w:r w:rsidRPr="001A1099">
        <w:t>v. COMMISSION ON STATE MANDATES</w:t>
      </w:r>
    </w:p>
    <w:p w:rsidR="00ED7A7B" w:rsidRPr="001A1099" w:rsidP="00ED7A7B" w14:paraId="5DF5087F" w14:textId="58D0E6F4">
      <w:pPr>
        <w:tabs>
          <w:tab w:val="left" w:leader="underscore" w:pos="4680"/>
        </w:tabs>
        <w:jc w:val="center"/>
      </w:pPr>
      <w:r w:rsidRPr="001A1099">
        <w:t>S262663</w:t>
      </w:r>
    </w:p>
    <w:p w:rsidR="00ED7A7B" w:rsidRPr="001A1099" w:rsidP="00ED7A7B" w14:paraId="6138F794" w14:textId="617ED9E8">
      <w:pPr>
        <w:tabs>
          <w:tab w:val="left" w:leader="underscore" w:pos="4680"/>
        </w:tabs>
        <w:jc w:val="center"/>
      </w:pPr>
    </w:p>
    <w:p w:rsidR="00ED7A7B" w:rsidRPr="001A1099" w:rsidP="00ED7A7B" w14:paraId="5A7A7DC2" w14:textId="71268FAF">
      <w:pPr>
        <w:tabs>
          <w:tab w:val="left" w:leader="underscore" w:pos="4680"/>
        </w:tabs>
        <w:jc w:val="center"/>
      </w:pPr>
      <w:r w:rsidRPr="001A1099">
        <w:t>Opinion of the Court by Groban, J.</w:t>
      </w:r>
    </w:p>
    <w:p w:rsidR="00ED7A7B" w:rsidRPr="00ED7A7B" w:rsidP="00ED7A7B" w14:paraId="6F632FFF" w14:textId="77777777">
      <w:pPr>
        <w:tabs>
          <w:tab w:val="left" w:leader="underscore" w:pos="4680"/>
        </w:tabs>
        <w:jc w:val="center"/>
        <w:rPr>
          <w:u w:val="single"/>
        </w:rPr>
      </w:pPr>
    </w:p>
    <w:p w:rsidR="00500549" w:rsidRPr="00ED7A7B" w:rsidP="00ED7A7B" w14:paraId="3DEC2D61" w14:textId="494422CD">
      <w:pPr>
        <w:tabs>
          <w:tab w:val="left" w:pos="1440"/>
        </w:tabs>
        <w:ind w:firstLine="720"/>
      </w:pPr>
      <w:r w:rsidRPr="00ED7A7B">
        <w:t>A</w:t>
      </w:r>
      <w:r w:rsidRPr="00ED7A7B" w:rsidR="006556A5">
        <w:t>rticle XIII B</w:t>
      </w:r>
      <w:r w:rsidRPr="00ED7A7B">
        <w:t>, section 6</w:t>
      </w:r>
      <w:r w:rsidRPr="00ED7A7B" w:rsidR="006556A5">
        <w:t xml:space="preserve"> of the California Constitution requires the </w:t>
      </w:r>
      <w:r w:rsidRPr="00ED7A7B">
        <w:t xml:space="preserve">state </w:t>
      </w:r>
      <w:r w:rsidRPr="00ED7A7B" w:rsidR="006556A5">
        <w:t xml:space="preserve">to </w:t>
      </w:r>
      <w:r w:rsidRPr="00ED7A7B" w:rsidR="007A6E31">
        <w:t>reimburse</w:t>
      </w:r>
      <w:r w:rsidRPr="00ED7A7B" w:rsidR="006556A5">
        <w:t xml:space="preserve"> local governments “[w]henever the Legislature or any state agency mandates a new program or higher level of service . . . .”  </w:t>
      </w:r>
      <w:r w:rsidR="00075172">
        <w:t>(Cal. Const., art. XIII</w:t>
      </w:r>
      <w:r w:rsidR="0017646A">
        <w:t xml:space="preserve"> B</w:t>
      </w:r>
      <w:r w:rsidR="00075172">
        <w:t xml:space="preserve">, § 6, subd. (a).)  </w:t>
      </w:r>
      <w:r w:rsidRPr="00ED7A7B" w:rsidR="0063618C">
        <w:t xml:space="preserve">In this case, several community college districts </w:t>
      </w:r>
      <w:r w:rsidRPr="00ED7A7B" w:rsidR="005E0051">
        <w:t xml:space="preserve">seek reimbursement for regulations that </w:t>
      </w:r>
      <w:r w:rsidRPr="00ED7A7B" w:rsidR="00A66E18">
        <w:t>specify</w:t>
      </w:r>
      <w:r w:rsidRPr="00ED7A7B" w:rsidR="005E0051">
        <w:t xml:space="preserve"> </w:t>
      </w:r>
      <w:r w:rsidRPr="00ED7A7B" w:rsidR="007A6E31">
        <w:t xml:space="preserve">various </w:t>
      </w:r>
      <w:r w:rsidRPr="00ED7A7B" w:rsidR="005E0051">
        <w:t>conditions</w:t>
      </w:r>
      <w:r w:rsidRPr="00ED7A7B" w:rsidR="00372987">
        <w:t xml:space="preserve"> </w:t>
      </w:r>
      <w:r w:rsidRPr="00ED7A7B" w:rsidR="00162AB9">
        <w:t>the districts must satisfy to avoid the possibility of having</w:t>
      </w:r>
      <w:r w:rsidRPr="00ED7A7B" w:rsidR="00196D1D">
        <w:t xml:space="preserve"> their</w:t>
      </w:r>
      <w:r w:rsidRPr="00ED7A7B" w:rsidR="00162AB9">
        <w:t xml:space="preserve"> state aid withheld</w:t>
      </w:r>
      <w:r w:rsidRPr="00ED7A7B" w:rsidR="00372987">
        <w:t xml:space="preserve">. </w:t>
      </w:r>
      <w:r w:rsidRPr="00ED7A7B" w:rsidR="0059273D">
        <w:t xml:space="preserve"> </w:t>
      </w:r>
      <w:r w:rsidRPr="00ED7A7B" w:rsidR="007C5CB8">
        <w:t>The</w:t>
      </w:r>
      <w:r w:rsidRPr="00ED7A7B" w:rsidR="00095E33">
        <w:t xml:space="preserve"> conditions describe standards </w:t>
      </w:r>
      <w:r w:rsidRPr="00ED7A7B" w:rsidR="00CB3470">
        <w:t xml:space="preserve">governing </w:t>
      </w:r>
      <w:r w:rsidRPr="00ED7A7B" w:rsidR="007C5CB8">
        <w:t xml:space="preserve">several </w:t>
      </w:r>
      <w:r w:rsidRPr="00ED7A7B" w:rsidR="001E4560">
        <w:t xml:space="preserve">core </w:t>
      </w:r>
      <w:r w:rsidRPr="00ED7A7B" w:rsidR="007C5CB8">
        <w:t xml:space="preserve">areas of </w:t>
      </w:r>
      <w:r w:rsidRPr="00ED7A7B" w:rsidR="001E4560">
        <w:t xml:space="preserve">community college </w:t>
      </w:r>
      <w:r w:rsidRPr="00ED7A7B" w:rsidR="007C5CB8">
        <w:t>administration, including matriculation</w:t>
      </w:r>
      <w:r w:rsidRPr="00ED7A7B" w:rsidR="00095E33">
        <w:t xml:space="preserve"> requirements</w:t>
      </w:r>
      <w:r w:rsidRPr="00ED7A7B" w:rsidR="007C5CB8">
        <w:t>, hiring</w:t>
      </w:r>
      <w:r w:rsidRPr="00ED7A7B" w:rsidR="001E4560">
        <w:t xml:space="preserve"> procedures</w:t>
      </w:r>
      <w:r w:rsidR="006A6ACD">
        <w:t>,</w:t>
      </w:r>
      <w:r w:rsidRPr="00ED7A7B" w:rsidR="001E4560">
        <w:t xml:space="preserve"> </w:t>
      </w:r>
      <w:r w:rsidRPr="00ED7A7B" w:rsidR="007C5CB8">
        <w:t>and curriculum</w:t>
      </w:r>
      <w:r w:rsidRPr="00ED7A7B" w:rsidR="00095E33">
        <w:t xml:space="preserve"> selection</w:t>
      </w:r>
      <w:r w:rsidRPr="00ED7A7B" w:rsidR="007C5CB8">
        <w:t xml:space="preserve">. </w:t>
      </w:r>
    </w:p>
    <w:p w:rsidR="00A62456" w:rsidRPr="00ED7A7B" w:rsidP="00ED7A7B" w14:paraId="7932689A" w14:textId="01FBA64C">
      <w:pPr>
        <w:tabs>
          <w:tab w:val="left" w:pos="1440"/>
        </w:tabs>
        <w:ind w:firstLine="720"/>
      </w:pPr>
      <w:r w:rsidRPr="00ED7A7B">
        <w:t xml:space="preserve">The </w:t>
      </w:r>
      <w:r w:rsidRPr="00ED7A7B" w:rsidR="00AA2D3C">
        <w:t xml:space="preserve">districts filed </w:t>
      </w:r>
      <w:r w:rsidRPr="00ED7A7B" w:rsidR="00FC2B14">
        <w:t>a claim</w:t>
      </w:r>
      <w:r w:rsidRPr="00ED7A7B" w:rsidR="00AA2D3C">
        <w:t xml:space="preserve"> with the </w:t>
      </w:r>
      <w:r w:rsidRPr="00ED7A7B">
        <w:t>Commission on State Mandates</w:t>
      </w:r>
      <w:r w:rsidRPr="00ED7A7B" w:rsidR="008C00CF">
        <w:t xml:space="preserve">, </w:t>
      </w:r>
      <w:r w:rsidRPr="00ED7A7B" w:rsidR="00D63E79">
        <w:t>“ ‘</w:t>
      </w:r>
      <w:r w:rsidRPr="00ED7A7B" w:rsidR="00705311">
        <w:t> </w:t>
      </w:r>
      <w:r w:rsidRPr="00ED7A7B" w:rsidR="00D63E79">
        <w:t>“a quasi-judicial body [that] has the sole and exclusive authority to adjudicate whether a state mandate exists</w:t>
      </w:r>
      <w:r w:rsidRPr="009677EE" w:rsidR="00D63E79">
        <w:t>” ’</w:t>
      </w:r>
      <w:r w:rsidRPr="009677EE" w:rsidR="00705311">
        <w:t> </w:t>
      </w:r>
      <w:r w:rsidRPr="009677EE" w:rsidR="00D63E79">
        <w:t>”</w:t>
      </w:r>
      <w:r w:rsidRPr="00ED7A7B" w:rsidR="00D63E79">
        <w:t xml:space="preserve"> </w:t>
      </w:r>
      <w:bookmarkStart w:id="3" w:name="_Hlk97219741"/>
      <w:r w:rsidRPr="00ED7A7B" w:rsidR="00D63E79">
        <w:t>(</w:t>
      </w:r>
      <w:r w:rsidRPr="00ED7A7B" w:rsidR="00D63E79">
        <w:rPr>
          <w:i/>
          <w:iCs/>
        </w:rPr>
        <w:t>Cal</w:t>
      </w:r>
      <w:r w:rsidRPr="00ED7A7B" w:rsidR="007F76CA">
        <w:rPr>
          <w:i/>
          <w:iCs/>
        </w:rPr>
        <w:t xml:space="preserve">ifornia </w:t>
      </w:r>
      <w:r w:rsidRPr="00ED7A7B" w:rsidR="00D63E79">
        <w:rPr>
          <w:i/>
          <w:iCs/>
        </w:rPr>
        <w:t>School Boards Assn. v. State of California</w:t>
      </w:r>
      <w:r w:rsidRPr="00ED7A7B" w:rsidR="00D63E79">
        <w:t xml:space="preserve"> (2009) 171</w:t>
      </w:r>
      <w:r w:rsidRPr="00ED7A7B" w:rsidR="00350445">
        <w:t> </w:t>
      </w:r>
      <w:r w:rsidRPr="00ED7A7B" w:rsidR="00D63E79">
        <w:t xml:space="preserve">Cal.App.4th 1183, 1200; see </w:t>
      </w:r>
      <w:r w:rsidRPr="00ED7A7B" w:rsidR="008D489D">
        <w:t>Gov. Code, § 17551)</w:t>
      </w:r>
      <w:bookmarkEnd w:id="3"/>
      <w:r w:rsidRPr="00ED7A7B" w:rsidR="00FC2B14">
        <w:t>,</w:t>
      </w:r>
      <w:r w:rsidRPr="00ED7A7B" w:rsidR="001A5840">
        <w:t xml:space="preserve"> </w:t>
      </w:r>
      <w:r w:rsidRPr="00ED7A7B" w:rsidR="00180A31">
        <w:t>argu</w:t>
      </w:r>
      <w:r w:rsidRPr="00ED7A7B" w:rsidR="00FC2B14">
        <w:t xml:space="preserve">ing </w:t>
      </w:r>
      <w:r w:rsidRPr="00ED7A7B" w:rsidR="00180A31">
        <w:t xml:space="preserve"> </w:t>
      </w:r>
      <w:r w:rsidRPr="00ED7A7B" w:rsidR="00F464DF">
        <w:t xml:space="preserve">that </w:t>
      </w:r>
      <w:r w:rsidRPr="00ED7A7B" w:rsidR="00180A31">
        <w:t>reimbursement</w:t>
      </w:r>
      <w:r w:rsidRPr="00ED7A7B" w:rsidR="00F464DF">
        <w:t xml:space="preserve"> was required</w:t>
      </w:r>
      <w:r w:rsidRPr="00ED7A7B" w:rsidR="001F7394">
        <w:t xml:space="preserve"> under </w:t>
      </w:r>
      <w:r w:rsidRPr="00ED7A7B" w:rsidR="00C909BE">
        <w:t xml:space="preserve">Article XIII B, section 6 </w:t>
      </w:r>
      <w:r w:rsidRPr="00ED7A7B" w:rsidR="00180A31">
        <w:t>because</w:t>
      </w:r>
      <w:r w:rsidRPr="00ED7A7B" w:rsidR="0024599E">
        <w:t xml:space="preserve">: </w:t>
      </w:r>
      <w:r w:rsidRPr="00ED7A7B" w:rsidR="00196D1D">
        <w:t xml:space="preserve"> </w:t>
      </w:r>
      <w:r w:rsidRPr="00ED7A7B" w:rsidR="0024599E">
        <w:t>(1)</w:t>
      </w:r>
      <w:r w:rsidRPr="00ED7A7B" w:rsidR="00180A31">
        <w:t xml:space="preserve"> </w:t>
      </w:r>
      <w:r w:rsidRPr="00ED7A7B" w:rsidR="001A5840">
        <w:t>the</w:t>
      </w:r>
      <w:r w:rsidRPr="00ED7A7B" w:rsidR="00F464DF">
        <w:t xml:space="preserve"> regulations imposed a</w:t>
      </w:r>
      <w:r w:rsidRPr="00ED7A7B" w:rsidR="00FC2B14">
        <w:t xml:space="preserve"> legal</w:t>
      </w:r>
      <w:r w:rsidRPr="00ED7A7B" w:rsidR="00F464DF">
        <w:t xml:space="preserve"> </w:t>
      </w:r>
      <w:r w:rsidRPr="00ED7A7B" w:rsidR="00180A31">
        <w:t>duty</w:t>
      </w:r>
      <w:r w:rsidRPr="00ED7A7B" w:rsidR="00F464DF">
        <w:t xml:space="preserve"> </w:t>
      </w:r>
      <w:r w:rsidRPr="00ED7A7B" w:rsidR="00180A31">
        <w:t xml:space="preserve">to </w:t>
      </w:r>
      <w:r w:rsidRPr="00ED7A7B" w:rsidR="00F464DF">
        <w:t>satisfy the conditions described therein</w:t>
      </w:r>
      <w:r w:rsidRPr="00ED7A7B" w:rsidR="0024599E">
        <w:t xml:space="preserve"> (“legal compulsion”)</w:t>
      </w:r>
      <w:r w:rsidR="006A6ACD">
        <w:t>;</w:t>
      </w:r>
      <w:r w:rsidRPr="00ED7A7B" w:rsidR="00F464DF">
        <w:t xml:space="preserve"> or </w:t>
      </w:r>
      <w:r w:rsidRPr="00ED7A7B" w:rsidR="0024599E">
        <w:t>(2)</w:t>
      </w:r>
      <w:r w:rsidRPr="00ED7A7B" w:rsidR="00C909BE">
        <w:t xml:space="preserve"> the regulations</w:t>
      </w:r>
      <w:r w:rsidRPr="00ED7A7B" w:rsidR="0024599E">
        <w:t xml:space="preserve"> </w:t>
      </w:r>
      <w:r w:rsidRPr="00ED7A7B" w:rsidR="00F464DF">
        <w:t xml:space="preserve">otherwise compelled </w:t>
      </w:r>
      <w:r w:rsidRPr="00ED7A7B" w:rsidR="00180A31">
        <w:t>compl</w:t>
      </w:r>
      <w:r w:rsidRPr="00ED7A7B" w:rsidR="00F464DF">
        <w:t xml:space="preserve">iance </w:t>
      </w:r>
      <w:r w:rsidRPr="00ED7A7B" w:rsidR="00180A31">
        <w:t>as a practical matter</w:t>
      </w:r>
      <w:r w:rsidRPr="00ED7A7B" w:rsidR="0024599E">
        <w:t xml:space="preserve"> (“practical compulsion”)</w:t>
      </w:r>
      <w:r w:rsidRPr="00ED7A7B" w:rsidR="00AD3ECF">
        <w:t xml:space="preserve">.  </w:t>
      </w:r>
      <w:r w:rsidRPr="00ED7A7B" w:rsidR="00E96954">
        <w:t xml:space="preserve">(See </w:t>
      </w:r>
      <w:bookmarkStart w:id="4" w:name="_Hlk97219778"/>
      <w:r w:rsidRPr="00ED7A7B" w:rsidR="00E96954">
        <w:rPr>
          <w:i/>
          <w:iCs/>
        </w:rPr>
        <w:t>Dep</w:t>
      </w:r>
      <w:r w:rsidRPr="00ED7A7B" w:rsidR="00B61191">
        <w:rPr>
          <w:i/>
          <w:iCs/>
        </w:rPr>
        <w:t>ar</w:t>
      </w:r>
      <w:r w:rsidRPr="00ED7A7B" w:rsidR="00E96954">
        <w:rPr>
          <w:i/>
          <w:iCs/>
        </w:rPr>
        <w:t>t</w:t>
      </w:r>
      <w:r w:rsidRPr="00ED7A7B" w:rsidR="00B61191">
        <w:rPr>
          <w:i/>
          <w:iCs/>
        </w:rPr>
        <w:t>ment</w:t>
      </w:r>
      <w:r w:rsidRPr="00ED7A7B" w:rsidR="00E96954">
        <w:rPr>
          <w:i/>
          <w:iCs/>
        </w:rPr>
        <w:t xml:space="preserve"> of Finance v. Com</w:t>
      </w:r>
      <w:r w:rsidRPr="00ED7A7B" w:rsidR="00B61191">
        <w:rPr>
          <w:i/>
          <w:iCs/>
        </w:rPr>
        <w:t>mission</w:t>
      </w:r>
      <w:r w:rsidRPr="00ED7A7B" w:rsidR="00E96954">
        <w:rPr>
          <w:i/>
          <w:iCs/>
        </w:rPr>
        <w:t xml:space="preserve"> on State Mandates</w:t>
      </w:r>
      <w:r w:rsidRPr="00ED7A7B" w:rsidR="00E96954">
        <w:t xml:space="preserve"> (2003) 30</w:t>
      </w:r>
      <w:r w:rsidRPr="00ED7A7B" w:rsidR="00350445">
        <w:t> </w:t>
      </w:r>
      <w:r w:rsidRPr="00ED7A7B" w:rsidR="00E96954">
        <w:t xml:space="preserve">Cal.4th 727, 741 </w:t>
      </w:r>
      <w:r w:rsidRPr="00ED7A7B" w:rsidR="008112B9">
        <w:t>(</w:t>
      </w:r>
      <w:r w:rsidRPr="00ED7A7B" w:rsidR="008112B9">
        <w:rPr>
          <w:i/>
          <w:iCs/>
        </w:rPr>
        <w:t>Kern</w:t>
      </w:r>
      <w:r w:rsidRPr="00ED7A7B" w:rsidR="008112B9">
        <w:t xml:space="preserve">) </w:t>
      </w:r>
      <w:bookmarkEnd w:id="4"/>
      <w:r w:rsidRPr="00ED7A7B" w:rsidR="00E96954">
        <w:t>[“reimbursable state mandate arises” when entity is compelled to comply</w:t>
      </w:r>
      <w:r w:rsidRPr="00ED7A7B" w:rsidR="001A20D5">
        <w:t>; distinguishing legal and practical compulsion</w:t>
      </w:r>
      <w:r w:rsidRPr="00ED7A7B">
        <w:t xml:space="preserve">]; </w:t>
      </w:r>
      <w:bookmarkStart w:id="5" w:name="_Hlk97219794"/>
      <w:r w:rsidRPr="00ED7A7B">
        <w:rPr>
          <w:i/>
          <w:iCs/>
        </w:rPr>
        <w:t>Dep</w:t>
      </w:r>
      <w:r w:rsidRPr="00ED7A7B" w:rsidR="0081536F">
        <w:rPr>
          <w:i/>
          <w:iCs/>
        </w:rPr>
        <w:t>artmen</w:t>
      </w:r>
      <w:r w:rsidRPr="00ED7A7B">
        <w:rPr>
          <w:i/>
          <w:iCs/>
        </w:rPr>
        <w:t>t of Finance v. Com</w:t>
      </w:r>
      <w:r w:rsidRPr="00ED7A7B" w:rsidR="0081536F">
        <w:rPr>
          <w:i/>
          <w:iCs/>
        </w:rPr>
        <w:t>mission</w:t>
      </w:r>
      <w:r w:rsidRPr="00ED7A7B">
        <w:rPr>
          <w:i/>
          <w:iCs/>
        </w:rPr>
        <w:t xml:space="preserve"> on State Mandates </w:t>
      </w:r>
      <w:r w:rsidRPr="00ED7A7B">
        <w:t>(2009) 170</w:t>
      </w:r>
      <w:r w:rsidRPr="00ED7A7B" w:rsidR="00350445">
        <w:t> </w:t>
      </w:r>
      <w:r w:rsidRPr="00ED7A7B">
        <w:t>Cal.App.4th 1355, 1365–1366 (</w:t>
      </w:r>
      <w:r w:rsidRPr="00ED7A7B">
        <w:rPr>
          <w:i/>
          <w:iCs/>
        </w:rPr>
        <w:t>Dep</w:t>
      </w:r>
      <w:r w:rsidRPr="00ED7A7B" w:rsidR="007F76CA">
        <w:rPr>
          <w:i/>
          <w:iCs/>
        </w:rPr>
        <w:t>artment</w:t>
      </w:r>
      <w:r w:rsidRPr="00ED7A7B">
        <w:rPr>
          <w:i/>
          <w:iCs/>
        </w:rPr>
        <w:t xml:space="preserve"> of Finance</w:t>
      </w:r>
      <w:r w:rsidRPr="00ED7A7B">
        <w:t xml:space="preserve">) </w:t>
      </w:r>
      <w:bookmarkEnd w:id="5"/>
      <w:r w:rsidRPr="00ED7A7B">
        <w:t>[reimbursement</w:t>
      </w:r>
      <w:r w:rsidRPr="00ED7A7B" w:rsidR="007733C9">
        <w:t xml:space="preserve"> </w:t>
      </w:r>
      <w:r w:rsidRPr="00ED7A7B" w:rsidR="001A20D5">
        <w:t>not required</w:t>
      </w:r>
      <w:r w:rsidRPr="00ED7A7B">
        <w:t xml:space="preserve"> “if a local government participates ‘voluntarily,’ i.e., without legal compulsion or compulsion as a practical matter, in a program with a rule requiring increased costs”].)  </w:t>
      </w:r>
    </w:p>
    <w:p w:rsidR="00E74195" w:rsidRPr="00ED7A7B" w:rsidP="00ED7A7B" w14:paraId="609205BE" w14:textId="6742A808">
      <w:pPr>
        <w:tabs>
          <w:tab w:val="left" w:pos="1440"/>
        </w:tabs>
        <w:ind w:firstLine="720"/>
      </w:pPr>
      <w:r w:rsidRPr="00ED7A7B">
        <w:t>The Commission</w:t>
      </w:r>
      <w:r w:rsidRPr="00ED7A7B" w:rsidR="001E4560">
        <w:t xml:space="preserve"> rejected the claims, concluding that the districts had failed to show they were legally compelled </w:t>
      </w:r>
      <w:r w:rsidRPr="00ED7A7B" w:rsidR="00500549">
        <w:t>to comply with the regulations</w:t>
      </w:r>
      <w:r w:rsidRPr="00ED7A7B" w:rsidR="001E4560">
        <w:t xml:space="preserve"> </w:t>
      </w:r>
      <w:r w:rsidRPr="00ED7A7B">
        <w:t>because there was no provision creating a mandatory duty that they do so; instead, noncompliance merely raised the possibility that</w:t>
      </w:r>
      <w:r w:rsidRPr="00ED7A7B" w:rsidR="00FD528C">
        <w:t xml:space="preserve"> </w:t>
      </w:r>
      <w:r w:rsidRPr="00ED7A7B" w:rsidR="00D16F86">
        <w:t xml:space="preserve">some </w:t>
      </w:r>
      <w:r w:rsidRPr="00ED7A7B">
        <w:t>portion of their state funding</w:t>
      </w:r>
      <w:r w:rsidRPr="00ED7A7B" w:rsidR="00D16F86">
        <w:t xml:space="preserve"> </w:t>
      </w:r>
      <w:r w:rsidRPr="00ED7A7B" w:rsidR="002C09B1">
        <w:t xml:space="preserve">would </w:t>
      </w:r>
      <w:r w:rsidRPr="00ED7A7B" w:rsidR="00D16F86">
        <w:t>be withheld</w:t>
      </w:r>
      <w:r w:rsidRPr="00ED7A7B">
        <w:t xml:space="preserve">.  The Commission further concluded that the districts had failed to establish they were compelled to comply as a practical matter, explaining </w:t>
      </w:r>
      <w:r w:rsidRPr="00ED7A7B" w:rsidR="001E4560">
        <w:t>that</w:t>
      </w:r>
      <w:r w:rsidRPr="00ED7A7B" w:rsidR="00C0394C">
        <w:t xml:space="preserve"> </w:t>
      </w:r>
      <w:r w:rsidRPr="00ED7A7B">
        <w:t xml:space="preserve">no evidence had been submitted demonstrating the districts </w:t>
      </w:r>
      <w:r w:rsidRPr="00ED7A7B" w:rsidR="008112B9">
        <w:t>were unable to</w:t>
      </w:r>
      <w:r w:rsidRPr="00ED7A7B" w:rsidR="001E4560">
        <w:t xml:space="preserve"> function without state funding or</w:t>
      </w:r>
      <w:r w:rsidRPr="00ED7A7B" w:rsidR="002C09B1">
        <w:t xml:space="preserve"> that they</w:t>
      </w:r>
      <w:r w:rsidRPr="00ED7A7B" w:rsidR="001E4560">
        <w:t xml:space="preserve"> otherwise</w:t>
      </w:r>
      <w:r w:rsidRPr="00ED7A7B" w:rsidR="0042078A">
        <w:t xml:space="preserve"> lacked any true choice but to</w:t>
      </w:r>
      <w:r w:rsidRPr="00ED7A7B" w:rsidR="001E4560">
        <w:t xml:space="preserve"> comply with the conditions.  </w:t>
      </w:r>
    </w:p>
    <w:p w:rsidR="00D16F86" w:rsidRPr="00ED7A7B" w:rsidP="00ED7A7B" w14:paraId="3AA231A5" w14:textId="4E184960">
      <w:pPr>
        <w:tabs>
          <w:tab w:val="left" w:pos="1440"/>
        </w:tabs>
        <w:ind w:firstLine="720"/>
      </w:pPr>
      <w:r w:rsidRPr="00ED7A7B">
        <w:t>In subsequent mandate proceedings, the trial court affirmed</w:t>
      </w:r>
      <w:r w:rsidRPr="00ED7A7B" w:rsidR="00FD2B12">
        <w:t xml:space="preserve"> the Commission’s </w:t>
      </w:r>
      <w:r w:rsidRPr="00ED7A7B" w:rsidR="002C09B1">
        <w:t xml:space="preserve">findings with respect to both legal and practical compulsion.  The </w:t>
      </w:r>
      <w:r w:rsidRPr="00ED7A7B">
        <w:t>Court of Appeal reversed</w:t>
      </w:r>
      <w:r w:rsidRPr="00ED7A7B" w:rsidR="0049505A">
        <w:t xml:space="preserve">, concluding that </w:t>
      </w:r>
      <w:r w:rsidRPr="00ED7A7B" w:rsidR="00FD2B12">
        <w:t>t</w:t>
      </w:r>
      <w:r w:rsidRPr="00ED7A7B">
        <w:t>he districts were legally compelled to comply with the regulations because th</w:t>
      </w:r>
      <w:r w:rsidRPr="00ED7A7B" w:rsidR="00F9480E">
        <w:t xml:space="preserve">ose regulations </w:t>
      </w:r>
      <w:r w:rsidRPr="00ED7A7B">
        <w:t>“</w:t>
      </w:r>
      <w:r w:rsidRPr="00ED7A7B" w:rsidR="00F9480E">
        <w:t xml:space="preserve">apply to the </w:t>
      </w:r>
      <w:r w:rsidRPr="00ED7A7B">
        <w:t xml:space="preserve">underlying core functions of the community colleges, functions compelled by state law.” </w:t>
      </w:r>
      <w:r w:rsidRPr="00ED7A7B" w:rsidR="00F9480E">
        <w:rPr>
          <w:szCs w:val="26"/>
        </w:rPr>
        <w:t xml:space="preserve"> </w:t>
      </w:r>
      <w:r w:rsidRPr="00ED7A7B" w:rsidR="00675E08">
        <w:t>The court</w:t>
      </w:r>
      <w:r w:rsidRPr="00ED7A7B" w:rsidR="00A13D14">
        <w:t xml:space="preserve"> also rejected the</w:t>
      </w:r>
      <w:r w:rsidRPr="00ED7A7B" w:rsidR="00F9480E">
        <w:t xml:space="preserve"> Commission’s </w:t>
      </w:r>
      <w:r w:rsidRPr="00ED7A7B" w:rsidR="002D7E95">
        <w:t xml:space="preserve">finding </w:t>
      </w:r>
      <w:r w:rsidRPr="00ED7A7B" w:rsidR="00F9480E">
        <w:t xml:space="preserve">that legal compulsion was inapplicable </w:t>
      </w:r>
      <w:r w:rsidRPr="00ED7A7B" w:rsidR="00A13D14">
        <w:t>because noncompliance merely placed the</w:t>
      </w:r>
      <w:r w:rsidRPr="00ED7A7B" w:rsidR="00F9480E">
        <w:t xml:space="preserve"> districts </w:t>
      </w:r>
      <w:r w:rsidRPr="00ED7A7B" w:rsidR="00A13D14">
        <w:t xml:space="preserve">at risk of having </w:t>
      </w:r>
      <w:r w:rsidRPr="00ED7A7B" w:rsidR="00F9480E">
        <w:t xml:space="preserve">some portion of </w:t>
      </w:r>
      <w:r w:rsidRPr="00ED7A7B" w:rsidR="00A13D14">
        <w:t xml:space="preserve">their state aid </w:t>
      </w:r>
      <w:r w:rsidRPr="00ED7A7B" w:rsidR="00F9480E">
        <w:t>withheld</w:t>
      </w:r>
      <w:r w:rsidRPr="00ED7A7B" w:rsidR="00A13D14">
        <w:t>.  According to the court,</w:t>
      </w:r>
      <w:r w:rsidRPr="00ED7A7B" w:rsidR="00675E08">
        <w:t xml:space="preserve"> </w:t>
      </w:r>
      <w:r w:rsidRPr="00ED7A7B" w:rsidR="002241CD">
        <w:t xml:space="preserve">state </w:t>
      </w:r>
      <w:r w:rsidRPr="00ED7A7B" w:rsidR="00675E08">
        <w:t xml:space="preserve">laws </w:t>
      </w:r>
      <w:r w:rsidRPr="00ED7A7B" w:rsidR="0049505A">
        <w:t>that required</w:t>
      </w:r>
      <w:r w:rsidRPr="00ED7A7B" w:rsidR="00675E08">
        <w:t xml:space="preserve"> </w:t>
      </w:r>
      <w:r w:rsidRPr="00ED7A7B">
        <w:t xml:space="preserve">the </w:t>
      </w:r>
      <w:r w:rsidRPr="00ED7A7B" w:rsidR="00675E08">
        <w:t xml:space="preserve">funding of community colleges and </w:t>
      </w:r>
      <w:r w:rsidRPr="00ED7A7B" w:rsidR="0049505A">
        <w:t xml:space="preserve">other evidence </w:t>
      </w:r>
      <w:r w:rsidRPr="00ED7A7B">
        <w:t xml:space="preserve">in </w:t>
      </w:r>
      <w:r w:rsidRPr="00ED7A7B" w:rsidR="00675E08">
        <w:t xml:space="preserve">the record </w:t>
      </w:r>
      <w:r w:rsidRPr="00ED7A7B" w:rsidR="0049505A">
        <w:t>demonstrate</w:t>
      </w:r>
      <w:r w:rsidRPr="00ED7A7B" w:rsidR="008112B9">
        <w:t>d</w:t>
      </w:r>
      <w:r w:rsidRPr="00ED7A7B" w:rsidR="0042078A">
        <w:t xml:space="preserve"> </w:t>
      </w:r>
      <w:r w:rsidRPr="00ED7A7B" w:rsidR="003B6531">
        <w:t xml:space="preserve">the </w:t>
      </w:r>
      <w:r w:rsidRPr="00ED7A7B" w:rsidR="00675E08">
        <w:t>districts rel</w:t>
      </w:r>
      <w:r w:rsidRPr="00ED7A7B" w:rsidR="0042078A">
        <w:t xml:space="preserve">y </w:t>
      </w:r>
      <w:r w:rsidRPr="00ED7A7B" w:rsidR="00675E08">
        <w:t>on state aid to function</w:t>
      </w:r>
      <w:r w:rsidRPr="00ED7A7B" w:rsidR="002241CD">
        <w:t xml:space="preserve">, leaving them no </w:t>
      </w:r>
      <w:r w:rsidRPr="00ED7A7B">
        <w:t>choice but to comply</w:t>
      </w:r>
      <w:r w:rsidRPr="00ED7A7B" w:rsidR="002241CD">
        <w:t xml:space="preserve"> with the regulations</w:t>
      </w:r>
      <w:r w:rsidRPr="00ED7A7B" w:rsidR="00675E08">
        <w:t xml:space="preserve">. </w:t>
      </w:r>
      <w:r w:rsidRPr="00ED7A7B">
        <w:t xml:space="preserve"> </w:t>
      </w:r>
      <w:r w:rsidRPr="00ED7A7B">
        <w:t xml:space="preserve">Having </w:t>
      </w:r>
      <w:r w:rsidRPr="00ED7A7B" w:rsidR="0049505A">
        <w:t>found</w:t>
      </w:r>
      <w:r w:rsidRPr="00ED7A7B">
        <w:t xml:space="preserve"> the districts had a legal duty to comply with the regulations, the</w:t>
      </w:r>
      <w:r w:rsidRPr="00ED7A7B" w:rsidR="007B0827">
        <w:t xml:space="preserve"> court </w:t>
      </w:r>
      <w:r w:rsidRPr="00ED7A7B">
        <w:t xml:space="preserve">declined to review the trial court’s </w:t>
      </w:r>
      <w:r w:rsidRPr="00ED7A7B" w:rsidR="007B0827">
        <w:t xml:space="preserve">conclusion </w:t>
      </w:r>
      <w:r w:rsidRPr="00ED7A7B">
        <w:t xml:space="preserve">that the districts had failed to </w:t>
      </w:r>
      <w:r w:rsidRPr="00ED7A7B" w:rsidR="0042078A">
        <w:t>show</w:t>
      </w:r>
      <w:r w:rsidRPr="00ED7A7B">
        <w:t xml:space="preserve"> practical compulsion.  </w:t>
      </w:r>
    </w:p>
    <w:p w:rsidR="00B85162" w:rsidRPr="00ED7A7B" w:rsidP="00ED7A7B" w14:paraId="6C8EED9E" w14:textId="26271537">
      <w:pPr>
        <w:tabs>
          <w:tab w:val="left" w:pos="1440"/>
        </w:tabs>
        <w:ind w:firstLine="720"/>
      </w:pPr>
      <w:r w:rsidRPr="00ED7A7B">
        <w:t>W</w:t>
      </w:r>
      <w:r w:rsidRPr="00ED7A7B" w:rsidR="001E4560">
        <w:t xml:space="preserve">e reverse.  </w:t>
      </w:r>
      <w:r w:rsidRPr="00ED7A7B" w:rsidR="009459DF">
        <w:t>Contrary to the Court of Appeal’s interpretation, t</w:t>
      </w:r>
      <w:r w:rsidRPr="00ED7A7B" w:rsidR="001E4560">
        <w:t>he</w:t>
      </w:r>
      <w:r w:rsidRPr="00ED7A7B" w:rsidR="001B5554">
        <w:t xml:space="preserve"> </w:t>
      </w:r>
      <w:r w:rsidRPr="00ED7A7B" w:rsidR="001E4560">
        <w:t xml:space="preserve">fact that the </w:t>
      </w:r>
      <w:r w:rsidRPr="00ED7A7B" w:rsidR="0059273D">
        <w:t xml:space="preserve">standards set forth in the </w:t>
      </w:r>
      <w:r w:rsidRPr="00ED7A7B" w:rsidR="001E4560">
        <w:t>regulations</w:t>
      </w:r>
      <w:r w:rsidRPr="00ED7A7B" w:rsidR="0069281D">
        <w:t xml:space="preserve"> </w:t>
      </w:r>
      <w:r w:rsidRPr="00ED7A7B" w:rsidR="00A13D14">
        <w:t>relat</w:t>
      </w:r>
      <w:r w:rsidRPr="00ED7A7B" w:rsidR="0059273D">
        <w:t>e</w:t>
      </w:r>
      <w:r w:rsidRPr="00ED7A7B" w:rsidR="001E4560">
        <w:t xml:space="preserve"> to the districts’ core functions </w:t>
      </w:r>
      <w:r w:rsidRPr="00ED7A7B" w:rsidR="00D16F86">
        <w:t>(</w:t>
      </w:r>
      <w:r w:rsidRPr="00ED7A7B" w:rsidR="001E4560">
        <w:t>matriculation, hiring of faculty and selecting curriculum</w:t>
      </w:r>
      <w:r w:rsidRPr="00ED7A7B" w:rsidR="00D16F86">
        <w:t>, etc.)</w:t>
      </w:r>
      <w:r w:rsidRPr="00ED7A7B" w:rsidR="001E4560">
        <w:t xml:space="preserve"> does not in itself establish that the districts have a</w:t>
      </w:r>
      <w:r w:rsidRPr="00ED7A7B" w:rsidR="00643531">
        <w:t xml:space="preserve"> mandatory legal obligation</w:t>
      </w:r>
      <w:r w:rsidRPr="00ED7A7B" w:rsidR="001E4560">
        <w:t xml:space="preserve"> to adopt those standards</w:t>
      </w:r>
      <w:r w:rsidRPr="00ED7A7B" w:rsidR="00643531">
        <w:t xml:space="preserve">.  (See </w:t>
      </w:r>
      <w:r w:rsidRPr="00ED7A7B" w:rsidR="00643531">
        <w:rPr>
          <w:i/>
          <w:iCs/>
        </w:rPr>
        <w:t>Kern, supra</w:t>
      </w:r>
      <w:r w:rsidRPr="00ED7A7B" w:rsidR="00643531">
        <w:t>, 30</w:t>
      </w:r>
      <w:r w:rsidRPr="00ED7A7B" w:rsidR="00350445">
        <w:t> </w:t>
      </w:r>
      <w:r w:rsidRPr="00ED7A7B" w:rsidR="00643531">
        <w:t>Cal.4th at p.</w:t>
      </w:r>
      <w:r w:rsidRPr="00ED7A7B" w:rsidR="00350445">
        <w:t> </w:t>
      </w:r>
      <w:r w:rsidRPr="00ED7A7B" w:rsidR="00643531">
        <w:t>741.)</w:t>
      </w:r>
      <w:r w:rsidRPr="00ED7A7B" w:rsidR="001E4560">
        <w:t xml:space="preserve">  </w:t>
      </w:r>
      <w:r w:rsidRPr="00ED7A7B" w:rsidR="008E7642">
        <w:t>T</w:t>
      </w:r>
      <w:r w:rsidRPr="00ED7A7B" w:rsidR="001E4560">
        <w:t xml:space="preserve">he regulations </w:t>
      </w:r>
      <w:r w:rsidRPr="00ED7A7B" w:rsidR="0049505A">
        <w:t xml:space="preserve">make clear that if a district fails to comply, </w:t>
      </w:r>
      <w:r w:rsidRPr="00ED7A7B" w:rsidR="001E4560">
        <w:t>the California Community College</w:t>
      </w:r>
      <w:r w:rsidRPr="00ED7A7B" w:rsidR="002241CD">
        <w:t xml:space="preserve">s Chancellor </w:t>
      </w:r>
      <w:r w:rsidRPr="00ED7A7B" w:rsidR="0063208B">
        <w:t xml:space="preserve">has discretion </w:t>
      </w:r>
      <w:r w:rsidRPr="00ED7A7B" w:rsidR="001E4560">
        <w:t xml:space="preserve">to pursue </w:t>
      </w:r>
      <w:r w:rsidRPr="00ED7A7B" w:rsidR="00675E08">
        <w:t xml:space="preserve">any number of </w:t>
      </w:r>
      <w:r w:rsidRPr="00ED7A7B" w:rsidR="001E4560">
        <w:t xml:space="preserve">remedial </w:t>
      </w:r>
      <w:r w:rsidRPr="00ED7A7B" w:rsidR="000A472B">
        <w:t>measures</w:t>
      </w:r>
      <w:r w:rsidRPr="00ED7A7B" w:rsidR="001E4560">
        <w:t xml:space="preserve"> that</w:t>
      </w:r>
      <w:r w:rsidRPr="00ED7A7B" w:rsidR="00675E08">
        <w:t xml:space="preserve"> range from taking no action to </w:t>
      </w:r>
      <w:r w:rsidRPr="00ED7A7B" w:rsidR="001E4560">
        <w:t>“withhold[ing] or reduc[ing] all or part of the district’s state aid.”  (</w:t>
      </w:r>
      <w:bookmarkStart w:id="6" w:name="_Hlk97219838"/>
      <w:r w:rsidRPr="00ED7A7B" w:rsidR="00196D1D">
        <w:t xml:space="preserve">Cal. Code </w:t>
      </w:r>
      <w:r w:rsidRPr="00ED7A7B" w:rsidR="00157742">
        <w:t>Reg</w:t>
      </w:r>
      <w:r w:rsidRPr="00ED7A7B" w:rsidR="00196D1D">
        <w:t>s</w:t>
      </w:r>
      <w:r w:rsidRPr="00ED7A7B" w:rsidR="00157742">
        <w:t>.</w:t>
      </w:r>
      <w:r w:rsidRPr="00ED7A7B" w:rsidR="00F275D0">
        <w:t>,</w:t>
      </w:r>
      <w:r w:rsidRPr="00ED7A7B" w:rsidR="00196D1D">
        <w:t xml:space="preserve"> tit. 5,</w:t>
      </w:r>
      <w:r w:rsidRPr="00ED7A7B" w:rsidR="001E4560">
        <w:t xml:space="preserve"> § 51102, subd</w:t>
      </w:r>
      <w:r w:rsidRPr="00ED7A7B" w:rsidR="00F275D0">
        <w:t>.</w:t>
      </w:r>
      <w:r w:rsidRPr="00ED7A7B" w:rsidR="001E4560">
        <w:t xml:space="preserve"> (b)(5)</w:t>
      </w:r>
      <w:bookmarkEnd w:id="6"/>
      <w:r w:rsidRPr="00ED7A7B" w:rsidR="001E4560">
        <w:t xml:space="preserve">.)  Thus, the districts </w:t>
      </w:r>
      <w:r w:rsidRPr="00ED7A7B" w:rsidR="00D67E42">
        <w:t xml:space="preserve">are not legally obligated </w:t>
      </w:r>
      <w:r w:rsidRPr="00ED7A7B" w:rsidR="008E7642">
        <w:t xml:space="preserve">to </w:t>
      </w:r>
      <w:r w:rsidRPr="00ED7A7B" w:rsidR="0059273D">
        <w:t>adopt the standards described in the regulations</w:t>
      </w:r>
      <w:r w:rsidRPr="00ED7A7B" w:rsidR="001E4560">
        <w:t xml:space="preserve">, but </w:t>
      </w:r>
      <w:r w:rsidRPr="00ED7A7B" w:rsidR="000A472B">
        <w:t xml:space="preserve">rather </w:t>
      </w:r>
      <w:r w:rsidRPr="00ED7A7B" w:rsidR="001E4560">
        <w:t xml:space="preserve">face </w:t>
      </w:r>
      <w:r w:rsidRPr="00ED7A7B" w:rsidR="002241CD">
        <w:t xml:space="preserve">the risk of potentially </w:t>
      </w:r>
      <w:r w:rsidRPr="00ED7A7B" w:rsidR="001E4560">
        <w:t>severe</w:t>
      </w:r>
      <w:r w:rsidRPr="00ED7A7B" w:rsidR="002241CD">
        <w:t xml:space="preserve"> financial</w:t>
      </w:r>
      <w:r w:rsidRPr="00ED7A7B" w:rsidR="001E4560">
        <w:t xml:space="preserve"> consequences if they chose not to</w:t>
      </w:r>
      <w:r w:rsidRPr="00ED7A7B" w:rsidR="000A472B">
        <w:t xml:space="preserve"> do so</w:t>
      </w:r>
      <w:r w:rsidRPr="00ED7A7B" w:rsidR="001E4560">
        <w:t>.  Because the regulations in</w:t>
      </w:r>
      <w:r w:rsidRPr="00ED7A7B" w:rsidR="002241CD">
        <w:t>duce</w:t>
      </w:r>
      <w:r w:rsidRPr="00ED7A7B" w:rsidR="001E4560">
        <w:t xml:space="preserve"> rather than obligate compl</w:t>
      </w:r>
      <w:r w:rsidRPr="00ED7A7B" w:rsidR="002241CD">
        <w:t>iance,</w:t>
      </w:r>
      <w:r w:rsidRPr="00ED7A7B" w:rsidR="001E4560">
        <w:t xml:space="preserve"> legal compulsion </w:t>
      </w:r>
      <w:r w:rsidRPr="00ED7A7B" w:rsidR="009D16DE">
        <w:t xml:space="preserve">is </w:t>
      </w:r>
      <w:r w:rsidRPr="00ED7A7B" w:rsidR="001E4560">
        <w:t xml:space="preserve">inapplicable.  (See </w:t>
      </w:r>
      <w:r w:rsidRPr="00ED7A7B" w:rsidR="001E4560">
        <w:rPr>
          <w:i/>
          <w:iCs/>
        </w:rPr>
        <w:t>Kern</w:t>
      </w:r>
      <w:r w:rsidRPr="00ED7A7B" w:rsidR="00F275D0">
        <w:rPr>
          <w:i/>
          <w:iCs/>
        </w:rPr>
        <w:t xml:space="preserve">, supra, </w:t>
      </w:r>
      <w:r w:rsidRPr="00ED7A7B" w:rsidR="001E4560">
        <w:t>30</w:t>
      </w:r>
      <w:r w:rsidRPr="00ED7A7B" w:rsidR="00350445">
        <w:t> </w:t>
      </w:r>
      <w:r w:rsidRPr="00ED7A7B" w:rsidR="001E4560">
        <w:t xml:space="preserve">Cal.4th </w:t>
      </w:r>
      <w:r w:rsidRPr="00ED7A7B" w:rsidR="00F275D0">
        <w:t>at p.</w:t>
      </w:r>
      <w:r w:rsidRPr="00ED7A7B" w:rsidR="00350445">
        <w:t> </w:t>
      </w:r>
      <w:r w:rsidRPr="00ED7A7B" w:rsidR="001E4560">
        <w:t>742</w:t>
      </w:r>
      <w:r w:rsidRPr="00ED7A7B" w:rsidR="002241CD">
        <w:t xml:space="preserve"> </w:t>
      </w:r>
      <w:r w:rsidRPr="00ED7A7B" w:rsidR="001E4560">
        <w:t>[legal compulsion applicable when a local entity “has a legal obligation” to comply].)</w:t>
      </w:r>
      <w:r w:rsidRPr="00ED7A7B" w:rsidR="000A472B">
        <w:t xml:space="preserve">  </w:t>
      </w:r>
      <w:bookmarkStart w:id="7" w:name="_Hlk95905823"/>
    </w:p>
    <w:p w:rsidR="00CF765C" w:rsidRPr="00ED7A7B" w:rsidP="00ED7A7B" w14:paraId="34250B80" w14:textId="5C2CD739">
      <w:pPr>
        <w:tabs>
          <w:tab w:val="left" w:pos="1440"/>
        </w:tabs>
        <w:ind w:firstLine="720"/>
      </w:pPr>
      <w:r w:rsidRPr="00ED7A7B">
        <w:t xml:space="preserve">Moreover, while the Court of Appeal </w:t>
      </w:r>
      <w:r w:rsidRPr="00ED7A7B" w:rsidR="00B85162">
        <w:t xml:space="preserve">appears to have </w:t>
      </w:r>
      <w:r w:rsidRPr="00ED7A7B" w:rsidR="00F02E0C">
        <w:t>reasoned</w:t>
      </w:r>
      <w:r w:rsidRPr="00ED7A7B" w:rsidR="00B85162">
        <w:t xml:space="preserve"> that the districts have no true choice to comply with the regulations insofar as they depend on state aid</w:t>
      </w:r>
      <w:r w:rsidRPr="00ED7A7B" w:rsidR="00FF1C61">
        <w:t xml:space="preserve"> to function</w:t>
      </w:r>
      <w:r w:rsidRPr="00ED7A7B" w:rsidR="00B85162">
        <w:t xml:space="preserve">, those arguments sound in </w:t>
      </w:r>
      <w:r w:rsidRPr="00ED7A7B" w:rsidR="00B85162">
        <w:rPr>
          <w:i/>
          <w:iCs/>
        </w:rPr>
        <w:t>practical</w:t>
      </w:r>
      <w:r w:rsidRPr="00ED7A7B" w:rsidR="00B85162">
        <w:t xml:space="preserve">, rather than </w:t>
      </w:r>
      <w:r w:rsidRPr="00ED7A7B" w:rsidR="00B85162">
        <w:rPr>
          <w:i/>
          <w:iCs/>
        </w:rPr>
        <w:t>legal</w:t>
      </w:r>
      <w:r w:rsidRPr="00ED7A7B" w:rsidR="00B85162">
        <w:t xml:space="preserve">, compulsion.  (See generally </w:t>
      </w:r>
      <w:r w:rsidRPr="00ED7A7B" w:rsidR="00B85162">
        <w:rPr>
          <w:i/>
          <w:iCs/>
        </w:rPr>
        <w:t>City of Sacramento v. State of California</w:t>
      </w:r>
      <w:r w:rsidRPr="00ED7A7B" w:rsidR="00B85162">
        <w:t xml:space="preserve"> (1990) 50 Cal.3d 51, 74 (</w:t>
      </w:r>
      <w:r w:rsidRPr="00ED7A7B" w:rsidR="00B85162">
        <w:rPr>
          <w:i/>
          <w:iCs/>
        </w:rPr>
        <w:t>City of Sacramento</w:t>
      </w:r>
      <w:r w:rsidRPr="00ED7A7B" w:rsidR="00B85162">
        <w:t xml:space="preserve">) [finding practical compulsion where “[t]he alternatives were so far beyond the realm of practical reality that they left the state ‘without discretion’ to depart from federal standards”].)  </w:t>
      </w:r>
      <w:r w:rsidRPr="00ED7A7B" w:rsidR="00FF1C61">
        <w:t>Because t</w:t>
      </w:r>
      <w:r w:rsidRPr="00ED7A7B" w:rsidR="00B85162">
        <w:t xml:space="preserve">he Court of Appeal chose not to address </w:t>
      </w:r>
      <w:r w:rsidRPr="00ED7A7B" w:rsidR="003B6531">
        <w:t xml:space="preserve">whether </w:t>
      </w:r>
      <w:r w:rsidRPr="00ED7A7B" w:rsidR="00AB3F73">
        <w:t>the districts</w:t>
      </w:r>
      <w:r w:rsidRPr="00ED7A7B" w:rsidR="003B6531">
        <w:t xml:space="preserve"> established</w:t>
      </w:r>
      <w:r w:rsidRPr="00ED7A7B" w:rsidR="00AB3F73">
        <w:t xml:space="preserve"> practical compulsion</w:t>
      </w:r>
      <w:r w:rsidRPr="00ED7A7B" w:rsidR="00FF1C61">
        <w:t xml:space="preserve">, we will remand the matter to allow the court to evaluate that </w:t>
      </w:r>
      <w:r w:rsidRPr="00ED7A7B" w:rsidR="00E25AC8">
        <w:t>issue</w:t>
      </w:r>
      <w:r w:rsidRPr="00ED7A7B" w:rsidR="00F02E0C">
        <w:t xml:space="preserve"> in the first instance</w:t>
      </w:r>
      <w:r w:rsidRPr="00ED7A7B" w:rsidR="00FF1C61">
        <w:t>.</w:t>
      </w:r>
      <w:r w:rsidRPr="00ED7A7B" w:rsidR="00B85162">
        <w:t xml:space="preserve"> </w:t>
      </w:r>
      <w:r w:rsidRPr="00ED7A7B" w:rsidR="001E4560">
        <w:t xml:space="preserve">  </w:t>
      </w:r>
      <w:bookmarkEnd w:id="7"/>
    </w:p>
    <w:p w:rsidR="002A01AC" w:rsidRPr="00ED7A7B" w:rsidP="00ED7A7B" w14:paraId="5124A890" w14:textId="5F985044">
      <w:pPr>
        <w:pStyle w:val="Heading1"/>
      </w:pPr>
      <w:r w:rsidRPr="00ED7A7B">
        <w:t>I.</w:t>
      </w:r>
      <w:r w:rsidRPr="00ED7A7B" w:rsidR="001E4560">
        <w:t xml:space="preserve">  Background</w:t>
      </w:r>
    </w:p>
    <w:p w:rsidR="001E4560" w:rsidRPr="00ED7A7B" w:rsidP="00ED7A7B" w14:paraId="714C3284" w14:textId="7E4862AA">
      <w:pPr>
        <w:pStyle w:val="Heading2"/>
        <w:rPr>
          <w:i/>
          <w:iCs/>
        </w:rPr>
      </w:pPr>
      <w:r w:rsidRPr="00ED7A7B">
        <w:rPr>
          <w:i/>
          <w:iCs/>
        </w:rPr>
        <w:t>A.  Summary of Applicable Statutes</w:t>
      </w:r>
    </w:p>
    <w:p w:rsidR="001E4560" w:rsidRPr="00ED7A7B" w:rsidP="00ED7A7B" w14:paraId="61BE2838" w14:textId="7AB89471">
      <w:pPr>
        <w:pStyle w:val="Heading3"/>
      </w:pPr>
      <w:r w:rsidRPr="00ED7A7B">
        <w:t xml:space="preserve">1.  Proposition 4 and implementing legislation  </w:t>
      </w:r>
    </w:p>
    <w:p w:rsidR="001E4560" w:rsidRPr="00ED7A7B" w:rsidP="00ED7A7B" w14:paraId="4ECA49A2" w14:textId="36C95C1D">
      <w:pPr>
        <w:tabs>
          <w:tab w:val="left" w:pos="1440"/>
        </w:tabs>
        <w:ind w:firstLine="720"/>
      </w:pPr>
      <w:r w:rsidRPr="00ED7A7B">
        <w:t xml:space="preserve">“Article XIII A (adopted by the voters in 1978 as Proposition 13), limits the </w:t>
      </w:r>
      <w:r w:rsidRPr="00ED7A7B">
        <w:rPr>
          <w:i/>
          <w:iCs/>
        </w:rPr>
        <w:t>taxing</w:t>
      </w:r>
      <w:r w:rsidRPr="00ED7A7B">
        <w:t xml:space="preserve"> authority of state and local government</w:t>
      </w:r>
      <w:r w:rsidRPr="00ED7A7B" w:rsidR="001A4FFD">
        <w:t>.</w:t>
      </w:r>
      <w:r w:rsidRPr="00ED7A7B">
        <w:t xml:space="preserve"> </w:t>
      </w:r>
      <w:r w:rsidRPr="00ED7A7B" w:rsidR="001A4FFD">
        <w:t xml:space="preserve"> </w:t>
      </w:r>
      <w:r w:rsidRPr="00ED7A7B">
        <w:t xml:space="preserve">Article XIII B (adopted by the voters in 1979 as Proposition 4) limits the </w:t>
      </w:r>
      <w:r w:rsidRPr="00ED7A7B">
        <w:rPr>
          <w:i/>
          <w:iCs/>
        </w:rPr>
        <w:t>spending</w:t>
      </w:r>
      <w:r w:rsidRPr="00ED7A7B">
        <w:t xml:space="preserve"> authority of state and local government.”  (</w:t>
      </w:r>
      <w:r w:rsidRPr="00ED7A7B">
        <w:rPr>
          <w:i/>
          <w:iCs/>
        </w:rPr>
        <w:t>Kern, supra</w:t>
      </w:r>
      <w:r w:rsidRPr="00ED7A7B">
        <w:t xml:space="preserve">, </w:t>
      </w:r>
      <w:r w:rsidRPr="00ED7A7B" w:rsidR="002C1F19">
        <w:t>30</w:t>
      </w:r>
      <w:r w:rsidRPr="00ED7A7B" w:rsidR="00350445">
        <w:t> </w:t>
      </w:r>
      <w:r w:rsidRPr="00ED7A7B" w:rsidR="002C1F19">
        <w:t xml:space="preserve">Cal.4th </w:t>
      </w:r>
      <w:r w:rsidRPr="00ED7A7B">
        <w:t>at p.</w:t>
      </w:r>
      <w:r w:rsidRPr="00ED7A7B" w:rsidR="00350445">
        <w:t> </w:t>
      </w:r>
      <w:r w:rsidRPr="00ED7A7B">
        <w:t>735.)</w:t>
      </w:r>
      <w:r w:rsidRPr="00ED7A7B" w:rsidR="002C1F19">
        <w:t xml:space="preserve">  </w:t>
      </w:r>
    </w:p>
    <w:p w:rsidR="001E4560" w:rsidRPr="00ED7A7B" w:rsidP="00ED7A7B" w14:paraId="338BB515" w14:textId="058A886A">
      <w:pPr>
        <w:tabs>
          <w:tab w:val="left" w:pos="1440"/>
        </w:tabs>
        <w:ind w:firstLine="720"/>
      </w:pPr>
      <w:r w:rsidRPr="00ED7A7B">
        <w:t xml:space="preserve">Section 6 of </w:t>
      </w:r>
      <w:r w:rsidRPr="00ED7A7B" w:rsidR="00961483">
        <w:t>a</w:t>
      </w:r>
      <w:r w:rsidRPr="00ED7A7B" w:rsidR="000A0ED6">
        <w:t xml:space="preserve">rticle XIII B </w:t>
      </w:r>
      <w:r w:rsidRPr="00ED7A7B">
        <w:t>provides:  “Whenever the Legislature or any state agency mandates a new program or higher level of service on any local government, the State shall provide a subvention of funds to reimburse such local government for the costs of such program or increased level of service.</w:t>
      </w:r>
      <w:r w:rsidRPr="00ED7A7B" w:rsidR="00DB0ADA">
        <w:t xml:space="preserve">”  The purpose of section 6 </w:t>
      </w:r>
      <w:r w:rsidRPr="00ED7A7B" w:rsidR="00201838">
        <w:t>“</w:t>
      </w:r>
      <w:r w:rsidRPr="00ED7A7B">
        <w:t>is to preclude the state from shifting financial</w:t>
      </w:r>
      <w:r w:rsidRPr="00ED7A7B" w:rsidR="00E24BB8">
        <w:t xml:space="preserve"> </w:t>
      </w:r>
      <w:r w:rsidRPr="00ED7A7B">
        <w:t>responsibility for carrying out governmental functions to local agencies, which are ‘ill equipped’ to assume increased financial responsibilities because of the taxing and spending limitations that articles XIII A and XIII B</w:t>
      </w:r>
      <w:r w:rsidRPr="00ED7A7B" w:rsidR="00705311">
        <w:t xml:space="preserve">  </w:t>
      </w:r>
      <w:r w:rsidRPr="00ED7A7B">
        <w:t xml:space="preserve">impose.”  </w:t>
      </w:r>
      <w:bookmarkStart w:id="8" w:name="_Hlk97303332"/>
      <w:r w:rsidRPr="00ED7A7B">
        <w:t>(</w:t>
      </w:r>
      <w:r w:rsidRPr="00ED7A7B">
        <w:rPr>
          <w:i/>
          <w:iCs/>
        </w:rPr>
        <w:t>County of San Diego v. State of California</w:t>
      </w:r>
      <w:r w:rsidRPr="00ED7A7B">
        <w:t xml:space="preserve"> (1997) 15</w:t>
      </w:r>
      <w:r w:rsidRPr="00ED7A7B" w:rsidR="00350445">
        <w:t> </w:t>
      </w:r>
      <w:r w:rsidRPr="00ED7A7B">
        <w:t>Cal.4th 68, 81 (</w:t>
      </w:r>
      <w:r w:rsidRPr="00ED7A7B">
        <w:rPr>
          <w:i/>
          <w:iCs/>
        </w:rPr>
        <w:t>County of San Diego</w:t>
      </w:r>
      <w:r w:rsidRPr="00ED7A7B">
        <w:t>).)</w:t>
      </w:r>
      <w:bookmarkEnd w:id="8"/>
    </w:p>
    <w:p w:rsidR="0012628A" w:rsidRPr="00ED7A7B" w:rsidP="00ED7A7B" w14:paraId="3A761D56" w14:textId="40A418AF">
      <w:pPr>
        <w:tabs>
          <w:tab w:val="left" w:pos="1440"/>
        </w:tabs>
        <w:ind w:firstLine="720"/>
      </w:pPr>
      <w:r w:rsidRPr="00ED7A7B">
        <w:t>In 1984, the Legislature adopted statutory procedures for determining whether a statute or executive action (which includes executive orders and regulations) imposes state-mandated costs on a local agency.  (See Gov. Code, § 17500 et seq.)  That legislation provides a two-step procedure.  First, a local agency seeking reimbursement must file a “test claim” with the Commission on State Mandates, a quasi-judicial body established to “hear and decide” such matters.  (</w:t>
      </w:r>
      <w:r w:rsidRPr="004676FE" w:rsidR="004676FE">
        <w:rPr>
          <w:i/>
          <w:iCs/>
        </w:rPr>
        <w:t>Id</w:t>
      </w:r>
      <w:r w:rsidR="004676FE">
        <w:t>.</w:t>
      </w:r>
      <w:r w:rsidRPr="00ED7A7B" w:rsidR="00201838">
        <w:t xml:space="preserve">, </w:t>
      </w:r>
      <w:r w:rsidRPr="00ED7A7B">
        <w:t>§ 17551, subd</w:t>
      </w:r>
      <w:r w:rsidR="00B44753">
        <w:t>s</w:t>
      </w:r>
      <w:r w:rsidRPr="00ED7A7B">
        <w:t>. (a)</w:t>
      </w:r>
      <w:r w:rsidR="00FC4C0F">
        <w:t>–(b)</w:t>
      </w:r>
      <w:r w:rsidRPr="00ED7A7B">
        <w:t>.)  The test claim process allows the claimant</w:t>
      </w:r>
      <w:r w:rsidRPr="00ED7A7B" w:rsidR="00E24BB8">
        <w:t xml:space="preserve"> and other interested parties</w:t>
      </w:r>
      <w:r w:rsidRPr="00ED7A7B">
        <w:t xml:space="preserve"> to present written evidence and testimony</w:t>
      </w:r>
      <w:r w:rsidRPr="00ED7A7B" w:rsidR="000100F7">
        <w:t xml:space="preserve"> at a public hearing</w:t>
      </w:r>
      <w:r w:rsidRPr="00ED7A7B">
        <w:t>.  (</w:t>
      </w:r>
      <w:r w:rsidRPr="004676FE" w:rsidR="004676FE">
        <w:rPr>
          <w:i/>
          <w:iCs/>
        </w:rPr>
        <w:t>Id</w:t>
      </w:r>
      <w:r w:rsidR="004676FE">
        <w:t>.,</w:t>
      </w:r>
      <w:r w:rsidRPr="00ED7A7B" w:rsidR="00201838">
        <w:t xml:space="preserve"> </w:t>
      </w:r>
      <w:r w:rsidRPr="00ED7A7B">
        <w:t>§ 17553</w:t>
      </w:r>
      <w:r w:rsidR="000B0976">
        <w:t>, subd. (a)(1)</w:t>
      </w:r>
      <w:r w:rsidRPr="00ED7A7B">
        <w:t>)</w:t>
      </w:r>
      <w:r w:rsidRPr="00ED7A7B" w:rsidR="00E24BB8">
        <w:t>; see Cal. Code Regs.</w:t>
      </w:r>
      <w:r w:rsidRPr="00ED7A7B">
        <w:t>, tit. 2,</w:t>
      </w:r>
      <w:r w:rsidRPr="00ED7A7B" w:rsidR="00E24BB8">
        <w:t xml:space="preserve"> § 1183.1</w:t>
      </w:r>
      <w:r w:rsidRPr="00ED7A7B" w:rsidR="00157742">
        <w:t xml:space="preserve">, subd. </w:t>
      </w:r>
      <w:r w:rsidRPr="00ED7A7B" w:rsidR="00D0179C">
        <w:t>(b)</w:t>
      </w:r>
      <w:r w:rsidRPr="00ED7A7B" w:rsidR="00E24BB8">
        <w:t xml:space="preserve"> [authorizing multiple claimants “to file a test claim as a joint </w:t>
      </w:r>
      <w:r w:rsidRPr="004515C4" w:rsidR="00E24BB8">
        <w:t>effort”</w:t>
      </w:r>
      <w:r w:rsidR="004515C4">
        <w:t xml:space="preserve"> and providing that</w:t>
      </w:r>
      <w:r w:rsidRPr="004515C4" w:rsidR="00D0179C">
        <w:t xml:space="preserve"> “</w:t>
      </w:r>
      <w:r w:rsidR="004515C4">
        <w:t>[o]</w:t>
      </w:r>
      <w:r w:rsidRPr="004515C4" w:rsidR="00D0179C">
        <w:t>ther</w:t>
      </w:r>
      <w:r w:rsidRPr="00ED7A7B" w:rsidR="00D0179C">
        <w:t xml:space="preserve"> similarly situated affected agencies may participate in the process”].)  </w:t>
      </w:r>
      <w:r w:rsidRPr="00ED7A7B" w:rsidR="000100F7">
        <w:t>Based on that evidence</w:t>
      </w:r>
      <w:r w:rsidRPr="00ED7A7B">
        <w:t xml:space="preserve">, the Commission </w:t>
      </w:r>
      <w:r w:rsidRPr="00ED7A7B" w:rsidR="00D52C54">
        <w:t xml:space="preserve">must </w:t>
      </w:r>
      <w:r w:rsidRPr="00ED7A7B" w:rsidR="000100F7">
        <w:t>decide</w:t>
      </w:r>
      <w:r w:rsidRPr="00ED7A7B">
        <w:t xml:space="preserve"> whether the challenged statute or executive order mandates a new program or increased level of service.  </w:t>
      </w:r>
    </w:p>
    <w:p w:rsidR="000100F7" w:rsidRPr="00ED7A7B" w:rsidP="00ED7A7B" w14:paraId="78DE51EE" w14:textId="3B4CC841">
      <w:pPr>
        <w:tabs>
          <w:tab w:val="left" w:pos="1440"/>
        </w:tabs>
        <w:ind w:firstLine="720"/>
      </w:pPr>
      <w:r w:rsidRPr="00ED7A7B">
        <w:t xml:space="preserve">In making that determination, the Commission </w:t>
      </w:r>
      <w:r w:rsidRPr="00ED7A7B" w:rsidR="00D52C54">
        <w:t xml:space="preserve">is required to </w:t>
      </w:r>
      <w:r w:rsidRPr="00ED7A7B">
        <w:t xml:space="preserve">address a series of </w:t>
      </w:r>
      <w:r w:rsidRPr="00ED7A7B">
        <w:t>questions.</w:t>
      </w:r>
      <w:r w:rsidRPr="00ED7A7B">
        <w:t xml:space="preserve"> </w:t>
      </w:r>
      <w:r w:rsidRPr="00ED7A7B" w:rsidR="0012628A">
        <w:t xml:space="preserve"> </w:t>
      </w:r>
      <w:r w:rsidRPr="00ED7A7B" w:rsidR="001E4560">
        <w:t>First, it must de</w:t>
      </w:r>
      <w:r w:rsidRPr="00ED7A7B" w:rsidR="00201838">
        <w:t xml:space="preserve">cide </w:t>
      </w:r>
      <w:r w:rsidRPr="00ED7A7B" w:rsidR="001E4560">
        <w:t xml:space="preserve">whether the </w:t>
      </w:r>
      <w:r w:rsidRPr="00ED7A7B" w:rsidR="0012628A">
        <w:t>legal provision f</w:t>
      </w:r>
      <w:r w:rsidRPr="00ED7A7B" w:rsidR="00FB6F86">
        <w:t>or which subvention is sought</w:t>
      </w:r>
      <w:r w:rsidRPr="00ED7A7B" w:rsidR="001E4560">
        <w:t xml:space="preserve"> compels the local agency to act or merely invites voluntary action.  If the </w:t>
      </w:r>
      <w:r w:rsidRPr="00ED7A7B" w:rsidR="0012628A">
        <w:t>provision</w:t>
      </w:r>
      <w:r w:rsidRPr="00ED7A7B" w:rsidR="001E4560">
        <w:t xml:space="preserve"> compels </w:t>
      </w:r>
      <w:r w:rsidRPr="00ED7A7B" w:rsidR="0012628A">
        <w:t>action</w:t>
      </w:r>
      <w:r w:rsidRPr="00ED7A7B" w:rsidR="001E4560">
        <w:t xml:space="preserve">, the Commission must </w:t>
      </w:r>
      <w:r w:rsidRPr="00ED7A7B" w:rsidR="00201838">
        <w:t xml:space="preserve">next </w:t>
      </w:r>
      <w:r w:rsidRPr="00ED7A7B" w:rsidR="001E4560">
        <w:t xml:space="preserve">decide whether the </w:t>
      </w:r>
      <w:r w:rsidRPr="00ED7A7B" w:rsidR="0012628A">
        <w:t xml:space="preserve">compelled activity </w:t>
      </w:r>
      <w:r w:rsidRPr="00ED7A7B" w:rsidR="001E4560">
        <w:t>requires the agency to provide “a new program or higher level of service.”  (Cal. Const., art. XIII B, § 6.)  Finally, if the Commission finds a statute or executive action mandates a new program or higher level of service, it must consider if any of the enumerated exceptions to reimbursement apply</w:t>
      </w:r>
      <w:r w:rsidRPr="00ED7A7B">
        <w:t>.</w:t>
      </w:r>
      <w:r>
        <w:rPr>
          <w:rStyle w:val="FootnoteReference"/>
        </w:rPr>
        <w:footnoteReference w:id="3"/>
      </w:r>
      <w:r w:rsidRPr="00ED7A7B">
        <w:t xml:space="preserve">  This case involves</w:t>
      </w:r>
      <w:r w:rsidRPr="00ED7A7B" w:rsidR="00D52C54">
        <w:t xml:space="preserve"> only</w:t>
      </w:r>
      <w:r w:rsidRPr="00ED7A7B">
        <w:t xml:space="preserve"> the first of those inquiries:  whether the regulations at issue compe</w:t>
      </w:r>
      <w:r w:rsidRPr="00ED7A7B" w:rsidR="0012628A">
        <w:t>l</w:t>
      </w:r>
      <w:r w:rsidRPr="00ED7A7B">
        <w:t xml:space="preserve"> community college districts to act or, alternatively,</w:t>
      </w:r>
      <w:r w:rsidRPr="00ED7A7B" w:rsidR="0012628A">
        <w:t xml:space="preserve"> merely</w:t>
      </w:r>
      <w:r w:rsidRPr="00ED7A7B">
        <w:t xml:space="preserve"> invite voluntary action.   </w:t>
      </w:r>
    </w:p>
    <w:p w:rsidR="00D0179C" w:rsidRPr="00ED7A7B" w:rsidP="00ED7A7B" w14:paraId="2693FFBD" w14:textId="4C059A7D">
      <w:pPr>
        <w:tabs>
          <w:tab w:val="left" w:pos="1440"/>
        </w:tabs>
        <w:ind w:firstLine="720"/>
      </w:pPr>
      <w:r w:rsidRPr="00ED7A7B">
        <w:t>If the Commission</w:t>
      </w:r>
      <w:r w:rsidRPr="00ED7A7B" w:rsidR="00201838">
        <w:t xml:space="preserve"> ultimately</w:t>
      </w:r>
      <w:r w:rsidRPr="00ED7A7B">
        <w:t xml:space="preserve"> determines there is a reimbursable mandate, it must then “determine the amount to be subvened to local agencies and school districts for reimbursement.  In so doing it shall adopt parameters and guidelines for reimbursement of any claims relating to the statute or executive order.”  (</w:t>
      </w:r>
      <w:r w:rsidRPr="00ED7A7B" w:rsidR="00201838">
        <w:t xml:space="preserve">Gov. Code, </w:t>
      </w:r>
      <w:r w:rsidRPr="00ED7A7B">
        <w:t xml:space="preserve">§ 17557, subd. (a); see </w:t>
      </w:r>
      <w:r w:rsidRPr="00ED7A7B">
        <w:rPr>
          <w:i/>
          <w:iCs/>
        </w:rPr>
        <w:t>County of San Diego</w:t>
      </w:r>
      <w:r w:rsidRPr="00ED7A7B">
        <w:t xml:space="preserve">, </w:t>
      </w:r>
      <w:r w:rsidRPr="00ED7A7B">
        <w:rPr>
          <w:i/>
          <w:iCs/>
        </w:rPr>
        <w:t>supra</w:t>
      </w:r>
      <w:r w:rsidRPr="00ED7A7B">
        <w:t>, 15</w:t>
      </w:r>
      <w:r w:rsidRPr="00ED7A7B" w:rsidR="00350445">
        <w:t> </w:t>
      </w:r>
      <w:r w:rsidRPr="00ED7A7B">
        <w:t>Cal.4th at p.</w:t>
      </w:r>
      <w:r w:rsidRPr="00ED7A7B" w:rsidR="00350445">
        <w:t> </w:t>
      </w:r>
      <w:r w:rsidRPr="00ED7A7B">
        <w:t>81.)</w:t>
      </w:r>
    </w:p>
    <w:p w:rsidR="001E4560" w:rsidRPr="00ED7A7B" w:rsidP="00ED7A7B" w14:paraId="61257DC0" w14:textId="77777777">
      <w:pPr>
        <w:pStyle w:val="Heading3"/>
      </w:pPr>
      <w:r w:rsidRPr="00ED7A7B">
        <w:t>2.  Statutes and regulations governing community colleges</w:t>
      </w:r>
    </w:p>
    <w:p w:rsidR="001E4560" w:rsidRPr="00ED7A7B" w:rsidP="00ED7A7B" w14:paraId="60CFE6DF" w14:textId="12820236">
      <w:pPr>
        <w:pStyle w:val="Text"/>
        <w:spacing w:line="400" w:lineRule="exact"/>
        <w:rPr>
          <w:szCs w:val="26"/>
        </w:rPr>
      </w:pPr>
      <w:r w:rsidRPr="00ED7A7B">
        <w:rPr>
          <w:szCs w:val="26"/>
        </w:rPr>
        <w:t>California c</w:t>
      </w:r>
      <w:r w:rsidRPr="00ED7A7B">
        <w:rPr>
          <w:szCs w:val="26"/>
        </w:rPr>
        <w:t xml:space="preserve">ommunity colleges offer two-year degree programs and other forms of instruction.  There are currently 73 community college districts that collectively operate 116 community colleges.  Each community </w:t>
      </w:r>
      <w:r w:rsidR="00270636">
        <w:rPr>
          <w:szCs w:val="26"/>
        </w:rPr>
        <w:t xml:space="preserve">college </w:t>
      </w:r>
      <w:r w:rsidRPr="00ED7A7B">
        <w:rPr>
          <w:szCs w:val="26"/>
        </w:rPr>
        <w:t xml:space="preserve">district is run by a board of trustees (district board) (see Ed. Code, § 70902, subd. (a)(1)) </w:t>
      </w:r>
      <w:r w:rsidRPr="00ED7A7B" w:rsidR="00FB6F86">
        <w:rPr>
          <w:szCs w:val="26"/>
        </w:rPr>
        <w:t>that</w:t>
      </w:r>
      <w:r w:rsidRPr="00ED7A7B">
        <w:rPr>
          <w:szCs w:val="26"/>
        </w:rPr>
        <w:t xml:space="preserve"> is responsible for “establish[ing], maintain[ing], operat[ing]</w:t>
      </w:r>
      <w:r w:rsidR="00241F1C">
        <w:rPr>
          <w:szCs w:val="26"/>
        </w:rPr>
        <w:t>,</w:t>
      </w:r>
      <w:r w:rsidRPr="00ED7A7B">
        <w:rPr>
          <w:szCs w:val="26"/>
        </w:rPr>
        <w:t xml:space="preserve"> and govern[ing] [the community colleges it oversees] in accordance with law.”  (</w:t>
      </w:r>
      <w:r w:rsidRPr="00ED7A7B">
        <w:rPr>
          <w:i/>
          <w:iCs/>
          <w:szCs w:val="26"/>
        </w:rPr>
        <w:t>Ibid</w:t>
      </w:r>
      <w:r w:rsidRPr="00ED7A7B">
        <w:rPr>
          <w:szCs w:val="26"/>
        </w:rPr>
        <w:t xml:space="preserve">.)  Under what is commonly referred to “as the ‘permissive code’ concept” </w:t>
      </w:r>
      <w:bookmarkStart w:id="9" w:name="_Hlk97303362"/>
      <w:r w:rsidRPr="00ED7A7B">
        <w:rPr>
          <w:szCs w:val="26"/>
        </w:rPr>
        <w:t>(</w:t>
      </w:r>
      <w:r w:rsidRPr="00ED7A7B">
        <w:rPr>
          <w:i/>
          <w:iCs/>
          <w:szCs w:val="26"/>
        </w:rPr>
        <w:t>Service Employees Internat. Union v. B</w:t>
      </w:r>
      <w:r w:rsidRPr="00ED7A7B" w:rsidR="008A2903">
        <w:rPr>
          <w:i/>
          <w:iCs/>
          <w:szCs w:val="26"/>
        </w:rPr>
        <w:t>oar</w:t>
      </w:r>
      <w:r w:rsidRPr="00ED7A7B">
        <w:rPr>
          <w:i/>
          <w:iCs/>
          <w:szCs w:val="26"/>
        </w:rPr>
        <w:t>d of Trustees</w:t>
      </w:r>
      <w:r w:rsidRPr="00ED7A7B">
        <w:rPr>
          <w:szCs w:val="26"/>
        </w:rPr>
        <w:t xml:space="preserve"> (1996) 47</w:t>
      </w:r>
      <w:r w:rsidRPr="00ED7A7B" w:rsidR="00350445">
        <w:rPr>
          <w:szCs w:val="26"/>
        </w:rPr>
        <w:t> </w:t>
      </w:r>
      <w:r w:rsidRPr="00ED7A7B">
        <w:rPr>
          <w:szCs w:val="26"/>
        </w:rPr>
        <w:t>Cal.App.4th 1661, 1666)</w:t>
      </w:r>
      <w:bookmarkEnd w:id="9"/>
      <w:r w:rsidRPr="00ED7A7B">
        <w:rPr>
          <w:szCs w:val="26"/>
        </w:rPr>
        <w:t>, district boards are permitted to “initiate and carry on any program, activity, or may otherwise act in any manner that is not in conflict with .</w:t>
      </w:r>
      <w:r w:rsidRPr="00ED7A7B" w:rsidR="00705311">
        <w:rPr>
          <w:szCs w:val="26"/>
        </w:rPr>
        <w:t> </w:t>
      </w:r>
      <w:r w:rsidRPr="00ED7A7B">
        <w:rPr>
          <w:szCs w:val="26"/>
        </w:rPr>
        <w:t>.</w:t>
      </w:r>
      <w:r w:rsidRPr="00ED7A7B" w:rsidR="00705311">
        <w:rPr>
          <w:szCs w:val="26"/>
        </w:rPr>
        <w:t> </w:t>
      </w:r>
      <w:r w:rsidRPr="00ED7A7B">
        <w:rPr>
          <w:szCs w:val="26"/>
        </w:rPr>
        <w:t xml:space="preserve">. any law and that is not in conflict with the purposes for which community college districts are established.”  (Ed. Code, § 70902, subd. (a)(1).)  </w:t>
      </w:r>
      <w:r w:rsidRPr="00ED7A7B" w:rsidR="00EA071E">
        <w:rPr>
          <w:szCs w:val="26"/>
        </w:rPr>
        <w:t xml:space="preserve">Thus, </w:t>
      </w:r>
      <w:r w:rsidRPr="00ED7A7B">
        <w:rPr>
          <w:szCs w:val="26"/>
        </w:rPr>
        <w:t>the “only limitation placed on a [district] board’s authority under the permissive code is that the board may not act in any manner” that is inconsistent with any law.  (</w:t>
      </w:r>
      <w:r w:rsidRPr="00ED7A7B">
        <w:rPr>
          <w:i/>
          <w:iCs/>
          <w:szCs w:val="26"/>
        </w:rPr>
        <w:t>Service Employees Internat. Union</w:t>
      </w:r>
      <w:r w:rsidRPr="00ED7A7B" w:rsidR="005E28B0">
        <w:rPr>
          <w:i/>
          <w:iCs/>
          <w:szCs w:val="26"/>
        </w:rPr>
        <w:t xml:space="preserve">, </w:t>
      </w:r>
      <w:r w:rsidRPr="00ED7A7B" w:rsidR="005E28B0">
        <w:rPr>
          <w:szCs w:val="26"/>
        </w:rPr>
        <w:t>at p.</w:t>
      </w:r>
      <w:r w:rsidRPr="00ED7A7B" w:rsidR="00350445">
        <w:rPr>
          <w:szCs w:val="26"/>
        </w:rPr>
        <w:t> </w:t>
      </w:r>
      <w:r w:rsidRPr="00ED7A7B">
        <w:rPr>
          <w:szCs w:val="26"/>
        </w:rPr>
        <w:t>1666.)</w:t>
      </w:r>
    </w:p>
    <w:p w:rsidR="001E4560" w:rsidRPr="00ED7A7B" w:rsidP="00ED7A7B" w14:paraId="22D8E104" w14:textId="6B6C9907">
      <w:pPr>
        <w:pStyle w:val="Text"/>
        <w:spacing w:line="400" w:lineRule="exact"/>
        <w:ind w:firstLine="0"/>
        <w:rPr>
          <w:szCs w:val="26"/>
        </w:rPr>
      </w:pPr>
      <w:r w:rsidRPr="00ED7A7B">
        <w:rPr>
          <w:szCs w:val="26"/>
        </w:rPr>
        <w:tab/>
        <w:t>The Legislature has, however,</w:t>
      </w:r>
      <w:r w:rsidRPr="00ED7A7B" w:rsidR="00924561">
        <w:rPr>
          <w:szCs w:val="26"/>
        </w:rPr>
        <w:t xml:space="preserve"> </w:t>
      </w:r>
      <w:r w:rsidRPr="00ED7A7B">
        <w:rPr>
          <w:szCs w:val="26"/>
        </w:rPr>
        <w:t>cabined the authority of district boards in some ways.  Education Code section 66010.4, subdivision (a)</w:t>
      </w:r>
      <w:r w:rsidR="006D5409">
        <w:rPr>
          <w:szCs w:val="26"/>
        </w:rPr>
        <w:t>,</w:t>
      </w:r>
      <w:r w:rsidRPr="00ED7A7B">
        <w:rPr>
          <w:szCs w:val="26"/>
        </w:rPr>
        <w:t xml:space="preserve"> for example, sets forth the general mission and functions of the community colleges, requiring that they</w:t>
      </w:r>
      <w:r w:rsidR="009B2A4B">
        <w:rPr>
          <w:szCs w:val="26"/>
        </w:rPr>
        <w:t>:</w:t>
      </w:r>
      <w:r w:rsidRPr="00ED7A7B">
        <w:rPr>
          <w:szCs w:val="26"/>
        </w:rPr>
        <w:t xml:space="preserve"> “offer academic and vocational instruction</w:t>
      </w:r>
      <w:r w:rsidRPr="00ED7A7B" w:rsidR="00D211E7">
        <w:rPr>
          <w:szCs w:val="26"/>
        </w:rPr>
        <w:t> </w:t>
      </w:r>
      <w:r w:rsidRPr="006A55E1" w:rsidR="00D211E7">
        <w:rPr>
          <w:szCs w:val="26"/>
        </w:rPr>
        <w:t>. . .</w:t>
      </w:r>
      <w:r w:rsidR="000C4F29">
        <w:rPr>
          <w:szCs w:val="26"/>
        </w:rPr>
        <w:t> </w:t>
      </w:r>
      <w:r w:rsidRPr="00ED7A7B">
        <w:rPr>
          <w:szCs w:val="26"/>
        </w:rPr>
        <w:t>through, but not beyond, the second year of college</w:t>
      </w:r>
      <w:r w:rsidRPr="00ED7A7B" w:rsidR="00D211E7">
        <w:rPr>
          <w:szCs w:val="26"/>
        </w:rPr>
        <w:t>” (</w:t>
      </w:r>
      <w:r w:rsidR="00241F1C">
        <w:rPr>
          <w:i/>
          <w:iCs/>
          <w:szCs w:val="26"/>
        </w:rPr>
        <w:t>id.</w:t>
      </w:r>
      <w:r w:rsidR="003C3B45">
        <w:rPr>
          <w:szCs w:val="26"/>
        </w:rPr>
        <w:t xml:space="preserve">, </w:t>
      </w:r>
      <w:r w:rsidRPr="00ED7A7B" w:rsidR="00D211E7">
        <w:rPr>
          <w:szCs w:val="26"/>
        </w:rPr>
        <w:t>subd. (a)(1))</w:t>
      </w:r>
      <w:r w:rsidRPr="00ED7A7B">
        <w:rPr>
          <w:szCs w:val="26"/>
        </w:rPr>
        <w:t xml:space="preserve">; offer courses to provide </w:t>
      </w:r>
      <w:r w:rsidRPr="00ED7A7B" w:rsidR="002C0CEB">
        <w:rPr>
          <w:szCs w:val="26"/>
        </w:rPr>
        <w:t>“</w:t>
      </w:r>
      <w:r w:rsidRPr="00ED7A7B">
        <w:rPr>
          <w:szCs w:val="26"/>
        </w:rPr>
        <w:t>remedial instruction for those in need</w:t>
      </w:r>
      <w:r w:rsidR="00241F1C">
        <w:rPr>
          <w:szCs w:val="26"/>
        </w:rPr>
        <w:t xml:space="preserve"> of it</w:t>
      </w:r>
      <w:r w:rsidRPr="00ED7A7B">
        <w:rPr>
          <w:szCs w:val="26"/>
        </w:rPr>
        <w:t>”</w:t>
      </w:r>
      <w:r w:rsidRPr="00ED7A7B" w:rsidR="00D211E7">
        <w:rPr>
          <w:szCs w:val="26"/>
        </w:rPr>
        <w:t xml:space="preserve"> (</w:t>
      </w:r>
      <w:r w:rsidRPr="00ED7A7B" w:rsidR="00D211E7">
        <w:rPr>
          <w:i/>
          <w:iCs/>
          <w:szCs w:val="26"/>
        </w:rPr>
        <w:t>id</w:t>
      </w:r>
      <w:r w:rsidRPr="00ED7A7B" w:rsidR="00D211E7">
        <w:rPr>
          <w:szCs w:val="26"/>
        </w:rPr>
        <w:t>.</w:t>
      </w:r>
      <w:r w:rsidR="008C28E1">
        <w:rPr>
          <w:szCs w:val="26"/>
        </w:rPr>
        <w:t xml:space="preserve">, </w:t>
      </w:r>
      <w:r w:rsidRPr="00ED7A7B" w:rsidR="00D211E7">
        <w:rPr>
          <w:szCs w:val="26"/>
        </w:rPr>
        <w:t xml:space="preserve">subd. </w:t>
      </w:r>
      <w:r w:rsidRPr="00ED7A7B" w:rsidR="004F2082">
        <w:rPr>
          <w:szCs w:val="26"/>
        </w:rPr>
        <w:t>(a)(2)(A)</w:t>
      </w:r>
      <w:r w:rsidR="003D4E94">
        <w:rPr>
          <w:szCs w:val="26"/>
        </w:rPr>
        <w:t>)</w:t>
      </w:r>
      <w:r w:rsidRPr="00ED7A7B">
        <w:rPr>
          <w:szCs w:val="26"/>
        </w:rPr>
        <w:t>; “instruct</w:t>
      </w:r>
      <w:r w:rsidRPr="00ED7A7B" w:rsidR="002C0CEB">
        <w:rPr>
          <w:szCs w:val="26"/>
        </w:rPr>
        <w:t>[]</w:t>
      </w:r>
      <w:r w:rsidRPr="00ED7A7B">
        <w:rPr>
          <w:szCs w:val="26"/>
        </w:rPr>
        <w:t xml:space="preserve"> in English as a second language”</w:t>
      </w:r>
      <w:r w:rsidRPr="00ED7A7B" w:rsidR="004F2082">
        <w:rPr>
          <w:szCs w:val="26"/>
        </w:rPr>
        <w:t xml:space="preserve"> (</w:t>
      </w:r>
      <w:r w:rsidRPr="00ED7A7B" w:rsidR="004F2082">
        <w:rPr>
          <w:i/>
          <w:iCs/>
          <w:szCs w:val="26"/>
        </w:rPr>
        <w:t>ibid</w:t>
      </w:r>
      <w:r w:rsidRPr="00ED7A7B" w:rsidR="004F2082">
        <w:rPr>
          <w:szCs w:val="26"/>
        </w:rPr>
        <w:t>.)</w:t>
      </w:r>
      <w:r w:rsidRPr="00ED7A7B" w:rsidR="00EA071E">
        <w:rPr>
          <w:szCs w:val="26"/>
        </w:rPr>
        <w:t>;</w:t>
      </w:r>
      <w:r w:rsidRPr="00ED7A7B">
        <w:rPr>
          <w:szCs w:val="26"/>
        </w:rPr>
        <w:t xml:space="preserve"> and offer “adult noncredit instruction”</w:t>
      </w:r>
      <w:r w:rsidRPr="00ED7A7B" w:rsidR="004F2082">
        <w:rPr>
          <w:szCs w:val="26"/>
        </w:rPr>
        <w:t xml:space="preserve"> (</w:t>
      </w:r>
      <w:r w:rsidRPr="00ED7A7B" w:rsidR="004F2082">
        <w:rPr>
          <w:i/>
          <w:iCs/>
          <w:szCs w:val="26"/>
        </w:rPr>
        <w:t>ibid</w:t>
      </w:r>
      <w:r w:rsidRPr="00ED7A7B" w:rsidR="004F2082">
        <w:rPr>
          <w:szCs w:val="26"/>
        </w:rPr>
        <w:t>.).</w:t>
      </w:r>
    </w:p>
    <w:p w:rsidR="001E4560" w:rsidRPr="00ED7A7B" w:rsidP="00ED7A7B" w14:paraId="753D0E6C" w14:textId="4F5AAE73">
      <w:pPr>
        <w:pStyle w:val="Text"/>
        <w:spacing w:line="400" w:lineRule="exact"/>
        <w:ind w:firstLine="0"/>
        <w:rPr>
          <w:szCs w:val="26"/>
        </w:rPr>
      </w:pPr>
      <w:r w:rsidRPr="00ED7A7B">
        <w:rPr>
          <w:szCs w:val="26"/>
        </w:rPr>
        <w:tab/>
        <w:t>The Legislature has assigned general oversight authority of the districts to the Board of Governors of the California Community Colleges (the Board of Governors), which enacts regulations and reviews major decisions of community college districts, such as the creation of new colleges.  (See Ed. Code, § 70901</w:t>
      </w:r>
      <w:r w:rsidR="008C28E1">
        <w:rPr>
          <w:szCs w:val="26"/>
        </w:rPr>
        <w:t xml:space="preserve">, </w:t>
      </w:r>
      <w:r w:rsidRPr="00ED7A7B">
        <w:rPr>
          <w:szCs w:val="26"/>
        </w:rPr>
        <w:t>subd. (b).)  The Board of Governors is headed by the California Community Colleges</w:t>
      </w:r>
      <w:r w:rsidRPr="00ED7A7B" w:rsidR="00EA071E">
        <w:rPr>
          <w:szCs w:val="26"/>
        </w:rPr>
        <w:t xml:space="preserve"> Chancellor, </w:t>
      </w:r>
      <w:r w:rsidRPr="00ED7A7B">
        <w:rPr>
          <w:szCs w:val="26"/>
        </w:rPr>
        <w:t>who is responsible for carrying out and enforcing the Board’s regulations and overseeing the annual apportionment of state funds.</w:t>
      </w:r>
    </w:p>
    <w:p w:rsidR="001E4560" w:rsidRPr="00ED7A7B" w:rsidP="00ED7A7B" w14:paraId="425F3960" w14:textId="7C438929">
      <w:pPr>
        <w:pStyle w:val="Text"/>
        <w:spacing w:line="400" w:lineRule="exact"/>
        <w:ind w:firstLine="0"/>
        <w:rPr>
          <w:b/>
          <w:bCs/>
          <w:szCs w:val="26"/>
        </w:rPr>
      </w:pPr>
      <w:r w:rsidRPr="00ED7A7B">
        <w:rPr>
          <w:szCs w:val="26"/>
        </w:rPr>
        <w:tab/>
        <w:t>In 1988, the Legislature passed new statutory directives requiring the Board of Governors to establish two categories of regulations.  (See Stats. 1988, c. 973</w:t>
      </w:r>
      <w:r w:rsidRPr="00ED7A7B" w:rsidR="00A923D0">
        <w:rPr>
          <w:szCs w:val="26"/>
        </w:rPr>
        <w:t>, § 8</w:t>
      </w:r>
      <w:r w:rsidRPr="00ED7A7B">
        <w:rPr>
          <w:szCs w:val="26"/>
        </w:rPr>
        <w:t xml:space="preserve"> </w:t>
      </w:r>
      <w:r w:rsidRPr="00ED7A7B" w:rsidR="00EA071E">
        <w:rPr>
          <w:szCs w:val="26"/>
        </w:rPr>
        <w:t>[</w:t>
      </w:r>
      <w:r w:rsidRPr="00ED7A7B">
        <w:rPr>
          <w:szCs w:val="26"/>
        </w:rPr>
        <w:t>adding Ed. Code, § 70901</w:t>
      </w:r>
      <w:r w:rsidRPr="00ED7A7B" w:rsidR="00EA071E">
        <w:rPr>
          <w:szCs w:val="26"/>
        </w:rPr>
        <w:t>]</w:t>
      </w:r>
      <w:r w:rsidRPr="00ED7A7B">
        <w:rPr>
          <w:szCs w:val="26"/>
        </w:rPr>
        <w:t>.)  First, the Board was required to adopt regulations establishing “minimum standards as required by law” for various aspects of community college operations.  (Ed. Code, § 70901, subd. (b)(1).)  Those regulations</w:t>
      </w:r>
      <w:r w:rsidRPr="00ED7A7B" w:rsidR="00EA071E">
        <w:rPr>
          <w:szCs w:val="26"/>
        </w:rPr>
        <w:t xml:space="preserve"> </w:t>
      </w:r>
      <w:r w:rsidR="00FE16D3">
        <w:rPr>
          <w:szCs w:val="26"/>
        </w:rPr>
        <w:t>(</w:t>
      </w:r>
      <w:r w:rsidRPr="00ED7A7B">
        <w:rPr>
          <w:szCs w:val="26"/>
        </w:rPr>
        <w:t>hereafter</w:t>
      </w:r>
      <w:r w:rsidRPr="00ED7A7B" w:rsidR="00601092">
        <w:rPr>
          <w:szCs w:val="26"/>
        </w:rPr>
        <w:t xml:space="preserve"> </w:t>
      </w:r>
      <w:r w:rsidRPr="00ED7A7B">
        <w:rPr>
          <w:szCs w:val="26"/>
        </w:rPr>
        <w:t>operating standards regulations</w:t>
      </w:r>
      <w:r w:rsidR="00FE16D3">
        <w:rPr>
          <w:szCs w:val="26"/>
        </w:rPr>
        <w:t>)</w:t>
      </w:r>
      <w:r w:rsidRPr="00ED7A7B">
        <w:rPr>
          <w:szCs w:val="26"/>
        </w:rPr>
        <w:t xml:space="preserve"> set out </w:t>
      </w:r>
      <w:r w:rsidRPr="00ED7A7B" w:rsidR="00393E60">
        <w:rPr>
          <w:szCs w:val="26"/>
        </w:rPr>
        <w:t>mandatory “minimum standards” related to (among other things</w:t>
      </w:r>
      <w:r w:rsidRPr="00ED7A7B">
        <w:rPr>
          <w:szCs w:val="26"/>
        </w:rPr>
        <w:t xml:space="preserve">) </w:t>
      </w:r>
      <w:r w:rsidRPr="00ED7A7B" w:rsidR="00393E60">
        <w:rPr>
          <w:szCs w:val="26"/>
        </w:rPr>
        <w:t xml:space="preserve">“graduation </w:t>
      </w:r>
      <w:r w:rsidRPr="00ED7A7B">
        <w:rPr>
          <w:szCs w:val="26"/>
        </w:rPr>
        <w:t>requirements,</w:t>
      </w:r>
      <w:r w:rsidRPr="00ED7A7B" w:rsidR="00393E60">
        <w:rPr>
          <w:szCs w:val="26"/>
        </w:rPr>
        <w:t>” “the employment of academic and administrative staff</w:t>
      </w:r>
      <w:r w:rsidR="00840A5E">
        <w:rPr>
          <w:szCs w:val="26"/>
        </w:rPr>
        <w:t>,</w:t>
      </w:r>
      <w:r w:rsidRPr="00ED7A7B" w:rsidR="00393E60">
        <w:rPr>
          <w:szCs w:val="26"/>
        </w:rPr>
        <w:t xml:space="preserve">” </w:t>
      </w:r>
      <w:r w:rsidRPr="00ED7A7B">
        <w:rPr>
          <w:szCs w:val="26"/>
        </w:rPr>
        <w:t>student discipline, and curriculum.  (</w:t>
      </w:r>
      <w:r w:rsidRPr="00842096" w:rsidR="008C28E1">
        <w:rPr>
          <w:i/>
          <w:iCs/>
          <w:szCs w:val="26"/>
        </w:rPr>
        <w:t>I</w:t>
      </w:r>
      <w:r w:rsidR="001268BF">
        <w:rPr>
          <w:i/>
          <w:iCs/>
          <w:szCs w:val="26"/>
        </w:rPr>
        <w:t>bi</w:t>
      </w:r>
      <w:r w:rsidRPr="00842096" w:rsidR="008C28E1">
        <w:rPr>
          <w:i/>
          <w:iCs/>
          <w:szCs w:val="26"/>
        </w:rPr>
        <w:t>d.</w:t>
      </w:r>
      <w:r w:rsidRPr="00ED7A7B">
        <w:rPr>
          <w:szCs w:val="26"/>
        </w:rPr>
        <w:t xml:space="preserve">; </w:t>
      </w:r>
      <w:r w:rsidRPr="00ED7A7B" w:rsidR="00A923D0">
        <w:rPr>
          <w:szCs w:val="26"/>
        </w:rPr>
        <w:t>see</w:t>
      </w:r>
      <w:r w:rsidRPr="00ED7A7B" w:rsidR="00B81710">
        <w:rPr>
          <w:szCs w:val="26"/>
        </w:rPr>
        <w:t xml:space="preserve"> </w:t>
      </w:r>
      <w:r w:rsidR="00C35512">
        <w:rPr>
          <w:szCs w:val="26"/>
        </w:rPr>
        <w:t xml:space="preserve">also </w:t>
      </w:r>
      <w:r w:rsidRPr="00ED7A7B" w:rsidR="00B81710">
        <w:rPr>
          <w:szCs w:val="26"/>
        </w:rPr>
        <w:t>Cal. Code</w:t>
      </w:r>
      <w:r w:rsidRPr="00ED7A7B" w:rsidR="00A923D0">
        <w:rPr>
          <w:szCs w:val="26"/>
        </w:rPr>
        <w:t xml:space="preserve"> </w:t>
      </w:r>
      <w:r w:rsidRPr="00ED7A7B">
        <w:rPr>
          <w:szCs w:val="26"/>
        </w:rPr>
        <w:t xml:space="preserve">Regs., </w:t>
      </w:r>
      <w:r w:rsidRPr="00ED7A7B" w:rsidR="004F2082">
        <w:rPr>
          <w:szCs w:val="26"/>
        </w:rPr>
        <w:t xml:space="preserve">tit. 5, </w:t>
      </w:r>
      <w:r w:rsidRPr="00ED7A7B">
        <w:rPr>
          <w:szCs w:val="26"/>
        </w:rPr>
        <w:t xml:space="preserve">§§ </w:t>
      </w:r>
      <w:r w:rsidRPr="00C35512">
        <w:rPr>
          <w:szCs w:val="26"/>
        </w:rPr>
        <w:t>53000–59606</w:t>
      </w:r>
      <w:r w:rsidRPr="00ED7A7B">
        <w:rPr>
          <w:szCs w:val="26"/>
        </w:rPr>
        <w:t>.)</w:t>
      </w:r>
      <w:r>
        <w:rPr>
          <w:rStyle w:val="FootnoteReference"/>
          <w:szCs w:val="26"/>
        </w:rPr>
        <w:footnoteReference w:id="4"/>
      </w:r>
      <w:r w:rsidRPr="00ED7A7B">
        <w:rPr>
          <w:szCs w:val="26"/>
        </w:rPr>
        <w:t xml:space="preserve">  </w:t>
      </w:r>
    </w:p>
    <w:p w:rsidR="001E4560" w:rsidRPr="00ED7A7B" w:rsidP="00ED7A7B" w14:paraId="62DFB675" w14:textId="5709EE58">
      <w:pPr>
        <w:pStyle w:val="Text"/>
        <w:spacing w:line="400" w:lineRule="exact"/>
        <w:rPr>
          <w:szCs w:val="26"/>
        </w:rPr>
      </w:pPr>
      <w:r w:rsidRPr="00ED7A7B">
        <w:rPr>
          <w:szCs w:val="26"/>
        </w:rPr>
        <w:tab/>
        <w:t>The Legislature also directed the Board of Governors to adopt separate regulations that “[e]stablish minimum conditions entitling districts to receive state aid for support of community colleges”</w:t>
      </w:r>
      <w:r w:rsidRPr="00ED7A7B" w:rsidR="009562B8">
        <w:rPr>
          <w:szCs w:val="26"/>
        </w:rPr>
        <w:t xml:space="preserve"> </w:t>
      </w:r>
      <w:r w:rsidRPr="00ED7A7B">
        <w:rPr>
          <w:szCs w:val="26"/>
        </w:rPr>
        <w:t>and</w:t>
      </w:r>
      <w:r w:rsidRPr="00ED7A7B" w:rsidR="009562B8">
        <w:rPr>
          <w:szCs w:val="26"/>
        </w:rPr>
        <w:t xml:space="preserve"> </w:t>
      </w:r>
      <w:r w:rsidR="002B3D4B">
        <w:rPr>
          <w:szCs w:val="26"/>
        </w:rPr>
        <w:t xml:space="preserve">to </w:t>
      </w:r>
      <w:r w:rsidRPr="00ED7A7B" w:rsidR="00A829FB">
        <w:rPr>
          <w:szCs w:val="26"/>
        </w:rPr>
        <w:t>adopt</w:t>
      </w:r>
      <w:r w:rsidRPr="00ED7A7B" w:rsidR="009562B8">
        <w:rPr>
          <w:szCs w:val="26"/>
        </w:rPr>
        <w:t xml:space="preserve"> procedures to</w:t>
      </w:r>
      <w:r w:rsidRPr="00ED7A7B">
        <w:rPr>
          <w:szCs w:val="26"/>
        </w:rPr>
        <w:t xml:space="preserve"> “periodic[ally] review” whether each district has met those minimum conditions.  (Ed. Code, § 70901, subd. (b)(6)</w:t>
      </w:r>
      <w:r w:rsidRPr="00ED7A7B" w:rsidR="000979DD">
        <w:rPr>
          <w:szCs w:val="26"/>
        </w:rPr>
        <w:t>(A)</w:t>
      </w:r>
      <w:r w:rsidRPr="00ED7A7B" w:rsidR="00A829FB">
        <w:rPr>
          <w:szCs w:val="26"/>
        </w:rPr>
        <w:t xml:space="preserve">; see </w:t>
      </w:r>
      <w:r w:rsidR="00500603">
        <w:rPr>
          <w:szCs w:val="26"/>
        </w:rPr>
        <w:t>Cal. Code Regs., tit. 5</w:t>
      </w:r>
      <w:r w:rsidRPr="00ED7A7B" w:rsidR="00AD2D51">
        <w:rPr>
          <w:szCs w:val="26"/>
        </w:rPr>
        <w:t>,</w:t>
      </w:r>
      <w:r w:rsidRPr="00ED7A7B" w:rsidR="00A829FB">
        <w:rPr>
          <w:szCs w:val="26"/>
        </w:rPr>
        <w:t xml:space="preserve"> § 51000</w:t>
      </w:r>
      <w:r w:rsidRPr="00ED7A7B">
        <w:rPr>
          <w:szCs w:val="26"/>
        </w:rPr>
        <w:t>.)  Pursuant to th</w:t>
      </w:r>
      <w:r w:rsidRPr="00ED7A7B" w:rsidR="009562B8">
        <w:rPr>
          <w:szCs w:val="26"/>
        </w:rPr>
        <w:t xml:space="preserve">ose </w:t>
      </w:r>
      <w:r w:rsidRPr="00ED7A7B">
        <w:rPr>
          <w:szCs w:val="26"/>
        </w:rPr>
        <w:t>provision</w:t>
      </w:r>
      <w:r w:rsidRPr="00ED7A7B" w:rsidR="009562B8">
        <w:rPr>
          <w:szCs w:val="26"/>
        </w:rPr>
        <w:t>s</w:t>
      </w:r>
      <w:r w:rsidRPr="00ED7A7B">
        <w:rPr>
          <w:szCs w:val="26"/>
        </w:rPr>
        <w:t xml:space="preserve">, the Board passed 19 regulations (see </w:t>
      </w:r>
      <w:r w:rsidR="00500603">
        <w:rPr>
          <w:szCs w:val="26"/>
        </w:rPr>
        <w:t>Cal. Code Regs., tit. 5,</w:t>
      </w:r>
      <w:r w:rsidRPr="00ED7A7B">
        <w:rPr>
          <w:szCs w:val="26"/>
        </w:rPr>
        <w:t xml:space="preserve"> §§ 51002–51027</w:t>
      </w:r>
      <w:r w:rsidR="008B4B2C">
        <w:rPr>
          <w:szCs w:val="26"/>
        </w:rPr>
        <w:t xml:space="preserve">; </w:t>
      </w:r>
      <w:r w:rsidRPr="00ED7A7B">
        <w:rPr>
          <w:szCs w:val="26"/>
        </w:rPr>
        <w:t>hereafter funding</w:t>
      </w:r>
      <w:r w:rsidRPr="00ED7A7B" w:rsidR="00CD4AAD">
        <w:rPr>
          <w:szCs w:val="26"/>
        </w:rPr>
        <w:t xml:space="preserve"> </w:t>
      </w:r>
      <w:r w:rsidRPr="00ED7A7B">
        <w:rPr>
          <w:szCs w:val="26"/>
        </w:rPr>
        <w:t xml:space="preserve">entitlement </w:t>
      </w:r>
      <w:r w:rsidRPr="00ED7A7B" w:rsidR="00CD4AAD">
        <w:rPr>
          <w:szCs w:val="26"/>
        </w:rPr>
        <w:t>regulations</w:t>
      </w:r>
      <w:r w:rsidR="00FE16D3">
        <w:rPr>
          <w:szCs w:val="26"/>
        </w:rPr>
        <w:t>)</w:t>
      </w:r>
      <w:r w:rsidR="00D247D0">
        <w:rPr>
          <w:szCs w:val="26"/>
        </w:rPr>
        <w:t>,</w:t>
      </w:r>
      <w:r w:rsidRPr="00ED7A7B">
        <w:rPr>
          <w:szCs w:val="26"/>
        </w:rPr>
        <w:t xml:space="preserve"> many of which overlap with (and in some cases directly incorporate) requirements set forth in the operating standards regulations.</w:t>
      </w:r>
      <w:r>
        <w:rPr>
          <w:rStyle w:val="FootnoteReference"/>
          <w:szCs w:val="26"/>
        </w:rPr>
        <w:footnoteReference w:id="5"/>
      </w:r>
      <w:r w:rsidRPr="00ED7A7B" w:rsidR="000277C3">
        <w:rPr>
          <w:szCs w:val="26"/>
        </w:rPr>
        <w:t xml:space="preserve"> </w:t>
      </w:r>
      <w:r w:rsidRPr="00ED7A7B" w:rsidR="00CD4AAD">
        <w:rPr>
          <w:szCs w:val="26"/>
        </w:rPr>
        <w:t xml:space="preserve"> </w:t>
      </w:r>
      <w:r w:rsidRPr="00ED7A7B">
        <w:rPr>
          <w:szCs w:val="26"/>
        </w:rPr>
        <w:t xml:space="preserve">     </w:t>
      </w:r>
    </w:p>
    <w:p w:rsidR="001E4560" w:rsidRPr="00ED7A7B" w:rsidP="00ED7A7B" w14:paraId="602EE128" w14:textId="76451CB4">
      <w:pPr>
        <w:pStyle w:val="Text"/>
        <w:spacing w:line="400" w:lineRule="exact"/>
        <w:ind w:firstLine="0"/>
      </w:pPr>
      <w:r w:rsidRPr="00ED7A7B">
        <w:rPr>
          <w:szCs w:val="26"/>
        </w:rPr>
        <w:tab/>
        <w:t>Unlike the operating standards regulations, the districts are not expressly required to comply with the funding</w:t>
      </w:r>
      <w:r w:rsidRPr="00ED7A7B" w:rsidR="00A24867">
        <w:rPr>
          <w:szCs w:val="26"/>
        </w:rPr>
        <w:t xml:space="preserve"> </w:t>
      </w:r>
      <w:r w:rsidRPr="00ED7A7B">
        <w:rPr>
          <w:szCs w:val="26"/>
        </w:rPr>
        <w:t xml:space="preserve">entitlement regulations.  Instead, the </w:t>
      </w:r>
      <w:r w:rsidRPr="00ED7A7B" w:rsidR="007B2EC7">
        <w:rPr>
          <w:szCs w:val="26"/>
        </w:rPr>
        <w:t xml:space="preserve">Education </w:t>
      </w:r>
      <w:r w:rsidRPr="00ED7A7B">
        <w:rPr>
          <w:szCs w:val="26"/>
        </w:rPr>
        <w:t xml:space="preserve">Code </w:t>
      </w:r>
      <w:r w:rsidRPr="00ED7A7B" w:rsidR="007B2EC7">
        <w:rPr>
          <w:szCs w:val="26"/>
        </w:rPr>
        <w:t>and</w:t>
      </w:r>
      <w:r w:rsidR="006270D1">
        <w:rPr>
          <w:szCs w:val="26"/>
        </w:rPr>
        <w:t xml:space="preserve"> its</w:t>
      </w:r>
      <w:r w:rsidRPr="00ED7A7B" w:rsidR="007B2EC7">
        <w:rPr>
          <w:szCs w:val="26"/>
        </w:rPr>
        <w:t xml:space="preserve"> implementing regulations </w:t>
      </w:r>
      <w:r w:rsidRPr="00ED7A7B">
        <w:rPr>
          <w:szCs w:val="26"/>
        </w:rPr>
        <w:t xml:space="preserve">provide that noncompliance authorizes the Chancellor to initiate a process that may result in withholding or reduction of state funding.  </w:t>
      </w:r>
      <w:r w:rsidRPr="00ED7A7B" w:rsidR="007B2EC7">
        <w:rPr>
          <w:szCs w:val="26"/>
        </w:rPr>
        <w:t xml:space="preserve">(See </w:t>
      </w:r>
      <w:r w:rsidRPr="00ED7A7B" w:rsidR="00BC7E4A">
        <w:rPr>
          <w:szCs w:val="26"/>
        </w:rPr>
        <w:t>Ed.</w:t>
      </w:r>
      <w:r w:rsidRPr="00ED7A7B" w:rsidR="007B2EC7">
        <w:rPr>
          <w:szCs w:val="26"/>
        </w:rPr>
        <w:t xml:space="preserve"> Code, § 70901, subd. (b)(6); </w:t>
      </w:r>
      <w:r w:rsidR="00500603">
        <w:rPr>
          <w:szCs w:val="26"/>
        </w:rPr>
        <w:t>Cal. Code Regs., tit. 5,</w:t>
      </w:r>
      <w:r w:rsidRPr="00ED7A7B" w:rsidR="007E3A0B">
        <w:rPr>
          <w:szCs w:val="26"/>
        </w:rPr>
        <w:t xml:space="preserve"> §§ 51000, 51102.)  </w:t>
      </w:r>
      <w:r w:rsidRPr="00ED7A7B">
        <w:rPr>
          <w:szCs w:val="26"/>
        </w:rPr>
        <w:t xml:space="preserve">If the Chancellor </w:t>
      </w:r>
      <w:r w:rsidRPr="00ED7A7B" w:rsidR="009562B8">
        <w:rPr>
          <w:szCs w:val="26"/>
        </w:rPr>
        <w:t>determines</w:t>
      </w:r>
      <w:r w:rsidRPr="00ED7A7B">
        <w:rPr>
          <w:szCs w:val="26"/>
        </w:rPr>
        <w:t xml:space="preserve"> a district is out of compliance with some</w:t>
      </w:r>
      <w:r w:rsidRPr="00ED7A7B" w:rsidR="007E3A0B">
        <w:rPr>
          <w:szCs w:val="26"/>
        </w:rPr>
        <w:t xml:space="preserve"> </w:t>
      </w:r>
      <w:r w:rsidRPr="00ED7A7B">
        <w:rPr>
          <w:szCs w:val="26"/>
        </w:rPr>
        <w:t>or all of the funding</w:t>
      </w:r>
      <w:r w:rsidRPr="00ED7A7B" w:rsidR="007E3A0B">
        <w:rPr>
          <w:szCs w:val="26"/>
        </w:rPr>
        <w:t xml:space="preserve"> </w:t>
      </w:r>
      <w:r w:rsidRPr="00ED7A7B">
        <w:rPr>
          <w:szCs w:val="26"/>
        </w:rPr>
        <w:t xml:space="preserve">entitlement regulations, </w:t>
      </w:r>
      <w:r w:rsidRPr="00ED7A7B" w:rsidR="009562B8">
        <w:rPr>
          <w:szCs w:val="26"/>
        </w:rPr>
        <w:t>s</w:t>
      </w:r>
      <w:r w:rsidRPr="00ED7A7B">
        <w:rPr>
          <w:szCs w:val="26"/>
        </w:rPr>
        <w:t xml:space="preserve">he must provide </w:t>
      </w:r>
      <w:r w:rsidRPr="00ED7A7B" w:rsidR="009562B8">
        <w:rPr>
          <w:szCs w:val="26"/>
        </w:rPr>
        <w:t xml:space="preserve">the district </w:t>
      </w:r>
      <w:r w:rsidRPr="00ED7A7B">
        <w:rPr>
          <w:szCs w:val="26"/>
        </w:rPr>
        <w:t xml:space="preserve">notice identifying the </w:t>
      </w:r>
      <w:r w:rsidRPr="00ED7A7B" w:rsidR="009562B8">
        <w:rPr>
          <w:szCs w:val="26"/>
        </w:rPr>
        <w:t xml:space="preserve">noncompliance </w:t>
      </w:r>
      <w:r w:rsidRPr="00ED7A7B">
        <w:rPr>
          <w:szCs w:val="26"/>
        </w:rPr>
        <w:t xml:space="preserve">issues and request a response.  </w:t>
      </w:r>
      <w:r w:rsidRPr="00ED7A7B" w:rsidR="007E3A0B">
        <w:rPr>
          <w:szCs w:val="26"/>
        </w:rPr>
        <w:t xml:space="preserve">(See </w:t>
      </w:r>
      <w:r w:rsidR="00500603">
        <w:rPr>
          <w:szCs w:val="26"/>
        </w:rPr>
        <w:t>Cal. Code Regs., tit. 5</w:t>
      </w:r>
      <w:r w:rsidR="00364C79">
        <w:rPr>
          <w:szCs w:val="26"/>
        </w:rPr>
        <w:t>,</w:t>
      </w:r>
      <w:r w:rsidRPr="00ED7A7B" w:rsidR="007E3A0B">
        <w:rPr>
          <w:szCs w:val="26"/>
        </w:rPr>
        <w:t xml:space="preserve"> § 51102, subd. (a).)  </w:t>
      </w:r>
      <w:r w:rsidRPr="00ED7A7B">
        <w:rPr>
          <w:szCs w:val="26"/>
        </w:rPr>
        <w:t>Once the district responds (or time has lapsed to do so), the Chancellor “shall pursue one or more</w:t>
      </w:r>
      <w:r w:rsidRPr="00ED7A7B" w:rsidR="007E3A0B">
        <w:rPr>
          <w:szCs w:val="26"/>
        </w:rPr>
        <w:t> . . .</w:t>
      </w:r>
      <w:r w:rsidR="001648C2">
        <w:rPr>
          <w:szCs w:val="26"/>
        </w:rPr>
        <w:t> </w:t>
      </w:r>
      <w:r w:rsidRPr="00ED7A7B">
        <w:rPr>
          <w:szCs w:val="26"/>
        </w:rPr>
        <w:t xml:space="preserve">courses of action” that </w:t>
      </w:r>
      <w:r w:rsidRPr="00ED7A7B" w:rsidR="007E3A0B">
        <w:rPr>
          <w:szCs w:val="26"/>
        </w:rPr>
        <w:t>include (among other things) a</w:t>
      </w:r>
      <w:r w:rsidRPr="00ED7A7B">
        <w:rPr>
          <w:szCs w:val="26"/>
        </w:rPr>
        <w:t>ccepting the district’s response, requiring the district to adhere to a remedial plan or “withhold</w:t>
      </w:r>
      <w:r w:rsidRPr="00ED7A7B" w:rsidR="00C94D87">
        <w:rPr>
          <w:szCs w:val="26"/>
        </w:rPr>
        <w:t>[</w:t>
      </w:r>
      <w:r w:rsidRPr="00ED7A7B">
        <w:rPr>
          <w:szCs w:val="26"/>
        </w:rPr>
        <w:t>ing</w:t>
      </w:r>
      <w:r w:rsidRPr="00ED7A7B" w:rsidR="00C94D87">
        <w:rPr>
          <w:szCs w:val="26"/>
        </w:rPr>
        <w:t>]</w:t>
      </w:r>
      <w:r w:rsidRPr="00ED7A7B">
        <w:rPr>
          <w:szCs w:val="26"/>
        </w:rPr>
        <w:t xml:space="preserve"> or reduc</w:t>
      </w:r>
      <w:r w:rsidRPr="00ED7A7B" w:rsidR="00C94D87">
        <w:rPr>
          <w:szCs w:val="26"/>
        </w:rPr>
        <w:t>[</w:t>
      </w:r>
      <w:r w:rsidRPr="00ED7A7B">
        <w:rPr>
          <w:szCs w:val="26"/>
        </w:rPr>
        <w:t>ing</w:t>
      </w:r>
      <w:r w:rsidRPr="00ED7A7B" w:rsidR="00C94D87">
        <w:rPr>
          <w:szCs w:val="26"/>
        </w:rPr>
        <w:t>]</w:t>
      </w:r>
      <w:r w:rsidRPr="00ED7A7B">
        <w:rPr>
          <w:szCs w:val="26"/>
        </w:rPr>
        <w:t xml:space="preserve"> all or part of the district</w:t>
      </w:r>
      <w:r w:rsidRPr="00ED7A7B" w:rsidR="009562B8">
        <w:rPr>
          <w:szCs w:val="26"/>
        </w:rPr>
        <w:t>’</w:t>
      </w:r>
      <w:r w:rsidRPr="00ED7A7B">
        <w:rPr>
          <w:szCs w:val="26"/>
        </w:rPr>
        <w:t xml:space="preserve">s state aid.”  </w:t>
      </w:r>
      <w:bookmarkStart w:id="10" w:name="_Hlk97303431"/>
      <w:r w:rsidRPr="00ED7A7B">
        <w:rPr>
          <w:szCs w:val="26"/>
        </w:rPr>
        <w:t>(</w:t>
      </w:r>
      <w:r w:rsidR="00500603">
        <w:rPr>
          <w:szCs w:val="26"/>
        </w:rPr>
        <w:t xml:space="preserve">Cal. Code Regs., </w:t>
      </w:r>
      <w:r w:rsidRPr="00ED7A7B" w:rsidR="00500603">
        <w:rPr>
          <w:szCs w:val="26"/>
        </w:rPr>
        <w:t>tit. 5,</w:t>
      </w:r>
      <w:r w:rsidRPr="00ED7A7B">
        <w:rPr>
          <w:szCs w:val="26"/>
        </w:rPr>
        <w:t xml:space="preserve"> §</w:t>
      </w:r>
      <w:r w:rsidRPr="00ED7A7B" w:rsidR="00157742">
        <w:rPr>
          <w:szCs w:val="26"/>
        </w:rPr>
        <w:t> </w:t>
      </w:r>
      <w:r w:rsidRPr="00ED7A7B">
        <w:rPr>
          <w:szCs w:val="26"/>
        </w:rPr>
        <w:t>51102, subd. (b).)</w:t>
      </w:r>
      <w:bookmarkEnd w:id="10"/>
      <w:r w:rsidRPr="00ED7A7B">
        <w:rPr>
          <w:szCs w:val="26"/>
        </w:rPr>
        <w:t xml:space="preserve">  The regulations further require that </w:t>
      </w:r>
      <w:r w:rsidR="00842096">
        <w:rPr>
          <w:szCs w:val="26"/>
        </w:rPr>
        <w:t xml:space="preserve">the remedy the </w:t>
      </w:r>
      <w:r w:rsidRPr="00ED7A7B">
        <w:rPr>
          <w:szCs w:val="26"/>
        </w:rPr>
        <w:t>Chancellor</w:t>
      </w:r>
      <w:r w:rsidR="00842096">
        <w:rPr>
          <w:szCs w:val="26"/>
        </w:rPr>
        <w:t xml:space="preserve"> selects</w:t>
      </w:r>
      <w:r w:rsidRPr="00ED7A7B">
        <w:rPr>
          <w:szCs w:val="26"/>
        </w:rPr>
        <w:t xml:space="preserve"> </w:t>
      </w:r>
      <w:r w:rsidR="00847CE5">
        <w:rPr>
          <w:szCs w:val="26"/>
        </w:rPr>
        <w:t>“</w:t>
      </w:r>
      <w:r w:rsidRPr="00ED7A7B">
        <w:rPr>
          <w:szCs w:val="26"/>
        </w:rPr>
        <w:t>shall be related to the extent and gravity of noncompliance.”  (</w:t>
      </w:r>
      <w:r w:rsidRPr="00ED7A7B">
        <w:rPr>
          <w:i/>
          <w:iCs/>
          <w:szCs w:val="26"/>
        </w:rPr>
        <w:t>Id</w:t>
      </w:r>
      <w:r w:rsidRPr="00ED7A7B">
        <w:rPr>
          <w:szCs w:val="26"/>
        </w:rPr>
        <w:t>.</w:t>
      </w:r>
      <w:r w:rsidR="008C28E1">
        <w:rPr>
          <w:szCs w:val="26"/>
        </w:rPr>
        <w:t>,</w:t>
      </w:r>
      <w:r w:rsidRPr="00ED7A7B">
        <w:rPr>
          <w:szCs w:val="26"/>
        </w:rPr>
        <w:t xml:space="preserve"> subd. (c).)</w:t>
      </w:r>
      <w:r w:rsidRPr="00ED7A7B">
        <w:t xml:space="preserve"> </w:t>
      </w:r>
    </w:p>
    <w:p w:rsidR="00CA058D" w:rsidRPr="00ED7A7B" w:rsidP="00ED7A7B" w14:paraId="746508A8" w14:textId="77777777">
      <w:pPr>
        <w:pStyle w:val="Heading2"/>
      </w:pPr>
      <w:r w:rsidRPr="00ED7A7B">
        <w:t>B.  Procedural History</w:t>
      </w:r>
    </w:p>
    <w:p w:rsidR="00CA058D" w:rsidRPr="00ED7A7B" w:rsidP="00ED7A7B" w14:paraId="630A1A54" w14:textId="5F326879">
      <w:pPr>
        <w:pStyle w:val="Heading3"/>
      </w:pPr>
      <w:r w:rsidRPr="00ED7A7B">
        <w:t xml:space="preserve">1.  The </w:t>
      </w:r>
      <w:r w:rsidRPr="00ED7A7B" w:rsidR="00B76E32">
        <w:t xml:space="preserve">Commission’s resolution of the </w:t>
      </w:r>
      <w:r w:rsidRPr="00ED7A7B" w:rsidR="007E3A0B">
        <w:t>test claims</w:t>
      </w:r>
    </w:p>
    <w:p w:rsidR="00CA058D" w:rsidRPr="00ED7A7B" w:rsidP="00ED7A7B" w14:paraId="15A0E7C1" w14:textId="0F1A952B">
      <w:pPr>
        <w:pStyle w:val="Text"/>
        <w:spacing w:line="400" w:lineRule="exact"/>
      </w:pPr>
      <w:r w:rsidRPr="00ED7A7B">
        <w:tab/>
        <w:t xml:space="preserve">In June 2003, the Los Rios, Santa Monica, and West Kern community college districts filed test claims seeking reimbursement </w:t>
      </w:r>
      <w:r w:rsidRPr="00ED7A7B" w:rsidR="000F3A6C">
        <w:t xml:space="preserve">for costs associated </w:t>
      </w:r>
      <w:r w:rsidRPr="00ED7A7B">
        <w:t>with 27 sections of the Education Code and approximately 140 related regulations</w:t>
      </w:r>
      <w:r w:rsidRPr="00ED7A7B" w:rsidR="000F3A6C">
        <w:t>.  The test claims included</w:t>
      </w:r>
      <w:r w:rsidRPr="00ED7A7B">
        <w:t xml:space="preserve"> (among other</w:t>
      </w:r>
      <w:r w:rsidRPr="00ED7A7B" w:rsidR="00B76E32">
        <w:t xml:space="preserve"> provisions</w:t>
      </w:r>
      <w:r w:rsidRPr="00ED7A7B">
        <w:t>) the operating standards regulations and the funding</w:t>
      </w:r>
      <w:r w:rsidRPr="00ED7A7B" w:rsidR="007E3A0B">
        <w:t xml:space="preserve"> </w:t>
      </w:r>
      <w:r w:rsidRPr="00ED7A7B">
        <w:t>entitlement regulations.  After nearly a decade of review, the Commission issued a 164-page statement of decision that authorized reimbursement for over 90 of the alleged mandates, m</w:t>
      </w:r>
      <w:r w:rsidRPr="00ED7A7B" w:rsidR="002A0E3E">
        <w:t xml:space="preserve">any </w:t>
      </w:r>
      <w:r w:rsidRPr="00ED7A7B">
        <w:t>of which related to the operating standards regulations</w:t>
      </w:r>
      <w:r w:rsidRPr="00ED7A7B" w:rsidR="002B0ECE">
        <w:t xml:space="preserve"> implemented pursuant to Education Code section 70901, subdivision (b)(1)</w:t>
      </w:r>
      <w:r w:rsidRPr="00ED7A7B">
        <w:t>.  The Commission later adopted parameters and guidelines for the reimbursement of th</w:t>
      </w:r>
      <w:r w:rsidRPr="00ED7A7B" w:rsidR="00D212C0">
        <w:t>o</w:t>
      </w:r>
      <w:r w:rsidRPr="00ED7A7B">
        <w:t>se mandates.</w:t>
      </w:r>
    </w:p>
    <w:p w:rsidR="00CA058D" w:rsidRPr="00ED7A7B" w:rsidP="00ED7A7B" w14:paraId="44F63D73" w14:textId="79D2CEC7">
      <w:pPr>
        <w:pStyle w:val="Text"/>
        <w:spacing w:line="400" w:lineRule="exact"/>
      </w:pPr>
      <w:r w:rsidRPr="00ED7A7B">
        <w:tab/>
      </w:r>
      <w:r w:rsidRPr="00ED7A7B" w:rsidR="00305FF8">
        <w:t>However, t</w:t>
      </w:r>
      <w:r w:rsidRPr="00ED7A7B">
        <w:t>he Commission rejected all claims related to the funding</w:t>
      </w:r>
      <w:r w:rsidRPr="00ED7A7B" w:rsidR="00305FF8">
        <w:t xml:space="preserve"> </w:t>
      </w:r>
      <w:r w:rsidRPr="00ED7A7B">
        <w:t>entitlement regulations, concluding that the districts had failed to establish those regulations compelled them to take any action.  The Commission reasoned that</w:t>
      </w:r>
      <w:r w:rsidRPr="00ED7A7B" w:rsidR="002B0ECE">
        <w:t xml:space="preserve"> unlike the operating standards regulations,</w:t>
      </w:r>
      <w:r w:rsidRPr="00ED7A7B">
        <w:t xml:space="preserve"> </w:t>
      </w:r>
      <w:r w:rsidRPr="00ED7A7B" w:rsidR="00330950">
        <w:t>compliance</w:t>
      </w:r>
      <w:r w:rsidRPr="00ED7A7B" w:rsidR="002B0ECE">
        <w:t xml:space="preserve"> with the funding entitlement regulations</w:t>
      </w:r>
      <w:r w:rsidRPr="00ED7A7B" w:rsidR="00330950">
        <w:t xml:space="preserve"> was not </w:t>
      </w:r>
      <w:r w:rsidRPr="00ED7A7B" w:rsidR="00555FDB">
        <w:t xml:space="preserve">legally </w:t>
      </w:r>
      <w:r w:rsidRPr="00ED7A7B" w:rsidR="00330950">
        <w:t>mandat</w:t>
      </w:r>
      <w:r w:rsidRPr="00ED7A7B" w:rsidR="00555FDB">
        <w:t xml:space="preserve">ed, but instead operated </w:t>
      </w:r>
      <w:r w:rsidRPr="00ED7A7B" w:rsidR="00305FF8">
        <w:t>to</w:t>
      </w:r>
      <w:r w:rsidRPr="00ED7A7B" w:rsidR="00555FDB">
        <w:t xml:space="preserve"> remove the possibility </w:t>
      </w:r>
      <w:r w:rsidRPr="00ED7A7B">
        <w:t xml:space="preserve">that </w:t>
      </w:r>
      <w:r w:rsidRPr="00ED7A7B" w:rsidR="00305FF8">
        <w:t xml:space="preserve">the Board </w:t>
      </w:r>
      <w:r w:rsidRPr="00ED7A7B" w:rsidR="002A0E3E">
        <w:t xml:space="preserve">of Governors </w:t>
      </w:r>
      <w:r w:rsidRPr="00ED7A7B" w:rsidR="00305FF8">
        <w:t xml:space="preserve">might withhold </w:t>
      </w:r>
      <w:r w:rsidRPr="00ED7A7B">
        <w:t>some portion of the</w:t>
      </w:r>
      <w:r w:rsidRPr="00ED7A7B" w:rsidR="00555FDB">
        <w:t xml:space="preserve"> noncomplying district’s </w:t>
      </w:r>
      <w:r w:rsidRPr="00ED7A7B">
        <w:t>state</w:t>
      </w:r>
      <w:r w:rsidRPr="00ED7A7B" w:rsidR="00555FDB">
        <w:t xml:space="preserve"> aid</w:t>
      </w:r>
      <w:r w:rsidRPr="00ED7A7B">
        <w:t xml:space="preserve">. </w:t>
      </w:r>
      <w:r w:rsidRPr="00ED7A7B" w:rsidR="00835250">
        <w:t xml:space="preserve"> </w:t>
      </w:r>
      <w:r w:rsidRPr="00ED7A7B">
        <w:t xml:space="preserve">The Commission further explained that the regulations provided the Chancellor and </w:t>
      </w:r>
      <w:r w:rsidRPr="00ED7A7B" w:rsidR="00305FF8">
        <w:t xml:space="preserve">the </w:t>
      </w:r>
      <w:r w:rsidRPr="00ED7A7B">
        <w:t xml:space="preserve">Board of Governors discretion to choose what “actions to take” in response to a district’s noncompliance, meaning that a district </w:t>
      </w:r>
      <w:r w:rsidRPr="00ED7A7B" w:rsidR="00305FF8">
        <w:t xml:space="preserve">might </w:t>
      </w:r>
      <w:r w:rsidRPr="00ED7A7B">
        <w:t>still retain all its aid even if it chose not to comply.  The Commission noted that the</w:t>
      </w:r>
      <w:r w:rsidRPr="00ED7A7B" w:rsidR="004A45CC">
        <w:t xml:space="preserve"> </w:t>
      </w:r>
      <w:r w:rsidR="00591A3E">
        <w:t>districts</w:t>
      </w:r>
      <w:r w:rsidRPr="00ED7A7B" w:rsidR="004A45CC">
        <w:t>’</w:t>
      </w:r>
      <w:r w:rsidRPr="00ED7A7B">
        <w:t xml:space="preserve"> </w:t>
      </w:r>
      <w:r w:rsidRPr="00ED7A7B" w:rsidR="00555FDB">
        <w:t xml:space="preserve">evidence </w:t>
      </w:r>
      <w:r w:rsidRPr="00ED7A7B" w:rsidR="004B2CF7">
        <w:t xml:space="preserve">showed </w:t>
      </w:r>
      <w:r w:rsidRPr="00ED7A7B" w:rsidR="00305FF8">
        <w:t>only one</w:t>
      </w:r>
      <w:r w:rsidRPr="00ED7A7B">
        <w:t xml:space="preserve"> case in which the Chancellor had</w:t>
      </w:r>
      <w:r w:rsidRPr="00ED7A7B" w:rsidR="00305FF8">
        <w:t xml:space="preserve"> ever</w:t>
      </w:r>
      <w:r w:rsidRPr="00ED7A7B">
        <w:t xml:space="preserve"> recommended that the Board</w:t>
      </w:r>
      <w:r w:rsidRPr="00ED7A7B" w:rsidR="004A45CC">
        <w:t xml:space="preserve"> of Governors</w:t>
      </w:r>
      <w:r w:rsidRPr="00ED7A7B">
        <w:t xml:space="preserve"> withhold funding from a district, which occurred after the San Mateo Community College </w:t>
      </w:r>
      <w:r w:rsidRPr="00ED7A7B" w:rsidR="004A45CC">
        <w:t xml:space="preserve">had </w:t>
      </w:r>
      <w:r w:rsidRPr="00ED7A7B">
        <w:t>failed to comply with an equal</w:t>
      </w:r>
      <w:r w:rsidRPr="00ED7A7B" w:rsidR="004A45CC">
        <w:t xml:space="preserve"> </w:t>
      </w:r>
      <w:r w:rsidRPr="00ED7A7B">
        <w:t xml:space="preserve">opportunity hiring regulation when choosing its new superintendent.  </w:t>
      </w:r>
      <w:r w:rsidRPr="00ED7A7B" w:rsidR="004A45CC">
        <w:t>T</w:t>
      </w:r>
      <w:r w:rsidRPr="00ED7A7B">
        <w:t>he Board</w:t>
      </w:r>
      <w:r w:rsidRPr="00ED7A7B" w:rsidR="004A45CC">
        <w:t>, however,</w:t>
      </w:r>
      <w:r w:rsidRPr="00ED7A7B">
        <w:t xml:space="preserve"> ultimately rejected th</w:t>
      </w:r>
      <w:r w:rsidRPr="00ED7A7B" w:rsidR="00AF5B8A">
        <w:t xml:space="preserve">e Chancellor’s </w:t>
      </w:r>
      <w:r w:rsidRPr="00ED7A7B">
        <w:t>recommendation</w:t>
      </w:r>
      <w:r w:rsidRPr="00ED7A7B" w:rsidR="00305FF8">
        <w:t xml:space="preserve"> to withhold funding</w:t>
      </w:r>
      <w:r w:rsidRPr="00ED7A7B">
        <w:t xml:space="preserve"> and chose</w:t>
      </w:r>
      <w:r w:rsidRPr="00ED7A7B" w:rsidR="00AF5B8A">
        <w:t xml:space="preserve"> instead</w:t>
      </w:r>
      <w:r w:rsidRPr="00ED7A7B">
        <w:t xml:space="preserve"> to increase monitoring over the district.  The Commission concluded the case </w:t>
      </w:r>
      <w:r w:rsidRPr="00ED7A7B" w:rsidR="00305FF8">
        <w:t>demonstrate</w:t>
      </w:r>
      <w:r w:rsidRPr="00ED7A7B" w:rsidR="00EB6CBC">
        <w:t>d</w:t>
      </w:r>
      <w:r w:rsidRPr="00ED7A7B" w:rsidR="00305FF8">
        <w:t xml:space="preserve"> </w:t>
      </w:r>
      <w:r w:rsidRPr="00ED7A7B">
        <w:t xml:space="preserve">that while </w:t>
      </w:r>
      <w:r w:rsidRPr="00ED7A7B" w:rsidR="00F33235">
        <w:t>“</w:t>
      </w:r>
      <w:r w:rsidRPr="00ED7A7B">
        <w:t>there is .</w:t>
      </w:r>
      <w:r w:rsidRPr="00ED7A7B" w:rsidR="00875FC4">
        <w:t> </w:t>
      </w:r>
      <w:r w:rsidRPr="00ED7A7B">
        <w:t>.</w:t>
      </w:r>
      <w:r w:rsidRPr="00ED7A7B" w:rsidR="00875FC4">
        <w:t> </w:t>
      </w:r>
      <w:r w:rsidRPr="00ED7A7B">
        <w:t>. a possible loss of funding, [there is no</w:t>
      </w:r>
      <w:r w:rsidRPr="00ED7A7B" w:rsidR="00F33235">
        <w:t>] . . . </w:t>
      </w:r>
      <w:r w:rsidRPr="00ED7A7B">
        <w:t xml:space="preserve">evidence of the certainty of this loss.” </w:t>
      </w:r>
      <w:r w:rsidRPr="00ED7A7B">
        <w:tab/>
        <w:t xml:space="preserve">     </w:t>
      </w:r>
    </w:p>
    <w:p w:rsidR="00CA058D" w:rsidRPr="00ED7A7B" w:rsidP="00ED7A7B" w14:paraId="61DC4A8F" w14:textId="79105E68">
      <w:pPr>
        <w:pStyle w:val="Heading3"/>
      </w:pPr>
      <w:r w:rsidRPr="00ED7A7B">
        <w:t xml:space="preserve">2. </w:t>
      </w:r>
      <w:r w:rsidRPr="00ED7A7B" w:rsidR="00555FDB">
        <w:t xml:space="preserve"> </w:t>
      </w:r>
      <w:r w:rsidRPr="00ED7A7B">
        <w:t xml:space="preserve">The trial court’s ruling </w:t>
      </w:r>
    </w:p>
    <w:p w:rsidR="005B472B" w:rsidRPr="00ED7A7B" w:rsidP="00ED7A7B" w14:paraId="0755AC73" w14:textId="0558CE70">
      <w:pPr>
        <w:pStyle w:val="Text"/>
        <w:spacing w:line="400" w:lineRule="exact"/>
        <w:ind w:firstLine="720"/>
      </w:pPr>
      <w:r w:rsidRPr="00ED7A7B">
        <w:t xml:space="preserve">The districts filed a </w:t>
      </w:r>
      <w:r w:rsidRPr="00ED7A7B" w:rsidR="00D212C0">
        <w:t xml:space="preserve">writ </w:t>
      </w:r>
      <w:r w:rsidRPr="00ED7A7B">
        <w:t>petition seeking reversal of the Commission’s finding that the funding</w:t>
      </w:r>
      <w:r w:rsidRPr="00ED7A7B" w:rsidR="004B2CF7">
        <w:t xml:space="preserve"> </w:t>
      </w:r>
      <w:r w:rsidRPr="00ED7A7B">
        <w:t xml:space="preserve">entitlement regulations did not </w:t>
      </w:r>
      <w:r w:rsidRPr="00ED7A7B" w:rsidR="00D212C0">
        <w:t xml:space="preserve">qualify as </w:t>
      </w:r>
      <w:r w:rsidRPr="00ED7A7B">
        <w:t xml:space="preserve">a mandate.  </w:t>
      </w:r>
      <w:r w:rsidRPr="00ED7A7B" w:rsidR="004A45CC">
        <w:t>Although the</w:t>
      </w:r>
      <w:r w:rsidRPr="00ED7A7B">
        <w:t xml:space="preserve"> D</w:t>
      </w:r>
      <w:r w:rsidRPr="00ED7A7B" w:rsidR="00AF5B8A">
        <w:t>epartment</w:t>
      </w:r>
      <w:r w:rsidRPr="00ED7A7B" w:rsidR="004B2CF7">
        <w:t xml:space="preserve"> of Finance (the Department)</w:t>
      </w:r>
      <w:r w:rsidRPr="00ED7A7B" w:rsidR="00AF5B8A">
        <w:t xml:space="preserve"> j</w:t>
      </w:r>
      <w:r w:rsidRPr="00ED7A7B">
        <w:t xml:space="preserve">oined the Commission in opposing the petition, </w:t>
      </w:r>
      <w:r w:rsidRPr="00ED7A7B" w:rsidR="00AF08FC">
        <w:t>the Department</w:t>
      </w:r>
      <w:r w:rsidRPr="00ED7A7B" w:rsidR="004B2CF7">
        <w:t xml:space="preserve"> </w:t>
      </w:r>
      <w:r w:rsidRPr="00ED7A7B" w:rsidR="00D212C0">
        <w:t xml:space="preserve">chose not to </w:t>
      </w:r>
      <w:r w:rsidRPr="00ED7A7B">
        <w:t xml:space="preserve">seek review of the </w:t>
      </w:r>
      <w:r w:rsidRPr="00ED7A7B" w:rsidR="004A45CC">
        <w:t xml:space="preserve">portion of the </w:t>
      </w:r>
      <w:r w:rsidRPr="00ED7A7B">
        <w:t>Commission’s</w:t>
      </w:r>
      <w:r w:rsidRPr="00ED7A7B" w:rsidR="00AF08FC">
        <w:t xml:space="preserve"> decision</w:t>
      </w:r>
      <w:r w:rsidRPr="00ED7A7B">
        <w:t xml:space="preserve"> finding that over 90 statutes and regulations (including most of the operating standards regulations) qualified as reimbursable mandates.</w:t>
      </w:r>
    </w:p>
    <w:p w:rsidR="005B472B" w:rsidRPr="00ED7A7B" w:rsidP="00ED7A7B" w14:paraId="149C49BF" w14:textId="7C6CB4A2">
      <w:pPr>
        <w:pStyle w:val="Text"/>
        <w:spacing w:line="400" w:lineRule="exact"/>
        <w:ind w:firstLine="720"/>
      </w:pPr>
      <w:r w:rsidRPr="00ED7A7B">
        <w:t xml:space="preserve">The trial court affirmed the Commission’s decision and adopted most of its reasoning.  The court concluded </w:t>
      </w:r>
      <w:r w:rsidR="00C01BB0">
        <w:t xml:space="preserve">that </w:t>
      </w:r>
      <w:r w:rsidRPr="00ED7A7B">
        <w:t>the districts “are not legally compelled to comply with the minimum conditions.  Instead,</w:t>
      </w:r>
      <w:r w:rsidRPr="00ED7A7B" w:rsidR="00875FC4">
        <w:t> </w:t>
      </w:r>
      <w:r w:rsidRPr="00330F7B">
        <w:t>.</w:t>
      </w:r>
      <w:r w:rsidRPr="00330F7B" w:rsidR="00875FC4">
        <w:t> </w:t>
      </w:r>
      <w:r w:rsidRPr="00330F7B">
        <w:t>.</w:t>
      </w:r>
      <w:r w:rsidRPr="00330F7B" w:rsidR="00875FC4">
        <w:t> </w:t>
      </w:r>
      <w:r w:rsidRPr="00330F7B">
        <w:t>.</w:t>
      </w:r>
      <w:r w:rsidRPr="00ED7A7B">
        <w:t xml:space="preserve"> [they] only have to comply with the minimum conditions if they want to become entitled to receive state aid.” </w:t>
      </w:r>
      <w:r w:rsidRPr="00ED7A7B" w:rsidR="000E5620">
        <w:t xml:space="preserve"> (Italics omitted.) </w:t>
      </w:r>
      <w:r w:rsidRPr="00ED7A7B">
        <w:t xml:space="preserve"> The court also rejected the districts’ assertion that even if not legally compelled to comply, they were nonetheless practically compelled to do so “because they cannot operate without state f</w:t>
      </w:r>
      <w:r w:rsidR="00E3407C">
        <w:t>u</w:t>
      </w:r>
      <w:r w:rsidRPr="00ED7A7B">
        <w:t xml:space="preserve">nding and thus have no meaningful choice but to comply with the minimum conditions.”  The court explained that it could not evaluate </w:t>
      </w:r>
      <w:r w:rsidRPr="00ED7A7B" w:rsidR="00D70154">
        <w:t>that</w:t>
      </w:r>
      <w:r w:rsidRPr="00ED7A7B">
        <w:t xml:space="preserve"> assertion because the</w:t>
      </w:r>
      <w:r w:rsidRPr="00ED7A7B" w:rsidR="00D70154">
        <w:t xml:space="preserve"> districts had </w:t>
      </w:r>
      <w:r w:rsidRPr="00ED7A7B" w:rsidR="000E5620">
        <w:t>“</w:t>
      </w:r>
      <w:r w:rsidRPr="00ED7A7B">
        <w:t>cite</w:t>
      </w:r>
      <w:r w:rsidRPr="00ED7A7B" w:rsidR="000E5620">
        <w:t>[</w:t>
      </w:r>
      <w:r w:rsidRPr="00ED7A7B">
        <w:t>d</w:t>
      </w:r>
      <w:r w:rsidRPr="00ED7A7B" w:rsidR="000E5620">
        <w:t>]</w:t>
      </w:r>
      <w:r w:rsidRPr="00ED7A7B">
        <w:t xml:space="preserve"> no evidence in their briefs about how much community colleges receive from state aid, how much they receive from property taxes, and how much they receive from other funding sources.</w:t>
      </w:r>
      <w:r w:rsidR="00847CE5">
        <w:t> </w:t>
      </w:r>
      <w:r w:rsidRPr="00ED7A7B">
        <w:t>.</w:t>
      </w:r>
      <w:r w:rsidRPr="00ED7A7B" w:rsidR="00875FC4">
        <w:t> </w:t>
      </w:r>
      <w:r w:rsidRPr="00ED7A7B">
        <w:t>.</w:t>
      </w:r>
      <w:r w:rsidRPr="00ED7A7B" w:rsidR="00875FC4">
        <w:t> </w:t>
      </w:r>
      <w:r w:rsidRPr="00ED7A7B">
        <w:t>.</w:t>
      </w:r>
      <w:r w:rsidR="00C4213F">
        <w:t xml:space="preserve">  </w:t>
      </w:r>
      <w:r w:rsidRPr="00ED7A7B">
        <w:t>With no evidence on this issue,</w:t>
      </w:r>
      <w:r w:rsidRPr="00ED7A7B" w:rsidR="00875FC4">
        <w:t> </w:t>
      </w:r>
      <w:r w:rsidRPr="00ED7A7B">
        <w:t>.</w:t>
      </w:r>
      <w:r w:rsidRPr="00ED7A7B" w:rsidR="00875FC4">
        <w:t> </w:t>
      </w:r>
      <w:r w:rsidRPr="00ED7A7B">
        <w:t>.</w:t>
      </w:r>
      <w:r w:rsidRPr="00ED7A7B" w:rsidR="00875FC4">
        <w:t> </w:t>
      </w:r>
      <w:r w:rsidRPr="00ED7A7B">
        <w:t>.</w:t>
      </w:r>
      <w:r w:rsidRPr="00ED7A7B" w:rsidR="00875FC4">
        <w:t> </w:t>
      </w:r>
      <w:r w:rsidRPr="00ED7A7B">
        <w:t xml:space="preserve">[the districts] fail to prove the key point (i.e., that they cannot operate without state funds).” </w:t>
      </w:r>
      <w:r w:rsidRPr="00ED7A7B" w:rsidR="000E5620">
        <w:t xml:space="preserve"> (Italics omitted.) </w:t>
      </w:r>
      <w:r w:rsidRPr="00ED7A7B">
        <w:t xml:space="preserve">  </w:t>
      </w:r>
    </w:p>
    <w:p w:rsidR="00CA058D" w:rsidRPr="00ED7A7B" w:rsidP="00ED7A7B" w14:paraId="57F98919" w14:textId="10627810">
      <w:pPr>
        <w:pStyle w:val="Text"/>
        <w:spacing w:line="400" w:lineRule="exact"/>
        <w:ind w:firstLine="720"/>
      </w:pPr>
      <w:r w:rsidRPr="00ED7A7B">
        <w:t>The trial court further concluded that</w:t>
      </w:r>
      <w:r w:rsidRPr="00ED7A7B" w:rsidR="0050314B">
        <w:t xml:space="preserve"> </w:t>
      </w:r>
      <w:r w:rsidRPr="00ED7A7B" w:rsidR="000D7DE8">
        <w:t>even if the</w:t>
      </w:r>
      <w:r w:rsidRPr="00ED7A7B" w:rsidR="009029E6">
        <w:t xml:space="preserve">re </w:t>
      </w:r>
      <w:r w:rsidRPr="00ED7A7B" w:rsidR="009C7896">
        <w:t>were</w:t>
      </w:r>
      <w:r w:rsidRPr="00ED7A7B" w:rsidR="009029E6">
        <w:t xml:space="preserve"> sufficient evidence to support a finding that the</w:t>
      </w:r>
      <w:r w:rsidRPr="00ED7A7B">
        <w:t xml:space="preserve"> districts</w:t>
      </w:r>
      <w:r w:rsidRPr="00ED7A7B" w:rsidR="009029E6">
        <w:t xml:space="preserve"> relied on </w:t>
      </w:r>
      <w:r w:rsidRPr="00ED7A7B" w:rsidR="00245F8C">
        <w:t>state funds to operate, the</w:t>
      </w:r>
      <w:r w:rsidRPr="00ED7A7B" w:rsidR="009029E6">
        <w:t xml:space="preserve"> districts</w:t>
      </w:r>
      <w:r w:rsidRPr="00ED7A7B" w:rsidR="00E9167C">
        <w:t xml:space="preserve"> had</w:t>
      </w:r>
      <w:r w:rsidRPr="00ED7A7B" w:rsidR="009029E6">
        <w:t xml:space="preserve"> failed to show that </w:t>
      </w:r>
      <w:r w:rsidRPr="00ED7A7B" w:rsidR="006624A8">
        <w:t>noncompliance</w:t>
      </w:r>
      <w:r w:rsidRPr="00ED7A7B">
        <w:t xml:space="preserve"> </w:t>
      </w:r>
      <w:r w:rsidRPr="00ED7A7B" w:rsidR="00890FC9">
        <w:t xml:space="preserve">was reasonably likely to result in the withholding </w:t>
      </w:r>
      <w:r w:rsidRPr="00ED7A7B" w:rsidR="0050314B">
        <w:t xml:space="preserve">of </w:t>
      </w:r>
      <w:r w:rsidRPr="00ED7A7B" w:rsidR="000D7DE8">
        <w:t xml:space="preserve">state </w:t>
      </w:r>
      <w:r w:rsidRPr="00ED7A7B" w:rsidR="007C5E6A">
        <w:t>funds</w:t>
      </w:r>
      <w:r w:rsidRPr="00ED7A7B">
        <w:t>.  The court reasoned that while the funding</w:t>
      </w:r>
      <w:r w:rsidRPr="00ED7A7B" w:rsidR="00D70154">
        <w:t xml:space="preserve"> </w:t>
      </w:r>
      <w:r w:rsidRPr="00ED7A7B">
        <w:t xml:space="preserve">entitlement regulations authorized the Chancellor “to withhold state aid if a district fails to comply,” the districts had </w:t>
      </w:r>
      <w:r w:rsidRPr="00ED7A7B" w:rsidR="0050314B">
        <w:t xml:space="preserve">not proved </w:t>
      </w:r>
      <w:r w:rsidRPr="00ED7A7B">
        <w:t>that “loss of state aid is</w:t>
      </w:r>
      <w:r w:rsidRPr="00ED7A7B" w:rsidR="00875FC4">
        <w:t> </w:t>
      </w:r>
      <w:r w:rsidRPr="00ED7A7B">
        <w:t>.</w:t>
      </w:r>
      <w:r w:rsidRPr="00ED7A7B" w:rsidR="00875FC4">
        <w:t> </w:t>
      </w:r>
      <w:r w:rsidRPr="00ED7A7B">
        <w:t>.</w:t>
      </w:r>
      <w:r w:rsidRPr="00ED7A7B" w:rsidR="00875FC4">
        <w:t> </w:t>
      </w:r>
      <w:r w:rsidRPr="00ED7A7B">
        <w:t>.</w:t>
      </w:r>
      <w:r w:rsidR="00891A57">
        <w:t xml:space="preserve"> </w:t>
      </w:r>
      <w:r w:rsidRPr="00ED7A7B">
        <w:t xml:space="preserve">reasonably certain to occur” or that the amounts withheld would necessarily be </w:t>
      </w:r>
      <w:r w:rsidRPr="00ED7A7B" w:rsidR="00F00AB3">
        <w:t>“</w:t>
      </w:r>
      <w:r w:rsidRPr="00ED7A7B">
        <w:t>severe.”  Like the Commission, the trial court cited evidence regarding the disciplinary action the Board of Governors had taken against San Mateo Community College District for failing to comply with funding</w:t>
      </w:r>
      <w:r w:rsidRPr="00ED7A7B" w:rsidR="005B472B">
        <w:t xml:space="preserve"> </w:t>
      </w:r>
      <w:r w:rsidRPr="00ED7A7B">
        <w:t>entitlement regulations related to equal opportunity hiring.  The trial court noted that the Board’s meeting minutes showed it had rejected the Chancellor’s recommendation to withhold $500,000 in</w:t>
      </w:r>
      <w:r w:rsidRPr="00ED7A7B" w:rsidR="00D70154">
        <w:t xml:space="preserve"> state</w:t>
      </w:r>
      <w:r w:rsidRPr="00ED7A7B">
        <w:t xml:space="preserve"> aid because “of the worry that doing so would negatively impact students.”  In the court’s view, these actions showed that </w:t>
      </w:r>
      <w:r w:rsidRPr="00ED7A7B" w:rsidR="0032066D">
        <w:t>it was “</w:t>
      </w:r>
      <w:r w:rsidRPr="00ED7A7B">
        <w:t xml:space="preserve">unlikely </w:t>
      </w:r>
      <w:r w:rsidRPr="00ED7A7B" w:rsidR="0032066D">
        <w:t xml:space="preserve">that a district would </w:t>
      </w:r>
      <w:r w:rsidRPr="00ED7A7B">
        <w:t>actually lose any state aid if it failed to comply with the minimum conditions.”</w:t>
      </w:r>
      <w:r w:rsidRPr="00ED7A7B">
        <w:tab/>
      </w:r>
    </w:p>
    <w:p w:rsidR="00CA058D" w:rsidRPr="00ED7A7B" w:rsidP="00ED7A7B" w14:paraId="1B0D6557" w14:textId="77777777">
      <w:pPr>
        <w:pStyle w:val="Heading3"/>
      </w:pPr>
      <w:r w:rsidRPr="00ED7A7B">
        <w:t>3.  The Court of Appeal’s partial reversal</w:t>
      </w:r>
    </w:p>
    <w:p w:rsidR="00717D20" w:rsidRPr="00ED7A7B" w:rsidP="00ED7A7B" w14:paraId="3BBF14E8" w14:textId="302FBE28">
      <w:pPr>
        <w:pStyle w:val="Text"/>
        <w:spacing w:line="400" w:lineRule="exact"/>
        <w:ind w:firstLine="720"/>
      </w:pPr>
      <w:r w:rsidRPr="00ED7A7B">
        <w:t>The C</w:t>
      </w:r>
      <w:r w:rsidRPr="00ED7A7B" w:rsidR="00835250">
        <w:t>ourt of Appeal</w:t>
      </w:r>
      <w:r w:rsidRPr="00ED7A7B" w:rsidR="005B472B">
        <w:t xml:space="preserve"> </w:t>
      </w:r>
      <w:r w:rsidRPr="00ED7A7B" w:rsidR="00835250">
        <w:t>r</w:t>
      </w:r>
      <w:r w:rsidRPr="00ED7A7B">
        <w:t>eversed</w:t>
      </w:r>
      <w:r w:rsidRPr="00ED7A7B" w:rsidR="005B472B">
        <w:t xml:space="preserve"> in part</w:t>
      </w:r>
      <w:r w:rsidRPr="00ED7A7B" w:rsidR="00D70154">
        <w:t xml:space="preserve">, </w:t>
      </w:r>
      <w:r w:rsidRPr="00ED7A7B" w:rsidR="008244A0">
        <w:t xml:space="preserve">concluding that the districts had </w:t>
      </w:r>
      <w:r w:rsidRPr="00ED7A7B" w:rsidR="00D70154">
        <w:t xml:space="preserve">shown </w:t>
      </w:r>
      <w:r w:rsidRPr="00ED7A7B" w:rsidR="008244A0">
        <w:t xml:space="preserve">they were legally </w:t>
      </w:r>
      <w:r w:rsidRPr="00ED7A7B" w:rsidR="000D14AA">
        <w:t>compelled</w:t>
      </w:r>
      <w:r w:rsidRPr="00ED7A7B" w:rsidR="008244A0">
        <w:t xml:space="preserve"> </w:t>
      </w:r>
      <w:r w:rsidRPr="00ED7A7B">
        <w:t>to comply with the funding</w:t>
      </w:r>
      <w:r w:rsidRPr="00ED7A7B" w:rsidR="00D70154">
        <w:t xml:space="preserve"> </w:t>
      </w:r>
      <w:r w:rsidRPr="00ED7A7B">
        <w:t xml:space="preserve">entitlement </w:t>
      </w:r>
      <w:r w:rsidRPr="00ED7A7B" w:rsidR="000D14AA">
        <w:t xml:space="preserve">regulations </w:t>
      </w:r>
      <w:r w:rsidRPr="00ED7A7B" w:rsidR="008244A0">
        <w:t xml:space="preserve">because those </w:t>
      </w:r>
      <w:r w:rsidRPr="00ED7A7B" w:rsidR="000D14AA">
        <w:t xml:space="preserve">regulations </w:t>
      </w:r>
      <w:r w:rsidRPr="00ED7A7B" w:rsidR="008244A0">
        <w:t>related to the community college districts’ core functions</w:t>
      </w:r>
      <w:r w:rsidRPr="00ED7A7B">
        <w:t>:</w:t>
      </w:r>
      <w:r w:rsidRPr="00ED7A7B" w:rsidR="008244A0">
        <w:t xml:space="preserve">  “</w:t>
      </w:r>
      <w:r w:rsidRPr="00ED7A7B">
        <w:t>[T]he [funding</w:t>
      </w:r>
      <w:r w:rsidRPr="00ED7A7B" w:rsidR="00FF0043">
        <w:t xml:space="preserve"> </w:t>
      </w:r>
      <w:r w:rsidRPr="00ED7A7B">
        <w:t>entitlement regulations] apply to the underlying core functions of the community colleges, functions compelled by state law.</w:t>
      </w:r>
      <w:r w:rsidRPr="00ED7A7B" w:rsidR="00875FC4">
        <w:t> </w:t>
      </w:r>
      <w:r w:rsidRPr="00ED7A7B">
        <w:t>.</w:t>
      </w:r>
      <w:r w:rsidRPr="00ED7A7B" w:rsidR="00875FC4">
        <w:t> </w:t>
      </w:r>
      <w:r w:rsidRPr="00ED7A7B">
        <w:t>.</w:t>
      </w:r>
      <w:r w:rsidRPr="00ED7A7B" w:rsidR="00875FC4">
        <w:t> </w:t>
      </w:r>
      <w:r w:rsidRPr="00ED7A7B">
        <w:t>.  California community colleges are required to provide specified academic, vocational, and remedial instruction, along with support services.  (Ed. Code, § 66010.4.)  The [funding</w:t>
      </w:r>
      <w:r w:rsidRPr="00ED7A7B" w:rsidR="00D70154">
        <w:t xml:space="preserve"> </w:t>
      </w:r>
      <w:r w:rsidRPr="00ED7A7B">
        <w:t>entitlement regulations] direct the community college districts to take specific steps in fulfilling those legally-compelled core mission functions, including requirements pertaining to scholarship, degrees, courses, campuses, counseling, and curriculum.</w:t>
      </w:r>
      <w:r w:rsidRPr="00ED7A7B" w:rsidR="00D70154">
        <w:t>”</w:t>
      </w:r>
    </w:p>
    <w:p w:rsidR="00354085" w:rsidRPr="00ED7A7B" w:rsidP="00ED7A7B" w14:paraId="74C57417" w14:textId="17AFA35D">
      <w:pPr>
        <w:pStyle w:val="Text"/>
        <w:spacing w:line="400" w:lineRule="exact"/>
        <w:ind w:firstLine="720"/>
      </w:pPr>
      <w:r w:rsidRPr="00ED7A7B">
        <w:t xml:space="preserve">The </w:t>
      </w:r>
      <w:r w:rsidRPr="00ED7A7B" w:rsidR="00D70154">
        <w:t xml:space="preserve">court </w:t>
      </w:r>
      <w:r w:rsidRPr="00ED7A7B">
        <w:t xml:space="preserve">further </w:t>
      </w:r>
      <w:r w:rsidRPr="00ED7A7B" w:rsidR="00717D20">
        <w:t>concluded t</w:t>
      </w:r>
      <w:r w:rsidRPr="00ED7A7B">
        <w:t>hat while the Commission had found “the [funding</w:t>
      </w:r>
      <w:r w:rsidRPr="00ED7A7B" w:rsidR="00FF0043">
        <w:t xml:space="preserve"> </w:t>
      </w:r>
      <w:r w:rsidRPr="00ED7A7B">
        <w:t>entitlement regulations] are not legally compelled because the community colleges are free to decline state aid,” that conclusion was “inconsistent with the statutory scheme and the appellate record.”</w:t>
      </w:r>
      <w:r w:rsidRPr="00ED7A7B" w:rsidR="002629FB">
        <w:t xml:space="preserve"> </w:t>
      </w:r>
      <w:r w:rsidRPr="00ED7A7B" w:rsidR="00FF0043">
        <w:t xml:space="preserve"> </w:t>
      </w:r>
      <w:r w:rsidRPr="00ED7A7B">
        <w:t>The court explained that the California Constitution</w:t>
      </w:r>
      <w:r w:rsidRPr="00ED7A7B" w:rsidR="00717D20">
        <w:t xml:space="preserve"> </w:t>
      </w:r>
      <w:r w:rsidRPr="00ED7A7B">
        <w:t>requires “a specific minimum level of state General Fund revenues be guaranteed and applied for the support of community college districts” and further requires</w:t>
      </w:r>
      <w:r w:rsidRPr="00ED7A7B" w:rsidR="002C7FB5">
        <w:t xml:space="preserve"> that</w:t>
      </w:r>
      <w:r w:rsidRPr="00ED7A7B">
        <w:t xml:space="preserve"> the state provide districts sufficient funding “to permit them to carry out their mission</w:t>
      </w:r>
      <w:r w:rsidRPr="00ED7A7B" w:rsidR="00717D20">
        <w:t>.</w:t>
      </w:r>
      <w:r w:rsidRPr="00ED7A7B">
        <w:t>”  Without citing a</w:t>
      </w:r>
      <w:r w:rsidRPr="00ED7A7B" w:rsidR="002C7FB5">
        <w:t xml:space="preserve"> specific</w:t>
      </w:r>
      <w:r w:rsidRPr="00ED7A7B">
        <w:t xml:space="preserve"> source, the court noted that “in the most recent year for which the appellate record in this case provides information, more than half</w:t>
      </w:r>
      <w:r w:rsidRPr="00ED7A7B">
        <w:rPr>
          <w:i/>
          <w:iCs/>
        </w:rPr>
        <w:t xml:space="preserve"> </w:t>
      </w:r>
      <w:r w:rsidRPr="00ED7A7B">
        <w:t xml:space="preserve">of California community college funding came from the state </w:t>
      </w:r>
      <w:r w:rsidRPr="00ED7A7B" w:rsidR="00EE0842">
        <w:t>G</w:t>
      </w:r>
      <w:r w:rsidRPr="00ED7A7B">
        <w:t xml:space="preserve">eneral </w:t>
      </w:r>
      <w:r w:rsidRPr="00ED7A7B" w:rsidR="00EE0842">
        <w:t>F</w:t>
      </w:r>
      <w:r w:rsidRPr="00ED7A7B">
        <w:t xml:space="preserve">und.  In that same year, other funding sources, including federal funds, local funds, and student fees, provided significantly less support.  Like public school districts in general, community college districts are dependent on state aid.” </w:t>
      </w:r>
      <w:r w:rsidRPr="00ED7A7B" w:rsidR="00E06B9A">
        <w:t xml:space="preserve"> (Italics omitted.)</w:t>
      </w:r>
      <w:r w:rsidRPr="00ED7A7B" w:rsidR="008244A0">
        <w:t xml:space="preserve"> </w:t>
      </w:r>
      <w:r w:rsidR="004C324B">
        <w:t xml:space="preserve"> </w:t>
      </w:r>
      <w:r w:rsidRPr="00ED7A7B" w:rsidR="008244A0">
        <w:t xml:space="preserve">Because the </w:t>
      </w:r>
      <w:r w:rsidRPr="00ED7A7B" w:rsidR="00717D20">
        <w:t xml:space="preserve">court </w:t>
      </w:r>
      <w:r w:rsidRPr="00ED7A7B" w:rsidR="008244A0">
        <w:t xml:space="preserve">found </w:t>
      </w:r>
      <w:r w:rsidR="00943902">
        <w:t xml:space="preserve">that </w:t>
      </w:r>
      <w:r w:rsidRPr="00ED7A7B" w:rsidR="002C7FB5">
        <w:t xml:space="preserve">the districts were </w:t>
      </w:r>
      <w:r w:rsidRPr="00ED7A7B">
        <w:t>legally compelled</w:t>
      </w:r>
      <w:r w:rsidRPr="00ED7A7B" w:rsidR="002C7FB5">
        <w:t xml:space="preserve"> to comply with the funding entitlement regulations</w:t>
      </w:r>
      <w:r w:rsidRPr="00ED7A7B" w:rsidR="008244A0">
        <w:t xml:space="preserve">, it declined to </w:t>
      </w:r>
      <w:r w:rsidRPr="00ED7A7B">
        <w:t>address</w:t>
      </w:r>
      <w:r w:rsidRPr="00ED7A7B" w:rsidR="008244A0">
        <w:t xml:space="preserve"> the trial court’s alternative finding that the</w:t>
      </w:r>
      <w:r w:rsidR="00591A3E">
        <w:t xml:space="preserve"> districts had failed to demonstrate they “</w:t>
      </w:r>
      <w:r w:rsidRPr="00ED7A7B">
        <w:t xml:space="preserve">faced practical compulsion based on severe and certain penalties.” </w:t>
      </w:r>
    </w:p>
    <w:p w:rsidR="00063C97" w:rsidRPr="00ED7A7B" w:rsidP="00ED7A7B" w14:paraId="160BD9AD" w14:textId="797B5241">
      <w:pPr>
        <w:pStyle w:val="Text"/>
        <w:spacing w:line="400" w:lineRule="exact"/>
        <w:ind w:firstLine="720"/>
      </w:pPr>
      <w:r w:rsidRPr="00ED7A7B">
        <w:t>The Court of Appeal went on to rule, however, that t</w:t>
      </w:r>
      <w:r w:rsidRPr="00ED7A7B" w:rsidR="00CA058D">
        <w:t>he districts were</w:t>
      </w:r>
      <w:r w:rsidRPr="00ED7A7B">
        <w:t xml:space="preserve"> not entitled to </w:t>
      </w:r>
      <w:r w:rsidRPr="00ED7A7B" w:rsidR="000D14AA">
        <w:t xml:space="preserve">reimbursement </w:t>
      </w:r>
      <w:r w:rsidRPr="00ED7A7B">
        <w:t xml:space="preserve">for many of the </w:t>
      </w:r>
      <w:r w:rsidRPr="00ED7A7B" w:rsidR="00CA058D">
        <w:t>funding</w:t>
      </w:r>
      <w:r w:rsidRPr="00ED7A7B" w:rsidR="000527B9">
        <w:t xml:space="preserve"> </w:t>
      </w:r>
      <w:r w:rsidRPr="00ED7A7B" w:rsidR="00CA058D">
        <w:t>entitlement regulations</w:t>
      </w:r>
      <w:r w:rsidRPr="00ED7A7B">
        <w:t xml:space="preserve"> because </w:t>
      </w:r>
      <w:r w:rsidRPr="00ED7A7B" w:rsidR="000527B9">
        <w:t>the</w:t>
      </w:r>
      <w:r w:rsidRPr="00ED7A7B" w:rsidR="00717D20">
        <w:t xml:space="preserve"> programs or </w:t>
      </w:r>
      <w:r w:rsidRPr="00ED7A7B" w:rsidR="00A13487">
        <w:t>services</w:t>
      </w:r>
      <w:r w:rsidRPr="00ED7A7B" w:rsidR="00717D20">
        <w:t xml:space="preserve"> described </w:t>
      </w:r>
      <w:r w:rsidRPr="00ED7A7B" w:rsidR="000D14AA">
        <w:t xml:space="preserve">within those regulations </w:t>
      </w:r>
      <w:r w:rsidRPr="00ED7A7B" w:rsidR="00CA058D">
        <w:t xml:space="preserve">were </w:t>
      </w:r>
      <w:r w:rsidRPr="00ED7A7B" w:rsidR="000527B9">
        <w:t xml:space="preserve">duplicative of requirements imposed </w:t>
      </w:r>
      <w:r w:rsidRPr="00ED7A7B" w:rsidR="00CA058D">
        <w:t>under the operating standards regulations</w:t>
      </w:r>
      <w:r w:rsidRPr="00ED7A7B" w:rsidR="000527B9">
        <w:t xml:space="preserve">, which </w:t>
      </w:r>
      <w:r w:rsidRPr="00ED7A7B" w:rsidR="00CA058D">
        <w:t xml:space="preserve">the Commission had previously found to be reimbursable.  </w:t>
      </w:r>
      <w:r w:rsidRPr="00ED7A7B" w:rsidR="00354085">
        <w:t>In total, the Court of Appeal found that only s</w:t>
      </w:r>
      <w:r w:rsidRPr="00ED7A7B" w:rsidR="000D14AA">
        <w:t xml:space="preserve">ix </w:t>
      </w:r>
      <w:r w:rsidRPr="00ED7A7B" w:rsidR="00354085">
        <w:t xml:space="preserve">of the nineteen </w:t>
      </w:r>
      <w:r w:rsidRPr="00ED7A7B" w:rsidR="00CA058D">
        <w:t>funding</w:t>
      </w:r>
      <w:r w:rsidRPr="00ED7A7B" w:rsidR="00377658">
        <w:t xml:space="preserve"> </w:t>
      </w:r>
      <w:r w:rsidRPr="00ED7A7B" w:rsidR="00CA058D">
        <w:t>entitlement regulations</w:t>
      </w:r>
      <w:r w:rsidRPr="00ED7A7B" w:rsidR="00A33245">
        <w:t xml:space="preserve"> </w:t>
      </w:r>
      <w:r w:rsidRPr="00ED7A7B" w:rsidR="000D14AA">
        <w:t>involved programs or serv</w:t>
      </w:r>
      <w:r w:rsidRPr="00ED7A7B" w:rsidR="003D630C">
        <w:t>ic</w:t>
      </w:r>
      <w:r w:rsidRPr="00ED7A7B" w:rsidR="000D14AA">
        <w:t xml:space="preserve">es that </w:t>
      </w:r>
      <w:r w:rsidRPr="00ED7A7B">
        <w:t xml:space="preserve">did not overlap with operating </w:t>
      </w:r>
      <w:r w:rsidRPr="00ED7A7B" w:rsidR="00A33245">
        <w:t>standards regulations</w:t>
      </w:r>
      <w:r w:rsidRPr="00ED7A7B" w:rsidR="00354085">
        <w:t xml:space="preserve"> or other statutory requirements the Commission had already found to be reimbursable</w:t>
      </w:r>
      <w:r w:rsidRPr="00ED7A7B" w:rsidR="00A33245">
        <w:t xml:space="preserve">.  For those </w:t>
      </w:r>
      <w:r w:rsidRPr="00ED7A7B">
        <w:t xml:space="preserve">six </w:t>
      </w:r>
      <w:r w:rsidRPr="00ED7A7B" w:rsidR="00A33245">
        <w:t>regulations, the court remanded the matter back to the Commission to evaluate w</w:t>
      </w:r>
      <w:r w:rsidRPr="00ED7A7B" w:rsidR="00377658">
        <w:t>hether</w:t>
      </w:r>
      <w:r w:rsidRPr="00ED7A7B" w:rsidR="00A33245">
        <w:t xml:space="preserve"> they imposed a new program or higher level o</w:t>
      </w:r>
      <w:r w:rsidR="00E3407C">
        <w:t>f</w:t>
      </w:r>
      <w:r w:rsidRPr="00ED7A7B" w:rsidR="00A33245">
        <w:t xml:space="preserve"> service within the meaning of the mandate law.</w:t>
      </w:r>
    </w:p>
    <w:p w:rsidR="00CA058D" w:rsidRPr="00ED7A7B" w:rsidP="00ED7A7B" w14:paraId="2D79DD5E" w14:textId="3F1A8A6B">
      <w:pPr>
        <w:pStyle w:val="Text"/>
        <w:spacing w:line="400" w:lineRule="exact"/>
        <w:ind w:firstLine="720"/>
      </w:pPr>
      <w:r w:rsidRPr="00ED7A7B">
        <w:t xml:space="preserve">The Commission and </w:t>
      </w:r>
      <w:r w:rsidRPr="00ED7A7B" w:rsidR="00AF5B8A">
        <w:t xml:space="preserve">the Department </w:t>
      </w:r>
      <w:r w:rsidRPr="00ED7A7B">
        <w:t>(collectively</w:t>
      </w:r>
      <w:r w:rsidRPr="00ED7A7B" w:rsidR="00F54B77">
        <w:t xml:space="preserve"> </w:t>
      </w:r>
      <w:r w:rsidRPr="00ED7A7B" w:rsidR="00E22432">
        <w:t>respondents</w:t>
      </w:r>
      <w:r w:rsidRPr="00ED7A7B">
        <w:t xml:space="preserve">) </w:t>
      </w:r>
      <w:r w:rsidRPr="00ED7A7B" w:rsidR="00E22432">
        <w:t xml:space="preserve">filed petitions for review challenging </w:t>
      </w:r>
      <w:r w:rsidRPr="00ED7A7B">
        <w:t>the C</w:t>
      </w:r>
      <w:r w:rsidRPr="00ED7A7B" w:rsidR="00AF5B8A">
        <w:t>ourt of Appeal</w:t>
      </w:r>
      <w:r w:rsidRPr="00ED7A7B">
        <w:t xml:space="preserve">’s </w:t>
      </w:r>
      <w:r w:rsidRPr="00ED7A7B" w:rsidR="00E22432">
        <w:t xml:space="preserve">conclusion </w:t>
      </w:r>
      <w:r w:rsidRPr="00ED7A7B" w:rsidR="00F54B77">
        <w:t>that the</w:t>
      </w:r>
      <w:r w:rsidRPr="00ED7A7B">
        <w:t xml:space="preserve"> districts were legally compelled to comply with the funding</w:t>
      </w:r>
      <w:r w:rsidRPr="00ED7A7B" w:rsidR="00F54B77">
        <w:t xml:space="preserve"> </w:t>
      </w:r>
      <w:r w:rsidRPr="00ED7A7B">
        <w:t>entitlement regulations.</w:t>
      </w:r>
      <w:r>
        <w:rPr>
          <w:rStyle w:val="FootnoteReference"/>
        </w:rPr>
        <w:footnoteReference w:id="6"/>
      </w:r>
    </w:p>
    <w:p w:rsidR="00CA058D" w:rsidRPr="00ED7A7B" w:rsidP="00ED7A7B" w14:paraId="01F4231B" w14:textId="67378A6B">
      <w:pPr>
        <w:pStyle w:val="Heading1"/>
        <w:rPr>
          <w:szCs w:val="26"/>
        </w:rPr>
      </w:pPr>
      <w:r w:rsidRPr="00ED7A7B">
        <w:t xml:space="preserve">II.  </w:t>
      </w:r>
      <w:r w:rsidRPr="00ED7A7B" w:rsidR="009238B5">
        <w:t>DISCUSSION</w:t>
      </w:r>
    </w:p>
    <w:p w:rsidR="004F7D05" w:rsidRPr="00ED7A7B" w:rsidP="00ED7A7B" w14:paraId="7AF63F08" w14:textId="6A29672A">
      <w:pPr>
        <w:pStyle w:val="Heading2"/>
        <w:numPr>
          <w:ilvl w:val="0"/>
          <w:numId w:val="5"/>
        </w:numPr>
      </w:pPr>
      <w:r w:rsidRPr="00ED7A7B">
        <w:t>Standard of Review</w:t>
      </w:r>
    </w:p>
    <w:p w:rsidR="004F7D05" w:rsidRPr="00ED7A7B" w:rsidP="00ED7A7B" w14:paraId="418DD263" w14:textId="0327E84E">
      <w:pPr>
        <w:ind w:firstLine="720"/>
      </w:pPr>
      <w:r w:rsidRPr="00ED7A7B">
        <w:t>“</w:t>
      </w:r>
      <w:r w:rsidRPr="00E3764D">
        <w:t>Courts review a decision of the Commission to determine</w:t>
      </w:r>
      <w:r w:rsidRPr="00ED7A7B">
        <w:t xml:space="preserve"> whether it is supported by substantial evidence.  </w:t>
      </w:r>
      <w:r w:rsidRPr="00ED7A7B" w:rsidR="002A0173">
        <w:t xml:space="preserve">[Citation.] </w:t>
      </w:r>
      <w:r w:rsidRPr="00ED7A7B">
        <w:t xml:space="preserve"> Ordinarily, when the scope of review in the trial court is whether the administrative decision is supported by substantial evidence, the scope of review on appeal is the same. </w:t>
      </w:r>
      <w:r w:rsidRPr="00ED7A7B" w:rsidR="00F5551E">
        <w:t xml:space="preserve"> </w:t>
      </w:r>
      <w:r w:rsidRPr="00ED7A7B" w:rsidR="002A0173">
        <w:t xml:space="preserve">[Citation.] </w:t>
      </w:r>
      <w:r w:rsidRPr="00ED7A7B">
        <w:t xml:space="preserve"> However, the appellate court independently reviews conclusions as to the meaning and effect of constitutional and statutory provisions. </w:t>
      </w:r>
      <w:r w:rsidRPr="00ED7A7B" w:rsidR="002A0173">
        <w:t xml:space="preserve"> [Citation.] </w:t>
      </w:r>
      <w:r w:rsidRPr="00ED7A7B">
        <w:t xml:space="preserve"> The question whether a statute or executive order imposes a mandate is a question of law. </w:t>
      </w:r>
      <w:r w:rsidRPr="00ED7A7B" w:rsidR="002A0173">
        <w:t xml:space="preserve"> [Citation.] </w:t>
      </w:r>
      <w:r w:rsidRPr="00ED7A7B">
        <w:t xml:space="preserve"> Thus, we review the entire record before the Commission</w:t>
      </w:r>
      <w:r w:rsidR="004C324B">
        <w:t> </w:t>
      </w:r>
      <w:r w:rsidRPr="00ED7A7B" w:rsidR="00E4273B">
        <w:t>.</w:t>
      </w:r>
      <w:r w:rsidR="004C324B">
        <w:t> </w:t>
      </w:r>
      <w:r w:rsidRPr="00ED7A7B" w:rsidR="00E4273B">
        <w:t>.</w:t>
      </w:r>
      <w:r w:rsidR="004C324B">
        <w:t> </w:t>
      </w:r>
      <w:r w:rsidRPr="00ED7A7B" w:rsidR="00E4273B">
        <w:t>.</w:t>
      </w:r>
      <w:r w:rsidR="004C324B">
        <w:t> </w:t>
      </w:r>
      <w:r w:rsidRPr="00ED7A7B">
        <w:t>and independently determine whether it supports the Commission</w:t>
      </w:r>
      <w:r w:rsidRPr="00ED7A7B" w:rsidR="00E70326">
        <w:t>’</w:t>
      </w:r>
      <w:r w:rsidRPr="00ED7A7B">
        <w:t xml:space="preserve">s conclusion that the conditions here were not </w:t>
      </w:r>
      <w:r w:rsidRPr="00ED7A7B" w:rsidR="00E70326">
        <w:t xml:space="preserve">. . . </w:t>
      </w:r>
      <w:r w:rsidRPr="00ED7A7B">
        <w:t>mandates.</w:t>
      </w:r>
      <w:r w:rsidRPr="00ED7A7B" w:rsidR="00DF4681">
        <w:t>”</w:t>
      </w:r>
      <w:r w:rsidRPr="00ED7A7B" w:rsidR="002A0173">
        <w:t xml:space="preserve">  (</w:t>
      </w:r>
      <w:r w:rsidRPr="00ED7A7B" w:rsidR="002A0173">
        <w:rPr>
          <w:i/>
          <w:iCs/>
        </w:rPr>
        <w:t xml:space="preserve">Department of Finance v. Commission on State Mandates </w:t>
      </w:r>
      <w:r w:rsidRPr="00ED7A7B" w:rsidR="002A0173">
        <w:t xml:space="preserve">(2016) 1 Cal.5th 749, 762.) </w:t>
      </w:r>
    </w:p>
    <w:p w:rsidR="00C92326" w:rsidRPr="00ED7A7B" w:rsidP="00ED7A7B" w14:paraId="6E161E9D" w14:textId="111D74A9">
      <w:pPr>
        <w:pStyle w:val="Heading2"/>
      </w:pPr>
      <w:r w:rsidRPr="00ED7A7B">
        <w:t xml:space="preserve">B.  </w:t>
      </w:r>
      <w:r w:rsidRPr="00ED7A7B" w:rsidR="002A0173">
        <w:t>Analysis</w:t>
      </w:r>
      <w:r w:rsidRPr="00ED7A7B">
        <w:t xml:space="preserve"> </w:t>
      </w:r>
    </w:p>
    <w:p w:rsidR="00C92326" w:rsidRPr="00ED7A7B" w:rsidP="00ED7A7B" w14:paraId="1216F94D" w14:textId="04BFFAB1">
      <w:pPr>
        <w:ind w:firstLine="720"/>
      </w:pPr>
      <w:r w:rsidRPr="00ED7A7B">
        <w:rPr>
          <w:szCs w:val="26"/>
        </w:rPr>
        <w:t>Respondents</w:t>
      </w:r>
      <w:r w:rsidRPr="00ED7A7B">
        <w:rPr>
          <w:szCs w:val="26"/>
        </w:rPr>
        <w:t xml:space="preserve"> argue the Court of Appeal erred in finding the districts were legally compelled to comply with the funding entitlement regulations.  They further contend that although the Court of Appeal did not reach the issue, we should </w:t>
      </w:r>
      <w:r w:rsidRPr="00ED7A7B" w:rsidR="00AB584A">
        <w:rPr>
          <w:szCs w:val="26"/>
        </w:rPr>
        <w:t xml:space="preserve">additionally </w:t>
      </w:r>
      <w:r w:rsidRPr="00ED7A7B">
        <w:rPr>
          <w:szCs w:val="26"/>
        </w:rPr>
        <w:t>find that the districts failed to establish they were practically compelled to comply with th</w:t>
      </w:r>
      <w:r w:rsidRPr="00ED7A7B" w:rsidR="00AB584A">
        <w:rPr>
          <w:szCs w:val="26"/>
        </w:rPr>
        <w:t xml:space="preserve">ose </w:t>
      </w:r>
      <w:r w:rsidRPr="00ED7A7B">
        <w:rPr>
          <w:szCs w:val="26"/>
        </w:rPr>
        <w:t>regulations</w:t>
      </w:r>
      <w:r w:rsidRPr="00ED7A7B" w:rsidR="00936012">
        <w:rPr>
          <w:szCs w:val="26"/>
        </w:rPr>
        <w:t>.</w:t>
      </w:r>
      <w:r w:rsidRPr="00ED7A7B">
        <w:tab/>
      </w:r>
    </w:p>
    <w:p w:rsidR="001E4560" w:rsidRPr="00ED7A7B" w:rsidP="00ED7A7B" w14:paraId="3C98F310" w14:textId="446ED7B9">
      <w:pPr>
        <w:pStyle w:val="Heading3"/>
      </w:pPr>
      <w:r w:rsidRPr="00ED7A7B">
        <w:t>1</w:t>
      </w:r>
      <w:r w:rsidRPr="00ED7A7B" w:rsidR="0097759B">
        <w:t>.</w:t>
      </w:r>
      <w:r w:rsidRPr="00ED7A7B" w:rsidR="0097759B">
        <w:tab/>
      </w:r>
      <w:r w:rsidRPr="00ED7A7B" w:rsidR="00B302E4">
        <w:t xml:space="preserve">Distinction </w:t>
      </w:r>
      <w:r w:rsidRPr="00ED7A7B" w:rsidR="00102779">
        <w:t>b</w:t>
      </w:r>
      <w:r w:rsidRPr="00ED7A7B" w:rsidR="00C20D68">
        <w:t xml:space="preserve">etween </w:t>
      </w:r>
      <w:r w:rsidRPr="00ED7A7B" w:rsidR="00102779">
        <w:t>l</w:t>
      </w:r>
      <w:r w:rsidRPr="00ED7A7B" w:rsidR="00C20D68">
        <w:t xml:space="preserve">egal </w:t>
      </w:r>
      <w:r w:rsidRPr="00ED7A7B" w:rsidR="00102779">
        <w:t>c</w:t>
      </w:r>
      <w:r w:rsidRPr="00ED7A7B" w:rsidR="00C20D68">
        <w:t xml:space="preserve">ompulsion and </w:t>
      </w:r>
      <w:r w:rsidRPr="00ED7A7B" w:rsidR="00102779">
        <w:t>p</w:t>
      </w:r>
      <w:r w:rsidRPr="00ED7A7B" w:rsidR="00C20D68">
        <w:t xml:space="preserve">ractical </w:t>
      </w:r>
      <w:r w:rsidRPr="00ED7A7B" w:rsidR="00102779">
        <w:t>c</w:t>
      </w:r>
      <w:r w:rsidRPr="00ED7A7B" w:rsidR="00C20D68">
        <w:t xml:space="preserve">ompulsion </w:t>
      </w:r>
      <w:r w:rsidRPr="00ED7A7B" w:rsidR="0097759B">
        <w:t xml:space="preserve"> </w:t>
      </w:r>
    </w:p>
    <w:p w:rsidR="008540C5" w:rsidRPr="00ED7A7B" w:rsidP="00ED7A7B" w14:paraId="6DC75E1E" w14:textId="070DA7C6">
      <w:pPr>
        <w:tabs>
          <w:tab w:val="left" w:pos="1440"/>
        </w:tabs>
        <w:ind w:firstLine="720"/>
      </w:pPr>
      <w:r w:rsidRPr="00ED7A7B">
        <w:t xml:space="preserve">When evaluating whether a statute or executive action compels compliance for purposes of subvention claims, </w:t>
      </w:r>
      <w:r w:rsidRPr="00ED7A7B" w:rsidR="00FD5D9E">
        <w:t>we</w:t>
      </w:r>
      <w:r w:rsidRPr="00ED7A7B">
        <w:t xml:space="preserve"> have identified two distinct theories of mandate:  </w:t>
      </w:r>
      <w:r w:rsidRPr="00ED7A7B" w:rsidR="00B302E4">
        <w:t xml:space="preserve">legal compulsion and practical compulsion.  </w:t>
      </w:r>
      <w:r w:rsidRPr="00ED7A7B" w:rsidR="000A2D98">
        <w:t>L</w:t>
      </w:r>
      <w:r w:rsidRPr="00ED7A7B" w:rsidR="0075064D">
        <w:t>egal compulsion occurs when</w:t>
      </w:r>
      <w:r w:rsidRPr="00ED7A7B" w:rsidR="002045AD">
        <w:t xml:space="preserve"> a statute or executive action uses </w:t>
      </w:r>
      <w:r w:rsidRPr="00ED7A7B" w:rsidR="00DA01EB">
        <w:t xml:space="preserve">mandatory </w:t>
      </w:r>
      <w:r w:rsidRPr="00ED7A7B" w:rsidR="002045AD">
        <w:t xml:space="preserve">language that </w:t>
      </w:r>
      <w:r w:rsidRPr="00ED7A7B" w:rsidR="00DA01EB">
        <w:t>“</w:t>
      </w:r>
      <w:r w:rsidRPr="00ED7A7B" w:rsidR="00705311">
        <w:t> </w:t>
      </w:r>
      <w:r w:rsidRPr="00ED7A7B" w:rsidR="00C40FF6">
        <w:t xml:space="preserve">‘require[s]’ or </w:t>
      </w:r>
      <w:r w:rsidRPr="00ED7A7B" w:rsidR="00D601E6">
        <w:t>‘command</w:t>
      </w:r>
      <w:r w:rsidRPr="00ED7A7B" w:rsidR="002045AD">
        <w:t>[s]</w:t>
      </w:r>
      <w:r w:rsidRPr="00ED7A7B" w:rsidR="00D601E6">
        <w:t>’</w:t>
      </w:r>
      <w:r w:rsidRPr="00ED7A7B" w:rsidR="00705311">
        <w:t> </w:t>
      </w:r>
      <w:r w:rsidRPr="00ED7A7B" w:rsidR="00DA01EB">
        <w:t>”</w:t>
      </w:r>
      <w:r w:rsidRPr="00ED7A7B" w:rsidR="00D601E6">
        <w:t xml:space="preserve"> </w:t>
      </w:r>
      <w:r w:rsidRPr="00ED7A7B" w:rsidR="002045AD">
        <w:t>a local entity to participate in a program or service.</w:t>
      </w:r>
      <w:r w:rsidRPr="00ED7A7B" w:rsidR="00D8730B">
        <w:t xml:space="preserve">  (</w:t>
      </w:r>
      <w:r w:rsidRPr="00ED7A7B" w:rsidR="00D8730B">
        <w:rPr>
          <w:i/>
          <w:iCs/>
        </w:rPr>
        <w:t>Kern</w:t>
      </w:r>
      <w:r w:rsidRPr="00ED7A7B" w:rsidR="00D8730B">
        <w:t>,</w:t>
      </w:r>
      <w:r w:rsidRPr="00ED7A7B" w:rsidR="00C964B2">
        <w:t xml:space="preserve"> </w:t>
      </w:r>
      <w:r w:rsidRPr="00ED7A7B" w:rsidR="00C964B2">
        <w:rPr>
          <w:i/>
          <w:iCs/>
        </w:rPr>
        <w:t>supra</w:t>
      </w:r>
      <w:r w:rsidRPr="00ED7A7B" w:rsidR="00C964B2">
        <w:t>,</w:t>
      </w:r>
      <w:r w:rsidRPr="00ED7A7B" w:rsidR="00D8730B">
        <w:t xml:space="preserve"> </w:t>
      </w:r>
      <w:r w:rsidRPr="00ED7A7B" w:rsidR="00C964B2">
        <w:t>30</w:t>
      </w:r>
      <w:r w:rsidRPr="00ED7A7B" w:rsidR="00350445">
        <w:t> </w:t>
      </w:r>
      <w:r w:rsidRPr="00ED7A7B" w:rsidR="00C964B2">
        <w:t>Cal.4th at p.</w:t>
      </w:r>
      <w:r w:rsidRPr="00ED7A7B" w:rsidR="00350445">
        <w:t> </w:t>
      </w:r>
      <w:r w:rsidRPr="00ED7A7B" w:rsidR="00D8730B">
        <w:t>741; see</w:t>
      </w:r>
      <w:r w:rsidRPr="00ED7A7B" w:rsidR="002045AD">
        <w:t xml:space="preserve"> </w:t>
      </w:r>
      <w:bookmarkStart w:id="13" w:name="_Hlk97303508"/>
      <w:r w:rsidRPr="00ED7A7B" w:rsidR="00825CD7">
        <w:rPr>
          <w:i/>
          <w:iCs/>
        </w:rPr>
        <w:t>Long Beach Unified Sch. Dist. v. State of California</w:t>
      </w:r>
      <w:r w:rsidRPr="00ED7A7B" w:rsidR="00825CD7">
        <w:t xml:space="preserve"> (1990) 225</w:t>
      </w:r>
      <w:r w:rsidRPr="00ED7A7B" w:rsidR="00350445">
        <w:t> </w:t>
      </w:r>
      <w:r w:rsidRPr="00ED7A7B" w:rsidR="00825CD7">
        <w:t xml:space="preserve">Cal.App.3d 155, 174 </w:t>
      </w:r>
      <w:bookmarkEnd w:id="13"/>
      <w:r w:rsidRPr="00ED7A7B" w:rsidR="00825CD7">
        <w:t xml:space="preserve">[construing the term “mandates” </w:t>
      </w:r>
      <w:r w:rsidRPr="00ED7A7B" w:rsidR="00AB584A">
        <w:t>in</w:t>
      </w:r>
      <w:r w:rsidRPr="00ED7A7B" w:rsidR="00825CD7">
        <w:t xml:space="preserve"> art. XIII B, § 6</w:t>
      </w:r>
      <w:r w:rsidRPr="00ED7A7B" w:rsidR="000A2D98">
        <w:t xml:space="preserve"> to mean </w:t>
      </w:r>
      <w:r w:rsidRPr="00ED7A7B" w:rsidR="00825CD7">
        <w:t>“</w:t>
      </w:r>
      <w:r w:rsidRPr="00ED7A7B" w:rsidR="00705311">
        <w:t> </w:t>
      </w:r>
      <w:r w:rsidRPr="00ED7A7B" w:rsidR="00825CD7">
        <w:t>‘orders’ or ‘commands’</w:t>
      </w:r>
      <w:r w:rsidRPr="00ED7A7B" w:rsidR="00705311">
        <w:t> </w:t>
      </w:r>
      <w:r w:rsidRPr="00ED7A7B" w:rsidR="00825CD7">
        <w:t>”].)</w:t>
      </w:r>
      <w:r w:rsidRPr="00ED7A7B" w:rsidR="001F2E0B">
        <w:t xml:space="preserve">  </w:t>
      </w:r>
      <w:r w:rsidRPr="00ED7A7B" w:rsidR="0027314F">
        <w:t xml:space="preserve">Stated differently, </w:t>
      </w:r>
      <w:r w:rsidRPr="00ED7A7B" w:rsidR="00D855E5">
        <w:t xml:space="preserve">legal compulsion is present when the local entity has a </w:t>
      </w:r>
      <w:r w:rsidRPr="00ED7A7B" w:rsidR="0027314F">
        <w:t xml:space="preserve">mandatory, </w:t>
      </w:r>
      <w:r w:rsidRPr="00ED7A7B" w:rsidR="00D855E5">
        <w:t>legally enforceable duty to obey.  This</w:t>
      </w:r>
      <w:r w:rsidRPr="00ED7A7B" w:rsidR="001120DD">
        <w:t xml:space="preserve"> </w:t>
      </w:r>
      <w:r w:rsidRPr="00ED7A7B" w:rsidR="00B2587C">
        <w:t>standard</w:t>
      </w:r>
      <w:r w:rsidRPr="00ED7A7B" w:rsidR="00371E0A">
        <w:t xml:space="preserve"> is</w:t>
      </w:r>
      <w:r w:rsidRPr="00ED7A7B" w:rsidR="00F2339B">
        <w:t xml:space="preserve"> similar</w:t>
      </w:r>
      <w:r w:rsidRPr="00ED7A7B" w:rsidR="008C117A">
        <w:rPr>
          <w:b/>
          <w:bCs/>
        </w:rPr>
        <w:t xml:space="preserve"> </w:t>
      </w:r>
      <w:bookmarkStart w:id="14" w:name="_Hlk107947496"/>
      <w:r w:rsidRPr="00ED7A7B" w:rsidR="00371E0A">
        <w:t xml:space="preserve">to </w:t>
      </w:r>
      <w:r w:rsidRPr="00ED7A7B">
        <w:t xml:space="preserve">the showing necessary to </w:t>
      </w:r>
      <w:r w:rsidRPr="00ED7A7B" w:rsidR="00371E0A">
        <w:t xml:space="preserve">obtain a </w:t>
      </w:r>
      <w:r w:rsidRPr="00ED7A7B" w:rsidR="002F1145">
        <w:t>traditional writ of mandate,</w:t>
      </w:r>
      <w:bookmarkEnd w:id="14"/>
      <w:r w:rsidRPr="00ED7A7B" w:rsidR="002F1145">
        <w:t xml:space="preserve"> which requires </w:t>
      </w:r>
      <w:r w:rsidRPr="00ED7A7B" w:rsidR="0027314F">
        <w:t xml:space="preserve">the petitioning party </w:t>
      </w:r>
      <w:r w:rsidRPr="00ED7A7B" w:rsidR="002F1145">
        <w:t xml:space="preserve">to </w:t>
      </w:r>
      <w:r w:rsidRPr="00ED7A7B" w:rsidR="00114B4A">
        <w:t>establish</w:t>
      </w:r>
      <w:r w:rsidRPr="00ED7A7B" w:rsidR="0027314F">
        <w:t xml:space="preserve"> the</w:t>
      </w:r>
      <w:r w:rsidRPr="00ED7A7B" w:rsidR="00DF4681">
        <w:t xml:space="preserve"> </w:t>
      </w:r>
      <w:r w:rsidRPr="00ED7A7B" w:rsidR="0027314F">
        <w:t>respondent</w:t>
      </w:r>
      <w:r w:rsidRPr="00ED7A7B" w:rsidR="002F1145">
        <w:t xml:space="preserve"> </w:t>
      </w:r>
      <w:r w:rsidRPr="00ED7A7B" w:rsidR="0027314F">
        <w:t xml:space="preserve">has </w:t>
      </w:r>
      <w:r w:rsidRPr="00ED7A7B" w:rsidR="002F1145">
        <w:t>“a clear, present, and usually ministerial duty to act.</w:t>
      </w:r>
      <w:r w:rsidRPr="00ED7A7B" w:rsidR="00114B4A">
        <w:t> </w:t>
      </w:r>
      <w:r w:rsidRPr="00ED7A7B" w:rsidR="002F1145">
        <w:t>.</w:t>
      </w:r>
      <w:r w:rsidRPr="00ED7A7B" w:rsidR="00114B4A">
        <w:t xml:space="preserve"> . .  </w:t>
      </w:r>
      <w:r w:rsidRPr="00ED7A7B" w:rsidR="00DE000B">
        <w:t xml:space="preserve">Mandate will not issue if the duty is </w:t>
      </w:r>
      <w:r w:rsidRPr="00ED7A7B" w:rsidR="006C258B">
        <w:t xml:space="preserve">. . . </w:t>
      </w:r>
      <w:r w:rsidRPr="00ED7A7B" w:rsidR="00DE000B">
        <w:t xml:space="preserve">mixed with discretionary power.” </w:t>
      </w:r>
      <w:r w:rsidRPr="00ED7A7B" w:rsidR="002F1145">
        <w:t xml:space="preserve"> (</w:t>
      </w:r>
      <w:r w:rsidRPr="00ED7A7B" w:rsidR="002F1145">
        <w:rPr>
          <w:i/>
          <w:iCs/>
        </w:rPr>
        <w:t>Los Angeles County Prof. Peace Officers</w:t>
      </w:r>
      <w:r w:rsidRPr="00ED7A7B" w:rsidR="001120DD">
        <w:rPr>
          <w:i/>
          <w:iCs/>
        </w:rPr>
        <w:t>’</w:t>
      </w:r>
      <w:r w:rsidRPr="00ED7A7B" w:rsidR="002F1145">
        <w:rPr>
          <w:i/>
          <w:iCs/>
        </w:rPr>
        <w:t xml:space="preserve"> Assn. v. County of Los Angeles (</w:t>
      </w:r>
      <w:r w:rsidRPr="00ED7A7B" w:rsidR="002F1145">
        <w:t>2004) 115 Cal.App.4th 866, 869</w:t>
      </w:r>
      <w:r w:rsidRPr="00ED7A7B" w:rsidR="00DE000B">
        <w:t xml:space="preserve">.)  </w:t>
      </w:r>
      <w:r w:rsidRPr="00ED7A7B" w:rsidR="008175C9">
        <w:t xml:space="preserve"> </w:t>
      </w:r>
    </w:p>
    <w:p w:rsidR="00AB584A" w:rsidRPr="00ED7A7B" w:rsidP="00ED7A7B" w14:paraId="61D235C4" w14:textId="145948A6">
      <w:pPr>
        <w:tabs>
          <w:tab w:val="left" w:pos="1440"/>
        </w:tabs>
        <w:ind w:firstLine="720"/>
      </w:pPr>
      <w:r w:rsidRPr="00ED7A7B">
        <w:t>Thus,</w:t>
      </w:r>
      <w:r w:rsidRPr="00ED7A7B" w:rsidR="00167571">
        <w:t xml:space="preserve"> as a general matter, </w:t>
      </w:r>
      <w:r w:rsidRPr="00ED7A7B">
        <w:t>a local entit</w:t>
      </w:r>
      <w:r w:rsidRPr="00ED7A7B" w:rsidR="00F4610B">
        <w:t xml:space="preserve">y’s </w:t>
      </w:r>
      <w:r w:rsidRPr="00ED7A7B" w:rsidR="00167571">
        <w:t xml:space="preserve">voluntary or </w:t>
      </w:r>
      <w:r w:rsidRPr="00ED7A7B" w:rsidR="00F4610B">
        <w:t>discretionary decision to undertake an activity cannot be said to be legally compelled, even if that decision results in certain mandatory actions.</w:t>
      </w:r>
      <w:r w:rsidRPr="00ED7A7B" w:rsidR="00B2587C">
        <w:t xml:space="preserve"> </w:t>
      </w:r>
      <w:r w:rsidRPr="00ED7A7B" w:rsidR="00F4610B">
        <w:t xml:space="preserve"> </w:t>
      </w:r>
      <w:bookmarkStart w:id="15" w:name="_Hlk106020820"/>
      <w:r w:rsidRPr="00ED7A7B" w:rsidR="00F4610B">
        <w:t xml:space="preserve">In </w:t>
      </w:r>
      <w:r w:rsidRPr="00ED7A7B" w:rsidR="00F4610B">
        <w:rPr>
          <w:i/>
          <w:iCs/>
        </w:rPr>
        <w:t>Kern</w:t>
      </w:r>
      <w:r w:rsidRPr="00ED7A7B" w:rsidR="00F4610B">
        <w:t>,</w:t>
      </w:r>
      <w:r w:rsidRPr="00ED7A7B" w:rsidR="000A2D98">
        <w:t xml:space="preserve"> </w:t>
      </w:r>
      <w:r w:rsidRPr="00ED7A7B" w:rsidR="000A2D98">
        <w:rPr>
          <w:i/>
          <w:iCs/>
        </w:rPr>
        <w:t>supra</w:t>
      </w:r>
      <w:r w:rsidRPr="00ED7A7B" w:rsidR="000A2D98">
        <w:t>, 30</w:t>
      </w:r>
      <w:r w:rsidRPr="00ED7A7B" w:rsidR="00350445">
        <w:t> </w:t>
      </w:r>
      <w:r w:rsidRPr="00ED7A7B" w:rsidR="000A2D98">
        <w:t xml:space="preserve">Cal.4th 727, </w:t>
      </w:r>
      <w:r w:rsidRPr="00ED7A7B" w:rsidR="00F4610B">
        <w:t xml:space="preserve">for example, we </w:t>
      </w:r>
      <w:r w:rsidRPr="00ED7A7B" w:rsidR="002F07F9">
        <w:t>held</w:t>
      </w:r>
      <w:r w:rsidRPr="00ED7A7B" w:rsidR="00F4610B">
        <w:t xml:space="preserve"> </w:t>
      </w:r>
      <w:r w:rsidRPr="00ED7A7B" w:rsidR="002F07F9">
        <w:t>that</w:t>
      </w:r>
      <w:r w:rsidRPr="00ED7A7B" w:rsidR="00F4610B">
        <w:t xml:space="preserve"> school districts were</w:t>
      </w:r>
      <w:r w:rsidRPr="00ED7A7B" w:rsidR="002F07F9">
        <w:t xml:space="preserve"> not</w:t>
      </w:r>
      <w:r w:rsidRPr="00ED7A7B" w:rsidR="00F4610B">
        <w:t xml:space="preserve"> entitled to </w:t>
      </w:r>
      <w:r w:rsidRPr="00ED7A7B" w:rsidR="001B3A4D">
        <w:t>reimbursement for</w:t>
      </w:r>
      <w:r w:rsidRPr="00ED7A7B" w:rsidR="00B307AA">
        <w:t xml:space="preserve"> </w:t>
      </w:r>
      <w:r w:rsidRPr="00ED7A7B" w:rsidR="0076549C">
        <w:t xml:space="preserve">costs associated with </w:t>
      </w:r>
      <w:r w:rsidRPr="00ED7A7B" w:rsidR="001B3A4D">
        <w:t xml:space="preserve">a law </w:t>
      </w:r>
      <w:r w:rsidRPr="00ED7A7B" w:rsidR="002F07F9">
        <w:t>that</w:t>
      </w:r>
      <w:r w:rsidRPr="00ED7A7B" w:rsidR="0076549C">
        <w:t xml:space="preserve"> imposed new requirements related to the administration of </w:t>
      </w:r>
      <w:r w:rsidRPr="00ED7A7B" w:rsidR="00B307AA">
        <w:t>certain voluntary</w:t>
      </w:r>
      <w:r w:rsidRPr="00ED7A7B" w:rsidR="001B3A4D">
        <w:t>, state-funded educational programs.</w:t>
      </w:r>
      <w:r w:rsidRPr="00ED7A7B" w:rsidR="00B26682">
        <w:t xml:space="preserve">  </w:t>
      </w:r>
      <w:r w:rsidRPr="00ED7A7B" w:rsidR="002F07F9">
        <w:t xml:space="preserve">Under the original statutes </w:t>
      </w:r>
      <w:r w:rsidRPr="00ED7A7B" w:rsidR="007A35DC">
        <w:t>governing</w:t>
      </w:r>
      <w:r w:rsidRPr="00ED7A7B" w:rsidR="002F07F9">
        <w:t xml:space="preserve"> these </w:t>
      </w:r>
      <w:r w:rsidRPr="00ED7A7B">
        <w:t>voluntary educational</w:t>
      </w:r>
      <w:r w:rsidRPr="00ED7A7B" w:rsidR="002F07F9">
        <w:t xml:space="preserve"> programs, “participating school districts [we]re granted state or federal funds to operate the program, and [we</w:t>
      </w:r>
      <w:bookmarkEnd w:id="15"/>
      <w:r w:rsidRPr="00ED7A7B" w:rsidR="002F07F9">
        <w:t>]re required to establish</w:t>
      </w:r>
      <w:r w:rsidRPr="00ED7A7B" w:rsidR="00875FC4">
        <w:t> </w:t>
      </w:r>
      <w:r w:rsidRPr="00ED7A7B" w:rsidR="002F07F9">
        <w:t>.</w:t>
      </w:r>
      <w:r w:rsidRPr="00ED7A7B" w:rsidR="00875FC4">
        <w:t> </w:t>
      </w:r>
      <w:r w:rsidRPr="00ED7A7B" w:rsidR="002F07F9">
        <w:t>.</w:t>
      </w:r>
      <w:r w:rsidRPr="00ED7A7B" w:rsidR="00875FC4">
        <w:t> </w:t>
      </w:r>
      <w:r w:rsidRPr="00ED7A7B" w:rsidR="002F07F9">
        <w:t>.</w:t>
      </w:r>
      <w:r w:rsidRPr="00ED7A7B" w:rsidR="00875FC4">
        <w:t> </w:t>
      </w:r>
      <w:r w:rsidRPr="00ED7A7B" w:rsidR="002F07F9">
        <w:t>advisory committees [to]</w:t>
      </w:r>
      <w:r w:rsidRPr="00ED7A7B" w:rsidR="00875FC4">
        <w:t> </w:t>
      </w:r>
      <w:r w:rsidRPr="00ED7A7B" w:rsidR="002F07F9">
        <w:t>.</w:t>
      </w:r>
      <w:r w:rsidRPr="00ED7A7B" w:rsidR="00875FC4">
        <w:t> </w:t>
      </w:r>
      <w:r w:rsidRPr="00ED7A7B" w:rsidR="002F07F9">
        <w:t>.</w:t>
      </w:r>
      <w:r w:rsidRPr="00ED7A7B" w:rsidR="00875FC4">
        <w:t> </w:t>
      </w:r>
      <w:r w:rsidRPr="00ED7A7B" w:rsidR="002F07F9">
        <w:t>.</w:t>
      </w:r>
      <w:r w:rsidRPr="00ED7A7B" w:rsidR="00875FC4">
        <w:t> </w:t>
      </w:r>
      <w:r w:rsidRPr="00ED7A7B" w:rsidR="002F07F9">
        <w:t>administer the program.”  (</w:t>
      </w:r>
      <w:r w:rsidRPr="00ED7A7B" w:rsidR="002F07F9">
        <w:rPr>
          <w:i/>
          <w:iCs/>
        </w:rPr>
        <w:t>Id</w:t>
      </w:r>
      <w:r w:rsidRPr="00ED7A7B" w:rsidR="002F07F9">
        <w:t>. at p.</w:t>
      </w:r>
      <w:r w:rsidRPr="00ED7A7B" w:rsidR="00350445">
        <w:t> </w:t>
      </w:r>
      <w:r w:rsidRPr="00ED7A7B" w:rsidR="002F07F9">
        <w:t xml:space="preserve">732.)  </w:t>
      </w:r>
      <w:r w:rsidRPr="00ED7A7B">
        <w:t xml:space="preserve">The new </w:t>
      </w:r>
      <w:r w:rsidRPr="00ED7A7B" w:rsidR="002F07F9">
        <w:t xml:space="preserve">law required participating districts </w:t>
      </w:r>
      <w:r w:rsidRPr="00ED7A7B" w:rsidR="00B307AA">
        <w:t xml:space="preserve">to </w:t>
      </w:r>
      <w:r w:rsidRPr="00ED7A7B" w:rsidR="003D6622">
        <w:t xml:space="preserve">make those </w:t>
      </w:r>
      <w:r w:rsidRPr="00ED7A7B" w:rsidR="002F07F9">
        <w:t>advisory committee</w:t>
      </w:r>
      <w:r w:rsidRPr="00ED7A7B" w:rsidR="003D6622">
        <w:t xml:space="preserve"> meeting</w:t>
      </w:r>
      <w:r w:rsidRPr="00ED7A7B" w:rsidR="000A2D98">
        <w:t>s</w:t>
      </w:r>
      <w:r w:rsidRPr="00ED7A7B" w:rsidR="002F07F9">
        <w:t xml:space="preserve"> open to the public</w:t>
      </w:r>
      <w:r w:rsidRPr="00ED7A7B" w:rsidR="000A2D98">
        <w:t xml:space="preserve"> and provide the public</w:t>
      </w:r>
      <w:r w:rsidRPr="00ED7A7B" w:rsidR="003D6622">
        <w:t xml:space="preserve"> notice </w:t>
      </w:r>
      <w:r w:rsidRPr="00ED7A7B" w:rsidR="002F07F9">
        <w:t xml:space="preserve">of the meetings and post meeting agendas. </w:t>
      </w:r>
    </w:p>
    <w:p w:rsidR="00C9401E" w:rsidRPr="00ED7A7B" w:rsidP="00ED7A7B" w14:paraId="1036BEBE" w14:textId="6EEE9DA6">
      <w:pPr>
        <w:tabs>
          <w:tab w:val="left" w:pos="1440"/>
        </w:tabs>
        <w:ind w:firstLine="720"/>
      </w:pPr>
      <w:r w:rsidRPr="00ED7A7B">
        <w:t>In rejecting the districts’</w:t>
      </w:r>
      <w:r w:rsidRPr="00ED7A7B" w:rsidR="00B307AA">
        <w:t xml:space="preserve"> reimbursement claim</w:t>
      </w:r>
      <w:r w:rsidRPr="00ED7A7B" w:rsidR="00AB584A">
        <w:t xml:space="preserve"> for those new open meeting requirements</w:t>
      </w:r>
      <w:r w:rsidRPr="00ED7A7B" w:rsidR="00B307AA">
        <w:t xml:space="preserve">, we explained </w:t>
      </w:r>
      <w:r w:rsidRPr="00ED7A7B">
        <w:t>that because the “notice and agenda provisions [were merely] mandatory elements of [voluntary] programs” (</w:t>
      </w:r>
      <w:r w:rsidRPr="00ED7A7B">
        <w:rPr>
          <w:i/>
          <w:iCs/>
        </w:rPr>
        <w:t>Kern, supra</w:t>
      </w:r>
      <w:r w:rsidRPr="00ED7A7B">
        <w:t>, 30</w:t>
      </w:r>
      <w:r w:rsidRPr="00ED7A7B" w:rsidR="00350445">
        <w:t> </w:t>
      </w:r>
      <w:r w:rsidRPr="00ED7A7B">
        <w:t>Cal.4th at p.</w:t>
      </w:r>
      <w:r w:rsidRPr="00ED7A7B" w:rsidR="00350445">
        <w:t> </w:t>
      </w:r>
      <w:r w:rsidRPr="00ED7A7B">
        <w:t xml:space="preserve">731), the districts were not legally compelled to comply with those provisions. </w:t>
      </w:r>
      <w:r w:rsidRPr="00ED7A7B" w:rsidR="009F679A">
        <w:t xml:space="preserve"> </w:t>
      </w:r>
      <w:r w:rsidRPr="00ED7A7B" w:rsidR="0076549C">
        <w:t xml:space="preserve">(See </w:t>
      </w:r>
      <w:r w:rsidRPr="00ED7A7B" w:rsidR="0076549C">
        <w:rPr>
          <w:i/>
          <w:iCs/>
        </w:rPr>
        <w:t>id</w:t>
      </w:r>
      <w:r w:rsidRPr="00ED7A7B" w:rsidR="0076549C">
        <w:t>. at p.</w:t>
      </w:r>
      <w:r w:rsidRPr="00ED7A7B" w:rsidR="00350445">
        <w:t> </w:t>
      </w:r>
      <w:r w:rsidRPr="00ED7A7B" w:rsidR="0076549C">
        <w:t>742 [“activities undertaken at the option or discretion of a local government entity</w:t>
      </w:r>
      <w:r w:rsidRPr="00ED7A7B" w:rsidR="00875FC4">
        <w:t> </w:t>
      </w:r>
      <w:r w:rsidRPr="00ED7A7B" w:rsidR="0076549C">
        <w:t>.</w:t>
      </w:r>
      <w:r w:rsidRPr="00ED7A7B" w:rsidR="00875FC4">
        <w:t> </w:t>
      </w:r>
      <w:r w:rsidRPr="00ED7A7B" w:rsidR="0076549C">
        <w:t>.</w:t>
      </w:r>
      <w:r w:rsidRPr="00ED7A7B" w:rsidR="00875FC4">
        <w:t> </w:t>
      </w:r>
      <w:r w:rsidRPr="00ED7A7B" w:rsidR="0076549C">
        <w:t>.</w:t>
      </w:r>
      <w:r w:rsidRPr="00ED7A7B" w:rsidR="00875FC4">
        <w:t> </w:t>
      </w:r>
      <w:r w:rsidRPr="00ED7A7B" w:rsidR="0076549C">
        <w:t>do not trigger a state mandate and hence do not require reimbursement of funds</w:t>
      </w:r>
      <w:r w:rsidRPr="00ED7A7B" w:rsidR="0075507C">
        <w:t> </w:t>
      </w:r>
      <w:r w:rsidRPr="00ED7A7B" w:rsidR="0076549C">
        <w:t>—</w:t>
      </w:r>
      <w:r w:rsidR="00F5360D">
        <w:t xml:space="preserve"> </w:t>
      </w:r>
      <w:r w:rsidRPr="00ED7A7B" w:rsidR="0076549C">
        <w:t>even if the local entity is obliged to incur costs as a result of its discretionary decision to participate in a particular program or practice”]</w:t>
      </w:r>
      <w:r w:rsidRPr="00ED7A7B" w:rsidR="00A16C1F">
        <w:t xml:space="preserve">; </w:t>
      </w:r>
      <w:bookmarkStart w:id="16" w:name="_Hlk107946933"/>
      <w:r w:rsidRPr="00ED7A7B" w:rsidR="00A16C1F">
        <w:t xml:space="preserve">but see </w:t>
      </w:r>
      <w:r w:rsidRPr="00ED7A7B" w:rsidR="00A16C1F">
        <w:rPr>
          <w:i/>
          <w:iCs/>
        </w:rPr>
        <w:t>San Diego Unified School Dist. v. Commission on State Mandates</w:t>
      </w:r>
      <w:r w:rsidRPr="00ED7A7B" w:rsidR="00A16C1F">
        <w:t xml:space="preserve"> (2004) 33 Cal.4th 859, 887 [declining to adopt a bright-line rule precluding reimbursement “whenever an entity makes an initial discretionary decision that in turn triggers mandated costs”]</w:t>
      </w:r>
      <w:r w:rsidRPr="00ED7A7B" w:rsidR="0076549C">
        <w:t>.)</w:t>
      </w:r>
    </w:p>
    <w:bookmarkEnd w:id="16"/>
    <w:p w:rsidR="001C5D45" w:rsidRPr="0059219B" w:rsidP="00ED7A7B" w14:paraId="7A20DFEF" w14:textId="76210ED7">
      <w:pPr>
        <w:tabs>
          <w:tab w:val="left" w:pos="1440"/>
        </w:tabs>
        <w:ind w:firstLine="720"/>
      </w:pPr>
      <w:r w:rsidRPr="00ED7A7B">
        <w:rPr>
          <w:i/>
          <w:iCs/>
        </w:rPr>
        <w:t>Kern</w:t>
      </w:r>
      <w:r w:rsidRPr="00ED7A7B">
        <w:t xml:space="preserve"> also </w:t>
      </w:r>
      <w:r w:rsidRPr="00ED7A7B" w:rsidR="0075507C">
        <w:t xml:space="preserve">discussed </w:t>
      </w:r>
      <w:r w:rsidRPr="00ED7A7B">
        <w:t xml:space="preserve">the concept of </w:t>
      </w:r>
      <w:r w:rsidRPr="00ED7A7B" w:rsidR="006F38D0">
        <w:t>“</w:t>
      </w:r>
      <w:r w:rsidRPr="00ED7A7B">
        <w:t>practical compulsion</w:t>
      </w:r>
      <w:r w:rsidRPr="00ED7A7B" w:rsidR="00BC549F">
        <w:t>,</w:t>
      </w:r>
      <w:r w:rsidRPr="00ED7A7B" w:rsidR="006F38D0">
        <w:t>”</w:t>
      </w:r>
      <w:r w:rsidRPr="00ED7A7B" w:rsidR="00BC549F">
        <w:t xml:space="preserve"> a theory of mandate that</w:t>
      </w:r>
      <w:r w:rsidRPr="00ED7A7B" w:rsidR="00F97CA0">
        <w:t xml:space="preserve"> arises when</w:t>
      </w:r>
      <w:r w:rsidRPr="00ED7A7B" w:rsidR="008A095F">
        <w:t xml:space="preserve"> a statutory scheme does not </w:t>
      </w:r>
      <w:r w:rsidRPr="00ED7A7B" w:rsidR="007C243D">
        <w:t xml:space="preserve">command a local entity to </w:t>
      </w:r>
      <w:r w:rsidRPr="00ED7A7B" w:rsidR="00D14D55">
        <w:t>engage in conduct</w:t>
      </w:r>
      <w:r w:rsidRPr="00ED7A7B" w:rsidR="007C243D">
        <w:t xml:space="preserve">, </w:t>
      </w:r>
      <w:r w:rsidRPr="00ED7A7B" w:rsidR="008A095F">
        <w:t>but rather</w:t>
      </w:r>
      <w:r w:rsidRPr="00ED7A7B" w:rsidR="00D14D55">
        <w:t xml:space="preserve"> induces compliance through the imposition of severe consequences that </w:t>
      </w:r>
      <w:r w:rsidRPr="00ED7A7B" w:rsidR="00F97CA0">
        <w:t xml:space="preserve">leave the local </w:t>
      </w:r>
      <w:r w:rsidRPr="00ED7A7B" w:rsidR="007C243D">
        <w:t xml:space="preserve">entity </w:t>
      </w:r>
      <w:r w:rsidRPr="00ED7A7B" w:rsidR="00F97CA0">
        <w:t xml:space="preserve">no </w:t>
      </w:r>
      <w:r w:rsidRPr="00ED7A7B" w:rsidR="008528BD">
        <w:t xml:space="preserve">reasonable alternative </w:t>
      </w:r>
      <w:r w:rsidRPr="00ED7A7B" w:rsidR="00F97CA0">
        <w:t>but to comply.</w:t>
      </w:r>
      <w:r w:rsidRPr="00ED7A7B" w:rsidR="008A095F">
        <w:t xml:space="preserve"> </w:t>
      </w:r>
      <w:r w:rsidRPr="00ED7A7B" w:rsidR="00D14D55">
        <w:t xml:space="preserve"> (See </w:t>
      </w:r>
      <w:r w:rsidRPr="00ED7A7B" w:rsidR="00D14D55">
        <w:rPr>
          <w:i/>
          <w:iCs/>
        </w:rPr>
        <w:t>Kern, supra</w:t>
      </w:r>
      <w:r w:rsidRPr="00ED7A7B" w:rsidR="00D14D55">
        <w:t xml:space="preserve">, </w:t>
      </w:r>
      <w:r w:rsidRPr="00ED7A7B" w:rsidR="008528BD">
        <w:t>30</w:t>
      </w:r>
      <w:r w:rsidRPr="00ED7A7B" w:rsidR="00350445">
        <w:t> </w:t>
      </w:r>
      <w:r w:rsidRPr="00ED7A7B" w:rsidR="008528BD">
        <w:t xml:space="preserve">Cal.4th </w:t>
      </w:r>
      <w:r w:rsidRPr="00ED7A7B" w:rsidR="00D14D55">
        <w:t>a</w:t>
      </w:r>
      <w:r w:rsidRPr="00ED7A7B" w:rsidR="00C9401E">
        <w:t>t pp.</w:t>
      </w:r>
      <w:r w:rsidRPr="00ED7A7B" w:rsidR="00350445">
        <w:t> </w:t>
      </w:r>
      <w:r w:rsidRPr="00ED7A7B" w:rsidR="00C9401E">
        <w:t>748–752.)</w:t>
      </w:r>
      <w:r w:rsidRPr="00ED7A7B" w:rsidR="00A66B1F">
        <w:t xml:space="preserve"> </w:t>
      </w:r>
      <w:r w:rsidRPr="00ED7A7B" w:rsidR="008528BD">
        <w:t xml:space="preserve"> </w:t>
      </w:r>
      <w:r w:rsidRPr="00ED7A7B" w:rsidR="00643531">
        <w:t xml:space="preserve">Relying on our decision in </w:t>
      </w:r>
      <w:r w:rsidRPr="00ED7A7B" w:rsidR="00643531">
        <w:rPr>
          <w:i/>
          <w:iCs/>
        </w:rPr>
        <w:t>City of Sacramento</w:t>
      </w:r>
      <w:r w:rsidRPr="00ED7A7B" w:rsidR="00093C3C">
        <w:rPr>
          <w:i/>
          <w:iCs/>
        </w:rPr>
        <w:t xml:space="preserve">, supra, </w:t>
      </w:r>
      <w:r w:rsidRPr="00ED7A7B" w:rsidR="00643531">
        <w:t>50</w:t>
      </w:r>
      <w:r w:rsidRPr="00ED7A7B" w:rsidR="00350445">
        <w:t> </w:t>
      </w:r>
      <w:r w:rsidRPr="00ED7A7B" w:rsidR="00643531">
        <w:t>Cal.3d 51, t</w:t>
      </w:r>
      <w:r w:rsidRPr="00ED7A7B" w:rsidR="008A5444">
        <w:t>he c</w:t>
      </w:r>
      <w:r w:rsidRPr="00ED7A7B" w:rsidR="004D3AB8">
        <w:t xml:space="preserve">laimants in </w:t>
      </w:r>
      <w:r w:rsidRPr="00ED7A7B" w:rsidR="004D3AB8">
        <w:rPr>
          <w:i/>
          <w:iCs/>
        </w:rPr>
        <w:t>Kern</w:t>
      </w:r>
      <w:r w:rsidRPr="00ED7A7B" w:rsidR="004D3AB8">
        <w:t xml:space="preserve"> argued that we</w:t>
      </w:r>
      <w:r w:rsidRPr="00ED7A7B" w:rsidR="00AE363D">
        <w:t xml:space="preserve"> should construe </w:t>
      </w:r>
      <w:r w:rsidRPr="00ED7A7B" w:rsidR="001D3AB3">
        <w:t xml:space="preserve">section’s 6’s </w:t>
      </w:r>
      <w:r w:rsidRPr="00ED7A7B" w:rsidR="00AE363D">
        <w:t>mandate provision</w:t>
      </w:r>
      <w:r w:rsidRPr="00ED7A7B" w:rsidR="001D3AB3">
        <w:t xml:space="preserve"> (see Cal. Const., art. XIII B, § 6)</w:t>
      </w:r>
      <w:r w:rsidRPr="00ED7A7B" w:rsidR="00AE363D">
        <w:t xml:space="preserve"> to encompass</w:t>
      </w:r>
      <w:r w:rsidRPr="00ED7A7B" w:rsidR="00643531">
        <w:t xml:space="preserve"> both legal and</w:t>
      </w:r>
      <w:r w:rsidRPr="00ED7A7B" w:rsidR="00AE363D">
        <w:t xml:space="preserve"> practical compulsion</w:t>
      </w:r>
      <w:r w:rsidRPr="00ED7A7B" w:rsidR="007E2B90">
        <w:t>.</w:t>
      </w:r>
      <w:r w:rsidRPr="00ED7A7B" w:rsidR="00AE363D">
        <w:t xml:space="preserve"> </w:t>
      </w:r>
      <w:r w:rsidRPr="00ED7A7B" w:rsidR="00956939">
        <w:t xml:space="preserve"> </w:t>
      </w:r>
      <w:r w:rsidRPr="00ED7A7B" w:rsidR="004F71EF">
        <w:rPr>
          <w:i/>
          <w:iCs/>
        </w:rPr>
        <w:t>City of Sacramento</w:t>
      </w:r>
      <w:r w:rsidRPr="00ED7A7B" w:rsidR="004F71EF">
        <w:t xml:space="preserve"> addressed a different provision in article XIII B</w:t>
      </w:r>
      <w:r w:rsidR="00FE169A">
        <w:t> </w:t>
      </w:r>
      <w:r w:rsidRPr="00ED7A7B" w:rsidR="004F71EF">
        <w:t>— section 9</w:t>
      </w:r>
      <w:r w:rsidR="00FE169A">
        <w:t> </w:t>
      </w:r>
      <w:r w:rsidRPr="00ED7A7B" w:rsidR="004F71EF">
        <w:t xml:space="preserve">— which </w:t>
      </w:r>
      <w:bookmarkStart w:id="17" w:name="_Hlk97193958"/>
      <w:r w:rsidRPr="00ED7A7B" w:rsidR="004F71EF">
        <w:t>lists various categories of appropriations that are excluded</w:t>
      </w:r>
      <w:bookmarkEnd w:id="17"/>
      <w:r w:rsidRPr="00ED7A7B" w:rsidR="004F71EF">
        <w:t xml:space="preserve"> from the spending limitations article XIII B otherwise places on state and local governments.  One of those exceptions excludes “[a]ppropriations required to comply with mandates of</w:t>
      </w:r>
      <w:r w:rsidRPr="00ED7A7B" w:rsidR="00875FC4">
        <w:t> </w:t>
      </w:r>
      <w:r w:rsidRPr="00ED7A7B" w:rsidR="004F71EF">
        <w:t>.</w:t>
      </w:r>
      <w:r w:rsidRPr="00ED7A7B" w:rsidR="00875FC4">
        <w:t> </w:t>
      </w:r>
      <w:r w:rsidRPr="00ED7A7B" w:rsidR="004F71EF">
        <w:t>.</w:t>
      </w:r>
      <w:r w:rsidRPr="00ED7A7B" w:rsidR="00875FC4">
        <w:t> </w:t>
      </w:r>
      <w:r w:rsidRPr="00ED7A7B" w:rsidR="004F71EF">
        <w:t>.</w:t>
      </w:r>
      <w:r w:rsidR="001722B3">
        <w:t xml:space="preserve"> </w:t>
      </w:r>
      <w:r w:rsidRPr="00ED7A7B" w:rsidR="004F71EF">
        <w:t xml:space="preserve">the federal government.”  (Cal. Const., art. XIII B, § 9, subd. (b).)  As summarized in </w:t>
      </w:r>
      <w:r w:rsidRPr="00ED7A7B" w:rsidR="004F71EF">
        <w:rPr>
          <w:i/>
          <w:iCs/>
        </w:rPr>
        <w:t>Kern</w:t>
      </w:r>
      <w:r w:rsidRPr="00ED7A7B" w:rsidR="004F71EF">
        <w:t xml:space="preserve">, our decision in </w:t>
      </w:r>
      <w:r w:rsidRPr="00ED7A7B" w:rsidR="004F71EF">
        <w:rPr>
          <w:i/>
          <w:iCs/>
        </w:rPr>
        <w:t>City of Sacramento</w:t>
      </w:r>
      <w:r w:rsidRPr="00ED7A7B" w:rsidR="004F71EF">
        <w:t xml:space="preserve"> examined whether section 9’s federal mandate exclusion applied to a federal law that provided substantial tax incentives for states to extend their unemployment insurance programs to cover public employees.  To retain these significant tax advantages, our Legislature passed a statute requiring that government entities (including local entities) include their employees within the state unemployment program.  The question we had to decide was whether the federal law constituted a “federal mandate,” which would mean that local governments could exclude the costs of complying with the new state statute from their constitutional spending limits. </w:t>
      </w:r>
      <w:r w:rsidRPr="00ED7A7B" w:rsidR="00643531">
        <w:t xml:space="preserve"> </w:t>
      </w:r>
      <w:r w:rsidR="0059219B">
        <w:t>(</w:t>
      </w:r>
      <w:r w:rsidR="0059219B">
        <w:rPr>
          <w:i/>
          <w:iCs/>
        </w:rPr>
        <w:t>Kern</w:t>
      </w:r>
      <w:r w:rsidR="0059219B">
        <w:t>, at p. 749.)</w:t>
      </w:r>
    </w:p>
    <w:p w:rsidR="00D6193A" w:rsidRPr="00ED7A7B" w:rsidP="00ED7A7B" w14:paraId="26805123" w14:textId="1B86DD51">
      <w:pPr>
        <w:tabs>
          <w:tab w:val="left" w:pos="1440"/>
        </w:tabs>
        <w:ind w:firstLine="720"/>
      </w:pPr>
      <w:r w:rsidRPr="00ED7A7B">
        <w:t xml:space="preserve">Although we </w:t>
      </w:r>
      <w:r w:rsidRPr="00ED7A7B" w:rsidR="00B1686A">
        <w:t>found</w:t>
      </w:r>
      <w:r w:rsidRPr="00ED7A7B">
        <w:t xml:space="preserve"> the federal law did not </w:t>
      </w:r>
      <w:r w:rsidRPr="00ED7A7B">
        <w:rPr>
          <w:i/>
          <w:iCs/>
        </w:rPr>
        <w:t>legally</w:t>
      </w:r>
      <w:r w:rsidRPr="00ED7A7B">
        <w:t xml:space="preserve"> compel states to extend unemployment insurance coverage to all public employees, we nevertheless</w:t>
      </w:r>
      <w:r w:rsidRPr="00ED7A7B" w:rsidR="00B1686A">
        <w:t xml:space="preserve"> concluded that “</w:t>
      </w:r>
      <w:r w:rsidRPr="00ED7A7B">
        <w:t>because the financial consequences to the state and its residents of failing to participate in the federal plan were so onerous and punitive</w:t>
      </w:r>
      <w:r w:rsidRPr="00ED7A7B" w:rsidR="00C90DEF">
        <w:t> </w:t>
      </w:r>
      <w:r w:rsidRPr="00ED7A7B">
        <w:t>—</w:t>
      </w:r>
      <w:r w:rsidR="007652BA">
        <w:t xml:space="preserve"> </w:t>
      </w:r>
      <w:r w:rsidRPr="00ED7A7B">
        <w:t xml:space="preserve">we characterized the consequences as amounting to </w:t>
      </w:r>
      <w:r w:rsidRPr="00ED7A7B" w:rsidR="00C90DEF">
        <w:t>‘</w:t>
      </w:r>
      <w:r w:rsidRPr="00ED7A7B">
        <w:t>certain and severe federal penalties</w:t>
      </w:r>
      <w:r w:rsidRPr="00ED7A7B" w:rsidR="00C90DEF">
        <w:t>’</w:t>
      </w:r>
      <w:r w:rsidRPr="00ED7A7B">
        <w:t xml:space="preserve"> including </w:t>
      </w:r>
      <w:r w:rsidRPr="00ED7A7B" w:rsidR="00C90DEF">
        <w:t>‘</w:t>
      </w:r>
      <w:r w:rsidRPr="00ED7A7B">
        <w:t>double</w:t>
      </w:r>
      <w:r w:rsidRPr="00ED7A7B" w:rsidR="00C90DEF">
        <w:t> . . . </w:t>
      </w:r>
      <w:r w:rsidRPr="00ED7A7B">
        <w:t>taxation</w:t>
      </w:r>
      <w:r w:rsidRPr="00ED7A7B" w:rsidR="00C90DEF">
        <w:t>’</w:t>
      </w:r>
      <w:r w:rsidRPr="00ED7A7B">
        <w:t xml:space="preserve"> and other </w:t>
      </w:r>
      <w:r w:rsidRPr="00ED7A7B" w:rsidR="00C90DEF">
        <w:t>‘</w:t>
      </w:r>
      <w:r w:rsidRPr="00ED7A7B">
        <w:t>draconian</w:t>
      </w:r>
      <w:r w:rsidRPr="00ED7A7B" w:rsidR="00C90DEF">
        <w:t>’</w:t>
      </w:r>
      <w:r w:rsidRPr="00ED7A7B">
        <w:t xml:space="preserve"> measures </w:t>
      </w:r>
      <w:r w:rsidRPr="00ED7A7B" w:rsidR="00C90DEF">
        <w:t>[citation] </w:t>
      </w:r>
      <w:r w:rsidRPr="00ED7A7B">
        <w:t>—</w:t>
      </w:r>
      <w:r w:rsidR="007652BA">
        <w:t xml:space="preserve"> </w:t>
      </w:r>
      <w:r w:rsidRPr="00ED7A7B">
        <w:t>as a practical matter, for purposes of article XIII B, section 9, the state was mandated to participate in the federal plan to extend unemployment insurance coverage.</w:t>
      </w:r>
      <w:r w:rsidRPr="00ED7A7B" w:rsidR="00C90DEF">
        <w:t xml:space="preserve">” </w:t>
      </w:r>
      <w:bookmarkStart w:id="18" w:name="co_pp_sp_4040_750_1"/>
      <w:bookmarkEnd w:id="18"/>
      <w:r w:rsidRPr="00ED7A7B" w:rsidR="00C90DEF">
        <w:t xml:space="preserve"> (</w:t>
      </w:r>
      <w:r w:rsidRPr="00ED7A7B" w:rsidR="00C90DEF">
        <w:rPr>
          <w:i/>
          <w:iCs/>
        </w:rPr>
        <w:t>Kern</w:t>
      </w:r>
      <w:r w:rsidRPr="00ED7A7B" w:rsidR="00C90DEF">
        <w:t>,</w:t>
      </w:r>
      <w:r w:rsidRPr="00ED7A7B" w:rsidR="00D15AD6">
        <w:t xml:space="preserve"> </w:t>
      </w:r>
      <w:r w:rsidRPr="00ED7A7B" w:rsidR="00D15AD6">
        <w:rPr>
          <w:i/>
          <w:iCs/>
        </w:rPr>
        <w:t>supra</w:t>
      </w:r>
      <w:r w:rsidRPr="00ED7A7B" w:rsidR="00D15AD6">
        <w:t>, 30</w:t>
      </w:r>
      <w:r w:rsidRPr="00ED7A7B" w:rsidR="00350445">
        <w:t> </w:t>
      </w:r>
      <w:r w:rsidRPr="00ED7A7B" w:rsidR="00D15AD6">
        <w:t>Cal.4th at p.</w:t>
      </w:r>
      <w:r w:rsidRPr="00ED7A7B" w:rsidR="00350445">
        <w:t> </w:t>
      </w:r>
      <w:r w:rsidRPr="00ED7A7B" w:rsidR="00C90DEF">
        <w:t xml:space="preserve">749 [summarizing </w:t>
      </w:r>
      <w:r w:rsidRPr="00ED7A7B" w:rsidR="00C90DEF">
        <w:rPr>
          <w:i/>
          <w:iCs/>
        </w:rPr>
        <w:t>City of Sacramento</w:t>
      </w:r>
      <w:r w:rsidRPr="00ED7A7B" w:rsidR="00C90DEF">
        <w:t>]</w:t>
      </w:r>
      <w:r w:rsidRPr="00ED7A7B" w:rsidR="003032C9">
        <w:t xml:space="preserve">; see </w:t>
      </w:r>
      <w:r w:rsidRPr="00ED7A7B" w:rsidR="003032C9">
        <w:rPr>
          <w:i/>
          <w:iCs/>
        </w:rPr>
        <w:t>City of Sacramento, supra</w:t>
      </w:r>
      <w:r w:rsidRPr="00ED7A7B" w:rsidR="003032C9">
        <w:t>, 50</w:t>
      </w:r>
      <w:r w:rsidRPr="00ED7A7B" w:rsidR="00350445">
        <w:t> </w:t>
      </w:r>
      <w:r w:rsidRPr="00ED7A7B" w:rsidR="003032C9">
        <w:t>Cal.3d at p.</w:t>
      </w:r>
      <w:r w:rsidRPr="00ED7A7B" w:rsidR="00350445">
        <w:t> </w:t>
      </w:r>
      <w:r w:rsidRPr="00ED7A7B" w:rsidR="003032C9">
        <w:t>76 [</w:t>
      </w:r>
      <w:r w:rsidRPr="00ED7A7B" w:rsidR="00C32036">
        <w:t xml:space="preserve">practical compulsion </w:t>
      </w:r>
      <w:r w:rsidRPr="00ED7A7B" w:rsidR="003032C9">
        <w:t xml:space="preserve">determination </w:t>
      </w:r>
      <w:r w:rsidRPr="00ED7A7B" w:rsidR="00C32036">
        <w:t>“</w:t>
      </w:r>
      <w:r w:rsidRPr="00ED7A7B" w:rsidR="003032C9">
        <w:t xml:space="preserve">must depend on such factors as the nature and purpose of the federal program; whether its design suggests an intent to coerce; when state and/or local participation began; the penalties, if any, assessed for withdrawal or refusal to participate or comply; and any other legal and practical consequences of nonparticipation, noncompliance, or withdrawal”].) </w:t>
      </w:r>
    </w:p>
    <w:p w:rsidR="009E7E0D" w:rsidRPr="00ED7A7B" w:rsidP="00ED7A7B" w14:paraId="4EBC8F88" w14:textId="56FF918A">
      <w:pPr>
        <w:tabs>
          <w:tab w:val="left" w:pos="1440"/>
        </w:tabs>
        <w:ind w:firstLine="720"/>
      </w:pPr>
      <w:r w:rsidRPr="00ED7A7B">
        <w:t>The c</w:t>
      </w:r>
      <w:r w:rsidRPr="00ED7A7B" w:rsidR="00022E04">
        <w:t xml:space="preserve">laimants in </w:t>
      </w:r>
      <w:r w:rsidRPr="00ED7A7B" w:rsidR="00CA5F98">
        <w:rPr>
          <w:i/>
          <w:iCs/>
        </w:rPr>
        <w:t>Kern</w:t>
      </w:r>
      <w:r w:rsidRPr="00ED7A7B" w:rsidR="00CA5F98">
        <w:t>,</w:t>
      </w:r>
      <w:r w:rsidRPr="00ED7A7B" w:rsidR="004925B6">
        <w:t xml:space="preserve"> </w:t>
      </w:r>
      <w:r w:rsidRPr="00ED7A7B" w:rsidR="004925B6">
        <w:rPr>
          <w:i/>
          <w:iCs/>
        </w:rPr>
        <w:t>supra</w:t>
      </w:r>
      <w:r w:rsidRPr="00ED7A7B" w:rsidR="004925B6">
        <w:t>, 30</w:t>
      </w:r>
      <w:r w:rsidRPr="00ED7A7B" w:rsidR="00350445">
        <w:t> </w:t>
      </w:r>
      <w:r w:rsidRPr="00ED7A7B" w:rsidR="004925B6">
        <w:t>Cal.4th 727,</w:t>
      </w:r>
      <w:r w:rsidRPr="00ED7A7B" w:rsidR="00CA5F98">
        <w:t xml:space="preserve"> </w:t>
      </w:r>
      <w:r w:rsidRPr="00ED7A7B" w:rsidR="004F5794">
        <w:t>argued that</w:t>
      </w:r>
      <w:r w:rsidRPr="00ED7A7B" w:rsidR="00F73943">
        <w:t xml:space="preserve"> for purposes of consistency we should</w:t>
      </w:r>
      <w:r w:rsidRPr="00ED7A7B" w:rsidR="00E51CE5">
        <w:t xml:space="preserve"> likewise co</w:t>
      </w:r>
      <w:r w:rsidRPr="00ED7A7B" w:rsidR="00F73943">
        <w:t>nstrue</w:t>
      </w:r>
      <w:r w:rsidRPr="00ED7A7B" w:rsidR="007A61AC">
        <w:t xml:space="preserve"> the state mandate provision in article XIII B,</w:t>
      </w:r>
      <w:r w:rsidRPr="00ED7A7B" w:rsidR="00F73943">
        <w:t xml:space="preserve"> section 6 to encompass </w:t>
      </w:r>
      <w:r w:rsidRPr="00ED7A7B" w:rsidR="00C32036">
        <w:t xml:space="preserve">both </w:t>
      </w:r>
      <w:r w:rsidRPr="00ED7A7B" w:rsidR="00F73943">
        <w:t xml:space="preserve">legal </w:t>
      </w:r>
      <w:r w:rsidRPr="00ED7A7B" w:rsidR="00E51CE5">
        <w:t xml:space="preserve">and </w:t>
      </w:r>
      <w:r w:rsidRPr="00ED7A7B" w:rsidR="00F73943">
        <w:t>practical compulsion</w:t>
      </w:r>
      <w:r w:rsidRPr="00ED7A7B" w:rsidR="004F5794">
        <w:t xml:space="preserve">.  </w:t>
      </w:r>
      <w:r w:rsidRPr="00ED7A7B" w:rsidR="004925B6">
        <w:t xml:space="preserve">(See </w:t>
      </w:r>
      <w:r w:rsidR="008B700C">
        <w:rPr>
          <w:i/>
          <w:iCs/>
        </w:rPr>
        <w:t>Kern</w:t>
      </w:r>
      <w:r w:rsidR="008B700C">
        <w:t>,</w:t>
      </w:r>
      <w:r w:rsidRPr="00ED7A7B" w:rsidR="004925B6">
        <w:t xml:space="preserve"> at p.</w:t>
      </w:r>
      <w:r w:rsidRPr="00ED7A7B" w:rsidR="00350445">
        <w:t> </w:t>
      </w:r>
      <w:r w:rsidRPr="00ED7A7B" w:rsidR="004925B6">
        <w:t xml:space="preserve">750 [“claimants argue, the word ‘mandate,’ used in two separate sections of article XIII B, should not be given two different meanings”].)  The Department, however, contended </w:t>
      </w:r>
      <w:r w:rsidRPr="00ED7A7B" w:rsidR="00D307B1">
        <w:t>we should interpret section 6’s mandate provision more</w:t>
      </w:r>
      <w:r w:rsidRPr="00ED7A7B" w:rsidR="004925B6">
        <w:t xml:space="preserve"> </w:t>
      </w:r>
      <w:r w:rsidRPr="00ED7A7B" w:rsidR="00D307B1">
        <w:t>“narrowly . . . to include only programs in which local entities are legally compelled to participate.”  (</w:t>
      </w:r>
      <w:r w:rsidRPr="00ED7A7B" w:rsidR="00D307B1">
        <w:rPr>
          <w:i/>
          <w:iCs/>
        </w:rPr>
        <w:t>Id</w:t>
      </w:r>
      <w:r w:rsidRPr="00ED7A7B" w:rsidR="00D307B1">
        <w:t>. at p.</w:t>
      </w:r>
      <w:r w:rsidRPr="00ED7A7B" w:rsidR="00350445">
        <w:t> </w:t>
      </w:r>
      <w:r w:rsidRPr="00ED7A7B" w:rsidR="00D307B1">
        <w:t>751.)</w:t>
      </w:r>
    </w:p>
    <w:p w:rsidR="00E222C9" w:rsidRPr="00ED7A7B" w:rsidP="00ED7A7B" w14:paraId="5C3CA9AA" w14:textId="2DA5F0FA">
      <w:pPr>
        <w:tabs>
          <w:tab w:val="left" w:pos="1440"/>
        </w:tabs>
        <w:ind w:firstLine="720"/>
      </w:pPr>
      <w:r w:rsidRPr="00ED7A7B">
        <w:t>We decline</w:t>
      </w:r>
      <w:r w:rsidRPr="00ED7A7B" w:rsidR="007A61AC">
        <w:t>d</w:t>
      </w:r>
      <w:r w:rsidRPr="00ED7A7B">
        <w:t xml:space="preserve"> to </w:t>
      </w:r>
      <w:r w:rsidRPr="00ED7A7B">
        <w:t>resolve</w:t>
      </w:r>
      <w:r w:rsidRPr="00ED7A7B" w:rsidR="00F73943">
        <w:t xml:space="preserve"> that issue, </w:t>
      </w:r>
      <w:r w:rsidRPr="00ED7A7B" w:rsidR="00E51CE5">
        <w:t xml:space="preserve">explaining that even if </w:t>
      </w:r>
      <w:r w:rsidRPr="00ED7A7B">
        <w:t>we were to assume “that our construction of the term ‘federal mandate’</w:t>
      </w:r>
      <w:r w:rsidRPr="00ED7A7B" w:rsidR="00875FC4">
        <w:t> </w:t>
      </w:r>
      <w:r w:rsidRPr="00ED7A7B" w:rsidR="000727F5">
        <w:t>.</w:t>
      </w:r>
      <w:r w:rsidRPr="00ED7A7B" w:rsidR="00875FC4">
        <w:t> </w:t>
      </w:r>
      <w:r w:rsidRPr="00ED7A7B" w:rsidR="000727F5">
        <w:t>.</w:t>
      </w:r>
      <w:r w:rsidRPr="00ED7A7B" w:rsidR="00875FC4">
        <w:t> </w:t>
      </w:r>
      <w:r w:rsidRPr="00ED7A7B" w:rsidR="000727F5">
        <w:t>.</w:t>
      </w:r>
      <w:r w:rsidRPr="00ED7A7B" w:rsidR="00875FC4">
        <w:t> </w:t>
      </w:r>
      <w:r w:rsidRPr="00ED7A7B">
        <w:t>applies equally in the context of article XIII</w:t>
      </w:r>
      <w:r w:rsidRPr="00ED7A7B" w:rsidR="004D7908">
        <w:t xml:space="preserve"> B</w:t>
      </w:r>
      <w:r w:rsidRPr="00ED7A7B">
        <w:t>, section 6</w:t>
      </w:r>
      <w:r w:rsidRPr="00ED7A7B" w:rsidR="000727F5">
        <w:t>” (</w:t>
      </w:r>
      <w:r w:rsidRPr="00ED7A7B" w:rsidR="000727F5">
        <w:rPr>
          <w:i/>
          <w:iCs/>
        </w:rPr>
        <w:t>Kern, supra</w:t>
      </w:r>
      <w:r w:rsidRPr="00ED7A7B" w:rsidR="000727F5">
        <w:t>, 30</w:t>
      </w:r>
      <w:r w:rsidRPr="00ED7A7B" w:rsidR="00350445">
        <w:t> </w:t>
      </w:r>
      <w:r w:rsidRPr="00ED7A7B" w:rsidR="000727F5">
        <w:t>Cal.4th at p.</w:t>
      </w:r>
      <w:r w:rsidRPr="00ED7A7B" w:rsidR="00350445">
        <w:t> </w:t>
      </w:r>
      <w:r w:rsidRPr="00ED7A7B" w:rsidR="000727F5">
        <w:t xml:space="preserve">751), </w:t>
      </w:r>
      <w:r w:rsidRPr="00ED7A7B" w:rsidR="00E51CE5">
        <w:t xml:space="preserve">the </w:t>
      </w:r>
      <w:r w:rsidRPr="00ED7A7B" w:rsidR="00C32036">
        <w:t xml:space="preserve">claimants </w:t>
      </w:r>
      <w:r w:rsidRPr="00ED7A7B" w:rsidR="00C57F88">
        <w:t>had failed to identify any “</w:t>
      </w:r>
      <w:r w:rsidRPr="00ED7A7B" w:rsidR="00705311">
        <w:t> </w:t>
      </w:r>
      <w:r w:rsidRPr="00ED7A7B" w:rsidR="00C57F88">
        <w:t>‘certain and severe</w:t>
      </w:r>
      <w:r w:rsidR="00AD554D">
        <w:t> . . . </w:t>
      </w:r>
      <w:r w:rsidRPr="00ED7A7B" w:rsidR="00C57F88">
        <w:t>penalties’ ” or other “</w:t>
      </w:r>
      <w:r w:rsidRPr="00ED7A7B" w:rsidR="000727F5">
        <w:t> </w:t>
      </w:r>
      <w:r w:rsidRPr="00ED7A7B" w:rsidR="00C57F88">
        <w:t>‘draconian’ consequences” that “</w:t>
      </w:r>
      <w:r w:rsidRPr="00ED7A7B" w:rsidR="00702BDE">
        <w:t xml:space="preserve">reasonably </w:t>
      </w:r>
      <w:r w:rsidRPr="00ED7A7B" w:rsidR="00C57F88">
        <w:t>could constitute</w:t>
      </w:r>
      <w:r w:rsidRPr="00ED7A7B" w:rsidR="007A61AC">
        <w:t> . . . </w:t>
      </w:r>
      <w:r w:rsidRPr="00ED7A7B" w:rsidR="00C57F88">
        <w:t xml:space="preserve">a ‘de facto’ reimbursable mandate.”  </w:t>
      </w:r>
      <w:r w:rsidRPr="00ED7A7B" w:rsidR="000727F5">
        <w:t>(</w:t>
      </w:r>
      <w:r w:rsidRPr="00ED7A7B" w:rsidR="000727F5">
        <w:rPr>
          <w:i/>
          <w:iCs/>
        </w:rPr>
        <w:t>Id</w:t>
      </w:r>
      <w:r w:rsidRPr="00ED7A7B" w:rsidR="000727F5">
        <w:t>. at p.</w:t>
      </w:r>
      <w:r w:rsidRPr="00ED7A7B" w:rsidR="00350445">
        <w:t> </w:t>
      </w:r>
      <w:r w:rsidRPr="00ED7A7B" w:rsidR="000727F5">
        <w:t xml:space="preserve">754.)  </w:t>
      </w:r>
      <w:r w:rsidRPr="00ED7A7B" w:rsidR="00506DEE">
        <w:t>Rather, the record demonstrated that</w:t>
      </w:r>
      <w:r w:rsidRPr="00ED7A7B" w:rsidR="007B48AE">
        <w:t xml:space="preserve"> the</w:t>
      </w:r>
      <w:r w:rsidRPr="00ED7A7B" w:rsidR="00506DEE">
        <w:t xml:space="preserve"> new laws</w:t>
      </w:r>
      <w:r w:rsidRPr="00ED7A7B" w:rsidR="007B48AE">
        <w:t xml:space="preserve"> </w:t>
      </w:r>
      <w:r w:rsidRPr="00ED7A7B" w:rsidR="000727F5">
        <w:t>merely</w:t>
      </w:r>
      <w:r w:rsidRPr="00ED7A7B" w:rsidR="007B48AE">
        <w:t xml:space="preserve"> required each school district to decide whether to </w:t>
      </w:r>
      <w:r w:rsidRPr="00ED7A7B" w:rsidR="00506DEE">
        <w:t>continue</w:t>
      </w:r>
      <w:r w:rsidRPr="00ED7A7B" w:rsidR="007B48AE">
        <w:t xml:space="preserve"> participating in the voluntary school programs, “</w:t>
      </w:r>
      <w:r w:rsidRPr="00ED7A7B" w:rsidR="00506DEE">
        <w:t>even though the school district also must incur program-related costs associated with the notice and agenda requirements</w:t>
      </w:r>
      <w:r w:rsidR="00AD554D">
        <w:t> </w:t>
      </w:r>
      <w:r w:rsidRPr="00ED7A7B" w:rsidR="00506DEE">
        <w:t>.</w:t>
      </w:r>
      <w:r w:rsidRPr="00ED7A7B" w:rsidR="00705311">
        <w:t> </w:t>
      </w:r>
      <w:r w:rsidRPr="00ED7A7B" w:rsidR="00506DEE">
        <w:t>.</w:t>
      </w:r>
      <w:r w:rsidRPr="00ED7A7B" w:rsidR="00705311">
        <w:t> </w:t>
      </w:r>
      <w:r w:rsidRPr="00ED7A7B" w:rsidR="00506DEE">
        <w:t>.</w:t>
      </w:r>
      <w:r w:rsidRPr="00ED7A7B" w:rsidR="00705311">
        <w:t> </w:t>
      </w:r>
      <w:r w:rsidRPr="00ED7A7B" w:rsidR="00506DEE">
        <w:t>.  Presumably, a school district will continue to participate only if it determines that</w:t>
      </w:r>
      <w:r w:rsidRPr="00ED7A7B" w:rsidR="00705311">
        <w:t> </w:t>
      </w:r>
      <w:r w:rsidRPr="00ED7A7B" w:rsidR="00506DEE">
        <w:t>.</w:t>
      </w:r>
      <w:r w:rsidRPr="00ED7A7B" w:rsidR="00705311">
        <w:t> </w:t>
      </w:r>
      <w:r w:rsidRPr="00ED7A7B" w:rsidR="00506DEE">
        <w:t>.</w:t>
      </w:r>
      <w:r w:rsidRPr="00ED7A7B" w:rsidR="00705311">
        <w:t> </w:t>
      </w:r>
      <w:r w:rsidRPr="00ED7A7B" w:rsidR="00506DEE">
        <w:t>.</w:t>
      </w:r>
      <w:r w:rsidRPr="00ED7A7B" w:rsidR="00705311">
        <w:t> </w:t>
      </w:r>
      <w:r w:rsidRPr="00ED7A7B" w:rsidR="00506DEE">
        <w:t>, on balance, the funded program, even with strings attached, is deemed beneficial.”  (</w:t>
      </w:r>
      <w:r w:rsidRPr="00ED7A7B" w:rsidR="00506DEE">
        <w:rPr>
          <w:i/>
          <w:iCs/>
        </w:rPr>
        <w:t>Id.</w:t>
      </w:r>
      <w:r w:rsidRPr="00ED7A7B" w:rsidR="00506DEE">
        <w:t xml:space="preserve"> at p.</w:t>
      </w:r>
      <w:r w:rsidRPr="00ED7A7B" w:rsidR="00350445">
        <w:t> </w:t>
      </w:r>
      <w:r w:rsidRPr="00ED7A7B" w:rsidR="00506DEE">
        <w:t>753, italics omitted.)</w:t>
      </w:r>
      <w:r>
        <w:rPr>
          <w:rStyle w:val="FootnoteReference"/>
        </w:rPr>
        <w:footnoteReference w:id="7"/>
      </w:r>
      <w:r w:rsidRPr="00ED7A7B" w:rsidR="00C57F88">
        <w:t xml:space="preserve"> </w:t>
      </w:r>
    </w:p>
    <w:p w:rsidR="00E222C9" w:rsidRPr="00ED7A7B" w:rsidP="00ED7A7B" w14:paraId="73E735D4" w14:textId="2B08FDDF">
      <w:pPr>
        <w:pStyle w:val="Heading3"/>
      </w:pPr>
      <w:r w:rsidRPr="00ED7A7B">
        <w:t>2</w:t>
      </w:r>
      <w:r w:rsidRPr="00ED7A7B" w:rsidR="007B48AE">
        <w:t xml:space="preserve">.  The </w:t>
      </w:r>
      <w:r w:rsidRPr="00ED7A7B">
        <w:t>d</w:t>
      </w:r>
      <w:r w:rsidRPr="00ED7A7B" w:rsidR="007B48AE">
        <w:t xml:space="preserve">istricts </w:t>
      </w:r>
      <w:r w:rsidRPr="00ED7A7B">
        <w:t>h</w:t>
      </w:r>
      <w:r w:rsidRPr="00ED7A7B" w:rsidR="007B48AE">
        <w:t xml:space="preserve">ave </w:t>
      </w:r>
      <w:r w:rsidRPr="00ED7A7B">
        <w:t>f</w:t>
      </w:r>
      <w:r w:rsidRPr="00ED7A7B" w:rsidR="007B48AE">
        <w:t xml:space="preserve">ailed to </w:t>
      </w:r>
      <w:r w:rsidRPr="00ED7A7B" w:rsidR="00C32036">
        <w:t>show</w:t>
      </w:r>
      <w:r w:rsidRPr="00ED7A7B" w:rsidR="007B48AE">
        <w:t xml:space="preserve"> </w:t>
      </w:r>
      <w:r w:rsidRPr="00ED7A7B">
        <w:t>l</w:t>
      </w:r>
      <w:r w:rsidRPr="00ED7A7B" w:rsidR="007B48AE">
        <w:t xml:space="preserve">egal </w:t>
      </w:r>
      <w:r w:rsidRPr="00ED7A7B">
        <w:t>c</w:t>
      </w:r>
      <w:r w:rsidRPr="00ED7A7B" w:rsidR="007B48AE">
        <w:t xml:space="preserve">ompulsion </w:t>
      </w:r>
    </w:p>
    <w:p w:rsidR="00B0396D" w:rsidRPr="00ED7A7B" w:rsidP="00ED7A7B" w14:paraId="15309B30" w14:textId="148621F8">
      <w:pPr>
        <w:tabs>
          <w:tab w:val="left" w:pos="1440"/>
        </w:tabs>
        <w:ind w:firstLine="720"/>
      </w:pPr>
      <w:r w:rsidRPr="00ED7A7B">
        <w:t xml:space="preserve">We </w:t>
      </w:r>
      <w:r w:rsidRPr="00ED7A7B" w:rsidR="00F2018A">
        <w:t xml:space="preserve">first </w:t>
      </w:r>
      <w:r w:rsidRPr="00ED7A7B">
        <w:t xml:space="preserve">address the Court of Appeal’s conclusion that the districts were legally compelled to comply with the funding entitlement regulations.  </w:t>
      </w:r>
      <w:r w:rsidRPr="003265A4">
        <w:t xml:space="preserve">Education </w:t>
      </w:r>
      <w:r w:rsidR="00591A3E">
        <w:t xml:space="preserve">Code </w:t>
      </w:r>
      <w:r w:rsidRPr="003265A4">
        <w:t>section 70901, subd</w:t>
      </w:r>
      <w:r w:rsidRPr="003265A4" w:rsidR="007A61AC">
        <w:t xml:space="preserve">ivision </w:t>
      </w:r>
      <w:r w:rsidRPr="003265A4">
        <w:t>(b)(6)</w:t>
      </w:r>
      <w:r w:rsidR="009B1407">
        <w:t>(A)</w:t>
      </w:r>
      <w:r w:rsidRPr="003265A4">
        <w:t xml:space="preserve"> directs the Board </w:t>
      </w:r>
      <w:r w:rsidRPr="003265A4" w:rsidR="003C313C">
        <w:t xml:space="preserve">of Governors </w:t>
      </w:r>
      <w:r w:rsidRPr="003265A4">
        <w:t xml:space="preserve">to “[e]stablish minimum conditions entitling districts to receive state aid for support of community colleges” and </w:t>
      </w:r>
      <w:r w:rsidRPr="003265A4" w:rsidR="008B700C">
        <w:t xml:space="preserve">to </w:t>
      </w:r>
      <w:r w:rsidRPr="003265A4">
        <w:t>periodically review whether districts are in compliance with those conditions.</w:t>
      </w:r>
      <w:r w:rsidRPr="00ED7A7B">
        <w:t xml:space="preserve">  (See </w:t>
      </w:r>
      <w:r w:rsidRPr="00ED7A7B">
        <w:rPr>
          <w:i/>
          <w:iCs/>
        </w:rPr>
        <w:t>ante</w:t>
      </w:r>
      <w:r w:rsidRPr="00ED7A7B">
        <w:t>, at p</w:t>
      </w:r>
      <w:r w:rsidRPr="00ED7A7B" w:rsidR="003C313C">
        <w:t>p</w:t>
      </w:r>
      <w:r w:rsidRPr="00ED7A7B">
        <w:t>.</w:t>
      </w:r>
      <w:r w:rsidRPr="00ED7A7B" w:rsidR="00350445">
        <w:t> </w:t>
      </w:r>
      <w:r w:rsidR="00AD554D">
        <w:t>8</w:t>
      </w:r>
      <w:r w:rsidRPr="00ED7A7B" w:rsidR="003C313C">
        <w:t>–</w:t>
      </w:r>
      <w:r w:rsidR="00AD554D">
        <w:t>9</w:t>
      </w:r>
      <w:r w:rsidRPr="00ED7A7B">
        <w:t>.)  The</w:t>
      </w:r>
      <w:r w:rsidRPr="00ED7A7B" w:rsidR="00A346FF">
        <w:t xml:space="preserve"> </w:t>
      </w:r>
      <w:r w:rsidRPr="00ED7A7B">
        <w:t xml:space="preserve">implementing regulations, in turn, </w:t>
      </w:r>
      <w:r w:rsidRPr="00ED7A7B" w:rsidR="00E5378A">
        <w:t xml:space="preserve">set forth the applicable funding entitlement requirements and </w:t>
      </w:r>
      <w:r w:rsidRPr="00ED7A7B">
        <w:t xml:space="preserve">describe how the Chancellor is to proceed in the event of noncompliance.  </w:t>
      </w:r>
      <w:r w:rsidRPr="00ED7A7B" w:rsidR="005F2E71">
        <w:t>The regulations direct that a</w:t>
      </w:r>
      <w:r w:rsidRPr="00ED7A7B">
        <w:t xml:space="preserve">fter soliciting a response from </w:t>
      </w:r>
      <w:r w:rsidRPr="00ED7A7B" w:rsidR="00A346FF">
        <w:t>a</w:t>
      </w:r>
      <w:r w:rsidRPr="00ED7A7B">
        <w:t xml:space="preserve"> noncompliant district, the Chancellor </w:t>
      </w:r>
      <w:r w:rsidRPr="00ED7A7B" w:rsidR="008649F0">
        <w:t xml:space="preserve">may pursue </w:t>
      </w:r>
      <w:r w:rsidRPr="00ED7A7B" w:rsidR="00215BE5">
        <w:t>a variety of</w:t>
      </w:r>
      <w:r w:rsidRPr="00ED7A7B" w:rsidR="008649F0">
        <w:t xml:space="preserve"> r</w:t>
      </w:r>
      <w:r w:rsidRPr="00ED7A7B">
        <w:t xml:space="preserve">emedies that </w:t>
      </w:r>
      <w:r w:rsidRPr="00ED7A7B" w:rsidR="008649F0">
        <w:t xml:space="preserve">range from </w:t>
      </w:r>
      <w:r w:rsidRPr="00ED7A7B">
        <w:t xml:space="preserve">accepting the district’s response to </w:t>
      </w:r>
      <w:r w:rsidRPr="00ED7A7B" w:rsidR="00215BE5">
        <w:t xml:space="preserve">an inquiry to </w:t>
      </w:r>
      <w:r w:rsidRPr="00ED7A7B">
        <w:t>withholding some or all</w:t>
      </w:r>
      <w:r w:rsidRPr="00ED7A7B" w:rsidR="00E5378A">
        <w:t xml:space="preserve"> of the district’s state aid</w:t>
      </w:r>
      <w:r w:rsidRPr="00ED7A7B">
        <w:t>.</w:t>
      </w:r>
      <w:r w:rsidRPr="00ED7A7B" w:rsidR="00BC7E4A">
        <w:t xml:space="preserve">  (See </w:t>
      </w:r>
      <w:r w:rsidR="00500603">
        <w:rPr>
          <w:szCs w:val="26"/>
        </w:rPr>
        <w:t xml:space="preserve">Cal. Code Regs., </w:t>
      </w:r>
      <w:r w:rsidRPr="00ED7A7B" w:rsidR="00500603">
        <w:rPr>
          <w:szCs w:val="26"/>
        </w:rPr>
        <w:t>tit. 5,</w:t>
      </w:r>
      <w:r w:rsidRPr="00ED7A7B" w:rsidR="00BC7E4A">
        <w:t xml:space="preserve"> § 51102, subd. (b).)</w:t>
      </w:r>
    </w:p>
    <w:p w:rsidR="00CC4F58" w:rsidRPr="00ED7A7B" w:rsidP="00ED7A7B" w14:paraId="7DF1DCFD" w14:textId="016D056D">
      <w:pPr>
        <w:tabs>
          <w:tab w:val="left" w:pos="1440"/>
        </w:tabs>
        <w:ind w:firstLine="720"/>
      </w:pPr>
      <w:r w:rsidRPr="00ED7A7B">
        <w:t>We</w:t>
      </w:r>
      <w:r w:rsidRPr="00ED7A7B" w:rsidR="006B14DB">
        <w:t xml:space="preserve"> are not persuaded that </w:t>
      </w:r>
      <w:r w:rsidRPr="00ED7A7B" w:rsidR="003731E3">
        <w:t xml:space="preserve">this enforcement scheme </w:t>
      </w:r>
      <w:r w:rsidRPr="00ED7A7B" w:rsidR="001226C0">
        <w:t>legally compel</w:t>
      </w:r>
      <w:r w:rsidRPr="00ED7A7B" w:rsidR="003731E3">
        <w:t>s</w:t>
      </w:r>
      <w:r w:rsidRPr="00ED7A7B" w:rsidR="001226C0">
        <w:t xml:space="preserve"> the districts to comply with funding entitlement regulations. </w:t>
      </w:r>
      <w:r w:rsidRPr="00ED7A7B" w:rsidR="00643531">
        <w:t xml:space="preserve"> As summarized above, Education Code section 70901, subdivision (b) </w:t>
      </w:r>
      <w:r w:rsidRPr="00ED7A7B" w:rsidR="00BC7E4A">
        <w:t>required</w:t>
      </w:r>
      <w:r w:rsidRPr="00ED7A7B" w:rsidR="00643531">
        <w:t xml:space="preserve"> the Board of Governors to adopt two distinct sets of regulations:  the operating standards regulations </w:t>
      </w:r>
      <w:r w:rsidRPr="00ED7A7B" w:rsidR="0069281D">
        <w:t xml:space="preserve">that </w:t>
      </w:r>
      <w:r w:rsidRPr="00ED7A7B" w:rsidR="00643531">
        <w:t xml:space="preserve">the Commission previously found to impose mandates (see Ed. Code, § 70901, subd. (b)(1)) and the funding entitlement regulations at issue in this case (see </w:t>
      </w:r>
      <w:r w:rsidRPr="00ED7A7B" w:rsidR="00BC7E4A">
        <w:t>Ed.</w:t>
      </w:r>
      <w:r w:rsidRPr="00ED7A7B" w:rsidR="00643531">
        <w:t xml:space="preserve"> Code, § 70901, subd. (b)(</w:t>
      </w:r>
      <w:r w:rsidRPr="00ED7A7B" w:rsidR="003C313C">
        <w:t>6</w:t>
      </w:r>
      <w:r w:rsidRPr="00ED7A7B" w:rsidR="00643531">
        <w:t>)).</w:t>
      </w:r>
      <w:r w:rsidRPr="00ED7A7B" w:rsidR="008305E2">
        <w:t xml:space="preserve"> </w:t>
      </w:r>
      <w:r w:rsidRPr="00ED7A7B" w:rsidR="00643531">
        <w:t xml:space="preserve"> (See </w:t>
      </w:r>
      <w:r w:rsidRPr="00ED7A7B" w:rsidR="00643531">
        <w:rPr>
          <w:i/>
          <w:iCs/>
        </w:rPr>
        <w:t>ante</w:t>
      </w:r>
      <w:r w:rsidRPr="00ED7A7B" w:rsidR="0059273D">
        <w:t xml:space="preserve">, </w:t>
      </w:r>
      <w:r w:rsidRPr="00ED7A7B" w:rsidR="00643531">
        <w:t>at pp.</w:t>
      </w:r>
      <w:r w:rsidRPr="00ED7A7B" w:rsidR="00350445">
        <w:t> </w:t>
      </w:r>
      <w:r w:rsidR="00C948D2">
        <w:t>7</w:t>
      </w:r>
      <w:r w:rsidRPr="00ED7A7B" w:rsidR="0059273D">
        <w:t>–</w:t>
      </w:r>
      <w:r w:rsidR="00C948D2">
        <w:t>9</w:t>
      </w:r>
      <w:r w:rsidRPr="00ED7A7B" w:rsidR="00643531">
        <w:t xml:space="preserve">.) </w:t>
      </w:r>
      <w:r w:rsidRPr="00ED7A7B" w:rsidR="005D3198">
        <w:t xml:space="preserve"> </w:t>
      </w:r>
      <w:r w:rsidRPr="00ED7A7B" w:rsidR="00F62CA0">
        <w:t>Unlike the mandatory language govern</w:t>
      </w:r>
      <w:r w:rsidRPr="00ED7A7B" w:rsidR="00033ED6">
        <w:t>ing</w:t>
      </w:r>
      <w:r w:rsidRPr="00ED7A7B" w:rsidR="00F62CA0">
        <w:t xml:space="preserve"> the operating standards </w:t>
      </w:r>
      <w:r w:rsidRPr="00ED7A7B" w:rsidR="00643531">
        <w:t>regulations</w:t>
      </w:r>
      <w:r w:rsidRPr="00ED7A7B" w:rsidR="003731E3">
        <w:t>, which direct</w:t>
      </w:r>
      <w:r w:rsidRPr="00ED7A7B" w:rsidR="0059273D">
        <w:t>s</w:t>
      </w:r>
      <w:r w:rsidRPr="00ED7A7B" w:rsidR="003731E3">
        <w:t xml:space="preserve"> the </w:t>
      </w:r>
      <w:r w:rsidRPr="00ED7A7B" w:rsidR="00F62CA0">
        <w:t xml:space="preserve">Board to “[e]stablish minimum standards </w:t>
      </w:r>
      <w:r w:rsidRPr="00ED7A7B" w:rsidR="00F62CA0">
        <w:rPr>
          <w:i/>
          <w:iCs/>
        </w:rPr>
        <w:t>as required by law</w:t>
      </w:r>
      <w:r w:rsidRPr="00ED7A7B" w:rsidR="00F62CA0">
        <w:t>” (</w:t>
      </w:r>
      <w:r w:rsidRPr="00ED7A7B" w:rsidR="00643531">
        <w:t xml:space="preserve">Ed. Code, § 70901, subd. (b)(1), </w:t>
      </w:r>
      <w:r w:rsidRPr="00ED7A7B" w:rsidR="00F62CA0">
        <w:t>italics added</w:t>
      </w:r>
      <w:r w:rsidRPr="00ED7A7B" w:rsidR="00844EFC">
        <w:t>) and</w:t>
      </w:r>
      <w:r w:rsidR="008B4B2C">
        <w:t xml:space="preserve"> which</w:t>
      </w:r>
      <w:r w:rsidRPr="00ED7A7B" w:rsidR="00844EFC">
        <w:t xml:space="preserve"> </w:t>
      </w:r>
      <w:r w:rsidRPr="00ED7A7B" w:rsidR="00845E9D">
        <w:t>requires</w:t>
      </w:r>
      <w:r w:rsidRPr="00ED7A7B" w:rsidR="00844EFC">
        <w:t xml:space="preserve"> that districts </w:t>
      </w:r>
      <w:r w:rsidRPr="00591A3E" w:rsidR="00844EFC">
        <w:rPr>
          <w:i/>
          <w:iCs/>
        </w:rPr>
        <w:t>sha</w:t>
      </w:r>
      <w:r w:rsidR="00591A3E">
        <w:rPr>
          <w:i/>
          <w:iCs/>
        </w:rPr>
        <w:t>ll</w:t>
      </w:r>
      <w:r w:rsidRPr="00ED7A7B" w:rsidR="00844EFC">
        <w:t xml:space="preserve"> establish policies consistent with those standards (</w:t>
      </w:r>
      <w:bookmarkStart w:id="19" w:name="_Hlk97195771"/>
      <w:r w:rsidRPr="00ED7A7B" w:rsidR="00807155">
        <w:t xml:space="preserve">see </w:t>
      </w:r>
      <w:r w:rsidRPr="00ED7A7B" w:rsidR="00BC7E4A">
        <w:t>Ed. Code, § 70902</w:t>
      </w:r>
      <w:r w:rsidRPr="00ED7A7B" w:rsidR="009276EC">
        <w:t>, subd. (b) [“board of each community college district shall” establish policies and procedures that are consistent with the operating standards]</w:t>
      </w:r>
      <w:r w:rsidR="00433FDE">
        <w:t>)</w:t>
      </w:r>
      <w:bookmarkEnd w:id="19"/>
      <w:r w:rsidRPr="00ED7A7B" w:rsidR="00966D0E">
        <w:t xml:space="preserve">, </w:t>
      </w:r>
      <w:r w:rsidR="00433FDE">
        <w:t xml:space="preserve">Education Code section 70901, </w:t>
      </w:r>
      <w:r w:rsidRPr="00ED7A7B" w:rsidR="00F62CA0">
        <w:t>subdivision</w:t>
      </w:r>
      <w:r w:rsidRPr="00ED7A7B" w:rsidR="005D3198">
        <w:t xml:space="preserve"> (b)(6) and </w:t>
      </w:r>
      <w:r w:rsidRPr="00ED7A7B" w:rsidR="00F62CA0">
        <w:t xml:space="preserve">its </w:t>
      </w:r>
      <w:r w:rsidRPr="00ED7A7B" w:rsidR="005D3198">
        <w:t>implementing regulations</w:t>
      </w:r>
      <w:r w:rsidRPr="00ED7A7B" w:rsidR="003731E3">
        <w:t xml:space="preserve"> </w:t>
      </w:r>
      <w:r w:rsidRPr="00ED7A7B" w:rsidR="005D3198">
        <w:t xml:space="preserve">contain </w:t>
      </w:r>
      <w:r w:rsidRPr="00ED7A7B" w:rsidR="00033ED6">
        <w:t>no</w:t>
      </w:r>
      <w:r w:rsidRPr="00ED7A7B" w:rsidR="007114F8">
        <w:t xml:space="preserve"> </w:t>
      </w:r>
      <w:r w:rsidRPr="00ED7A7B" w:rsidR="002412E6">
        <w:t xml:space="preserve">language </w:t>
      </w:r>
      <w:r w:rsidRPr="00ED7A7B" w:rsidR="005D3198">
        <w:t>“command</w:t>
      </w:r>
      <w:r w:rsidR="00433FDE">
        <w:t>[</w:t>
      </w:r>
      <w:r w:rsidRPr="00ED7A7B" w:rsidR="005D3198">
        <w:t>ing</w:t>
      </w:r>
      <w:r w:rsidR="00433FDE">
        <w:t>]</w:t>
      </w:r>
      <w:r w:rsidRPr="00ED7A7B" w:rsidR="005D3198">
        <w:t>”</w:t>
      </w:r>
      <w:r w:rsidR="00433FDE">
        <w:t xml:space="preserve"> </w:t>
      </w:r>
      <w:r w:rsidRPr="00ED7A7B" w:rsidR="00433FDE">
        <w:t>(</w:t>
      </w:r>
      <w:r w:rsidRPr="00ED7A7B" w:rsidR="00433FDE">
        <w:rPr>
          <w:i/>
          <w:iCs/>
        </w:rPr>
        <w:t>Kern</w:t>
      </w:r>
      <w:r w:rsidRPr="00ED7A7B" w:rsidR="00433FDE">
        <w:t xml:space="preserve">, </w:t>
      </w:r>
      <w:r w:rsidRPr="00ED7A7B" w:rsidR="00433FDE">
        <w:rPr>
          <w:i/>
          <w:iCs/>
        </w:rPr>
        <w:t>supra</w:t>
      </w:r>
      <w:r w:rsidRPr="00ED7A7B" w:rsidR="00433FDE">
        <w:t>, 30 Cal.4th at p. 741</w:t>
      </w:r>
      <w:r w:rsidR="00433FDE">
        <w:t>)</w:t>
      </w:r>
      <w:r w:rsidRPr="00ED7A7B" w:rsidR="007114F8">
        <w:t xml:space="preserve"> </w:t>
      </w:r>
      <w:r w:rsidRPr="00ED7A7B" w:rsidR="008E5DA9">
        <w:t xml:space="preserve">that </w:t>
      </w:r>
      <w:r w:rsidRPr="00ED7A7B" w:rsidR="007114F8">
        <w:t xml:space="preserve">the districts comply with the funding entitlement </w:t>
      </w:r>
      <w:r w:rsidRPr="00ED7A7B" w:rsidR="003731E3">
        <w:t>regulations</w:t>
      </w:r>
      <w:r w:rsidRPr="00ED7A7B" w:rsidR="007114F8">
        <w:t xml:space="preserve">. </w:t>
      </w:r>
      <w:r w:rsidRPr="00ED7A7B" w:rsidR="008E5DA9">
        <w:t xml:space="preserve"> </w:t>
      </w:r>
      <w:r w:rsidRPr="00ED7A7B" w:rsidR="006B14DB">
        <w:t>Instead, those provision</w:t>
      </w:r>
      <w:r w:rsidRPr="00ED7A7B" w:rsidR="003409E5">
        <w:t xml:space="preserve">s </w:t>
      </w:r>
      <w:r w:rsidRPr="00ED7A7B" w:rsidR="005D3198">
        <w:t xml:space="preserve">make clear that districts </w:t>
      </w:r>
      <w:r w:rsidRPr="00ED7A7B" w:rsidR="00B27CEA">
        <w:t>that</w:t>
      </w:r>
      <w:r w:rsidRPr="00ED7A7B">
        <w:t xml:space="preserve"> </w:t>
      </w:r>
      <w:r w:rsidRPr="00ED7A7B" w:rsidR="005D3198">
        <w:t xml:space="preserve">fail to comply </w:t>
      </w:r>
      <w:r w:rsidRPr="00591A3E" w:rsidR="005D3198">
        <w:rPr>
          <w:i/>
          <w:iCs/>
        </w:rPr>
        <w:t>may</w:t>
      </w:r>
      <w:r w:rsidRPr="00ED7A7B" w:rsidR="005D3198">
        <w:t xml:space="preserve"> be subject to certain consequences, t</w:t>
      </w:r>
      <w:r w:rsidRPr="00ED7A7B" w:rsidR="006B14DB">
        <w:t xml:space="preserve">he most severe of </w:t>
      </w:r>
      <w:r w:rsidRPr="00ED7A7B" w:rsidR="005D3198">
        <w:t>which is wit</w:t>
      </w:r>
      <w:r w:rsidRPr="00ED7A7B" w:rsidR="00EC67C8">
        <w:t>h</w:t>
      </w:r>
      <w:r w:rsidRPr="00ED7A7B" w:rsidR="00F62CA0">
        <w:t>h</w:t>
      </w:r>
      <w:r w:rsidRPr="00ED7A7B" w:rsidR="00EC67C8">
        <w:t xml:space="preserve">olding of state funds.  </w:t>
      </w:r>
      <w:r w:rsidRPr="00ED7A7B" w:rsidR="00C6261D">
        <w:t>(</w:t>
      </w:r>
      <w:r w:rsidRPr="00ED7A7B" w:rsidR="003C313C">
        <w:t xml:space="preserve">See </w:t>
      </w:r>
      <w:r w:rsidRPr="00ED7A7B" w:rsidR="00B27CEA">
        <w:t>Ed</w:t>
      </w:r>
      <w:r w:rsidR="007B534C">
        <w:t>.</w:t>
      </w:r>
      <w:r w:rsidRPr="00ED7A7B" w:rsidR="00B27CEA">
        <w:t xml:space="preserve"> Code, </w:t>
      </w:r>
      <w:r w:rsidRPr="00ED7A7B" w:rsidR="002D2CD8">
        <w:t xml:space="preserve">§ 70901, subd. (b)(6)(A) [directing board to establish minimum conditions </w:t>
      </w:r>
      <w:r w:rsidRPr="00ED7A7B" w:rsidR="007D5EDF">
        <w:t>“</w:t>
      </w:r>
      <w:r w:rsidRPr="00ED7A7B" w:rsidR="002D2CD8">
        <w:t>entitling districts to receive state aid</w:t>
      </w:r>
      <w:r w:rsidRPr="00ED7A7B" w:rsidR="007D5EDF">
        <w:t xml:space="preserve">”; </w:t>
      </w:r>
      <w:r w:rsidRPr="00ED7A7B" w:rsidR="00500603">
        <w:rPr>
          <w:szCs w:val="26"/>
        </w:rPr>
        <w:t xml:space="preserve">Cal. Code </w:t>
      </w:r>
      <w:r w:rsidR="003B0DE1">
        <w:rPr>
          <w:szCs w:val="26"/>
        </w:rPr>
        <w:t>Regs.,</w:t>
      </w:r>
      <w:r w:rsidRPr="00ED7A7B" w:rsidR="00500603">
        <w:rPr>
          <w:szCs w:val="26"/>
        </w:rPr>
        <w:t xml:space="preserve"> tit. 5,</w:t>
      </w:r>
      <w:r w:rsidRPr="00ED7A7B" w:rsidR="00C6261D">
        <w:t xml:space="preserve"> § 51102, subd. </w:t>
      </w:r>
      <w:r w:rsidRPr="00ED7A7B" w:rsidR="005C6038">
        <w:t>(b)</w:t>
      </w:r>
      <w:r w:rsidRPr="00ED7A7B" w:rsidR="007D5EDF">
        <w:t xml:space="preserve"> [describing actions Board may take in response to noncompliance</w:t>
      </w:r>
      <w:r w:rsidRPr="00ED7A7B">
        <w:t>, including withholding of state aid</w:t>
      </w:r>
      <w:r w:rsidRPr="00ED7A7B" w:rsidR="007D5EDF">
        <w:t>]</w:t>
      </w:r>
      <w:r w:rsidRPr="00ED7A7B" w:rsidR="00C6261D">
        <w:t>.)</w:t>
      </w:r>
      <w:r w:rsidRPr="00ED7A7B" w:rsidR="005C6038">
        <w:t xml:space="preserve"> </w:t>
      </w:r>
      <w:r w:rsidRPr="00ED7A7B" w:rsidR="00F62CA0">
        <w:t xml:space="preserve"> </w:t>
      </w:r>
    </w:p>
    <w:p w:rsidR="00EC67C8" w:rsidRPr="00ED7A7B" w:rsidP="00ED7A7B" w14:paraId="28FE4C9D" w14:textId="308EA9C5">
      <w:pPr>
        <w:tabs>
          <w:tab w:val="left" w:pos="1440"/>
        </w:tabs>
        <w:ind w:firstLine="720"/>
      </w:pPr>
      <w:r w:rsidRPr="00ED7A7B">
        <w:t xml:space="preserve">While </w:t>
      </w:r>
      <w:r w:rsidRPr="00ED7A7B" w:rsidR="005C6038">
        <w:t xml:space="preserve">the </w:t>
      </w:r>
      <w:r w:rsidRPr="00ED7A7B" w:rsidR="00643531">
        <w:t>d</w:t>
      </w:r>
      <w:r w:rsidRPr="00ED7A7B" w:rsidR="005C34D8">
        <w:t>istrict</w:t>
      </w:r>
      <w:r w:rsidRPr="00ED7A7B" w:rsidR="00643531">
        <w:t>s</w:t>
      </w:r>
      <w:r w:rsidRPr="00ED7A7B" w:rsidR="005C34D8">
        <w:t xml:space="preserve"> argue that the </w:t>
      </w:r>
      <w:r w:rsidRPr="00ED7A7B" w:rsidR="005C6038">
        <w:t xml:space="preserve">threat of such a penalty </w:t>
      </w:r>
      <w:r w:rsidRPr="00ED7A7B" w:rsidR="00643531">
        <w:t>effectively forces</w:t>
      </w:r>
      <w:r w:rsidRPr="00ED7A7B" w:rsidR="0069281D">
        <w:t xml:space="preserve"> community colleges</w:t>
      </w:r>
      <w:r w:rsidRPr="00ED7A7B" w:rsidR="00DB5E60">
        <w:t xml:space="preserve"> to comply</w:t>
      </w:r>
      <w:r w:rsidRPr="00ED7A7B" w:rsidR="0059273D">
        <w:t xml:space="preserve"> with the regulations</w:t>
      </w:r>
      <w:r w:rsidRPr="00ED7A7B" w:rsidR="00966D0E">
        <w:t xml:space="preserve"> (</w:t>
      </w:r>
      <w:r w:rsidRPr="00ED7A7B" w:rsidR="00134490">
        <w:t xml:space="preserve">an issue discussed </w:t>
      </w:r>
      <w:r w:rsidRPr="00ED7A7B">
        <w:t>i</w:t>
      </w:r>
      <w:r w:rsidRPr="00ED7A7B" w:rsidR="00134490">
        <w:t>n more detail below</w:t>
      </w:r>
      <w:r w:rsidRPr="00ED7A7B" w:rsidR="00966D0E">
        <w:t>)</w:t>
      </w:r>
      <w:r w:rsidRPr="00ED7A7B" w:rsidR="00033ED6">
        <w:t>,</w:t>
      </w:r>
      <w:r w:rsidRPr="00ED7A7B" w:rsidR="00134490">
        <w:t xml:space="preserve"> the</w:t>
      </w:r>
      <w:r w:rsidRPr="00ED7A7B" w:rsidR="00DB5E60">
        <w:t>re is no</w:t>
      </w:r>
      <w:r w:rsidRPr="00ED7A7B" w:rsidR="005C6038">
        <w:t>thing in the statute or regulations that creates a</w:t>
      </w:r>
      <w:r w:rsidRPr="00ED7A7B" w:rsidR="00640196">
        <w:t xml:space="preserve"> mandatory</w:t>
      </w:r>
      <w:r w:rsidRPr="00ED7A7B" w:rsidR="005C6038">
        <w:t xml:space="preserve"> legal obligation that they do </w:t>
      </w:r>
      <w:r w:rsidRPr="00ED7A7B" w:rsidR="00DB5E60">
        <w:t xml:space="preserve">so, which is the </w:t>
      </w:r>
      <w:r w:rsidRPr="00ED7A7B" w:rsidR="003731E3">
        <w:t xml:space="preserve">appropriate </w:t>
      </w:r>
      <w:r w:rsidRPr="00ED7A7B" w:rsidR="00DB5E60">
        <w:t xml:space="preserve">test for </w:t>
      </w:r>
      <w:r w:rsidRPr="00ED7A7B" w:rsidR="00134490">
        <w:t xml:space="preserve">legal </w:t>
      </w:r>
      <w:r w:rsidRPr="00ED7A7B" w:rsidR="00643531">
        <w:t>compulsion</w:t>
      </w:r>
      <w:r w:rsidRPr="00ED7A7B" w:rsidR="00134490">
        <w:t>.</w:t>
      </w:r>
      <w:r w:rsidRPr="00ED7A7B" w:rsidR="006A7567">
        <w:t xml:space="preserve"> </w:t>
      </w:r>
      <w:r w:rsidRPr="00ED7A7B" w:rsidR="008305E2">
        <w:t xml:space="preserve"> </w:t>
      </w:r>
      <w:r w:rsidRPr="00ED7A7B" w:rsidR="00033ED6">
        <w:t>I</w:t>
      </w:r>
      <w:r w:rsidRPr="00ED7A7B" w:rsidR="00966D0E">
        <w:t xml:space="preserve">f a community college district is willing to risk </w:t>
      </w:r>
      <w:r w:rsidRPr="00ED7A7B" w:rsidR="00DE382E">
        <w:t xml:space="preserve">the possibility of </w:t>
      </w:r>
      <w:r w:rsidRPr="00ED7A7B" w:rsidR="00033ED6">
        <w:t xml:space="preserve">losing </w:t>
      </w:r>
      <w:r w:rsidRPr="00ED7A7B" w:rsidR="00DE382E">
        <w:t xml:space="preserve">some or all </w:t>
      </w:r>
      <w:r w:rsidRPr="00ED7A7B" w:rsidR="00A7295F">
        <w:t xml:space="preserve">its state aid, </w:t>
      </w:r>
      <w:r w:rsidRPr="00ED7A7B" w:rsidR="00DE382E">
        <w:t>there</w:t>
      </w:r>
      <w:r w:rsidRPr="00ED7A7B" w:rsidR="003731E3">
        <w:t xml:space="preserve"> does not appear to be any</w:t>
      </w:r>
      <w:r w:rsidRPr="00ED7A7B" w:rsidR="00DE382E">
        <w:t xml:space="preserve"> mechanism</w:t>
      </w:r>
      <w:r w:rsidRPr="00ED7A7B" w:rsidR="007D5EDF">
        <w:t xml:space="preserve"> (or at least none the parties have identified)</w:t>
      </w:r>
      <w:r w:rsidRPr="00ED7A7B" w:rsidR="00DE382E">
        <w:t xml:space="preserve"> that would allow the </w:t>
      </w:r>
      <w:r w:rsidRPr="00ED7A7B" w:rsidR="00A7295F">
        <w:t>Chancellor or</w:t>
      </w:r>
      <w:r w:rsidRPr="00ED7A7B" w:rsidR="004606A7">
        <w:t xml:space="preserve"> any other </w:t>
      </w:r>
      <w:r w:rsidRPr="00ED7A7B" w:rsidR="00B10E9E">
        <w:t xml:space="preserve">state </w:t>
      </w:r>
      <w:r w:rsidRPr="00ED7A7B" w:rsidR="004606A7">
        <w:t>entity to compel compliance as a matter of law</w:t>
      </w:r>
      <w:r w:rsidRPr="00ED7A7B" w:rsidR="006A7567">
        <w:t>.</w:t>
      </w:r>
      <w:r>
        <w:rPr>
          <w:rStyle w:val="FootnoteReference"/>
        </w:rPr>
        <w:footnoteReference w:id="8"/>
      </w:r>
    </w:p>
    <w:p w:rsidR="00A61190" w:rsidRPr="00ED7A7B" w:rsidP="00ED7A7B" w14:paraId="241C64D0" w14:textId="440CF475">
      <w:pPr>
        <w:tabs>
          <w:tab w:val="left" w:pos="1440"/>
        </w:tabs>
        <w:ind w:firstLine="720"/>
      </w:pPr>
      <w:r w:rsidRPr="00ED7A7B">
        <w:t>The Court of Appeal</w:t>
      </w:r>
      <w:r w:rsidRPr="00ED7A7B" w:rsidR="00595153">
        <w:t xml:space="preserve"> reached a different conclusion</w:t>
      </w:r>
      <w:r w:rsidRPr="00ED7A7B" w:rsidR="00033ED6">
        <w:t xml:space="preserve">, finding </w:t>
      </w:r>
      <w:r w:rsidRPr="00ED7A7B" w:rsidR="00215BE5">
        <w:t xml:space="preserve">that the districts were legally compelled to comply with the regulations </w:t>
      </w:r>
      <w:r w:rsidRPr="00ED7A7B" w:rsidR="002658C9">
        <w:t xml:space="preserve">because </w:t>
      </w:r>
      <w:r w:rsidRPr="00ED7A7B" w:rsidR="000511A1">
        <w:t>t</w:t>
      </w:r>
      <w:r w:rsidRPr="00ED7A7B" w:rsidR="004F60CB">
        <w:t>he funding entitlement regulations</w:t>
      </w:r>
      <w:r w:rsidRPr="00ED7A7B" w:rsidR="00E35BA0">
        <w:t xml:space="preserve"> “</w:t>
      </w:r>
      <w:r w:rsidRPr="00ED7A7B" w:rsidR="004F60CB">
        <w:t>apply to the underlying core functions of the community colleges, functions compelled by state law</w:t>
      </w:r>
      <w:r w:rsidRPr="00ED7A7B" w:rsidR="009D433E">
        <w:t xml:space="preserve">.” </w:t>
      </w:r>
      <w:r w:rsidRPr="00ED7A7B" w:rsidR="002E1CB3">
        <w:t xml:space="preserve"> </w:t>
      </w:r>
      <w:r w:rsidRPr="00ED7A7B" w:rsidR="009D433E">
        <w:t>In support, the court cited</w:t>
      </w:r>
      <w:r w:rsidRPr="00ED7A7B" w:rsidR="00CF00A1">
        <w:t xml:space="preserve"> to</w:t>
      </w:r>
      <w:r w:rsidRPr="00ED7A7B" w:rsidR="009D433E">
        <w:t xml:space="preserve"> </w:t>
      </w:r>
      <w:r w:rsidRPr="00ED7A7B" w:rsidR="00056269">
        <w:t xml:space="preserve">Education Code </w:t>
      </w:r>
      <w:r w:rsidRPr="00ED7A7B" w:rsidR="009D433E">
        <w:t>s</w:t>
      </w:r>
      <w:r w:rsidRPr="00ED7A7B" w:rsidR="005A405D">
        <w:t>ection 66010.4</w:t>
      </w:r>
      <w:r w:rsidRPr="00ED7A7B" w:rsidR="009D433E">
        <w:t xml:space="preserve">, which </w:t>
      </w:r>
      <w:r w:rsidRPr="00ED7A7B" w:rsidR="00A91F4C">
        <w:t xml:space="preserve">describes </w:t>
      </w:r>
      <w:r w:rsidRPr="00ED7A7B" w:rsidR="005A405D">
        <w:t>the “mission</w:t>
      </w:r>
      <w:r w:rsidR="00DA6BAB">
        <w:t>s</w:t>
      </w:r>
      <w:r w:rsidRPr="00ED7A7B" w:rsidR="005A405D">
        <w:t xml:space="preserve"> and functions” of community colleges</w:t>
      </w:r>
      <w:r w:rsidRPr="00ED7A7B" w:rsidR="00A91F4C">
        <w:t xml:space="preserve">, including (among other things) </w:t>
      </w:r>
      <w:r w:rsidRPr="00ED7A7B" w:rsidR="005A405D">
        <w:t>“academic and vocational instruction</w:t>
      </w:r>
      <w:r w:rsidRPr="00ED7A7B" w:rsidR="00875FC4">
        <w:t> </w:t>
      </w:r>
      <w:r w:rsidRPr="00ED7A7B" w:rsidR="005A405D">
        <w:t>.</w:t>
      </w:r>
      <w:r w:rsidRPr="00ED7A7B" w:rsidR="00875FC4">
        <w:t> </w:t>
      </w:r>
      <w:r w:rsidRPr="00ED7A7B" w:rsidR="005A405D">
        <w:t>.</w:t>
      </w:r>
      <w:r w:rsidRPr="00ED7A7B" w:rsidR="00875FC4">
        <w:t> </w:t>
      </w:r>
      <w:r w:rsidRPr="00ED7A7B" w:rsidR="005A405D">
        <w:t>.</w:t>
      </w:r>
      <w:r w:rsidR="00100B80">
        <w:t> </w:t>
      </w:r>
      <w:r w:rsidRPr="00ED7A7B" w:rsidR="005A405D">
        <w:t>through but not beyond the second year of college</w:t>
      </w:r>
      <w:r w:rsidRPr="00ED7A7B" w:rsidR="00A91F4C">
        <w:t>.</w:t>
      </w:r>
      <w:r w:rsidRPr="00ED7A7B" w:rsidR="005A405D">
        <w:t>”</w:t>
      </w:r>
      <w:r w:rsidRPr="00ED7A7B" w:rsidR="00A91F4C">
        <w:t xml:space="preserve"> </w:t>
      </w:r>
      <w:r w:rsidRPr="00ED7A7B" w:rsidR="00CE24C3">
        <w:t xml:space="preserve"> </w:t>
      </w:r>
      <w:r w:rsidRPr="00ED7A7B" w:rsidR="003F45DD">
        <w:t>(</w:t>
      </w:r>
      <w:r w:rsidRPr="00ED7A7B" w:rsidR="00CE24C3">
        <w:t>Ed. Code, § 66010.4, subd. (a)(1)</w:t>
      </w:r>
      <w:r w:rsidRPr="00ED7A7B" w:rsidR="003F45DD">
        <w:t>.)</w:t>
      </w:r>
      <w:r w:rsidRPr="00ED7A7B" w:rsidR="003068F1">
        <w:t xml:space="preserve"> </w:t>
      </w:r>
      <w:r w:rsidRPr="00ED7A7B" w:rsidR="003F45DD">
        <w:t xml:space="preserve"> </w:t>
      </w:r>
      <w:r w:rsidRPr="00ED7A7B">
        <w:t>In the</w:t>
      </w:r>
      <w:r w:rsidRPr="00ED7A7B" w:rsidR="002658C9">
        <w:t xml:space="preserve"> appellate</w:t>
      </w:r>
      <w:r w:rsidRPr="00ED7A7B">
        <w:t xml:space="preserve"> court’s view, the funding entitlement regulations “direct the community college districts to take specific steps in fulfilling those legally</w:t>
      </w:r>
      <w:r w:rsidRPr="00ED7A7B" w:rsidR="003F45DD">
        <w:t xml:space="preserve"> </w:t>
      </w:r>
      <w:r w:rsidRPr="00ED7A7B">
        <w:t>compelled core mission functions, including requirements pertaining to scholarship, degrees, courses, campuses, counseling, and curriculum.”</w:t>
      </w:r>
      <w:r w:rsidRPr="00ED7A7B" w:rsidR="00683429">
        <w:t xml:space="preserve">  </w:t>
      </w:r>
    </w:p>
    <w:p w:rsidR="00FC31E7" w:rsidRPr="00ED7A7B" w:rsidP="00ED7A7B" w14:paraId="58092605" w14:textId="3567EAC2">
      <w:pPr>
        <w:tabs>
          <w:tab w:val="left" w:pos="1440"/>
        </w:tabs>
        <w:ind w:firstLine="720"/>
      </w:pPr>
      <w:r w:rsidRPr="00ED7A7B">
        <w:t xml:space="preserve">We </w:t>
      </w:r>
      <w:r w:rsidRPr="00ED7A7B" w:rsidR="00C720E7">
        <w:t>do not dispute</w:t>
      </w:r>
      <w:r w:rsidRPr="00ED7A7B">
        <w:t xml:space="preserve"> </w:t>
      </w:r>
      <w:r w:rsidRPr="00ED7A7B" w:rsidR="003068F1">
        <w:t>that</w:t>
      </w:r>
      <w:r w:rsidRPr="00ED7A7B" w:rsidR="00C720E7">
        <w:t xml:space="preserve"> many of</w:t>
      </w:r>
      <w:r w:rsidRPr="00ED7A7B" w:rsidR="003068F1">
        <w:t xml:space="preserve"> </w:t>
      </w:r>
      <w:r w:rsidRPr="00ED7A7B" w:rsidR="005E33C9">
        <w:t>the fun</w:t>
      </w:r>
      <w:r w:rsidRPr="00ED7A7B" w:rsidR="00B87B93">
        <w:t>ding entitlement regulations</w:t>
      </w:r>
      <w:r w:rsidRPr="00ED7A7B" w:rsidR="00943B2B">
        <w:t xml:space="preserve"> </w:t>
      </w:r>
      <w:r w:rsidRPr="00ED7A7B">
        <w:t>are “in connection with” or relate</w:t>
      </w:r>
      <w:r w:rsidRPr="00ED7A7B" w:rsidR="00B87B93">
        <w:t xml:space="preserve"> to the “core functions” that community colleges are required to perform.</w:t>
      </w:r>
      <w:r w:rsidRPr="00ED7A7B" w:rsidR="002658C9">
        <w:t xml:space="preserve"> </w:t>
      </w:r>
      <w:r w:rsidRPr="00ED7A7B" w:rsidR="00683429">
        <w:t xml:space="preserve"> </w:t>
      </w:r>
      <w:r w:rsidRPr="00ED7A7B" w:rsidR="00EB45B2">
        <w:t xml:space="preserve">We are not persuaded, however, that </w:t>
      </w:r>
      <w:r w:rsidRPr="00ED7A7B" w:rsidR="00943B2B">
        <w:t xml:space="preserve">such a relationship </w:t>
      </w:r>
      <w:r w:rsidRPr="00ED7A7B" w:rsidR="00E075A3">
        <w:t xml:space="preserve">is sufficient to establish legal compulsion.  </w:t>
      </w:r>
      <w:r w:rsidRPr="00ED7A7B" w:rsidR="00EB45B2">
        <w:t>As we have previously</w:t>
      </w:r>
      <w:r w:rsidRPr="00ED7A7B" w:rsidR="00943B2B">
        <w:t xml:space="preserve"> explained</w:t>
      </w:r>
      <w:r w:rsidRPr="00ED7A7B" w:rsidR="00EB45B2">
        <w:t xml:space="preserve">, </w:t>
      </w:r>
      <w:r w:rsidRPr="00ED7A7B" w:rsidR="00E075A3">
        <w:t>“</w:t>
      </w:r>
      <w:r w:rsidR="00377CC3">
        <w:t>[T]</w:t>
      </w:r>
      <w:r w:rsidRPr="00ED7A7B" w:rsidR="00E075A3">
        <w:t>he proper focus under a legal compulsion inquiry is upon the nature of claimants’ participation in the underlying programs themselves.”  (</w:t>
      </w:r>
      <w:r w:rsidRPr="00ED7A7B" w:rsidR="00E075A3">
        <w:rPr>
          <w:i/>
          <w:iCs/>
        </w:rPr>
        <w:t>Kern, supra</w:t>
      </w:r>
      <w:r w:rsidRPr="00ED7A7B" w:rsidR="00E075A3">
        <w:t>, 30</w:t>
      </w:r>
      <w:r w:rsidRPr="00ED7A7B" w:rsidR="00350445">
        <w:t> </w:t>
      </w:r>
      <w:r w:rsidRPr="00ED7A7B" w:rsidR="00E075A3">
        <w:t>Cal.4th at p.</w:t>
      </w:r>
      <w:r w:rsidRPr="00ED7A7B" w:rsidR="00350445">
        <w:t> </w:t>
      </w:r>
      <w:r w:rsidRPr="00ED7A7B" w:rsidR="00E075A3">
        <w:t xml:space="preserve">743.) </w:t>
      </w:r>
      <w:r w:rsidRPr="00ED7A7B" w:rsidR="00EB45B2">
        <w:t xml:space="preserve"> </w:t>
      </w:r>
      <w:r w:rsidRPr="00ED7A7B" w:rsidR="009E2351">
        <w:t>A</w:t>
      </w:r>
      <w:r w:rsidRPr="00ED7A7B" w:rsidR="00943B2B">
        <w:t xml:space="preserve">pplying that standard here, </w:t>
      </w:r>
      <w:r w:rsidRPr="00ED7A7B" w:rsidR="00EB45B2">
        <w:t xml:space="preserve">the proper inquiry is whether the </w:t>
      </w:r>
      <w:r w:rsidRPr="00ED7A7B" w:rsidR="002E1CB3">
        <w:t xml:space="preserve">language of the funding entitlement </w:t>
      </w:r>
      <w:r w:rsidRPr="00ED7A7B" w:rsidR="00E41571">
        <w:t xml:space="preserve">provisions </w:t>
      </w:r>
      <w:r w:rsidRPr="00ED7A7B" w:rsidR="000A20D2">
        <w:t>legally obligate</w:t>
      </w:r>
      <w:r w:rsidRPr="00ED7A7B" w:rsidR="006707E7">
        <w:t>s</w:t>
      </w:r>
      <w:r w:rsidRPr="00ED7A7B" w:rsidR="000A20D2">
        <w:t xml:space="preserve"> the </w:t>
      </w:r>
      <w:r w:rsidRPr="00ED7A7B" w:rsidR="00EB45B2">
        <w:t>districts to comply with the</w:t>
      </w:r>
      <w:r w:rsidRPr="00ED7A7B" w:rsidR="000A20D2">
        <w:t xml:space="preserve"> conditions described therein, not</w:t>
      </w:r>
      <w:r w:rsidRPr="00ED7A7B" w:rsidR="00566D46">
        <w:t xml:space="preserve"> whether</w:t>
      </w:r>
      <w:r w:rsidRPr="00ED7A7B" w:rsidR="000A20D2">
        <w:t xml:space="preserve"> </w:t>
      </w:r>
      <w:r w:rsidRPr="00ED7A7B" w:rsidR="00566D46">
        <w:t>those conditions relate to the core functions of the districts</w:t>
      </w:r>
      <w:r w:rsidRPr="00ED7A7B" w:rsidR="000A20D2">
        <w:t>.</w:t>
      </w:r>
      <w:r w:rsidRPr="00ED7A7B" w:rsidR="00EB45B2">
        <w:t xml:space="preserve">  </w:t>
      </w:r>
      <w:r w:rsidRPr="00ED7A7B" w:rsidR="00E41571">
        <w:t>S</w:t>
      </w:r>
      <w:r w:rsidRPr="00ED7A7B" w:rsidR="006F3CC6">
        <w:t>ection 70901</w:t>
      </w:r>
      <w:r w:rsidRPr="00ED7A7B" w:rsidR="00E41571">
        <w:t>, subdivision (b)(6)</w:t>
      </w:r>
      <w:r w:rsidRPr="00ED7A7B" w:rsidR="006F3CC6">
        <w:t xml:space="preserve"> provides that </w:t>
      </w:r>
      <w:r w:rsidRPr="00ED7A7B" w:rsidR="00E41571">
        <w:t xml:space="preserve">compliance with the </w:t>
      </w:r>
      <w:r w:rsidRPr="00ED7A7B" w:rsidR="006F3CC6">
        <w:t>minimum conditions “</w:t>
      </w:r>
      <w:r w:rsidRPr="00ED7A7B" w:rsidR="006F3CC6">
        <w:rPr>
          <w:i/>
          <w:iCs/>
        </w:rPr>
        <w:t>entitl[es]</w:t>
      </w:r>
      <w:r w:rsidRPr="00ED7A7B" w:rsidR="006F3CC6">
        <w:t xml:space="preserve"> districts to receive state aid” (</w:t>
      </w:r>
      <w:r w:rsidRPr="00ED7A7B" w:rsidR="00566D46">
        <w:t>i</w:t>
      </w:r>
      <w:r w:rsidRPr="00ED7A7B" w:rsidR="006F3CC6">
        <w:t>talics added)</w:t>
      </w:r>
      <w:r w:rsidRPr="00ED7A7B" w:rsidR="00566D46">
        <w:t>, while Regulation</w:t>
      </w:r>
      <w:r w:rsidRPr="00ED7A7B" w:rsidR="006F3CC6">
        <w:t xml:space="preserve"> 51102</w:t>
      </w:r>
      <w:r w:rsidRPr="00ED7A7B" w:rsidR="00E41571">
        <w:t>, subdivision (b)</w:t>
      </w:r>
      <w:r w:rsidRPr="00ED7A7B" w:rsidR="006F3CC6">
        <w:t xml:space="preserve"> </w:t>
      </w:r>
      <w:r w:rsidRPr="00ED7A7B" w:rsidR="00997A7D">
        <w:t xml:space="preserve">describes </w:t>
      </w:r>
      <w:r w:rsidRPr="00ED7A7B" w:rsidR="009E18B7">
        <w:t xml:space="preserve">the </w:t>
      </w:r>
      <w:r w:rsidRPr="00ED7A7B" w:rsidR="00997A7D">
        <w:t>remedial</w:t>
      </w:r>
      <w:r w:rsidRPr="00ED7A7B" w:rsidR="003F3F76">
        <w:t xml:space="preserve"> actions</w:t>
      </w:r>
      <w:r w:rsidRPr="00ED7A7B" w:rsidR="00997A7D">
        <w:t xml:space="preserve"> the Chancellor </w:t>
      </w:r>
      <w:r w:rsidRPr="00ED7A7B" w:rsidR="006707E7">
        <w:t>may</w:t>
      </w:r>
      <w:r w:rsidRPr="00ED7A7B" w:rsidR="00997A7D">
        <w:t xml:space="preserve"> impose</w:t>
      </w:r>
      <w:r w:rsidRPr="00ED7A7B" w:rsidR="003F3F76">
        <w:t xml:space="preserve"> </w:t>
      </w:r>
      <w:r w:rsidRPr="00ED7A7B" w:rsidR="009E18B7">
        <w:t xml:space="preserve">in the event of noncompliance, </w:t>
      </w:r>
      <w:r w:rsidRPr="00ED7A7B" w:rsidR="00E41571">
        <w:t>up</w:t>
      </w:r>
      <w:r w:rsidRPr="00ED7A7B" w:rsidR="009E18B7">
        <w:t xml:space="preserve"> </w:t>
      </w:r>
      <w:r w:rsidRPr="00ED7A7B" w:rsidR="00E41571">
        <w:t>to and including withholding of state aid</w:t>
      </w:r>
      <w:r w:rsidRPr="00ED7A7B" w:rsidR="00BA417F">
        <w:t xml:space="preserve">.  </w:t>
      </w:r>
      <w:r w:rsidRPr="00ED7A7B" w:rsidR="006F3CC6">
        <w:t>(</w:t>
      </w:r>
      <w:r w:rsidRPr="00ED7A7B" w:rsidR="00E41571">
        <w:t xml:space="preserve">See </w:t>
      </w:r>
      <w:r w:rsidR="007F26E2">
        <w:t>Cal. Code Regs.,</w:t>
      </w:r>
      <w:r w:rsidR="00364C79">
        <w:t xml:space="preserve"> tit. 5</w:t>
      </w:r>
      <w:r w:rsidR="00842096">
        <w:t>,</w:t>
      </w:r>
      <w:r w:rsidR="007F26E2">
        <w:t xml:space="preserve"> §</w:t>
      </w:r>
      <w:r w:rsidRPr="00ED7A7B" w:rsidR="00BA417F">
        <w:t xml:space="preserve"> </w:t>
      </w:r>
      <w:r w:rsidRPr="00ED7A7B" w:rsidR="006F3CC6">
        <w:t xml:space="preserve">51102, subd. (b)(5).)  Because </w:t>
      </w:r>
      <w:r w:rsidRPr="00ED7A7B" w:rsidR="00E41571">
        <w:t>the</w:t>
      </w:r>
      <w:r w:rsidRPr="00ED7A7B" w:rsidR="009E18B7">
        <w:t>se provisions do not</w:t>
      </w:r>
      <w:r w:rsidRPr="00ED7A7B" w:rsidR="00997A7D">
        <w:t xml:space="preserve"> create a</w:t>
      </w:r>
      <w:r w:rsidRPr="00ED7A7B" w:rsidR="00A152F9">
        <w:t>n</w:t>
      </w:r>
      <w:r w:rsidRPr="00ED7A7B" w:rsidR="00997A7D">
        <w:t xml:space="preserve"> enforceable obligation to comply</w:t>
      </w:r>
      <w:r w:rsidRPr="00ED7A7B" w:rsidR="00A152F9">
        <w:t xml:space="preserve"> with</w:t>
      </w:r>
      <w:r w:rsidRPr="00ED7A7B" w:rsidR="006F3CC6">
        <w:t xml:space="preserve"> the funding </w:t>
      </w:r>
      <w:r w:rsidRPr="00ED7A7B" w:rsidR="009E18B7">
        <w:t xml:space="preserve">entitlement </w:t>
      </w:r>
      <w:r w:rsidRPr="00ED7A7B" w:rsidR="006F3CC6">
        <w:t xml:space="preserve">conditions, </w:t>
      </w:r>
      <w:r w:rsidRPr="00ED7A7B" w:rsidR="003F3F76">
        <w:t xml:space="preserve">but rather </w:t>
      </w:r>
      <w:r w:rsidRPr="00ED7A7B" w:rsidR="00A23976">
        <w:t xml:space="preserve">describe </w:t>
      </w:r>
      <w:r w:rsidRPr="00ED7A7B" w:rsidR="00997A7D">
        <w:t>conditions</w:t>
      </w:r>
      <w:r w:rsidRPr="00ED7A7B" w:rsidR="00A23976">
        <w:t xml:space="preserve"> the districts must satisfy to avoid </w:t>
      </w:r>
      <w:r w:rsidRPr="00ED7A7B" w:rsidR="006707E7">
        <w:t>the</w:t>
      </w:r>
      <w:r w:rsidRPr="00ED7A7B" w:rsidR="00A23976">
        <w:t xml:space="preserve"> possibility of having </w:t>
      </w:r>
      <w:r w:rsidRPr="00ED7A7B" w:rsidR="00A152F9">
        <w:t xml:space="preserve">their </w:t>
      </w:r>
      <w:r w:rsidRPr="00ED7A7B" w:rsidR="00A23976">
        <w:t>state aid</w:t>
      </w:r>
      <w:r w:rsidRPr="00ED7A7B" w:rsidR="006707E7">
        <w:t xml:space="preserve"> reduced or</w:t>
      </w:r>
      <w:r w:rsidRPr="00ED7A7B" w:rsidR="00A23976">
        <w:t xml:space="preserve"> withheld, </w:t>
      </w:r>
      <w:r w:rsidRPr="00ED7A7B" w:rsidR="006F3CC6">
        <w:t xml:space="preserve">the enactments </w:t>
      </w:r>
      <w:r w:rsidRPr="00ED7A7B" w:rsidR="00A152F9">
        <w:t>are not “</w:t>
      </w:r>
      <w:r w:rsidRPr="00ED7A7B" w:rsidR="006F3CC6">
        <w:t>mandates</w:t>
      </w:r>
      <w:r w:rsidRPr="00ED7A7B" w:rsidR="00A152F9">
        <w:t>”</w:t>
      </w:r>
      <w:r w:rsidRPr="00ED7A7B" w:rsidR="006F3CC6">
        <w:t xml:space="preserve"> under a legal compulsion theory.</w:t>
      </w:r>
      <w:r w:rsidRPr="00ED7A7B" w:rsidR="00C50380">
        <w:t xml:space="preserve"> </w:t>
      </w:r>
      <w:r w:rsidRPr="00ED7A7B">
        <w:t xml:space="preserve">  </w:t>
      </w:r>
    </w:p>
    <w:p w:rsidR="00004365" w:rsidRPr="00ED7A7B" w:rsidP="00ED7A7B" w14:paraId="0B0095B2" w14:textId="0C29642C">
      <w:pPr>
        <w:tabs>
          <w:tab w:val="left" w:pos="1440"/>
        </w:tabs>
        <w:ind w:firstLine="720"/>
      </w:pPr>
      <w:r w:rsidRPr="00ED7A7B">
        <w:t>The Court of Appeal</w:t>
      </w:r>
      <w:r w:rsidRPr="00ED7A7B">
        <w:t xml:space="preserve"> </w:t>
      </w:r>
      <w:r w:rsidRPr="00ED7A7B" w:rsidR="00DF707A">
        <w:t xml:space="preserve">also </w:t>
      </w:r>
      <w:r w:rsidRPr="00ED7A7B" w:rsidR="007A7814">
        <w:t>disagreed with</w:t>
      </w:r>
      <w:r w:rsidRPr="00ED7A7B" w:rsidR="00F740D0">
        <w:t xml:space="preserve"> </w:t>
      </w:r>
      <w:r w:rsidRPr="00ED7A7B" w:rsidR="00DF707A">
        <w:t xml:space="preserve">the </w:t>
      </w:r>
      <w:r w:rsidRPr="00ED7A7B">
        <w:t xml:space="preserve">Commission’s </w:t>
      </w:r>
      <w:r w:rsidRPr="00ED7A7B" w:rsidR="000E240A">
        <w:t>conclusion</w:t>
      </w:r>
      <w:r w:rsidRPr="00ED7A7B" w:rsidR="00F740D0">
        <w:t xml:space="preserve"> t</w:t>
      </w:r>
      <w:r w:rsidRPr="00ED7A7B" w:rsidR="00DF707A">
        <w:t xml:space="preserve">hat </w:t>
      </w:r>
      <w:r w:rsidRPr="00ED7A7B" w:rsidR="003D2BD9">
        <w:t xml:space="preserve">compliance with </w:t>
      </w:r>
      <w:r w:rsidRPr="00ED7A7B" w:rsidR="00DF707A">
        <w:t>the funding entitlement regulations</w:t>
      </w:r>
      <w:r w:rsidRPr="00ED7A7B" w:rsidR="007A7814">
        <w:t xml:space="preserve"> </w:t>
      </w:r>
      <w:r w:rsidRPr="00ED7A7B" w:rsidR="003D2BD9">
        <w:t>is not</w:t>
      </w:r>
      <w:r w:rsidRPr="00ED7A7B" w:rsidR="007A7814">
        <w:t xml:space="preserve"> </w:t>
      </w:r>
      <w:r w:rsidRPr="00ED7A7B" w:rsidR="00DF707A">
        <w:t>“legally compelled</w:t>
      </w:r>
      <w:r w:rsidRPr="00ED7A7B" w:rsidR="007A7814">
        <w:t>”</w:t>
      </w:r>
      <w:r w:rsidRPr="00ED7A7B" w:rsidR="00DF707A">
        <w:t xml:space="preserve"> because </w:t>
      </w:r>
      <w:r w:rsidRPr="00ED7A7B" w:rsidR="007A7814">
        <w:t>“</w:t>
      </w:r>
      <w:r w:rsidRPr="00ED7A7B" w:rsidR="00DF707A">
        <w:t>community colleges are f</w:t>
      </w:r>
      <w:r w:rsidRPr="00ED7A7B" w:rsidR="00637B97">
        <w:t>r</w:t>
      </w:r>
      <w:r w:rsidRPr="00ED7A7B" w:rsidR="00DF707A">
        <w:t>ee to decline state aid.”</w:t>
      </w:r>
      <w:r w:rsidRPr="00ED7A7B" w:rsidR="00686EEB">
        <w:t xml:space="preserve"> </w:t>
      </w:r>
      <w:r w:rsidRPr="00ED7A7B" w:rsidR="003D2BD9">
        <w:t xml:space="preserve"> </w:t>
      </w:r>
      <w:r w:rsidRPr="00ED7A7B" w:rsidR="00DF707A">
        <w:t xml:space="preserve">In </w:t>
      </w:r>
      <w:r w:rsidRPr="00ED7A7B" w:rsidR="007A7814">
        <w:t xml:space="preserve">rejecting this argument, </w:t>
      </w:r>
      <w:r w:rsidRPr="00ED7A7B" w:rsidR="00DF707A">
        <w:t xml:space="preserve">the court </w:t>
      </w:r>
      <w:r w:rsidRPr="00ED7A7B" w:rsidR="003D2BD9">
        <w:t xml:space="preserve">noted </w:t>
      </w:r>
      <w:r w:rsidRPr="00ED7A7B" w:rsidR="00947804">
        <w:t xml:space="preserve">that </w:t>
      </w:r>
      <w:r w:rsidRPr="00ED7A7B" w:rsidR="00DF707A">
        <w:t xml:space="preserve">various </w:t>
      </w:r>
      <w:r w:rsidRPr="00ED7A7B" w:rsidR="00212FF5">
        <w:t>statutes and constitutional provision</w:t>
      </w:r>
      <w:r w:rsidRPr="00ED7A7B" w:rsidR="00DF707A">
        <w:t>s</w:t>
      </w:r>
      <w:r w:rsidRPr="00ED7A7B" w:rsidR="003D2BD9">
        <w:t xml:space="preserve"> </w:t>
      </w:r>
      <w:r w:rsidRPr="00ED7A7B" w:rsidR="00212FF5">
        <w:t>require</w:t>
      </w:r>
      <w:r w:rsidRPr="00ED7A7B" w:rsidR="00DF707A">
        <w:t xml:space="preserve"> the state to provide</w:t>
      </w:r>
      <w:r w:rsidRPr="00ED7A7B" w:rsidR="00F740D0">
        <w:t xml:space="preserve"> the</w:t>
      </w:r>
      <w:r w:rsidRPr="00ED7A7B" w:rsidR="00DF707A">
        <w:t xml:space="preserve"> community college</w:t>
      </w:r>
      <w:r w:rsidRPr="00ED7A7B" w:rsidR="00F740D0">
        <w:t xml:space="preserve"> </w:t>
      </w:r>
      <w:r w:rsidRPr="00ED7A7B" w:rsidR="003D2BD9">
        <w:t xml:space="preserve">system sufficient funding to carry out its </w:t>
      </w:r>
      <w:r w:rsidRPr="00ED7A7B" w:rsidR="00947804">
        <w:t>mission</w:t>
      </w:r>
      <w:r w:rsidRPr="00ED7A7B" w:rsidR="00212FF5">
        <w:t xml:space="preserve">.  </w:t>
      </w:r>
      <w:r w:rsidRPr="00ED7A7B" w:rsidR="003D2BD9">
        <w:t>Without citing a specific source, t</w:t>
      </w:r>
      <w:r w:rsidRPr="00ED7A7B" w:rsidR="0069103C">
        <w:t>he court</w:t>
      </w:r>
      <w:r w:rsidRPr="00ED7A7B" w:rsidR="0086225F">
        <w:t xml:space="preserve"> further explained</w:t>
      </w:r>
      <w:r w:rsidRPr="00ED7A7B" w:rsidR="0069103C">
        <w:t xml:space="preserve"> </w:t>
      </w:r>
      <w:r w:rsidRPr="00ED7A7B" w:rsidR="0086225F">
        <w:t xml:space="preserve">that </w:t>
      </w:r>
      <w:r w:rsidRPr="00ED7A7B" w:rsidR="0069103C">
        <w:t>in the most recent year for which</w:t>
      </w:r>
      <w:r w:rsidRPr="00ED7A7B" w:rsidR="00947804">
        <w:t xml:space="preserve"> information was available “</w:t>
      </w:r>
      <w:r w:rsidRPr="00ED7A7B" w:rsidR="0069103C">
        <w:t xml:space="preserve">more than half of California community college funding came from the state </w:t>
      </w:r>
      <w:r w:rsidRPr="00ED7A7B" w:rsidR="00637B97">
        <w:t>G</w:t>
      </w:r>
      <w:r w:rsidRPr="00ED7A7B" w:rsidR="0069103C">
        <w:t xml:space="preserve">eneral </w:t>
      </w:r>
      <w:r w:rsidRPr="00ED7A7B" w:rsidR="00637B97">
        <w:t>F</w:t>
      </w:r>
      <w:r w:rsidRPr="00ED7A7B" w:rsidR="0069103C">
        <w:t>und</w:t>
      </w:r>
      <w:r w:rsidRPr="00ED7A7B" w:rsidR="00A91F4C">
        <w:t>.</w:t>
      </w:r>
      <w:r w:rsidRPr="00ED7A7B" w:rsidR="00875FC4">
        <w:t> </w:t>
      </w:r>
      <w:r w:rsidRPr="00ED7A7B" w:rsidR="00A91F4C">
        <w:t>.</w:t>
      </w:r>
      <w:r w:rsidRPr="00ED7A7B" w:rsidR="00875FC4">
        <w:t> </w:t>
      </w:r>
      <w:r w:rsidRPr="00ED7A7B" w:rsidR="00A91F4C">
        <w:t>.</w:t>
      </w:r>
      <w:r w:rsidRPr="00ED7A7B" w:rsidR="00875FC4">
        <w:t> </w:t>
      </w:r>
      <w:r w:rsidRPr="00ED7A7B" w:rsidR="0069103C">
        <w:t>.</w:t>
      </w:r>
      <w:r w:rsidRPr="00ED7A7B" w:rsidR="00875FC4">
        <w:t> </w:t>
      </w:r>
      <w:r w:rsidRPr="00ED7A7B" w:rsidR="00A91F4C">
        <w:t>[while]</w:t>
      </w:r>
      <w:r w:rsidRPr="00ED7A7B" w:rsidR="0069103C">
        <w:t xml:space="preserve"> other funding sources</w:t>
      </w:r>
      <w:r w:rsidRPr="00ED7A7B" w:rsidR="00875FC4">
        <w:t> </w:t>
      </w:r>
      <w:r w:rsidRPr="00ED7A7B" w:rsidR="00A91F4C">
        <w:t>.</w:t>
      </w:r>
      <w:r w:rsidRPr="00ED7A7B" w:rsidR="00875FC4">
        <w:t> </w:t>
      </w:r>
      <w:r w:rsidRPr="00ED7A7B" w:rsidR="00A91F4C">
        <w:t>.</w:t>
      </w:r>
      <w:r w:rsidRPr="00ED7A7B" w:rsidR="00875FC4">
        <w:t> </w:t>
      </w:r>
      <w:r w:rsidRPr="00ED7A7B" w:rsidR="00A91F4C">
        <w:t>.</w:t>
      </w:r>
      <w:r w:rsidRPr="00ED7A7B" w:rsidR="0069103C">
        <w:t xml:space="preserve"> provided significantly less support.</w:t>
      </w:r>
      <w:r w:rsidRPr="00ED7A7B" w:rsidR="00CE24C3">
        <w:t xml:space="preserve">  (Italics omitted.)</w:t>
      </w:r>
      <w:r w:rsidRPr="00ED7A7B" w:rsidR="00FC7AF2">
        <w:rPr>
          <w:rStyle w:val="FootnoteReference"/>
        </w:rPr>
        <w:t xml:space="preserve"> </w:t>
      </w:r>
      <w:r w:rsidRPr="00ED7A7B" w:rsidR="0069103C">
        <w:t xml:space="preserve">  Like public school districts in general, community college districts are dependent on state aid</w:t>
      </w:r>
      <w:r w:rsidRPr="00ED7A7B">
        <w:t>.</w:t>
      </w:r>
      <w:r w:rsidRPr="00ED7A7B" w:rsidR="0069103C">
        <w:t>”</w:t>
      </w:r>
      <w:r w:rsidRPr="00ED7A7B" w:rsidR="003D2BD9">
        <w:t xml:space="preserve">  </w:t>
      </w:r>
    </w:p>
    <w:p w:rsidR="007103E7" w:rsidRPr="00ED7A7B" w:rsidP="00ED7A7B" w14:paraId="5BDC495B" w14:textId="6B63C17D">
      <w:pPr>
        <w:tabs>
          <w:tab w:val="left" w:pos="1440"/>
        </w:tabs>
        <w:ind w:firstLine="720"/>
      </w:pPr>
      <w:r w:rsidRPr="00ED7A7B">
        <w:t xml:space="preserve">While </w:t>
      </w:r>
      <w:r w:rsidRPr="00ED7A7B" w:rsidR="00073D1E">
        <w:t xml:space="preserve">the Court of Appeal </w:t>
      </w:r>
      <w:r w:rsidRPr="00ED7A7B" w:rsidR="004C6D2C">
        <w:t>may be</w:t>
      </w:r>
      <w:r w:rsidRPr="00ED7A7B" w:rsidR="00841327">
        <w:t xml:space="preserve"> </w:t>
      </w:r>
      <w:r w:rsidRPr="00ED7A7B" w:rsidR="00073D1E">
        <w:t>correct that</w:t>
      </w:r>
      <w:r w:rsidRPr="00ED7A7B" w:rsidR="001D538D">
        <w:t xml:space="preserve"> </w:t>
      </w:r>
      <w:r w:rsidRPr="00ED7A7B" w:rsidR="00A152F9">
        <w:t>some (if not most)</w:t>
      </w:r>
      <w:r w:rsidRPr="00ED7A7B" w:rsidR="009E18B7">
        <w:t xml:space="preserve"> </w:t>
      </w:r>
      <w:r w:rsidRPr="00ED7A7B" w:rsidR="00073D1E">
        <w:t xml:space="preserve">community college districts are </w:t>
      </w:r>
      <w:r w:rsidRPr="00ED7A7B" w:rsidR="00FC7AF2">
        <w:t xml:space="preserve">heavily reliant </w:t>
      </w:r>
      <w:r w:rsidRPr="00ED7A7B" w:rsidR="00073D1E">
        <w:t>on state aid</w:t>
      </w:r>
      <w:r w:rsidR="00212A56">
        <w:t> </w:t>
      </w:r>
      <w:r w:rsidRPr="00ED7A7B" w:rsidR="00682944">
        <w:t>—</w:t>
      </w:r>
      <w:r w:rsidR="00212A56">
        <w:t xml:space="preserve"> </w:t>
      </w:r>
      <w:r w:rsidRPr="00ED7A7B" w:rsidR="00682944">
        <w:t xml:space="preserve">and thus have no true </w:t>
      </w:r>
      <w:r w:rsidRPr="00ED7A7B" w:rsidR="00796946">
        <w:t>alternative</w:t>
      </w:r>
      <w:r w:rsidRPr="00ED7A7B" w:rsidR="00682944">
        <w:t xml:space="preserve"> but to</w:t>
      </w:r>
      <w:r w:rsidRPr="00ED7A7B" w:rsidR="00796946">
        <w:t xml:space="preserve"> act in a manner that secures their funding</w:t>
      </w:r>
      <w:r w:rsidR="00B2709F">
        <w:t> </w:t>
      </w:r>
      <w:r w:rsidRPr="00ED7A7B" w:rsidR="00796946">
        <w:t>—</w:t>
      </w:r>
      <w:r w:rsidRPr="00ED7A7B" w:rsidR="00682944">
        <w:t xml:space="preserve"> </w:t>
      </w:r>
      <w:r w:rsidRPr="00ED7A7B" w:rsidR="00073D1E">
        <w:t xml:space="preserve">those </w:t>
      </w:r>
      <w:r w:rsidRPr="00ED7A7B">
        <w:t xml:space="preserve">arguments sound in </w:t>
      </w:r>
      <w:r w:rsidRPr="00ED7A7B">
        <w:rPr>
          <w:i/>
          <w:iCs/>
        </w:rPr>
        <w:t>practical</w:t>
      </w:r>
      <w:r w:rsidR="007B534C">
        <w:t xml:space="preserve"> compulsion,</w:t>
      </w:r>
      <w:r w:rsidRPr="00ED7A7B">
        <w:t xml:space="preserve"> rather than legal compulsion.</w:t>
      </w:r>
      <w:r>
        <w:rPr>
          <w:rStyle w:val="FootnoteReference"/>
        </w:rPr>
        <w:footnoteReference w:id="9"/>
      </w:r>
      <w:r w:rsidRPr="00ED7A7B" w:rsidR="009E18B7">
        <w:t xml:space="preserve"> </w:t>
      </w:r>
      <w:r w:rsidRPr="00ED7A7B" w:rsidR="007516AB">
        <w:t xml:space="preserve"> </w:t>
      </w:r>
      <w:r w:rsidRPr="00ED7A7B" w:rsidR="00650032">
        <w:t xml:space="preserve">(See generally </w:t>
      </w:r>
      <w:r w:rsidRPr="00ED7A7B" w:rsidR="00650032">
        <w:rPr>
          <w:i/>
          <w:iCs/>
        </w:rPr>
        <w:t>Kern, supra</w:t>
      </w:r>
      <w:r w:rsidRPr="00ED7A7B" w:rsidR="00650032">
        <w:t>, 30</w:t>
      </w:r>
      <w:r w:rsidRPr="00ED7A7B" w:rsidR="00350445">
        <w:t> </w:t>
      </w:r>
      <w:r w:rsidRPr="00ED7A7B" w:rsidR="00650032">
        <w:t>Cal.4th at pp.</w:t>
      </w:r>
      <w:r w:rsidRPr="00ED7A7B" w:rsidR="001D1F41">
        <w:t> </w:t>
      </w:r>
      <w:r w:rsidRPr="00ED7A7B" w:rsidR="00650032">
        <w:t>731, 751 [practical compulsion occurs when the local entity has “ ‘no true option or choice’ ”</w:t>
      </w:r>
      <w:r w:rsidRPr="00ED7A7B">
        <w:t>]</w:t>
      </w:r>
      <w:r w:rsidRPr="00ED7A7B" w:rsidR="008F531B">
        <w:t xml:space="preserve">; </w:t>
      </w:r>
      <w:r w:rsidRPr="00ED7A7B" w:rsidR="008F531B">
        <w:rPr>
          <w:i/>
          <w:iCs/>
        </w:rPr>
        <w:t>City of Sacramento</w:t>
      </w:r>
      <w:r w:rsidRPr="00ED7A7B" w:rsidR="008F531B">
        <w:t xml:space="preserve">, </w:t>
      </w:r>
      <w:r w:rsidRPr="00ED7A7B" w:rsidR="008F531B">
        <w:rPr>
          <w:i/>
          <w:iCs/>
        </w:rPr>
        <w:t>supra</w:t>
      </w:r>
      <w:r w:rsidRPr="00ED7A7B" w:rsidR="008F531B">
        <w:t>, 50</w:t>
      </w:r>
      <w:r w:rsidRPr="00ED7A7B" w:rsidR="00350445">
        <w:t> </w:t>
      </w:r>
      <w:r w:rsidRPr="00ED7A7B" w:rsidR="008F531B">
        <w:t>Cal.3d at p.</w:t>
      </w:r>
      <w:r w:rsidRPr="00ED7A7B" w:rsidR="001D1F41">
        <w:t> </w:t>
      </w:r>
      <w:r w:rsidRPr="00ED7A7B" w:rsidR="008F531B">
        <w:t xml:space="preserve">74 [finding practical compulsion </w:t>
      </w:r>
      <w:r w:rsidRPr="00ED7A7B" w:rsidR="0059232C">
        <w:t>where the consequences of noncompliance “</w:t>
      </w:r>
      <w:r w:rsidRPr="00ED7A7B" w:rsidR="008F531B">
        <w:t>were so far beyond the realm of practical reality that they left the state ‘without discretion’ to depart from federal standards”].</w:t>
      </w:r>
      <w:r w:rsidRPr="00ED7A7B">
        <w:t>)</w:t>
      </w:r>
      <w:r w:rsidRPr="00ED7A7B" w:rsidR="005B57EF">
        <w:t xml:space="preserve"> </w:t>
      </w:r>
      <w:r w:rsidRPr="00ED7A7B" w:rsidR="008F531B">
        <w:t xml:space="preserve"> </w:t>
      </w:r>
      <w:r w:rsidRPr="00ED7A7B">
        <w:t xml:space="preserve"> </w:t>
      </w:r>
    </w:p>
    <w:p w:rsidR="00FC31E7" w:rsidRPr="00ED7A7B" w:rsidP="00ED7A7B" w14:paraId="578B754B" w14:textId="78053CF4">
      <w:pPr>
        <w:tabs>
          <w:tab w:val="left" w:pos="1440"/>
        </w:tabs>
        <w:ind w:firstLine="720"/>
      </w:pPr>
      <w:r w:rsidRPr="00ED7A7B">
        <w:t>The Court of Appeal’s reasoning</w:t>
      </w:r>
      <w:r w:rsidRPr="00ED7A7B" w:rsidR="00E27C77">
        <w:t xml:space="preserve"> is consistent with the</w:t>
      </w:r>
      <w:r w:rsidRPr="00ED7A7B">
        <w:t xml:space="preserve"> primary</w:t>
      </w:r>
      <w:r w:rsidRPr="00ED7A7B" w:rsidR="00E27C77">
        <w:t xml:space="preserve"> argument the districts have</w:t>
      </w:r>
      <w:r w:rsidRPr="00ED7A7B">
        <w:t xml:space="preserve"> raised throughout</w:t>
      </w:r>
      <w:r w:rsidRPr="00ED7A7B" w:rsidR="00AD3C13">
        <w:t xml:space="preserve"> these proceedings</w:t>
      </w:r>
      <w:r w:rsidRPr="00ED7A7B" w:rsidR="00120D88">
        <w:t>, which also sounds in practical compulsion</w:t>
      </w:r>
      <w:r w:rsidRPr="00ED7A7B" w:rsidR="00442991">
        <w:t xml:space="preserve">.  </w:t>
      </w:r>
      <w:r w:rsidRPr="00ED7A7B" w:rsidR="00A51FE2">
        <w:t>In the trial court,</w:t>
      </w:r>
      <w:r w:rsidRPr="00ED7A7B" w:rsidR="00AD3C13">
        <w:t xml:space="preserve"> for example,</w:t>
      </w:r>
      <w:r w:rsidRPr="00ED7A7B" w:rsidR="00A51FE2">
        <w:t xml:space="preserve"> the</w:t>
      </w:r>
      <w:r w:rsidRPr="00ED7A7B" w:rsidR="00980BB8">
        <w:t xml:space="preserve"> districts</w:t>
      </w:r>
      <w:r w:rsidRPr="00ED7A7B" w:rsidR="00A51FE2">
        <w:t xml:space="preserve"> argued that “the most serious error in the [Commission</w:t>
      </w:r>
      <w:r w:rsidRPr="00ED7A7B" w:rsidR="00537B54">
        <w:t xml:space="preserve">’s] decision is the conclusion that the ‘minimum conditions’ of receiving state aid are not mandates because the Colleges may choose not to receive state funding.  That conclusion is erroneous because the Colleges truly have no meaningful choice [but to comply].”  </w:t>
      </w:r>
      <w:r w:rsidRPr="00ED7A7B" w:rsidR="00442991">
        <w:t xml:space="preserve">In support, they cited </w:t>
      </w:r>
      <w:r w:rsidRPr="00ED7A7B" w:rsidR="00B03BB9">
        <w:rPr>
          <w:i/>
          <w:iCs/>
        </w:rPr>
        <w:t>City of Sacramento, supra</w:t>
      </w:r>
      <w:r w:rsidRPr="00ED7A7B" w:rsidR="00B03BB9">
        <w:t>, 50</w:t>
      </w:r>
      <w:r w:rsidRPr="00ED7A7B" w:rsidR="00350445">
        <w:t> </w:t>
      </w:r>
      <w:r w:rsidRPr="00ED7A7B" w:rsidR="00B03BB9">
        <w:t>Cal.3d 51</w:t>
      </w:r>
      <w:r w:rsidRPr="00ED7A7B" w:rsidR="00F30CC7">
        <w:t>,</w:t>
      </w:r>
      <w:r w:rsidRPr="00ED7A7B" w:rsidR="00B03BB9">
        <w:t xml:space="preserve"> a case that turned on practical compulsion.  </w:t>
      </w:r>
      <w:r w:rsidRPr="00ED7A7B" w:rsidR="00F30CC7">
        <w:t xml:space="preserve">(See </w:t>
      </w:r>
      <w:r w:rsidRPr="00ED7A7B" w:rsidR="00F30CC7">
        <w:rPr>
          <w:i/>
          <w:iCs/>
        </w:rPr>
        <w:t>ante</w:t>
      </w:r>
      <w:r w:rsidRPr="00ED7A7B" w:rsidR="00F30CC7">
        <w:t xml:space="preserve">, at </w:t>
      </w:r>
      <w:r w:rsidRPr="00ED7A7B" w:rsidR="00CE24C3">
        <w:t>p</w:t>
      </w:r>
      <w:r w:rsidRPr="00ED7A7B" w:rsidR="00F30CC7">
        <w:t>p.</w:t>
      </w:r>
      <w:r w:rsidRPr="00ED7A7B" w:rsidR="001D1F41">
        <w:t> </w:t>
      </w:r>
      <w:r w:rsidRPr="00ED7A7B" w:rsidR="00CE24C3">
        <w:t>1</w:t>
      </w:r>
      <w:r w:rsidR="008F6C86">
        <w:t>7</w:t>
      </w:r>
      <w:r w:rsidRPr="00ED7A7B" w:rsidR="00CE24C3">
        <w:t>–19</w:t>
      </w:r>
      <w:r w:rsidRPr="00ED7A7B" w:rsidR="00F30CC7">
        <w:t xml:space="preserve">.)  </w:t>
      </w:r>
      <w:r w:rsidRPr="00ED7A7B" w:rsidR="006F6A63">
        <w:t>The</w:t>
      </w:r>
      <w:r w:rsidRPr="00ED7A7B" w:rsidR="00AD3C13">
        <w:t xml:space="preserve"> districts’</w:t>
      </w:r>
      <w:r w:rsidRPr="00ED7A7B" w:rsidR="006F6A63">
        <w:t xml:space="preserve"> briefing in </w:t>
      </w:r>
      <w:r w:rsidRPr="00ED7A7B" w:rsidR="005F30D7">
        <w:t xml:space="preserve">the </w:t>
      </w:r>
      <w:r w:rsidRPr="00ED7A7B" w:rsidR="00B03BB9">
        <w:t>Court of Appeal</w:t>
      </w:r>
      <w:r w:rsidRPr="00ED7A7B" w:rsidR="006F6A63">
        <w:t xml:space="preserve"> contains</w:t>
      </w:r>
      <w:r w:rsidRPr="00ED7A7B" w:rsidR="008B700A">
        <w:t xml:space="preserve"> essentially</w:t>
      </w:r>
      <w:r w:rsidRPr="00ED7A7B" w:rsidR="006F6A63">
        <w:t xml:space="preserve"> identical language, asserting that because</w:t>
      </w:r>
      <w:r w:rsidRPr="00ED7A7B" w:rsidR="00650032">
        <w:t xml:space="preserve"> </w:t>
      </w:r>
      <w:r w:rsidRPr="00ED7A7B" w:rsidR="00C80CC4">
        <w:t>noncompliance with the funding entitlement regulations</w:t>
      </w:r>
      <w:r w:rsidRPr="00ED7A7B" w:rsidR="00650032">
        <w:t xml:space="preserve"> </w:t>
      </w:r>
      <w:r w:rsidRPr="00ED7A7B" w:rsidR="004A1CA8">
        <w:t>c</w:t>
      </w:r>
      <w:r w:rsidRPr="00ED7A7B" w:rsidR="00650032">
        <w:t>ould result in the “drastic loss” of fund</w:t>
      </w:r>
      <w:r w:rsidRPr="00ED7A7B" w:rsidR="006573F0">
        <w:t>ing</w:t>
      </w:r>
      <w:r w:rsidRPr="00ED7A7B" w:rsidR="00650032">
        <w:t xml:space="preserve"> necessary “to </w:t>
      </w:r>
      <w:r w:rsidRPr="00ED7A7B" w:rsidR="006F6A63">
        <w:t>provide educational services,</w:t>
      </w:r>
      <w:r w:rsidRPr="00ED7A7B" w:rsidR="00875FC4">
        <w:t> </w:t>
      </w:r>
      <w:r w:rsidRPr="00ED7A7B" w:rsidR="006F6A63">
        <w:t>.</w:t>
      </w:r>
      <w:r w:rsidRPr="00ED7A7B" w:rsidR="00875FC4">
        <w:t> </w:t>
      </w:r>
      <w:r w:rsidRPr="00ED7A7B" w:rsidR="006F6A63">
        <w:t>.</w:t>
      </w:r>
      <w:r w:rsidRPr="00ED7A7B" w:rsidR="00875FC4">
        <w:t> </w:t>
      </w:r>
      <w:r w:rsidRPr="00ED7A7B" w:rsidR="006F6A63">
        <w:t>.</w:t>
      </w:r>
      <w:r w:rsidR="00212A56">
        <w:t> </w:t>
      </w:r>
      <w:r w:rsidRPr="00ED7A7B" w:rsidR="006F6A63">
        <w:t>the [c]olleges have no true choice but to comply</w:t>
      </w:r>
      <w:r w:rsidRPr="00ED7A7B" w:rsidR="00650032">
        <w:t>.</w:t>
      </w:r>
      <w:r w:rsidRPr="00ED7A7B" w:rsidR="006F6A63">
        <w:t xml:space="preserve">” </w:t>
      </w:r>
      <w:r w:rsidRPr="00ED7A7B" w:rsidR="006573F0">
        <w:t xml:space="preserve"> </w:t>
      </w:r>
      <w:r w:rsidRPr="00ED7A7B" w:rsidR="00F30CC7">
        <w:t>Those</w:t>
      </w:r>
      <w:r w:rsidRPr="00ED7A7B" w:rsidR="004A1CA8">
        <w:t xml:space="preserve"> same</w:t>
      </w:r>
      <w:r w:rsidRPr="00ED7A7B" w:rsidR="00F30CC7">
        <w:t xml:space="preserve"> </w:t>
      </w:r>
      <w:r w:rsidRPr="00ED7A7B" w:rsidR="007516AB">
        <w:t>arguments remain central in the districts’</w:t>
      </w:r>
      <w:r w:rsidRPr="00ED7A7B" w:rsidR="00650032">
        <w:t xml:space="preserve"> briefing before this court</w:t>
      </w:r>
      <w:r w:rsidRPr="00ED7A7B" w:rsidR="007516AB">
        <w:t xml:space="preserve">, </w:t>
      </w:r>
      <w:r w:rsidR="00212A56">
        <w:t xml:space="preserve">where they </w:t>
      </w:r>
      <w:r w:rsidRPr="00ED7A7B" w:rsidR="0086450E">
        <w:t>again</w:t>
      </w:r>
      <w:r w:rsidRPr="00ED7A7B" w:rsidR="007516AB">
        <w:t xml:space="preserve"> contend</w:t>
      </w:r>
      <w:r w:rsidRPr="00ED7A7B" w:rsidR="0086450E">
        <w:t xml:space="preserve"> that</w:t>
      </w:r>
      <w:r w:rsidRPr="00ED7A7B" w:rsidR="008B700A">
        <w:t xml:space="preserve"> “</w:t>
      </w:r>
      <w:r w:rsidRPr="00ED7A7B" w:rsidR="007516AB">
        <w:t>[t]</w:t>
      </w:r>
      <w:r w:rsidRPr="00ED7A7B" w:rsidR="0086450E">
        <w:t>he most serious error in the</w:t>
      </w:r>
      <w:r w:rsidRPr="00ED7A7B" w:rsidR="00CE24C3">
        <w:t> . . . </w:t>
      </w:r>
      <w:r w:rsidRPr="00ED7A7B" w:rsidR="0086450E">
        <w:t>Commission decision is</w:t>
      </w:r>
      <w:r w:rsidRPr="00ED7A7B" w:rsidR="00120D88">
        <w:t> . . .</w:t>
      </w:r>
      <w:r w:rsidR="00212A56">
        <w:t> </w:t>
      </w:r>
      <w:r w:rsidRPr="00ED7A7B" w:rsidR="0086450E">
        <w:t>the conclusion that the minimum conditions of receiving State aid are not mandates because the</w:t>
      </w:r>
      <w:r w:rsidRPr="00ED7A7B" w:rsidR="0032066D">
        <w:t> [d</w:t>
      </w:r>
      <w:r w:rsidRPr="00ED7A7B" w:rsidR="0086450E">
        <w:t>istricts</w:t>
      </w:r>
      <w:r w:rsidRPr="00ED7A7B" w:rsidR="0032066D">
        <w:t>]</w:t>
      </w:r>
      <w:r w:rsidRPr="00ED7A7B" w:rsidR="0086450E">
        <w:t xml:space="preserve"> may somehow choose not to receive</w:t>
      </w:r>
      <w:r w:rsidRPr="00ED7A7B" w:rsidR="007516AB">
        <w:t xml:space="preserve"> </w:t>
      </w:r>
      <w:r w:rsidRPr="00ED7A7B" w:rsidR="0086450E">
        <w:t>state funding.  This conclusion is erroneous because the [districts]</w:t>
      </w:r>
      <w:r w:rsidRPr="00ED7A7B" w:rsidR="007516AB">
        <w:t xml:space="preserve"> </w:t>
      </w:r>
      <w:r w:rsidRPr="00ED7A7B" w:rsidR="0086450E">
        <w:t>have no true choice.</w:t>
      </w:r>
      <w:r w:rsidR="00826B4E">
        <w:t xml:space="preserve">  </w:t>
      </w:r>
      <w:r w:rsidRPr="00ED7A7B" w:rsidR="00120D88">
        <w:t>. . .</w:t>
      </w:r>
      <w:r w:rsidRPr="00ED7A7B" w:rsidR="00F97680">
        <w:t xml:space="preserve"> </w:t>
      </w:r>
      <w:r w:rsidRPr="00ED7A7B" w:rsidR="00AA3A82">
        <w:t xml:space="preserve">[¶] . . . </w:t>
      </w:r>
      <w:r w:rsidR="004A7752">
        <w:t xml:space="preserve"> </w:t>
      </w:r>
      <w:r w:rsidRPr="00ED7A7B" w:rsidR="008B700A">
        <w:t>Put simply, the</w:t>
      </w:r>
      <w:r w:rsidRPr="00ED7A7B" w:rsidR="005A1539">
        <w:t> [d</w:t>
      </w:r>
      <w:r w:rsidRPr="00ED7A7B" w:rsidR="008B700A">
        <w:t>istricts</w:t>
      </w:r>
      <w:r w:rsidRPr="00ED7A7B" w:rsidR="00AA3A82">
        <w:t>]</w:t>
      </w:r>
      <w:r w:rsidRPr="00ED7A7B" w:rsidR="008B700A">
        <w:t xml:space="preserve"> contend community colleges cannot function without state aid.”</w:t>
      </w:r>
      <w:r>
        <w:rPr>
          <w:rStyle w:val="FootnoteReference"/>
        </w:rPr>
        <w:footnoteReference w:id="10"/>
      </w:r>
      <w:r w:rsidRPr="00ED7A7B" w:rsidR="004A1CA8">
        <w:t xml:space="preserve"> </w:t>
      </w:r>
      <w:r w:rsidRPr="00ED7A7B" w:rsidR="0042549B">
        <w:t xml:space="preserve"> </w:t>
      </w:r>
      <w:r w:rsidRPr="00ED7A7B" w:rsidR="00B94736">
        <w:t>L</w:t>
      </w:r>
      <w:r w:rsidRPr="00ED7A7B" w:rsidR="00F97680">
        <w:t>ike the Court of Appeal</w:t>
      </w:r>
      <w:r w:rsidRPr="00ED7A7B" w:rsidR="00B94736">
        <w:t>, the districts’ focus on the consequences of noncompliance, and the</w:t>
      </w:r>
      <w:r w:rsidRPr="00ED7A7B" w:rsidR="00442991">
        <w:t xml:space="preserve"> purported</w:t>
      </w:r>
      <w:r w:rsidRPr="00ED7A7B" w:rsidR="002D7425">
        <w:t xml:space="preserve"> absence o</w:t>
      </w:r>
      <w:r w:rsidRPr="00ED7A7B" w:rsidR="00B94736">
        <w:t>f any true choice, sound</w:t>
      </w:r>
      <w:r w:rsidRPr="00ED7A7B" w:rsidR="002D7425">
        <w:t>s</w:t>
      </w:r>
      <w:r w:rsidRPr="00ED7A7B" w:rsidR="00B94736">
        <w:t xml:space="preserve"> in practical rather than legal compulsion. </w:t>
      </w:r>
      <w:r w:rsidRPr="00ED7A7B" w:rsidR="00EA0FF0">
        <w:t xml:space="preserve"> That</w:t>
      </w:r>
      <w:r w:rsidRPr="00ED7A7B" w:rsidR="00120D88">
        <w:t xml:space="preserve"> the</w:t>
      </w:r>
      <w:r w:rsidRPr="00ED7A7B" w:rsidR="00EA0FF0">
        <w:t xml:space="preserve"> </w:t>
      </w:r>
      <w:r w:rsidRPr="00ED7A7B" w:rsidR="00A9065F">
        <w:t>financial situation</w:t>
      </w:r>
      <w:r w:rsidRPr="00ED7A7B">
        <w:t xml:space="preserve"> of some (or most) districts</w:t>
      </w:r>
      <w:r w:rsidRPr="00ED7A7B" w:rsidR="00A9065F">
        <w:t xml:space="preserve"> may leave them </w:t>
      </w:r>
      <w:r w:rsidRPr="00ED7A7B">
        <w:t xml:space="preserve">with </w:t>
      </w:r>
      <w:r w:rsidRPr="00ED7A7B" w:rsidR="00A9065F">
        <w:t xml:space="preserve">no reasonable alternative but to comply with the funding entitlement regulations does not </w:t>
      </w:r>
      <w:r w:rsidRPr="00ED7A7B" w:rsidR="00CA2438">
        <w:t xml:space="preserve">transform this case into one involving legal compulsion.  </w:t>
      </w:r>
      <w:r w:rsidRPr="00ED7A7B" w:rsidR="00EA0FF0">
        <w:t xml:space="preserve">  </w:t>
      </w:r>
    </w:p>
    <w:p w:rsidR="00FC31E7" w:rsidRPr="00ED7A7B" w:rsidP="00ED7A7B" w14:paraId="2D5B2552" w14:textId="4931221C">
      <w:pPr>
        <w:tabs>
          <w:tab w:val="left" w:pos="1440"/>
        </w:tabs>
        <w:ind w:firstLine="720"/>
      </w:pPr>
      <w:r w:rsidRPr="00ED7A7B">
        <w:t xml:space="preserve">In sum, </w:t>
      </w:r>
      <w:r w:rsidRPr="00ED7A7B" w:rsidR="007E4186">
        <w:t xml:space="preserve">while many of </w:t>
      </w:r>
      <w:r w:rsidRPr="00ED7A7B" w:rsidR="001938AA">
        <w:t>th</w:t>
      </w:r>
      <w:r w:rsidRPr="00ED7A7B" w:rsidR="007E4186">
        <w:t>e</w:t>
      </w:r>
      <w:r w:rsidRPr="00ED7A7B" w:rsidR="001938AA">
        <w:t xml:space="preserve"> </w:t>
      </w:r>
      <w:r w:rsidRPr="00ED7A7B" w:rsidR="007E4186">
        <w:t xml:space="preserve">directives in the </w:t>
      </w:r>
      <w:r w:rsidRPr="00ED7A7B" w:rsidR="001938AA">
        <w:t>funding entitlement regulations relate to the districts’ core educational functions</w:t>
      </w:r>
      <w:r w:rsidRPr="00ED7A7B" w:rsidR="007E4186">
        <w:t xml:space="preserve">, that is </w:t>
      </w:r>
      <w:r w:rsidRPr="00ED7A7B" w:rsidR="008A7C40">
        <w:t>insufficient to show legal compulsion.</w:t>
      </w:r>
      <w:r w:rsidRPr="00ED7A7B" w:rsidR="007E4186">
        <w:t xml:space="preserve">  Rather, to establish legal compulsion, the claimants had to show they had a mandatory duty to comply with the regulations.  The districts have pointed to no such provision.  Instead, they have </w:t>
      </w:r>
      <w:r w:rsidRPr="00ED7A7B" w:rsidR="008A7C40">
        <w:t>assert</w:t>
      </w:r>
      <w:r w:rsidRPr="00ED7A7B" w:rsidR="007E4186">
        <w:t>ed that</w:t>
      </w:r>
      <w:r w:rsidRPr="00ED7A7B" w:rsidR="008A7C40">
        <w:t xml:space="preserve"> </w:t>
      </w:r>
      <w:r w:rsidRPr="00ED7A7B" w:rsidR="009305F8">
        <w:t xml:space="preserve">because they rely on state aid to carry out their core functions, they have no true choice but to comply.  For the reasons discussed above, we conclude </w:t>
      </w:r>
      <w:r w:rsidRPr="00ED7A7B" w:rsidR="00275487">
        <w:t xml:space="preserve">that </w:t>
      </w:r>
      <w:r w:rsidRPr="00ED7A7B" w:rsidR="009305F8">
        <w:t xml:space="preserve">argument </w:t>
      </w:r>
      <w:r w:rsidRPr="00ED7A7B" w:rsidR="009439A6">
        <w:t>should be</w:t>
      </w:r>
      <w:r w:rsidRPr="00ED7A7B" w:rsidR="009305F8">
        <w:t xml:space="preserve"> evaluated under the lens of practical, rather than legal, com</w:t>
      </w:r>
      <w:r w:rsidRPr="00ED7A7B" w:rsidR="008A7C40">
        <w:t xml:space="preserve">pulsion.  </w:t>
      </w:r>
      <w:r w:rsidRPr="00ED7A7B" w:rsidR="001938AA">
        <w:t xml:space="preserve"> </w:t>
      </w:r>
      <w:r w:rsidRPr="00ED7A7B">
        <w:t xml:space="preserve">    </w:t>
      </w:r>
    </w:p>
    <w:p w:rsidR="00FC31E7" w:rsidRPr="00ED7A7B" w:rsidP="00ED7A7B" w14:paraId="55C4F599" w14:textId="33219D23">
      <w:pPr>
        <w:pStyle w:val="Heading3"/>
      </w:pPr>
      <w:r w:rsidRPr="00ED7A7B">
        <w:t>3</w:t>
      </w:r>
      <w:r w:rsidRPr="00ED7A7B" w:rsidR="002D7425">
        <w:t>.</w:t>
      </w:r>
      <w:r w:rsidRPr="00ED7A7B" w:rsidR="002D7425">
        <w:tab/>
      </w:r>
      <w:r w:rsidRPr="00ED7A7B" w:rsidR="0025268E">
        <w:t>On remand, t</w:t>
      </w:r>
      <w:r w:rsidRPr="00ED7A7B" w:rsidR="002D7425">
        <w:t xml:space="preserve">he Court of Appeal </w:t>
      </w:r>
      <w:r w:rsidRPr="00ED7A7B">
        <w:t>s</w:t>
      </w:r>
      <w:r w:rsidRPr="00ED7A7B" w:rsidR="002D7425">
        <w:t xml:space="preserve">hould </w:t>
      </w:r>
      <w:r w:rsidRPr="00ED7A7B">
        <w:t>c</w:t>
      </w:r>
      <w:r w:rsidRPr="00ED7A7B" w:rsidR="002D7425">
        <w:t xml:space="preserve">onsider </w:t>
      </w:r>
      <w:r w:rsidRPr="00ED7A7B">
        <w:t>p</w:t>
      </w:r>
      <w:r w:rsidRPr="00ED7A7B" w:rsidR="002D7425">
        <w:t xml:space="preserve">ractical </w:t>
      </w:r>
      <w:r w:rsidRPr="00ED7A7B">
        <w:t>c</w:t>
      </w:r>
      <w:r w:rsidRPr="00ED7A7B" w:rsidR="002D7425">
        <w:t xml:space="preserve">ompulsion </w:t>
      </w:r>
    </w:p>
    <w:p w:rsidR="00B8631C" w:rsidRPr="00ED7A7B" w:rsidP="00ED7A7B" w14:paraId="73500A7B" w14:textId="622AE1F2">
      <w:pPr>
        <w:ind w:firstLine="720"/>
      </w:pPr>
      <w:r w:rsidRPr="009D1D38">
        <w:t xml:space="preserve">The districts </w:t>
      </w:r>
      <w:r w:rsidRPr="009D1D38" w:rsidR="006C1105">
        <w:t>also</w:t>
      </w:r>
      <w:r w:rsidRPr="009D1D38" w:rsidR="00757EA8">
        <w:t xml:space="preserve"> </w:t>
      </w:r>
      <w:r w:rsidRPr="009D1D38">
        <w:t>argue that</w:t>
      </w:r>
      <w:r w:rsidRPr="009D1D38" w:rsidR="009B05CB">
        <w:t xml:space="preserve"> regardless of whether </w:t>
      </w:r>
      <w:r w:rsidRPr="009D1D38" w:rsidR="00757EA8">
        <w:t>legal compulsion</w:t>
      </w:r>
      <w:r w:rsidRPr="009D1D38" w:rsidR="009B05CB">
        <w:t xml:space="preserve"> applies in this case</w:t>
      </w:r>
      <w:r w:rsidRPr="00ED7A7B" w:rsidR="00757EA8">
        <w:t xml:space="preserve">, </w:t>
      </w:r>
      <w:r w:rsidRPr="00ED7A7B" w:rsidR="00286185">
        <w:t xml:space="preserve">the record </w:t>
      </w:r>
      <w:r w:rsidRPr="00ED7A7B" w:rsidR="00E803A7">
        <w:t xml:space="preserve">makes clear </w:t>
      </w:r>
      <w:r w:rsidRPr="00ED7A7B">
        <w:t>the</w:t>
      </w:r>
      <w:r w:rsidRPr="00ED7A7B" w:rsidR="009B05CB">
        <w:t>y</w:t>
      </w:r>
      <w:r w:rsidRPr="00ED7A7B">
        <w:t xml:space="preserve"> were compelled to</w:t>
      </w:r>
      <w:r w:rsidRPr="00ED7A7B" w:rsidR="00E803A7">
        <w:t xml:space="preserve"> comply</w:t>
      </w:r>
      <w:r w:rsidRPr="00ED7A7B" w:rsidR="00757EA8">
        <w:t xml:space="preserve"> with the funding entitlement regulations</w:t>
      </w:r>
      <w:r w:rsidRPr="00ED7A7B" w:rsidR="00E803A7">
        <w:t xml:space="preserve"> </w:t>
      </w:r>
      <w:r w:rsidRPr="00ED7A7B" w:rsidR="00514339">
        <w:t>as a practical matter.</w:t>
      </w:r>
      <w:r w:rsidRPr="00ED7A7B" w:rsidR="00EF4FDA">
        <w:t xml:space="preserve">  </w:t>
      </w:r>
      <w:r w:rsidRPr="00ED7A7B" w:rsidR="00A2322A">
        <w:t xml:space="preserve">(See </w:t>
      </w:r>
      <w:r w:rsidRPr="00ED7A7B" w:rsidR="00A2322A">
        <w:rPr>
          <w:i/>
          <w:iCs/>
        </w:rPr>
        <w:t>Kern</w:t>
      </w:r>
      <w:r w:rsidRPr="00ED7A7B" w:rsidR="00DD356B">
        <w:rPr>
          <w:i/>
          <w:iCs/>
        </w:rPr>
        <w:t>, supra</w:t>
      </w:r>
      <w:r w:rsidRPr="00ED7A7B" w:rsidR="00A2322A">
        <w:t xml:space="preserve">, </w:t>
      </w:r>
      <w:r w:rsidRPr="00ED7A7B" w:rsidR="00DD356B">
        <w:t xml:space="preserve">30 Cal. 4th </w:t>
      </w:r>
      <w:r w:rsidRPr="00ED7A7B" w:rsidR="00A2322A">
        <w:t>at p. 731</w:t>
      </w:r>
      <w:r w:rsidRPr="00ED7A7B" w:rsidR="00DD356B">
        <w:t xml:space="preserve"> [</w:t>
      </w:r>
      <w:r w:rsidRPr="00ED7A7B" w:rsidR="00A2322A">
        <w:t>“we do not foreclose the possibility that a reimbursable state mandate might be found in  circumstances short of legal compulsion</w:t>
      </w:r>
      <w:r w:rsidRPr="00ED7A7B" w:rsidR="00937ED5">
        <w:t xml:space="preserve">”]; </w:t>
      </w:r>
      <w:r w:rsidRPr="00ED7A7B" w:rsidR="00A2322A">
        <w:rPr>
          <w:i/>
          <w:iCs/>
        </w:rPr>
        <w:t>id</w:t>
      </w:r>
      <w:r w:rsidRPr="00ED7A7B" w:rsidR="00A2322A">
        <w:t>. at p. 736 [</w:t>
      </w:r>
      <w:r w:rsidRPr="00ED7A7B" w:rsidR="00937ED5">
        <w:t xml:space="preserve">leaving open question </w:t>
      </w:r>
      <w:r w:rsidRPr="00ED7A7B" w:rsidR="00633E7D">
        <w:t>“whether</w:t>
      </w:r>
      <w:r w:rsidR="00446BF0">
        <w:t> . . . </w:t>
      </w:r>
      <w:r w:rsidRPr="00ED7A7B" w:rsidR="00A2322A">
        <w:t>there are</w:t>
      </w:r>
      <w:r w:rsidRPr="00ED7A7B" w:rsidR="00633E7D">
        <w:t xml:space="preserve"> </w:t>
      </w:r>
      <w:r w:rsidR="009042C2">
        <w:t xml:space="preserve">some </w:t>
      </w:r>
      <w:r w:rsidRPr="00ED7A7B" w:rsidR="00A2322A">
        <w:t>circumstances in which a state mandate may be found in the absence of legal compulsion</w:t>
      </w:r>
      <w:r w:rsidRPr="00ED7A7B" w:rsidR="00633E7D">
        <w:t xml:space="preserve">”]; </w:t>
      </w:r>
      <w:r w:rsidRPr="00ED7A7B" w:rsidR="00A2322A">
        <w:rPr>
          <w:i/>
          <w:iCs/>
        </w:rPr>
        <w:t>id</w:t>
      </w:r>
      <w:r w:rsidRPr="00ED7A7B" w:rsidR="00A2322A">
        <w:t>. at p. 744</w:t>
      </w:r>
      <w:r w:rsidRPr="00ED7A7B" w:rsidR="00560F01">
        <w:t xml:space="preserve">; see also </w:t>
      </w:r>
      <w:r w:rsidRPr="00ED7A7B" w:rsidR="00560F01">
        <w:rPr>
          <w:i/>
          <w:iCs/>
        </w:rPr>
        <w:t>Department of Finance</w:t>
      </w:r>
      <w:r w:rsidRPr="00ED7A7B" w:rsidR="00560F01">
        <w:t xml:space="preserve">, </w:t>
      </w:r>
      <w:r w:rsidRPr="00ED7A7B" w:rsidR="00560F01">
        <w:rPr>
          <w:i/>
          <w:iCs/>
        </w:rPr>
        <w:t>supra</w:t>
      </w:r>
      <w:r w:rsidRPr="00ED7A7B" w:rsidR="00560F01">
        <w:t>, 170 Cal.App.4th at pp. 1365–1366 [“if a local government participates ‘voluntarily,’ i.e., without legal compulsion or compulsion as a practical matter, in a program with a rule requiring increased costs, there is no requirement of state reimbursement”</w:t>
      </w:r>
      <w:r w:rsidRPr="00ED7A7B" w:rsidR="00431FD9">
        <w:t>].)</w:t>
      </w:r>
      <w:r w:rsidRPr="00ED7A7B" w:rsidR="00560F01">
        <w:t xml:space="preserve">  </w:t>
      </w:r>
    </w:p>
    <w:p w:rsidR="00374785" w:rsidRPr="00ED7A7B" w:rsidP="00ED7A7B" w14:paraId="632FFD91" w14:textId="222AF0B6">
      <w:pPr>
        <w:ind w:firstLine="720"/>
        <w:rPr>
          <w:highlight w:val="yellow"/>
        </w:rPr>
      </w:pPr>
      <w:r w:rsidRPr="00ED7A7B">
        <w:t>The Department, however, contends (as</w:t>
      </w:r>
      <w:r w:rsidRPr="00ED7A7B" w:rsidR="0095520B">
        <w:t xml:space="preserve"> it did in </w:t>
      </w:r>
      <w:r w:rsidRPr="00ED7A7B" w:rsidR="0095520B">
        <w:rPr>
          <w:i/>
          <w:iCs/>
        </w:rPr>
        <w:t>Kern</w:t>
      </w:r>
      <w:r w:rsidRPr="00ED7A7B">
        <w:t>) that</w:t>
      </w:r>
      <w:r w:rsidRPr="00ED7A7B" w:rsidR="0095520B">
        <w:t xml:space="preserve"> we should narrowly interpret article XIII B, section 6</w:t>
      </w:r>
      <w:r w:rsidRPr="00ED7A7B" w:rsidR="00105E24">
        <w:t xml:space="preserve"> </w:t>
      </w:r>
      <w:r w:rsidRPr="00ED7A7B" w:rsidR="0095520B">
        <w:t xml:space="preserve">to </w:t>
      </w:r>
      <w:r w:rsidRPr="00ED7A7B" w:rsidR="00105E24">
        <w:t xml:space="preserve">require reimbursement </w:t>
      </w:r>
      <w:r w:rsidRPr="00ED7A7B" w:rsidR="0095520B">
        <w:t xml:space="preserve">only when a local government has been legally compelled to provide a new program or higher level of service.  </w:t>
      </w:r>
      <w:r w:rsidRPr="00ED7A7B" w:rsidR="001454E4">
        <w:t>(</w:t>
      </w:r>
      <w:r w:rsidRPr="00ED7A7B" w:rsidR="00105E24">
        <w:t xml:space="preserve">See </w:t>
      </w:r>
      <w:r w:rsidRPr="00ED7A7B" w:rsidR="001454E4">
        <w:rPr>
          <w:i/>
          <w:iCs/>
        </w:rPr>
        <w:t>Kern, supra</w:t>
      </w:r>
      <w:r w:rsidRPr="00ED7A7B" w:rsidR="001454E4">
        <w:t xml:space="preserve">, </w:t>
      </w:r>
      <w:r w:rsidRPr="00ED7A7B">
        <w:t>30 Cal.4th</w:t>
      </w:r>
      <w:r w:rsidRPr="00ED7A7B" w:rsidR="001454E4">
        <w:t xml:space="preserve"> </w:t>
      </w:r>
      <w:r w:rsidRPr="00ED7A7B">
        <w:t xml:space="preserve">at </w:t>
      </w:r>
      <w:r w:rsidRPr="00ED7A7B" w:rsidR="001454E4">
        <w:t xml:space="preserve">p. </w:t>
      </w:r>
      <w:r w:rsidRPr="00ED7A7B" w:rsidR="00105E24">
        <w:t>736 [“the Department</w:t>
      </w:r>
      <w:r w:rsidR="00446BF0">
        <w:t> </w:t>
      </w:r>
      <w:r w:rsidRPr="00ED7A7B" w:rsidR="00105E24">
        <w:t>.</w:t>
      </w:r>
      <w:r w:rsidR="00446BF0">
        <w:t> . . </w:t>
      </w:r>
      <w:r w:rsidRPr="00ED7A7B" w:rsidR="00105E24">
        <w:t>asserts that article XIII B, section 6, reflects an intent on the part of the drafters and the electorate to limit reimbursement to costs that are forced upon local governments as a matter of legal compulsion”]</w:t>
      </w:r>
      <w:r w:rsidRPr="00ED7A7B" w:rsidR="001454E4">
        <w:t xml:space="preserve">.)  </w:t>
      </w:r>
      <w:bookmarkStart w:id="20" w:name="_Hlk107987248"/>
      <w:r w:rsidRPr="00ED7A7B" w:rsidR="001454E4">
        <w:t xml:space="preserve">Alternatively, </w:t>
      </w:r>
      <w:r w:rsidRPr="00ED7A7B" w:rsidR="00316BDB">
        <w:t>respondents</w:t>
      </w:r>
      <w:r w:rsidRPr="00ED7A7B" w:rsidR="001454E4">
        <w:t xml:space="preserve"> collectively argue</w:t>
      </w:r>
      <w:r w:rsidRPr="00ED7A7B" w:rsidR="0048510D">
        <w:t xml:space="preserve"> that even </w:t>
      </w:r>
      <w:r w:rsidRPr="00ED7A7B" w:rsidR="00F8276E">
        <w:t xml:space="preserve">if </w:t>
      </w:r>
      <w:r w:rsidRPr="00ED7A7B" w:rsidR="0048510D">
        <w:t>practical compulsion is a valid theory of mandate</w:t>
      </w:r>
      <w:r w:rsidRPr="00ED7A7B" w:rsidR="00F8276E">
        <w:t xml:space="preserve"> (or is assumed to be so)</w:t>
      </w:r>
      <w:r w:rsidRPr="00ED7A7B" w:rsidR="0048510D">
        <w:t xml:space="preserve">, claimants in this case have failed </w:t>
      </w:r>
      <w:r w:rsidRPr="00ED7A7B" w:rsidR="00EE5793">
        <w:t xml:space="preserve">to introduce any evidence establishing that </w:t>
      </w:r>
      <w:r w:rsidRPr="00ED7A7B" w:rsidR="009368A2">
        <w:t xml:space="preserve">noncompliance with the </w:t>
      </w:r>
      <w:r w:rsidRPr="00ED7A7B" w:rsidR="00F8276E">
        <w:t xml:space="preserve">applicable </w:t>
      </w:r>
      <w:r w:rsidRPr="00ED7A7B" w:rsidR="009368A2">
        <w:t>regulations is</w:t>
      </w:r>
      <w:r w:rsidRPr="00ED7A7B" w:rsidR="00EE5793">
        <w:t xml:space="preserve"> “reasonably certain to </w:t>
      </w:r>
      <w:r w:rsidRPr="00ED7A7B" w:rsidR="009368A2">
        <w:t>[result in]</w:t>
      </w:r>
      <w:r w:rsidRPr="00ED7A7B" w:rsidR="00EE5793">
        <w:t xml:space="preserve"> ‘</w:t>
      </w:r>
      <w:r w:rsidR="00FD04AD">
        <w:t> </w:t>
      </w:r>
      <w:r w:rsidRPr="00ED7A7B" w:rsidR="00EE5793">
        <w:t>“severe,”</w:t>
      </w:r>
      <w:r w:rsidR="00FD04AD">
        <w:t> </w:t>
      </w:r>
      <w:r w:rsidRPr="00ED7A7B" w:rsidR="00EE5793">
        <w:t>’ ‘</w:t>
      </w:r>
      <w:r w:rsidRPr="00ED7A7B" w:rsidR="00DD21A2">
        <w:t> </w:t>
      </w:r>
      <w:r w:rsidRPr="00ED7A7B" w:rsidR="00EE5793">
        <w:t>“draconian”</w:t>
      </w:r>
      <w:r w:rsidR="00DE0CDC">
        <w:t> </w:t>
      </w:r>
      <w:r w:rsidRPr="00ED7A7B" w:rsidR="00EE5793">
        <w:t>’ consequences</w:t>
      </w:r>
      <w:bookmarkEnd w:id="20"/>
      <w:r w:rsidRPr="00ED7A7B" w:rsidR="009368A2">
        <w:t xml:space="preserve">.” </w:t>
      </w:r>
      <w:r w:rsidRPr="00ED7A7B" w:rsidR="00EE5793">
        <w:t xml:space="preserve"> </w:t>
      </w:r>
      <w:r w:rsidRPr="00ED7A7B" w:rsidR="00CE7FBB">
        <w:t>(Quoting</w:t>
      </w:r>
      <w:r w:rsidRPr="00ED7A7B" w:rsidR="00CE7FBB">
        <w:rPr>
          <w:i/>
          <w:iCs/>
        </w:rPr>
        <w:t xml:space="preserve"> Kern, </w:t>
      </w:r>
      <w:r w:rsidRPr="00ED7A7B" w:rsidR="005B00C9">
        <w:t xml:space="preserve">at </w:t>
      </w:r>
      <w:r w:rsidRPr="00ED7A7B" w:rsidR="00CE7FBB">
        <w:t>pp. 750–751</w:t>
      </w:r>
      <w:r w:rsidRPr="00ED7A7B" w:rsidR="00C16B3F">
        <w:t xml:space="preserve">; see </w:t>
      </w:r>
      <w:r w:rsidRPr="00ED7A7B" w:rsidR="00C16B3F">
        <w:rPr>
          <w:i/>
          <w:iCs/>
        </w:rPr>
        <w:t>id</w:t>
      </w:r>
      <w:r w:rsidRPr="00ED7A7B" w:rsidR="00C16B3F">
        <w:t>.</w:t>
      </w:r>
      <w:r w:rsidR="00842096">
        <w:t xml:space="preserve"> </w:t>
      </w:r>
      <w:r w:rsidRPr="00ED7A7B" w:rsidR="00C16B3F">
        <w:t xml:space="preserve">at p. 751 </w:t>
      </w:r>
      <w:r w:rsidRPr="00ED7A7B" w:rsidR="00581849">
        <w:t>[finding it “unnecessary to resolve whether” practical compulsion is</w:t>
      </w:r>
      <w:r w:rsidR="00B84E07">
        <w:t xml:space="preserve"> a</w:t>
      </w:r>
      <w:r w:rsidRPr="00ED7A7B" w:rsidR="00581849">
        <w:t xml:space="preserve"> valid theory of mandate </w:t>
      </w:r>
      <w:r w:rsidRPr="00ED7A7B" w:rsidR="005027AA">
        <w:t xml:space="preserve">where </w:t>
      </w:r>
      <w:r w:rsidRPr="00ED7A7B" w:rsidR="00F9287C">
        <w:t xml:space="preserve">claimants had failed to demonstrate noncompliance would result in severe penalties].) </w:t>
      </w:r>
      <w:r w:rsidRPr="00ED7A7B" w:rsidR="00581849">
        <w:t xml:space="preserve"> </w:t>
      </w:r>
      <w:r w:rsidRPr="00ED7A7B" w:rsidR="00EE5793">
        <w:t xml:space="preserve">More specifically, </w:t>
      </w:r>
      <w:r w:rsidRPr="00ED7A7B" w:rsidR="00CE5C77">
        <w:t xml:space="preserve">respondents contend the districts </w:t>
      </w:r>
      <w:r w:rsidRPr="00ED7A7B" w:rsidR="00D839F9">
        <w:t xml:space="preserve">have failed to show either </w:t>
      </w:r>
      <w:r w:rsidRPr="00ED7A7B" w:rsidR="00EE5793">
        <w:t xml:space="preserve">that </w:t>
      </w:r>
      <w:r w:rsidRPr="00ED7A7B" w:rsidR="00CE7FBB">
        <w:t xml:space="preserve">noncompliance is likely to result in </w:t>
      </w:r>
      <w:r w:rsidRPr="00ED7A7B" w:rsidR="00431FD9">
        <w:t xml:space="preserve">withholding of </w:t>
      </w:r>
      <w:r w:rsidRPr="00ED7A7B" w:rsidR="00DD21A2">
        <w:t xml:space="preserve">a </w:t>
      </w:r>
      <w:r w:rsidRPr="00ED7A7B" w:rsidR="00431FD9">
        <w:t xml:space="preserve">significant </w:t>
      </w:r>
      <w:r w:rsidRPr="00ED7A7B" w:rsidR="00DD21A2">
        <w:t>amount of</w:t>
      </w:r>
      <w:r w:rsidRPr="00ED7A7B" w:rsidR="00CE7FBB">
        <w:t xml:space="preserve"> state </w:t>
      </w:r>
      <w:r w:rsidRPr="00ED7A7B" w:rsidR="00FA3524">
        <w:t>aid</w:t>
      </w:r>
      <w:r w:rsidRPr="00ED7A7B" w:rsidR="00DD21A2">
        <w:t>,</w:t>
      </w:r>
      <w:r>
        <w:rPr>
          <w:rStyle w:val="FootnoteReference"/>
        </w:rPr>
        <w:footnoteReference w:id="11"/>
      </w:r>
      <w:r w:rsidRPr="00ED7A7B" w:rsidR="00CE7FBB">
        <w:t xml:space="preserve"> or that </w:t>
      </w:r>
      <w:r w:rsidRPr="00ED7A7B" w:rsidR="00431FD9">
        <w:t>the risk of such withholding le</w:t>
      </w:r>
      <w:r w:rsidRPr="00ED7A7B" w:rsidR="00DD21A2">
        <w:t xml:space="preserve">aves </w:t>
      </w:r>
      <w:r w:rsidRPr="00ED7A7B" w:rsidR="00431FD9">
        <w:t xml:space="preserve">them with </w:t>
      </w:r>
      <w:r w:rsidRPr="00ED7A7B" w:rsidR="00CE7FBB">
        <w:t>no</w:t>
      </w:r>
      <w:r w:rsidRPr="00ED7A7B" w:rsidR="00431FD9">
        <w:t xml:space="preserve"> true</w:t>
      </w:r>
      <w:r w:rsidRPr="00ED7A7B" w:rsidR="00CE7FBB">
        <w:t xml:space="preserve"> alternative but to comply.  </w:t>
      </w:r>
      <w:r w:rsidRPr="00ED7A7B" w:rsidR="00484D52">
        <w:t xml:space="preserve"> </w:t>
      </w:r>
    </w:p>
    <w:p w:rsidR="00E075A3" w:rsidRPr="00ED7A7B" w:rsidP="00572007" w14:paraId="2C11EC23" w14:textId="60BFFA22">
      <w:pPr>
        <w:ind w:firstLine="720"/>
      </w:pPr>
      <w:r w:rsidRPr="00ED7A7B">
        <w:t xml:space="preserve">Because the Court of Appeal found </w:t>
      </w:r>
      <w:r w:rsidRPr="00ED7A7B" w:rsidR="009263F1">
        <w:t xml:space="preserve">the </w:t>
      </w:r>
      <w:r w:rsidRPr="00ED7A7B" w:rsidR="00A0331E">
        <w:t>districts were compelled to comply</w:t>
      </w:r>
      <w:r w:rsidRPr="00ED7A7B" w:rsidR="009263F1">
        <w:t xml:space="preserve"> with the funding entitlement regulations</w:t>
      </w:r>
      <w:r w:rsidRPr="00ED7A7B">
        <w:t xml:space="preserve"> as a matter of legal compulsion</w:t>
      </w:r>
      <w:r w:rsidRPr="00ED7A7B" w:rsidR="009263F1">
        <w:t xml:space="preserve">, </w:t>
      </w:r>
      <w:r w:rsidRPr="00ED7A7B" w:rsidR="009110BF">
        <w:t xml:space="preserve">it </w:t>
      </w:r>
      <w:r w:rsidRPr="00ED7A7B" w:rsidR="00410F8E">
        <w:t xml:space="preserve">chose not to address </w:t>
      </w:r>
      <w:r w:rsidRPr="00ED7A7B">
        <w:t xml:space="preserve">any of the parties’ </w:t>
      </w:r>
      <w:r w:rsidRPr="00ED7A7B" w:rsidR="009263F1">
        <w:t>arguments regarding practical compulsion</w:t>
      </w:r>
      <w:r w:rsidRPr="00ED7A7B" w:rsidR="00351E4D">
        <w:t xml:space="preserve"> (also referred to as “nonlegal compulsion” </w:t>
      </w:r>
      <w:r w:rsidR="00B51145">
        <w:t>[</w:t>
      </w:r>
      <w:r w:rsidRPr="00ED7A7B" w:rsidR="00351E4D">
        <w:rPr>
          <w:i/>
          <w:iCs/>
        </w:rPr>
        <w:t>Kern, supra</w:t>
      </w:r>
      <w:r w:rsidRPr="00ED7A7B" w:rsidR="00351E4D">
        <w:t>, 30 Cal.4th.at p. 75</w:t>
      </w:r>
      <w:r w:rsidR="00B51145">
        <w:t>4]</w:t>
      </w:r>
      <w:r w:rsidRPr="00ED7A7B" w:rsidR="00351E4D">
        <w:t xml:space="preserve">). </w:t>
      </w:r>
      <w:r w:rsidRPr="00ED7A7B" w:rsidR="00BA1E7F">
        <w:t xml:space="preserve"> </w:t>
      </w:r>
      <w:r w:rsidRPr="00ED7A7B" w:rsidR="006A4B06">
        <w:t xml:space="preserve">Having </w:t>
      </w:r>
      <w:r w:rsidRPr="00ED7A7B" w:rsidR="003E329D">
        <w:t xml:space="preserve">now </w:t>
      </w:r>
      <w:r w:rsidRPr="00ED7A7B" w:rsidR="006A4B06">
        <w:t>rejected the Court of Appeal’s conclusion regarding legal compulsion,</w:t>
      </w:r>
      <w:r w:rsidRPr="00ED7A7B" w:rsidR="00DD21A2">
        <w:t xml:space="preserve"> we find</w:t>
      </w:r>
      <w:r w:rsidRPr="00ED7A7B" w:rsidR="006A4B06">
        <w:t xml:space="preserve"> </w:t>
      </w:r>
      <w:r w:rsidRPr="00ED7A7B" w:rsidR="00030ABB">
        <w:t xml:space="preserve">it </w:t>
      </w:r>
      <w:r w:rsidRPr="00ED7A7B" w:rsidR="006A4B06">
        <w:t xml:space="preserve">“appropriate to remand for the [court] to resolve . . . in the first instance” </w:t>
      </w:r>
      <w:r w:rsidRPr="00ED7A7B" w:rsidR="004F5163">
        <w:t>whether the districts may be entitled to reimbursement under a theory of nonlegal compulsion.</w:t>
      </w:r>
      <w:r w:rsidRPr="00ED7A7B" w:rsidR="006A4B06">
        <w:t xml:space="preserve"> </w:t>
      </w:r>
      <w:r w:rsidRPr="00ED7A7B" w:rsidR="009B25C0">
        <w:t xml:space="preserve"> </w:t>
      </w:r>
      <w:r w:rsidRPr="00ED7A7B" w:rsidR="00BA1E7F">
        <w:t>(</w:t>
      </w:r>
      <w:bookmarkStart w:id="21" w:name="_Hlk97304168"/>
      <w:r w:rsidRPr="00ED7A7B" w:rsidR="00C92D33">
        <w:rPr>
          <w:i/>
          <w:iCs/>
        </w:rPr>
        <w:t>Hamilton v. Asbestos Corp.</w:t>
      </w:r>
      <w:r w:rsidRPr="00ED7A7B" w:rsidR="00C92D33">
        <w:t xml:space="preserve"> (2000) 22</w:t>
      </w:r>
      <w:r w:rsidRPr="00ED7A7B" w:rsidR="00350445">
        <w:t> </w:t>
      </w:r>
      <w:r w:rsidRPr="00ED7A7B" w:rsidR="00C92D33">
        <w:t xml:space="preserve">Cal.4th 1127, 1149 </w:t>
      </w:r>
      <w:bookmarkEnd w:id="21"/>
      <w:r w:rsidRPr="00ED7A7B" w:rsidR="00C92D33">
        <w:t xml:space="preserve">[“It is appropriate to remand for the Court of Appeal to resolve . . . in the first instance” issues </w:t>
      </w:r>
      <w:r w:rsidRPr="00ED7A7B" w:rsidR="002747BB">
        <w:t xml:space="preserve">that </w:t>
      </w:r>
      <w:r w:rsidRPr="00ED7A7B" w:rsidR="00C3432F">
        <w:t>t</w:t>
      </w:r>
      <w:r w:rsidRPr="00ED7A7B" w:rsidR="00C92D33">
        <w:t>he court</w:t>
      </w:r>
      <w:r w:rsidRPr="00ED7A7B" w:rsidR="00C3432F">
        <w:t xml:space="preserve"> chose </w:t>
      </w:r>
      <w:r w:rsidRPr="00ED7A7B" w:rsidR="00C92D33">
        <w:t xml:space="preserve">“not </w:t>
      </w:r>
      <w:r w:rsidRPr="00ED7A7B" w:rsidR="00C3432F">
        <w:t xml:space="preserve">[to] </w:t>
      </w:r>
      <w:r w:rsidRPr="00ED7A7B" w:rsidR="00C92D33">
        <w:t xml:space="preserve">reach because of its holdings”]; see </w:t>
      </w:r>
      <w:bookmarkStart w:id="22" w:name="_Hlk97304180"/>
      <w:r w:rsidRPr="00ED7A7B" w:rsidR="004A4CD2">
        <w:rPr>
          <w:i/>
          <w:iCs/>
        </w:rPr>
        <w:t>People v. Goolsby</w:t>
      </w:r>
      <w:r w:rsidRPr="00ED7A7B" w:rsidR="004A4CD2">
        <w:t xml:space="preserve"> (2015) 62</w:t>
      </w:r>
      <w:r w:rsidRPr="00ED7A7B" w:rsidR="00350445">
        <w:t> </w:t>
      </w:r>
      <w:r w:rsidRPr="00ED7A7B" w:rsidR="004A4CD2">
        <w:t>Cal.4th 360, 368</w:t>
      </w:r>
      <w:bookmarkEnd w:id="22"/>
      <w:r w:rsidRPr="00ED7A7B" w:rsidR="004A4CD2">
        <w:t xml:space="preserve"> [reversing finding that Pen</w:t>
      </w:r>
      <w:r w:rsidRPr="00ED7A7B" w:rsidR="00CE5C49">
        <w:t>.</w:t>
      </w:r>
      <w:r w:rsidRPr="00ED7A7B" w:rsidR="004A4CD2">
        <w:t xml:space="preserve"> Code</w:t>
      </w:r>
      <w:r w:rsidR="007B534C">
        <w:t>,</w:t>
      </w:r>
      <w:r w:rsidRPr="00ED7A7B" w:rsidR="004A4CD2">
        <w:t xml:space="preserve"> § 654 barred retrying defendant for a lesser offense and remanding with directions that appellate court “decide</w:t>
      </w:r>
      <w:r w:rsidR="00784137">
        <w:t xml:space="preserve"> </w:t>
      </w:r>
      <w:r w:rsidRPr="00ED7A7B" w:rsidR="00A22F83">
        <w:t>. . .</w:t>
      </w:r>
      <w:r w:rsidR="00784137">
        <w:t xml:space="preserve"> </w:t>
      </w:r>
      <w:r w:rsidRPr="00ED7A7B" w:rsidR="004A4CD2">
        <w:t xml:space="preserve">in the first instance” the </w:t>
      </w:r>
      <w:r w:rsidR="00BE0FC7">
        <w:t xml:space="preserve">unresolved question of </w:t>
      </w:r>
      <w:r w:rsidRPr="00ED7A7B" w:rsidR="004A4CD2">
        <w:t>whether retrial was barred under double jeopardy principles]; see</w:t>
      </w:r>
      <w:r w:rsidRPr="00ED7A7B" w:rsidR="00C92D33">
        <w:t xml:space="preserve"> </w:t>
      </w:r>
      <w:bookmarkStart w:id="23" w:name="_Hlk97304196"/>
      <w:r w:rsidRPr="00ED7A7B" w:rsidR="00C92D33">
        <w:rPr>
          <w:i/>
          <w:iCs/>
        </w:rPr>
        <w:t>Central Coast Forest Assn. v. Fish &amp; Game Com</w:t>
      </w:r>
      <w:r w:rsidRPr="00ED7A7B" w:rsidR="00C92D33">
        <w:t>. (2017) 2</w:t>
      </w:r>
      <w:r w:rsidRPr="00ED7A7B" w:rsidR="00350445">
        <w:t> </w:t>
      </w:r>
      <w:r w:rsidRPr="00ED7A7B" w:rsidR="00C92D33">
        <w:t>Cal.5th 594, 606;</w:t>
      </w:r>
      <w:r w:rsidRPr="00ED7A7B" w:rsidR="00BA1E7F">
        <w:t xml:space="preserve"> </w:t>
      </w:r>
      <w:r w:rsidRPr="00ED7A7B" w:rsidR="00BA1E7F">
        <w:rPr>
          <w:i/>
          <w:iCs/>
        </w:rPr>
        <w:t>In re Manuel G</w:t>
      </w:r>
      <w:r w:rsidRPr="00ED7A7B" w:rsidR="00BA1E7F">
        <w:t>. (1997) 16</w:t>
      </w:r>
      <w:r w:rsidRPr="00ED7A7B" w:rsidR="00350445">
        <w:t> </w:t>
      </w:r>
      <w:r w:rsidRPr="00ED7A7B" w:rsidR="00BA1E7F">
        <w:t>Cal.4th 805, 820</w:t>
      </w:r>
      <w:bookmarkEnd w:id="23"/>
      <w:r w:rsidRPr="00ED7A7B" w:rsidR="00BA1E7F">
        <w:t>.)</w:t>
      </w:r>
      <w:r>
        <w:rPr>
          <w:rStyle w:val="FootnoteReference"/>
        </w:rPr>
        <w:footnoteReference w:id="12"/>
      </w:r>
      <w:r w:rsidRPr="00ED7A7B" w:rsidR="00BA1E7F">
        <w:t xml:space="preserve">  </w:t>
      </w:r>
      <w:r w:rsidRPr="00ED7A7B" w:rsidR="00410F8E">
        <w:t xml:space="preserve"> </w:t>
      </w:r>
    </w:p>
    <w:p w:rsidR="00EC61DA" w:rsidRPr="00ED7A7B" w:rsidP="008E7B58" w14:paraId="69FC990D" w14:textId="77777777">
      <w:pPr>
        <w:tabs>
          <w:tab w:val="left" w:pos="1440"/>
        </w:tabs>
        <w:jc w:val="center"/>
        <w:rPr>
          <w:b/>
          <w:smallCaps/>
          <w:szCs w:val="26"/>
        </w:rPr>
      </w:pPr>
      <w:r w:rsidRPr="00ED7A7B">
        <w:rPr>
          <w:b/>
          <w:smallCaps/>
          <w:szCs w:val="26"/>
        </w:rPr>
        <w:t>III.  Disposition</w:t>
      </w:r>
    </w:p>
    <w:p w:rsidR="00E701E2" w:rsidP="00E701E2" w14:paraId="0E309B0F" w14:textId="2E05B3D1">
      <w:pPr>
        <w:tabs>
          <w:tab w:val="left" w:pos="1440"/>
        </w:tabs>
        <w:ind w:firstLine="720"/>
        <w:rPr>
          <w:szCs w:val="26"/>
        </w:rPr>
      </w:pPr>
      <w:r w:rsidRPr="00ED7A7B">
        <w:rPr>
          <w:szCs w:val="26"/>
        </w:rPr>
        <w:t>T</w:t>
      </w:r>
      <w:r w:rsidRPr="00ED7A7B" w:rsidR="00EC61DA">
        <w:rPr>
          <w:szCs w:val="26"/>
        </w:rPr>
        <w:t>he Court of Appeal’s judgment</w:t>
      </w:r>
      <w:r w:rsidRPr="00ED7A7B">
        <w:rPr>
          <w:szCs w:val="26"/>
        </w:rPr>
        <w:t xml:space="preserve"> is reversed and the matter is</w:t>
      </w:r>
      <w:r w:rsidRPr="00ED7A7B" w:rsidR="00EC61DA">
        <w:rPr>
          <w:szCs w:val="26"/>
        </w:rPr>
        <w:t xml:space="preserve"> remand</w:t>
      </w:r>
      <w:r w:rsidRPr="00ED7A7B">
        <w:rPr>
          <w:szCs w:val="26"/>
        </w:rPr>
        <w:t>ed</w:t>
      </w:r>
      <w:r w:rsidRPr="00ED7A7B" w:rsidR="00EC61DA">
        <w:rPr>
          <w:szCs w:val="26"/>
        </w:rPr>
        <w:t xml:space="preserve"> for further proceedings consistent with this opinion. </w:t>
      </w:r>
    </w:p>
    <w:p w:rsidR="0094225C" w:rsidP="00091993" w14:paraId="164F87D4" w14:textId="493978D7">
      <w:pPr>
        <w:spacing w:after="0" w:line="240" w:lineRule="auto"/>
        <w:jc w:val="left"/>
        <w:rPr>
          <w:szCs w:val="26"/>
        </w:rPr>
      </w:pPr>
      <w:r>
        <w:rPr>
          <w:szCs w:val="26"/>
        </w:rPr>
        <w:br w:type="page"/>
      </w:r>
    </w:p>
    <w:p w:rsidR="00091993" w:rsidP="00E701E2" w14:paraId="1D240DBB" w14:textId="77777777">
      <w:pPr>
        <w:tabs>
          <w:tab w:val="left" w:pos="1440"/>
        </w:tabs>
        <w:ind w:firstLine="720"/>
        <w:rPr>
          <w:szCs w:val="26"/>
        </w:rPr>
      </w:pPr>
    </w:p>
    <w:p w:rsidR="00E701E2" w:rsidRPr="00E701E2" w:rsidP="00E701E2" w14:paraId="04476A4B" w14:textId="3CDD9EDB">
      <w:pPr>
        <w:tabs>
          <w:tab w:val="left" w:pos="1440"/>
        </w:tabs>
        <w:ind w:firstLine="720"/>
        <w:rPr>
          <w:szCs w:val="26"/>
        </w:rPr>
      </w:pPr>
      <w:r>
        <w:rPr>
          <w:szCs w:val="26"/>
        </w:rPr>
        <w:tab/>
      </w:r>
      <w:r>
        <w:rPr>
          <w:szCs w:val="26"/>
        </w:rPr>
        <w:tab/>
      </w:r>
      <w:r>
        <w:rPr>
          <w:szCs w:val="26"/>
        </w:rPr>
        <w:tab/>
      </w:r>
      <w:r>
        <w:rPr>
          <w:szCs w:val="26"/>
        </w:rPr>
        <w:tab/>
      </w:r>
      <w:r>
        <w:rPr>
          <w:szCs w:val="26"/>
        </w:rPr>
        <w:tab/>
      </w:r>
      <w:r>
        <w:rPr>
          <w:szCs w:val="26"/>
        </w:rPr>
        <w:tab/>
      </w:r>
      <w:r>
        <w:rPr>
          <w:szCs w:val="26"/>
        </w:rPr>
        <w:tab/>
      </w:r>
      <w:r w:rsidRPr="00ED7A7B">
        <w:rPr>
          <w:b/>
          <w:szCs w:val="26"/>
        </w:rPr>
        <w:t>GROBAN, J.</w:t>
      </w:r>
      <w:r>
        <w:rPr>
          <w:b/>
          <w:szCs w:val="26"/>
        </w:rPr>
        <w:tab/>
      </w:r>
    </w:p>
    <w:bookmarkEnd w:id="1"/>
    <w:p w:rsidR="00E701E2" w:rsidP="00E701E2" w14:paraId="40861151" w14:textId="310CBCDA">
      <w:pPr>
        <w:jc w:val="left"/>
        <w:rPr>
          <w:b/>
          <w:bCs/>
        </w:rPr>
      </w:pPr>
      <w:r>
        <w:rPr>
          <w:b/>
          <w:bCs/>
        </w:rPr>
        <w:t>We Concur:</w:t>
      </w:r>
    </w:p>
    <w:p w:rsidR="00456376" w:rsidP="00456376" w14:paraId="65C00A60" w14:textId="556E7C5C">
      <w:pPr>
        <w:spacing w:after="0" w:line="240" w:lineRule="auto"/>
        <w:rPr>
          <w:rFonts w:ascii="Times New Roman" w:hAnsi="Times New Roman"/>
          <w:b/>
          <w:sz w:val="26"/>
          <w:szCs w:val="26"/>
        </w:rPr>
      </w:pPr>
      <w:r>
        <w:rPr>
          <w:b/>
          <w:szCs w:val="26"/>
        </w:rPr>
        <w:t>CANTIL-SAKAUYE, C.</w:t>
      </w:r>
      <w:r w:rsidR="00A9583B">
        <w:rPr>
          <w:b/>
          <w:szCs w:val="26"/>
        </w:rPr>
        <w:t> </w:t>
      </w:r>
      <w:r>
        <w:rPr>
          <w:b/>
          <w:szCs w:val="26"/>
        </w:rPr>
        <w:t>J.</w:t>
      </w:r>
    </w:p>
    <w:p w:rsidR="00456376" w:rsidP="00456376" w14:paraId="135B0096" w14:textId="77777777">
      <w:pPr>
        <w:spacing w:after="0" w:line="240" w:lineRule="auto"/>
        <w:rPr>
          <w:b/>
          <w:szCs w:val="26"/>
        </w:rPr>
      </w:pPr>
      <w:r>
        <w:rPr>
          <w:b/>
          <w:szCs w:val="26"/>
        </w:rPr>
        <w:t>CORRIGAN, J.</w:t>
      </w:r>
    </w:p>
    <w:p w:rsidR="00456376" w:rsidP="00456376" w14:paraId="253229B3" w14:textId="77777777">
      <w:pPr>
        <w:spacing w:after="0" w:line="240" w:lineRule="auto"/>
        <w:rPr>
          <w:b/>
        </w:rPr>
      </w:pPr>
      <w:r>
        <w:rPr>
          <w:b/>
        </w:rPr>
        <w:t>KRUGER, J.</w:t>
      </w:r>
    </w:p>
    <w:p w:rsidR="00456376" w:rsidP="00456376" w14:paraId="10767C24" w14:textId="77777777">
      <w:pPr>
        <w:spacing w:after="0" w:line="240" w:lineRule="auto"/>
        <w:rPr>
          <w:b/>
        </w:rPr>
      </w:pPr>
      <w:r>
        <w:rPr>
          <w:b/>
        </w:rPr>
        <w:t>JENKINS, J.</w:t>
      </w:r>
    </w:p>
    <w:p w:rsidR="00456376" w:rsidP="00456376" w14:paraId="2C8528D4" w14:textId="77777777">
      <w:pPr>
        <w:spacing w:after="0" w:line="240" w:lineRule="auto"/>
        <w:rPr>
          <w:b/>
        </w:rPr>
      </w:pPr>
      <w:r>
        <w:rPr>
          <w:b/>
        </w:rPr>
        <w:t>GUERRERO, J.</w:t>
      </w:r>
    </w:p>
    <w:p w:rsidR="00456376" w:rsidRPr="002A21D6" w:rsidP="00E701E2" w14:paraId="50B5B3D0" w14:textId="77777777">
      <w:pPr>
        <w:jc w:val="left"/>
        <w:rPr>
          <w:b/>
          <w:bCs/>
        </w:rPr>
      </w:pPr>
    </w:p>
    <w:p w:rsidR="00E701E2" w:rsidP="00334C78" w14:paraId="1E070B96" w14:textId="0F5443D3">
      <w:pPr>
        <w:jc w:val="left"/>
        <w:rPr>
          <w:b/>
          <w:szCs w:val="26"/>
        </w:rPr>
      </w:pPr>
    </w:p>
    <w:p w:rsidR="00334C78" w:rsidP="00334C78" w14:paraId="335D5655" w14:textId="77777777">
      <w:pPr>
        <w:jc w:val="left"/>
        <w:rPr>
          <w:b/>
          <w:szCs w:val="26"/>
        </w:rPr>
        <w:sectPr w:rsidSect="00ED7A7B">
          <w:footerReference w:type="first" r:id="rId8"/>
          <w:pgSz w:w="12240" w:h="15840"/>
          <w:pgMar w:top="1800" w:right="2160" w:bottom="1440" w:left="2160" w:header="720" w:footer="720" w:gutter="0"/>
          <w:pgNumType w:start="1"/>
          <w:cols w:space="720"/>
          <w:titlePg/>
          <w:docGrid w:linePitch="367"/>
        </w:sectPr>
      </w:pPr>
    </w:p>
    <w:p w:rsidR="00C44C35" w:rsidP="00D54D36" w14:paraId="7A433EE5" w14:textId="77777777">
      <w:pPr>
        <w:jc w:val="center"/>
      </w:pPr>
      <w:r>
        <w:t xml:space="preserve">COAST COMMUNITY COLLEGE DIST. </w:t>
      </w:r>
    </w:p>
    <w:p w:rsidR="00D54D36" w:rsidP="00D54D36" w14:paraId="11A65DE2" w14:textId="5B703237">
      <w:pPr>
        <w:jc w:val="center"/>
      </w:pPr>
      <w:r>
        <w:t>v. COMMISSION ON STATE MANDATES</w:t>
      </w:r>
    </w:p>
    <w:p w:rsidR="00D54D36" w:rsidP="00D54D36" w14:paraId="366C746E" w14:textId="77777777">
      <w:pPr>
        <w:jc w:val="center"/>
      </w:pPr>
      <w:r>
        <w:t>S262663</w:t>
      </w:r>
    </w:p>
    <w:p w:rsidR="00D54D36" w:rsidP="00D54D36" w14:paraId="79BB64D1" w14:textId="77777777">
      <w:pPr>
        <w:jc w:val="center"/>
      </w:pPr>
    </w:p>
    <w:p w:rsidR="00D54D36" w:rsidP="00D54D36" w14:paraId="2517A35C" w14:textId="77777777">
      <w:pPr>
        <w:jc w:val="center"/>
      </w:pPr>
      <w:r>
        <w:t>Concurring Opinion by Justice Liu</w:t>
      </w:r>
    </w:p>
    <w:p w:rsidR="00D54D36" w:rsidP="00D54D36" w14:paraId="16E2B699" w14:textId="77777777">
      <w:pPr>
        <w:jc w:val="center"/>
      </w:pPr>
    </w:p>
    <w:p w:rsidR="00D54D36" w:rsidP="00D54D36" w14:paraId="1283CB93" w14:textId="77777777">
      <w:pPr>
        <w:pStyle w:val="BodyText"/>
        <w:ind w:firstLine="720"/>
      </w:pPr>
      <w:bookmarkStart w:id="25" w:name="mainstory"/>
      <w:bookmarkEnd w:id="25"/>
      <w:r>
        <w:t>The Court of Appeal in this case concluded that community college districts are legally compelled to comply with the regulations setting forth the “minimum conditions entitling districts to receive state aid” (Ed. Code, § 70901, subd. (b)(6)(A)) based on its view that the regulations “direct the community college districts to take specific steps in fulfilling th[eir] legally</w:t>
      </w:r>
      <w:r>
        <w:noBreakHyphen/>
        <w:t>compelled core mission functions.”  I agree with today’s opinion that the Court of Appeal’s reasoning and conclusion are incorrect, and I therefore concur in the judgment of reversal.  However, given the way the parties argued this case, I do not think we have enough information to conclude that the minimum conditions are not legally compelled.  I would remand for further consideration of this issue in light of the relevant statutory and regulatory provisions.</w:t>
      </w:r>
    </w:p>
    <w:p w:rsidR="00D54D36" w:rsidP="00D54D36" w14:paraId="65257E86" w14:textId="77777777">
      <w:pPr>
        <w:pStyle w:val="Heading1"/>
      </w:pPr>
      <w:r>
        <w:t>I.</w:t>
      </w:r>
    </w:p>
    <w:p w:rsidR="00D54D36" w:rsidP="00D54D36" w14:paraId="6A73B664" w14:textId="77777777">
      <w:pPr>
        <w:pStyle w:val="BodyText"/>
        <w:ind w:firstLine="720"/>
      </w:pPr>
      <w:r>
        <w:t>This case concerns the legal obligations of California’s community college districts.  Two sets of potential obligations are at issue:  “minimum standards” and “minimum conditions.”  (Ed. Code, § 70901, subd. (b)(1), (b)(6).)  These two sets of regulations describe a variety of requirements related to community colleges’ operations and academic offerings, and they overlap substantially.</w:t>
      </w:r>
    </w:p>
    <w:p w:rsidR="00D54D36" w:rsidP="00D54D36" w14:paraId="742900C1" w14:textId="77777777">
      <w:pPr>
        <w:pStyle w:val="BodyText"/>
        <w:ind w:firstLine="720"/>
      </w:pPr>
      <w:r>
        <w:t xml:space="preserve">It is uncontested that the community college districts are legally obligated to comply with the minimum </w:t>
      </w:r>
      <w:r>
        <w:rPr>
          <w:i/>
          <w:iCs/>
        </w:rPr>
        <w:t>standards</w:t>
      </w:r>
      <w:r>
        <w:t xml:space="preserve">, making costs incurred in compliance with those regulations subject to reimbursement under provisions added to the California Constitution by Proposition 13.  (See </w:t>
      </w:r>
      <w:r>
        <w:rPr>
          <w:i/>
          <w:iCs/>
        </w:rPr>
        <w:t>Dept. of Finance v. Com. on State Mandates</w:t>
      </w:r>
      <w:r>
        <w:t xml:space="preserve"> (2003) 30 Cal.4th 727, 743 [costs that are “legally compelled . . . constitute reimbursable state mandates”].)  The court below determined that the districts are legally compelled to comply with the minimum </w:t>
      </w:r>
      <w:r>
        <w:rPr>
          <w:i/>
          <w:iCs/>
        </w:rPr>
        <w:t>conditions</w:t>
      </w:r>
      <w:r>
        <w:t xml:space="preserve"> regulations as well.  We are asked to review that decision.</w:t>
      </w:r>
    </w:p>
    <w:p w:rsidR="00D54D36" w:rsidP="00D54D36" w14:paraId="640ED190" w14:textId="77777777">
      <w:pPr>
        <w:pStyle w:val="BodyText"/>
        <w:ind w:firstLine="720"/>
      </w:pPr>
      <w:r>
        <w:t>The Education Code tells us where to look to understand the legal obligations of community college districts.  Section 70900 of the Education Code says that “local districts shall carry out the functions specified in Section 70902.”  (Ed. Code, § 70900.)  Section 70902 of the Education Code (section 70902) then sets forth in detail the obligations of community college districts.  Certain provisions of that section specifically instruct districts to comply with at least some of the minimum standards.  For instance, subdivision (b) states that “each community college district shall [¶] . . . [¶] [e]stablish academic standards, probation and dismissal and readmission policies, and graduation requirements not inconsistent with the minimum standards” and shall “[e]mploy and assign all personnel not inconsistent with the minimum standards.”  (Ed. Code, § 70902, subd. (b), (b)(3), (b)(4).)</w:t>
      </w:r>
    </w:p>
    <w:p w:rsidR="00D54D36" w:rsidP="00D54D36" w14:paraId="278A7F6B" w14:textId="77777777">
      <w:pPr>
        <w:pStyle w:val="BodyText"/>
        <w:ind w:firstLine="720"/>
      </w:pPr>
      <w:r>
        <w:t>Section 70902 does not specifically mention the minimum conditions.  But several provisions of section 70902 appear to create broad legal requirements for community college districts that might include compliance with those regulations.  For example, subdivision (a)(2) says districts “shall establish rules and regulations not inconsistent with the regulations of the board of governors,” the state’s supervisory entity that issues both the minimum standards and minimum conditions regulations.  (Ed. Code, § 70902, subd. (a)(2); see also § 70901, subd. (b)(1), (6) [requiring board of governors to establish minimum standards and minimum conditions].)  Section 70902 also requires districts to initiate and operate their programs in ways that are “not in conflict with or inconsistent with, or preempted by, any law and that [are] not in conflict with the purposes for which community college districts are established.”  (Ed. Code, § 70902, subd. (a)(1).)  These provisions could be read to require community colleges to comply with some or all of the specific requirements of the minimum conditions regulations.</w:t>
      </w:r>
    </w:p>
    <w:p w:rsidR="00D54D36" w:rsidP="00D54D36" w14:paraId="0746FA40" w14:textId="77777777">
      <w:pPr>
        <w:pStyle w:val="BodyText"/>
        <w:ind w:firstLine="720"/>
      </w:pPr>
      <w:r>
        <w:t>Because this statutory language is not free of ambiguity, we look to applicable regulations to discern what consequences may flow from noncompliance with the minimum conditions in order to decide whether they are legally compelled.  Sections 51100 and 51102 of title 5 of the California Code of Regulations govern the investigation and enforcement of the minimum conditions.  When a district is found to be in noncompliance with the minimum conditions, section 51102 describes several penalties that may be imposed, which include withholding or reduction of state funding.  (Cal. Code Regs., tit. 5, § 51102, subd. (b).)  But section 51100 further instructs that “[t]he enforcement procedures and remedies set forth in this subchapter are in addition to any and all other enforcement mechanisms and remedies provided by law for violation of the provisions of this chapter” (i.e., the minimum conditions).  (Cal. Code Regs., tit. 5, § 51100, subd. (d).)</w:t>
      </w:r>
    </w:p>
    <w:p w:rsidR="00D54D36" w:rsidP="00D54D36" w14:paraId="48FB1C93" w14:textId="77777777">
      <w:pPr>
        <w:pStyle w:val="BodyText"/>
        <w:ind w:firstLine="720"/>
      </w:pPr>
      <w:r>
        <w:t>Section 51100 does not say what other enforcement mechanisms and remedies are available for violations of the minimum conditions.  And we have received no briefing or argument about what legal obligations related to the minimum conditions may be imposed by section 70902 or what enforcement mechanisms besides withholding of funds are contemplated by section 51100.  Without further information about the meaning of those provisions, I do not see how we can determine whether compliance with the minimum conditions is legally compelled.</w:t>
      </w:r>
    </w:p>
    <w:p w:rsidR="00D54D36" w:rsidP="00D54D36" w14:paraId="64841D80" w14:textId="77777777">
      <w:pPr>
        <w:pStyle w:val="Heading1"/>
      </w:pPr>
      <w:r>
        <w:t>II.</w:t>
      </w:r>
    </w:p>
    <w:p w:rsidR="00D54D36" w:rsidP="00D54D36" w14:paraId="3B6C9922" w14:textId="77777777">
      <w:pPr>
        <w:pStyle w:val="BodyText"/>
        <w:ind w:firstLine="720"/>
      </w:pPr>
      <w:r>
        <w:t xml:space="preserve">Today’s opinion focuses instead on the language of section 70901 of the Education Code, the part of the Code that describes the obligations of the state board of governors.  (See Ed. Code, § 70900 [“The board of governors shall carry out the functions specified in Section 70901, [and] local districts shall carry out the functions specified in Section 70902 . . . .”].)  The court reasons that because subdivision (b)(6) of section 70901 “and its implementing regulations contain no language ‘command[ing]’ [citation] that the districts comply with the [minimum conditions] regulations,” compliance with the minimum conditions is not compelled by statute.  (Maj. opn., </w:t>
      </w:r>
      <w:r>
        <w:rPr>
          <w:i/>
          <w:iCs/>
        </w:rPr>
        <w:t>ante</w:t>
      </w:r>
      <w:r>
        <w:t>, at p. 21.)</w:t>
      </w:r>
    </w:p>
    <w:p w:rsidR="00D54D36" w:rsidP="00D54D36" w14:paraId="503B7AD4" w14:textId="77777777">
      <w:pPr>
        <w:pStyle w:val="BodyText"/>
        <w:ind w:firstLine="720"/>
      </w:pPr>
      <w:r>
        <w:t>But, as noted, section 70901 does not set forth the legal duties of community college districts; it addresses the duties of the state board of governors.  The statute that describes the legal responsibilities of community college districts is section 70902, which today’s opinion does not consider in its assessment of the minimum conditions.</w:t>
      </w:r>
    </w:p>
    <w:p w:rsidR="00D54D36" w:rsidP="00D54D36" w14:paraId="14E3E9D0" w14:textId="77777777">
      <w:pPr>
        <w:pStyle w:val="BodyText"/>
        <w:ind w:firstLine="720"/>
      </w:pPr>
      <w:r>
        <w:t xml:space="preserve">Further, the court explains the procedure under section 51102 of the regulations by which state funding may potentially be withheld from districts for noncompliance with the minimum conditions.  It then declares that this is “the most severe” consequence for noncompliance.  (Maj. opn., </w:t>
      </w:r>
      <w:r>
        <w:rPr>
          <w:i/>
          <w:iCs/>
        </w:rPr>
        <w:t>ante</w:t>
      </w:r>
      <w:r>
        <w:t>, at p. 21.)  If that were true, I would agree that the consequences for noncompliance with the minimum conditions are insufficient to impose a legal mandate.  But we do not know whether withholding of funds is “the most severe” consequence districts may face.  The court does not discuss section 51100, subdivision (d) — the regulation that makes that consequence nonexclusive — nor do we have any information about what other consequences are authorized by the regulations.</w:t>
      </w:r>
    </w:p>
    <w:p w:rsidR="00D54D36" w:rsidP="00D54D36" w14:paraId="068D9F64" w14:textId="77777777">
      <w:pPr>
        <w:pStyle w:val="BodyText"/>
        <w:ind w:firstLine="720"/>
      </w:pPr>
      <w:r>
        <w:t xml:space="preserve">The parties have not supplied briefing or argument on the language in section 70902 that may obligate districts to follow the minimum conditions or the provision of section 51100 of the regulations that makes withholding of funds a nonexclusive remedy for noncompliance.  They have focused instead on the language of section 70901, as the court does.  But we must consider all relevant provisions before reaching a conclusion as to whether compliance with the minimum conditions is legally compelled.  Indeed, the fact that neither the parties nor the courts below have discussed section 70902 or section 51100 is exactly why I would not go as far as the court does today.  (Cf. maj. opn., </w:t>
      </w:r>
      <w:r>
        <w:rPr>
          <w:i/>
          <w:iCs/>
        </w:rPr>
        <w:t>ante</w:t>
      </w:r>
      <w:r>
        <w:t>, at pp. 29–30, fn. 10.)  I would hold only that the Court of Appeal’s analysis was incorrect and remand for that court to consider in the first instance any other theories of legal or practical compulsion, including any mandate that may be imposed by section 70902 or section 51100.  Without due consideration of those provisions, I would not hold, as today’s opinion does, that community college districts are not legally compelled to comply with the minimum conditions.</w:t>
      </w:r>
    </w:p>
    <w:p w:rsidR="00D54D36" w:rsidP="00D54D36" w14:paraId="0228761B" w14:textId="77777777">
      <w:pPr>
        <w:pStyle w:val="BodyText"/>
        <w:ind w:firstLine="720"/>
      </w:pPr>
      <w:r>
        <w:t>I concur only in the judgment of reversal.</w:t>
      </w:r>
    </w:p>
    <w:p w:rsidR="00D54D36" w:rsidP="00D54D36" w14:paraId="654794D1" w14:textId="77777777">
      <w:pPr>
        <w:pStyle w:val="BodyText"/>
        <w:ind w:firstLine="720"/>
      </w:pPr>
      <w:r>
        <w:tab/>
      </w:r>
      <w:r>
        <w:tab/>
      </w:r>
      <w:r>
        <w:tab/>
      </w:r>
      <w:r>
        <w:tab/>
      </w:r>
      <w:r>
        <w:tab/>
      </w:r>
      <w:r>
        <w:tab/>
      </w:r>
      <w:r>
        <w:rPr>
          <w:b/>
          <w:bCs/>
        </w:rPr>
        <w:t>LIU, J.</w:t>
      </w:r>
    </w:p>
    <w:p w:rsidR="00D00162" w:rsidP="00334C78" w14:paraId="2E6A9260" w14:textId="77777777">
      <w:pPr>
        <w:jc w:val="left"/>
        <w:rPr>
          <w:b/>
          <w:szCs w:val="26"/>
        </w:rPr>
        <w:sectPr w:rsidSect="00996D0B">
          <w:headerReference w:type="default" r:id="rId9"/>
          <w:footerReference w:type="first" r:id="rId10"/>
          <w:pgSz w:w="12240" w:h="15840" w:code="1"/>
          <w:pgMar w:top="1800" w:right="2160" w:bottom="1440" w:left="2160" w:header="720" w:footer="720" w:gutter="0"/>
          <w:pgNumType w:start="1"/>
          <w:cols w:space="720"/>
          <w:titlePg/>
          <w:docGrid w:linePitch="367"/>
        </w:sectPr>
      </w:pPr>
    </w:p>
    <w:p w:rsidR="00086209" w:rsidRPr="00086209" w:rsidP="00086209" w14:paraId="51CEDF8A" w14:textId="77777777">
      <w:pPr>
        <w:spacing w:after="0" w:line="240" w:lineRule="auto"/>
        <w:jc w:val="left"/>
        <w:rPr>
          <w:i/>
          <w:sz w:val="24"/>
          <w:szCs w:val="24"/>
        </w:rPr>
      </w:pPr>
      <w:r w:rsidRPr="00086209">
        <w:rPr>
          <w:i/>
          <w:sz w:val="24"/>
          <w:szCs w:val="24"/>
        </w:rPr>
        <w:t>See next page for addresses and telephone numbers for counsel who argued in Supreme Court.</w:t>
      </w:r>
    </w:p>
    <w:p w:rsidR="00086209" w:rsidRPr="00086209" w:rsidP="00086209" w14:paraId="08628116" w14:textId="77777777">
      <w:pPr>
        <w:spacing w:after="0" w:line="240" w:lineRule="auto"/>
        <w:jc w:val="left"/>
        <w:rPr>
          <w:i/>
          <w:sz w:val="24"/>
          <w:szCs w:val="24"/>
        </w:rPr>
      </w:pPr>
    </w:p>
    <w:p w:rsidR="00086209" w:rsidRPr="00086209" w:rsidP="00086209" w14:paraId="45FED533" w14:textId="77777777">
      <w:pPr>
        <w:spacing w:after="0" w:line="240" w:lineRule="auto"/>
        <w:jc w:val="left"/>
        <w:rPr>
          <w:bCs/>
          <w:sz w:val="24"/>
          <w:szCs w:val="24"/>
        </w:rPr>
      </w:pPr>
      <w:r w:rsidRPr="00086209">
        <w:rPr>
          <w:b/>
          <w:sz w:val="24"/>
          <w:szCs w:val="24"/>
        </w:rPr>
        <w:t xml:space="preserve">Name of Opinion  </w:t>
      </w:r>
      <w:r w:rsidRPr="00086209">
        <w:rPr>
          <w:bCs/>
          <w:sz w:val="24"/>
          <w:szCs w:val="24"/>
        </w:rPr>
        <w:t>Coast Community College District v. Commission on State Mandates</w:t>
      </w:r>
    </w:p>
    <w:p w:rsidR="00086209" w:rsidRPr="00086209" w:rsidP="00086209" w14:paraId="5C45E5CF" w14:textId="77777777">
      <w:pPr>
        <w:spacing w:after="0" w:line="240" w:lineRule="auto"/>
        <w:jc w:val="left"/>
        <w:rPr>
          <w:b/>
          <w:sz w:val="24"/>
          <w:szCs w:val="24"/>
        </w:rPr>
      </w:pPr>
      <w:r w:rsidRPr="00086209">
        <w:rPr>
          <w:b/>
          <w:sz w:val="24"/>
          <w:szCs w:val="24"/>
        </w:rPr>
        <w:t xml:space="preserve">__________________________________________________________ </w:t>
      </w:r>
    </w:p>
    <w:p w:rsidR="00086209" w:rsidRPr="00086209" w:rsidP="00086209" w14:paraId="008E1FB4" w14:textId="77777777">
      <w:pPr>
        <w:spacing w:after="0" w:line="240" w:lineRule="auto"/>
        <w:jc w:val="left"/>
        <w:rPr>
          <w:b/>
          <w:sz w:val="24"/>
          <w:szCs w:val="24"/>
        </w:rPr>
      </w:pPr>
    </w:p>
    <w:p w:rsidR="00086209" w:rsidRPr="00086209" w:rsidP="00086209" w14:paraId="6762E646" w14:textId="77777777">
      <w:pPr>
        <w:spacing w:after="0" w:line="240" w:lineRule="auto"/>
        <w:jc w:val="left"/>
        <w:rPr>
          <w:sz w:val="24"/>
          <w:szCs w:val="24"/>
        </w:rPr>
      </w:pPr>
      <w:r w:rsidRPr="00086209">
        <w:rPr>
          <w:b/>
          <w:bCs/>
          <w:sz w:val="24"/>
          <w:szCs w:val="24"/>
          <w:u w:val="single"/>
        </w:rPr>
        <w:t>Procedural Posture</w:t>
      </w:r>
      <w:r w:rsidRPr="00086209">
        <w:rPr>
          <w:b/>
          <w:bCs/>
          <w:sz w:val="24"/>
          <w:szCs w:val="24"/>
        </w:rPr>
        <w:t xml:space="preserve"> </w:t>
      </w:r>
      <w:r w:rsidRPr="00086209">
        <w:rPr>
          <w:sz w:val="24"/>
          <w:szCs w:val="24"/>
        </w:rPr>
        <w:t>(see XX below)</w:t>
      </w:r>
    </w:p>
    <w:p w:rsidR="00086209" w:rsidRPr="00086209" w:rsidP="00086209" w14:paraId="5828F9E0" w14:textId="77777777">
      <w:pPr>
        <w:spacing w:after="0" w:line="240" w:lineRule="auto"/>
        <w:jc w:val="left"/>
        <w:rPr>
          <w:sz w:val="24"/>
          <w:szCs w:val="24"/>
        </w:rPr>
      </w:pPr>
      <w:r w:rsidRPr="00086209">
        <w:rPr>
          <w:b/>
          <w:bCs/>
          <w:sz w:val="24"/>
          <w:szCs w:val="24"/>
        </w:rPr>
        <w:t>Original Appeal</w:t>
      </w:r>
      <w:r w:rsidRPr="00086209">
        <w:rPr>
          <w:sz w:val="24"/>
          <w:szCs w:val="24"/>
        </w:rPr>
        <w:t xml:space="preserve"> </w:t>
      </w:r>
    </w:p>
    <w:p w:rsidR="00086209" w:rsidRPr="00086209" w:rsidP="00086209" w14:paraId="3706E1A3" w14:textId="77777777">
      <w:pPr>
        <w:spacing w:after="0" w:line="240" w:lineRule="auto"/>
        <w:jc w:val="left"/>
        <w:rPr>
          <w:b/>
          <w:bCs/>
          <w:sz w:val="24"/>
          <w:szCs w:val="24"/>
        </w:rPr>
      </w:pPr>
      <w:r w:rsidRPr="00086209">
        <w:rPr>
          <w:b/>
          <w:bCs/>
          <w:sz w:val="24"/>
          <w:szCs w:val="24"/>
        </w:rPr>
        <w:t>Original Proceeding</w:t>
      </w:r>
    </w:p>
    <w:p w:rsidR="00086209" w:rsidRPr="00086209" w:rsidP="00086209" w14:paraId="1E0B0D33" w14:textId="77777777">
      <w:pPr>
        <w:spacing w:after="0" w:line="240" w:lineRule="auto"/>
        <w:jc w:val="left"/>
        <w:rPr>
          <w:sz w:val="24"/>
          <w:szCs w:val="24"/>
        </w:rPr>
      </w:pPr>
      <w:r w:rsidRPr="00086209">
        <w:rPr>
          <w:b/>
          <w:bCs/>
          <w:sz w:val="24"/>
          <w:szCs w:val="24"/>
        </w:rPr>
        <w:t>Review Granted</w:t>
      </w:r>
      <w:r w:rsidRPr="00086209">
        <w:rPr>
          <w:sz w:val="24"/>
          <w:szCs w:val="24"/>
        </w:rPr>
        <w:t xml:space="preserve"> </w:t>
      </w:r>
      <w:r w:rsidRPr="00086209">
        <w:rPr>
          <w:b/>
          <w:bCs/>
          <w:sz w:val="24"/>
          <w:szCs w:val="24"/>
        </w:rPr>
        <w:t xml:space="preserve">(published) </w:t>
      </w:r>
      <w:r w:rsidRPr="00086209">
        <w:rPr>
          <w:sz w:val="24"/>
          <w:szCs w:val="24"/>
        </w:rPr>
        <w:t>XX 47 Cal.App.5th 415</w:t>
      </w:r>
    </w:p>
    <w:p w:rsidR="00086209" w:rsidRPr="00086209" w:rsidP="00086209" w14:paraId="29060EFB" w14:textId="77777777">
      <w:pPr>
        <w:spacing w:after="0" w:line="240" w:lineRule="auto"/>
        <w:jc w:val="left"/>
        <w:rPr>
          <w:sz w:val="24"/>
          <w:szCs w:val="24"/>
        </w:rPr>
      </w:pPr>
      <w:r w:rsidRPr="00086209">
        <w:rPr>
          <w:b/>
          <w:bCs/>
          <w:sz w:val="24"/>
          <w:szCs w:val="24"/>
        </w:rPr>
        <w:t xml:space="preserve">Review Granted (unpublished) </w:t>
      </w:r>
    </w:p>
    <w:p w:rsidR="00086209" w:rsidRPr="00086209" w:rsidP="00086209" w14:paraId="68798886" w14:textId="77777777">
      <w:pPr>
        <w:spacing w:after="0" w:line="240" w:lineRule="auto"/>
        <w:jc w:val="left"/>
        <w:rPr>
          <w:b/>
          <w:bCs/>
          <w:sz w:val="24"/>
          <w:szCs w:val="24"/>
        </w:rPr>
      </w:pPr>
      <w:r w:rsidRPr="00086209">
        <w:rPr>
          <w:b/>
          <w:bCs/>
          <w:sz w:val="24"/>
          <w:szCs w:val="24"/>
        </w:rPr>
        <w:t>Rehearing Granted</w:t>
      </w:r>
    </w:p>
    <w:p w:rsidR="00086209" w:rsidRPr="00086209" w:rsidP="00086209" w14:paraId="1977789D" w14:textId="77777777">
      <w:pPr>
        <w:spacing w:after="0" w:line="240" w:lineRule="auto"/>
        <w:jc w:val="left"/>
        <w:rPr>
          <w:b/>
          <w:sz w:val="24"/>
          <w:szCs w:val="24"/>
        </w:rPr>
      </w:pPr>
      <w:r w:rsidRPr="00086209">
        <w:rPr>
          <w:b/>
          <w:sz w:val="24"/>
          <w:szCs w:val="24"/>
        </w:rPr>
        <w:t xml:space="preserve">__________________________________________________________ </w:t>
      </w:r>
    </w:p>
    <w:p w:rsidR="00086209" w:rsidRPr="00086209" w:rsidP="00086209" w14:paraId="175AE326" w14:textId="77777777">
      <w:pPr>
        <w:spacing w:after="0" w:line="240" w:lineRule="auto"/>
        <w:jc w:val="left"/>
        <w:rPr>
          <w:b/>
          <w:sz w:val="24"/>
          <w:szCs w:val="24"/>
        </w:rPr>
      </w:pPr>
    </w:p>
    <w:p w:rsidR="00086209" w:rsidRPr="00086209" w:rsidP="00086209" w14:paraId="14C8E08E" w14:textId="77777777">
      <w:pPr>
        <w:spacing w:after="0" w:line="240" w:lineRule="auto"/>
        <w:jc w:val="left"/>
        <w:rPr>
          <w:bCs/>
          <w:sz w:val="24"/>
          <w:szCs w:val="24"/>
        </w:rPr>
      </w:pPr>
      <w:r w:rsidRPr="00086209">
        <w:rPr>
          <w:b/>
          <w:sz w:val="24"/>
          <w:szCs w:val="24"/>
        </w:rPr>
        <w:t>Opinion No.</w:t>
      </w:r>
      <w:r w:rsidRPr="00086209">
        <w:rPr>
          <w:sz w:val="24"/>
          <w:szCs w:val="24"/>
        </w:rPr>
        <w:t xml:space="preserve"> S262663</w:t>
      </w:r>
    </w:p>
    <w:p w:rsidR="00086209" w:rsidRPr="00086209" w:rsidP="00086209" w14:paraId="795B6074" w14:textId="77777777">
      <w:pPr>
        <w:spacing w:after="0" w:line="240" w:lineRule="auto"/>
        <w:jc w:val="left"/>
        <w:rPr>
          <w:bCs/>
          <w:sz w:val="24"/>
          <w:szCs w:val="24"/>
        </w:rPr>
      </w:pPr>
      <w:r w:rsidRPr="00086209">
        <w:rPr>
          <w:b/>
          <w:sz w:val="24"/>
          <w:szCs w:val="24"/>
        </w:rPr>
        <w:t>Date Filed:</w:t>
      </w:r>
      <w:r w:rsidRPr="00086209">
        <w:rPr>
          <w:sz w:val="24"/>
          <w:szCs w:val="24"/>
        </w:rPr>
        <w:t xml:space="preserve">  August 15, 2022</w:t>
      </w:r>
    </w:p>
    <w:p w:rsidR="00086209" w:rsidRPr="00086209" w:rsidP="00086209" w14:paraId="41903D2C" w14:textId="77777777">
      <w:pPr>
        <w:spacing w:after="0" w:line="240" w:lineRule="auto"/>
        <w:jc w:val="left"/>
        <w:rPr>
          <w:b/>
          <w:sz w:val="24"/>
          <w:szCs w:val="24"/>
        </w:rPr>
      </w:pPr>
      <w:r w:rsidRPr="00086209">
        <w:rPr>
          <w:b/>
          <w:sz w:val="24"/>
          <w:szCs w:val="24"/>
        </w:rPr>
        <w:t xml:space="preserve">__________________________________________________________ </w:t>
      </w:r>
    </w:p>
    <w:p w:rsidR="00086209" w:rsidRPr="00086209" w:rsidP="00086209" w14:paraId="5587A4B7" w14:textId="77777777">
      <w:pPr>
        <w:spacing w:after="0" w:line="240" w:lineRule="auto"/>
        <w:jc w:val="left"/>
        <w:rPr>
          <w:b/>
          <w:sz w:val="24"/>
          <w:szCs w:val="24"/>
        </w:rPr>
      </w:pPr>
    </w:p>
    <w:p w:rsidR="00086209" w:rsidRPr="00086209" w:rsidP="00086209" w14:paraId="4FC6D141" w14:textId="77777777">
      <w:pPr>
        <w:spacing w:after="0" w:line="240" w:lineRule="auto"/>
        <w:jc w:val="left"/>
        <w:rPr>
          <w:bCs/>
          <w:sz w:val="24"/>
          <w:szCs w:val="24"/>
        </w:rPr>
      </w:pPr>
      <w:r w:rsidRPr="00086209">
        <w:rPr>
          <w:b/>
          <w:sz w:val="24"/>
          <w:szCs w:val="24"/>
        </w:rPr>
        <w:t xml:space="preserve">Court:  </w:t>
      </w:r>
      <w:r w:rsidRPr="00086209">
        <w:rPr>
          <w:bCs/>
          <w:sz w:val="24"/>
          <w:szCs w:val="24"/>
        </w:rPr>
        <w:t>Superior</w:t>
      </w:r>
      <w:r w:rsidRPr="00086209">
        <w:rPr>
          <w:b/>
          <w:sz w:val="24"/>
          <w:szCs w:val="24"/>
        </w:rPr>
        <w:t xml:space="preserve"> </w:t>
      </w:r>
    </w:p>
    <w:p w:rsidR="00086209" w:rsidRPr="00086209" w:rsidP="00086209" w14:paraId="19567D1D" w14:textId="77777777">
      <w:pPr>
        <w:spacing w:after="0" w:line="240" w:lineRule="auto"/>
        <w:jc w:val="left"/>
        <w:rPr>
          <w:bCs/>
          <w:sz w:val="24"/>
          <w:szCs w:val="24"/>
        </w:rPr>
      </w:pPr>
      <w:r w:rsidRPr="00086209">
        <w:rPr>
          <w:b/>
          <w:sz w:val="24"/>
          <w:szCs w:val="24"/>
        </w:rPr>
        <w:t xml:space="preserve">County:  </w:t>
      </w:r>
      <w:r w:rsidRPr="00086209">
        <w:rPr>
          <w:bCs/>
          <w:sz w:val="24"/>
          <w:szCs w:val="24"/>
        </w:rPr>
        <w:t>Sacramento</w:t>
      </w:r>
    </w:p>
    <w:p w:rsidR="00086209" w:rsidRPr="00086209" w:rsidP="00086209" w14:paraId="260A747D" w14:textId="77777777">
      <w:pPr>
        <w:spacing w:after="0" w:line="240" w:lineRule="auto"/>
        <w:ind w:left="720" w:hanging="720"/>
        <w:jc w:val="left"/>
        <w:rPr>
          <w:bCs/>
          <w:sz w:val="24"/>
          <w:szCs w:val="24"/>
        </w:rPr>
      </w:pPr>
      <w:r w:rsidRPr="00086209">
        <w:rPr>
          <w:b/>
          <w:sz w:val="24"/>
          <w:szCs w:val="24"/>
        </w:rPr>
        <w:t xml:space="preserve">Judge: </w:t>
      </w:r>
      <w:r w:rsidRPr="00086209">
        <w:rPr>
          <w:bCs/>
          <w:sz w:val="24"/>
          <w:szCs w:val="24"/>
        </w:rPr>
        <w:t xml:space="preserve"> Christopher E. Krueger</w:t>
      </w:r>
    </w:p>
    <w:p w:rsidR="00086209" w:rsidRPr="00086209" w:rsidP="00086209" w14:paraId="7A23A6AA" w14:textId="77777777">
      <w:pPr>
        <w:spacing w:after="0" w:line="240" w:lineRule="auto"/>
        <w:jc w:val="left"/>
        <w:rPr>
          <w:b/>
          <w:sz w:val="24"/>
          <w:szCs w:val="24"/>
        </w:rPr>
      </w:pPr>
      <w:r w:rsidRPr="00086209">
        <w:rPr>
          <w:b/>
          <w:sz w:val="24"/>
          <w:szCs w:val="24"/>
        </w:rPr>
        <w:t xml:space="preserve">__________________________________________________________  </w:t>
      </w:r>
    </w:p>
    <w:p w:rsidR="00086209" w:rsidRPr="00086209" w:rsidP="00086209" w14:paraId="44BDBDFF" w14:textId="77777777">
      <w:pPr>
        <w:spacing w:after="0" w:line="240" w:lineRule="auto"/>
        <w:jc w:val="left"/>
        <w:rPr>
          <w:b/>
          <w:sz w:val="24"/>
          <w:szCs w:val="24"/>
        </w:rPr>
      </w:pPr>
    </w:p>
    <w:p w:rsidR="00086209" w:rsidRPr="00086209" w:rsidP="00086209" w14:paraId="3E2EAB64" w14:textId="77777777">
      <w:pPr>
        <w:spacing w:after="0" w:line="240" w:lineRule="auto"/>
        <w:jc w:val="left"/>
        <w:rPr>
          <w:b/>
          <w:sz w:val="24"/>
          <w:szCs w:val="24"/>
        </w:rPr>
      </w:pPr>
      <w:r w:rsidRPr="00086209">
        <w:rPr>
          <w:b/>
          <w:sz w:val="24"/>
          <w:szCs w:val="24"/>
        </w:rPr>
        <w:t>Counsel:</w:t>
      </w:r>
    </w:p>
    <w:p w:rsidR="00086209" w:rsidRPr="00086209" w:rsidP="00086209" w14:paraId="1F71E74F" w14:textId="77777777">
      <w:pPr>
        <w:spacing w:after="0" w:line="240" w:lineRule="auto"/>
        <w:jc w:val="left"/>
        <w:rPr>
          <w:bCs/>
          <w:sz w:val="24"/>
          <w:szCs w:val="24"/>
        </w:rPr>
      </w:pPr>
    </w:p>
    <w:p w:rsidR="00086209" w:rsidRPr="00086209" w:rsidP="00086209" w14:paraId="6FC37C37" w14:textId="77777777">
      <w:pPr>
        <w:spacing w:after="0" w:line="240" w:lineRule="auto"/>
        <w:jc w:val="left"/>
        <w:rPr>
          <w:bCs/>
          <w:sz w:val="24"/>
          <w:szCs w:val="24"/>
        </w:rPr>
      </w:pPr>
      <w:r w:rsidRPr="00086209">
        <w:rPr>
          <w:bCs/>
          <w:sz w:val="24"/>
          <w:szCs w:val="24"/>
        </w:rPr>
        <w:t>Dannis Woliver Kelley, Christian M. Keiner, William B. Tunick, Juliane S. Rossiter, Chelsea Olson Murphy and Chelsea A. Tibbs for Plaintiffs and Appellants.</w:t>
      </w:r>
    </w:p>
    <w:p w:rsidR="00086209" w:rsidRPr="00086209" w:rsidP="00086209" w14:paraId="398144DD" w14:textId="77777777">
      <w:pPr>
        <w:spacing w:after="0" w:line="240" w:lineRule="auto"/>
        <w:jc w:val="left"/>
        <w:rPr>
          <w:bCs/>
          <w:sz w:val="24"/>
          <w:szCs w:val="24"/>
        </w:rPr>
      </w:pPr>
    </w:p>
    <w:p w:rsidR="00086209" w:rsidRPr="00086209" w:rsidP="00086209" w14:paraId="2F3BA7EE" w14:textId="77777777">
      <w:pPr>
        <w:spacing w:after="0" w:line="240" w:lineRule="auto"/>
        <w:jc w:val="left"/>
        <w:rPr>
          <w:bCs/>
          <w:sz w:val="24"/>
          <w:szCs w:val="24"/>
        </w:rPr>
      </w:pPr>
      <w:r w:rsidRPr="00086209">
        <w:rPr>
          <w:bCs/>
          <w:sz w:val="24"/>
          <w:szCs w:val="24"/>
        </w:rPr>
        <w:t>Jennifer B. Henning for California State Association of Counties as Amicus Curiae on behalf of Plaintiffs and Appellants.</w:t>
      </w:r>
    </w:p>
    <w:p w:rsidR="00086209" w:rsidRPr="00086209" w:rsidP="00086209" w14:paraId="1EA6208B" w14:textId="77777777">
      <w:pPr>
        <w:spacing w:after="0" w:line="240" w:lineRule="auto"/>
        <w:jc w:val="left"/>
        <w:rPr>
          <w:bCs/>
          <w:sz w:val="24"/>
          <w:szCs w:val="24"/>
        </w:rPr>
      </w:pPr>
    </w:p>
    <w:p w:rsidR="00086209" w:rsidRPr="00086209" w:rsidP="00086209" w14:paraId="663B281F" w14:textId="77777777">
      <w:pPr>
        <w:spacing w:after="0" w:line="240" w:lineRule="auto"/>
        <w:jc w:val="left"/>
        <w:rPr>
          <w:bCs/>
          <w:sz w:val="24"/>
          <w:szCs w:val="24"/>
        </w:rPr>
      </w:pPr>
      <w:r w:rsidRPr="00086209">
        <w:rPr>
          <w:bCs/>
          <w:sz w:val="24"/>
          <w:szCs w:val="24"/>
        </w:rPr>
        <w:t>Lozano Smith, Sloan R. Simmons, Nicholas J. Clair; and Robert Tuerck for California School Boards Association’s Education Legal Alliance as Amicus Curiae on behalf of Plaintiffs and Appellants.</w:t>
      </w:r>
    </w:p>
    <w:p w:rsidR="00086209" w:rsidRPr="00086209" w:rsidP="00086209" w14:paraId="067F0CE0" w14:textId="77777777">
      <w:pPr>
        <w:spacing w:after="0" w:line="240" w:lineRule="auto"/>
        <w:jc w:val="left"/>
        <w:rPr>
          <w:bCs/>
          <w:sz w:val="24"/>
          <w:szCs w:val="24"/>
        </w:rPr>
      </w:pPr>
    </w:p>
    <w:p w:rsidR="00086209" w:rsidRPr="00086209" w:rsidP="00086209" w14:paraId="531D9829" w14:textId="77777777">
      <w:pPr>
        <w:spacing w:after="0" w:line="240" w:lineRule="auto"/>
        <w:jc w:val="left"/>
        <w:rPr>
          <w:bCs/>
          <w:sz w:val="24"/>
          <w:szCs w:val="24"/>
        </w:rPr>
      </w:pPr>
      <w:r w:rsidRPr="00086209">
        <w:rPr>
          <w:bCs/>
          <w:sz w:val="24"/>
          <w:szCs w:val="24"/>
        </w:rPr>
        <w:t xml:space="preserve">Juliana F. Gmur and Camille Shelton for Defendant and Respondent. </w:t>
      </w:r>
    </w:p>
    <w:p w:rsidR="00086209" w:rsidRPr="00086209" w:rsidP="00086209" w14:paraId="31632BDF" w14:textId="77777777">
      <w:pPr>
        <w:spacing w:after="0" w:line="240" w:lineRule="auto"/>
        <w:jc w:val="left"/>
        <w:rPr>
          <w:bCs/>
          <w:sz w:val="24"/>
          <w:szCs w:val="24"/>
        </w:rPr>
      </w:pPr>
    </w:p>
    <w:p w:rsidR="00086209" w:rsidRPr="00086209" w:rsidP="00086209" w14:paraId="4496CEB9" w14:textId="77777777">
      <w:pPr>
        <w:spacing w:after="0" w:line="240" w:lineRule="auto"/>
        <w:jc w:val="left"/>
        <w:rPr>
          <w:bCs/>
          <w:sz w:val="24"/>
          <w:szCs w:val="24"/>
        </w:rPr>
      </w:pPr>
      <w:r w:rsidRPr="00086209">
        <w:rPr>
          <w:bCs/>
          <w:sz w:val="24"/>
          <w:szCs w:val="24"/>
        </w:rPr>
        <w:t>Kamala D. Harris, Xavier Becerra and Rob Bonta, Attorneys General, Matthew Rodriquez, Acting Attorney General, Michael J. Mongan, State Solicitor General, Janill L. Richards, Principal Deputy State Solicitor General, Douglas J. Woods and Thomas S. Patterson, Assistant Attorneys General, Samuel T. Harbourt, Deputy State Solicitor General, Paul Stein, Tamar Pachter and P. Patty Li, Deputy Attorneys General, for Real Party in Interest and Respondent.</w:t>
      </w:r>
    </w:p>
    <w:p w:rsidR="00086209" w:rsidRPr="00086209" w:rsidP="00086209" w14:paraId="68855856" w14:textId="77777777">
      <w:pPr>
        <w:spacing w:after="0" w:line="240" w:lineRule="auto"/>
        <w:jc w:val="left"/>
        <w:rPr>
          <w:color w:val="212121"/>
          <w:sz w:val="24"/>
          <w:szCs w:val="24"/>
          <w:shd w:val="clear" w:color="auto" w:fill="FFFFFF"/>
        </w:rPr>
      </w:pPr>
      <w:r w:rsidRPr="00086209">
        <w:rPr>
          <w:color w:val="212121"/>
          <w:sz w:val="24"/>
          <w:szCs w:val="24"/>
          <w:shd w:val="clear" w:color="auto" w:fill="FFFFFF"/>
        </w:rPr>
        <w:br w:type="page"/>
      </w:r>
      <w:r w:rsidRPr="00086209">
        <w:rPr>
          <w:b/>
          <w:sz w:val="24"/>
          <w:szCs w:val="24"/>
        </w:rPr>
        <w:t>Counsel who argued in Supreme Court (not intended for publication with opinion):</w:t>
      </w:r>
    </w:p>
    <w:p w:rsidR="00086209" w:rsidRPr="00086209" w:rsidP="00086209" w14:paraId="5E9ABFDF" w14:textId="77777777">
      <w:pPr>
        <w:spacing w:after="0" w:line="240" w:lineRule="auto"/>
        <w:jc w:val="left"/>
        <w:rPr>
          <w:sz w:val="24"/>
          <w:szCs w:val="24"/>
        </w:rPr>
      </w:pPr>
    </w:p>
    <w:p w:rsidR="00086209" w:rsidRPr="00086209" w:rsidP="00086209" w14:paraId="71BFA5AD" w14:textId="77777777">
      <w:pPr>
        <w:spacing w:after="0" w:line="240" w:lineRule="auto"/>
        <w:jc w:val="left"/>
        <w:rPr>
          <w:bCs/>
          <w:sz w:val="24"/>
          <w:szCs w:val="24"/>
        </w:rPr>
      </w:pPr>
      <w:r w:rsidRPr="00086209">
        <w:rPr>
          <w:bCs/>
          <w:sz w:val="24"/>
          <w:szCs w:val="24"/>
        </w:rPr>
        <w:t>Christian M. Keiner</w:t>
      </w:r>
    </w:p>
    <w:p w:rsidR="00086209" w:rsidRPr="00086209" w:rsidP="00086209" w14:paraId="6043CB9E" w14:textId="77777777">
      <w:pPr>
        <w:spacing w:after="0" w:line="240" w:lineRule="auto"/>
        <w:jc w:val="left"/>
        <w:rPr>
          <w:bCs/>
          <w:sz w:val="24"/>
          <w:szCs w:val="24"/>
        </w:rPr>
      </w:pPr>
      <w:r w:rsidRPr="00086209">
        <w:rPr>
          <w:bCs/>
          <w:sz w:val="24"/>
          <w:szCs w:val="24"/>
        </w:rPr>
        <w:t>Dannis Woliver Kelley</w:t>
      </w:r>
    </w:p>
    <w:p w:rsidR="00086209" w:rsidRPr="00086209" w:rsidP="00086209" w14:paraId="23E74A49" w14:textId="77777777">
      <w:pPr>
        <w:spacing w:after="0" w:line="240" w:lineRule="auto"/>
        <w:jc w:val="left"/>
        <w:rPr>
          <w:bCs/>
          <w:sz w:val="24"/>
          <w:szCs w:val="24"/>
        </w:rPr>
      </w:pPr>
      <w:r w:rsidRPr="00086209">
        <w:rPr>
          <w:bCs/>
          <w:sz w:val="24"/>
          <w:szCs w:val="24"/>
        </w:rPr>
        <w:t>555 Capitol Mall, Suite 645</w:t>
      </w:r>
    </w:p>
    <w:p w:rsidR="00086209" w:rsidRPr="00086209" w:rsidP="00086209" w14:paraId="7B199CD8" w14:textId="77777777">
      <w:pPr>
        <w:spacing w:after="0" w:line="240" w:lineRule="auto"/>
        <w:jc w:val="left"/>
        <w:rPr>
          <w:bCs/>
          <w:sz w:val="24"/>
          <w:szCs w:val="24"/>
        </w:rPr>
      </w:pPr>
      <w:r w:rsidRPr="00086209">
        <w:rPr>
          <w:bCs/>
          <w:sz w:val="24"/>
          <w:szCs w:val="24"/>
        </w:rPr>
        <w:t>Sacramento, CA 95814</w:t>
      </w:r>
    </w:p>
    <w:p w:rsidR="00086209" w:rsidRPr="00086209" w:rsidP="00086209" w14:paraId="20A311DE" w14:textId="77777777">
      <w:pPr>
        <w:spacing w:after="0" w:line="240" w:lineRule="auto"/>
        <w:jc w:val="left"/>
        <w:rPr>
          <w:bCs/>
          <w:sz w:val="24"/>
          <w:szCs w:val="24"/>
        </w:rPr>
      </w:pPr>
      <w:r w:rsidRPr="00086209">
        <w:rPr>
          <w:bCs/>
          <w:sz w:val="24"/>
          <w:szCs w:val="24"/>
        </w:rPr>
        <w:t>(916) 978-4040</w:t>
      </w:r>
    </w:p>
    <w:p w:rsidR="00086209" w:rsidRPr="00086209" w:rsidP="00086209" w14:paraId="2AF12DD1" w14:textId="77777777">
      <w:pPr>
        <w:spacing w:after="0" w:line="240" w:lineRule="auto"/>
        <w:jc w:val="left"/>
        <w:rPr>
          <w:bCs/>
          <w:sz w:val="24"/>
          <w:szCs w:val="24"/>
        </w:rPr>
      </w:pPr>
    </w:p>
    <w:p w:rsidR="00086209" w:rsidRPr="00086209" w:rsidP="00086209" w14:paraId="01777F4D" w14:textId="77777777">
      <w:pPr>
        <w:spacing w:after="0" w:line="240" w:lineRule="auto"/>
        <w:jc w:val="left"/>
        <w:rPr>
          <w:bCs/>
          <w:sz w:val="24"/>
          <w:szCs w:val="24"/>
        </w:rPr>
      </w:pPr>
      <w:r w:rsidRPr="00086209">
        <w:rPr>
          <w:bCs/>
          <w:sz w:val="24"/>
          <w:szCs w:val="24"/>
        </w:rPr>
        <w:t>Juliana F. Gmur</w:t>
      </w:r>
    </w:p>
    <w:p w:rsidR="00086209" w:rsidRPr="00086209" w:rsidP="00086209" w14:paraId="605B4E50" w14:textId="77777777">
      <w:pPr>
        <w:spacing w:after="0" w:line="240" w:lineRule="auto"/>
        <w:jc w:val="left"/>
        <w:rPr>
          <w:bCs/>
          <w:sz w:val="24"/>
          <w:szCs w:val="24"/>
        </w:rPr>
      </w:pPr>
      <w:r w:rsidRPr="00086209">
        <w:rPr>
          <w:bCs/>
          <w:sz w:val="24"/>
          <w:szCs w:val="24"/>
        </w:rPr>
        <w:t>Senior Commission Counsel</w:t>
      </w:r>
    </w:p>
    <w:p w:rsidR="00086209" w:rsidRPr="00086209" w:rsidP="00086209" w14:paraId="29D84CC0" w14:textId="77777777">
      <w:pPr>
        <w:spacing w:after="0" w:line="240" w:lineRule="auto"/>
        <w:jc w:val="left"/>
        <w:rPr>
          <w:bCs/>
          <w:sz w:val="24"/>
          <w:szCs w:val="24"/>
        </w:rPr>
      </w:pPr>
      <w:r w:rsidRPr="00086209">
        <w:rPr>
          <w:bCs/>
          <w:sz w:val="24"/>
          <w:szCs w:val="24"/>
        </w:rPr>
        <w:t>980 9th Street, Suite 300</w:t>
      </w:r>
    </w:p>
    <w:p w:rsidR="00086209" w:rsidRPr="00086209" w:rsidP="00086209" w14:paraId="6A052017" w14:textId="77777777">
      <w:pPr>
        <w:spacing w:after="0" w:line="240" w:lineRule="auto"/>
        <w:jc w:val="left"/>
        <w:rPr>
          <w:bCs/>
          <w:sz w:val="24"/>
          <w:szCs w:val="24"/>
        </w:rPr>
      </w:pPr>
      <w:r w:rsidRPr="00086209">
        <w:rPr>
          <w:bCs/>
          <w:sz w:val="24"/>
          <w:szCs w:val="24"/>
        </w:rPr>
        <w:t>Sacramento, CA 95814</w:t>
      </w:r>
    </w:p>
    <w:p w:rsidR="00086209" w:rsidRPr="00086209" w:rsidP="00086209" w14:paraId="61ACF0FD" w14:textId="77777777">
      <w:pPr>
        <w:spacing w:after="0" w:line="240" w:lineRule="auto"/>
        <w:jc w:val="left"/>
        <w:rPr>
          <w:bCs/>
          <w:sz w:val="24"/>
          <w:szCs w:val="24"/>
        </w:rPr>
      </w:pPr>
      <w:r w:rsidRPr="00086209">
        <w:rPr>
          <w:bCs/>
          <w:sz w:val="24"/>
          <w:szCs w:val="24"/>
        </w:rPr>
        <w:t>(916) 323-2611</w:t>
      </w:r>
    </w:p>
    <w:p w:rsidR="00086209" w:rsidRPr="00086209" w:rsidP="00086209" w14:paraId="42A6038F" w14:textId="77777777">
      <w:pPr>
        <w:spacing w:after="0" w:line="240" w:lineRule="auto"/>
        <w:jc w:val="left"/>
        <w:rPr>
          <w:bCs/>
          <w:sz w:val="24"/>
          <w:szCs w:val="24"/>
        </w:rPr>
      </w:pPr>
    </w:p>
    <w:p w:rsidR="00086209" w:rsidRPr="00086209" w:rsidP="00086209" w14:paraId="75E36322" w14:textId="77777777">
      <w:pPr>
        <w:spacing w:after="0" w:line="240" w:lineRule="auto"/>
        <w:jc w:val="left"/>
        <w:rPr>
          <w:bCs/>
          <w:sz w:val="24"/>
          <w:szCs w:val="24"/>
        </w:rPr>
      </w:pPr>
      <w:r w:rsidRPr="00086209">
        <w:rPr>
          <w:bCs/>
          <w:sz w:val="24"/>
          <w:szCs w:val="24"/>
        </w:rPr>
        <w:t>Samuel T. Harbourt</w:t>
      </w:r>
    </w:p>
    <w:p w:rsidR="00086209" w:rsidRPr="00086209" w:rsidP="00086209" w14:paraId="2F5EF58E" w14:textId="77777777">
      <w:pPr>
        <w:spacing w:after="0" w:line="240" w:lineRule="auto"/>
        <w:jc w:val="left"/>
        <w:rPr>
          <w:bCs/>
          <w:sz w:val="24"/>
          <w:szCs w:val="24"/>
        </w:rPr>
      </w:pPr>
      <w:r w:rsidRPr="00086209">
        <w:rPr>
          <w:bCs/>
          <w:sz w:val="24"/>
          <w:szCs w:val="24"/>
        </w:rPr>
        <w:t>Deputy State Solicitor General</w:t>
      </w:r>
    </w:p>
    <w:p w:rsidR="00086209" w:rsidRPr="00086209" w:rsidP="00086209" w14:paraId="68FF1922" w14:textId="77777777">
      <w:pPr>
        <w:spacing w:after="0" w:line="240" w:lineRule="auto"/>
        <w:jc w:val="left"/>
        <w:rPr>
          <w:bCs/>
          <w:sz w:val="24"/>
          <w:szCs w:val="24"/>
        </w:rPr>
      </w:pPr>
      <w:r w:rsidRPr="00086209">
        <w:rPr>
          <w:bCs/>
          <w:sz w:val="24"/>
          <w:szCs w:val="24"/>
        </w:rPr>
        <w:t>455 Golden Gate Avenue, Suite 11000</w:t>
      </w:r>
    </w:p>
    <w:p w:rsidR="00086209" w:rsidRPr="00086209" w:rsidP="00086209" w14:paraId="1D74114F" w14:textId="77777777">
      <w:pPr>
        <w:spacing w:after="0" w:line="240" w:lineRule="auto"/>
        <w:jc w:val="left"/>
        <w:rPr>
          <w:bCs/>
          <w:sz w:val="24"/>
          <w:szCs w:val="24"/>
        </w:rPr>
      </w:pPr>
      <w:r w:rsidRPr="00086209">
        <w:rPr>
          <w:bCs/>
          <w:sz w:val="24"/>
          <w:szCs w:val="24"/>
        </w:rPr>
        <w:t>San Francisco, CA 94102</w:t>
      </w:r>
    </w:p>
    <w:p w:rsidR="00086209" w:rsidRPr="00086209" w:rsidP="00086209" w14:paraId="08C8C304" w14:textId="77777777">
      <w:pPr>
        <w:spacing w:after="0" w:line="240" w:lineRule="auto"/>
        <w:jc w:val="left"/>
        <w:rPr>
          <w:sz w:val="24"/>
          <w:szCs w:val="24"/>
        </w:rPr>
      </w:pPr>
      <w:r w:rsidRPr="00086209">
        <w:rPr>
          <w:bCs/>
          <w:sz w:val="24"/>
          <w:szCs w:val="24"/>
        </w:rPr>
        <w:t>(415) 510-3919</w:t>
      </w:r>
    </w:p>
    <w:p w:rsidR="00086209" w:rsidRPr="00086209" w:rsidP="00086209" w14:paraId="18EE3697" w14:textId="77777777">
      <w:pPr>
        <w:spacing w:after="0" w:line="240" w:lineRule="auto"/>
        <w:jc w:val="left"/>
        <w:rPr>
          <w:sz w:val="24"/>
          <w:szCs w:val="24"/>
        </w:rPr>
      </w:pPr>
    </w:p>
    <w:p w:rsidR="00E701E2" w:rsidP="00334C78" w14:paraId="2EBAB053" w14:textId="77777777">
      <w:pPr>
        <w:jc w:val="left"/>
        <w:rPr>
          <w:b/>
          <w:szCs w:val="26"/>
        </w:rPr>
      </w:pPr>
    </w:p>
    <w:sectPr w:rsidSect="00996D0B">
      <w:headerReference w:type="default" r:id="rId11"/>
      <w:footerReference w:type="default" r:id="rId12"/>
      <w:pgSz w:w="12240" w:h="15840" w:code="1"/>
      <w:pgMar w:top="1800" w:right="2160" w:bottom="1440" w:left="216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E3C" w14:paraId="3C4895DF"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A7B" w:rsidRPr="00EC4E20" w14:paraId="36263626" w14:textId="77777777">
    <w:pPr>
      <w:pStyle w:val="Footer"/>
      <w:rPr>
        <w:szCs w:val="22"/>
      </w:rPr>
    </w:pPr>
    <w:r w:rsidRPr="00EC4E20">
      <w:rPr>
        <w:szCs w:val="2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7CC" w:rsidRPr="00BB07CC" w:rsidP="00BB07CC" w14:paraId="28EDE14B" w14:textId="21FE5C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6209" w:rsidRPr="00086209" w:rsidP="00086209" w14:paraId="7989AFFA" w14:textId="32310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172A" w14:paraId="684BBB90" w14:textId="77777777">
      <w:r>
        <w:separator/>
      </w:r>
    </w:p>
  </w:footnote>
  <w:footnote w:type="continuationSeparator" w:id="1">
    <w:p w:rsidR="0093172A" w14:paraId="66647C35" w14:textId="77777777">
      <w:pPr>
        <w:rPr>
          <w:sz w:val="22"/>
        </w:rPr>
      </w:pPr>
      <w:r>
        <w:continuationSeparator/>
      </w:r>
    </w:p>
  </w:footnote>
  <w:footnote w:type="continuationNotice" w:id="2">
    <w:p w:rsidR="0093172A" w:rsidRPr="004171CA" w:rsidP="004171CA" w14:paraId="214858D9" w14:textId="77777777">
      <w:pPr>
        <w:pStyle w:val="Footer"/>
        <w:jc w:val="both"/>
      </w:pPr>
    </w:p>
  </w:footnote>
  <w:footnote w:id="3">
    <w:p w:rsidR="000100F7" w:rsidP="00ED7A7B" w14:paraId="55E9CCE5" w14:textId="2A76DCC8">
      <w:pPr>
        <w:pStyle w:val="FootnoteText"/>
      </w:pPr>
      <w:r>
        <w:rPr>
          <w:rStyle w:val="FootnoteReference"/>
        </w:rPr>
        <w:footnoteRef/>
      </w:r>
      <w:r>
        <w:t xml:space="preserve">  </w:t>
      </w:r>
      <w:r w:rsidR="00201838">
        <w:tab/>
      </w:r>
      <w:r>
        <w:t>Those exceptions include, among other things</w:t>
      </w:r>
      <w:r w:rsidRPr="000100F7">
        <w:t>:  (1) when the state has imposed the new program or service to comply with a federal mandate; (2) when the state has provided the local agency offsetting savings that are commensurate with costs of the new program or service; or (3) when the local agency is authorized to fund the new program or service by imposing fees or assessments.</w:t>
      </w:r>
      <w:r w:rsidR="00D52C54">
        <w:t xml:space="preserve">  (See Gov. Code, § 17556.)</w:t>
      </w:r>
    </w:p>
  </w:footnote>
  <w:footnote w:id="4">
    <w:p w:rsidR="00B81710" w:rsidRPr="002A70AF" w:rsidP="00ED7A7B" w14:paraId="4D83D59E" w14:textId="77777777">
      <w:pPr>
        <w:pStyle w:val="FootnoteText"/>
      </w:pPr>
      <w:r>
        <w:rPr>
          <w:rStyle w:val="FootnoteReference"/>
        </w:rPr>
        <w:footnoteRef/>
      </w:r>
      <w:r>
        <w:t xml:space="preserve"> </w:t>
      </w:r>
      <w:r>
        <w:tab/>
        <w:t xml:space="preserve">Except where otherwise noted, all further references to “Regulation” or </w:t>
      </w:r>
      <w:r w:rsidRPr="002A70AF">
        <w:t xml:space="preserve"> </w:t>
      </w:r>
      <w:r>
        <w:t xml:space="preserve">“Regulations” are to </w:t>
      </w:r>
      <w:r w:rsidRPr="002A70AF">
        <w:t>title 5</w:t>
      </w:r>
      <w:r>
        <w:t xml:space="preserve"> of the California Code of Regulations. </w:t>
      </w:r>
    </w:p>
    <w:p w:rsidR="00B81710" w:rsidP="00B81710" w14:paraId="55A6F619" w14:textId="77777777">
      <w:pPr>
        <w:pStyle w:val="FootnoteText"/>
      </w:pPr>
    </w:p>
  </w:footnote>
  <w:footnote w:id="5">
    <w:p w:rsidR="000277C3" w:rsidP="00ED7A7B" w14:paraId="34FFFEE1" w14:textId="11B3EE9C">
      <w:pPr>
        <w:pStyle w:val="FootnoteText"/>
      </w:pPr>
      <w:r>
        <w:rPr>
          <w:rStyle w:val="FootnoteReference"/>
        </w:rPr>
        <w:footnoteRef/>
      </w:r>
      <w:r>
        <w:t xml:space="preserve"> </w:t>
      </w:r>
      <w:r>
        <w:tab/>
      </w:r>
      <w:r w:rsidRPr="00547FE3" w:rsidR="00547FE3">
        <w:t>Regulation 51002, for example, directs the districts to “adopt regulations consistent with the standards of scholarship contained in articles 2 through 5 (commencing with section 55020) of subchapter 1 of chapter 6”</w:t>
      </w:r>
      <w:r w:rsidR="0043002E">
        <w:t xml:space="preserve"> of the Regulations,</w:t>
      </w:r>
      <w:r w:rsidRPr="00547FE3" w:rsidR="00547FE3">
        <w:t xml:space="preserve"> which refers to </w:t>
      </w:r>
      <w:r w:rsidR="00D770E5">
        <w:t xml:space="preserve">the </w:t>
      </w:r>
      <w:r w:rsidRPr="00547FE3" w:rsidR="00547FE3">
        <w:t xml:space="preserve">operating standards regulations that govern scholarship.  Similarly, Regulation 51004 directs the districts to “adopt regulations consistent with regulations contained in articles 6 and 7 (commencing with section 55060) of subchapter 1 of chapter 6,” which refers to </w:t>
      </w:r>
      <w:r w:rsidR="00D770E5">
        <w:t xml:space="preserve">the </w:t>
      </w:r>
      <w:r w:rsidRPr="00547FE3" w:rsidR="00547FE3">
        <w:t>operating standard</w:t>
      </w:r>
      <w:r w:rsidR="00C85382">
        <w:t>s</w:t>
      </w:r>
      <w:r w:rsidRPr="00547FE3" w:rsidR="00547FE3">
        <w:t xml:space="preserve"> regulations </w:t>
      </w:r>
      <w:r w:rsidR="00D770E5">
        <w:t xml:space="preserve">that </w:t>
      </w:r>
      <w:r w:rsidRPr="00547FE3" w:rsidR="00547FE3">
        <w:t>govern the issuance of degrees and certificates</w:t>
      </w:r>
      <w:r w:rsidR="00547FE3">
        <w:t xml:space="preserve">.  </w:t>
      </w:r>
      <w:r>
        <w:t>As discussed in more detail below</w:t>
      </w:r>
      <w:r w:rsidR="00AE5823">
        <w:t xml:space="preserve"> (see </w:t>
      </w:r>
      <w:r w:rsidRPr="00AE5823" w:rsidR="00AE5823">
        <w:rPr>
          <w:i/>
          <w:iCs/>
        </w:rPr>
        <w:t>post</w:t>
      </w:r>
      <w:r w:rsidR="00AE5823">
        <w:t>, at p</w:t>
      </w:r>
      <w:r w:rsidR="00FE3017">
        <w:t>p</w:t>
      </w:r>
      <w:r w:rsidR="00AE5823">
        <w:t>.</w:t>
      </w:r>
      <w:r w:rsidR="001D1F41">
        <w:t> </w:t>
      </w:r>
      <w:r w:rsidR="00FE3017">
        <w:t>13–</w:t>
      </w:r>
      <w:r w:rsidR="00840A5E">
        <w:t>14</w:t>
      </w:r>
      <w:r w:rsidR="00AE5823">
        <w:t>)</w:t>
      </w:r>
      <w:r>
        <w:t xml:space="preserve">, the Court of Appeal’s decision </w:t>
      </w:r>
      <w:r w:rsidR="00840A5E">
        <w:t>found that</w:t>
      </w:r>
      <w:r>
        <w:t xml:space="preserve"> numerous </w:t>
      </w:r>
      <w:r w:rsidR="00840A5E">
        <w:t xml:space="preserve">other </w:t>
      </w:r>
      <w:r>
        <w:t xml:space="preserve">provisions in the funding </w:t>
      </w:r>
      <w:r w:rsidRPr="00961113">
        <w:t>ent</w:t>
      </w:r>
      <w:r w:rsidRPr="00961113" w:rsidR="00CC3CEB">
        <w:t xml:space="preserve">itlement regulations overlap with requirements in the operating standards regulations.  </w:t>
      </w:r>
    </w:p>
  </w:footnote>
  <w:footnote w:id="6">
    <w:p w:rsidR="00EF6B16" w:rsidP="00496B4A" w14:paraId="3D9A9937" w14:textId="0E3C7921">
      <w:pPr>
        <w:pStyle w:val="FootnoteText"/>
      </w:pPr>
      <w:r>
        <w:rPr>
          <w:rStyle w:val="FootnoteReference"/>
        </w:rPr>
        <w:footnoteRef/>
      </w:r>
      <w:r w:rsidR="00974D2C">
        <w:t xml:space="preserve"> </w:t>
      </w:r>
      <w:r w:rsidR="00496B4A">
        <w:tab/>
      </w:r>
      <w:r w:rsidRPr="00A857ED" w:rsidR="00A857ED">
        <w:t>The Commission</w:t>
      </w:r>
      <w:r w:rsidR="00C05FDC">
        <w:t xml:space="preserve"> </w:t>
      </w:r>
      <w:r>
        <w:t xml:space="preserve">has </w:t>
      </w:r>
      <w:r w:rsidRPr="00A857ED" w:rsidR="00A857ED">
        <w:t xml:space="preserve">also </w:t>
      </w:r>
      <w:r w:rsidR="00496B4A">
        <w:t xml:space="preserve">requested </w:t>
      </w:r>
      <w:r w:rsidRPr="00A857ED" w:rsidR="00A857ED">
        <w:t>review of a separate portion of the Court of Appeal’s decision that directs the Commission to make further findings regarding the districts’ entitlement to reimbursement for various sections of the Education Code that are unrelated to the regulations discussed above.  The Commission asserts it lacks fundamental jurisdiction to address those sections of the Education Code because</w:t>
      </w:r>
      <w:r w:rsidR="00D62407">
        <w:t xml:space="preserve">:  (1) </w:t>
      </w:r>
      <w:r w:rsidRPr="00A857ED" w:rsidR="00A857ED">
        <w:t>the districts’ test claims</w:t>
      </w:r>
      <w:r w:rsidR="00496B4A">
        <w:t xml:space="preserve"> do not expressly </w:t>
      </w:r>
      <w:r w:rsidR="000B0976">
        <w:t xml:space="preserve">reference </w:t>
      </w:r>
      <w:r w:rsidRPr="00A857ED" w:rsidR="00A857ED">
        <w:t>those statutes</w:t>
      </w:r>
      <w:r w:rsidR="00D62407">
        <w:t xml:space="preserve">; and </w:t>
      </w:r>
      <w:bookmarkStart w:id="11" w:name="_Hlk110432793"/>
      <w:r w:rsidR="00D62407">
        <w:t>(2) some of those statutes were the</w:t>
      </w:r>
      <w:r w:rsidRPr="000B0976" w:rsidR="000B0976">
        <w:t xml:space="preserve"> subject of a prior test claim</w:t>
      </w:r>
      <w:r w:rsidRPr="00A857ED" w:rsidR="00A857ED">
        <w:t xml:space="preserve">. </w:t>
      </w:r>
      <w:r w:rsidR="00496B4A">
        <w:t xml:space="preserve"> </w:t>
      </w:r>
      <w:bookmarkEnd w:id="11"/>
      <w:r w:rsidRPr="00A857ED" w:rsidR="00A857ED">
        <w:t xml:space="preserve">The </w:t>
      </w:r>
      <w:r w:rsidR="00A857ED">
        <w:t>Department</w:t>
      </w:r>
      <w:r w:rsidR="00496B4A">
        <w:t xml:space="preserve">, </w:t>
      </w:r>
      <w:r w:rsidR="007D5136">
        <w:t>which</w:t>
      </w:r>
      <w:r w:rsidR="009C5C99">
        <w:t xml:space="preserve"> has not</w:t>
      </w:r>
      <w:r w:rsidR="00496B4A">
        <w:t xml:space="preserve"> joined in this </w:t>
      </w:r>
      <w:r w:rsidR="00A857ED">
        <w:t>argumen</w:t>
      </w:r>
      <w:r w:rsidR="001F48FC">
        <w:t>t</w:t>
      </w:r>
      <w:r w:rsidR="00496B4A">
        <w:t xml:space="preserve">, </w:t>
      </w:r>
      <w:r w:rsidR="009C5C99">
        <w:t>is of the view that while a claimant</w:t>
      </w:r>
      <w:r w:rsidR="007349A4">
        <w:t xml:space="preserve"> </w:t>
      </w:r>
      <w:bookmarkStart w:id="12" w:name="_Hlk110432841"/>
      <w:r w:rsidR="007349A4">
        <w:t>might be procedurally barred from seeking reimbursement for statutes that were not listed in a test claim or were the subject of a prior test claim</w:t>
      </w:r>
      <w:bookmarkEnd w:id="12"/>
      <w:r w:rsidR="007349A4">
        <w:t xml:space="preserve">, those </w:t>
      </w:r>
      <w:r w:rsidR="007D5136">
        <w:t>circumstances</w:t>
      </w:r>
      <w:r w:rsidR="007349A4">
        <w:t xml:space="preserve"> do not result in </w:t>
      </w:r>
      <w:r w:rsidR="009C5C99">
        <w:t xml:space="preserve">a jurisdictional bar. </w:t>
      </w:r>
      <w:r w:rsidR="00496B4A">
        <w:t xml:space="preserve"> </w:t>
      </w:r>
    </w:p>
    <w:p w:rsidR="0028177A" w:rsidP="00EF6B16" w14:paraId="3629E617" w14:textId="68B95660">
      <w:pPr>
        <w:pStyle w:val="FootnoteText"/>
        <w:ind w:firstLine="720"/>
      </w:pPr>
      <w:r>
        <w:t xml:space="preserve">Although </w:t>
      </w:r>
      <w:r w:rsidRPr="00411039" w:rsidR="00411039">
        <w:t>th</w:t>
      </w:r>
      <w:r w:rsidR="00EF6B16">
        <w:t>e Commission’s arguments regarding this secondary issue fall</w:t>
      </w:r>
      <w:r w:rsidRPr="00411039" w:rsidR="00411039">
        <w:t xml:space="preserve"> within the scope of our order granting review, we</w:t>
      </w:r>
      <w:r w:rsidR="00411039">
        <w:t xml:space="preserve"> decline to address </w:t>
      </w:r>
      <w:r w:rsidR="00EF6B16">
        <w:t>them</w:t>
      </w:r>
      <w:r w:rsidR="00411039">
        <w:t xml:space="preserve">.  </w:t>
      </w:r>
      <w:r w:rsidRPr="00411039" w:rsidR="00411039">
        <w:t>(Cal. Rules of Court, rule 8.516(b)(3)</w:t>
      </w:r>
      <w:r w:rsidR="00411039">
        <w:t xml:space="preserve"> </w:t>
      </w:r>
      <w:r w:rsidRPr="00C05FDC" w:rsidR="00C05FDC">
        <w:t xml:space="preserve">[“The court need not decide every issue the parties raise or the court specifies”].) </w:t>
      </w:r>
    </w:p>
  </w:footnote>
  <w:footnote w:id="7">
    <w:p w:rsidR="00B715FC" w:rsidP="00ED7A7B" w14:paraId="668DA949" w14:textId="2DF4FB00">
      <w:pPr>
        <w:pStyle w:val="FootnoteText"/>
      </w:pPr>
      <w:r>
        <w:rPr>
          <w:rStyle w:val="FootnoteReference"/>
        </w:rPr>
        <w:footnoteRef/>
      </w:r>
      <w:r>
        <w:t xml:space="preserve"> </w:t>
      </w:r>
      <w:r>
        <w:tab/>
      </w:r>
      <w:r w:rsidRPr="00984B76">
        <w:t xml:space="preserve">While </w:t>
      </w:r>
      <w:r w:rsidRPr="00984B76">
        <w:rPr>
          <w:i/>
          <w:iCs/>
        </w:rPr>
        <w:t>Kern</w:t>
      </w:r>
      <w:r w:rsidR="00507C40">
        <w:rPr>
          <w:i/>
          <w:iCs/>
        </w:rPr>
        <w:t>’s</w:t>
      </w:r>
      <w:r w:rsidRPr="00984B76">
        <w:t xml:space="preserve"> </w:t>
      </w:r>
      <w:r w:rsidR="00507C40">
        <w:t xml:space="preserve">general </w:t>
      </w:r>
      <w:r w:rsidRPr="00984B76">
        <w:t>discussion of</w:t>
      </w:r>
      <w:r w:rsidR="00845E9D">
        <w:t xml:space="preserve"> the distinction</w:t>
      </w:r>
      <w:r w:rsidRPr="00984B76">
        <w:t xml:space="preserve"> </w:t>
      </w:r>
      <w:r w:rsidR="00507C40">
        <w:t xml:space="preserve">between </w:t>
      </w:r>
      <w:r w:rsidRPr="00984B76">
        <w:t>legal and practical compulsion</w:t>
      </w:r>
      <w:r w:rsidR="00507C40">
        <w:t xml:space="preserve"> is helpful for evaluating the parties’ arguments in this case</w:t>
      </w:r>
      <w:r w:rsidRPr="00984B76">
        <w:t xml:space="preserve">, the </w:t>
      </w:r>
      <w:r w:rsidR="006A4972">
        <w:t xml:space="preserve">specific </w:t>
      </w:r>
      <w:r w:rsidR="006E19E6">
        <w:t>nature</w:t>
      </w:r>
      <w:r w:rsidRPr="00984B76">
        <w:t xml:space="preserve"> of th</w:t>
      </w:r>
      <w:r w:rsidR="006E19E6">
        <w:t xml:space="preserve">e mandate claim at issue </w:t>
      </w:r>
      <w:r w:rsidR="00507C40">
        <w:t xml:space="preserve">in </w:t>
      </w:r>
      <w:r w:rsidRPr="002D30E8" w:rsidR="00507C40">
        <w:rPr>
          <w:i/>
          <w:iCs/>
        </w:rPr>
        <w:t>Kern</w:t>
      </w:r>
      <w:r w:rsidR="00507C40">
        <w:t xml:space="preserve"> </w:t>
      </w:r>
      <w:r w:rsidR="006E19E6">
        <w:t xml:space="preserve">is </w:t>
      </w:r>
      <w:r w:rsidR="00507C40">
        <w:t xml:space="preserve">factually </w:t>
      </w:r>
      <w:r w:rsidR="000B1B30">
        <w:t xml:space="preserve">somewhat </w:t>
      </w:r>
      <w:r w:rsidR="00507C40">
        <w:t>distinct from the</w:t>
      </w:r>
      <w:r w:rsidR="00631EF5">
        <w:t xml:space="preserve"> districts’</w:t>
      </w:r>
      <w:r w:rsidR="00507C40">
        <w:t xml:space="preserve"> claims here</w:t>
      </w:r>
      <w:r w:rsidR="006E19E6">
        <w:t xml:space="preserve">. </w:t>
      </w:r>
      <w:r w:rsidR="000A0F99">
        <w:t xml:space="preserve"> </w:t>
      </w:r>
      <w:r w:rsidR="00845E9D">
        <w:t>As discussed above, p</w:t>
      </w:r>
      <w:r w:rsidR="00FD153A">
        <w:t>articipation in the</w:t>
      </w:r>
      <w:r w:rsidR="000A0F99">
        <w:t xml:space="preserve"> </w:t>
      </w:r>
      <w:r w:rsidR="006A33B1">
        <w:t>underlying school programs</w:t>
      </w:r>
      <w:r w:rsidR="00100BA8">
        <w:t xml:space="preserve"> that triggered the challenged costs</w:t>
      </w:r>
      <w:r w:rsidR="006A33B1">
        <w:t xml:space="preserve"> in </w:t>
      </w:r>
      <w:r w:rsidRPr="002D30E8" w:rsidR="006A33B1">
        <w:rPr>
          <w:i/>
          <w:iCs/>
        </w:rPr>
        <w:t>Kern</w:t>
      </w:r>
      <w:r w:rsidR="006A33B1">
        <w:t xml:space="preserve"> </w:t>
      </w:r>
      <w:r w:rsidR="00FD153A">
        <w:t>was</w:t>
      </w:r>
      <w:r w:rsidR="00631EF5">
        <w:t xml:space="preserve"> </w:t>
      </w:r>
      <w:r w:rsidR="006A33B1">
        <w:t>completely voluntary</w:t>
      </w:r>
      <w:r w:rsidR="00100BA8">
        <w:t>.</w:t>
      </w:r>
      <w:r w:rsidR="006A33B1">
        <w:t xml:space="preserve"> </w:t>
      </w:r>
      <w:r w:rsidR="00100BA8">
        <w:t xml:space="preserve"> </w:t>
      </w:r>
      <w:r w:rsidRPr="006E19E6" w:rsidR="006E19E6">
        <w:t>(</w:t>
      </w:r>
      <w:r w:rsidRPr="00A2322A" w:rsidR="006E19E6">
        <w:rPr>
          <w:i/>
          <w:iCs/>
        </w:rPr>
        <w:t>Kern, supra</w:t>
      </w:r>
      <w:r w:rsidRPr="006E19E6" w:rsidR="006E19E6">
        <w:t>, 30 Cal.4th at p. 744</w:t>
      </w:r>
      <w:r w:rsidR="00100BA8">
        <w:t>.</w:t>
      </w:r>
      <w:r w:rsidRPr="006E19E6" w:rsidR="006E19E6">
        <w:t>)</w:t>
      </w:r>
      <w:r w:rsidR="00100BA8">
        <w:t xml:space="preserve">  </w:t>
      </w:r>
      <w:r w:rsidR="00845E9D">
        <w:t>Thus</w:t>
      </w:r>
      <w:r w:rsidR="00100BA8">
        <w:t xml:space="preserve">, </w:t>
      </w:r>
      <w:r w:rsidRPr="00B715FC" w:rsidR="00100BA8">
        <w:t>nonparticipation</w:t>
      </w:r>
      <w:r w:rsidR="00845E9D">
        <w:t xml:space="preserve"> in the underlying programs</w:t>
      </w:r>
      <w:r w:rsidRPr="00B715FC" w:rsidR="00100BA8">
        <w:t xml:space="preserve"> would have left the claimant school districts in the same position they would have been in otherwise</w:t>
      </w:r>
      <w:r w:rsidR="00FD153A">
        <w:t>, i.e., with no additional costs</w:t>
      </w:r>
      <w:r w:rsidRPr="00B715FC" w:rsidR="00100BA8">
        <w:t xml:space="preserve">.  </w:t>
      </w:r>
      <w:r w:rsidR="000B4AFE">
        <w:t xml:space="preserve">By contrast, as discussed in more detail below, the </w:t>
      </w:r>
      <w:r w:rsidR="0081297D">
        <w:t>districts</w:t>
      </w:r>
      <w:r w:rsidR="000B4AFE">
        <w:t xml:space="preserve"> here allege that </w:t>
      </w:r>
      <w:r w:rsidR="00FD153A">
        <w:t>choosing not</w:t>
      </w:r>
      <w:r w:rsidR="000B4AFE">
        <w:t xml:space="preserve"> to comply with </w:t>
      </w:r>
      <w:r w:rsidR="00633EC6">
        <w:t xml:space="preserve">the funding entitlement regulations </w:t>
      </w:r>
      <w:r w:rsidR="00FD153A">
        <w:t xml:space="preserve">results in unavoidable </w:t>
      </w:r>
      <w:r w:rsidR="00845E9D">
        <w:t>severe</w:t>
      </w:r>
      <w:r w:rsidR="00FD153A">
        <w:t xml:space="preserve"> consequences, namely </w:t>
      </w:r>
      <w:r w:rsidR="002D30E8">
        <w:t xml:space="preserve">placing </w:t>
      </w:r>
      <w:r w:rsidR="0081297D">
        <w:t>their</w:t>
      </w:r>
      <w:r w:rsidR="002D30E8">
        <w:t xml:space="preserve"> state aid in jeopardy</w:t>
      </w:r>
      <w:r w:rsidR="00FA4922">
        <w:t xml:space="preserve">.  </w:t>
      </w:r>
    </w:p>
    <w:p w:rsidR="00984B76" w14:paraId="5112D125" w14:textId="46C9C1E1">
      <w:pPr>
        <w:pStyle w:val="FootnoteText"/>
      </w:pPr>
    </w:p>
  </w:footnote>
  <w:footnote w:id="8">
    <w:p w:rsidR="008305E2" w:rsidP="00ED7A7B" w14:paraId="26DDC091" w14:textId="09DEB5EC">
      <w:pPr>
        <w:pStyle w:val="FootnoteText"/>
      </w:pPr>
      <w:r>
        <w:rPr>
          <w:rStyle w:val="FootnoteReference"/>
        </w:rPr>
        <w:footnoteRef/>
      </w:r>
      <w:r>
        <w:t xml:space="preserve">  </w:t>
      </w:r>
      <w:r>
        <w:tab/>
      </w:r>
      <w:r w:rsidR="00A16C1F">
        <w:t xml:space="preserve">At oral argument, </w:t>
      </w:r>
      <w:r w:rsidR="007D5EDF">
        <w:t>counsel for the</w:t>
      </w:r>
      <w:r w:rsidR="00A16C1F">
        <w:t xml:space="preserve"> districts argued that several </w:t>
      </w:r>
      <w:r>
        <w:t xml:space="preserve">of the funding entitlement regulations </w:t>
      </w:r>
      <w:r w:rsidR="0016098C">
        <w:t>include</w:t>
      </w:r>
      <w:r w:rsidR="00F5106F">
        <w:t xml:space="preserve"> the word “shall,” which is</w:t>
      </w:r>
      <w:r w:rsidR="00CF2152">
        <w:t xml:space="preserve"> generally</w:t>
      </w:r>
      <w:r w:rsidR="00F5106F">
        <w:t xml:space="preserve"> </w:t>
      </w:r>
      <w:r w:rsidR="0016098C">
        <w:t xml:space="preserve">indicative of </w:t>
      </w:r>
      <w:r w:rsidR="00F5106F">
        <w:t>a mandatory duty.</w:t>
      </w:r>
      <w:r>
        <w:t xml:space="preserve">  (See </w:t>
      </w:r>
      <w:r w:rsidR="00500603">
        <w:t>Cal. Code Regs., tit. 5,</w:t>
      </w:r>
      <w:r>
        <w:t xml:space="preserve"> §§ 51002 [district “</w:t>
      </w:r>
      <w:r w:rsidRPr="00022E04">
        <w:rPr>
          <w:i/>
          <w:iCs/>
        </w:rPr>
        <w:t>shall</w:t>
      </w:r>
      <w:r>
        <w:t xml:space="preserve"> [¶]</w:t>
      </w:r>
      <w:r w:rsidR="00875FC4">
        <w:t> </w:t>
      </w:r>
      <w:r>
        <w:t>.</w:t>
      </w:r>
      <w:r w:rsidR="00875FC4">
        <w:t> </w:t>
      </w:r>
      <w:r>
        <w:t>.</w:t>
      </w:r>
      <w:r w:rsidR="00875FC4">
        <w:t> </w:t>
      </w:r>
      <w:r>
        <w:t>.</w:t>
      </w:r>
      <w:r w:rsidR="00100B80">
        <w:t> </w:t>
      </w:r>
      <w:r>
        <w:t>adopt regulations consistent with the standards of scholarship contained in articles 2 through 5 (commencing with section 55020)</w:t>
      </w:r>
      <w:r w:rsidR="003C1DA0">
        <w:t>,</w:t>
      </w:r>
      <w:r>
        <w:t>”</w:t>
      </w:r>
      <w:r w:rsidR="005150B1">
        <w:t xml:space="preserve"> italics added</w:t>
      </w:r>
      <w:r>
        <w:t>]; 51004 [district “</w:t>
      </w:r>
      <w:r w:rsidRPr="00022E04">
        <w:rPr>
          <w:i/>
          <w:iCs/>
        </w:rPr>
        <w:t>shall</w:t>
      </w:r>
      <w:r>
        <w:t xml:space="preserve"> [¶]</w:t>
      </w:r>
      <w:r w:rsidR="00875FC4">
        <w:t> </w:t>
      </w:r>
      <w:r>
        <w:t>.</w:t>
      </w:r>
      <w:r w:rsidR="00875FC4">
        <w:t> </w:t>
      </w:r>
      <w:r>
        <w:t>.</w:t>
      </w:r>
      <w:r w:rsidR="00875FC4">
        <w:t> </w:t>
      </w:r>
      <w:r>
        <w:t>.</w:t>
      </w:r>
      <w:r w:rsidR="00100B80">
        <w:t> </w:t>
      </w:r>
      <w:r>
        <w:t>adopt regulations consistent with regulations contained in articles 6 and 7 (commencing with section 55060)</w:t>
      </w:r>
      <w:r w:rsidR="003C1DA0">
        <w:t>,</w:t>
      </w:r>
      <w:r>
        <w:t>”</w:t>
      </w:r>
      <w:r w:rsidR="005150B1">
        <w:t xml:space="preserve"> italics added</w:t>
      </w:r>
      <w:r>
        <w:t>]; 51006 [district “</w:t>
      </w:r>
      <w:r w:rsidRPr="00022E04">
        <w:rPr>
          <w:i/>
          <w:iCs/>
        </w:rPr>
        <w:t>shall</w:t>
      </w:r>
      <w:r>
        <w:t xml:space="preserve"> adopt” a policy making courses open to any enrolled students</w:t>
      </w:r>
      <w:r w:rsidR="003C1DA0">
        <w:t>,</w:t>
      </w:r>
      <w:r w:rsidR="005150B1">
        <w:t xml:space="preserve"> italics added</w:t>
      </w:r>
      <w:r>
        <w:t xml:space="preserve">].)  Those regulations, however, must be read in </w:t>
      </w:r>
      <w:r w:rsidR="00A35378">
        <w:t>the context of</w:t>
      </w:r>
      <w:r w:rsidR="00DE0CDC">
        <w:t> </w:t>
      </w:r>
      <w:r w:rsidR="00A50E2C">
        <w:t xml:space="preserve">— </w:t>
      </w:r>
      <w:r w:rsidR="00A35378">
        <w:t xml:space="preserve">and in </w:t>
      </w:r>
      <w:r>
        <w:t>conjunction with</w:t>
      </w:r>
      <w:r w:rsidR="00DE0CDC">
        <w:t> </w:t>
      </w:r>
      <w:r w:rsidR="00A50E2C">
        <w:t>—</w:t>
      </w:r>
      <w:r>
        <w:t xml:space="preserve"> Education Code section 70901, subdivision (b)(6) and Regulation 51002, which explain the </w:t>
      </w:r>
      <w:r w:rsidRPr="00CC1065">
        <w:rPr>
          <w:i/>
          <w:iCs/>
        </w:rPr>
        <w:t>consequences</w:t>
      </w:r>
      <w:r>
        <w:t xml:space="preserve"> of failing to comply with regulations, i.e., the Chancellor and Board of </w:t>
      </w:r>
      <w:r w:rsidRPr="00513B58">
        <w:t xml:space="preserve">Governors are given discretionary </w:t>
      </w:r>
      <w:r w:rsidRPr="004A7752">
        <w:t xml:space="preserve">authority to withhold state aid.  (See </w:t>
      </w:r>
      <w:r w:rsidRPr="004A7752">
        <w:rPr>
          <w:i/>
          <w:iCs/>
        </w:rPr>
        <w:t>ante</w:t>
      </w:r>
      <w:r w:rsidRPr="004A7752">
        <w:t>, at pp.</w:t>
      </w:r>
      <w:r w:rsidRPr="004A7752" w:rsidR="001D1F41">
        <w:t> </w:t>
      </w:r>
      <w:r w:rsidR="00B145A6">
        <w:t>8</w:t>
      </w:r>
      <w:r w:rsidRPr="004A7752" w:rsidR="003C313C">
        <w:t>–</w:t>
      </w:r>
      <w:r w:rsidR="00B145A6">
        <w:t>9</w:t>
      </w:r>
      <w:r w:rsidRPr="004A7752">
        <w:t xml:space="preserve">.)  Regardless of whether those consequences are sufficient to support a claim of </w:t>
      </w:r>
      <w:r w:rsidRPr="004A7752">
        <w:rPr>
          <w:i/>
          <w:iCs/>
        </w:rPr>
        <w:t>practical</w:t>
      </w:r>
      <w:r w:rsidRPr="004A7752">
        <w:t xml:space="preserve"> compulsion (an issue we do not reach here </w:t>
      </w:r>
      <w:r w:rsidRPr="004A7752" w:rsidR="000A5578">
        <w:t>[</w:t>
      </w:r>
      <w:r w:rsidRPr="004A7752">
        <w:t xml:space="preserve">see </w:t>
      </w:r>
      <w:r w:rsidRPr="004A7752">
        <w:rPr>
          <w:i/>
          <w:iCs/>
        </w:rPr>
        <w:t>post</w:t>
      </w:r>
      <w:r w:rsidRPr="004A7752">
        <w:t xml:space="preserve"> at p</w:t>
      </w:r>
      <w:r w:rsidRPr="004A7752" w:rsidR="00100B80">
        <w:t>p</w:t>
      </w:r>
      <w:r w:rsidRPr="004A7752">
        <w:t>.</w:t>
      </w:r>
      <w:r w:rsidRPr="004A7752" w:rsidR="001D1F41">
        <w:t> </w:t>
      </w:r>
      <w:r w:rsidRPr="004A7752" w:rsidR="003C313C">
        <w:t>2</w:t>
      </w:r>
      <w:r w:rsidR="00B145A6">
        <w:t>7</w:t>
      </w:r>
      <w:r w:rsidRPr="004A7752" w:rsidR="00100B80">
        <w:t>–</w:t>
      </w:r>
      <w:r w:rsidR="00B145A6">
        <w:t>29</w:t>
      </w:r>
      <w:r w:rsidRPr="004A7752" w:rsidR="000A5578">
        <w:t>]</w:t>
      </w:r>
      <w:r w:rsidRPr="004A7752" w:rsidR="00B27CEA">
        <w:t>)</w:t>
      </w:r>
      <w:r w:rsidRPr="004A7752">
        <w:t>, the risk that funding might be withheld does not</w:t>
      </w:r>
      <w:r>
        <w:t xml:space="preserve"> create a mandatory legal duty to comply with the regulations, which is the applicable test for legal compulsion.</w:t>
      </w:r>
      <w:r w:rsidR="0016098C">
        <w:t xml:space="preserve">  (</w:t>
      </w:r>
      <w:r w:rsidR="00E6670C">
        <w:t>C</w:t>
      </w:r>
      <w:r w:rsidR="007E0514">
        <w:t>f.</w:t>
      </w:r>
      <w:r w:rsidR="0016098C">
        <w:t xml:space="preserve">, </w:t>
      </w:r>
      <w:r w:rsidRPr="00643531" w:rsidR="00F34397">
        <w:rPr>
          <w:i/>
          <w:iCs/>
        </w:rPr>
        <w:t>Kern</w:t>
      </w:r>
      <w:r w:rsidR="00F34397">
        <w:rPr>
          <w:i/>
          <w:iCs/>
        </w:rPr>
        <w:t xml:space="preserve">, supra, </w:t>
      </w:r>
      <w:r w:rsidRPr="009276EC" w:rsidR="00F34397">
        <w:t>30</w:t>
      </w:r>
      <w:r w:rsidR="00F34397">
        <w:t> </w:t>
      </w:r>
      <w:r w:rsidRPr="009276EC" w:rsidR="00F34397">
        <w:t>Cal.4th</w:t>
      </w:r>
      <w:r w:rsidR="00F34397">
        <w:rPr>
          <w:i/>
          <w:iCs/>
        </w:rPr>
        <w:t xml:space="preserve"> </w:t>
      </w:r>
      <w:r w:rsidR="00D839F9">
        <w:t>at p.</w:t>
      </w:r>
      <w:r w:rsidR="00686EEB">
        <w:t xml:space="preserve"> 745</w:t>
      </w:r>
      <w:r w:rsidR="00CF2152">
        <w:t xml:space="preserve"> [regulation directing</w:t>
      </w:r>
      <w:r w:rsidR="009275D9">
        <w:t xml:space="preserve"> that</w:t>
      </w:r>
      <w:r w:rsidR="00CF2152">
        <w:t xml:space="preserve"> school districts “shall” </w:t>
      </w:r>
      <w:r w:rsidR="009275D9">
        <w:t xml:space="preserve">establish certain policies </w:t>
      </w:r>
      <w:r w:rsidR="00E6670C">
        <w:t xml:space="preserve">did not </w:t>
      </w:r>
      <w:r w:rsidR="003F3F76">
        <w:t>create</w:t>
      </w:r>
      <w:r w:rsidR="00E6670C">
        <w:t xml:space="preserve"> a </w:t>
      </w:r>
      <w:r w:rsidR="00C5086E">
        <w:t>legal</w:t>
      </w:r>
      <w:r w:rsidR="00E6670C">
        <w:t xml:space="preserve"> duty </w:t>
      </w:r>
      <w:r w:rsidR="009275D9">
        <w:t xml:space="preserve">where other </w:t>
      </w:r>
      <w:r w:rsidR="00DA637A">
        <w:t>provisions</w:t>
      </w:r>
      <w:r w:rsidR="009275D9">
        <w:t xml:space="preserve"> made clear </w:t>
      </w:r>
      <w:r w:rsidR="00E6670C">
        <w:t xml:space="preserve">compliance was only necessary if the school districts chose to </w:t>
      </w:r>
      <w:r w:rsidR="009275D9">
        <w:t xml:space="preserve">participate in </w:t>
      </w:r>
      <w:r w:rsidR="00DA637A">
        <w:t xml:space="preserve">a </w:t>
      </w:r>
      <w:r w:rsidR="009275D9">
        <w:t xml:space="preserve">voluntary program].) </w:t>
      </w:r>
      <w:r w:rsidR="00E6670C">
        <w:t xml:space="preserve"> </w:t>
      </w:r>
      <w:r>
        <w:tab/>
        <w:t xml:space="preserve">  </w:t>
      </w:r>
    </w:p>
  </w:footnote>
  <w:footnote w:id="9">
    <w:p w:rsidR="009E18B7" w:rsidP="00ED7A7B" w14:paraId="1DCA85FF" w14:textId="6B062948">
      <w:pPr>
        <w:pStyle w:val="FootnoteText"/>
      </w:pPr>
      <w:r>
        <w:rPr>
          <w:rStyle w:val="FootnoteReference"/>
        </w:rPr>
        <w:footnoteRef/>
      </w:r>
      <w:r>
        <w:t xml:space="preserve">  </w:t>
      </w:r>
      <w:r>
        <w:tab/>
        <w:t xml:space="preserve">The administrative record includes a letter the Chancellor submitted to the Commission in 2008 acknowledging that three (and in </w:t>
      </w:r>
      <w:r w:rsidR="006C1105">
        <w:t xml:space="preserve">some </w:t>
      </w:r>
      <w:r>
        <w:t xml:space="preserve">prior years four) community college districts did not receive any general apportionment funding because they derived sufficient revenue from other sources (primarily property tax allocations from their respective counties) to meet their funding needs. </w:t>
      </w:r>
      <w:r w:rsidR="00212A56">
        <w:t xml:space="preserve"> </w:t>
      </w:r>
      <w:r>
        <w:t xml:space="preserve">This evidence suggests that </w:t>
      </w:r>
      <w:r w:rsidR="00C9580B">
        <w:t xml:space="preserve">some </w:t>
      </w:r>
      <w:r>
        <w:t>districts</w:t>
      </w:r>
      <w:r w:rsidR="00C9580B">
        <w:t xml:space="preserve"> may</w:t>
      </w:r>
      <w:r>
        <w:t xml:space="preserve"> rely on state funding </w:t>
      </w:r>
      <w:r w:rsidR="00C9580B">
        <w:t>more heavily than others</w:t>
      </w:r>
      <w:r>
        <w:t xml:space="preserve">.  </w:t>
      </w:r>
    </w:p>
    <w:p w:rsidR="009E18B7" w:rsidP="009E18B7" w14:paraId="7D833916" w14:textId="77777777">
      <w:pPr>
        <w:pStyle w:val="FootnoteText"/>
      </w:pPr>
    </w:p>
  </w:footnote>
  <w:footnote w:id="10">
    <w:p w:rsidR="004A1CA8" w:rsidP="00ED7A7B" w14:paraId="2727C084" w14:textId="6D02B7A4">
      <w:pPr>
        <w:pStyle w:val="FootnoteText"/>
      </w:pPr>
      <w:r>
        <w:rPr>
          <w:rStyle w:val="FootnoteReference"/>
        </w:rPr>
        <w:footnoteRef/>
      </w:r>
      <w:r>
        <w:t xml:space="preserve"> </w:t>
      </w:r>
      <w:r w:rsidR="00F97680">
        <w:t xml:space="preserve"> </w:t>
      </w:r>
      <w:r w:rsidR="00E27C77">
        <w:tab/>
      </w:r>
      <w:r w:rsidR="00F97680">
        <w:t>T</w:t>
      </w:r>
      <w:r>
        <w:t xml:space="preserve">he </w:t>
      </w:r>
      <w:r w:rsidR="00F97680">
        <w:t xml:space="preserve">districts’ answers </w:t>
      </w:r>
      <w:r w:rsidR="002D7425">
        <w:t xml:space="preserve">to </w:t>
      </w:r>
      <w:r w:rsidR="00E27C77">
        <w:t>respondent</w:t>
      </w:r>
      <w:r>
        <w:t>s</w:t>
      </w:r>
      <w:r w:rsidR="00E27C77">
        <w:t>’</w:t>
      </w:r>
      <w:r>
        <w:t xml:space="preserve"> petitions for review likewise focused on the consequences of </w:t>
      </w:r>
      <w:r w:rsidR="002D7425">
        <w:t>noncompliance</w:t>
      </w:r>
      <w:r>
        <w:t xml:space="preserve">, arguing that </w:t>
      </w:r>
      <w:r w:rsidR="00045700">
        <w:t xml:space="preserve">they had not </w:t>
      </w:r>
      <w:r>
        <w:t>“voluntarily” compl</w:t>
      </w:r>
      <w:r w:rsidR="002D7425">
        <w:t xml:space="preserve">ied </w:t>
      </w:r>
      <w:r>
        <w:t>with the</w:t>
      </w:r>
      <w:r w:rsidR="00F97680">
        <w:t xml:space="preserve"> funding entitlement</w:t>
      </w:r>
      <w:r>
        <w:t xml:space="preserve"> regulations, but rather were “required to do so at risk of drastic fiscal loss of funds”</w:t>
      </w:r>
      <w:r w:rsidR="00F97680">
        <w:t xml:space="preserve"> and had no “true choice” but to comply given their reliance on state aid. </w:t>
      </w:r>
      <w:r>
        <w:t xml:space="preserve">  </w:t>
      </w:r>
    </w:p>
  </w:footnote>
  <w:footnote w:id="11">
    <w:p w:rsidR="00CE7FBB" w:rsidP="00ED7A7B" w14:paraId="2779A414" w14:textId="731D5641">
      <w:pPr>
        <w:pStyle w:val="FootnoteText"/>
      </w:pPr>
      <w:r>
        <w:rPr>
          <w:rStyle w:val="FootnoteReference"/>
        </w:rPr>
        <w:footnoteRef/>
      </w:r>
      <w:r>
        <w:t xml:space="preserve">  </w:t>
      </w:r>
      <w:r>
        <w:tab/>
        <w:t xml:space="preserve">As noted above, there appears to be substantial overlap between the directives described in the operating standards regulations (which the Commission has already found to qualify as mandates) and those set forth in the funding entitlement regulations.  (See </w:t>
      </w:r>
      <w:r w:rsidRPr="00767576">
        <w:rPr>
          <w:i/>
          <w:iCs/>
        </w:rPr>
        <w:t>ante</w:t>
      </w:r>
      <w:r>
        <w:t>, at p</w:t>
      </w:r>
      <w:r w:rsidR="00C948D2">
        <w:t>p</w:t>
      </w:r>
      <w:r>
        <w:t>. </w:t>
      </w:r>
      <w:r w:rsidR="00B84E07">
        <w:t>8</w:t>
      </w:r>
      <w:r>
        <w:t>,</w:t>
      </w:r>
      <w:r w:rsidR="00C948D2">
        <w:t xml:space="preserve"> fn. 3; </w:t>
      </w:r>
      <w:r w:rsidR="006C10E9">
        <w:t>13–</w:t>
      </w:r>
      <w:r w:rsidR="00C948D2">
        <w:t>14</w:t>
      </w:r>
      <w:r>
        <w:t xml:space="preserve">.)  Thus, while the record before us is not clear on the point, the districts may already be compliant with (and reimbursed for) many or most of the activities described in the funding entitlement regulations.  Given that the funding entitlement regulations direct that any remedy the Chancellor chooses to impose must relate to </w:t>
      </w:r>
      <w:r w:rsidRPr="00FF308D">
        <w:t xml:space="preserve">the </w:t>
      </w:r>
      <w:r>
        <w:t>“</w:t>
      </w:r>
      <w:r w:rsidRPr="00FF308D">
        <w:t xml:space="preserve">extent </w:t>
      </w:r>
      <w:r>
        <w:t>and gravity o</w:t>
      </w:r>
      <w:r w:rsidRPr="00FF308D">
        <w:t>f noncompliance</w:t>
      </w:r>
      <w:r>
        <w:t>” (</w:t>
      </w:r>
      <w:r w:rsidR="0048338F">
        <w:t xml:space="preserve">Cal. Code </w:t>
      </w:r>
      <w:r>
        <w:t>Reg</w:t>
      </w:r>
      <w:r w:rsidR="0048338F">
        <w:t>s</w:t>
      </w:r>
      <w:r>
        <w:t>.,</w:t>
      </w:r>
      <w:r w:rsidR="0048338F">
        <w:t xml:space="preserve"> tit. 5,</w:t>
      </w:r>
      <w:r>
        <w:t xml:space="preserve"> § 51102, subd. (c)), the fact that districts may already be compliant with (and compensated for) many of the conditions described in the funding entitlement regulations could be relevant to determining the appropriate remedy, including the size and scope of any withholding.  </w:t>
      </w:r>
      <w:r w:rsidRPr="00FF308D">
        <w:t xml:space="preserve"> </w:t>
      </w:r>
      <w:r>
        <w:t xml:space="preserve">     </w:t>
      </w:r>
    </w:p>
  </w:footnote>
  <w:footnote w:id="12">
    <w:p w:rsidR="008959B6" w:rsidP="0028177A" w14:paraId="05C97A77" w14:textId="09D387F0">
      <w:pPr>
        <w:spacing w:line="300" w:lineRule="exact"/>
      </w:pPr>
      <w:r>
        <w:rPr>
          <w:rStyle w:val="FootnoteReference"/>
        </w:rPr>
        <w:footnoteRef/>
      </w:r>
      <w:r>
        <w:t xml:space="preserve"> </w:t>
      </w:r>
      <w:r w:rsidR="00F940C8">
        <w:tab/>
      </w:r>
      <w:r>
        <w:t>The concurrence agrees</w:t>
      </w:r>
      <w:r w:rsidR="00501304">
        <w:t xml:space="preserve"> that</w:t>
      </w:r>
      <w:r>
        <w:t xml:space="preserve"> the Court of Appeal erred in finding the statutes and regulations the parties have relied on throughout this litigation (namely Education </w:t>
      </w:r>
      <w:r w:rsidRPr="009D6379">
        <w:t>Code</w:t>
      </w:r>
      <w:r>
        <w:t xml:space="preserve"> section </w:t>
      </w:r>
      <w:r w:rsidRPr="009D6379">
        <w:t>70901, subd</w:t>
      </w:r>
      <w:r>
        <w:t>ivision</w:t>
      </w:r>
      <w:r w:rsidRPr="009D6379">
        <w:t xml:space="preserve"> (b)(6)</w:t>
      </w:r>
      <w:r>
        <w:t xml:space="preserve"> and Regulation 51102) legally compel the districts to comply with the funding entitlement regulations.  Rather than remand the matter to address</w:t>
      </w:r>
      <w:r w:rsidR="00422978">
        <w:t xml:space="preserve"> only</w:t>
      </w:r>
      <w:r>
        <w:t xml:space="preserve"> practical compulsion, however, the concurrence would remand with directions that the </w:t>
      </w:r>
      <w:r w:rsidR="00572007">
        <w:t xml:space="preserve">appellate </w:t>
      </w:r>
      <w:r>
        <w:t xml:space="preserve">court </w:t>
      </w:r>
      <w:r w:rsidR="00422978">
        <w:t xml:space="preserve">also </w:t>
      </w:r>
      <w:r>
        <w:t xml:space="preserve">consider whether a different section of the Education Code, section 70902, might be interpreted to legally compel the districts to comply with the challenged regulations.  The success or failure of such an argument, the concurrence explains, would appear to turn on whether there may be another “enforcement mechanism” apart from the provisions in Regulation 51102 that could be used to compel the districts to comply with the funding entitlement regulations. </w:t>
      </w:r>
      <w:r w:rsidR="00D9398D">
        <w:t xml:space="preserve"> (</w:t>
      </w:r>
      <w:r w:rsidR="006C10E9">
        <w:t>See c</w:t>
      </w:r>
      <w:r w:rsidR="00D9398D">
        <w:t xml:space="preserve">onc. opn. of Liu, J, </w:t>
      </w:r>
      <w:r w:rsidRPr="00D9398D" w:rsidR="00D9398D">
        <w:rPr>
          <w:i/>
          <w:iCs/>
        </w:rPr>
        <w:t>post</w:t>
      </w:r>
      <w:r w:rsidR="00D9398D">
        <w:t>, at pp. 3–</w:t>
      </w:r>
      <w:r w:rsidR="00FB4A31">
        <w:t>5</w:t>
      </w:r>
      <w:r w:rsidR="00D9398D">
        <w:t>.)</w:t>
      </w:r>
      <w:r>
        <w:t xml:space="preserve"> </w:t>
      </w:r>
      <w:r w:rsidR="00D9398D">
        <w:t xml:space="preserve"> </w:t>
      </w:r>
      <w:r>
        <w:t>The concurrence identifies no such alternative mechanism, but hypothesizes that because one might exist, we should provide the parties an opportunity to explore the issue further.</w:t>
      </w:r>
    </w:p>
    <w:p w:rsidR="0048338F" w:rsidP="000E2FCD" w14:paraId="01E7D9E7" w14:textId="3E0E519D">
      <w:pPr>
        <w:spacing w:line="300" w:lineRule="exact"/>
        <w:ind w:firstLine="720"/>
      </w:pPr>
      <w:bookmarkStart w:id="24" w:name="_Hlk110855839"/>
      <w:r>
        <w:t>As the concurrence</w:t>
      </w:r>
      <w:r w:rsidR="00FB4A31">
        <w:t xml:space="preserve"> expressly</w:t>
      </w:r>
      <w:r>
        <w:t xml:space="preserve"> acknowledges, </w:t>
      </w:r>
      <w:r w:rsidR="008959B6">
        <w:t xml:space="preserve">no party has ever presented such a theory </w:t>
      </w:r>
      <w:r w:rsidR="00D9398D">
        <w:t>a</w:t>
      </w:r>
      <w:r w:rsidR="008959B6">
        <w:t>t any point during</w:t>
      </w:r>
      <w:r w:rsidR="00D9398D">
        <w:t xml:space="preserve"> this</w:t>
      </w:r>
      <w:r w:rsidR="008959B6">
        <w:t xml:space="preserve"> litigation, which has now been ongoing for almost two</w:t>
      </w:r>
      <w:r w:rsidR="004D4754">
        <w:t xml:space="preserve"> </w:t>
      </w:r>
      <w:r w:rsidR="008959B6">
        <w:t xml:space="preserve">decades.  </w:t>
      </w:r>
      <w:bookmarkEnd w:id="24"/>
      <w:r>
        <w:t xml:space="preserve">(See conc. opn. of Liu, J, </w:t>
      </w:r>
      <w:r w:rsidRPr="00D9398D">
        <w:rPr>
          <w:i/>
          <w:iCs/>
        </w:rPr>
        <w:t>post</w:t>
      </w:r>
      <w:r>
        <w:t xml:space="preserve">, at p. </w:t>
      </w:r>
      <w:r w:rsidR="00FB4A31">
        <w:t>5</w:t>
      </w:r>
      <w:r>
        <w:t xml:space="preserve">.)  </w:t>
      </w:r>
      <w:r w:rsidR="008959B6">
        <w:t xml:space="preserve">From the start of the proceedings, the districts’ reimbursement claim has focused on </w:t>
      </w:r>
      <w:r w:rsidR="00E227EA">
        <w:t xml:space="preserve">Education Code </w:t>
      </w:r>
      <w:r w:rsidR="008959B6">
        <w:t xml:space="preserve">section 70901 and its implementing regulations.  That is not particularly surprising given that section 70901 is the statute that describes </w:t>
      </w:r>
      <w:r w:rsidR="00D9398D">
        <w:t>(</w:t>
      </w:r>
      <w:r w:rsidR="008959B6">
        <w:t>and distinguishes</w:t>
      </w:r>
      <w:r w:rsidR="00D9398D">
        <w:t>)</w:t>
      </w:r>
      <w:r w:rsidR="008959B6">
        <w:t xml:space="preserve"> the operating standards regulations and the funding entitlement regulations.  In any event, as a court of review, our role is to evaluate the arguments the parties have presented, not “construct [alternative] theor[ies that might be] </w:t>
      </w:r>
      <w:r w:rsidRPr="0030695C" w:rsidR="008959B6">
        <w:t>supportive</w:t>
      </w:r>
      <w:r w:rsidR="008959B6">
        <w:t>” of their claims.  (</w:t>
      </w:r>
      <w:r w:rsidRPr="00BE7264" w:rsidR="008959B6">
        <w:rPr>
          <w:i/>
          <w:iCs/>
        </w:rPr>
        <w:t>People v. Stanley</w:t>
      </w:r>
      <w:r w:rsidRPr="006C61F0" w:rsidR="008959B6">
        <w:t xml:space="preserve"> (1995) 10 Cal.4th 764, 793</w:t>
      </w:r>
      <w:r w:rsidR="008959B6">
        <w:t>; s</w:t>
      </w:r>
      <w:r w:rsidRPr="00E0611B" w:rsidR="008959B6">
        <w:t xml:space="preserve">ee </w:t>
      </w:r>
      <w:r w:rsidR="0099673A">
        <w:t xml:space="preserve">also </w:t>
      </w:r>
      <w:r w:rsidRPr="0092786B" w:rsidR="008959B6">
        <w:rPr>
          <w:i/>
          <w:iCs/>
        </w:rPr>
        <w:t>In re Harris</w:t>
      </w:r>
      <w:r w:rsidRPr="00E0611B" w:rsidR="008959B6">
        <w:t xml:space="preserve"> (2021) 71 Cal.App.5th 1085, 1100 [“it is not our role to make arguments for petitioner or to consider arguments not raised or </w:t>
      </w:r>
      <w:r w:rsidR="008959B6">
        <w:t xml:space="preserve">. . . </w:t>
      </w:r>
      <w:r w:rsidRPr="00E0611B" w:rsidR="008959B6">
        <w:t>addressed below</w:t>
      </w:r>
      <w:r w:rsidR="0099673A">
        <w:t>,</w:t>
      </w:r>
      <w:r w:rsidRPr="00E0611B" w:rsidR="008959B6">
        <w:t>”</w:t>
      </w:r>
      <w:r w:rsidR="0099673A">
        <w:t xml:space="preserve"> fn. omitted</w:t>
      </w:r>
      <w:r w:rsidRPr="00E0611B" w:rsidR="008959B6">
        <w:t>]</w:t>
      </w:r>
      <w:r w:rsidR="008959B6">
        <w:t xml:space="preserve">; </w:t>
      </w:r>
      <w:r w:rsidR="003C3B45">
        <w:t xml:space="preserve">cf. </w:t>
      </w:r>
      <w:r w:rsidRPr="0092786B" w:rsidR="008959B6">
        <w:rPr>
          <w:i/>
          <w:iCs/>
        </w:rPr>
        <w:t>Jibilian v. Franchise Tax Bd.</w:t>
      </w:r>
      <w:r w:rsidRPr="006C61F0" w:rsidR="008959B6">
        <w:t xml:space="preserve"> (2006) 136 Cal.App.4th 862, 86</w:t>
      </w:r>
      <w:r w:rsidR="0099673A">
        <w:t>6, fn. 3</w:t>
      </w:r>
      <w:r w:rsidRPr="006C61F0" w:rsidR="008959B6">
        <w:t xml:space="preserve"> [“it is not our role to construct theories or arguments that would undermine the judgment”]</w:t>
      </w:r>
      <w:r w:rsidR="008959B6">
        <w:t>.</w:t>
      </w:r>
      <w:r w:rsidRPr="00E0611B" w:rsidR="008959B6">
        <w:t>)</w:t>
      </w:r>
      <w:r w:rsidRPr="006C61F0" w:rsidR="008959B6">
        <w:t xml:space="preserve">  </w:t>
      </w:r>
      <w:r w:rsidR="008959B6">
        <w:t xml:space="preserve">Accordingly, we decline to </w:t>
      </w:r>
      <w:r w:rsidR="00EE138E">
        <w:t xml:space="preserve">direct the Court of Appeal to </w:t>
      </w:r>
      <w:r w:rsidR="008959B6">
        <w:t>consider</w:t>
      </w:r>
      <w:r w:rsidR="004D4754">
        <w:t xml:space="preserve"> </w:t>
      </w:r>
      <w:r w:rsidR="008959B6">
        <w:t xml:space="preserve">undeveloped legal theories that neither party has advocated for.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A7B" w14:paraId="0C1F9DA1" w14:textId="73054420">
    <w:pPr>
      <w:pStyle w:val="Header"/>
    </w:pPr>
    <w:r>
      <w:t>COAST COMMUNITY COLLEGE DIST</w:t>
    </w:r>
    <w:r w:rsidR="006B6997">
      <w:t>.</w:t>
    </w:r>
    <w:r>
      <w:t xml:space="preserve"> </w:t>
    </w:r>
  </w:p>
  <w:p w:rsidR="00ED7A7B" w14:paraId="6BBCBE03" w14:textId="217E7A1E">
    <w:pPr>
      <w:pStyle w:val="Header"/>
    </w:pPr>
    <w:r>
      <w:t>v. COMMISSION ON STATE MANDATES</w:t>
    </w:r>
  </w:p>
  <w:p w:rsidR="00ED7A7B" w14:paraId="247EBFDC" w14:textId="010BC928">
    <w:pPr>
      <w:pStyle w:val="Header"/>
    </w:pPr>
    <w:r>
      <w:t>Opinion of the Court by Groban, J.</w:t>
    </w:r>
  </w:p>
  <w:p w:rsidR="00ED7A7B" w14:paraId="3C30BB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5D8D" w14:paraId="7DFB6040" w14:textId="77777777">
    <w:pPr>
      <w:pStyle w:val="Header"/>
    </w:pPr>
    <w:r>
      <w:t xml:space="preserve">COAST COMMUNITY COLLEGE DIST. </w:t>
    </w:r>
  </w:p>
  <w:p w:rsidR="00605D8D" w14:paraId="2FA88384" w14:textId="77777777">
    <w:pPr>
      <w:pStyle w:val="Header"/>
    </w:pPr>
    <w:r>
      <w:t>v. COMMISSION ON STATE MANDATES</w:t>
    </w:r>
  </w:p>
  <w:p w:rsidR="00605D8D" w14:paraId="6ECA39FD" w14:textId="3A379F38">
    <w:pPr>
      <w:pStyle w:val="Header"/>
    </w:pPr>
    <w:r>
      <w:t>Liu, J., concurring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6209" w:rsidRPr="00086209" w:rsidP="00086209" w14:paraId="20A16D46" w14:textId="77777777">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235D22"/>
    <w:multiLevelType w:val="hybridMultilevel"/>
    <w:tmpl w:val="CAF6E45A"/>
    <w:lvl w:ilvl="0">
      <w:start w:val="1"/>
      <w:numFmt w:val="upperLetter"/>
      <w:lvlText w:val="%1."/>
      <w:lvlJc w:val="left"/>
      <w:pPr>
        <w:ind w:left="1155" w:hanging="43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06F3822"/>
    <w:multiLevelType w:val="hybridMultilevel"/>
    <w:tmpl w:val="840A0AA0"/>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
    <w:nsid w:val="4F401A4A"/>
    <w:multiLevelType w:val="hybridMultilevel"/>
    <w:tmpl w:val="19CAC006"/>
    <w:lvl w:ilvl="0">
      <w:start w:val="0"/>
      <w:numFmt w:val="bullet"/>
      <w:lvlText w:val="-"/>
      <w:lvlJc w:val="left"/>
      <w:pPr>
        <w:ind w:left="720" w:hanging="360"/>
      </w:pPr>
      <w:rPr>
        <w:rFonts w:ascii="Times New Roman" w:eastAsia="Times New Roman" w:hAnsi="Times New Roman" w:cs="Times New Roman"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C4B00EC"/>
    <w:multiLevelType w:val="hybridMultilevel"/>
    <w:tmpl w:val="09B84FA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657217CA"/>
    <w:multiLevelType w:val="hybridMultilevel"/>
    <w:tmpl w:val="E064151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849497C"/>
    <w:multiLevelType w:val="hybridMultilevel"/>
    <w:tmpl w:val="ACE2F4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F8"/>
    <w:rsid w:val="00000313"/>
    <w:rsid w:val="000014AA"/>
    <w:rsid w:val="000024F1"/>
    <w:rsid w:val="000025D9"/>
    <w:rsid w:val="00003A8F"/>
    <w:rsid w:val="0000404F"/>
    <w:rsid w:val="00004365"/>
    <w:rsid w:val="00004485"/>
    <w:rsid w:val="00010032"/>
    <w:rsid w:val="000100F7"/>
    <w:rsid w:val="00010DCF"/>
    <w:rsid w:val="000123C7"/>
    <w:rsid w:val="000123DE"/>
    <w:rsid w:val="00012B3C"/>
    <w:rsid w:val="000153A2"/>
    <w:rsid w:val="00015BFE"/>
    <w:rsid w:val="0001781C"/>
    <w:rsid w:val="00017E77"/>
    <w:rsid w:val="00020B89"/>
    <w:rsid w:val="00021D92"/>
    <w:rsid w:val="000227A1"/>
    <w:rsid w:val="00022E04"/>
    <w:rsid w:val="000277C3"/>
    <w:rsid w:val="00030ABB"/>
    <w:rsid w:val="00030E48"/>
    <w:rsid w:val="00030EFF"/>
    <w:rsid w:val="00032787"/>
    <w:rsid w:val="00032FF8"/>
    <w:rsid w:val="00033ED6"/>
    <w:rsid w:val="000360BB"/>
    <w:rsid w:val="00036118"/>
    <w:rsid w:val="0003661D"/>
    <w:rsid w:val="00040329"/>
    <w:rsid w:val="00040E1F"/>
    <w:rsid w:val="000417EA"/>
    <w:rsid w:val="0004199F"/>
    <w:rsid w:val="00041E3B"/>
    <w:rsid w:val="00042F48"/>
    <w:rsid w:val="00044123"/>
    <w:rsid w:val="00045700"/>
    <w:rsid w:val="00046B61"/>
    <w:rsid w:val="000511A1"/>
    <w:rsid w:val="000527B9"/>
    <w:rsid w:val="00052FBE"/>
    <w:rsid w:val="00053444"/>
    <w:rsid w:val="00053C94"/>
    <w:rsid w:val="0005480D"/>
    <w:rsid w:val="000550AD"/>
    <w:rsid w:val="00055FE0"/>
    <w:rsid w:val="00056269"/>
    <w:rsid w:val="0005685F"/>
    <w:rsid w:val="00056885"/>
    <w:rsid w:val="000575F9"/>
    <w:rsid w:val="00060048"/>
    <w:rsid w:val="00060314"/>
    <w:rsid w:val="00060548"/>
    <w:rsid w:val="00060A91"/>
    <w:rsid w:val="00061C87"/>
    <w:rsid w:val="000626A3"/>
    <w:rsid w:val="00063208"/>
    <w:rsid w:val="0006381E"/>
    <w:rsid w:val="00063C97"/>
    <w:rsid w:val="00064866"/>
    <w:rsid w:val="000652A0"/>
    <w:rsid w:val="000653E1"/>
    <w:rsid w:val="000667D1"/>
    <w:rsid w:val="00066C12"/>
    <w:rsid w:val="00067431"/>
    <w:rsid w:val="00070DAF"/>
    <w:rsid w:val="000715F9"/>
    <w:rsid w:val="000727F5"/>
    <w:rsid w:val="00072D9A"/>
    <w:rsid w:val="00072F86"/>
    <w:rsid w:val="000730AE"/>
    <w:rsid w:val="00073B81"/>
    <w:rsid w:val="00073D1E"/>
    <w:rsid w:val="00075172"/>
    <w:rsid w:val="00075257"/>
    <w:rsid w:val="000762E9"/>
    <w:rsid w:val="000766A7"/>
    <w:rsid w:val="00076EC8"/>
    <w:rsid w:val="000831AA"/>
    <w:rsid w:val="00083492"/>
    <w:rsid w:val="000849E8"/>
    <w:rsid w:val="000850DA"/>
    <w:rsid w:val="0008597C"/>
    <w:rsid w:val="000859F5"/>
    <w:rsid w:val="000860D5"/>
    <w:rsid w:val="0008615D"/>
    <w:rsid w:val="00086209"/>
    <w:rsid w:val="000864C3"/>
    <w:rsid w:val="0008692C"/>
    <w:rsid w:val="00087E3A"/>
    <w:rsid w:val="000907DF"/>
    <w:rsid w:val="00090A39"/>
    <w:rsid w:val="00090E56"/>
    <w:rsid w:val="000911CF"/>
    <w:rsid w:val="00091993"/>
    <w:rsid w:val="00091B65"/>
    <w:rsid w:val="00093AB9"/>
    <w:rsid w:val="00093C3C"/>
    <w:rsid w:val="00093F52"/>
    <w:rsid w:val="0009594E"/>
    <w:rsid w:val="00095A82"/>
    <w:rsid w:val="00095E33"/>
    <w:rsid w:val="000966D8"/>
    <w:rsid w:val="00096B9C"/>
    <w:rsid w:val="00096E67"/>
    <w:rsid w:val="000972C4"/>
    <w:rsid w:val="000979DD"/>
    <w:rsid w:val="00097D65"/>
    <w:rsid w:val="000A0548"/>
    <w:rsid w:val="000A06CF"/>
    <w:rsid w:val="000A0D21"/>
    <w:rsid w:val="000A0DB1"/>
    <w:rsid w:val="000A0ED6"/>
    <w:rsid w:val="000A0F99"/>
    <w:rsid w:val="000A20D2"/>
    <w:rsid w:val="000A2382"/>
    <w:rsid w:val="000A2B48"/>
    <w:rsid w:val="000A2D6E"/>
    <w:rsid w:val="000A2D98"/>
    <w:rsid w:val="000A2EC6"/>
    <w:rsid w:val="000A3001"/>
    <w:rsid w:val="000A3211"/>
    <w:rsid w:val="000A32D0"/>
    <w:rsid w:val="000A3701"/>
    <w:rsid w:val="000A3F0E"/>
    <w:rsid w:val="000A446B"/>
    <w:rsid w:val="000A45F5"/>
    <w:rsid w:val="000A472B"/>
    <w:rsid w:val="000A4F87"/>
    <w:rsid w:val="000A5005"/>
    <w:rsid w:val="000A512D"/>
    <w:rsid w:val="000A5578"/>
    <w:rsid w:val="000A5939"/>
    <w:rsid w:val="000A6E95"/>
    <w:rsid w:val="000A74A7"/>
    <w:rsid w:val="000A79FF"/>
    <w:rsid w:val="000B0976"/>
    <w:rsid w:val="000B1B30"/>
    <w:rsid w:val="000B2AD3"/>
    <w:rsid w:val="000B3EED"/>
    <w:rsid w:val="000B3F21"/>
    <w:rsid w:val="000B41A5"/>
    <w:rsid w:val="000B45F9"/>
    <w:rsid w:val="000B4AFE"/>
    <w:rsid w:val="000B4DBD"/>
    <w:rsid w:val="000B6273"/>
    <w:rsid w:val="000B7A55"/>
    <w:rsid w:val="000B7B5E"/>
    <w:rsid w:val="000C0A7A"/>
    <w:rsid w:val="000C0D3C"/>
    <w:rsid w:val="000C12E2"/>
    <w:rsid w:val="000C1420"/>
    <w:rsid w:val="000C1964"/>
    <w:rsid w:val="000C308D"/>
    <w:rsid w:val="000C36C8"/>
    <w:rsid w:val="000C3F67"/>
    <w:rsid w:val="000C449B"/>
    <w:rsid w:val="000C4F29"/>
    <w:rsid w:val="000C574E"/>
    <w:rsid w:val="000C5D99"/>
    <w:rsid w:val="000C672F"/>
    <w:rsid w:val="000C6BA0"/>
    <w:rsid w:val="000C74AE"/>
    <w:rsid w:val="000C7C47"/>
    <w:rsid w:val="000C7F6A"/>
    <w:rsid w:val="000D005E"/>
    <w:rsid w:val="000D07F6"/>
    <w:rsid w:val="000D0A91"/>
    <w:rsid w:val="000D14AA"/>
    <w:rsid w:val="000D1545"/>
    <w:rsid w:val="000D2A37"/>
    <w:rsid w:val="000D303A"/>
    <w:rsid w:val="000D3771"/>
    <w:rsid w:val="000D4722"/>
    <w:rsid w:val="000D68E9"/>
    <w:rsid w:val="000D6911"/>
    <w:rsid w:val="000D6A46"/>
    <w:rsid w:val="000D6ADA"/>
    <w:rsid w:val="000D7DE8"/>
    <w:rsid w:val="000E0296"/>
    <w:rsid w:val="000E09AD"/>
    <w:rsid w:val="000E0CCC"/>
    <w:rsid w:val="000E1958"/>
    <w:rsid w:val="000E19A9"/>
    <w:rsid w:val="000E1EC6"/>
    <w:rsid w:val="000E240A"/>
    <w:rsid w:val="000E29C2"/>
    <w:rsid w:val="000E2D75"/>
    <w:rsid w:val="000E2FCD"/>
    <w:rsid w:val="000E3587"/>
    <w:rsid w:val="000E5620"/>
    <w:rsid w:val="000E566F"/>
    <w:rsid w:val="000E5703"/>
    <w:rsid w:val="000E5DCD"/>
    <w:rsid w:val="000E6151"/>
    <w:rsid w:val="000E67B5"/>
    <w:rsid w:val="000E691D"/>
    <w:rsid w:val="000E7071"/>
    <w:rsid w:val="000E72EC"/>
    <w:rsid w:val="000E75AE"/>
    <w:rsid w:val="000E7C3C"/>
    <w:rsid w:val="000F0230"/>
    <w:rsid w:val="000F222B"/>
    <w:rsid w:val="000F3719"/>
    <w:rsid w:val="000F3885"/>
    <w:rsid w:val="000F38E7"/>
    <w:rsid w:val="000F3A61"/>
    <w:rsid w:val="000F3A6C"/>
    <w:rsid w:val="000F512F"/>
    <w:rsid w:val="000F5640"/>
    <w:rsid w:val="000F78AC"/>
    <w:rsid w:val="0010056A"/>
    <w:rsid w:val="0010059E"/>
    <w:rsid w:val="00100B80"/>
    <w:rsid w:val="00100BA8"/>
    <w:rsid w:val="001012CA"/>
    <w:rsid w:val="00102033"/>
    <w:rsid w:val="00102779"/>
    <w:rsid w:val="00104F5F"/>
    <w:rsid w:val="00105E24"/>
    <w:rsid w:val="001068E4"/>
    <w:rsid w:val="0010716B"/>
    <w:rsid w:val="001079DE"/>
    <w:rsid w:val="00107E69"/>
    <w:rsid w:val="0011011E"/>
    <w:rsid w:val="00111190"/>
    <w:rsid w:val="001120DD"/>
    <w:rsid w:val="00112559"/>
    <w:rsid w:val="0011279D"/>
    <w:rsid w:val="00112BEF"/>
    <w:rsid w:val="001138AA"/>
    <w:rsid w:val="00113F19"/>
    <w:rsid w:val="00114B4A"/>
    <w:rsid w:val="001155ED"/>
    <w:rsid w:val="00116BC9"/>
    <w:rsid w:val="00116C15"/>
    <w:rsid w:val="00116F3E"/>
    <w:rsid w:val="00117687"/>
    <w:rsid w:val="001179CA"/>
    <w:rsid w:val="00117CEC"/>
    <w:rsid w:val="00117E59"/>
    <w:rsid w:val="001209E1"/>
    <w:rsid w:val="00120D88"/>
    <w:rsid w:val="001220F7"/>
    <w:rsid w:val="00122268"/>
    <w:rsid w:val="001226C0"/>
    <w:rsid w:val="00122D36"/>
    <w:rsid w:val="00122EE2"/>
    <w:rsid w:val="00123630"/>
    <w:rsid w:val="00123C25"/>
    <w:rsid w:val="00125308"/>
    <w:rsid w:val="00125EB3"/>
    <w:rsid w:val="0012628A"/>
    <w:rsid w:val="00126502"/>
    <w:rsid w:val="001268BF"/>
    <w:rsid w:val="00127779"/>
    <w:rsid w:val="00131602"/>
    <w:rsid w:val="00132B1B"/>
    <w:rsid w:val="00133421"/>
    <w:rsid w:val="00133972"/>
    <w:rsid w:val="00133BE6"/>
    <w:rsid w:val="00134490"/>
    <w:rsid w:val="00134516"/>
    <w:rsid w:val="00134679"/>
    <w:rsid w:val="001348C6"/>
    <w:rsid w:val="0013497A"/>
    <w:rsid w:val="00134B31"/>
    <w:rsid w:val="001351D3"/>
    <w:rsid w:val="001358D1"/>
    <w:rsid w:val="00135A09"/>
    <w:rsid w:val="00135F05"/>
    <w:rsid w:val="00136006"/>
    <w:rsid w:val="00136312"/>
    <w:rsid w:val="00137A36"/>
    <w:rsid w:val="001402DF"/>
    <w:rsid w:val="00141064"/>
    <w:rsid w:val="001413CE"/>
    <w:rsid w:val="00142BB2"/>
    <w:rsid w:val="00144A25"/>
    <w:rsid w:val="001454E4"/>
    <w:rsid w:val="001455A9"/>
    <w:rsid w:val="00146C40"/>
    <w:rsid w:val="00146D70"/>
    <w:rsid w:val="00147C94"/>
    <w:rsid w:val="00147E85"/>
    <w:rsid w:val="00150DA4"/>
    <w:rsid w:val="001512E9"/>
    <w:rsid w:val="00151B0E"/>
    <w:rsid w:val="00152EC5"/>
    <w:rsid w:val="001551A9"/>
    <w:rsid w:val="001557E1"/>
    <w:rsid w:val="00155939"/>
    <w:rsid w:val="0015696E"/>
    <w:rsid w:val="00156D76"/>
    <w:rsid w:val="00157742"/>
    <w:rsid w:val="00160491"/>
    <w:rsid w:val="001605E3"/>
    <w:rsid w:val="0016098C"/>
    <w:rsid w:val="00161BF7"/>
    <w:rsid w:val="00161F05"/>
    <w:rsid w:val="00162419"/>
    <w:rsid w:val="00162AB9"/>
    <w:rsid w:val="00163D97"/>
    <w:rsid w:val="0016404C"/>
    <w:rsid w:val="001648C2"/>
    <w:rsid w:val="00165C80"/>
    <w:rsid w:val="00165DD6"/>
    <w:rsid w:val="001660EA"/>
    <w:rsid w:val="001670D1"/>
    <w:rsid w:val="0016718C"/>
    <w:rsid w:val="001671F6"/>
    <w:rsid w:val="00167571"/>
    <w:rsid w:val="001679F4"/>
    <w:rsid w:val="00167A6E"/>
    <w:rsid w:val="00170553"/>
    <w:rsid w:val="00170ACD"/>
    <w:rsid w:val="001722B3"/>
    <w:rsid w:val="001738BE"/>
    <w:rsid w:val="00174E5D"/>
    <w:rsid w:val="001752A0"/>
    <w:rsid w:val="00176442"/>
    <w:rsid w:val="0017646A"/>
    <w:rsid w:val="00176C3B"/>
    <w:rsid w:val="00176EAC"/>
    <w:rsid w:val="001809C0"/>
    <w:rsid w:val="001809FB"/>
    <w:rsid w:val="00180A31"/>
    <w:rsid w:val="00181E60"/>
    <w:rsid w:val="001821DA"/>
    <w:rsid w:val="0018228E"/>
    <w:rsid w:val="00182BD6"/>
    <w:rsid w:val="00182BEA"/>
    <w:rsid w:val="00182EB7"/>
    <w:rsid w:val="0018397C"/>
    <w:rsid w:val="00184599"/>
    <w:rsid w:val="001848E5"/>
    <w:rsid w:val="00184B30"/>
    <w:rsid w:val="00184DFB"/>
    <w:rsid w:val="00185503"/>
    <w:rsid w:val="001869D1"/>
    <w:rsid w:val="00186BC2"/>
    <w:rsid w:val="00186E2E"/>
    <w:rsid w:val="0019054C"/>
    <w:rsid w:val="001909CA"/>
    <w:rsid w:val="00192893"/>
    <w:rsid w:val="001935DC"/>
    <w:rsid w:val="001938AA"/>
    <w:rsid w:val="001938C0"/>
    <w:rsid w:val="0019423B"/>
    <w:rsid w:val="00194BDF"/>
    <w:rsid w:val="00195B9B"/>
    <w:rsid w:val="00196361"/>
    <w:rsid w:val="00196D1D"/>
    <w:rsid w:val="001973D5"/>
    <w:rsid w:val="001A0AFE"/>
    <w:rsid w:val="001A0C96"/>
    <w:rsid w:val="001A0F34"/>
    <w:rsid w:val="001A1099"/>
    <w:rsid w:val="001A16C9"/>
    <w:rsid w:val="001A195B"/>
    <w:rsid w:val="001A1A70"/>
    <w:rsid w:val="001A20D5"/>
    <w:rsid w:val="001A2E11"/>
    <w:rsid w:val="001A337A"/>
    <w:rsid w:val="001A3FA8"/>
    <w:rsid w:val="001A4FFD"/>
    <w:rsid w:val="001A5348"/>
    <w:rsid w:val="001A5840"/>
    <w:rsid w:val="001A648E"/>
    <w:rsid w:val="001A6941"/>
    <w:rsid w:val="001A6C8A"/>
    <w:rsid w:val="001B127A"/>
    <w:rsid w:val="001B31F1"/>
    <w:rsid w:val="001B3A4D"/>
    <w:rsid w:val="001B5410"/>
    <w:rsid w:val="001B5554"/>
    <w:rsid w:val="001B65D4"/>
    <w:rsid w:val="001B73A8"/>
    <w:rsid w:val="001C0897"/>
    <w:rsid w:val="001C1358"/>
    <w:rsid w:val="001C28F1"/>
    <w:rsid w:val="001C2A7E"/>
    <w:rsid w:val="001C3540"/>
    <w:rsid w:val="001C3EB4"/>
    <w:rsid w:val="001C40EA"/>
    <w:rsid w:val="001C48A6"/>
    <w:rsid w:val="001C4BA5"/>
    <w:rsid w:val="001C55DD"/>
    <w:rsid w:val="001C5B57"/>
    <w:rsid w:val="001C5D45"/>
    <w:rsid w:val="001C7439"/>
    <w:rsid w:val="001D0323"/>
    <w:rsid w:val="001D0D39"/>
    <w:rsid w:val="001D14DA"/>
    <w:rsid w:val="001D1983"/>
    <w:rsid w:val="001D1F41"/>
    <w:rsid w:val="001D2685"/>
    <w:rsid w:val="001D2945"/>
    <w:rsid w:val="001D2F36"/>
    <w:rsid w:val="001D3352"/>
    <w:rsid w:val="001D3AB3"/>
    <w:rsid w:val="001D3BBB"/>
    <w:rsid w:val="001D4292"/>
    <w:rsid w:val="001D469D"/>
    <w:rsid w:val="001D538D"/>
    <w:rsid w:val="001D58B4"/>
    <w:rsid w:val="001D655D"/>
    <w:rsid w:val="001D66BB"/>
    <w:rsid w:val="001D7F66"/>
    <w:rsid w:val="001E02FB"/>
    <w:rsid w:val="001E2035"/>
    <w:rsid w:val="001E238E"/>
    <w:rsid w:val="001E2924"/>
    <w:rsid w:val="001E35A9"/>
    <w:rsid w:val="001E4560"/>
    <w:rsid w:val="001E53A1"/>
    <w:rsid w:val="001E583F"/>
    <w:rsid w:val="001E5C4C"/>
    <w:rsid w:val="001E5D5B"/>
    <w:rsid w:val="001E6244"/>
    <w:rsid w:val="001E62AF"/>
    <w:rsid w:val="001E679C"/>
    <w:rsid w:val="001E7438"/>
    <w:rsid w:val="001F0E13"/>
    <w:rsid w:val="001F0F34"/>
    <w:rsid w:val="001F1179"/>
    <w:rsid w:val="001F1622"/>
    <w:rsid w:val="001F1D2A"/>
    <w:rsid w:val="001F287F"/>
    <w:rsid w:val="001F2E0B"/>
    <w:rsid w:val="001F3BB3"/>
    <w:rsid w:val="001F415A"/>
    <w:rsid w:val="001F48FC"/>
    <w:rsid w:val="001F4E0F"/>
    <w:rsid w:val="001F4F98"/>
    <w:rsid w:val="001F6741"/>
    <w:rsid w:val="001F7394"/>
    <w:rsid w:val="0020001B"/>
    <w:rsid w:val="002008B2"/>
    <w:rsid w:val="00200E0B"/>
    <w:rsid w:val="00201838"/>
    <w:rsid w:val="00203484"/>
    <w:rsid w:val="002041F1"/>
    <w:rsid w:val="002045AD"/>
    <w:rsid w:val="00205184"/>
    <w:rsid w:val="00205B54"/>
    <w:rsid w:val="002060CF"/>
    <w:rsid w:val="00206E5B"/>
    <w:rsid w:val="00207BDB"/>
    <w:rsid w:val="00211B40"/>
    <w:rsid w:val="002125F6"/>
    <w:rsid w:val="002127BD"/>
    <w:rsid w:val="00212A56"/>
    <w:rsid w:val="00212B52"/>
    <w:rsid w:val="00212F7B"/>
    <w:rsid w:val="00212FF5"/>
    <w:rsid w:val="00215BE5"/>
    <w:rsid w:val="00215D9D"/>
    <w:rsid w:val="002161E7"/>
    <w:rsid w:val="002165A4"/>
    <w:rsid w:val="0021758C"/>
    <w:rsid w:val="00217B0C"/>
    <w:rsid w:val="0022103A"/>
    <w:rsid w:val="002213E7"/>
    <w:rsid w:val="0022237B"/>
    <w:rsid w:val="002241C5"/>
    <w:rsid w:val="002241CD"/>
    <w:rsid w:val="002248B9"/>
    <w:rsid w:val="00225444"/>
    <w:rsid w:val="0022550C"/>
    <w:rsid w:val="00225776"/>
    <w:rsid w:val="00230050"/>
    <w:rsid w:val="002308C9"/>
    <w:rsid w:val="00230BEC"/>
    <w:rsid w:val="00232436"/>
    <w:rsid w:val="0023283A"/>
    <w:rsid w:val="002328C1"/>
    <w:rsid w:val="0023318D"/>
    <w:rsid w:val="00233A51"/>
    <w:rsid w:val="0023527E"/>
    <w:rsid w:val="00235615"/>
    <w:rsid w:val="002363E3"/>
    <w:rsid w:val="0023727A"/>
    <w:rsid w:val="00237878"/>
    <w:rsid w:val="00240181"/>
    <w:rsid w:val="002401D2"/>
    <w:rsid w:val="002412E6"/>
    <w:rsid w:val="002412F3"/>
    <w:rsid w:val="00241F1C"/>
    <w:rsid w:val="00242F6E"/>
    <w:rsid w:val="00244423"/>
    <w:rsid w:val="00244F24"/>
    <w:rsid w:val="002450FC"/>
    <w:rsid w:val="002451D0"/>
    <w:rsid w:val="00245202"/>
    <w:rsid w:val="0024599E"/>
    <w:rsid w:val="00245F8C"/>
    <w:rsid w:val="00246496"/>
    <w:rsid w:val="00246589"/>
    <w:rsid w:val="002472E5"/>
    <w:rsid w:val="00250882"/>
    <w:rsid w:val="002508D7"/>
    <w:rsid w:val="00250A04"/>
    <w:rsid w:val="0025132E"/>
    <w:rsid w:val="00251C68"/>
    <w:rsid w:val="00252382"/>
    <w:rsid w:val="0025268E"/>
    <w:rsid w:val="002526B1"/>
    <w:rsid w:val="00252A86"/>
    <w:rsid w:val="00253520"/>
    <w:rsid w:val="00256138"/>
    <w:rsid w:val="00257739"/>
    <w:rsid w:val="0025791D"/>
    <w:rsid w:val="00257E5D"/>
    <w:rsid w:val="0026068F"/>
    <w:rsid w:val="002610A2"/>
    <w:rsid w:val="00261164"/>
    <w:rsid w:val="002614AC"/>
    <w:rsid w:val="002616DE"/>
    <w:rsid w:val="0026179E"/>
    <w:rsid w:val="00261C66"/>
    <w:rsid w:val="002620B7"/>
    <w:rsid w:val="00262809"/>
    <w:rsid w:val="002629FB"/>
    <w:rsid w:val="00264511"/>
    <w:rsid w:val="00264BC5"/>
    <w:rsid w:val="002656D9"/>
    <w:rsid w:val="002658C9"/>
    <w:rsid w:val="00265E9A"/>
    <w:rsid w:val="00266083"/>
    <w:rsid w:val="00266187"/>
    <w:rsid w:val="00266242"/>
    <w:rsid w:val="00266947"/>
    <w:rsid w:val="0027055D"/>
    <w:rsid w:val="00270636"/>
    <w:rsid w:val="00271A0A"/>
    <w:rsid w:val="0027314F"/>
    <w:rsid w:val="002736F8"/>
    <w:rsid w:val="00273930"/>
    <w:rsid w:val="002747BB"/>
    <w:rsid w:val="00274A64"/>
    <w:rsid w:val="00274DDE"/>
    <w:rsid w:val="0027530E"/>
    <w:rsid w:val="00275487"/>
    <w:rsid w:val="00275FFC"/>
    <w:rsid w:val="00276C1B"/>
    <w:rsid w:val="002801D4"/>
    <w:rsid w:val="00280FC3"/>
    <w:rsid w:val="00281240"/>
    <w:rsid w:val="00281578"/>
    <w:rsid w:val="0028177A"/>
    <w:rsid w:val="00282406"/>
    <w:rsid w:val="00283F05"/>
    <w:rsid w:val="002842E3"/>
    <w:rsid w:val="0028475B"/>
    <w:rsid w:val="00284CA9"/>
    <w:rsid w:val="00285919"/>
    <w:rsid w:val="00285AFE"/>
    <w:rsid w:val="00286185"/>
    <w:rsid w:val="00286C3C"/>
    <w:rsid w:val="00287048"/>
    <w:rsid w:val="00290207"/>
    <w:rsid w:val="00290378"/>
    <w:rsid w:val="0029041B"/>
    <w:rsid w:val="0029047B"/>
    <w:rsid w:val="00290D5F"/>
    <w:rsid w:val="00291614"/>
    <w:rsid w:val="00291F6F"/>
    <w:rsid w:val="002921F2"/>
    <w:rsid w:val="00292C06"/>
    <w:rsid w:val="00292DFD"/>
    <w:rsid w:val="00296377"/>
    <w:rsid w:val="00296FE5"/>
    <w:rsid w:val="00297160"/>
    <w:rsid w:val="002A0173"/>
    <w:rsid w:val="002A01AC"/>
    <w:rsid w:val="002A03A3"/>
    <w:rsid w:val="002A0B57"/>
    <w:rsid w:val="002A0E3E"/>
    <w:rsid w:val="002A1680"/>
    <w:rsid w:val="002A1849"/>
    <w:rsid w:val="002A21D6"/>
    <w:rsid w:val="002A231E"/>
    <w:rsid w:val="002A318D"/>
    <w:rsid w:val="002A46BB"/>
    <w:rsid w:val="002A4E68"/>
    <w:rsid w:val="002A4EC7"/>
    <w:rsid w:val="002A595D"/>
    <w:rsid w:val="002A59B6"/>
    <w:rsid w:val="002A6776"/>
    <w:rsid w:val="002A6799"/>
    <w:rsid w:val="002A70AF"/>
    <w:rsid w:val="002A78E4"/>
    <w:rsid w:val="002A7C99"/>
    <w:rsid w:val="002B0DE6"/>
    <w:rsid w:val="002B0ECE"/>
    <w:rsid w:val="002B0EF6"/>
    <w:rsid w:val="002B1522"/>
    <w:rsid w:val="002B335D"/>
    <w:rsid w:val="002B3C26"/>
    <w:rsid w:val="002B3D4B"/>
    <w:rsid w:val="002B56BA"/>
    <w:rsid w:val="002B5B3D"/>
    <w:rsid w:val="002B5E34"/>
    <w:rsid w:val="002B6BA3"/>
    <w:rsid w:val="002B7407"/>
    <w:rsid w:val="002C09B1"/>
    <w:rsid w:val="002C0A58"/>
    <w:rsid w:val="002C0CEB"/>
    <w:rsid w:val="002C1F19"/>
    <w:rsid w:val="002C29F9"/>
    <w:rsid w:val="002C2F98"/>
    <w:rsid w:val="002C47E4"/>
    <w:rsid w:val="002C5980"/>
    <w:rsid w:val="002C6A49"/>
    <w:rsid w:val="002C70BF"/>
    <w:rsid w:val="002C7C8D"/>
    <w:rsid w:val="002C7D61"/>
    <w:rsid w:val="002C7FB5"/>
    <w:rsid w:val="002D0DA2"/>
    <w:rsid w:val="002D1555"/>
    <w:rsid w:val="002D1B5A"/>
    <w:rsid w:val="002D2789"/>
    <w:rsid w:val="002D2CD8"/>
    <w:rsid w:val="002D30E8"/>
    <w:rsid w:val="002D399E"/>
    <w:rsid w:val="002D3B23"/>
    <w:rsid w:val="002D5B6F"/>
    <w:rsid w:val="002D7425"/>
    <w:rsid w:val="002D79F5"/>
    <w:rsid w:val="002D7E95"/>
    <w:rsid w:val="002E0CC9"/>
    <w:rsid w:val="002E0F0E"/>
    <w:rsid w:val="002E1718"/>
    <w:rsid w:val="002E1CB3"/>
    <w:rsid w:val="002E33B4"/>
    <w:rsid w:val="002E40EC"/>
    <w:rsid w:val="002E4C46"/>
    <w:rsid w:val="002E65D5"/>
    <w:rsid w:val="002E7122"/>
    <w:rsid w:val="002E7247"/>
    <w:rsid w:val="002F07F9"/>
    <w:rsid w:val="002F0CB2"/>
    <w:rsid w:val="002F0E8D"/>
    <w:rsid w:val="002F1145"/>
    <w:rsid w:val="002F15AE"/>
    <w:rsid w:val="002F18D5"/>
    <w:rsid w:val="002F1CD2"/>
    <w:rsid w:val="002F1CEA"/>
    <w:rsid w:val="002F22C7"/>
    <w:rsid w:val="002F2E7A"/>
    <w:rsid w:val="002F3A6B"/>
    <w:rsid w:val="002F4C4B"/>
    <w:rsid w:val="002F4EE7"/>
    <w:rsid w:val="002F53E4"/>
    <w:rsid w:val="002F588C"/>
    <w:rsid w:val="002F5957"/>
    <w:rsid w:val="002F68DA"/>
    <w:rsid w:val="002F6B3D"/>
    <w:rsid w:val="002F7F51"/>
    <w:rsid w:val="0030008C"/>
    <w:rsid w:val="003003CB"/>
    <w:rsid w:val="00300650"/>
    <w:rsid w:val="00301409"/>
    <w:rsid w:val="00301571"/>
    <w:rsid w:val="00301C09"/>
    <w:rsid w:val="00301FBE"/>
    <w:rsid w:val="00302D2E"/>
    <w:rsid w:val="003032C9"/>
    <w:rsid w:val="00303B81"/>
    <w:rsid w:val="003042AD"/>
    <w:rsid w:val="0030520F"/>
    <w:rsid w:val="003057DE"/>
    <w:rsid w:val="00305FF8"/>
    <w:rsid w:val="00306119"/>
    <w:rsid w:val="003068F1"/>
    <w:rsid w:val="0030695C"/>
    <w:rsid w:val="00307722"/>
    <w:rsid w:val="003103BB"/>
    <w:rsid w:val="003106AF"/>
    <w:rsid w:val="00311710"/>
    <w:rsid w:val="00313CEC"/>
    <w:rsid w:val="0031590A"/>
    <w:rsid w:val="00315DC4"/>
    <w:rsid w:val="00315E98"/>
    <w:rsid w:val="00316961"/>
    <w:rsid w:val="00316BDB"/>
    <w:rsid w:val="00316F79"/>
    <w:rsid w:val="00317ACD"/>
    <w:rsid w:val="00317F8B"/>
    <w:rsid w:val="00320229"/>
    <w:rsid w:val="0032066D"/>
    <w:rsid w:val="00320AE6"/>
    <w:rsid w:val="00321D7B"/>
    <w:rsid w:val="00322139"/>
    <w:rsid w:val="00322214"/>
    <w:rsid w:val="00322275"/>
    <w:rsid w:val="003222CD"/>
    <w:rsid w:val="003224B1"/>
    <w:rsid w:val="00322703"/>
    <w:rsid w:val="00322EA9"/>
    <w:rsid w:val="00325224"/>
    <w:rsid w:val="00325955"/>
    <w:rsid w:val="0032609E"/>
    <w:rsid w:val="003265A4"/>
    <w:rsid w:val="00327211"/>
    <w:rsid w:val="003272A3"/>
    <w:rsid w:val="003274B5"/>
    <w:rsid w:val="00327713"/>
    <w:rsid w:val="003278EA"/>
    <w:rsid w:val="003301F2"/>
    <w:rsid w:val="0033070C"/>
    <w:rsid w:val="00330950"/>
    <w:rsid w:val="00330F7B"/>
    <w:rsid w:val="00331E8C"/>
    <w:rsid w:val="00332480"/>
    <w:rsid w:val="00332BD9"/>
    <w:rsid w:val="00333E34"/>
    <w:rsid w:val="003343DC"/>
    <w:rsid w:val="00334C78"/>
    <w:rsid w:val="003367E1"/>
    <w:rsid w:val="003370B2"/>
    <w:rsid w:val="00337C00"/>
    <w:rsid w:val="00340551"/>
    <w:rsid w:val="003409E5"/>
    <w:rsid w:val="00340C59"/>
    <w:rsid w:val="0034156B"/>
    <w:rsid w:val="0034180A"/>
    <w:rsid w:val="00341C66"/>
    <w:rsid w:val="003420DE"/>
    <w:rsid w:val="003420FC"/>
    <w:rsid w:val="0034297F"/>
    <w:rsid w:val="0034370C"/>
    <w:rsid w:val="00344086"/>
    <w:rsid w:val="00345C45"/>
    <w:rsid w:val="00346446"/>
    <w:rsid w:val="00347845"/>
    <w:rsid w:val="00347FE6"/>
    <w:rsid w:val="0035000D"/>
    <w:rsid w:val="00350445"/>
    <w:rsid w:val="00351E4D"/>
    <w:rsid w:val="00352368"/>
    <w:rsid w:val="00352E0A"/>
    <w:rsid w:val="00354085"/>
    <w:rsid w:val="0035533B"/>
    <w:rsid w:val="00356221"/>
    <w:rsid w:val="003565DD"/>
    <w:rsid w:val="003603D1"/>
    <w:rsid w:val="00361313"/>
    <w:rsid w:val="00361817"/>
    <w:rsid w:val="0036331E"/>
    <w:rsid w:val="003641FC"/>
    <w:rsid w:val="00364339"/>
    <w:rsid w:val="00364B2B"/>
    <w:rsid w:val="00364C79"/>
    <w:rsid w:val="0036684B"/>
    <w:rsid w:val="00367836"/>
    <w:rsid w:val="00367EA8"/>
    <w:rsid w:val="00370123"/>
    <w:rsid w:val="003702D9"/>
    <w:rsid w:val="00371E0A"/>
    <w:rsid w:val="0037290D"/>
    <w:rsid w:val="00372987"/>
    <w:rsid w:val="003731E3"/>
    <w:rsid w:val="0037372D"/>
    <w:rsid w:val="00373D9C"/>
    <w:rsid w:val="003742FE"/>
    <w:rsid w:val="00374696"/>
    <w:rsid w:val="00374785"/>
    <w:rsid w:val="00374C6B"/>
    <w:rsid w:val="0037592D"/>
    <w:rsid w:val="00375E42"/>
    <w:rsid w:val="003760B4"/>
    <w:rsid w:val="0037614E"/>
    <w:rsid w:val="003769BE"/>
    <w:rsid w:val="00376BE6"/>
    <w:rsid w:val="00376E41"/>
    <w:rsid w:val="00376E85"/>
    <w:rsid w:val="00377658"/>
    <w:rsid w:val="00377CC3"/>
    <w:rsid w:val="0038034F"/>
    <w:rsid w:val="003809EE"/>
    <w:rsid w:val="00381B37"/>
    <w:rsid w:val="00383673"/>
    <w:rsid w:val="00385DAA"/>
    <w:rsid w:val="00386438"/>
    <w:rsid w:val="00387DB6"/>
    <w:rsid w:val="003900F3"/>
    <w:rsid w:val="003905A6"/>
    <w:rsid w:val="003908AF"/>
    <w:rsid w:val="003913EE"/>
    <w:rsid w:val="00393C3F"/>
    <w:rsid w:val="00393DF1"/>
    <w:rsid w:val="00393E60"/>
    <w:rsid w:val="003940C2"/>
    <w:rsid w:val="003943F8"/>
    <w:rsid w:val="003946F4"/>
    <w:rsid w:val="00394A30"/>
    <w:rsid w:val="00394A3E"/>
    <w:rsid w:val="0039534C"/>
    <w:rsid w:val="003954DE"/>
    <w:rsid w:val="003956F3"/>
    <w:rsid w:val="0039574C"/>
    <w:rsid w:val="00396450"/>
    <w:rsid w:val="00397F0F"/>
    <w:rsid w:val="00397F24"/>
    <w:rsid w:val="003A01A1"/>
    <w:rsid w:val="003A045C"/>
    <w:rsid w:val="003A0FBC"/>
    <w:rsid w:val="003A20B0"/>
    <w:rsid w:val="003A3609"/>
    <w:rsid w:val="003A368B"/>
    <w:rsid w:val="003A3B4A"/>
    <w:rsid w:val="003A4AA2"/>
    <w:rsid w:val="003A6BCE"/>
    <w:rsid w:val="003A7163"/>
    <w:rsid w:val="003A7B6F"/>
    <w:rsid w:val="003B0DE1"/>
    <w:rsid w:val="003B4319"/>
    <w:rsid w:val="003B58CA"/>
    <w:rsid w:val="003B625F"/>
    <w:rsid w:val="003B63AD"/>
    <w:rsid w:val="003B6531"/>
    <w:rsid w:val="003B7299"/>
    <w:rsid w:val="003B72BF"/>
    <w:rsid w:val="003C0F10"/>
    <w:rsid w:val="003C1DA0"/>
    <w:rsid w:val="003C2436"/>
    <w:rsid w:val="003C2EEC"/>
    <w:rsid w:val="003C313C"/>
    <w:rsid w:val="003C3B45"/>
    <w:rsid w:val="003C3B81"/>
    <w:rsid w:val="003C3DA8"/>
    <w:rsid w:val="003C4510"/>
    <w:rsid w:val="003C53FB"/>
    <w:rsid w:val="003C5696"/>
    <w:rsid w:val="003C5E04"/>
    <w:rsid w:val="003C6DF7"/>
    <w:rsid w:val="003C7DD5"/>
    <w:rsid w:val="003D08DD"/>
    <w:rsid w:val="003D0E16"/>
    <w:rsid w:val="003D1AD2"/>
    <w:rsid w:val="003D1CB1"/>
    <w:rsid w:val="003D24BF"/>
    <w:rsid w:val="003D2BD9"/>
    <w:rsid w:val="003D2C13"/>
    <w:rsid w:val="003D3AFF"/>
    <w:rsid w:val="003D4B1A"/>
    <w:rsid w:val="003D4BE3"/>
    <w:rsid w:val="003D4E94"/>
    <w:rsid w:val="003D5B75"/>
    <w:rsid w:val="003D5B7C"/>
    <w:rsid w:val="003D620A"/>
    <w:rsid w:val="003D630C"/>
    <w:rsid w:val="003D6622"/>
    <w:rsid w:val="003D6AD4"/>
    <w:rsid w:val="003D7C12"/>
    <w:rsid w:val="003E03A1"/>
    <w:rsid w:val="003E11C1"/>
    <w:rsid w:val="003E2309"/>
    <w:rsid w:val="003E329D"/>
    <w:rsid w:val="003E53AD"/>
    <w:rsid w:val="003E5B26"/>
    <w:rsid w:val="003E68F8"/>
    <w:rsid w:val="003F04FD"/>
    <w:rsid w:val="003F05A6"/>
    <w:rsid w:val="003F0B79"/>
    <w:rsid w:val="003F0EB5"/>
    <w:rsid w:val="003F0F9F"/>
    <w:rsid w:val="003F14F1"/>
    <w:rsid w:val="003F1D84"/>
    <w:rsid w:val="003F3064"/>
    <w:rsid w:val="003F3687"/>
    <w:rsid w:val="003F38CB"/>
    <w:rsid w:val="003F3CAB"/>
    <w:rsid w:val="003F3F76"/>
    <w:rsid w:val="003F4053"/>
    <w:rsid w:val="003F45DD"/>
    <w:rsid w:val="003F526B"/>
    <w:rsid w:val="003F530C"/>
    <w:rsid w:val="003F57F4"/>
    <w:rsid w:val="003F7768"/>
    <w:rsid w:val="00401205"/>
    <w:rsid w:val="00401C2C"/>
    <w:rsid w:val="00401DC0"/>
    <w:rsid w:val="004022B8"/>
    <w:rsid w:val="004029BA"/>
    <w:rsid w:val="00404917"/>
    <w:rsid w:val="00406DC9"/>
    <w:rsid w:val="00406EC5"/>
    <w:rsid w:val="00410F8E"/>
    <w:rsid w:val="00411039"/>
    <w:rsid w:val="004114B1"/>
    <w:rsid w:val="00411808"/>
    <w:rsid w:val="004118BF"/>
    <w:rsid w:val="004123F9"/>
    <w:rsid w:val="004126CF"/>
    <w:rsid w:val="00414273"/>
    <w:rsid w:val="0041574F"/>
    <w:rsid w:val="00415CF5"/>
    <w:rsid w:val="00416257"/>
    <w:rsid w:val="004164EB"/>
    <w:rsid w:val="004166B2"/>
    <w:rsid w:val="00416838"/>
    <w:rsid w:val="00417005"/>
    <w:rsid w:val="0041711C"/>
    <w:rsid w:val="004171CA"/>
    <w:rsid w:val="004179F7"/>
    <w:rsid w:val="00420454"/>
    <w:rsid w:val="00420742"/>
    <w:rsid w:val="0042078A"/>
    <w:rsid w:val="00420EB5"/>
    <w:rsid w:val="00421339"/>
    <w:rsid w:val="00421543"/>
    <w:rsid w:val="0042177E"/>
    <w:rsid w:val="004220A2"/>
    <w:rsid w:val="00422978"/>
    <w:rsid w:val="00423CF8"/>
    <w:rsid w:val="004246B7"/>
    <w:rsid w:val="0042549B"/>
    <w:rsid w:val="00425D61"/>
    <w:rsid w:val="00426752"/>
    <w:rsid w:val="004268A1"/>
    <w:rsid w:val="00426F02"/>
    <w:rsid w:val="00427322"/>
    <w:rsid w:val="004276B6"/>
    <w:rsid w:val="0042790B"/>
    <w:rsid w:val="0043002E"/>
    <w:rsid w:val="0043106F"/>
    <w:rsid w:val="004310D9"/>
    <w:rsid w:val="00431FD9"/>
    <w:rsid w:val="00432A5C"/>
    <w:rsid w:val="00433BE8"/>
    <w:rsid w:val="00433FDE"/>
    <w:rsid w:val="004344E4"/>
    <w:rsid w:val="0043667E"/>
    <w:rsid w:val="004369AD"/>
    <w:rsid w:val="004408D3"/>
    <w:rsid w:val="004410A8"/>
    <w:rsid w:val="004421A4"/>
    <w:rsid w:val="00442781"/>
    <w:rsid w:val="00442991"/>
    <w:rsid w:val="004430F8"/>
    <w:rsid w:val="00444E30"/>
    <w:rsid w:val="00444F67"/>
    <w:rsid w:val="00445419"/>
    <w:rsid w:val="00445A09"/>
    <w:rsid w:val="00445FB3"/>
    <w:rsid w:val="00446BF0"/>
    <w:rsid w:val="00446EA3"/>
    <w:rsid w:val="0045024B"/>
    <w:rsid w:val="00450F77"/>
    <w:rsid w:val="004515C4"/>
    <w:rsid w:val="00451E9C"/>
    <w:rsid w:val="00453A93"/>
    <w:rsid w:val="00454876"/>
    <w:rsid w:val="00454DE0"/>
    <w:rsid w:val="004553A1"/>
    <w:rsid w:val="004557B8"/>
    <w:rsid w:val="00456376"/>
    <w:rsid w:val="00456429"/>
    <w:rsid w:val="0045693F"/>
    <w:rsid w:val="00456D87"/>
    <w:rsid w:val="00456FDF"/>
    <w:rsid w:val="004570A2"/>
    <w:rsid w:val="004573B1"/>
    <w:rsid w:val="0045787D"/>
    <w:rsid w:val="00457B33"/>
    <w:rsid w:val="00457DE0"/>
    <w:rsid w:val="00460188"/>
    <w:rsid w:val="004606A7"/>
    <w:rsid w:val="004607D6"/>
    <w:rsid w:val="004627F3"/>
    <w:rsid w:val="00462CD1"/>
    <w:rsid w:val="00462FFC"/>
    <w:rsid w:val="00464628"/>
    <w:rsid w:val="004658CE"/>
    <w:rsid w:val="004669BC"/>
    <w:rsid w:val="00467681"/>
    <w:rsid w:val="004676FE"/>
    <w:rsid w:val="00467A3D"/>
    <w:rsid w:val="00470706"/>
    <w:rsid w:val="00470C2C"/>
    <w:rsid w:val="00470E23"/>
    <w:rsid w:val="00471962"/>
    <w:rsid w:val="00472514"/>
    <w:rsid w:val="00472AAF"/>
    <w:rsid w:val="00473EAA"/>
    <w:rsid w:val="0047400D"/>
    <w:rsid w:val="004740E6"/>
    <w:rsid w:val="00474136"/>
    <w:rsid w:val="00474526"/>
    <w:rsid w:val="00474949"/>
    <w:rsid w:val="00475B6E"/>
    <w:rsid w:val="00475B70"/>
    <w:rsid w:val="004762E8"/>
    <w:rsid w:val="004778F0"/>
    <w:rsid w:val="00477C3F"/>
    <w:rsid w:val="0048195D"/>
    <w:rsid w:val="0048338F"/>
    <w:rsid w:val="0048356B"/>
    <w:rsid w:val="00484D52"/>
    <w:rsid w:val="00484FB8"/>
    <w:rsid w:val="0048510D"/>
    <w:rsid w:val="00485313"/>
    <w:rsid w:val="00490053"/>
    <w:rsid w:val="00490789"/>
    <w:rsid w:val="00490D41"/>
    <w:rsid w:val="004925B6"/>
    <w:rsid w:val="00492F4E"/>
    <w:rsid w:val="0049352F"/>
    <w:rsid w:val="00494145"/>
    <w:rsid w:val="004943C3"/>
    <w:rsid w:val="00494727"/>
    <w:rsid w:val="00494BF7"/>
    <w:rsid w:val="0049505A"/>
    <w:rsid w:val="004952DC"/>
    <w:rsid w:val="00496B4A"/>
    <w:rsid w:val="004974D4"/>
    <w:rsid w:val="00497602"/>
    <w:rsid w:val="00497904"/>
    <w:rsid w:val="004A09D1"/>
    <w:rsid w:val="004A1CA8"/>
    <w:rsid w:val="004A2D56"/>
    <w:rsid w:val="004A35B1"/>
    <w:rsid w:val="004A4143"/>
    <w:rsid w:val="004A45CC"/>
    <w:rsid w:val="004A4CD2"/>
    <w:rsid w:val="004A7548"/>
    <w:rsid w:val="004A7752"/>
    <w:rsid w:val="004A7F38"/>
    <w:rsid w:val="004B02C4"/>
    <w:rsid w:val="004B145B"/>
    <w:rsid w:val="004B2CF7"/>
    <w:rsid w:val="004B3009"/>
    <w:rsid w:val="004B3498"/>
    <w:rsid w:val="004B3E18"/>
    <w:rsid w:val="004B420F"/>
    <w:rsid w:val="004B44D6"/>
    <w:rsid w:val="004B468E"/>
    <w:rsid w:val="004B4841"/>
    <w:rsid w:val="004B596C"/>
    <w:rsid w:val="004B5C51"/>
    <w:rsid w:val="004B6A32"/>
    <w:rsid w:val="004B7279"/>
    <w:rsid w:val="004B79F0"/>
    <w:rsid w:val="004C005F"/>
    <w:rsid w:val="004C164B"/>
    <w:rsid w:val="004C2BA0"/>
    <w:rsid w:val="004C324B"/>
    <w:rsid w:val="004C3977"/>
    <w:rsid w:val="004C3C56"/>
    <w:rsid w:val="004C464C"/>
    <w:rsid w:val="004C4D4A"/>
    <w:rsid w:val="004C570A"/>
    <w:rsid w:val="004C5DFA"/>
    <w:rsid w:val="004C5F0B"/>
    <w:rsid w:val="004C6744"/>
    <w:rsid w:val="004C6D2C"/>
    <w:rsid w:val="004C7195"/>
    <w:rsid w:val="004C7FBB"/>
    <w:rsid w:val="004D0FD8"/>
    <w:rsid w:val="004D3AB8"/>
    <w:rsid w:val="004D4754"/>
    <w:rsid w:val="004D68A2"/>
    <w:rsid w:val="004D72CB"/>
    <w:rsid w:val="004D758D"/>
    <w:rsid w:val="004D7908"/>
    <w:rsid w:val="004E1188"/>
    <w:rsid w:val="004E1ADD"/>
    <w:rsid w:val="004E36E9"/>
    <w:rsid w:val="004E3A40"/>
    <w:rsid w:val="004E3DDF"/>
    <w:rsid w:val="004E3EF8"/>
    <w:rsid w:val="004E4197"/>
    <w:rsid w:val="004E55D5"/>
    <w:rsid w:val="004E57E9"/>
    <w:rsid w:val="004E625F"/>
    <w:rsid w:val="004E6320"/>
    <w:rsid w:val="004E6CAD"/>
    <w:rsid w:val="004E6DC5"/>
    <w:rsid w:val="004E6F6D"/>
    <w:rsid w:val="004E74A8"/>
    <w:rsid w:val="004E75D1"/>
    <w:rsid w:val="004E7830"/>
    <w:rsid w:val="004E796F"/>
    <w:rsid w:val="004F012F"/>
    <w:rsid w:val="004F2082"/>
    <w:rsid w:val="004F22DF"/>
    <w:rsid w:val="004F27A0"/>
    <w:rsid w:val="004F3975"/>
    <w:rsid w:val="004F3B86"/>
    <w:rsid w:val="004F49D7"/>
    <w:rsid w:val="004F5163"/>
    <w:rsid w:val="004F5196"/>
    <w:rsid w:val="004F5794"/>
    <w:rsid w:val="004F60CB"/>
    <w:rsid w:val="004F71EF"/>
    <w:rsid w:val="004F7449"/>
    <w:rsid w:val="004F7C7B"/>
    <w:rsid w:val="004F7D05"/>
    <w:rsid w:val="00500549"/>
    <w:rsid w:val="00500603"/>
    <w:rsid w:val="00500AC4"/>
    <w:rsid w:val="00501304"/>
    <w:rsid w:val="005016ED"/>
    <w:rsid w:val="00501858"/>
    <w:rsid w:val="005027AA"/>
    <w:rsid w:val="00502FE1"/>
    <w:rsid w:val="0050314B"/>
    <w:rsid w:val="00503252"/>
    <w:rsid w:val="00503804"/>
    <w:rsid w:val="005039AE"/>
    <w:rsid w:val="00504553"/>
    <w:rsid w:val="0050499A"/>
    <w:rsid w:val="0050532B"/>
    <w:rsid w:val="00506DEE"/>
    <w:rsid w:val="00507545"/>
    <w:rsid w:val="00507617"/>
    <w:rsid w:val="00507C40"/>
    <w:rsid w:val="00507E0B"/>
    <w:rsid w:val="0051006C"/>
    <w:rsid w:val="00512B5D"/>
    <w:rsid w:val="00512B68"/>
    <w:rsid w:val="00512F7B"/>
    <w:rsid w:val="0051386A"/>
    <w:rsid w:val="00513B58"/>
    <w:rsid w:val="005142AE"/>
    <w:rsid w:val="00514339"/>
    <w:rsid w:val="005150B1"/>
    <w:rsid w:val="00516A45"/>
    <w:rsid w:val="00520D63"/>
    <w:rsid w:val="00521314"/>
    <w:rsid w:val="00521564"/>
    <w:rsid w:val="005218EC"/>
    <w:rsid w:val="00522BC7"/>
    <w:rsid w:val="00523671"/>
    <w:rsid w:val="00523D69"/>
    <w:rsid w:val="0052438A"/>
    <w:rsid w:val="00525067"/>
    <w:rsid w:val="00527299"/>
    <w:rsid w:val="005272CC"/>
    <w:rsid w:val="00527348"/>
    <w:rsid w:val="00527AA7"/>
    <w:rsid w:val="00527E70"/>
    <w:rsid w:val="00531047"/>
    <w:rsid w:val="0053115B"/>
    <w:rsid w:val="00531EBF"/>
    <w:rsid w:val="005322E7"/>
    <w:rsid w:val="00535374"/>
    <w:rsid w:val="005356CD"/>
    <w:rsid w:val="0053732A"/>
    <w:rsid w:val="00537887"/>
    <w:rsid w:val="00537B1E"/>
    <w:rsid w:val="00537B54"/>
    <w:rsid w:val="00540AF2"/>
    <w:rsid w:val="005425C5"/>
    <w:rsid w:val="00544F8D"/>
    <w:rsid w:val="005453E4"/>
    <w:rsid w:val="00545C06"/>
    <w:rsid w:val="0054700C"/>
    <w:rsid w:val="0054702B"/>
    <w:rsid w:val="00547A16"/>
    <w:rsid w:val="00547FE3"/>
    <w:rsid w:val="005501D4"/>
    <w:rsid w:val="005503F7"/>
    <w:rsid w:val="00550572"/>
    <w:rsid w:val="00550DF4"/>
    <w:rsid w:val="00551647"/>
    <w:rsid w:val="005518E5"/>
    <w:rsid w:val="005518E6"/>
    <w:rsid w:val="005537EC"/>
    <w:rsid w:val="005539C6"/>
    <w:rsid w:val="00553DE0"/>
    <w:rsid w:val="00553E97"/>
    <w:rsid w:val="005553E9"/>
    <w:rsid w:val="005554D1"/>
    <w:rsid w:val="0055586C"/>
    <w:rsid w:val="00555FDB"/>
    <w:rsid w:val="00556063"/>
    <w:rsid w:val="00557C76"/>
    <w:rsid w:val="00560F01"/>
    <w:rsid w:val="00561D29"/>
    <w:rsid w:val="00561D9A"/>
    <w:rsid w:val="00561F35"/>
    <w:rsid w:val="00561FA2"/>
    <w:rsid w:val="00562404"/>
    <w:rsid w:val="00562508"/>
    <w:rsid w:val="005656E1"/>
    <w:rsid w:val="00565869"/>
    <w:rsid w:val="00565891"/>
    <w:rsid w:val="00565C89"/>
    <w:rsid w:val="005661A8"/>
    <w:rsid w:val="0056686D"/>
    <w:rsid w:val="00566D46"/>
    <w:rsid w:val="00566F47"/>
    <w:rsid w:val="005671AB"/>
    <w:rsid w:val="00567F0C"/>
    <w:rsid w:val="00570A28"/>
    <w:rsid w:val="00571383"/>
    <w:rsid w:val="00571BCA"/>
    <w:rsid w:val="00572007"/>
    <w:rsid w:val="00572E66"/>
    <w:rsid w:val="00573C66"/>
    <w:rsid w:val="00575D56"/>
    <w:rsid w:val="00577D14"/>
    <w:rsid w:val="00577D77"/>
    <w:rsid w:val="00580E03"/>
    <w:rsid w:val="0058126C"/>
    <w:rsid w:val="00581406"/>
    <w:rsid w:val="00581849"/>
    <w:rsid w:val="0058226C"/>
    <w:rsid w:val="005824E8"/>
    <w:rsid w:val="0058255F"/>
    <w:rsid w:val="005849E0"/>
    <w:rsid w:val="00584DFC"/>
    <w:rsid w:val="00585825"/>
    <w:rsid w:val="005858F9"/>
    <w:rsid w:val="00585D33"/>
    <w:rsid w:val="005864C1"/>
    <w:rsid w:val="00586980"/>
    <w:rsid w:val="00586CA5"/>
    <w:rsid w:val="00590276"/>
    <w:rsid w:val="0059152A"/>
    <w:rsid w:val="00591A3E"/>
    <w:rsid w:val="00591D97"/>
    <w:rsid w:val="0059219B"/>
    <w:rsid w:val="0059232C"/>
    <w:rsid w:val="00592694"/>
    <w:rsid w:val="0059273D"/>
    <w:rsid w:val="00594B5D"/>
    <w:rsid w:val="005950A1"/>
    <w:rsid w:val="00595153"/>
    <w:rsid w:val="00595736"/>
    <w:rsid w:val="00595B99"/>
    <w:rsid w:val="00596651"/>
    <w:rsid w:val="00596908"/>
    <w:rsid w:val="005978FA"/>
    <w:rsid w:val="005A1539"/>
    <w:rsid w:val="005A1702"/>
    <w:rsid w:val="005A191F"/>
    <w:rsid w:val="005A2532"/>
    <w:rsid w:val="005A2A78"/>
    <w:rsid w:val="005A3A43"/>
    <w:rsid w:val="005A405D"/>
    <w:rsid w:val="005A4539"/>
    <w:rsid w:val="005A4F92"/>
    <w:rsid w:val="005A4FBB"/>
    <w:rsid w:val="005A5667"/>
    <w:rsid w:val="005A6F34"/>
    <w:rsid w:val="005A71B2"/>
    <w:rsid w:val="005A7644"/>
    <w:rsid w:val="005A7DB5"/>
    <w:rsid w:val="005B00C9"/>
    <w:rsid w:val="005B17AF"/>
    <w:rsid w:val="005B279F"/>
    <w:rsid w:val="005B28AC"/>
    <w:rsid w:val="005B3078"/>
    <w:rsid w:val="005B329A"/>
    <w:rsid w:val="005B472B"/>
    <w:rsid w:val="005B51DE"/>
    <w:rsid w:val="005B52A6"/>
    <w:rsid w:val="005B566B"/>
    <w:rsid w:val="005B57EF"/>
    <w:rsid w:val="005B7173"/>
    <w:rsid w:val="005B7614"/>
    <w:rsid w:val="005C138D"/>
    <w:rsid w:val="005C1C46"/>
    <w:rsid w:val="005C22BA"/>
    <w:rsid w:val="005C28FB"/>
    <w:rsid w:val="005C2E3C"/>
    <w:rsid w:val="005C30A5"/>
    <w:rsid w:val="005C34D8"/>
    <w:rsid w:val="005C560B"/>
    <w:rsid w:val="005C5EB8"/>
    <w:rsid w:val="005C6038"/>
    <w:rsid w:val="005C660B"/>
    <w:rsid w:val="005C6B16"/>
    <w:rsid w:val="005D046C"/>
    <w:rsid w:val="005D21FF"/>
    <w:rsid w:val="005D2EB8"/>
    <w:rsid w:val="005D3198"/>
    <w:rsid w:val="005D359E"/>
    <w:rsid w:val="005D3FDE"/>
    <w:rsid w:val="005D4019"/>
    <w:rsid w:val="005D5FF5"/>
    <w:rsid w:val="005D6811"/>
    <w:rsid w:val="005D6F27"/>
    <w:rsid w:val="005D73A4"/>
    <w:rsid w:val="005D7A0D"/>
    <w:rsid w:val="005E0051"/>
    <w:rsid w:val="005E0628"/>
    <w:rsid w:val="005E22A1"/>
    <w:rsid w:val="005E2710"/>
    <w:rsid w:val="005E28B0"/>
    <w:rsid w:val="005E2900"/>
    <w:rsid w:val="005E295A"/>
    <w:rsid w:val="005E30BE"/>
    <w:rsid w:val="005E33C9"/>
    <w:rsid w:val="005E45AC"/>
    <w:rsid w:val="005E4B42"/>
    <w:rsid w:val="005E50E5"/>
    <w:rsid w:val="005E5223"/>
    <w:rsid w:val="005E5443"/>
    <w:rsid w:val="005E6D3D"/>
    <w:rsid w:val="005E7EE7"/>
    <w:rsid w:val="005F04E5"/>
    <w:rsid w:val="005F0B08"/>
    <w:rsid w:val="005F20BF"/>
    <w:rsid w:val="005F23DD"/>
    <w:rsid w:val="005F2A3A"/>
    <w:rsid w:val="005F2BB8"/>
    <w:rsid w:val="005F2E71"/>
    <w:rsid w:val="005F30D7"/>
    <w:rsid w:val="005F35FD"/>
    <w:rsid w:val="005F4674"/>
    <w:rsid w:val="005F48E1"/>
    <w:rsid w:val="005F4F0D"/>
    <w:rsid w:val="005F51DB"/>
    <w:rsid w:val="00601092"/>
    <w:rsid w:val="00601C56"/>
    <w:rsid w:val="00603EBF"/>
    <w:rsid w:val="00604E8F"/>
    <w:rsid w:val="006051D0"/>
    <w:rsid w:val="0060527C"/>
    <w:rsid w:val="00605D8D"/>
    <w:rsid w:val="0060628C"/>
    <w:rsid w:val="00607653"/>
    <w:rsid w:val="0060784A"/>
    <w:rsid w:val="006079BE"/>
    <w:rsid w:val="0061086F"/>
    <w:rsid w:val="00610B2C"/>
    <w:rsid w:val="00610CC1"/>
    <w:rsid w:val="00610DB3"/>
    <w:rsid w:val="00610EE9"/>
    <w:rsid w:val="00611BE0"/>
    <w:rsid w:val="0061249E"/>
    <w:rsid w:val="00614118"/>
    <w:rsid w:val="00614486"/>
    <w:rsid w:val="00614D39"/>
    <w:rsid w:val="0061540A"/>
    <w:rsid w:val="006157E0"/>
    <w:rsid w:val="006172FE"/>
    <w:rsid w:val="006176E2"/>
    <w:rsid w:val="006178A7"/>
    <w:rsid w:val="006213F8"/>
    <w:rsid w:val="006231D3"/>
    <w:rsid w:val="00623322"/>
    <w:rsid w:val="006238EC"/>
    <w:rsid w:val="0062396C"/>
    <w:rsid w:val="00624609"/>
    <w:rsid w:val="006255C8"/>
    <w:rsid w:val="00626106"/>
    <w:rsid w:val="00626920"/>
    <w:rsid w:val="006270D1"/>
    <w:rsid w:val="006270D7"/>
    <w:rsid w:val="006300EC"/>
    <w:rsid w:val="00630F82"/>
    <w:rsid w:val="00631105"/>
    <w:rsid w:val="00631741"/>
    <w:rsid w:val="00631CEF"/>
    <w:rsid w:val="00631EF5"/>
    <w:rsid w:val="0063208B"/>
    <w:rsid w:val="00633529"/>
    <w:rsid w:val="00633674"/>
    <w:rsid w:val="0063380C"/>
    <w:rsid w:val="00633AF9"/>
    <w:rsid w:val="00633E7D"/>
    <w:rsid w:val="00633EC6"/>
    <w:rsid w:val="0063526C"/>
    <w:rsid w:val="00635EAB"/>
    <w:rsid w:val="0063618C"/>
    <w:rsid w:val="00636251"/>
    <w:rsid w:val="00637B97"/>
    <w:rsid w:val="00637CDB"/>
    <w:rsid w:val="00637F52"/>
    <w:rsid w:val="00640196"/>
    <w:rsid w:val="00641D80"/>
    <w:rsid w:val="00641EB0"/>
    <w:rsid w:val="006420F7"/>
    <w:rsid w:val="00642D5A"/>
    <w:rsid w:val="00643531"/>
    <w:rsid w:val="0064460B"/>
    <w:rsid w:val="00644795"/>
    <w:rsid w:val="00646405"/>
    <w:rsid w:val="006466D7"/>
    <w:rsid w:val="0064718A"/>
    <w:rsid w:val="0064789B"/>
    <w:rsid w:val="00650032"/>
    <w:rsid w:val="00650047"/>
    <w:rsid w:val="00650343"/>
    <w:rsid w:val="0065110C"/>
    <w:rsid w:val="00651A8F"/>
    <w:rsid w:val="00652A02"/>
    <w:rsid w:val="00653442"/>
    <w:rsid w:val="00653972"/>
    <w:rsid w:val="00653F18"/>
    <w:rsid w:val="00654192"/>
    <w:rsid w:val="00654DD7"/>
    <w:rsid w:val="006556A5"/>
    <w:rsid w:val="00655709"/>
    <w:rsid w:val="006559FE"/>
    <w:rsid w:val="006562AF"/>
    <w:rsid w:val="0065689B"/>
    <w:rsid w:val="00656C23"/>
    <w:rsid w:val="006573F0"/>
    <w:rsid w:val="00657848"/>
    <w:rsid w:val="0066095A"/>
    <w:rsid w:val="00660ADF"/>
    <w:rsid w:val="00660BD8"/>
    <w:rsid w:val="00660D3E"/>
    <w:rsid w:val="00661596"/>
    <w:rsid w:val="0066234A"/>
    <w:rsid w:val="006624A8"/>
    <w:rsid w:val="00662BCC"/>
    <w:rsid w:val="006633D2"/>
    <w:rsid w:val="006647F3"/>
    <w:rsid w:val="00665111"/>
    <w:rsid w:val="006656C8"/>
    <w:rsid w:val="00665DB1"/>
    <w:rsid w:val="006669B0"/>
    <w:rsid w:val="00667EB5"/>
    <w:rsid w:val="006707C7"/>
    <w:rsid w:val="006707E7"/>
    <w:rsid w:val="006717C5"/>
    <w:rsid w:val="00671C99"/>
    <w:rsid w:val="00672751"/>
    <w:rsid w:val="00672FA7"/>
    <w:rsid w:val="006738E3"/>
    <w:rsid w:val="00673A93"/>
    <w:rsid w:val="006746E9"/>
    <w:rsid w:val="00675C89"/>
    <w:rsid w:val="00675E08"/>
    <w:rsid w:val="00675FA6"/>
    <w:rsid w:val="006762B7"/>
    <w:rsid w:val="00676576"/>
    <w:rsid w:val="0067703C"/>
    <w:rsid w:val="00677F9B"/>
    <w:rsid w:val="00680878"/>
    <w:rsid w:val="00680AA5"/>
    <w:rsid w:val="0068108B"/>
    <w:rsid w:val="006812A7"/>
    <w:rsid w:val="0068154C"/>
    <w:rsid w:val="00682944"/>
    <w:rsid w:val="006832C3"/>
    <w:rsid w:val="00683429"/>
    <w:rsid w:val="00683848"/>
    <w:rsid w:val="006839BF"/>
    <w:rsid w:val="00683CB7"/>
    <w:rsid w:val="00685592"/>
    <w:rsid w:val="0068673B"/>
    <w:rsid w:val="006868D4"/>
    <w:rsid w:val="006869DE"/>
    <w:rsid w:val="00686EEB"/>
    <w:rsid w:val="006876C7"/>
    <w:rsid w:val="00687F67"/>
    <w:rsid w:val="0069103C"/>
    <w:rsid w:val="00691B8C"/>
    <w:rsid w:val="00691F8E"/>
    <w:rsid w:val="0069281D"/>
    <w:rsid w:val="00693046"/>
    <w:rsid w:val="00694095"/>
    <w:rsid w:val="006944CB"/>
    <w:rsid w:val="006946DC"/>
    <w:rsid w:val="00696C76"/>
    <w:rsid w:val="006A0778"/>
    <w:rsid w:val="006A08AA"/>
    <w:rsid w:val="006A099C"/>
    <w:rsid w:val="006A0A8F"/>
    <w:rsid w:val="006A139C"/>
    <w:rsid w:val="006A149E"/>
    <w:rsid w:val="006A1C77"/>
    <w:rsid w:val="006A1F04"/>
    <w:rsid w:val="006A202A"/>
    <w:rsid w:val="006A21A3"/>
    <w:rsid w:val="006A2E60"/>
    <w:rsid w:val="006A3267"/>
    <w:rsid w:val="006A33B1"/>
    <w:rsid w:val="006A3C6B"/>
    <w:rsid w:val="006A4594"/>
    <w:rsid w:val="006A476D"/>
    <w:rsid w:val="006A4972"/>
    <w:rsid w:val="006A4B06"/>
    <w:rsid w:val="006A4C13"/>
    <w:rsid w:val="006A5220"/>
    <w:rsid w:val="006A55E1"/>
    <w:rsid w:val="006A57A8"/>
    <w:rsid w:val="006A61C0"/>
    <w:rsid w:val="006A6ACD"/>
    <w:rsid w:val="006A7199"/>
    <w:rsid w:val="006A7567"/>
    <w:rsid w:val="006B14DB"/>
    <w:rsid w:val="006B1CAD"/>
    <w:rsid w:val="006B2350"/>
    <w:rsid w:val="006B28C4"/>
    <w:rsid w:val="006B3C8C"/>
    <w:rsid w:val="006B51DD"/>
    <w:rsid w:val="006B548A"/>
    <w:rsid w:val="006B6088"/>
    <w:rsid w:val="006B6997"/>
    <w:rsid w:val="006B6A81"/>
    <w:rsid w:val="006B6C51"/>
    <w:rsid w:val="006C10E9"/>
    <w:rsid w:val="006C1105"/>
    <w:rsid w:val="006C13C6"/>
    <w:rsid w:val="006C21EE"/>
    <w:rsid w:val="006C258B"/>
    <w:rsid w:val="006C350E"/>
    <w:rsid w:val="006C37BF"/>
    <w:rsid w:val="006C3936"/>
    <w:rsid w:val="006C4056"/>
    <w:rsid w:val="006C4224"/>
    <w:rsid w:val="006C4407"/>
    <w:rsid w:val="006C56DA"/>
    <w:rsid w:val="006C61F0"/>
    <w:rsid w:val="006C63C8"/>
    <w:rsid w:val="006C6BCD"/>
    <w:rsid w:val="006C7295"/>
    <w:rsid w:val="006C7768"/>
    <w:rsid w:val="006C7C5C"/>
    <w:rsid w:val="006C7E77"/>
    <w:rsid w:val="006D1B1D"/>
    <w:rsid w:val="006D1B85"/>
    <w:rsid w:val="006D1E19"/>
    <w:rsid w:val="006D21B2"/>
    <w:rsid w:val="006D2227"/>
    <w:rsid w:val="006D312E"/>
    <w:rsid w:val="006D3376"/>
    <w:rsid w:val="006D530D"/>
    <w:rsid w:val="006D5409"/>
    <w:rsid w:val="006D54E1"/>
    <w:rsid w:val="006D555C"/>
    <w:rsid w:val="006D70C6"/>
    <w:rsid w:val="006E0251"/>
    <w:rsid w:val="006E1854"/>
    <w:rsid w:val="006E19E6"/>
    <w:rsid w:val="006E21CC"/>
    <w:rsid w:val="006E388D"/>
    <w:rsid w:val="006E4EAD"/>
    <w:rsid w:val="006E4F62"/>
    <w:rsid w:val="006E5389"/>
    <w:rsid w:val="006E599B"/>
    <w:rsid w:val="006E7E35"/>
    <w:rsid w:val="006F00C3"/>
    <w:rsid w:val="006F16C9"/>
    <w:rsid w:val="006F2BAE"/>
    <w:rsid w:val="006F34BF"/>
    <w:rsid w:val="006F38D0"/>
    <w:rsid w:val="006F3CC6"/>
    <w:rsid w:val="006F412D"/>
    <w:rsid w:val="006F5487"/>
    <w:rsid w:val="006F5736"/>
    <w:rsid w:val="006F62DA"/>
    <w:rsid w:val="006F630D"/>
    <w:rsid w:val="006F6565"/>
    <w:rsid w:val="006F6A63"/>
    <w:rsid w:val="007004F9"/>
    <w:rsid w:val="007009A7"/>
    <w:rsid w:val="00700D9D"/>
    <w:rsid w:val="00701028"/>
    <w:rsid w:val="00701065"/>
    <w:rsid w:val="00701DEF"/>
    <w:rsid w:val="00701DF1"/>
    <w:rsid w:val="007021D6"/>
    <w:rsid w:val="00702BDE"/>
    <w:rsid w:val="007036A7"/>
    <w:rsid w:val="007036D1"/>
    <w:rsid w:val="00703939"/>
    <w:rsid w:val="0070489B"/>
    <w:rsid w:val="00705311"/>
    <w:rsid w:val="00706A26"/>
    <w:rsid w:val="007075FF"/>
    <w:rsid w:val="007103E7"/>
    <w:rsid w:val="007112FA"/>
    <w:rsid w:val="007114F8"/>
    <w:rsid w:val="00711695"/>
    <w:rsid w:val="00713EDC"/>
    <w:rsid w:val="007144FE"/>
    <w:rsid w:val="007149E0"/>
    <w:rsid w:val="00714F09"/>
    <w:rsid w:val="00716833"/>
    <w:rsid w:val="00716896"/>
    <w:rsid w:val="00716B89"/>
    <w:rsid w:val="00717D20"/>
    <w:rsid w:val="00723493"/>
    <w:rsid w:val="007240FD"/>
    <w:rsid w:val="00724924"/>
    <w:rsid w:val="00725E44"/>
    <w:rsid w:val="00726027"/>
    <w:rsid w:val="0072603E"/>
    <w:rsid w:val="0072625B"/>
    <w:rsid w:val="00726FE3"/>
    <w:rsid w:val="007275CE"/>
    <w:rsid w:val="0073012B"/>
    <w:rsid w:val="0073084E"/>
    <w:rsid w:val="00731295"/>
    <w:rsid w:val="00731381"/>
    <w:rsid w:val="00731631"/>
    <w:rsid w:val="00733C5D"/>
    <w:rsid w:val="0073467D"/>
    <w:rsid w:val="007349A4"/>
    <w:rsid w:val="00736BC2"/>
    <w:rsid w:val="00736CE6"/>
    <w:rsid w:val="0073791E"/>
    <w:rsid w:val="0074024E"/>
    <w:rsid w:val="00742521"/>
    <w:rsid w:val="00744807"/>
    <w:rsid w:val="0074529F"/>
    <w:rsid w:val="00746C07"/>
    <w:rsid w:val="00746D22"/>
    <w:rsid w:val="00746F59"/>
    <w:rsid w:val="00747875"/>
    <w:rsid w:val="007500CA"/>
    <w:rsid w:val="00750538"/>
    <w:rsid w:val="0075064D"/>
    <w:rsid w:val="00750EE4"/>
    <w:rsid w:val="00751622"/>
    <w:rsid w:val="007516AB"/>
    <w:rsid w:val="00751700"/>
    <w:rsid w:val="00752531"/>
    <w:rsid w:val="007525C7"/>
    <w:rsid w:val="0075265C"/>
    <w:rsid w:val="007527CE"/>
    <w:rsid w:val="00753536"/>
    <w:rsid w:val="0075507C"/>
    <w:rsid w:val="00755B89"/>
    <w:rsid w:val="007577C1"/>
    <w:rsid w:val="00757DFC"/>
    <w:rsid w:val="00757EA8"/>
    <w:rsid w:val="007602BC"/>
    <w:rsid w:val="007606AD"/>
    <w:rsid w:val="00760FC9"/>
    <w:rsid w:val="007627C6"/>
    <w:rsid w:val="00762831"/>
    <w:rsid w:val="00762EBE"/>
    <w:rsid w:val="0076392E"/>
    <w:rsid w:val="00763DB2"/>
    <w:rsid w:val="00763EED"/>
    <w:rsid w:val="0076496E"/>
    <w:rsid w:val="00764BDC"/>
    <w:rsid w:val="007652BA"/>
    <w:rsid w:val="0076549C"/>
    <w:rsid w:val="00765DFE"/>
    <w:rsid w:val="00766322"/>
    <w:rsid w:val="007665E9"/>
    <w:rsid w:val="00767517"/>
    <w:rsid w:val="00767576"/>
    <w:rsid w:val="00767CB6"/>
    <w:rsid w:val="007703B4"/>
    <w:rsid w:val="00771499"/>
    <w:rsid w:val="007715E1"/>
    <w:rsid w:val="00771855"/>
    <w:rsid w:val="00772FB7"/>
    <w:rsid w:val="007733C9"/>
    <w:rsid w:val="0077379A"/>
    <w:rsid w:val="00773E12"/>
    <w:rsid w:val="00774401"/>
    <w:rsid w:val="007760AE"/>
    <w:rsid w:val="007768EB"/>
    <w:rsid w:val="0077692C"/>
    <w:rsid w:val="00776C77"/>
    <w:rsid w:val="00777284"/>
    <w:rsid w:val="0078083A"/>
    <w:rsid w:val="00780974"/>
    <w:rsid w:val="00780CC1"/>
    <w:rsid w:val="007812C7"/>
    <w:rsid w:val="00781C17"/>
    <w:rsid w:val="007821E9"/>
    <w:rsid w:val="0078312B"/>
    <w:rsid w:val="00784137"/>
    <w:rsid w:val="007841E8"/>
    <w:rsid w:val="007844DB"/>
    <w:rsid w:val="00784536"/>
    <w:rsid w:val="00785595"/>
    <w:rsid w:val="0078632C"/>
    <w:rsid w:val="007875DE"/>
    <w:rsid w:val="00787726"/>
    <w:rsid w:val="00787CE1"/>
    <w:rsid w:val="00790614"/>
    <w:rsid w:val="00791CD5"/>
    <w:rsid w:val="00793046"/>
    <w:rsid w:val="00793314"/>
    <w:rsid w:val="00793940"/>
    <w:rsid w:val="00793E9C"/>
    <w:rsid w:val="00795FEB"/>
    <w:rsid w:val="00796946"/>
    <w:rsid w:val="00796A47"/>
    <w:rsid w:val="00796D1B"/>
    <w:rsid w:val="00797D7C"/>
    <w:rsid w:val="007A1819"/>
    <w:rsid w:val="007A35DC"/>
    <w:rsid w:val="007A3FA4"/>
    <w:rsid w:val="007A42D1"/>
    <w:rsid w:val="007A5B83"/>
    <w:rsid w:val="007A5D20"/>
    <w:rsid w:val="007A61AC"/>
    <w:rsid w:val="007A6E31"/>
    <w:rsid w:val="007A7814"/>
    <w:rsid w:val="007B06F0"/>
    <w:rsid w:val="007B0827"/>
    <w:rsid w:val="007B1B2F"/>
    <w:rsid w:val="007B222A"/>
    <w:rsid w:val="007B2266"/>
    <w:rsid w:val="007B2E1F"/>
    <w:rsid w:val="007B2EC7"/>
    <w:rsid w:val="007B3098"/>
    <w:rsid w:val="007B3DFE"/>
    <w:rsid w:val="007B48AE"/>
    <w:rsid w:val="007B4C25"/>
    <w:rsid w:val="007B534C"/>
    <w:rsid w:val="007B59AE"/>
    <w:rsid w:val="007B625C"/>
    <w:rsid w:val="007B6660"/>
    <w:rsid w:val="007B7F7E"/>
    <w:rsid w:val="007C0163"/>
    <w:rsid w:val="007C13A6"/>
    <w:rsid w:val="007C1B68"/>
    <w:rsid w:val="007C2318"/>
    <w:rsid w:val="007C243D"/>
    <w:rsid w:val="007C4760"/>
    <w:rsid w:val="007C5CB8"/>
    <w:rsid w:val="007C5E6A"/>
    <w:rsid w:val="007C611A"/>
    <w:rsid w:val="007C6D2C"/>
    <w:rsid w:val="007C6EE3"/>
    <w:rsid w:val="007C711C"/>
    <w:rsid w:val="007D028B"/>
    <w:rsid w:val="007D032D"/>
    <w:rsid w:val="007D12E7"/>
    <w:rsid w:val="007D19BA"/>
    <w:rsid w:val="007D211E"/>
    <w:rsid w:val="007D2C1C"/>
    <w:rsid w:val="007D2FA0"/>
    <w:rsid w:val="007D31C9"/>
    <w:rsid w:val="007D3B23"/>
    <w:rsid w:val="007D47AB"/>
    <w:rsid w:val="007D4872"/>
    <w:rsid w:val="007D4F8E"/>
    <w:rsid w:val="007D5136"/>
    <w:rsid w:val="007D5EDF"/>
    <w:rsid w:val="007D6029"/>
    <w:rsid w:val="007D7487"/>
    <w:rsid w:val="007D7584"/>
    <w:rsid w:val="007E0422"/>
    <w:rsid w:val="007E0514"/>
    <w:rsid w:val="007E2284"/>
    <w:rsid w:val="007E2B90"/>
    <w:rsid w:val="007E328C"/>
    <w:rsid w:val="007E374F"/>
    <w:rsid w:val="007E37F0"/>
    <w:rsid w:val="007E3853"/>
    <w:rsid w:val="007E3A0B"/>
    <w:rsid w:val="007E4186"/>
    <w:rsid w:val="007E4243"/>
    <w:rsid w:val="007E4D8A"/>
    <w:rsid w:val="007E7253"/>
    <w:rsid w:val="007F0A9B"/>
    <w:rsid w:val="007F12C3"/>
    <w:rsid w:val="007F2423"/>
    <w:rsid w:val="007F25D6"/>
    <w:rsid w:val="007F26E2"/>
    <w:rsid w:val="007F37B2"/>
    <w:rsid w:val="007F3A72"/>
    <w:rsid w:val="007F3D20"/>
    <w:rsid w:val="007F6149"/>
    <w:rsid w:val="007F656E"/>
    <w:rsid w:val="007F66D1"/>
    <w:rsid w:val="007F6920"/>
    <w:rsid w:val="007F6BB7"/>
    <w:rsid w:val="007F70EF"/>
    <w:rsid w:val="007F7150"/>
    <w:rsid w:val="007F76CA"/>
    <w:rsid w:val="007F7CCB"/>
    <w:rsid w:val="007F7E58"/>
    <w:rsid w:val="008000F7"/>
    <w:rsid w:val="008002BE"/>
    <w:rsid w:val="008004B6"/>
    <w:rsid w:val="00800B1C"/>
    <w:rsid w:val="00801D77"/>
    <w:rsid w:val="0080209A"/>
    <w:rsid w:val="008037AF"/>
    <w:rsid w:val="00804D00"/>
    <w:rsid w:val="00807155"/>
    <w:rsid w:val="0080739C"/>
    <w:rsid w:val="00807724"/>
    <w:rsid w:val="008107CB"/>
    <w:rsid w:val="00810B82"/>
    <w:rsid w:val="00810BFF"/>
    <w:rsid w:val="00810CD2"/>
    <w:rsid w:val="00811099"/>
    <w:rsid w:val="008112B9"/>
    <w:rsid w:val="00811818"/>
    <w:rsid w:val="00812890"/>
    <w:rsid w:val="008128CB"/>
    <w:rsid w:val="0081297D"/>
    <w:rsid w:val="00813C3E"/>
    <w:rsid w:val="00814740"/>
    <w:rsid w:val="0081536F"/>
    <w:rsid w:val="0081556A"/>
    <w:rsid w:val="00815B78"/>
    <w:rsid w:val="008162EB"/>
    <w:rsid w:val="0081664A"/>
    <w:rsid w:val="00816864"/>
    <w:rsid w:val="008175C9"/>
    <w:rsid w:val="00820473"/>
    <w:rsid w:val="00821475"/>
    <w:rsid w:val="00822DF0"/>
    <w:rsid w:val="008244A0"/>
    <w:rsid w:val="00824E3F"/>
    <w:rsid w:val="00825727"/>
    <w:rsid w:val="00825A1D"/>
    <w:rsid w:val="00825CD7"/>
    <w:rsid w:val="0082613C"/>
    <w:rsid w:val="00826A00"/>
    <w:rsid w:val="00826B4E"/>
    <w:rsid w:val="00826CF9"/>
    <w:rsid w:val="00826E3F"/>
    <w:rsid w:val="00827008"/>
    <w:rsid w:val="00827CD7"/>
    <w:rsid w:val="00827E2A"/>
    <w:rsid w:val="00827F34"/>
    <w:rsid w:val="00830465"/>
    <w:rsid w:val="008305E2"/>
    <w:rsid w:val="00830D5F"/>
    <w:rsid w:val="00831140"/>
    <w:rsid w:val="008323AE"/>
    <w:rsid w:val="00832F06"/>
    <w:rsid w:val="008330B1"/>
    <w:rsid w:val="0083321B"/>
    <w:rsid w:val="00835138"/>
    <w:rsid w:val="00835250"/>
    <w:rsid w:val="00835995"/>
    <w:rsid w:val="00835EE0"/>
    <w:rsid w:val="00836FA4"/>
    <w:rsid w:val="00837B6A"/>
    <w:rsid w:val="008401D5"/>
    <w:rsid w:val="00840595"/>
    <w:rsid w:val="00840A5E"/>
    <w:rsid w:val="00840A80"/>
    <w:rsid w:val="00840F66"/>
    <w:rsid w:val="00841327"/>
    <w:rsid w:val="008417AF"/>
    <w:rsid w:val="00841CF3"/>
    <w:rsid w:val="00841E3C"/>
    <w:rsid w:val="00842096"/>
    <w:rsid w:val="0084286E"/>
    <w:rsid w:val="008432AC"/>
    <w:rsid w:val="0084445A"/>
    <w:rsid w:val="0084482B"/>
    <w:rsid w:val="00844EFC"/>
    <w:rsid w:val="00844FD3"/>
    <w:rsid w:val="00845B54"/>
    <w:rsid w:val="00845E9D"/>
    <w:rsid w:val="008463A0"/>
    <w:rsid w:val="00847CE5"/>
    <w:rsid w:val="008501E9"/>
    <w:rsid w:val="0085095E"/>
    <w:rsid w:val="00851B2E"/>
    <w:rsid w:val="00851BB3"/>
    <w:rsid w:val="00851CF3"/>
    <w:rsid w:val="008528BD"/>
    <w:rsid w:val="00852A1B"/>
    <w:rsid w:val="008540C5"/>
    <w:rsid w:val="00854B38"/>
    <w:rsid w:val="0085710D"/>
    <w:rsid w:val="0085730B"/>
    <w:rsid w:val="008605B2"/>
    <w:rsid w:val="008606FF"/>
    <w:rsid w:val="0086225F"/>
    <w:rsid w:val="008623AA"/>
    <w:rsid w:val="00862C60"/>
    <w:rsid w:val="00862ECF"/>
    <w:rsid w:val="0086333F"/>
    <w:rsid w:val="00863341"/>
    <w:rsid w:val="00863433"/>
    <w:rsid w:val="00863A36"/>
    <w:rsid w:val="00864048"/>
    <w:rsid w:val="008641EB"/>
    <w:rsid w:val="0086450E"/>
    <w:rsid w:val="00864553"/>
    <w:rsid w:val="008646F6"/>
    <w:rsid w:val="008649F0"/>
    <w:rsid w:val="00864C17"/>
    <w:rsid w:val="0086590B"/>
    <w:rsid w:val="008659D5"/>
    <w:rsid w:val="00865F24"/>
    <w:rsid w:val="00867A73"/>
    <w:rsid w:val="00867D27"/>
    <w:rsid w:val="008703C6"/>
    <w:rsid w:val="00871152"/>
    <w:rsid w:val="00872202"/>
    <w:rsid w:val="00872BE5"/>
    <w:rsid w:val="00872ECF"/>
    <w:rsid w:val="00873B7C"/>
    <w:rsid w:val="00875708"/>
    <w:rsid w:val="00875FC4"/>
    <w:rsid w:val="00876966"/>
    <w:rsid w:val="00877719"/>
    <w:rsid w:val="00880085"/>
    <w:rsid w:val="0088048D"/>
    <w:rsid w:val="00880E54"/>
    <w:rsid w:val="00881486"/>
    <w:rsid w:val="00881F8D"/>
    <w:rsid w:val="008824BB"/>
    <w:rsid w:val="00883F1E"/>
    <w:rsid w:val="0088409B"/>
    <w:rsid w:val="00884419"/>
    <w:rsid w:val="008866AB"/>
    <w:rsid w:val="008866C4"/>
    <w:rsid w:val="00886A52"/>
    <w:rsid w:val="00887031"/>
    <w:rsid w:val="008876AD"/>
    <w:rsid w:val="00887829"/>
    <w:rsid w:val="00887924"/>
    <w:rsid w:val="00890B00"/>
    <w:rsid w:val="00890FC9"/>
    <w:rsid w:val="00891A57"/>
    <w:rsid w:val="0089244F"/>
    <w:rsid w:val="00892625"/>
    <w:rsid w:val="00892FE8"/>
    <w:rsid w:val="00893CBF"/>
    <w:rsid w:val="00893F9C"/>
    <w:rsid w:val="0089468E"/>
    <w:rsid w:val="008946E6"/>
    <w:rsid w:val="00895202"/>
    <w:rsid w:val="00895382"/>
    <w:rsid w:val="0089548D"/>
    <w:rsid w:val="00895863"/>
    <w:rsid w:val="0089594A"/>
    <w:rsid w:val="008959B6"/>
    <w:rsid w:val="00895E24"/>
    <w:rsid w:val="00896A1B"/>
    <w:rsid w:val="008A0668"/>
    <w:rsid w:val="008A095F"/>
    <w:rsid w:val="008A143F"/>
    <w:rsid w:val="008A1512"/>
    <w:rsid w:val="008A2903"/>
    <w:rsid w:val="008A2978"/>
    <w:rsid w:val="008A2BA5"/>
    <w:rsid w:val="008A38B0"/>
    <w:rsid w:val="008A4665"/>
    <w:rsid w:val="008A4CFA"/>
    <w:rsid w:val="008A5444"/>
    <w:rsid w:val="008A645A"/>
    <w:rsid w:val="008A6770"/>
    <w:rsid w:val="008A73D8"/>
    <w:rsid w:val="008A7C40"/>
    <w:rsid w:val="008A7E16"/>
    <w:rsid w:val="008B0890"/>
    <w:rsid w:val="008B0B11"/>
    <w:rsid w:val="008B15AB"/>
    <w:rsid w:val="008B27AB"/>
    <w:rsid w:val="008B3016"/>
    <w:rsid w:val="008B4695"/>
    <w:rsid w:val="008B4B2C"/>
    <w:rsid w:val="008B53CC"/>
    <w:rsid w:val="008B5D51"/>
    <w:rsid w:val="008B700A"/>
    <w:rsid w:val="008B700C"/>
    <w:rsid w:val="008B72FA"/>
    <w:rsid w:val="008C00CF"/>
    <w:rsid w:val="008C0426"/>
    <w:rsid w:val="008C117A"/>
    <w:rsid w:val="008C23FF"/>
    <w:rsid w:val="008C28E1"/>
    <w:rsid w:val="008C34D0"/>
    <w:rsid w:val="008C4E0C"/>
    <w:rsid w:val="008C50AD"/>
    <w:rsid w:val="008C55C0"/>
    <w:rsid w:val="008C5C3F"/>
    <w:rsid w:val="008C63BC"/>
    <w:rsid w:val="008C6764"/>
    <w:rsid w:val="008D084F"/>
    <w:rsid w:val="008D25B5"/>
    <w:rsid w:val="008D2845"/>
    <w:rsid w:val="008D30C7"/>
    <w:rsid w:val="008D46C7"/>
    <w:rsid w:val="008D489D"/>
    <w:rsid w:val="008D58B7"/>
    <w:rsid w:val="008D7F6B"/>
    <w:rsid w:val="008D7F88"/>
    <w:rsid w:val="008E0813"/>
    <w:rsid w:val="008E48AE"/>
    <w:rsid w:val="008E4C8A"/>
    <w:rsid w:val="008E5DA9"/>
    <w:rsid w:val="008E5DF0"/>
    <w:rsid w:val="008E5FE5"/>
    <w:rsid w:val="008E7642"/>
    <w:rsid w:val="008E7789"/>
    <w:rsid w:val="008E7B58"/>
    <w:rsid w:val="008E7E9C"/>
    <w:rsid w:val="008F0043"/>
    <w:rsid w:val="008F03CE"/>
    <w:rsid w:val="008F391F"/>
    <w:rsid w:val="008F531B"/>
    <w:rsid w:val="008F578D"/>
    <w:rsid w:val="008F63AB"/>
    <w:rsid w:val="008F6A30"/>
    <w:rsid w:val="008F6C86"/>
    <w:rsid w:val="008F6CEB"/>
    <w:rsid w:val="008F6F48"/>
    <w:rsid w:val="008F727C"/>
    <w:rsid w:val="008F7D82"/>
    <w:rsid w:val="00900264"/>
    <w:rsid w:val="00901B62"/>
    <w:rsid w:val="00902190"/>
    <w:rsid w:val="009029E6"/>
    <w:rsid w:val="009031F7"/>
    <w:rsid w:val="00903D7F"/>
    <w:rsid w:val="009042C2"/>
    <w:rsid w:val="0090452D"/>
    <w:rsid w:val="009045A6"/>
    <w:rsid w:val="00906242"/>
    <w:rsid w:val="00906641"/>
    <w:rsid w:val="009069B3"/>
    <w:rsid w:val="009072B2"/>
    <w:rsid w:val="0091037F"/>
    <w:rsid w:val="0091047B"/>
    <w:rsid w:val="009108E0"/>
    <w:rsid w:val="00910EBD"/>
    <w:rsid w:val="009110BF"/>
    <w:rsid w:val="009122C0"/>
    <w:rsid w:val="00912650"/>
    <w:rsid w:val="00912795"/>
    <w:rsid w:val="009135ED"/>
    <w:rsid w:val="00913A4B"/>
    <w:rsid w:val="00914102"/>
    <w:rsid w:val="00914706"/>
    <w:rsid w:val="009150B2"/>
    <w:rsid w:val="00915600"/>
    <w:rsid w:val="00917247"/>
    <w:rsid w:val="0091797B"/>
    <w:rsid w:val="00920158"/>
    <w:rsid w:val="00920220"/>
    <w:rsid w:val="0092029E"/>
    <w:rsid w:val="00920568"/>
    <w:rsid w:val="00921512"/>
    <w:rsid w:val="00921785"/>
    <w:rsid w:val="00921D60"/>
    <w:rsid w:val="009226F7"/>
    <w:rsid w:val="00923487"/>
    <w:rsid w:val="009238B5"/>
    <w:rsid w:val="009244B2"/>
    <w:rsid w:val="00924561"/>
    <w:rsid w:val="00925032"/>
    <w:rsid w:val="00925726"/>
    <w:rsid w:val="0092595F"/>
    <w:rsid w:val="00925CFB"/>
    <w:rsid w:val="009263F1"/>
    <w:rsid w:val="00926A0F"/>
    <w:rsid w:val="00927281"/>
    <w:rsid w:val="009275D9"/>
    <w:rsid w:val="009276EC"/>
    <w:rsid w:val="0092786B"/>
    <w:rsid w:val="00927E20"/>
    <w:rsid w:val="00927FDC"/>
    <w:rsid w:val="00930498"/>
    <w:rsid w:val="009305F8"/>
    <w:rsid w:val="0093172A"/>
    <w:rsid w:val="00931B42"/>
    <w:rsid w:val="009320B6"/>
    <w:rsid w:val="00933E2A"/>
    <w:rsid w:val="009340C8"/>
    <w:rsid w:val="009346F9"/>
    <w:rsid w:val="0093470F"/>
    <w:rsid w:val="00934740"/>
    <w:rsid w:val="00934F7D"/>
    <w:rsid w:val="00936012"/>
    <w:rsid w:val="00936050"/>
    <w:rsid w:val="009368A2"/>
    <w:rsid w:val="00936AA2"/>
    <w:rsid w:val="00937628"/>
    <w:rsid w:val="00937ED5"/>
    <w:rsid w:val="009407B4"/>
    <w:rsid w:val="00941560"/>
    <w:rsid w:val="00941CB1"/>
    <w:rsid w:val="0094225C"/>
    <w:rsid w:val="00943902"/>
    <w:rsid w:val="009439A6"/>
    <w:rsid w:val="00943B2B"/>
    <w:rsid w:val="0094479B"/>
    <w:rsid w:val="00944A85"/>
    <w:rsid w:val="0094591B"/>
    <w:rsid w:val="009459DF"/>
    <w:rsid w:val="00946234"/>
    <w:rsid w:val="00946874"/>
    <w:rsid w:val="00946AAD"/>
    <w:rsid w:val="00946C90"/>
    <w:rsid w:val="0094756A"/>
    <w:rsid w:val="00947804"/>
    <w:rsid w:val="00950272"/>
    <w:rsid w:val="009502CD"/>
    <w:rsid w:val="00950E69"/>
    <w:rsid w:val="00950EE2"/>
    <w:rsid w:val="00951078"/>
    <w:rsid w:val="0095155F"/>
    <w:rsid w:val="009520AC"/>
    <w:rsid w:val="009536C1"/>
    <w:rsid w:val="00953FD0"/>
    <w:rsid w:val="0095520B"/>
    <w:rsid w:val="00955228"/>
    <w:rsid w:val="00955F3E"/>
    <w:rsid w:val="009562B8"/>
    <w:rsid w:val="009564F3"/>
    <w:rsid w:val="00956939"/>
    <w:rsid w:val="009571CD"/>
    <w:rsid w:val="00961113"/>
    <w:rsid w:val="00961483"/>
    <w:rsid w:val="00961792"/>
    <w:rsid w:val="00961A91"/>
    <w:rsid w:val="00962BA6"/>
    <w:rsid w:val="00962F14"/>
    <w:rsid w:val="009634C1"/>
    <w:rsid w:val="009636A4"/>
    <w:rsid w:val="0096417E"/>
    <w:rsid w:val="009646F6"/>
    <w:rsid w:val="00964E9D"/>
    <w:rsid w:val="00966D0E"/>
    <w:rsid w:val="00967325"/>
    <w:rsid w:val="009677EE"/>
    <w:rsid w:val="00967813"/>
    <w:rsid w:val="0097128C"/>
    <w:rsid w:val="00972A81"/>
    <w:rsid w:val="00972BB0"/>
    <w:rsid w:val="00974D2C"/>
    <w:rsid w:val="009757D6"/>
    <w:rsid w:val="00975A8F"/>
    <w:rsid w:val="00975F9F"/>
    <w:rsid w:val="0097608D"/>
    <w:rsid w:val="009764A4"/>
    <w:rsid w:val="009766BF"/>
    <w:rsid w:val="0097759B"/>
    <w:rsid w:val="009801F3"/>
    <w:rsid w:val="009803F0"/>
    <w:rsid w:val="00980487"/>
    <w:rsid w:val="00980523"/>
    <w:rsid w:val="009808D3"/>
    <w:rsid w:val="00980ACA"/>
    <w:rsid w:val="00980BB8"/>
    <w:rsid w:val="00980F2C"/>
    <w:rsid w:val="009812FE"/>
    <w:rsid w:val="00981C7B"/>
    <w:rsid w:val="0098237D"/>
    <w:rsid w:val="009833A3"/>
    <w:rsid w:val="00983866"/>
    <w:rsid w:val="00983C5F"/>
    <w:rsid w:val="00984283"/>
    <w:rsid w:val="00984B76"/>
    <w:rsid w:val="00984E17"/>
    <w:rsid w:val="00985275"/>
    <w:rsid w:val="0098596D"/>
    <w:rsid w:val="00986B3B"/>
    <w:rsid w:val="009870A7"/>
    <w:rsid w:val="009876A7"/>
    <w:rsid w:val="0099079E"/>
    <w:rsid w:val="00990A28"/>
    <w:rsid w:val="00990E29"/>
    <w:rsid w:val="00991409"/>
    <w:rsid w:val="00991892"/>
    <w:rsid w:val="00991E22"/>
    <w:rsid w:val="00992913"/>
    <w:rsid w:val="00996033"/>
    <w:rsid w:val="0099673A"/>
    <w:rsid w:val="00996D0B"/>
    <w:rsid w:val="00996F2E"/>
    <w:rsid w:val="00997A7D"/>
    <w:rsid w:val="00997D22"/>
    <w:rsid w:val="00997D49"/>
    <w:rsid w:val="009A0260"/>
    <w:rsid w:val="009A0884"/>
    <w:rsid w:val="009A14E5"/>
    <w:rsid w:val="009A22F2"/>
    <w:rsid w:val="009A2716"/>
    <w:rsid w:val="009A2D06"/>
    <w:rsid w:val="009A34E2"/>
    <w:rsid w:val="009A45C1"/>
    <w:rsid w:val="009A4D42"/>
    <w:rsid w:val="009A5038"/>
    <w:rsid w:val="009A5E81"/>
    <w:rsid w:val="009A6ECB"/>
    <w:rsid w:val="009B0121"/>
    <w:rsid w:val="009B05CB"/>
    <w:rsid w:val="009B0B4A"/>
    <w:rsid w:val="009B1407"/>
    <w:rsid w:val="009B195E"/>
    <w:rsid w:val="009B25C0"/>
    <w:rsid w:val="009B2A0F"/>
    <w:rsid w:val="009B2A4B"/>
    <w:rsid w:val="009B2E1F"/>
    <w:rsid w:val="009B32C8"/>
    <w:rsid w:val="009B3662"/>
    <w:rsid w:val="009B3DF5"/>
    <w:rsid w:val="009B3FF7"/>
    <w:rsid w:val="009B5A5C"/>
    <w:rsid w:val="009B6D62"/>
    <w:rsid w:val="009B7267"/>
    <w:rsid w:val="009B771B"/>
    <w:rsid w:val="009C0144"/>
    <w:rsid w:val="009C0E48"/>
    <w:rsid w:val="009C0F06"/>
    <w:rsid w:val="009C143F"/>
    <w:rsid w:val="009C1C8C"/>
    <w:rsid w:val="009C1FB2"/>
    <w:rsid w:val="009C2E3D"/>
    <w:rsid w:val="009C366A"/>
    <w:rsid w:val="009C5130"/>
    <w:rsid w:val="009C5C99"/>
    <w:rsid w:val="009C64EF"/>
    <w:rsid w:val="009C662B"/>
    <w:rsid w:val="009C7896"/>
    <w:rsid w:val="009D0716"/>
    <w:rsid w:val="009D16DE"/>
    <w:rsid w:val="009D1D38"/>
    <w:rsid w:val="009D206B"/>
    <w:rsid w:val="009D2B5E"/>
    <w:rsid w:val="009D390C"/>
    <w:rsid w:val="009D433E"/>
    <w:rsid w:val="009D4BE7"/>
    <w:rsid w:val="009D4C7D"/>
    <w:rsid w:val="009D5056"/>
    <w:rsid w:val="009D526F"/>
    <w:rsid w:val="009D5F62"/>
    <w:rsid w:val="009D6379"/>
    <w:rsid w:val="009D6CD4"/>
    <w:rsid w:val="009D7853"/>
    <w:rsid w:val="009E008B"/>
    <w:rsid w:val="009E062D"/>
    <w:rsid w:val="009E09D4"/>
    <w:rsid w:val="009E1300"/>
    <w:rsid w:val="009E18B7"/>
    <w:rsid w:val="009E22F6"/>
    <w:rsid w:val="009E2351"/>
    <w:rsid w:val="009E2475"/>
    <w:rsid w:val="009E30CF"/>
    <w:rsid w:val="009E3A22"/>
    <w:rsid w:val="009E4503"/>
    <w:rsid w:val="009E4B7F"/>
    <w:rsid w:val="009E4FB7"/>
    <w:rsid w:val="009E4FCF"/>
    <w:rsid w:val="009E5D30"/>
    <w:rsid w:val="009E623D"/>
    <w:rsid w:val="009E644D"/>
    <w:rsid w:val="009E648F"/>
    <w:rsid w:val="009E6F4C"/>
    <w:rsid w:val="009E7E0D"/>
    <w:rsid w:val="009F06D3"/>
    <w:rsid w:val="009F0C9C"/>
    <w:rsid w:val="009F0D4E"/>
    <w:rsid w:val="009F10D1"/>
    <w:rsid w:val="009F21A6"/>
    <w:rsid w:val="009F2321"/>
    <w:rsid w:val="009F245C"/>
    <w:rsid w:val="009F33EB"/>
    <w:rsid w:val="009F3D89"/>
    <w:rsid w:val="009F4596"/>
    <w:rsid w:val="009F4787"/>
    <w:rsid w:val="009F568E"/>
    <w:rsid w:val="009F6321"/>
    <w:rsid w:val="009F679A"/>
    <w:rsid w:val="009F6A0A"/>
    <w:rsid w:val="009F6C0D"/>
    <w:rsid w:val="009F78AA"/>
    <w:rsid w:val="009F7D5A"/>
    <w:rsid w:val="00A01E3C"/>
    <w:rsid w:val="00A021F7"/>
    <w:rsid w:val="00A02234"/>
    <w:rsid w:val="00A0331E"/>
    <w:rsid w:val="00A03536"/>
    <w:rsid w:val="00A03C46"/>
    <w:rsid w:val="00A045E8"/>
    <w:rsid w:val="00A04757"/>
    <w:rsid w:val="00A06000"/>
    <w:rsid w:val="00A10B0D"/>
    <w:rsid w:val="00A11096"/>
    <w:rsid w:val="00A1110B"/>
    <w:rsid w:val="00A112B2"/>
    <w:rsid w:val="00A119D4"/>
    <w:rsid w:val="00A12FF0"/>
    <w:rsid w:val="00A13487"/>
    <w:rsid w:val="00A139E4"/>
    <w:rsid w:val="00A13B73"/>
    <w:rsid w:val="00A13D14"/>
    <w:rsid w:val="00A14666"/>
    <w:rsid w:val="00A152F9"/>
    <w:rsid w:val="00A155CB"/>
    <w:rsid w:val="00A15AB4"/>
    <w:rsid w:val="00A164FB"/>
    <w:rsid w:val="00A1666A"/>
    <w:rsid w:val="00A16C1F"/>
    <w:rsid w:val="00A172D7"/>
    <w:rsid w:val="00A20422"/>
    <w:rsid w:val="00A208CA"/>
    <w:rsid w:val="00A218F0"/>
    <w:rsid w:val="00A21C49"/>
    <w:rsid w:val="00A22293"/>
    <w:rsid w:val="00A22355"/>
    <w:rsid w:val="00A22D76"/>
    <w:rsid w:val="00A22F83"/>
    <w:rsid w:val="00A2322A"/>
    <w:rsid w:val="00A23976"/>
    <w:rsid w:val="00A23A45"/>
    <w:rsid w:val="00A2421A"/>
    <w:rsid w:val="00A24867"/>
    <w:rsid w:val="00A24915"/>
    <w:rsid w:val="00A2607F"/>
    <w:rsid w:val="00A26D78"/>
    <w:rsid w:val="00A27BF7"/>
    <w:rsid w:val="00A31CE0"/>
    <w:rsid w:val="00A32CA3"/>
    <w:rsid w:val="00A33245"/>
    <w:rsid w:val="00A33960"/>
    <w:rsid w:val="00A33BB4"/>
    <w:rsid w:val="00A346FF"/>
    <w:rsid w:val="00A35378"/>
    <w:rsid w:val="00A3756B"/>
    <w:rsid w:val="00A37FE5"/>
    <w:rsid w:val="00A4098B"/>
    <w:rsid w:val="00A409B1"/>
    <w:rsid w:val="00A41506"/>
    <w:rsid w:val="00A4181C"/>
    <w:rsid w:val="00A41A0E"/>
    <w:rsid w:val="00A41B2A"/>
    <w:rsid w:val="00A425E6"/>
    <w:rsid w:val="00A429C9"/>
    <w:rsid w:val="00A42DF6"/>
    <w:rsid w:val="00A42FC3"/>
    <w:rsid w:val="00A456F3"/>
    <w:rsid w:val="00A4632D"/>
    <w:rsid w:val="00A46956"/>
    <w:rsid w:val="00A47028"/>
    <w:rsid w:val="00A47218"/>
    <w:rsid w:val="00A4740C"/>
    <w:rsid w:val="00A50157"/>
    <w:rsid w:val="00A501EF"/>
    <w:rsid w:val="00A50E2C"/>
    <w:rsid w:val="00A51FE2"/>
    <w:rsid w:val="00A52749"/>
    <w:rsid w:val="00A535B7"/>
    <w:rsid w:val="00A53C1F"/>
    <w:rsid w:val="00A54E51"/>
    <w:rsid w:val="00A55642"/>
    <w:rsid w:val="00A55672"/>
    <w:rsid w:val="00A56E9D"/>
    <w:rsid w:val="00A5787A"/>
    <w:rsid w:val="00A578C8"/>
    <w:rsid w:val="00A57AA4"/>
    <w:rsid w:val="00A57B84"/>
    <w:rsid w:val="00A60318"/>
    <w:rsid w:val="00A608F5"/>
    <w:rsid w:val="00A60A6F"/>
    <w:rsid w:val="00A6112D"/>
    <w:rsid w:val="00A61190"/>
    <w:rsid w:val="00A611B5"/>
    <w:rsid w:val="00A62456"/>
    <w:rsid w:val="00A6287C"/>
    <w:rsid w:val="00A62B96"/>
    <w:rsid w:val="00A63E2C"/>
    <w:rsid w:val="00A650F3"/>
    <w:rsid w:val="00A65FDF"/>
    <w:rsid w:val="00A66B1F"/>
    <w:rsid w:val="00A66C49"/>
    <w:rsid w:val="00A66E18"/>
    <w:rsid w:val="00A679FF"/>
    <w:rsid w:val="00A67D21"/>
    <w:rsid w:val="00A7079F"/>
    <w:rsid w:val="00A71B06"/>
    <w:rsid w:val="00A72548"/>
    <w:rsid w:val="00A72778"/>
    <w:rsid w:val="00A7295F"/>
    <w:rsid w:val="00A75314"/>
    <w:rsid w:val="00A753CE"/>
    <w:rsid w:val="00A75CE3"/>
    <w:rsid w:val="00A75E43"/>
    <w:rsid w:val="00A76130"/>
    <w:rsid w:val="00A76775"/>
    <w:rsid w:val="00A76A6D"/>
    <w:rsid w:val="00A80277"/>
    <w:rsid w:val="00A81116"/>
    <w:rsid w:val="00A81B86"/>
    <w:rsid w:val="00A81C8E"/>
    <w:rsid w:val="00A822E9"/>
    <w:rsid w:val="00A8237E"/>
    <w:rsid w:val="00A82529"/>
    <w:rsid w:val="00A829FB"/>
    <w:rsid w:val="00A82EED"/>
    <w:rsid w:val="00A857ED"/>
    <w:rsid w:val="00A86492"/>
    <w:rsid w:val="00A8708F"/>
    <w:rsid w:val="00A87224"/>
    <w:rsid w:val="00A9065F"/>
    <w:rsid w:val="00A90798"/>
    <w:rsid w:val="00A9122A"/>
    <w:rsid w:val="00A91F4C"/>
    <w:rsid w:val="00A923D0"/>
    <w:rsid w:val="00A924E2"/>
    <w:rsid w:val="00A939DD"/>
    <w:rsid w:val="00A95032"/>
    <w:rsid w:val="00A951AC"/>
    <w:rsid w:val="00A956B2"/>
    <w:rsid w:val="00A9583B"/>
    <w:rsid w:val="00A961ED"/>
    <w:rsid w:val="00AA2576"/>
    <w:rsid w:val="00AA2D3C"/>
    <w:rsid w:val="00AA344D"/>
    <w:rsid w:val="00AA3A82"/>
    <w:rsid w:val="00AA5593"/>
    <w:rsid w:val="00AA639D"/>
    <w:rsid w:val="00AA6696"/>
    <w:rsid w:val="00AA681B"/>
    <w:rsid w:val="00AA75E2"/>
    <w:rsid w:val="00AA79E8"/>
    <w:rsid w:val="00AB0C52"/>
    <w:rsid w:val="00AB0FB6"/>
    <w:rsid w:val="00AB1C53"/>
    <w:rsid w:val="00AB1FAF"/>
    <w:rsid w:val="00AB234B"/>
    <w:rsid w:val="00AB24FE"/>
    <w:rsid w:val="00AB2ACA"/>
    <w:rsid w:val="00AB347E"/>
    <w:rsid w:val="00AB3AA0"/>
    <w:rsid w:val="00AB3B8E"/>
    <w:rsid w:val="00AB3DAF"/>
    <w:rsid w:val="00AB3F73"/>
    <w:rsid w:val="00AB421C"/>
    <w:rsid w:val="00AB4D5F"/>
    <w:rsid w:val="00AB584A"/>
    <w:rsid w:val="00AB6E2C"/>
    <w:rsid w:val="00AB7762"/>
    <w:rsid w:val="00AC0A04"/>
    <w:rsid w:val="00AC13C1"/>
    <w:rsid w:val="00AC13EE"/>
    <w:rsid w:val="00AC1CAE"/>
    <w:rsid w:val="00AC3328"/>
    <w:rsid w:val="00AC3B71"/>
    <w:rsid w:val="00AC3BA4"/>
    <w:rsid w:val="00AC410F"/>
    <w:rsid w:val="00AC4F90"/>
    <w:rsid w:val="00AC51D2"/>
    <w:rsid w:val="00AC58DD"/>
    <w:rsid w:val="00AC609D"/>
    <w:rsid w:val="00AC651C"/>
    <w:rsid w:val="00AC652F"/>
    <w:rsid w:val="00AC67F1"/>
    <w:rsid w:val="00AD1239"/>
    <w:rsid w:val="00AD14DC"/>
    <w:rsid w:val="00AD1B30"/>
    <w:rsid w:val="00AD2645"/>
    <w:rsid w:val="00AD272F"/>
    <w:rsid w:val="00AD2D51"/>
    <w:rsid w:val="00AD3C13"/>
    <w:rsid w:val="00AD3ECF"/>
    <w:rsid w:val="00AD4FDB"/>
    <w:rsid w:val="00AD516C"/>
    <w:rsid w:val="00AD554D"/>
    <w:rsid w:val="00AD5663"/>
    <w:rsid w:val="00AE0493"/>
    <w:rsid w:val="00AE06D3"/>
    <w:rsid w:val="00AE10CD"/>
    <w:rsid w:val="00AE32A2"/>
    <w:rsid w:val="00AE363D"/>
    <w:rsid w:val="00AE5823"/>
    <w:rsid w:val="00AE599D"/>
    <w:rsid w:val="00AE6786"/>
    <w:rsid w:val="00AE6D0F"/>
    <w:rsid w:val="00AE76D7"/>
    <w:rsid w:val="00AE79FA"/>
    <w:rsid w:val="00AF08FC"/>
    <w:rsid w:val="00AF0BCD"/>
    <w:rsid w:val="00AF32BE"/>
    <w:rsid w:val="00AF3727"/>
    <w:rsid w:val="00AF37C1"/>
    <w:rsid w:val="00AF4AC7"/>
    <w:rsid w:val="00AF5B8A"/>
    <w:rsid w:val="00AF5E83"/>
    <w:rsid w:val="00AF627B"/>
    <w:rsid w:val="00AF706D"/>
    <w:rsid w:val="00AF7F32"/>
    <w:rsid w:val="00B019F5"/>
    <w:rsid w:val="00B01A5C"/>
    <w:rsid w:val="00B02370"/>
    <w:rsid w:val="00B025E7"/>
    <w:rsid w:val="00B03639"/>
    <w:rsid w:val="00B0396D"/>
    <w:rsid w:val="00B039CA"/>
    <w:rsid w:val="00B03B3E"/>
    <w:rsid w:val="00B03BB9"/>
    <w:rsid w:val="00B054F2"/>
    <w:rsid w:val="00B06DD0"/>
    <w:rsid w:val="00B078C3"/>
    <w:rsid w:val="00B07E4D"/>
    <w:rsid w:val="00B10E9E"/>
    <w:rsid w:val="00B117E4"/>
    <w:rsid w:val="00B12218"/>
    <w:rsid w:val="00B127E5"/>
    <w:rsid w:val="00B140DE"/>
    <w:rsid w:val="00B145A6"/>
    <w:rsid w:val="00B15675"/>
    <w:rsid w:val="00B1590C"/>
    <w:rsid w:val="00B15A70"/>
    <w:rsid w:val="00B1686A"/>
    <w:rsid w:val="00B16AD8"/>
    <w:rsid w:val="00B16E21"/>
    <w:rsid w:val="00B1729A"/>
    <w:rsid w:val="00B175BF"/>
    <w:rsid w:val="00B1788F"/>
    <w:rsid w:val="00B211FC"/>
    <w:rsid w:val="00B214BE"/>
    <w:rsid w:val="00B21E09"/>
    <w:rsid w:val="00B2260A"/>
    <w:rsid w:val="00B24469"/>
    <w:rsid w:val="00B245B3"/>
    <w:rsid w:val="00B24789"/>
    <w:rsid w:val="00B25060"/>
    <w:rsid w:val="00B250EC"/>
    <w:rsid w:val="00B2543F"/>
    <w:rsid w:val="00B2587C"/>
    <w:rsid w:val="00B25A27"/>
    <w:rsid w:val="00B2600D"/>
    <w:rsid w:val="00B26682"/>
    <w:rsid w:val="00B2709F"/>
    <w:rsid w:val="00B27CEA"/>
    <w:rsid w:val="00B300BC"/>
    <w:rsid w:val="00B302E4"/>
    <w:rsid w:val="00B304ED"/>
    <w:rsid w:val="00B307AA"/>
    <w:rsid w:val="00B32C19"/>
    <w:rsid w:val="00B3378C"/>
    <w:rsid w:val="00B33A07"/>
    <w:rsid w:val="00B33BFC"/>
    <w:rsid w:val="00B35884"/>
    <w:rsid w:val="00B35E05"/>
    <w:rsid w:val="00B3612F"/>
    <w:rsid w:val="00B3618A"/>
    <w:rsid w:val="00B366D3"/>
    <w:rsid w:val="00B36D92"/>
    <w:rsid w:val="00B36F04"/>
    <w:rsid w:val="00B379C5"/>
    <w:rsid w:val="00B41274"/>
    <w:rsid w:val="00B41A08"/>
    <w:rsid w:val="00B41FFE"/>
    <w:rsid w:val="00B42A22"/>
    <w:rsid w:val="00B42D4F"/>
    <w:rsid w:val="00B4360D"/>
    <w:rsid w:val="00B4373A"/>
    <w:rsid w:val="00B44753"/>
    <w:rsid w:val="00B458B6"/>
    <w:rsid w:val="00B45C64"/>
    <w:rsid w:val="00B461C9"/>
    <w:rsid w:val="00B4699D"/>
    <w:rsid w:val="00B4780A"/>
    <w:rsid w:val="00B47D6B"/>
    <w:rsid w:val="00B51145"/>
    <w:rsid w:val="00B51689"/>
    <w:rsid w:val="00B52497"/>
    <w:rsid w:val="00B5312E"/>
    <w:rsid w:val="00B54027"/>
    <w:rsid w:val="00B54CA1"/>
    <w:rsid w:val="00B55B9A"/>
    <w:rsid w:val="00B569DD"/>
    <w:rsid w:val="00B56D7E"/>
    <w:rsid w:val="00B56ED1"/>
    <w:rsid w:val="00B578E3"/>
    <w:rsid w:val="00B61041"/>
    <w:rsid w:val="00B61191"/>
    <w:rsid w:val="00B625E0"/>
    <w:rsid w:val="00B62E4A"/>
    <w:rsid w:val="00B63276"/>
    <w:rsid w:val="00B6352D"/>
    <w:rsid w:val="00B6389B"/>
    <w:rsid w:val="00B66E2A"/>
    <w:rsid w:val="00B671FA"/>
    <w:rsid w:val="00B67EC3"/>
    <w:rsid w:val="00B7008F"/>
    <w:rsid w:val="00B715FC"/>
    <w:rsid w:val="00B72B31"/>
    <w:rsid w:val="00B730CB"/>
    <w:rsid w:val="00B747B1"/>
    <w:rsid w:val="00B74A2D"/>
    <w:rsid w:val="00B750AA"/>
    <w:rsid w:val="00B76A5C"/>
    <w:rsid w:val="00B76B03"/>
    <w:rsid w:val="00B76B3C"/>
    <w:rsid w:val="00B76E32"/>
    <w:rsid w:val="00B81710"/>
    <w:rsid w:val="00B82854"/>
    <w:rsid w:val="00B82B3A"/>
    <w:rsid w:val="00B82E46"/>
    <w:rsid w:val="00B83C9E"/>
    <w:rsid w:val="00B842DB"/>
    <w:rsid w:val="00B84E07"/>
    <w:rsid w:val="00B84E6F"/>
    <w:rsid w:val="00B85162"/>
    <w:rsid w:val="00B853F2"/>
    <w:rsid w:val="00B85D2D"/>
    <w:rsid w:val="00B8631C"/>
    <w:rsid w:val="00B8667C"/>
    <w:rsid w:val="00B87B93"/>
    <w:rsid w:val="00B87D7E"/>
    <w:rsid w:val="00B87DE6"/>
    <w:rsid w:val="00B912BB"/>
    <w:rsid w:val="00B913CE"/>
    <w:rsid w:val="00B91929"/>
    <w:rsid w:val="00B92128"/>
    <w:rsid w:val="00B93541"/>
    <w:rsid w:val="00B94736"/>
    <w:rsid w:val="00B94AB1"/>
    <w:rsid w:val="00B94FCA"/>
    <w:rsid w:val="00B9530C"/>
    <w:rsid w:val="00B96322"/>
    <w:rsid w:val="00B97130"/>
    <w:rsid w:val="00B9757C"/>
    <w:rsid w:val="00B978AD"/>
    <w:rsid w:val="00BA1473"/>
    <w:rsid w:val="00BA1926"/>
    <w:rsid w:val="00BA1E7F"/>
    <w:rsid w:val="00BA27F9"/>
    <w:rsid w:val="00BA2E71"/>
    <w:rsid w:val="00BA3938"/>
    <w:rsid w:val="00BA3A49"/>
    <w:rsid w:val="00BA3C34"/>
    <w:rsid w:val="00BA3F42"/>
    <w:rsid w:val="00BA417F"/>
    <w:rsid w:val="00BA43A2"/>
    <w:rsid w:val="00BA4B6E"/>
    <w:rsid w:val="00BA774E"/>
    <w:rsid w:val="00BA7B7B"/>
    <w:rsid w:val="00BB060F"/>
    <w:rsid w:val="00BB07CC"/>
    <w:rsid w:val="00BB0887"/>
    <w:rsid w:val="00BB0E75"/>
    <w:rsid w:val="00BB1742"/>
    <w:rsid w:val="00BB2301"/>
    <w:rsid w:val="00BB2468"/>
    <w:rsid w:val="00BB3284"/>
    <w:rsid w:val="00BB443F"/>
    <w:rsid w:val="00BB4BF0"/>
    <w:rsid w:val="00BB5AA1"/>
    <w:rsid w:val="00BB667C"/>
    <w:rsid w:val="00BB6E4F"/>
    <w:rsid w:val="00BB6FDE"/>
    <w:rsid w:val="00BB71A4"/>
    <w:rsid w:val="00BB72B0"/>
    <w:rsid w:val="00BB75E9"/>
    <w:rsid w:val="00BC0AA1"/>
    <w:rsid w:val="00BC1CE1"/>
    <w:rsid w:val="00BC2871"/>
    <w:rsid w:val="00BC3230"/>
    <w:rsid w:val="00BC4223"/>
    <w:rsid w:val="00BC549F"/>
    <w:rsid w:val="00BC5AE9"/>
    <w:rsid w:val="00BC69FA"/>
    <w:rsid w:val="00BC6D2A"/>
    <w:rsid w:val="00BC734D"/>
    <w:rsid w:val="00BC7E0A"/>
    <w:rsid w:val="00BC7E4A"/>
    <w:rsid w:val="00BD04FB"/>
    <w:rsid w:val="00BD0A68"/>
    <w:rsid w:val="00BD1284"/>
    <w:rsid w:val="00BD1ACB"/>
    <w:rsid w:val="00BD34BD"/>
    <w:rsid w:val="00BD4483"/>
    <w:rsid w:val="00BD49CA"/>
    <w:rsid w:val="00BD4FEE"/>
    <w:rsid w:val="00BD556E"/>
    <w:rsid w:val="00BE089F"/>
    <w:rsid w:val="00BE0FC7"/>
    <w:rsid w:val="00BE119B"/>
    <w:rsid w:val="00BE1291"/>
    <w:rsid w:val="00BE1351"/>
    <w:rsid w:val="00BE16C6"/>
    <w:rsid w:val="00BE2DF8"/>
    <w:rsid w:val="00BE2F68"/>
    <w:rsid w:val="00BE327E"/>
    <w:rsid w:val="00BE3CE4"/>
    <w:rsid w:val="00BE50BE"/>
    <w:rsid w:val="00BE580C"/>
    <w:rsid w:val="00BE69D5"/>
    <w:rsid w:val="00BE7264"/>
    <w:rsid w:val="00BE7987"/>
    <w:rsid w:val="00BF020F"/>
    <w:rsid w:val="00BF14BB"/>
    <w:rsid w:val="00BF18EC"/>
    <w:rsid w:val="00BF1B38"/>
    <w:rsid w:val="00BF36E2"/>
    <w:rsid w:val="00BF54B4"/>
    <w:rsid w:val="00BF5507"/>
    <w:rsid w:val="00BF5841"/>
    <w:rsid w:val="00BF58B3"/>
    <w:rsid w:val="00BF7BDA"/>
    <w:rsid w:val="00C00481"/>
    <w:rsid w:val="00C007B8"/>
    <w:rsid w:val="00C013AA"/>
    <w:rsid w:val="00C01BB0"/>
    <w:rsid w:val="00C01C00"/>
    <w:rsid w:val="00C034D7"/>
    <w:rsid w:val="00C038F0"/>
    <w:rsid w:val="00C0394C"/>
    <w:rsid w:val="00C03FF5"/>
    <w:rsid w:val="00C041DC"/>
    <w:rsid w:val="00C04DB7"/>
    <w:rsid w:val="00C05FDC"/>
    <w:rsid w:val="00C06F56"/>
    <w:rsid w:val="00C07037"/>
    <w:rsid w:val="00C12440"/>
    <w:rsid w:val="00C13612"/>
    <w:rsid w:val="00C15291"/>
    <w:rsid w:val="00C16B3F"/>
    <w:rsid w:val="00C16C96"/>
    <w:rsid w:val="00C1798D"/>
    <w:rsid w:val="00C20D68"/>
    <w:rsid w:val="00C20FE7"/>
    <w:rsid w:val="00C221FB"/>
    <w:rsid w:val="00C23293"/>
    <w:rsid w:val="00C2407D"/>
    <w:rsid w:val="00C2447F"/>
    <w:rsid w:val="00C24EF1"/>
    <w:rsid w:val="00C255DD"/>
    <w:rsid w:val="00C25757"/>
    <w:rsid w:val="00C25DB2"/>
    <w:rsid w:val="00C25EDA"/>
    <w:rsid w:val="00C26C75"/>
    <w:rsid w:val="00C273B4"/>
    <w:rsid w:val="00C27AB6"/>
    <w:rsid w:val="00C301FF"/>
    <w:rsid w:val="00C31441"/>
    <w:rsid w:val="00C3167C"/>
    <w:rsid w:val="00C31C4C"/>
    <w:rsid w:val="00C31DD1"/>
    <w:rsid w:val="00C32036"/>
    <w:rsid w:val="00C3432F"/>
    <w:rsid w:val="00C35512"/>
    <w:rsid w:val="00C36802"/>
    <w:rsid w:val="00C40384"/>
    <w:rsid w:val="00C409E7"/>
    <w:rsid w:val="00C409F7"/>
    <w:rsid w:val="00C40DD1"/>
    <w:rsid w:val="00C40FF6"/>
    <w:rsid w:val="00C416DD"/>
    <w:rsid w:val="00C41F94"/>
    <w:rsid w:val="00C420EB"/>
    <w:rsid w:val="00C4213F"/>
    <w:rsid w:val="00C42639"/>
    <w:rsid w:val="00C4438D"/>
    <w:rsid w:val="00C44C35"/>
    <w:rsid w:val="00C45131"/>
    <w:rsid w:val="00C46455"/>
    <w:rsid w:val="00C50262"/>
    <w:rsid w:val="00C50380"/>
    <w:rsid w:val="00C5086E"/>
    <w:rsid w:val="00C51838"/>
    <w:rsid w:val="00C52508"/>
    <w:rsid w:val="00C52884"/>
    <w:rsid w:val="00C52C56"/>
    <w:rsid w:val="00C52CE2"/>
    <w:rsid w:val="00C53113"/>
    <w:rsid w:val="00C53321"/>
    <w:rsid w:val="00C53730"/>
    <w:rsid w:val="00C543E5"/>
    <w:rsid w:val="00C553DA"/>
    <w:rsid w:val="00C56525"/>
    <w:rsid w:val="00C56C12"/>
    <w:rsid w:val="00C572BD"/>
    <w:rsid w:val="00C57F88"/>
    <w:rsid w:val="00C60213"/>
    <w:rsid w:val="00C60445"/>
    <w:rsid w:val="00C604A1"/>
    <w:rsid w:val="00C62398"/>
    <w:rsid w:val="00C6261D"/>
    <w:rsid w:val="00C63122"/>
    <w:rsid w:val="00C642E9"/>
    <w:rsid w:val="00C64998"/>
    <w:rsid w:val="00C64AE7"/>
    <w:rsid w:val="00C64EA5"/>
    <w:rsid w:val="00C654C4"/>
    <w:rsid w:val="00C6649B"/>
    <w:rsid w:val="00C6776D"/>
    <w:rsid w:val="00C709A0"/>
    <w:rsid w:val="00C71414"/>
    <w:rsid w:val="00C71710"/>
    <w:rsid w:val="00C71F47"/>
    <w:rsid w:val="00C720E7"/>
    <w:rsid w:val="00C72376"/>
    <w:rsid w:val="00C7413F"/>
    <w:rsid w:val="00C74419"/>
    <w:rsid w:val="00C7608F"/>
    <w:rsid w:val="00C768C7"/>
    <w:rsid w:val="00C77918"/>
    <w:rsid w:val="00C8054F"/>
    <w:rsid w:val="00C80CA8"/>
    <w:rsid w:val="00C80CC4"/>
    <w:rsid w:val="00C8135C"/>
    <w:rsid w:val="00C81852"/>
    <w:rsid w:val="00C81FE5"/>
    <w:rsid w:val="00C8247B"/>
    <w:rsid w:val="00C8313F"/>
    <w:rsid w:val="00C8511B"/>
    <w:rsid w:val="00C85382"/>
    <w:rsid w:val="00C8544D"/>
    <w:rsid w:val="00C858F8"/>
    <w:rsid w:val="00C865A5"/>
    <w:rsid w:val="00C86D2F"/>
    <w:rsid w:val="00C876F6"/>
    <w:rsid w:val="00C909BE"/>
    <w:rsid w:val="00C90BF3"/>
    <w:rsid w:val="00C90DEF"/>
    <w:rsid w:val="00C91AFF"/>
    <w:rsid w:val="00C91BAD"/>
    <w:rsid w:val="00C922D9"/>
    <w:rsid w:val="00C92326"/>
    <w:rsid w:val="00C92D33"/>
    <w:rsid w:val="00C9401E"/>
    <w:rsid w:val="00C948D2"/>
    <w:rsid w:val="00C94D87"/>
    <w:rsid w:val="00C9580B"/>
    <w:rsid w:val="00C962A0"/>
    <w:rsid w:val="00C964B2"/>
    <w:rsid w:val="00C96F9F"/>
    <w:rsid w:val="00C974BA"/>
    <w:rsid w:val="00C97832"/>
    <w:rsid w:val="00CA0300"/>
    <w:rsid w:val="00CA033F"/>
    <w:rsid w:val="00CA037D"/>
    <w:rsid w:val="00CA04A6"/>
    <w:rsid w:val="00CA058D"/>
    <w:rsid w:val="00CA1BC3"/>
    <w:rsid w:val="00CA2438"/>
    <w:rsid w:val="00CA2BCB"/>
    <w:rsid w:val="00CA4A5C"/>
    <w:rsid w:val="00CA4D11"/>
    <w:rsid w:val="00CA5361"/>
    <w:rsid w:val="00CA5751"/>
    <w:rsid w:val="00CA5915"/>
    <w:rsid w:val="00CA5F98"/>
    <w:rsid w:val="00CA6022"/>
    <w:rsid w:val="00CA6D74"/>
    <w:rsid w:val="00CB1001"/>
    <w:rsid w:val="00CB1818"/>
    <w:rsid w:val="00CB2D03"/>
    <w:rsid w:val="00CB2F85"/>
    <w:rsid w:val="00CB334A"/>
    <w:rsid w:val="00CB3470"/>
    <w:rsid w:val="00CB3813"/>
    <w:rsid w:val="00CB3C19"/>
    <w:rsid w:val="00CB56F5"/>
    <w:rsid w:val="00CB59EC"/>
    <w:rsid w:val="00CB5B0D"/>
    <w:rsid w:val="00CB5DDF"/>
    <w:rsid w:val="00CB6997"/>
    <w:rsid w:val="00CB6D12"/>
    <w:rsid w:val="00CB7485"/>
    <w:rsid w:val="00CB7970"/>
    <w:rsid w:val="00CB7D96"/>
    <w:rsid w:val="00CC02E3"/>
    <w:rsid w:val="00CC0728"/>
    <w:rsid w:val="00CC1065"/>
    <w:rsid w:val="00CC16DC"/>
    <w:rsid w:val="00CC210A"/>
    <w:rsid w:val="00CC2495"/>
    <w:rsid w:val="00CC3500"/>
    <w:rsid w:val="00CC38D9"/>
    <w:rsid w:val="00CC3CEB"/>
    <w:rsid w:val="00CC3FBB"/>
    <w:rsid w:val="00CC4DCD"/>
    <w:rsid w:val="00CC4F58"/>
    <w:rsid w:val="00CC55D5"/>
    <w:rsid w:val="00CC63F3"/>
    <w:rsid w:val="00CC65F6"/>
    <w:rsid w:val="00CC6B0D"/>
    <w:rsid w:val="00CC7E91"/>
    <w:rsid w:val="00CD1835"/>
    <w:rsid w:val="00CD2066"/>
    <w:rsid w:val="00CD38A0"/>
    <w:rsid w:val="00CD3B73"/>
    <w:rsid w:val="00CD3BD0"/>
    <w:rsid w:val="00CD4AAD"/>
    <w:rsid w:val="00CD4F22"/>
    <w:rsid w:val="00CD60AF"/>
    <w:rsid w:val="00CD7153"/>
    <w:rsid w:val="00CD743F"/>
    <w:rsid w:val="00CE02A1"/>
    <w:rsid w:val="00CE0ABC"/>
    <w:rsid w:val="00CE14A1"/>
    <w:rsid w:val="00CE24C3"/>
    <w:rsid w:val="00CE3C87"/>
    <w:rsid w:val="00CE5453"/>
    <w:rsid w:val="00CE54BF"/>
    <w:rsid w:val="00CE5C49"/>
    <w:rsid w:val="00CE5C77"/>
    <w:rsid w:val="00CE747E"/>
    <w:rsid w:val="00CE7E0F"/>
    <w:rsid w:val="00CE7FBB"/>
    <w:rsid w:val="00CF00A1"/>
    <w:rsid w:val="00CF0368"/>
    <w:rsid w:val="00CF0F08"/>
    <w:rsid w:val="00CF2152"/>
    <w:rsid w:val="00CF21F5"/>
    <w:rsid w:val="00CF3800"/>
    <w:rsid w:val="00CF4BF8"/>
    <w:rsid w:val="00CF6B22"/>
    <w:rsid w:val="00CF765C"/>
    <w:rsid w:val="00D00162"/>
    <w:rsid w:val="00D00860"/>
    <w:rsid w:val="00D01737"/>
    <w:rsid w:val="00D0179C"/>
    <w:rsid w:val="00D01F6F"/>
    <w:rsid w:val="00D033F5"/>
    <w:rsid w:val="00D036DA"/>
    <w:rsid w:val="00D03932"/>
    <w:rsid w:val="00D03BAC"/>
    <w:rsid w:val="00D05E36"/>
    <w:rsid w:val="00D06008"/>
    <w:rsid w:val="00D10DE2"/>
    <w:rsid w:val="00D119CF"/>
    <w:rsid w:val="00D1216B"/>
    <w:rsid w:val="00D13395"/>
    <w:rsid w:val="00D13AE0"/>
    <w:rsid w:val="00D13E77"/>
    <w:rsid w:val="00D13EDA"/>
    <w:rsid w:val="00D14D55"/>
    <w:rsid w:val="00D14E99"/>
    <w:rsid w:val="00D15670"/>
    <w:rsid w:val="00D15AD6"/>
    <w:rsid w:val="00D163EB"/>
    <w:rsid w:val="00D16F86"/>
    <w:rsid w:val="00D16F9F"/>
    <w:rsid w:val="00D17A97"/>
    <w:rsid w:val="00D211E7"/>
    <w:rsid w:val="00D212C0"/>
    <w:rsid w:val="00D247D0"/>
    <w:rsid w:val="00D248B9"/>
    <w:rsid w:val="00D24A93"/>
    <w:rsid w:val="00D25799"/>
    <w:rsid w:val="00D26ABD"/>
    <w:rsid w:val="00D26C5E"/>
    <w:rsid w:val="00D26CDA"/>
    <w:rsid w:val="00D26D3E"/>
    <w:rsid w:val="00D3045A"/>
    <w:rsid w:val="00D307B1"/>
    <w:rsid w:val="00D3222A"/>
    <w:rsid w:val="00D32512"/>
    <w:rsid w:val="00D3342B"/>
    <w:rsid w:val="00D33627"/>
    <w:rsid w:val="00D33E18"/>
    <w:rsid w:val="00D33E32"/>
    <w:rsid w:val="00D349B2"/>
    <w:rsid w:val="00D36748"/>
    <w:rsid w:val="00D3724A"/>
    <w:rsid w:val="00D37ADC"/>
    <w:rsid w:val="00D4048A"/>
    <w:rsid w:val="00D4124B"/>
    <w:rsid w:val="00D42DD8"/>
    <w:rsid w:val="00D4316A"/>
    <w:rsid w:val="00D43BDA"/>
    <w:rsid w:val="00D43C03"/>
    <w:rsid w:val="00D44347"/>
    <w:rsid w:val="00D44916"/>
    <w:rsid w:val="00D44F60"/>
    <w:rsid w:val="00D4528D"/>
    <w:rsid w:val="00D47214"/>
    <w:rsid w:val="00D47A7B"/>
    <w:rsid w:val="00D47C41"/>
    <w:rsid w:val="00D5039C"/>
    <w:rsid w:val="00D5053F"/>
    <w:rsid w:val="00D5075A"/>
    <w:rsid w:val="00D50F4C"/>
    <w:rsid w:val="00D510E5"/>
    <w:rsid w:val="00D51833"/>
    <w:rsid w:val="00D51C59"/>
    <w:rsid w:val="00D523BA"/>
    <w:rsid w:val="00D52766"/>
    <w:rsid w:val="00D52C54"/>
    <w:rsid w:val="00D535BA"/>
    <w:rsid w:val="00D542ED"/>
    <w:rsid w:val="00D5451E"/>
    <w:rsid w:val="00D548E2"/>
    <w:rsid w:val="00D54D36"/>
    <w:rsid w:val="00D55078"/>
    <w:rsid w:val="00D55A0E"/>
    <w:rsid w:val="00D55BE0"/>
    <w:rsid w:val="00D56C01"/>
    <w:rsid w:val="00D601E6"/>
    <w:rsid w:val="00D6023A"/>
    <w:rsid w:val="00D60604"/>
    <w:rsid w:val="00D60AB9"/>
    <w:rsid w:val="00D6193A"/>
    <w:rsid w:val="00D61BEE"/>
    <w:rsid w:val="00D62407"/>
    <w:rsid w:val="00D635EE"/>
    <w:rsid w:val="00D63B11"/>
    <w:rsid w:val="00D63E79"/>
    <w:rsid w:val="00D6416E"/>
    <w:rsid w:val="00D66C87"/>
    <w:rsid w:val="00D67885"/>
    <w:rsid w:val="00D67E42"/>
    <w:rsid w:val="00D7014D"/>
    <w:rsid w:val="00D70154"/>
    <w:rsid w:val="00D701A2"/>
    <w:rsid w:val="00D701B2"/>
    <w:rsid w:val="00D7086D"/>
    <w:rsid w:val="00D70FB4"/>
    <w:rsid w:val="00D7118A"/>
    <w:rsid w:val="00D720A4"/>
    <w:rsid w:val="00D720B5"/>
    <w:rsid w:val="00D727A9"/>
    <w:rsid w:val="00D72A8A"/>
    <w:rsid w:val="00D72BD9"/>
    <w:rsid w:val="00D72D3B"/>
    <w:rsid w:val="00D73D40"/>
    <w:rsid w:val="00D74EDC"/>
    <w:rsid w:val="00D74FA3"/>
    <w:rsid w:val="00D7518F"/>
    <w:rsid w:val="00D770E5"/>
    <w:rsid w:val="00D77630"/>
    <w:rsid w:val="00D77E3C"/>
    <w:rsid w:val="00D8033C"/>
    <w:rsid w:val="00D80A83"/>
    <w:rsid w:val="00D8109D"/>
    <w:rsid w:val="00D8129F"/>
    <w:rsid w:val="00D81EA3"/>
    <w:rsid w:val="00D828E0"/>
    <w:rsid w:val="00D82ABD"/>
    <w:rsid w:val="00D82D19"/>
    <w:rsid w:val="00D83137"/>
    <w:rsid w:val="00D83207"/>
    <w:rsid w:val="00D837FE"/>
    <w:rsid w:val="00D839F9"/>
    <w:rsid w:val="00D84B00"/>
    <w:rsid w:val="00D855E5"/>
    <w:rsid w:val="00D85C8C"/>
    <w:rsid w:val="00D85FAC"/>
    <w:rsid w:val="00D8730B"/>
    <w:rsid w:val="00D876C3"/>
    <w:rsid w:val="00D87891"/>
    <w:rsid w:val="00D87D72"/>
    <w:rsid w:val="00D91815"/>
    <w:rsid w:val="00D91B82"/>
    <w:rsid w:val="00D92CBB"/>
    <w:rsid w:val="00D931A3"/>
    <w:rsid w:val="00D93379"/>
    <w:rsid w:val="00D9398D"/>
    <w:rsid w:val="00D93E00"/>
    <w:rsid w:val="00D93FF5"/>
    <w:rsid w:val="00D94A49"/>
    <w:rsid w:val="00D95E10"/>
    <w:rsid w:val="00D96135"/>
    <w:rsid w:val="00D966A4"/>
    <w:rsid w:val="00D96A0C"/>
    <w:rsid w:val="00D97781"/>
    <w:rsid w:val="00DA01EB"/>
    <w:rsid w:val="00DA0D3D"/>
    <w:rsid w:val="00DA0E2C"/>
    <w:rsid w:val="00DA10CF"/>
    <w:rsid w:val="00DA1483"/>
    <w:rsid w:val="00DA18E9"/>
    <w:rsid w:val="00DA1C9A"/>
    <w:rsid w:val="00DA2D4E"/>
    <w:rsid w:val="00DA43DC"/>
    <w:rsid w:val="00DA5A2F"/>
    <w:rsid w:val="00DA637A"/>
    <w:rsid w:val="00DA6741"/>
    <w:rsid w:val="00DA6BAB"/>
    <w:rsid w:val="00DA74FF"/>
    <w:rsid w:val="00DA77F5"/>
    <w:rsid w:val="00DB0303"/>
    <w:rsid w:val="00DB04AE"/>
    <w:rsid w:val="00DB0ADA"/>
    <w:rsid w:val="00DB2EC9"/>
    <w:rsid w:val="00DB3829"/>
    <w:rsid w:val="00DB3F08"/>
    <w:rsid w:val="00DB4710"/>
    <w:rsid w:val="00DB5E60"/>
    <w:rsid w:val="00DB74E7"/>
    <w:rsid w:val="00DB7E19"/>
    <w:rsid w:val="00DC06E5"/>
    <w:rsid w:val="00DC07D2"/>
    <w:rsid w:val="00DC138D"/>
    <w:rsid w:val="00DC3533"/>
    <w:rsid w:val="00DC4413"/>
    <w:rsid w:val="00DC4DE9"/>
    <w:rsid w:val="00DC5AD9"/>
    <w:rsid w:val="00DC5EAF"/>
    <w:rsid w:val="00DC5EBF"/>
    <w:rsid w:val="00DC6734"/>
    <w:rsid w:val="00DC68B7"/>
    <w:rsid w:val="00DC6BF4"/>
    <w:rsid w:val="00DC733E"/>
    <w:rsid w:val="00DD0111"/>
    <w:rsid w:val="00DD07E9"/>
    <w:rsid w:val="00DD0D0D"/>
    <w:rsid w:val="00DD16A4"/>
    <w:rsid w:val="00DD1835"/>
    <w:rsid w:val="00DD21A2"/>
    <w:rsid w:val="00DD2AB9"/>
    <w:rsid w:val="00DD356B"/>
    <w:rsid w:val="00DD42E4"/>
    <w:rsid w:val="00DD4B8A"/>
    <w:rsid w:val="00DD5688"/>
    <w:rsid w:val="00DD640D"/>
    <w:rsid w:val="00DD6E02"/>
    <w:rsid w:val="00DD71F4"/>
    <w:rsid w:val="00DE000B"/>
    <w:rsid w:val="00DE03B7"/>
    <w:rsid w:val="00DE0908"/>
    <w:rsid w:val="00DE0CDC"/>
    <w:rsid w:val="00DE1569"/>
    <w:rsid w:val="00DE26EE"/>
    <w:rsid w:val="00DE3457"/>
    <w:rsid w:val="00DE356D"/>
    <w:rsid w:val="00DE382E"/>
    <w:rsid w:val="00DE4B7E"/>
    <w:rsid w:val="00DE519A"/>
    <w:rsid w:val="00DE565B"/>
    <w:rsid w:val="00DE5C0B"/>
    <w:rsid w:val="00DE681A"/>
    <w:rsid w:val="00DE6A3D"/>
    <w:rsid w:val="00DE6A5D"/>
    <w:rsid w:val="00DE7FA0"/>
    <w:rsid w:val="00DF06ED"/>
    <w:rsid w:val="00DF0E22"/>
    <w:rsid w:val="00DF1130"/>
    <w:rsid w:val="00DF2221"/>
    <w:rsid w:val="00DF4681"/>
    <w:rsid w:val="00DF4901"/>
    <w:rsid w:val="00DF4ADB"/>
    <w:rsid w:val="00DF679F"/>
    <w:rsid w:val="00DF6E51"/>
    <w:rsid w:val="00DF707A"/>
    <w:rsid w:val="00DF7B6F"/>
    <w:rsid w:val="00E00E21"/>
    <w:rsid w:val="00E00F45"/>
    <w:rsid w:val="00E0165B"/>
    <w:rsid w:val="00E029CD"/>
    <w:rsid w:val="00E02C30"/>
    <w:rsid w:val="00E036B5"/>
    <w:rsid w:val="00E03FB5"/>
    <w:rsid w:val="00E040E6"/>
    <w:rsid w:val="00E04812"/>
    <w:rsid w:val="00E053D7"/>
    <w:rsid w:val="00E057F2"/>
    <w:rsid w:val="00E0611B"/>
    <w:rsid w:val="00E06B9A"/>
    <w:rsid w:val="00E075A3"/>
    <w:rsid w:val="00E0769B"/>
    <w:rsid w:val="00E07BA7"/>
    <w:rsid w:val="00E1089C"/>
    <w:rsid w:val="00E11350"/>
    <w:rsid w:val="00E1137B"/>
    <w:rsid w:val="00E11A62"/>
    <w:rsid w:val="00E12EDF"/>
    <w:rsid w:val="00E13574"/>
    <w:rsid w:val="00E136A2"/>
    <w:rsid w:val="00E14A6D"/>
    <w:rsid w:val="00E15230"/>
    <w:rsid w:val="00E1592B"/>
    <w:rsid w:val="00E16AB3"/>
    <w:rsid w:val="00E17138"/>
    <w:rsid w:val="00E175FF"/>
    <w:rsid w:val="00E205F4"/>
    <w:rsid w:val="00E20947"/>
    <w:rsid w:val="00E217AB"/>
    <w:rsid w:val="00E222C9"/>
    <w:rsid w:val="00E22432"/>
    <w:rsid w:val="00E227EA"/>
    <w:rsid w:val="00E229BA"/>
    <w:rsid w:val="00E23362"/>
    <w:rsid w:val="00E24867"/>
    <w:rsid w:val="00E24BB8"/>
    <w:rsid w:val="00E25AC8"/>
    <w:rsid w:val="00E26DD7"/>
    <w:rsid w:val="00E27C77"/>
    <w:rsid w:val="00E27D5E"/>
    <w:rsid w:val="00E32F79"/>
    <w:rsid w:val="00E335DB"/>
    <w:rsid w:val="00E33E49"/>
    <w:rsid w:val="00E3407C"/>
    <w:rsid w:val="00E35BA0"/>
    <w:rsid w:val="00E35D84"/>
    <w:rsid w:val="00E364BF"/>
    <w:rsid w:val="00E3680B"/>
    <w:rsid w:val="00E368F8"/>
    <w:rsid w:val="00E36D75"/>
    <w:rsid w:val="00E3764D"/>
    <w:rsid w:val="00E37D08"/>
    <w:rsid w:val="00E4020D"/>
    <w:rsid w:val="00E408E5"/>
    <w:rsid w:val="00E40958"/>
    <w:rsid w:val="00E40DB2"/>
    <w:rsid w:val="00E41571"/>
    <w:rsid w:val="00E42419"/>
    <w:rsid w:val="00E4273B"/>
    <w:rsid w:val="00E42B09"/>
    <w:rsid w:val="00E43391"/>
    <w:rsid w:val="00E4351B"/>
    <w:rsid w:val="00E437CE"/>
    <w:rsid w:val="00E44620"/>
    <w:rsid w:val="00E45C2B"/>
    <w:rsid w:val="00E468B7"/>
    <w:rsid w:val="00E4784B"/>
    <w:rsid w:val="00E50220"/>
    <w:rsid w:val="00E50C95"/>
    <w:rsid w:val="00E51CE5"/>
    <w:rsid w:val="00E51E54"/>
    <w:rsid w:val="00E520CC"/>
    <w:rsid w:val="00E5233A"/>
    <w:rsid w:val="00E524C6"/>
    <w:rsid w:val="00E52DA3"/>
    <w:rsid w:val="00E53378"/>
    <w:rsid w:val="00E5378A"/>
    <w:rsid w:val="00E54B86"/>
    <w:rsid w:val="00E56FD2"/>
    <w:rsid w:val="00E57682"/>
    <w:rsid w:val="00E57B91"/>
    <w:rsid w:val="00E60785"/>
    <w:rsid w:val="00E61200"/>
    <w:rsid w:val="00E613F9"/>
    <w:rsid w:val="00E64ED5"/>
    <w:rsid w:val="00E652ED"/>
    <w:rsid w:val="00E656B3"/>
    <w:rsid w:val="00E6664F"/>
    <w:rsid w:val="00E6670C"/>
    <w:rsid w:val="00E66C41"/>
    <w:rsid w:val="00E701E2"/>
    <w:rsid w:val="00E7020E"/>
    <w:rsid w:val="00E70326"/>
    <w:rsid w:val="00E71321"/>
    <w:rsid w:val="00E72496"/>
    <w:rsid w:val="00E724FD"/>
    <w:rsid w:val="00E728DD"/>
    <w:rsid w:val="00E7300D"/>
    <w:rsid w:val="00E739DA"/>
    <w:rsid w:val="00E73BA1"/>
    <w:rsid w:val="00E73EE0"/>
    <w:rsid w:val="00E74195"/>
    <w:rsid w:val="00E74964"/>
    <w:rsid w:val="00E74D0F"/>
    <w:rsid w:val="00E74F5B"/>
    <w:rsid w:val="00E77C05"/>
    <w:rsid w:val="00E77FF6"/>
    <w:rsid w:val="00E803A7"/>
    <w:rsid w:val="00E804C0"/>
    <w:rsid w:val="00E80C31"/>
    <w:rsid w:val="00E80E31"/>
    <w:rsid w:val="00E817E2"/>
    <w:rsid w:val="00E823AC"/>
    <w:rsid w:val="00E825BE"/>
    <w:rsid w:val="00E827C2"/>
    <w:rsid w:val="00E828CE"/>
    <w:rsid w:val="00E82C5B"/>
    <w:rsid w:val="00E82D46"/>
    <w:rsid w:val="00E8349F"/>
    <w:rsid w:val="00E8390F"/>
    <w:rsid w:val="00E83CEF"/>
    <w:rsid w:val="00E84AFD"/>
    <w:rsid w:val="00E85AC5"/>
    <w:rsid w:val="00E85DBE"/>
    <w:rsid w:val="00E87002"/>
    <w:rsid w:val="00E90A10"/>
    <w:rsid w:val="00E90D01"/>
    <w:rsid w:val="00E9127C"/>
    <w:rsid w:val="00E9167C"/>
    <w:rsid w:val="00E917DB"/>
    <w:rsid w:val="00E91BE1"/>
    <w:rsid w:val="00E9278B"/>
    <w:rsid w:val="00E92FD6"/>
    <w:rsid w:val="00E931C1"/>
    <w:rsid w:val="00E936D1"/>
    <w:rsid w:val="00E9511A"/>
    <w:rsid w:val="00E95162"/>
    <w:rsid w:val="00E95676"/>
    <w:rsid w:val="00E956AC"/>
    <w:rsid w:val="00E9588A"/>
    <w:rsid w:val="00E95CDF"/>
    <w:rsid w:val="00E95EE1"/>
    <w:rsid w:val="00E96720"/>
    <w:rsid w:val="00E96954"/>
    <w:rsid w:val="00E96C5A"/>
    <w:rsid w:val="00E96D2D"/>
    <w:rsid w:val="00E979CB"/>
    <w:rsid w:val="00EA009C"/>
    <w:rsid w:val="00EA071E"/>
    <w:rsid w:val="00EA0FF0"/>
    <w:rsid w:val="00EA159C"/>
    <w:rsid w:val="00EA1EB0"/>
    <w:rsid w:val="00EA2A89"/>
    <w:rsid w:val="00EA2D0E"/>
    <w:rsid w:val="00EA49B7"/>
    <w:rsid w:val="00EA65BC"/>
    <w:rsid w:val="00EA686A"/>
    <w:rsid w:val="00EA6ACF"/>
    <w:rsid w:val="00EA6D02"/>
    <w:rsid w:val="00EA6E04"/>
    <w:rsid w:val="00EA7A34"/>
    <w:rsid w:val="00EB0AC2"/>
    <w:rsid w:val="00EB0ED3"/>
    <w:rsid w:val="00EB1B75"/>
    <w:rsid w:val="00EB1EA8"/>
    <w:rsid w:val="00EB2349"/>
    <w:rsid w:val="00EB26A6"/>
    <w:rsid w:val="00EB3E92"/>
    <w:rsid w:val="00EB4080"/>
    <w:rsid w:val="00EB4156"/>
    <w:rsid w:val="00EB45B2"/>
    <w:rsid w:val="00EB4C12"/>
    <w:rsid w:val="00EB5F1E"/>
    <w:rsid w:val="00EB629B"/>
    <w:rsid w:val="00EB6468"/>
    <w:rsid w:val="00EB6945"/>
    <w:rsid w:val="00EB6CBC"/>
    <w:rsid w:val="00EC10D0"/>
    <w:rsid w:val="00EC13E5"/>
    <w:rsid w:val="00EC3427"/>
    <w:rsid w:val="00EC36B6"/>
    <w:rsid w:val="00EC3E02"/>
    <w:rsid w:val="00EC42FC"/>
    <w:rsid w:val="00EC4615"/>
    <w:rsid w:val="00EC477E"/>
    <w:rsid w:val="00EC4CAD"/>
    <w:rsid w:val="00EC4E20"/>
    <w:rsid w:val="00EC4F2F"/>
    <w:rsid w:val="00EC5418"/>
    <w:rsid w:val="00EC61DA"/>
    <w:rsid w:val="00EC62B6"/>
    <w:rsid w:val="00EC6477"/>
    <w:rsid w:val="00EC67C8"/>
    <w:rsid w:val="00ED0005"/>
    <w:rsid w:val="00ED0F5A"/>
    <w:rsid w:val="00ED1D9C"/>
    <w:rsid w:val="00ED21D8"/>
    <w:rsid w:val="00ED2683"/>
    <w:rsid w:val="00ED352A"/>
    <w:rsid w:val="00ED39BB"/>
    <w:rsid w:val="00ED3CA9"/>
    <w:rsid w:val="00ED44EA"/>
    <w:rsid w:val="00ED47C7"/>
    <w:rsid w:val="00ED52D6"/>
    <w:rsid w:val="00ED5B27"/>
    <w:rsid w:val="00ED62F8"/>
    <w:rsid w:val="00ED73D7"/>
    <w:rsid w:val="00ED7A7B"/>
    <w:rsid w:val="00EE0092"/>
    <w:rsid w:val="00EE0842"/>
    <w:rsid w:val="00EE1308"/>
    <w:rsid w:val="00EE138E"/>
    <w:rsid w:val="00EE1630"/>
    <w:rsid w:val="00EE168B"/>
    <w:rsid w:val="00EE17C3"/>
    <w:rsid w:val="00EE1A5F"/>
    <w:rsid w:val="00EE1B0B"/>
    <w:rsid w:val="00EE2597"/>
    <w:rsid w:val="00EE305C"/>
    <w:rsid w:val="00EE4261"/>
    <w:rsid w:val="00EE4B5C"/>
    <w:rsid w:val="00EE50F6"/>
    <w:rsid w:val="00EE51A4"/>
    <w:rsid w:val="00EE55C9"/>
    <w:rsid w:val="00EE5793"/>
    <w:rsid w:val="00EE62E2"/>
    <w:rsid w:val="00EE6A77"/>
    <w:rsid w:val="00EE6D7D"/>
    <w:rsid w:val="00EF052A"/>
    <w:rsid w:val="00EF08F4"/>
    <w:rsid w:val="00EF0DA9"/>
    <w:rsid w:val="00EF2081"/>
    <w:rsid w:val="00EF327C"/>
    <w:rsid w:val="00EF3683"/>
    <w:rsid w:val="00EF3A9D"/>
    <w:rsid w:val="00EF426F"/>
    <w:rsid w:val="00EF4FDA"/>
    <w:rsid w:val="00EF5E2F"/>
    <w:rsid w:val="00EF6B16"/>
    <w:rsid w:val="00EF703A"/>
    <w:rsid w:val="00EF7ED4"/>
    <w:rsid w:val="00F00AB3"/>
    <w:rsid w:val="00F00AB6"/>
    <w:rsid w:val="00F02E0C"/>
    <w:rsid w:val="00F02F8C"/>
    <w:rsid w:val="00F03A2B"/>
    <w:rsid w:val="00F03BE4"/>
    <w:rsid w:val="00F04909"/>
    <w:rsid w:val="00F04AB4"/>
    <w:rsid w:val="00F04E19"/>
    <w:rsid w:val="00F054C8"/>
    <w:rsid w:val="00F05603"/>
    <w:rsid w:val="00F057C8"/>
    <w:rsid w:val="00F05A26"/>
    <w:rsid w:val="00F061C3"/>
    <w:rsid w:val="00F06BD9"/>
    <w:rsid w:val="00F129FA"/>
    <w:rsid w:val="00F12B37"/>
    <w:rsid w:val="00F13303"/>
    <w:rsid w:val="00F151DC"/>
    <w:rsid w:val="00F1545D"/>
    <w:rsid w:val="00F16448"/>
    <w:rsid w:val="00F16B5E"/>
    <w:rsid w:val="00F16F04"/>
    <w:rsid w:val="00F179CE"/>
    <w:rsid w:val="00F17C10"/>
    <w:rsid w:val="00F2018A"/>
    <w:rsid w:val="00F20B27"/>
    <w:rsid w:val="00F21047"/>
    <w:rsid w:val="00F212EC"/>
    <w:rsid w:val="00F21393"/>
    <w:rsid w:val="00F22CEE"/>
    <w:rsid w:val="00F2339B"/>
    <w:rsid w:val="00F2382B"/>
    <w:rsid w:val="00F23A0E"/>
    <w:rsid w:val="00F23C52"/>
    <w:rsid w:val="00F2500D"/>
    <w:rsid w:val="00F25DEE"/>
    <w:rsid w:val="00F275D0"/>
    <w:rsid w:val="00F30465"/>
    <w:rsid w:val="00F305D7"/>
    <w:rsid w:val="00F306E6"/>
    <w:rsid w:val="00F30CC7"/>
    <w:rsid w:val="00F311EE"/>
    <w:rsid w:val="00F31507"/>
    <w:rsid w:val="00F31686"/>
    <w:rsid w:val="00F317F5"/>
    <w:rsid w:val="00F31ECA"/>
    <w:rsid w:val="00F32006"/>
    <w:rsid w:val="00F33235"/>
    <w:rsid w:val="00F33CB2"/>
    <w:rsid w:val="00F3434A"/>
    <w:rsid w:val="00F34397"/>
    <w:rsid w:val="00F346C3"/>
    <w:rsid w:val="00F349DF"/>
    <w:rsid w:val="00F36A8D"/>
    <w:rsid w:val="00F36BBD"/>
    <w:rsid w:val="00F37357"/>
    <w:rsid w:val="00F37DE6"/>
    <w:rsid w:val="00F412DA"/>
    <w:rsid w:val="00F4283B"/>
    <w:rsid w:val="00F43094"/>
    <w:rsid w:val="00F43C58"/>
    <w:rsid w:val="00F446C8"/>
    <w:rsid w:val="00F44C26"/>
    <w:rsid w:val="00F450DC"/>
    <w:rsid w:val="00F45A12"/>
    <w:rsid w:val="00F4610B"/>
    <w:rsid w:val="00F464DF"/>
    <w:rsid w:val="00F46C94"/>
    <w:rsid w:val="00F50306"/>
    <w:rsid w:val="00F5106F"/>
    <w:rsid w:val="00F51416"/>
    <w:rsid w:val="00F51659"/>
    <w:rsid w:val="00F5167E"/>
    <w:rsid w:val="00F51F80"/>
    <w:rsid w:val="00F5360D"/>
    <w:rsid w:val="00F540A0"/>
    <w:rsid w:val="00F54277"/>
    <w:rsid w:val="00F54B77"/>
    <w:rsid w:val="00F5551E"/>
    <w:rsid w:val="00F56A1C"/>
    <w:rsid w:val="00F57141"/>
    <w:rsid w:val="00F57A98"/>
    <w:rsid w:val="00F6066A"/>
    <w:rsid w:val="00F60790"/>
    <w:rsid w:val="00F61353"/>
    <w:rsid w:val="00F62710"/>
    <w:rsid w:val="00F62CA0"/>
    <w:rsid w:val="00F63DC9"/>
    <w:rsid w:val="00F64EA0"/>
    <w:rsid w:val="00F653A9"/>
    <w:rsid w:val="00F65EC1"/>
    <w:rsid w:val="00F66FAE"/>
    <w:rsid w:val="00F700B6"/>
    <w:rsid w:val="00F705CF"/>
    <w:rsid w:val="00F7189F"/>
    <w:rsid w:val="00F71C22"/>
    <w:rsid w:val="00F71D79"/>
    <w:rsid w:val="00F73943"/>
    <w:rsid w:val="00F740D0"/>
    <w:rsid w:val="00F7436D"/>
    <w:rsid w:val="00F754EB"/>
    <w:rsid w:val="00F75DD5"/>
    <w:rsid w:val="00F77CE9"/>
    <w:rsid w:val="00F81C13"/>
    <w:rsid w:val="00F81CD8"/>
    <w:rsid w:val="00F8276E"/>
    <w:rsid w:val="00F849EF"/>
    <w:rsid w:val="00F85510"/>
    <w:rsid w:val="00F85BBF"/>
    <w:rsid w:val="00F86104"/>
    <w:rsid w:val="00F86A6D"/>
    <w:rsid w:val="00F871AB"/>
    <w:rsid w:val="00F87B40"/>
    <w:rsid w:val="00F9134E"/>
    <w:rsid w:val="00F91EFE"/>
    <w:rsid w:val="00F92378"/>
    <w:rsid w:val="00F9287C"/>
    <w:rsid w:val="00F93092"/>
    <w:rsid w:val="00F93EDF"/>
    <w:rsid w:val="00F940C8"/>
    <w:rsid w:val="00F9480E"/>
    <w:rsid w:val="00F97680"/>
    <w:rsid w:val="00F97CA0"/>
    <w:rsid w:val="00FA00A6"/>
    <w:rsid w:val="00FA0755"/>
    <w:rsid w:val="00FA0939"/>
    <w:rsid w:val="00FA1CBA"/>
    <w:rsid w:val="00FA3524"/>
    <w:rsid w:val="00FA3BC1"/>
    <w:rsid w:val="00FA40CB"/>
    <w:rsid w:val="00FA41B2"/>
    <w:rsid w:val="00FA41F8"/>
    <w:rsid w:val="00FA462D"/>
    <w:rsid w:val="00FA4922"/>
    <w:rsid w:val="00FA4CCB"/>
    <w:rsid w:val="00FA6041"/>
    <w:rsid w:val="00FA6274"/>
    <w:rsid w:val="00FA7422"/>
    <w:rsid w:val="00FA766E"/>
    <w:rsid w:val="00FA7EB4"/>
    <w:rsid w:val="00FB059E"/>
    <w:rsid w:val="00FB09A1"/>
    <w:rsid w:val="00FB09DC"/>
    <w:rsid w:val="00FB1A08"/>
    <w:rsid w:val="00FB22F6"/>
    <w:rsid w:val="00FB2EE1"/>
    <w:rsid w:val="00FB3FC4"/>
    <w:rsid w:val="00FB4A31"/>
    <w:rsid w:val="00FB5538"/>
    <w:rsid w:val="00FB6F86"/>
    <w:rsid w:val="00FB7428"/>
    <w:rsid w:val="00FC084E"/>
    <w:rsid w:val="00FC1054"/>
    <w:rsid w:val="00FC2317"/>
    <w:rsid w:val="00FC2B14"/>
    <w:rsid w:val="00FC2C8C"/>
    <w:rsid w:val="00FC31E7"/>
    <w:rsid w:val="00FC3C87"/>
    <w:rsid w:val="00FC49FA"/>
    <w:rsid w:val="00FC4C0F"/>
    <w:rsid w:val="00FC5388"/>
    <w:rsid w:val="00FC605F"/>
    <w:rsid w:val="00FC622C"/>
    <w:rsid w:val="00FC7AF2"/>
    <w:rsid w:val="00FD03B2"/>
    <w:rsid w:val="00FD04AD"/>
    <w:rsid w:val="00FD153A"/>
    <w:rsid w:val="00FD2273"/>
    <w:rsid w:val="00FD2B12"/>
    <w:rsid w:val="00FD2BD4"/>
    <w:rsid w:val="00FD37A4"/>
    <w:rsid w:val="00FD3AF1"/>
    <w:rsid w:val="00FD40B9"/>
    <w:rsid w:val="00FD528C"/>
    <w:rsid w:val="00FD5D9E"/>
    <w:rsid w:val="00FD627D"/>
    <w:rsid w:val="00FD64EC"/>
    <w:rsid w:val="00FD7DA7"/>
    <w:rsid w:val="00FE017C"/>
    <w:rsid w:val="00FE0B9A"/>
    <w:rsid w:val="00FE169A"/>
    <w:rsid w:val="00FE16D3"/>
    <w:rsid w:val="00FE1C22"/>
    <w:rsid w:val="00FE1E60"/>
    <w:rsid w:val="00FE27D1"/>
    <w:rsid w:val="00FE3017"/>
    <w:rsid w:val="00FE3BBD"/>
    <w:rsid w:val="00FE44E0"/>
    <w:rsid w:val="00FE4616"/>
    <w:rsid w:val="00FE47A0"/>
    <w:rsid w:val="00FF0043"/>
    <w:rsid w:val="00FF1C61"/>
    <w:rsid w:val="00FF1D50"/>
    <w:rsid w:val="00FF251A"/>
    <w:rsid w:val="00FF2CEA"/>
    <w:rsid w:val="00FF308D"/>
    <w:rsid w:val="00FF4DC9"/>
    <w:rsid w:val="00FF650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A7B"/>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ED7A7B"/>
    <w:pPr>
      <w:keepNext/>
      <w:spacing w:before="140" w:line="240" w:lineRule="atLeast"/>
      <w:jc w:val="center"/>
      <w:outlineLvl w:val="0"/>
    </w:pPr>
    <w:rPr>
      <w:b/>
      <w:smallCaps/>
    </w:rPr>
  </w:style>
  <w:style w:type="paragraph" w:styleId="Heading2">
    <w:name w:val="heading 2"/>
    <w:basedOn w:val="Normal"/>
    <w:next w:val="Normal"/>
    <w:link w:val="Heading2Char"/>
    <w:qFormat/>
    <w:rsid w:val="00ED7A7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D7A7B"/>
    <w:pPr>
      <w:keepNext/>
      <w:tabs>
        <w:tab w:val="left" w:pos="1584"/>
      </w:tabs>
      <w:spacing w:before="140" w:line="240" w:lineRule="atLeast"/>
      <w:ind w:left="1584" w:hanging="432"/>
      <w:jc w:val="left"/>
      <w:outlineLvl w:val="2"/>
    </w:pPr>
    <w:rPr>
      <w:i/>
    </w:rPr>
  </w:style>
  <w:style w:type="paragraph" w:styleId="Heading4">
    <w:name w:val="heading 4"/>
    <w:basedOn w:val="Normal"/>
    <w:rsid w:val="00ED7A7B"/>
    <w:pPr>
      <w:keepNext/>
      <w:tabs>
        <w:tab w:val="left" w:pos="2016"/>
      </w:tabs>
      <w:spacing w:before="140" w:line="240" w:lineRule="atLeast"/>
      <w:ind w:left="2016" w:hanging="432"/>
      <w:jc w:val="left"/>
      <w:outlineLvl w:val="3"/>
    </w:pPr>
    <w:rPr>
      <w:i/>
    </w:rPr>
  </w:style>
  <w:style w:type="paragraph" w:styleId="Heading5">
    <w:name w:val="heading 5"/>
    <w:basedOn w:val="Normal"/>
    <w:rsid w:val="00ED7A7B"/>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D7A7B"/>
    <w:pPr>
      <w:ind w:left="720"/>
    </w:pPr>
  </w:style>
  <w:style w:type="paragraph" w:styleId="Footer">
    <w:name w:val="footer"/>
    <w:basedOn w:val="Normal"/>
    <w:qFormat/>
    <w:rsid w:val="00ED7A7B"/>
    <w:pPr>
      <w:tabs>
        <w:tab w:val="center" w:pos="3960"/>
        <w:tab w:val="right" w:pos="10080"/>
      </w:tabs>
      <w:spacing w:after="0" w:line="240" w:lineRule="auto"/>
      <w:jc w:val="center"/>
    </w:pPr>
    <w:rPr>
      <w:sz w:val="22"/>
    </w:rPr>
  </w:style>
  <w:style w:type="paragraph" w:styleId="Header">
    <w:name w:val="header"/>
    <w:basedOn w:val="Normal"/>
    <w:qFormat/>
    <w:rsid w:val="00ED7A7B"/>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D7A7B"/>
    <w:rPr>
      <w:rFonts w:ascii="Century Schoolbook" w:hAnsi="Century Schoolbook"/>
      <w:b/>
      <w:i w:val="0"/>
      <w:position w:val="4"/>
      <w:sz w:val="27"/>
      <w:vertAlign w:val="superscript"/>
    </w:rPr>
  </w:style>
  <w:style w:type="paragraph" w:styleId="FootnoteText">
    <w:name w:val="footnote text"/>
    <w:basedOn w:val="Normal"/>
    <w:link w:val="FootnoteTextChar"/>
    <w:rsid w:val="00ED7A7B"/>
    <w:pPr>
      <w:spacing w:line="300" w:lineRule="exact"/>
    </w:pPr>
  </w:style>
  <w:style w:type="paragraph" w:customStyle="1" w:styleId="Title1">
    <w:name w:val="Title1"/>
    <w:basedOn w:val="Normal"/>
    <w:rsid w:val="00ED7A7B"/>
    <w:pPr>
      <w:tabs>
        <w:tab w:val="left" w:pos="5760"/>
        <w:tab w:val="left" w:pos="6480"/>
      </w:tabs>
      <w:spacing w:line="240" w:lineRule="atLeast"/>
    </w:pPr>
  </w:style>
  <w:style w:type="paragraph" w:customStyle="1" w:styleId="Recommend">
    <w:name w:val="Recommend"/>
    <w:basedOn w:val="Normal"/>
    <w:rsid w:val="00ED7A7B"/>
  </w:style>
  <w:style w:type="paragraph" w:customStyle="1" w:styleId="Summary">
    <w:name w:val="Summary"/>
    <w:basedOn w:val="Normal"/>
    <w:rsid w:val="00ED7A7B"/>
    <w:pPr>
      <w:ind w:left="2160" w:hanging="2160"/>
    </w:pPr>
  </w:style>
  <w:style w:type="paragraph" w:customStyle="1" w:styleId="Text">
    <w:name w:val="Text"/>
    <w:basedOn w:val="Normal"/>
    <w:link w:val="TextChar"/>
    <w:rsid w:val="00ED7A7B"/>
    <w:pPr>
      <w:tabs>
        <w:tab w:val="left" w:pos="720"/>
        <w:tab w:val="left" w:pos="1440"/>
        <w:tab w:val="left" w:pos="2160"/>
        <w:tab w:val="center" w:pos="4320"/>
      </w:tabs>
      <w:spacing w:line="480" w:lineRule="atLeast"/>
      <w:ind w:firstLine="540"/>
    </w:pPr>
  </w:style>
  <w:style w:type="paragraph" w:styleId="Date">
    <w:name w:val="Date"/>
    <w:basedOn w:val="Normal"/>
    <w:semiHidden/>
    <w:rsid w:val="00ED7A7B"/>
    <w:pPr>
      <w:jc w:val="right"/>
    </w:pPr>
  </w:style>
  <w:style w:type="character" w:styleId="PageNumber">
    <w:name w:val="page number"/>
    <w:basedOn w:val="DefaultParagraphFont"/>
    <w:semiHidden/>
    <w:rsid w:val="00ED7A7B"/>
  </w:style>
  <w:style w:type="paragraph" w:customStyle="1" w:styleId="subject">
    <w:name w:val="subject"/>
    <w:basedOn w:val="Normal"/>
    <w:rsid w:val="00ED7A7B"/>
    <w:pPr>
      <w:tabs>
        <w:tab w:val="left" w:pos="1008"/>
      </w:tabs>
      <w:ind w:left="990" w:hanging="990"/>
    </w:pPr>
    <w:rPr>
      <w:b/>
    </w:rPr>
  </w:style>
  <w:style w:type="paragraph" w:customStyle="1" w:styleId="Titles">
    <w:name w:val="Titles"/>
    <w:basedOn w:val="Normal"/>
    <w:rsid w:val="00ED7A7B"/>
    <w:pPr>
      <w:tabs>
        <w:tab w:val="left" w:pos="2160"/>
      </w:tabs>
      <w:ind w:left="2160" w:hanging="2160"/>
    </w:pPr>
    <w:rPr>
      <w:b/>
    </w:rPr>
  </w:style>
  <w:style w:type="paragraph" w:styleId="TOAHeading">
    <w:name w:val="toa heading"/>
    <w:basedOn w:val="Normal"/>
    <w:next w:val="Normal"/>
    <w:semiHidden/>
    <w:rsid w:val="00ED7A7B"/>
    <w:pPr>
      <w:spacing w:before="120"/>
    </w:pPr>
    <w:rPr>
      <w:b/>
    </w:rPr>
  </w:style>
  <w:style w:type="paragraph" w:styleId="TOC1">
    <w:name w:val="toc 1"/>
    <w:basedOn w:val="Normal"/>
    <w:next w:val="Normal"/>
    <w:autoRedefine/>
    <w:semiHidden/>
    <w:rsid w:val="00ED7A7B"/>
  </w:style>
  <w:style w:type="paragraph" w:styleId="TOC2">
    <w:name w:val="toc 2"/>
    <w:basedOn w:val="Normal"/>
    <w:next w:val="Normal"/>
    <w:autoRedefine/>
    <w:semiHidden/>
    <w:rsid w:val="00ED7A7B"/>
    <w:pPr>
      <w:ind w:left="259"/>
    </w:pPr>
  </w:style>
  <w:style w:type="paragraph" w:styleId="TOC3">
    <w:name w:val="toc 3"/>
    <w:basedOn w:val="Normal"/>
    <w:next w:val="Normal"/>
    <w:autoRedefine/>
    <w:semiHidden/>
    <w:rsid w:val="00ED7A7B"/>
    <w:pPr>
      <w:ind w:left="520"/>
    </w:pPr>
  </w:style>
  <w:style w:type="paragraph" w:styleId="TOC4">
    <w:name w:val="toc 4"/>
    <w:basedOn w:val="Normal"/>
    <w:next w:val="Normal"/>
    <w:autoRedefine/>
    <w:semiHidden/>
    <w:rsid w:val="00ED7A7B"/>
    <w:pPr>
      <w:ind w:left="780"/>
    </w:pPr>
  </w:style>
  <w:style w:type="paragraph" w:styleId="TOC5">
    <w:name w:val="toc 5"/>
    <w:basedOn w:val="Normal"/>
    <w:next w:val="Normal"/>
    <w:autoRedefine/>
    <w:semiHidden/>
    <w:rsid w:val="00ED7A7B"/>
    <w:pPr>
      <w:ind w:left="1040"/>
    </w:pPr>
  </w:style>
  <w:style w:type="paragraph" w:styleId="TOC6">
    <w:name w:val="toc 6"/>
    <w:basedOn w:val="Normal"/>
    <w:next w:val="Normal"/>
    <w:autoRedefine/>
    <w:semiHidden/>
    <w:rsid w:val="00ED7A7B"/>
    <w:pPr>
      <w:ind w:left="1300"/>
    </w:pPr>
  </w:style>
  <w:style w:type="paragraph" w:styleId="TOC7">
    <w:name w:val="toc 7"/>
    <w:basedOn w:val="Normal"/>
    <w:next w:val="Normal"/>
    <w:autoRedefine/>
    <w:semiHidden/>
    <w:rsid w:val="00ED7A7B"/>
    <w:pPr>
      <w:ind w:left="1560"/>
    </w:pPr>
  </w:style>
  <w:style w:type="paragraph" w:styleId="TOC8">
    <w:name w:val="toc 8"/>
    <w:basedOn w:val="Normal"/>
    <w:next w:val="Normal"/>
    <w:autoRedefine/>
    <w:semiHidden/>
    <w:rsid w:val="00ED7A7B"/>
    <w:pPr>
      <w:ind w:left="1820"/>
    </w:pPr>
  </w:style>
  <w:style w:type="paragraph" w:styleId="TOC9">
    <w:name w:val="toc 9"/>
    <w:basedOn w:val="Normal"/>
    <w:next w:val="Normal"/>
    <w:autoRedefine/>
    <w:semiHidden/>
    <w:rsid w:val="00ED7A7B"/>
    <w:pPr>
      <w:ind w:left="2080"/>
    </w:pPr>
  </w:style>
  <w:style w:type="paragraph" w:customStyle="1" w:styleId="Contents">
    <w:name w:val="Contents"/>
    <w:basedOn w:val="Normal"/>
    <w:rsid w:val="00ED7A7B"/>
    <w:pPr>
      <w:jc w:val="center"/>
    </w:pPr>
    <w:rPr>
      <w:b/>
      <w:spacing w:val="100"/>
    </w:rPr>
  </w:style>
  <w:style w:type="paragraph" w:styleId="ListParagraph">
    <w:name w:val="List Paragraph"/>
    <w:basedOn w:val="Normal"/>
    <w:uiPriority w:val="34"/>
    <w:rsid w:val="00596651"/>
    <w:pPr>
      <w:ind w:left="720"/>
      <w:contextualSpacing/>
    </w:pPr>
    <w:rPr>
      <w:rFonts w:asciiTheme="minorHAnsi" w:eastAsiaTheme="minorHAnsi" w:hAnsiTheme="minorHAnsi"/>
      <w:szCs w:val="24"/>
    </w:rPr>
  </w:style>
  <w:style w:type="character" w:styleId="CommentReference">
    <w:name w:val="annotation reference"/>
    <w:basedOn w:val="DefaultParagraphFont"/>
    <w:uiPriority w:val="99"/>
    <w:semiHidden/>
    <w:unhideWhenUsed/>
    <w:rsid w:val="003C5696"/>
    <w:rPr>
      <w:sz w:val="16"/>
      <w:szCs w:val="16"/>
    </w:rPr>
  </w:style>
  <w:style w:type="paragraph" w:styleId="CommentText">
    <w:name w:val="annotation text"/>
    <w:basedOn w:val="Normal"/>
    <w:link w:val="CommentTextChar"/>
    <w:uiPriority w:val="99"/>
    <w:unhideWhenUsed/>
    <w:rsid w:val="003C5696"/>
    <w:rPr>
      <w:sz w:val="20"/>
    </w:rPr>
  </w:style>
  <w:style w:type="character" w:customStyle="1" w:styleId="CommentTextChar">
    <w:name w:val="Comment Text Char"/>
    <w:basedOn w:val="DefaultParagraphFont"/>
    <w:link w:val="CommentText"/>
    <w:uiPriority w:val="99"/>
    <w:rsid w:val="003C5696"/>
  </w:style>
  <w:style w:type="paragraph" w:styleId="CommentSubject">
    <w:name w:val="annotation subject"/>
    <w:basedOn w:val="CommentText"/>
    <w:next w:val="CommentText"/>
    <w:link w:val="CommentSubjectChar"/>
    <w:uiPriority w:val="99"/>
    <w:semiHidden/>
    <w:unhideWhenUsed/>
    <w:rsid w:val="003C5696"/>
    <w:rPr>
      <w:b/>
      <w:bCs/>
    </w:rPr>
  </w:style>
  <w:style w:type="character" w:customStyle="1" w:styleId="CommentSubjectChar">
    <w:name w:val="Comment Subject Char"/>
    <w:basedOn w:val="CommentTextChar"/>
    <w:link w:val="CommentSubject"/>
    <w:uiPriority w:val="99"/>
    <w:semiHidden/>
    <w:rsid w:val="003C5696"/>
    <w:rPr>
      <w:b/>
      <w:bCs/>
    </w:rPr>
  </w:style>
  <w:style w:type="paragraph" w:styleId="Revision">
    <w:name w:val="Revision"/>
    <w:hidden/>
    <w:uiPriority w:val="99"/>
    <w:semiHidden/>
    <w:rsid w:val="00DC3533"/>
    <w:rPr>
      <w:sz w:val="26"/>
    </w:rPr>
  </w:style>
  <w:style w:type="character" w:customStyle="1" w:styleId="FootnoteTextChar">
    <w:name w:val="Footnote Text Char"/>
    <w:basedOn w:val="DefaultParagraphFont"/>
    <w:link w:val="FootnoteText"/>
    <w:rsid w:val="00BD4483"/>
    <w:rPr>
      <w:rFonts w:ascii="Century Schoolbook" w:hAnsi="Century Schoolbook"/>
      <w:sz w:val="27"/>
    </w:rPr>
  </w:style>
  <w:style w:type="paragraph" w:styleId="BalloonText">
    <w:name w:val="Balloon Text"/>
    <w:basedOn w:val="Normal"/>
    <w:link w:val="BalloonTextChar"/>
    <w:uiPriority w:val="99"/>
    <w:semiHidden/>
    <w:unhideWhenUsed/>
    <w:rsid w:val="00376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0B4"/>
    <w:rPr>
      <w:rFonts w:ascii="Segoe UI" w:hAnsi="Segoe UI" w:cs="Segoe UI"/>
      <w:sz w:val="18"/>
      <w:szCs w:val="18"/>
    </w:rPr>
  </w:style>
  <w:style w:type="character" w:styleId="Hyperlink">
    <w:name w:val="Hyperlink"/>
    <w:basedOn w:val="DefaultParagraphFont"/>
    <w:uiPriority w:val="99"/>
    <w:unhideWhenUsed/>
    <w:rsid w:val="003F4053"/>
    <w:rPr>
      <w:color w:val="0000FF" w:themeColor="hyperlink"/>
      <w:u w:val="single"/>
    </w:rPr>
  </w:style>
  <w:style w:type="character" w:customStyle="1" w:styleId="UnresolvedMention">
    <w:name w:val="Unresolved Mention"/>
    <w:basedOn w:val="DefaultParagraphFont"/>
    <w:uiPriority w:val="99"/>
    <w:semiHidden/>
    <w:unhideWhenUsed/>
    <w:rsid w:val="003F4053"/>
    <w:rPr>
      <w:color w:val="605E5C"/>
      <w:shd w:val="clear" w:color="auto" w:fill="E1DFDD"/>
    </w:rPr>
  </w:style>
  <w:style w:type="character" w:styleId="FollowedHyperlink">
    <w:name w:val="FollowedHyperlink"/>
    <w:basedOn w:val="DefaultParagraphFont"/>
    <w:uiPriority w:val="99"/>
    <w:semiHidden/>
    <w:unhideWhenUsed/>
    <w:rsid w:val="003F4053"/>
    <w:rPr>
      <w:color w:val="800080" w:themeColor="followedHyperlink"/>
      <w:u w:val="single"/>
    </w:rPr>
  </w:style>
  <w:style w:type="character" w:customStyle="1" w:styleId="TextChar">
    <w:name w:val="Text Char"/>
    <w:link w:val="Text"/>
    <w:rsid w:val="001E4560"/>
    <w:rPr>
      <w:rFonts w:ascii="Century Schoolbook" w:hAnsi="Century Schoolbook"/>
      <w:sz w:val="27"/>
    </w:rPr>
  </w:style>
  <w:style w:type="character" w:customStyle="1" w:styleId="Heading2Char">
    <w:name w:val="Heading 2 Char"/>
    <w:basedOn w:val="DefaultParagraphFont"/>
    <w:link w:val="Heading2"/>
    <w:rsid w:val="00AB0FB6"/>
    <w:rPr>
      <w:rFonts w:ascii="Century Schoolbook" w:hAnsi="Century Schoolbook"/>
      <w:b/>
      <w:sz w:val="27"/>
    </w:rPr>
  </w:style>
  <w:style w:type="paragraph" w:styleId="BodyText">
    <w:name w:val="Body Text"/>
    <w:basedOn w:val="Normal"/>
    <w:link w:val="BodyTextChar"/>
    <w:qFormat/>
    <w:rsid w:val="00ED7A7B"/>
  </w:style>
  <w:style w:type="character" w:customStyle="1" w:styleId="BodyTextChar">
    <w:name w:val="Body Text Char"/>
    <w:basedOn w:val="DefaultParagraphFont"/>
    <w:link w:val="BodyText"/>
    <w:rsid w:val="00ED7A7B"/>
    <w:rPr>
      <w:rFonts w:ascii="Century Schoolbook" w:hAnsi="Century Schoolbook"/>
      <w:sz w:val="27"/>
    </w:rPr>
  </w:style>
  <w:style w:type="character" w:customStyle="1" w:styleId="Heading1Char">
    <w:name w:val="Heading 1 Char"/>
    <w:basedOn w:val="DefaultParagraphFont"/>
    <w:link w:val="Heading1"/>
    <w:rsid w:val="00D54D36"/>
    <w:rPr>
      <w:rFonts w:ascii="Century Schoolbook" w:hAnsi="Century Schoolbook"/>
      <w:b/>
      <w:smallCaps/>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39F2C-1018-4282-811F-3B8F8681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8268</Words>
  <Characters>47129</Characters>
  <Application>Microsoft Office Word</Application>
  <DocSecurity>0</DocSecurity>
  <Lines>392</Lines>
  <Paragraphs>110</Paragraphs>
  <ScaleCrop>false</ScaleCrop>
  <Company/>
  <LinksUpToDate>false</LinksUpToDate>
  <CharactersWithSpaces>55287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2022-08-15T16:01:25Z</dcterms:created>
  <dcterms:modified xsi:type="dcterms:W3CDTF">2022-08-15T16:01:25Z</dcterms:modified>
</cp:coreProperties>
</file>