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105AF0" w:rsidRPr="006E05DF" w:rsidP="00314A1F">
      <w:pPr>
        <w:autoSpaceDE w:val="0"/>
        <w:autoSpaceDN w:val="0"/>
        <w:adjustRightInd w:val="0"/>
        <w:spacing w:after="0"/>
        <w:jc w:val="center"/>
        <w:rPr>
          <w:rFonts w:cs="CenturySchoolbook"/>
          <w:sz w:val="36"/>
          <w:szCs w:val="26"/>
        </w:rPr>
      </w:pPr>
      <w:r w:rsidRPr="006E05DF">
        <w:rPr>
          <w:rFonts w:cs="CenturySchoolbook"/>
          <w:b/>
          <w:sz w:val="36"/>
          <w:szCs w:val="26"/>
        </w:rPr>
        <w:t>IN THE SUPREME COURT OF CALIFORNIA</w:t>
      </w:r>
    </w:p>
    <w:p w:rsidR="00314A1F" w:rsidRPr="006E05DF" w:rsidP="00314A1F">
      <w:pPr>
        <w:autoSpaceDE w:val="0"/>
        <w:autoSpaceDN w:val="0"/>
        <w:adjustRightInd w:val="0"/>
        <w:spacing w:after="0"/>
        <w:jc w:val="center"/>
        <w:rPr>
          <w:rFonts w:cs="CenturySchoolbook"/>
          <w:szCs w:val="26"/>
        </w:rPr>
      </w:pPr>
    </w:p>
    <w:p w:rsidR="00314A1F" w:rsidRPr="006E05DF" w:rsidP="00314A1F">
      <w:pPr>
        <w:autoSpaceDE w:val="0"/>
        <w:autoSpaceDN w:val="0"/>
        <w:adjustRightInd w:val="0"/>
        <w:spacing w:after="0"/>
        <w:jc w:val="center"/>
        <w:rPr>
          <w:rFonts w:cs="CenturySchoolbook"/>
          <w:szCs w:val="26"/>
        </w:rPr>
      </w:pPr>
      <w:r w:rsidRPr="006E05DF">
        <w:rPr>
          <w:rFonts w:cs="CenturySchoolbook"/>
          <w:szCs w:val="26"/>
        </w:rPr>
        <w:t>VERA SEROVA</w:t>
      </w:r>
      <w:r w:rsidR="008475D5">
        <w:rPr>
          <w:rFonts w:cs="CenturySchoolbook"/>
          <w:szCs w:val="26"/>
        </w:rPr>
        <w:t>,</w:t>
      </w:r>
    </w:p>
    <w:p w:rsidR="00314A1F" w:rsidRPr="006E05DF" w:rsidP="00314A1F">
      <w:pPr>
        <w:autoSpaceDE w:val="0"/>
        <w:autoSpaceDN w:val="0"/>
        <w:adjustRightInd w:val="0"/>
        <w:spacing w:after="0"/>
        <w:jc w:val="center"/>
        <w:rPr>
          <w:rFonts w:cs="CenturySchoolbook"/>
          <w:szCs w:val="26"/>
        </w:rPr>
      </w:pPr>
      <w:r w:rsidRPr="006E05DF">
        <w:rPr>
          <w:rFonts w:cs="CenturySchoolbook"/>
          <w:szCs w:val="26"/>
        </w:rPr>
        <w:t>Plaintiff and Respondent</w:t>
      </w:r>
      <w:r w:rsidR="008475D5">
        <w:rPr>
          <w:rFonts w:cs="CenturySchoolbook"/>
          <w:szCs w:val="26"/>
        </w:rPr>
        <w:t>,</w:t>
      </w:r>
    </w:p>
    <w:p w:rsidR="00314A1F" w:rsidRPr="006E05DF" w:rsidP="00314A1F">
      <w:pPr>
        <w:autoSpaceDE w:val="0"/>
        <w:autoSpaceDN w:val="0"/>
        <w:adjustRightInd w:val="0"/>
        <w:spacing w:after="0"/>
        <w:jc w:val="center"/>
        <w:rPr>
          <w:rFonts w:cs="CenturySchoolbook"/>
          <w:szCs w:val="26"/>
        </w:rPr>
      </w:pPr>
      <w:r w:rsidRPr="006E05DF">
        <w:rPr>
          <w:rFonts w:cs="CenturySchoolbook"/>
          <w:szCs w:val="26"/>
        </w:rPr>
        <w:t>v.</w:t>
      </w:r>
    </w:p>
    <w:p w:rsidR="00314A1F" w:rsidRPr="006E05DF" w:rsidP="00314A1F">
      <w:pPr>
        <w:autoSpaceDE w:val="0"/>
        <w:autoSpaceDN w:val="0"/>
        <w:adjustRightInd w:val="0"/>
        <w:spacing w:after="0"/>
        <w:jc w:val="center"/>
        <w:rPr>
          <w:rFonts w:cs="CenturySchoolbook"/>
          <w:szCs w:val="26"/>
        </w:rPr>
      </w:pPr>
      <w:r w:rsidRPr="006E05DF">
        <w:rPr>
          <w:rFonts w:cs="CenturySchoolbook"/>
          <w:szCs w:val="26"/>
        </w:rPr>
        <w:t>SONY MUSIC ENTERTAINMENT et al.,</w:t>
      </w:r>
    </w:p>
    <w:p w:rsidR="00314A1F" w:rsidRPr="006E05DF" w:rsidP="00314A1F">
      <w:pPr>
        <w:autoSpaceDE w:val="0"/>
        <w:autoSpaceDN w:val="0"/>
        <w:adjustRightInd w:val="0"/>
        <w:spacing w:after="0"/>
        <w:jc w:val="center"/>
        <w:rPr>
          <w:rFonts w:cs="CenturySchoolbook"/>
          <w:szCs w:val="26"/>
        </w:rPr>
      </w:pPr>
      <w:r w:rsidRPr="006E05DF">
        <w:rPr>
          <w:rFonts w:cs="CenturySchoolbook"/>
          <w:szCs w:val="26"/>
        </w:rPr>
        <w:t>Defendants and Appellants.</w:t>
      </w:r>
    </w:p>
    <w:p w:rsidR="00314A1F" w:rsidRPr="006E05DF" w:rsidP="00314A1F">
      <w:pPr>
        <w:autoSpaceDE w:val="0"/>
        <w:autoSpaceDN w:val="0"/>
        <w:adjustRightInd w:val="0"/>
        <w:spacing w:after="0"/>
        <w:jc w:val="center"/>
        <w:rPr>
          <w:rFonts w:cs="CenturySchoolbook"/>
          <w:szCs w:val="26"/>
        </w:rPr>
      </w:pPr>
    </w:p>
    <w:p w:rsidR="00314A1F" w:rsidRPr="006E05DF" w:rsidP="00314A1F">
      <w:pPr>
        <w:autoSpaceDE w:val="0"/>
        <w:autoSpaceDN w:val="0"/>
        <w:adjustRightInd w:val="0"/>
        <w:spacing w:after="0"/>
        <w:jc w:val="center"/>
        <w:rPr>
          <w:rFonts w:cs="CenturySchoolbook"/>
          <w:szCs w:val="26"/>
        </w:rPr>
      </w:pPr>
      <w:r w:rsidRPr="006E05DF">
        <w:rPr>
          <w:rFonts w:cs="CenturySchoolbook"/>
          <w:szCs w:val="26"/>
        </w:rPr>
        <w:t>S260736</w:t>
      </w:r>
    </w:p>
    <w:p w:rsidR="00314A1F" w:rsidRPr="006E05DF" w:rsidP="00314A1F">
      <w:pPr>
        <w:autoSpaceDE w:val="0"/>
        <w:autoSpaceDN w:val="0"/>
        <w:adjustRightInd w:val="0"/>
        <w:spacing w:after="0"/>
        <w:jc w:val="center"/>
        <w:rPr>
          <w:rFonts w:cs="CenturySchoolbook"/>
          <w:szCs w:val="26"/>
        </w:rPr>
      </w:pPr>
    </w:p>
    <w:p w:rsidR="00314A1F" w:rsidRPr="006E05DF" w:rsidP="00314A1F">
      <w:pPr>
        <w:autoSpaceDE w:val="0"/>
        <w:autoSpaceDN w:val="0"/>
        <w:adjustRightInd w:val="0"/>
        <w:spacing w:after="0"/>
        <w:jc w:val="center"/>
        <w:rPr>
          <w:rFonts w:cs="CenturySchoolbook"/>
          <w:szCs w:val="26"/>
        </w:rPr>
      </w:pPr>
      <w:r w:rsidRPr="006E05DF">
        <w:rPr>
          <w:rFonts w:cs="CenturySchoolbook"/>
          <w:szCs w:val="26"/>
        </w:rPr>
        <w:t>Second Appellate District, Division Two</w:t>
      </w:r>
    </w:p>
    <w:p w:rsidR="00314A1F" w:rsidRPr="006E05DF" w:rsidP="00314A1F">
      <w:pPr>
        <w:autoSpaceDE w:val="0"/>
        <w:autoSpaceDN w:val="0"/>
        <w:adjustRightInd w:val="0"/>
        <w:spacing w:after="0"/>
        <w:jc w:val="center"/>
        <w:rPr>
          <w:rFonts w:cs="CenturySchoolbook"/>
          <w:szCs w:val="26"/>
        </w:rPr>
      </w:pPr>
      <w:r w:rsidRPr="006E05DF">
        <w:rPr>
          <w:rFonts w:cs="CenturySchoolbook"/>
          <w:szCs w:val="26"/>
        </w:rPr>
        <w:t>B280526</w:t>
      </w:r>
    </w:p>
    <w:p w:rsidR="00314A1F" w:rsidRPr="006E05DF" w:rsidP="00314A1F">
      <w:pPr>
        <w:autoSpaceDE w:val="0"/>
        <w:autoSpaceDN w:val="0"/>
        <w:adjustRightInd w:val="0"/>
        <w:spacing w:after="0"/>
        <w:jc w:val="center"/>
        <w:rPr>
          <w:rFonts w:cs="CenturySchoolbook"/>
          <w:szCs w:val="26"/>
        </w:rPr>
      </w:pPr>
    </w:p>
    <w:p w:rsidR="00314A1F" w:rsidRPr="006E05DF" w:rsidP="00314A1F">
      <w:pPr>
        <w:autoSpaceDE w:val="0"/>
        <w:autoSpaceDN w:val="0"/>
        <w:adjustRightInd w:val="0"/>
        <w:spacing w:after="0"/>
        <w:jc w:val="center"/>
        <w:rPr>
          <w:rFonts w:cs="CenturySchoolbook"/>
          <w:szCs w:val="26"/>
        </w:rPr>
      </w:pPr>
      <w:r w:rsidRPr="006E05DF">
        <w:rPr>
          <w:rFonts w:cs="CenturySchoolbook"/>
          <w:szCs w:val="26"/>
        </w:rPr>
        <w:t>Los Angeles County</w:t>
      </w:r>
      <w:r w:rsidR="008475D5">
        <w:rPr>
          <w:rFonts w:cs="CenturySchoolbook"/>
          <w:szCs w:val="26"/>
        </w:rPr>
        <w:t xml:space="preserve"> Superior Court</w:t>
      </w:r>
    </w:p>
    <w:p w:rsidR="00314A1F" w:rsidRPr="006E05DF" w:rsidP="00314A1F">
      <w:pPr>
        <w:autoSpaceDE w:val="0"/>
        <w:autoSpaceDN w:val="0"/>
        <w:adjustRightInd w:val="0"/>
        <w:spacing w:after="0"/>
        <w:jc w:val="center"/>
        <w:rPr>
          <w:rFonts w:cs="CenturySchoolbook"/>
          <w:szCs w:val="26"/>
        </w:rPr>
      </w:pPr>
      <w:r w:rsidRPr="006E05DF">
        <w:rPr>
          <w:rFonts w:cs="CenturySchoolbook"/>
          <w:szCs w:val="26"/>
        </w:rPr>
        <w:t>BC548468</w:t>
      </w:r>
    </w:p>
    <w:p w:rsidR="00314A1F" w:rsidRPr="006E05DF" w:rsidP="00314A1F">
      <w:pPr>
        <w:pBdr>
          <w:bottom w:val="single" w:sz="4" w:space="1" w:color="auto"/>
        </w:pBdr>
        <w:autoSpaceDE w:val="0"/>
        <w:autoSpaceDN w:val="0"/>
        <w:adjustRightInd w:val="0"/>
        <w:spacing w:after="0"/>
        <w:jc w:val="center"/>
        <w:rPr>
          <w:rFonts w:cs="CenturySchoolbook"/>
          <w:szCs w:val="26"/>
        </w:rPr>
      </w:pPr>
    </w:p>
    <w:p w:rsidR="00471C4F" w:rsidRPr="006E05DF" w:rsidP="00471C4F">
      <w:pPr>
        <w:tabs>
          <w:tab w:val="left" w:pos="1440"/>
          <w:tab w:val="left" w:pos="4680"/>
          <w:tab w:val="center" w:pos="7200"/>
        </w:tabs>
        <w:spacing w:after="0"/>
        <w:jc w:val="center"/>
      </w:pPr>
      <w:bookmarkStart w:id="0" w:name="Return"/>
      <w:bookmarkEnd w:id="0"/>
    </w:p>
    <w:p w:rsidR="00471C4F" w:rsidRPr="006E05DF" w:rsidP="00471C4F">
      <w:pPr>
        <w:tabs>
          <w:tab w:val="left" w:pos="1440"/>
          <w:tab w:val="left" w:pos="4680"/>
          <w:tab w:val="center" w:pos="7200"/>
        </w:tabs>
        <w:spacing w:after="0"/>
        <w:jc w:val="center"/>
      </w:pPr>
      <w:r>
        <w:t>August</w:t>
      </w:r>
      <w:r w:rsidRPr="006E05DF">
        <w:t xml:space="preserve"> </w:t>
      </w:r>
      <w:r w:rsidR="007777E8">
        <w:t>18</w:t>
      </w:r>
      <w:r w:rsidRPr="006E05DF">
        <w:t>, 2022</w:t>
      </w:r>
    </w:p>
    <w:p w:rsidR="00471C4F" w:rsidRPr="006E05DF" w:rsidP="00471C4F">
      <w:pPr>
        <w:tabs>
          <w:tab w:val="left" w:pos="1440"/>
          <w:tab w:val="left" w:pos="4680"/>
          <w:tab w:val="center" w:pos="7200"/>
        </w:tabs>
        <w:spacing w:after="0"/>
        <w:jc w:val="center"/>
      </w:pPr>
    </w:p>
    <w:p w:rsidR="00471C4F" w:rsidRPr="006E05DF" w:rsidP="00471C4F">
      <w:pPr>
        <w:pBdr>
          <w:bottom w:val="single" w:sz="4" w:space="1" w:color="auto"/>
        </w:pBdr>
        <w:tabs>
          <w:tab w:val="left" w:pos="1440"/>
          <w:tab w:val="left" w:pos="4680"/>
          <w:tab w:val="center" w:pos="7200"/>
        </w:tabs>
        <w:spacing w:after="0"/>
        <w:jc w:val="left"/>
      </w:pPr>
      <w:r w:rsidRPr="006A434A">
        <w:t xml:space="preserve">Justice </w:t>
      </w:r>
      <w:r>
        <w:t>Jenkins</w:t>
      </w:r>
      <w:r w:rsidRPr="006A434A">
        <w:t xml:space="preserve"> authored the opinion of the Court, </w:t>
      </w:r>
      <w:r>
        <w:t>in which Chief Justice Cantil-Sakauye and Justices Corrigan, Liu, Kruger, Groban, and Guerrero concurred.</w:t>
      </w:r>
    </w:p>
    <w:p w:rsidR="00314A1F" w:rsidRPr="006E05DF" w:rsidP="00314A1F">
      <w:pPr>
        <w:pBdr>
          <w:bottom w:val="single" w:sz="4" w:space="1" w:color="auto"/>
        </w:pBdr>
        <w:autoSpaceDE w:val="0"/>
        <w:autoSpaceDN w:val="0"/>
        <w:adjustRightInd w:val="0"/>
        <w:spacing w:after="0" w:line="240" w:lineRule="auto"/>
        <w:jc w:val="left"/>
        <w:rPr>
          <w:rFonts w:cs="CenturySchoolbook"/>
          <w:szCs w:val="26"/>
        </w:rPr>
      </w:pPr>
    </w:p>
    <w:p w:rsidR="00314A1F" w:rsidRPr="006E05DF" w:rsidP="00F27610">
      <w:pPr>
        <w:autoSpaceDE w:val="0"/>
        <w:autoSpaceDN w:val="0"/>
        <w:adjustRightInd w:val="0"/>
        <w:spacing w:after="0" w:line="240" w:lineRule="auto"/>
        <w:rPr>
          <w:rFonts w:cs="CenturySchoolbook"/>
          <w:sz w:val="26"/>
          <w:szCs w:val="26"/>
        </w:rPr>
        <w:sectPr w:rsidSect="00314A1F">
          <w:headerReference w:type="even" r:id="rId5"/>
          <w:headerReference w:type="default" r:id="rId6"/>
          <w:footerReference w:type="even" r:id="rId7"/>
          <w:footerReference w:type="default" r:id="rId8"/>
          <w:headerReference w:type="first" r:id="rId9"/>
          <w:footerReference w:type="first" r:id="rId10"/>
          <w:pgSz w:w="12240" w:h="15840"/>
          <w:pgMar w:top="1800" w:right="2160" w:bottom="1440" w:left="2160" w:header="720" w:footer="720" w:gutter="0"/>
          <w:cols w:space="720"/>
          <w:titlePg/>
          <w:docGrid w:linePitch="367"/>
        </w:sectPr>
      </w:pPr>
    </w:p>
    <w:p w:rsidR="00314A1F" w:rsidRPr="006E05DF" w:rsidP="00314A1F">
      <w:pPr>
        <w:autoSpaceDE w:val="0"/>
        <w:autoSpaceDN w:val="0"/>
        <w:adjustRightInd w:val="0"/>
        <w:jc w:val="center"/>
        <w:rPr>
          <w:rFonts w:cs="CenturySchoolbook"/>
          <w:szCs w:val="26"/>
        </w:rPr>
      </w:pPr>
      <w:r w:rsidRPr="006E05DF">
        <w:rPr>
          <w:rFonts w:cs="CenturySchoolbook"/>
          <w:szCs w:val="26"/>
        </w:rPr>
        <w:t>SEROVA v. SONY MUSIC ENTERTAINMENT</w:t>
      </w:r>
    </w:p>
    <w:p w:rsidR="00314A1F" w:rsidRPr="006E05DF" w:rsidP="00314A1F">
      <w:pPr>
        <w:autoSpaceDE w:val="0"/>
        <w:autoSpaceDN w:val="0"/>
        <w:adjustRightInd w:val="0"/>
        <w:jc w:val="center"/>
        <w:rPr>
          <w:rFonts w:cs="CenturySchoolbook"/>
          <w:szCs w:val="26"/>
        </w:rPr>
      </w:pPr>
      <w:r w:rsidRPr="006E05DF">
        <w:rPr>
          <w:rFonts w:cs="CenturySchoolbook"/>
          <w:szCs w:val="26"/>
        </w:rPr>
        <w:t>S260736</w:t>
      </w:r>
    </w:p>
    <w:p w:rsidR="00314A1F" w:rsidRPr="006E05DF" w:rsidP="00314A1F">
      <w:pPr>
        <w:autoSpaceDE w:val="0"/>
        <w:autoSpaceDN w:val="0"/>
        <w:adjustRightInd w:val="0"/>
        <w:jc w:val="center"/>
        <w:rPr>
          <w:rFonts w:cs="CenturySchoolbook"/>
          <w:szCs w:val="26"/>
        </w:rPr>
      </w:pPr>
    </w:p>
    <w:p w:rsidR="00314A1F" w:rsidRPr="006E05DF" w:rsidP="00314A1F">
      <w:pPr>
        <w:autoSpaceDE w:val="0"/>
        <w:autoSpaceDN w:val="0"/>
        <w:adjustRightInd w:val="0"/>
        <w:jc w:val="center"/>
        <w:rPr>
          <w:rFonts w:cs="CenturySchoolbook"/>
          <w:szCs w:val="26"/>
        </w:rPr>
      </w:pPr>
      <w:r w:rsidRPr="006E05DF">
        <w:rPr>
          <w:rFonts w:cs="CenturySchoolbook"/>
          <w:szCs w:val="26"/>
        </w:rPr>
        <w:t>Opinion of the Court by Jenkins, J.</w:t>
      </w:r>
    </w:p>
    <w:p w:rsidR="00314A1F" w:rsidRPr="006E05DF" w:rsidP="00314A1F">
      <w:pPr>
        <w:autoSpaceDE w:val="0"/>
        <w:autoSpaceDN w:val="0"/>
        <w:adjustRightInd w:val="0"/>
        <w:jc w:val="center"/>
        <w:rPr>
          <w:rFonts w:cs="CenturySchoolbook"/>
          <w:szCs w:val="26"/>
        </w:rPr>
      </w:pPr>
    </w:p>
    <w:p w:rsidR="00E1533F" w:rsidRPr="006E05DF" w:rsidP="00314A1F">
      <w:pPr>
        <w:rPr>
          <w:szCs w:val="26"/>
        </w:rPr>
      </w:pPr>
      <w:r w:rsidRPr="006E05DF">
        <w:rPr>
          <w:szCs w:val="26"/>
        </w:rPr>
        <w:tab/>
      </w:r>
      <w:r w:rsidRPr="006E05DF" w:rsidR="005E1F7C">
        <w:rPr>
          <w:szCs w:val="26"/>
        </w:rPr>
        <w:t>Plaintiff Vera Serova purchas</w:t>
      </w:r>
      <w:r w:rsidRPr="006E05DF" w:rsidR="00EC4B11">
        <w:rPr>
          <w:szCs w:val="26"/>
        </w:rPr>
        <w:t xml:space="preserve">ed </w:t>
      </w:r>
      <w:r w:rsidRPr="00ED005C" w:rsidR="005E1F7C">
        <w:rPr>
          <w:i/>
          <w:iCs/>
          <w:szCs w:val="26"/>
        </w:rPr>
        <w:t>Michael</w:t>
      </w:r>
      <w:r w:rsidRPr="006E05DF" w:rsidR="005E1F7C">
        <w:rPr>
          <w:szCs w:val="26"/>
        </w:rPr>
        <w:t xml:space="preserve">, an album </w:t>
      </w:r>
      <w:r w:rsidRPr="006E05DF" w:rsidR="00F33311">
        <w:rPr>
          <w:szCs w:val="26"/>
        </w:rPr>
        <w:t xml:space="preserve">of music </w:t>
      </w:r>
      <w:r w:rsidRPr="006E05DF" w:rsidR="005E1F7C">
        <w:rPr>
          <w:szCs w:val="26"/>
        </w:rPr>
        <w:t>billed as Michael Jackson’s first posthumous release.  The album</w:t>
      </w:r>
      <w:r w:rsidRPr="006E05DF" w:rsidR="00A478F5">
        <w:rPr>
          <w:szCs w:val="26"/>
        </w:rPr>
        <w:t>’s</w:t>
      </w:r>
      <w:r w:rsidRPr="006E05DF" w:rsidR="005E1F7C">
        <w:rPr>
          <w:szCs w:val="26"/>
        </w:rPr>
        <w:t xml:space="preserve"> </w:t>
      </w:r>
      <w:r w:rsidRPr="006E05DF" w:rsidR="008319E5">
        <w:rPr>
          <w:szCs w:val="26"/>
        </w:rPr>
        <w:t xml:space="preserve">back </w:t>
      </w:r>
      <w:r w:rsidRPr="006E05DF" w:rsidR="005E1F7C">
        <w:rPr>
          <w:szCs w:val="26"/>
        </w:rPr>
        <w:t xml:space="preserve">promised “9 previously unreleased vocal tracks performed by” the </w:t>
      </w:r>
      <w:r w:rsidR="00AB0498">
        <w:rPr>
          <w:szCs w:val="26"/>
        </w:rPr>
        <w:t>pop superstar</w:t>
      </w:r>
      <w:r w:rsidRPr="006E05DF" w:rsidR="00A478F5">
        <w:rPr>
          <w:szCs w:val="26"/>
        </w:rPr>
        <w:t>, but</w:t>
      </w:r>
      <w:r w:rsidRPr="006E05DF" w:rsidR="005E1F7C">
        <w:rPr>
          <w:szCs w:val="26"/>
        </w:rPr>
        <w:t xml:space="preserve"> </w:t>
      </w:r>
      <w:r w:rsidRPr="006E05DF" w:rsidR="00A478F5">
        <w:rPr>
          <w:szCs w:val="26"/>
        </w:rPr>
        <w:t xml:space="preserve">Serova </w:t>
      </w:r>
      <w:r w:rsidRPr="006E05DF" w:rsidR="00A911BA">
        <w:rPr>
          <w:szCs w:val="26"/>
        </w:rPr>
        <w:t>now</w:t>
      </w:r>
      <w:r w:rsidRPr="006E05DF" w:rsidR="005E1F7C">
        <w:rPr>
          <w:szCs w:val="26"/>
        </w:rPr>
        <w:t xml:space="preserve"> thinks </w:t>
      </w:r>
      <w:r w:rsidRPr="006E05DF" w:rsidR="00A911BA">
        <w:rPr>
          <w:szCs w:val="26"/>
        </w:rPr>
        <w:t>some of th</w:t>
      </w:r>
      <w:r w:rsidRPr="006E05DF" w:rsidR="00A478F5">
        <w:rPr>
          <w:szCs w:val="26"/>
        </w:rPr>
        <w:t>e</w:t>
      </w:r>
      <w:r w:rsidRPr="006E05DF" w:rsidR="00A911BA">
        <w:rPr>
          <w:szCs w:val="26"/>
        </w:rPr>
        <w:t>se</w:t>
      </w:r>
      <w:r w:rsidRPr="006E05DF" w:rsidR="005E1F7C">
        <w:rPr>
          <w:szCs w:val="26"/>
        </w:rPr>
        <w:t xml:space="preserve"> tracks</w:t>
      </w:r>
      <w:r w:rsidRPr="006E05DF" w:rsidR="00E24634">
        <w:rPr>
          <w:szCs w:val="26"/>
        </w:rPr>
        <w:t xml:space="preserve">, the so-called Cascio tracks, </w:t>
      </w:r>
      <w:r w:rsidRPr="006E05DF" w:rsidR="00A911BA">
        <w:rPr>
          <w:szCs w:val="26"/>
        </w:rPr>
        <w:t xml:space="preserve">feature a Jackson </w:t>
      </w:r>
      <w:r w:rsidRPr="006E05DF" w:rsidR="005F5831">
        <w:rPr>
          <w:szCs w:val="26"/>
        </w:rPr>
        <w:t>imitator</w:t>
      </w:r>
      <w:r w:rsidRPr="006E05DF">
        <w:rPr>
          <w:szCs w:val="26"/>
        </w:rPr>
        <w:t xml:space="preserve">.  </w:t>
      </w:r>
      <w:r w:rsidRPr="006E05DF" w:rsidR="00FB636F">
        <w:rPr>
          <w:szCs w:val="26"/>
        </w:rPr>
        <w:t>S</w:t>
      </w:r>
      <w:r w:rsidRPr="006E05DF">
        <w:rPr>
          <w:szCs w:val="26"/>
        </w:rPr>
        <w:t xml:space="preserve">he </w:t>
      </w:r>
      <w:r w:rsidRPr="006E05DF" w:rsidR="00AA440C">
        <w:rPr>
          <w:szCs w:val="26"/>
        </w:rPr>
        <w:t xml:space="preserve">asserts </w:t>
      </w:r>
      <w:r w:rsidRPr="00ED005C" w:rsidR="00AA440C">
        <w:rPr>
          <w:i/>
          <w:iCs/>
          <w:szCs w:val="26"/>
        </w:rPr>
        <w:t>Michael</w:t>
      </w:r>
      <w:r w:rsidRPr="009F28E3" w:rsidR="00AA440C">
        <w:rPr>
          <w:szCs w:val="26"/>
        </w:rPr>
        <w:t xml:space="preserve">’s </w:t>
      </w:r>
      <w:r w:rsidRPr="006E05DF" w:rsidR="00AA440C">
        <w:rPr>
          <w:szCs w:val="26"/>
        </w:rPr>
        <w:t>marketers misled her</w:t>
      </w:r>
      <w:r w:rsidRPr="006E05DF">
        <w:rPr>
          <w:szCs w:val="26"/>
        </w:rPr>
        <w:t xml:space="preserve"> and violated two California consumer protection laws</w:t>
      </w:r>
      <w:r w:rsidRPr="006E05DF" w:rsidR="003F10F6">
        <w:rPr>
          <w:szCs w:val="26"/>
        </w:rPr>
        <w:t>,</w:t>
      </w:r>
      <w:r w:rsidRPr="006E05DF">
        <w:rPr>
          <w:szCs w:val="26"/>
        </w:rPr>
        <w:t xml:space="preserve"> the </w:t>
      </w:r>
      <w:r w:rsidR="009F28E3">
        <w:rPr>
          <w:szCs w:val="26"/>
        </w:rPr>
        <w:t>u</w:t>
      </w:r>
      <w:r w:rsidRPr="006E05DF">
        <w:rPr>
          <w:szCs w:val="26"/>
        </w:rPr>
        <w:t xml:space="preserve">nfair </w:t>
      </w:r>
      <w:r w:rsidR="009F28E3">
        <w:rPr>
          <w:szCs w:val="26"/>
        </w:rPr>
        <w:t>c</w:t>
      </w:r>
      <w:r w:rsidRPr="006E05DF">
        <w:rPr>
          <w:szCs w:val="26"/>
        </w:rPr>
        <w:t xml:space="preserve">ompetition </w:t>
      </w:r>
      <w:r w:rsidR="009F28E3">
        <w:rPr>
          <w:szCs w:val="26"/>
        </w:rPr>
        <w:t>l</w:t>
      </w:r>
      <w:r w:rsidRPr="006E05DF">
        <w:rPr>
          <w:szCs w:val="26"/>
        </w:rPr>
        <w:t>aw and the Consumer</w:t>
      </w:r>
      <w:r w:rsidR="009F28E3">
        <w:rPr>
          <w:szCs w:val="26"/>
        </w:rPr>
        <w:t>s</w:t>
      </w:r>
      <w:r w:rsidRPr="006E05DF">
        <w:rPr>
          <w:szCs w:val="26"/>
        </w:rPr>
        <w:t xml:space="preserve"> Legal Remedies Act</w:t>
      </w:r>
      <w:r w:rsidRPr="006E05DF" w:rsidR="003F10F6">
        <w:rPr>
          <w:szCs w:val="26"/>
        </w:rPr>
        <w:t xml:space="preserve">, </w:t>
      </w:r>
      <w:r w:rsidRPr="006E05DF">
        <w:rPr>
          <w:szCs w:val="26"/>
        </w:rPr>
        <w:t xml:space="preserve">by </w:t>
      </w:r>
      <w:r w:rsidRPr="006E05DF" w:rsidR="00D0567D">
        <w:rPr>
          <w:szCs w:val="26"/>
        </w:rPr>
        <w:t xml:space="preserve">misrepresenting </w:t>
      </w:r>
      <w:r w:rsidRPr="006E05DF" w:rsidR="00E24634">
        <w:rPr>
          <w:szCs w:val="26"/>
        </w:rPr>
        <w:t xml:space="preserve">the </w:t>
      </w:r>
      <w:r w:rsidRPr="006E05DF">
        <w:rPr>
          <w:szCs w:val="26"/>
        </w:rPr>
        <w:t>vocal</w:t>
      </w:r>
      <w:r w:rsidRPr="006E05DF" w:rsidR="00E24634">
        <w:rPr>
          <w:szCs w:val="26"/>
        </w:rPr>
        <w:t>ist on the Cascio tracks</w:t>
      </w:r>
      <w:r w:rsidRPr="006E05DF" w:rsidR="00D0567D">
        <w:rPr>
          <w:szCs w:val="26"/>
        </w:rPr>
        <w:t xml:space="preserve"> through </w:t>
      </w:r>
      <w:r w:rsidRPr="006E05DF">
        <w:rPr>
          <w:szCs w:val="26"/>
        </w:rPr>
        <w:t>the album’s packaging</w:t>
      </w:r>
      <w:r w:rsidRPr="006E05DF" w:rsidR="00E24634">
        <w:rPr>
          <w:szCs w:val="26"/>
        </w:rPr>
        <w:t xml:space="preserve"> and in</w:t>
      </w:r>
      <w:r w:rsidRPr="006E05DF" w:rsidR="00FB636F">
        <w:rPr>
          <w:szCs w:val="26"/>
        </w:rPr>
        <w:t xml:space="preserve"> a promotional video</w:t>
      </w:r>
      <w:r w:rsidRPr="006E05DF">
        <w:rPr>
          <w:szCs w:val="26"/>
        </w:rPr>
        <w:t xml:space="preserve">. </w:t>
      </w:r>
    </w:p>
    <w:p w:rsidR="00AE191F" w:rsidRPr="006E05DF" w:rsidP="00314A1F">
      <w:pPr>
        <w:rPr>
          <w:szCs w:val="26"/>
        </w:rPr>
      </w:pPr>
      <w:r w:rsidRPr="006E05DF">
        <w:rPr>
          <w:szCs w:val="26"/>
        </w:rPr>
        <w:tab/>
      </w:r>
      <w:r w:rsidRPr="006E05DF" w:rsidR="000A29C0">
        <w:rPr>
          <w:szCs w:val="26"/>
        </w:rPr>
        <w:t xml:space="preserve">The question </w:t>
      </w:r>
      <w:r w:rsidRPr="006E05DF" w:rsidR="00E24634">
        <w:rPr>
          <w:szCs w:val="26"/>
        </w:rPr>
        <w:t xml:space="preserve">before us </w:t>
      </w:r>
      <w:r w:rsidRPr="006E05DF" w:rsidR="000A29C0">
        <w:rPr>
          <w:szCs w:val="26"/>
        </w:rPr>
        <w:t xml:space="preserve">is </w:t>
      </w:r>
      <w:r w:rsidRPr="006E05DF" w:rsidR="005E1F7C">
        <w:rPr>
          <w:szCs w:val="26"/>
        </w:rPr>
        <w:t>whether</w:t>
      </w:r>
      <w:r w:rsidRPr="006E05DF" w:rsidR="009E54ED">
        <w:rPr>
          <w:szCs w:val="26"/>
        </w:rPr>
        <w:t xml:space="preserve"> </w:t>
      </w:r>
      <w:r w:rsidRPr="006E05DF" w:rsidR="005E1F7C">
        <w:rPr>
          <w:szCs w:val="26"/>
        </w:rPr>
        <w:t>Serova’s claims</w:t>
      </w:r>
      <w:r w:rsidRPr="006E05DF" w:rsidR="00FB636F">
        <w:rPr>
          <w:szCs w:val="26"/>
        </w:rPr>
        <w:t xml:space="preserve">, premised on </w:t>
      </w:r>
      <w:r w:rsidRPr="006E05DF" w:rsidR="00FB636F">
        <w:rPr>
          <w:i/>
          <w:iCs/>
          <w:szCs w:val="26"/>
        </w:rPr>
        <w:t>Michael</w:t>
      </w:r>
      <w:r w:rsidRPr="006E05DF" w:rsidR="00FB636F">
        <w:rPr>
          <w:szCs w:val="26"/>
        </w:rPr>
        <w:t>’s packaging and video,</w:t>
      </w:r>
      <w:r w:rsidRPr="006E05DF" w:rsidR="00E24634">
        <w:rPr>
          <w:szCs w:val="26"/>
        </w:rPr>
        <w:t xml:space="preserve"> </w:t>
      </w:r>
      <w:r w:rsidRPr="006E05DF" w:rsidR="005E1F7C">
        <w:rPr>
          <w:szCs w:val="26"/>
        </w:rPr>
        <w:t xml:space="preserve">are subject to </w:t>
      </w:r>
      <w:r w:rsidRPr="006E05DF" w:rsidR="00ED3B58">
        <w:rPr>
          <w:szCs w:val="26"/>
        </w:rPr>
        <w:t>the album marketers’</w:t>
      </w:r>
      <w:r w:rsidRPr="006E05DF" w:rsidR="005E1F7C">
        <w:rPr>
          <w:szCs w:val="26"/>
        </w:rPr>
        <w:t xml:space="preserve"> motion to strike under California’s anti-SLAPP statute, which calls for early dismissal of meritless lawsuits if they </w:t>
      </w:r>
      <w:r w:rsidRPr="006E05DF" w:rsidR="00A9318E">
        <w:rPr>
          <w:szCs w:val="26"/>
        </w:rPr>
        <w:t>arise from a defendant’s acts in furtherance of free speech rights in connection with a public issue</w:t>
      </w:r>
      <w:r w:rsidRPr="006E05DF" w:rsidR="005E1F7C">
        <w:rPr>
          <w:szCs w:val="26"/>
        </w:rPr>
        <w:t xml:space="preserve">.  </w:t>
      </w:r>
      <w:r w:rsidRPr="006E05DF" w:rsidR="003D3C25">
        <w:rPr>
          <w:szCs w:val="26"/>
        </w:rPr>
        <w:t>(Code. Civ. Proc., §</w:t>
      </w:r>
      <w:r w:rsidRPr="006E05DF" w:rsidR="003A72C3">
        <w:rPr>
          <w:szCs w:val="26"/>
        </w:rPr>
        <w:t> </w:t>
      </w:r>
      <w:r w:rsidRPr="006E05DF" w:rsidR="003D3C25">
        <w:rPr>
          <w:szCs w:val="26"/>
        </w:rPr>
        <w:t>425.16, subd. (b)(1).)</w:t>
      </w:r>
      <w:r>
        <w:rPr>
          <w:rStyle w:val="FootnoteReference"/>
          <w:szCs w:val="26"/>
        </w:rPr>
        <w:footnoteReference w:id="3"/>
      </w:r>
      <w:r w:rsidRPr="006E05DF" w:rsidR="003D3C25">
        <w:rPr>
          <w:szCs w:val="26"/>
        </w:rPr>
        <w:t xml:space="preserve">  </w:t>
      </w:r>
      <w:r w:rsidRPr="006E05DF" w:rsidR="00FB636F">
        <w:rPr>
          <w:szCs w:val="26"/>
        </w:rPr>
        <w:t xml:space="preserve">The Court of Appeal concluded the motion to strike should be granted, </w:t>
      </w:r>
      <w:r w:rsidRPr="006E05DF" w:rsidR="00F52277">
        <w:rPr>
          <w:szCs w:val="26"/>
        </w:rPr>
        <w:t>reasoning the First Amendment shields the album marketers from liability.  E</w:t>
      </w:r>
      <w:r w:rsidRPr="006E05DF" w:rsidR="001E2322">
        <w:rPr>
          <w:szCs w:val="26"/>
        </w:rPr>
        <w:t>ven if the statements about Jackson’s contributions were false</w:t>
      </w:r>
      <w:r w:rsidRPr="006E05DF" w:rsidR="00FB636F">
        <w:rPr>
          <w:szCs w:val="26"/>
        </w:rPr>
        <w:t>,</w:t>
      </w:r>
      <w:r w:rsidRPr="006E05DF" w:rsidR="001E2322">
        <w:rPr>
          <w:szCs w:val="26"/>
        </w:rPr>
        <w:t xml:space="preserve"> </w:t>
      </w:r>
      <w:r w:rsidRPr="006E05DF" w:rsidR="00F52277">
        <w:rPr>
          <w:szCs w:val="26"/>
        </w:rPr>
        <w:t>said the court,</w:t>
      </w:r>
      <w:r w:rsidRPr="006E05DF" w:rsidR="001E2322">
        <w:rPr>
          <w:szCs w:val="26"/>
        </w:rPr>
        <w:t xml:space="preserve"> </w:t>
      </w:r>
      <w:r w:rsidRPr="006E05DF" w:rsidR="00F52277">
        <w:rPr>
          <w:szCs w:val="26"/>
        </w:rPr>
        <w:t xml:space="preserve">the First Amendment </w:t>
      </w:r>
      <w:r w:rsidRPr="006E05DF" w:rsidR="001E2322">
        <w:rPr>
          <w:szCs w:val="26"/>
        </w:rPr>
        <w:t xml:space="preserve">requires classifying </w:t>
      </w:r>
      <w:r w:rsidRPr="006E05DF" w:rsidR="00935AFC">
        <w:rPr>
          <w:szCs w:val="26"/>
        </w:rPr>
        <w:t>them</w:t>
      </w:r>
      <w:r w:rsidRPr="006E05DF">
        <w:rPr>
          <w:szCs w:val="26"/>
        </w:rPr>
        <w:t xml:space="preserve"> </w:t>
      </w:r>
      <w:r w:rsidRPr="006E05DF" w:rsidR="001E2322">
        <w:rPr>
          <w:szCs w:val="26"/>
        </w:rPr>
        <w:t>as noncommercial speech</w:t>
      </w:r>
      <w:r w:rsidRPr="006E05DF" w:rsidR="008867B8">
        <w:rPr>
          <w:szCs w:val="26"/>
        </w:rPr>
        <w:t>, a classification that would</w:t>
      </w:r>
      <w:r w:rsidRPr="006E05DF" w:rsidR="00935AFC">
        <w:rPr>
          <w:szCs w:val="26"/>
        </w:rPr>
        <w:t xml:space="preserve"> </w:t>
      </w:r>
      <w:r w:rsidRPr="006E05DF" w:rsidR="00D8664D">
        <w:rPr>
          <w:szCs w:val="26"/>
        </w:rPr>
        <w:t xml:space="preserve">offer </w:t>
      </w:r>
      <w:r w:rsidRPr="006E05DF" w:rsidR="008867B8">
        <w:rPr>
          <w:szCs w:val="26"/>
        </w:rPr>
        <w:t xml:space="preserve">the </w:t>
      </w:r>
      <w:r w:rsidRPr="006E05DF" w:rsidR="00FA5506">
        <w:rPr>
          <w:szCs w:val="26"/>
        </w:rPr>
        <w:t>statements</w:t>
      </w:r>
      <w:r w:rsidRPr="006E05DF" w:rsidR="00D8664D">
        <w:rPr>
          <w:szCs w:val="26"/>
        </w:rPr>
        <w:t xml:space="preserve"> greater protection from government regulation and, per the parties’ agreement, put them </w:t>
      </w:r>
      <w:r w:rsidRPr="006E05DF" w:rsidR="001E2322">
        <w:rPr>
          <w:szCs w:val="26"/>
        </w:rPr>
        <w:t xml:space="preserve">beyond the reach of the </w:t>
      </w:r>
      <w:r w:rsidRPr="006E05DF" w:rsidR="00D8664D">
        <w:rPr>
          <w:szCs w:val="26"/>
        </w:rPr>
        <w:t xml:space="preserve">consumer protection </w:t>
      </w:r>
      <w:r w:rsidRPr="006E05DF" w:rsidR="001E2322">
        <w:rPr>
          <w:szCs w:val="26"/>
        </w:rPr>
        <w:t>laws Serova invokes.</w:t>
      </w:r>
      <w:r w:rsidRPr="006E05DF">
        <w:rPr>
          <w:szCs w:val="26"/>
        </w:rPr>
        <w:t xml:space="preserve">  </w:t>
      </w:r>
      <w:r w:rsidRPr="006E05DF" w:rsidR="00D8664D">
        <w:rPr>
          <w:szCs w:val="26"/>
        </w:rPr>
        <w:t>(</w:t>
      </w:r>
      <w:r w:rsidRPr="006E05DF" w:rsidR="00D8664D">
        <w:rPr>
          <w:i/>
          <w:iCs/>
          <w:szCs w:val="26"/>
        </w:rPr>
        <w:t>Serova v. Sony Music Entertainment</w:t>
      </w:r>
      <w:r w:rsidRPr="006E05DF" w:rsidR="00D8664D">
        <w:rPr>
          <w:szCs w:val="26"/>
        </w:rPr>
        <w:t xml:space="preserve"> (2020) 44 Cal.App.5th 103, 124</w:t>
      </w:r>
      <w:r w:rsidR="00D75F4A">
        <w:rPr>
          <w:szCs w:val="26"/>
        </w:rPr>
        <w:t xml:space="preserve"> (</w:t>
      </w:r>
      <w:r w:rsidR="00D75F4A">
        <w:rPr>
          <w:i/>
          <w:iCs/>
          <w:szCs w:val="26"/>
        </w:rPr>
        <w:t>Serova</w:t>
      </w:r>
      <w:r w:rsidR="00D75F4A">
        <w:rPr>
          <w:szCs w:val="26"/>
        </w:rPr>
        <w:t>)</w:t>
      </w:r>
      <w:r w:rsidRPr="006E05DF" w:rsidR="00D8664D">
        <w:rPr>
          <w:szCs w:val="26"/>
        </w:rPr>
        <w:t xml:space="preserve">.)  </w:t>
      </w:r>
      <w:r w:rsidRPr="006E05DF">
        <w:rPr>
          <w:szCs w:val="26"/>
        </w:rPr>
        <w:t xml:space="preserve">The </w:t>
      </w:r>
      <w:r w:rsidRPr="006E05DF" w:rsidR="008867B8">
        <w:rPr>
          <w:szCs w:val="26"/>
        </w:rPr>
        <w:t xml:space="preserve">album marketers’ </w:t>
      </w:r>
      <w:r w:rsidRPr="006E05DF">
        <w:rPr>
          <w:szCs w:val="26"/>
        </w:rPr>
        <w:t>statements were</w:t>
      </w:r>
      <w:r w:rsidRPr="006E05DF" w:rsidR="002A27C5">
        <w:rPr>
          <w:szCs w:val="26"/>
        </w:rPr>
        <w:t>, in the court’s view,</w:t>
      </w:r>
      <w:r w:rsidRPr="006E05DF">
        <w:rPr>
          <w:szCs w:val="26"/>
        </w:rPr>
        <w:t xml:space="preserve"> noncommercial, because they “were directly connected to music that itself enjoyed full protection under the First Amendment”</w:t>
      </w:r>
      <w:r w:rsidRPr="006E05DF" w:rsidR="00A815D9">
        <w:rPr>
          <w:szCs w:val="26"/>
        </w:rPr>
        <w:t xml:space="preserve"> and “concerned a publicly disputed issue about which </w:t>
      </w:r>
      <w:r w:rsidRPr="006E05DF" w:rsidR="007173E9">
        <w:rPr>
          <w:szCs w:val="26"/>
        </w:rPr>
        <w:t>[the speaker]</w:t>
      </w:r>
      <w:r w:rsidRPr="006E05DF" w:rsidR="00A815D9">
        <w:rPr>
          <w:szCs w:val="26"/>
        </w:rPr>
        <w:t xml:space="preserve"> had no personal knowledge.”</w:t>
      </w:r>
      <w:r w:rsidRPr="006E05DF">
        <w:rPr>
          <w:szCs w:val="26"/>
        </w:rPr>
        <w:t xml:space="preserve">  </w:t>
      </w:r>
      <w:r w:rsidRPr="006E05DF" w:rsidR="00DE7D77">
        <w:rPr>
          <w:szCs w:val="26"/>
        </w:rPr>
        <w:t>(</w:t>
      </w:r>
      <w:r w:rsidRPr="006E05DF" w:rsidR="00D8664D">
        <w:rPr>
          <w:i/>
          <w:iCs/>
          <w:szCs w:val="26"/>
        </w:rPr>
        <w:t xml:space="preserve">Id. </w:t>
      </w:r>
      <w:r w:rsidRPr="006E05DF" w:rsidR="00D8664D">
        <w:rPr>
          <w:szCs w:val="26"/>
        </w:rPr>
        <w:t xml:space="preserve">at p. </w:t>
      </w:r>
      <w:r w:rsidRPr="006E05DF" w:rsidR="00DE7D77">
        <w:rPr>
          <w:szCs w:val="26"/>
        </w:rPr>
        <w:t xml:space="preserve">126.)  </w:t>
      </w:r>
      <w:r w:rsidRPr="006E05DF">
        <w:rPr>
          <w:szCs w:val="26"/>
        </w:rPr>
        <w:t xml:space="preserve">We </w:t>
      </w:r>
      <w:r w:rsidRPr="006E05DF" w:rsidR="00935AFC">
        <w:rPr>
          <w:szCs w:val="26"/>
        </w:rPr>
        <w:t xml:space="preserve">disagree and </w:t>
      </w:r>
      <w:r w:rsidRPr="006E05DF">
        <w:rPr>
          <w:szCs w:val="26"/>
        </w:rPr>
        <w:t>reverse.</w:t>
      </w:r>
    </w:p>
    <w:p w:rsidR="00500BF8" w:rsidRPr="006E05DF" w:rsidP="00314A1F">
      <w:pPr>
        <w:rPr>
          <w:szCs w:val="26"/>
        </w:rPr>
      </w:pPr>
      <w:r w:rsidRPr="006E05DF">
        <w:rPr>
          <w:szCs w:val="26"/>
        </w:rPr>
        <w:tab/>
      </w:r>
      <w:r w:rsidRPr="006E05DF" w:rsidR="00A815D9">
        <w:rPr>
          <w:szCs w:val="26"/>
        </w:rPr>
        <w:t xml:space="preserve">The album-back statement and video were </w:t>
      </w:r>
      <w:r w:rsidRPr="006E05DF" w:rsidR="00641B7C">
        <w:rPr>
          <w:szCs w:val="26"/>
        </w:rPr>
        <w:t xml:space="preserve">commercial </w:t>
      </w:r>
      <w:r w:rsidRPr="006E05DF" w:rsidR="003F10F6">
        <w:rPr>
          <w:szCs w:val="26"/>
        </w:rPr>
        <w:t>advertising</w:t>
      </w:r>
      <w:r w:rsidRPr="006E05DF" w:rsidR="00641B7C">
        <w:rPr>
          <w:szCs w:val="26"/>
        </w:rPr>
        <w:t xml:space="preserve"> meant to sell a product</w:t>
      </w:r>
      <w:r w:rsidRPr="006E05DF">
        <w:rPr>
          <w:szCs w:val="26"/>
        </w:rPr>
        <w:t>, and</w:t>
      </w:r>
      <w:r w:rsidRPr="006E05DF" w:rsidR="008867B8">
        <w:rPr>
          <w:szCs w:val="26"/>
        </w:rPr>
        <w:t xml:space="preserve"> generally</w:t>
      </w:r>
      <w:r w:rsidRPr="006E05DF">
        <w:rPr>
          <w:szCs w:val="26"/>
        </w:rPr>
        <w:t xml:space="preserve"> there “can be no constitutional objection to the suppression of commercial messages that do not accurately inform the public.”  (</w:t>
      </w:r>
      <w:r w:rsidRPr="006E05DF">
        <w:rPr>
          <w:i/>
          <w:iCs/>
          <w:szCs w:val="26"/>
        </w:rPr>
        <w:t>Central Hudson Gas &amp; Elec. v. Public Serv. Comm’n</w:t>
      </w:r>
      <w:r w:rsidRPr="006E05DF">
        <w:rPr>
          <w:szCs w:val="26"/>
        </w:rPr>
        <w:t xml:space="preserve"> (1980) 447 U.S. 557, 563</w:t>
      </w:r>
      <w:r w:rsidR="00802B4A">
        <w:rPr>
          <w:szCs w:val="26"/>
        </w:rPr>
        <w:t xml:space="preserve"> (</w:t>
      </w:r>
      <w:r w:rsidRPr="00802B4A" w:rsidR="00802B4A">
        <w:rPr>
          <w:i/>
          <w:iCs/>
          <w:szCs w:val="26"/>
        </w:rPr>
        <w:t>Central Hudson</w:t>
      </w:r>
      <w:r w:rsidR="00802B4A">
        <w:rPr>
          <w:szCs w:val="26"/>
        </w:rPr>
        <w:t>).</w:t>
      </w:r>
      <w:r w:rsidRPr="006E05DF">
        <w:rPr>
          <w:szCs w:val="26"/>
        </w:rPr>
        <w:t xml:space="preserve">)  </w:t>
      </w:r>
      <w:r w:rsidRPr="006E05DF" w:rsidR="005C72DA">
        <w:rPr>
          <w:szCs w:val="26"/>
        </w:rPr>
        <w:t>W</w:t>
      </w:r>
      <w:r w:rsidRPr="006E05DF" w:rsidR="006D7D53">
        <w:rPr>
          <w:szCs w:val="26"/>
        </w:rPr>
        <w:t xml:space="preserve">e </w:t>
      </w:r>
      <w:r w:rsidRPr="006E05DF" w:rsidR="00AE191F">
        <w:rPr>
          <w:szCs w:val="26"/>
        </w:rPr>
        <w:t>recognize</w:t>
      </w:r>
      <w:r w:rsidRPr="006E05DF" w:rsidR="006D7D53">
        <w:rPr>
          <w:szCs w:val="26"/>
        </w:rPr>
        <w:t xml:space="preserve"> </w:t>
      </w:r>
      <w:r w:rsidRPr="006E05DF" w:rsidR="00E876A9">
        <w:rPr>
          <w:szCs w:val="26"/>
        </w:rPr>
        <w:t>artistic</w:t>
      </w:r>
      <w:r w:rsidRPr="006E05DF" w:rsidR="00C01EB8">
        <w:rPr>
          <w:szCs w:val="26"/>
        </w:rPr>
        <w:t xml:space="preserve"> works such as albums</w:t>
      </w:r>
      <w:r w:rsidRPr="006E05DF" w:rsidR="00EC4B11">
        <w:rPr>
          <w:szCs w:val="26"/>
        </w:rPr>
        <w:t>, in some instances,</w:t>
      </w:r>
      <w:r w:rsidRPr="006E05DF" w:rsidR="00C01EB8">
        <w:rPr>
          <w:szCs w:val="26"/>
        </w:rPr>
        <w:t xml:space="preserve"> enjoy robust First Amendment protections,</w:t>
      </w:r>
      <w:r w:rsidRPr="006E05DF" w:rsidR="00AE191F">
        <w:rPr>
          <w:szCs w:val="26"/>
        </w:rPr>
        <w:t xml:space="preserve"> but</w:t>
      </w:r>
      <w:r w:rsidRPr="006E05DF" w:rsidR="00C01EB8">
        <w:rPr>
          <w:szCs w:val="26"/>
        </w:rPr>
        <w:t xml:space="preserve"> </w:t>
      </w:r>
      <w:r w:rsidRPr="006E05DF" w:rsidR="00CC6BC8">
        <w:rPr>
          <w:szCs w:val="26"/>
        </w:rPr>
        <w:t xml:space="preserve">that does not </w:t>
      </w:r>
      <w:r w:rsidRPr="006E05DF" w:rsidR="00641B7C">
        <w:rPr>
          <w:szCs w:val="26"/>
        </w:rPr>
        <w:t>turn</w:t>
      </w:r>
      <w:r w:rsidRPr="006E05DF" w:rsidR="00CC6BC8">
        <w:rPr>
          <w:szCs w:val="26"/>
        </w:rPr>
        <w:t xml:space="preserve"> all marketing of such works </w:t>
      </w:r>
      <w:r w:rsidRPr="006E05DF" w:rsidR="00641B7C">
        <w:rPr>
          <w:szCs w:val="26"/>
        </w:rPr>
        <w:t xml:space="preserve">into </w:t>
      </w:r>
      <w:r w:rsidRPr="006E05DF" w:rsidR="00CC6BC8">
        <w:rPr>
          <w:szCs w:val="26"/>
        </w:rPr>
        <w:t xml:space="preserve">noncommercial </w:t>
      </w:r>
      <w:r w:rsidRPr="006E05DF" w:rsidR="00641B7C">
        <w:rPr>
          <w:szCs w:val="26"/>
        </w:rPr>
        <w:t>speech</w:t>
      </w:r>
      <w:r w:rsidRPr="006E05DF" w:rsidR="005C72DA">
        <w:rPr>
          <w:szCs w:val="26"/>
        </w:rPr>
        <w:t xml:space="preserve">, and it does not do so </w:t>
      </w:r>
      <w:r w:rsidRPr="006E05DF" w:rsidR="003F10F6">
        <w:rPr>
          <w:szCs w:val="26"/>
        </w:rPr>
        <w:t>in this case</w:t>
      </w:r>
      <w:r w:rsidRPr="006E05DF" w:rsidR="00CC6BC8">
        <w:rPr>
          <w:szCs w:val="26"/>
        </w:rPr>
        <w:t xml:space="preserve">.  </w:t>
      </w:r>
      <w:r w:rsidRPr="006E05DF" w:rsidR="00B21DEA">
        <w:rPr>
          <w:szCs w:val="26"/>
        </w:rPr>
        <w:t>Additionally</w:t>
      </w:r>
      <w:r w:rsidRPr="006E05DF" w:rsidR="00A815D9">
        <w:rPr>
          <w:szCs w:val="26"/>
        </w:rPr>
        <w:t xml:space="preserve">, a seller’s purported lack of knowledge of falsity </w:t>
      </w:r>
      <w:r w:rsidRPr="006E05DF" w:rsidR="002718DA">
        <w:rPr>
          <w:szCs w:val="26"/>
        </w:rPr>
        <w:t xml:space="preserve">does not tell us </w:t>
      </w:r>
      <w:r w:rsidRPr="006E05DF" w:rsidR="00A815D9">
        <w:rPr>
          <w:szCs w:val="26"/>
        </w:rPr>
        <w:t xml:space="preserve">whether </w:t>
      </w:r>
      <w:r w:rsidRPr="006E05DF" w:rsidR="002718DA">
        <w:rPr>
          <w:szCs w:val="26"/>
        </w:rPr>
        <w:t>that</w:t>
      </w:r>
      <w:r w:rsidRPr="006E05DF" w:rsidR="00A815D9">
        <w:rPr>
          <w:szCs w:val="26"/>
        </w:rPr>
        <w:t xml:space="preserve"> seller’s speech is commercial or noncommercial</w:t>
      </w:r>
      <w:r w:rsidRPr="006E05DF" w:rsidR="002718DA">
        <w:rPr>
          <w:szCs w:val="26"/>
        </w:rPr>
        <w:t>, and commercial speech does not shed its commercial nature simply because a seller makes a statement without knowledge or that is hard to verify</w:t>
      </w:r>
      <w:r w:rsidRPr="006E05DF" w:rsidR="00A815D9">
        <w:rPr>
          <w:szCs w:val="26"/>
        </w:rPr>
        <w:t xml:space="preserve">.  </w:t>
      </w:r>
      <w:r w:rsidRPr="006E05DF" w:rsidR="00B21DEA">
        <w:rPr>
          <w:szCs w:val="26"/>
        </w:rPr>
        <w:t>T</w:t>
      </w:r>
      <w:r w:rsidRPr="006E05DF" w:rsidR="007173E9">
        <w:rPr>
          <w:szCs w:val="26"/>
        </w:rPr>
        <w:t>he First Amendment has long coexisted with no-fault false advertising laws.</w:t>
      </w:r>
    </w:p>
    <w:p w:rsidR="005E1F7C" w:rsidRPr="006E05DF" w:rsidP="00314A1F">
      <w:pPr>
        <w:rPr>
          <w:szCs w:val="26"/>
        </w:rPr>
      </w:pPr>
      <w:r w:rsidRPr="006E05DF">
        <w:rPr>
          <w:szCs w:val="26"/>
        </w:rPr>
        <w:tab/>
      </w:r>
      <w:r w:rsidRPr="006E05DF" w:rsidR="007173E9">
        <w:rPr>
          <w:szCs w:val="26"/>
        </w:rPr>
        <w:t>Lastly</w:t>
      </w:r>
      <w:r w:rsidRPr="006E05DF" w:rsidR="007E48E2">
        <w:rPr>
          <w:szCs w:val="26"/>
        </w:rPr>
        <w:t>, w</w:t>
      </w:r>
      <w:r w:rsidRPr="006E05DF" w:rsidR="00E374FF">
        <w:rPr>
          <w:szCs w:val="26"/>
        </w:rPr>
        <w:t>e reject the album marketers’ tardily raised argument that federal copyright law preempts Serova’s consumer deception claims and deprives California courts of subject matter jurisdiction.</w:t>
      </w:r>
    </w:p>
    <w:p w:rsidR="00D03498" w:rsidRPr="006E05DF" w:rsidP="00762B24">
      <w:pPr>
        <w:jc w:val="center"/>
        <w:outlineLvl w:val="0"/>
        <w:rPr>
          <w:b/>
          <w:bCs/>
          <w:szCs w:val="26"/>
        </w:rPr>
      </w:pPr>
      <w:r w:rsidRPr="006E05DF">
        <w:rPr>
          <w:b/>
          <w:bCs/>
          <w:szCs w:val="26"/>
        </w:rPr>
        <w:t>I.</w:t>
      </w:r>
      <w:r w:rsidRPr="006E05DF">
        <w:rPr>
          <w:b/>
          <w:bCs/>
          <w:szCs w:val="26"/>
        </w:rPr>
        <w:tab/>
      </w:r>
      <w:r w:rsidRPr="006E05DF">
        <w:rPr>
          <w:b/>
          <w:bCs/>
          <w:szCs w:val="26"/>
        </w:rPr>
        <w:t>FACTS</w:t>
      </w:r>
    </w:p>
    <w:p w:rsidR="007C5AC7" w:rsidRPr="006E05DF" w:rsidP="00314A1F">
      <w:pPr>
        <w:outlineLvl w:val="1"/>
        <w:rPr>
          <w:b/>
          <w:bCs/>
          <w:szCs w:val="26"/>
        </w:rPr>
      </w:pPr>
      <w:r w:rsidRPr="006E05DF">
        <w:rPr>
          <w:b/>
          <w:bCs/>
          <w:szCs w:val="26"/>
        </w:rPr>
        <w:t>A.</w:t>
      </w:r>
      <w:r w:rsidRPr="006E05DF">
        <w:rPr>
          <w:b/>
          <w:bCs/>
          <w:szCs w:val="26"/>
        </w:rPr>
        <w:tab/>
      </w:r>
      <w:r w:rsidRPr="00ED005C">
        <w:rPr>
          <w:b/>
          <w:bCs/>
          <w:i/>
          <w:iCs/>
          <w:szCs w:val="26"/>
        </w:rPr>
        <w:t>Michael</w:t>
      </w:r>
      <w:r w:rsidRPr="00047A8F" w:rsidR="00C00AA5">
        <w:rPr>
          <w:b/>
          <w:bCs/>
          <w:szCs w:val="26"/>
        </w:rPr>
        <w:t xml:space="preserve">’s </w:t>
      </w:r>
      <w:r w:rsidRPr="006E05DF" w:rsidR="00C00AA5">
        <w:rPr>
          <w:b/>
          <w:bCs/>
          <w:szCs w:val="26"/>
        </w:rPr>
        <w:t>Release</w:t>
      </w:r>
    </w:p>
    <w:p w:rsidR="009622BA" w:rsidRPr="006E05DF" w:rsidP="00314A1F">
      <w:pPr>
        <w:rPr>
          <w:szCs w:val="26"/>
        </w:rPr>
      </w:pPr>
      <w:r w:rsidRPr="006E05DF">
        <w:rPr>
          <w:szCs w:val="26"/>
        </w:rPr>
        <w:tab/>
      </w:r>
      <w:r w:rsidRPr="006E05DF" w:rsidR="00B33316">
        <w:rPr>
          <w:szCs w:val="26"/>
        </w:rPr>
        <w:t xml:space="preserve">Michael Jackson died in 2009.  </w:t>
      </w:r>
      <w:r w:rsidRPr="006E05DF" w:rsidR="00425D52">
        <w:rPr>
          <w:szCs w:val="26"/>
        </w:rPr>
        <w:t>A posthumous</w:t>
      </w:r>
      <w:r w:rsidRPr="006E05DF" w:rsidR="00374B4A">
        <w:rPr>
          <w:szCs w:val="26"/>
        </w:rPr>
        <w:t xml:space="preserve">, 2010 </w:t>
      </w:r>
      <w:r w:rsidRPr="006E05DF" w:rsidR="00425D52">
        <w:rPr>
          <w:szCs w:val="26"/>
        </w:rPr>
        <w:t xml:space="preserve">album titled </w:t>
      </w:r>
      <w:r w:rsidRPr="00ED005C" w:rsidR="00425D52">
        <w:rPr>
          <w:i/>
          <w:iCs/>
          <w:szCs w:val="26"/>
        </w:rPr>
        <w:t>Michael</w:t>
      </w:r>
      <w:r w:rsidRPr="006E05DF" w:rsidR="00425D52">
        <w:rPr>
          <w:i/>
          <w:iCs/>
          <w:szCs w:val="26"/>
        </w:rPr>
        <w:t xml:space="preserve"> </w:t>
      </w:r>
      <w:r w:rsidRPr="006E05DF" w:rsidR="00374B4A">
        <w:rPr>
          <w:szCs w:val="26"/>
        </w:rPr>
        <w:t>stirred controversy even before it</w:t>
      </w:r>
      <w:r w:rsidRPr="006E05DF" w:rsidR="00944ACD">
        <w:rPr>
          <w:szCs w:val="26"/>
        </w:rPr>
        <w:t>s release</w:t>
      </w:r>
      <w:r w:rsidRPr="006E05DF" w:rsidR="00425D52">
        <w:rPr>
          <w:szCs w:val="26"/>
        </w:rPr>
        <w:t xml:space="preserve">.  </w:t>
      </w:r>
    </w:p>
    <w:p w:rsidR="0075009A" w:rsidRPr="006E05DF" w:rsidP="00314A1F">
      <w:pPr>
        <w:rPr>
          <w:szCs w:val="26"/>
        </w:rPr>
      </w:pPr>
      <w:r w:rsidRPr="006E05DF">
        <w:rPr>
          <w:szCs w:val="26"/>
        </w:rPr>
        <w:tab/>
      </w:r>
      <w:r w:rsidRPr="006E05DF" w:rsidR="005F2D9D">
        <w:rPr>
          <w:szCs w:val="26"/>
        </w:rPr>
        <w:t>According to Serov</w:t>
      </w:r>
      <w:r w:rsidRPr="006E05DF" w:rsidR="00CF55CD">
        <w:rPr>
          <w:szCs w:val="26"/>
        </w:rPr>
        <w:t>a</w:t>
      </w:r>
      <w:r w:rsidRPr="006E05DF" w:rsidR="005F2D9D">
        <w:rPr>
          <w:szCs w:val="26"/>
        </w:rPr>
        <w:t>, p</w:t>
      </w:r>
      <w:r w:rsidRPr="006E05DF" w:rsidR="00374B4A">
        <w:rPr>
          <w:szCs w:val="26"/>
        </w:rPr>
        <w:t>eople familiar with Jackson’s voice disputed the authenticity of three</w:t>
      </w:r>
      <w:r w:rsidRPr="006E05DF" w:rsidR="00944ACD">
        <w:rPr>
          <w:szCs w:val="26"/>
        </w:rPr>
        <w:t xml:space="preserve"> of the album’s</w:t>
      </w:r>
      <w:r w:rsidRPr="006E05DF" w:rsidR="00374B4A">
        <w:rPr>
          <w:szCs w:val="26"/>
        </w:rPr>
        <w:t xml:space="preserve"> tracks: </w:t>
      </w:r>
      <w:r w:rsidR="00047A8F">
        <w:rPr>
          <w:szCs w:val="26"/>
        </w:rPr>
        <w:t xml:space="preserve"> </w:t>
      </w:r>
      <w:r w:rsidRPr="006E05DF" w:rsidR="00374B4A">
        <w:rPr>
          <w:szCs w:val="26"/>
        </w:rPr>
        <w:t>“Breaking News,” “Monster,” and</w:t>
      </w:r>
      <w:r w:rsidRPr="006E05DF" w:rsidR="00BA4CE9">
        <w:rPr>
          <w:szCs w:val="26"/>
        </w:rPr>
        <w:t xml:space="preserve"> </w:t>
      </w:r>
      <w:r w:rsidRPr="006E05DF" w:rsidR="006117DC">
        <w:rPr>
          <w:szCs w:val="26"/>
        </w:rPr>
        <w:t>“</w:t>
      </w:r>
      <w:r w:rsidRPr="006E05DF" w:rsidR="00374B4A">
        <w:rPr>
          <w:szCs w:val="26"/>
        </w:rPr>
        <w:t xml:space="preserve">Keep Your Head Up.”  </w:t>
      </w:r>
      <w:r w:rsidRPr="006E05DF" w:rsidR="00CB3BAE">
        <w:rPr>
          <w:szCs w:val="26"/>
        </w:rPr>
        <w:t>The</w:t>
      </w:r>
      <w:r w:rsidRPr="006E05DF" w:rsidR="00D14260">
        <w:rPr>
          <w:szCs w:val="26"/>
        </w:rPr>
        <w:t>se</w:t>
      </w:r>
      <w:r w:rsidRPr="006E05DF" w:rsidR="00CB3BAE">
        <w:rPr>
          <w:szCs w:val="26"/>
        </w:rPr>
        <w:t xml:space="preserve"> tracks </w:t>
      </w:r>
      <w:r w:rsidRPr="006E05DF" w:rsidR="00410645">
        <w:rPr>
          <w:szCs w:val="26"/>
        </w:rPr>
        <w:t>apparently</w:t>
      </w:r>
      <w:r w:rsidRPr="006E05DF" w:rsidR="00CB3BAE">
        <w:rPr>
          <w:szCs w:val="26"/>
        </w:rPr>
        <w:t xml:space="preserve"> emerged from a basement recording studio in the New Jersey home of Edward Cascio, whose family had </w:t>
      </w:r>
      <w:r w:rsidRPr="006E05DF" w:rsidR="00F8506A">
        <w:rPr>
          <w:szCs w:val="26"/>
        </w:rPr>
        <w:t>befriended</w:t>
      </w:r>
      <w:r w:rsidRPr="006E05DF" w:rsidR="00CB3BAE">
        <w:rPr>
          <w:szCs w:val="26"/>
        </w:rPr>
        <w:t xml:space="preserve"> Jackson.  </w:t>
      </w:r>
      <w:r w:rsidRPr="006E05DF" w:rsidR="00944ACD">
        <w:rPr>
          <w:szCs w:val="26"/>
        </w:rPr>
        <w:t>D</w:t>
      </w:r>
      <w:r w:rsidRPr="006E05DF">
        <w:rPr>
          <w:szCs w:val="26"/>
        </w:rPr>
        <w:t>oubters</w:t>
      </w:r>
      <w:r w:rsidRPr="006E05DF" w:rsidR="00CF55CD">
        <w:rPr>
          <w:szCs w:val="26"/>
        </w:rPr>
        <w:t xml:space="preserve"> allegedly</w:t>
      </w:r>
      <w:r w:rsidRPr="006E05DF">
        <w:rPr>
          <w:szCs w:val="26"/>
        </w:rPr>
        <w:t xml:space="preserve"> included Jackson’s mother, three of his brothers (of </w:t>
      </w:r>
      <w:r w:rsidRPr="00ED005C">
        <w:rPr>
          <w:szCs w:val="26"/>
        </w:rPr>
        <w:t>The Jackson 5</w:t>
      </w:r>
      <w:r w:rsidRPr="006E05DF">
        <w:rPr>
          <w:szCs w:val="26"/>
        </w:rPr>
        <w:t xml:space="preserve"> fame), </w:t>
      </w:r>
      <w:r w:rsidRPr="006E05DF" w:rsidR="00944ACD">
        <w:rPr>
          <w:szCs w:val="26"/>
        </w:rPr>
        <w:t xml:space="preserve">two of his children, three of his nephews, </w:t>
      </w:r>
      <w:r w:rsidRPr="006E05DF">
        <w:rPr>
          <w:szCs w:val="26"/>
        </w:rPr>
        <w:t xml:space="preserve">and two former music producers.  </w:t>
      </w:r>
    </w:p>
    <w:p w:rsidR="00211C2B" w:rsidRPr="006E05DF" w:rsidP="00314A1F">
      <w:pPr>
        <w:rPr>
          <w:szCs w:val="26"/>
        </w:rPr>
      </w:pPr>
      <w:r w:rsidRPr="006E05DF">
        <w:rPr>
          <w:szCs w:val="26"/>
        </w:rPr>
        <w:tab/>
      </w:r>
      <w:r w:rsidRPr="006E05DF" w:rsidR="00D7483C">
        <w:rPr>
          <w:szCs w:val="26"/>
        </w:rPr>
        <w:t>A</w:t>
      </w:r>
      <w:r w:rsidRPr="006E05DF" w:rsidR="00776103">
        <w:rPr>
          <w:szCs w:val="26"/>
        </w:rPr>
        <w:t xml:space="preserve"> month before </w:t>
      </w:r>
      <w:r w:rsidRPr="00ED005C" w:rsidR="00776103">
        <w:rPr>
          <w:i/>
          <w:iCs/>
          <w:szCs w:val="26"/>
        </w:rPr>
        <w:t>Michae</w:t>
      </w:r>
      <w:r w:rsidRPr="00ED005C" w:rsidR="0075009A">
        <w:rPr>
          <w:i/>
          <w:iCs/>
          <w:szCs w:val="26"/>
        </w:rPr>
        <w:t>l</w:t>
      </w:r>
      <w:r w:rsidRPr="00047A8F" w:rsidR="0075009A">
        <w:rPr>
          <w:szCs w:val="26"/>
        </w:rPr>
        <w:t xml:space="preserve">’s </w:t>
      </w:r>
      <w:r w:rsidRPr="006E05DF" w:rsidR="006248EB">
        <w:rPr>
          <w:szCs w:val="26"/>
        </w:rPr>
        <w:t>debut</w:t>
      </w:r>
      <w:r w:rsidRPr="006E05DF" w:rsidR="00776103">
        <w:rPr>
          <w:szCs w:val="26"/>
        </w:rPr>
        <w:t xml:space="preserve">, </w:t>
      </w:r>
      <w:r w:rsidRPr="006E05DF" w:rsidR="006248EB">
        <w:rPr>
          <w:szCs w:val="26"/>
        </w:rPr>
        <w:t xml:space="preserve">the album’s publisher, </w:t>
      </w:r>
      <w:r w:rsidRPr="006E05DF" w:rsidR="00776103">
        <w:rPr>
          <w:szCs w:val="26"/>
        </w:rPr>
        <w:t xml:space="preserve">Sony </w:t>
      </w:r>
      <w:r w:rsidRPr="006E05DF" w:rsidR="006248EB">
        <w:rPr>
          <w:szCs w:val="26"/>
        </w:rPr>
        <w:t xml:space="preserve">Music Entertainment, </w:t>
      </w:r>
      <w:r w:rsidR="00D54D08">
        <w:rPr>
          <w:szCs w:val="26"/>
        </w:rPr>
        <w:t>spoke to</w:t>
      </w:r>
      <w:r w:rsidRPr="006E05DF" w:rsidR="00D54D08">
        <w:rPr>
          <w:szCs w:val="26"/>
        </w:rPr>
        <w:t xml:space="preserve"> </w:t>
      </w:r>
      <w:r w:rsidRPr="006E05DF" w:rsidR="00B95CE6">
        <w:rPr>
          <w:szCs w:val="26"/>
        </w:rPr>
        <w:t>the</w:t>
      </w:r>
      <w:r w:rsidRPr="006E05DF" w:rsidR="00A911BA">
        <w:rPr>
          <w:szCs w:val="26"/>
        </w:rPr>
        <w:t xml:space="preserve"> </w:t>
      </w:r>
      <w:r w:rsidRPr="006E05DF" w:rsidR="00FF7F87">
        <w:rPr>
          <w:szCs w:val="26"/>
        </w:rPr>
        <w:t>tracks originating from Cascio</w:t>
      </w:r>
      <w:r w:rsidRPr="006E05DF" w:rsidR="00E63322">
        <w:rPr>
          <w:szCs w:val="26"/>
        </w:rPr>
        <w:t>’s basement</w:t>
      </w:r>
      <w:r w:rsidRPr="006E05DF" w:rsidR="006248EB">
        <w:rPr>
          <w:szCs w:val="26"/>
        </w:rPr>
        <w:t xml:space="preserve">.  </w:t>
      </w:r>
      <w:r w:rsidR="000C2D69">
        <w:rPr>
          <w:szCs w:val="26"/>
        </w:rPr>
        <w:t xml:space="preserve">It </w:t>
      </w:r>
      <w:r w:rsidRPr="006E05DF" w:rsidR="00410645">
        <w:rPr>
          <w:szCs w:val="26"/>
        </w:rPr>
        <w:t xml:space="preserve">allegedly </w:t>
      </w:r>
      <w:r w:rsidR="00D54D08">
        <w:rPr>
          <w:szCs w:val="26"/>
        </w:rPr>
        <w:t>offered the public</w:t>
      </w:r>
      <w:r w:rsidRPr="006E05DF" w:rsidR="00410645">
        <w:rPr>
          <w:szCs w:val="26"/>
        </w:rPr>
        <w:t xml:space="preserve"> </w:t>
      </w:r>
      <w:r w:rsidRPr="006E05DF" w:rsidR="006248EB">
        <w:rPr>
          <w:szCs w:val="26"/>
        </w:rPr>
        <w:t xml:space="preserve">“complete confidence in the results of </w:t>
      </w:r>
      <w:r w:rsidRPr="006E05DF" w:rsidR="00561405">
        <w:rPr>
          <w:szCs w:val="26"/>
        </w:rPr>
        <w:t xml:space="preserve">our </w:t>
      </w:r>
      <w:r w:rsidRPr="006E05DF" w:rsidR="006248EB">
        <w:rPr>
          <w:szCs w:val="26"/>
        </w:rPr>
        <w:t xml:space="preserve">extensive research as well as the accounts of those who were in the studio with Michael that the vocals on the new album are his own.” </w:t>
      </w:r>
    </w:p>
    <w:p w:rsidR="00EA2D9C" w:rsidRPr="006E05DF" w:rsidP="00314A1F">
      <w:pPr>
        <w:rPr>
          <w:szCs w:val="26"/>
        </w:rPr>
      </w:pPr>
      <w:r w:rsidRPr="006E05DF">
        <w:rPr>
          <w:szCs w:val="26"/>
        </w:rPr>
        <w:tab/>
      </w:r>
      <w:r w:rsidRPr="006E05DF" w:rsidR="00B8271D">
        <w:rPr>
          <w:szCs w:val="26"/>
        </w:rPr>
        <w:t xml:space="preserve">A week later, </w:t>
      </w:r>
      <w:r w:rsidRPr="006E05DF" w:rsidR="006248EB">
        <w:rPr>
          <w:szCs w:val="26"/>
        </w:rPr>
        <w:t>a</w:t>
      </w:r>
      <w:r w:rsidRPr="006E05DF" w:rsidR="00B8271D">
        <w:rPr>
          <w:szCs w:val="26"/>
        </w:rPr>
        <w:t xml:space="preserve"> lawyer </w:t>
      </w:r>
      <w:r w:rsidRPr="006E05DF" w:rsidR="007C5D4E">
        <w:rPr>
          <w:szCs w:val="26"/>
        </w:rPr>
        <w:t xml:space="preserve">for </w:t>
      </w:r>
      <w:r w:rsidRPr="006E05DF" w:rsidR="00B8271D">
        <w:rPr>
          <w:szCs w:val="26"/>
        </w:rPr>
        <w:t xml:space="preserve">Jackson’s estate </w:t>
      </w:r>
      <w:r w:rsidRPr="006E05DF" w:rsidR="00D7483C">
        <w:rPr>
          <w:szCs w:val="26"/>
        </w:rPr>
        <w:t>issued a</w:t>
      </w:r>
      <w:r w:rsidRPr="006E05DF" w:rsidR="00D14260">
        <w:rPr>
          <w:szCs w:val="26"/>
        </w:rPr>
        <w:t>n open</w:t>
      </w:r>
      <w:r w:rsidRPr="006E05DF" w:rsidR="00D7483C">
        <w:rPr>
          <w:szCs w:val="26"/>
        </w:rPr>
        <w:t xml:space="preserve"> letter</w:t>
      </w:r>
      <w:r w:rsidRPr="006E05DF" w:rsidR="00B8271D">
        <w:rPr>
          <w:szCs w:val="26"/>
        </w:rPr>
        <w:t xml:space="preserve"> </w:t>
      </w:r>
      <w:r w:rsidRPr="006E05DF" w:rsidR="007A762D">
        <w:rPr>
          <w:szCs w:val="26"/>
        </w:rPr>
        <w:t>to fans</w:t>
      </w:r>
      <w:r w:rsidRPr="006E05DF" w:rsidR="006248EB">
        <w:rPr>
          <w:szCs w:val="26"/>
        </w:rPr>
        <w:t xml:space="preserve">.  The </w:t>
      </w:r>
      <w:r w:rsidRPr="006E05DF" w:rsidR="002A7A20">
        <w:rPr>
          <w:szCs w:val="26"/>
        </w:rPr>
        <w:t xml:space="preserve">estate </w:t>
      </w:r>
      <w:r w:rsidRPr="006E05DF" w:rsidR="00A27421">
        <w:rPr>
          <w:szCs w:val="26"/>
        </w:rPr>
        <w:t>named</w:t>
      </w:r>
      <w:r w:rsidRPr="006E05DF" w:rsidR="00B8271D">
        <w:rPr>
          <w:szCs w:val="26"/>
        </w:rPr>
        <w:t xml:space="preserve"> people who believed Jackson </w:t>
      </w:r>
      <w:r w:rsidRPr="006E05DF" w:rsidR="00A27421">
        <w:rPr>
          <w:szCs w:val="26"/>
        </w:rPr>
        <w:t xml:space="preserve">was indeed the </w:t>
      </w:r>
      <w:r w:rsidRPr="006E05DF" w:rsidR="00B8271D">
        <w:rPr>
          <w:szCs w:val="26"/>
        </w:rPr>
        <w:t>lead vocal</w:t>
      </w:r>
      <w:r w:rsidRPr="006E05DF" w:rsidR="00A27421">
        <w:rPr>
          <w:szCs w:val="26"/>
        </w:rPr>
        <w:t>ist</w:t>
      </w:r>
      <w:r w:rsidRPr="006E05DF" w:rsidR="00E835FC">
        <w:rPr>
          <w:szCs w:val="26"/>
        </w:rPr>
        <w:t xml:space="preserve"> on the Cascio tracks</w:t>
      </w:r>
      <w:r w:rsidRPr="006E05DF" w:rsidR="007C5D4E">
        <w:rPr>
          <w:szCs w:val="26"/>
        </w:rPr>
        <w:t>.  These included</w:t>
      </w:r>
      <w:r w:rsidRPr="006E05DF" w:rsidR="00A27421">
        <w:rPr>
          <w:szCs w:val="26"/>
        </w:rPr>
        <w:t xml:space="preserve"> </w:t>
      </w:r>
      <w:r w:rsidRPr="006E05DF" w:rsidR="00B8271D">
        <w:rPr>
          <w:szCs w:val="26"/>
        </w:rPr>
        <w:t xml:space="preserve">six of Jackson’s former producers or engineers, who reviewed </w:t>
      </w:r>
      <w:r w:rsidRPr="006E05DF" w:rsidR="00D7483C">
        <w:rPr>
          <w:szCs w:val="26"/>
        </w:rPr>
        <w:t>raw</w:t>
      </w:r>
      <w:r w:rsidRPr="006E05DF" w:rsidR="00B8271D">
        <w:rPr>
          <w:szCs w:val="26"/>
        </w:rPr>
        <w:t xml:space="preserve"> vocals </w:t>
      </w:r>
      <w:r w:rsidRPr="006E05DF" w:rsidR="00D7483C">
        <w:rPr>
          <w:szCs w:val="26"/>
        </w:rPr>
        <w:t>at a listening session</w:t>
      </w:r>
      <w:r w:rsidRPr="006E05DF" w:rsidR="00B8271D">
        <w:rPr>
          <w:szCs w:val="26"/>
        </w:rPr>
        <w:t xml:space="preserve">; one of Jackson’s previous musical directors; one of Jackson’s vocal directors; two </w:t>
      </w:r>
      <w:r w:rsidRPr="006E05DF" w:rsidR="00CA6C6E">
        <w:rPr>
          <w:szCs w:val="26"/>
        </w:rPr>
        <w:t xml:space="preserve">hired </w:t>
      </w:r>
      <w:r w:rsidRPr="006E05DF" w:rsidR="00B8271D">
        <w:rPr>
          <w:szCs w:val="26"/>
        </w:rPr>
        <w:t xml:space="preserve">forensic musicologists; and two other industry professionals with connections to Jackson.  </w:t>
      </w:r>
      <w:r w:rsidRPr="006E05DF" w:rsidR="00CA6C6E">
        <w:rPr>
          <w:szCs w:val="26"/>
        </w:rPr>
        <w:t xml:space="preserve">The </w:t>
      </w:r>
      <w:r w:rsidRPr="006E05DF" w:rsidR="002A7A20">
        <w:rPr>
          <w:szCs w:val="26"/>
        </w:rPr>
        <w:t>estate</w:t>
      </w:r>
      <w:r w:rsidRPr="006E05DF" w:rsidR="00A27421">
        <w:rPr>
          <w:szCs w:val="26"/>
        </w:rPr>
        <w:t xml:space="preserve">, furthermore, </w:t>
      </w:r>
      <w:r w:rsidRPr="006E05DF" w:rsidR="002A7A20">
        <w:rPr>
          <w:szCs w:val="26"/>
        </w:rPr>
        <w:t xml:space="preserve">had obtained assurances </w:t>
      </w:r>
      <w:r w:rsidRPr="006E05DF" w:rsidR="00CA6C6E">
        <w:rPr>
          <w:szCs w:val="26"/>
        </w:rPr>
        <w:t xml:space="preserve">a Jackson imitator rumored to be involved was not.  </w:t>
      </w:r>
      <w:r w:rsidRPr="006E05DF" w:rsidR="00D7483C">
        <w:rPr>
          <w:szCs w:val="26"/>
        </w:rPr>
        <w:t xml:space="preserve">Though </w:t>
      </w:r>
      <w:r w:rsidRPr="006E05DF" w:rsidR="00A27421">
        <w:rPr>
          <w:szCs w:val="26"/>
        </w:rPr>
        <w:t xml:space="preserve">asserting </w:t>
      </w:r>
      <w:r w:rsidRPr="006E05DF" w:rsidR="00D7483C">
        <w:rPr>
          <w:szCs w:val="26"/>
        </w:rPr>
        <w:t xml:space="preserve">“overwhelming objective evidence” of authenticity, </w:t>
      </w:r>
      <w:r w:rsidRPr="006E05DF" w:rsidR="00A27421">
        <w:rPr>
          <w:szCs w:val="26"/>
        </w:rPr>
        <w:t xml:space="preserve">the </w:t>
      </w:r>
      <w:r w:rsidRPr="006E05DF" w:rsidR="002A7A20">
        <w:rPr>
          <w:szCs w:val="26"/>
        </w:rPr>
        <w:t xml:space="preserve">estate </w:t>
      </w:r>
      <w:r w:rsidRPr="006E05DF" w:rsidR="00D7483C">
        <w:rPr>
          <w:szCs w:val="26"/>
        </w:rPr>
        <w:t xml:space="preserve">pledged </w:t>
      </w:r>
      <w:r w:rsidRPr="006E05DF" w:rsidR="002A7A20">
        <w:rPr>
          <w:szCs w:val="26"/>
        </w:rPr>
        <w:t>to</w:t>
      </w:r>
      <w:r w:rsidRPr="006E05DF" w:rsidR="00A27421">
        <w:rPr>
          <w:szCs w:val="26"/>
        </w:rPr>
        <w:t xml:space="preserve"> </w:t>
      </w:r>
      <w:r w:rsidRPr="006E05DF" w:rsidR="00D7483C">
        <w:rPr>
          <w:szCs w:val="26"/>
        </w:rPr>
        <w:t>follow up and noted, “</w:t>
      </w:r>
      <w:r w:rsidR="00047A8F">
        <w:rPr>
          <w:szCs w:val="26"/>
        </w:rPr>
        <w:t>[U]</w:t>
      </w:r>
      <w:r w:rsidRPr="006E05DF" w:rsidR="00D7483C">
        <w:rPr>
          <w:szCs w:val="26"/>
        </w:rPr>
        <w:t xml:space="preserve">ltimately, Michael’s fans will </w:t>
      </w:r>
      <w:r w:rsidRPr="006E05DF" w:rsidR="00CA6C6E">
        <w:rPr>
          <w:szCs w:val="26"/>
        </w:rPr>
        <w:t xml:space="preserve">be the judges of these songs.”  </w:t>
      </w:r>
    </w:p>
    <w:p w:rsidR="00BF1E79" w:rsidRPr="006E05DF" w:rsidP="00314A1F">
      <w:pPr>
        <w:rPr>
          <w:szCs w:val="26"/>
        </w:rPr>
      </w:pPr>
      <w:r w:rsidRPr="006E05DF">
        <w:rPr>
          <w:szCs w:val="26"/>
        </w:rPr>
        <w:tab/>
      </w:r>
      <w:r w:rsidRPr="006E05DF" w:rsidR="009C1CD7">
        <w:rPr>
          <w:szCs w:val="26"/>
        </w:rPr>
        <w:t xml:space="preserve">As </w:t>
      </w:r>
      <w:r w:rsidRPr="00ED005C" w:rsidR="009C1CD7">
        <w:rPr>
          <w:i/>
          <w:iCs/>
          <w:szCs w:val="26"/>
        </w:rPr>
        <w:t>Michael</w:t>
      </w:r>
      <w:r w:rsidRPr="00047A8F" w:rsidR="009C1CD7">
        <w:rPr>
          <w:szCs w:val="26"/>
        </w:rPr>
        <w:t xml:space="preserve">’s </w:t>
      </w:r>
      <w:r w:rsidRPr="006E05DF" w:rsidR="009C1CD7">
        <w:rPr>
          <w:szCs w:val="26"/>
        </w:rPr>
        <w:t xml:space="preserve">release </w:t>
      </w:r>
      <w:r w:rsidRPr="006E05DF" w:rsidR="006117DC">
        <w:rPr>
          <w:szCs w:val="26"/>
        </w:rPr>
        <w:t>approached</w:t>
      </w:r>
      <w:r w:rsidRPr="006E05DF" w:rsidR="009C1CD7">
        <w:rPr>
          <w:szCs w:val="26"/>
        </w:rPr>
        <w:t xml:space="preserve">, Sony Music Entertainment, the Jackson estate, and possibly MJJ Productions, Inc., </w:t>
      </w:r>
      <w:r w:rsidRPr="006E05DF" w:rsidR="005E5810">
        <w:rPr>
          <w:szCs w:val="26"/>
        </w:rPr>
        <w:t>the</w:t>
      </w:r>
      <w:r w:rsidRPr="006E05DF" w:rsidR="009C1CD7">
        <w:rPr>
          <w:szCs w:val="26"/>
        </w:rPr>
        <w:t xml:space="preserve"> copyright </w:t>
      </w:r>
      <w:r w:rsidRPr="006E05DF" w:rsidR="00E615F9">
        <w:rPr>
          <w:szCs w:val="26"/>
        </w:rPr>
        <w:t xml:space="preserve">holder </w:t>
      </w:r>
      <w:r w:rsidRPr="006E05DF" w:rsidR="007C5D4E">
        <w:rPr>
          <w:szCs w:val="26"/>
        </w:rPr>
        <w:t xml:space="preserve">for </w:t>
      </w:r>
      <w:r w:rsidRPr="00ED005C" w:rsidR="009C1CD7">
        <w:rPr>
          <w:i/>
          <w:iCs/>
          <w:szCs w:val="26"/>
        </w:rPr>
        <w:t>Michael</w:t>
      </w:r>
      <w:r w:rsidRPr="00047A8F" w:rsidR="009C1CD7">
        <w:rPr>
          <w:szCs w:val="26"/>
        </w:rPr>
        <w:t>,</w:t>
      </w:r>
      <w:r w:rsidRPr="006E05DF" w:rsidR="009C1CD7">
        <w:rPr>
          <w:szCs w:val="26"/>
        </w:rPr>
        <w:t xml:space="preserve"> produced a video commercial juxtaposing images of Jackson with a voiceover announcing</w:t>
      </w:r>
      <w:r w:rsidR="00047A8F">
        <w:rPr>
          <w:szCs w:val="26"/>
        </w:rPr>
        <w:t>,</w:t>
      </w:r>
      <w:r w:rsidRPr="006E05DF" w:rsidR="009C1CD7">
        <w:rPr>
          <w:szCs w:val="26"/>
        </w:rPr>
        <w:t xml:space="preserve"> “</w:t>
      </w:r>
      <w:r w:rsidRPr="000B779D" w:rsidR="009C1CD7">
        <w:rPr>
          <w:i/>
          <w:iCs/>
          <w:szCs w:val="26"/>
        </w:rPr>
        <w:t>Michael</w:t>
      </w:r>
      <w:r w:rsidRPr="006E05DF" w:rsidR="009C1CD7">
        <w:rPr>
          <w:szCs w:val="26"/>
        </w:rPr>
        <w:t xml:space="preserve">, </w:t>
      </w:r>
      <w:r w:rsidR="00E5167B">
        <w:rPr>
          <w:szCs w:val="26"/>
        </w:rPr>
        <w:t xml:space="preserve"> </w:t>
      </w:r>
      <w:r w:rsidRPr="006E05DF" w:rsidR="009C1CD7">
        <w:rPr>
          <w:szCs w:val="26"/>
        </w:rPr>
        <w:t xml:space="preserve">the brand new album from the greatest artist of all time.”  Cascio, meanwhile, appeared on </w:t>
      </w:r>
      <w:r w:rsidRPr="006E05DF" w:rsidR="009C1CD7">
        <w:rPr>
          <w:i/>
          <w:iCs/>
          <w:szCs w:val="26"/>
        </w:rPr>
        <w:t>The</w:t>
      </w:r>
      <w:r w:rsidRPr="006E05DF" w:rsidR="009C1CD7">
        <w:rPr>
          <w:szCs w:val="26"/>
        </w:rPr>
        <w:t xml:space="preserve"> </w:t>
      </w:r>
      <w:r w:rsidRPr="006E05DF" w:rsidR="009C1CD7">
        <w:rPr>
          <w:i/>
          <w:iCs/>
          <w:szCs w:val="26"/>
        </w:rPr>
        <w:t>Oprah Winfrey Show</w:t>
      </w:r>
      <w:r w:rsidRPr="006E05DF" w:rsidR="009C1CD7">
        <w:rPr>
          <w:szCs w:val="26"/>
        </w:rPr>
        <w:t xml:space="preserve"> and</w:t>
      </w:r>
      <w:r w:rsidRPr="006E05DF" w:rsidR="005E5810">
        <w:rPr>
          <w:szCs w:val="26"/>
        </w:rPr>
        <w:t>, in a</w:t>
      </w:r>
      <w:r w:rsidRPr="006E05DF" w:rsidR="00E63322">
        <w:rPr>
          <w:szCs w:val="26"/>
        </w:rPr>
        <w:t>n episode</w:t>
      </w:r>
      <w:r w:rsidRPr="006E05DF" w:rsidR="005316E4">
        <w:rPr>
          <w:szCs w:val="26"/>
        </w:rPr>
        <w:t xml:space="preserve"> </w:t>
      </w:r>
      <w:r w:rsidRPr="006E05DF" w:rsidR="00E63322">
        <w:rPr>
          <w:szCs w:val="26"/>
        </w:rPr>
        <w:t xml:space="preserve">featuring </w:t>
      </w:r>
      <w:r w:rsidRPr="006E05DF" w:rsidR="005E5810">
        <w:rPr>
          <w:szCs w:val="26"/>
        </w:rPr>
        <w:t>the album,</w:t>
      </w:r>
      <w:r w:rsidRPr="006E05DF" w:rsidR="009C1CD7">
        <w:rPr>
          <w:szCs w:val="26"/>
        </w:rPr>
        <w:t xml:space="preserve"> asserted Jackson had sung </w:t>
      </w:r>
      <w:r w:rsidRPr="006E05DF" w:rsidR="00AB2D23">
        <w:rPr>
          <w:szCs w:val="26"/>
        </w:rPr>
        <w:t xml:space="preserve">the </w:t>
      </w:r>
      <w:r w:rsidRPr="006E05DF" w:rsidR="009C1CD7">
        <w:rPr>
          <w:szCs w:val="26"/>
        </w:rPr>
        <w:t xml:space="preserve">lead vocals on the disputed tracks.  </w:t>
      </w:r>
    </w:p>
    <w:p w:rsidR="00BF1E79" w:rsidRPr="006E05DF" w:rsidP="00314A1F">
      <w:pPr>
        <w:rPr>
          <w:szCs w:val="26"/>
        </w:rPr>
      </w:pPr>
      <w:r w:rsidRPr="006E05DF">
        <w:rPr>
          <w:szCs w:val="26"/>
        </w:rPr>
        <w:tab/>
      </w:r>
      <w:r w:rsidRPr="006E05DF" w:rsidR="009C1CD7">
        <w:rPr>
          <w:szCs w:val="26"/>
        </w:rPr>
        <w:t xml:space="preserve">When Sony Music Entertainment and the Jackson estate released </w:t>
      </w:r>
      <w:r w:rsidRPr="00ED005C" w:rsidR="009C1CD7">
        <w:rPr>
          <w:i/>
          <w:iCs/>
          <w:szCs w:val="26"/>
        </w:rPr>
        <w:t>Michael</w:t>
      </w:r>
      <w:r w:rsidRPr="006E05DF" w:rsidR="009C1CD7">
        <w:rPr>
          <w:szCs w:val="26"/>
        </w:rPr>
        <w:t>, the album</w:t>
      </w:r>
      <w:r w:rsidRPr="006E05DF" w:rsidR="00E63322">
        <w:rPr>
          <w:szCs w:val="26"/>
        </w:rPr>
        <w:t>’s front</w:t>
      </w:r>
      <w:r w:rsidRPr="006E05DF" w:rsidR="009C1CD7">
        <w:rPr>
          <w:szCs w:val="26"/>
        </w:rPr>
        <w:t xml:space="preserve"> cover contained images of the pop legend.  The album</w:t>
      </w:r>
      <w:r w:rsidRPr="006E05DF" w:rsidR="008008A5">
        <w:rPr>
          <w:szCs w:val="26"/>
        </w:rPr>
        <w:t>’s</w:t>
      </w:r>
      <w:r w:rsidRPr="006E05DF" w:rsidR="009C1CD7">
        <w:rPr>
          <w:szCs w:val="26"/>
        </w:rPr>
        <w:t xml:space="preserve"> </w:t>
      </w:r>
      <w:r w:rsidRPr="006E05DF" w:rsidR="008008A5">
        <w:rPr>
          <w:szCs w:val="26"/>
        </w:rPr>
        <w:t xml:space="preserve">back, </w:t>
      </w:r>
      <w:r w:rsidRPr="006E05DF" w:rsidR="009C1CD7">
        <w:rPr>
          <w:szCs w:val="26"/>
        </w:rPr>
        <w:t xml:space="preserve">after listing the </w:t>
      </w:r>
      <w:r w:rsidRPr="006E05DF" w:rsidR="00F8506A">
        <w:rPr>
          <w:szCs w:val="26"/>
        </w:rPr>
        <w:t xml:space="preserve">included </w:t>
      </w:r>
      <w:r w:rsidRPr="006E05DF" w:rsidR="009C1CD7">
        <w:rPr>
          <w:szCs w:val="26"/>
        </w:rPr>
        <w:t>songs, stated, “This album contains 9 previously unreleased vocal tracks performed by Michael Jackson.”</w:t>
      </w:r>
    </w:p>
    <w:p w:rsidR="00BF1E79" w:rsidRPr="006E05DF" w:rsidP="00314A1F">
      <w:pPr>
        <w:outlineLvl w:val="1"/>
        <w:rPr>
          <w:szCs w:val="26"/>
        </w:rPr>
      </w:pPr>
      <w:r w:rsidRPr="006E05DF">
        <w:rPr>
          <w:b/>
          <w:bCs/>
          <w:szCs w:val="26"/>
        </w:rPr>
        <w:t>B.</w:t>
      </w:r>
      <w:r w:rsidRPr="006E05DF">
        <w:rPr>
          <w:b/>
          <w:bCs/>
          <w:szCs w:val="26"/>
        </w:rPr>
        <w:tab/>
        <w:t xml:space="preserve">Serova Purchases </w:t>
      </w:r>
      <w:r w:rsidRPr="00ED005C">
        <w:rPr>
          <w:b/>
          <w:bCs/>
          <w:i/>
          <w:iCs/>
          <w:szCs w:val="26"/>
        </w:rPr>
        <w:t>Michael</w:t>
      </w:r>
    </w:p>
    <w:p w:rsidR="00BF1E79" w:rsidRPr="006E05DF" w:rsidP="00314A1F">
      <w:pPr>
        <w:rPr>
          <w:szCs w:val="26"/>
        </w:rPr>
      </w:pPr>
      <w:r w:rsidRPr="006E05DF">
        <w:rPr>
          <w:szCs w:val="26"/>
        </w:rPr>
        <w:tab/>
      </w:r>
      <w:r w:rsidRPr="006E05DF" w:rsidR="00704BBB">
        <w:rPr>
          <w:szCs w:val="26"/>
        </w:rPr>
        <w:t>Serova</w:t>
      </w:r>
      <w:r w:rsidRPr="006E05DF" w:rsidR="00D7483C">
        <w:rPr>
          <w:szCs w:val="26"/>
        </w:rPr>
        <w:t xml:space="preserve"> purchased </w:t>
      </w:r>
      <w:r w:rsidRPr="006E05DF" w:rsidR="004A4226">
        <w:rPr>
          <w:szCs w:val="26"/>
        </w:rPr>
        <w:t xml:space="preserve">a CD of </w:t>
      </w:r>
      <w:r w:rsidRPr="00ED005C" w:rsidR="00D7483C">
        <w:rPr>
          <w:i/>
          <w:iCs/>
          <w:szCs w:val="26"/>
        </w:rPr>
        <w:t>Michael</w:t>
      </w:r>
      <w:r w:rsidRPr="006E05DF" w:rsidR="00704BBB">
        <w:rPr>
          <w:szCs w:val="26"/>
        </w:rPr>
        <w:t>, relying</w:t>
      </w:r>
      <w:r w:rsidRPr="006E05DF" w:rsidR="00570444">
        <w:rPr>
          <w:szCs w:val="26"/>
        </w:rPr>
        <w:t>, she claims,</w:t>
      </w:r>
      <w:r w:rsidRPr="006E05DF" w:rsidR="00704BBB">
        <w:rPr>
          <w:szCs w:val="26"/>
        </w:rPr>
        <w:t xml:space="preserve"> on</w:t>
      </w:r>
      <w:r w:rsidRPr="006E05DF" w:rsidR="00B31321">
        <w:rPr>
          <w:szCs w:val="26"/>
        </w:rPr>
        <w:t xml:space="preserve"> </w:t>
      </w:r>
      <w:r w:rsidRPr="006E05DF" w:rsidR="00704BBB">
        <w:rPr>
          <w:szCs w:val="26"/>
        </w:rPr>
        <w:t xml:space="preserve">representations that Jackson </w:t>
      </w:r>
      <w:r w:rsidRPr="006E05DF" w:rsidR="00D7483C">
        <w:rPr>
          <w:szCs w:val="26"/>
        </w:rPr>
        <w:t xml:space="preserve">had sung </w:t>
      </w:r>
      <w:r w:rsidRPr="006E05DF" w:rsidR="00FE64D3">
        <w:rPr>
          <w:szCs w:val="26"/>
        </w:rPr>
        <w:t xml:space="preserve">the </w:t>
      </w:r>
      <w:r w:rsidRPr="006E05DF" w:rsidR="00704BBB">
        <w:rPr>
          <w:szCs w:val="26"/>
        </w:rPr>
        <w:t xml:space="preserve">lead vocals on the Cascio tracks. </w:t>
      </w:r>
      <w:r w:rsidR="00AE6869">
        <w:rPr>
          <w:szCs w:val="26"/>
        </w:rPr>
        <w:t xml:space="preserve"> </w:t>
      </w:r>
      <w:r w:rsidRPr="006E05DF" w:rsidR="005F2D9D">
        <w:rPr>
          <w:szCs w:val="26"/>
        </w:rPr>
        <w:t xml:space="preserve">Specifically, she </w:t>
      </w:r>
      <w:r w:rsidRPr="006E05DF" w:rsidR="00B31321">
        <w:rPr>
          <w:szCs w:val="26"/>
        </w:rPr>
        <w:t xml:space="preserve">claims to have </w:t>
      </w:r>
      <w:r w:rsidRPr="006E05DF" w:rsidR="00B80F1C">
        <w:rPr>
          <w:szCs w:val="26"/>
        </w:rPr>
        <w:t xml:space="preserve">relied </w:t>
      </w:r>
      <w:r w:rsidRPr="006E05DF" w:rsidR="00720DB0">
        <w:rPr>
          <w:szCs w:val="26"/>
        </w:rPr>
        <w:t>up</w:t>
      </w:r>
      <w:r w:rsidRPr="006E05DF" w:rsidR="00B80F1C">
        <w:rPr>
          <w:szCs w:val="26"/>
        </w:rPr>
        <w:t>on</w:t>
      </w:r>
      <w:r w:rsidRPr="006E05DF" w:rsidR="000D6FA6">
        <w:rPr>
          <w:szCs w:val="26"/>
        </w:rPr>
        <w:t xml:space="preserve"> </w:t>
      </w:r>
      <w:r w:rsidRPr="006E05DF" w:rsidR="006C3B8F">
        <w:rPr>
          <w:szCs w:val="26"/>
        </w:rPr>
        <w:t xml:space="preserve">the album’s </w:t>
      </w:r>
      <w:r w:rsidRPr="006E05DF" w:rsidR="00A32ADB">
        <w:rPr>
          <w:szCs w:val="26"/>
        </w:rPr>
        <w:t>packaging,</w:t>
      </w:r>
      <w:r w:rsidRPr="006E05DF" w:rsidR="006C3B8F">
        <w:rPr>
          <w:szCs w:val="26"/>
        </w:rPr>
        <w:t xml:space="preserve"> the video commercial, Cascio’s statements on </w:t>
      </w:r>
      <w:r w:rsidRPr="006E05DF" w:rsidR="006C3B8F">
        <w:rPr>
          <w:i/>
          <w:iCs/>
          <w:szCs w:val="26"/>
        </w:rPr>
        <w:t>The Oprah Winfrey Show</w:t>
      </w:r>
      <w:r w:rsidRPr="006E05DF" w:rsidR="00A32ADB">
        <w:rPr>
          <w:szCs w:val="26"/>
        </w:rPr>
        <w:t>,</w:t>
      </w:r>
      <w:r w:rsidRPr="006E05DF" w:rsidR="006C3B8F">
        <w:rPr>
          <w:szCs w:val="26"/>
        </w:rPr>
        <w:t xml:space="preserve"> and the Jackson estate’s letter.  </w:t>
      </w:r>
    </w:p>
    <w:p w:rsidR="00BF1E79" w:rsidRPr="006E05DF" w:rsidP="00314A1F">
      <w:pPr>
        <w:rPr>
          <w:szCs w:val="26"/>
        </w:rPr>
      </w:pPr>
      <w:r w:rsidRPr="006E05DF">
        <w:rPr>
          <w:szCs w:val="26"/>
        </w:rPr>
        <w:tab/>
      </w:r>
      <w:r w:rsidRPr="006E05DF" w:rsidR="00704BBB">
        <w:rPr>
          <w:szCs w:val="26"/>
        </w:rPr>
        <w:t xml:space="preserve">As </w:t>
      </w:r>
      <w:r w:rsidRPr="006E05DF" w:rsidR="0075009A">
        <w:rPr>
          <w:szCs w:val="26"/>
        </w:rPr>
        <w:t xml:space="preserve">more </w:t>
      </w:r>
      <w:r w:rsidRPr="006E05DF" w:rsidR="007C5AC7">
        <w:rPr>
          <w:szCs w:val="26"/>
        </w:rPr>
        <w:t>information</w:t>
      </w:r>
      <w:r w:rsidRPr="006E05DF" w:rsidR="001D3042">
        <w:rPr>
          <w:szCs w:val="26"/>
        </w:rPr>
        <w:t xml:space="preserve"> about the Cascio tracks </w:t>
      </w:r>
      <w:r w:rsidRPr="006E05DF" w:rsidR="007C5AC7">
        <w:rPr>
          <w:szCs w:val="26"/>
        </w:rPr>
        <w:t>emerged</w:t>
      </w:r>
      <w:r w:rsidRPr="006E05DF" w:rsidR="001D3042">
        <w:rPr>
          <w:szCs w:val="26"/>
        </w:rPr>
        <w:t>, Serova</w:t>
      </w:r>
      <w:r w:rsidRPr="006E05DF" w:rsidR="007C5AC7">
        <w:rPr>
          <w:szCs w:val="26"/>
        </w:rPr>
        <w:t xml:space="preserve"> </w:t>
      </w:r>
      <w:r w:rsidRPr="006E05DF" w:rsidR="001D3042">
        <w:rPr>
          <w:szCs w:val="26"/>
        </w:rPr>
        <w:t xml:space="preserve">began to doubt Jackson was the </w:t>
      </w:r>
      <w:r w:rsidRPr="006E05DF" w:rsidR="007C5AC7">
        <w:rPr>
          <w:szCs w:val="26"/>
        </w:rPr>
        <w:t>lead vocalist</w:t>
      </w:r>
      <w:r w:rsidRPr="006E05DF" w:rsidR="00CF55CD">
        <w:rPr>
          <w:szCs w:val="26"/>
        </w:rPr>
        <w:t>, going so far</w:t>
      </w:r>
      <w:r w:rsidRPr="006E05DF" w:rsidR="008F7744">
        <w:rPr>
          <w:szCs w:val="26"/>
        </w:rPr>
        <w:t>, it appears,</w:t>
      </w:r>
      <w:r w:rsidRPr="006E05DF" w:rsidR="00CF55CD">
        <w:rPr>
          <w:szCs w:val="26"/>
        </w:rPr>
        <w:t xml:space="preserve"> </w:t>
      </w:r>
      <w:r w:rsidRPr="006E05DF" w:rsidR="001D3042">
        <w:rPr>
          <w:szCs w:val="26"/>
        </w:rPr>
        <w:t>as commission</w:t>
      </w:r>
      <w:r w:rsidRPr="006E05DF" w:rsidR="00CF55CD">
        <w:rPr>
          <w:szCs w:val="26"/>
        </w:rPr>
        <w:t>ing</w:t>
      </w:r>
      <w:r w:rsidRPr="006E05DF" w:rsidR="001D3042">
        <w:rPr>
          <w:szCs w:val="26"/>
        </w:rPr>
        <w:t xml:space="preserve"> </w:t>
      </w:r>
      <w:r w:rsidRPr="006E05DF" w:rsidR="00CF55CD">
        <w:rPr>
          <w:szCs w:val="26"/>
        </w:rPr>
        <w:t xml:space="preserve">an </w:t>
      </w:r>
      <w:r w:rsidRPr="006E05DF" w:rsidR="001D3042">
        <w:rPr>
          <w:szCs w:val="26"/>
        </w:rPr>
        <w:t xml:space="preserve">audio expert to evaluate the tracks.  That expert </w:t>
      </w:r>
      <w:r w:rsidRPr="006E05DF" w:rsidR="00CF55CD">
        <w:rPr>
          <w:szCs w:val="26"/>
        </w:rPr>
        <w:t xml:space="preserve">allegedly </w:t>
      </w:r>
      <w:r w:rsidRPr="006E05DF" w:rsidR="001D3042">
        <w:rPr>
          <w:szCs w:val="26"/>
        </w:rPr>
        <w:t xml:space="preserve">found it </w:t>
      </w:r>
      <w:r w:rsidRPr="006E05DF" w:rsidR="00FE64D3">
        <w:rPr>
          <w:szCs w:val="26"/>
        </w:rPr>
        <w:t>“</w:t>
      </w:r>
      <w:r w:rsidRPr="006E05DF" w:rsidR="001D3042">
        <w:rPr>
          <w:szCs w:val="26"/>
        </w:rPr>
        <w:t>very likely</w:t>
      </w:r>
      <w:r w:rsidRPr="006E05DF" w:rsidR="00FE64D3">
        <w:rPr>
          <w:szCs w:val="26"/>
        </w:rPr>
        <w:t>”</w:t>
      </w:r>
      <w:r w:rsidRPr="006E05DF" w:rsidR="001D3042">
        <w:rPr>
          <w:szCs w:val="26"/>
        </w:rPr>
        <w:t xml:space="preserve"> Jackson was </w:t>
      </w:r>
      <w:r w:rsidRPr="006E05DF" w:rsidR="00FE64D3">
        <w:rPr>
          <w:szCs w:val="26"/>
        </w:rPr>
        <w:t xml:space="preserve">not </w:t>
      </w:r>
      <w:r w:rsidRPr="006E05DF" w:rsidR="001D3042">
        <w:rPr>
          <w:szCs w:val="26"/>
        </w:rPr>
        <w:t xml:space="preserve">the singer, and </w:t>
      </w:r>
      <w:r w:rsidRPr="006E05DF" w:rsidR="00FE64D3">
        <w:rPr>
          <w:szCs w:val="26"/>
        </w:rPr>
        <w:t>an independent reviewer</w:t>
      </w:r>
      <w:r w:rsidRPr="006E05DF" w:rsidR="00CF55CD">
        <w:rPr>
          <w:szCs w:val="26"/>
        </w:rPr>
        <w:t xml:space="preserve"> allegedly</w:t>
      </w:r>
      <w:r w:rsidRPr="006E05DF" w:rsidR="00FE64D3">
        <w:rPr>
          <w:szCs w:val="26"/>
        </w:rPr>
        <w:t xml:space="preserve"> </w:t>
      </w:r>
      <w:r w:rsidRPr="006E05DF" w:rsidR="00D7483C">
        <w:rPr>
          <w:szCs w:val="26"/>
        </w:rPr>
        <w:t>found</w:t>
      </w:r>
      <w:r w:rsidRPr="006E05DF" w:rsidR="001D3042">
        <w:rPr>
          <w:szCs w:val="26"/>
        </w:rPr>
        <w:t xml:space="preserve"> th</w:t>
      </w:r>
      <w:r w:rsidRPr="006E05DF" w:rsidR="00FE64D3">
        <w:rPr>
          <w:szCs w:val="26"/>
        </w:rPr>
        <w:t>e</w:t>
      </w:r>
      <w:r w:rsidRPr="006E05DF" w:rsidR="001D3042">
        <w:rPr>
          <w:szCs w:val="26"/>
        </w:rPr>
        <w:t xml:space="preserve"> </w:t>
      </w:r>
      <w:r w:rsidRPr="006E05DF" w:rsidR="00FE64D3">
        <w:rPr>
          <w:szCs w:val="26"/>
        </w:rPr>
        <w:t xml:space="preserve">expert’s </w:t>
      </w:r>
      <w:r w:rsidRPr="006E05DF" w:rsidR="001D3042">
        <w:rPr>
          <w:szCs w:val="26"/>
        </w:rPr>
        <w:t xml:space="preserve">methods and conclusions reasonable.  </w:t>
      </w:r>
    </w:p>
    <w:p w:rsidR="001D3042" w:rsidRPr="006E05DF" w:rsidP="00314A1F">
      <w:pPr>
        <w:rPr>
          <w:szCs w:val="26"/>
        </w:rPr>
      </w:pPr>
      <w:r w:rsidRPr="006E05DF">
        <w:rPr>
          <w:szCs w:val="26"/>
        </w:rPr>
        <w:tab/>
      </w:r>
      <w:r w:rsidRPr="006E05DF">
        <w:rPr>
          <w:szCs w:val="26"/>
        </w:rPr>
        <w:t xml:space="preserve">Serova </w:t>
      </w:r>
      <w:r w:rsidRPr="006E05DF" w:rsidR="004C6676">
        <w:rPr>
          <w:szCs w:val="26"/>
        </w:rPr>
        <w:t xml:space="preserve">also came to suspect that </w:t>
      </w:r>
      <w:r w:rsidRPr="006E05DF">
        <w:rPr>
          <w:szCs w:val="26"/>
        </w:rPr>
        <w:t>Cascio</w:t>
      </w:r>
      <w:r w:rsidRPr="006E05DF" w:rsidR="004C6676">
        <w:rPr>
          <w:szCs w:val="26"/>
        </w:rPr>
        <w:t xml:space="preserve"> and his associates </w:t>
      </w:r>
      <w:r w:rsidRPr="006E05DF">
        <w:rPr>
          <w:szCs w:val="26"/>
        </w:rPr>
        <w:t>had “exclusive knowledge” Jackson was not the</w:t>
      </w:r>
      <w:r w:rsidRPr="006E05DF" w:rsidR="007C5AC7">
        <w:rPr>
          <w:szCs w:val="26"/>
        </w:rPr>
        <w:t xml:space="preserve"> lead</w:t>
      </w:r>
      <w:r w:rsidRPr="006E05DF">
        <w:rPr>
          <w:szCs w:val="26"/>
        </w:rPr>
        <w:t xml:space="preserve"> </w:t>
      </w:r>
      <w:r w:rsidRPr="006E05DF" w:rsidR="007C5AC7">
        <w:rPr>
          <w:szCs w:val="26"/>
        </w:rPr>
        <w:t>vocalist</w:t>
      </w:r>
      <w:r w:rsidRPr="006E05DF">
        <w:rPr>
          <w:szCs w:val="26"/>
        </w:rPr>
        <w:t xml:space="preserve"> and </w:t>
      </w:r>
      <w:r w:rsidRPr="006E05DF" w:rsidR="004C6676">
        <w:rPr>
          <w:szCs w:val="26"/>
        </w:rPr>
        <w:t xml:space="preserve">had </w:t>
      </w:r>
      <w:r w:rsidRPr="006E05DF">
        <w:rPr>
          <w:szCs w:val="26"/>
        </w:rPr>
        <w:t>“actively concealed” this</w:t>
      </w:r>
      <w:r w:rsidRPr="006E05DF" w:rsidR="00170016">
        <w:rPr>
          <w:szCs w:val="26"/>
        </w:rPr>
        <w:t xml:space="preserve"> from Sony Music Entertainment and the Jackson estate</w:t>
      </w:r>
      <w:r w:rsidRPr="006E05DF" w:rsidR="00FF7F87">
        <w:rPr>
          <w:szCs w:val="26"/>
        </w:rPr>
        <w:t xml:space="preserve"> in dealings over the tracks</w:t>
      </w:r>
      <w:r w:rsidRPr="006E05DF">
        <w:rPr>
          <w:szCs w:val="26"/>
        </w:rPr>
        <w:t xml:space="preserve">.  </w:t>
      </w:r>
      <w:r w:rsidRPr="006E05DF" w:rsidR="00FF7F87">
        <w:rPr>
          <w:szCs w:val="26"/>
        </w:rPr>
        <w:t xml:space="preserve">Serova asserts Sony Music Entertainment and the Jackson estate </w:t>
      </w:r>
      <w:r w:rsidRPr="006E05DF">
        <w:rPr>
          <w:szCs w:val="26"/>
        </w:rPr>
        <w:t xml:space="preserve">chose to include </w:t>
      </w:r>
      <w:r w:rsidRPr="006E05DF" w:rsidR="007A762D">
        <w:rPr>
          <w:szCs w:val="26"/>
        </w:rPr>
        <w:t>“</w:t>
      </w:r>
      <w:r w:rsidRPr="006E05DF">
        <w:rPr>
          <w:szCs w:val="26"/>
        </w:rPr>
        <w:t>Breaking News,</w:t>
      </w:r>
      <w:r w:rsidRPr="006E05DF" w:rsidR="007A762D">
        <w:rPr>
          <w:szCs w:val="26"/>
        </w:rPr>
        <w:t>”</w:t>
      </w:r>
      <w:r w:rsidRPr="006E05DF">
        <w:rPr>
          <w:szCs w:val="26"/>
        </w:rPr>
        <w:t xml:space="preserve"> </w:t>
      </w:r>
      <w:r w:rsidRPr="006E05DF" w:rsidR="007A762D">
        <w:rPr>
          <w:szCs w:val="26"/>
        </w:rPr>
        <w:t>“</w:t>
      </w:r>
      <w:r w:rsidRPr="006E05DF">
        <w:rPr>
          <w:szCs w:val="26"/>
        </w:rPr>
        <w:t>Monster,</w:t>
      </w:r>
      <w:r w:rsidRPr="006E05DF" w:rsidR="007A762D">
        <w:rPr>
          <w:szCs w:val="26"/>
        </w:rPr>
        <w:t>”</w:t>
      </w:r>
      <w:r w:rsidRPr="006E05DF">
        <w:rPr>
          <w:szCs w:val="26"/>
        </w:rPr>
        <w:t xml:space="preserve"> and </w:t>
      </w:r>
      <w:r w:rsidRPr="006E05DF" w:rsidR="007A762D">
        <w:rPr>
          <w:szCs w:val="26"/>
        </w:rPr>
        <w:t>“</w:t>
      </w:r>
      <w:r w:rsidRPr="006E05DF">
        <w:rPr>
          <w:szCs w:val="26"/>
        </w:rPr>
        <w:t>Keep Your Head Up</w:t>
      </w:r>
      <w:r w:rsidRPr="006E05DF" w:rsidR="007A762D">
        <w:rPr>
          <w:szCs w:val="26"/>
        </w:rPr>
        <w:t>”</w:t>
      </w:r>
      <w:r w:rsidRPr="006E05DF">
        <w:rPr>
          <w:szCs w:val="26"/>
        </w:rPr>
        <w:t xml:space="preserve"> </w:t>
      </w:r>
      <w:r w:rsidRPr="006E05DF" w:rsidR="002C6484">
        <w:rPr>
          <w:szCs w:val="26"/>
        </w:rPr>
        <w:t>in part</w:t>
      </w:r>
      <w:r w:rsidRPr="006E05DF" w:rsidR="00FF7F87">
        <w:rPr>
          <w:szCs w:val="26"/>
        </w:rPr>
        <w:t xml:space="preserve"> because </w:t>
      </w:r>
      <w:r w:rsidRPr="006E05DF" w:rsidR="009F52EB">
        <w:rPr>
          <w:szCs w:val="26"/>
        </w:rPr>
        <w:t xml:space="preserve">Cascio offered </w:t>
      </w:r>
      <w:r w:rsidRPr="006E05DF" w:rsidR="002C6484">
        <w:rPr>
          <w:szCs w:val="26"/>
        </w:rPr>
        <w:t>assurances</w:t>
      </w:r>
      <w:r w:rsidRPr="006E05DF" w:rsidR="00FF7F87">
        <w:rPr>
          <w:szCs w:val="26"/>
        </w:rPr>
        <w:t xml:space="preserve"> of </w:t>
      </w:r>
      <w:r w:rsidRPr="006E05DF" w:rsidR="00CA26C3">
        <w:rPr>
          <w:szCs w:val="26"/>
        </w:rPr>
        <w:t xml:space="preserve">their </w:t>
      </w:r>
      <w:r w:rsidRPr="006E05DF" w:rsidR="00FF7F87">
        <w:rPr>
          <w:szCs w:val="26"/>
        </w:rPr>
        <w:t>authenticity</w:t>
      </w:r>
      <w:r w:rsidRPr="006E05DF">
        <w:rPr>
          <w:szCs w:val="26"/>
        </w:rPr>
        <w:t xml:space="preserve">.  </w:t>
      </w:r>
    </w:p>
    <w:p w:rsidR="00B26371" w:rsidRPr="006E05DF" w:rsidP="00697AC4">
      <w:pPr>
        <w:spacing w:line="240" w:lineRule="auto"/>
        <w:ind w:left="720" w:hanging="720"/>
        <w:outlineLvl w:val="1"/>
        <w:rPr>
          <w:b/>
          <w:bCs/>
          <w:szCs w:val="26"/>
        </w:rPr>
      </w:pPr>
      <w:r w:rsidRPr="006E05DF">
        <w:rPr>
          <w:b/>
          <w:bCs/>
          <w:szCs w:val="26"/>
        </w:rPr>
        <w:t>C</w:t>
      </w:r>
      <w:r w:rsidRPr="006E05DF">
        <w:rPr>
          <w:b/>
          <w:bCs/>
          <w:szCs w:val="26"/>
        </w:rPr>
        <w:t>.</w:t>
      </w:r>
      <w:r w:rsidRPr="006E05DF">
        <w:rPr>
          <w:b/>
          <w:bCs/>
          <w:szCs w:val="26"/>
        </w:rPr>
        <w:tab/>
      </w:r>
      <w:r w:rsidRPr="006E05DF" w:rsidR="007C5AC7">
        <w:rPr>
          <w:b/>
          <w:bCs/>
          <w:szCs w:val="26"/>
        </w:rPr>
        <w:t xml:space="preserve">Serova’s Class Action Lawsuit and Sony’s Special Motion </w:t>
      </w:r>
      <w:r w:rsidR="008475D5">
        <w:rPr>
          <w:b/>
          <w:bCs/>
          <w:szCs w:val="26"/>
        </w:rPr>
        <w:t>T</w:t>
      </w:r>
      <w:r w:rsidRPr="006E05DF" w:rsidR="007C5AC7">
        <w:rPr>
          <w:b/>
          <w:bCs/>
          <w:szCs w:val="26"/>
        </w:rPr>
        <w:t>o Strike</w:t>
      </w:r>
    </w:p>
    <w:p w:rsidR="00BF1E79" w:rsidRPr="006E05DF" w:rsidP="00314A1F">
      <w:pPr>
        <w:rPr>
          <w:szCs w:val="26"/>
        </w:rPr>
      </w:pPr>
      <w:r w:rsidRPr="006E05DF">
        <w:rPr>
          <w:szCs w:val="26"/>
        </w:rPr>
        <w:tab/>
      </w:r>
      <w:r w:rsidRPr="006E05DF" w:rsidR="00292AED">
        <w:rPr>
          <w:szCs w:val="26"/>
        </w:rPr>
        <w:t xml:space="preserve">Serova filed suit seeking to represent a class of </w:t>
      </w:r>
      <w:r w:rsidR="007B1911">
        <w:rPr>
          <w:szCs w:val="26"/>
        </w:rPr>
        <w:t>all</w:t>
      </w:r>
      <w:r w:rsidRPr="006E05DF" w:rsidR="007B1911">
        <w:rPr>
          <w:szCs w:val="26"/>
        </w:rPr>
        <w:t xml:space="preserve"> </w:t>
      </w:r>
      <w:r w:rsidRPr="006E05DF" w:rsidR="00292AED">
        <w:rPr>
          <w:szCs w:val="26"/>
        </w:rPr>
        <w:t>Californi</w:t>
      </w:r>
      <w:r w:rsidR="007B1911">
        <w:rPr>
          <w:szCs w:val="26"/>
        </w:rPr>
        <w:t>a</w:t>
      </w:r>
      <w:r w:rsidRPr="006E05DF" w:rsidR="00292AED">
        <w:rPr>
          <w:szCs w:val="26"/>
        </w:rPr>
        <w:t xml:space="preserve"> purchase</w:t>
      </w:r>
      <w:r w:rsidR="007B1911">
        <w:rPr>
          <w:szCs w:val="26"/>
        </w:rPr>
        <w:t>rs</w:t>
      </w:r>
      <w:r w:rsidRPr="006E05DF" w:rsidR="00292AED">
        <w:rPr>
          <w:szCs w:val="26"/>
        </w:rPr>
        <w:t xml:space="preserve"> </w:t>
      </w:r>
      <w:r w:rsidRPr="006E05DF" w:rsidR="00310CD7">
        <w:rPr>
          <w:szCs w:val="26"/>
        </w:rPr>
        <w:t xml:space="preserve">of the </w:t>
      </w:r>
      <w:r w:rsidRPr="006E05DF" w:rsidR="00292AED">
        <w:rPr>
          <w:szCs w:val="26"/>
        </w:rPr>
        <w:t xml:space="preserve">Cascio tracks.  She </w:t>
      </w:r>
      <w:r w:rsidRPr="006E05DF" w:rsidR="00310CD7">
        <w:rPr>
          <w:szCs w:val="26"/>
        </w:rPr>
        <w:t>allege</w:t>
      </w:r>
      <w:r w:rsidRPr="006E05DF" w:rsidR="006D1983">
        <w:rPr>
          <w:szCs w:val="26"/>
        </w:rPr>
        <w:t>s</w:t>
      </w:r>
      <w:r w:rsidRPr="006E05DF" w:rsidR="00310CD7">
        <w:rPr>
          <w:szCs w:val="26"/>
        </w:rPr>
        <w:t xml:space="preserve"> </w:t>
      </w:r>
      <w:r w:rsidRPr="006E05DF" w:rsidR="00CF186F">
        <w:rPr>
          <w:szCs w:val="26"/>
        </w:rPr>
        <w:t>Sony Music Entertainment, Jackson’s estate, and MJJ Productions, Inc.</w:t>
      </w:r>
      <w:r w:rsidR="00B9681D">
        <w:rPr>
          <w:szCs w:val="26"/>
        </w:rPr>
        <w:t>,</w:t>
      </w:r>
      <w:r w:rsidRPr="006E05DF" w:rsidR="00CF186F">
        <w:rPr>
          <w:szCs w:val="26"/>
        </w:rPr>
        <w:t xml:space="preserve"> (collectively Sony)</w:t>
      </w:r>
      <w:r w:rsidRPr="006E05DF" w:rsidR="00445642">
        <w:rPr>
          <w:szCs w:val="26"/>
        </w:rPr>
        <w:t xml:space="preserve"> </w:t>
      </w:r>
      <w:r w:rsidRPr="006E05DF" w:rsidR="0070632E">
        <w:rPr>
          <w:szCs w:val="26"/>
        </w:rPr>
        <w:t xml:space="preserve">violated </w:t>
      </w:r>
      <w:r w:rsidRPr="006E05DF" w:rsidR="00292AED">
        <w:rPr>
          <w:szCs w:val="26"/>
        </w:rPr>
        <w:t>the Consumer</w:t>
      </w:r>
      <w:r w:rsidR="00B9681D">
        <w:rPr>
          <w:szCs w:val="26"/>
        </w:rPr>
        <w:t>s</w:t>
      </w:r>
      <w:r w:rsidRPr="006E05DF" w:rsidR="00292AED">
        <w:rPr>
          <w:szCs w:val="26"/>
        </w:rPr>
        <w:t xml:space="preserve"> Legal Remedies Act (CLRA) and the </w:t>
      </w:r>
      <w:r w:rsidR="00B9681D">
        <w:rPr>
          <w:szCs w:val="26"/>
        </w:rPr>
        <w:t>u</w:t>
      </w:r>
      <w:r w:rsidRPr="006E05DF" w:rsidR="00292AED">
        <w:rPr>
          <w:szCs w:val="26"/>
        </w:rPr>
        <w:t xml:space="preserve">nfair </w:t>
      </w:r>
      <w:r w:rsidR="00B9681D">
        <w:rPr>
          <w:szCs w:val="26"/>
        </w:rPr>
        <w:t>c</w:t>
      </w:r>
      <w:r w:rsidRPr="006E05DF" w:rsidR="00292AED">
        <w:rPr>
          <w:szCs w:val="26"/>
        </w:rPr>
        <w:t xml:space="preserve">ompetition </w:t>
      </w:r>
      <w:r w:rsidR="00B9681D">
        <w:rPr>
          <w:szCs w:val="26"/>
        </w:rPr>
        <w:t>l</w:t>
      </w:r>
      <w:r w:rsidRPr="006E05DF" w:rsidR="00292AED">
        <w:rPr>
          <w:szCs w:val="26"/>
        </w:rPr>
        <w:t>aw (UCL)</w:t>
      </w:r>
      <w:r w:rsidRPr="006E05DF" w:rsidR="00445642">
        <w:rPr>
          <w:szCs w:val="26"/>
        </w:rPr>
        <w:t xml:space="preserve"> in marketing the disputed songs</w:t>
      </w:r>
      <w:r w:rsidRPr="006E05DF" w:rsidR="00AB112F">
        <w:rPr>
          <w:szCs w:val="26"/>
        </w:rPr>
        <w:t xml:space="preserve"> through the </w:t>
      </w:r>
      <w:r w:rsidRPr="006E05DF" w:rsidR="00445642">
        <w:rPr>
          <w:szCs w:val="26"/>
        </w:rPr>
        <w:t>album packaging, video commercial, and estat</w:t>
      </w:r>
      <w:r w:rsidRPr="006E05DF" w:rsidR="00AB112F">
        <w:rPr>
          <w:szCs w:val="26"/>
        </w:rPr>
        <w:t>e</w:t>
      </w:r>
      <w:r w:rsidRPr="006E05DF" w:rsidR="00445642">
        <w:rPr>
          <w:szCs w:val="26"/>
        </w:rPr>
        <w:t xml:space="preserve"> letter</w:t>
      </w:r>
      <w:r w:rsidRPr="006E05DF" w:rsidR="00292AED">
        <w:rPr>
          <w:szCs w:val="26"/>
        </w:rPr>
        <w:t xml:space="preserve">.  </w:t>
      </w:r>
      <w:r w:rsidRPr="006E05DF" w:rsidR="0070632E">
        <w:rPr>
          <w:szCs w:val="26"/>
        </w:rPr>
        <w:t xml:space="preserve">She </w:t>
      </w:r>
      <w:r w:rsidRPr="006E05DF" w:rsidR="00310CD7">
        <w:rPr>
          <w:szCs w:val="26"/>
        </w:rPr>
        <w:t>allege</w:t>
      </w:r>
      <w:r w:rsidRPr="006E05DF" w:rsidR="0033129B">
        <w:rPr>
          <w:szCs w:val="26"/>
        </w:rPr>
        <w:t>s</w:t>
      </w:r>
      <w:r w:rsidRPr="006E05DF" w:rsidR="0070632E">
        <w:rPr>
          <w:szCs w:val="26"/>
        </w:rPr>
        <w:t xml:space="preserve"> Cascio</w:t>
      </w:r>
      <w:r w:rsidRPr="006E05DF" w:rsidR="004C6676">
        <w:rPr>
          <w:szCs w:val="26"/>
        </w:rPr>
        <w:t xml:space="preserve"> and his associates not only violated those </w:t>
      </w:r>
      <w:r w:rsidRPr="006E05DF" w:rsidR="008A17A5">
        <w:rPr>
          <w:szCs w:val="26"/>
        </w:rPr>
        <w:t xml:space="preserve">same </w:t>
      </w:r>
      <w:r w:rsidRPr="006E05DF" w:rsidR="004A4226">
        <w:rPr>
          <w:szCs w:val="26"/>
        </w:rPr>
        <w:t>consumer protection</w:t>
      </w:r>
      <w:r w:rsidRPr="006E05DF" w:rsidR="004C6676">
        <w:rPr>
          <w:szCs w:val="26"/>
        </w:rPr>
        <w:t xml:space="preserve"> </w:t>
      </w:r>
      <w:r w:rsidRPr="006E05DF" w:rsidR="007A762D">
        <w:rPr>
          <w:szCs w:val="26"/>
        </w:rPr>
        <w:t>laws</w:t>
      </w:r>
      <w:r w:rsidRPr="006E05DF" w:rsidR="004C6676">
        <w:rPr>
          <w:szCs w:val="26"/>
        </w:rPr>
        <w:t>, but</w:t>
      </w:r>
      <w:r w:rsidRPr="006E05DF" w:rsidR="007C5D4E">
        <w:rPr>
          <w:szCs w:val="26"/>
        </w:rPr>
        <w:t xml:space="preserve"> also intentionally defrauded her and her fellow purchasers with misstatements on </w:t>
      </w:r>
      <w:r w:rsidRPr="006E05DF" w:rsidR="007C5D4E">
        <w:rPr>
          <w:i/>
          <w:iCs/>
          <w:szCs w:val="26"/>
        </w:rPr>
        <w:t xml:space="preserve">The Oprah Winfrey Show </w:t>
      </w:r>
      <w:r w:rsidRPr="006E05DF" w:rsidR="007C5D4E">
        <w:rPr>
          <w:szCs w:val="26"/>
        </w:rPr>
        <w:t>and, indirectly, by deceiving Sony</w:t>
      </w:r>
      <w:r w:rsidRPr="006E05DF" w:rsidR="0070632E">
        <w:rPr>
          <w:szCs w:val="26"/>
        </w:rPr>
        <w:t xml:space="preserve">.  </w:t>
      </w:r>
      <w:r w:rsidRPr="006E05DF" w:rsidR="00C277ED">
        <w:rPr>
          <w:szCs w:val="26"/>
        </w:rPr>
        <w:t>Serova</w:t>
      </w:r>
      <w:r w:rsidRPr="006E05DF" w:rsidR="00DD46AE">
        <w:rPr>
          <w:szCs w:val="26"/>
        </w:rPr>
        <w:t xml:space="preserve"> sought </w:t>
      </w:r>
      <w:r w:rsidRPr="006E05DF" w:rsidR="0033129B">
        <w:rPr>
          <w:szCs w:val="26"/>
        </w:rPr>
        <w:t>to enjoin</w:t>
      </w:r>
      <w:r w:rsidRPr="006E05DF" w:rsidR="00DD46AE">
        <w:rPr>
          <w:szCs w:val="26"/>
        </w:rPr>
        <w:t xml:space="preserve"> marketing the Cascio tracks as Jackson</w:t>
      </w:r>
      <w:r w:rsidRPr="006E05DF" w:rsidR="00E63322">
        <w:rPr>
          <w:szCs w:val="26"/>
        </w:rPr>
        <w:t xml:space="preserve"> performances</w:t>
      </w:r>
      <w:r w:rsidRPr="006E05DF" w:rsidR="00C871C9">
        <w:rPr>
          <w:szCs w:val="26"/>
        </w:rPr>
        <w:t xml:space="preserve"> and to obtain</w:t>
      </w:r>
      <w:r w:rsidRPr="006E05DF" w:rsidR="00DD2BF9">
        <w:rPr>
          <w:szCs w:val="26"/>
        </w:rPr>
        <w:t xml:space="preserve"> restitution</w:t>
      </w:r>
      <w:r w:rsidRPr="006E05DF" w:rsidR="00C871C9">
        <w:rPr>
          <w:szCs w:val="26"/>
        </w:rPr>
        <w:t xml:space="preserve">, </w:t>
      </w:r>
      <w:r w:rsidRPr="006E05DF" w:rsidR="00DD2BF9">
        <w:rPr>
          <w:szCs w:val="26"/>
        </w:rPr>
        <w:t xml:space="preserve">disgorgement of profits, damages, punitive damages, costs of suit, and attorney fees.  </w:t>
      </w:r>
    </w:p>
    <w:p w:rsidR="00BF1E79" w:rsidRPr="006E05DF" w:rsidP="00314A1F">
      <w:pPr>
        <w:rPr>
          <w:szCs w:val="26"/>
        </w:rPr>
      </w:pPr>
      <w:r w:rsidRPr="006E05DF">
        <w:rPr>
          <w:szCs w:val="26"/>
        </w:rPr>
        <w:tab/>
      </w:r>
      <w:r w:rsidRPr="006E05DF" w:rsidR="00587BDE">
        <w:rPr>
          <w:szCs w:val="26"/>
        </w:rPr>
        <w:t xml:space="preserve">Sony filed a special motion to strike </w:t>
      </w:r>
      <w:r w:rsidRPr="006E05DF">
        <w:rPr>
          <w:szCs w:val="26"/>
        </w:rPr>
        <w:t>Serova’s</w:t>
      </w:r>
      <w:r w:rsidRPr="006E05DF" w:rsidR="00587BDE">
        <w:rPr>
          <w:szCs w:val="26"/>
        </w:rPr>
        <w:t xml:space="preserve"> CLRA and UCL causes of action, invoking Code of Civil Procedure section 425.16.  This statute</w:t>
      </w:r>
      <w:r w:rsidR="00437868">
        <w:rPr>
          <w:szCs w:val="26"/>
        </w:rPr>
        <w:t> </w:t>
      </w:r>
      <w:r w:rsidRPr="006E05DF" w:rsidR="00587BDE">
        <w:rPr>
          <w:szCs w:val="26"/>
        </w:rPr>
        <w:t>—</w:t>
      </w:r>
      <w:r w:rsidR="00B9681D">
        <w:rPr>
          <w:szCs w:val="26"/>
        </w:rPr>
        <w:t xml:space="preserve"> </w:t>
      </w:r>
      <w:r w:rsidRPr="006E05DF" w:rsidR="00587BDE">
        <w:rPr>
          <w:szCs w:val="26"/>
        </w:rPr>
        <w:t>the anti-SLAPP statute</w:t>
      </w:r>
      <w:r w:rsidR="00437868">
        <w:rPr>
          <w:szCs w:val="26"/>
        </w:rPr>
        <w:t> </w:t>
      </w:r>
      <w:r w:rsidRPr="006E05DF" w:rsidR="00587BDE">
        <w:rPr>
          <w:szCs w:val="26"/>
        </w:rPr>
        <w:t>—</w:t>
      </w:r>
      <w:r w:rsidR="00B9681D">
        <w:rPr>
          <w:szCs w:val="26"/>
        </w:rPr>
        <w:t xml:space="preserve"> </w:t>
      </w:r>
      <w:r w:rsidRPr="006E05DF" w:rsidR="00CB215E">
        <w:rPr>
          <w:szCs w:val="26"/>
        </w:rPr>
        <w:t>calls for</w:t>
      </w:r>
      <w:r w:rsidRPr="006E05DF" w:rsidR="00587BDE">
        <w:rPr>
          <w:szCs w:val="26"/>
        </w:rPr>
        <w:t xml:space="preserve"> early </w:t>
      </w:r>
      <w:r w:rsidRPr="006E05DF" w:rsidR="007A762D">
        <w:rPr>
          <w:szCs w:val="26"/>
        </w:rPr>
        <w:t xml:space="preserve">dismissal of claims </w:t>
      </w:r>
      <w:r w:rsidRPr="006E05DF" w:rsidR="00587BDE">
        <w:rPr>
          <w:szCs w:val="26"/>
        </w:rPr>
        <w:t xml:space="preserve">if they arise from </w:t>
      </w:r>
      <w:r w:rsidRPr="006E05DF" w:rsidR="007C5AC7">
        <w:rPr>
          <w:szCs w:val="26"/>
        </w:rPr>
        <w:t xml:space="preserve">a defendant’s </w:t>
      </w:r>
      <w:r w:rsidRPr="006E05DF" w:rsidR="00A9318E">
        <w:rPr>
          <w:szCs w:val="26"/>
        </w:rPr>
        <w:t xml:space="preserve">acts in furtherance of free </w:t>
      </w:r>
      <w:r w:rsidRPr="006E05DF" w:rsidR="00587BDE">
        <w:rPr>
          <w:szCs w:val="26"/>
        </w:rPr>
        <w:t xml:space="preserve">speech </w:t>
      </w:r>
      <w:r w:rsidRPr="006E05DF" w:rsidR="00A9318E">
        <w:rPr>
          <w:szCs w:val="26"/>
        </w:rPr>
        <w:t>rights</w:t>
      </w:r>
      <w:r w:rsidRPr="006E05DF" w:rsidR="001D127F">
        <w:rPr>
          <w:szCs w:val="26"/>
        </w:rPr>
        <w:t xml:space="preserve"> </w:t>
      </w:r>
      <w:r w:rsidRPr="006E05DF" w:rsidR="00A9318E">
        <w:rPr>
          <w:szCs w:val="26"/>
        </w:rPr>
        <w:t>in connection with a public issue</w:t>
      </w:r>
      <w:r w:rsidRPr="006E05DF" w:rsidR="00425867">
        <w:rPr>
          <w:szCs w:val="26"/>
        </w:rPr>
        <w:t xml:space="preserve"> </w:t>
      </w:r>
      <w:r w:rsidRPr="006E05DF" w:rsidR="001D127F">
        <w:rPr>
          <w:szCs w:val="26"/>
        </w:rPr>
        <w:t xml:space="preserve">and if </w:t>
      </w:r>
      <w:r w:rsidRPr="006E05DF" w:rsidR="004C09CC">
        <w:rPr>
          <w:szCs w:val="26"/>
        </w:rPr>
        <w:t xml:space="preserve">a </w:t>
      </w:r>
      <w:r w:rsidRPr="006E05DF" w:rsidR="001D127F">
        <w:rPr>
          <w:szCs w:val="26"/>
        </w:rPr>
        <w:t>plaintiff cannot demonstrate a probability of prevailing</w:t>
      </w:r>
      <w:r w:rsidRPr="006E05DF" w:rsidR="00587BDE">
        <w:rPr>
          <w:szCs w:val="26"/>
        </w:rPr>
        <w:t xml:space="preserve">.  </w:t>
      </w:r>
      <w:r w:rsidRPr="006E05DF" w:rsidR="001D127F">
        <w:rPr>
          <w:szCs w:val="26"/>
        </w:rPr>
        <w:t xml:space="preserve">(§ 425.16, subd. (b)(1).)  </w:t>
      </w:r>
      <w:r w:rsidRPr="006E05DF" w:rsidR="001A489D">
        <w:rPr>
          <w:szCs w:val="26"/>
        </w:rPr>
        <w:t>Sony</w:t>
      </w:r>
      <w:r w:rsidRPr="006E05DF" w:rsidR="004F7D73">
        <w:rPr>
          <w:szCs w:val="26"/>
        </w:rPr>
        <w:t xml:space="preserve">’s memorandum of points and authorities supporting its motion </w:t>
      </w:r>
      <w:r w:rsidRPr="006E05DF" w:rsidR="001A489D">
        <w:rPr>
          <w:szCs w:val="26"/>
        </w:rPr>
        <w:t xml:space="preserve">argued </w:t>
      </w:r>
      <w:r w:rsidRPr="006E05DF" w:rsidR="008A0F0E">
        <w:rPr>
          <w:szCs w:val="26"/>
        </w:rPr>
        <w:t xml:space="preserve">the </w:t>
      </w:r>
      <w:r w:rsidRPr="006E05DF" w:rsidR="001A489D">
        <w:rPr>
          <w:szCs w:val="26"/>
        </w:rPr>
        <w:t>album</w:t>
      </w:r>
      <w:r w:rsidR="00D75E23">
        <w:rPr>
          <w:szCs w:val="26"/>
        </w:rPr>
        <w:noBreakHyphen/>
      </w:r>
      <w:r w:rsidRPr="006E05DF" w:rsidR="001A489D">
        <w:rPr>
          <w:szCs w:val="26"/>
        </w:rPr>
        <w:t xml:space="preserve">back statement, </w:t>
      </w:r>
      <w:r w:rsidRPr="006E05DF" w:rsidR="008A0F0E">
        <w:rPr>
          <w:szCs w:val="26"/>
        </w:rPr>
        <w:t>video commercial</w:t>
      </w:r>
      <w:r w:rsidRPr="006E05DF" w:rsidR="005C7CC1">
        <w:rPr>
          <w:szCs w:val="26"/>
        </w:rPr>
        <w:t xml:space="preserve"> (which it assumed, for the motion, </w:t>
      </w:r>
      <w:r w:rsidRPr="006E05DF" w:rsidR="002A54C1">
        <w:rPr>
          <w:szCs w:val="26"/>
        </w:rPr>
        <w:t xml:space="preserve">similarly </w:t>
      </w:r>
      <w:r w:rsidRPr="006E05DF" w:rsidR="005C7CC1">
        <w:rPr>
          <w:szCs w:val="26"/>
        </w:rPr>
        <w:t xml:space="preserve">conveyed that Jackson had sung all of </w:t>
      </w:r>
      <w:r w:rsidRPr="00ED005C" w:rsidR="005C7CC1">
        <w:rPr>
          <w:i/>
          <w:iCs/>
          <w:szCs w:val="26"/>
        </w:rPr>
        <w:t>Michael</w:t>
      </w:r>
      <w:r w:rsidRPr="00B9681D" w:rsidR="005C7CC1">
        <w:rPr>
          <w:szCs w:val="26"/>
        </w:rPr>
        <w:t xml:space="preserve">’s </w:t>
      </w:r>
      <w:r w:rsidRPr="006E05DF" w:rsidR="005C7CC1">
        <w:rPr>
          <w:szCs w:val="26"/>
        </w:rPr>
        <w:t>lead vocals)</w:t>
      </w:r>
      <w:r w:rsidRPr="006E05DF" w:rsidR="008A0F0E">
        <w:rPr>
          <w:szCs w:val="26"/>
        </w:rPr>
        <w:t xml:space="preserve">, and estate letter </w:t>
      </w:r>
      <w:r w:rsidRPr="006E05DF" w:rsidR="001A489D">
        <w:rPr>
          <w:szCs w:val="26"/>
        </w:rPr>
        <w:t xml:space="preserve">were protected </w:t>
      </w:r>
      <w:r w:rsidRPr="006E05DF" w:rsidR="008A0F0E">
        <w:rPr>
          <w:szCs w:val="26"/>
        </w:rPr>
        <w:t>by the anti-SLAPP statute</w:t>
      </w:r>
      <w:r w:rsidRPr="006E05DF" w:rsidR="001A489D">
        <w:rPr>
          <w:szCs w:val="26"/>
        </w:rPr>
        <w:t xml:space="preserve"> and </w:t>
      </w:r>
      <w:r w:rsidRPr="006E05DF" w:rsidR="00D86745">
        <w:rPr>
          <w:szCs w:val="26"/>
        </w:rPr>
        <w:t xml:space="preserve">were </w:t>
      </w:r>
      <w:r w:rsidRPr="006E05DF" w:rsidR="001A489D">
        <w:rPr>
          <w:szCs w:val="26"/>
        </w:rPr>
        <w:t xml:space="preserve">not actionable. </w:t>
      </w:r>
    </w:p>
    <w:p w:rsidR="00BF1E79" w:rsidRPr="006E05DF" w:rsidP="00314A1F">
      <w:pPr>
        <w:rPr>
          <w:szCs w:val="26"/>
        </w:rPr>
      </w:pPr>
      <w:r w:rsidRPr="006E05DF">
        <w:rPr>
          <w:szCs w:val="26"/>
        </w:rPr>
        <w:tab/>
      </w:r>
      <w:r w:rsidRPr="006E05DF" w:rsidR="006B4F3D">
        <w:rPr>
          <w:szCs w:val="26"/>
        </w:rPr>
        <w:t>To facilitate having its motion to strike heard without discovery (see § 425.16, subd. (g) [allowing discovery</w:t>
      </w:r>
      <w:r w:rsidRPr="006E05DF" w:rsidR="001D127F">
        <w:rPr>
          <w:szCs w:val="26"/>
        </w:rPr>
        <w:t xml:space="preserve"> </w:t>
      </w:r>
      <w:r w:rsidRPr="006E05DF" w:rsidR="004C09CC">
        <w:rPr>
          <w:szCs w:val="26"/>
        </w:rPr>
        <w:t xml:space="preserve">into challenged claims </w:t>
      </w:r>
      <w:r w:rsidRPr="006E05DF" w:rsidR="001D127F">
        <w:rPr>
          <w:szCs w:val="26"/>
        </w:rPr>
        <w:t>for good cause]), Sony stipulated it would</w:t>
      </w:r>
      <w:r w:rsidRPr="006E05DF" w:rsidR="00C33457">
        <w:rPr>
          <w:szCs w:val="26"/>
        </w:rPr>
        <w:t>, for the time being,</w:t>
      </w:r>
      <w:r w:rsidRPr="006E05DF" w:rsidR="001D127F">
        <w:rPr>
          <w:szCs w:val="26"/>
        </w:rPr>
        <w:t xml:space="preserve"> only </w:t>
      </w:r>
      <w:r w:rsidRPr="006E05DF" w:rsidR="00257597">
        <w:rPr>
          <w:szCs w:val="26"/>
        </w:rPr>
        <w:t>argue</w:t>
      </w:r>
      <w:r w:rsidRPr="006E05DF" w:rsidR="001D127F">
        <w:rPr>
          <w:szCs w:val="26"/>
        </w:rPr>
        <w:t xml:space="preserve"> Serova’s consumer deception claims </w:t>
      </w:r>
      <w:r w:rsidRPr="006E05DF" w:rsidR="00257597">
        <w:rPr>
          <w:szCs w:val="26"/>
        </w:rPr>
        <w:t xml:space="preserve">lacked merit </w:t>
      </w:r>
      <w:r w:rsidRPr="006E05DF" w:rsidR="00425867">
        <w:rPr>
          <w:szCs w:val="26"/>
        </w:rPr>
        <w:t xml:space="preserve">for two reasons: </w:t>
      </w:r>
      <w:r w:rsidR="00B9681D">
        <w:rPr>
          <w:szCs w:val="26"/>
        </w:rPr>
        <w:t xml:space="preserve"> </w:t>
      </w:r>
      <w:r w:rsidRPr="006E05DF" w:rsidR="00665F1A">
        <w:rPr>
          <w:szCs w:val="26"/>
        </w:rPr>
        <w:t>(</w:t>
      </w:r>
      <w:r w:rsidRPr="006E05DF" w:rsidR="001D127F">
        <w:rPr>
          <w:szCs w:val="26"/>
        </w:rPr>
        <w:t>1)</w:t>
      </w:r>
      <w:r w:rsidRPr="006E05DF" w:rsidR="00425867">
        <w:rPr>
          <w:szCs w:val="26"/>
        </w:rPr>
        <w:t xml:space="preserve"> its speech was</w:t>
      </w:r>
      <w:r w:rsidRPr="006E05DF" w:rsidR="001D127F">
        <w:rPr>
          <w:szCs w:val="26"/>
        </w:rPr>
        <w:t xml:space="preserve"> noncommercial, </w:t>
      </w:r>
      <w:r w:rsidRPr="006E05DF" w:rsidR="00CB215E">
        <w:rPr>
          <w:szCs w:val="26"/>
        </w:rPr>
        <w:t xml:space="preserve">conferring it heightened First Amendment protection and putting it beyond the reach of consumer </w:t>
      </w:r>
      <w:r w:rsidRPr="006E05DF" w:rsidR="00CA7DDE">
        <w:rPr>
          <w:szCs w:val="26"/>
        </w:rPr>
        <w:t xml:space="preserve">protection </w:t>
      </w:r>
      <w:r w:rsidRPr="006E05DF" w:rsidR="00CB215E">
        <w:rPr>
          <w:szCs w:val="26"/>
        </w:rPr>
        <w:t xml:space="preserve">laws; </w:t>
      </w:r>
      <w:r w:rsidRPr="006E05DF" w:rsidR="001D127F">
        <w:rPr>
          <w:szCs w:val="26"/>
        </w:rPr>
        <w:t>and (2)</w:t>
      </w:r>
      <w:r w:rsidRPr="006E05DF" w:rsidR="00425867">
        <w:rPr>
          <w:szCs w:val="26"/>
        </w:rPr>
        <w:t xml:space="preserve"> its speech was</w:t>
      </w:r>
      <w:r w:rsidRPr="006E05DF" w:rsidR="001D127F">
        <w:rPr>
          <w:szCs w:val="26"/>
        </w:rPr>
        <w:t xml:space="preserve"> </w:t>
      </w:r>
      <w:r w:rsidRPr="006E05DF" w:rsidR="001875D1">
        <w:rPr>
          <w:szCs w:val="26"/>
        </w:rPr>
        <w:t>“</w:t>
      </w:r>
      <w:r w:rsidRPr="006E05DF" w:rsidR="001D127F">
        <w:rPr>
          <w:szCs w:val="26"/>
        </w:rPr>
        <w:t xml:space="preserve">not </w:t>
      </w:r>
      <w:r w:rsidRPr="006E05DF" w:rsidR="001875D1">
        <w:rPr>
          <w:szCs w:val="26"/>
        </w:rPr>
        <w:t xml:space="preserve">sufficiently </w:t>
      </w:r>
      <w:r w:rsidRPr="006E05DF" w:rsidR="001D127F">
        <w:rPr>
          <w:szCs w:val="26"/>
        </w:rPr>
        <w:t xml:space="preserve">false </w:t>
      </w:r>
      <w:r w:rsidRPr="006E05DF" w:rsidR="001875D1">
        <w:rPr>
          <w:szCs w:val="26"/>
        </w:rPr>
        <w:t>or misleading</w:t>
      </w:r>
      <w:r w:rsidRPr="006E05DF" w:rsidR="00CB215E">
        <w:rPr>
          <w:szCs w:val="26"/>
        </w:rPr>
        <w:t>,</w:t>
      </w:r>
      <w:r w:rsidRPr="006E05DF" w:rsidR="00257597">
        <w:rPr>
          <w:szCs w:val="26"/>
        </w:rPr>
        <w:t>” even “</w:t>
      </w:r>
      <w:r w:rsidRPr="006E05DF" w:rsidR="001875D1">
        <w:rPr>
          <w:szCs w:val="26"/>
        </w:rPr>
        <w:t xml:space="preserve">assuming solely for purposes of this determination . . . Michael Jackson did not sing the lead vocals on” the Cascio tracks. </w:t>
      </w:r>
      <w:r w:rsidRPr="006E05DF" w:rsidR="0062080A">
        <w:rPr>
          <w:szCs w:val="26"/>
        </w:rPr>
        <w:t xml:space="preserve"> </w:t>
      </w:r>
      <w:r w:rsidRPr="006E05DF" w:rsidR="00425867">
        <w:rPr>
          <w:szCs w:val="26"/>
        </w:rPr>
        <w:t xml:space="preserve">Because </w:t>
      </w:r>
      <w:r w:rsidRPr="006E05DF" w:rsidR="00C33457">
        <w:rPr>
          <w:szCs w:val="26"/>
        </w:rPr>
        <w:t xml:space="preserve">Sony </w:t>
      </w:r>
      <w:r w:rsidRPr="006E05DF" w:rsidR="00425867">
        <w:rPr>
          <w:szCs w:val="26"/>
        </w:rPr>
        <w:t xml:space="preserve">did </w:t>
      </w:r>
      <w:r w:rsidRPr="006E05DF" w:rsidR="00C33457">
        <w:rPr>
          <w:szCs w:val="26"/>
        </w:rPr>
        <w:t xml:space="preserve">not </w:t>
      </w:r>
      <w:r w:rsidRPr="006E05DF" w:rsidR="00542981">
        <w:rPr>
          <w:szCs w:val="26"/>
        </w:rPr>
        <w:t xml:space="preserve">otherwise </w:t>
      </w:r>
      <w:r w:rsidRPr="006E05DF" w:rsidR="00895F45">
        <w:rPr>
          <w:szCs w:val="26"/>
        </w:rPr>
        <w:t>contest</w:t>
      </w:r>
      <w:r w:rsidRPr="006E05DF" w:rsidR="00425867">
        <w:rPr>
          <w:szCs w:val="26"/>
        </w:rPr>
        <w:t xml:space="preserve"> the merits of</w:t>
      </w:r>
      <w:r w:rsidRPr="006E05DF" w:rsidR="00C33457">
        <w:rPr>
          <w:szCs w:val="26"/>
        </w:rPr>
        <w:t xml:space="preserve"> Serova</w:t>
      </w:r>
      <w:r w:rsidRPr="006E05DF" w:rsidR="00425867">
        <w:rPr>
          <w:szCs w:val="26"/>
        </w:rPr>
        <w:t>’s claims,</w:t>
      </w:r>
      <w:r w:rsidRPr="006E05DF" w:rsidR="006C3B8F">
        <w:rPr>
          <w:szCs w:val="26"/>
        </w:rPr>
        <w:t xml:space="preserve"> </w:t>
      </w:r>
      <w:r w:rsidRPr="006E05DF" w:rsidR="00425867">
        <w:rPr>
          <w:szCs w:val="26"/>
        </w:rPr>
        <w:t xml:space="preserve">Serova </w:t>
      </w:r>
      <w:r w:rsidRPr="006E05DF" w:rsidR="007C35AA">
        <w:rPr>
          <w:szCs w:val="26"/>
        </w:rPr>
        <w:t xml:space="preserve">had no reason to </w:t>
      </w:r>
      <w:r w:rsidRPr="006E05DF" w:rsidR="00425867">
        <w:rPr>
          <w:szCs w:val="26"/>
        </w:rPr>
        <w:t>otherwise support them.</w:t>
      </w:r>
      <w:r>
        <w:rPr>
          <w:rStyle w:val="FootnoteReference"/>
          <w:szCs w:val="26"/>
        </w:rPr>
        <w:footnoteReference w:id="4"/>
      </w:r>
    </w:p>
    <w:p w:rsidR="00BF1E79" w:rsidRPr="006E05DF" w:rsidP="00314A1F">
      <w:pPr>
        <w:rPr>
          <w:szCs w:val="26"/>
        </w:rPr>
      </w:pPr>
      <w:r w:rsidRPr="006E05DF">
        <w:rPr>
          <w:szCs w:val="26"/>
        </w:rPr>
        <w:tab/>
      </w:r>
      <w:r w:rsidRPr="006E05DF" w:rsidR="00570444">
        <w:rPr>
          <w:szCs w:val="26"/>
        </w:rPr>
        <w:t xml:space="preserve">The superior court partially granted Sony’s motion. </w:t>
      </w:r>
      <w:r w:rsidRPr="006E05DF" w:rsidR="002663A8">
        <w:rPr>
          <w:szCs w:val="26"/>
        </w:rPr>
        <w:t xml:space="preserve"> </w:t>
      </w:r>
      <w:r w:rsidRPr="006E05DF" w:rsidR="00704823">
        <w:rPr>
          <w:szCs w:val="26"/>
        </w:rPr>
        <w:t xml:space="preserve">It ruled </w:t>
      </w:r>
      <w:r w:rsidRPr="006E05DF" w:rsidR="004E722A">
        <w:rPr>
          <w:szCs w:val="26"/>
        </w:rPr>
        <w:t xml:space="preserve">Serova’s challenges to </w:t>
      </w:r>
      <w:r w:rsidRPr="006E05DF" w:rsidR="00405EBF">
        <w:rPr>
          <w:szCs w:val="26"/>
        </w:rPr>
        <w:t xml:space="preserve">the album </w:t>
      </w:r>
      <w:r w:rsidRPr="006E05DF" w:rsidR="00895F45">
        <w:rPr>
          <w:szCs w:val="26"/>
        </w:rPr>
        <w:t>packaging</w:t>
      </w:r>
      <w:r w:rsidRPr="006E05DF" w:rsidR="00405EBF">
        <w:rPr>
          <w:szCs w:val="26"/>
        </w:rPr>
        <w:t xml:space="preserve">, video commercial, and estate letter </w:t>
      </w:r>
      <w:r w:rsidRPr="006E05DF" w:rsidR="00BD1EFF">
        <w:rPr>
          <w:szCs w:val="26"/>
        </w:rPr>
        <w:t>targeted</w:t>
      </w:r>
      <w:r w:rsidRPr="006E05DF" w:rsidR="004E722A">
        <w:rPr>
          <w:szCs w:val="26"/>
        </w:rPr>
        <w:t xml:space="preserve"> </w:t>
      </w:r>
      <w:r w:rsidRPr="006E05DF" w:rsidR="00405EBF">
        <w:rPr>
          <w:szCs w:val="26"/>
        </w:rPr>
        <w:t xml:space="preserve">protected speech under the anti-SLAPP statute.  </w:t>
      </w:r>
      <w:r w:rsidRPr="006E05DF" w:rsidR="00BD1EFF">
        <w:rPr>
          <w:szCs w:val="26"/>
        </w:rPr>
        <w:t xml:space="preserve">The superior court viewed </w:t>
      </w:r>
      <w:r w:rsidRPr="006E05DF" w:rsidR="00405EBF">
        <w:rPr>
          <w:szCs w:val="26"/>
        </w:rPr>
        <w:t xml:space="preserve">the letter </w:t>
      </w:r>
      <w:r w:rsidRPr="006E05DF" w:rsidR="00BD1EFF">
        <w:rPr>
          <w:szCs w:val="26"/>
        </w:rPr>
        <w:t xml:space="preserve">as </w:t>
      </w:r>
      <w:r w:rsidRPr="006E05DF" w:rsidR="00405EBF">
        <w:rPr>
          <w:szCs w:val="26"/>
        </w:rPr>
        <w:t>noncommercial speech</w:t>
      </w:r>
      <w:r w:rsidRPr="006E05DF" w:rsidR="00CB215E">
        <w:rPr>
          <w:szCs w:val="26"/>
        </w:rPr>
        <w:t xml:space="preserve"> unregulable under t</w:t>
      </w:r>
      <w:r w:rsidRPr="006E05DF" w:rsidR="00F81026">
        <w:rPr>
          <w:szCs w:val="26"/>
        </w:rPr>
        <w:t>he CLRA and UCL</w:t>
      </w:r>
      <w:r w:rsidRPr="006E05DF" w:rsidR="00BD1EFF">
        <w:rPr>
          <w:szCs w:val="26"/>
        </w:rPr>
        <w:t xml:space="preserve">.  But it concluded </w:t>
      </w:r>
      <w:r w:rsidRPr="006E05DF" w:rsidR="00405EBF">
        <w:rPr>
          <w:szCs w:val="26"/>
        </w:rPr>
        <w:t xml:space="preserve">the album </w:t>
      </w:r>
      <w:r w:rsidRPr="006E05DF" w:rsidR="00895F45">
        <w:rPr>
          <w:szCs w:val="26"/>
        </w:rPr>
        <w:t>packaging</w:t>
      </w:r>
      <w:r w:rsidRPr="006E05DF" w:rsidR="00F81026">
        <w:rPr>
          <w:szCs w:val="26"/>
        </w:rPr>
        <w:t xml:space="preserve"> and</w:t>
      </w:r>
      <w:r w:rsidRPr="006E05DF" w:rsidR="00CB76B2">
        <w:rPr>
          <w:szCs w:val="26"/>
        </w:rPr>
        <w:t xml:space="preserve"> </w:t>
      </w:r>
      <w:r w:rsidRPr="006E05DF" w:rsidR="00405EBF">
        <w:rPr>
          <w:szCs w:val="26"/>
        </w:rPr>
        <w:t>video</w:t>
      </w:r>
      <w:r w:rsidRPr="006E05DF" w:rsidR="00CB76B2">
        <w:rPr>
          <w:szCs w:val="26"/>
        </w:rPr>
        <w:t xml:space="preserve"> </w:t>
      </w:r>
      <w:r w:rsidRPr="006E05DF" w:rsidR="00BD1EFF">
        <w:rPr>
          <w:szCs w:val="26"/>
        </w:rPr>
        <w:t xml:space="preserve">were </w:t>
      </w:r>
      <w:r w:rsidRPr="006E05DF" w:rsidR="00405EBF">
        <w:rPr>
          <w:szCs w:val="26"/>
        </w:rPr>
        <w:t xml:space="preserve">commercial speech </w:t>
      </w:r>
      <w:r w:rsidRPr="006E05DF" w:rsidR="00CB76B2">
        <w:rPr>
          <w:szCs w:val="26"/>
        </w:rPr>
        <w:t>that</w:t>
      </w:r>
      <w:r w:rsidRPr="006E05DF" w:rsidR="00405EBF">
        <w:rPr>
          <w:szCs w:val="26"/>
        </w:rPr>
        <w:t xml:space="preserve">, given Sony’s </w:t>
      </w:r>
      <w:r w:rsidRPr="006E05DF" w:rsidR="00615DFD">
        <w:rPr>
          <w:szCs w:val="26"/>
        </w:rPr>
        <w:t>stipulation</w:t>
      </w:r>
      <w:r w:rsidRPr="006E05DF" w:rsidR="00405EBF">
        <w:rPr>
          <w:szCs w:val="26"/>
        </w:rPr>
        <w:t xml:space="preserve">, </w:t>
      </w:r>
      <w:r w:rsidRPr="006E05DF" w:rsidR="001F533F">
        <w:rPr>
          <w:szCs w:val="26"/>
        </w:rPr>
        <w:t xml:space="preserve">could </w:t>
      </w:r>
      <w:r w:rsidRPr="006E05DF" w:rsidR="002A54C1">
        <w:rPr>
          <w:szCs w:val="26"/>
        </w:rPr>
        <w:t xml:space="preserve">be </w:t>
      </w:r>
      <w:r w:rsidRPr="006E05DF" w:rsidR="001F533F">
        <w:rPr>
          <w:szCs w:val="26"/>
        </w:rPr>
        <w:t xml:space="preserve">sufficiently false or misleading to permit </w:t>
      </w:r>
      <w:r w:rsidRPr="006E05DF" w:rsidR="00405EBF">
        <w:rPr>
          <w:szCs w:val="26"/>
        </w:rPr>
        <w:t xml:space="preserve">Serova’s lawsuit </w:t>
      </w:r>
      <w:r w:rsidRPr="006E05DF" w:rsidR="001F533F">
        <w:rPr>
          <w:szCs w:val="26"/>
        </w:rPr>
        <w:t xml:space="preserve">to </w:t>
      </w:r>
      <w:r w:rsidRPr="006E05DF" w:rsidR="00405EBF">
        <w:rPr>
          <w:szCs w:val="26"/>
        </w:rPr>
        <w:t>procee</w:t>
      </w:r>
      <w:r w:rsidRPr="006E05DF" w:rsidR="00CB76B2">
        <w:rPr>
          <w:szCs w:val="26"/>
        </w:rPr>
        <w:t>d</w:t>
      </w:r>
      <w:r w:rsidRPr="006E05DF" w:rsidR="00405EBF">
        <w:rPr>
          <w:szCs w:val="26"/>
        </w:rPr>
        <w:t xml:space="preserve">. </w:t>
      </w:r>
      <w:r w:rsidRPr="006E05DF" w:rsidR="00370F6B">
        <w:rPr>
          <w:szCs w:val="26"/>
        </w:rPr>
        <w:t xml:space="preserve"> </w:t>
      </w:r>
    </w:p>
    <w:p w:rsidR="00BF1E79" w:rsidRPr="006E05DF" w:rsidP="00314A1F">
      <w:pPr>
        <w:rPr>
          <w:szCs w:val="26"/>
        </w:rPr>
      </w:pPr>
      <w:r w:rsidRPr="006E05DF">
        <w:rPr>
          <w:szCs w:val="26"/>
        </w:rPr>
        <w:tab/>
      </w:r>
      <w:r w:rsidRPr="006E05DF" w:rsidR="001A3DC6">
        <w:rPr>
          <w:szCs w:val="26"/>
        </w:rPr>
        <w:t>Sony</w:t>
      </w:r>
      <w:r w:rsidRPr="006E05DF" w:rsidR="004E722A">
        <w:rPr>
          <w:szCs w:val="26"/>
        </w:rPr>
        <w:t xml:space="preserve"> </w:t>
      </w:r>
      <w:r w:rsidRPr="006E05DF" w:rsidR="001A3DC6">
        <w:rPr>
          <w:szCs w:val="26"/>
        </w:rPr>
        <w:t>appealed</w:t>
      </w:r>
      <w:r w:rsidRPr="006E05DF" w:rsidR="004E722A">
        <w:rPr>
          <w:szCs w:val="26"/>
        </w:rPr>
        <w:t>, but Serova did not</w:t>
      </w:r>
      <w:r w:rsidRPr="006E05DF" w:rsidR="00442CA4">
        <w:rPr>
          <w:szCs w:val="26"/>
        </w:rPr>
        <w:t xml:space="preserve">, removing the estate’s letter from </w:t>
      </w:r>
      <w:r w:rsidRPr="006E05DF" w:rsidR="001F533F">
        <w:rPr>
          <w:szCs w:val="26"/>
        </w:rPr>
        <w:t xml:space="preserve">the present </w:t>
      </w:r>
      <w:r w:rsidRPr="006E05DF" w:rsidR="00442CA4">
        <w:rPr>
          <w:szCs w:val="26"/>
        </w:rPr>
        <w:t>dispute</w:t>
      </w:r>
      <w:r w:rsidRPr="006E05DF" w:rsidR="00704823">
        <w:rPr>
          <w:szCs w:val="26"/>
        </w:rPr>
        <w:t xml:space="preserve">.  </w:t>
      </w:r>
      <w:r w:rsidRPr="006E05DF" w:rsidR="004E722A">
        <w:rPr>
          <w:szCs w:val="26"/>
        </w:rPr>
        <w:t>(</w:t>
      </w:r>
      <w:r w:rsidRPr="006E05DF" w:rsidR="004E722A">
        <w:rPr>
          <w:i/>
          <w:iCs/>
          <w:szCs w:val="26"/>
        </w:rPr>
        <w:t>Serova v. Sony Music Entertainment</w:t>
      </w:r>
      <w:r w:rsidRPr="006E05DF" w:rsidR="004E722A">
        <w:rPr>
          <w:szCs w:val="26"/>
        </w:rPr>
        <w:t xml:space="preserve"> (2018) 26 Cal.App.5th 759, 769</w:t>
      </w:r>
      <w:r w:rsidRPr="006E05DF" w:rsidR="005B39C8">
        <w:rPr>
          <w:szCs w:val="26"/>
        </w:rPr>
        <w:t>–</w:t>
      </w:r>
      <w:r w:rsidRPr="006E05DF" w:rsidR="004E722A">
        <w:rPr>
          <w:szCs w:val="26"/>
        </w:rPr>
        <w:t>770 &amp; fn. 5.)  The Court of Appeal</w:t>
      </w:r>
      <w:r w:rsidRPr="006E05DF" w:rsidR="00A36AD6">
        <w:rPr>
          <w:szCs w:val="26"/>
        </w:rPr>
        <w:t xml:space="preserve"> agreed with the superior court that </w:t>
      </w:r>
      <w:r w:rsidRPr="006E05DF" w:rsidR="004E722A">
        <w:rPr>
          <w:szCs w:val="26"/>
        </w:rPr>
        <w:t xml:space="preserve">Serova’s challenges to the album </w:t>
      </w:r>
      <w:r w:rsidRPr="006E05DF" w:rsidR="00704823">
        <w:rPr>
          <w:szCs w:val="26"/>
        </w:rPr>
        <w:t>packaging</w:t>
      </w:r>
      <w:r w:rsidRPr="006E05DF" w:rsidR="004E722A">
        <w:rPr>
          <w:szCs w:val="26"/>
        </w:rPr>
        <w:t xml:space="preserve"> and video </w:t>
      </w:r>
      <w:r w:rsidRPr="006E05DF" w:rsidR="00A36AD6">
        <w:rPr>
          <w:szCs w:val="26"/>
        </w:rPr>
        <w:t>targeted</w:t>
      </w:r>
      <w:r w:rsidRPr="006E05DF" w:rsidR="004E722A">
        <w:rPr>
          <w:szCs w:val="26"/>
        </w:rPr>
        <w:t xml:space="preserve"> </w:t>
      </w:r>
      <w:r w:rsidRPr="006E05DF" w:rsidR="00EB5FFF">
        <w:rPr>
          <w:szCs w:val="26"/>
        </w:rPr>
        <w:t xml:space="preserve">Sony’s </w:t>
      </w:r>
      <w:r w:rsidRPr="006E05DF" w:rsidR="004E722A">
        <w:rPr>
          <w:szCs w:val="26"/>
        </w:rPr>
        <w:t>protected speech.  (</w:t>
      </w:r>
      <w:r w:rsidRPr="006E05DF" w:rsidR="004E722A">
        <w:rPr>
          <w:i/>
          <w:iCs/>
          <w:szCs w:val="26"/>
        </w:rPr>
        <w:t>Id.</w:t>
      </w:r>
      <w:r w:rsidRPr="006E05DF" w:rsidR="004E722A">
        <w:rPr>
          <w:szCs w:val="26"/>
        </w:rPr>
        <w:t xml:space="preserve"> at pp. 772</w:t>
      </w:r>
      <w:r w:rsidRPr="006E05DF" w:rsidR="005B39C8">
        <w:rPr>
          <w:szCs w:val="26"/>
        </w:rPr>
        <w:t>–</w:t>
      </w:r>
      <w:r w:rsidRPr="006E05DF" w:rsidR="004E722A">
        <w:rPr>
          <w:szCs w:val="26"/>
        </w:rPr>
        <w:t>773.)  But it concluded th</w:t>
      </w:r>
      <w:r w:rsidRPr="006E05DF" w:rsidR="00984BB7">
        <w:rPr>
          <w:szCs w:val="26"/>
        </w:rPr>
        <w:t>is</w:t>
      </w:r>
      <w:r w:rsidRPr="006E05DF" w:rsidR="00BA4F37">
        <w:rPr>
          <w:szCs w:val="26"/>
        </w:rPr>
        <w:t xml:space="preserve"> speech</w:t>
      </w:r>
      <w:r w:rsidRPr="006E05DF" w:rsidR="004E722A">
        <w:rPr>
          <w:szCs w:val="26"/>
        </w:rPr>
        <w:t xml:space="preserve"> </w:t>
      </w:r>
      <w:r w:rsidRPr="006E05DF" w:rsidR="00BA4F37">
        <w:rPr>
          <w:szCs w:val="26"/>
        </w:rPr>
        <w:t xml:space="preserve">was </w:t>
      </w:r>
      <w:r w:rsidRPr="006E05DF" w:rsidR="00704823">
        <w:rPr>
          <w:szCs w:val="26"/>
        </w:rPr>
        <w:t xml:space="preserve">more than mere </w:t>
      </w:r>
      <w:r w:rsidRPr="006E05DF" w:rsidR="004E722A">
        <w:rPr>
          <w:szCs w:val="26"/>
        </w:rPr>
        <w:t>commercial speech</w:t>
      </w:r>
      <w:r w:rsidRPr="006E05DF" w:rsidR="00AF5FD0">
        <w:rPr>
          <w:szCs w:val="26"/>
        </w:rPr>
        <w:t xml:space="preserve"> for purposes of the First Amendment</w:t>
      </w:r>
      <w:r w:rsidRPr="006E05DF" w:rsidR="00F81026">
        <w:rPr>
          <w:szCs w:val="26"/>
        </w:rPr>
        <w:t xml:space="preserve"> </w:t>
      </w:r>
      <w:r w:rsidRPr="006E05DF" w:rsidR="00AF5FD0">
        <w:rPr>
          <w:szCs w:val="26"/>
        </w:rPr>
        <w:t>and</w:t>
      </w:r>
      <w:r w:rsidRPr="006E05DF" w:rsidR="00BA4F37">
        <w:rPr>
          <w:szCs w:val="26"/>
        </w:rPr>
        <w:t xml:space="preserve"> </w:t>
      </w:r>
      <w:r w:rsidRPr="006E05DF" w:rsidR="00AF5FD0">
        <w:rPr>
          <w:szCs w:val="26"/>
        </w:rPr>
        <w:t xml:space="preserve">therefore immune from </w:t>
      </w:r>
      <w:r w:rsidRPr="006E05DF" w:rsidR="00F81026">
        <w:rPr>
          <w:szCs w:val="26"/>
        </w:rPr>
        <w:t>the statutes Serova had invoked</w:t>
      </w:r>
      <w:r w:rsidRPr="006E05DF" w:rsidR="004E722A">
        <w:rPr>
          <w:szCs w:val="26"/>
        </w:rPr>
        <w:t>.  (</w:t>
      </w:r>
      <w:r w:rsidRPr="006E05DF" w:rsidR="004E722A">
        <w:rPr>
          <w:i/>
          <w:iCs/>
          <w:szCs w:val="26"/>
        </w:rPr>
        <w:t>Id.</w:t>
      </w:r>
      <w:r w:rsidRPr="006E05DF" w:rsidR="004E722A">
        <w:rPr>
          <w:szCs w:val="26"/>
        </w:rPr>
        <w:t xml:space="preserve"> at pp. 773</w:t>
      </w:r>
      <w:r w:rsidRPr="006E05DF" w:rsidR="005B39C8">
        <w:rPr>
          <w:szCs w:val="26"/>
        </w:rPr>
        <w:t>–</w:t>
      </w:r>
      <w:r w:rsidRPr="006E05DF" w:rsidR="004E722A">
        <w:rPr>
          <w:szCs w:val="26"/>
        </w:rPr>
        <w:t>781.)</w:t>
      </w:r>
      <w:r w:rsidRPr="006E05DF" w:rsidR="00AF5FD0">
        <w:rPr>
          <w:szCs w:val="26"/>
        </w:rPr>
        <w:t xml:space="preserve">  Accordingly, the Court of Appeal </w:t>
      </w:r>
      <w:r w:rsidRPr="006E05DF" w:rsidR="0098313D">
        <w:rPr>
          <w:szCs w:val="26"/>
        </w:rPr>
        <w:t xml:space="preserve">effectively </w:t>
      </w:r>
      <w:r w:rsidRPr="006E05DF" w:rsidR="00FF5FD3">
        <w:rPr>
          <w:szCs w:val="26"/>
        </w:rPr>
        <w:t>directed</w:t>
      </w:r>
      <w:r w:rsidRPr="006E05DF" w:rsidR="00AF5FD0">
        <w:rPr>
          <w:szCs w:val="26"/>
        </w:rPr>
        <w:t xml:space="preserve"> judgment for Sony</w:t>
      </w:r>
      <w:r w:rsidRPr="006E05DF" w:rsidR="00EB5FFF">
        <w:rPr>
          <w:szCs w:val="26"/>
        </w:rPr>
        <w:t xml:space="preserve"> in full</w:t>
      </w:r>
      <w:r w:rsidRPr="006E05DF" w:rsidR="00AF5FD0">
        <w:rPr>
          <w:szCs w:val="26"/>
        </w:rPr>
        <w:t>.  (</w:t>
      </w:r>
      <w:r w:rsidRPr="006E05DF" w:rsidR="00AF5FD0">
        <w:rPr>
          <w:i/>
          <w:iCs/>
          <w:szCs w:val="26"/>
        </w:rPr>
        <w:t>Id.</w:t>
      </w:r>
      <w:r w:rsidRPr="006E05DF" w:rsidR="00AF5FD0">
        <w:rPr>
          <w:szCs w:val="26"/>
        </w:rPr>
        <w:t xml:space="preserve"> at p. 782.)</w:t>
      </w:r>
    </w:p>
    <w:p w:rsidR="00CA7DDE" w:rsidP="00314A1F">
      <w:pPr>
        <w:rPr>
          <w:szCs w:val="26"/>
        </w:rPr>
      </w:pPr>
      <w:r w:rsidRPr="006E05DF">
        <w:rPr>
          <w:szCs w:val="26"/>
        </w:rPr>
        <w:tab/>
      </w:r>
      <w:r w:rsidRPr="006E05DF" w:rsidR="00AF5FD0">
        <w:rPr>
          <w:szCs w:val="26"/>
        </w:rPr>
        <w:t xml:space="preserve">We granted Serova’s petition for review but </w:t>
      </w:r>
      <w:r w:rsidRPr="006E05DF" w:rsidR="00704823">
        <w:rPr>
          <w:szCs w:val="26"/>
        </w:rPr>
        <w:t xml:space="preserve">paused </w:t>
      </w:r>
      <w:r w:rsidRPr="006E05DF" w:rsidR="005E5FF3">
        <w:rPr>
          <w:szCs w:val="26"/>
        </w:rPr>
        <w:t xml:space="preserve">all </w:t>
      </w:r>
      <w:r w:rsidRPr="006E05DF" w:rsidR="00704823">
        <w:rPr>
          <w:szCs w:val="26"/>
        </w:rPr>
        <w:t xml:space="preserve">proceedings </w:t>
      </w:r>
      <w:r w:rsidRPr="006E05DF" w:rsidR="005E5FF3">
        <w:rPr>
          <w:szCs w:val="26"/>
        </w:rPr>
        <w:t xml:space="preserve">related to her petition </w:t>
      </w:r>
      <w:r w:rsidRPr="006E05DF" w:rsidR="00704823">
        <w:rPr>
          <w:szCs w:val="26"/>
        </w:rPr>
        <w:t xml:space="preserve">for </w:t>
      </w:r>
      <w:r w:rsidRPr="006E05DF" w:rsidR="00AF5FD0">
        <w:rPr>
          <w:i/>
          <w:iCs/>
          <w:szCs w:val="26"/>
        </w:rPr>
        <w:t>FilmOn.com v. DoubleVerify, Inc.</w:t>
      </w:r>
      <w:r w:rsidRPr="00D75F4A" w:rsidR="00D75F4A">
        <w:rPr>
          <w:i/>
          <w:iCs/>
          <w:szCs w:val="26"/>
        </w:rPr>
        <w:t xml:space="preserve"> </w:t>
      </w:r>
      <w:r w:rsidRPr="006E05DF" w:rsidR="00D75F4A">
        <w:rPr>
          <w:szCs w:val="26"/>
        </w:rPr>
        <w:t>(2019) 7 Cal.5th 133</w:t>
      </w:r>
      <w:r w:rsidR="00156D6D">
        <w:rPr>
          <w:szCs w:val="26"/>
        </w:rPr>
        <w:t>,</w:t>
      </w:r>
      <w:r w:rsidRPr="006E05DF" w:rsidR="00AF5FD0">
        <w:rPr>
          <w:szCs w:val="26"/>
        </w:rPr>
        <w:t xml:space="preserve"> </w:t>
      </w:r>
      <w:r w:rsidRPr="006E05DF" w:rsidR="00647E0E">
        <w:rPr>
          <w:szCs w:val="26"/>
        </w:rPr>
        <w:t xml:space="preserve">which also concerned </w:t>
      </w:r>
      <w:r w:rsidRPr="006E05DF" w:rsidR="004359E0">
        <w:rPr>
          <w:szCs w:val="26"/>
        </w:rPr>
        <w:t xml:space="preserve">the </w:t>
      </w:r>
      <w:r w:rsidRPr="006E05DF" w:rsidR="00241582">
        <w:rPr>
          <w:szCs w:val="26"/>
        </w:rPr>
        <w:t>anti</w:t>
      </w:r>
      <w:r w:rsidRPr="006E05DF" w:rsidR="004359E0">
        <w:rPr>
          <w:szCs w:val="26"/>
        </w:rPr>
        <w:t>-SLAPP statute</w:t>
      </w:r>
      <w:r w:rsidRPr="006E05DF" w:rsidR="00647E0E">
        <w:rPr>
          <w:szCs w:val="26"/>
        </w:rPr>
        <w:t xml:space="preserve"> and </w:t>
      </w:r>
      <w:r w:rsidRPr="006E05DF" w:rsidR="00FE6BD8">
        <w:rPr>
          <w:szCs w:val="26"/>
        </w:rPr>
        <w:t>corporate</w:t>
      </w:r>
      <w:r w:rsidRPr="006E05DF" w:rsidR="004359E0">
        <w:rPr>
          <w:szCs w:val="26"/>
        </w:rPr>
        <w:t xml:space="preserve"> speech</w:t>
      </w:r>
      <w:r w:rsidRPr="006E05DF" w:rsidR="00AF5FD0">
        <w:rPr>
          <w:szCs w:val="26"/>
        </w:rPr>
        <w:t xml:space="preserve">.  After </w:t>
      </w:r>
      <w:r w:rsidRPr="006E05DF" w:rsidR="00B467E1">
        <w:rPr>
          <w:szCs w:val="26"/>
        </w:rPr>
        <w:t>resolving</w:t>
      </w:r>
      <w:r w:rsidRPr="006E05DF" w:rsidR="00AF5FD0">
        <w:rPr>
          <w:szCs w:val="26"/>
        </w:rPr>
        <w:t xml:space="preserve"> </w:t>
      </w:r>
      <w:r w:rsidRPr="006E05DF" w:rsidR="00AF5FD0">
        <w:rPr>
          <w:i/>
          <w:iCs/>
          <w:szCs w:val="26"/>
        </w:rPr>
        <w:t>FilmOn</w:t>
      </w:r>
      <w:r w:rsidRPr="006E05DF" w:rsidR="00AF5FD0">
        <w:rPr>
          <w:szCs w:val="26"/>
        </w:rPr>
        <w:t>, we transferred this case back to the Court of Appeal for reconsideratio</w:t>
      </w:r>
      <w:r w:rsidRPr="006E05DF" w:rsidR="004359E0">
        <w:rPr>
          <w:szCs w:val="26"/>
        </w:rPr>
        <w:t>n</w:t>
      </w:r>
      <w:r w:rsidRPr="006E05DF" w:rsidR="00AF5FD0">
        <w:rPr>
          <w:szCs w:val="26"/>
        </w:rPr>
        <w:t xml:space="preserve">.  </w:t>
      </w:r>
      <w:r w:rsidRPr="006E05DF" w:rsidR="00FF5FD3">
        <w:rPr>
          <w:szCs w:val="26"/>
        </w:rPr>
        <w:t>When t</w:t>
      </w:r>
      <w:r w:rsidRPr="006E05DF" w:rsidR="00AF5FD0">
        <w:rPr>
          <w:szCs w:val="26"/>
        </w:rPr>
        <w:t>he Court of Appeal reached the same result, we again granted review.</w:t>
      </w:r>
    </w:p>
    <w:p w:rsidR="00674002" w:rsidP="00674002">
      <w:pPr>
        <w:rPr>
          <w:szCs w:val="26"/>
        </w:rPr>
      </w:pPr>
      <w:r>
        <w:rPr>
          <w:szCs w:val="26"/>
        </w:rPr>
        <w:tab/>
        <w:t xml:space="preserve">After full briefing from the parties and </w:t>
      </w:r>
      <w:r w:rsidRPr="00967AA4">
        <w:rPr>
          <w:szCs w:val="27"/>
        </w:rPr>
        <w:t>amici curiae</w:t>
      </w:r>
      <w:r>
        <w:rPr>
          <w:szCs w:val="26"/>
        </w:rPr>
        <w:t xml:space="preserve">, and after oral argument in this court, Sony informed us that </w:t>
      </w:r>
      <w:r w:rsidRPr="00AD3590">
        <w:rPr>
          <w:szCs w:val="26"/>
        </w:rPr>
        <w:t>the parties</w:t>
      </w:r>
      <w:r>
        <w:rPr>
          <w:szCs w:val="26"/>
        </w:rPr>
        <w:t xml:space="preserve"> “</w:t>
      </w:r>
      <w:r w:rsidRPr="00AD3590">
        <w:rPr>
          <w:szCs w:val="26"/>
        </w:rPr>
        <w:t>reached a</w:t>
      </w:r>
      <w:r>
        <w:rPr>
          <w:szCs w:val="26"/>
        </w:rPr>
        <w:t xml:space="preserve">n </w:t>
      </w:r>
      <w:r w:rsidRPr="00AD3590">
        <w:rPr>
          <w:szCs w:val="26"/>
        </w:rPr>
        <w:t>agreement to settle the case</w:t>
      </w:r>
      <w:r>
        <w:rPr>
          <w:szCs w:val="26"/>
        </w:rPr>
        <w:t xml:space="preserve"> </w:t>
      </w:r>
      <w:r w:rsidRPr="00AD3590">
        <w:rPr>
          <w:szCs w:val="26"/>
        </w:rPr>
        <w:t>independent of the outcome of the opinion from this Court, subject to the superior court’s approval of the dismissal of the action pursuant to California Rules of Court 3.770</w:t>
      </w:r>
      <w:r>
        <w:rPr>
          <w:szCs w:val="26"/>
        </w:rPr>
        <w:t>,” governing dismissals of class actions.  Serova responded, asking us to decide this matter because the settlement is not yet approved and because of the importance of the issues.  Whether or not the yet-to-be-approved settlement moots the parties’ dispute, we render this opinion “</w:t>
      </w:r>
      <w:r w:rsidR="005F6F80">
        <w:rPr>
          <w:szCs w:val="26"/>
        </w:rPr>
        <w:t>[</w:t>
      </w:r>
      <w:r>
        <w:rPr>
          <w:szCs w:val="26"/>
        </w:rPr>
        <w:t>i</w:t>
      </w:r>
      <w:r w:rsidR="005F6F80">
        <w:rPr>
          <w:szCs w:val="26"/>
        </w:rPr>
        <w:t>]</w:t>
      </w:r>
      <w:r>
        <w:rPr>
          <w:szCs w:val="26"/>
        </w:rPr>
        <w:t>n light of the important issues presented.”  (</w:t>
      </w:r>
      <w:r w:rsidRPr="00FA79E6">
        <w:rPr>
          <w:i/>
          <w:iCs/>
          <w:szCs w:val="26"/>
        </w:rPr>
        <w:t>Berroteran v. Superior Court</w:t>
      </w:r>
      <w:r w:rsidRPr="00FA79E6">
        <w:rPr>
          <w:szCs w:val="26"/>
        </w:rPr>
        <w:t xml:space="preserve"> (2022) 12 Cal.5th 867, 877</w:t>
      </w:r>
      <w:r>
        <w:rPr>
          <w:szCs w:val="26"/>
        </w:rPr>
        <w:t xml:space="preserve">; </w:t>
      </w:r>
      <w:r w:rsidR="005F6F80">
        <w:rPr>
          <w:szCs w:val="26"/>
        </w:rPr>
        <w:t xml:space="preserve">see </w:t>
      </w:r>
      <w:r w:rsidRPr="00FA79E6">
        <w:rPr>
          <w:i/>
          <w:iCs/>
          <w:szCs w:val="26"/>
        </w:rPr>
        <w:t>State of Cal. ex rel. State Lands Com. v. Superior Court</w:t>
      </w:r>
      <w:r w:rsidRPr="00FA79E6">
        <w:rPr>
          <w:szCs w:val="26"/>
        </w:rPr>
        <w:t xml:space="preserve"> (1995) 11 Cal.4th 50, 62</w:t>
      </w:r>
      <w:r>
        <w:rPr>
          <w:szCs w:val="26"/>
        </w:rPr>
        <w:t>.)</w:t>
      </w:r>
    </w:p>
    <w:p w:rsidR="009B6DA4" w:rsidRPr="006E05DF" w:rsidP="00762B24">
      <w:pPr>
        <w:jc w:val="center"/>
        <w:outlineLvl w:val="0"/>
        <w:rPr>
          <w:b/>
          <w:bCs/>
          <w:szCs w:val="26"/>
        </w:rPr>
      </w:pPr>
      <w:r w:rsidRPr="006E05DF">
        <w:rPr>
          <w:b/>
          <w:bCs/>
          <w:szCs w:val="26"/>
        </w:rPr>
        <w:t>II.</w:t>
      </w:r>
      <w:r w:rsidRPr="006E05DF">
        <w:rPr>
          <w:b/>
          <w:bCs/>
          <w:szCs w:val="26"/>
        </w:rPr>
        <w:tab/>
      </w:r>
      <w:r w:rsidRPr="006E05DF" w:rsidR="00100EA3">
        <w:rPr>
          <w:b/>
          <w:bCs/>
          <w:szCs w:val="26"/>
        </w:rPr>
        <w:t>THE ANTI-SLAPP STATUTE</w:t>
      </w:r>
    </w:p>
    <w:p w:rsidR="00D97BBE" w:rsidRPr="006E05DF" w:rsidP="00314A1F">
      <w:pPr>
        <w:rPr>
          <w:szCs w:val="26"/>
        </w:rPr>
      </w:pPr>
      <w:r w:rsidRPr="006E05DF">
        <w:rPr>
          <w:szCs w:val="26"/>
        </w:rPr>
        <w:tab/>
      </w:r>
      <w:r w:rsidRPr="006E05DF" w:rsidR="002F34B6">
        <w:rPr>
          <w:szCs w:val="26"/>
        </w:rPr>
        <w:t xml:space="preserve">The anti-SLAPP statute </w:t>
      </w:r>
      <w:r w:rsidRPr="006E05DF" w:rsidR="007B7689">
        <w:rPr>
          <w:szCs w:val="26"/>
        </w:rPr>
        <w:t xml:space="preserve">enables </w:t>
      </w:r>
      <w:r w:rsidRPr="006E05DF" w:rsidR="002F34B6">
        <w:rPr>
          <w:szCs w:val="26"/>
        </w:rPr>
        <w:t>courts</w:t>
      </w:r>
      <w:r w:rsidRPr="006E05DF" w:rsidR="00220CBD">
        <w:rPr>
          <w:szCs w:val="26"/>
        </w:rPr>
        <w:t xml:space="preserve">, early in litigation, </w:t>
      </w:r>
      <w:r w:rsidRPr="006E05DF" w:rsidR="00513474">
        <w:rPr>
          <w:szCs w:val="26"/>
        </w:rPr>
        <w:t xml:space="preserve">to strike meritless claims in </w:t>
      </w:r>
      <w:r w:rsidRPr="006E05DF" w:rsidR="00220CBD">
        <w:rPr>
          <w:szCs w:val="26"/>
        </w:rPr>
        <w:t xml:space="preserve">lawsuits </w:t>
      </w:r>
      <w:r w:rsidRPr="006E05DF" w:rsidR="00513474">
        <w:rPr>
          <w:szCs w:val="26"/>
        </w:rPr>
        <w:t>when those claims risk chilling “continued participation in matters of public significance.”  (§ 425.16, subd. (a)</w:t>
      </w:r>
      <w:r w:rsidR="002B5C53">
        <w:rPr>
          <w:szCs w:val="26"/>
        </w:rPr>
        <w:t xml:space="preserve">; see </w:t>
      </w:r>
      <w:r w:rsidR="002B5C53">
        <w:rPr>
          <w:i/>
          <w:iCs/>
          <w:szCs w:val="26"/>
        </w:rPr>
        <w:t>id.</w:t>
      </w:r>
      <w:r w:rsidR="002B5C53">
        <w:rPr>
          <w:szCs w:val="26"/>
        </w:rPr>
        <w:t>, subds.</w:t>
      </w:r>
      <w:r w:rsidRPr="006E05DF" w:rsidR="00513474">
        <w:rPr>
          <w:szCs w:val="26"/>
        </w:rPr>
        <w:t xml:space="preserve"> (b)(1), (f).)  “A cause of action against a person arising from any act of that person in furtherance of the person’s right of petition or free speech under the United States Constitution or the California Constitution in connection with a public issue shall be subject to a special motion to strike, unless the court determines that the plaintiff has established that there is a probability that the plaintiff will prevail on the claim.”  (</w:t>
      </w:r>
      <w:r w:rsidR="002B5C53">
        <w:rPr>
          <w:i/>
          <w:iCs/>
          <w:szCs w:val="26"/>
        </w:rPr>
        <w:t>Id.</w:t>
      </w:r>
      <w:r w:rsidRPr="006E05DF" w:rsidR="00513474">
        <w:rPr>
          <w:szCs w:val="26"/>
        </w:rPr>
        <w:t xml:space="preserve">, subd. (b)(1).)  Thus, when a defendant seeks to strike </w:t>
      </w:r>
      <w:r w:rsidR="000906D0">
        <w:rPr>
          <w:szCs w:val="26"/>
        </w:rPr>
        <w:t xml:space="preserve">a plaintiff’s </w:t>
      </w:r>
      <w:r w:rsidRPr="006E05DF" w:rsidR="00513474">
        <w:rPr>
          <w:szCs w:val="26"/>
        </w:rPr>
        <w:t xml:space="preserve">claim under the anti-SLAPP statute </w:t>
      </w:r>
      <w:r w:rsidRPr="006E05DF" w:rsidR="00AD4975">
        <w:rPr>
          <w:szCs w:val="26"/>
        </w:rPr>
        <w:t xml:space="preserve">there are two inquiries: </w:t>
      </w:r>
      <w:r w:rsidRPr="006E05DF" w:rsidR="003A2DBA">
        <w:rPr>
          <w:szCs w:val="26"/>
        </w:rPr>
        <w:t xml:space="preserve"> </w:t>
      </w:r>
      <w:r w:rsidR="00801C4D">
        <w:rPr>
          <w:szCs w:val="26"/>
        </w:rPr>
        <w:t>F</w:t>
      </w:r>
      <w:r w:rsidRPr="006E05DF" w:rsidR="00AD4975">
        <w:rPr>
          <w:szCs w:val="26"/>
        </w:rPr>
        <w:t>irst, do</w:t>
      </w:r>
      <w:r w:rsidR="00894417">
        <w:rPr>
          <w:szCs w:val="26"/>
        </w:rPr>
        <w:t>es</w:t>
      </w:r>
      <w:r w:rsidRPr="006E05DF" w:rsidR="00AD4975">
        <w:rPr>
          <w:szCs w:val="26"/>
        </w:rPr>
        <w:t xml:space="preserve"> the claim </w:t>
      </w:r>
      <w:r w:rsidRPr="006E05DF">
        <w:rPr>
          <w:szCs w:val="26"/>
        </w:rPr>
        <w:t>call for</w:t>
      </w:r>
      <w:r w:rsidRPr="006E05DF" w:rsidR="00513474">
        <w:rPr>
          <w:szCs w:val="26"/>
        </w:rPr>
        <w:t xml:space="preserve"> the anti-SLAPP statute’s protections</w:t>
      </w:r>
      <w:r w:rsidR="002B5C53">
        <w:rPr>
          <w:szCs w:val="26"/>
        </w:rPr>
        <w:t>?</w:t>
      </w:r>
      <w:r w:rsidR="00801C4D">
        <w:rPr>
          <w:szCs w:val="26"/>
        </w:rPr>
        <w:t xml:space="preserve"> </w:t>
      </w:r>
      <w:r w:rsidRPr="006E05DF" w:rsidR="00AD4975">
        <w:rPr>
          <w:szCs w:val="26"/>
        </w:rPr>
        <w:t xml:space="preserve"> </w:t>
      </w:r>
      <w:r w:rsidR="00801C4D">
        <w:rPr>
          <w:szCs w:val="26"/>
        </w:rPr>
        <w:t>S</w:t>
      </w:r>
      <w:r w:rsidRPr="006E05DF" w:rsidR="00AD4975">
        <w:rPr>
          <w:szCs w:val="26"/>
        </w:rPr>
        <w:t xml:space="preserve">econd, </w:t>
      </w:r>
      <w:r w:rsidR="00F13A45">
        <w:rPr>
          <w:szCs w:val="26"/>
        </w:rPr>
        <w:t>if so, do</w:t>
      </w:r>
      <w:r w:rsidR="00894417">
        <w:rPr>
          <w:szCs w:val="26"/>
        </w:rPr>
        <w:t>es it</w:t>
      </w:r>
      <w:r w:rsidR="00F13A45">
        <w:rPr>
          <w:szCs w:val="26"/>
        </w:rPr>
        <w:t xml:space="preserve"> have sufficient merit?</w:t>
      </w:r>
      <w:r w:rsidRPr="006E05DF" w:rsidR="00400D1F">
        <w:rPr>
          <w:szCs w:val="26"/>
        </w:rPr>
        <w:t xml:space="preserve">  (</w:t>
      </w:r>
      <w:r w:rsidRPr="006E05DF" w:rsidR="00400D1F">
        <w:rPr>
          <w:i/>
          <w:iCs/>
          <w:szCs w:val="26"/>
        </w:rPr>
        <w:t>Bonni v. St. Joseph Health System</w:t>
      </w:r>
      <w:r w:rsidRPr="006E05DF" w:rsidR="00400D1F">
        <w:rPr>
          <w:szCs w:val="26"/>
        </w:rPr>
        <w:t xml:space="preserve"> (2021</w:t>
      </w:r>
      <w:r w:rsidRPr="006E05DF" w:rsidR="00721A71">
        <w:rPr>
          <w:szCs w:val="26"/>
        </w:rPr>
        <w:t>) 11 Cal.5th 995, 1009.)</w:t>
      </w:r>
    </w:p>
    <w:p w:rsidR="003A01A4" w:rsidRPr="006E05DF" w:rsidP="00314A1F">
      <w:pPr>
        <w:rPr>
          <w:szCs w:val="26"/>
        </w:rPr>
      </w:pPr>
      <w:r w:rsidRPr="006E05DF">
        <w:rPr>
          <w:szCs w:val="26"/>
        </w:rPr>
        <w:tab/>
      </w:r>
      <w:r w:rsidRPr="006E05DF" w:rsidR="001C1069">
        <w:rPr>
          <w:szCs w:val="26"/>
        </w:rPr>
        <w:t xml:space="preserve">Typically, a defendant must establish the anti-SLAPP statute’s applicability before the burden shifts and a plaintiff must establish </w:t>
      </w:r>
      <w:r w:rsidR="008D1A13">
        <w:rPr>
          <w:szCs w:val="26"/>
        </w:rPr>
        <w:t xml:space="preserve">a </w:t>
      </w:r>
      <w:r w:rsidR="00CD6F90">
        <w:rPr>
          <w:szCs w:val="26"/>
        </w:rPr>
        <w:t>claim</w:t>
      </w:r>
      <w:r w:rsidR="008D1A13">
        <w:rPr>
          <w:szCs w:val="26"/>
        </w:rPr>
        <w:t xml:space="preserve"> has sufficient merit</w:t>
      </w:r>
      <w:r w:rsidRPr="006E05DF" w:rsidR="001C1069">
        <w:rPr>
          <w:szCs w:val="26"/>
        </w:rPr>
        <w:t>.  (</w:t>
      </w:r>
      <w:r w:rsidRPr="006E05DF" w:rsidR="001C1069">
        <w:rPr>
          <w:i/>
          <w:iCs/>
          <w:szCs w:val="26"/>
        </w:rPr>
        <w:t>Baral v. Schnitt</w:t>
      </w:r>
      <w:r w:rsidRPr="006E05DF" w:rsidR="001C1069">
        <w:rPr>
          <w:szCs w:val="26"/>
        </w:rPr>
        <w:t xml:space="preserve"> (2016) 1 Cal.5th 376, 384</w:t>
      </w:r>
      <w:r w:rsidRPr="006E05DF">
        <w:rPr>
          <w:szCs w:val="26"/>
        </w:rPr>
        <w:t>.)</w:t>
      </w:r>
      <w:r w:rsidRPr="006E05DF" w:rsidR="001C1069">
        <w:rPr>
          <w:szCs w:val="26"/>
        </w:rPr>
        <w:t xml:space="preserve"> </w:t>
      </w:r>
      <w:r w:rsidRPr="006E05DF" w:rsidR="00885BDF">
        <w:rPr>
          <w:szCs w:val="26"/>
        </w:rPr>
        <w:t xml:space="preserve"> </w:t>
      </w:r>
      <w:r w:rsidRPr="006E05DF" w:rsidR="00DC19EF">
        <w:rPr>
          <w:szCs w:val="26"/>
        </w:rPr>
        <w:t>But only a claim “</w:t>
      </w:r>
      <w:r w:rsidR="00CE6584">
        <w:rPr>
          <w:szCs w:val="26"/>
        </w:rPr>
        <w:t> </w:t>
      </w:r>
      <w:r w:rsidR="00145BE7">
        <w:rPr>
          <w:szCs w:val="26"/>
        </w:rPr>
        <w:t>‘</w:t>
      </w:r>
      <w:r w:rsidRPr="006E05DF" w:rsidR="00DC19EF">
        <w:rPr>
          <w:szCs w:val="26"/>
        </w:rPr>
        <w:t xml:space="preserve">that satisfies </w:t>
      </w:r>
      <w:r w:rsidRPr="006E05DF" w:rsidR="00DC19EF">
        <w:rPr>
          <w:i/>
          <w:iCs/>
          <w:szCs w:val="26"/>
        </w:rPr>
        <w:t>both</w:t>
      </w:r>
      <w:r w:rsidRPr="006E05DF" w:rsidR="00DC19EF">
        <w:rPr>
          <w:szCs w:val="26"/>
        </w:rPr>
        <w:t xml:space="preserve"> prongs of the anti-SLAPP statute . . . is a SLAPP, subject to being stricken under the statute.</w:t>
      </w:r>
      <w:r w:rsidR="00145BE7">
        <w:rPr>
          <w:szCs w:val="26"/>
        </w:rPr>
        <w:t>’</w:t>
      </w:r>
      <w:r w:rsidR="00CE6584">
        <w:rPr>
          <w:szCs w:val="26"/>
        </w:rPr>
        <w:t> </w:t>
      </w:r>
      <w:r w:rsidRPr="006E05DF" w:rsidR="00DC19EF">
        <w:rPr>
          <w:szCs w:val="26"/>
        </w:rPr>
        <w:t>”  (</w:t>
      </w:r>
      <w:r w:rsidRPr="006E05DF" w:rsidR="00DC19EF">
        <w:rPr>
          <w:i/>
          <w:iCs/>
          <w:szCs w:val="26"/>
        </w:rPr>
        <w:t xml:space="preserve">Oasis West Realty, LLC v. Goldman </w:t>
      </w:r>
      <w:r w:rsidRPr="006E05DF" w:rsidR="00DC19EF">
        <w:rPr>
          <w:szCs w:val="26"/>
        </w:rPr>
        <w:t>(2011) 51 Cal.4th 811, 820</w:t>
      </w:r>
      <w:r w:rsidRPr="006E05DF" w:rsidR="00BA29DA">
        <w:rPr>
          <w:szCs w:val="26"/>
        </w:rPr>
        <w:t>.</w:t>
      </w:r>
      <w:r w:rsidRPr="006E05DF" w:rsidR="00DC19EF">
        <w:rPr>
          <w:szCs w:val="26"/>
        </w:rPr>
        <w:t xml:space="preserve">)  </w:t>
      </w:r>
      <w:r w:rsidRPr="006E05DF" w:rsidR="00BA29DA">
        <w:rPr>
          <w:szCs w:val="26"/>
        </w:rPr>
        <w:t xml:space="preserve">Given this and </w:t>
      </w:r>
      <w:r w:rsidRPr="006E05DF">
        <w:rPr>
          <w:szCs w:val="26"/>
        </w:rPr>
        <w:t>“</w:t>
      </w:r>
      <w:r w:rsidRPr="006E05DF" w:rsidR="00D81814">
        <w:rPr>
          <w:szCs w:val="26"/>
        </w:rPr>
        <w:t>this court</w:t>
      </w:r>
      <w:r w:rsidR="00145BE7">
        <w:rPr>
          <w:szCs w:val="26"/>
        </w:rPr>
        <w:t>’</w:t>
      </w:r>
      <w:r w:rsidRPr="006E05DF" w:rsidR="00D81814">
        <w:rPr>
          <w:szCs w:val="26"/>
        </w:rPr>
        <w:t xml:space="preserve">s </w:t>
      </w:r>
      <w:r w:rsidR="00145BE7">
        <w:rPr>
          <w:szCs w:val="26"/>
        </w:rPr>
        <w:t>‘</w:t>
      </w:r>
      <w:r w:rsidRPr="006E05DF" w:rsidR="00D81814">
        <w:rPr>
          <w:szCs w:val="26"/>
        </w:rPr>
        <w:t>inherent, primary authority over the practice of law</w:t>
      </w:r>
      <w:r w:rsidRPr="006E05DF">
        <w:rPr>
          <w:szCs w:val="26"/>
        </w:rPr>
        <w:t>,</w:t>
      </w:r>
      <w:r w:rsidRPr="006E05DF" w:rsidR="00D81814">
        <w:rPr>
          <w:szCs w:val="26"/>
        </w:rPr>
        <w:t>’</w:t>
      </w:r>
      <w:r w:rsidR="00CE6584">
        <w:rPr>
          <w:szCs w:val="26"/>
        </w:rPr>
        <w:t> </w:t>
      </w:r>
      <w:r w:rsidRPr="006E05DF" w:rsidR="00D81814">
        <w:rPr>
          <w:szCs w:val="26"/>
        </w:rPr>
        <w:t xml:space="preserve">” </w:t>
      </w:r>
      <w:r w:rsidRPr="006E05DF">
        <w:rPr>
          <w:szCs w:val="26"/>
        </w:rPr>
        <w:t xml:space="preserve">we </w:t>
      </w:r>
      <w:r w:rsidRPr="006E05DF" w:rsidR="003D6DB1">
        <w:rPr>
          <w:szCs w:val="26"/>
        </w:rPr>
        <w:t>may conclude a</w:t>
      </w:r>
      <w:r w:rsidRPr="006E05DF" w:rsidR="00237A1F">
        <w:rPr>
          <w:szCs w:val="26"/>
        </w:rPr>
        <w:t xml:space="preserve"> contested portion of an</w:t>
      </w:r>
      <w:r w:rsidRPr="006E05DF" w:rsidR="003D6DB1">
        <w:rPr>
          <w:szCs w:val="26"/>
        </w:rPr>
        <w:t xml:space="preserve"> anti-SLAPP motion should be denied solely based on a plaintiff’s showing of merit, as a</w:t>
      </w:r>
      <w:r w:rsidR="000906D0">
        <w:rPr>
          <w:szCs w:val="26"/>
        </w:rPr>
        <w:t xml:space="preserve"> sufficiently</w:t>
      </w:r>
      <w:r w:rsidRPr="006E05DF" w:rsidR="003D6DB1">
        <w:rPr>
          <w:szCs w:val="26"/>
        </w:rPr>
        <w:t xml:space="preserve"> meritorious claim cannot be struck regardless of whether it arises from activity the anti-SLAPP statute protects.  </w:t>
      </w:r>
      <w:r w:rsidRPr="006E05DF">
        <w:rPr>
          <w:szCs w:val="26"/>
        </w:rPr>
        <w:t>(</w:t>
      </w:r>
      <w:r w:rsidRPr="006E05DF" w:rsidR="00DC19EF">
        <w:rPr>
          <w:i/>
          <w:iCs/>
          <w:szCs w:val="26"/>
        </w:rPr>
        <w:t>Ibid.</w:t>
      </w:r>
      <w:r w:rsidRPr="006E05DF" w:rsidR="00F2544C">
        <w:rPr>
          <w:szCs w:val="26"/>
        </w:rPr>
        <w:t xml:space="preserve">; see generally </w:t>
      </w:r>
      <w:r w:rsidRPr="006E05DF" w:rsidR="00F2544C">
        <w:rPr>
          <w:i/>
          <w:iCs/>
          <w:szCs w:val="26"/>
        </w:rPr>
        <w:t>Citizens for Fair REU Rates v. City of Redding</w:t>
      </w:r>
      <w:r w:rsidRPr="006E05DF" w:rsidR="00F2544C">
        <w:rPr>
          <w:szCs w:val="26"/>
        </w:rPr>
        <w:t xml:space="preserve"> (2018) 6 Cal.5th 1, 7 [</w:t>
      </w:r>
      <w:r w:rsidRPr="006E05DF" w:rsidR="005E77E7">
        <w:rPr>
          <w:szCs w:val="26"/>
        </w:rPr>
        <w:t xml:space="preserve">when </w:t>
      </w:r>
      <w:r w:rsidRPr="006E05DF" w:rsidR="00F2544C">
        <w:rPr>
          <w:szCs w:val="26"/>
        </w:rPr>
        <w:t>one argument resolve</w:t>
      </w:r>
      <w:r w:rsidRPr="006E05DF" w:rsidR="005E77E7">
        <w:rPr>
          <w:szCs w:val="26"/>
        </w:rPr>
        <w:t>d</w:t>
      </w:r>
      <w:r w:rsidRPr="006E05DF" w:rsidR="00F2544C">
        <w:rPr>
          <w:szCs w:val="26"/>
        </w:rPr>
        <w:t xml:space="preserve"> a case, we </w:t>
      </w:r>
      <w:r w:rsidRPr="006E05DF" w:rsidR="005E77E7">
        <w:rPr>
          <w:szCs w:val="26"/>
        </w:rPr>
        <w:t xml:space="preserve">did not </w:t>
      </w:r>
      <w:r w:rsidRPr="006E05DF" w:rsidR="00F2544C">
        <w:rPr>
          <w:szCs w:val="26"/>
        </w:rPr>
        <w:t xml:space="preserve">need </w:t>
      </w:r>
      <w:r w:rsidRPr="006E05DF" w:rsidR="005E77E7">
        <w:rPr>
          <w:szCs w:val="26"/>
        </w:rPr>
        <w:t xml:space="preserve">to discuss an </w:t>
      </w:r>
      <w:r w:rsidRPr="006E05DF" w:rsidR="00F2544C">
        <w:rPr>
          <w:szCs w:val="26"/>
        </w:rPr>
        <w:t xml:space="preserve">alternative argument that would </w:t>
      </w:r>
      <w:r w:rsidRPr="006E05DF" w:rsidR="005E77E7">
        <w:rPr>
          <w:szCs w:val="26"/>
        </w:rPr>
        <w:t xml:space="preserve">have </w:t>
      </w:r>
      <w:r w:rsidRPr="006E05DF" w:rsidR="00F2544C">
        <w:rPr>
          <w:szCs w:val="26"/>
        </w:rPr>
        <w:t>led to the same result].)</w:t>
      </w:r>
      <w:r w:rsidR="00D40D1B">
        <w:rPr>
          <w:szCs w:val="26"/>
        </w:rPr>
        <w:t xml:space="preserve">  </w:t>
      </w:r>
      <w:r w:rsidR="002752C9">
        <w:rPr>
          <w:szCs w:val="26"/>
        </w:rPr>
        <w:t xml:space="preserve">Considering </w:t>
      </w:r>
      <w:r w:rsidR="00D40D1B">
        <w:rPr>
          <w:szCs w:val="26"/>
        </w:rPr>
        <w:t xml:space="preserve">Serova’s showing of merit, we </w:t>
      </w:r>
      <w:r w:rsidR="002752C9">
        <w:rPr>
          <w:szCs w:val="26"/>
        </w:rPr>
        <w:t xml:space="preserve">choose </w:t>
      </w:r>
      <w:r w:rsidR="00D40D1B">
        <w:rPr>
          <w:szCs w:val="26"/>
        </w:rPr>
        <w:t>this approach.</w:t>
      </w:r>
    </w:p>
    <w:p w:rsidR="00347C39" w:rsidRPr="006E05DF" w:rsidP="00762B24">
      <w:pPr>
        <w:keepNext/>
        <w:jc w:val="center"/>
        <w:outlineLvl w:val="0"/>
        <w:rPr>
          <w:b/>
          <w:bCs/>
          <w:szCs w:val="26"/>
        </w:rPr>
      </w:pPr>
      <w:r w:rsidRPr="006E05DF">
        <w:rPr>
          <w:b/>
          <w:bCs/>
          <w:szCs w:val="26"/>
        </w:rPr>
        <w:t>III.</w:t>
      </w:r>
      <w:r w:rsidRPr="006E05DF">
        <w:rPr>
          <w:b/>
          <w:bCs/>
          <w:szCs w:val="26"/>
        </w:rPr>
        <w:tab/>
        <w:t>SEROVA’S PROBABILITY OF PREVAILING</w:t>
      </w:r>
    </w:p>
    <w:p w:rsidR="006F7886" w:rsidRPr="006E05DF" w:rsidP="00B22CF1">
      <w:pPr>
        <w:keepNext/>
      </w:pPr>
      <w:r w:rsidRPr="006E05DF">
        <w:rPr>
          <w:szCs w:val="26"/>
        </w:rPr>
        <w:tab/>
      </w:r>
      <w:r w:rsidRPr="006E05DF" w:rsidR="00D92565">
        <w:rPr>
          <w:szCs w:val="26"/>
        </w:rPr>
        <w:t>The parties’ stipulation</w:t>
      </w:r>
      <w:r w:rsidRPr="006E05DF" w:rsidR="00471E4D">
        <w:rPr>
          <w:szCs w:val="26"/>
        </w:rPr>
        <w:t xml:space="preserve"> </w:t>
      </w:r>
      <w:r w:rsidRPr="006E05DF" w:rsidR="00B90114">
        <w:rPr>
          <w:szCs w:val="26"/>
        </w:rPr>
        <w:t>eases Serova’s burden</w:t>
      </w:r>
      <w:r w:rsidRPr="006E05DF" w:rsidR="003A01A4">
        <w:rPr>
          <w:szCs w:val="26"/>
        </w:rPr>
        <w:t xml:space="preserve"> of showing she </w:t>
      </w:r>
      <w:r w:rsidRPr="006E05DF" w:rsidR="00215B60">
        <w:rPr>
          <w:szCs w:val="26"/>
        </w:rPr>
        <w:t>could</w:t>
      </w:r>
      <w:r w:rsidRPr="006E05DF" w:rsidR="003A01A4">
        <w:rPr>
          <w:szCs w:val="26"/>
        </w:rPr>
        <w:t xml:space="preserve"> prevail</w:t>
      </w:r>
      <w:r w:rsidRPr="006E05DF" w:rsidR="00B90114">
        <w:rPr>
          <w:szCs w:val="26"/>
        </w:rPr>
        <w:t xml:space="preserve">.  </w:t>
      </w:r>
      <w:r w:rsidRPr="006E05DF" w:rsidR="006B3079">
        <w:rPr>
          <w:szCs w:val="26"/>
        </w:rPr>
        <w:t>Under it, s</w:t>
      </w:r>
      <w:r w:rsidRPr="006E05DF" w:rsidR="00353C28">
        <w:rPr>
          <w:szCs w:val="26"/>
        </w:rPr>
        <w:t xml:space="preserve">he </w:t>
      </w:r>
      <w:r w:rsidRPr="006E05DF" w:rsidR="006B3079">
        <w:rPr>
          <w:szCs w:val="26"/>
        </w:rPr>
        <w:t>had</w:t>
      </w:r>
      <w:r w:rsidRPr="006E05DF" w:rsidR="00353C28">
        <w:rPr>
          <w:szCs w:val="26"/>
        </w:rPr>
        <w:t xml:space="preserve"> to address </w:t>
      </w:r>
      <w:r w:rsidRPr="006E05DF" w:rsidR="00C22EBC">
        <w:rPr>
          <w:szCs w:val="26"/>
        </w:rPr>
        <w:t xml:space="preserve">only </w:t>
      </w:r>
      <w:r w:rsidRPr="006E05DF" w:rsidR="00B90114">
        <w:rPr>
          <w:szCs w:val="26"/>
        </w:rPr>
        <w:t>Sony</w:t>
      </w:r>
      <w:r w:rsidRPr="006E05DF" w:rsidR="00353C28">
        <w:rPr>
          <w:szCs w:val="26"/>
        </w:rPr>
        <w:t xml:space="preserve">’s </w:t>
      </w:r>
      <w:r w:rsidRPr="006E05DF" w:rsidR="009A16F8">
        <w:rPr>
          <w:szCs w:val="26"/>
        </w:rPr>
        <w:t>contentions</w:t>
      </w:r>
      <w:r w:rsidRPr="006E05DF" w:rsidR="00353C28">
        <w:rPr>
          <w:szCs w:val="26"/>
        </w:rPr>
        <w:t xml:space="preserve"> that </w:t>
      </w:r>
      <w:r w:rsidRPr="006E05DF" w:rsidR="00D92565">
        <w:rPr>
          <w:szCs w:val="26"/>
        </w:rPr>
        <w:t xml:space="preserve">its </w:t>
      </w:r>
      <w:r w:rsidRPr="006E05DF" w:rsidR="00374F6F">
        <w:rPr>
          <w:szCs w:val="26"/>
        </w:rPr>
        <w:t>challenged representations</w:t>
      </w:r>
      <w:r w:rsidRPr="006E05DF" w:rsidR="00D92565">
        <w:rPr>
          <w:szCs w:val="26"/>
        </w:rPr>
        <w:t xml:space="preserve"> </w:t>
      </w:r>
      <w:r w:rsidRPr="006E05DF" w:rsidR="009A16F8">
        <w:rPr>
          <w:szCs w:val="26"/>
        </w:rPr>
        <w:t>elude</w:t>
      </w:r>
      <w:r w:rsidRPr="006E05DF" w:rsidR="00D92565">
        <w:rPr>
          <w:szCs w:val="26"/>
        </w:rPr>
        <w:t xml:space="preserve"> regulation because </w:t>
      </w:r>
      <w:r w:rsidRPr="006E05DF" w:rsidR="00374F6F">
        <w:rPr>
          <w:szCs w:val="26"/>
        </w:rPr>
        <w:t>they are</w:t>
      </w:r>
      <w:r w:rsidRPr="006E05DF" w:rsidR="00FD2C97">
        <w:rPr>
          <w:szCs w:val="26"/>
        </w:rPr>
        <w:t xml:space="preserve"> </w:t>
      </w:r>
      <w:r w:rsidRPr="006E05DF" w:rsidR="003F2E92">
        <w:rPr>
          <w:szCs w:val="26"/>
        </w:rPr>
        <w:t xml:space="preserve">(1) </w:t>
      </w:r>
      <w:r w:rsidRPr="006E05DF" w:rsidR="00D92565">
        <w:rPr>
          <w:szCs w:val="26"/>
        </w:rPr>
        <w:t>noncommercial</w:t>
      </w:r>
      <w:r w:rsidRPr="006E05DF" w:rsidR="003F2E92">
        <w:rPr>
          <w:szCs w:val="26"/>
        </w:rPr>
        <w:t xml:space="preserve"> and enjoy heightened First Amendment protection</w:t>
      </w:r>
      <w:r w:rsidRPr="006E05DF" w:rsidR="00D92565">
        <w:rPr>
          <w:szCs w:val="26"/>
        </w:rPr>
        <w:t xml:space="preserve">, </w:t>
      </w:r>
      <w:r w:rsidRPr="006E05DF" w:rsidR="002971B3">
        <w:rPr>
          <w:szCs w:val="26"/>
        </w:rPr>
        <w:t xml:space="preserve">or </w:t>
      </w:r>
      <w:r w:rsidRPr="006E05DF" w:rsidR="00D92565">
        <w:rPr>
          <w:szCs w:val="26"/>
        </w:rPr>
        <w:t xml:space="preserve">(2) </w:t>
      </w:r>
      <w:r w:rsidRPr="006E05DF" w:rsidR="00F01940">
        <w:rPr>
          <w:szCs w:val="26"/>
        </w:rPr>
        <w:t>in</w:t>
      </w:r>
      <w:r w:rsidRPr="006E05DF" w:rsidR="00D92565">
        <w:rPr>
          <w:szCs w:val="26"/>
        </w:rPr>
        <w:t>sufficiently false or misleading</w:t>
      </w:r>
      <w:r w:rsidRPr="006E05DF" w:rsidR="003D3409">
        <w:rPr>
          <w:szCs w:val="26"/>
        </w:rPr>
        <w:t xml:space="preserve">, even assuming Jackson </w:t>
      </w:r>
      <w:r w:rsidRPr="006E05DF" w:rsidR="00374F6F">
        <w:rPr>
          <w:szCs w:val="26"/>
        </w:rPr>
        <w:t xml:space="preserve">did </w:t>
      </w:r>
      <w:r w:rsidRPr="006E05DF" w:rsidR="003D3409">
        <w:rPr>
          <w:szCs w:val="26"/>
        </w:rPr>
        <w:t xml:space="preserve">not </w:t>
      </w:r>
      <w:r w:rsidRPr="006E05DF" w:rsidR="00374F6F">
        <w:rPr>
          <w:szCs w:val="26"/>
        </w:rPr>
        <w:t xml:space="preserve">sing </w:t>
      </w:r>
      <w:r w:rsidRPr="006E05DF" w:rsidR="003D3409">
        <w:rPr>
          <w:szCs w:val="26"/>
        </w:rPr>
        <w:t>lead vocal</w:t>
      </w:r>
      <w:r w:rsidRPr="006E05DF" w:rsidR="00374F6F">
        <w:rPr>
          <w:szCs w:val="26"/>
        </w:rPr>
        <w:t>s</w:t>
      </w:r>
      <w:r w:rsidRPr="006E05DF" w:rsidR="003D3409">
        <w:rPr>
          <w:szCs w:val="26"/>
        </w:rPr>
        <w:t xml:space="preserve"> on the Cascio tracks</w:t>
      </w:r>
      <w:r w:rsidRPr="006E05DF" w:rsidR="00D92565">
        <w:rPr>
          <w:szCs w:val="26"/>
        </w:rPr>
        <w:t>.</w:t>
      </w:r>
      <w:r w:rsidRPr="006E05DF" w:rsidR="00DC3BB4">
        <w:rPr>
          <w:szCs w:val="26"/>
        </w:rPr>
        <w:t xml:space="preserve">  </w:t>
      </w:r>
      <w:r w:rsidRPr="006E05DF" w:rsidR="00DD0600">
        <w:rPr>
          <w:szCs w:val="26"/>
        </w:rPr>
        <w:t>Although the superior court</w:t>
      </w:r>
      <w:r w:rsidR="00B3408C">
        <w:rPr>
          <w:szCs w:val="26"/>
        </w:rPr>
        <w:t xml:space="preserve"> addressed both issues</w:t>
      </w:r>
      <w:r w:rsidRPr="006E05DF" w:rsidR="00DD0600">
        <w:rPr>
          <w:szCs w:val="26"/>
        </w:rPr>
        <w:t>, t</w:t>
      </w:r>
      <w:r w:rsidRPr="006E05DF">
        <w:rPr>
          <w:szCs w:val="26"/>
        </w:rPr>
        <w:t xml:space="preserve">he Court of Appeal addressed </w:t>
      </w:r>
      <w:r w:rsidRPr="006E05DF" w:rsidR="008953D9">
        <w:rPr>
          <w:szCs w:val="26"/>
        </w:rPr>
        <w:t xml:space="preserve">only </w:t>
      </w:r>
      <w:r w:rsidRPr="006E05DF">
        <w:rPr>
          <w:szCs w:val="26"/>
        </w:rPr>
        <w:t xml:space="preserve">the </w:t>
      </w:r>
      <w:r w:rsidRPr="006E05DF" w:rsidR="003F2E92">
        <w:rPr>
          <w:szCs w:val="26"/>
        </w:rPr>
        <w:t>speech classification issue</w:t>
      </w:r>
      <w:r w:rsidRPr="006E05DF">
        <w:rPr>
          <w:szCs w:val="26"/>
        </w:rPr>
        <w:t xml:space="preserve">.  The parties’ petition and answer before this Court, as well as their briefing, omit the </w:t>
      </w:r>
      <w:r w:rsidRPr="006E05DF" w:rsidR="003F2E92">
        <w:rPr>
          <w:szCs w:val="26"/>
        </w:rPr>
        <w:t>falsity issue</w:t>
      </w:r>
      <w:r w:rsidRPr="006E05DF">
        <w:rPr>
          <w:szCs w:val="26"/>
        </w:rPr>
        <w:t>.</w:t>
      </w:r>
      <w:r w:rsidRPr="006E05DF" w:rsidR="007D4C19">
        <w:rPr>
          <w:szCs w:val="26"/>
        </w:rPr>
        <w:t xml:space="preserve">  </w:t>
      </w:r>
      <w:r w:rsidRPr="006E05DF" w:rsidR="002E26DF">
        <w:rPr>
          <w:szCs w:val="26"/>
        </w:rPr>
        <w:t>W</w:t>
      </w:r>
      <w:r w:rsidRPr="006E05DF" w:rsidR="00E66737">
        <w:rPr>
          <w:szCs w:val="26"/>
        </w:rPr>
        <w:t>e</w:t>
      </w:r>
      <w:r w:rsidRPr="006E05DF">
        <w:rPr>
          <w:szCs w:val="26"/>
        </w:rPr>
        <w:t xml:space="preserve"> likewise</w:t>
      </w:r>
      <w:r w:rsidRPr="006E05DF" w:rsidR="00F01940">
        <w:rPr>
          <w:szCs w:val="26"/>
        </w:rPr>
        <w:t xml:space="preserve"> </w:t>
      </w:r>
      <w:r w:rsidRPr="006E05DF" w:rsidR="003F2E92">
        <w:rPr>
          <w:szCs w:val="26"/>
        </w:rPr>
        <w:t xml:space="preserve">limit our </w:t>
      </w:r>
      <w:r w:rsidRPr="006E05DF" w:rsidR="002351EF">
        <w:rPr>
          <w:szCs w:val="26"/>
        </w:rPr>
        <w:t>discussion</w:t>
      </w:r>
      <w:r w:rsidRPr="006E05DF" w:rsidR="002C1C64">
        <w:rPr>
          <w:szCs w:val="26"/>
        </w:rPr>
        <w:t>.</w:t>
      </w:r>
    </w:p>
    <w:p w:rsidR="005619A7" w:rsidRPr="006E05DF" w:rsidP="00813F7C">
      <w:pPr>
        <w:spacing w:line="240" w:lineRule="auto"/>
        <w:ind w:left="720" w:hanging="720"/>
        <w:outlineLvl w:val="1"/>
        <w:rPr>
          <w:b/>
          <w:bCs/>
          <w:szCs w:val="26"/>
        </w:rPr>
      </w:pPr>
      <w:r w:rsidRPr="006E05DF">
        <w:rPr>
          <w:b/>
          <w:bCs/>
          <w:szCs w:val="26"/>
        </w:rPr>
        <w:t>A.</w:t>
      </w:r>
      <w:r w:rsidRPr="006E05DF">
        <w:rPr>
          <w:b/>
          <w:bCs/>
          <w:szCs w:val="26"/>
        </w:rPr>
        <w:tab/>
        <w:t>Commercial Speech Doctrine and Consumer Deception Laws</w:t>
      </w:r>
    </w:p>
    <w:p w:rsidR="00B03297" w:rsidRPr="006E05DF" w:rsidP="00314A1F">
      <w:pPr>
        <w:rPr>
          <w:szCs w:val="26"/>
        </w:rPr>
      </w:pPr>
      <w:r w:rsidRPr="006E05DF">
        <w:rPr>
          <w:szCs w:val="26"/>
        </w:rPr>
        <w:tab/>
      </w:r>
      <w:r w:rsidRPr="006E05DF" w:rsidR="00721555">
        <w:rPr>
          <w:szCs w:val="26"/>
        </w:rPr>
        <w:t>“[E]rroneous statement is inevitable in free debate</w:t>
      </w:r>
      <w:r w:rsidR="0089525C">
        <w:rPr>
          <w:szCs w:val="26"/>
        </w:rPr>
        <w:t xml:space="preserve"> </w:t>
      </w:r>
      <w:r w:rsidRPr="006E05DF" w:rsidR="00721555">
        <w:rPr>
          <w:szCs w:val="26"/>
        </w:rPr>
        <w:t>.</w:t>
      </w:r>
      <w:r w:rsidR="0089525C">
        <w:rPr>
          <w:szCs w:val="26"/>
        </w:rPr>
        <w:t xml:space="preserve"> . . .</w:t>
      </w:r>
      <w:r w:rsidRPr="006E05DF" w:rsidR="00721555">
        <w:rPr>
          <w:szCs w:val="26"/>
        </w:rPr>
        <w:t>”  (</w:t>
      </w:r>
      <w:r w:rsidRPr="006E05DF" w:rsidR="00721555">
        <w:rPr>
          <w:i/>
          <w:iCs/>
          <w:szCs w:val="26"/>
        </w:rPr>
        <w:t>New York Times Co. v. Sullivan</w:t>
      </w:r>
      <w:r w:rsidRPr="006E05DF" w:rsidR="00721555">
        <w:rPr>
          <w:szCs w:val="26"/>
        </w:rPr>
        <w:t xml:space="preserve"> (1964) 376 U.S. 254, 271.)  W</w:t>
      </w:r>
      <w:r w:rsidRPr="006E05DF" w:rsidR="002E4DB2">
        <w:rPr>
          <w:szCs w:val="26"/>
        </w:rPr>
        <w:t xml:space="preserve">e </w:t>
      </w:r>
      <w:r w:rsidRPr="006E05DF" w:rsidR="00721555">
        <w:rPr>
          <w:szCs w:val="26"/>
        </w:rPr>
        <w:t xml:space="preserve">therefore </w:t>
      </w:r>
      <w:r w:rsidRPr="006E05DF" w:rsidR="002E4DB2">
        <w:rPr>
          <w:szCs w:val="26"/>
        </w:rPr>
        <w:t xml:space="preserve">tolerate </w:t>
      </w:r>
      <w:r w:rsidRPr="006E05DF" w:rsidR="0045626D">
        <w:rPr>
          <w:szCs w:val="26"/>
        </w:rPr>
        <w:t xml:space="preserve">some </w:t>
      </w:r>
      <w:r w:rsidRPr="006E05DF" w:rsidR="00303394">
        <w:rPr>
          <w:szCs w:val="26"/>
        </w:rPr>
        <w:t>falsehood</w:t>
      </w:r>
      <w:r w:rsidRPr="006E05DF" w:rsidR="00412961">
        <w:rPr>
          <w:szCs w:val="26"/>
        </w:rPr>
        <w:t>s</w:t>
      </w:r>
      <w:r w:rsidRPr="006E05DF" w:rsidR="00721555">
        <w:rPr>
          <w:szCs w:val="26"/>
        </w:rPr>
        <w:t xml:space="preserve">, </w:t>
      </w:r>
      <w:r w:rsidRPr="006E05DF" w:rsidR="00A42CD5">
        <w:rPr>
          <w:szCs w:val="26"/>
        </w:rPr>
        <w:t xml:space="preserve">even if </w:t>
      </w:r>
      <w:r w:rsidRPr="006E05DF" w:rsidR="002E4DB2">
        <w:rPr>
          <w:szCs w:val="26"/>
        </w:rPr>
        <w:t xml:space="preserve">they do not </w:t>
      </w:r>
      <w:r w:rsidRPr="006E05DF" w:rsidR="00434C83">
        <w:rPr>
          <w:szCs w:val="26"/>
        </w:rPr>
        <w:t xml:space="preserve">directly </w:t>
      </w:r>
      <w:r w:rsidRPr="006E05DF" w:rsidR="002E4DB2">
        <w:rPr>
          <w:szCs w:val="26"/>
        </w:rPr>
        <w:t>advance society’s interest</w:t>
      </w:r>
      <w:r w:rsidRPr="006E05DF" w:rsidR="00434C83">
        <w:rPr>
          <w:szCs w:val="26"/>
        </w:rPr>
        <w:t>s</w:t>
      </w:r>
      <w:r w:rsidRPr="006E05DF" w:rsidR="00303394">
        <w:rPr>
          <w:szCs w:val="26"/>
        </w:rPr>
        <w:t>.  (</w:t>
      </w:r>
      <w:r w:rsidRPr="006E05DF" w:rsidR="00303394">
        <w:rPr>
          <w:i/>
          <w:iCs/>
          <w:szCs w:val="26"/>
        </w:rPr>
        <w:t>United States v. Alvarez</w:t>
      </w:r>
      <w:r w:rsidRPr="006E05DF" w:rsidR="00303394">
        <w:rPr>
          <w:szCs w:val="26"/>
        </w:rPr>
        <w:t xml:space="preserve"> (2012) 567 U.S. 709, 719 [</w:t>
      </w:r>
      <w:r w:rsidRPr="006E05DF" w:rsidR="0045626D">
        <w:rPr>
          <w:szCs w:val="26"/>
        </w:rPr>
        <w:t xml:space="preserve">invalidating a law criminalizing lies about having received </w:t>
      </w:r>
      <w:r w:rsidR="0089525C">
        <w:rPr>
          <w:szCs w:val="26"/>
        </w:rPr>
        <w:t>c</w:t>
      </w:r>
      <w:r w:rsidRPr="006E05DF" w:rsidR="0045626D">
        <w:rPr>
          <w:szCs w:val="26"/>
        </w:rPr>
        <w:t>ongressional military decorations</w:t>
      </w:r>
      <w:r w:rsidRPr="006E05DF" w:rsidR="00303394">
        <w:rPr>
          <w:szCs w:val="26"/>
        </w:rPr>
        <w:t>];</w:t>
      </w:r>
      <w:r w:rsidRPr="006E05DF" w:rsidR="00506608">
        <w:rPr>
          <w:szCs w:val="26"/>
        </w:rPr>
        <w:t xml:space="preserve"> see generally</w:t>
      </w:r>
      <w:r w:rsidRPr="006E05DF" w:rsidR="00303394">
        <w:rPr>
          <w:szCs w:val="26"/>
        </w:rPr>
        <w:t xml:space="preserve"> </w:t>
      </w:r>
      <w:r w:rsidRPr="006E05DF" w:rsidR="00303394">
        <w:rPr>
          <w:i/>
          <w:iCs/>
          <w:szCs w:val="26"/>
        </w:rPr>
        <w:t>Kasky v. Nike, Inc.</w:t>
      </w:r>
      <w:r w:rsidRPr="006E05DF" w:rsidR="00303394">
        <w:rPr>
          <w:szCs w:val="26"/>
        </w:rPr>
        <w:t xml:space="preserve"> (2002) 27 Cal.4th 939, 953</w:t>
      </w:r>
      <w:r w:rsidR="0089525C">
        <w:rPr>
          <w:szCs w:val="26"/>
        </w:rPr>
        <w:t xml:space="preserve"> (</w:t>
      </w:r>
      <w:r w:rsidR="0089525C">
        <w:rPr>
          <w:i/>
          <w:iCs/>
          <w:szCs w:val="26"/>
        </w:rPr>
        <w:t>Kasky</w:t>
      </w:r>
      <w:r w:rsidR="0089525C">
        <w:rPr>
          <w:szCs w:val="26"/>
        </w:rPr>
        <w:t>)</w:t>
      </w:r>
      <w:r w:rsidRPr="006E05DF" w:rsidR="00303394">
        <w:rPr>
          <w:szCs w:val="26"/>
        </w:rPr>
        <w:t xml:space="preserve">.) </w:t>
      </w:r>
    </w:p>
    <w:p w:rsidR="00B03297" w:rsidRPr="006E05DF" w:rsidP="00314A1F">
      <w:pPr>
        <w:rPr>
          <w:szCs w:val="26"/>
        </w:rPr>
      </w:pPr>
      <w:r w:rsidRPr="006E05DF">
        <w:rPr>
          <w:szCs w:val="26"/>
        </w:rPr>
        <w:tab/>
      </w:r>
      <w:r w:rsidRPr="006E05DF" w:rsidR="00303394">
        <w:rPr>
          <w:szCs w:val="26"/>
        </w:rPr>
        <w:t xml:space="preserve">But </w:t>
      </w:r>
      <w:r w:rsidRPr="006E05DF" w:rsidR="00935267">
        <w:rPr>
          <w:szCs w:val="26"/>
        </w:rPr>
        <w:t>under First Amendment</w:t>
      </w:r>
      <w:r>
        <w:rPr>
          <w:rStyle w:val="FootnoteReference"/>
          <w:szCs w:val="26"/>
        </w:rPr>
        <w:footnoteReference w:id="5"/>
      </w:r>
      <w:r w:rsidRPr="006E05DF" w:rsidR="00935267">
        <w:rPr>
          <w:szCs w:val="26"/>
        </w:rPr>
        <w:t xml:space="preserve"> doctrine, </w:t>
      </w:r>
      <w:r w:rsidRPr="006E05DF" w:rsidR="00303394">
        <w:rPr>
          <w:szCs w:val="26"/>
        </w:rPr>
        <w:t>“commercial speech that is false or misleading</w:t>
      </w:r>
      <w:r w:rsidRPr="006E05DF" w:rsidR="00C42A41">
        <w:rPr>
          <w:szCs w:val="26"/>
        </w:rPr>
        <w:t xml:space="preserve"> . . . </w:t>
      </w:r>
      <w:r w:rsidRPr="006E05DF" w:rsidR="00303394">
        <w:rPr>
          <w:szCs w:val="26"/>
        </w:rPr>
        <w:t>‘may be prohibited entirely.’</w:t>
      </w:r>
      <w:r w:rsidR="00CE6584">
        <w:rPr>
          <w:szCs w:val="26"/>
        </w:rPr>
        <w:t> </w:t>
      </w:r>
      <w:r w:rsidRPr="006E05DF" w:rsidR="00303394">
        <w:rPr>
          <w:szCs w:val="26"/>
        </w:rPr>
        <w:t>”  (</w:t>
      </w:r>
      <w:r w:rsidRPr="006E05DF" w:rsidR="00303394">
        <w:rPr>
          <w:i/>
          <w:iCs/>
          <w:szCs w:val="26"/>
        </w:rPr>
        <w:t>Kasky</w:t>
      </w:r>
      <w:r w:rsidRPr="006E05DF" w:rsidR="00303394">
        <w:rPr>
          <w:szCs w:val="26"/>
        </w:rPr>
        <w:t>,</w:t>
      </w:r>
      <w:r w:rsidR="0089525C">
        <w:rPr>
          <w:szCs w:val="26"/>
        </w:rPr>
        <w:t xml:space="preserve"> </w:t>
      </w:r>
      <w:r w:rsidR="0089525C">
        <w:rPr>
          <w:i/>
          <w:iCs/>
          <w:szCs w:val="26"/>
        </w:rPr>
        <w:t>supra</w:t>
      </w:r>
      <w:r w:rsidR="0089525C">
        <w:rPr>
          <w:szCs w:val="26"/>
        </w:rPr>
        <w:t>,</w:t>
      </w:r>
      <w:r w:rsidRPr="006E05DF" w:rsidR="00303394">
        <w:rPr>
          <w:szCs w:val="26"/>
        </w:rPr>
        <w:t xml:space="preserve"> 27 Cal.4th at p. 953</w:t>
      </w:r>
      <w:r w:rsidRPr="006E05DF" w:rsidR="00935267">
        <w:rPr>
          <w:szCs w:val="26"/>
        </w:rPr>
        <w:t>;</w:t>
      </w:r>
      <w:r w:rsidR="00802B4A">
        <w:rPr>
          <w:szCs w:val="26"/>
        </w:rPr>
        <w:t xml:space="preserve"> see </w:t>
      </w:r>
      <w:r w:rsidRPr="00802B4A" w:rsidR="00802B4A">
        <w:rPr>
          <w:i/>
          <w:iCs/>
          <w:szCs w:val="26"/>
        </w:rPr>
        <w:t>id.</w:t>
      </w:r>
      <w:r w:rsidR="00802B4A">
        <w:rPr>
          <w:szCs w:val="26"/>
        </w:rPr>
        <w:t xml:space="preserve"> at p. 959;</w:t>
      </w:r>
      <w:r w:rsidRPr="006E05DF" w:rsidR="00935267">
        <w:rPr>
          <w:szCs w:val="26"/>
        </w:rPr>
        <w:t xml:space="preserve"> </w:t>
      </w:r>
      <w:r w:rsidRPr="006E05DF" w:rsidR="00E5213E">
        <w:rPr>
          <w:szCs w:val="26"/>
        </w:rPr>
        <w:t xml:space="preserve">see </w:t>
      </w:r>
      <w:r w:rsidR="00802B4A">
        <w:rPr>
          <w:szCs w:val="26"/>
        </w:rPr>
        <w:t xml:space="preserve">also </w:t>
      </w:r>
      <w:r w:rsidRPr="006E05DF" w:rsidR="00E5213E">
        <w:rPr>
          <w:i/>
          <w:iCs/>
          <w:szCs w:val="26"/>
        </w:rPr>
        <w:t>44 Liquormart</w:t>
      </w:r>
      <w:r w:rsidR="0089525C">
        <w:rPr>
          <w:i/>
          <w:iCs/>
          <w:szCs w:val="26"/>
        </w:rPr>
        <w:t>, Inc.</w:t>
      </w:r>
      <w:r w:rsidRPr="006E05DF" w:rsidR="00E5213E">
        <w:rPr>
          <w:i/>
          <w:iCs/>
          <w:szCs w:val="26"/>
        </w:rPr>
        <w:t xml:space="preserve"> v. R</w:t>
      </w:r>
      <w:r w:rsidR="0089525C">
        <w:rPr>
          <w:i/>
          <w:iCs/>
          <w:szCs w:val="26"/>
        </w:rPr>
        <w:t xml:space="preserve">hode </w:t>
      </w:r>
      <w:r w:rsidRPr="006E05DF" w:rsidR="00E5213E">
        <w:rPr>
          <w:i/>
          <w:iCs/>
          <w:szCs w:val="26"/>
        </w:rPr>
        <w:t>I</w:t>
      </w:r>
      <w:r w:rsidR="0089525C">
        <w:rPr>
          <w:i/>
          <w:iCs/>
          <w:szCs w:val="26"/>
        </w:rPr>
        <w:t>sland</w:t>
      </w:r>
      <w:r w:rsidRPr="006E05DF" w:rsidR="00E5213E">
        <w:rPr>
          <w:szCs w:val="26"/>
        </w:rPr>
        <w:t xml:space="preserve"> (1996) 517 U.S. 484, 501 [embracing regulation of “commercial messages to protect consumers from misleading, deceptive, or aggressive sales practices”]; </w:t>
      </w:r>
      <w:r w:rsidRPr="006E05DF" w:rsidR="00E5213E">
        <w:rPr>
          <w:i/>
          <w:iCs/>
          <w:szCs w:val="26"/>
        </w:rPr>
        <w:t>Cent</w:t>
      </w:r>
      <w:r w:rsidRPr="006E05DF" w:rsidR="00115037">
        <w:rPr>
          <w:i/>
          <w:iCs/>
          <w:szCs w:val="26"/>
        </w:rPr>
        <w:t>ral</w:t>
      </w:r>
      <w:r w:rsidRPr="006E05DF" w:rsidR="00E5213E">
        <w:rPr>
          <w:i/>
          <w:iCs/>
          <w:szCs w:val="26"/>
        </w:rPr>
        <w:t xml:space="preserve"> Hudson</w:t>
      </w:r>
      <w:r w:rsidR="006A1B89">
        <w:rPr>
          <w:szCs w:val="26"/>
        </w:rPr>
        <w:t xml:space="preserve">, </w:t>
      </w:r>
      <w:r w:rsidR="006A1B89">
        <w:rPr>
          <w:i/>
          <w:iCs/>
          <w:szCs w:val="26"/>
        </w:rPr>
        <w:t>supra</w:t>
      </w:r>
      <w:r w:rsidRPr="00802B4A" w:rsidR="006A1B89">
        <w:rPr>
          <w:szCs w:val="26"/>
        </w:rPr>
        <w:t>,</w:t>
      </w:r>
      <w:r w:rsidRPr="006E05DF" w:rsidR="00E5213E">
        <w:rPr>
          <w:szCs w:val="26"/>
        </w:rPr>
        <w:t xml:space="preserve"> 447 U.S. </w:t>
      </w:r>
      <w:r w:rsidR="006A1B89">
        <w:rPr>
          <w:szCs w:val="26"/>
        </w:rPr>
        <w:t>at p.</w:t>
      </w:r>
      <w:r w:rsidRPr="006E05DF" w:rsidR="00E5213E">
        <w:rPr>
          <w:szCs w:val="26"/>
        </w:rPr>
        <w:t xml:space="preserve"> 563 </w:t>
      </w:r>
      <w:r w:rsidRPr="006E05DF" w:rsidR="00891AA3">
        <w:rPr>
          <w:szCs w:val="26"/>
        </w:rPr>
        <w:t>[“</w:t>
      </w:r>
      <w:r w:rsidR="006A1B89">
        <w:rPr>
          <w:szCs w:val="26"/>
        </w:rPr>
        <w:t>t</w:t>
      </w:r>
      <w:r w:rsidRPr="006E05DF" w:rsidR="00891AA3">
        <w:rPr>
          <w:szCs w:val="26"/>
        </w:rPr>
        <w:t>here can be no constitutional objection to the suppression of commercial messages that do not accurately inform the public about lawful activity,” thus “</w:t>
      </w:r>
      <w:r w:rsidRPr="006E05DF" w:rsidR="00E5213E">
        <w:rPr>
          <w:szCs w:val="26"/>
        </w:rPr>
        <w:t xml:space="preserve">government may ban forms of communication more likely to deceive the public than to inform it”]; </w:t>
      </w:r>
      <w:r w:rsidRPr="006E05DF" w:rsidR="00102F9D">
        <w:rPr>
          <w:i/>
          <w:iCs/>
          <w:szCs w:val="26"/>
        </w:rPr>
        <w:t>Leoni v. State Bar</w:t>
      </w:r>
      <w:r w:rsidRPr="006E05DF" w:rsidR="00102F9D">
        <w:rPr>
          <w:szCs w:val="26"/>
        </w:rPr>
        <w:t xml:space="preserve"> (1985) 39 Cal.3d 609, 624 [</w:t>
      </w:r>
      <w:r w:rsidRPr="006E05DF" w:rsidR="00434C83">
        <w:rPr>
          <w:szCs w:val="26"/>
        </w:rPr>
        <w:t xml:space="preserve">noting </w:t>
      </w:r>
      <w:r w:rsidRPr="006E05DF" w:rsidR="00102F9D">
        <w:rPr>
          <w:szCs w:val="26"/>
        </w:rPr>
        <w:t xml:space="preserve">states can regulate </w:t>
      </w:r>
      <w:r w:rsidRPr="006E05DF" w:rsidR="00E5213E">
        <w:rPr>
          <w:szCs w:val="26"/>
        </w:rPr>
        <w:t>“</w:t>
      </w:r>
      <w:r w:rsidR="00CE6584">
        <w:rPr>
          <w:szCs w:val="26"/>
        </w:rPr>
        <w:t> </w:t>
      </w:r>
      <w:r w:rsidR="00D70F9F">
        <w:rPr>
          <w:szCs w:val="26"/>
        </w:rPr>
        <w:t>‘</w:t>
      </w:r>
      <w:r w:rsidRPr="006E05DF" w:rsidR="00102F9D">
        <w:rPr>
          <w:szCs w:val="26"/>
        </w:rPr>
        <w:t xml:space="preserve">deceptive </w:t>
      </w:r>
      <w:r w:rsidRPr="006E05DF" w:rsidR="00E5213E">
        <w:rPr>
          <w:szCs w:val="26"/>
        </w:rPr>
        <w:t>or misleading</w:t>
      </w:r>
      <w:r w:rsidR="00D70F9F">
        <w:rPr>
          <w:szCs w:val="26"/>
        </w:rPr>
        <w:t>’</w:t>
      </w:r>
      <w:r w:rsidR="00CE6584">
        <w:rPr>
          <w:szCs w:val="26"/>
        </w:rPr>
        <w:t> </w:t>
      </w:r>
      <w:r w:rsidRPr="006E05DF" w:rsidR="00E5213E">
        <w:rPr>
          <w:szCs w:val="26"/>
        </w:rPr>
        <w:t xml:space="preserve">” </w:t>
      </w:r>
      <w:r w:rsidRPr="006E05DF" w:rsidR="00102F9D">
        <w:rPr>
          <w:szCs w:val="26"/>
        </w:rPr>
        <w:t xml:space="preserve">advertising, even if not </w:t>
      </w:r>
      <w:r w:rsidRPr="006E05DF" w:rsidR="00E5213E">
        <w:rPr>
          <w:szCs w:val="26"/>
        </w:rPr>
        <w:t>“</w:t>
      </w:r>
      <w:r w:rsidRPr="006E05DF" w:rsidR="00A3164F">
        <w:rPr>
          <w:szCs w:val="26"/>
        </w:rPr>
        <w:t> </w:t>
      </w:r>
      <w:r w:rsidRPr="006E05DF" w:rsidR="00E5213E">
        <w:rPr>
          <w:szCs w:val="26"/>
        </w:rPr>
        <w:t>‘</w:t>
      </w:r>
      <w:r w:rsidRPr="006E05DF" w:rsidR="00102F9D">
        <w:rPr>
          <w:szCs w:val="26"/>
        </w:rPr>
        <w:t>pro</w:t>
      </w:r>
      <w:r w:rsidRPr="006E05DF" w:rsidR="00E5213E">
        <w:rPr>
          <w:szCs w:val="26"/>
        </w:rPr>
        <w:t>b</w:t>
      </w:r>
      <w:r w:rsidRPr="006E05DF" w:rsidR="00102F9D">
        <w:rPr>
          <w:szCs w:val="26"/>
        </w:rPr>
        <w:t>ably</w:t>
      </w:r>
      <w:r w:rsidRPr="006E05DF" w:rsidR="00E5213E">
        <w:rPr>
          <w:szCs w:val="26"/>
        </w:rPr>
        <w:t xml:space="preserve"> false,</w:t>
      </w:r>
      <w:r w:rsidRPr="006E05DF" w:rsidR="00102F9D">
        <w:rPr>
          <w:szCs w:val="26"/>
        </w:rPr>
        <w:t xml:space="preserve"> or </w:t>
      </w:r>
      <w:r w:rsidRPr="006E05DF" w:rsidR="00E5213E">
        <w:rPr>
          <w:szCs w:val="26"/>
        </w:rPr>
        <w:t xml:space="preserve">even </w:t>
      </w:r>
      <w:r w:rsidRPr="006E05DF" w:rsidR="00102F9D">
        <w:rPr>
          <w:szCs w:val="26"/>
        </w:rPr>
        <w:t>wholly false</w:t>
      </w:r>
      <w:r w:rsidRPr="006E05DF" w:rsidR="00E5213E">
        <w:rPr>
          <w:szCs w:val="26"/>
        </w:rPr>
        <w:t>’</w:t>
      </w:r>
      <w:r w:rsidRPr="006E05DF" w:rsidR="00A3164F">
        <w:rPr>
          <w:szCs w:val="26"/>
        </w:rPr>
        <w:t> </w:t>
      </w:r>
      <w:r w:rsidRPr="006E05DF" w:rsidR="00E5213E">
        <w:rPr>
          <w:szCs w:val="26"/>
        </w:rPr>
        <w:t>”</w:t>
      </w:r>
      <w:r w:rsidRPr="006E05DF" w:rsidR="00102F9D">
        <w:rPr>
          <w:szCs w:val="26"/>
        </w:rPr>
        <w:t>].)</w:t>
      </w:r>
      <w:r w:rsidRPr="006E05DF" w:rsidR="00303394">
        <w:rPr>
          <w:szCs w:val="26"/>
        </w:rPr>
        <w:t xml:space="preserve"> </w:t>
      </w:r>
      <w:r w:rsidRPr="006E05DF" w:rsidR="00891AA3">
        <w:rPr>
          <w:szCs w:val="26"/>
        </w:rPr>
        <w:t xml:space="preserve"> This reflects the high court’s view that the First Amendment, in the commercial sphere, aims to safeguard the flow of “accurate . . . information” to consumers.  (</w:t>
      </w:r>
      <w:r w:rsidRPr="006E05DF" w:rsidR="00891AA3">
        <w:rPr>
          <w:i/>
          <w:iCs/>
          <w:szCs w:val="26"/>
        </w:rPr>
        <w:t>Edenfield v. Fane</w:t>
      </w:r>
      <w:r w:rsidRPr="006E05DF" w:rsidR="00891AA3">
        <w:rPr>
          <w:szCs w:val="26"/>
        </w:rPr>
        <w:t xml:space="preserve"> (1993) 507 U.S. 761, 766; see </w:t>
      </w:r>
      <w:r w:rsidRPr="006E05DF" w:rsidR="00891AA3">
        <w:rPr>
          <w:i/>
          <w:iCs/>
          <w:szCs w:val="26"/>
        </w:rPr>
        <w:t xml:space="preserve">Zauderer v. Office of Disciplinary Counsel </w:t>
      </w:r>
      <w:r w:rsidRPr="006E05DF" w:rsidR="00891AA3">
        <w:rPr>
          <w:szCs w:val="26"/>
        </w:rPr>
        <w:t>(1985) 471 U.S. 626, 651 [“</w:t>
      </w:r>
      <w:r w:rsidR="00D70F9F">
        <w:rPr>
          <w:szCs w:val="26"/>
        </w:rPr>
        <w:t>e</w:t>
      </w:r>
      <w:r w:rsidRPr="006E05DF" w:rsidR="00891AA3">
        <w:rPr>
          <w:szCs w:val="26"/>
        </w:rPr>
        <w:t xml:space="preserve">xtension of First Amendment protection to commercial speech is justified principally by the value to consumers of the information such speech provides”]; </w:t>
      </w:r>
      <w:r w:rsidRPr="006E05DF" w:rsidR="00891AA3">
        <w:rPr>
          <w:i/>
          <w:iCs/>
          <w:szCs w:val="26"/>
        </w:rPr>
        <w:t>Cent</w:t>
      </w:r>
      <w:r w:rsidRPr="006E05DF" w:rsidR="00115037">
        <w:rPr>
          <w:i/>
          <w:iCs/>
          <w:szCs w:val="26"/>
        </w:rPr>
        <w:t>ral</w:t>
      </w:r>
      <w:r w:rsidRPr="006E05DF" w:rsidR="00891AA3">
        <w:rPr>
          <w:i/>
          <w:iCs/>
          <w:szCs w:val="26"/>
        </w:rPr>
        <w:t xml:space="preserve"> Hudson</w:t>
      </w:r>
      <w:r w:rsidRPr="006E05DF" w:rsidR="00891AA3">
        <w:rPr>
          <w:szCs w:val="26"/>
        </w:rPr>
        <w:t>, at p. 563 [reasoning the protection of commercial speech relates to “the informational function of advertising”].)</w:t>
      </w:r>
    </w:p>
    <w:p w:rsidR="00B03297" w:rsidRPr="006E05DF" w:rsidP="00314A1F">
      <w:pPr>
        <w:rPr>
          <w:szCs w:val="26"/>
        </w:rPr>
      </w:pPr>
      <w:r w:rsidRPr="006E05DF">
        <w:rPr>
          <w:szCs w:val="26"/>
        </w:rPr>
        <w:tab/>
      </w:r>
      <w:r w:rsidRPr="006E05DF" w:rsidR="00935267">
        <w:rPr>
          <w:szCs w:val="26"/>
        </w:rPr>
        <w:t>There are three common justifications for permitting greater regulation of commercial</w:t>
      </w:r>
      <w:r w:rsidRPr="006E05DF" w:rsidR="00434C83">
        <w:rPr>
          <w:szCs w:val="26"/>
        </w:rPr>
        <w:t xml:space="preserve">, as opposed to </w:t>
      </w:r>
      <w:r w:rsidRPr="006E05DF" w:rsidR="00935267">
        <w:rPr>
          <w:szCs w:val="26"/>
        </w:rPr>
        <w:t>noncommercial</w:t>
      </w:r>
      <w:r w:rsidRPr="006E05DF" w:rsidR="00434C83">
        <w:rPr>
          <w:szCs w:val="26"/>
        </w:rPr>
        <w:t xml:space="preserve">, </w:t>
      </w:r>
      <w:r w:rsidRPr="006E05DF" w:rsidR="00935267">
        <w:rPr>
          <w:szCs w:val="26"/>
        </w:rPr>
        <w:t>speech</w:t>
      </w:r>
      <w:r w:rsidRPr="006E05DF" w:rsidR="00377F99">
        <w:rPr>
          <w:szCs w:val="26"/>
        </w:rPr>
        <w:t>.</w:t>
      </w:r>
      <w:r w:rsidRPr="006E05DF" w:rsidR="00E11603">
        <w:rPr>
          <w:szCs w:val="26"/>
        </w:rPr>
        <w:t xml:space="preserve">  </w:t>
      </w:r>
      <w:r w:rsidRPr="006E05DF" w:rsidR="001E2708">
        <w:rPr>
          <w:szCs w:val="26"/>
        </w:rPr>
        <w:t>First, c</w:t>
      </w:r>
      <w:r w:rsidRPr="006E05DF" w:rsidR="00E11603">
        <w:rPr>
          <w:szCs w:val="26"/>
        </w:rPr>
        <w:t>ommercial speech “</w:t>
      </w:r>
      <w:r w:rsidR="00CE6584">
        <w:rPr>
          <w:szCs w:val="26"/>
        </w:rPr>
        <w:t> </w:t>
      </w:r>
      <w:r w:rsidRPr="006E05DF" w:rsidR="001E2708">
        <w:rPr>
          <w:szCs w:val="26"/>
        </w:rPr>
        <w:t>‘</w:t>
      </w:r>
      <w:r w:rsidRPr="006E05DF" w:rsidR="00E11603">
        <w:rPr>
          <w:szCs w:val="26"/>
        </w:rPr>
        <w:t xml:space="preserve">may be </w:t>
      </w:r>
      <w:r w:rsidRPr="002C701F" w:rsidR="00E11603">
        <w:rPr>
          <w:i/>
          <w:iCs/>
          <w:szCs w:val="26"/>
        </w:rPr>
        <w:t>more easily verifiable</w:t>
      </w:r>
      <w:r w:rsidRPr="006E05DF" w:rsidR="00E11603">
        <w:rPr>
          <w:szCs w:val="26"/>
        </w:rPr>
        <w:t xml:space="preserve"> </w:t>
      </w:r>
      <w:r w:rsidRPr="002C701F" w:rsidR="00E11603">
        <w:rPr>
          <w:i/>
          <w:iCs/>
          <w:szCs w:val="26"/>
        </w:rPr>
        <w:t>by its disseminato</w:t>
      </w:r>
      <w:r w:rsidRPr="002C701F" w:rsidR="001E2708">
        <w:rPr>
          <w:i/>
          <w:iCs/>
          <w:szCs w:val="26"/>
        </w:rPr>
        <w:t>r</w:t>
      </w:r>
      <w:r w:rsidRPr="006E05DF" w:rsidR="0057113F">
        <w:rPr>
          <w:szCs w:val="26"/>
        </w:rPr>
        <w:t>,’</w:t>
      </w:r>
      <w:r w:rsidR="00CE6584">
        <w:rPr>
          <w:szCs w:val="26"/>
        </w:rPr>
        <w:t> </w:t>
      </w:r>
      <w:r w:rsidRPr="006E05DF" w:rsidR="001E2708">
        <w:rPr>
          <w:szCs w:val="26"/>
        </w:rPr>
        <w:t>” who “</w:t>
      </w:r>
      <w:r w:rsidR="00CE6584">
        <w:rPr>
          <w:szCs w:val="26"/>
        </w:rPr>
        <w:t> </w:t>
      </w:r>
      <w:r w:rsidRPr="006E05DF" w:rsidR="0057113F">
        <w:rPr>
          <w:szCs w:val="26"/>
        </w:rPr>
        <w:t>‘</w:t>
      </w:r>
      <w:r w:rsidRPr="006E05DF" w:rsidR="001E2708">
        <w:rPr>
          <w:szCs w:val="26"/>
        </w:rPr>
        <w:t>presumably knows more</w:t>
      </w:r>
      <w:r w:rsidRPr="006E05DF" w:rsidR="0057113F">
        <w:rPr>
          <w:szCs w:val="26"/>
        </w:rPr>
        <w:t xml:space="preserve"> about’</w:t>
      </w:r>
      <w:r w:rsidR="00CE6584">
        <w:rPr>
          <w:szCs w:val="26"/>
        </w:rPr>
        <w:t> </w:t>
      </w:r>
      <w:r w:rsidRPr="006E05DF" w:rsidR="0057113F">
        <w:rPr>
          <w:szCs w:val="26"/>
        </w:rPr>
        <w:t>” a “</w:t>
      </w:r>
      <w:r w:rsidRPr="006E05DF" w:rsidR="002D7152">
        <w:rPr>
          <w:szCs w:val="26"/>
        </w:rPr>
        <w:t> </w:t>
      </w:r>
      <w:r w:rsidRPr="006E05DF" w:rsidR="0057113F">
        <w:rPr>
          <w:szCs w:val="26"/>
        </w:rPr>
        <w:t xml:space="preserve">‘product or service . . . </w:t>
      </w:r>
      <w:r w:rsidRPr="006E05DF" w:rsidR="001E2708">
        <w:rPr>
          <w:szCs w:val="26"/>
        </w:rPr>
        <w:t>than anyone else.</w:t>
      </w:r>
      <w:r w:rsidRPr="006E05DF" w:rsidR="0057113F">
        <w:rPr>
          <w:szCs w:val="26"/>
        </w:rPr>
        <w:t>’</w:t>
      </w:r>
      <w:r w:rsidR="00CE6584">
        <w:rPr>
          <w:szCs w:val="26"/>
        </w:rPr>
        <w:t> </w:t>
      </w:r>
      <w:r w:rsidRPr="006E05DF" w:rsidR="001E2708">
        <w:rPr>
          <w:szCs w:val="26"/>
        </w:rPr>
        <w:t xml:space="preserve">”  </w:t>
      </w:r>
      <w:bookmarkStart w:id="1" w:name="_Hlk108005914"/>
      <w:r w:rsidRPr="006E05DF" w:rsidR="001E2708">
        <w:rPr>
          <w:szCs w:val="26"/>
        </w:rPr>
        <w:t>(</w:t>
      </w:r>
      <w:r w:rsidRPr="006E05DF" w:rsidR="00935267">
        <w:rPr>
          <w:i/>
          <w:iCs/>
          <w:szCs w:val="26"/>
        </w:rPr>
        <w:t>Kasky</w:t>
      </w:r>
      <w:r w:rsidRPr="006E05DF" w:rsidR="00935267">
        <w:rPr>
          <w:szCs w:val="26"/>
        </w:rPr>
        <w:t>,</w:t>
      </w:r>
      <w:r w:rsidRPr="006E05DF" w:rsidR="00935267">
        <w:rPr>
          <w:i/>
          <w:iCs/>
          <w:szCs w:val="26"/>
        </w:rPr>
        <w:t xml:space="preserve"> supra</w:t>
      </w:r>
      <w:r w:rsidRPr="006E05DF" w:rsidR="00935267">
        <w:rPr>
          <w:szCs w:val="26"/>
        </w:rPr>
        <w:t>,</w:t>
      </w:r>
      <w:r w:rsidRPr="006E05DF" w:rsidR="001E2708">
        <w:rPr>
          <w:szCs w:val="26"/>
        </w:rPr>
        <w:t xml:space="preserve"> </w:t>
      </w:r>
      <w:r w:rsidRPr="006E05DF" w:rsidR="00935267">
        <w:rPr>
          <w:szCs w:val="26"/>
        </w:rPr>
        <w:t xml:space="preserve">27 Cal.4th </w:t>
      </w:r>
      <w:r w:rsidRPr="006E05DF" w:rsidR="001E2708">
        <w:rPr>
          <w:szCs w:val="26"/>
        </w:rPr>
        <w:t>at p. 955.)</w:t>
      </w:r>
      <w:bookmarkEnd w:id="1"/>
      <w:r w:rsidRPr="006E05DF" w:rsidR="001E2708">
        <w:rPr>
          <w:szCs w:val="26"/>
        </w:rPr>
        <w:t xml:space="preserve">  Second, </w:t>
      </w:r>
      <w:r w:rsidRPr="006E05DF" w:rsidR="0057113F">
        <w:rPr>
          <w:szCs w:val="26"/>
        </w:rPr>
        <w:t xml:space="preserve">because </w:t>
      </w:r>
      <w:r w:rsidRPr="006E05DF" w:rsidR="001E2708">
        <w:rPr>
          <w:szCs w:val="26"/>
        </w:rPr>
        <w:t xml:space="preserve">profit motivates commercial speech, </w:t>
      </w:r>
      <w:r w:rsidRPr="006E05DF" w:rsidR="00BA2464">
        <w:rPr>
          <w:szCs w:val="26"/>
        </w:rPr>
        <w:t>that speech</w:t>
      </w:r>
      <w:r w:rsidRPr="006E05DF" w:rsidR="0057113F">
        <w:rPr>
          <w:szCs w:val="26"/>
        </w:rPr>
        <w:t xml:space="preserve"> </w:t>
      </w:r>
      <w:r w:rsidRPr="006E05DF" w:rsidR="002D7152">
        <w:rPr>
          <w:szCs w:val="26"/>
        </w:rPr>
        <w:t>is</w:t>
      </w:r>
      <w:r w:rsidRPr="006E05DF" w:rsidR="00080B85">
        <w:rPr>
          <w:szCs w:val="26"/>
        </w:rPr>
        <w:t xml:space="preserve"> </w:t>
      </w:r>
      <w:r w:rsidRPr="006E05DF" w:rsidR="001E2708">
        <w:rPr>
          <w:szCs w:val="26"/>
        </w:rPr>
        <w:t>“</w:t>
      </w:r>
      <w:r w:rsidRPr="002C701F" w:rsidR="001E2708">
        <w:rPr>
          <w:i/>
          <w:iCs/>
          <w:szCs w:val="26"/>
        </w:rPr>
        <w:t>hardier</w:t>
      </w:r>
      <w:r w:rsidRPr="006E05DF" w:rsidR="001E2708">
        <w:rPr>
          <w:szCs w:val="26"/>
        </w:rPr>
        <w:t>”</w:t>
      </w:r>
      <w:r w:rsidR="00437868">
        <w:rPr>
          <w:szCs w:val="26"/>
        </w:rPr>
        <w:t> </w:t>
      </w:r>
      <w:r w:rsidRPr="006E05DF" w:rsidR="002D7152">
        <w:rPr>
          <w:szCs w:val="26"/>
        </w:rPr>
        <w:t>—</w:t>
      </w:r>
      <w:r w:rsidR="00C06B98">
        <w:rPr>
          <w:szCs w:val="26"/>
        </w:rPr>
        <w:t xml:space="preserve"> </w:t>
      </w:r>
      <w:r w:rsidRPr="006E05DF" w:rsidR="00F702AB">
        <w:rPr>
          <w:szCs w:val="26"/>
        </w:rPr>
        <w:t xml:space="preserve">that is, </w:t>
      </w:r>
      <w:r w:rsidRPr="006E05DF" w:rsidR="001E2708">
        <w:rPr>
          <w:szCs w:val="26"/>
        </w:rPr>
        <w:t xml:space="preserve">less </w:t>
      </w:r>
      <w:r w:rsidRPr="006E05DF" w:rsidR="00F702AB">
        <w:rPr>
          <w:szCs w:val="26"/>
        </w:rPr>
        <w:t xml:space="preserve">likely to suffer </w:t>
      </w:r>
      <w:r w:rsidRPr="006E05DF" w:rsidR="001E2708">
        <w:rPr>
          <w:szCs w:val="26"/>
        </w:rPr>
        <w:t>the chilling effect of regulation.  (</w:t>
      </w:r>
      <w:r w:rsidRPr="006E05DF" w:rsidR="001E2708">
        <w:rPr>
          <w:i/>
          <w:iCs/>
          <w:szCs w:val="26"/>
        </w:rPr>
        <w:t>Ibid.</w:t>
      </w:r>
      <w:r w:rsidRPr="006E05DF" w:rsidR="001E2708">
        <w:rPr>
          <w:szCs w:val="26"/>
        </w:rPr>
        <w:t>)  Third, prevention of commercial harm is</w:t>
      </w:r>
      <w:r w:rsidRPr="006E05DF" w:rsidR="005D54DD">
        <w:rPr>
          <w:szCs w:val="26"/>
        </w:rPr>
        <w:t xml:space="preserve"> a traditional and worthy</w:t>
      </w:r>
      <w:r w:rsidRPr="006E05DF" w:rsidR="001E2708">
        <w:rPr>
          <w:szCs w:val="26"/>
        </w:rPr>
        <w:t xml:space="preserve"> </w:t>
      </w:r>
      <w:r w:rsidRPr="006E05DF" w:rsidR="0045626D">
        <w:rPr>
          <w:szCs w:val="26"/>
        </w:rPr>
        <w:t>goal</w:t>
      </w:r>
      <w:r w:rsidRPr="006E05DF" w:rsidR="005D54DD">
        <w:rPr>
          <w:szCs w:val="26"/>
        </w:rPr>
        <w:t xml:space="preserve"> of government</w:t>
      </w:r>
      <w:r w:rsidRPr="006E05DF" w:rsidR="001E2708">
        <w:rPr>
          <w:szCs w:val="26"/>
        </w:rPr>
        <w:t>.  (</w:t>
      </w:r>
      <w:r w:rsidRPr="006E05DF" w:rsidR="001E2708">
        <w:rPr>
          <w:i/>
          <w:iCs/>
          <w:szCs w:val="26"/>
        </w:rPr>
        <w:t>Ibid.</w:t>
      </w:r>
      <w:r w:rsidRPr="006E05DF" w:rsidR="005D54DD">
        <w:rPr>
          <w:szCs w:val="26"/>
        </w:rPr>
        <w:t xml:space="preserve">; </w:t>
      </w:r>
      <w:r w:rsidRPr="006E05DF" w:rsidR="005D54DD">
        <w:rPr>
          <w:i/>
          <w:iCs/>
          <w:szCs w:val="26"/>
        </w:rPr>
        <w:t>Cincinnati v. Discovery Network</w:t>
      </w:r>
      <w:r w:rsidRPr="006E05DF" w:rsidR="005D54DD">
        <w:rPr>
          <w:szCs w:val="26"/>
        </w:rPr>
        <w:t xml:space="preserve"> (1993) 507 U.S. 410, 426.)</w:t>
      </w:r>
    </w:p>
    <w:p w:rsidR="000B6063" w:rsidRPr="006E05DF" w:rsidP="00314A1F">
      <w:pPr>
        <w:rPr>
          <w:szCs w:val="26"/>
        </w:rPr>
      </w:pPr>
      <w:r w:rsidRPr="006E05DF">
        <w:rPr>
          <w:szCs w:val="26"/>
        </w:rPr>
        <w:tab/>
      </w:r>
      <w:r w:rsidR="00207C0D">
        <w:rPr>
          <w:szCs w:val="26"/>
        </w:rPr>
        <w:t>“[T]he category of c</w:t>
      </w:r>
      <w:r w:rsidRPr="006E05DF" w:rsidR="00207C0D">
        <w:rPr>
          <w:szCs w:val="26"/>
        </w:rPr>
        <w:t>ommercial speech</w:t>
      </w:r>
      <w:r w:rsidR="00207C0D">
        <w:rPr>
          <w:szCs w:val="26"/>
        </w:rPr>
        <w:t xml:space="preserve"> consists</w:t>
      </w:r>
      <w:r w:rsidRPr="006E05DF" w:rsidR="00207C0D">
        <w:rPr>
          <w:szCs w:val="26"/>
        </w:rPr>
        <w:t xml:space="preserve"> at its core</w:t>
      </w:r>
      <w:r w:rsidR="00207C0D">
        <w:rPr>
          <w:szCs w:val="26"/>
        </w:rPr>
        <w:t xml:space="preserve"> </w:t>
      </w:r>
      <w:r w:rsidRPr="006E05DF" w:rsidR="00207C0D">
        <w:rPr>
          <w:szCs w:val="26"/>
        </w:rPr>
        <w:t xml:space="preserve"> </w:t>
      </w:r>
      <w:r w:rsidR="00207C0D">
        <w:rPr>
          <w:szCs w:val="26"/>
        </w:rPr>
        <w:t xml:space="preserve">of ‘ “speech </w:t>
      </w:r>
      <w:r w:rsidRPr="006E05DF" w:rsidR="00207C0D">
        <w:rPr>
          <w:szCs w:val="26"/>
        </w:rPr>
        <w:t>propos</w:t>
      </w:r>
      <w:r w:rsidR="00207C0D">
        <w:rPr>
          <w:szCs w:val="26"/>
        </w:rPr>
        <w:t>ing</w:t>
      </w:r>
      <w:r w:rsidRPr="006E05DF" w:rsidR="00207C0D">
        <w:rPr>
          <w:szCs w:val="26"/>
        </w:rPr>
        <w:t xml:space="preserve"> a commercial transaction.</w:t>
      </w:r>
      <w:r w:rsidR="00207C0D">
        <w:rPr>
          <w:szCs w:val="26"/>
        </w:rPr>
        <w:t>” ’ ”</w:t>
      </w:r>
      <w:r w:rsidRPr="006E05DF" w:rsidR="00207C0D">
        <w:rPr>
          <w:szCs w:val="26"/>
        </w:rPr>
        <w:t xml:space="preserve">  (</w:t>
      </w:r>
      <w:r w:rsidRPr="006E05DF" w:rsidR="00207C0D">
        <w:rPr>
          <w:i/>
          <w:iCs/>
          <w:szCs w:val="26"/>
        </w:rPr>
        <w:t>Kasky</w:t>
      </w:r>
      <w:r w:rsidRPr="006E05DF" w:rsidR="00207C0D">
        <w:rPr>
          <w:szCs w:val="26"/>
        </w:rPr>
        <w:t>,</w:t>
      </w:r>
      <w:r w:rsidRPr="006E05DF" w:rsidR="00207C0D">
        <w:rPr>
          <w:i/>
          <w:iCs/>
          <w:szCs w:val="26"/>
        </w:rPr>
        <w:t xml:space="preserve"> supra</w:t>
      </w:r>
      <w:r w:rsidRPr="006E05DF" w:rsidR="00207C0D">
        <w:rPr>
          <w:szCs w:val="26"/>
        </w:rPr>
        <w:t xml:space="preserve">, 27 Cal.4th at p. 956, </w:t>
      </w:r>
      <w:r w:rsidR="00207C0D">
        <w:rPr>
          <w:szCs w:val="26"/>
        </w:rPr>
        <w:t>quoting</w:t>
      </w:r>
      <w:r w:rsidRPr="006E05DF">
        <w:rPr>
          <w:szCs w:val="26"/>
        </w:rPr>
        <w:t xml:space="preserve"> </w:t>
      </w:r>
      <w:r w:rsidRPr="006E05DF">
        <w:rPr>
          <w:i/>
          <w:iCs/>
          <w:szCs w:val="26"/>
        </w:rPr>
        <w:t>Central Hudson</w:t>
      </w:r>
      <w:r w:rsidRPr="006E05DF">
        <w:rPr>
          <w:szCs w:val="26"/>
        </w:rPr>
        <w:t xml:space="preserve">, </w:t>
      </w:r>
      <w:r w:rsidRPr="006E05DF">
        <w:rPr>
          <w:i/>
          <w:iCs/>
          <w:szCs w:val="26"/>
        </w:rPr>
        <w:t>supra</w:t>
      </w:r>
      <w:r w:rsidRPr="006E05DF">
        <w:rPr>
          <w:szCs w:val="26"/>
        </w:rPr>
        <w:t xml:space="preserve">, 447 U.S. at p. 562; see </w:t>
      </w:r>
      <w:r w:rsidRPr="006E05DF">
        <w:rPr>
          <w:i/>
          <w:iCs/>
          <w:szCs w:val="26"/>
        </w:rPr>
        <w:t>44 Liquormart</w:t>
      </w:r>
      <w:r w:rsidR="00C06B98">
        <w:rPr>
          <w:i/>
          <w:iCs/>
          <w:szCs w:val="26"/>
        </w:rPr>
        <w:t>, Inc.</w:t>
      </w:r>
      <w:r w:rsidRPr="006E05DF">
        <w:rPr>
          <w:i/>
          <w:iCs/>
          <w:szCs w:val="26"/>
        </w:rPr>
        <w:t xml:space="preserve"> v. R</w:t>
      </w:r>
      <w:r w:rsidR="00C06B98">
        <w:rPr>
          <w:i/>
          <w:iCs/>
          <w:szCs w:val="26"/>
        </w:rPr>
        <w:t xml:space="preserve">hode </w:t>
      </w:r>
      <w:r w:rsidRPr="006E05DF">
        <w:rPr>
          <w:i/>
          <w:iCs/>
          <w:szCs w:val="26"/>
        </w:rPr>
        <w:t>I</w:t>
      </w:r>
      <w:r w:rsidR="00C06B98">
        <w:rPr>
          <w:i/>
          <w:iCs/>
          <w:szCs w:val="26"/>
        </w:rPr>
        <w:t>sland, supra</w:t>
      </w:r>
      <w:r w:rsidR="00C06B98">
        <w:rPr>
          <w:szCs w:val="26"/>
        </w:rPr>
        <w:t>,</w:t>
      </w:r>
      <w:r w:rsidRPr="006E05DF">
        <w:rPr>
          <w:szCs w:val="26"/>
        </w:rPr>
        <w:t xml:space="preserve"> 517 U.S. </w:t>
      </w:r>
      <w:r w:rsidR="00C06B98">
        <w:rPr>
          <w:szCs w:val="26"/>
        </w:rPr>
        <w:t>at p.</w:t>
      </w:r>
      <w:r w:rsidRPr="006E05DF">
        <w:rPr>
          <w:szCs w:val="26"/>
        </w:rPr>
        <w:t xml:space="preserve"> 499 [commercial speech is speech “</w:t>
      </w:r>
      <w:r w:rsidR="00CE6584">
        <w:rPr>
          <w:szCs w:val="26"/>
        </w:rPr>
        <w:t> </w:t>
      </w:r>
      <w:r w:rsidR="00E80942">
        <w:rPr>
          <w:szCs w:val="26"/>
        </w:rPr>
        <w:t>‘</w:t>
      </w:r>
      <w:r w:rsidRPr="006E05DF">
        <w:rPr>
          <w:szCs w:val="26"/>
        </w:rPr>
        <w:t>linked</w:t>
      </w:r>
      <w:r w:rsidRPr="00E728B4" w:rsidR="00E728B4">
        <w:rPr>
          <w:szCs w:val="26"/>
        </w:rPr>
        <w:t xml:space="preserve"> </w:t>
      </w:r>
      <w:r w:rsidRPr="006E05DF" w:rsidR="00E728B4">
        <w:rPr>
          <w:szCs w:val="26"/>
        </w:rPr>
        <w:t>inextricably</w:t>
      </w:r>
      <w:r w:rsidR="00E728B4">
        <w:rPr>
          <w:szCs w:val="26"/>
        </w:rPr>
        <w:t>’</w:t>
      </w:r>
      <w:r w:rsidR="00CE6584">
        <w:rPr>
          <w:szCs w:val="26"/>
        </w:rPr>
        <w:t> </w:t>
      </w:r>
      <w:r w:rsidRPr="006E05DF">
        <w:rPr>
          <w:szCs w:val="26"/>
        </w:rPr>
        <w:t xml:space="preserve">” with “commercial transactions”].)  </w:t>
      </w:r>
      <w:r w:rsidRPr="002C701F">
        <w:rPr>
          <w:szCs w:val="26"/>
        </w:rPr>
        <w:t>“[W]hen a court must decide whether particular speech may be subjected to laws aimed at preventing false advertising or other forms of commercial deception, categorizing a particular statement as commercial or noncommercial speech requires considera</w:t>
      </w:r>
      <w:r w:rsidRPr="006E05DF">
        <w:rPr>
          <w:szCs w:val="26"/>
        </w:rPr>
        <w:t xml:space="preserve">tion of three elements: </w:t>
      </w:r>
      <w:r w:rsidR="00E728B4">
        <w:rPr>
          <w:szCs w:val="26"/>
        </w:rPr>
        <w:t xml:space="preserve"> </w:t>
      </w:r>
      <w:r w:rsidRPr="006E05DF">
        <w:rPr>
          <w:szCs w:val="26"/>
        </w:rPr>
        <w:t>the speaker, the intended audience, and the content of the message.”  (</w:t>
      </w:r>
      <w:r w:rsidRPr="006E05DF">
        <w:rPr>
          <w:i/>
          <w:iCs/>
          <w:szCs w:val="26"/>
        </w:rPr>
        <w:t>Kasky</w:t>
      </w:r>
      <w:r w:rsidRPr="006E05DF">
        <w:rPr>
          <w:szCs w:val="26"/>
        </w:rPr>
        <w:t>, at p. 960</w:t>
      </w:r>
      <w:r w:rsidR="002C701F">
        <w:rPr>
          <w:szCs w:val="26"/>
        </w:rPr>
        <w:t>, italics omitted.</w:t>
      </w:r>
      <w:r w:rsidRPr="006E05DF">
        <w:rPr>
          <w:szCs w:val="26"/>
        </w:rPr>
        <w:t>)</w:t>
      </w:r>
    </w:p>
    <w:p w:rsidR="00B03297" w:rsidRPr="006E05DF" w:rsidP="00314A1F">
      <w:pPr>
        <w:rPr>
          <w:szCs w:val="26"/>
        </w:rPr>
      </w:pPr>
      <w:r w:rsidRPr="006E05DF">
        <w:rPr>
          <w:szCs w:val="26"/>
        </w:rPr>
        <w:tab/>
      </w:r>
      <w:r w:rsidRPr="006E05DF" w:rsidR="007E6F92">
        <w:rPr>
          <w:szCs w:val="26"/>
        </w:rPr>
        <w:t>Serova</w:t>
      </w:r>
      <w:r w:rsidRPr="006E05DF" w:rsidR="006C1D42">
        <w:rPr>
          <w:szCs w:val="26"/>
        </w:rPr>
        <w:t xml:space="preserve"> </w:t>
      </w:r>
      <w:r w:rsidRPr="006E05DF" w:rsidR="007E6F92">
        <w:rPr>
          <w:szCs w:val="26"/>
        </w:rPr>
        <w:t>allege</w:t>
      </w:r>
      <w:r w:rsidRPr="006E05DF" w:rsidR="006C1D42">
        <w:rPr>
          <w:szCs w:val="26"/>
        </w:rPr>
        <w:t>s</w:t>
      </w:r>
      <w:r w:rsidRPr="006E05DF" w:rsidR="007E6F92">
        <w:rPr>
          <w:szCs w:val="26"/>
        </w:rPr>
        <w:t xml:space="preserve"> </w:t>
      </w:r>
      <w:r w:rsidRPr="006E05DF" w:rsidR="00F87797">
        <w:rPr>
          <w:szCs w:val="26"/>
        </w:rPr>
        <w:t xml:space="preserve">Sony’s </w:t>
      </w:r>
      <w:r w:rsidRPr="006E05DF" w:rsidR="00973DDC">
        <w:rPr>
          <w:szCs w:val="26"/>
        </w:rPr>
        <w:t xml:space="preserve">marketing </w:t>
      </w:r>
      <w:r w:rsidRPr="006E05DF" w:rsidR="00F87797">
        <w:rPr>
          <w:szCs w:val="26"/>
        </w:rPr>
        <w:t xml:space="preserve">of </w:t>
      </w:r>
      <w:r w:rsidRPr="00883750" w:rsidR="00F87797">
        <w:rPr>
          <w:i/>
          <w:iCs/>
          <w:szCs w:val="26"/>
        </w:rPr>
        <w:t>Michael</w:t>
      </w:r>
      <w:r w:rsidRPr="006E05DF" w:rsidR="00F87797">
        <w:rPr>
          <w:szCs w:val="26"/>
        </w:rPr>
        <w:t xml:space="preserve"> violated </w:t>
      </w:r>
      <w:r w:rsidRPr="006E05DF" w:rsidR="007E6F92">
        <w:rPr>
          <w:szCs w:val="26"/>
        </w:rPr>
        <w:t xml:space="preserve">the CLRA and the UCL. </w:t>
      </w:r>
      <w:r w:rsidRPr="006E05DF" w:rsidR="006C1D42">
        <w:rPr>
          <w:szCs w:val="26"/>
        </w:rPr>
        <w:t xml:space="preserve"> </w:t>
      </w:r>
      <w:r w:rsidRPr="006E05DF" w:rsidR="00F127B0">
        <w:rPr>
          <w:szCs w:val="26"/>
        </w:rPr>
        <w:t>The CLRA</w:t>
      </w:r>
      <w:r w:rsidRPr="006E05DF" w:rsidR="006C1D42">
        <w:rPr>
          <w:szCs w:val="26"/>
        </w:rPr>
        <w:t xml:space="preserve"> (Civ. Code, §§ 1750 et seq.)</w:t>
      </w:r>
      <w:r w:rsidRPr="006E05DF" w:rsidR="00F127B0">
        <w:rPr>
          <w:szCs w:val="26"/>
        </w:rPr>
        <w:t xml:space="preserve"> prohibits seller</w:t>
      </w:r>
      <w:r w:rsidRPr="006E05DF" w:rsidR="00082323">
        <w:rPr>
          <w:szCs w:val="26"/>
        </w:rPr>
        <w:t>s</w:t>
      </w:r>
      <w:r w:rsidRPr="006E05DF" w:rsidR="00F127B0">
        <w:rPr>
          <w:szCs w:val="26"/>
        </w:rPr>
        <w:t xml:space="preserve"> of consumer good</w:t>
      </w:r>
      <w:r w:rsidRPr="006E05DF" w:rsidR="00082323">
        <w:rPr>
          <w:szCs w:val="26"/>
        </w:rPr>
        <w:t>s</w:t>
      </w:r>
      <w:r w:rsidRPr="006E05DF" w:rsidR="00F127B0">
        <w:rPr>
          <w:szCs w:val="26"/>
        </w:rPr>
        <w:t xml:space="preserve"> from representing </w:t>
      </w:r>
      <w:r w:rsidR="00E728B4">
        <w:rPr>
          <w:szCs w:val="26"/>
        </w:rPr>
        <w:t xml:space="preserve">that </w:t>
      </w:r>
      <w:r w:rsidRPr="006E05DF" w:rsidR="00F127B0">
        <w:rPr>
          <w:szCs w:val="26"/>
        </w:rPr>
        <w:t>good</w:t>
      </w:r>
      <w:r w:rsidRPr="006E05DF" w:rsidR="00082323">
        <w:rPr>
          <w:szCs w:val="26"/>
        </w:rPr>
        <w:t>s</w:t>
      </w:r>
      <w:r w:rsidRPr="006E05DF" w:rsidR="00F127B0">
        <w:rPr>
          <w:szCs w:val="26"/>
        </w:rPr>
        <w:t xml:space="preserve"> </w:t>
      </w:r>
      <w:r w:rsidRPr="006E05DF" w:rsidR="00082323">
        <w:rPr>
          <w:szCs w:val="26"/>
        </w:rPr>
        <w:t xml:space="preserve">have </w:t>
      </w:r>
      <w:r w:rsidRPr="006E05DF" w:rsidR="00F127B0">
        <w:rPr>
          <w:szCs w:val="26"/>
        </w:rPr>
        <w:t xml:space="preserve">“characteristics” </w:t>
      </w:r>
      <w:r w:rsidRPr="006E05DF" w:rsidR="00082323">
        <w:rPr>
          <w:szCs w:val="26"/>
        </w:rPr>
        <w:t xml:space="preserve">they </w:t>
      </w:r>
      <w:r w:rsidRPr="006E05DF" w:rsidR="00F127B0">
        <w:rPr>
          <w:szCs w:val="26"/>
        </w:rPr>
        <w:t>lack.  (Civ. Code, § 1770, subd. (a)(5).)</w:t>
      </w:r>
      <w:r w:rsidRPr="006E05DF" w:rsidR="00082323">
        <w:rPr>
          <w:szCs w:val="26"/>
        </w:rPr>
        <w:t xml:space="preserve">  The UCL </w:t>
      </w:r>
      <w:r w:rsidRPr="006E05DF" w:rsidR="006C1D42">
        <w:rPr>
          <w:szCs w:val="26"/>
        </w:rPr>
        <w:t>(Bus. &amp; Prof. Code, §§ 17200 et seq.) proscribes any “unlawful, unfair or fraudulent business act or practice and unfair, deceptive, untrue or misleading advertising.”  (</w:t>
      </w:r>
      <w:r w:rsidR="00E728B4">
        <w:rPr>
          <w:i/>
          <w:iCs/>
          <w:szCs w:val="26"/>
        </w:rPr>
        <w:t>Id.</w:t>
      </w:r>
      <w:r w:rsidRPr="006E05DF" w:rsidR="006C1D42">
        <w:rPr>
          <w:szCs w:val="26"/>
        </w:rPr>
        <w:t xml:space="preserve">, § 17200; see </w:t>
      </w:r>
      <w:r w:rsidRPr="006E05DF" w:rsidR="00BA2464">
        <w:rPr>
          <w:i/>
          <w:iCs/>
          <w:szCs w:val="26"/>
        </w:rPr>
        <w:t>Kasky</w:t>
      </w:r>
      <w:r w:rsidRPr="006E05DF" w:rsidR="00BA2464">
        <w:rPr>
          <w:szCs w:val="26"/>
        </w:rPr>
        <w:t>,</w:t>
      </w:r>
      <w:r w:rsidRPr="006E05DF" w:rsidR="00BA2464">
        <w:rPr>
          <w:i/>
          <w:iCs/>
          <w:szCs w:val="26"/>
        </w:rPr>
        <w:t xml:space="preserve"> supra</w:t>
      </w:r>
      <w:r w:rsidRPr="006E05DF" w:rsidR="00BA2464">
        <w:rPr>
          <w:szCs w:val="26"/>
        </w:rPr>
        <w:t xml:space="preserve">, 27 Cal.4th at pp. </w:t>
      </w:r>
      <w:r w:rsidRPr="006E05DF" w:rsidR="006C1D42">
        <w:rPr>
          <w:szCs w:val="26"/>
        </w:rPr>
        <w:t>949</w:t>
      </w:r>
      <w:r w:rsidRPr="006E05DF" w:rsidR="005B39C8">
        <w:rPr>
          <w:szCs w:val="26"/>
        </w:rPr>
        <w:t>–</w:t>
      </w:r>
      <w:r w:rsidRPr="006E05DF" w:rsidR="006C1D42">
        <w:rPr>
          <w:szCs w:val="26"/>
        </w:rPr>
        <w:t>950.)</w:t>
      </w:r>
      <w:r w:rsidRPr="006E05DF" w:rsidR="00876444">
        <w:rPr>
          <w:szCs w:val="26"/>
        </w:rPr>
        <w:t xml:space="preserve">  </w:t>
      </w:r>
      <w:r w:rsidRPr="006E05DF" w:rsidR="00E27261">
        <w:rPr>
          <w:szCs w:val="26"/>
        </w:rPr>
        <w:t>These</w:t>
      </w:r>
      <w:r w:rsidRPr="006E05DF" w:rsidR="00876444">
        <w:rPr>
          <w:szCs w:val="26"/>
        </w:rPr>
        <w:t xml:space="preserve"> statutes </w:t>
      </w:r>
      <w:r w:rsidRPr="006E05DF" w:rsidR="005B5D87">
        <w:rPr>
          <w:szCs w:val="26"/>
        </w:rPr>
        <w:t>provide for</w:t>
      </w:r>
      <w:r w:rsidRPr="006E05DF" w:rsidR="00E27261">
        <w:rPr>
          <w:szCs w:val="26"/>
        </w:rPr>
        <w:t>, and Serova seeks</w:t>
      </w:r>
      <w:r w:rsidRPr="006E05DF" w:rsidR="0062080A">
        <w:rPr>
          <w:szCs w:val="26"/>
        </w:rPr>
        <w:t>, b</w:t>
      </w:r>
      <w:r w:rsidRPr="006E05DF" w:rsidR="00E27261">
        <w:rPr>
          <w:szCs w:val="26"/>
        </w:rPr>
        <w:t xml:space="preserve">oth </w:t>
      </w:r>
      <w:r w:rsidRPr="006E05DF" w:rsidR="00876444">
        <w:rPr>
          <w:szCs w:val="26"/>
        </w:rPr>
        <w:t xml:space="preserve">injunctive </w:t>
      </w:r>
      <w:r w:rsidRPr="006E05DF" w:rsidR="009E14B6">
        <w:rPr>
          <w:szCs w:val="26"/>
        </w:rPr>
        <w:t xml:space="preserve">and monetary </w:t>
      </w:r>
      <w:r w:rsidRPr="006E05DF" w:rsidR="00876444">
        <w:rPr>
          <w:szCs w:val="26"/>
        </w:rPr>
        <w:t>relief.  (Civ. Code, § 1780, subd. (a); Bus</w:t>
      </w:r>
      <w:r w:rsidR="00E728B4">
        <w:rPr>
          <w:szCs w:val="26"/>
        </w:rPr>
        <w:t>.</w:t>
      </w:r>
      <w:r w:rsidRPr="006E05DF" w:rsidR="00876444">
        <w:rPr>
          <w:szCs w:val="26"/>
        </w:rPr>
        <w:t xml:space="preserve"> &amp; Prof. Code, § 17203; </w:t>
      </w:r>
      <w:r w:rsidRPr="006E05DF" w:rsidR="00876444">
        <w:rPr>
          <w:i/>
          <w:iCs/>
          <w:szCs w:val="26"/>
        </w:rPr>
        <w:t>Zhang v. Superior Court</w:t>
      </w:r>
      <w:r w:rsidRPr="006E05DF" w:rsidR="00876444">
        <w:rPr>
          <w:szCs w:val="26"/>
        </w:rPr>
        <w:t xml:space="preserve"> (2013) 57 Cal.4th 364, 371.)</w:t>
      </w:r>
      <w:r w:rsidRPr="006E05DF" w:rsidR="001D5D0D">
        <w:rPr>
          <w:szCs w:val="26"/>
        </w:rPr>
        <w:t xml:space="preserve">  </w:t>
      </w:r>
    </w:p>
    <w:p w:rsidR="007E5AF3" w:rsidRPr="006E05DF" w:rsidP="00314A1F">
      <w:pPr>
        <w:rPr>
          <w:szCs w:val="26"/>
        </w:rPr>
      </w:pPr>
      <w:r w:rsidRPr="006E05DF">
        <w:rPr>
          <w:szCs w:val="26"/>
        </w:rPr>
        <w:tab/>
      </w:r>
      <w:r w:rsidRPr="006E05DF" w:rsidR="004D4F61">
        <w:rPr>
          <w:szCs w:val="26"/>
        </w:rPr>
        <w:t xml:space="preserve">Serova and Sony agree </w:t>
      </w:r>
      <w:r w:rsidRPr="006E05DF" w:rsidR="00C056B9">
        <w:rPr>
          <w:szCs w:val="26"/>
        </w:rPr>
        <w:t>the CLRA and UCL</w:t>
      </w:r>
      <w:r w:rsidR="00437868">
        <w:rPr>
          <w:szCs w:val="26"/>
        </w:rPr>
        <w:t> </w:t>
      </w:r>
      <w:r w:rsidRPr="006E05DF" w:rsidR="00010A5B">
        <w:rPr>
          <w:szCs w:val="26"/>
        </w:rPr>
        <w:t>—</w:t>
      </w:r>
      <w:r w:rsidR="00E728B4">
        <w:rPr>
          <w:szCs w:val="26"/>
        </w:rPr>
        <w:t xml:space="preserve"> </w:t>
      </w:r>
      <w:r w:rsidRPr="006E05DF" w:rsidR="00010A5B">
        <w:rPr>
          <w:szCs w:val="26"/>
        </w:rPr>
        <w:t>without distinguishing between the statutes’ available remedies</w:t>
      </w:r>
      <w:r w:rsidR="00437868">
        <w:rPr>
          <w:szCs w:val="26"/>
        </w:rPr>
        <w:t> </w:t>
      </w:r>
      <w:r w:rsidRPr="006E05DF" w:rsidR="00010A5B">
        <w:rPr>
          <w:szCs w:val="26"/>
        </w:rPr>
        <w:t>—</w:t>
      </w:r>
      <w:r w:rsidR="00E728B4">
        <w:rPr>
          <w:szCs w:val="26"/>
        </w:rPr>
        <w:t xml:space="preserve"> </w:t>
      </w:r>
      <w:r w:rsidRPr="006E05DF" w:rsidR="006903C5">
        <w:rPr>
          <w:szCs w:val="26"/>
        </w:rPr>
        <w:t xml:space="preserve">can </w:t>
      </w:r>
      <w:r w:rsidRPr="006E05DF" w:rsidR="00A10D72">
        <w:rPr>
          <w:szCs w:val="26"/>
        </w:rPr>
        <w:t xml:space="preserve">constitutionally </w:t>
      </w:r>
      <w:r w:rsidRPr="006E05DF" w:rsidR="00973DDC">
        <w:rPr>
          <w:szCs w:val="26"/>
        </w:rPr>
        <w:t>restrict</w:t>
      </w:r>
      <w:r w:rsidRPr="006E05DF" w:rsidR="00CE23A0">
        <w:rPr>
          <w:szCs w:val="26"/>
        </w:rPr>
        <w:t xml:space="preserve"> speech</w:t>
      </w:r>
      <w:r w:rsidRPr="006E05DF" w:rsidR="00896ED9">
        <w:rPr>
          <w:szCs w:val="26"/>
        </w:rPr>
        <w:t xml:space="preserve"> </w:t>
      </w:r>
      <w:r w:rsidRPr="006E05DF" w:rsidR="00BA2464">
        <w:rPr>
          <w:szCs w:val="26"/>
        </w:rPr>
        <w:t xml:space="preserve">properly </w:t>
      </w:r>
      <w:r w:rsidRPr="006E05DF" w:rsidR="00C056B9">
        <w:rPr>
          <w:szCs w:val="26"/>
        </w:rPr>
        <w:t xml:space="preserve">classified as </w:t>
      </w:r>
      <w:r w:rsidRPr="006E05DF" w:rsidR="00896ED9">
        <w:rPr>
          <w:szCs w:val="26"/>
        </w:rPr>
        <w:t>commercial</w:t>
      </w:r>
      <w:r w:rsidRPr="006E05DF" w:rsidR="00CE23A0">
        <w:rPr>
          <w:szCs w:val="26"/>
        </w:rPr>
        <w:t xml:space="preserve">.  </w:t>
      </w:r>
      <w:r w:rsidRPr="006E05DF">
        <w:rPr>
          <w:szCs w:val="26"/>
        </w:rPr>
        <w:t>They dispute</w:t>
      </w:r>
      <w:r w:rsidRPr="006E05DF" w:rsidR="00141C7D">
        <w:rPr>
          <w:szCs w:val="26"/>
        </w:rPr>
        <w:t>, however,</w:t>
      </w:r>
      <w:r w:rsidRPr="006E05DF">
        <w:rPr>
          <w:szCs w:val="26"/>
        </w:rPr>
        <w:t xml:space="preserve"> </w:t>
      </w:r>
      <w:r w:rsidRPr="006E05DF">
        <w:rPr>
          <w:szCs w:val="26"/>
        </w:rPr>
        <w:t xml:space="preserve">whether the album packaging and video for </w:t>
      </w:r>
      <w:r w:rsidRPr="00883750">
        <w:rPr>
          <w:i/>
          <w:iCs/>
          <w:szCs w:val="26"/>
        </w:rPr>
        <w:t>Michael</w:t>
      </w:r>
      <w:r w:rsidRPr="006E05DF" w:rsidR="00C35497">
        <w:rPr>
          <w:szCs w:val="26"/>
        </w:rPr>
        <w:t>, insofar as they make claims about Jackson’s contributions to the album,</w:t>
      </w:r>
      <w:r w:rsidRPr="006E05DF" w:rsidR="00C35497">
        <w:rPr>
          <w:i/>
          <w:iCs/>
          <w:szCs w:val="26"/>
        </w:rPr>
        <w:t xml:space="preserve"> </w:t>
      </w:r>
      <w:r w:rsidRPr="006E05DF">
        <w:rPr>
          <w:szCs w:val="26"/>
        </w:rPr>
        <w:t>are commercial or noncommercial speech</w:t>
      </w:r>
      <w:r w:rsidRPr="006E05DF" w:rsidR="000B6063">
        <w:rPr>
          <w:szCs w:val="26"/>
        </w:rPr>
        <w:t xml:space="preserve"> under </w:t>
      </w:r>
      <w:r w:rsidRPr="006E05DF" w:rsidR="00D86745">
        <w:rPr>
          <w:szCs w:val="26"/>
        </w:rPr>
        <w:t>First Amendment doctrine</w:t>
      </w:r>
      <w:r w:rsidRPr="006E05DF">
        <w:rPr>
          <w:szCs w:val="26"/>
        </w:rPr>
        <w:t>.</w:t>
      </w:r>
      <w:r>
        <w:rPr>
          <w:rStyle w:val="FootnoteReference"/>
          <w:szCs w:val="26"/>
        </w:rPr>
        <w:footnoteReference w:id="6"/>
      </w:r>
    </w:p>
    <w:p w:rsidR="00230F42" w:rsidRPr="006E05DF" w:rsidP="00813F7C">
      <w:pPr>
        <w:spacing w:line="240" w:lineRule="auto"/>
        <w:ind w:left="720" w:hanging="720"/>
        <w:outlineLvl w:val="1"/>
        <w:rPr>
          <w:b/>
          <w:bCs/>
          <w:szCs w:val="26"/>
        </w:rPr>
      </w:pPr>
      <w:r w:rsidRPr="006E05DF">
        <w:rPr>
          <w:b/>
          <w:bCs/>
          <w:szCs w:val="26"/>
        </w:rPr>
        <w:t>B.</w:t>
      </w:r>
      <w:r w:rsidRPr="006E05DF">
        <w:rPr>
          <w:b/>
          <w:bCs/>
          <w:szCs w:val="26"/>
        </w:rPr>
        <w:tab/>
        <w:t xml:space="preserve">Sony’s </w:t>
      </w:r>
      <w:r w:rsidRPr="006E05DF" w:rsidR="00F919D6">
        <w:rPr>
          <w:b/>
          <w:bCs/>
          <w:szCs w:val="26"/>
        </w:rPr>
        <w:t>Statements</w:t>
      </w:r>
      <w:r w:rsidRPr="006E05DF" w:rsidR="00353E3A">
        <w:rPr>
          <w:b/>
          <w:bCs/>
          <w:szCs w:val="26"/>
        </w:rPr>
        <w:t xml:space="preserve"> </w:t>
      </w:r>
      <w:r w:rsidR="008475D5">
        <w:rPr>
          <w:b/>
          <w:bCs/>
          <w:szCs w:val="26"/>
        </w:rPr>
        <w:t>A</w:t>
      </w:r>
      <w:r w:rsidRPr="006E05DF" w:rsidR="00353E3A">
        <w:rPr>
          <w:b/>
          <w:bCs/>
          <w:szCs w:val="26"/>
        </w:rPr>
        <w:t xml:space="preserve">bout </w:t>
      </w:r>
      <w:r w:rsidRPr="00883750" w:rsidR="00353E3A">
        <w:rPr>
          <w:b/>
          <w:bCs/>
          <w:i/>
          <w:iCs/>
          <w:szCs w:val="26"/>
        </w:rPr>
        <w:t>Michael</w:t>
      </w:r>
      <w:r w:rsidRPr="006E05DF" w:rsidR="00F919D6">
        <w:rPr>
          <w:b/>
          <w:bCs/>
          <w:szCs w:val="26"/>
        </w:rPr>
        <w:t xml:space="preserve"> </w:t>
      </w:r>
      <w:r w:rsidR="008475D5">
        <w:rPr>
          <w:b/>
          <w:bCs/>
          <w:szCs w:val="26"/>
        </w:rPr>
        <w:t>A</w:t>
      </w:r>
      <w:r w:rsidRPr="006E05DF" w:rsidR="00F919D6">
        <w:rPr>
          <w:b/>
          <w:bCs/>
          <w:szCs w:val="26"/>
        </w:rPr>
        <w:t>re Commercial Speech</w:t>
      </w:r>
    </w:p>
    <w:p w:rsidR="00B03297" w:rsidRPr="006E05DF" w:rsidP="00314A1F">
      <w:pPr>
        <w:rPr>
          <w:szCs w:val="26"/>
        </w:rPr>
      </w:pPr>
      <w:r w:rsidRPr="006E05DF">
        <w:rPr>
          <w:szCs w:val="26"/>
        </w:rPr>
        <w:tab/>
      </w:r>
      <w:r w:rsidRPr="006E05DF" w:rsidR="00F919D6">
        <w:rPr>
          <w:szCs w:val="26"/>
        </w:rPr>
        <w:t xml:space="preserve">We start </w:t>
      </w:r>
      <w:r w:rsidRPr="006E05DF" w:rsidR="00AC3CA7">
        <w:rPr>
          <w:szCs w:val="26"/>
        </w:rPr>
        <w:t>with</w:t>
      </w:r>
      <w:r w:rsidRPr="006E05DF" w:rsidR="00F919D6">
        <w:rPr>
          <w:szCs w:val="26"/>
        </w:rPr>
        <w:t xml:space="preserve"> Sony’s</w:t>
      </w:r>
      <w:r w:rsidRPr="006E05DF" w:rsidR="00410260">
        <w:rPr>
          <w:szCs w:val="26"/>
        </w:rPr>
        <w:t xml:space="preserve"> promotion of </w:t>
      </w:r>
      <w:r w:rsidRPr="00883750" w:rsidR="00410260">
        <w:rPr>
          <w:i/>
          <w:iCs/>
          <w:szCs w:val="26"/>
        </w:rPr>
        <w:t>Michael</w:t>
      </w:r>
      <w:r w:rsidRPr="006E05DF" w:rsidR="00410260">
        <w:rPr>
          <w:szCs w:val="26"/>
        </w:rPr>
        <w:t xml:space="preserve"> </w:t>
      </w:r>
      <w:r w:rsidRPr="006E05DF" w:rsidR="00575E01">
        <w:rPr>
          <w:szCs w:val="26"/>
        </w:rPr>
        <w:t xml:space="preserve">in the video </w:t>
      </w:r>
      <w:r w:rsidRPr="006E05DF" w:rsidR="00FE3380">
        <w:rPr>
          <w:szCs w:val="26"/>
        </w:rPr>
        <w:t>and on the album</w:t>
      </w:r>
      <w:r w:rsidRPr="006E05DF" w:rsidR="002958A2">
        <w:rPr>
          <w:szCs w:val="26"/>
        </w:rPr>
        <w:t>’s</w:t>
      </w:r>
      <w:r w:rsidRPr="006E05DF" w:rsidR="00F0794E">
        <w:rPr>
          <w:szCs w:val="26"/>
        </w:rPr>
        <w:t xml:space="preserve"> back </w:t>
      </w:r>
      <w:r w:rsidRPr="006E05DF" w:rsidR="00410260">
        <w:rPr>
          <w:szCs w:val="26"/>
        </w:rPr>
        <w:t xml:space="preserve">as “a brand new album from the greatest artist of all time” with “9 previously unreleased vocal tracks performed by Michael Jackson.”  </w:t>
      </w:r>
      <w:r w:rsidRPr="006E05DF" w:rsidR="00AC3CA7">
        <w:rPr>
          <w:szCs w:val="26"/>
        </w:rPr>
        <w:t xml:space="preserve">For the </w:t>
      </w:r>
      <w:r w:rsidRPr="006E05DF" w:rsidR="00F919D6">
        <w:rPr>
          <w:szCs w:val="26"/>
        </w:rPr>
        <w:t xml:space="preserve">moment, </w:t>
      </w:r>
      <w:r w:rsidRPr="006E05DF" w:rsidR="00AC3CA7">
        <w:rPr>
          <w:szCs w:val="26"/>
        </w:rPr>
        <w:t xml:space="preserve">we leave aside </w:t>
      </w:r>
      <w:r w:rsidRPr="006E05DF" w:rsidR="00F919D6">
        <w:rPr>
          <w:szCs w:val="26"/>
        </w:rPr>
        <w:t xml:space="preserve">the </w:t>
      </w:r>
      <w:r w:rsidRPr="006E05DF" w:rsidR="00F130E7">
        <w:rPr>
          <w:szCs w:val="26"/>
        </w:rPr>
        <w:t xml:space="preserve">other components of the album’s packaging, </w:t>
      </w:r>
      <w:r w:rsidRPr="006E05DF" w:rsidR="00912034">
        <w:rPr>
          <w:szCs w:val="26"/>
        </w:rPr>
        <w:t>the</w:t>
      </w:r>
      <w:r w:rsidRPr="006E05DF" w:rsidR="00F130E7">
        <w:rPr>
          <w:szCs w:val="26"/>
        </w:rPr>
        <w:t xml:space="preserve"> </w:t>
      </w:r>
      <w:r w:rsidRPr="006E05DF" w:rsidR="00F919D6">
        <w:rPr>
          <w:szCs w:val="26"/>
        </w:rPr>
        <w:t>title and imagery</w:t>
      </w:r>
      <w:r w:rsidRPr="006E05DF" w:rsidR="00F130E7">
        <w:rPr>
          <w:szCs w:val="26"/>
        </w:rPr>
        <w:t>.</w:t>
      </w:r>
    </w:p>
    <w:p w:rsidR="003E5753" w:rsidRPr="006E05DF" w:rsidP="00314A1F">
      <w:pPr>
        <w:outlineLvl w:val="2"/>
        <w:rPr>
          <w:b/>
          <w:bCs/>
          <w:szCs w:val="26"/>
        </w:rPr>
      </w:pPr>
      <w:r w:rsidRPr="006E05DF">
        <w:rPr>
          <w:szCs w:val="26"/>
        </w:rPr>
        <w:tab/>
      </w:r>
      <w:r w:rsidRPr="006E05DF">
        <w:rPr>
          <w:b/>
          <w:bCs/>
          <w:szCs w:val="26"/>
        </w:rPr>
        <w:t>1.</w:t>
      </w:r>
      <w:r w:rsidRPr="006E05DF">
        <w:rPr>
          <w:b/>
          <w:bCs/>
          <w:szCs w:val="26"/>
        </w:rPr>
        <w:tab/>
        <w:t>Speaker and Audience</w:t>
      </w:r>
    </w:p>
    <w:p w:rsidR="009B2C63" w:rsidRPr="006E05DF" w:rsidP="00314A1F">
      <w:pPr>
        <w:rPr>
          <w:szCs w:val="26"/>
        </w:rPr>
      </w:pPr>
      <w:r w:rsidRPr="006E05DF">
        <w:rPr>
          <w:szCs w:val="26"/>
        </w:rPr>
        <w:tab/>
      </w:r>
      <w:r w:rsidRPr="006E05DF" w:rsidR="00362F4E">
        <w:rPr>
          <w:szCs w:val="26"/>
        </w:rPr>
        <w:t>Sony, the speaker</w:t>
      </w:r>
      <w:r w:rsidRPr="006E05DF" w:rsidR="00230F42">
        <w:rPr>
          <w:szCs w:val="26"/>
        </w:rPr>
        <w:t xml:space="preserve"> here</w:t>
      </w:r>
      <w:r w:rsidRPr="006E05DF" w:rsidR="00362F4E">
        <w:rPr>
          <w:szCs w:val="26"/>
        </w:rPr>
        <w:t xml:space="preserve">, is </w:t>
      </w:r>
      <w:r w:rsidRPr="006E05DF" w:rsidR="00230F42">
        <w:rPr>
          <w:szCs w:val="26"/>
        </w:rPr>
        <w:t xml:space="preserve">promoting </w:t>
      </w:r>
      <w:r w:rsidRPr="006E05DF" w:rsidR="00410260">
        <w:rPr>
          <w:szCs w:val="26"/>
        </w:rPr>
        <w:t>its</w:t>
      </w:r>
      <w:r w:rsidRPr="006E05DF" w:rsidR="00362F4E">
        <w:rPr>
          <w:szCs w:val="26"/>
        </w:rPr>
        <w:t xml:space="preserve"> album for sale.  </w:t>
      </w:r>
      <w:r w:rsidRPr="006E05DF" w:rsidR="000A3A7A">
        <w:rPr>
          <w:szCs w:val="26"/>
        </w:rPr>
        <w:t>(</w:t>
      </w:r>
      <w:r w:rsidRPr="006E05DF" w:rsidR="00BA2464">
        <w:rPr>
          <w:szCs w:val="26"/>
        </w:rPr>
        <w:t>See</w:t>
      </w:r>
      <w:r w:rsidRPr="006E05DF" w:rsidR="000A3A7A">
        <w:rPr>
          <w:szCs w:val="26"/>
        </w:rPr>
        <w:t xml:space="preserve"> </w:t>
      </w:r>
      <w:r w:rsidRPr="006E05DF" w:rsidR="000A3A7A">
        <w:rPr>
          <w:i/>
          <w:iCs/>
          <w:szCs w:val="26"/>
        </w:rPr>
        <w:t>Kronemyer v. Internet Movie Database Inc</w:t>
      </w:r>
      <w:r w:rsidRPr="006E05DF" w:rsidR="00C52E45">
        <w:rPr>
          <w:i/>
          <w:iCs/>
          <w:szCs w:val="26"/>
        </w:rPr>
        <w:t>.</w:t>
      </w:r>
      <w:r w:rsidR="00E728B4">
        <w:rPr>
          <w:i/>
          <w:iCs/>
          <w:szCs w:val="26"/>
        </w:rPr>
        <w:t xml:space="preserve"> </w:t>
      </w:r>
      <w:r w:rsidR="00E728B4">
        <w:rPr>
          <w:szCs w:val="26"/>
        </w:rPr>
        <w:t>(2007)</w:t>
      </w:r>
      <w:r w:rsidRPr="006E05DF" w:rsidR="00C52E45">
        <w:rPr>
          <w:szCs w:val="26"/>
        </w:rPr>
        <w:t xml:space="preserve"> </w:t>
      </w:r>
      <w:r w:rsidRPr="006E05DF" w:rsidR="000A3A7A">
        <w:rPr>
          <w:szCs w:val="26"/>
        </w:rPr>
        <w:t xml:space="preserve">150 Cal.App.4th </w:t>
      </w:r>
      <w:r w:rsidR="00E728B4">
        <w:rPr>
          <w:szCs w:val="26"/>
        </w:rPr>
        <w:t>941,</w:t>
      </w:r>
      <w:r w:rsidRPr="006E05DF" w:rsidR="000A3A7A">
        <w:rPr>
          <w:szCs w:val="26"/>
        </w:rPr>
        <w:t xml:space="preserve"> 948 [contrasting an online purveyor of information </w:t>
      </w:r>
      <w:r w:rsidRPr="006E05DF" w:rsidR="00912034">
        <w:rPr>
          <w:szCs w:val="26"/>
        </w:rPr>
        <w:t xml:space="preserve">about movies </w:t>
      </w:r>
      <w:r w:rsidRPr="006E05DF" w:rsidR="000A3A7A">
        <w:rPr>
          <w:szCs w:val="26"/>
        </w:rPr>
        <w:t xml:space="preserve">with </w:t>
      </w:r>
      <w:r w:rsidRPr="006E05DF" w:rsidR="00141C7D">
        <w:rPr>
          <w:szCs w:val="26"/>
        </w:rPr>
        <w:t xml:space="preserve">those who </w:t>
      </w:r>
      <w:r w:rsidRPr="006E05DF" w:rsidR="000A3A7A">
        <w:rPr>
          <w:szCs w:val="26"/>
        </w:rPr>
        <w:t xml:space="preserve">sell films].)  </w:t>
      </w:r>
      <w:r w:rsidRPr="006E05DF" w:rsidR="00362F4E">
        <w:rPr>
          <w:szCs w:val="26"/>
        </w:rPr>
        <w:t xml:space="preserve">The audience </w:t>
      </w:r>
      <w:r w:rsidRPr="006E05DF" w:rsidR="00410260">
        <w:rPr>
          <w:szCs w:val="26"/>
        </w:rPr>
        <w:t>for</w:t>
      </w:r>
      <w:r w:rsidRPr="006E05DF" w:rsidR="00230F42">
        <w:rPr>
          <w:szCs w:val="26"/>
        </w:rPr>
        <w:t xml:space="preserve"> its </w:t>
      </w:r>
      <w:r w:rsidRPr="006E05DF" w:rsidR="003065FD">
        <w:rPr>
          <w:szCs w:val="26"/>
        </w:rPr>
        <w:t>promotional statements</w:t>
      </w:r>
      <w:r w:rsidRPr="006E05DF" w:rsidR="00410260">
        <w:rPr>
          <w:szCs w:val="26"/>
        </w:rPr>
        <w:t xml:space="preserve"> </w:t>
      </w:r>
      <w:r w:rsidRPr="006E05DF" w:rsidR="00362F4E">
        <w:rPr>
          <w:szCs w:val="26"/>
        </w:rPr>
        <w:t>is potential purchasers</w:t>
      </w:r>
      <w:r w:rsidRPr="006E05DF" w:rsidR="00230F42">
        <w:rPr>
          <w:szCs w:val="26"/>
        </w:rPr>
        <w:t xml:space="preserve"> of </w:t>
      </w:r>
      <w:r w:rsidRPr="00883750" w:rsidR="00230F42">
        <w:rPr>
          <w:i/>
          <w:iCs/>
          <w:szCs w:val="26"/>
        </w:rPr>
        <w:t>Michael</w:t>
      </w:r>
      <w:r w:rsidRPr="006E05DF" w:rsidR="00362F4E">
        <w:rPr>
          <w:szCs w:val="26"/>
        </w:rPr>
        <w:t>, such as Serova</w:t>
      </w:r>
      <w:r w:rsidRPr="006E05DF" w:rsidR="007245A4">
        <w:rPr>
          <w:szCs w:val="26"/>
        </w:rPr>
        <w:t xml:space="preserve">, who </w:t>
      </w:r>
      <w:r w:rsidRPr="006E05DF" w:rsidR="002F725B">
        <w:rPr>
          <w:szCs w:val="26"/>
        </w:rPr>
        <w:t xml:space="preserve">will </w:t>
      </w:r>
      <w:r w:rsidRPr="006E05DF" w:rsidR="00934439">
        <w:rPr>
          <w:szCs w:val="26"/>
        </w:rPr>
        <w:t>read</w:t>
      </w:r>
      <w:r w:rsidRPr="006E05DF" w:rsidR="007245A4">
        <w:rPr>
          <w:szCs w:val="26"/>
        </w:rPr>
        <w:t xml:space="preserve"> </w:t>
      </w:r>
      <w:r w:rsidRPr="006E05DF" w:rsidR="00C1664F">
        <w:rPr>
          <w:szCs w:val="26"/>
        </w:rPr>
        <w:t xml:space="preserve">the </w:t>
      </w:r>
      <w:r w:rsidRPr="006E05DF" w:rsidR="007245A4">
        <w:rPr>
          <w:szCs w:val="26"/>
        </w:rPr>
        <w:t>album</w:t>
      </w:r>
      <w:r w:rsidRPr="006E05DF" w:rsidR="0001363E">
        <w:rPr>
          <w:szCs w:val="26"/>
        </w:rPr>
        <w:t xml:space="preserve">’s </w:t>
      </w:r>
      <w:r w:rsidRPr="006E05DF" w:rsidR="002F725B">
        <w:rPr>
          <w:szCs w:val="26"/>
        </w:rPr>
        <w:t xml:space="preserve">packaging </w:t>
      </w:r>
      <w:r w:rsidRPr="006E05DF" w:rsidR="004F0635">
        <w:rPr>
          <w:szCs w:val="26"/>
        </w:rPr>
        <w:t>while shopping</w:t>
      </w:r>
      <w:r w:rsidRPr="006E05DF">
        <w:rPr>
          <w:szCs w:val="26"/>
        </w:rPr>
        <w:t xml:space="preserve"> </w:t>
      </w:r>
      <w:r w:rsidRPr="006E05DF" w:rsidR="007245A4">
        <w:rPr>
          <w:szCs w:val="26"/>
        </w:rPr>
        <w:t xml:space="preserve">or </w:t>
      </w:r>
      <w:r w:rsidRPr="006E05DF" w:rsidR="002F725B">
        <w:rPr>
          <w:szCs w:val="26"/>
        </w:rPr>
        <w:t xml:space="preserve">will </w:t>
      </w:r>
      <w:r w:rsidRPr="006E05DF" w:rsidR="007245A4">
        <w:rPr>
          <w:szCs w:val="26"/>
        </w:rPr>
        <w:t>watch the album’s promotional video</w:t>
      </w:r>
      <w:r w:rsidRPr="006E05DF" w:rsidR="00362F4E">
        <w:rPr>
          <w:szCs w:val="26"/>
        </w:rPr>
        <w:t>.  So far, this is quintessential commercial speech.  (</w:t>
      </w:r>
      <w:r w:rsidRPr="006E05DF" w:rsidR="00BA2464">
        <w:rPr>
          <w:i/>
          <w:iCs/>
          <w:szCs w:val="26"/>
        </w:rPr>
        <w:t>Kasky</w:t>
      </w:r>
      <w:r w:rsidRPr="006E05DF" w:rsidR="00BA2464">
        <w:rPr>
          <w:szCs w:val="26"/>
        </w:rPr>
        <w:t>,</w:t>
      </w:r>
      <w:r w:rsidRPr="006E05DF" w:rsidR="00BA2464">
        <w:rPr>
          <w:i/>
          <w:iCs/>
          <w:szCs w:val="26"/>
        </w:rPr>
        <w:t xml:space="preserve"> supra</w:t>
      </w:r>
      <w:r w:rsidRPr="006E05DF" w:rsidR="00BA2464">
        <w:rPr>
          <w:szCs w:val="26"/>
        </w:rPr>
        <w:t>, 27 Cal.4th at pp</w:t>
      </w:r>
      <w:r w:rsidRPr="006E05DF" w:rsidR="00362F4E">
        <w:rPr>
          <w:szCs w:val="26"/>
        </w:rPr>
        <w:t>. 960</w:t>
      </w:r>
      <w:r w:rsidRPr="006E05DF" w:rsidR="005B39C8">
        <w:rPr>
          <w:szCs w:val="26"/>
        </w:rPr>
        <w:t>–</w:t>
      </w:r>
      <w:r w:rsidRPr="006E05DF" w:rsidR="00362F4E">
        <w:rPr>
          <w:szCs w:val="26"/>
        </w:rPr>
        <w:t>961</w:t>
      </w:r>
      <w:r w:rsidRPr="006E05DF" w:rsidR="00996688">
        <w:rPr>
          <w:szCs w:val="26"/>
        </w:rPr>
        <w:t>, 963</w:t>
      </w:r>
      <w:r w:rsidRPr="006E05DF" w:rsidR="001A3012">
        <w:rPr>
          <w:szCs w:val="26"/>
        </w:rPr>
        <w:t xml:space="preserve">; </w:t>
      </w:r>
      <w:r w:rsidRPr="006E05DF" w:rsidR="00272456">
        <w:rPr>
          <w:szCs w:val="26"/>
        </w:rPr>
        <w:t xml:space="preserve">see </w:t>
      </w:r>
      <w:r w:rsidRPr="006E05DF" w:rsidR="00084D0A">
        <w:rPr>
          <w:i/>
          <w:iCs/>
          <w:szCs w:val="26"/>
        </w:rPr>
        <w:t>Benson v. Kwikset Corp.</w:t>
      </w:r>
      <w:r w:rsidRPr="006E05DF" w:rsidR="00084D0A">
        <w:rPr>
          <w:szCs w:val="26"/>
        </w:rPr>
        <w:t xml:space="preserve"> (2007) 152 Cal.App.4th 1254, 1262 [treating product labeling as commercial speech</w:t>
      </w:r>
      <w:r w:rsidRPr="006E05DF" w:rsidR="00272456">
        <w:rPr>
          <w:szCs w:val="26"/>
        </w:rPr>
        <w:t>]</w:t>
      </w:r>
      <w:r w:rsidRPr="006E05DF" w:rsidR="00CE2E32">
        <w:rPr>
          <w:szCs w:val="26"/>
        </w:rPr>
        <w:t xml:space="preserve">; </w:t>
      </w:r>
      <w:r w:rsidRPr="006E05DF" w:rsidR="00DD1ACE">
        <w:rPr>
          <w:i/>
          <w:iCs/>
          <w:szCs w:val="26"/>
        </w:rPr>
        <w:t>United States v. Edge Broadcasting Co.</w:t>
      </w:r>
      <w:r w:rsidRPr="006E05DF" w:rsidR="00DD1ACE">
        <w:rPr>
          <w:szCs w:val="26"/>
        </w:rPr>
        <w:t xml:space="preserve"> (1993) 509 U.S. 418, 421 [treating </w:t>
      </w:r>
      <w:r w:rsidRPr="006E05DF" w:rsidR="0091238A">
        <w:rPr>
          <w:szCs w:val="26"/>
        </w:rPr>
        <w:t xml:space="preserve">broadcast advertising </w:t>
      </w:r>
      <w:r w:rsidRPr="006E05DF" w:rsidR="00DD1ACE">
        <w:rPr>
          <w:szCs w:val="26"/>
        </w:rPr>
        <w:t xml:space="preserve">as </w:t>
      </w:r>
      <w:r w:rsidRPr="006E05DF" w:rsidR="0091238A">
        <w:rPr>
          <w:szCs w:val="26"/>
        </w:rPr>
        <w:t xml:space="preserve">commercial speech]; </w:t>
      </w:r>
      <w:r w:rsidRPr="006E05DF" w:rsidR="00A36D85">
        <w:rPr>
          <w:i/>
          <w:iCs/>
          <w:szCs w:val="26"/>
        </w:rPr>
        <w:t>Facenda v. N.F.L. Films, Inc.</w:t>
      </w:r>
      <w:r w:rsidRPr="006E05DF" w:rsidR="00A36D85">
        <w:rPr>
          <w:szCs w:val="26"/>
        </w:rPr>
        <w:t xml:space="preserve"> (3d Cir. 2008) 542 F.3d 1007, 1018 [</w:t>
      </w:r>
      <w:r w:rsidRPr="006E05DF" w:rsidR="0091238A">
        <w:rPr>
          <w:szCs w:val="26"/>
        </w:rPr>
        <w:t xml:space="preserve">holding </w:t>
      </w:r>
      <w:r w:rsidRPr="006E05DF" w:rsidR="00A36D85">
        <w:rPr>
          <w:szCs w:val="26"/>
        </w:rPr>
        <w:t>long-form promotional video for video game was commercial speech]</w:t>
      </w:r>
      <w:r w:rsidRPr="006E05DF" w:rsidR="005E5696">
        <w:rPr>
          <w:szCs w:val="26"/>
        </w:rPr>
        <w:t xml:space="preserve">; </w:t>
      </w:r>
      <w:r w:rsidRPr="006E05DF" w:rsidR="002B2FA8">
        <w:rPr>
          <w:szCs w:val="26"/>
        </w:rPr>
        <w:t xml:space="preserve">cf. </w:t>
      </w:r>
      <w:r w:rsidRPr="006E05DF" w:rsidR="005E5696">
        <w:rPr>
          <w:i/>
          <w:iCs/>
          <w:szCs w:val="26"/>
        </w:rPr>
        <w:t>PPX Enters. v. Audiofidelity Enters.</w:t>
      </w:r>
      <w:r w:rsidRPr="006E05DF" w:rsidR="005E5696">
        <w:rPr>
          <w:szCs w:val="26"/>
        </w:rPr>
        <w:t xml:space="preserve"> (2d Cir. 1987) 818 F.2d 266, 272 [“A record album</w:t>
      </w:r>
      <w:r w:rsidRPr="006E05DF" w:rsidR="00C1664F">
        <w:rPr>
          <w:szCs w:val="26"/>
        </w:rPr>
        <w:t>’</w:t>
      </w:r>
      <w:r w:rsidRPr="006E05DF" w:rsidR="005E5696">
        <w:rPr>
          <w:szCs w:val="26"/>
        </w:rPr>
        <w:t>s cover . . . is one of the primary means of advertisement for a record album</w:t>
      </w:r>
      <w:r w:rsidR="00AA5503">
        <w:rPr>
          <w:szCs w:val="26"/>
        </w:rPr>
        <w:t>”</w:t>
      </w:r>
      <w:r w:rsidRPr="006E05DF" w:rsidR="005E5696">
        <w:rPr>
          <w:szCs w:val="26"/>
        </w:rPr>
        <w:t>]</w:t>
      </w:r>
      <w:r w:rsidRPr="006E05DF" w:rsidR="007245A4">
        <w:rPr>
          <w:szCs w:val="26"/>
        </w:rPr>
        <w:t>.</w:t>
      </w:r>
      <w:r w:rsidRPr="006E05DF" w:rsidR="002305B2">
        <w:rPr>
          <w:szCs w:val="26"/>
        </w:rPr>
        <w:t>)</w:t>
      </w:r>
    </w:p>
    <w:p w:rsidR="003E5753" w:rsidRPr="006E05DF" w:rsidP="00697AC4">
      <w:pPr>
        <w:ind w:firstLine="720"/>
        <w:outlineLvl w:val="2"/>
        <w:rPr>
          <w:b/>
          <w:bCs/>
          <w:szCs w:val="26"/>
        </w:rPr>
      </w:pPr>
      <w:r w:rsidRPr="006E05DF">
        <w:rPr>
          <w:b/>
          <w:bCs/>
          <w:szCs w:val="26"/>
        </w:rPr>
        <w:t>2.</w:t>
      </w:r>
      <w:r w:rsidRPr="006E05DF">
        <w:rPr>
          <w:b/>
          <w:bCs/>
          <w:szCs w:val="26"/>
        </w:rPr>
        <w:tab/>
        <w:t>Content</w:t>
      </w:r>
    </w:p>
    <w:p w:rsidR="0081553A" w:rsidRPr="006E05DF" w:rsidP="00314A1F">
      <w:pPr>
        <w:rPr>
          <w:szCs w:val="26"/>
        </w:rPr>
      </w:pPr>
      <w:r w:rsidRPr="006E05DF">
        <w:rPr>
          <w:szCs w:val="26"/>
        </w:rPr>
        <w:tab/>
      </w:r>
      <w:r w:rsidRPr="006E05DF" w:rsidR="00211C2B">
        <w:rPr>
          <w:szCs w:val="26"/>
        </w:rPr>
        <w:t>Speech</w:t>
      </w:r>
      <w:r w:rsidRPr="006E05DF">
        <w:rPr>
          <w:szCs w:val="26"/>
        </w:rPr>
        <w:t>’s content</w:t>
      </w:r>
      <w:r w:rsidRPr="006E05DF" w:rsidR="00211C2B">
        <w:rPr>
          <w:szCs w:val="26"/>
        </w:rPr>
        <w:t xml:space="preserve"> </w:t>
      </w:r>
      <w:r w:rsidRPr="006E05DF" w:rsidR="00377F99">
        <w:rPr>
          <w:szCs w:val="26"/>
        </w:rPr>
        <w:t xml:space="preserve">is typically </w:t>
      </w:r>
      <w:r w:rsidRPr="006E05DF" w:rsidR="00362F4E">
        <w:rPr>
          <w:szCs w:val="26"/>
        </w:rPr>
        <w:t>commercial</w:t>
      </w:r>
      <w:r w:rsidRPr="006E05DF" w:rsidR="00377F99">
        <w:rPr>
          <w:szCs w:val="26"/>
        </w:rPr>
        <w:t xml:space="preserve"> if it makes </w:t>
      </w:r>
      <w:r w:rsidRPr="006E05DF" w:rsidR="00211C2B">
        <w:rPr>
          <w:szCs w:val="26"/>
        </w:rPr>
        <w:t xml:space="preserve">“representations of fact about the business operations, products, or services of the speaker (or the individual or company that the speaker represents) . . . for the purpose of promoting . . . the speaker’s products or services.”  </w:t>
      </w:r>
      <w:r w:rsidRPr="006E05DF" w:rsidR="002A4872">
        <w:rPr>
          <w:szCs w:val="26"/>
        </w:rPr>
        <w:t>(</w:t>
      </w:r>
      <w:r w:rsidRPr="006E05DF" w:rsidR="00BA2464">
        <w:rPr>
          <w:i/>
          <w:iCs/>
          <w:szCs w:val="26"/>
        </w:rPr>
        <w:t>Kasky</w:t>
      </w:r>
      <w:r w:rsidRPr="006E05DF" w:rsidR="00BA2464">
        <w:rPr>
          <w:szCs w:val="26"/>
        </w:rPr>
        <w:t>,</w:t>
      </w:r>
      <w:r w:rsidRPr="006E05DF" w:rsidR="00BA2464">
        <w:rPr>
          <w:i/>
          <w:iCs/>
          <w:szCs w:val="26"/>
        </w:rPr>
        <w:t xml:space="preserve"> supra</w:t>
      </w:r>
      <w:r w:rsidRPr="006E05DF" w:rsidR="00BA2464">
        <w:rPr>
          <w:szCs w:val="26"/>
        </w:rPr>
        <w:t xml:space="preserve">, 27 Cal.4th at </w:t>
      </w:r>
      <w:r w:rsidRPr="006E05DF" w:rsidR="002A4872">
        <w:rPr>
          <w:szCs w:val="26"/>
        </w:rPr>
        <w:t>p. 961 [</w:t>
      </w:r>
      <w:r w:rsidRPr="006E05DF" w:rsidR="002971B3">
        <w:rPr>
          <w:szCs w:val="26"/>
        </w:rPr>
        <w:t xml:space="preserve">noting </w:t>
      </w:r>
      <w:r w:rsidRPr="006E05DF" w:rsidR="00362F4E">
        <w:rPr>
          <w:szCs w:val="26"/>
        </w:rPr>
        <w:t xml:space="preserve">alcohol content </w:t>
      </w:r>
      <w:r w:rsidRPr="006E05DF" w:rsidR="00F73557">
        <w:rPr>
          <w:szCs w:val="26"/>
        </w:rPr>
        <w:t xml:space="preserve">listed </w:t>
      </w:r>
      <w:r w:rsidRPr="006E05DF" w:rsidR="00362F4E">
        <w:rPr>
          <w:szCs w:val="26"/>
        </w:rPr>
        <w:t xml:space="preserve">on </w:t>
      </w:r>
      <w:r w:rsidRPr="006E05DF" w:rsidR="002A4872">
        <w:rPr>
          <w:szCs w:val="26"/>
        </w:rPr>
        <w:t xml:space="preserve">a </w:t>
      </w:r>
      <w:r w:rsidRPr="006E05DF" w:rsidR="00362F4E">
        <w:rPr>
          <w:szCs w:val="26"/>
        </w:rPr>
        <w:t>beer bottle</w:t>
      </w:r>
      <w:r w:rsidRPr="006E05DF" w:rsidR="002A4872">
        <w:rPr>
          <w:szCs w:val="26"/>
        </w:rPr>
        <w:t xml:space="preserve">, </w:t>
      </w:r>
      <w:r w:rsidRPr="006E05DF" w:rsidR="00F73557">
        <w:rPr>
          <w:szCs w:val="26"/>
        </w:rPr>
        <w:t>descriptions of</w:t>
      </w:r>
      <w:r w:rsidRPr="006E05DF" w:rsidR="00362F4E">
        <w:rPr>
          <w:szCs w:val="26"/>
        </w:rPr>
        <w:t xml:space="preserve"> </w:t>
      </w:r>
      <w:r w:rsidRPr="006E05DF">
        <w:rPr>
          <w:szCs w:val="26"/>
        </w:rPr>
        <w:t xml:space="preserve">an </w:t>
      </w:r>
      <w:r w:rsidRPr="006E05DF" w:rsidR="00362F4E">
        <w:rPr>
          <w:szCs w:val="26"/>
        </w:rPr>
        <w:t>attorney</w:t>
      </w:r>
      <w:r w:rsidR="005865BA">
        <w:rPr>
          <w:szCs w:val="26"/>
        </w:rPr>
        <w:t>’</w:t>
      </w:r>
      <w:r w:rsidRPr="006E05DF" w:rsidR="00362F4E">
        <w:rPr>
          <w:szCs w:val="26"/>
        </w:rPr>
        <w:t>s qualifications</w:t>
      </w:r>
      <w:r w:rsidRPr="006E05DF" w:rsidR="002A4872">
        <w:rPr>
          <w:szCs w:val="26"/>
        </w:rPr>
        <w:t xml:space="preserve">, and </w:t>
      </w:r>
      <w:r w:rsidRPr="006E05DF" w:rsidR="00362F4E">
        <w:rPr>
          <w:szCs w:val="26"/>
        </w:rPr>
        <w:t>advertisements showing prices of prescription drugs</w:t>
      </w:r>
      <w:r w:rsidRPr="006E05DF">
        <w:rPr>
          <w:szCs w:val="26"/>
        </w:rPr>
        <w:t xml:space="preserve"> were all commercial</w:t>
      </w:r>
      <w:r w:rsidRPr="006E05DF" w:rsidR="00362F4E">
        <w:rPr>
          <w:szCs w:val="26"/>
        </w:rPr>
        <w:t>].)</w:t>
      </w:r>
      <w:r w:rsidRPr="006E05DF" w:rsidR="002A4872">
        <w:rPr>
          <w:szCs w:val="26"/>
        </w:rPr>
        <w:t xml:space="preserve">  </w:t>
      </w:r>
      <w:r w:rsidRPr="006E05DF" w:rsidR="00377F99">
        <w:rPr>
          <w:szCs w:val="26"/>
        </w:rPr>
        <w:t xml:space="preserve">A message </w:t>
      </w:r>
      <w:r w:rsidRPr="006E05DF" w:rsidR="00100EA3">
        <w:rPr>
          <w:szCs w:val="26"/>
        </w:rPr>
        <w:t>that</w:t>
      </w:r>
      <w:r w:rsidRPr="006E05DF" w:rsidR="00377F99">
        <w:rPr>
          <w:szCs w:val="26"/>
        </w:rPr>
        <w:t>, for instance, identif</w:t>
      </w:r>
      <w:r w:rsidRPr="006E05DF" w:rsidR="00100EA3">
        <w:rPr>
          <w:szCs w:val="26"/>
        </w:rPr>
        <w:t>ies</w:t>
      </w:r>
      <w:r w:rsidRPr="006E05DF" w:rsidR="00377F99">
        <w:rPr>
          <w:szCs w:val="26"/>
        </w:rPr>
        <w:t xml:space="preserve"> </w:t>
      </w:r>
      <w:r w:rsidRPr="006E05DF" w:rsidR="002A4872">
        <w:rPr>
          <w:szCs w:val="26"/>
        </w:rPr>
        <w:t>those affiliated with a product or service</w:t>
      </w:r>
      <w:r w:rsidRPr="006E05DF" w:rsidR="00100EA3">
        <w:rPr>
          <w:szCs w:val="26"/>
        </w:rPr>
        <w:t xml:space="preserve"> might be commercial</w:t>
      </w:r>
      <w:r w:rsidRPr="006E05DF" w:rsidR="002A4872">
        <w:rPr>
          <w:szCs w:val="26"/>
        </w:rPr>
        <w:t>.  (</w:t>
      </w:r>
      <w:r w:rsidRPr="006E05DF" w:rsidR="00CB1537">
        <w:rPr>
          <w:i/>
          <w:iCs/>
          <w:szCs w:val="26"/>
        </w:rPr>
        <w:t>Id</w:t>
      </w:r>
      <w:r w:rsidRPr="006E05DF" w:rsidR="002A4872">
        <w:rPr>
          <w:i/>
          <w:iCs/>
          <w:szCs w:val="26"/>
        </w:rPr>
        <w:t>.</w:t>
      </w:r>
      <w:r w:rsidRPr="006E05DF" w:rsidR="00CB1537">
        <w:rPr>
          <w:i/>
          <w:iCs/>
          <w:szCs w:val="26"/>
        </w:rPr>
        <w:t xml:space="preserve"> </w:t>
      </w:r>
      <w:r w:rsidRPr="006E05DF" w:rsidR="00CB1537">
        <w:rPr>
          <w:szCs w:val="26"/>
        </w:rPr>
        <w:t>at p. 961</w:t>
      </w:r>
      <w:r w:rsidRPr="006E05DF" w:rsidR="002138DD">
        <w:rPr>
          <w:szCs w:val="26"/>
        </w:rPr>
        <w:t xml:space="preserve">; see </w:t>
      </w:r>
      <w:r w:rsidRPr="006E05DF" w:rsidR="002138DD">
        <w:rPr>
          <w:i/>
          <w:iCs/>
          <w:szCs w:val="26"/>
        </w:rPr>
        <w:t>id.</w:t>
      </w:r>
      <w:r w:rsidRPr="006E05DF" w:rsidR="002138DD">
        <w:rPr>
          <w:szCs w:val="26"/>
        </w:rPr>
        <w:t xml:space="preserve"> at p. 969 [statement that cherries are picked by union workers</w:t>
      </w:r>
      <w:r w:rsidRPr="006E05DF">
        <w:rPr>
          <w:szCs w:val="26"/>
        </w:rPr>
        <w:t xml:space="preserve"> would be commercial</w:t>
      </w:r>
      <w:r w:rsidRPr="006E05DF" w:rsidR="002138DD">
        <w:rPr>
          <w:szCs w:val="26"/>
        </w:rPr>
        <w:t>].)</w:t>
      </w:r>
      <w:r w:rsidRPr="006E05DF">
        <w:rPr>
          <w:szCs w:val="26"/>
        </w:rPr>
        <w:t xml:space="preserve"> </w:t>
      </w:r>
    </w:p>
    <w:p w:rsidR="0081553A" w:rsidRPr="006E05DF" w:rsidP="00314A1F">
      <w:pPr>
        <w:rPr>
          <w:szCs w:val="26"/>
        </w:rPr>
      </w:pPr>
      <w:r w:rsidRPr="006E05DF">
        <w:rPr>
          <w:szCs w:val="26"/>
        </w:rPr>
        <w:tab/>
      </w:r>
      <w:r w:rsidRPr="006E05DF" w:rsidR="00CB1537">
        <w:rPr>
          <w:szCs w:val="26"/>
        </w:rPr>
        <w:t>C</w:t>
      </w:r>
      <w:r w:rsidRPr="006E05DF" w:rsidR="00300113">
        <w:rPr>
          <w:szCs w:val="26"/>
        </w:rPr>
        <w:t xml:space="preserve">ommercial speech </w:t>
      </w:r>
      <w:r w:rsidRPr="006E05DF" w:rsidR="00CB1537">
        <w:rPr>
          <w:szCs w:val="26"/>
        </w:rPr>
        <w:t xml:space="preserve">routinely </w:t>
      </w:r>
      <w:r w:rsidRPr="006E05DF" w:rsidR="00300113">
        <w:rPr>
          <w:szCs w:val="26"/>
        </w:rPr>
        <w:t>“relate</w:t>
      </w:r>
      <w:r w:rsidRPr="006E05DF" w:rsidR="00CB1537">
        <w:rPr>
          <w:szCs w:val="26"/>
        </w:rPr>
        <w:t>s</w:t>
      </w:r>
      <w:r w:rsidRPr="006E05DF" w:rsidR="00300113">
        <w:rPr>
          <w:szCs w:val="26"/>
        </w:rPr>
        <w:t xml:space="preserve"> to a matter of significant public interest or controversy.”  (</w:t>
      </w:r>
      <w:r w:rsidRPr="006E05DF" w:rsidR="00BA2464">
        <w:rPr>
          <w:i/>
          <w:iCs/>
          <w:szCs w:val="26"/>
        </w:rPr>
        <w:t>Kasky</w:t>
      </w:r>
      <w:r w:rsidRPr="006E05DF" w:rsidR="00BA2464">
        <w:rPr>
          <w:szCs w:val="26"/>
        </w:rPr>
        <w:t>,</w:t>
      </w:r>
      <w:r w:rsidRPr="006E05DF" w:rsidR="00BA2464">
        <w:rPr>
          <w:i/>
          <w:iCs/>
          <w:szCs w:val="26"/>
        </w:rPr>
        <w:t xml:space="preserve"> supra</w:t>
      </w:r>
      <w:r w:rsidRPr="006E05DF" w:rsidR="00BA2464">
        <w:rPr>
          <w:szCs w:val="26"/>
        </w:rPr>
        <w:t>, 27 Cal.4th at p</w:t>
      </w:r>
      <w:r w:rsidRPr="006E05DF" w:rsidR="00300113">
        <w:rPr>
          <w:szCs w:val="26"/>
        </w:rPr>
        <w:t>. 964</w:t>
      </w:r>
      <w:r w:rsidRPr="006E05DF" w:rsidR="00AC75CB">
        <w:rPr>
          <w:szCs w:val="26"/>
        </w:rPr>
        <w:t xml:space="preserve">.)  </w:t>
      </w:r>
      <w:r w:rsidRPr="006E05DF" w:rsidR="00AC1D17">
        <w:rPr>
          <w:szCs w:val="26"/>
        </w:rPr>
        <w:t>“</w:t>
      </w:r>
      <w:r w:rsidRPr="006E05DF" w:rsidR="00AC75CB">
        <w:rPr>
          <w:szCs w:val="26"/>
        </w:rPr>
        <w:t>[M]any, if not most, products may be tied to public concerns</w:t>
      </w:r>
      <w:r w:rsidRPr="006E05DF" w:rsidR="00AC1D17">
        <w:rPr>
          <w:szCs w:val="26"/>
        </w:rPr>
        <w:t>” including “</w:t>
      </w:r>
      <w:r w:rsidRPr="006E05DF" w:rsidR="00AC75CB">
        <w:rPr>
          <w:szCs w:val="26"/>
        </w:rPr>
        <w:t>the environment, energy, economic policy, or individual health and safety.</w:t>
      </w:r>
      <w:r w:rsidRPr="006E05DF" w:rsidR="0038769E">
        <w:rPr>
          <w:szCs w:val="26"/>
        </w:rPr>
        <w:t>”  (</w:t>
      </w:r>
      <w:r w:rsidRPr="006E05DF" w:rsidR="00AC1D17">
        <w:rPr>
          <w:i/>
          <w:iCs/>
          <w:szCs w:val="26"/>
        </w:rPr>
        <w:t>Central Hudson</w:t>
      </w:r>
      <w:r w:rsidRPr="006E05DF" w:rsidR="00AC1D17">
        <w:rPr>
          <w:szCs w:val="26"/>
        </w:rPr>
        <w:t>,</w:t>
      </w:r>
      <w:r w:rsidRPr="006E05DF" w:rsidR="00AC1D17">
        <w:rPr>
          <w:i/>
          <w:iCs/>
          <w:szCs w:val="26"/>
        </w:rPr>
        <w:t xml:space="preserve"> supra</w:t>
      </w:r>
      <w:r w:rsidRPr="006E05DF" w:rsidR="00AC1D17">
        <w:rPr>
          <w:szCs w:val="26"/>
        </w:rPr>
        <w:t>, 447 U.S. at p. 56</w:t>
      </w:r>
      <w:r w:rsidR="00DB437D">
        <w:rPr>
          <w:szCs w:val="26"/>
        </w:rPr>
        <w:t>3</w:t>
      </w:r>
      <w:r w:rsidRPr="006E05DF" w:rsidR="00AC1D17">
        <w:rPr>
          <w:szCs w:val="26"/>
        </w:rPr>
        <w:t xml:space="preserve">, fn. 5.)  </w:t>
      </w:r>
      <w:r w:rsidRPr="006E05DF" w:rsidR="0052070C">
        <w:rPr>
          <w:szCs w:val="26"/>
        </w:rPr>
        <w:t>Further, a</w:t>
      </w:r>
      <w:r w:rsidRPr="006E05DF" w:rsidR="00300113">
        <w:rPr>
          <w:szCs w:val="26"/>
        </w:rPr>
        <w:t xml:space="preserve"> “consumer</w:t>
      </w:r>
      <w:r w:rsidR="00DB437D">
        <w:rPr>
          <w:szCs w:val="26"/>
        </w:rPr>
        <w:t>’</w:t>
      </w:r>
      <w:r w:rsidRPr="006E05DF" w:rsidR="00300113">
        <w:rPr>
          <w:szCs w:val="26"/>
        </w:rPr>
        <w:t>s interest in the price, availability, and characteristics of products and services ‘may be as keen, if not keener by far, than his interest in the day</w:t>
      </w:r>
      <w:r w:rsidR="00DB437D">
        <w:rPr>
          <w:szCs w:val="26"/>
        </w:rPr>
        <w:t>’</w:t>
      </w:r>
      <w:r w:rsidRPr="006E05DF" w:rsidR="00300113">
        <w:rPr>
          <w:szCs w:val="26"/>
        </w:rPr>
        <w:t>s most urgent political debate.’</w:t>
      </w:r>
      <w:r w:rsidR="00CE6584">
        <w:rPr>
          <w:szCs w:val="26"/>
        </w:rPr>
        <w:t> </w:t>
      </w:r>
      <w:r w:rsidRPr="006E05DF" w:rsidR="00300113">
        <w:rPr>
          <w:szCs w:val="26"/>
        </w:rPr>
        <w:t>”  (</w:t>
      </w:r>
      <w:r w:rsidRPr="006E05DF" w:rsidR="0038769E">
        <w:rPr>
          <w:i/>
          <w:iCs/>
          <w:szCs w:val="26"/>
        </w:rPr>
        <w:t>Kasky</w:t>
      </w:r>
      <w:r w:rsidRPr="006E05DF" w:rsidR="0038769E">
        <w:rPr>
          <w:szCs w:val="26"/>
        </w:rPr>
        <w:t>,</w:t>
      </w:r>
      <w:r w:rsidRPr="006E05DF" w:rsidR="00300113">
        <w:rPr>
          <w:szCs w:val="26"/>
        </w:rPr>
        <w:t xml:space="preserve"> at p. 965.)</w:t>
      </w:r>
      <w:r w:rsidRPr="006E05DF" w:rsidR="009B41E8">
        <w:rPr>
          <w:szCs w:val="26"/>
        </w:rPr>
        <w:t xml:space="preserve">  </w:t>
      </w:r>
    </w:p>
    <w:p w:rsidR="0081553A" w:rsidRPr="006E05DF" w:rsidP="006831E5">
      <w:pPr>
        <w:rPr>
          <w:szCs w:val="26"/>
        </w:rPr>
      </w:pPr>
      <w:r w:rsidRPr="006E05DF">
        <w:rPr>
          <w:szCs w:val="26"/>
        </w:rPr>
        <w:tab/>
      </w:r>
      <w:r w:rsidRPr="006E05DF" w:rsidR="002971B3">
        <w:rPr>
          <w:szCs w:val="26"/>
        </w:rPr>
        <w:t>Yet e</w:t>
      </w:r>
      <w:r w:rsidRPr="006E05DF" w:rsidR="00D52C87">
        <w:rPr>
          <w:szCs w:val="26"/>
        </w:rPr>
        <w:t>ven when</w:t>
      </w:r>
      <w:r w:rsidRPr="006E05DF" w:rsidR="00BA2464">
        <w:rPr>
          <w:szCs w:val="26"/>
        </w:rPr>
        <w:t xml:space="preserve"> </w:t>
      </w:r>
      <w:r w:rsidRPr="006E05DF" w:rsidR="00AC1D17">
        <w:rPr>
          <w:szCs w:val="26"/>
        </w:rPr>
        <w:t>commercial speech touch</w:t>
      </w:r>
      <w:r w:rsidRPr="006E05DF" w:rsidR="004F0635">
        <w:rPr>
          <w:szCs w:val="26"/>
        </w:rPr>
        <w:t>es</w:t>
      </w:r>
      <w:r w:rsidRPr="006E05DF" w:rsidR="00AC1D17">
        <w:rPr>
          <w:szCs w:val="26"/>
        </w:rPr>
        <w:t xml:space="preserve"> on important public issues</w:t>
      </w:r>
      <w:r w:rsidRPr="006E05DF" w:rsidR="0038769E">
        <w:rPr>
          <w:szCs w:val="26"/>
        </w:rPr>
        <w:t xml:space="preserve">, “the State retains the power” to </w:t>
      </w:r>
      <w:r w:rsidR="00DB437D">
        <w:rPr>
          <w:szCs w:val="26"/>
        </w:rPr>
        <w:t>e</w:t>
      </w:r>
      <w:r w:rsidRPr="006E05DF" w:rsidR="0038769E">
        <w:rPr>
          <w:szCs w:val="26"/>
        </w:rPr>
        <w:t>nsure commercial information flows “</w:t>
      </w:r>
      <w:r w:rsidR="00CE6584">
        <w:rPr>
          <w:szCs w:val="26"/>
        </w:rPr>
        <w:t> </w:t>
      </w:r>
      <w:r w:rsidR="00DB437D">
        <w:rPr>
          <w:szCs w:val="26"/>
        </w:rPr>
        <w:t>‘</w:t>
      </w:r>
      <w:r w:rsidRPr="006E05DF" w:rsidR="0038769E">
        <w:rPr>
          <w:szCs w:val="26"/>
        </w:rPr>
        <w:t>cleanly as well as freely.</w:t>
      </w:r>
      <w:r w:rsidR="00DB437D">
        <w:rPr>
          <w:szCs w:val="26"/>
        </w:rPr>
        <w:t>’</w:t>
      </w:r>
      <w:r w:rsidR="00CE6584">
        <w:rPr>
          <w:szCs w:val="26"/>
        </w:rPr>
        <w:t> </w:t>
      </w:r>
      <w:r w:rsidRPr="006E05DF" w:rsidR="0038769E">
        <w:rPr>
          <w:szCs w:val="26"/>
        </w:rPr>
        <w:t xml:space="preserve">”  </w:t>
      </w:r>
      <w:r w:rsidRPr="006E05DF" w:rsidR="00430F89">
        <w:rPr>
          <w:szCs w:val="26"/>
        </w:rPr>
        <w:t>(</w:t>
      </w:r>
      <w:r w:rsidRPr="006E05DF" w:rsidR="00430F89">
        <w:rPr>
          <w:i/>
          <w:iCs/>
          <w:szCs w:val="26"/>
        </w:rPr>
        <w:t>Central Hudson</w:t>
      </w:r>
      <w:r w:rsidRPr="006E05DF" w:rsidR="00430F89">
        <w:rPr>
          <w:szCs w:val="26"/>
        </w:rPr>
        <w:t>,</w:t>
      </w:r>
      <w:r w:rsidRPr="006E05DF" w:rsidR="00430F89">
        <w:rPr>
          <w:i/>
          <w:iCs/>
          <w:szCs w:val="26"/>
        </w:rPr>
        <w:t xml:space="preserve"> supra</w:t>
      </w:r>
      <w:r w:rsidRPr="006E05DF" w:rsidR="00430F89">
        <w:rPr>
          <w:szCs w:val="26"/>
        </w:rPr>
        <w:t xml:space="preserve">, 447 U.S. at p. </w:t>
      </w:r>
      <w:r w:rsidRPr="006E05DF" w:rsidR="00DB437D">
        <w:rPr>
          <w:szCs w:val="26"/>
        </w:rPr>
        <w:t>56</w:t>
      </w:r>
      <w:r w:rsidR="00DB437D">
        <w:rPr>
          <w:szCs w:val="26"/>
        </w:rPr>
        <w:t>3</w:t>
      </w:r>
      <w:r w:rsidRPr="006E05DF" w:rsidR="00430F89">
        <w:rPr>
          <w:szCs w:val="26"/>
        </w:rPr>
        <w:t xml:space="preserve">, fn. 5.)  </w:t>
      </w:r>
      <w:r w:rsidRPr="006E05DF" w:rsidR="00AC1D17">
        <w:rPr>
          <w:szCs w:val="26"/>
        </w:rPr>
        <w:t>Thus, “advertising that links a product to a current public debate</w:t>
      </w:r>
      <w:r w:rsidRPr="006E05DF" w:rsidR="00494641">
        <w:rPr>
          <w:szCs w:val="26"/>
        </w:rPr>
        <w:t>,</w:t>
      </w:r>
      <w:r w:rsidRPr="006E05DF" w:rsidR="00AC1D17">
        <w:rPr>
          <w:szCs w:val="26"/>
        </w:rPr>
        <w:t>”</w:t>
      </w:r>
      <w:r w:rsidRPr="006E05DF" w:rsidR="00494641">
        <w:rPr>
          <w:szCs w:val="26"/>
        </w:rPr>
        <w:t xml:space="preserve"> even an important one,</w:t>
      </w:r>
      <w:r w:rsidRPr="006E05DF" w:rsidR="00AC1D17">
        <w:rPr>
          <w:szCs w:val="26"/>
        </w:rPr>
        <w:t xml:space="preserve"> is not immunized from regulation.  (</w:t>
      </w:r>
      <w:r w:rsidRPr="006E05DF" w:rsidR="00430F89">
        <w:rPr>
          <w:i/>
          <w:iCs/>
          <w:szCs w:val="26"/>
        </w:rPr>
        <w:t>Ibid.</w:t>
      </w:r>
      <w:r w:rsidRPr="006E05DF" w:rsidR="00AC1D17">
        <w:rPr>
          <w:szCs w:val="26"/>
        </w:rPr>
        <w:t xml:space="preserve">; </w:t>
      </w:r>
      <w:r w:rsidR="00DB437D">
        <w:rPr>
          <w:szCs w:val="26"/>
        </w:rPr>
        <w:t xml:space="preserve">see </w:t>
      </w:r>
      <w:r w:rsidRPr="006E05DF" w:rsidR="00494641">
        <w:rPr>
          <w:i/>
          <w:iCs/>
          <w:szCs w:val="26"/>
        </w:rPr>
        <w:t>Kasky</w:t>
      </w:r>
      <w:r w:rsidRPr="006E05DF" w:rsidR="00494641">
        <w:rPr>
          <w:szCs w:val="26"/>
        </w:rPr>
        <w:t xml:space="preserve">, </w:t>
      </w:r>
      <w:r w:rsidRPr="006E05DF" w:rsidR="00494641">
        <w:rPr>
          <w:i/>
          <w:iCs/>
          <w:szCs w:val="26"/>
        </w:rPr>
        <w:t>supra</w:t>
      </w:r>
      <w:r w:rsidRPr="006E05DF" w:rsidR="00494641">
        <w:rPr>
          <w:szCs w:val="26"/>
        </w:rPr>
        <w:t xml:space="preserve">, 27 Cal.4th at p. 966; </w:t>
      </w:r>
      <w:r w:rsidRPr="006E05DF" w:rsidR="00AC1D17">
        <w:rPr>
          <w:szCs w:val="26"/>
        </w:rPr>
        <w:t xml:space="preserve">see </w:t>
      </w:r>
      <w:r w:rsidRPr="006E05DF" w:rsidR="00AC1D17">
        <w:rPr>
          <w:i/>
          <w:iCs/>
          <w:szCs w:val="26"/>
        </w:rPr>
        <w:t>United States Healthcare, Inc. v. Blue Cross of Greater Phila</w:t>
      </w:r>
      <w:r w:rsidRPr="006E05DF" w:rsidR="00F73557">
        <w:rPr>
          <w:i/>
          <w:iCs/>
          <w:szCs w:val="26"/>
        </w:rPr>
        <w:t>delphia</w:t>
      </w:r>
      <w:r w:rsidRPr="006E05DF" w:rsidR="00AC1D17">
        <w:rPr>
          <w:szCs w:val="26"/>
        </w:rPr>
        <w:t xml:space="preserve"> (3d Cir. 1990) 898 F.2d 914, 937 [“advertisements for specific health care products do not escape the commercial speech category” simply because of the public interest surrounding them].)  </w:t>
      </w:r>
      <w:r w:rsidRPr="006E05DF" w:rsidR="002F5F14">
        <w:rPr>
          <w:szCs w:val="26"/>
        </w:rPr>
        <w:t xml:space="preserve">Further, consumer advertising </w:t>
      </w:r>
      <w:r w:rsidRPr="006E05DF">
        <w:rPr>
          <w:szCs w:val="26"/>
        </w:rPr>
        <w:t xml:space="preserve">does not lose </w:t>
      </w:r>
      <w:r w:rsidRPr="006E05DF" w:rsidR="002F5F14">
        <w:rPr>
          <w:szCs w:val="26"/>
        </w:rPr>
        <w:t xml:space="preserve">its commercial character </w:t>
      </w:r>
      <w:r w:rsidRPr="006E05DF">
        <w:rPr>
          <w:szCs w:val="26"/>
        </w:rPr>
        <w:t>even if the</w:t>
      </w:r>
      <w:r w:rsidRPr="006E05DF" w:rsidR="002F5F14">
        <w:rPr>
          <w:szCs w:val="26"/>
        </w:rPr>
        <w:t xml:space="preserve"> speaker “has a secondary purpose to influence” </w:t>
      </w:r>
      <w:r w:rsidRPr="006E05DF" w:rsidR="00F73557">
        <w:rPr>
          <w:szCs w:val="26"/>
        </w:rPr>
        <w:t xml:space="preserve">discourse </w:t>
      </w:r>
      <w:r w:rsidRPr="006E05DF" w:rsidR="002F5F14">
        <w:rPr>
          <w:szCs w:val="26"/>
        </w:rPr>
        <w:t>beyond the consumer realm.  (</w:t>
      </w:r>
      <w:r w:rsidRPr="006E05DF" w:rsidR="002F5F14">
        <w:rPr>
          <w:i/>
          <w:iCs/>
          <w:szCs w:val="26"/>
        </w:rPr>
        <w:t>Kasky</w:t>
      </w:r>
      <w:r w:rsidRPr="006E05DF" w:rsidR="002F5F14">
        <w:rPr>
          <w:szCs w:val="26"/>
        </w:rPr>
        <w:t xml:space="preserve">, at p. 968.)  </w:t>
      </w:r>
      <w:r w:rsidRPr="006E05DF" w:rsidR="00AC1D17">
        <w:rPr>
          <w:szCs w:val="26"/>
        </w:rPr>
        <w:t>“A company has the full panoply of protections available to its direct comments on public issues, so there is no reason for providing similar constitutional protection when such statements are made in the context of commercial transactions.”  (</w:t>
      </w:r>
      <w:r w:rsidRPr="006E05DF" w:rsidR="00AC1D17">
        <w:rPr>
          <w:i/>
          <w:iCs/>
          <w:szCs w:val="26"/>
        </w:rPr>
        <w:t>Bolger v. Youngs Drug Prod</w:t>
      </w:r>
      <w:r w:rsidR="00A34F03">
        <w:rPr>
          <w:i/>
          <w:iCs/>
          <w:szCs w:val="26"/>
        </w:rPr>
        <w:t>ucts</w:t>
      </w:r>
      <w:r w:rsidRPr="006E05DF" w:rsidR="00AC1D17">
        <w:rPr>
          <w:i/>
          <w:iCs/>
          <w:szCs w:val="26"/>
        </w:rPr>
        <w:t xml:space="preserve"> Corp.</w:t>
      </w:r>
      <w:r w:rsidR="006831E5">
        <w:rPr>
          <w:szCs w:val="26"/>
        </w:rPr>
        <w:t xml:space="preserve"> (1983)</w:t>
      </w:r>
      <w:r w:rsidR="00A34F03">
        <w:rPr>
          <w:szCs w:val="26"/>
        </w:rPr>
        <w:t xml:space="preserve"> </w:t>
      </w:r>
      <w:r w:rsidRPr="006E05DF" w:rsidR="00AC1D17">
        <w:rPr>
          <w:szCs w:val="26"/>
        </w:rPr>
        <w:t xml:space="preserve">463 U.S. </w:t>
      </w:r>
      <w:r w:rsidR="006831E5">
        <w:rPr>
          <w:szCs w:val="26"/>
        </w:rPr>
        <w:t xml:space="preserve">60, </w:t>
      </w:r>
      <w:r w:rsidRPr="006E05DF" w:rsidR="00AC1D17">
        <w:rPr>
          <w:szCs w:val="26"/>
        </w:rPr>
        <w:t>68</w:t>
      </w:r>
      <w:r w:rsidR="00A34F03">
        <w:rPr>
          <w:szCs w:val="26"/>
        </w:rPr>
        <w:t>, fn. omitted</w:t>
      </w:r>
      <w:r w:rsidRPr="006E05DF" w:rsidR="00AC1D17">
        <w:rPr>
          <w:szCs w:val="26"/>
        </w:rPr>
        <w:t xml:space="preserve">; see </w:t>
      </w:r>
      <w:r w:rsidRPr="006E05DF" w:rsidR="00AC1D17">
        <w:rPr>
          <w:i/>
          <w:iCs/>
          <w:szCs w:val="26"/>
        </w:rPr>
        <w:t>Zauderer v. Office of Disciplinary Counsel</w:t>
      </w:r>
      <w:r w:rsidRPr="006E05DF" w:rsidR="00F73557">
        <w:rPr>
          <w:szCs w:val="26"/>
        </w:rPr>
        <w:t xml:space="preserve">, </w:t>
      </w:r>
      <w:r w:rsidRPr="006E05DF" w:rsidR="00F73557">
        <w:rPr>
          <w:i/>
          <w:iCs/>
          <w:szCs w:val="26"/>
        </w:rPr>
        <w:t>supra</w:t>
      </w:r>
      <w:r w:rsidRPr="006E05DF" w:rsidR="00F73557">
        <w:rPr>
          <w:szCs w:val="26"/>
        </w:rPr>
        <w:t xml:space="preserve">, </w:t>
      </w:r>
      <w:r w:rsidRPr="006E05DF" w:rsidR="00AC1D17">
        <w:rPr>
          <w:szCs w:val="26"/>
        </w:rPr>
        <w:t xml:space="preserve">471 U.S. </w:t>
      </w:r>
      <w:r w:rsidRPr="006E05DF" w:rsidR="00F73557">
        <w:rPr>
          <w:szCs w:val="26"/>
        </w:rPr>
        <w:t>at p.</w:t>
      </w:r>
      <w:r w:rsidRPr="006E05DF" w:rsidR="00AC1D17">
        <w:rPr>
          <w:szCs w:val="26"/>
        </w:rPr>
        <w:t xml:space="preserve"> 637, fn. 7 [</w:t>
      </w:r>
      <w:r w:rsidRPr="006E05DF" w:rsidR="00747BE5">
        <w:rPr>
          <w:szCs w:val="26"/>
        </w:rPr>
        <w:t xml:space="preserve">holding </w:t>
      </w:r>
      <w:r w:rsidRPr="006E05DF" w:rsidR="006700BD">
        <w:rPr>
          <w:szCs w:val="26"/>
        </w:rPr>
        <w:t>otherwise</w:t>
      </w:r>
      <w:r w:rsidR="00A34F03">
        <w:rPr>
          <w:szCs w:val="26"/>
        </w:rPr>
        <w:t xml:space="preserve"> </w:t>
      </w:r>
      <w:r w:rsidRPr="006E05DF" w:rsidR="006700BD">
        <w:rPr>
          <w:szCs w:val="26"/>
        </w:rPr>
        <w:t xml:space="preserve">protected </w:t>
      </w:r>
      <w:r w:rsidRPr="006E05DF" w:rsidR="00AC1D17">
        <w:rPr>
          <w:szCs w:val="26"/>
        </w:rPr>
        <w:t>speech about</w:t>
      </w:r>
      <w:r w:rsidRPr="006E05DF" w:rsidR="00AA2D01">
        <w:rPr>
          <w:szCs w:val="26"/>
        </w:rPr>
        <w:t xml:space="preserve"> the legal rights of persons injured by a medical device</w:t>
      </w:r>
      <w:r w:rsidRPr="006E05DF" w:rsidR="006700BD">
        <w:rPr>
          <w:szCs w:val="26"/>
        </w:rPr>
        <w:t xml:space="preserve"> is commercial </w:t>
      </w:r>
      <w:r w:rsidRPr="006E05DF" w:rsidR="002971B3">
        <w:rPr>
          <w:szCs w:val="26"/>
        </w:rPr>
        <w:t xml:space="preserve">speech </w:t>
      </w:r>
      <w:r w:rsidRPr="006E05DF" w:rsidR="00AA2D01">
        <w:rPr>
          <w:szCs w:val="26"/>
        </w:rPr>
        <w:t>when included in an advertisement]</w:t>
      </w:r>
      <w:r w:rsidRPr="006E05DF" w:rsidR="00FF40C4">
        <w:rPr>
          <w:szCs w:val="26"/>
        </w:rPr>
        <w:t>.)</w:t>
      </w:r>
    </w:p>
    <w:p w:rsidR="0081553A" w:rsidRPr="006E05DF" w:rsidP="00314A1F">
      <w:pPr>
        <w:rPr>
          <w:rStyle w:val="ssrfcpassagedeactivated"/>
          <w:szCs w:val="26"/>
        </w:rPr>
      </w:pPr>
      <w:r w:rsidRPr="006E05DF">
        <w:rPr>
          <w:szCs w:val="26"/>
        </w:rPr>
        <w:tab/>
      </w:r>
      <w:r w:rsidRPr="006E05DF" w:rsidR="005712F5">
        <w:rPr>
          <w:szCs w:val="26"/>
        </w:rPr>
        <w:t xml:space="preserve">The commercial speech </w:t>
      </w:r>
      <w:r w:rsidRPr="006E05DF" w:rsidR="00205F8E">
        <w:rPr>
          <w:szCs w:val="26"/>
        </w:rPr>
        <w:t xml:space="preserve">we identified </w:t>
      </w:r>
      <w:r w:rsidRPr="006E05DF" w:rsidR="005712F5">
        <w:rPr>
          <w:szCs w:val="26"/>
        </w:rPr>
        <w:t>in</w:t>
      </w:r>
      <w:r w:rsidRPr="006E05DF" w:rsidR="00141C7D">
        <w:rPr>
          <w:szCs w:val="26"/>
        </w:rPr>
        <w:t xml:space="preserve"> </w:t>
      </w:r>
      <w:r w:rsidRPr="006E05DF" w:rsidR="005712F5">
        <w:rPr>
          <w:i/>
          <w:iCs/>
          <w:szCs w:val="26"/>
        </w:rPr>
        <w:t>Kasky</w:t>
      </w:r>
      <w:r w:rsidRPr="006E05DF" w:rsidR="005712F5">
        <w:rPr>
          <w:szCs w:val="26"/>
        </w:rPr>
        <w:t xml:space="preserve"> was a series of statements Nike made </w:t>
      </w:r>
      <w:r w:rsidRPr="006E05DF" w:rsidR="00D52C87">
        <w:rPr>
          <w:szCs w:val="26"/>
        </w:rPr>
        <w:t xml:space="preserve">praising </w:t>
      </w:r>
      <w:r w:rsidRPr="006E05DF" w:rsidR="005712F5">
        <w:rPr>
          <w:szCs w:val="26"/>
        </w:rPr>
        <w:t xml:space="preserve">working conditions in its </w:t>
      </w:r>
      <w:r w:rsidRPr="006E05DF" w:rsidR="00205F8E">
        <w:rPr>
          <w:szCs w:val="26"/>
        </w:rPr>
        <w:t xml:space="preserve">subcontractors’ </w:t>
      </w:r>
      <w:r w:rsidRPr="006E05DF" w:rsidR="00410DA3">
        <w:rPr>
          <w:szCs w:val="26"/>
        </w:rPr>
        <w:t xml:space="preserve">overseas </w:t>
      </w:r>
      <w:r w:rsidRPr="006E05DF" w:rsidR="005712F5">
        <w:rPr>
          <w:szCs w:val="26"/>
        </w:rPr>
        <w:t>factories.  (</w:t>
      </w:r>
      <w:r w:rsidRPr="006E05DF" w:rsidR="00493170">
        <w:rPr>
          <w:i/>
          <w:iCs/>
          <w:szCs w:val="26"/>
        </w:rPr>
        <w:t>Kasky</w:t>
      </w:r>
      <w:r w:rsidRPr="006E05DF" w:rsidR="00493170">
        <w:rPr>
          <w:szCs w:val="26"/>
        </w:rPr>
        <w:t xml:space="preserve">, </w:t>
      </w:r>
      <w:r w:rsidRPr="006E05DF" w:rsidR="00493170">
        <w:rPr>
          <w:i/>
          <w:iCs/>
          <w:szCs w:val="26"/>
        </w:rPr>
        <w:t>supra</w:t>
      </w:r>
      <w:r w:rsidRPr="006E05DF" w:rsidR="00493170">
        <w:rPr>
          <w:szCs w:val="26"/>
        </w:rPr>
        <w:t xml:space="preserve">, 27 Cal.4th at pp. </w:t>
      </w:r>
      <w:r w:rsidRPr="006E05DF" w:rsidR="005712F5">
        <w:rPr>
          <w:szCs w:val="26"/>
        </w:rPr>
        <w:t>947</w:t>
      </w:r>
      <w:r w:rsidRPr="006E05DF" w:rsidR="005B39C8">
        <w:rPr>
          <w:szCs w:val="26"/>
        </w:rPr>
        <w:t>–</w:t>
      </w:r>
      <w:r w:rsidRPr="006E05DF" w:rsidR="005712F5">
        <w:rPr>
          <w:szCs w:val="26"/>
        </w:rPr>
        <w:t xml:space="preserve">948.) </w:t>
      </w:r>
      <w:r w:rsidRPr="006E05DF" w:rsidR="00205F8E">
        <w:rPr>
          <w:szCs w:val="26"/>
        </w:rPr>
        <w:t xml:space="preserve"> Nike</w:t>
      </w:r>
      <w:r w:rsidRPr="006E05DF" w:rsidR="00A20964">
        <w:rPr>
          <w:szCs w:val="26"/>
        </w:rPr>
        <w:t>’s</w:t>
      </w:r>
      <w:r w:rsidRPr="006E05DF" w:rsidR="00205F8E">
        <w:rPr>
          <w:szCs w:val="26"/>
        </w:rPr>
        <w:t xml:space="preserve"> press releases, letters</w:t>
      </w:r>
      <w:r w:rsidRPr="006E05DF" w:rsidR="00A20964">
        <w:rPr>
          <w:szCs w:val="26"/>
        </w:rPr>
        <w:t xml:space="preserve"> to newspapers and universities</w:t>
      </w:r>
      <w:r w:rsidRPr="006E05DF" w:rsidR="00205F8E">
        <w:rPr>
          <w:szCs w:val="26"/>
        </w:rPr>
        <w:t xml:space="preserve">, public relations materials, and advertisements </w:t>
      </w:r>
      <w:r w:rsidRPr="006E05DF" w:rsidR="002971B3">
        <w:rPr>
          <w:szCs w:val="26"/>
        </w:rPr>
        <w:t xml:space="preserve">claimed </w:t>
      </w:r>
      <w:r w:rsidRPr="006E05DF" w:rsidR="00FB578F">
        <w:rPr>
          <w:szCs w:val="26"/>
        </w:rPr>
        <w:t xml:space="preserve">that </w:t>
      </w:r>
      <w:r w:rsidRPr="006E05DF" w:rsidR="00205F8E">
        <w:rPr>
          <w:szCs w:val="26"/>
        </w:rPr>
        <w:t xml:space="preserve">workers </w:t>
      </w:r>
      <w:r w:rsidRPr="006E05DF" w:rsidR="002971B3">
        <w:rPr>
          <w:szCs w:val="26"/>
        </w:rPr>
        <w:t xml:space="preserve">in these factories </w:t>
      </w:r>
      <w:r w:rsidRPr="006E05DF" w:rsidR="00205F8E">
        <w:rPr>
          <w:rStyle w:val="ssrfcpassagedeactivated"/>
          <w:szCs w:val="26"/>
        </w:rPr>
        <w:t>“</w:t>
      </w:r>
      <w:r w:rsidRPr="006E05DF">
        <w:rPr>
          <w:rStyle w:val="ssrfcpassagedeactivated"/>
          <w:szCs w:val="26"/>
        </w:rPr>
        <w:t xml:space="preserve">are </w:t>
      </w:r>
      <w:r w:rsidRPr="006E05DF" w:rsidR="00205F8E">
        <w:rPr>
          <w:rStyle w:val="ssrfcpassagedeactivated"/>
          <w:szCs w:val="26"/>
        </w:rPr>
        <w:t xml:space="preserve">protected from physical and sexual abuse, that they are paid in accordance with applicable local laws and regulations governing wages and hours, that they are paid on average double the applicable local minimum wage, that they receive a </w:t>
      </w:r>
      <w:r w:rsidRPr="006E05DF" w:rsidR="000A5328">
        <w:rPr>
          <w:rStyle w:val="ssrfcpassagedeactivated"/>
          <w:szCs w:val="26"/>
        </w:rPr>
        <w:t>‘</w:t>
      </w:r>
      <w:r w:rsidRPr="006E05DF" w:rsidR="00205F8E">
        <w:rPr>
          <w:rStyle w:val="ssrfcpassagedeactivated"/>
          <w:szCs w:val="26"/>
        </w:rPr>
        <w:t>living wage,</w:t>
      </w:r>
      <w:r w:rsidRPr="006E05DF" w:rsidR="000A5328">
        <w:rPr>
          <w:rStyle w:val="ssrfcpassagedeactivated"/>
          <w:szCs w:val="26"/>
        </w:rPr>
        <w:t>’</w:t>
      </w:r>
      <w:r w:rsidRPr="006E05DF" w:rsidR="00205F8E">
        <w:rPr>
          <w:rStyle w:val="ssrfcpassagedeactivated"/>
          <w:szCs w:val="26"/>
        </w:rPr>
        <w:t xml:space="preserve"> that they receive free meals and health care, and that their working conditions are in compliance with applicable local laws and regulations governing occupational health and safety.”  (</w:t>
      </w:r>
      <w:r w:rsidRPr="006E05DF" w:rsidR="00205F8E">
        <w:rPr>
          <w:rStyle w:val="ssrfcpassagedeactivated"/>
          <w:i/>
          <w:iCs/>
          <w:szCs w:val="26"/>
        </w:rPr>
        <w:t>Id</w:t>
      </w:r>
      <w:r w:rsidRPr="006E05DF" w:rsidR="00205F8E">
        <w:rPr>
          <w:rStyle w:val="ssrfcpassagedeactivated"/>
          <w:szCs w:val="26"/>
        </w:rPr>
        <w:t>.</w:t>
      </w:r>
      <w:r w:rsidR="00650CD6">
        <w:rPr>
          <w:rStyle w:val="ssrfcpassagedeactivated"/>
          <w:szCs w:val="26"/>
        </w:rPr>
        <w:t xml:space="preserve"> at p. 947.</w:t>
      </w:r>
      <w:r w:rsidRPr="006E05DF" w:rsidR="00205F8E">
        <w:rPr>
          <w:rStyle w:val="ssrfcpassagedeactivated"/>
          <w:szCs w:val="26"/>
        </w:rPr>
        <w:t>)</w:t>
      </w:r>
      <w:r w:rsidRPr="006E05DF" w:rsidR="009B440F">
        <w:rPr>
          <w:rStyle w:val="ssrfcpassagedeactivated"/>
          <w:szCs w:val="26"/>
        </w:rPr>
        <w:t xml:space="preserve">  </w:t>
      </w:r>
    </w:p>
    <w:p w:rsidR="0081553A" w:rsidRPr="006E05DF" w:rsidP="00314A1F">
      <w:pPr>
        <w:rPr>
          <w:rStyle w:val="ssrfcpassagedeactivated"/>
          <w:szCs w:val="26"/>
        </w:rPr>
      </w:pPr>
      <w:r w:rsidRPr="006E05DF">
        <w:rPr>
          <w:rStyle w:val="ssrfcpassagedeactivated"/>
          <w:szCs w:val="26"/>
        </w:rPr>
        <w:tab/>
      </w:r>
      <w:r w:rsidRPr="006E05DF" w:rsidR="009B440F">
        <w:rPr>
          <w:rStyle w:val="ssrfcpassagedeactivated"/>
          <w:szCs w:val="26"/>
        </w:rPr>
        <w:t xml:space="preserve">We </w:t>
      </w:r>
      <w:r w:rsidRPr="006E05DF">
        <w:rPr>
          <w:rStyle w:val="ssrfcpassagedeactivated"/>
          <w:szCs w:val="26"/>
        </w:rPr>
        <w:t>concluded</w:t>
      </w:r>
      <w:r w:rsidRPr="006E05DF" w:rsidR="009B440F">
        <w:rPr>
          <w:rStyle w:val="ssrfcpassagedeactivated"/>
          <w:szCs w:val="26"/>
        </w:rPr>
        <w:t xml:space="preserve"> these </w:t>
      </w:r>
      <w:r w:rsidRPr="006E05DF" w:rsidR="00F20E0E">
        <w:rPr>
          <w:rStyle w:val="ssrfcpassagedeactivated"/>
          <w:szCs w:val="26"/>
        </w:rPr>
        <w:t>representations</w:t>
      </w:r>
      <w:r w:rsidRPr="006E05DF" w:rsidR="00A20964">
        <w:rPr>
          <w:rStyle w:val="ssrfcpassagedeactivated"/>
          <w:szCs w:val="26"/>
        </w:rPr>
        <w:t>, despite not pertaining to specific products and despite sometimes appearing outside traditional advertising formats, were commercial.  (</w:t>
      </w:r>
      <w:r w:rsidRPr="006E05DF" w:rsidR="00A20964">
        <w:rPr>
          <w:i/>
          <w:iCs/>
          <w:szCs w:val="26"/>
        </w:rPr>
        <w:t>Kasky</w:t>
      </w:r>
      <w:r w:rsidRPr="006E05DF" w:rsidR="00A20964">
        <w:rPr>
          <w:szCs w:val="26"/>
        </w:rPr>
        <w:t xml:space="preserve">, </w:t>
      </w:r>
      <w:r w:rsidRPr="006E05DF" w:rsidR="00A20964">
        <w:rPr>
          <w:i/>
          <w:iCs/>
          <w:szCs w:val="26"/>
        </w:rPr>
        <w:t>supra</w:t>
      </w:r>
      <w:r w:rsidRPr="006E05DF" w:rsidR="00A20964">
        <w:rPr>
          <w:szCs w:val="26"/>
        </w:rPr>
        <w:t xml:space="preserve">, 27 Cal.4th at pp. </w:t>
      </w:r>
      <w:r w:rsidRPr="006E05DF" w:rsidR="00A20964">
        <w:rPr>
          <w:rStyle w:val="ssrfcpassagedeactivated"/>
          <w:szCs w:val="26"/>
        </w:rPr>
        <w:t>965</w:t>
      </w:r>
      <w:r w:rsidRPr="006E05DF" w:rsidR="00B06661">
        <w:rPr>
          <w:rStyle w:val="ssrfcpassagedeactivated"/>
          <w:szCs w:val="26"/>
        </w:rPr>
        <w:t>–</w:t>
      </w:r>
      <w:r w:rsidRPr="006E05DF" w:rsidR="00A20964">
        <w:rPr>
          <w:rStyle w:val="ssrfcpassagedeactivated"/>
          <w:szCs w:val="26"/>
        </w:rPr>
        <w:t xml:space="preserve">966; see </w:t>
      </w:r>
      <w:r w:rsidRPr="006E05DF" w:rsidR="00A20964">
        <w:rPr>
          <w:rStyle w:val="ssrfcpassagedeactivated"/>
          <w:i/>
          <w:iCs/>
          <w:szCs w:val="26"/>
        </w:rPr>
        <w:t>id.</w:t>
      </w:r>
      <w:r w:rsidRPr="006E05DF" w:rsidR="00A20964">
        <w:rPr>
          <w:rStyle w:val="ssrfcpassagedeactivated"/>
          <w:szCs w:val="26"/>
        </w:rPr>
        <w:t xml:space="preserve"> at p. 976 (dis. opn. of Chin, J.).)  Nike was </w:t>
      </w:r>
      <w:r w:rsidRPr="006E05DF" w:rsidR="00062588">
        <w:rPr>
          <w:rStyle w:val="ssrfcpassagedeactivated"/>
          <w:szCs w:val="26"/>
        </w:rPr>
        <w:t xml:space="preserve">“describing </w:t>
      </w:r>
      <w:r w:rsidRPr="006E05DF" w:rsidR="00A20964">
        <w:rPr>
          <w:rStyle w:val="ssrfcpassagedeactivated"/>
          <w:szCs w:val="26"/>
        </w:rPr>
        <w:t xml:space="preserve">its </w:t>
      </w:r>
      <w:r w:rsidRPr="006E05DF" w:rsidR="00062588">
        <w:rPr>
          <w:rStyle w:val="ssrfcpassagedeactivated"/>
          <w:szCs w:val="26"/>
        </w:rPr>
        <w:t>own labor policies, and the practices and working conditions in factories where its products are made</w:t>
      </w:r>
      <w:r w:rsidRPr="006E05DF" w:rsidR="00A20964">
        <w:rPr>
          <w:rStyle w:val="ssrfcpassagedeactivated"/>
          <w:szCs w:val="26"/>
        </w:rPr>
        <w:t>,</w:t>
      </w:r>
      <w:r w:rsidRPr="006E05DF" w:rsidR="00062588">
        <w:rPr>
          <w:rStyle w:val="ssrfcpassagedeactivated"/>
          <w:szCs w:val="26"/>
        </w:rPr>
        <w:t>”</w:t>
      </w:r>
      <w:r w:rsidRPr="006E05DF" w:rsidR="00A20964">
        <w:rPr>
          <w:rStyle w:val="ssrfcpassagedeactivated"/>
          <w:szCs w:val="26"/>
        </w:rPr>
        <w:t xml:space="preserve"> which </w:t>
      </w:r>
      <w:r w:rsidRPr="006E05DF" w:rsidR="00F20E0E">
        <w:rPr>
          <w:rStyle w:val="ssrfcpassagedeactivated"/>
          <w:szCs w:val="26"/>
        </w:rPr>
        <w:t xml:space="preserve">were </w:t>
      </w:r>
      <w:r w:rsidRPr="006E05DF" w:rsidR="009B440F">
        <w:rPr>
          <w:rStyle w:val="ssrfcpassagedeactivated"/>
          <w:szCs w:val="26"/>
        </w:rPr>
        <w:t>“</w:t>
      </w:r>
      <w:r w:rsidRPr="006E05DF" w:rsidR="005E64FF">
        <w:rPr>
          <w:rStyle w:val="ssrfcpassagedeactivated"/>
          <w:szCs w:val="26"/>
        </w:rPr>
        <w:t xml:space="preserve">factual representations about its own business operations.” </w:t>
      </w:r>
      <w:r w:rsidRPr="006E05DF" w:rsidR="009B440F">
        <w:rPr>
          <w:rStyle w:val="ssrfcpassagedeactivated"/>
          <w:szCs w:val="26"/>
        </w:rPr>
        <w:t xml:space="preserve"> (</w:t>
      </w:r>
      <w:r w:rsidRPr="006E05DF" w:rsidR="00A335FC">
        <w:rPr>
          <w:i/>
          <w:iCs/>
          <w:szCs w:val="26"/>
        </w:rPr>
        <w:t>Id.</w:t>
      </w:r>
      <w:r w:rsidRPr="006E05DF" w:rsidR="00493170">
        <w:rPr>
          <w:szCs w:val="26"/>
        </w:rPr>
        <w:t xml:space="preserve"> at p. </w:t>
      </w:r>
      <w:r w:rsidRPr="006E05DF" w:rsidR="009B440F">
        <w:rPr>
          <w:rStyle w:val="ssrfcpassagedeactivated"/>
          <w:szCs w:val="26"/>
        </w:rPr>
        <w:t xml:space="preserve">963.)  We </w:t>
      </w:r>
      <w:r w:rsidRPr="006E05DF" w:rsidR="005E64FF">
        <w:rPr>
          <w:rStyle w:val="ssrfcpassagedeactivated"/>
          <w:szCs w:val="26"/>
        </w:rPr>
        <w:t>further noted</w:t>
      </w:r>
      <w:r w:rsidRPr="006E05DF" w:rsidR="009B440F">
        <w:rPr>
          <w:rStyle w:val="ssrfcpassagedeactivated"/>
          <w:szCs w:val="26"/>
        </w:rPr>
        <w:t>, “</w:t>
      </w:r>
      <w:r w:rsidR="00650CD6">
        <w:rPr>
          <w:rStyle w:val="ssrfcpassagedeactivated"/>
          <w:szCs w:val="26"/>
        </w:rPr>
        <w:t>T</w:t>
      </w:r>
      <w:r w:rsidRPr="006E05DF">
        <w:rPr>
          <w:rStyle w:val="ssrfcpassagedeactivated"/>
          <w:szCs w:val="26"/>
        </w:rPr>
        <w:t xml:space="preserve">he </w:t>
      </w:r>
      <w:r w:rsidRPr="006E05DF" w:rsidR="009B440F">
        <w:rPr>
          <w:rStyle w:val="ssrfcpassagedeactivated"/>
          <w:szCs w:val="26"/>
        </w:rPr>
        <w:t>wages paid to the factories</w:t>
      </w:r>
      <w:r w:rsidRPr="006E05DF" w:rsidR="00637392">
        <w:rPr>
          <w:rStyle w:val="ssrfcpassagedeactivated"/>
          <w:szCs w:val="26"/>
        </w:rPr>
        <w:t>’</w:t>
      </w:r>
      <w:r w:rsidRPr="006E05DF" w:rsidR="009B440F">
        <w:rPr>
          <w:rStyle w:val="ssrfcpassagedeactivated"/>
          <w:szCs w:val="26"/>
        </w:rPr>
        <w:t xml:space="preserve"> employees, the hours they work, the way they are treated, and whether the environmental conditions under which they work violate local health and safety laws, are all matters likely to be within the personal knowledge of Nike executives, employees, or subcontractors.  Thus, Nike was in a position to readily verify the truth of any factual assertions it made on these topics.”  (</w:t>
      </w:r>
      <w:r w:rsidRPr="006E05DF" w:rsidR="009B440F">
        <w:rPr>
          <w:rStyle w:val="ssrfcpassagedeactivated"/>
          <w:i/>
          <w:iCs/>
          <w:szCs w:val="26"/>
        </w:rPr>
        <w:t>Ibid.</w:t>
      </w:r>
      <w:r w:rsidRPr="006E05DF" w:rsidR="009B440F">
        <w:rPr>
          <w:rStyle w:val="ssrfcpassagedeactivated"/>
          <w:szCs w:val="26"/>
        </w:rPr>
        <w:t>)</w:t>
      </w:r>
      <w:r w:rsidRPr="006E05DF" w:rsidR="00CB1537">
        <w:rPr>
          <w:rStyle w:val="ssrfcpassagedeactivated"/>
          <w:szCs w:val="26"/>
        </w:rPr>
        <w:t xml:space="preserve">  </w:t>
      </w:r>
      <w:r w:rsidRPr="006E05DF" w:rsidR="00EC73D5">
        <w:rPr>
          <w:rStyle w:val="ssrfcpassagedeactivated"/>
          <w:szCs w:val="26"/>
        </w:rPr>
        <w:t>Further</w:t>
      </w:r>
      <w:r w:rsidRPr="006E05DF" w:rsidR="00CB1537">
        <w:rPr>
          <w:rStyle w:val="ssrfcpassagedeactivated"/>
          <w:szCs w:val="26"/>
        </w:rPr>
        <w:t>, Nike’s message sought to bolster consumer goodwill and shore up profits, and</w:t>
      </w:r>
      <w:r w:rsidRPr="006E05DF" w:rsidR="00495EE0">
        <w:rPr>
          <w:rStyle w:val="ssrfcpassagedeactivated"/>
          <w:szCs w:val="26"/>
        </w:rPr>
        <w:t>, if that message misrepresented how Nike’s products were being made, it was the sort of speech government has traditionally been empowered to regulate.  (</w:t>
      </w:r>
      <w:r w:rsidRPr="006E05DF" w:rsidR="00495EE0">
        <w:rPr>
          <w:rStyle w:val="ssrfcpassagedeactivated"/>
          <w:i/>
          <w:iCs/>
          <w:szCs w:val="26"/>
        </w:rPr>
        <w:t>Id.</w:t>
      </w:r>
      <w:r w:rsidRPr="006E05DF" w:rsidR="00495EE0">
        <w:rPr>
          <w:rStyle w:val="ssrfcpassagedeactivated"/>
          <w:szCs w:val="26"/>
        </w:rPr>
        <w:t xml:space="preserve"> at pp. 963</w:t>
      </w:r>
      <w:r w:rsidRPr="006E05DF" w:rsidR="005B39C8">
        <w:rPr>
          <w:rStyle w:val="ssrfcpassagedeactivated"/>
          <w:szCs w:val="26"/>
        </w:rPr>
        <w:t>–</w:t>
      </w:r>
      <w:r w:rsidRPr="006E05DF" w:rsidR="00495EE0">
        <w:rPr>
          <w:rStyle w:val="ssrfcpassagedeactivated"/>
          <w:szCs w:val="26"/>
        </w:rPr>
        <w:t>964.)</w:t>
      </w:r>
    </w:p>
    <w:p w:rsidR="0081553A" w:rsidRPr="006E05DF" w:rsidP="00314A1F">
      <w:pPr>
        <w:rPr>
          <w:szCs w:val="26"/>
        </w:rPr>
      </w:pPr>
      <w:r w:rsidRPr="006E05DF">
        <w:rPr>
          <w:rStyle w:val="ssrfcpassagedeactivated"/>
          <w:szCs w:val="26"/>
        </w:rPr>
        <w:tab/>
      </w:r>
      <w:r w:rsidRPr="006E05DF" w:rsidR="003E5753">
        <w:rPr>
          <w:rStyle w:val="ssrfcpassagedeactivated"/>
          <w:szCs w:val="26"/>
        </w:rPr>
        <w:t>T</w:t>
      </w:r>
      <w:r w:rsidRPr="006E05DF" w:rsidR="00653780">
        <w:rPr>
          <w:rStyle w:val="ssrfcpassagedeactivated"/>
          <w:szCs w:val="26"/>
        </w:rPr>
        <w:t xml:space="preserve">he content of Sony’s statements on </w:t>
      </w:r>
      <w:r w:rsidRPr="00883750" w:rsidR="00653780">
        <w:rPr>
          <w:rStyle w:val="ssrfcpassagedeactivated"/>
          <w:i/>
          <w:iCs/>
          <w:szCs w:val="26"/>
        </w:rPr>
        <w:t>Michael</w:t>
      </w:r>
      <w:r w:rsidRPr="00650CD6" w:rsidR="00653780">
        <w:rPr>
          <w:rStyle w:val="ssrfcpassagedeactivated"/>
          <w:szCs w:val="26"/>
        </w:rPr>
        <w:t xml:space="preserve">’s </w:t>
      </w:r>
      <w:r w:rsidRPr="006E05DF" w:rsidR="00653780">
        <w:rPr>
          <w:szCs w:val="26"/>
        </w:rPr>
        <w:t>packaging and in the video</w:t>
      </w:r>
      <w:r w:rsidR="00437868">
        <w:rPr>
          <w:szCs w:val="26"/>
        </w:rPr>
        <w:t> </w:t>
      </w:r>
      <w:r w:rsidRPr="006E05DF" w:rsidR="003E5753">
        <w:rPr>
          <w:szCs w:val="26"/>
        </w:rPr>
        <w:t>—</w:t>
      </w:r>
      <w:r w:rsidR="00650CD6">
        <w:rPr>
          <w:szCs w:val="26"/>
        </w:rPr>
        <w:t xml:space="preserve"> </w:t>
      </w:r>
      <w:r w:rsidRPr="006E05DF" w:rsidR="003E5753">
        <w:rPr>
          <w:szCs w:val="26"/>
        </w:rPr>
        <w:t>made in traditional advertising contexts</w:t>
      </w:r>
      <w:r w:rsidR="00437868">
        <w:rPr>
          <w:szCs w:val="26"/>
        </w:rPr>
        <w:t> </w:t>
      </w:r>
      <w:r w:rsidRPr="006E05DF" w:rsidR="003E5753">
        <w:rPr>
          <w:szCs w:val="26"/>
        </w:rPr>
        <w:t>—</w:t>
      </w:r>
      <w:r w:rsidR="00650CD6">
        <w:rPr>
          <w:szCs w:val="26"/>
        </w:rPr>
        <w:t xml:space="preserve"> </w:t>
      </w:r>
      <w:r w:rsidRPr="006E05DF" w:rsidR="00EE65BA">
        <w:rPr>
          <w:szCs w:val="26"/>
        </w:rPr>
        <w:t>strike</w:t>
      </w:r>
      <w:r w:rsidR="00650CD6">
        <w:rPr>
          <w:szCs w:val="26"/>
        </w:rPr>
        <w:t>s</w:t>
      </w:r>
      <w:r w:rsidRPr="006E05DF" w:rsidR="00EE65BA">
        <w:rPr>
          <w:szCs w:val="26"/>
        </w:rPr>
        <w:t xml:space="preserve"> us as </w:t>
      </w:r>
      <w:r w:rsidRPr="006E05DF" w:rsidR="00653780">
        <w:rPr>
          <w:szCs w:val="26"/>
        </w:rPr>
        <w:t xml:space="preserve">commercial.  </w:t>
      </w:r>
      <w:r w:rsidRPr="006E05DF" w:rsidR="00F0794E">
        <w:rPr>
          <w:szCs w:val="26"/>
        </w:rPr>
        <w:t xml:space="preserve">The statement on the back of </w:t>
      </w:r>
      <w:r w:rsidRPr="006E05DF" w:rsidR="00653780">
        <w:rPr>
          <w:szCs w:val="26"/>
        </w:rPr>
        <w:t>Sony’s album</w:t>
      </w:r>
      <w:r w:rsidRPr="006E05DF" w:rsidR="00F0794E">
        <w:rPr>
          <w:szCs w:val="26"/>
        </w:rPr>
        <w:t xml:space="preserve"> indicated</w:t>
      </w:r>
      <w:r w:rsidRPr="006E05DF" w:rsidR="00653780">
        <w:rPr>
          <w:szCs w:val="26"/>
        </w:rPr>
        <w:t xml:space="preserve"> that </w:t>
      </w:r>
      <w:r w:rsidRPr="00883750" w:rsidR="00F919D6">
        <w:rPr>
          <w:i/>
          <w:iCs/>
          <w:szCs w:val="26"/>
        </w:rPr>
        <w:t>Michael</w:t>
      </w:r>
      <w:r w:rsidRPr="006E05DF" w:rsidR="00653780">
        <w:rPr>
          <w:szCs w:val="26"/>
        </w:rPr>
        <w:t xml:space="preserve"> “contains 9 previously unreleased vocal tracks performed by</w:t>
      </w:r>
      <w:r w:rsidRPr="006E05DF" w:rsidR="00F919D6">
        <w:rPr>
          <w:szCs w:val="26"/>
        </w:rPr>
        <w:t xml:space="preserve">” </w:t>
      </w:r>
      <w:r w:rsidRPr="006E05DF" w:rsidR="00653780">
        <w:rPr>
          <w:szCs w:val="26"/>
        </w:rPr>
        <w:t>Jackson</w:t>
      </w:r>
      <w:r w:rsidRPr="006E05DF" w:rsidR="00F0794E">
        <w:rPr>
          <w:szCs w:val="26"/>
        </w:rPr>
        <w:t xml:space="preserve">; </w:t>
      </w:r>
      <w:r w:rsidRPr="006E05DF" w:rsidR="00653780">
        <w:rPr>
          <w:szCs w:val="26"/>
        </w:rPr>
        <w:t xml:space="preserve">a statement </w:t>
      </w:r>
      <w:r w:rsidRPr="006E05DF" w:rsidR="00A76634">
        <w:rPr>
          <w:szCs w:val="26"/>
        </w:rPr>
        <w:t xml:space="preserve">about </w:t>
      </w:r>
      <w:r w:rsidRPr="006E05DF" w:rsidR="00F0794E">
        <w:rPr>
          <w:szCs w:val="26"/>
        </w:rPr>
        <w:t xml:space="preserve">the album’s </w:t>
      </w:r>
      <w:r w:rsidRPr="006E05DF" w:rsidR="00C20621">
        <w:rPr>
          <w:szCs w:val="26"/>
        </w:rPr>
        <w:t xml:space="preserve">characteristics </w:t>
      </w:r>
      <w:r w:rsidRPr="006E05DF" w:rsidR="00F0794E">
        <w:rPr>
          <w:szCs w:val="26"/>
        </w:rPr>
        <w:t xml:space="preserve">that </w:t>
      </w:r>
      <w:r w:rsidRPr="006E05DF" w:rsidR="00EA4565">
        <w:rPr>
          <w:szCs w:val="26"/>
        </w:rPr>
        <w:t xml:space="preserve">would </w:t>
      </w:r>
      <w:r w:rsidRPr="006E05DF" w:rsidR="00653780">
        <w:rPr>
          <w:szCs w:val="26"/>
        </w:rPr>
        <w:t xml:space="preserve">induce </w:t>
      </w:r>
      <w:r w:rsidRPr="006E05DF" w:rsidR="00D96C5E">
        <w:rPr>
          <w:szCs w:val="26"/>
        </w:rPr>
        <w:t xml:space="preserve">purchases </w:t>
      </w:r>
      <w:r w:rsidRPr="006E05DF" w:rsidR="00A76634">
        <w:rPr>
          <w:szCs w:val="26"/>
        </w:rPr>
        <w:t xml:space="preserve">by those </w:t>
      </w:r>
      <w:r w:rsidRPr="006E05DF" w:rsidR="00FD6292">
        <w:rPr>
          <w:szCs w:val="26"/>
        </w:rPr>
        <w:t xml:space="preserve">wishing to hear </w:t>
      </w:r>
      <w:r w:rsidRPr="006E05DF" w:rsidR="00D96C5E">
        <w:rPr>
          <w:szCs w:val="26"/>
        </w:rPr>
        <w:t xml:space="preserve">new </w:t>
      </w:r>
      <w:r w:rsidRPr="006E05DF" w:rsidR="00B0068F">
        <w:rPr>
          <w:szCs w:val="26"/>
        </w:rPr>
        <w:t>Jackson</w:t>
      </w:r>
      <w:r w:rsidRPr="006E05DF" w:rsidR="00A76634">
        <w:rPr>
          <w:szCs w:val="26"/>
        </w:rPr>
        <w:t xml:space="preserve"> vocals.  The promotional video</w:t>
      </w:r>
      <w:r w:rsidR="00437868">
        <w:rPr>
          <w:szCs w:val="26"/>
        </w:rPr>
        <w:t> </w:t>
      </w:r>
      <w:r w:rsidRPr="006E05DF" w:rsidR="00A76634">
        <w:rPr>
          <w:szCs w:val="26"/>
        </w:rPr>
        <w:t>—</w:t>
      </w:r>
      <w:r w:rsidR="00650CD6">
        <w:rPr>
          <w:szCs w:val="26"/>
        </w:rPr>
        <w:t xml:space="preserve"> </w:t>
      </w:r>
      <w:r w:rsidRPr="006E05DF" w:rsidR="00A76634">
        <w:rPr>
          <w:szCs w:val="26"/>
        </w:rPr>
        <w:t xml:space="preserve">which proclaimed the album as the newest “from the greatest artist of all time” </w:t>
      </w:r>
      <w:r w:rsidRPr="006E05DF" w:rsidR="00A820BF">
        <w:rPr>
          <w:szCs w:val="26"/>
        </w:rPr>
        <w:t xml:space="preserve">alongside </w:t>
      </w:r>
      <w:r w:rsidRPr="006E05DF" w:rsidR="00A76634">
        <w:rPr>
          <w:szCs w:val="26"/>
        </w:rPr>
        <w:t>Jackson’s name and likeness</w:t>
      </w:r>
      <w:r w:rsidR="00437868">
        <w:rPr>
          <w:szCs w:val="26"/>
        </w:rPr>
        <w:t> </w:t>
      </w:r>
      <w:r w:rsidRPr="006E05DF" w:rsidR="00A76634">
        <w:rPr>
          <w:szCs w:val="26"/>
        </w:rPr>
        <w:t>—</w:t>
      </w:r>
      <w:r w:rsidR="00650CD6">
        <w:rPr>
          <w:szCs w:val="26"/>
        </w:rPr>
        <w:t xml:space="preserve"> </w:t>
      </w:r>
      <w:r w:rsidRPr="006E05DF" w:rsidR="00193792">
        <w:rPr>
          <w:szCs w:val="26"/>
        </w:rPr>
        <w:t xml:space="preserve">also, </w:t>
      </w:r>
      <w:r w:rsidRPr="006E05DF" w:rsidR="0094310A">
        <w:rPr>
          <w:szCs w:val="26"/>
        </w:rPr>
        <w:t>concededly</w:t>
      </w:r>
      <w:r w:rsidRPr="006E05DF" w:rsidR="00193792">
        <w:rPr>
          <w:szCs w:val="26"/>
        </w:rPr>
        <w:t>,</w:t>
      </w:r>
      <w:r w:rsidRPr="006E05DF" w:rsidR="00912034">
        <w:rPr>
          <w:szCs w:val="26"/>
        </w:rPr>
        <w:t xml:space="preserve"> </w:t>
      </w:r>
      <w:r w:rsidRPr="006E05DF" w:rsidR="00A76634">
        <w:rPr>
          <w:szCs w:val="26"/>
        </w:rPr>
        <w:t>convey</w:t>
      </w:r>
      <w:r w:rsidRPr="006E05DF" w:rsidR="00881AB6">
        <w:rPr>
          <w:szCs w:val="26"/>
        </w:rPr>
        <w:t>s</w:t>
      </w:r>
      <w:r w:rsidRPr="006E05DF" w:rsidR="0094310A">
        <w:rPr>
          <w:szCs w:val="26"/>
        </w:rPr>
        <w:t xml:space="preserve"> </w:t>
      </w:r>
      <w:r w:rsidRPr="006E05DF" w:rsidR="00A76634">
        <w:rPr>
          <w:szCs w:val="26"/>
        </w:rPr>
        <w:t>Jackson</w:t>
      </w:r>
      <w:r w:rsidRPr="006E05DF" w:rsidR="00912034">
        <w:rPr>
          <w:szCs w:val="26"/>
        </w:rPr>
        <w:t xml:space="preserve">’s </w:t>
      </w:r>
      <w:r w:rsidRPr="006E05DF" w:rsidR="00287A40">
        <w:rPr>
          <w:szCs w:val="26"/>
        </w:rPr>
        <w:t xml:space="preserve">vocal </w:t>
      </w:r>
      <w:r w:rsidRPr="006E05DF" w:rsidR="00912034">
        <w:rPr>
          <w:szCs w:val="26"/>
        </w:rPr>
        <w:t>contribution</w:t>
      </w:r>
      <w:r w:rsidRPr="006E05DF" w:rsidR="00287A40">
        <w:rPr>
          <w:szCs w:val="26"/>
        </w:rPr>
        <w:t>s</w:t>
      </w:r>
      <w:r w:rsidRPr="006E05DF" w:rsidR="00C20621">
        <w:rPr>
          <w:szCs w:val="26"/>
        </w:rPr>
        <w:t xml:space="preserve"> </w:t>
      </w:r>
      <w:r w:rsidRPr="006E05DF" w:rsidR="00A76634">
        <w:rPr>
          <w:szCs w:val="26"/>
        </w:rPr>
        <w:t>and</w:t>
      </w:r>
      <w:r w:rsidRPr="006E05DF" w:rsidR="0094310A">
        <w:rPr>
          <w:szCs w:val="26"/>
        </w:rPr>
        <w:t xml:space="preserve"> likewise</w:t>
      </w:r>
      <w:r w:rsidRPr="006E05DF" w:rsidR="00A76634">
        <w:rPr>
          <w:szCs w:val="26"/>
        </w:rPr>
        <w:t xml:space="preserve"> </w:t>
      </w:r>
      <w:r w:rsidRPr="006E05DF" w:rsidR="00193792">
        <w:rPr>
          <w:szCs w:val="26"/>
        </w:rPr>
        <w:t xml:space="preserve">would </w:t>
      </w:r>
      <w:r w:rsidRPr="006E05DF" w:rsidR="00A76634">
        <w:rPr>
          <w:szCs w:val="26"/>
        </w:rPr>
        <w:t xml:space="preserve">foster </w:t>
      </w:r>
      <w:r w:rsidRPr="006E05DF" w:rsidR="00C20621">
        <w:rPr>
          <w:szCs w:val="26"/>
        </w:rPr>
        <w:t xml:space="preserve">album </w:t>
      </w:r>
      <w:r w:rsidRPr="006E05DF" w:rsidR="00A76634">
        <w:rPr>
          <w:szCs w:val="26"/>
        </w:rPr>
        <w:t xml:space="preserve">sales amongst Jackson </w:t>
      </w:r>
      <w:r w:rsidRPr="006E05DF" w:rsidR="001346BD">
        <w:rPr>
          <w:szCs w:val="26"/>
        </w:rPr>
        <w:t>followers</w:t>
      </w:r>
      <w:r w:rsidRPr="006E05DF" w:rsidR="00A76634">
        <w:rPr>
          <w:szCs w:val="26"/>
        </w:rPr>
        <w:t>.</w:t>
      </w:r>
    </w:p>
    <w:p w:rsidR="0054003A" w:rsidRPr="006E05DF" w:rsidP="00697AC4">
      <w:pPr>
        <w:spacing w:before="120" w:after="120" w:line="240" w:lineRule="auto"/>
        <w:ind w:left="1440" w:hanging="720"/>
        <w:jc w:val="left"/>
        <w:outlineLvl w:val="2"/>
        <w:rPr>
          <w:b/>
          <w:bCs/>
          <w:szCs w:val="26"/>
        </w:rPr>
      </w:pPr>
      <w:r w:rsidRPr="006E05DF">
        <w:rPr>
          <w:b/>
          <w:bCs/>
          <w:szCs w:val="26"/>
        </w:rPr>
        <w:t>3</w:t>
      </w:r>
      <w:r w:rsidRPr="006E05DF">
        <w:rPr>
          <w:b/>
          <w:bCs/>
          <w:szCs w:val="26"/>
        </w:rPr>
        <w:t>.</w:t>
      </w:r>
      <w:r w:rsidRPr="006E05DF">
        <w:rPr>
          <w:b/>
          <w:bCs/>
          <w:szCs w:val="26"/>
        </w:rPr>
        <w:tab/>
      </w:r>
      <w:r w:rsidRPr="00883750">
        <w:rPr>
          <w:b/>
          <w:bCs/>
          <w:i/>
          <w:iCs/>
          <w:szCs w:val="26"/>
        </w:rPr>
        <w:t>Michael</w:t>
      </w:r>
      <w:r w:rsidRPr="00650CD6">
        <w:rPr>
          <w:b/>
          <w:bCs/>
          <w:szCs w:val="26"/>
        </w:rPr>
        <w:t>,</w:t>
      </w:r>
      <w:r w:rsidRPr="006E05DF">
        <w:rPr>
          <w:b/>
          <w:bCs/>
          <w:szCs w:val="26"/>
        </w:rPr>
        <w:t xml:space="preserve"> Though </w:t>
      </w:r>
      <w:r w:rsidRPr="006E05DF">
        <w:rPr>
          <w:b/>
          <w:bCs/>
          <w:szCs w:val="26"/>
        </w:rPr>
        <w:t xml:space="preserve">an </w:t>
      </w:r>
      <w:r w:rsidRPr="006E05DF">
        <w:rPr>
          <w:b/>
          <w:bCs/>
          <w:szCs w:val="26"/>
        </w:rPr>
        <w:t>Expressive</w:t>
      </w:r>
      <w:r w:rsidRPr="006E05DF">
        <w:rPr>
          <w:b/>
          <w:bCs/>
          <w:szCs w:val="26"/>
        </w:rPr>
        <w:t xml:space="preserve"> Work</w:t>
      </w:r>
      <w:r w:rsidRPr="006E05DF">
        <w:rPr>
          <w:b/>
          <w:bCs/>
          <w:szCs w:val="26"/>
        </w:rPr>
        <w:t xml:space="preserve">, </w:t>
      </w:r>
      <w:r w:rsidR="008475D5">
        <w:rPr>
          <w:b/>
          <w:bCs/>
          <w:szCs w:val="26"/>
        </w:rPr>
        <w:t>I</w:t>
      </w:r>
      <w:r w:rsidRPr="006E05DF" w:rsidR="002D308E">
        <w:rPr>
          <w:b/>
          <w:bCs/>
          <w:szCs w:val="26"/>
        </w:rPr>
        <w:t>s</w:t>
      </w:r>
      <w:r w:rsidRPr="006E05DF">
        <w:rPr>
          <w:b/>
          <w:bCs/>
          <w:szCs w:val="26"/>
        </w:rPr>
        <w:t xml:space="preserve"> a Product for Sale.</w:t>
      </w:r>
    </w:p>
    <w:p w:rsidR="0054003A" w:rsidRPr="006E05DF" w:rsidP="00314A1F">
      <w:pPr>
        <w:rPr>
          <w:szCs w:val="26"/>
        </w:rPr>
      </w:pPr>
      <w:r w:rsidRPr="006E05DF">
        <w:rPr>
          <w:szCs w:val="26"/>
        </w:rPr>
        <w:tab/>
        <w:t xml:space="preserve">Sony </w:t>
      </w:r>
      <w:r w:rsidRPr="006E05DF" w:rsidR="004546BA">
        <w:rPr>
          <w:szCs w:val="26"/>
        </w:rPr>
        <w:t>argues</w:t>
      </w:r>
      <w:r w:rsidRPr="006E05DF">
        <w:rPr>
          <w:szCs w:val="26"/>
        </w:rPr>
        <w:t xml:space="preserve"> its statements promoting </w:t>
      </w:r>
      <w:r w:rsidRPr="00883750">
        <w:rPr>
          <w:i/>
          <w:iCs/>
          <w:szCs w:val="26"/>
        </w:rPr>
        <w:t>Michael</w:t>
      </w:r>
      <w:r w:rsidRPr="006E05DF">
        <w:rPr>
          <w:szCs w:val="26"/>
        </w:rPr>
        <w:t xml:space="preserve"> </w:t>
      </w:r>
      <w:r w:rsidRPr="006E05DF" w:rsidR="004546BA">
        <w:rPr>
          <w:szCs w:val="26"/>
        </w:rPr>
        <w:t>convey</w:t>
      </w:r>
      <w:r w:rsidRPr="006E05DF">
        <w:rPr>
          <w:szCs w:val="26"/>
        </w:rPr>
        <w:t xml:space="preserve"> noncommercial content because they pertain to art and identify an artist, </w:t>
      </w:r>
      <w:r w:rsidRPr="006E05DF" w:rsidR="00BC16C4">
        <w:rPr>
          <w:szCs w:val="26"/>
        </w:rPr>
        <w:t xml:space="preserve">whose identity </w:t>
      </w:r>
      <w:r w:rsidRPr="006E05DF">
        <w:rPr>
          <w:szCs w:val="26"/>
        </w:rPr>
        <w:t>“can be an important component of understanding the art itself.”  (</w:t>
      </w:r>
      <w:r w:rsidRPr="006E05DF">
        <w:rPr>
          <w:i/>
          <w:iCs/>
          <w:szCs w:val="26"/>
        </w:rPr>
        <w:t>Serova</w:t>
      </w:r>
      <w:r w:rsidRPr="006E05DF">
        <w:rPr>
          <w:szCs w:val="26"/>
        </w:rPr>
        <w:t xml:space="preserve">, </w:t>
      </w:r>
      <w:r w:rsidRPr="006E05DF">
        <w:rPr>
          <w:i/>
          <w:iCs/>
          <w:szCs w:val="26"/>
        </w:rPr>
        <w:t>supra</w:t>
      </w:r>
      <w:r w:rsidRPr="006E05DF">
        <w:rPr>
          <w:szCs w:val="26"/>
        </w:rPr>
        <w:t xml:space="preserve">, 44 Cal.App.5th at p. 130.)  </w:t>
      </w:r>
      <w:bookmarkStart w:id="2" w:name="_Hlk93061399"/>
      <w:r w:rsidRPr="006E05DF" w:rsidR="005F4117">
        <w:rPr>
          <w:szCs w:val="26"/>
        </w:rPr>
        <w:t>But i</w:t>
      </w:r>
      <w:r w:rsidRPr="006E05DF" w:rsidR="00423AD3">
        <w:rPr>
          <w:szCs w:val="26"/>
        </w:rPr>
        <w:t>f</w:t>
      </w:r>
      <w:r w:rsidRPr="006E05DF" w:rsidR="005F4117">
        <w:rPr>
          <w:szCs w:val="26"/>
        </w:rPr>
        <w:t xml:space="preserve"> </w:t>
      </w:r>
      <w:r w:rsidRPr="006E05DF" w:rsidR="004546BA">
        <w:rPr>
          <w:szCs w:val="26"/>
        </w:rPr>
        <w:t xml:space="preserve">Sony’s </w:t>
      </w:r>
      <w:r w:rsidRPr="006E05DF" w:rsidR="00A329BD">
        <w:rPr>
          <w:szCs w:val="26"/>
        </w:rPr>
        <w:t>assertion</w:t>
      </w:r>
      <w:r w:rsidRPr="006E05DF" w:rsidR="004546BA">
        <w:rPr>
          <w:szCs w:val="26"/>
        </w:rPr>
        <w:t xml:space="preserve"> that Jackson contributed lead vocals</w:t>
      </w:r>
      <w:r w:rsidRPr="006E05DF" w:rsidR="007D3E68">
        <w:rPr>
          <w:szCs w:val="26"/>
        </w:rPr>
        <w:t xml:space="preserve"> </w:t>
      </w:r>
      <w:r w:rsidRPr="006E05DF">
        <w:rPr>
          <w:szCs w:val="26"/>
        </w:rPr>
        <w:t>affect</w:t>
      </w:r>
      <w:r w:rsidRPr="006E05DF" w:rsidR="004546BA">
        <w:rPr>
          <w:szCs w:val="26"/>
        </w:rPr>
        <w:t>s</w:t>
      </w:r>
      <w:r w:rsidRPr="006E05DF">
        <w:rPr>
          <w:szCs w:val="26"/>
        </w:rPr>
        <w:t xml:space="preserve"> consumers’ experience of </w:t>
      </w:r>
      <w:r w:rsidRPr="00883750">
        <w:rPr>
          <w:i/>
          <w:iCs/>
          <w:szCs w:val="26"/>
        </w:rPr>
        <w:t>Michael</w:t>
      </w:r>
      <w:r w:rsidRPr="006E05DF">
        <w:rPr>
          <w:szCs w:val="26"/>
        </w:rPr>
        <w:t>,</w:t>
      </w:r>
      <w:r w:rsidRPr="006E05DF" w:rsidR="004546BA">
        <w:rPr>
          <w:szCs w:val="26"/>
        </w:rPr>
        <w:t xml:space="preserve"> </w:t>
      </w:r>
      <w:r w:rsidRPr="006E05DF">
        <w:rPr>
          <w:szCs w:val="26"/>
        </w:rPr>
        <w:t xml:space="preserve">this </w:t>
      </w:r>
      <w:r w:rsidRPr="006E05DF" w:rsidR="004546BA">
        <w:rPr>
          <w:szCs w:val="26"/>
        </w:rPr>
        <w:t xml:space="preserve">illustrates how </w:t>
      </w:r>
      <w:r w:rsidRPr="006E05DF">
        <w:rPr>
          <w:szCs w:val="26"/>
        </w:rPr>
        <w:t>misrepresentations about an artist’s contributions can harm consumers in ways that matter to them.</w:t>
      </w:r>
      <w:bookmarkEnd w:id="2"/>
    </w:p>
    <w:p w:rsidR="0054003A" w:rsidRPr="006E05DF" w:rsidP="00314A1F">
      <w:pPr>
        <w:rPr>
          <w:szCs w:val="26"/>
        </w:rPr>
      </w:pPr>
      <w:r w:rsidRPr="006E05DF">
        <w:rPr>
          <w:szCs w:val="26"/>
        </w:rPr>
        <w:tab/>
        <w:t>“The purchaser of a novel is interested not merely, if at all, in the identity of the producer of the physical tome (the publisher), but also, and indeed primarily, in the identity of the creator of the story it conveys (the author).”  (</w:t>
      </w:r>
      <w:r w:rsidRPr="006E05DF">
        <w:rPr>
          <w:i/>
          <w:iCs/>
          <w:szCs w:val="26"/>
        </w:rPr>
        <w:t>Dastar Corp. v. Twentieth Century Fox Film Corp.</w:t>
      </w:r>
      <w:r w:rsidRPr="006E05DF">
        <w:rPr>
          <w:szCs w:val="26"/>
        </w:rPr>
        <w:t xml:space="preserve"> (2003) 539 U.S. 23, 33</w:t>
      </w:r>
      <w:r w:rsidR="00437A59">
        <w:rPr>
          <w:szCs w:val="26"/>
        </w:rPr>
        <w:t xml:space="preserve"> (</w:t>
      </w:r>
      <w:r w:rsidRPr="00341D2C" w:rsidR="00437A59">
        <w:rPr>
          <w:i/>
          <w:iCs/>
          <w:szCs w:val="26"/>
        </w:rPr>
        <w:t>Dastar</w:t>
      </w:r>
      <w:r w:rsidR="00437A59">
        <w:rPr>
          <w:szCs w:val="26"/>
        </w:rPr>
        <w:t>)</w:t>
      </w:r>
      <w:r w:rsidRPr="006E05DF">
        <w:rPr>
          <w:szCs w:val="26"/>
        </w:rPr>
        <w:t>.)  And “[t]he purchaser of a book, like the purchaser of a can of peas, has a right not to be misled as to the source of the product.”  (</w:t>
      </w:r>
      <w:r w:rsidRPr="006E05DF">
        <w:rPr>
          <w:i/>
          <w:iCs/>
          <w:szCs w:val="26"/>
        </w:rPr>
        <w:t>Rogers v. Grimaldi</w:t>
      </w:r>
      <w:r w:rsidRPr="006E05DF">
        <w:rPr>
          <w:szCs w:val="26"/>
        </w:rPr>
        <w:t xml:space="preserve"> (2d Cir. 1989) 875 F.2d 994, 997</w:t>
      </w:r>
      <w:r w:rsidR="00A06D18">
        <w:rPr>
          <w:szCs w:val="26"/>
        </w:rPr>
        <w:t xml:space="preserve"> (</w:t>
      </w:r>
      <w:r w:rsidR="00A06D18">
        <w:rPr>
          <w:i/>
          <w:iCs/>
          <w:szCs w:val="26"/>
        </w:rPr>
        <w:t>Rogers</w:t>
      </w:r>
      <w:r w:rsidR="00A06D18">
        <w:rPr>
          <w:szCs w:val="26"/>
        </w:rPr>
        <w:t>)</w:t>
      </w:r>
      <w:r w:rsidRPr="006E05DF">
        <w:rPr>
          <w:szCs w:val="26"/>
        </w:rPr>
        <w:t xml:space="preserve">; see </w:t>
      </w:r>
      <w:r w:rsidRPr="006E05DF">
        <w:rPr>
          <w:i/>
          <w:iCs/>
          <w:szCs w:val="26"/>
        </w:rPr>
        <w:t>Dastar</w:t>
      </w:r>
      <w:r w:rsidRPr="006E05DF">
        <w:rPr>
          <w:szCs w:val="26"/>
        </w:rPr>
        <w:t xml:space="preserve">, at p. 38 [suggesting misrepresentations about the content of an artistic work </w:t>
      </w:r>
      <w:r w:rsidRPr="006E05DF" w:rsidR="003A0674">
        <w:rPr>
          <w:szCs w:val="26"/>
        </w:rPr>
        <w:t xml:space="preserve">could </w:t>
      </w:r>
      <w:r w:rsidRPr="006E05DF">
        <w:rPr>
          <w:szCs w:val="26"/>
        </w:rPr>
        <w:t xml:space="preserve">be false advertising under </w:t>
      </w:r>
      <w:r w:rsidRPr="006E05DF" w:rsidR="00630864">
        <w:rPr>
          <w:szCs w:val="26"/>
        </w:rPr>
        <w:t>the federal Lanham Act</w:t>
      </w:r>
      <w:r w:rsidRPr="006E05DF">
        <w:rPr>
          <w:szCs w:val="26"/>
        </w:rPr>
        <w:t>];</w:t>
      </w:r>
      <w:r>
        <w:rPr>
          <w:rStyle w:val="FootnoteReference"/>
          <w:szCs w:val="26"/>
        </w:rPr>
        <w:footnoteReference w:id="7"/>
      </w:r>
      <w:r w:rsidRPr="006E05DF">
        <w:rPr>
          <w:szCs w:val="26"/>
        </w:rPr>
        <w:t xml:space="preserve"> </w:t>
      </w:r>
      <w:r w:rsidRPr="006E05DF">
        <w:rPr>
          <w:i/>
          <w:iCs/>
          <w:szCs w:val="26"/>
        </w:rPr>
        <w:t>Murdock v. Pennsylvania</w:t>
      </w:r>
      <w:r w:rsidRPr="006E05DF">
        <w:rPr>
          <w:szCs w:val="26"/>
        </w:rPr>
        <w:t xml:space="preserve"> (1943) 319 U.S. 105, 111 [suggesting retailing and wholesaling of books via pamphlets, outside of proselytizing, are commercial enterprises].)  “Movies, plays, books, and songs,” though themselves protected artistic works, “are also sold in the commercial marketplace like other more utilitarian products, making the danger of consumer deception a legitimate concern that warrants some government regulation.”  (</w:t>
      </w:r>
      <w:r w:rsidRPr="006E05DF">
        <w:rPr>
          <w:i/>
          <w:iCs/>
          <w:szCs w:val="26"/>
        </w:rPr>
        <w:t>Rogers</w:t>
      </w:r>
      <w:r w:rsidRPr="006E05DF">
        <w:rPr>
          <w:szCs w:val="26"/>
        </w:rPr>
        <w:t xml:space="preserve">, at p. 997.)  Indeed, the dividing line between artistic and utilitarian goods </w:t>
      </w:r>
      <w:r w:rsidR="005A64D9">
        <w:rPr>
          <w:szCs w:val="26"/>
        </w:rPr>
        <w:t>may sometimes blur</w:t>
      </w:r>
      <w:r w:rsidRPr="006E05DF">
        <w:rPr>
          <w:szCs w:val="26"/>
        </w:rPr>
        <w:t xml:space="preserve">.  (See Rothman, </w:t>
      </w:r>
      <w:r w:rsidRPr="006E05DF">
        <w:rPr>
          <w:i/>
          <w:iCs/>
          <w:szCs w:val="26"/>
        </w:rPr>
        <w:t>Was Steve Jobs an Artist?</w:t>
      </w:r>
      <w:r w:rsidR="00F0417D">
        <w:rPr>
          <w:szCs w:val="26"/>
        </w:rPr>
        <w:t xml:space="preserve"> </w:t>
      </w:r>
      <w:r w:rsidRPr="006E05DF" w:rsidR="00F0417D">
        <w:rPr>
          <w:szCs w:val="26"/>
        </w:rPr>
        <w:t>(Oct. 14, 2015)</w:t>
      </w:r>
      <w:r w:rsidRPr="006E05DF">
        <w:rPr>
          <w:szCs w:val="26"/>
        </w:rPr>
        <w:t xml:space="preserve"> The New Yorker </w:t>
      </w:r>
      <w:r w:rsidR="006A2261">
        <w:rPr>
          <w:szCs w:val="26"/>
        </w:rPr>
        <w:t>&lt;</w:t>
      </w:r>
      <w:r w:rsidRPr="006E05DF">
        <w:rPr>
          <w:szCs w:val="26"/>
        </w:rPr>
        <w:t>https://www.newyorker.com/culture/cultural-comment/was-steve-jobs-an-artist</w:t>
      </w:r>
      <w:r w:rsidR="006A2261">
        <w:rPr>
          <w:szCs w:val="26"/>
        </w:rPr>
        <w:t>&gt;</w:t>
      </w:r>
      <w:r w:rsidR="00F0417D">
        <w:rPr>
          <w:szCs w:val="26"/>
        </w:rPr>
        <w:t xml:space="preserve"> [as of </w:t>
      </w:r>
      <w:r w:rsidR="006567EF">
        <w:rPr>
          <w:szCs w:val="26"/>
        </w:rPr>
        <w:t xml:space="preserve">Aug. </w:t>
      </w:r>
      <w:r w:rsidR="00207C0D">
        <w:rPr>
          <w:szCs w:val="26"/>
        </w:rPr>
        <w:t>18</w:t>
      </w:r>
      <w:r w:rsidR="006567EF">
        <w:rPr>
          <w:szCs w:val="26"/>
        </w:rPr>
        <w:t>, 2022]</w:t>
      </w:r>
      <w:r w:rsidRPr="006E05DF" w:rsidR="006567EF">
        <w:rPr>
          <w:szCs w:val="26"/>
        </w:rPr>
        <w:t xml:space="preserve"> </w:t>
      </w:r>
      <w:r w:rsidRPr="006E05DF">
        <w:rPr>
          <w:szCs w:val="26"/>
        </w:rPr>
        <w:t>[discussing the intersection of art and technology products].)</w:t>
      </w:r>
      <w:r>
        <w:rPr>
          <w:rStyle w:val="FootnoteReference"/>
          <w:szCs w:val="26"/>
        </w:rPr>
        <w:footnoteReference w:id="8"/>
      </w:r>
    </w:p>
    <w:p w:rsidR="0054003A" w:rsidRPr="006E05DF" w:rsidP="00314A1F">
      <w:pPr>
        <w:ind w:firstLine="720"/>
        <w:rPr>
          <w:szCs w:val="26"/>
        </w:rPr>
      </w:pPr>
      <w:r w:rsidRPr="006E05DF">
        <w:rPr>
          <w:szCs w:val="26"/>
        </w:rPr>
        <w:t xml:space="preserve">Relief has long been available in California to unwitting purchasers of imitation art who relied on false representations about authenticity.  (E.g., </w:t>
      </w:r>
      <w:r w:rsidRPr="006E05DF">
        <w:rPr>
          <w:i/>
          <w:iCs/>
          <w:szCs w:val="26"/>
        </w:rPr>
        <w:t>Smith v. Zimbalist</w:t>
      </w:r>
      <w:r w:rsidRPr="006E05DF">
        <w:rPr>
          <w:szCs w:val="26"/>
        </w:rPr>
        <w:t xml:space="preserve"> (1934) 2 Cal.App.2d 324, 326, 332–333 [finding unenforceable the sale of a violin represented as a Stradivarius when buyer and seller were both mistaken and the violin was a cheap copy].)  </w:t>
      </w:r>
    </w:p>
    <w:p w:rsidR="0054003A" w:rsidRPr="006E05DF" w:rsidP="00314A1F">
      <w:pPr>
        <w:rPr>
          <w:szCs w:val="26"/>
        </w:rPr>
      </w:pPr>
      <w:r w:rsidRPr="006E05DF">
        <w:rPr>
          <w:szCs w:val="26"/>
        </w:rPr>
        <w:tab/>
      </w:r>
      <w:r w:rsidRPr="006E05DF" w:rsidR="003B408E">
        <w:rPr>
          <w:szCs w:val="26"/>
        </w:rPr>
        <w:t xml:space="preserve">Additionally, </w:t>
      </w:r>
      <w:r w:rsidRPr="006E05DF">
        <w:rPr>
          <w:szCs w:val="26"/>
        </w:rPr>
        <w:t xml:space="preserve">numerous </w:t>
      </w:r>
      <w:r w:rsidRPr="006E05DF" w:rsidR="005A359B">
        <w:rPr>
          <w:szCs w:val="26"/>
        </w:rPr>
        <w:t xml:space="preserve">courts </w:t>
      </w:r>
      <w:r w:rsidRPr="006E05DF">
        <w:rPr>
          <w:szCs w:val="26"/>
        </w:rPr>
        <w:t>have</w:t>
      </w:r>
      <w:r w:rsidRPr="006E05DF" w:rsidR="009A34A9">
        <w:rPr>
          <w:szCs w:val="26"/>
        </w:rPr>
        <w:t xml:space="preserve"> </w:t>
      </w:r>
      <w:r w:rsidRPr="006E05DF">
        <w:rPr>
          <w:szCs w:val="26"/>
        </w:rPr>
        <w:t xml:space="preserve">entertained false advertising claims premised on statements about creative contribution.  (E.g., </w:t>
      </w:r>
      <w:r w:rsidRPr="006E05DF">
        <w:rPr>
          <w:i/>
          <w:iCs/>
          <w:szCs w:val="26"/>
        </w:rPr>
        <w:t>Aalmuhammed v. Lee</w:t>
      </w:r>
      <w:r w:rsidRPr="006E05DF">
        <w:rPr>
          <w:szCs w:val="26"/>
        </w:rPr>
        <w:t xml:space="preserve"> (9th Cir. 2000) 202 F.3d 1227, 1237</w:t>
      </w:r>
      <w:r w:rsidR="004E746A">
        <w:rPr>
          <w:szCs w:val="26"/>
        </w:rPr>
        <w:t xml:space="preserve"> </w:t>
      </w:r>
      <w:r w:rsidRPr="006E05DF">
        <w:rPr>
          <w:szCs w:val="26"/>
        </w:rPr>
        <w:t xml:space="preserve">[reversing dismissal of a writer’s California UCL claim accusing another writer of plagiarizing his work]; </w:t>
      </w:r>
      <w:r w:rsidRPr="006E05DF">
        <w:rPr>
          <w:i/>
          <w:iCs/>
          <w:szCs w:val="26"/>
        </w:rPr>
        <w:t>King v. Innovation Books</w:t>
      </w:r>
      <w:r w:rsidRPr="006E05DF">
        <w:rPr>
          <w:szCs w:val="26"/>
        </w:rPr>
        <w:t xml:space="preserve"> (2d Cir. 1992) 976 F.2d 824, 829 [allowing Stephen King to enjoin, under the Lanham Act, a film distributor from describing a film, </w:t>
      </w:r>
      <w:r w:rsidRPr="00883750">
        <w:rPr>
          <w:szCs w:val="26"/>
        </w:rPr>
        <w:t>The Lawnmower Man</w:t>
      </w:r>
      <w:r w:rsidRPr="006E05DF">
        <w:rPr>
          <w:szCs w:val="26"/>
        </w:rPr>
        <w:t xml:space="preserve">, as Stephen King’s </w:t>
      </w:r>
      <w:r w:rsidRPr="00883750">
        <w:rPr>
          <w:szCs w:val="26"/>
        </w:rPr>
        <w:t>The Lawnmower Man</w:t>
      </w:r>
      <w:r w:rsidRPr="006E05DF">
        <w:rPr>
          <w:szCs w:val="26"/>
        </w:rPr>
        <w:t xml:space="preserve">, where King had no involvement in the creative process except for selling his rights to his short story of the same name]; </w:t>
      </w:r>
      <w:r w:rsidRPr="006E05DF">
        <w:rPr>
          <w:i/>
          <w:iCs/>
          <w:szCs w:val="26"/>
        </w:rPr>
        <w:t>PPX Enters. v. Audiofidelity Enters.</w:t>
      </w:r>
      <w:r w:rsidR="00505149">
        <w:rPr>
          <w:szCs w:val="26"/>
        </w:rPr>
        <w:t xml:space="preserve">, </w:t>
      </w:r>
      <w:r w:rsidR="00505149">
        <w:rPr>
          <w:i/>
          <w:iCs/>
          <w:szCs w:val="26"/>
        </w:rPr>
        <w:t>supra</w:t>
      </w:r>
      <w:r w:rsidR="00505149">
        <w:rPr>
          <w:szCs w:val="26"/>
        </w:rPr>
        <w:t xml:space="preserve">, </w:t>
      </w:r>
      <w:r w:rsidRPr="006E05DF">
        <w:rPr>
          <w:szCs w:val="26"/>
        </w:rPr>
        <w:t xml:space="preserve">818 F.2d </w:t>
      </w:r>
      <w:r w:rsidR="00505149">
        <w:rPr>
          <w:szCs w:val="26"/>
        </w:rPr>
        <w:t>at p.</w:t>
      </w:r>
      <w:r w:rsidRPr="006E05DF">
        <w:rPr>
          <w:szCs w:val="26"/>
        </w:rPr>
        <w:t xml:space="preserve"> 268 [affirming a jury verdict of Lanham Act false advertising when a record company marketed “eight albums purporting to contain feature performances by Jimi Hendrix, but which either did not contain Hendrix performances at all or contained performances in which Hendrix was merely a background performer or undifferentiated session player”]; </w:t>
      </w:r>
      <w:r w:rsidRPr="006E05DF">
        <w:rPr>
          <w:i/>
          <w:iCs/>
          <w:szCs w:val="26"/>
        </w:rPr>
        <w:t>Benson v. Paul Winley Record Sales Corp.</w:t>
      </w:r>
      <w:r w:rsidRPr="006E05DF">
        <w:rPr>
          <w:szCs w:val="26"/>
        </w:rPr>
        <w:t xml:space="preserve"> (S.D.N.Y. 1978) 452 F.Supp. 516, 518 [holding that misleading attributions on a record jacket might not only confuse consumers under the Lanham Act but </w:t>
      </w:r>
      <w:r w:rsidR="00505149">
        <w:rPr>
          <w:szCs w:val="26"/>
        </w:rPr>
        <w:t xml:space="preserve">also </w:t>
      </w:r>
      <w:r w:rsidRPr="006E05DF">
        <w:rPr>
          <w:szCs w:val="26"/>
        </w:rPr>
        <w:t>harm a performer’s reputation</w:t>
      </w:r>
      <w:r>
        <w:rPr>
          <w:rStyle w:val="FootnoteReference"/>
          <w:szCs w:val="26"/>
        </w:rPr>
        <w:footnoteReference w:id="9"/>
      </w:r>
      <w:r w:rsidRPr="006E05DF">
        <w:rPr>
          <w:szCs w:val="26"/>
        </w:rPr>
        <w:t xml:space="preserve">].)  The use of an artist’s name in advertising “should usually qualify as </w:t>
      </w:r>
      <w:r w:rsidR="00075364">
        <w:rPr>
          <w:szCs w:val="26"/>
        </w:rPr>
        <w:t xml:space="preserve">a </w:t>
      </w:r>
      <w:r w:rsidRPr="006E05DF">
        <w:rPr>
          <w:szCs w:val="26"/>
        </w:rPr>
        <w:t>use ‘in commercial advertising or promotion’</w:t>
      </w:r>
      <w:r w:rsidR="00CE6584">
        <w:rPr>
          <w:szCs w:val="26"/>
        </w:rPr>
        <w:t> </w:t>
      </w:r>
      <w:r w:rsidRPr="006E05DF">
        <w:rPr>
          <w:szCs w:val="26"/>
        </w:rPr>
        <w:t>” under the Lanham Act.  (5 McCarthy on Trademarks and Unfair Competition</w:t>
      </w:r>
      <w:r w:rsidR="00075364">
        <w:rPr>
          <w:szCs w:val="26"/>
        </w:rPr>
        <w:t xml:space="preserve">, </w:t>
      </w:r>
      <w:r w:rsidR="00075364">
        <w:rPr>
          <w:i/>
          <w:iCs/>
          <w:szCs w:val="26"/>
        </w:rPr>
        <w:t>supra</w:t>
      </w:r>
      <w:r w:rsidR="00075364">
        <w:rPr>
          <w:szCs w:val="26"/>
        </w:rPr>
        <w:t xml:space="preserve">, </w:t>
      </w:r>
      <w:r w:rsidRPr="006E05DF">
        <w:rPr>
          <w:szCs w:val="26"/>
        </w:rPr>
        <w:t xml:space="preserve"> § 27:85; see 1 </w:t>
      </w:r>
      <w:r w:rsidR="00A06D18">
        <w:rPr>
          <w:szCs w:val="26"/>
        </w:rPr>
        <w:t xml:space="preserve">McKenney &amp; Long, </w:t>
      </w:r>
      <w:r w:rsidRPr="006E05DF">
        <w:rPr>
          <w:szCs w:val="26"/>
        </w:rPr>
        <w:t xml:space="preserve">Federal Unfair Competition: Lanham Act 43(a) </w:t>
      </w:r>
      <w:r w:rsidRPr="006E05DF" w:rsidR="00075364">
        <w:rPr>
          <w:szCs w:val="26"/>
        </w:rPr>
        <w:t>(Dec. 2021 update)</w:t>
      </w:r>
      <w:r w:rsidR="00075364">
        <w:rPr>
          <w:szCs w:val="26"/>
        </w:rPr>
        <w:t xml:space="preserve"> </w:t>
      </w:r>
      <w:r w:rsidRPr="006E05DF">
        <w:rPr>
          <w:szCs w:val="26"/>
        </w:rPr>
        <w:t>§ 7:7, fn. 2 [collecting further cases].)</w:t>
      </w:r>
      <w:r>
        <w:rPr>
          <w:rStyle w:val="FootnoteReference"/>
          <w:szCs w:val="26"/>
        </w:rPr>
        <w:footnoteReference w:id="10"/>
      </w:r>
    </w:p>
    <w:p w:rsidR="0054003A" w:rsidRPr="006E05DF" w:rsidP="00314A1F">
      <w:pPr>
        <w:rPr>
          <w:szCs w:val="26"/>
        </w:rPr>
      </w:pPr>
      <w:r w:rsidRPr="006E05DF">
        <w:rPr>
          <w:szCs w:val="26"/>
        </w:rPr>
        <w:tab/>
      </w:r>
      <w:r w:rsidRPr="00190B34" w:rsidR="00920FD8">
        <w:rPr>
          <w:szCs w:val="26"/>
        </w:rPr>
        <w:t>Moreover, c</w:t>
      </w:r>
      <w:r w:rsidRPr="00190B34" w:rsidR="005A359B">
        <w:rPr>
          <w:szCs w:val="26"/>
        </w:rPr>
        <w:t xml:space="preserve">ourts have recognized </w:t>
      </w:r>
      <w:r w:rsidRPr="00190B34">
        <w:rPr>
          <w:szCs w:val="26"/>
        </w:rPr>
        <w:t xml:space="preserve">other causes of action </w:t>
      </w:r>
      <w:r w:rsidRPr="00A37934" w:rsidR="0078273B">
        <w:rPr>
          <w:szCs w:val="26"/>
        </w:rPr>
        <w:t>coul</w:t>
      </w:r>
      <w:r w:rsidRPr="000F0B74" w:rsidR="0078273B">
        <w:rPr>
          <w:szCs w:val="26"/>
        </w:rPr>
        <w:t xml:space="preserve">d be viable </w:t>
      </w:r>
      <w:r w:rsidRPr="000F0B74">
        <w:rPr>
          <w:szCs w:val="26"/>
        </w:rPr>
        <w:t xml:space="preserve">where </w:t>
      </w:r>
      <w:r w:rsidRPr="00A37934" w:rsidR="0078273B">
        <w:rPr>
          <w:szCs w:val="26"/>
        </w:rPr>
        <w:t xml:space="preserve">disputes </w:t>
      </w:r>
      <w:r w:rsidRPr="00A37934">
        <w:rPr>
          <w:szCs w:val="26"/>
        </w:rPr>
        <w:t xml:space="preserve">about </w:t>
      </w:r>
      <w:r w:rsidRPr="00A37934" w:rsidR="00451113">
        <w:rPr>
          <w:szCs w:val="26"/>
        </w:rPr>
        <w:t xml:space="preserve">creative contribution </w:t>
      </w:r>
      <w:r w:rsidRPr="00A37934">
        <w:rPr>
          <w:szCs w:val="26"/>
        </w:rPr>
        <w:t xml:space="preserve">form the basis of suit. </w:t>
      </w:r>
      <w:r w:rsidRPr="00190B34">
        <w:rPr>
          <w:szCs w:val="26"/>
        </w:rPr>
        <w:t xml:space="preserve"> (E.g., </w:t>
      </w:r>
      <w:r w:rsidRPr="00190B34">
        <w:rPr>
          <w:i/>
          <w:iCs/>
          <w:szCs w:val="26"/>
        </w:rPr>
        <w:t>Aalmuhammed</w:t>
      </w:r>
      <w:r w:rsidRPr="00190B34" w:rsidR="004E746A">
        <w:rPr>
          <w:i/>
          <w:iCs/>
          <w:szCs w:val="26"/>
        </w:rPr>
        <w:t xml:space="preserve"> v. Lee</w:t>
      </w:r>
      <w:r w:rsidRPr="00190B34">
        <w:rPr>
          <w:szCs w:val="26"/>
        </w:rPr>
        <w:t xml:space="preserve">, </w:t>
      </w:r>
      <w:r w:rsidRPr="00190B34">
        <w:rPr>
          <w:i/>
          <w:iCs/>
          <w:szCs w:val="26"/>
        </w:rPr>
        <w:t>supra</w:t>
      </w:r>
      <w:r w:rsidRPr="00190B34">
        <w:rPr>
          <w:szCs w:val="26"/>
        </w:rPr>
        <w:t xml:space="preserve">, 202 F.3d at pp. 1230–1236 [rejecting claim of joint authorship under copyright law]; </w:t>
      </w:r>
      <w:r w:rsidRPr="00A37934">
        <w:rPr>
          <w:i/>
          <w:iCs/>
          <w:szCs w:val="26"/>
        </w:rPr>
        <w:t>Silverstein v. Penguin Putnam, Inc.</w:t>
      </w:r>
      <w:r w:rsidRPr="000F0B74">
        <w:rPr>
          <w:szCs w:val="26"/>
        </w:rPr>
        <w:t xml:space="preserve"> (2d Cir. 2004) 368 F.3d 77, 81 [</w:t>
      </w:r>
      <w:r w:rsidRPr="00A37934" w:rsidR="00A840EC">
        <w:rPr>
          <w:szCs w:val="26"/>
        </w:rPr>
        <w:t xml:space="preserve">concluding </w:t>
      </w:r>
      <w:r w:rsidRPr="00A37934">
        <w:rPr>
          <w:szCs w:val="26"/>
        </w:rPr>
        <w:t xml:space="preserve">a collector of Dorothy Parker poems could </w:t>
      </w:r>
      <w:r w:rsidRPr="00A37934" w:rsidR="00A840EC">
        <w:rPr>
          <w:szCs w:val="26"/>
        </w:rPr>
        <w:t xml:space="preserve">not </w:t>
      </w:r>
      <w:r w:rsidRPr="00A37934">
        <w:rPr>
          <w:szCs w:val="26"/>
        </w:rPr>
        <w:t>credibly assert he exercised</w:t>
      </w:r>
      <w:r w:rsidR="00B73526">
        <w:rPr>
          <w:szCs w:val="26"/>
        </w:rPr>
        <w:t xml:space="preserve">, </w:t>
      </w:r>
      <w:r w:rsidRPr="00A37934">
        <w:rPr>
          <w:szCs w:val="26"/>
        </w:rPr>
        <w:t xml:space="preserve">in </w:t>
      </w:r>
      <w:r w:rsidRPr="00A37934" w:rsidR="00A840EC">
        <w:rPr>
          <w:szCs w:val="26"/>
        </w:rPr>
        <w:t xml:space="preserve">assessing whether </w:t>
      </w:r>
      <w:r w:rsidRPr="00A37934">
        <w:rPr>
          <w:szCs w:val="26"/>
        </w:rPr>
        <w:t xml:space="preserve">poems were written by </w:t>
      </w:r>
      <w:r w:rsidRPr="00A37934" w:rsidR="00A840EC">
        <w:rPr>
          <w:szCs w:val="26"/>
        </w:rPr>
        <w:t>Parker</w:t>
      </w:r>
      <w:r w:rsidR="00B73526">
        <w:rPr>
          <w:szCs w:val="26"/>
        </w:rPr>
        <w:t xml:space="preserve">, </w:t>
      </w:r>
      <w:r w:rsidRPr="00A37934" w:rsidR="00B73526">
        <w:rPr>
          <w:szCs w:val="26"/>
        </w:rPr>
        <w:t xml:space="preserve">originality sufficient to </w:t>
      </w:r>
      <w:r w:rsidR="00B73526">
        <w:rPr>
          <w:szCs w:val="26"/>
        </w:rPr>
        <w:t xml:space="preserve">merit </w:t>
      </w:r>
      <w:r w:rsidRPr="00A37934" w:rsidR="00B73526">
        <w:rPr>
          <w:szCs w:val="26"/>
        </w:rPr>
        <w:t>copyright</w:t>
      </w:r>
      <w:r w:rsidR="00B73526">
        <w:rPr>
          <w:szCs w:val="26"/>
        </w:rPr>
        <w:t xml:space="preserve"> protection</w:t>
      </w:r>
      <w:r w:rsidRPr="00A37934">
        <w:rPr>
          <w:szCs w:val="26"/>
        </w:rPr>
        <w:t>].)</w:t>
      </w:r>
    </w:p>
    <w:p w:rsidR="0054003A" w:rsidRPr="006E05DF" w:rsidP="00314A1F">
      <w:pPr>
        <w:rPr>
          <w:szCs w:val="26"/>
        </w:rPr>
      </w:pPr>
      <w:r w:rsidRPr="006E05DF">
        <w:rPr>
          <w:szCs w:val="26"/>
        </w:rPr>
        <w:tab/>
        <w:t xml:space="preserve">None of these cases hints that </w:t>
      </w:r>
      <w:r w:rsidRPr="006E05DF" w:rsidR="00671A0F">
        <w:rPr>
          <w:szCs w:val="26"/>
        </w:rPr>
        <w:t xml:space="preserve">product-touting </w:t>
      </w:r>
      <w:r w:rsidRPr="006E05DF">
        <w:rPr>
          <w:szCs w:val="26"/>
        </w:rPr>
        <w:t>statements about artistic contribution are</w:t>
      </w:r>
      <w:r w:rsidRPr="006E05DF" w:rsidR="00671A0F">
        <w:rPr>
          <w:szCs w:val="26"/>
        </w:rPr>
        <w:t>, by their nature,</w:t>
      </w:r>
      <w:r w:rsidRPr="006E05DF">
        <w:rPr>
          <w:szCs w:val="26"/>
        </w:rPr>
        <w:t xml:space="preserve"> noncommercial or otherwise beyond traditional </w:t>
      </w:r>
      <w:r w:rsidRPr="006E05DF" w:rsidR="003B408E">
        <w:rPr>
          <w:szCs w:val="26"/>
        </w:rPr>
        <w:t xml:space="preserve">consumer protection </w:t>
      </w:r>
      <w:r w:rsidRPr="006E05DF">
        <w:rPr>
          <w:szCs w:val="26"/>
        </w:rPr>
        <w:t>regulation</w:t>
      </w:r>
      <w:r w:rsidRPr="006E05DF" w:rsidR="003B408E">
        <w:rPr>
          <w:szCs w:val="26"/>
        </w:rPr>
        <w:t>s</w:t>
      </w:r>
      <w:r w:rsidRPr="006E05DF">
        <w:rPr>
          <w:szCs w:val="26"/>
        </w:rPr>
        <w:t xml:space="preserve"> on constitutional grounds.</w:t>
      </w:r>
      <w:r w:rsidRPr="006E05DF" w:rsidR="009A34A9">
        <w:rPr>
          <w:szCs w:val="26"/>
        </w:rPr>
        <w:t xml:space="preserve">  </w:t>
      </w:r>
      <w:r w:rsidRPr="006E05DF">
        <w:rPr>
          <w:szCs w:val="26"/>
        </w:rPr>
        <w:t xml:space="preserve">In contrast, </w:t>
      </w:r>
      <w:r w:rsidRPr="006E05DF">
        <w:rPr>
          <w:i/>
          <w:iCs/>
          <w:szCs w:val="26"/>
        </w:rPr>
        <w:t>Rogers</w:t>
      </w:r>
      <w:r w:rsidRPr="006E05DF">
        <w:rPr>
          <w:szCs w:val="26"/>
        </w:rPr>
        <w:t xml:space="preserve">, </w:t>
      </w:r>
      <w:r w:rsidRPr="006E05DF">
        <w:rPr>
          <w:i/>
          <w:iCs/>
          <w:szCs w:val="26"/>
        </w:rPr>
        <w:t>supra</w:t>
      </w:r>
      <w:r w:rsidRPr="006E05DF">
        <w:rPr>
          <w:szCs w:val="26"/>
        </w:rPr>
        <w:t xml:space="preserve">, 875 F.2d 994 and its progeny </w:t>
      </w:r>
      <w:r w:rsidR="00E328B0">
        <w:rPr>
          <w:szCs w:val="26"/>
        </w:rPr>
        <w:t xml:space="preserve">have </w:t>
      </w:r>
      <w:r w:rsidRPr="006E05DF">
        <w:rPr>
          <w:szCs w:val="26"/>
        </w:rPr>
        <w:t>considered the First Amendment and applied the federal false advertising statute not to mere promotional materials for expressive works but to their titles.  Ginger Rogers, one of those rare entertainers “readily called to mind by just their first names,” sued film producers over Ginger and Fred, a film about a fictious cabaret duo in Italy who earned the nickname Ginger and Fred.  (</w:t>
      </w:r>
      <w:r w:rsidRPr="006E05DF">
        <w:rPr>
          <w:i/>
          <w:iCs/>
          <w:szCs w:val="26"/>
        </w:rPr>
        <w:t>Rogers</w:t>
      </w:r>
      <w:r w:rsidRPr="006E05DF">
        <w:rPr>
          <w:szCs w:val="26"/>
        </w:rPr>
        <w:t>, at p. 996.)  Rogers invoked the Lanham Act, claiming the film title falsely implied it was about her or that “she sponsored, endorsed, or was otherwise involved in the film.”  (</w:t>
      </w:r>
      <w:r w:rsidRPr="006E05DF">
        <w:rPr>
          <w:i/>
          <w:iCs/>
          <w:szCs w:val="26"/>
        </w:rPr>
        <w:t>Id.</w:t>
      </w:r>
      <w:r w:rsidRPr="006E05DF">
        <w:rPr>
          <w:szCs w:val="26"/>
        </w:rPr>
        <w:t xml:space="preserve"> at p. 997.)  Though the Second Circuit rejected liability against the film’s producers, it </w:t>
      </w:r>
      <w:r w:rsidRPr="006E05DF" w:rsidR="00920FD8">
        <w:rPr>
          <w:szCs w:val="26"/>
        </w:rPr>
        <w:t xml:space="preserve">concluded </w:t>
      </w:r>
      <w:r w:rsidRPr="006E05DF">
        <w:rPr>
          <w:szCs w:val="26"/>
        </w:rPr>
        <w:t>titles of expressive works have a commercial component</w:t>
      </w:r>
      <w:r w:rsidR="00486836">
        <w:rPr>
          <w:szCs w:val="26"/>
        </w:rPr>
        <w:t>,</w:t>
      </w:r>
      <w:r w:rsidRPr="006E05DF">
        <w:rPr>
          <w:szCs w:val="26"/>
        </w:rPr>
        <w:t xml:space="preserve"> and the First Amendment would, in some cases, pose no barrier to regulating them.  (</w:t>
      </w:r>
      <w:r w:rsidRPr="006E05DF">
        <w:rPr>
          <w:i/>
          <w:iCs/>
          <w:szCs w:val="26"/>
        </w:rPr>
        <w:t>Id.</w:t>
      </w:r>
      <w:r w:rsidRPr="006E05DF">
        <w:rPr>
          <w:szCs w:val="26"/>
        </w:rPr>
        <w:t xml:space="preserve"> at p. 998.)  For instance, </w:t>
      </w:r>
      <w:r w:rsidRPr="006E05DF">
        <w:rPr>
          <w:i/>
          <w:iCs/>
          <w:szCs w:val="26"/>
        </w:rPr>
        <w:t>Rogers</w:t>
      </w:r>
      <w:r w:rsidRPr="006E05DF">
        <w:rPr>
          <w:szCs w:val="26"/>
        </w:rPr>
        <w:t xml:space="preserve"> reasoned if a title has no artistic relevance to its work, or if an artistically relevant title nonetheless explicitly </w:t>
      </w:r>
      <w:r w:rsidRPr="006E05DF" w:rsidR="00DF29B3">
        <w:rPr>
          <w:szCs w:val="26"/>
        </w:rPr>
        <w:t>mislead</w:t>
      </w:r>
      <w:r w:rsidR="00DF29B3">
        <w:rPr>
          <w:szCs w:val="26"/>
        </w:rPr>
        <w:t>s as to the work’s source or content</w:t>
      </w:r>
      <w:r w:rsidRPr="006E05DF">
        <w:rPr>
          <w:szCs w:val="26"/>
        </w:rPr>
        <w:t>, regulation could ensue.  (</w:t>
      </w:r>
      <w:r w:rsidRPr="006E05DF">
        <w:rPr>
          <w:i/>
          <w:iCs/>
          <w:szCs w:val="26"/>
        </w:rPr>
        <w:t>Id.</w:t>
      </w:r>
      <w:r w:rsidRPr="006E05DF">
        <w:rPr>
          <w:szCs w:val="26"/>
        </w:rPr>
        <w:t xml:space="preserve"> at pp. 997–999.)  Thus, said the court, a title that falsely conveyed someone authored a work had a sufficient commercial aspect and could be prohibited.  (</w:t>
      </w:r>
      <w:r w:rsidRPr="006E05DF">
        <w:rPr>
          <w:i/>
          <w:iCs/>
          <w:szCs w:val="26"/>
        </w:rPr>
        <w:t>Id.</w:t>
      </w:r>
      <w:r w:rsidR="00486836">
        <w:rPr>
          <w:szCs w:val="26"/>
        </w:rPr>
        <w:t xml:space="preserve"> at p. 999</w:t>
      </w:r>
      <w:r w:rsidRPr="006E05DF">
        <w:rPr>
          <w:szCs w:val="26"/>
        </w:rPr>
        <w:t xml:space="preserve"> [suggesting “</w:t>
      </w:r>
      <w:r w:rsidR="00CE6584">
        <w:rPr>
          <w:szCs w:val="26"/>
        </w:rPr>
        <w:t> </w:t>
      </w:r>
      <w:r w:rsidR="00486836">
        <w:rPr>
          <w:szCs w:val="26"/>
        </w:rPr>
        <w:t>‘</w:t>
      </w:r>
      <w:r w:rsidRPr="006E05DF">
        <w:rPr>
          <w:szCs w:val="26"/>
        </w:rPr>
        <w:t>Nimmer on Copyright</w:t>
      </w:r>
      <w:r w:rsidR="00486836">
        <w:rPr>
          <w:szCs w:val="26"/>
        </w:rPr>
        <w:t>’</w:t>
      </w:r>
      <w:r w:rsidR="00CE6584">
        <w:rPr>
          <w:szCs w:val="26"/>
        </w:rPr>
        <w:t> </w:t>
      </w:r>
      <w:r w:rsidRPr="006E05DF">
        <w:rPr>
          <w:szCs w:val="26"/>
        </w:rPr>
        <w:t>” or “</w:t>
      </w:r>
      <w:r w:rsidR="00CE6584">
        <w:rPr>
          <w:szCs w:val="26"/>
        </w:rPr>
        <w:t> </w:t>
      </w:r>
      <w:r w:rsidR="00486836">
        <w:rPr>
          <w:szCs w:val="26"/>
        </w:rPr>
        <w:t>‘</w:t>
      </w:r>
      <w:r w:rsidRPr="006E05DF">
        <w:rPr>
          <w:szCs w:val="26"/>
        </w:rPr>
        <w:t>Jane Fonda’s Workout Book</w:t>
      </w:r>
      <w:r w:rsidR="00486836">
        <w:rPr>
          <w:szCs w:val="26"/>
        </w:rPr>
        <w:t>’</w:t>
      </w:r>
      <w:r w:rsidR="00CE6584">
        <w:rPr>
          <w:szCs w:val="26"/>
        </w:rPr>
        <w:t> </w:t>
      </w:r>
      <w:r w:rsidRPr="006E05DF">
        <w:rPr>
          <w:szCs w:val="26"/>
        </w:rPr>
        <w:t xml:space="preserve">” conveyed representations to consumers].)  At least </w:t>
      </w:r>
      <w:r w:rsidRPr="006E05DF" w:rsidR="00920FD8">
        <w:rPr>
          <w:szCs w:val="26"/>
        </w:rPr>
        <w:t xml:space="preserve">one </w:t>
      </w:r>
      <w:r w:rsidRPr="006E05DF">
        <w:rPr>
          <w:szCs w:val="26"/>
        </w:rPr>
        <w:t xml:space="preserve">precept from </w:t>
      </w:r>
      <w:r w:rsidRPr="006E05DF">
        <w:rPr>
          <w:i/>
          <w:iCs/>
          <w:szCs w:val="26"/>
        </w:rPr>
        <w:t>Rogers</w:t>
      </w:r>
      <w:r w:rsidRPr="000B779D" w:rsidR="00437868">
        <w:rPr>
          <w:szCs w:val="26"/>
        </w:rPr>
        <w:t> </w:t>
      </w:r>
      <w:r w:rsidRPr="006E05DF">
        <w:rPr>
          <w:szCs w:val="26"/>
        </w:rPr>
        <w:t>—</w:t>
      </w:r>
      <w:r w:rsidR="00486836">
        <w:rPr>
          <w:szCs w:val="26"/>
        </w:rPr>
        <w:t xml:space="preserve"> </w:t>
      </w:r>
      <w:r w:rsidRPr="006E05DF">
        <w:rPr>
          <w:szCs w:val="26"/>
        </w:rPr>
        <w:t xml:space="preserve">the regulability of explicitly misleading </w:t>
      </w:r>
      <w:r w:rsidR="00DF29B3">
        <w:rPr>
          <w:szCs w:val="26"/>
        </w:rPr>
        <w:t>titles</w:t>
      </w:r>
      <w:r w:rsidR="00437868">
        <w:rPr>
          <w:szCs w:val="26"/>
        </w:rPr>
        <w:t> </w:t>
      </w:r>
      <w:r w:rsidRPr="006E05DF">
        <w:rPr>
          <w:szCs w:val="26"/>
        </w:rPr>
        <w:t>—</w:t>
      </w:r>
      <w:r w:rsidR="00486836">
        <w:rPr>
          <w:szCs w:val="26"/>
        </w:rPr>
        <w:t xml:space="preserve"> </w:t>
      </w:r>
      <w:r w:rsidRPr="006E05DF">
        <w:rPr>
          <w:szCs w:val="26"/>
        </w:rPr>
        <w:t xml:space="preserve">appears </w:t>
      </w:r>
      <w:r w:rsidRPr="006E05DF" w:rsidR="003B408E">
        <w:rPr>
          <w:szCs w:val="26"/>
        </w:rPr>
        <w:t>to have met acceptance</w:t>
      </w:r>
      <w:r w:rsidR="00B03487">
        <w:rPr>
          <w:szCs w:val="26"/>
        </w:rPr>
        <w:t xml:space="preserve"> </w:t>
      </w:r>
      <w:r w:rsidR="00305FE8">
        <w:rPr>
          <w:szCs w:val="26"/>
        </w:rPr>
        <w:t>amongst California appellate courts</w:t>
      </w:r>
      <w:r w:rsidRPr="006E05DF">
        <w:rPr>
          <w:szCs w:val="26"/>
        </w:rPr>
        <w:t>.  (</w:t>
      </w:r>
      <w:r w:rsidRPr="006E05DF">
        <w:rPr>
          <w:i/>
          <w:iCs/>
          <w:szCs w:val="26"/>
        </w:rPr>
        <w:t>Winchester Mystery House, LLC v. Global Asylum, Inc.</w:t>
      </w:r>
      <w:r w:rsidRPr="006E05DF">
        <w:rPr>
          <w:szCs w:val="26"/>
        </w:rPr>
        <w:t xml:space="preserve"> (2012) 210 Cal.App.4th 579, 588, 590</w:t>
      </w:r>
      <w:r w:rsidR="00F0342F">
        <w:rPr>
          <w:szCs w:val="26"/>
        </w:rPr>
        <w:t>;</w:t>
      </w:r>
      <w:r w:rsidRPr="000B779D" w:rsidR="00F0342F">
        <w:rPr>
          <w:szCs w:val="26"/>
        </w:rPr>
        <w:t xml:space="preserve"> see </w:t>
      </w:r>
      <w:r w:rsidRPr="006E05DF" w:rsidR="00F0342F">
        <w:rPr>
          <w:i/>
          <w:iCs/>
          <w:szCs w:val="26"/>
        </w:rPr>
        <w:t>No Doubt v. Activision Publishing, Inc.</w:t>
      </w:r>
      <w:r w:rsidRPr="006E05DF" w:rsidR="00F0342F">
        <w:rPr>
          <w:szCs w:val="26"/>
        </w:rPr>
        <w:t xml:space="preserve"> (2011) 192 Cal.App.4th 1018, 1039, fn. 8</w:t>
      </w:r>
      <w:r w:rsidR="00F0342F">
        <w:rPr>
          <w:szCs w:val="26"/>
        </w:rPr>
        <w:t>.</w:t>
      </w:r>
      <w:r w:rsidRPr="006E05DF">
        <w:rPr>
          <w:szCs w:val="26"/>
        </w:rPr>
        <w:t>)</w:t>
      </w:r>
    </w:p>
    <w:p w:rsidR="0054003A" w:rsidRPr="006E05DF" w:rsidP="00314A1F">
      <w:pPr>
        <w:rPr>
          <w:szCs w:val="26"/>
        </w:rPr>
      </w:pPr>
      <w:r w:rsidRPr="006E05DF">
        <w:rPr>
          <w:szCs w:val="26"/>
        </w:rPr>
        <w:tab/>
      </w:r>
      <w:r w:rsidRPr="006E05DF" w:rsidR="00F44D64">
        <w:rPr>
          <w:szCs w:val="26"/>
        </w:rPr>
        <w:t xml:space="preserve">The reasons </w:t>
      </w:r>
      <w:r w:rsidRPr="006E05DF" w:rsidR="007D2D59">
        <w:rPr>
          <w:szCs w:val="26"/>
        </w:rPr>
        <w:t xml:space="preserve">commonly </w:t>
      </w:r>
      <w:r w:rsidRPr="006E05DF" w:rsidR="00F44D64">
        <w:rPr>
          <w:szCs w:val="26"/>
        </w:rPr>
        <w:t>given for why commercial speech is subjected to greater regulation</w:t>
      </w:r>
      <w:r w:rsidR="00437868">
        <w:rPr>
          <w:szCs w:val="26"/>
        </w:rPr>
        <w:t> </w:t>
      </w:r>
      <w:r w:rsidRPr="006E05DF" w:rsidR="00F44D64">
        <w:rPr>
          <w:szCs w:val="26"/>
        </w:rPr>
        <w:t xml:space="preserve">— </w:t>
      </w:r>
      <w:r w:rsidRPr="006E05DF" w:rsidR="007D2D59">
        <w:rPr>
          <w:szCs w:val="26"/>
        </w:rPr>
        <w:t xml:space="preserve">a commercial speaker’s close relationship to a product or service, profit motive, and </w:t>
      </w:r>
      <w:r w:rsidR="00864845">
        <w:rPr>
          <w:szCs w:val="26"/>
        </w:rPr>
        <w:t xml:space="preserve">the </w:t>
      </w:r>
      <w:r w:rsidRPr="006E05DF" w:rsidR="007D2D59">
        <w:rPr>
          <w:szCs w:val="26"/>
        </w:rPr>
        <w:t>government’s traditional role in preventing commercial harm (</w:t>
      </w:r>
      <w:r w:rsidRPr="006E05DF" w:rsidR="007D2D59">
        <w:rPr>
          <w:i/>
          <w:iCs/>
          <w:szCs w:val="26"/>
        </w:rPr>
        <w:t>Kasky</w:t>
      </w:r>
      <w:r w:rsidRPr="006E05DF" w:rsidR="007D2D59">
        <w:rPr>
          <w:szCs w:val="26"/>
        </w:rPr>
        <w:t xml:space="preserve">, </w:t>
      </w:r>
      <w:r w:rsidRPr="006E05DF" w:rsidR="007D2D59">
        <w:rPr>
          <w:i/>
          <w:iCs/>
          <w:szCs w:val="26"/>
        </w:rPr>
        <w:t>supra</w:t>
      </w:r>
      <w:r w:rsidRPr="006E05DF" w:rsidR="007D2D59">
        <w:rPr>
          <w:szCs w:val="26"/>
        </w:rPr>
        <w:t>, 27 Cal.4th at p. 955)</w:t>
      </w:r>
      <w:r w:rsidR="00437868">
        <w:rPr>
          <w:szCs w:val="26"/>
        </w:rPr>
        <w:t> </w:t>
      </w:r>
      <w:r w:rsidRPr="006E05DF" w:rsidR="007D2D59">
        <w:rPr>
          <w:szCs w:val="26"/>
        </w:rPr>
        <w:t xml:space="preserve">—  </w:t>
      </w:r>
      <w:r w:rsidRPr="006E05DF" w:rsidR="00920FD8">
        <w:rPr>
          <w:szCs w:val="26"/>
        </w:rPr>
        <w:t>still</w:t>
      </w:r>
      <w:r w:rsidRPr="006E05DF" w:rsidR="007D2D59">
        <w:rPr>
          <w:szCs w:val="26"/>
        </w:rPr>
        <w:t xml:space="preserve"> have relevance when an artistic product is marketed. </w:t>
      </w:r>
      <w:r w:rsidRPr="006E05DF" w:rsidR="00F44D64">
        <w:rPr>
          <w:szCs w:val="26"/>
        </w:rPr>
        <w:t xml:space="preserve"> </w:t>
      </w:r>
      <w:r w:rsidRPr="006E05DF">
        <w:rPr>
          <w:szCs w:val="26"/>
        </w:rPr>
        <w:t>We would not want false advertising laws to stifle the next great album</w:t>
      </w:r>
      <w:r w:rsidRPr="006E05DF" w:rsidR="005A359B">
        <w:rPr>
          <w:szCs w:val="26"/>
        </w:rPr>
        <w:t xml:space="preserve"> or medical advance</w:t>
      </w:r>
      <w:r w:rsidRPr="006E05DF">
        <w:rPr>
          <w:szCs w:val="26"/>
        </w:rPr>
        <w:t>.  But consumer protection remains important in both arenas</w:t>
      </w:r>
      <w:r w:rsidRPr="006E05DF" w:rsidR="00BC1F7B">
        <w:rPr>
          <w:szCs w:val="26"/>
        </w:rPr>
        <w:t>, as it does in others</w:t>
      </w:r>
      <w:r w:rsidRPr="006E05DF">
        <w:rPr>
          <w:szCs w:val="26"/>
        </w:rPr>
        <w:t xml:space="preserve">.  Indeed, </w:t>
      </w:r>
      <w:r w:rsidRPr="006E05DF" w:rsidR="00283F3D">
        <w:rPr>
          <w:szCs w:val="26"/>
        </w:rPr>
        <w:t xml:space="preserve">the United States Supreme Court </w:t>
      </w:r>
      <w:r w:rsidRPr="006E05DF">
        <w:rPr>
          <w:szCs w:val="26"/>
        </w:rPr>
        <w:t xml:space="preserve">has allowed prohibition of false commercial speech in categorical terms, never </w:t>
      </w:r>
      <w:r w:rsidRPr="006E05DF" w:rsidR="00300899">
        <w:rPr>
          <w:szCs w:val="26"/>
        </w:rPr>
        <w:t xml:space="preserve">embracing </w:t>
      </w:r>
      <w:r w:rsidRPr="006E05DF" w:rsidR="00920FD8">
        <w:rPr>
          <w:szCs w:val="26"/>
        </w:rPr>
        <w:t xml:space="preserve">a wholesale </w:t>
      </w:r>
      <w:r w:rsidRPr="006E05DF">
        <w:rPr>
          <w:szCs w:val="26"/>
        </w:rPr>
        <w:t xml:space="preserve">exemption </w:t>
      </w:r>
      <w:r w:rsidRPr="006E05DF" w:rsidR="00920FD8">
        <w:rPr>
          <w:szCs w:val="26"/>
        </w:rPr>
        <w:t xml:space="preserve">for entire classes of </w:t>
      </w:r>
      <w:r w:rsidRPr="006E05DF" w:rsidR="00BC1F7B">
        <w:rPr>
          <w:szCs w:val="26"/>
        </w:rPr>
        <w:t>goods or services</w:t>
      </w:r>
      <w:r w:rsidRPr="006E05DF">
        <w:rPr>
          <w:szCs w:val="26"/>
        </w:rPr>
        <w:t xml:space="preserve">.  (See </w:t>
      </w:r>
      <w:r w:rsidRPr="006E05DF">
        <w:rPr>
          <w:i/>
          <w:iCs/>
          <w:szCs w:val="26"/>
        </w:rPr>
        <w:t>Kasky</w:t>
      </w:r>
      <w:r w:rsidRPr="006E05DF">
        <w:rPr>
          <w:szCs w:val="26"/>
        </w:rPr>
        <w:t>,</w:t>
      </w:r>
      <w:r w:rsidRPr="006E05DF">
        <w:rPr>
          <w:i/>
          <w:iCs/>
          <w:szCs w:val="26"/>
        </w:rPr>
        <w:t xml:space="preserve"> supra</w:t>
      </w:r>
      <w:r w:rsidRPr="006E05DF">
        <w:rPr>
          <w:szCs w:val="26"/>
        </w:rPr>
        <w:t>, 27 Cal.4th</w:t>
      </w:r>
      <w:r w:rsidRPr="006E05DF">
        <w:rPr>
          <w:i/>
          <w:iCs/>
          <w:szCs w:val="26"/>
        </w:rPr>
        <w:t xml:space="preserve"> </w:t>
      </w:r>
      <w:r w:rsidRPr="006E05DF">
        <w:rPr>
          <w:szCs w:val="26"/>
        </w:rPr>
        <w:t xml:space="preserve">at </w:t>
      </w:r>
      <w:r w:rsidRPr="006E05DF" w:rsidR="00920FD8">
        <w:rPr>
          <w:szCs w:val="26"/>
        </w:rPr>
        <w:t>p</w:t>
      </w:r>
      <w:r w:rsidRPr="006E05DF">
        <w:rPr>
          <w:szCs w:val="26"/>
        </w:rPr>
        <w:t>p. 953</w:t>
      </w:r>
      <w:r w:rsidR="00864845">
        <w:rPr>
          <w:szCs w:val="26"/>
        </w:rPr>
        <w:t>–</w:t>
      </w:r>
      <w:r w:rsidRPr="006E05DF" w:rsidR="00920FD8">
        <w:rPr>
          <w:szCs w:val="26"/>
        </w:rPr>
        <w:t>954</w:t>
      </w:r>
      <w:r w:rsidRPr="006E05DF" w:rsidR="00283F3D">
        <w:rPr>
          <w:szCs w:val="26"/>
        </w:rPr>
        <w:t xml:space="preserve"> [citing cases]</w:t>
      </w:r>
      <w:r w:rsidRPr="006E05DF" w:rsidR="00F44D64">
        <w:rPr>
          <w:szCs w:val="26"/>
        </w:rPr>
        <w:t>.</w:t>
      </w:r>
      <w:r w:rsidRPr="006E05DF">
        <w:rPr>
          <w:szCs w:val="26"/>
        </w:rPr>
        <w:t xml:space="preserve">)  </w:t>
      </w:r>
      <w:r w:rsidRPr="006E05DF" w:rsidR="00E2024A">
        <w:rPr>
          <w:szCs w:val="26"/>
        </w:rPr>
        <w:t>And despite the long history of cases entertaining false advertising claims premised on representations about artistic contribution, we have been presented no evidence of a chilling effect on the for-profit creative industry.</w:t>
      </w:r>
    </w:p>
    <w:p w:rsidR="007D3E68" w:rsidRPr="006E05DF" w:rsidP="00314A1F">
      <w:pPr>
        <w:rPr>
          <w:szCs w:val="26"/>
        </w:rPr>
      </w:pPr>
      <w:r w:rsidRPr="006E05DF">
        <w:rPr>
          <w:szCs w:val="26"/>
        </w:rPr>
        <w:tab/>
        <w:t>There may be instances where statements about artistic contribution</w:t>
      </w:r>
      <w:r w:rsidRPr="006E05DF" w:rsidR="006D28B6">
        <w:rPr>
          <w:szCs w:val="26"/>
        </w:rPr>
        <w:t>, or artistic works more generally,</w:t>
      </w:r>
      <w:r w:rsidRPr="006E05DF">
        <w:rPr>
          <w:szCs w:val="26"/>
        </w:rPr>
        <w:t xml:space="preserve"> are not offered to convey product information but are themselves part of an expressive enterprise, possibly parody or satire.  (</w:t>
      </w:r>
      <w:r w:rsidRPr="006E05DF" w:rsidR="008B2098">
        <w:rPr>
          <w:szCs w:val="26"/>
        </w:rPr>
        <w:t xml:space="preserve">See, e.g., </w:t>
      </w:r>
      <w:r w:rsidRPr="006E05DF">
        <w:rPr>
          <w:i/>
          <w:iCs/>
          <w:szCs w:val="26"/>
        </w:rPr>
        <w:t>Hustler Magazine v. Falwell</w:t>
      </w:r>
      <w:r w:rsidRPr="006E05DF">
        <w:rPr>
          <w:szCs w:val="26"/>
        </w:rPr>
        <w:t xml:space="preserve"> (1988) 485 U.S. 46, 57 [attributing a made-up, salacious interview to a nationally known minister was protected parody]; </w:t>
      </w:r>
      <w:r w:rsidRPr="006E05DF">
        <w:rPr>
          <w:i/>
          <w:iCs/>
          <w:szCs w:val="26"/>
        </w:rPr>
        <w:t>Mattel Inc. v. Walking Mt. Prods.</w:t>
      </w:r>
      <w:r w:rsidRPr="006E05DF">
        <w:rPr>
          <w:szCs w:val="26"/>
        </w:rPr>
        <w:t xml:space="preserve"> (9th Cir. 2003) 353 F.3d 792, 812 [</w:t>
      </w:r>
      <w:r w:rsidRPr="006E05DF" w:rsidR="008B2098">
        <w:rPr>
          <w:szCs w:val="26"/>
        </w:rPr>
        <w:t xml:space="preserve">concluding </w:t>
      </w:r>
      <w:r w:rsidRPr="006E05DF">
        <w:rPr>
          <w:szCs w:val="26"/>
        </w:rPr>
        <w:t>“</w:t>
      </w:r>
      <w:r w:rsidRPr="006E05DF" w:rsidR="008B2098">
        <w:rPr>
          <w:szCs w:val="26"/>
        </w:rPr>
        <w:t>[p]</w:t>
      </w:r>
      <w:r w:rsidRPr="006E05DF">
        <w:rPr>
          <w:szCs w:val="26"/>
        </w:rPr>
        <w:t>arody is a form of noncommercial expression if it does more than propose a commercial transaction”]</w:t>
      </w:r>
      <w:r w:rsidRPr="006E05DF" w:rsidR="008B2098">
        <w:rPr>
          <w:szCs w:val="26"/>
        </w:rPr>
        <w:t>.</w:t>
      </w:r>
      <w:r w:rsidRPr="006E05DF">
        <w:rPr>
          <w:szCs w:val="26"/>
        </w:rPr>
        <w:t xml:space="preserve">) </w:t>
      </w:r>
      <w:r w:rsidRPr="006E05DF" w:rsidR="00671A0F">
        <w:rPr>
          <w:szCs w:val="26"/>
        </w:rPr>
        <w:t xml:space="preserve"> </w:t>
      </w:r>
      <w:r w:rsidRPr="006E05DF" w:rsidR="00000276">
        <w:rPr>
          <w:szCs w:val="26"/>
        </w:rPr>
        <w:t xml:space="preserve">And </w:t>
      </w:r>
      <w:r w:rsidRPr="006E05DF" w:rsidR="00671A0F">
        <w:rPr>
          <w:szCs w:val="26"/>
        </w:rPr>
        <w:t xml:space="preserve">it is conceivable that an album seller might include, in liner notes, an essay theorizing about artistic contributions that is itself an expressive work.  (See </w:t>
      </w:r>
      <w:r w:rsidRPr="006E05DF" w:rsidR="00671A0F">
        <w:rPr>
          <w:i/>
          <w:iCs/>
          <w:szCs w:val="26"/>
        </w:rPr>
        <w:t>Armstrong v. Eagle Rock Entm’t, Inc.</w:t>
      </w:r>
      <w:r w:rsidRPr="006E05DF" w:rsidR="00671A0F">
        <w:rPr>
          <w:szCs w:val="26"/>
        </w:rPr>
        <w:t xml:space="preserve"> (E.D.Mich. 2009) 655 F.Supp.2d 779, 787 [extending </w:t>
      </w:r>
      <w:r w:rsidR="00207C0D">
        <w:rPr>
          <w:szCs w:val="26"/>
        </w:rPr>
        <w:t>1st</w:t>
      </w:r>
      <w:r w:rsidRPr="006E05DF" w:rsidR="00207C0D">
        <w:rPr>
          <w:szCs w:val="26"/>
        </w:rPr>
        <w:t xml:space="preserve"> Amend</w:t>
      </w:r>
      <w:r w:rsidR="00207C0D">
        <w:rPr>
          <w:szCs w:val="26"/>
        </w:rPr>
        <w:t xml:space="preserve">. </w:t>
      </w:r>
      <w:r w:rsidRPr="006E05DF" w:rsidR="00671A0F">
        <w:rPr>
          <w:szCs w:val="26"/>
        </w:rPr>
        <w:t xml:space="preserve">protection to a liner-note essay about the history of a jazz festival].)  And </w:t>
      </w:r>
      <w:r w:rsidRPr="006E05DF">
        <w:rPr>
          <w:szCs w:val="26"/>
        </w:rPr>
        <w:t xml:space="preserve">artists </w:t>
      </w:r>
      <w:r w:rsidRPr="006E05DF" w:rsidR="00671A0F">
        <w:rPr>
          <w:szCs w:val="26"/>
        </w:rPr>
        <w:t xml:space="preserve">might </w:t>
      </w:r>
      <w:r w:rsidRPr="006E05DF">
        <w:rPr>
          <w:szCs w:val="26"/>
        </w:rPr>
        <w:t xml:space="preserve">choose to obscure their identities </w:t>
      </w:r>
      <w:r w:rsidRPr="006E05DF" w:rsidR="00671A0F">
        <w:rPr>
          <w:szCs w:val="26"/>
        </w:rPr>
        <w:t xml:space="preserve">for expressive reasons </w:t>
      </w:r>
      <w:r w:rsidRPr="006E05DF">
        <w:rPr>
          <w:szCs w:val="26"/>
        </w:rPr>
        <w:t xml:space="preserve">through pen names or pseudonyms. </w:t>
      </w:r>
      <w:r w:rsidRPr="006E05DF" w:rsidR="005C02BF">
        <w:rPr>
          <w:szCs w:val="26"/>
        </w:rPr>
        <w:t xml:space="preserve"> </w:t>
      </w:r>
      <w:r w:rsidRPr="006E05DF">
        <w:rPr>
          <w:szCs w:val="26"/>
        </w:rPr>
        <w:t xml:space="preserve">But </w:t>
      </w:r>
      <w:r w:rsidRPr="006E05DF" w:rsidR="005C02BF">
        <w:rPr>
          <w:szCs w:val="26"/>
        </w:rPr>
        <w:t>the case before us</w:t>
      </w:r>
      <w:r w:rsidRPr="006E05DF">
        <w:rPr>
          <w:szCs w:val="26"/>
        </w:rPr>
        <w:t xml:space="preserve"> does not raise these </w:t>
      </w:r>
      <w:r w:rsidRPr="006E05DF" w:rsidR="006D28B6">
        <w:rPr>
          <w:szCs w:val="26"/>
        </w:rPr>
        <w:t xml:space="preserve">or other like </w:t>
      </w:r>
      <w:r w:rsidRPr="006E05DF">
        <w:rPr>
          <w:szCs w:val="26"/>
        </w:rPr>
        <w:t>scenarios</w:t>
      </w:r>
      <w:r w:rsidR="008E5CD3">
        <w:rPr>
          <w:szCs w:val="26"/>
        </w:rPr>
        <w:t>.</w:t>
      </w:r>
      <w:r w:rsidRPr="006E05DF">
        <w:rPr>
          <w:szCs w:val="26"/>
        </w:rPr>
        <w:t xml:space="preserve"> Instead, </w:t>
      </w:r>
      <w:r w:rsidRPr="006E05DF" w:rsidR="00D3029D">
        <w:rPr>
          <w:szCs w:val="26"/>
        </w:rPr>
        <w:t xml:space="preserve">having put </w:t>
      </w:r>
      <w:r w:rsidRPr="00883750" w:rsidR="00D3029D">
        <w:rPr>
          <w:i/>
          <w:iCs/>
          <w:szCs w:val="26"/>
        </w:rPr>
        <w:t>Michael</w:t>
      </w:r>
      <w:r w:rsidRPr="0096038B" w:rsidR="00D3029D">
        <w:rPr>
          <w:szCs w:val="26"/>
        </w:rPr>
        <w:t xml:space="preserve">’s </w:t>
      </w:r>
      <w:r w:rsidRPr="006E05DF" w:rsidR="00D3029D">
        <w:rPr>
          <w:szCs w:val="26"/>
        </w:rPr>
        <w:t xml:space="preserve">title and artwork aside for the moment, </w:t>
      </w:r>
      <w:r w:rsidRPr="006E05DF" w:rsidR="00E01884">
        <w:rPr>
          <w:szCs w:val="26"/>
        </w:rPr>
        <w:t xml:space="preserve">this case </w:t>
      </w:r>
      <w:r w:rsidRPr="006E05DF">
        <w:rPr>
          <w:szCs w:val="26"/>
        </w:rPr>
        <w:t>concerns an explicit promise of a superstar’s vocal contributions</w:t>
      </w:r>
      <w:r w:rsidRPr="006E05DF" w:rsidR="00CC053A">
        <w:rPr>
          <w:szCs w:val="26"/>
        </w:rPr>
        <w:t xml:space="preserve"> to a product.</w:t>
      </w:r>
      <w:r w:rsidRPr="006E05DF" w:rsidR="00E01884">
        <w:rPr>
          <w:szCs w:val="26"/>
        </w:rPr>
        <w:t xml:space="preserve">  We, again, view this as commercial content.</w:t>
      </w:r>
    </w:p>
    <w:p w:rsidR="0054003A" w:rsidRPr="006E05DF" w:rsidP="00697AC4">
      <w:pPr>
        <w:spacing w:before="120" w:after="120" w:line="240" w:lineRule="auto"/>
        <w:ind w:left="1440" w:hanging="720"/>
        <w:jc w:val="left"/>
        <w:outlineLvl w:val="2"/>
        <w:rPr>
          <w:b/>
          <w:bCs/>
          <w:szCs w:val="26"/>
        </w:rPr>
      </w:pPr>
      <w:r w:rsidRPr="006E05DF">
        <w:rPr>
          <w:b/>
          <w:bCs/>
          <w:szCs w:val="26"/>
        </w:rPr>
        <w:t>4</w:t>
      </w:r>
      <w:r w:rsidRPr="006E05DF">
        <w:rPr>
          <w:b/>
          <w:bCs/>
          <w:szCs w:val="26"/>
        </w:rPr>
        <w:t>.</w:t>
      </w:r>
      <w:r w:rsidRPr="006E05DF">
        <w:rPr>
          <w:b/>
          <w:bCs/>
          <w:szCs w:val="26"/>
        </w:rPr>
        <w:tab/>
        <w:t>Sony’s Speech</w:t>
      </w:r>
      <w:r w:rsidRPr="006E05DF" w:rsidR="00E2024A">
        <w:rPr>
          <w:b/>
          <w:bCs/>
          <w:szCs w:val="26"/>
        </w:rPr>
        <w:t xml:space="preserve"> </w:t>
      </w:r>
      <w:r w:rsidR="00917236">
        <w:rPr>
          <w:b/>
          <w:bCs/>
          <w:szCs w:val="26"/>
        </w:rPr>
        <w:t>I</w:t>
      </w:r>
      <w:r w:rsidRPr="006E05DF">
        <w:rPr>
          <w:b/>
          <w:bCs/>
          <w:szCs w:val="26"/>
        </w:rPr>
        <w:t xml:space="preserve">s Not Inextricably </w:t>
      </w:r>
      <w:r w:rsidRPr="000B779D">
        <w:rPr>
          <w:b/>
          <w:bCs/>
          <w:szCs w:val="26"/>
        </w:rPr>
        <w:t>Intertwined</w:t>
      </w:r>
      <w:r w:rsidRPr="006E05DF">
        <w:rPr>
          <w:b/>
          <w:bCs/>
          <w:szCs w:val="26"/>
        </w:rPr>
        <w:t xml:space="preserve"> with or Adjunct to </w:t>
      </w:r>
      <w:r w:rsidR="0096038B">
        <w:rPr>
          <w:b/>
          <w:bCs/>
          <w:szCs w:val="26"/>
        </w:rPr>
        <w:t>a</w:t>
      </w:r>
      <w:r w:rsidRPr="006E05DF" w:rsidR="00E2024A">
        <w:rPr>
          <w:b/>
          <w:bCs/>
          <w:szCs w:val="26"/>
        </w:rPr>
        <w:t>n Expressive Work</w:t>
      </w:r>
      <w:r w:rsidRPr="006E05DF">
        <w:rPr>
          <w:b/>
          <w:bCs/>
          <w:szCs w:val="26"/>
        </w:rPr>
        <w:t>.</w:t>
      </w:r>
    </w:p>
    <w:p w:rsidR="0054003A" w:rsidRPr="006E05DF" w:rsidP="00314A1F">
      <w:pPr>
        <w:rPr>
          <w:szCs w:val="26"/>
        </w:rPr>
      </w:pPr>
      <w:r w:rsidRPr="006E05DF">
        <w:rPr>
          <w:szCs w:val="26"/>
        </w:rPr>
        <w:tab/>
        <w:t xml:space="preserve">Sony </w:t>
      </w:r>
      <w:r w:rsidRPr="006E05DF" w:rsidR="0095318D">
        <w:rPr>
          <w:szCs w:val="26"/>
        </w:rPr>
        <w:t xml:space="preserve">alternatively </w:t>
      </w:r>
      <w:r w:rsidRPr="006E05DF">
        <w:rPr>
          <w:szCs w:val="26"/>
        </w:rPr>
        <w:t>contends</w:t>
      </w:r>
      <w:r w:rsidRPr="006E05DF" w:rsidR="00654AEE">
        <w:rPr>
          <w:szCs w:val="26"/>
        </w:rPr>
        <w:t xml:space="preserve"> </w:t>
      </w:r>
      <w:r w:rsidRPr="006E05DF">
        <w:rPr>
          <w:szCs w:val="26"/>
        </w:rPr>
        <w:t xml:space="preserve">that if its representations about </w:t>
      </w:r>
      <w:r w:rsidRPr="00883750">
        <w:rPr>
          <w:i/>
          <w:iCs/>
          <w:szCs w:val="26"/>
        </w:rPr>
        <w:t>Michael</w:t>
      </w:r>
      <w:r w:rsidRPr="006E05DF">
        <w:rPr>
          <w:szCs w:val="26"/>
        </w:rPr>
        <w:t xml:space="preserve"> seem commercial, they are </w:t>
      </w:r>
      <w:r w:rsidRPr="006E05DF" w:rsidR="007018AA">
        <w:rPr>
          <w:szCs w:val="26"/>
        </w:rPr>
        <w:t xml:space="preserve">nonetheless </w:t>
      </w:r>
      <w:r w:rsidRPr="006E05DF">
        <w:rPr>
          <w:szCs w:val="26"/>
        </w:rPr>
        <w:t>so connected with fully protected, noncommercial speech</w:t>
      </w:r>
      <w:r w:rsidR="00AE49FE">
        <w:rPr>
          <w:szCs w:val="26"/>
        </w:rPr>
        <w:t> </w:t>
      </w:r>
      <w:r w:rsidRPr="006E05DF">
        <w:rPr>
          <w:szCs w:val="26"/>
        </w:rPr>
        <w:t>—</w:t>
      </w:r>
      <w:r w:rsidRPr="00883750">
        <w:rPr>
          <w:i/>
          <w:iCs/>
          <w:szCs w:val="26"/>
        </w:rPr>
        <w:t>Michael</w:t>
      </w:r>
      <w:r w:rsidRPr="0096038B">
        <w:rPr>
          <w:szCs w:val="26"/>
        </w:rPr>
        <w:t xml:space="preserve">’s </w:t>
      </w:r>
      <w:r w:rsidRPr="006E05DF">
        <w:rPr>
          <w:szCs w:val="26"/>
        </w:rPr>
        <w:t>musical content</w:t>
      </w:r>
      <w:r w:rsidR="00437868">
        <w:rPr>
          <w:szCs w:val="26"/>
        </w:rPr>
        <w:t> </w:t>
      </w:r>
      <w:r w:rsidRPr="006E05DF">
        <w:rPr>
          <w:szCs w:val="26"/>
        </w:rPr>
        <w:t>—</w:t>
      </w:r>
      <w:r w:rsidR="0096038B">
        <w:rPr>
          <w:szCs w:val="26"/>
        </w:rPr>
        <w:t xml:space="preserve"> </w:t>
      </w:r>
      <w:r w:rsidRPr="006E05DF">
        <w:rPr>
          <w:szCs w:val="26"/>
        </w:rPr>
        <w:t>that they must be treated as, and receive the heightened protection due, noncommercial speech.  But</w:t>
      </w:r>
      <w:r w:rsidRPr="006E05DF" w:rsidR="00D954AA">
        <w:rPr>
          <w:szCs w:val="26"/>
        </w:rPr>
        <w:t>, like the Court of Appeal below (</w:t>
      </w:r>
      <w:r w:rsidRPr="006E05DF" w:rsidR="00D954AA">
        <w:rPr>
          <w:i/>
          <w:iCs/>
          <w:szCs w:val="26"/>
        </w:rPr>
        <w:t>Serova</w:t>
      </w:r>
      <w:r w:rsidRPr="006E05DF" w:rsidR="00D954AA">
        <w:rPr>
          <w:szCs w:val="26"/>
        </w:rPr>
        <w:t xml:space="preserve">, </w:t>
      </w:r>
      <w:r w:rsidRPr="006E05DF" w:rsidR="00D954AA">
        <w:rPr>
          <w:i/>
          <w:iCs/>
          <w:szCs w:val="26"/>
        </w:rPr>
        <w:t>supra</w:t>
      </w:r>
      <w:r w:rsidRPr="006E05DF" w:rsidR="00D954AA">
        <w:rPr>
          <w:szCs w:val="26"/>
        </w:rPr>
        <w:t>, 44 Cal.App.5th at p. 131, fn. 19),</w:t>
      </w:r>
      <w:r w:rsidRPr="006E05DF">
        <w:rPr>
          <w:szCs w:val="26"/>
        </w:rPr>
        <w:t xml:space="preserve"> we do not see the requisite connection.</w:t>
      </w:r>
      <w:r w:rsidRPr="006E05DF" w:rsidR="0095318D">
        <w:rPr>
          <w:szCs w:val="26"/>
        </w:rPr>
        <w:t xml:space="preserve"> </w:t>
      </w:r>
    </w:p>
    <w:p w:rsidR="0054003A" w:rsidRPr="006E05DF" w:rsidP="00314A1F">
      <w:pPr>
        <w:ind w:firstLine="720"/>
        <w:rPr>
          <w:szCs w:val="26"/>
        </w:rPr>
      </w:pPr>
      <w:r w:rsidRPr="006E05DF">
        <w:rPr>
          <w:szCs w:val="26"/>
        </w:rPr>
        <w:t>Sometimes speech will have commercial and noncommercial components.  If a legal command or law of nature makes it “impossible” to separate the commercial components from the noncommercial, the two are “</w:t>
      </w:r>
      <w:r w:rsidR="00CE6584">
        <w:rPr>
          <w:szCs w:val="26"/>
        </w:rPr>
        <w:t> </w:t>
      </w:r>
      <w:r w:rsidR="007E3C59">
        <w:rPr>
          <w:szCs w:val="26"/>
        </w:rPr>
        <w:t>‘</w:t>
      </w:r>
      <w:r w:rsidRPr="006E05DF">
        <w:rPr>
          <w:szCs w:val="26"/>
        </w:rPr>
        <w:t>inextricably intertwined,</w:t>
      </w:r>
      <w:r w:rsidR="007E3C59">
        <w:rPr>
          <w:szCs w:val="26"/>
        </w:rPr>
        <w:t>’</w:t>
      </w:r>
      <w:r w:rsidR="00CE6584">
        <w:rPr>
          <w:szCs w:val="26"/>
        </w:rPr>
        <w:t> </w:t>
      </w:r>
      <w:r w:rsidRPr="006E05DF">
        <w:rPr>
          <w:szCs w:val="26"/>
        </w:rPr>
        <w:t>” and we bestow noncommercial status on both components.  (</w:t>
      </w:r>
      <w:r w:rsidRPr="006E05DF">
        <w:rPr>
          <w:i/>
          <w:iCs/>
          <w:szCs w:val="26"/>
        </w:rPr>
        <w:t>B</w:t>
      </w:r>
      <w:r w:rsidR="007E3C59">
        <w:rPr>
          <w:i/>
          <w:iCs/>
          <w:szCs w:val="26"/>
        </w:rPr>
        <w:t>oard</w:t>
      </w:r>
      <w:r w:rsidRPr="006E05DF">
        <w:rPr>
          <w:i/>
          <w:iCs/>
          <w:szCs w:val="26"/>
        </w:rPr>
        <w:t xml:space="preserve"> of Trustees</w:t>
      </w:r>
      <w:r w:rsidR="007E3C59">
        <w:rPr>
          <w:i/>
          <w:iCs/>
          <w:szCs w:val="26"/>
        </w:rPr>
        <w:t>, State Univ. of N. Y.</w:t>
      </w:r>
      <w:r w:rsidRPr="006E05DF">
        <w:rPr>
          <w:i/>
          <w:iCs/>
          <w:szCs w:val="26"/>
        </w:rPr>
        <w:t xml:space="preserve"> v. Fox</w:t>
      </w:r>
      <w:r w:rsidRPr="006E05DF">
        <w:rPr>
          <w:szCs w:val="26"/>
        </w:rPr>
        <w:t xml:space="preserve"> (1989) 492 U.S. 469, 474.)  This principle derives from </w:t>
      </w:r>
      <w:r w:rsidRPr="006E05DF">
        <w:rPr>
          <w:i/>
          <w:iCs/>
          <w:szCs w:val="26"/>
        </w:rPr>
        <w:t>Riley v. Nat</w:t>
      </w:r>
      <w:r w:rsidR="007E3C59">
        <w:rPr>
          <w:i/>
          <w:iCs/>
          <w:szCs w:val="26"/>
        </w:rPr>
        <w:t>ional</w:t>
      </w:r>
      <w:r w:rsidRPr="006E05DF">
        <w:rPr>
          <w:i/>
          <w:iCs/>
          <w:szCs w:val="26"/>
        </w:rPr>
        <w:t xml:space="preserve"> Fed</w:t>
      </w:r>
      <w:r w:rsidR="007E3C59">
        <w:rPr>
          <w:i/>
          <w:iCs/>
          <w:szCs w:val="26"/>
        </w:rPr>
        <w:t>eration</w:t>
      </w:r>
      <w:r w:rsidRPr="006E05DF">
        <w:rPr>
          <w:i/>
          <w:iCs/>
          <w:szCs w:val="26"/>
        </w:rPr>
        <w:t xml:space="preserve"> of Blind</w:t>
      </w:r>
      <w:r w:rsidRPr="006E05DF">
        <w:rPr>
          <w:szCs w:val="26"/>
        </w:rPr>
        <w:t xml:space="preserve"> (1988) 487 U.S. 781, in which a state had required conceded noncommercial speech (charitable solicitations by professional fundraisers) to include assumed commercial speech (a disclosure of the percentage of contributions retained by those professionals).  Because state law required the commercial disclosure, that disclosure, held the high court, was “inextricably intertwined” with the noncommercial solicitation and lost “its commercial character,” such that the disclosure requirement was subject to “exacting First Amendment scrutiny.”</w:t>
      </w:r>
      <w:r w:rsidRPr="006E05DF" w:rsidR="001A6C62">
        <w:rPr>
          <w:szCs w:val="26"/>
        </w:rPr>
        <w:t xml:space="preserve"> </w:t>
      </w:r>
      <w:r w:rsidRPr="006E05DF">
        <w:rPr>
          <w:szCs w:val="26"/>
        </w:rPr>
        <w:t xml:space="preserve"> (</w:t>
      </w:r>
      <w:r w:rsidRPr="006E05DF">
        <w:rPr>
          <w:i/>
          <w:iCs/>
          <w:szCs w:val="26"/>
        </w:rPr>
        <w:t xml:space="preserve">Riley, </w:t>
      </w:r>
      <w:r w:rsidRPr="006E05DF">
        <w:rPr>
          <w:szCs w:val="26"/>
        </w:rPr>
        <w:t xml:space="preserve">at pp. 796, 798; see </w:t>
      </w:r>
      <w:r w:rsidRPr="006E05DF">
        <w:rPr>
          <w:i/>
          <w:iCs/>
          <w:szCs w:val="26"/>
        </w:rPr>
        <w:t>Fox</w:t>
      </w:r>
      <w:r w:rsidRPr="006E05DF">
        <w:rPr>
          <w:szCs w:val="26"/>
        </w:rPr>
        <w:t xml:space="preserve">, at p. 474.)  </w:t>
      </w:r>
    </w:p>
    <w:p w:rsidR="0054003A" w:rsidRPr="006E05DF" w:rsidP="00314A1F">
      <w:pPr>
        <w:rPr>
          <w:szCs w:val="26"/>
        </w:rPr>
      </w:pPr>
      <w:r w:rsidRPr="006E05DF">
        <w:rPr>
          <w:szCs w:val="26"/>
        </w:rPr>
        <w:tab/>
        <w:t>We considered</w:t>
      </w:r>
      <w:r w:rsidRPr="006E05DF" w:rsidR="001A6C62">
        <w:rPr>
          <w:szCs w:val="26"/>
        </w:rPr>
        <w:t xml:space="preserve"> </w:t>
      </w:r>
      <w:r w:rsidRPr="006E05DF">
        <w:rPr>
          <w:szCs w:val="26"/>
        </w:rPr>
        <w:t xml:space="preserve">entwinement in </w:t>
      </w:r>
      <w:r w:rsidRPr="006E05DF">
        <w:rPr>
          <w:i/>
          <w:iCs/>
          <w:szCs w:val="26"/>
        </w:rPr>
        <w:t>Kasky</w:t>
      </w:r>
      <w:r w:rsidRPr="006E05DF" w:rsidR="001A6C62">
        <w:rPr>
          <w:szCs w:val="26"/>
        </w:rPr>
        <w:t xml:space="preserve"> but found none</w:t>
      </w:r>
      <w:r w:rsidRPr="006E05DF">
        <w:rPr>
          <w:szCs w:val="26"/>
        </w:rPr>
        <w:t>.  “No law required Nike to combine factual representations about its own labor practices with expressions of opinion about economic globalization, nor was it impossible for Nike to address those subjects separately.”  (</w:t>
      </w:r>
      <w:r w:rsidRPr="006E05DF">
        <w:rPr>
          <w:i/>
          <w:iCs/>
          <w:szCs w:val="26"/>
        </w:rPr>
        <w:t>Kasky</w:t>
      </w:r>
      <w:r w:rsidRPr="006E05DF">
        <w:rPr>
          <w:szCs w:val="26"/>
        </w:rPr>
        <w:t xml:space="preserve">, </w:t>
      </w:r>
      <w:r w:rsidRPr="006E05DF">
        <w:rPr>
          <w:i/>
          <w:iCs/>
          <w:szCs w:val="26"/>
        </w:rPr>
        <w:t>supra</w:t>
      </w:r>
      <w:r w:rsidRPr="006E05DF">
        <w:rPr>
          <w:szCs w:val="26"/>
        </w:rPr>
        <w:t>, 27 Cal.4th at p. 967.)  We further held</w:t>
      </w:r>
      <w:r w:rsidR="007E3C59">
        <w:rPr>
          <w:szCs w:val="26"/>
        </w:rPr>
        <w:t>,</w:t>
      </w:r>
      <w:r w:rsidRPr="006E05DF">
        <w:rPr>
          <w:szCs w:val="26"/>
        </w:rPr>
        <w:t xml:space="preserve"> “Nike may not ‘immunize false or misleading product information from government regulation simply by including references to public issues.’</w:t>
      </w:r>
      <w:r w:rsidR="00CE6584">
        <w:rPr>
          <w:szCs w:val="26"/>
        </w:rPr>
        <w:t> </w:t>
      </w:r>
      <w:r w:rsidRPr="006E05DF">
        <w:rPr>
          <w:szCs w:val="26"/>
        </w:rPr>
        <w:t>”  (</w:t>
      </w:r>
      <w:r w:rsidRPr="006E05DF">
        <w:rPr>
          <w:i/>
          <w:iCs/>
          <w:szCs w:val="26"/>
        </w:rPr>
        <w:t>Id.</w:t>
      </w:r>
      <w:r w:rsidRPr="006E05DF">
        <w:rPr>
          <w:szCs w:val="26"/>
        </w:rPr>
        <w:t xml:space="preserve"> at p. 966.)  The “alleged false and misleading statements” conveyed a commercial message about how Nike’s products </w:t>
      </w:r>
      <w:r w:rsidR="008F5C41">
        <w:rPr>
          <w:szCs w:val="26"/>
        </w:rPr>
        <w:t>were</w:t>
      </w:r>
      <w:r w:rsidRPr="006E05DF" w:rsidR="008F5C41">
        <w:rPr>
          <w:szCs w:val="26"/>
        </w:rPr>
        <w:t xml:space="preserve"> </w:t>
      </w:r>
      <w:r w:rsidRPr="006E05DF">
        <w:rPr>
          <w:szCs w:val="26"/>
        </w:rPr>
        <w:t>made.  (</w:t>
      </w:r>
      <w:r w:rsidRPr="006E05DF">
        <w:rPr>
          <w:i/>
          <w:iCs/>
          <w:szCs w:val="26"/>
        </w:rPr>
        <w:t>Ibid.</w:t>
      </w:r>
      <w:r w:rsidRPr="006E05DF">
        <w:rPr>
          <w:szCs w:val="26"/>
        </w:rPr>
        <w:t xml:space="preserve">)  </w:t>
      </w:r>
    </w:p>
    <w:p w:rsidR="0054003A" w:rsidRPr="006E05DF" w:rsidP="00201A95">
      <w:pPr>
        <w:rPr>
          <w:szCs w:val="26"/>
        </w:rPr>
      </w:pPr>
      <w:r w:rsidRPr="006E05DF">
        <w:rPr>
          <w:szCs w:val="26"/>
        </w:rPr>
        <w:tab/>
      </w:r>
      <w:r w:rsidRPr="006E05DF" w:rsidR="001A6C62">
        <w:rPr>
          <w:szCs w:val="26"/>
        </w:rPr>
        <w:t xml:space="preserve">Apart from the </w:t>
      </w:r>
      <w:r w:rsidRPr="006E05DF">
        <w:rPr>
          <w:szCs w:val="26"/>
        </w:rPr>
        <w:t xml:space="preserve">entwinement concept is the notion that advertising adjunct to an expressive work should at times enjoy the same protected status as that work.  Several </w:t>
      </w:r>
      <w:r w:rsidR="00201A95">
        <w:rPr>
          <w:szCs w:val="26"/>
        </w:rPr>
        <w:t xml:space="preserve">Courts of Appeal </w:t>
      </w:r>
      <w:r w:rsidRPr="006E05DF">
        <w:rPr>
          <w:szCs w:val="26"/>
        </w:rPr>
        <w:t>have held</w:t>
      </w:r>
      <w:r w:rsidR="00201A95">
        <w:rPr>
          <w:szCs w:val="26"/>
        </w:rPr>
        <w:t xml:space="preserve"> </w:t>
      </w:r>
      <w:r w:rsidRPr="006E05DF" w:rsidR="00732FEB">
        <w:rPr>
          <w:szCs w:val="26"/>
        </w:rPr>
        <w:t>the</w:t>
      </w:r>
      <w:r w:rsidRPr="006E05DF">
        <w:rPr>
          <w:szCs w:val="26"/>
        </w:rPr>
        <w:t xml:space="preserve"> truthful use of a name and likeness to promote an expressive work cannot support a claim for violation of the right of publicity.  (E.g., </w:t>
      </w:r>
      <w:r w:rsidRPr="006E05DF">
        <w:rPr>
          <w:i/>
          <w:iCs/>
          <w:szCs w:val="26"/>
        </w:rPr>
        <w:t>De Havilland v. FX Networks, LLC</w:t>
      </w:r>
      <w:r w:rsidRPr="006E05DF">
        <w:rPr>
          <w:szCs w:val="26"/>
        </w:rPr>
        <w:t xml:space="preserve"> (2018) 21</w:t>
      </w:r>
      <w:r w:rsidR="00DE47E6">
        <w:rPr>
          <w:szCs w:val="26"/>
        </w:rPr>
        <w:t> </w:t>
      </w:r>
      <w:r w:rsidRPr="006E05DF">
        <w:rPr>
          <w:szCs w:val="26"/>
        </w:rPr>
        <w:t>Cal.App.5th 845, 862 [name of Olivia De Havilland</w:t>
      </w:r>
      <w:r w:rsidRPr="006E05DF" w:rsidR="00DC2AB4">
        <w:rPr>
          <w:szCs w:val="26"/>
        </w:rPr>
        <w:t xml:space="preserve"> to promote a program about her</w:t>
      </w:r>
      <w:r w:rsidRPr="006E05DF">
        <w:rPr>
          <w:szCs w:val="26"/>
        </w:rPr>
        <w:t xml:space="preserve">]; </w:t>
      </w:r>
      <w:r w:rsidRPr="006E05DF">
        <w:rPr>
          <w:i/>
          <w:iCs/>
          <w:szCs w:val="26"/>
        </w:rPr>
        <w:t>Polydoros v. Twentieth Century Fox Film Corp.</w:t>
      </w:r>
      <w:r w:rsidRPr="006E05DF">
        <w:rPr>
          <w:szCs w:val="26"/>
        </w:rPr>
        <w:t xml:space="preserve"> (1997) 67 Cal.App.4th 318, 325 [</w:t>
      </w:r>
      <w:r w:rsidRPr="006E05DF" w:rsidR="00DC2AB4">
        <w:rPr>
          <w:szCs w:val="26"/>
        </w:rPr>
        <w:t>“</w:t>
      </w:r>
      <w:r w:rsidRPr="006E05DF">
        <w:rPr>
          <w:szCs w:val="26"/>
        </w:rPr>
        <w:t>photographs of an actor resembling an actual personage to promote a fictional work”</w:t>
      </w:r>
      <w:r w:rsidRPr="006E05DF" w:rsidR="00DC2AB4">
        <w:rPr>
          <w:szCs w:val="26"/>
        </w:rPr>
        <w:t xml:space="preserve"> about that personage</w:t>
      </w:r>
      <w:r w:rsidRPr="006E05DF">
        <w:rPr>
          <w:szCs w:val="26"/>
        </w:rPr>
        <w:t xml:space="preserve">]; </w:t>
      </w:r>
      <w:r w:rsidRPr="006E05DF">
        <w:rPr>
          <w:i/>
          <w:iCs/>
          <w:szCs w:val="26"/>
        </w:rPr>
        <w:t>Montana v. San Jose Mercury News, Inc.</w:t>
      </w:r>
      <w:r w:rsidRPr="006E05DF">
        <w:rPr>
          <w:szCs w:val="26"/>
        </w:rPr>
        <w:t xml:space="preserve"> (1995) 34 Cal.App.4th 790, 797 [“a newspaper has a constitutional right to promote itself by reproducing its originally protected articles or photographs”].)  But another court has held where advertisements “did not reflect any character or portion of” an expressive work and instead “contained a fictitious critic’s favorable opinion,” the advertisements were not entitled to heightened protection as adjuncts to an expressive work and were instead subject to consumer protection laws.  (</w:t>
      </w:r>
      <w:r w:rsidRPr="006E05DF">
        <w:rPr>
          <w:i/>
          <w:iCs/>
          <w:szCs w:val="26"/>
        </w:rPr>
        <w:t>Rezec</w:t>
      </w:r>
      <w:r w:rsidR="00C67876">
        <w:rPr>
          <w:i/>
          <w:iCs/>
          <w:szCs w:val="26"/>
        </w:rPr>
        <w:t xml:space="preserve"> v. Sony Pictures Entertainment, Inc. </w:t>
      </w:r>
      <w:r w:rsidR="00C67876">
        <w:rPr>
          <w:szCs w:val="26"/>
        </w:rPr>
        <w:t>(2004)</w:t>
      </w:r>
      <w:r w:rsidRPr="006E05DF">
        <w:rPr>
          <w:szCs w:val="26"/>
        </w:rPr>
        <w:t xml:space="preserve"> 116 Cal.App.4th </w:t>
      </w:r>
      <w:r w:rsidR="00C67876">
        <w:rPr>
          <w:szCs w:val="26"/>
        </w:rPr>
        <w:t>135,</w:t>
      </w:r>
      <w:r w:rsidRPr="006E05DF">
        <w:rPr>
          <w:szCs w:val="26"/>
        </w:rPr>
        <w:t xml:space="preserve"> 142–143 [rejecting a regime in which film advertisements would evade consumer protection laws when traditionally utilitarian products would not]; cf. </w:t>
      </w:r>
      <w:r w:rsidRPr="006E05DF">
        <w:rPr>
          <w:i/>
          <w:iCs/>
          <w:szCs w:val="26"/>
        </w:rPr>
        <w:t>Keimer</w:t>
      </w:r>
      <w:r w:rsidR="003C247C">
        <w:rPr>
          <w:szCs w:val="26"/>
        </w:rPr>
        <w:t xml:space="preserve"> </w:t>
      </w:r>
      <w:r w:rsidR="003C247C">
        <w:rPr>
          <w:i/>
          <w:iCs/>
          <w:szCs w:val="26"/>
        </w:rPr>
        <w:t xml:space="preserve">v. Buena Vista Books, Inc. </w:t>
      </w:r>
      <w:r w:rsidR="003C247C">
        <w:rPr>
          <w:szCs w:val="26"/>
        </w:rPr>
        <w:t>(1999)</w:t>
      </w:r>
      <w:r w:rsidRPr="006E05DF">
        <w:rPr>
          <w:szCs w:val="26"/>
        </w:rPr>
        <w:t xml:space="preserve"> 75 Cal.App.4th </w:t>
      </w:r>
      <w:r w:rsidR="003C247C">
        <w:rPr>
          <w:szCs w:val="26"/>
        </w:rPr>
        <w:t>1220,</w:t>
      </w:r>
      <w:r w:rsidRPr="006E05DF">
        <w:rPr>
          <w:szCs w:val="26"/>
        </w:rPr>
        <w:t xml:space="preserve"> 1229</w:t>
      </w:r>
      <w:r w:rsidR="003C247C">
        <w:rPr>
          <w:szCs w:val="26"/>
        </w:rPr>
        <w:t xml:space="preserve"> (</w:t>
      </w:r>
      <w:r w:rsidR="003C247C">
        <w:rPr>
          <w:i/>
          <w:iCs/>
          <w:szCs w:val="26"/>
        </w:rPr>
        <w:t>Keimer</w:t>
      </w:r>
      <w:r w:rsidR="003C247C">
        <w:rPr>
          <w:szCs w:val="26"/>
        </w:rPr>
        <w:t>)</w:t>
      </w:r>
      <w:r w:rsidRPr="006E05DF">
        <w:rPr>
          <w:szCs w:val="26"/>
        </w:rPr>
        <w:t xml:space="preserve"> [holding that even promotional materials on book cover reflecting false claims of book could be commercial speech].)</w:t>
      </w:r>
      <w:r>
        <w:rPr>
          <w:rStyle w:val="FootnoteReference"/>
          <w:szCs w:val="26"/>
        </w:rPr>
        <w:footnoteReference w:id="11"/>
      </w:r>
    </w:p>
    <w:p w:rsidR="0054003A" w:rsidRPr="006E05DF" w:rsidP="00314A1F">
      <w:pPr>
        <w:rPr>
          <w:szCs w:val="26"/>
        </w:rPr>
      </w:pPr>
      <w:r w:rsidRPr="006E05DF">
        <w:rPr>
          <w:szCs w:val="26"/>
        </w:rPr>
        <w:tab/>
        <w:t xml:space="preserve">The Ninth Circuit addressed </w:t>
      </w:r>
      <w:r w:rsidRPr="006E05DF" w:rsidR="001A6C62">
        <w:rPr>
          <w:szCs w:val="26"/>
        </w:rPr>
        <w:t xml:space="preserve">both </w:t>
      </w:r>
      <w:r w:rsidRPr="006E05DF">
        <w:rPr>
          <w:szCs w:val="26"/>
        </w:rPr>
        <w:t xml:space="preserve">entwinement and advertising </w:t>
      </w:r>
      <w:r w:rsidRPr="006E05DF" w:rsidR="001A6C62">
        <w:rPr>
          <w:szCs w:val="26"/>
        </w:rPr>
        <w:t xml:space="preserve">adjunct to </w:t>
      </w:r>
      <w:r w:rsidRPr="006E05DF">
        <w:rPr>
          <w:szCs w:val="26"/>
        </w:rPr>
        <w:t xml:space="preserve">expressive works in </w:t>
      </w:r>
      <w:r w:rsidRPr="006E05DF">
        <w:rPr>
          <w:i/>
          <w:iCs/>
          <w:szCs w:val="26"/>
        </w:rPr>
        <w:t>Charles</w:t>
      </w:r>
      <w:r w:rsidR="002D610D">
        <w:rPr>
          <w:i/>
          <w:iCs/>
          <w:szCs w:val="26"/>
        </w:rPr>
        <w:t>, supra</w:t>
      </w:r>
      <w:r w:rsidR="002D610D">
        <w:rPr>
          <w:szCs w:val="26"/>
        </w:rPr>
        <w:t>,</w:t>
      </w:r>
      <w:r w:rsidRPr="006E05DF">
        <w:rPr>
          <w:i/>
          <w:iCs/>
          <w:szCs w:val="26"/>
        </w:rPr>
        <w:t xml:space="preserve"> </w:t>
      </w:r>
      <w:r w:rsidRPr="006E05DF">
        <w:rPr>
          <w:szCs w:val="26"/>
        </w:rPr>
        <w:t>697</w:t>
      </w:r>
      <w:r w:rsidR="00DE47E6">
        <w:rPr>
          <w:szCs w:val="26"/>
        </w:rPr>
        <w:t> </w:t>
      </w:r>
      <w:r w:rsidRPr="006E05DF">
        <w:rPr>
          <w:szCs w:val="26"/>
        </w:rPr>
        <w:t>F.3d 1146.  It held that although a television program was itself noncommercial, expressive speech</w:t>
      </w:r>
      <w:r w:rsidRPr="006E05DF" w:rsidR="00A43C4C">
        <w:rPr>
          <w:szCs w:val="26"/>
        </w:rPr>
        <w:t xml:space="preserve">, </w:t>
      </w:r>
      <w:r w:rsidRPr="006E05DF">
        <w:rPr>
          <w:szCs w:val="26"/>
        </w:rPr>
        <w:t>a billboard advertising the program</w:t>
      </w:r>
      <w:r w:rsidRPr="006E05DF" w:rsidR="00A43C4C">
        <w:rPr>
          <w:szCs w:val="26"/>
        </w:rPr>
        <w:t xml:space="preserve"> was commercial speech and</w:t>
      </w:r>
      <w:r w:rsidRPr="006E05DF">
        <w:rPr>
          <w:szCs w:val="26"/>
        </w:rPr>
        <w:t xml:space="preserve"> did “not present intertwined speech.”  (</w:t>
      </w:r>
      <w:r w:rsidRPr="006E05DF">
        <w:rPr>
          <w:i/>
          <w:iCs/>
          <w:szCs w:val="26"/>
        </w:rPr>
        <w:t>Id.</w:t>
      </w:r>
      <w:r w:rsidRPr="006E05DF">
        <w:rPr>
          <w:szCs w:val="26"/>
        </w:rPr>
        <w:t xml:space="preserve"> at p. 1152.)  The program’s protected status did “not cloak all advertisements for the program with noncommercial status,” because “speech inviting the public to watch” a program “is not inherently identical to the speech that constitutes the program itself.”  (</w:t>
      </w:r>
      <w:r w:rsidRPr="006E05DF">
        <w:rPr>
          <w:i/>
          <w:iCs/>
          <w:szCs w:val="26"/>
        </w:rPr>
        <w:t>Ibid.</w:t>
      </w:r>
      <w:r w:rsidRPr="006E05DF">
        <w:rPr>
          <w:szCs w:val="26"/>
        </w:rPr>
        <w:t xml:space="preserve">)  The Ninth Circuit </w:t>
      </w:r>
      <w:r w:rsidRPr="006E05DF" w:rsidR="001A6C62">
        <w:rPr>
          <w:szCs w:val="26"/>
        </w:rPr>
        <w:t xml:space="preserve">separately </w:t>
      </w:r>
      <w:r w:rsidRPr="006E05DF">
        <w:rPr>
          <w:szCs w:val="26"/>
        </w:rPr>
        <w:t xml:space="preserve">observed that the principle motivating California’s protection of advertisements </w:t>
      </w:r>
      <w:r w:rsidRPr="006E05DF" w:rsidR="001A6C62">
        <w:rPr>
          <w:szCs w:val="26"/>
        </w:rPr>
        <w:t xml:space="preserve">adjunct to </w:t>
      </w:r>
      <w:r w:rsidRPr="006E05DF">
        <w:rPr>
          <w:szCs w:val="26"/>
        </w:rPr>
        <w:t>expressive works “is the need to protect advertisers from tort actions that would otherwise threaten the ability of publishers to truthfully promote particular works”</w:t>
      </w:r>
      <w:r w:rsidRPr="006E05DF" w:rsidR="00C675AA">
        <w:rPr>
          <w:szCs w:val="26"/>
        </w:rPr>
        <w:t xml:space="preserve"> by accurately conveying the content of those works</w:t>
      </w:r>
      <w:r w:rsidRPr="006E05DF" w:rsidR="00A55D9E">
        <w:rPr>
          <w:szCs w:val="26"/>
        </w:rPr>
        <w:t xml:space="preserve">, even </w:t>
      </w:r>
      <w:r w:rsidRPr="006E05DF" w:rsidR="00762003">
        <w:rPr>
          <w:szCs w:val="26"/>
        </w:rPr>
        <w:t>when that content is itself false</w:t>
      </w:r>
      <w:r w:rsidRPr="006E05DF" w:rsidR="00C675AA">
        <w:rPr>
          <w:szCs w:val="26"/>
        </w:rPr>
        <w:t>.</w:t>
      </w:r>
      <w:r w:rsidRPr="006E05DF">
        <w:rPr>
          <w:szCs w:val="26"/>
        </w:rPr>
        <w:t xml:space="preserve">  (</w:t>
      </w:r>
      <w:r w:rsidR="00710A7E">
        <w:rPr>
          <w:i/>
          <w:iCs/>
          <w:szCs w:val="26"/>
        </w:rPr>
        <w:t>Id.</w:t>
      </w:r>
      <w:r w:rsidRPr="006E05DF">
        <w:rPr>
          <w:szCs w:val="26"/>
        </w:rPr>
        <w:t xml:space="preserve"> at p. </w:t>
      </w:r>
      <w:r w:rsidRPr="006E05DF" w:rsidR="0065561F">
        <w:rPr>
          <w:szCs w:val="26"/>
        </w:rPr>
        <w:t>115</w:t>
      </w:r>
      <w:r w:rsidR="0065561F">
        <w:rPr>
          <w:szCs w:val="26"/>
        </w:rPr>
        <w:t>5</w:t>
      </w:r>
      <w:r w:rsidRPr="006E05DF">
        <w:rPr>
          <w:szCs w:val="26"/>
        </w:rPr>
        <w:t xml:space="preserve">.)  </w:t>
      </w:r>
      <w:r w:rsidRPr="006E05DF" w:rsidR="001A6C62">
        <w:rPr>
          <w:szCs w:val="26"/>
        </w:rPr>
        <w:t xml:space="preserve">An adjunct advertisement </w:t>
      </w:r>
      <w:r w:rsidRPr="006E05DF">
        <w:rPr>
          <w:szCs w:val="26"/>
        </w:rPr>
        <w:t xml:space="preserve">doctrine, it asserted, </w:t>
      </w:r>
      <w:r w:rsidRPr="006E05DF" w:rsidR="001A6C62">
        <w:rPr>
          <w:szCs w:val="26"/>
        </w:rPr>
        <w:t xml:space="preserve">would be </w:t>
      </w:r>
      <w:r w:rsidRPr="006E05DF">
        <w:rPr>
          <w:szCs w:val="26"/>
        </w:rPr>
        <w:t>“justified only to the extent necessary” to achieve this purpose.  (</w:t>
      </w:r>
      <w:r w:rsidRPr="006E05DF">
        <w:rPr>
          <w:i/>
          <w:iCs/>
          <w:szCs w:val="26"/>
        </w:rPr>
        <w:t>Id.</w:t>
      </w:r>
      <w:r w:rsidRPr="006E05DF">
        <w:rPr>
          <w:szCs w:val="26"/>
        </w:rPr>
        <w:t xml:space="preserve"> at p. 1156; see </w:t>
      </w:r>
      <w:r w:rsidRPr="006E05DF">
        <w:rPr>
          <w:i/>
          <w:iCs/>
          <w:szCs w:val="26"/>
        </w:rPr>
        <w:t>Cher v. Forum Int’l, LTD</w:t>
      </w:r>
      <w:r w:rsidRPr="006E05DF">
        <w:rPr>
          <w:szCs w:val="26"/>
        </w:rPr>
        <w:t xml:space="preserve"> (9th Cir. 1982) 692</w:t>
      </w:r>
      <w:r w:rsidR="00DE47E6">
        <w:rPr>
          <w:szCs w:val="26"/>
        </w:rPr>
        <w:t> </w:t>
      </w:r>
      <w:r w:rsidRPr="006E05DF">
        <w:rPr>
          <w:szCs w:val="26"/>
        </w:rPr>
        <w:t>F.2d 634, 639 [viewing tabloid magazine headlines, cover content, and advertising inserts as potentially “adjunct” to an article within the magazine but refusing to protect “patently false” representations].)</w:t>
      </w:r>
    </w:p>
    <w:p w:rsidR="0054003A" w:rsidRPr="006E05DF" w:rsidP="00314A1F">
      <w:pPr>
        <w:rPr>
          <w:szCs w:val="26"/>
        </w:rPr>
      </w:pPr>
      <w:r w:rsidRPr="006E05DF">
        <w:rPr>
          <w:szCs w:val="26"/>
        </w:rPr>
        <w:tab/>
      </w:r>
      <w:r w:rsidRPr="006E05DF" w:rsidR="001A6C62">
        <w:rPr>
          <w:szCs w:val="26"/>
        </w:rPr>
        <w:t>W</w:t>
      </w:r>
      <w:r w:rsidRPr="006E05DF">
        <w:rPr>
          <w:szCs w:val="26"/>
        </w:rPr>
        <w:t xml:space="preserve">e conclude Sony’s identification of Jackson as lead vocalist </w:t>
      </w:r>
      <w:r w:rsidRPr="006E05DF" w:rsidR="000D783D">
        <w:rPr>
          <w:szCs w:val="26"/>
        </w:rPr>
        <w:t xml:space="preserve">is </w:t>
      </w:r>
      <w:r w:rsidRPr="006E05DF">
        <w:rPr>
          <w:szCs w:val="26"/>
        </w:rPr>
        <w:t xml:space="preserve">not inextricably intertwined with the music on </w:t>
      </w:r>
      <w:r w:rsidRPr="00883750">
        <w:rPr>
          <w:i/>
          <w:iCs/>
          <w:szCs w:val="26"/>
        </w:rPr>
        <w:t>Michael</w:t>
      </w:r>
      <w:r w:rsidRPr="006E05DF" w:rsidR="002958A2">
        <w:rPr>
          <w:szCs w:val="26"/>
        </w:rPr>
        <w:t xml:space="preserve"> or any of the album’s arguably expressive elements.</w:t>
      </w:r>
      <w:r w:rsidRPr="006E05DF">
        <w:rPr>
          <w:szCs w:val="26"/>
        </w:rPr>
        <w:t xml:space="preserve">  No legal command nor law of nature compelled Sony to </w:t>
      </w:r>
      <w:r w:rsidRPr="006E05DF" w:rsidR="000D783D">
        <w:rPr>
          <w:szCs w:val="26"/>
        </w:rPr>
        <w:t xml:space="preserve">include </w:t>
      </w:r>
      <w:r w:rsidRPr="006E05DF">
        <w:rPr>
          <w:szCs w:val="26"/>
        </w:rPr>
        <w:t xml:space="preserve">what, for present purposes, it concedes are false claims about the Cascio tracks or to market the album with a video commercial.  </w:t>
      </w:r>
      <w:r w:rsidRPr="006E05DF" w:rsidR="00500404">
        <w:rPr>
          <w:szCs w:val="26"/>
        </w:rPr>
        <w:t>It was hardly “impossible”</w:t>
      </w:r>
      <w:r w:rsidRPr="006E05DF" w:rsidR="00500404">
        <w:t xml:space="preserve"> (</w:t>
      </w:r>
      <w:r w:rsidRPr="006E05DF" w:rsidR="00500404">
        <w:rPr>
          <w:i/>
          <w:iCs/>
          <w:szCs w:val="26"/>
        </w:rPr>
        <w:t>Kasky</w:t>
      </w:r>
      <w:r w:rsidRPr="006E05DF" w:rsidR="00500404">
        <w:rPr>
          <w:szCs w:val="26"/>
        </w:rPr>
        <w:t xml:space="preserve">, </w:t>
      </w:r>
      <w:r w:rsidRPr="006E05DF" w:rsidR="00500404">
        <w:rPr>
          <w:i/>
          <w:iCs/>
          <w:szCs w:val="26"/>
        </w:rPr>
        <w:t>supra</w:t>
      </w:r>
      <w:r w:rsidRPr="006E05DF" w:rsidR="00500404">
        <w:rPr>
          <w:szCs w:val="26"/>
        </w:rPr>
        <w:t xml:space="preserve">, 27 Cal.4th at p. 967) for Sony to market </w:t>
      </w:r>
      <w:r w:rsidRPr="00883750" w:rsidR="00500404">
        <w:rPr>
          <w:i/>
          <w:iCs/>
          <w:szCs w:val="26"/>
        </w:rPr>
        <w:t>Michael</w:t>
      </w:r>
      <w:r w:rsidRPr="006E05DF" w:rsidR="00500404">
        <w:rPr>
          <w:szCs w:val="26"/>
        </w:rPr>
        <w:t xml:space="preserve"> without these </w:t>
      </w:r>
      <w:r w:rsidRPr="006E05DF" w:rsidR="000D783D">
        <w:rPr>
          <w:szCs w:val="26"/>
        </w:rPr>
        <w:t>statements</w:t>
      </w:r>
      <w:r w:rsidRPr="006E05DF" w:rsidR="00500404">
        <w:rPr>
          <w:szCs w:val="26"/>
        </w:rPr>
        <w:t xml:space="preserve">.  </w:t>
      </w:r>
      <w:r w:rsidRPr="006E05DF" w:rsidR="001A6C62">
        <w:rPr>
          <w:szCs w:val="26"/>
        </w:rPr>
        <w:t>Additionally</w:t>
      </w:r>
      <w:r w:rsidRPr="006E05DF">
        <w:rPr>
          <w:szCs w:val="26"/>
        </w:rPr>
        <w:t xml:space="preserve">, </w:t>
      </w:r>
      <w:r w:rsidRPr="006E05DF" w:rsidR="001A6C62">
        <w:rPr>
          <w:szCs w:val="26"/>
        </w:rPr>
        <w:t xml:space="preserve">Sony’s </w:t>
      </w:r>
      <w:r w:rsidRPr="006E05DF">
        <w:rPr>
          <w:szCs w:val="26"/>
        </w:rPr>
        <w:t xml:space="preserve">alleged false representations are distinct from, rather than adjunct to or </w:t>
      </w:r>
      <w:r w:rsidRPr="006E05DF" w:rsidR="00056C92">
        <w:rPr>
          <w:szCs w:val="26"/>
        </w:rPr>
        <w:t>reflective of</w:t>
      </w:r>
      <w:r w:rsidRPr="006E05DF">
        <w:rPr>
          <w:szCs w:val="26"/>
        </w:rPr>
        <w:t xml:space="preserve">, </w:t>
      </w:r>
      <w:r w:rsidRPr="006E05DF" w:rsidR="00C33FE9">
        <w:rPr>
          <w:szCs w:val="26"/>
        </w:rPr>
        <w:t xml:space="preserve">any </w:t>
      </w:r>
      <w:r w:rsidRPr="006E05DF" w:rsidR="002958A2">
        <w:rPr>
          <w:szCs w:val="26"/>
        </w:rPr>
        <w:t xml:space="preserve">artistic expression </w:t>
      </w:r>
      <w:r w:rsidRPr="006E05DF">
        <w:rPr>
          <w:szCs w:val="26"/>
        </w:rPr>
        <w:t xml:space="preserve">on </w:t>
      </w:r>
      <w:r w:rsidRPr="00883750">
        <w:rPr>
          <w:i/>
          <w:iCs/>
          <w:szCs w:val="26"/>
        </w:rPr>
        <w:t>Michael</w:t>
      </w:r>
      <w:r w:rsidRPr="006E05DF">
        <w:rPr>
          <w:szCs w:val="26"/>
        </w:rPr>
        <w:t xml:space="preserve">.  Serova is not suing because </w:t>
      </w:r>
      <w:r w:rsidRPr="00883750">
        <w:rPr>
          <w:i/>
          <w:iCs/>
          <w:szCs w:val="26"/>
        </w:rPr>
        <w:t>Michael</w:t>
      </w:r>
      <w:r w:rsidRPr="00465A9E">
        <w:rPr>
          <w:szCs w:val="26"/>
        </w:rPr>
        <w:t xml:space="preserve">’s </w:t>
      </w:r>
      <w:r w:rsidRPr="006E05DF" w:rsidR="002958A2">
        <w:rPr>
          <w:szCs w:val="26"/>
        </w:rPr>
        <w:t xml:space="preserve">artistic </w:t>
      </w:r>
      <w:r w:rsidRPr="006E05DF">
        <w:rPr>
          <w:szCs w:val="26"/>
        </w:rPr>
        <w:t xml:space="preserve">expression has spilled over into promotional advertising, but because she believes Sony </w:t>
      </w:r>
      <w:r w:rsidRPr="006E05DF" w:rsidR="000D783D">
        <w:rPr>
          <w:szCs w:val="26"/>
        </w:rPr>
        <w:t xml:space="preserve">falsely </w:t>
      </w:r>
      <w:r w:rsidRPr="006E05DF">
        <w:rPr>
          <w:szCs w:val="26"/>
        </w:rPr>
        <w:t xml:space="preserve">advertised the </w:t>
      </w:r>
      <w:r w:rsidRPr="006E05DF" w:rsidR="000D783D">
        <w:rPr>
          <w:szCs w:val="26"/>
        </w:rPr>
        <w:t>lead vocalist</w:t>
      </w:r>
      <w:r w:rsidRPr="006E05DF">
        <w:rPr>
          <w:szCs w:val="26"/>
        </w:rPr>
        <w:t xml:space="preserve">.  (See </w:t>
      </w:r>
      <w:r w:rsidRPr="006E05DF">
        <w:rPr>
          <w:i/>
          <w:iCs/>
          <w:szCs w:val="26"/>
        </w:rPr>
        <w:t>Charles</w:t>
      </w:r>
      <w:r w:rsidRPr="006E05DF">
        <w:rPr>
          <w:szCs w:val="26"/>
        </w:rPr>
        <w:t xml:space="preserve">, </w:t>
      </w:r>
      <w:r w:rsidRPr="006E05DF">
        <w:rPr>
          <w:i/>
          <w:iCs/>
          <w:szCs w:val="26"/>
        </w:rPr>
        <w:t>supra</w:t>
      </w:r>
      <w:r w:rsidRPr="006E05DF">
        <w:rPr>
          <w:szCs w:val="26"/>
        </w:rPr>
        <w:t xml:space="preserve">, 697 F.3d at pp. 1154–1155.)  </w:t>
      </w:r>
      <w:r w:rsidRPr="006E05DF" w:rsidR="00056C92">
        <w:rPr>
          <w:szCs w:val="26"/>
        </w:rPr>
        <w:t>Thus</w:t>
      </w:r>
      <w:r w:rsidRPr="006E05DF" w:rsidR="00BC1F7B">
        <w:rPr>
          <w:szCs w:val="26"/>
        </w:rPr>
        <w:t>,</w:t>
      </w:r>
      <w:r w:rsidRPr="006E05DF" w:rsidR="00056C92">
        <w:rPr>
          <w:szCs w:val="26"/>
        </w:rPr>
        <w:t xml:space="preserve"> even if we fully embraced the proposal to limit claims premised on the truthful advertising of expressive works, that limit would not apply to Serova’s claims.  </w:t>
      </w:r>
      <w:r w:rsidRPr="006E05DF">
        <w:rPr>
          <w:szCs w:val="26"/>
        </w:rPr>
        <w:t xml:space="preserve">To invoke </w:t>
      </w:r>
      <w:r w:rsidRPr="006E05DF" w:rsidR="006D00B2">
        <w:rPr>
          <w:szCs w:val="26"/>
        </w:rPr>
        <w:t xml:space="preserve">the </w:t>
      </w:r>
      <w:r w:rsidRPr="006E05DF">
        <w:rPr>
          <w:szCs w:val="26"/>
        </w:rPr>
        <w:t xml:space="preserve">entwinement </w:t>
      </w:r>
      <w:r w:rsidRPr="006E05DF" w:rsidR="001A6C62">
        <w:rPr>
          <w:szCs w:val="26"/>
        </w:rPr>
        <w:t>or</w:t>
      </w:r>
      <w:r w:rsidRPr="006E05DF" w:rsidR="00056C92">
        <w:rPr>
          <w:szCs w:val="26"/>
        </w:rPr>
        <w:t xml:space="preserve"> </w:t>
      </w:r>
      <w:r w:rsidRPr="006E05DF" w:rsidR="001A6C62">
        <w:rPr>
          <w:szCs w:val="26"/>
        </w:rPr>
        <w:t xml:space="preserve">adjunct advertising </w:t>
      </w:r>
      <w:r w:rsidRPr="006E05DF">
        <w:rPr>
          <w:szCs w:val="26"/>
        </w:rPr>
        <w:t>doctrine</w:t>
      </w:r>
      <w:r w:rsidRPr="006E05DF" w:rsidR="001A6C62">
        <w:rPr>
          <w:szCs w:val="26"/>
        </w:rPr>
        <w:t>s</w:t>
      </w:r>
      <w:r w:rsidRPr="006E05DF">
        <w:rPr>
          <w:szCs w:val="26"/>
        </w:rPr>
        <w:t xml:space="preserve"> here</w:t>
      </w:r>
      <w:r w:rsidRPr="006E05DF" w:rsidR="00283F3D">
        <w:rPr>
          <w:szCs w:val="26"/>
        </w:rPr>
        <w:t xml:space="preserve"> </w:t>
      </w:r>
      <w:r w:rsidRPr="006E05DF">
        <w:rPr>
          <w:szCs w:val="26"/>
        </w:rPr>
        <w:t>would</w:t>
      </w:r>
      <w:r w:rsidRPr="006E05DF" w:rsidR="002069BE">
        <w:rPr>
          <w:szCs w:val="26"/>
        </w:rPr>
        <w:t>, in our view,</w:t>
      </w:r>
      <w:r w:rsidRPr="006E05DF">
        <w:rPr>
          <w:szCs w:val="26"/>
        </w:rPr>
        <w:t xml:space="preserve"> strike the wrong balance between the </w:t>
      </w:r>
      <w:r w:rsidRPr="006E05DF" w:rsidR="00BC1F7B">
        <w:rPr>
          <w:szCs w:val="26"/>
        </w:rPr>
        <w:t xml:space="preserve">interests </w:t>
      </w:r>
      <w:r w:rsidRPr="006E05DF">
        <w:rPr>
          <w:szCs w:val="26"/>
        </w:rPr>
        <w:t xml:space="preserve">of consumers and those of sellers advertising expressive works. </w:t>
      </w:r>
    </w:p>
    <w:p w:rsidR="00353E3A" w:rsidRPr="006E05DF" w:rsidP="00697AC4">
      <w:pPr>
        <w:spacing w:before="120" w:after="120" w:line="240" w:lineRule="auto"/>
        <w:ind w:left="1440" w:hanging="720"/>
        <w:jc w:val="left"/>
        <w:outlineLvl w:val="2"/>
        <w:rPr>
          <w:szCs w:val="26"/>
        </w:rPr>
      </w:pPr>
      <w:r w:rsidRPr="006E05DF">
        <w:rPr>
          <w:b/>
          <w:bCs/>
          <w:szCs w:val="26"/>
        </w:rPr>
        <w:t>5</w:t>
      </w:r>
      <w:r w:rsidRPr="006E05DF">
        <w:rPr>
          <w:b/>
          <w:bCs/>
          <w:szCs w:val="26"/>
        </w:rPr>
        <w:t>.</w:t>
      </w:r>
      <w:r w:rsidRPr="006E05DF" w:rsidR="0081553A">
        <w:rPr>
          <w:b/>
          <w:bCs/>
          <w:szCs w:val="26"/>
        </w:rPr>
        <w:tab/>
      </w:r>
      <w:r w:rsidRPr="006E05DF" w:rsidR="00CE6A91">
        <w:rPr>
          <w:b/>
          <w:bCs/>
          <w:szCs w:val="26"/>
        </w:rPr>
        <w:t xml:space="preserve">Sony’s Lack of </w:t>
      </w:r>
      <w:r w:rsidRPr="006E05DF" w:rsidR="002165FC">
        <w:rPr>
          <w:b/>
          <w:bCs/>
          <w:szCs w:val="26"/>
        </w:rPr>
        <w:t>Knowledge Does Not De</w:t>
      </w:r>
      <w:r w:rsidR="00917236">
        <w:rPr>
          <w:b/>
          <w:bCs/>
          <w:szCs w:val="26"/>
        </w:rPr>
        <w:t>c</w:t>
      </w:r>
      <w:r w:rsidRPr="006E05DF" w:rsidR="002165FC">
        <w:rPr>
          <w:b/>
          <w:bCs/>
          <w:szCs w:val="26"/>
        </w:rPr>
        <w:t>ommer</w:t>
      </w:r>
      <w:r w:rsidRPr="006E05DF" w:rsidR="000C05C6">
        <w:rPr>
          <w:b/>
          <w:bCs/>
          <w:szCs w:val="26"/>
        </w:rPr>
        <w:t>c</w:t>
      </w:r>
      <w:r w:rsidRPr="006E05DF" w:rsidR="002165FC">
        <w:rPr>
          <w:b/>
          <w:bCs/>
          <w:szCs w:val="26"/>
        </w:rPr>
        <w:t>ialize</w:t>
      </w:r>
      <w:r w:rsidRPr="006E05DF" w:rsidR="00CE6A91">
        <w:rPr>
          <w:b/>
          <w:bCs/>
          <w:szCs w:val="26"/>
        </w:rPr>
        <w:t xml:space="preserve"> </w:t>
      </w:r>
      <w:r w:rsidR="009C4078">
        <w:rPr>
          <w:b/>
          <w:bCs/>
          <w:szCs w:val="26"/>
        </w:rPr>
        <w:t>I</w:t>
      </w:r>
      <w:r w:rsidRPr="006E05DF" w:rsidR="00CE6A91">
        <w:rPr>
          <w:b/>
          <w:bCs/>
          <w:szCs w:val="26"/>
        </w:rPr>
        <w:t>ts</w:t>
      </w:r>
      <w:r w:rsidRPr="006E05DF" w:rsidR="002165FC">
        <w:rPr>
          <w:b/>
          <w:bCs/>
          <w:szCs w:val="26"/>
        </w:rPr>
        <w:t xml:space="preserve"> Speech</w:t>
      </w:r>
      <w:r w:rsidRPr="006E05DF" w:rsidR="00256E7C">
        <w:rPr>
          <w:b/>
          <w:bCs/>
          <w:szCs w:val="26"/>
        </w:rPr>
        <w:t>.</w:t>
      </w:r>
    </w:p>
    <w:p w:rsidR="0081553A" w:rsidRPr="006E05DF" w:rsidP="00314A1F">
      <w:pPr>
        <w:rPr>
          <w:szCs w:val="26"/>
        </w:rPr>
      </w:pPr>
      <w:r w:rsidRPr="006E05DF">
        <w:rPr>
          <w:szCs w:val="26"/>
        </w:rPr>
        <w:tab/>
      </w:r>
      <w:r w:rsidRPr="006E05DF" w:rsidR="00A07A8A">
        <w:rPr>
          <w:szCs w:val="26"/>
        </w:rPr>
        <w:t xml:space="preserve">Sony </w:t>
      </w:r>
      <w:r w:rsidRPr="006E05DF" w:rsidR="006D00B2">
        <w:rPr>
          <w:szCs w:val="26"/>
        </w:rPr>
        <w:t>offers a broader argument</w:t>
      </w:r>
      <w:r w:rsidRPr="006E05DF" w:rsidR="00A53FA3">
        <w:rPr>
          <w:szCs w:val="26"/>
        </w:rPr>
        <w:t xml:space="preserve"> </w:t>
      </w:r>
      <w:r w:rsidRPr="006E05DF" w:rsidR="006D00B2">
        <w:rPr>
          <w:szCs w:val="26"/>
        </w:rPr>
        <w:t xml:space="preserve">why </w:t>
      </w:r>
      <w:r w:rsidRPr="006E05DF" w:rsidR="00A07A8A">
        <w:rPr>
          <w:szCs w:val="26"/>
        </w:rPr>
        <w:t xml:space="preserve">its statements about </w:t>
      </w:r>
      <w:r w:rsidRPr="006E05DF" w:rsidR="001318BC">
        <w:rPr>
          <w:szCs w:val="26"/>
        </w:rPr>
        <w:t>Jackson’s</w:t>
      </w:r>
      <w:r w:rsidRPr="006E05DF" w:rsidR="00A07A8A">
        <w:rPr>
          <w:szCs w:val="26"/>
        </w:rPr>
        <w:t xml:space="preserve"> </w:t>
      </w:r>
      <w:r w:rsidRPr="006E05DF" w:rsidR="000A5328">
        <w:rPr>
          <w:szCs w:val="26"/>
        </w:rPr>
        <w:t xml:space="preserve">artistic </w:t>
      </w:r>
      <w:r w:rsidRPr="006E05DF" w:rsidR="00C20621">
        <w:rPr>
          <w:szCs w:val="26"/>
        </w:rPr>
        <w:t xml:space="preserve">contributions </w:t>
      </w:r>
      <w:r w:rsidRPr="006E05DF" w:rsidR="0020216E">
        <w:rPr>
          <w:szCs w:val="26"/>
        </w:rPr>
        <w:t xml:space="preserve">should not </w:t>
      </w:r>
      <w:r w:rsidRPr="006E05DF" w:rsidR="00D954AA">
        <w:rPr>
          <w:szCs w:val="26"/>
        </w:rPr>
        <w:t xml:space="preserve">be </w:t>
      </w:r>
      <w:r w:rsidRPr="006E05DF" w:rsidR="0020216E">
        <w:rPr>
          <w:szCs w:val="26"/>
        </w:rPr>
        <w:t>viewed as</w:t>
      </w:r>
      <w:r w:rsidRPr="006E05DF" w:rsidR="00273E72">
        <w:rPr>
          <w:szCs w:val="26"/>
        </w:rPr>
        <w:t xml:space="preserve"> containing </w:t>
      </w:r>
      <w:r w:rsidRPr="006E05DF" w:rsidR="00A07A8A">
        <w:rPr>
          <w:szCs w:val="26"/>
        </w:rPr>
        <w:t xml:space="preserve">commercial </w:t>
      </w:r>
      <w:r w:rsidRPr="006E05DF" w:rsidR="00273E72">
        <w:rPr>
          <w:szCs w:val="26"/>
        </w:rPr>
        <w:t>content</w:t>
      </w:r>
      <w:r w:rsidRPr="006E05DF" w:rsidR="006D00B2">
        <w:rPr>
          <w:szCs w:val="26"/>
        </w:rPr>
        <w:t xml:space="preserve">.  </w:t>
      </w:r>
      <w:r w:rsidRPr="006E05DF" w:rsidR="005C5D87">
        <w:rPr>
          <w:szCs w:val="26"/>
        </w:rPr>
        <w:t xml:space="preserve">Sony argues the truth of its </w:t>
      </w:r>
      <w:r w:rsidRPr="006E05DF" w:rsidR="00724D9F">
        <w:rPr>
          <w:szCs w:val="26"/>
        </w:rPr>
        <w:t>statements</w:t>
      </w:r>
      <w:r w:rsidRPr="006E05DF" w:rsidR="00876FED">
        <w:rPr>
          <w:szCs w:val="26"/>
        </w:rPr>
        <w:t xml:space="preserve"> was</w:t>
      </w:r>
      <w:r w:rsidRPr="006E05DF" w:rsidR="00A07A8A">
        <w:rPr>
          <w:szCs w:val="26"/>
        </w:rPr>
        <w:t xml:space="preserve"> </w:t>
      </w:r>
      <w:r w:rsidRPr="006E05DF" w:rsidR="00105AF0">
        <w:rPr>
          <w:szCs w:val="26"/>
        </w:rPr>
        <w:t>not readily verifiable</w:t>
      </w:r>
      <w:r w:rsidRPr="006E05DF" w:rsidR="005C5D87">
        <w:rPr>
          <w:szCs w:val="26"/>
        </w:rPr>
        <w:t xml:space="preserve"> </w:t>
      </w:r>
      <w:r w:rsidRPr="006E05DF" w:rsidR="001318BC">
        <w:rPr>
          <w:szCs w:val="26"/>
        </w:rPr>
        <w:t xml:space="preserve">and </w:t>
      </w:r>
      <w:r w:rsidRPr="006E05DF" w:rsidR="00F66056">
        <w:rPr>
          <w:szCs w:val="26"/>
        </w:rPr>
        <w:t>thus</w:t>
      </w:r>
      <w:r w:rsidRPr="006E05DF" w:rsidR="00D360E9">
        <w:rPr>
          <w:szCs w:val="26"/>
        </w:rPr>
        <w:t xml:space="preserve"> </w:t>
      </w:r>
      <w:r w:rsidRPr="006E05DF" w:rsidR="001318BC">
        <w:rPr>
          <w:szCs w:val="26"/>
        </w:rPr>
        <w:t>Sony</w:t>
      </w:r>
      <w:r w:rsidRPr="006E05DF" w:rsidR="00720DB0">
        <w:rPr>
          <w:szCs w:val="26"/>
        </w:rPr>
        <w:t>, though it knew of the controversy</w:t>
      </w:r>
      <w:r w:rsidRPr="006E05DF" w:rsidR="00C20621">
        <w:rPr>
          <w:szCs w:val="26"/>
        </w:rPr>
        <w:t xml:space="preserve"> over the Cascio tracks</w:t>
      </w:r>
      <w:r w:rsidRPr="006E05DF" w:rsidR="00720DB0">
        <w:rPr>
          <w:szCs w:val="26"/>
        </w:rPr>
        <w:t>,</w:t>
      </w:r>
      <w:r w:rsidRPr="006E05DF" w:rsidR="001318BC">
        <w:rPr>
          <w:szCs w:val="26"/>
        </w:rPr>
        <w:t xml:space="preserve"> lacked knowledge of falsity</w:t>
      </w:r>
      <w:r w:rsidRPr="006E05DF" w:rsidR="00A07A8A">
        <w:rPr>
          <w:szCs w:val="26"/>
        </w:rPr>
        <w:t>.</w:t>
      </w:r>
      <w:r w:rsidRPr="006E05DF" w:rsidR="00105AF0">
        <w:rPr>
          <w:szCs w:val="26"/>
        </w:rPr>
        <w:t xml:space="preserve">  The Court of Appeal</w:t>
      </w:r>
      <w:r w:rsidRPr="006E05DF" w:rsidR="00D954AA">
        <w:rPr>
          <w:szCs w:val="26"/>
        </w:rPr>
        <w:t xml:space="preserve"> embraced this argument, </w:t>
      </w:r>
      <w:r w:rsidRPr="006E05DF" w:rsidR="00105AF0">
        <w:rPr>
          <w:szCs w:val="26"/>
        </w:rPr>
        <w:t>conclud</w:t>
      </w:r>
      <w:r w:rsidRPr="006E05DF" w:rsidR="00D954AA">
        <w:rPr>
          <w:szCs w:val="26"/>
        </w:rPr>
        <w:t>ing</w:t>
      </w:r>
      <w:r w:rsidRPr="006E05DF" w:rsidR="00105AF0">
        <w:rPr>
          <w:szCs w:val="26"/>
        </w:rPr>
        <w:t xml:space="preserve"> Sony’s statements</w:t>
      </w:r>
      <w:r w:rsidRPr="006E05DF" w:rsidR="00F66056">
        <w:rPr>
          <w:szCs w:val="26"/>
        </w:rPr>
        <w:t xml:space="preserve"> were not commercial because they</w:t>
      </w:r>
      <w:r w:rsidRPr="006E05DF" w:rsidR="00105AF0">
        <w:rPr>
          <w:szCs w:val="26"/>
        </w:rPr>
        <w:t xml:space="preserve"> “lacked the critical element of personal knowledge under the </w:t>
      </w:r>
      <w:r w:rsidRPr="006E05DF" w:rsidR="00105AF0">
        <w:rPr>
          <w:i/>
          <w:iCs/>
          <w:szCs w:val="26"/>
        </w:rPr>
        <w:t>Kasky</w:t>
      </w:r>
      <w:r w:rsidRPr="006E05DF" w:rsidR="00105AF0">
        <w:rPr>
          <w:szCs w:val="26"/>
        </w:rPr>
        <w:t xml:space="preserve"> standard.”  (</w:t>
      </w:r>
      <w:r w:rsidRPr="006E05DF" w:rsidR="00105AF0">
        <w:rPr>
          <w:i/>
          <w:iCs/>
          <w:szCs w:val="26"/>
        </w:rPr>
        <w:t>Serova</w:t>
      </w:r>
      <w:r w:rsidRPr="006E05DF" w:rsidR="00105AF0">
        <w:rPr>
          <w:szCs w:val="26"/>
        </w:rPr>
        <w:t xml:space="preserve">, </w:t>
      </w:r>
      <w:r w:rsidRPr="006E05DF" w:rsidR="00105AF0">
        <w:rPr>
          <w:i/>
          <w:iCs/>
          <w:szCs w:val="26"/>
        </w:rPr>
        <w:t>supra</w:t>
      </w:r>
      <w:r w:rsidRPr="006E05DF" w:rsidR="00105AF0">
        <w:rPr>
          <w:szCs w:val="26"/>
        </w:rPr>
        <w:t xml:space="preserve">, 44 Cal.App.5th </w:t>
      </w:r>
      <w:r w:rsidR="000A7284">
        <w:rPr>
          <w:szCs w:val="26"/>
        </w:rPr>
        <w:t>at p.</w:t>
      </w:r>
      <w:r w:rsidRPr="006E05DF" w:rsidR="00105AF0">
        <w:rPr>
          <w:szCs w:val="26"/>
        </w:rPr>
        <w:t xml:space="preserve"> 127</w:t>
      </w:r>
      <w:r w:rsidR="007563B4">
        <w:rPr>
          <w:szCs w:val="26"/>
        </w:rPr>
        <w:t xml:space="preserve">; see </w:t>
      </w:r>
      <w:r w:rsidRPr="007563B4" w:rsidR="007563B4">
        <w:rPr>
          <w:i/>
          <w:iCs/>
          <w:szCs w:val="26"/>
        </w:rPr>
        <w:t>id.</w:t>
      </w:r>
      <w:r w:rsidR="007563B4">
        <w:rPr>
          <w:szCs w:val="26"/>
        </w:rPr>
        <w:t xml:space="preserve"> at pp.</w:t>
      </w:r>
      <w:r w:rsidRPr="006E05DF" w:rsidR="007563B4">
        <w:rPr>
          <w:szCs w:val="26"/>
        </w:rPr>
        <w:t xml:space="preserve"> </w:t>
      </w:r>
      <w:r w:rsidR="007563B4">
        <w:rPr>
          <w:szCs w:val="26"/>
        </w:rPr>
        <w:t>128</w:t>
      </w:r>
      <w:r w:rsidR="00207C0D">
        <w:rPr>
          <w:szCs w:val="26"/>
        </w:rPr>
        <w:t>–</w:t>
      </w:r>
      <w:r w:rsidRPr="006E05DF" w:rsidR="00105AF0">
        <w:rPr>
          <w:szCs w:val="26"/>
        </w:rPr>
        <w:t>129</w:t>
      </w:r>
      <w:r w:rsidRPr="006E05DF" w:rsidR="00F66056">
        <w:rPr>
          <w:szCs w:val="26"/>
        </w:rPr>
        <w:t xml:space="preserve"> &amp; fn. 12</w:t>
      </w:r>
      <w:r w:rsidRPr="006E05DF" w:rsidR="00105AF0">
        <w:rPr>
          <w:szCs w:val="26"/>
        </w:rPr>
        <w:t xml:space="preserve">.)  </w:t>
      </w:r>
      <w:r w:rsidRPr="006E05DF" w:rsidR="0020216E">
        <w:rPr>
          <w:szCs w:val="26"/>
        </w:rPr>
        <w:t>We</w:t>
      </w:r>
      <w:r w:rsidRPr="006E05DF" w:rsidR="004D7298">
        <w:rPr>
          <w:szCs w:val="26"/>
        </w:rPr>
        <w:t xml:space="preserve"> </w:t>
      </w:r>
      <w:r w:rsidRPr="006E05DF" w:rsidR="00105AF0">
        <w:rPr>
          <w:szCs w:val="26"/>
        </w:rPr>
        <w:t>disagree.</w:t>
      </w:r>
    </w:p>
    <w:p w:rsidR="0081553A" w:rsidRPr="006E05DF" w:rsidP="00314A1F">
      <w:pPr>
        <w:rPr>
          <w:szCs w:val="26"/>
        </w:rPr>
      </w:pPr>
      <w:r w:rsidRPr="006E05DF">
        <w:rPr>
          <w:szCs w:val="26"/>
        </w:rPr>
        <w:tab/>
      </w:r>
      <w:r w:rsidRPr="006E05DF" w:rsidR="00105AF0">
        <w:rPr>
          <w:szCs w:val="26"/>
        </w:rPr>
        <w:t xml:space="preserve">“Apart from . . . the identities of the speaker and the audience, and the contents of the speech,” </w:t>
      </w:r>
      <w:r w:rsidRPr="006E05DF" w:rsidR="00105AF0">
        <w:rPr>
          <w:i/>
          <w:iCs/>
          <w:szCs w:val="26"/>
        </w:rPr>
        <w:t>Kasky</w:t>
      </w:r>
      <w:r w:rsidRPr="006E05DF" w:rsidR="00105AF0">
        <w:rPr>
          <w:szCs w:val="26"/>
        </w:rPr>
        <w:t xml:space="preserve"> found “nothing in the United States Supreme Court</w:t>
      </w:r>
      <w:r w:rsidRPr="006E05DF" w:rsidR="00405367">
        <w:rPr>
          <w:szCs w:val="26"/>
        </w:rPr>
        <w:t>’</w:t>
      </w:r>
      <w:r w:rsidRPr="006E05DF" w:rsidR="00105AF0">
        <w:rPr>
          <w:szCs w:val="26"/>
        </w:rPr>
        <w:t>s commercial speech decisions that is essential to a determination that particular speech is commercial in character in the context of a consumer protection law intended to suppress false or deceptive commercial messages.”  (</w:t>
      </w:r>
      <w:r w:rsidRPr="006E05DF" w:rsidR="00105AF0">
        <w:rPr>
          <w:i/>
          <w:iCs/>
          <w:szCs w:val="26"/>
        </w:rPr>
        <w:t>Kasky</w:t>
      </w:r>
      <w:r w:rsidRPr="006E05DF" w:rsidR="00105AF0">
        <w:rPr>
          <w:szCs w:val="26"/>
        </w:rPr>
        <w:t xml:space="preserve">, </w:t>
      </w:r>
      <w:r w:rsidRPr="006E05DF" w:rsidR="00105AF0">
        <w:rPr>
          <w:i/>
          <w:iCs/>
          <w:szCs w:val="26"/>
        </w:rPr>
        <w:t>supra</w:t>
      </w:r>
      <w:r w:rsidRPr="006E05DF" w:rsidR="00105AF0">
        <w:rPr>
          <w:szCs w:val="26"/>
        </w:rPr>
        <w:t xml:space="preserve">, 27 Cal.4th at p. 962.)  </w:t>
      </w:r>
      <w:r w:rsidRPr="006E05DF" w:rsidR="002069BE">
        <w:rPr>
          <w:szCs w:val="26"/>
        </w:rPr>
        <w:t xml:space="preserve">Nor does </w:t>
      </w:r>
      <w:r w:rsidRPr="006E05DF" w:rsidR="00211C2B">
        <w:rPr>
          <w:i/>
          <w:iCs/>
          <w:szCs w:val="26"/>
        </w:rPr>
        <w:t>Kasky</w:t>
      </w:r>
      <w:r w:rsidRPr="006E05DF" w:rsidR="00211C2B">
        <w:rPr>
          <w:szCs w:val="26"/>
        </w:rPr>
        <w:t>’s definition of commercial content</w:t>
      </w:r>
      <w:r w:rsidR="00437868">
        <w:rPr>
          <w:szCs w:val="26"/>
        </w:rPr>
        <w:t> </w:t>
      </w:r>
      <w:r w:rsidRPr="006E05DF" w:rsidR="00211C2B">
        <w:rPr>
          <w:szCs w:val="26"/>
        </w:rPr>
        <w:t>—</w:t>
      </w:r>
      <w:r w:rsidR="009C4078">
        <w:rPr>
          <w:szCs w:val="26"/>
        </w:rPr>
        <w:t xml:space="preserve"> </w:t>
      </w:r>
      <w:r w:rsidR="000A7284">
        <w:rPr>
          <w:szCs w:val="26"/>
        </w:rPr>
        <w:t xml:space="preserve"> </w:t>
      </w:r>
      <w:r w:rsidRPr="006E05DF" w:rsidR="00105AF0">
        <w:rPr>
          <w:szCs w:val="26"/>
        </w:rPr>
        <w:t>“representations of fact about</w:t>
      </w:r>
      <w:r w:rsidRPr="006E05DF" w:rsidR="00876FED">
        <w:rPr>
          <w:szCs w:val="26"/>
        </w:rPr>
        <w:t xml:space="preserve"> the business operations, products, or services </w:t>
      </w:r>
      <w:r w:rsidRPr="006E05DF" w:rsidR="00105AF0">
        <w:rPr>
          <w:szCs w:val="26"/>
        </w:rPr>
        <w:t>of the speaker (or the individual or company that the speaker represents) . . . for the purpose of promoting</w:t>
      </w:r>
      <w:r w:rsidRPr="006E05DF" w:rsidR="00876FED">
        <w:rPr>
          <w:szCs w:val="26"/>
        </w:rPr>
        <w:t xml:space="preserve"> . . . the speaker’s products or services</w:t>
      </w:r>
      <w:r w:rsidRPr="006E05DF" w:rsidR="00283F3D">
        <w:rPr>
          <w:szCs w:val="26"/>
        </w:rPr>
        <w:t>”</w:t>
      </w:r>
      <w:r w:rsidRPr="006E05DF" w:rsidR="00105AF0">
        <w:rPr>
          <w:szCs w:val="26"/>
        </w:rPr>
        <w:t xml:space="preserve"> (</w:t>
      </w:r>
      <w:r w:rsidRPr="006E05DF" w:rsidR="00283F3D">
        <w:rPr>
          <w:i/>
          <w:iCs/>
          <w:szCs w:val="26"/>
        </w:rPr>
        <w:t>i</w:t>
      </w:r>
      <w:r w:rsidRPr="006E05DF" w:rsidR="00405367">
        <w:rPr>
          <w:i/>
          <w:iCs/>
          <w:szCs w:val="26"/>
        </w:rPr>
        <w:t>d.</w:t>
      </w:r>
      <w:r w:rsidRPr="006E05DF" w:rsidR="00105AF0">
        <w:rPr>
          <w:szCs w:val="26"/>
        </w:rPr>
        <w:t xml:space="preserve"> at p. 961)</w:t>
      </w:r>
      <w:r w:rsidR="00437868">
        <w:rPr>
          <w:szCs w:val="26"/>
        </w:rPr>
        <w:t> </w:t>
      </w:r>
      <w:r w:rsidRPr="006E05DF" w:rsidR="00211C2B">
        <w:rPr>
          <w:szCs w:val="26"/>
        </w:rPr>
        <w:t>—</w:t>
      </w:r>
      <w:r w:rsidR="000A7284">
        <w:rPr>
          <w:szCs w:val="26"/>
        </w:rPr>
        <w:t xml:space="preserve"> </w:t>
      </w:r>
      <w:r w:rsidRPr="006E05DF" w:rsidR="00876FED">
        <w:rPr>
          <w:szCs w:val="26"/>
        </w:rPr>
        <w:t>mention</w:t>
      </w:r>
      <w:r w:rsidRPr="006E05DF" w:rsidR="00105AF0">
        <w:rPr>
          <w:szCs w:val="26"/>
        </w:rPr>
        <w:t xml:space="preserve"> a requirement that</w:t>
      </w:r>
      <w:r w:rsidRPr="006E05DF" w:rsidR="005962A4">
        <w:rPr>
          <w:szCs w:val="26"/>
        </w:rPr>
        <w:t xml:space="preserve"> particular</w:t>
      </w:r>
      <w:r w:rsidRPr="006E05DF" w:rsidR="00105AF0">
        <w:rPr>
          <w:szCs w:val="26"/>
        </w:rPr>
        <w:t xml:space="preserve"> representations be </w:t>
      </w:r>
      <w:r w:rsidRPr="006E05DF" w:rsidR="00876FED">
        <w:rPr>
          <w:szCs w:val="26"/>
        </w:rPr>
        <w:t>made with</w:t>
      </w:r>
      <w:r w:rsidRPr="006E05DF" w:rsidR="00E10FDC">
        <w:rPr>
          <w:szCs w:val="26"/>
        </w:rPr>
        <w:t xml:space="preserve"> personal</w:t>
      </w:r>
      <w:r w:rsidRPr="006E05DF" w:rsidR="00876FED">
        <w:rPr>
          <w:szCs w:val="26"/>
        </w:rPr>
        <w:t xml:space="preserve"> knowledge or be readily verifiable.</w:t>
      </w:r>
    </w:p>
    <w:p w:rsidR="007E1416" w:rsidRPr="006E05DF" w:rsidP="00314A1F">
      <w:pPr>
        <w:rPr>
          <w:szCs w:val="26"/>
        </w:rPr>
      </w:pPr>
      <w:r w:rsidRPr="006E05DF">
        <w:rPr>
          <w:szCs w:val="26"/>
        </w:rPr>
        <w:tab/>
      </w:r>
      <w:r w:rsidRPr="006E05DF" w:rsidR="001318BC">
        <w:rPr>
          <w:i/>
          <w:iCs/>
          <w:szCs w:val="26"/>
        </w:rPr>
        <w:t>Kasky</w:t>
      </w:r>
      <w:r w:rsidRPr="006E05DF" w:rsidR="00184D2D">
        <w:rPr>
          <w:szCs w:val="26"/>
        </w:rPr>
        <w:t xml:space="preserve">, in </w:t>
      </w:r>
      <w:r w:rsidRPr="006E05DF" w:rsidR="00062588">
        <w:rPr>
          <w:szCs w:val="26"/>
        </w:rPr>
        <w:t xml:space="preserve">more </w:t>
      </w:r>
      <w:r w:rsidRPr="006E05DF" w:rsidR="00F73F16">
        <w:rPr>
          <w:szCs w:val="26"/>
        </w:rPr>
        <w:t>expansively</w:t>
      </w:r>
      <w:r w:rsidRPr="006E05DF" w:rsidR="00062588">
        <w:rPr>
          <w:szCs w:val="26"/>
        </w:rPr>
        <w:t xml:space="preserve"> </w:t>
      </w:r>
      <w:r w:rsidRPr="006E05DF" w:rsidR="00A20964">
        <w:rPr>
          <w:szCs w:val="26"/>
        </w:rPr>
        <w:t xml:space="preserve">viewing commercial speech as potentially </w:t>
      </w:r>
      <w:r w:rsidRPr="006E05DF" w:rsidR="00062588">
        <w:rPr>
          <w:szCs w:val="26"/>
        </w:rPr>
        <w:t xml:space="preserve">including </w:t>
      </w:r>
      <w:r w:rsidRPr="006E05DF" w:rsidR="00A20964">
        <w:rPr>
          <w:szCs w:val="26"/>
        </w:rPr>
        <w:t>letters and press release</w:t>
      </w:r>
      <w:r w:rsidRPr="006E05DF" w:rsidR="003B408E">
        <w:rPr>
          <w:szCs w:val="26"/>
        </w:rPr>
        <w:t>s</w:t>
      </w:r>
      <w:r w:rsidRPr="006E05DF" w:rsidR="00184D2D">
        <w:rPr>
          <w:szCs w:val="26"/>
        </w:rPr>
        <w:t xml:space="preserve">, </w:t>
      </w:r>
      <w:r w:rsidRPr="006E05DF" w:rsidR="001536F1">
        <w:rPr>
          <w:szCs w:val="26"/>
        </w:rPr>
        <w:t xml:space="preserve">saw </w:t>
      </w:r>
      <w:r w:rsidRPr="006E05DF" w:rsidR="00876FED">
        <w:rPr>
          <w:szCs w:val="26"/>
        </w:rPr>
        <w:t>its “understanding of the content element of commercial speech</w:t>
      </w:r>
      <w:r w:rsidRPr="006E05DF" w:rsidR="001536F1">
        <w:rPr>
          <w:szCs w:val="26"/>
        </w:rPr>
        <w:t>” as “</w:t>
      </w:r>
      <w:r w:rsidRPr="006E05DF" w:rsidR="00876FED">
        <w:rPr>
          <w:szCs w:val="26"/>
        </w:rPr>
        <w:t xml:space="preserve">consistent” with the traditional </w:t>
      </w:r>
      <w:r w:rsidRPr="006E05DF" w:rsidR="00211C2B">
        <w:rPr>
          <w:szCs w:val="26"/>
        </w:rPr>
        <w:t>explanations</w:t>
      </w:r>
      <w:r w:rsidRPr="006E05DF" w:rsidR="00876FED">
        <w:rPr>
          <w:szCs w:val="26"/>
        </w:rPr>
        <w:t xml:space="preserve"> for “denying First Amendment protection to false or misleading commercial speech</w:t>
      </w:r>
      <w:r w:rsidRPr="006E05DF" w:rsidR="003B408E">
        <w:rPr>
          <w:szCs w:val="26"/>
        </w:rPr>
        <w:t>.</w:t>
      </w:r>
      <w:r w:rsidRPr="006E05DF" w:rsidR="00876FED">
        <w:rPr>
          <w:szCs w:val="26"/>
        </w:rPr>
        <w:t>”</w:t>
      </w:r>
      <w:r w:rsidR="00D03659">
        <w:rPr>
          <w:szCs w:val="26"/>
        </w:rPr>
        <w:t xml:space="preserve">  (</w:t>
      </w:r>
      <w:r w:rsidRPr="006E05DF" w:rsidR="00D03659">
        <w:rPr>
          <w:i/>
          <w:iCs/>
          <w:szCs w:val="26"/>
        </w:rPr>
        <w:t>Kasky</w:t>
      </w:r>
      <w:r w:rsidRPr="006E05DF" w:rsidR="00D03659">
        <w:rPr>
          <w:szCs w:val="26"/>
        </w:rPr>
        <w:t xml:space="preserve">, </w:t>
      </w:r>
      <w:r w:rsidRPr="006E05DF" w:rsidR="00D03659">
        <w:rPr>
          <w:i/>
          <w:iCs/>
          <w:szCs w:val="26"/>
        </w:rPr>
        <w:t>supra</w:t>
      </w:r>
      <w:r w:rsidRPr="006E05DF" w:rsidR="00D03659">
        <w:rPr>
          <w:szCs w:val="26"/>
        </w:rPr>
        <w:t>, 27 Cal.4th at p. 962</w:t>
      </w:r>
      <w:r w:rsidR="00D03659">
        <w:rPr>
          <w:szCs w:val="26"/>
        </w:rPr>
        <w:t>.)</w:t>
      </w:r>
      <w:r w:rsidRPr="006E05DF" w:rsidR="00876FED">
        <w:rPr>
          <w:szCs w:val="26"/>
        </w:rPr>
        <w:t xml:space="preserve"> </w:t>
      </w:r>
      <w:r w:rsidRPr="006E05DF" w:rsidR="003B408E">
        <w:rPr>
          <w:szCs w:val="26"/>
        </w:rPr>
        <w:t xml:space="preserve"> </w:t>
      </w:r>
      <w:r w:rsidRPr="006E05DF" w:rsidR="00283F3D">
        <w:rPr>
          <w:szCs w:val="26"/>
        </w:rPr>
        <w:t xml:space="preserve">One such explanation is </w:t>
      </w:r>
      <w:r w:rsidRPr="006E05DF" w:rsidR="00211C2B">
        <w:rPr>
          <w:szCs w:val="26"/>
        </w:rPr>
        <w:t xml:space="preserve">that </w:t>
      </w:r>
      <w:r w:rsidRPr="006E05DF" w:rsidR="001318BC">
        <w:rPr>
          <w:szCs w:val="26"/>
        </w:rPr>
        <w:t>“</w:t>
      </w:r>
      <w:r w:rsidR="00CE6584">
        <w:rPr>
          <w:szCs w:val="26"/>
        </w:rPr>
        <w:t> </w:t>
      </w:r>
      <w:r w:rsidRPr="006E05DF" w:rsidR="00184D2D">
        <w:rPr>
          <w:szCs w:val="26"/>
        </w:rPr>
        <w:t>‘</w:t>
      </w:r>
      <w:r w:rsidRPr="006E05DF" w:rsidR="001318BC">
        <w:rPr>
          <w:szCs w:val="26"/>
        </w:rPr>
        <w:t>truth of commercial speech</w:t>
      </w:r>
      <w:r w:rsidRPr="006E05DF" w:rsidR="00D360E9">
        <w:rPr>
          <w:szCs w:val="26"/>
        </w:rPr>
        <w:t xml:space="preserve"> . . . </w:t>
      </w:r>
      <w:r w:rsidRPr="006E05DF" w:rsidR="001318BC">
        <w:rPr>
          <w:i/>
          <w:iCs/>
          <w:szCs w:val="26"/>
        </w:rPr>
        <w:t>may</w:t>
      </w:r>
      <w:r w:rsidRPr="006E05DF" w:rsidR="001318BC">
        <w:rPr>
          <w:szCs w:val="26"/>
        </w:rPr>
        <w:t xml:space="preserve"> be more easily verifiable by its disseminator</w:t>
      </w:r>
      <w:r w:rsidRPr="006E05DF" w:rsidR="00405367">
        <w:rPr>
          <w:szCs w:val="26"/>
        </w:rPr>
        <w:t xml:space="preserve"> </w:t>
      </w:r>
      <w:r w:rsidRPr="006E05DF" w:rsidR="00876FED">
        <w:rPr>
          <w:szCs w:val="26"/>
        </w:rPr>
        <w:t xml:space="preserve">. . . </w:t>
      </w:r>
      <w:r w:rsidRPr="006E05DF" w:rsidR="001318BC">
        <w:rPr>
          <w:szCs w:val="26"/>
        </w:rPr>
        <w:t xml:space="preserve">in that ordinarily the advertiser seeks to disseminate information about a specific product or service that he himself provides and </w:t>
      </w:r>
      <w:r w:rsidRPr="006E05DF" w:rsidR="001318BC">
        <w:rPr>
          <w:i/>
          <w:iCs/>
          <w:szCs w:val="26"/>
        </w:rPr>
        <w:t>presumably</w:t>
      </w:r>
      <w:r w:rsidRPr="006E05DF" w:rsidR="001318BC">
        <w:rPr>
          <w:szCs w:val="26"/>
        </w:rPr>
        <w:t xml:space="preserve"> knows more about than anyone else.</w:t>
      </w:r>
      <w:r w:rsidRPr="006E05DF" w:rsidR="00184D2D">
        <w:rPr>
          <w:szCs w:val="26"/>
        </w:rPr>
        <w:t>’</w:t>
      </w:r>
      <w:r w:rsidR="00CE6584">
        <w:rPr>
          <w:szCs w:val="26"/>
        </w:rPr>
        <w:t> </w:t>
      </w:r>
      <w:r w:rsidRPr="006E05DF" w:rsidR="001318BC">
        <w:rPr>
          <w:szCs w:val="26"/>
        </w:rPr>
        <w:t>”  (</w:t>
      </w:r>
      <w:r w:rsidR="00D03659">
        <w:rPr>
          <w:i/>
          <w:iCs/>
          <w:szCs w:val="26"/>
        </w:rPr>
        <w:t>Id.</w:t>
      </w:r>
      <w:r w:rsidRPr="006E05DF" w:rsidR="001318BC">
        <w:rPr>
          <w:szCs w:val="26"/>
        </w:rPr>
        <w:t xml:space="preserve"> at p. 955</w:t>
      </w:r>
      <w:r w:rsidRPr="006E05DF" w:rsidR="00876FED">
        <w:rPr>
          <w:szCs w:val="26"/>
        </w:rPr>
        <w:t xml:space="preserve">, </w:t>
      </w:r>
      <w:r w:rsidR="00D03659">
        <w:rPr>
          <w:szCs w:val="26"/>
        </w:rPr>
        <w:t xml:space="preserve">italics added &amp; omitted, </w:t>
      </w:r>
      <w:r w:rsidRPr="006E05DF" w:rsidR="00184D2D">
        <w:rPr>
          <w:szCs w:val="26"/>
        </w:rPr>
        <w:t xml:space="preserve">quoting </w:t>
      </w:r>
      <w:r w:rsidRPr="006E05DF" w:rsidR="00184D2D">
        <w:rPr>
          <w:i/>
          <w:iCs/>
          <w:szCs w:val="26"/>
        </w:rPr>
        <w:t>Va. Pharmacy Bd. v. Va. Consumer Council</w:t>
      </w:r>
      <w:r w:rsidRPr="006E05DF" w:rsidR="00184D2D">
        <w:rPr>
          <w:szCs w:val="26"/>
        </w:rPr>
        <w:t xml:space="preserve"> (1976) 425 U.S. at p. 772, fn. 24.</w:t>
      </w:r>
      <w:r w:rsidRPr="006E05DF" w:rsidR="001318BC">
        <w:rPr>
          <w:szCs w:val="26"/>
        </w:rPr>
        <w:t>)</w:t>
      </w:r>
      <w:r w:rsidRPr="006E05DF" w:rsidR="00AE6052">
        <w:rPr>
          <w:szCs w:val="26"/>
        </w:rPr>
        <w:t xml:space="preserve"> </w:t>
      </w:r>
      <w:r w:rsidRPr="006E05DF" w:rsidR="001318BC">
        <w:rPr>
          <w:szCs w:val="26"/>
        </w:rPr>
        <w:t xml:space="preserve"> </w:t>
      </w:r>
      <w:r w:rsidRPr="006E05DF" w:rsidR="00876FED">
        <w:rPr>
          <w:szCs w:val="26"/>
        </w:rPr>
        <w:t>“</w:t>
      </w:r>
      <w:r w:rsidRPr="006E05DF" w:rsidR="00AE6052">
        <w:rPr>
          <w:szCs w:val="26"/>
        </w:rPr>
        <w:t>T</w:t>
      </w:r>
      <w:r w:rsidRPr="006E05DF" w:rsidR="00876FED">
        <w:rPr>
          <w:szCs w:val="26"/>
        </w:rPr>
        <w:t>his explanation</w:t>
      </w:r>
      <w:r w:rsidRPr="006E05DF" w:rsidR="00AE6052">
        <w:rPr>
          <w:szCs w:val="26"/>
        </w:rPr>
        <w:t xml:space="preserve">,” continued </w:t>
      </w:r>
      <w:r w:rsidRPr="006E05DF" w:rsidR="00AE6052">
        <w:rPr>
          <w:i/>
          <w:iCs/>
          <w:szCs w:val="26"/>
        </w:rPr>
        <w:t>Kasky</w:t>
      </w:r>
      <w:r w:rsidRPr="006E05DF" w:rsidR="00AE6052">
        <w:rPr>
          <w:szCs w:val="26"/>
        </w:rPr>
        <w:t>,</w:t>
      </w:r>
      <w:r w:rsidRPr="006E05DF" w:rsidR="00876FED">
        <w:rPr>
          <w:szCs w:val="26"/>
        </w:rPr>
        <w:t xml:space="preserve"> </w:t>
      </w:r>
      <w:r w:rsidRPr="006E05DF" w:rsidR="00AE6052">
        <w:rPr>
          <w:szCs w:val="26"/>
        </w:rPr>
        <w:t>“</w:t>
      </w:r>
      <w:r w:rsidRPr="006E05DF" w:rsidR="00876FED">
        <w:rPr>
          <w:szCs w:val="26"/>
        </w:rPr>
        <w:t xml:space="preserve">assumes that </w:t>
      </w:r>
      <w:r w:rsidRPr="006E05DF" w:rsidR="00B541F7">
        <w:rPr>
          <w:szCs w:val="26"/>
        </w:rPr>
        <w:t>commercial speech consists of factual statements and that those statements describe matters within the personal knowledge of the speaker or the person whom the speaker is representing.”  (</w:t>
      </w:r>
      <w:r w:rsidRPr="006E05DF" w:rsidR="00405367">
        <w:rPr>
          <w:i/>
          <w:iCs/>
          <w:szCs w:val="26"/>
        </w:rPr>
        <w:t>Kasky</w:t>
      </w:r>
      <w:r w:rsidRPr="006E05DF" w:rsidR="00405367">
        <w:rPr>
          <w:szCs w:val="26"/>
        </w:rPr>
        <w:t xml:space="preserve">, </w:t>
      </w:r>
      <w:r w:rsidRPr="006E05DF" w:rsidR="00405367">
        <w:rPr>
          <w:i/>
          <w:iCs/>
          <w:szCs w:val="26"/>
        </w:rPr>
        <w:t>supra</w:t>
      </w:r>
      <w:r w:rsidRPr="006E05DF" w:rsidR="00405367">
        <w:rPr>
          <w:szCs w:val="26"/>
        </w:rPr>
        <w:t xml:space="preserve">, 27 Cal.4th at </w:t>
      </w:r>
      <w:r w:rsidRPr="006E05DF" w:rsidR="00B541F7">
        <w:rPr>
          <w:szCs w:val="26"/>
        </w:rPr>
        <w:t>p</w:t>
      </w:r>
      <w:r w:rsidRPr="006E05DF" w:rsidR="00876FED">
        <w:rPr>
          <w:szCs w:val="26"/>
        </w:rPr>
        <w:t xml:space="preserve">. </w:t>
      </w:r>
      <w:r w:rsidRPr="006E05DF" w:rsidR="00B541F7">
        <w:rPr>
          <w:szCs w:val="26"/>
        </w:rPr>
        <w:t xml:space="preserve">962.) </w:t>
      </w:r>
      <w:r w:rsidRPr="006E05DF">
        <w:rPr>
          <w:szCs w:val="26"/>
        </w:rPr>
        <w:t xml:space="preserve"> </w:t>
      </w:r>
    </w:p>
    <w:p w:rsidR="005962A4" w:rsidRPr="006E05DF" w:rsidP="00314A1F">
      <w:pPr>
        <w:ind w:firstLine="720"/>
        <w:rPr>
          <w:szCs w:val="26"/>
        </w:rPr>
      </w:pPr>
      <w:r w:rsidRPr="006E05DF">
        <w:rPr>
          <w:szCs w:val="26"/>
        </w:rPr>
        <w:t>U</w:t>
      </w:r>
      <w:r w:rsidRPr="006E05DF" w:rsidR="00876FED">
        <w:rPr>
          <w:szCs w:val="26"/>
        </w:rPr>
        <w:t>ndoubtedly</w:t>
      </w:r>
      <w:r w:rsidRPr="006E05DF" w:rsidR="00B02540">
        <w:rPr>
          <w:szCs w:val="26"/>
        </w:rPr>
        <w:t>,</w:t>
      </w:r>
      <w:r w:rsidRPr="006E05DF" w:rsidR="00876FED">
        <w:rPr>
          <w:szCs w:val="26"/>
        </w:rPr>
        <w:t xml:space="preserve"> </w:t>
      </w:r>
      <w:r w:rsidRPr="006E05DF" w:rsidR="0081553A">
        <w:rPr>
          <w:szCs w:val="26"/>
        </w:rPr>
        <w:t xml:space="preserve">commercial statements are </w:t>
      </w:r>
      <w:r w:rsidRPr="006E05DF">
        <w:rPr>
          <w:szCs w:val="26"/>
        </w:rPr>
        <w:t xml:space="preserve">sometimes </w:t>
      </w:r>
      <w:r w:rsidRPr="006E05DF" w:rsidR="00876FED">
        <w:rPr>
          <w:szCs w:val="26"/>
        </w:rPr>
        <w:t>made with personal knowledge.  But a “may be more easily verifiable” rationale</w:t>
      </w:r>
      <w:r w:rsidRPr="006E05DF" w:rsidR="00E0532A">
        <w:rPr>
          <w:szCs w:val="26"/>
        </w:rPr>
        <w:t xml:space="preserve"> </w:t>
      </w:r>
      <w:r w:rsidRPr="006E05DF" w:rsidR="00876FED">
        <w:rPr>
          <w:szCs w:val="26"/>
        </w:rPr>
        <w:t>does not</w:t>
      </w:r>
      <w:r w:rsidRPr="006E05DF" w:rsidR="00E0532A">
        <w:rPr>
          <w:szCs w:val="26"/>
        </w:rPr>
        <w:t>, with words such as “may</w:t>
      </w:r>
      <w:r w:rsidRPr="006E05DF" w:rsidR="008957D9">
        <w:rPr>
          <w:szCs w:val="26"/>
        </w:rPr>
        <w:t>,</w:t>
      </w:r>
      <w:r w:rsidRPr="006E05DF" w:rsidR="00E0532A">
        <w:rPr>
          <w:szCs w:val="26"/>
        </w:rPr>
        <w:t>”</w:t>
      </w:r>
      <w:r w:rsidRPr="006E05DF" w:rsidR="008957D9">
        <w:rPr>
          <w:szCs w:val="26"/>
        </w:rPr>
        <w:t xml:space="preserve"> “ordinarily,”</w:t>
      </w:r>
      <w:r w:rsidRPr="006E05DF" w:rsidR="00E0532A">
        <w:rPr>
          <w:szCs w:val="26"/>
        </w:rPr>
        <w:t xml:space="preserve"> and “presumably,”</w:t>
      </w:r>
      <w:r w:rsidRPr="006E05DF" w:rsidR="00876FED">
        <w:rPr>
          <w:szCs w:val="26"/>
        </w:rPr>
        <w:t xml:space="preserve"> impose either a personal knowledge requirement or a requirement that </w:t>
      </w:r>
      <w:r w:rsidRPr="006E05DF" w:rsidR="00960B49">
        <w:rPr>
          <w:szCs w:val="26"/>
        </w:rPr>
        <w:t xml:space="preserve">a </w:t>
      </w:r>
      <w:r w:rsidRPr="006E05DF" w:rsidR="00876FED">
        <w:rPr>
          <w:szCs w:val="26"/>
        </w:rPr>
        <w:t xml:space="preserve">particular statement be readily verifiable.  </w:t>
      </w:r>
      <w:r w:rsidRPr="006E05DF" w:rsidR="008957D9">
        <w:rPr>
          <w:szCs w:val="26"/>
        </w:rPr>
        <w:t xml:space="preserve">(See </w:t>
      </w:r>
      <w:r w:rsidRPr="006E05DF" w:rsidR="008957D9">
        <w:rPr>
          <w:i/>
          <w:iCs/>
          <w:szCs w:val="26"/>
        </w:rPr>
        <w:t>Kasky</w:t>
      </w:r>
      <w:r w:rsidRPr="006E05DF" w:rsidR="008957D9">
        <w:rPr>
          <w:szCs w:val="26"/>
        </w:rPr>
        <w:t xml:space="preserve">, </w:t>
      </w:r>
      <w:r w:rsidRPr="006E05DF" w:rsidR="008957D9">
        <w:rPr>
          <w:i/>
          <w:iCs/>
          <w:szCs w:val="26"/>
        </w:rPr>
        <w:t>supra</w:t>
      </w:r>
      <w:r w:rsidRPr="006E05DF" w:rsidR="008957D9">
        <w:rPr>
          <w:szCs w:val="26"/>
        </w:rPr>
        <w:t xml:space="preserve">, 27 Cal.4th at p. 955.)  </w:t>
      </w:r>
      <w:r w:rsidRPr="006E05DF" w:rsidR="006A1189">
        <w:rPr>
          <w:szCs w:val="26"/>
        </w:rPr>
        <w:t>T</w:t>
      </w:r>
      <w:r w:rsidRPr="006E05DF" w:rsidR="00184D2D">
        <w:rPr>
          <w:szCs w:val="26"/>
        </w:rPr>
        <w:t>o the contrary, the</w:t>
      </w:r>
      <w:r w:rsidRPr="006E05DF" w:rsidR="006A1189">
        <w:rPr>
          <w:szCs w:val="26"/>
        </w:rPr>
        <w:t xml:space="preserve"> rationale presumes that sometimes commercial speech may </w:t>
      </w:r>
      <w:r w:rsidRPr="006E05DF" w:rsidR="006A1189">
        <w:rPr>
          <w:i/>
          <w:iCs/>
          <w:szCs w:val="26"/>
        </w:rPr>
        <w:t>not</w:t>
      </w:r>
      <w:r w:rsidRPr="006E05DF" w:rsidR="006A1189">
        <w:rPr>
          <w:szCs w:val="26"/>
        </w:rPr>
        <w:t xml:space="preserve"> be more easily verifiable or may </w:t>
      </w:r>
      <w:r w:rsidRPr="006E05DF" w:rsidR="006A1189">
        <w:rPr>
          <w:i/>
          <w:iCs/>
          <w:szCs w:val="26"/>
        </w:rPr>
        <w:t>not</w:t>
      </w:r>
      <w:r w:rsidRPr="006E05DF" w:rsidR="006A1189">
        <w:rPr>
          <w:szCs w:val="26"/>
        </w:rPr>
        <w:t xml:space="preserve"> be known to the speaker as true or false. </w:t>
      </w:r>
      <w:r w:rsidRPr="006E05DF" w:rsidR="008957D9">
        <w:rPr>
          <w:i/>
          <w:iCs/>
          <w:szCs w:val="26"/>
        </w:rPr>
        <w:t xml:space="preserve"> </w:t>
      </w:r>
      <w:r w:rsidRPr="006E05DF" w:rsidR="002069BE">
        <w:rPr>
          <w:szCs w:val="26"/>
        </w:rPr>
        <w:t>In all events,</w:t>
      </w:r>
      <w:r w:rsidRPr="006E05DF" w:rsidR="00285020">
        <w:rPr>
          <w:szCs w:val="26"/>
        </w:rPr>
        <w:t xml:space="preserve"> t</w:t>
      </w:r>
      <w:r w:rsidRPr="006E05DF" w:rsidR="00E0532A">
        <w:rPr>
          <w:szCs w:val="26"/>
        </w:rPr>
        <w:t>he rationale</w:t>
      </w:r>
      <w:r w:rsidRPr="006E05DF" w:rsidR="00B02540">
        <w:rPr>
          <w:szCs w:val="26"/>
        </w:rPr>
        <w:t>, in offering a justification for greater regulation of commercial speech</w:t>
      </w:r>
      <w:r w:rsidRPr="006E05DF">
        <w:rPr>
          <w:szCs w:val="26"/>
        </w:rPr>
        <w:t xml:space="preserve"> generally</w:t>
      </w:r>
      <w:r w:rsidRPr="006E05DF" w:rsidR="00B02540">
        <w:rPr>
          <w:szCs w:val="26"/>
        </w:rPr>
        <w:t>,</w:t>
      </w:r>
      <w:r w:rsidRPr="006E05DF" w:rsidR="00E0532A">
        <w:rPr>
          <w:szCs w:val="26"/>
        </w:rPr>
        <w:t xml:space="preserve"> </w:t>
      </w:r>
      <w:r w:rsidRPr="006E05DF">
        <w:rPr>
          <w:szCs w:val="26"/>
        </w:rPr>
        <w:t xml:space="preserve">does not </w:t>
      </w:r>
      <w:r w:rsidRPr="006E05DF" w:rsidR="00750417">
        <w:rPr>
          <w:szCs w:val="26"/>
        </w:rPr>
        <w:t xml:space="preserve">serve as </w:t>
      </w:r>
      <w:r w:rsidRPr="006E05DF" w:rsidR="00E0532A">
        <w:rPr>
          <w:szCs w:val="26"/>
        </w:rPr>
        <w:t xml:space="preserve">a </w:t>
      </w:r>
      <w:r w:rsidRPr="006E05DF" w:rsidR="00B02540">
        <w:rPr>
          <w:szCs w:val="26"/>
        </w:rPr>
        <w:t xml:space="preserve">litmus </w:t>
      </w:r>
      <w:r w:rsidRPr="006E05DF" w:rsidR="00E0532A">
        <w:rPr>
          <w:szCs w:val="26"/>
        </w:rPr>
        <w:t xml:space="preserve">test for </w:t>
      </w:r>
      <w:r w:rsidRPr="006E05DF">
        <w:rPr>
          <w:szCs w:val="26"/>
        </w:rPr>
        <w:t xml:space="preserve">classifying </w:t>
      </w:r>
      <w:r w:rsidRPr="006E05DF" w:rsidR="00E0532A">
        <w:rPr>
          <w:szCs w:val="26"/>
        </w:rPr>
        <w:t>speech in a particular instance.</w:t>
      </w:r>
      <w:r w:rsidRPr="006E05DF" w:rsidR="00A335FC">
        <w:rPr>
          <w:szCs w:val="26"/>
        </w:rPr>
        <w:t xml:space="preserve">  </w:t>
      </w:r>
      <w:r w:rsidRPr="006E05DF">
        <w:rPr>
          <w:szCs w:val="26"/>
        </w:rPr>
        <w:t xml:space="preserve">(See </w:t>
      </w:r>
      <w:r w:rsidRPr="006E05DF">
        <w:rPr>
          <w:i/>
          <w:iCs/>
          <w:szCs w:val="26"/>
        </w:rPr>
        <w:t>id.</w:t>
      </w:r>
      <w:r w:rsidRPr="006E05DF">
        <w:rPr>
          <w:szCs w:val="26"/>
        </w:rPr>
        <w:t xml:space="preserve"> at p. 957 [highlighting the flexible nature of the commercial speech inquiry].)</w:t>
      </w:r>
    </w:p>
    <w:p w:rsidR="00020837" w:rsidRPr="006E05DF" w:rsidP="00314A1F">
      <w:pPr>
        <w:ind w:firstLine="720"/>
        <w:rPr>
          <w:szCs w:val="26"/>
        </w:rPr>
      </w:pPr>
      <w:r w:rsidRPr="00057DD5">
        <w:rPr>
          <w:szCs w:val="26"/>
        </w:rPr>
        <w:t xml:space="preserve">Thus, </w:t>
      </w:r>
      <w:r w:rsidRPr="00057DD5" w:rsidR="006F1651">
        <w:rPr>
          <w:szCs w:val="26"/>
        </w:rPr>
        <w:t xml:space="preserve">while </w:t>
      </w:r>
      <w:r w:rsidRPr="00057DD5">
        <w:rPr>
          <w:i/>
          <w:iCs/>
          <w:szCs w:val="26"/>
        </w:rPr>
        <w:t>Kasky</w:t>
      </w:r>
      <w:r w:rsidRPr="00057DD5">
        <w:rPr>
          <w:szCs w:val="26"/>
        </w:rPr>
        <w:t xml:space="preserve"> identified </w:t>
      </w:r>
      <w:r w:rsidRPr="00057DD5" w:rsidR="000E6B8A">
        <w:rPr>
          <w:szCs w:val="26"/>
        </w:rPr>
        <w:t xml:space="preserve">the scenario in which </w:t>
      </w:r>
      <w:r w:rsidRPr="00057DD5" w:rsidR="009526E7">
        <w:rPr>
          <w:szCs w:val="26"/>
        </w:rPr>
        <w:t xml:space="preserve">commercial </w:t>
      </w:r>
      <w:r w:rsidRPr="00057DD5" w:rsidR="006F1651">
        <w:rPr>
          <w:szCs w:val="26"/>
        </w:rPr>
        <w:t xml:space="preserve">speech is within the </w:t>
      </w:r>
      <w:r w:rsidR="007563B4">
        <w:rPr>
          <w:szCs w:val="26"/>
        </w:rPr>
        <w:t xml:space="preserve">speaker’s </w:t>
      </w:r>
      <w:r w:rsidRPr="00057DD5" w:rsidR="006F1651">
        <w:rPr>
          <w:szCs w:val="26"/>
        </w:rPr>
        <w:t>personal knowledge,</w:t>
      </w:r>
      <w:r w:rsidRPr="00057DD5">
        <w:rPr>
          <w:szCs w:val="26"/>
        </w:rPr>
        <w:t xml:space="preserve"> </w:t>
      </w:r>
      <w:r w:rsidRPr="00057DD5" w:rsidR="00C116B5">
        <w:rPr>
          <w:i/>
          <w:iCs/>
          <w:szCs w:val="26"/>
        </w:rPr>
        <w:t>Kasky</w:t>
      </w:r>
      <w:r w:rsidRPr="00057DD5" w:rsidR="00C116B5">
        <w:rPr>
          <w:szCs w:val="26"/>
        </w:rPr>
        <w:t xml:space="preserve"> </w:t>
      </w:r>
      <w:r w:rsidRPr="00057DD5" w:rsidR="00B541F7">
        <w:rPr>
          <w:szCs w:val="26"/>
        </w:rPr>
        <w:t>went on to say</w:t>
      </w:r>
      <w:r w:rsidRPr="00057DD5" w:rsidR="00724D9F">
        <w:rPr>
          <w:szCs w:val="26"/>
        </w:rPr>
        <w:t xml:space="preserve"> </w:t>
      </w:r>
      <w:r w:rsidRPr="00057DD5" w:rsidR="00876FED">
        <w:rPr>
          <w:szCs w:val="26"/>
        </w:rPr>
        <w:t>the “may be more easily verifiable” explanation implie</w:t>
      </w:r>
      <w:r w:rsidRPr="00057DD5" w:rsidR="002E4728">
        <w:rPr>
          <w:szCs w:val="26"/>
        </w:rPr>
        <w:t>d</w:t>
      </w:r>
      <w:r w:rsidRPr="00057DD5" w:rsidR="00876FED">
        <w:rPr>
          <w:szCs w:val="26"/>
        </w:rPr>
        <w:t xml:space="preserve"> </w:t>
      </w:r>
      <w:r w:rsidRPr="00057DD5" w:rsidR="00211C2B">
        <w:rPr>
          <w:szCs w:val="26"/>
        </w:rPr>
        <w:t>the</w:t>
      </w:r>
      <w:r w:rsidRPr="00057DD5" w:rsidR="00876FED">
        <w:rPr>
          <w:szCs w:val="26"/>
        </w:rPr>
        <w:t xml:space="preserve"> </w:t>
      </w:r>
      <w:r w:rsidRPr="00057DD5" w:rsidR="00D04792">
        <w:rPr>
          <w:szCs w:val="26"/>
        </w:rPr>
        <w:t xml:space="preserve">very </w:t>
      </w:r>
      <w:r w:rsidRPr="00057DD5" w:rsidR="00876FED">
        <w:rPr>
          <w:szCs w:val="26"/>
        </w:rPr>
        <w:t>definition of commercial content</w:t>
      </w:r>
      <w:r w:rsidRPr="00057DD5" w:rsidR="0081553A">
        <w:rPr>
          <w:szCs w:val="26"/>
        </w:rPr>
        <w:t xml:space="preserve"> just </w:t>
      </w:r>
      <w:r w:rsidRPr="00057DD5" w:rsidR="00876FED">
        <w:rPr>
          <w:szCs w:val="26"/>
        </w:rPr>
        <w:t>announced</w:t>
      </w:r>
      <w:r w:rsidR="00437868">
        <w:rPr>
          <w:szCs w:val="26"/>
        </w:rPr>
        <w:t> </w:t>
      </w:r>
      <w:r w:rsidRPr="00057DD5" w:rsidR="00876FED">
        <w:rPr>
          <w:szCs w:val="26"/>
        </w:rPr>
        <w:t>—</w:t>
      </w:r>
      <w:r w:rsidR="009B5ABF">
        <w:rPr>
          <w:szCs w:val="26"/>
        </w:rPr>
        <w:t xml:space="preserve"> </w:t>
      </w:r>
      <w:r w:rsidR="00057DD5">
        <w:rPr>
          <w:szCs w:val="26"/>
        </w:rPr>
        <w:t xml:space="preserve"> </w:t>
      </w:r>
      <w:r w:rsidRPr="00057DD5" w:rsidR="00876FED">
        <w:rPr>
          <w:szCs w:val="26"/>
        </w:rPr>
        <w:t>that is, promotional representations of fact about the business, products, or services of a speaker or whoever the speaker represents.</w:t>
      </w:r>
      <w:r w:rsidRPr="006E05DF" w:rsidR="00876FED">
        <w:rPr>
          <w:szCs w:val="26"/>
        </w:rPr>
        <w:t xml:space="preserve">  </w:t>
      </w:r>
      <w:r w:rsidRPr="006E05DF" w:rsidR="00876FED">
        <w:rPr>
          <w:szCs w:val="26"/>
        </w:rPr>
        <w:t>(</w:t>
      </w:r>
      <w:r w:rsidRPr="006E05DF" w:rsidR="00876FED">
        <w:rPr>
          <w:i/>
          <w:iCs/>
          <w:szCs w:val="26"/>
        </w:rPr>
        <w:t>Kasky</w:t>
      </w:r>
      <w:r w:rsidRPr="006E05DF" w:rsidR="00876FED">
        <w:rPr>
          <w:szCs w:val="26"/>
        </w:rPr>
        <w:t>,</w:t>
      </w:r>
      <w:r w:rsidRPr="006E05DF" w:rsidR="00876FED">
        <w:rPr>
          <w:i/>
          <w:iCs/>
          <w:szCs w:val="26"/>
        </w:rPr>
        <w:t xml:space="preserve"> supra</w:t>
      </w:r>
      <w:r w:rsidRPr="006E05DF" w:rsidR="00876FED">
        <w:rPr>
          <w:szCs w:val="26"/>
        </w:rPr>
        <w:t xml:space="preserve">, 27 Cal.4th at pp. </w:t>
      </w:r>
      <w:r w:rsidR="007563B4">
        <w:rPr>
          <w:szCs w:val="26"/>
        </w:rPr>
        <w:t xml:space="preserve">955, </w:t>
      </w:r>
      <w:r w:rsidRPr="006E05DF" w:rsidR="00876FED">
        <w:rPr>
          <w:szCs w:val="26"/>
        </w:rPr>
        <w:t>961</w:t>
      </w:r>
      <w:r w:rsidRPr="006E05DF" w:rsidR="005B39C8">
        <w:rPr>
          <w:szCs w:val="26"/>
        </w:rPr>
        <w:t>–</w:t>
      </w:r>
      <w:r w:rsidRPr="006E05DF" w:rsidR="00876FED">
        <w:rPr>
          <w:szCs w:val="26"/>
        </w:rPr>
        <w:t>962.)</w:t>
      </w:r>
      <w:r w:rsidRPr="006E05DF" w:rsidR="00876FED">
        <w:rPr>
          <w:szCs w:val="26"/>
        </w:rPr>
        <w:t xml:space="preserve">  </w:t>
      </w:r>
      <w:r w:rsidRPr="006E05DF" w:rsidR="00D04792">
        <w:rPr>
          <w:szCs w:val="26"/>
        </w:rPr>
        <w:t>Consistent with this, o</w:t>
      </w:r>
      <w:r w:rsidRPr="006E05DF" w:rsidR="00816BFF">
        <w:rPr>
          <w:szCs w:val="26"/>
        </w:rPr>
        <w:t xml:space="preserve">ur primary </w:t>
      </w:r>
      <w:r w:rsidRPr="006E05DF">
        <w:rPr>
          <w:szCs w:val="26"/>
        </w:rPr>
        <w:t>basis</w:t>
      </w:r>
      <w:r w:rsidRPr="006E05DF" w:rsidR="00816BFF">
        <w:rPr>
          <w:szCs w:val="26"/>
        </w:rPr>
        <w:t xml:space="preserve"> for concluding </w:t>
      </w:r>
      <w:r w:rsidRPr="006E05DF" w:rsidR="0081553A">
        <w:rPr>
          <w:szCs w:val="26"/>
        </w:rPr>
        <w:t xml:space="preserve">Nike’s speech had commercial content </w:t>
      </w:r>
      <w:r w:rsidRPr="006E05DF" w:rsidR="00816BFF">
        <w:rPr>
          <w:szCs w:val="26"/>
        </w:rPr>
        <w:t xml:space="preserve">was </w:t>
      </w:r>
      <w:r w:rsidRPr="006E05DF" w:rsidR="0081553A">
        <w:rPr>
          <w:szCs w:val="26"/>
        </w:rPr>
        <w:t>it</w:t>
      </w:r>
      <w:r w:rsidRPr="006E05DF" w:rsidR="007F64C1">
        <w:rPr>
          <w:szCs w:val="26"/>
        </w:rPr>
        <w:t>s connection to Nike’s</w:t>
      </w:r>
      <w:r w:rsidRPr="006E05DF" w:rsidR="0081553A">
        <w:rPr>
          <w:szCs w:val="26"/>
        </w:rPr>
        <w:t xml:space="preserve"> </w:t>
      </w:r>
      <w:r w:rsidRPr="006E05DF" w:rsidR="007F64C1">
        <w:rPr>
          <w:szCs w:val="26"/>
        </w:rPr>
        <w:t>“</w:t>
      </w:r>
      <w:r w:rsidRPr="006E05DF" w:rsidR="00816BFF">
        <w:rPr>
          <w:szCs w:val="26"/>
        </w:rPr>
        <w:t xml:space="preserve">own </w:t>
      </w:r>
      <w:r w:rsidRPr="006E05DF" w:rsidR="0081553A">
        <w:rPr>
          <w:szCs w:val="26"/>
        </w:rPr>
        <w:t>business operations.</w:t>
      </w:r>
      <w:r w:rsidRPr="006E05DF" w:rsidR="00816BFF">
        <w:rPr>
          <w:szCs w:val="26"/>
        </w:rPr>
        <w:t>”</w:t>
      </w:r>
      <w:r w:rsidRPr="006E05DF" w:rsidR="0081553A">
        <w:rPr>
          <w:szCs w:val="26"/>
        </w:rPr>
        <w:t xml:space="preserve">  (</w:t>
      </w:r>
      <w:r w:rsidRPr="006E05DF" w:rsidR="0081553A">
        <w:rPr>
          <w:i/>
          <w:iCs/>
          <w:szCs w:val="26"/>
        </w:rPr>
        <w:t>Id.</w:t>
      </w:r>
      <w:r w:rsidRPr="006E05DF" w:rsidR="0081553A">
        <w:rPr>
          <w:szCs w:val="26"/>
        </w:rPr>
        <w:t xml:space="preserve"> at </w:t>
      </w:r>
      <w:r w:rsidRPr="006E05DF" w:rsidR="00816BFF">
        <w:rPr>
          <w:szCs w:val="26"/>
        </w:rPr>
        <w:t>p</w:t>
      </w:r>
      <w:r w:rsidRPr="006E05DF" w:rsidR="0081553A">
        <w:rPr>
          <w:szCs w:val="26"/>
        </w:rPr>
        <w:t xml:space="preserve">p. </w:t>
      </w:r>
      <w:r w:rsidRPr="006E05DF" w:rsidR="00816BFF">
        <w:rPr>
          <w:szCs w:val="26"/>
        </w:rPr>
        <w:t xml:space="preserve">963, </w:t>
      </w:r>
      <w:r w:rsidRPr="006E05DF" w:rsidR="0081553A">
        <w:rPr>
          <w:szCs w:val="26"/>
        </w:rPr>
        <w:t>96</w:t>
      </w:r>
      <w:r w:rsidRPr="006E05DF" w:rsidR="00816BFF">
        <w:rPr>
          <w:szCs w:val="26"/>
        </w:rPr>
        <w:t>4</w:t>
      </w:r>
      <w:r w:rsidRPr="006E05DF" w:rsidR="0081553A">
        <w:rPr>
          <w:szCs w:val="26"/>
        </w:rPr>
        <w:t xml:space="preserve">.)  This was so even though Nike’s </w:t>
      </w:r>
      <w:r w:rsidRPr="006E05DF" w:rsidR="00876FED">
        <w:rPr>
          <w:szCs w:val="26"/>
        </w:rPr>
        <w:t xml:space="preserve">representations </w:t>
      </w:r>
      <w:r w:rsidRPr="006E05DF" w:rsidR="0081553A">
        <w:rPr>
          <w:szCs w:val="26"/>
        </w:rPr>
        <w:t xml:space="preserve">addressed </w:t>
      </w:r>
      <w:r w:rsidRPr="006E05DF" w:rsidR="00876FED">
        <w:rPr>
          <w:szCs w:val="26"/>
        </w:rPr>
        <w:t>factories</w:t>
      </w:r>
      <w:r w:rsidRPr="006E05DF" w:rsidR="0081553A">
        <w:rPr>
          <w:szCs w:val="26"/>
        </w:rPr>
        <w:t xml:space="preserve"> run </w:t>
      </w:r>
      <w:r w:rsidRPr="006E05DF">
        <w:rPr>
          <w:szCs w:val="26"/>
        </w:rPr>
        <w:t xml:space="preserve">not </w:t>
      </w:r>
      <w:r w:rsidRPr="006E05DF" w:rsidR="0081553A">
        <w:rPr>
          <w:szCs w:val="26"/>
        </w:rPr>
        <w:t xml:space="preserve">by </w:t>
      </w:r>
      <w:r w:rsidRPr="006E05DF" w:rsidR="00B51333">
        <w:rPr>
          <w:szCs w:val="26"/>
        </w:rPr>
        <w:t xml:space="preserve">its </w:t>
      </w:r>
      <w:r w:rsidRPr="006E05DF">
        <w:rPr>
          <w:szCs w:val="26"/>
        </w:rPr>
        <w:t xml:space="preserve">employees, but its </w:t>
      </w:r>
      <w:r w:rsidRPr="006E05DF" w:rsidR="0081553A">
        <w:rPr>
          <w:szCs w:val="26"/>
        </w:rPr>
        <w:t xml:space="preserve">subcontractors </w:t>
      </w:r>
      <w:r w:rsidRPr="006E05DF" w:rsidR="00876FED">
        <w:rPr>
          <w:szCs w:val="26"/>
        </w:rPr>
        <w:t>(</w:t>
      </w:r>
      <w:r w:rsidRPr="006E05DF" w:rsidR="00637392">
        <w:rPr>
          <w:i/>
          <w:iCs/>
          <w:szCs w:val="26"/>
        </w:rPr>
        <w:t>i</w:t>
      </w:r>
      <w:r w:rsidRPr="006E05DF" w:rsidR="0081553A">
        <w:rPr>
          <w:i/>
          <w:iCs/>
          <w:szCs w:val="26"/>
        </w:rPr>
        <w:t xml:space="preserve">d. </w:t>
      </w:r>
      <w:r w:rsidRPr="006E05DF" w:rsidR="00876FED">
        <w:rPr>
          <w:szCs w:val="26"/>
        </w:rPr>
        <w:t>at p</w:t>
      </w:r>
      <w:r w:rsidR="00FA7C30">
        <w:rPr>
          <w:szCs w:val="26"/>
        </w:rPr>
        <w:t>p</w:t>
      </w:r>
      <w:r w:rsidRPr="006E05DF" w:rsidR="00876FED">
        <w:rPr>
          <w:szCs w:val="26"/>
        </w:rPr>
        <w:t>. 955, 962</w:t>
      </w:r>
      <w:r w:rsidRPr="006E05DF" w:rsidR="005B39C8">
        <w:rPr>
          <w:szCs w:val="26"/>
        </w:rPr>
        <w:t>–</w:t>
      </w:r>
      <w:r w:rsidRPr="006E05DF" w:rsidR="00876FED">
        <w:rPr>
          <w:szCs w:val="26"/>
        </w:rPr>
        <w:t>963)</w:t>
      </w:r>
      <w:r w:rsidR="009274B7">
        <w:rPr>
          <w:szCs w:val="26"/>
        </w:rPr>
        <w:t>,</w:t>
      </w:r>
      <w:r w:rsidRPr="006E05DF" w:rsidR="00876FED">
        <w:rPr>
          <w:szCs w:val="26"/>
        </w:rPr>
        <w:t xml:space="preserve"> </w:t>
      </w:r>
      <w:r w:rsidRPr="006E05DF" w:rsidR="00637392">
        <w:rPr>
          <w:szCs w:val="26"/>
        </w:rPr>
        <w:t xml:space="preserve">and </w:t>
      </w:r>
      <w:r w:rsidRPr="006E05DF" w:rsidR="00876FED">
        <w:rPr>
          <w:szCs w:val="26"/>
        </w:rPr>
        <w:t xml:space="preserve">matters </w:t>
      </w:r>
      <w:r w:rsidRPr="006E05DF" w:rsidR="00816BFF">
        <w:rPr>
          <w:szCs w:val="26"/>
        </w:rPr>
        <w:t xml:space="preserve">only </w:t>
      </w:r>
      <w:r w:rsidRPr="006E05DF" w:rsidR="00876FED">
        <w:rPr>
          <w:szCs w:val="26"/>
        </w:rPr>
        <w:t>“</w:t>
      </w:r>
      <w:r w:rsidRPr="006E05DF" w:rsidR="00876FED">
        <w:rPr>
          <w:i/>
          <w:iCs/>
          <w:szCs w:val="26"/>
        </w:rPr>
        <w:t>likely</w:t>
      </w:r>
      <w:r w:rsidRPr="006E05DF" w:rsidR="00876FED">
        <w:rPr>
          <w:szCs w:val="26"/>
        </w:rPr>
        <w:t xml:space="preserve"> to be within the personal knowledge” of those subcontractors, which suggested </w:t>
      </w:r>
      <w:r w:rsidRPr="006E05DF" w:rsidR="00816BFF">
        <w:rPr>
          <w:szCs w:val="26"/>
        </w:rPr>
        <w:t xml:space="preserve">only that </w:t>
      </w:r>
      <w:r w:rsidRPr="006E05DF" w:rsidR="00876FED">
        <w:rPr>
          <w:szCs w:val="26"/>
        </w:rPr>
        <w:t xml:space="preserve">“Nike was </w:t>
      </w:r>
      <w:r w:rsidRPr="006E05DF" w:rsidR="00876FED">
        <w:rPr>
          <w:i/>
          <w:iCs/>
          <w:szCs w:val="26"/>
        </w:rPr>
        <w:t>in a position</w:t>
      </w:r>
      <w:r w:rsidRPr="006E05DF" w:rsidR="00876FED">
        <w:rPr>
          <w:szCs w:val="26"/>
        </w:rPr>
        <w:t xml:space="preserve"> to readily verify” its assertions (</w:t>
      </w:r>
      <w:r w:rsidRPr="006E05DF" w:rsidR="00637392">
        <w:rPr>
          <w:i/>
          <w:iCs/>
          <w:szCs w:val="26"/>
        </w:rPr>
        <w:t>id.</w:t>
      </w:r>
      <w:r w:rsidRPr="006E05DF" w:rsidR="00876FED">
        <w:rPr>
          <w:szCs w:val="26"/>
        </w:rPr>
        <w:t xml:space="preserve"> at p. 963, </w:t>
      </w:r>
      <w:r w:rsidR="00FA7C30">
        <w:rPr>
          <w:szCs w:val="26"/>
        </w:rPr>
        <w:t>italics</w:t>
      </w:r>
      <w:r w:rsidRPr="006E05DF" w:rsidR="00FA7C30">
        <w:rPr>
          <w:szCs w:val="26"/>
        </w:rPr>
        <w:t xml:space="preserve"> </w:t>
      </w:r>
      <w:r w:rsidRPr="006E05DF" w:rsidR="00876FED">
        <w:rPr>
          <w:szCs w:val="26"/>
        </w:rPr>
        <w:t>added</w:t>
      </w:r>
      <w:r w:rsidRPr="006E05DF" w:rsidR="00C30ED8">
        <w:rPr>
          <w:szCs w:val="26"/>
        </w:rPr>
        <w:t>)</w:t>
      </w:r>
      <w:r w:rsidRPr="006E05DF" w:rsidR="00637392">
        <w:rPr>
          <w:szCs w:val="26"/>
        </w:rPr>
        <w:t>.</w:t>
      </w:r>
      <w:r w:rsidRPr="006E05DF" w:rsidR="00C116B5">
        <w:rPr>
          <w:szCs w:val="26"/>
        </w:rPr>
        <w:t xml:space="preserve">  By </w:t>
      </w:r>
      <w:r w:rsidRPr="006E05DF" w:rsidR="00F27DB1">
        <w:rPr>
          <w:szCs w:val="26"/>
        </w:rPr>
        <w:t xml:space="preserve">alluding to likely knowledge and potential verifiability to bolster </w:t>
      </w:r>
      <w:r w:rsidRPr="006E05DF" w:rsidR="00C116B5">
        <w:rPr>
          <w:szCs w:val="26"/>
        </w:rPr>
        <w:t xml:space="preserve">its </w:t>
      </w:r>
      <w:r w:rsidRPr="006E05DF" w:rsidR="00F27DB1">
        <w:rPr>
          <w:szCs w:val="26"/>
        </w:rPr>
        <w:t>conclusion</w:t>
      </w:r>
      <w:r w:rsidRPr="006E05DF" w:rsidR="00C116B5">
        <w:rPr>
          <w:szCs w:val="26"/>
        </w:rPr>
        <w:t xml:space="preserve"> that Nike’s speech was commercial</w:t>
      </w:r>
      <w:r w:rsidRPr="006E05DF" w:rsidR="00C053A8">
        <w:rPr>
          <w:szCs w:val="26"/>
        </w:rPr>
        <w:t xml:space="preserve">, </w:t>
      </w:r>
      <w:r w:rsidRPr="006E05DF" w:rsidR="00C116B5">
        <w:rPr>
          <w:i/>
          <w:iCs/>
          <w:szCs w:val="26"/>
        </w:rPr>
        <w:t>Kasky</w:t>
      </w:r>
      <w:r w:rsidRPr="006E05DF" w:rsidR="00C116B5">
        <w:rPr>
          <w:szCs w:val="26"/>
        </w:rPr>
        <w:t xml:space="preserve"> </w:t>
      </w:r>
      <w:r w:rsidRPr="006E05DF" w:rsidR="00C053A8">
        <w:rPr>
          <w:szCs w:val="26"/>
        </w:rPr>
        <w:t xml:space="preserve">did not </w:t>
      </w:r>
      <w:r w:rsidRPr="006E05DF" w:rsidR="0081553A">
        <w:rPr>
          <w:szCs w:val="26"/>
        </w:rPr>
        <w:t>establish a knowledge or verifiability requirement.</w:t>
      </w:r>
      <w:r w:rsidRPr="006E05DF" w:rsidR="006E08CD">
        <w:rPr>
          <w:szCs w:val="26"/>
        </w:rPr>
        <w:t xml:space="preserve"> </w:t>
      </w:r>
      <w:r w:rsidRPr="006E05DF" w:rsidR="0081553A">
        <w:rPr>
          <w:szCs w:val="26"/>
        </w:rPr>
        <w:t xml:space="preserve"> (</w:t>
      </w:r>
      <w:r w:rsidRPr="006E05DF" w:rsidR="006E08CD">
        <w:rPr>
          <w:szCs w:val="26"/>
        </w:rPr>
        <w:t xml:space="preserve">See </w:t>
      </w:r>
      <w:r w:rsidRPr="006E05DF" w:rsidR="0081553A">
        <w:rPr>
          <w:i/>
          <w:iCs/>
          <w:szCs w:val="26"/>
        </w:rPr>
        <w:t>Rosen v. State Farm General Ins. Co.</w:t>
      </w:r>
      <w:r w:rsidRPr="006E05DF" w:rsidR="0081553A">
        <w:rPr>
          <w:szCs w:val="26"/>
        </w:rPr>
        <w:t xml:space="preserve"> (2003) 30 Cal.4th 1070, 1076 [“</w:t>
      </w:r>
      <w:r w:rsidR="00CE6584">
        <w:rPr>
          <w:szCs w:val="26"/>
        </w:rPr>
        <w:t> </w:t>
      </w:r>
      <w:r w:rsidRPr="006E05DF" w:rsidR="00E83BE7">
        <w:rPr>
          <w:szCs w:val="26"/>
        </w:rPr>
        <w:t>‘</w:t>
      </w:r>
      <w:r w:rsidR="00EE4634">
        <w:rPr>
          <w:szCs w:val="26"/>
        </w:rPr>
        <w:t>a</w:t>
      </w:r>
      <w:r w:rsidRPr="006E05DF" w:rsidR="0081553A">
        <w:rPr>
          <w:szCs w:val="26"/>
        </w:rPr>
        <w:t>n opinion is only authority for those issues actually considered or decided</w:t>
      </w:r>
      <w:r w:rsidRPr="006E05DF" w:rsidR="00E83BE7">
        <w:rPr>
          <w:szCs w:val="26"/>
        </w:rPr>
        <w:t>’</w:t>
      </w:r>
      <w:r w:rsidR="00CE6584">
        <w:rPr>
          <w:szCs w:val="26"/>
        </w:rPr>
        <w:t> </w:t>
      </w:r>
      <w:r w:rsidRPr="006E05DF" w:rsidR="0081553A">
        <w:rPr>
          <w:szCs w:val="26"/>
        </w:rPr>
        <w:t>”].)</w:t>
      </w:r>
      <w:r w:rsidRPr="006E05DF" w:rsidR="0017400A">
        <w:rPr>
          <w:szCs w:val="26"/>
        </w:rPr>
        <w:t xml:space="preserve">  Nor has this </w:t>
      </w:r>
      <w:r w:rsidRPr="006E05DF" w:rsidR="004771CF">
        <w:rPr>
          <w:szCs w:val="26"/>
        </w:rPr>
        <w:t>c</w:t>
      </w:r>
      <w:r w:rsidRPr="006E05DF" w:rsidR="0017400A">
        <w:rPr>
          <w:szCs w:val="26"/>
        </w:rPr>
        <w:t xml:space="preserve">ourt or the high court </w:t>
      </w:r>
      <w:r w:rsidRPr="006E05DF" w:rsidR="007F64C1">
        <w:rPr>
          <w:szCs w:val="26"/>
        </w:rPr>
        <w:t xml:space="preserve">otherwise </w:t>
      </w:r>
      <w:r w:rsidRPr="006E05DF" w:rsidR="0017400A">
        <w:rPr>
          <w:szCs w:val="26"/>
        </w:rPr>
        <w:t>imposed such requirements.</w:t>
      </w:r>
      <w:r w:rsidRPr="006E05DF" w:rsidR="00E0532A">
        <w:rPr>
          <w:szCs w:val="26"/>
        </w:rPr>
        <w:t xml:space="preserve"> </w:t>
      </w:r>
      <w:r w:rsidRPr="006E05DF" w:rsidR="00FE1746">
        <w:rPr>
          <w:szCs w:val="26"/>
        </w:rPr>
        <w:t xml:space="preserve"> </w:t>
      </w:r>
    </w:p>
    <w:p w:rsidR="001A7B04" w:rsidRPr="006E05DF" w:rsidP="00314A1F">
      <w:pPr>
        <w:ind w:firstLine="720"/>
        <w:rPr>
          <w:szCs w:val="26"/>
        </w:rPr>
      </w:pPr>
      <w:r w:rsidRPr="006E05DF">
        <w:rPr>
          <w:szCs w:val="26"/>
        </w:rPr>
        <w:t xml:space="preserve">Moreover, </w:t>
      </w:r>
      <w:r w:rsidRPr="006E05DF" w:rsidR="000D7D74">
        <w:rPr>
          <w:szCs w:val="26"/>
        </w:rPr>
        <w:t xml:space="preserve">it </w:t>
      </w:r>
      <w:r w:rsidRPr="006E05DF">
        <w:rPr>
          <w:szCs w:val="26"/>
        </w:rPr>
        <w:t>seems</w:t>
      </w:r>
      <w:r w:rsidRPr="006E05DF" w:rsidR="009C752A">
        <w:rPr>
          <w:szCs w:val="26"/>
        </w:rPr>
        <w:t xml:space="preserve"> </w:t>
      </w:r>
      <w:r w:rsidRPr="006E05DF" w:rsidR="00F02B61">
        <w:rPr>
          <w:szCs w:val="26"/>
        </w:rPr>
        <w:t xml:space="preserve">problematic </w:t>
      </w:r>
      <w:r w:rsidRPr="006E05DF" w:rsidR="00D43126">
        <w:rPr>
          <w:szCs w:val="26"/>
        </w:rPr>
        <w:t xml:space="preserve">to assess the commercial or noncommercial </w:t>
      </w:r>
      <w:r w:rsidRPr="006E05DF" w:rsidR="00876FED">
        <w:rPr>
          <w:szCs w:val="26"/>
        </w:rPr>
        <w:t>content</w:t>
      </w:r>
      <w:r w:rsidRPr="006E05DF" w:rsidR="00D43126">
        <w:rPr>
          <w:szCs w:val="26"/>
        </w:rPr>
        <w:t xml:space="preserve"> of speech by measuring a speaker’s level of </w:t>
      </w:r>
      <w:r w:rsidRPr="006E05DF" w:rsidR="00876FED">
        <w:rPr>
          <w:szCs w:val="26"/>
        </w:rPr>
        <w:t>personal</w:t>
      </w:r>
      <w:r w:rsidRPr="006E05DF" w:rsidR="00215F98">
        <w:rPr>
          <w:szCs w:val="26"/>
        </w:rPr>
        <w:t xml:space="preserve"> </w:t>
      </w:r>
      <w:r w:rsidRPr="006E05DF" w:rsidR="00D43126">
        <w:rPr>
          <w:szCs w:val="26"/>
        </w:rPr>
        <w:t>knowledge</w:t>
      </w:r>
      <w:r w:rsidRPr="006E05DF" w:rsidR="005E5306">
        <w:rPr>
          <w:szCs w:val="26"/>
        </w:rPr>
        <w:t>.</w:t>
      </w:r>
      <w:r w:rsidRPr="006E05DF" w:rsidR="00A37C0E">
        <w:rPr>
          <w:szCs w:val="26"/>
        </w:rPr>
        <w:t xml:space="preserve"> </w:t>
      </w:r>
      <w:r w:rsidRPr="006E05DF" w:rsidR="007D6BCA">
        <w:rPr>
          <w:szCs w:val="26"/>
        </w:rPr>
        <w:t xml:space="preserve"> </w:t>
      </w:r>
      <w:r w:rsidRPr="006E05DF" w:rsidR="004F1023">
        <w:rPr>
          <w:szCs w:val="26"/>
        </w:rPr>
        <w:t xml:space="preserve">For example, if </w:t>
      </w:r>
      <w:r w:rsidRPr="006E05DF" w:rsidR="00215F98">
        <w:rPr>
          <w:szCs w:val="26"/>
        </w:rPr>
        <w:t xml:space="preserve">we correlate knowledge with commercial speech, then two identical promotional statements </w:t>
      </w:r>
      <w:r w:rsidRPr="006E05DF" w:rsidR="006D32DB">
        <w:rPr>
          <w:szCs w:val="26"/>
        </w:rPr>
        <w:t xml:space="preserve">might </w:t>
      </w:r>
      <w:r w:rsidRPr="006E05DF" w:rsidR="00876FED">
        <w:rPr>
          <w:szCs w:val="26"/>
        </w:rPr>
        <w:t xml:space="preserve">face </w:t>
      </w:r>
      <w:r w:rsidRPr="006E05DF" w:rsidR="00215F98">
        <w:rPr>
          <w:szCs w:val="26"/>
        </w:rPr>
        <w:t>differing regulation</w:t>
      </w:r>
      <w:r w:rsidRPr="006E05DF" w:rsidR="002554FD">
        <w:rPr>
          <w:szCs w:val="26"/>
        </w:rPr>
        <w:t>s</w:t>
      </w:r>
      <w:r w:rsidRPr="006E05DF" w:rsidR="00215F98">
        <w:rPr>
          <w:szCs w:val="26"/>
        </w:rPr>
        <w:t xml:space="preserve"> because of something invisible to consumers: </w:t>
      </w:r>
      <w:r w:rsidRPr="006E05DF" w:rsidR="000829CD">
        <w:rPr>
          <w:szCs w:val="26"/>
        </w:rPr>
        <w:t xml:space="preserve"> </w:t>
      </w:r>
      <w:r w:rsidRPr="006E05DF" w:rsidR="00215F98">
        <w:rPr>
          <w:szCs w:val="26"/>
        </w:rPr>
        <w:t xml:space="preserve">the speaker’s </w:t>
      </w:r>
      <w:r w:rsidRPr="006E05DF" w:rsidR="00D47ED2">
        <w:rPr>
          <w:szCs w:val="26"/>
        </w:rPr>
        <w:t>mental state</w:t>
      </w:r>
      <w:r w:rsidRPr="006E05DF" w:rsidR="00215F98">
        <w:rPr>
          <w:szCs w:val="26"/>
        </w:rPr>
        <w:t xml:space="preserve">.  </w:t>
      </w:r>
      <w:r w:rsidRPr="006E05DF" w:rsidR="00572B46">
        <w:rPr>
          <w:szCs w:val="26"/>
        </w:rPr>
        <w:t>(</w:t>
      </w:r>
      <w:r w:rsidRPr="006E05DF" w:rsidR="00572B46">
        <w:rPr>
          <w:i/>
          <w:iCs/>
          <w:szCs w:val="26"/>
        </w:rPr>
        <w:t xml:space="preserve">People v. Superior Court </w:t>
      </w:r>
      <w:r w:rsidRPr="007563B4" w:rsidR="00572B46">
        <w:rPr>
          <w:szCs w:val="26"/>
        </w:rPr>
        <w:t>(</w:t>
      </w:r>
      <w:r w:rsidRPr="006E05DF" w:rsidR="00572B46">
        <w:rPr>
          <w:i/>
          <w:iCs/>
          <w:szCs w:val="26"/>
        </w:rPr>
        <w:t>Olson</w:t>
      </w:r>
      <w:r w:rsidRPr="007563B4" w:rsidR="00572B46">
        <w:rPr>
          <w:szCs w:val="26"/>
        </w:rPr>
        <w:t>)</w:t>
      </w:r>
      <w:r w:rsidRPr="006E05DF" w:rsidR="00572B46">
        <w:rPr>
          <w:szCs w:val="26"/>
        </w:rPr>
        <w:t xml:space="preserve"> (1979) 96 Cal.App.3d 181, 191, 195 [injury to consumers is the same regardless of what an advertiser knows]; accord </w:t>
      </w:r>
      <w:r w:rsidRPr="006E05DF" w:rsidR="00572B46">
        <w:rPr>
          <w:i/>
          <w:iCs/>
          <w:szCs w:val="26"/>
        </w:rPr>
        <w:t>P&amp;G v. Amway Corp.</w:t>
      </w:r>
      <w:r w:rsidRPr="006E05DF" w:rsidR="00572B46">
        <w:rPr>
          <w:szCs w:val="26"/>
        </w:rPr>
        <w:t xml:space="preserve"> (5th Cir. 2001) 242 F.3d 539, 552, fn. 26 [speech’s commercial status is established “regardless of [a speaker’s] knowledge of falsity”].)  </w:t>
      </w:r>
      <w:r w:rsidRPr="006E05DF" w:rsidR="00516B82">
        <w:rPr>
          <w:szCs w:val="26"/>
        </w:rPr>
        <w:t>Also</w:t>
      </w:r>
      <w:r w:rsidRPr="006E05DF" w:rsidR="00215F98">
        <w:rPr>
          <w:szCs w:val="26"/>
        </w:rPr>
        <w:t xml:space="preserve">, </w:t>
      </w:r>
      <w:r w:rsidRPr="006E05DF" w:rsidR="00C90952">
        <w:rPr>
          <w:szCs w:val="26"/>
        </w:rPr>
        <w:t xml:space="preserve">if </w:t>
      </w:r>
      <w:r w:rsidRPr="006E05DF" w:rsidR="005E5306">
        <w:rPr>
          <w:szCs w:val="26"/>
        </w:rPr>
        <w:t xml:space="preserve">actual </w:t>
      </w:r>
      <w:r w:rsidRPr="006E05DF" w:rsidR="00D43126">
        <w:rPr>
          <w:szCs w:val="26"/>
        </w:rPr>
        <w:t xml:space="preserve">knowledge </w:t>
      </w:r>
      <w:r w:rsidRPr="006E05DF" w:rsidR="00C90952">
        <w:rPr>
          <w:szCs w:val="26"/>
        </w:rPr>
        <w:t xml:space="preserve">were the standard, that knowledge </w:t>
      </w:r>
      <w:r w:rsidRPr="006E05DF" w:rsidR="000829CD">
        <w:rPr>
          <w:szCs w:val="26"/>
        </w:rPr>
        <w:t>could</w:t>
      </w:r>
      <w:r w:rsidRPr="006E05DF" w:rsidR="00D43126">
        <w:rPr>
          <w:szCs w:val="26"/>
        </w:rPr>
        <w:t xml:space="preserve"> </w:t>
      </w:r>
      <w:r w:rsidRPr="006E05DF" w:rsidR="005E5306">
        <w:rPr>
          <w:szCs w:val="26"/>
        </w:rPr>
        <w:t>be</w:t>
      </w:r>
      <w:r w:rsidRPr="006E05DF" w:rsidR="00D43126">
        <w:rPr>
          <w:szCs w:val="26"/>
        </w:rPr>
        <w:t xml:space="preserve"> easily avoided</w:t>
      </w:r>
      <w:r w:rsidRPr="006E05DF" w:rsidR="000829CD">
        <w:rPr>
          <w:szCs w:val="26"/>
        </w:rPr>
        <w:t>.</w:t>
      </w:r>
      <w:r w:rsidRPr="006E05DF" w:rsidR="00D43126">
        <w:rPr>
          <w:szCs w:val="26"/>
        </w:rPr>
        <w:t xml:space="preserve">  </w:t>
      </w:r>
      <w:r w:rsidRPr="006E05DF" w:rsidR="00215F98">
        <w:rPr>
          <w:szCs w:val="26"/>
        </w:rPr>
        <w:t>S</w:t>
      </w:r>
      <w:r w:rsidRPr="006E05DF" w:rsidR="00EC788A">
        <w:rPr>
          <w:szCs w:val="26"/>
        </w:rPr>
        <w:t xml:space="preserve">ellers </w:t>
      </w:r>
      <w:r w:rsidRPr="006E05DF" w:rsidR="004D7298">
        <w:rPr>
          <w:szCs w:val="26"/>
        </w:rPr>
        <w:t xml:space="preserve">making </w:t>
      </w:r>
      <w:r w:rsidRPr="006E05DF" w:rsidR="00EC788A">
        <w:rPr>
          <w:szCs w:val="26"/>
        </w:rPr>
        <w:t xml:space="preserve">claims about their offerings surely do not avoid </w:t>
      </w:r>
      <w:r w:rsidRPr="006E05DF" w:rsidR="008A0936">
        <w:rPr>
          <w:szCs w:val="26"/>
        </w:rPr>
        <w:t xml:space="preserve">false advertising </w:t>
      </w:r>
      <w:r w:rsidRPr="006E05DF" w:rsidR="00EC788A">
        <w:rPr>
          <w:szCs w:val="26"/>
        </w:rPr>
        <w:t>regulation</w:t>
      </w:r>
      <w:r w:rsidR="007563B4">
        <w:rPr>
          <w:szCs w:val="26"/>
        </w:rPr>
        <w:t>,</w:t>
      </w:r>
      <w:r w:rsidRPr="006E05DF" w:rsidR="008A0936">
        <w:rPr>
          <w:szCs w:val="26"/>
        </w:rPr>
        <w:t xml:space="preserve"> or have their claims treated as noncommercial</w:t>
      </w:r>
      <w:r w:rsidRPr="006E05DF" w:rsidR="006D32DB">
        <w:rPr>
          <w:szCs w:val="26"/>
        </w:rPr>
        <w:t xml:space="preserve"> speech</w:t>
      </w:r>
      <w:r w:rsidR="007563B4">
        <w:rPr>
          <w:szCs w:val="26"/>
        </w:rPr>
        <w:t>,</w:t>
      </w:r>
      <w:r w:rsidRPr="006E05DF" w:rsidR="00EC788A">
        <w:rPr>
          <w:szCs w:val="26"/>
        </w:rPr>
        <w:t xml:space="preserve"> by scrupulously declining to verify </w:t>
      </w:r>
      <w:r w:rsidRPr="006E05DF" w:rsidR="006D32DB">
        <w:rPr>
          <w:szCs w:val="26"/>
        </w:rPr>
        <w:t xml:space="preserve">those </w:t>
      </w:r>
      <w:r w:rsidRPr="006E05DF" w:rsidR="00EC788A">
        <w:rPr>
          <w:szCs w:val="26"/>
        </w:rPr>
        <w:t xml:space="preserve">claims </w:t>
      </w:r>
      <w:r w:rsidRPr="006E05DF" w:rsidR="00EF1957">
        <w:rPr>
          <w:szCs w:val="26"/>
        </w:rPr>
        <w:t xml:space="preserve">or </w:t>
      </w:r>
      <w:r w:rsidRPr="006E05DF" w:rsidR="006D32DB">
        <w:rPr>
          <w:szCs w:val="26"/>
        </w:rPr>
        <w:t xml:space="preserve">to </w:t>
      </w:r>
      <w:r w:rsidRPr="006E05DF" w:rsidR="00EF1957">
        <w:rPr>
          <w:szCs w:val="26"/>
        </w:rPr>
        <w:t xml:space="preserve">acquire </w:t>
      </w:r>
      <w:r w:rsidRPr="006E05DF" w:rsidR="00EC788A">
        <w:rPr>
          <w:szCs w:val="26"/>
        </w:rPr>
        <w:t>knowledge.</w:t>
      </w:r>
      <w:r w:rsidRPr="006E05DF" w:rsidR="00C116B5">
        <w:rPr>
          <w:szCs w:val="26"/>
        </w:rPr>
        <w:t xml:space="preserve">  </w:t>
      </w:r>
      <w:r w:rsidRPr="006E05DF" w:rsidR="00F02B61">
        <w:rPr>
          <w:szCs w:val="26"/>
        </w:rPr>
        <w:t>A knowledge test would undermine false advertising law and reward turning a blind eye.</w:t>
      </w:r>
    </w:p>
    <w:p w:rsidR="00810BAA" w:rsidRPr="006E05DF" w:rsidP="00314A1F">
      <w:pPr>
        <w:rPr>
          <w:szCs w:val="26"/>
        </w:rPr>
      </w:pPr>
      <w:r w:rsidRPr="006E05DF">
        <w:rPr>
          <w:szCs w:val="26"/>
        </w:rPr>
        <w:tab/>
      </w:r>
      <w:r w:rsidRPr="006E05DF" w:rsidR="00876FED">
        <w:rPr>
          <w:szCs w:val="26"/>
        </w:rPr>
        <w:t xml:space="preserve">Correlating commercial speech </w:t>
      </w:r>
      <w:r w:rsidRPr="006E05DF" w:rsidR="00222735">
        <w:rPr>
          <w:szCs w:val="26"/>
        </w:rPr>
        <w:t xml:space="preserve">with a statement’s </w:t>
      </w:r>
      <w:r w:rsidRPr="006E05DF" w:rsidR="00876FED">
        <w:rPr>
          <w:szCs w:val="26"/>
        </w:rPr>
        <w:t>verifiability present</w:t>
      </w:r>
      <w:r w:rsidRPr="006E05DF" w:rsidR="000124E5">
        <w:rPr>
          <w:szCs w:val="26"/>
        </w:rPr>
        <w:t>s</w:t>
      </w:r>
      <w:r w:rsidRPr="006E05DF" w:rsidR="00876FED">
        <w:rPr>
          <w:szCs w:val="26"/>
        </w:rPr>
        <w:t xml:space="preserve"> similar problems.  </w:t>
      </w:r>
      <w:r w:rsidRPr="006E05DF" w:rsidR="00E3453A">
        <w:rPr>
          <w:szCs w:val="26"/>
        </w:rPr>
        <w:t>Illustrating the tenuous correlation</w:t>
      </w:r>
      <w:r w:rsidRPr="006E05DF" w:rsidR="00516B82">
        <w:rPr>
          <w:szCs w:val="26"/>
        </w:rPr>
        <w:t>, a</w:t>
      </w:r>
      <w:r w:rsidRPr="006E05DF" w:rsidR="003F1660">
        <w:rPr>
          <w:szCs w:val="26"/>
        </w:rPr>
        <w:t>t least one Court of Appeal</w:t>
      </w:r>
      <w:r w:rsidRPr="006E05DF" w:rsidR="004978E6">
        <w:rPr>
          <w:szCs w:val="26"/>
        </w:rPr>
        <w:t xml:space="preserve"> </w:t>
      </w:r>
      <w:r w:rsidRPr="006E05DF" w:rsidR="002E4728">
        <w:rPr>
          <w:szCs w:val="26"/>
        </w:rPr>
        <w:t xml:space="preserve">employing </w:t>
      </w:r>
      <w:r w:rsidRPr="006E05DF" w:rsidR="004978E6">
        <w:rPr>
          <w:i/>
          <w:iCs/>
          <w:szCs w:val="26"/>
        </w:rPr>
        <w:t>Kasky</w:t>
      </w:r>
      <w:r w:rsidRPr="006E05DF" w:rsidR="00055BBD">
        <w:rPr>
          <w:szCs w:val="26"/>
        </w:rPr>
        <w:t xml:space="preserve"> has</w:t>
      </w:r>
      <w:r w:rsidRPr="006E05DF" w:rsidR="003F1660">
        <w:rPr>
          <w:szCs w:val="26"/>
        </w:rPr>
        <w:t xml:space="preserve"> classif</w:t>
      </w:r>
      <w:r w:rsidRPr="006E05DF" w:rsidR="00D47ED2">
        <w:rPr>
          <w:szCs w:val="26"/>
        </w:rPr>
        <w:t>ied</w:t>
      </w:r>
      <w:r w:rsidRPr="006E05DF" w:rsidR="003F1660">
        <w:rPr>
          <w:szCs w:val="26"/>
        </w:rPr>
        <w:t xml:space="preserve"> </w:t>
      </w:r>
      <w:r w:rsidRPr="006E05DF" w:rsidR="00D51AD2">
        <w:rPr>
          <w:szCs w:val="26"/>
        </w:rPr>
        <w:t>advertising claims that appear</w:t>
      </w:r>
      <w:r w:rsidRPr="006E05DF" w:rsidR="00C27B95">
        <w:rPr>
          <w:szCs w:val="26"/>
        </w:rPr>
        <w:t xml:space="preserve"> unverifiable </w:t>
      </w:r>
      <w:r w:rsidRPr="006E05DF" w:rsidR="00215F98">
        <w:rPr>
          <w:szCs w:val="26"/>
        </w:rPr>
        <w:t>or difficult</w:t>
      </w:r>
      <w:r w:rsidRPr="006E05DF" w:rsidR="004771CF">
        <w:rPr>
          <w:szCs w:val="26"/>
        </w:rPr>
        <w:t xml:space="preserve"> </w:t>
      </w:r>
      <w:r w:rsidRPr="006E05DF" w:rsidR="00215F98">
        <w:rPr>
          <w:szCs w:val="26"/>
        </w:rPr>
        <w:t>to</w:t>
      </w:r>
      <w:r w:rsidRPr="006E05DF" w:rsidR="004771CF">
        <w:rPr>
          <w:szCs w:val="26"/>
        </w:rPr>
        <w:t xml:space="preserve"> </w:t>
      </w:r>
      <w:r w:rsidRPr="006E05DF" w:rsidR="00215F98">
        <w:rPr>
          <w:szCs w:val="26"/>
        </w:rPr>
        <w:t xml:space="preserve">verify </w:t>
      </w:r>
      <w:r w:rsidRPr="006E05DF" w:rsidR="003F1660">
        <w:rPr>
          <w:szCs w:val="26"/>
        </w:rPr>
        <w:t>as commercial speech</w:t>
      </w:r>
      <w:r w:rsidRPr="006E05DF" w:rsidR="00215F98">
        <w:rPr>
          <w:szCs w:val="26"/>
        </w:rPr>
        <w:t>, reasoning claims that professional</w:t>
      </w:r>
      <w:r w:rsidRPr="006E05DF" w:rsidR="004771CF">
        <w:rPr>
          <w:szCs w:val="26"/>
        </w:rPr>
        <w:t>s</w:t>
      </w:r>
      <w:r w:rsidRPr="006E05DF" w:rsidR="00215F98">
        <w:rPr>
          <w:szCs w:val="26"/>
        </w:rPr>
        <w:t xml:space="preserve"> had “</w:t>
      </w:r>
      <w:r w:rsidR="00CE6584">
        <w:rPr>
          <w:szCs w:val="26"/>
        </w:rPr>
        <w:t> </w:t>
      </w:r>
      <w:r w:rsidR="00F63D87">
        <w:rPr>
          <w:szCs w:val="26"/>
        </w:rPr>
        <w:t>‘</w:t>
      </w:r>
      <w:r w:rsidR="00CE6584">
        <w:rPr>
          <w:szCs w:val="26"/>
        </w:rPr>
        <w:t> </w:t>
      </w:r>
      <w:r w:rsidR="00F63D87">
        <w:rPr>
          <w:szCs w:val="26"/>
        </w:rPr>
        <w:t>“</w:t>
      </w:r>
      <w:r w:rsidRPr="006E05DF" w:rsidR="00215F98">
        <w:rPr>
          <w:szCs w:val="26"/>
        </w:rPr>
        <w:t>the highest ethical and moral standards”</w:t>
      </w:r>
      <w:r w:rsidR="00846A2B">
        <w:rPr>
          <w:szCs w:val="26"/>
        </w:rPr>
        <w:t> </w:t>
      </w:r>
      <w:r w:rsidR="00F63D87">
        <w:rPr>
          <w:szCs w:val="26"/>
        </w:rPr>
        <w:t>’</w:t>
      </w:r>
      <w:r w:rsidR="00846A2B">
        <w:rPr>
          <w:szCs w:val="26"/>
        </w:rPr>
        <w:t> </w:t>
      </w:r>
      <w:r w:rsidR="00F63D87">
        <w:rPr>
          <w:szCs w:val="26"/>
        </w:rPr>
        <w:t>”</w:t>
      </w:r>
      <w:r w:rsidRPr="006E05DF" w:rsidR="00215F98">
        <w:rPr>
          <w:szCs w:val="26"/>
        </w:rPr>
        <w:t xml:space="preserve"> or were “</w:t>
      </w:r>
      <w:r w:rsidR="00CE6584">
        <w:rPr>
          <w:szCs w:val="26"/>
        </w:rPr>
        <w:t> </w:t>
      </w:r>
      <w:r w:rsidR="00846A2B">
        <w:rPr>
          <w:szCs w:val="26"/>
        </w:rPr>
        <w:t>‘</w:t>
      </w:r>
      <w:r w:rsidR="00CE6584">
        <w:rPr>
          <w:szCs w:val="26"/>
        </w:rPr>
        <w:t> </w:t>
      </w:r>
      <w:r w:rsidR="00846A2B">
        <w:rPr>
          <w:szCs w:val="26"/>
        </w:rPr>
        <w:t>“</w:t>
      </w:r>
      <w:r w:rsidRPr="006E05DF" w:rsidR="00215F98">
        <w:rPr>
          <w:szCs w:val="26"/>
        </w:rPr>
        <w:t>dedicated to neutrality, integrity, honesty”</w:t>
      </w:r>
      <w:r w:rsidR="00CE6584">
        <w:rPr>
          <w:szCs w:val="26"/>
        </w:rPr>
        <w:t> </w:t>
      </w:r>
      <w:r w:rsidR="00846A2B">
        <w:rPr>
          <w:szCs w:val="26"/>
        </w:rPr>
        <w:t>’</w:t>
      </w:r>
      <w:r w:rsidR="00CE6584">
        <w:rPr>
          <w:szCs w:val="26"/>
        </w:rPr>
        <w:t> </w:t>
      </w:r>
      <w:r w:rsidR="00846A2B">
        <w:rPr>
          <w:szCs w:val="26"/>
        </w:rPr>
        <w:t>”</w:t>
      </w:r>
      <w:r w:rsidRPr="006E05DF" w:rsidR="00215F98">
        <w:rPr>
          <w:szCs w:val="26"/>
        </w:rPr>
        <w:t xml:space="preserve"> were meant </w:t>
      </w:r>
      <w:r w:rsidRPr="006E05DF" w:rsidR="00876FED">
        <w:rPr>
          <w:szCs w:val="26"/>
        </w:rPr>
        <w:t xml:space="preserve">to influence </w:t>
      </w:r>
      <w:r w:rsidRPr="006E05DF" w:rsidR="00215F98">
        <w:rPr>
          <w:szCs w:val="26"/>
        </w:rPr>
        <w:t xml:space="preserve">consumers </w:t>
      </w:r>
      <w:r w:rsidRPr="006E05DF" w:rsidR="00876FED">
        <w:rPr>
          <w:szCs w:val="26"/>
        </w:rPr>
        <w:t>about services for sale</w:t>
      </w:r>
      <w:r w:rsidRPr="006E05DF" w:rsidR="00215F98">
        <w:rPr>
          <w:szCs w:val="26"/>
        </w:rPr>
        <w:t xml:space="preserve">. </w:t>
      </w:r>
      <w:r w:rsidRPr="006E05DF" w:rsidR="008964A1">
        <w:rPr>
          <w:szCs w:val="26"/>
        </w:rPr>
        <w:t xml:space="preserve"> </w:t>
      </w:r>
      <w:r w:rsidRPr="006E05DF" w:rsidR="00215F98">
        <w:rPr>
          <w:szCs w:val="26"/>
        </w:rPr>
        <w:t>(</w:t>
      </w:r>
      <w:r w:rsidRPr="006E05DF" w:rsidR="008964A1">
        <w:rPr>
          <w:i/>
          <w:iCs/>
          <w:szCs w:val="26"/>
        </w:rPr>
        <w:t xml:space="preserve">JAMS, Inc. v. Superior Court </w:t>
      </w:r>
      <w:r w:rsidRPr="006E05DF" w:rsidR="008964A1">
        <w:rPr>
          <w:szCs w:val="26"/>
        </w:rPr>
        <w:t>(2016) 1 Cal.App.5th 984, 99</w:t>
      </w:r>
      <w:r w:rsidRPr="006E05DF" w:rsidR="00215F98">
        <w:rPr>
          <w:szCs w:val="26"/>
        </w:rPr>
        <w:t>5</w:t>
      </w:r>
      <w:r w:rsidRPr="006E05DF" w:rsidR="008964A1">
        <w:rPr>
          <w:szCs w:val="26"/>
        </w:rPr>
        <w:t xml:space="preserve"> </w:t>
      </w:r>
      <w:r w:rsidRPr="006E05DF" w:rsidR="00516B82">
        <w:rPr>
          <w:szCs w:val="26"/>
        </w:rPr>
        <w:t>(</w:t>
      </w:r>
      <w:r w:rsidRPr="006E05DF" w:rsidR="00516B82">
        <w:rPr>
          <w:i/>
          <w:iCs/>
          <w:szCs w:val="26"/>
        </w:rPr>
        <w:t>JAMS</w:t>
      </w:r>
      <w:r w:rsidRPr="006E05DF" w:rsidR="00516B82">
        <w:rPr>
          <w:szCs w:val="26"/>
        </w:rPr>
        <w:t xml:space="preserve">) </w:t>
      </w:r>
      <w:r w:rsidRPr="006E05DF" w:rsidR="008964A1">
        <w:rPr>
          <w:szCs w:val="26"/>
        </w:rPr>
        <w:t>[</w:t>
      </w:r>
      <w:r w:rsidRPr="006E05DF" w:rsidR="00215F98">
        <w:rPr>
          <w:szCs w:val="26"/>
        </w:rPr>
        <w:t xml:space="preserve">but stating </w:t>
      </w:r>
      <w:r w:rsidRPr="006E05DF" w:rsidR="008964A1">
        <w:rPr>
          <w:szCs w:val="26"/>
        </w:rPr>
        <w:t xml:space="preserve">whether that speech, puffery in the eyes of the speaker, was actionable </w:t>
      </w:r>
      <w:r w:rsidRPr="006E05DF" w:rsidR="003F1660">
        <w:rPr>
          <w:szCs w:val="26"/>
        </w:rPr>
        <w:t>was a separate question</w:t>
      </w:r>
      <w:r w:rsidRPr="006E05DF" w:rsidR="008964A1">
        <w:rPr>
          <w:szCs w:val="26"/>
        </w:rPr>
        <w:t>].)</w:t>
      </w:r>
      <w:r>
        <w:rPr>
          <w:rStyle w:val="FootnoteReference"/>
          <w:szCs w:val="26"/>
        </w:rPr>
        <w:footnoteReference w:id="12"/>
      </w:r>
      <w:r w:rsidRPr="006E05DF" w:rsidR="00300379">
        <w:rPr>
          <w:szCs w:val="26"/>
        </w:rPr>
        <w:t xml:space="preserve">  </w:t>
      </w:r>
      <w:r w:rsidRPr="006E05DF" w:rsidR="007F64C1">
        <w:rPr>
          <w:szCs w:val="26"/>
        </w:rPr>
        <w:t>At the same time, consumer protection laws “serve the purpose of commercial speech protection” by encouraging a seller “to make greater efforts to verify the truth of its statements.”  (</w:t>
      </w:r>
      <w:r w:rsidRPr="006E05DF" w:rsidR="007F64C1">
        <w:rPr>
          <w:i/>
          <w:iCs/>
          <w:szCs w:val="26"/>
        </w:rPr>
        <w:t>Kasky</w:t>
      </w:r>
      <w:r w:rsidRPr="006E05DF" w:rsidR="007F64C1">
        <w:rPr>
          <w:szCs w:val="26"/>
        </w:rPr>
        <w:t xml:space="preserve">, </w:t>
      </w:r>
      <w:r w:rsidRPr="006E05DF" w:rsidR="00B06661">
        <w:rPr>
          <w:i/>
          <w:iCs/>
          <w:szCs w:val="26"/>
        </w:rPr>
        <w:t>supra</w:t>
      </w:r>
      <w:r w:rsidRPr="006E05DF" w:rsidR="00B06661">
        <w:rPr>
          <w:szCs w:val="26"/>
        </w:rPr>
        <w:t xml:space="preserve">, 27 Cal.4th </w:t>
      </w:r>
      <w:r w:rsidRPr="006E05DF" w:rsidR="007F64C1">
        <w:rPr>
          <w:szCs w:val="26"/>
        </w:rPr>
        <w:t>at p</w:t>
      </w:r>
      <w:r w:rsidR="009B5ABF">
        <w:rPr>
          <w:szCs w:val="26"/>
        </w:rPr>
        <w:t>p</w:t>
      </w:r>
      <w:r w:rsidRPr="006E05DF" w:rsidR="007F64C1">
        <w:rPr>
          <w:szCs w:val="26"/>
        </w:rPr>
        <w:t>. 963</w:t>
      </w:r>
      <w:r w:rsidRPr="006E05DF" w:rsidR="00B06661">
        <w:rPr>
          <w:szCs w:val="26"/>
        </w:rPr>
        <w:t>–</w:t>
      </w:r>
      <w:r w:rsidRPr="006E05DF" w:rsidR="007F64C1">
        <w:rPr>
          <w:szCs w:val="26"/>
        </w:rPr>
        <w:t xml:space="preserve">964.)  And it is when statements about products or services are hard to verify that the need for consumer protection may be strongest.  (See </w:t>
      </w:r>
      <w:r w:rsidRPr="006E05DF" w:rsidR="007F64C1">
        <w:rPr>
          <w:i/>
          <w:iCs/>
          <w:szCs w:val="26"/>
        </w:rPr>
        <w:t>Bates v. State Bar of Ariz</w:t>
      </w:r>
      <w:r w:rsidR="00A6717D">
        <w:rPr>
          <w:i/>
          <w:iCs/>
          <w:szCs w:val="26"/>
        </w:rPr>
        <w:t>ona</w:t>
      </w:r>
      <w:r w:rsidRPr="006E05DF" w:rsidR="007F64C1">
        <w:rPr>
          <w:szCs w:val="26"/>
        </w:rPr>
        <w:t xml:space="preserve"> (1977) 433 U.S. 350, 366 [advertising claims “not susceptible of precise measurement or verification . . . might well be deceptive or misleading to the public, or even false”]; see also </w:t>
      </w:r>
      <w:r w:rsidRPr="006E05DF" w:rsidR="007F64C1">
        <w:rPr>
          <w:i/>
          <w:iCs/>
          <w:szCs w:val="26"/>
        </w:rPr>
        <w:t>Cal</w:t>
      </w:r>
      <w:r w:rsidR="006C0B44">
        <w:rPr>
          <w:i/>
          <w:iCs/>
          <w:szCs w:val="26"/>
        </w:rPr>
        <w:t>ifornia</w:t>
      </w:r>
      <w:r w:rsidRPr="006E05DF" w:rsidR="007F64C1">
        <w:rPr>
          <w:i/>
          <w:iCs/>
          <w:szCs w:val="26"/>
        </w:rPr>
        <w:t xml:space="preserve"> Dental Assn</w:t>
      </w:r>
      <w:r w:rsidR="0075587D">
        <w:rPr>
          <w:i/>
          <w:iCs/>
          <w:szCs w:val="26"/>
        </w:rPr>
        <w:t>.</w:t>
      </w:r>
      <w:r w:rsidRPr="006E05DF" w:rsidR="007F64C1">
        <w:rPr>
          <w:i/>
          <w:iCs/>
          <w:szCs w:val="26"/>
        </w:rPr>
        <w:t xml:space="preserve"> v. FTC</w:t>
      </w:r>
      <w:r w:rsidRPr="006E05DF" w:rsidR="007F64C1">
        <w:rPr>
          <w:szCs w:val="26"/>
        </w:rPr>
        <w:t xml:space="preserve"> (1999) 526 U.S. 756, 773</w:t>
      </w:r>
      <w:r w:rsidRPr="006E05DF" w:rsidR="00B06661">
        <w:rPr>
          <w:szCs w:val="26"/>
        </w:rPr>
        <w:t>–</w:t>
      </w:r>
      <w:r w:rsidRPr="006E05DF" w:rsidR="007F64C1">
        <w:rPr>
          <w:szCs w:val="26"/>
        </w:rPr>
        <w:t xml:space="preserve">774 [noting the possible goal of “promoting competition by reducing the occurrence of unverifiable and misleading across-the-board discount advertising”].)  Indeed, the high court has not deployed verifiability to </w:t>
      </w:r>
      <w:r w:rsidR="00480D85">
        <w:rPr>
          <w:szCs w:val="26"/>
        </w:rPr>
        <w:t>distinguish</w:t>
      </w:r>
      <w:r w:rsidRPr="006E05DF" w:rsidR="007F64C1">
        <w:rPr>
          <w:szCs w:val="26"/>
        </w:rPr>
        <w:t xml:space="preserve"> between commercial and noncommercial speech but to </w:t>
      </w:r>
      <w:r w:rsidRPr="006E05DF" w:rsidR="00331377">
        <w:rPr>
          <w:szCs w:val="26"/>
        </w:rPr>
        <w:t xml:space="preserve">discuss </w:t>
      </w:r>
      <w:r w:rsidRPr="006E05DF" w:rsidR="007F64C1">
        <w:rPr>
          <w:szCs w:val="26"/>
        </w:rPr>
        <w:t xml:space="preserve">whether </w:t>
      </w:r>
      <w:r w:rsidRPr="006E05DF" w:rsidR="00C74E49">
        <w:rPr>
          <w:szCs w:val="26"/>
        </w:rPr>
        <w:t xml:space="preserve">truthful </w:t>
      </w:r>
      <w:r w:rsidRPr="006E05DF" w:rsidR="007F64C1">
        <w:rPr>
          <w:szCs w:val="26"/>
        </w:rPr>
        <w:t xml:space="preserve">commercial speech is </w:t>
      </w:r>
      <w:r w:rsidRPr="006E05DF" w:rsidR="00C74E49">
        <w:rPr>
          <w:szCs w:val="26"/>
        </w:rPr>
        <w:t xml:space="preserve">nonetheless </w:t>
      </w:r>
      <w:r w:rsidRPr="006E05DF" w:rsidR="007F64C1">
        <w:rPr>
          <w:szCs w:val="26"/>
        </w:rPr>
        <w:t>sufficiently misleading to warrant a</w:t>
      </w:r>
      <w:r w:rsidRPr="006E05DF" w:rsidR="00A2688B">
        <w:rPr>
          <w:szCs w:val="26"/>
        </w:rPr>
        <w:t xml:space="preserve"> state’s</w:t>
      </w:r>
      <w:r w:rsidRPr="006E05DF" w:rsidR="007F64C1">
        <w:rPr>
          <w:szCs w:val="26"/>
        </w:rPr>
        <w:t xml:space="preserve"> “categorical ban.”  (</w:t>
      </w:r>
      <w:r w:rsidRPr="006E05DF" w:rsidR="007F64C1">
        <w:rPr>
          <w:i/>
          <w:iCs/>
          <w:szCs w:val="26"/>
        </w:rPr>
        <w:t>Peel v. Att</w:t>
      </w:r>
      <w:r w:rsidR="0075587D">
        <w:rPr>
          <w:i/>
          <w:iCs/>
          <w:szCs w:val="26"/>
        </w:rPr>
        <w:t>orney</w:t>
      </w:r>
      <w:r w:rsidRPr="006E05DF" w:rsidR="007F64C1">
        <w:rPr>
          <w:i/>
          <w:iCs/>
          <w:szCs w:val="26"/>
        </w:rPr>
        <w:t xml:space="preserve"> Disciplinary Comm</w:t>
      </w:r>
      <w:r w:rsidR="0075587D">
        <w:rPr>
          <w:i/>
          <w:iCs/>
          <w:szCs w:val="26"/>
        </w:rPr>
        <w:t>’</w:t>
      </w:r>
      <w:r w:rsidRPr="006E05DF" w:rsidR="007F64C1">
        <w:rPr>
          <w:i/>
          <w:iCs/>
          <w:szCs w:val="26"/>
        </w:rPr>
        <w:t>n</w:t>
      </w:r>
      <w:r w:rsidR="0075587D">
        <w:rPr>
          <w:i/>
          <w:iCs/>
          <w:szCs w:val="26"/>
        </w:rPr>
        <w:t xml:space="preserve"> of Ill.</w:t>
      </w:r>
      <w:r w:rsidRPr="006E05DF" w:rsidR="007F64C1">
        <w:rPr>
          <w:szCs w:val="26"/>
        </w:rPr>
        <w:t xml:space="preserve"> (1990) 496 U.S. 91, 100.)</w:t>
      </w:r>
    </w:p>
    <w:p w:rsidR="00C116B5" w:rsidRPr="006E05DF" w:rsidP="00314A1F">
      <w:pPr>
        <w:rPr>
          <w:szCs w:val="26"/>
        </w:rPr>
      </w:pPr>
      <w:r w:rsidRPr="006E05DF">
        <w:rPr>
          <w:szCs w:val="26"/>
        </w:rPr>
        <w:tab/>
        <w:t xml:space="preserve">Ultimately, then, </w:t>
      </w:r>
      <w:r w:rsidRPr="006E05DF" w:rsidR="00166B58">
        <w:rPr>
          <w:szCs w:val="26"/>
        </w:rPr>
        <w:t xml:space="preserve">otherwise commercial speech does not lose its commercial nature </w:t>
      </w:r>
      <w:r w:rsidRPr="006E05DF">
        <w:rPr>
          <w:szCs w:val="26"/>
        </w:rPr>
        <w:t>simply because a seller make</w:t>
      </w:r>
      <w:r w:rsidRPr="006E05DF" w:rsidR="007D6BCA">
        <w:rPr>
          <w:szCs w:val="26"/>
        </w:rPr>
        <w:t>s</w:t>
      </w:r>
      <w:r w:rsidRPr="006E05DF">
        <w:rPr>
          <w:szCs w:val="26"/>
        </w:rPr>
        <w:t xml:space="preserve"> a statement without knowledge or that is hard to verify</w:t>
      </w:r>
      <w:r w:rsidRPr="006E05DF" w:rsidR="00166B58">
        <w:rPr>
          <w:szCs w:val="26"/>
        </w:rPr>
        <w:t>.</w:t>
      </w:r>
    </w:p>
    <w:p w:rsidR="005C594D" w:rsidRPr="006E05DF" w:rsidP="00314A1F">
      <w:pPr>
        <w:rPr>
          <w:szCs w:val="26"/>
        </w:rPr>
      </w:pPr>
      <w:r w:rsidRPr="006E05DF">
        <w:rPr>
          <w:szCs w:val="26"/>
        </w:rPr>
        <w:tab/>
      </w:r>
      <w:r w:rsidRPr="006E05DF" w:rsidR="00C27B95">
        <w:rPr>
          <w:szCs w:val="26"/>
        </w:rPr>
        <w:t>Even assess</w:t>
      </w:r>
      <w:r w:rsidRPr="006E05DF" w:rsidR="00312E38">
        <w:rPr>
          <w:szCs w:val="26"/>
        </w:rPr>
        <w:t>ing</w:t>
      </w:r>
      <w:r w:rsidRPr="006E05DF" w:rsidR="00C27B95">
        <w:rPr>
          <w:szCs w:val="26"/>
        </w:rPr>
        <w:t xml:space="preserve"> the </w:t>
      </w:r>
      <w:r w:rsidRPr="006E05DF" w:rsidR="00D47ED2">
        <w:rPr>
          <w:szCs w:val="26"/>
        </w:rPr>
        <w:t xml:space="preserve">potential </w:t>
      </w:r>
      <w:r w:rsidRPr="006E05DF" w:rsidR="00C27B95">
        <w:rPr>
          <w:szCs w:val="26"/>
        </w:rPr>
        <w:t>verifiability of Sony’s claims</w:t>
      </w:r>
      <w:r w:rsidRPr="006E05DF" w:rsidR="00312E38">
        <w:rPr>
          <w:szCs w:val="26"/>
        </w:rPr>
        <w:t xml:space="preserve"> in line with the verifiability justification for regulation</w:t>
      </w:r>
      <w:r w:rsidRPr="006E05DF" w:rsidR="00033248">
        <w:rPr>
          <w:szCs w:val="26"/>
        </w:rPr>
        <w:t xml:space="preserve"> of commercial speech</w:t>
      </w:r>
      <w:r w:rsidRPr="006E05DF" w:rsidR="000D7D74">
        <w:rPr>
          <w:szCs w:val="26"/>
        </w:rPr>
        <w:t xml:space="preserve">, </w:t>
      </w:r>
      <w:r w:rsidRPr="006E05DF" w:rsidR="009854DE">
        <w:rPr>
          <w:szCs w:val="26"/>
        </w:rPr>
        <w:t>w</w:t>
      </w:r>
      <w:r w:rsidRPr="006E05DF" w:rsidR="00B541F7">
        <w:rPr>
          <w:szCs w:val="26"/>
        </w:rPr>
        <w:t xml:space="preserve">hether Jackson sang lead vocals on the Cascio tracks “may be more easily verifiable” </w:t>
      </w:r>
      <w:r w:rsidRPr="006E05DF" w:rsidR="007563B4">
        <w:rPr>
          <w:szCs w:val="26"/>
        </w:rPr>
        <w:t>(</w:t>
      </w:r>
      <w:r w:rsidRPr="006E05DF" w:rsidR="007563B4">
        <w:rPr>
          <w:i/>
          <w:iCs/>
          <w:szCs w:val="26"/>
        </w:rPr>
        <w:t>Kasky</w:t>
      </w:r>
      <w:r w:rsidRPr="006E05DF" w:rsidR="007563B4">
        <w:rPr>
          <w:szCs w:val="26"/>
        </w:rPr>
        <w:t>,</w:t>
      </w:r>
      <w:r w:rsidRPr="006E05DF" w:rsidR="007563B4">
        <w:rPr>
          <w:i/>
          <w:iCs/>
          <w:szCs w:val="26"/>
        </w:rPr>
        <w:t xml:space="preserve"> supra</w:t>
      </w:r>
      <w:r w:rsidRPr="006E05DF" w:rsidR="007563B4">
        <w:rPr>
          <w:szCs w:val="26"/>
        </w:rPr>
        <w:t>, 27 Cal.4th at p. 955</w:t>
      </w:r>
      <w:r w:rsidR="000E3193">
        <w:rPr>
          <w:szCs w:val="26"/>
        </w:rPr>
        <w:t xml:space="preserve">, italics </w:t>
      </w:r>
      <w:r w:rsidR="00B161D4">
        <w:rPr>
          <w:szCs w:val="26"/>
        </w:rPr>
        <w:t>omitted</w:t>
      </w:r>
      <w:r w:rsidRPr="006E05DF" w:rsidR="007563B4">
        <w:rPr>
          <w:szCs w:val="26"/>
        </w:rPr>
        <w:t>)</w:t>
      </w:r>
      <w:r w:rsidR="007563B4">
        <w:rPr>
          <w:szCs w:val="26"/>
        </w:rPr>
        <w:t xml:space="preserve"> </w:t>
      </w:r>
      <w:r w:rsidRPr="006E05DF" w:rsidR="00961DA8">
        <w:rPr>
          <w:szCs w:val="26"/>
        </w:rPr>
        <w:t xml:space="preserve">by Sony </w:t>
      </w:r>
      <w:r w:rsidRPr="006E05DF" w:rsidR="00B541F7">
        <w:rPr>
          <w:szCs w:val="26"/>
        </w:rPr>
        <w:t xml:space="preserve">in exactly </w:t>
      </w:r>
      <w:r w:rsidRPr="006E05DF" w:rsidR="009854DE">
        <w:rPr>
          <w:szCs w:val="26"/>
        </w:rPr>
        <w:t xml:space="preserve">the </w:t>
      </w:r>
      <w:r w:rsidRPr="006E05DF" w:rsidR="00B541F7">
        <w:rPr>
          <w:szCs w:val="26"/>
        </w:rPr>
        <w:t>sense</w:t>
      </w:r>
      <w:r w:rsidRPr="006E05DF" w:rsidR="009854DE">
        <w:rPr>
          <w:szCs w:val="26"/>
        </w:rPr>
        <w:t xml:space="preserve"> that justifies commercial speech regulation more broadly</w:t>
      </w:r>
      <w:r w:rsidRPr="006E05DF" w:rsidR="00B541F7">
        <w:rPr>
          <w:szCs w:val="26"/>
        </w:rPr>
        <w:t xml:space="preserve">.  </w:t>
      </w:r>
      <w:r w:rsidRPr="006E05DF" w:rsidR="00C27B95">
        <w:rPr>
          <w:szCs w:val="26"/>
        </w:rPr>
        <w:t xml:space="preserve">Sony’s claims </w:t>
      </w:r>
      <w:r w:rsidRPr="006E05DF" w:rsidR="009A2BA2">
        <w:rPr>
          <w:szCs w:val="26"/>
        </w:rPr>
        <w:t xml:space="preserve">relate directly to </w:t>
      </w:r>
      <w:r w:rsidRPr="006E05DF" w:rsidR="00C27B95">
        <w:rPr>
          <w:szCs w:val="26"/>
        </w:rPr>
        <w:t xml:space="preserve">its </w:t>
      </w:r>
      <w:r w:rsidRPr="006E05DF" w:rsidR="009A2BA2">
        <w:rPr>
          <w:szCs w:val="26"/>
        </w:rPr>
        <w:t xml:space="preserve">product.  </w:t>
      </w:r>
      <w:r w:rsidRPr="006E05DF" w:rsidR="00B72C02">
        <w:rPr>
          <w:szCs w:val="26"/>
        </w:rPr>
        <w:t>Few were</w:t>
      </w:r>
      <w:r w:rsidRPr="006E05DF" w:rsidR="008A1875">
        <w:rPr>
          <w:szCs w:val="26"/>
        </w:rPr>
        <w:t xml:space="preserve"> likely</w:t>
      </w:r>
      <w:r w:rsidRPr="006E05DF" w:rsidR="00B541F7">
        <w:rPr>
          <w:szCs w:val="26"/>
        </w:rPr>
        <w:t xml:space="preserve"> better positioned to identi</w:t>
      </w:r>
      <w:r w:rsidRPr="006E05DF" w:rsidR="001D72B6">
        <w:rPr>
          <w:szCs w:val="26"/>
        </w:rPr>
        <w:t>f</w:t>
      </w:r>
      <w:r w:rsidRPr="006E05DF" w:rsidR="00B541F7">
        <w:rPr>
          <w:szCs w:val="26"/>
        </w:rPr>
        <w:t>y</w:t>
      </w:r>
      <w:r w:rsidRPr="006E05DF" w:rsidR="00C27B95">
        <w:rPr>
          <w:szCs w:val="26"/>
        </w:rPr>
        <w:t xml:space="preserve"> the Cascio tracks</w:t>
      </w:r>
      <w:r w:rsidRPr="006E05DF" w:rsidR="000910CD">
        <w:rPr>
          <w:szCs w:val="26"/>
        </w:rPr>
        <w:t>’</w:t>
      </w:r>
      <w:r w:rsidRPr="006E05DF" w:rsidR="00C27B95">
        <w:rPr>
          <w:szCs w:val="26"/>
        </w:rPr>
        <w:t xml:space="preserve"> singer </w:t>
      </w:r>
      <w:r w:rsidRPr="006E05DF" w:rsidR="00B541F7">
        <w:rPr>
          <w:szCs w:val="26"/>
        </w:rPr>
        <w:t xml:space="preserve">than </w:t>
      </w:r>
      <w:r w:rsidRPr="00883750" w:rsidR="00B541F7">
        <w:rPr>
          <w:i/>
          <w:iCs/>
          <w:szCs w:val="26"/>
        </w:rPr>
        <w:t>Michael</w:t>
      </w:r>
      <w:r w:rsidRPr="00CD4950" w:rsidR="00B541F7">
        <w:rPr>
          <w:szCs w:val="26"/>
        </w:rPr>
        <w:t xml:space="preserve">’s </w:t>
      </w:r>
      <w:r w:rsidRPr="006E05DF" w:rsidR="00B541F7">
        <w:rPr>
          <w:szCs w:val="26"/>
        </w:rPr>
        <w:t>producers and sellers, who</w:t>
      </w:r>
      <w:r w:rsidRPr="006E05DF" w:rsidR="00B72C02">
        <w:rPr>
          <w:szCs w:val="26"/>
        </w:rPr>
        <w:t xml:space="preserve"> </w:t>
      </w:r>
      <w:r w:rsidRPr="006E05DF" w:rsidR="004771CF">
        <w:rPr>
          <w:szCs w:val="26"/>
        </w:rPr>
        <w:t xml:space="preserve">had </w:t>
      </w:r>
      <w:r w:rsidRPr="006E05DF" w:rsidR="00B72C02">
        <w:rPr>
          <w:szCs w:val="26"/>
        </w:rPr>
        <w:t>not only profit motive, but</w:t>
      </w:r>
      <w:r w:rsidRPr="006E05DF" w:rsidR="00B541F7">
        <w:rPr>
          <w:szCs w:val="26"/>
        </w:rPr>
        <w:t xml:space="preserve"> </w:t>
      </w:r>
      <w:r w:rsidRPr="006E05DF" w:rsidR="004771CF">
        <w:rPr>
          <w:szCs w:val="26"/>
        </w:rPr>
        <w:t xml:space="preserve">also </w:t>
      </w:r>
      <w:r w:rsidRPr="006E05DF" w:rsidR="00D51AD2">
        <w:rPr>
          <w:szCs w:val="26"/>
        </w:rPr>
        <w:t>access to and business dealings</w:t>
      </w:r>
      <w:r w:rsidRPr="006E05DF" w:rsidR="00B74517">
        <w:rPr>
          <w:szCs w:val="26"/>
        </w:rPr>
        <w:t xml:space="preserve"> </w:t>
      </w:r>
      <w:r w:rsidRPr="006E05DF" w:rsidR="00D51AD2">
        <w:rPr>
          <w:szCs w:val="26"/>
        </w:rPr>
        <w:t xml:space="preserve">with </w:t>
      </w:r>
      <w:r w:rsidRPr="006E05DF" w:rsidR="00B74517">
        <w:rPr>
          <w:szCs w:val="26"/>
        </w:rPr>
        <w:t>the album’s primary creators</w:t>
      </w:r>
      <w:r w:rsidRPr="006E05DF" w:rsidR="00EC7821">
        <w:rPr>
          <w:szCs w:val="26"/>
        </w:rPr>
        <w:t xml:space="preserve">.  </w:t>
      </w:r>
      <w:r w:rsidRPr="006E05DF" w:rsidR="001D72B6">
        <w:rPr>
          <w:szCs w:val="26"/>
        </w:rPr>
        <w:t>Further, Sony</w:t>
      </w:r>
      <w:r w:rsidRPr="006E05DF" w:rsidR="00B74517">
        <w:rPr>
          <w:szCs w:val="26"/>
        </w:rPr>
        <w:t xml:space="preserve"> had the incentive </w:t>
      </w:r>
      <w:r w:rsidRPr="006E05DF" w:rsidR="00B541F7">
        <w:rPr>
          <w:szCs w:val="26"/>
        </w:rPr>
        <w:t xml:space="preserve">to secure </w:t>
      </w:r>
      <w:r w:rsidRPr="006E05DF" w:rsidR="004F4E4E">
        <w:rPr>
          <w:szCs w:val="26"/>
        </w:rPr>
        <w:t>any</w:t>
      </w:r>
      <w:r w:rsidRPr="006E05DF" w:rsidR="00B541F7">
        <w:rPr>
          <w:szCs w:val="26"/>
        </w:rPr>
        <w:t xml:space="preserve"> </w:t>
      </w:r>
      <w:r w:rsidRPr="006E05DF" w:rsidR="00B74517">
        <w:rPr>
          <w:szCs w:val="26"/>
        </w:rPr>
        <w:t xml:space="preserve">necessary </w:t>
      </w:r>
      <w:r w:rsidRPr="006E05DF" w:rsidR="004F4E4E">
        <w:rPr>
          <w:szCs w:val="26"/>
        </w:rPr>
        <w:t>licenses</w:t>
      </w:r>
      <w:r w:rsidRPr="006E05DF" w:rsidR="00B74517">
        <w:rPr>
          <w:szCs w:val="26"/>
        </w:rPr>
        <w:t xml:space="preserve"> or </w:t>
      </w:r>
      <w:r w:rsidRPr="006E05DF" w:rsidR="00B541F7">
        <w:rPr>
          <w:szCs w:val="26"/>
        </w:rPr>
        <w:t>rights</w:t>
      </w:r>
      <w:r w:rsidRPr="006E05DF" w:rsidR="00B72C02">
        <w:rPr>
          <w:szCs w:val="26"/>
        </w:rPr>
        <w:t>,</w:t>
      </w:r>
      <w:r w:rsidRPr="006E05DF" w:rsidR="00B541F7">
        <w:rPr>
          <w:szCs w:val="26"/>
        </w:rPr>
        <w:t xml:space="preserve"> </w:t>
      </w:r>
      <w:r w:rsidRPr="006E05DF" w:rsidR="00B74517">
        <w:rPr>
          <w:szCs w:val="26"/>
        </w:rPr>
        <w:t xml:space="preserve">and, as prudent, </w:t>
      </w:r>
      <w:r w:rsidRPr="006E05DF" w:rsidR="00B541F7">
        <w:rPr>
          <w:szCs w:val="26"/>
        </w:rPr>
        <w:t>warranties of authenticity</w:t>
      </w:r>
      <w:r w:rsidRPr="006E05DF" w:rsidR="00B72C02">
        <w:rPr>
          <w:szCs w:val="26"/>
        </w:rPr>
        <w:t>.</w:t>
      </w:r>
      <w:r>
        <w:rPr>
          <w:rStyle w:val="FootnoteReference"/>
          <w:szCs w:val="26"/>
        </w:rPr>
        <w:footnoteReference w:id="13"/>
      </w:r>
      <w:r w:rsidRPr="006E05DF" w:rsidR="004978E6">
        <w:rPr>
          <w:szCs w:val="26"/>
        </w:rPr>
        <w:t xml:space="preserve">  </w:t>
      </w:r>
      <w:r w:rsidRPr="006E05DF" w:rsidR="00D51AD2">
        <w:rPr>
          <w:szCs w:val="26"/>
        </w:rPr>
        <w:t xml:space="preserve">(Cf. </w:t>
      </w:r>
      <w:r w:rsidRPr="006E05DF" w:rsidR="00D51AD2">
        <w:rPr>
          <w:i/>
          <w:iCs/>
          <w:szCs w:val="26"/>
        </w:rPr>
        <w:t>Kasky</w:t>
      </w:r>
      <w:r w:rsidRPr="006E05DF" w:rsidR="00D51AD2">
        <w:rPr>
          <w:szCs w:val="26"/>
        </w:rPr>
        <w:t xml:space="preserve">, </w:t>
      </w:r>
      <w:r w:rsidRPr="006E05DF" w:rsidR="00D51AD2">
        <w:rPr>
          <w:i/>
          <w:iCs/>
          <w:szCs w:val="26"/>
        </w:rPr>
        <w:t>supra</w:t>
      </w:r>
      <w:r w:rsidRPr="006E05DF" w:rsidR="00D51AD2">
        <w:rPr>
          <w:szCs w:val="26"/>
        </w:rPr>
        <w:t xml:space="preserve">, 27 Cal.4th at p. 963 [noting “Nike was in a position to </w:t>
      </w:r>
      <w:r w:rsidR="00CD4950">
        <w:rPr>
          <w:szCs w:val="26"/>
        </w:rPr>
        <w:t xml:space="preserve">readily </w:t>
      </w:r>
      <w:r w:rsidRPr="006E05DF" w:rsidR="00D51AD2">
        <w:rPr>
          <w:szCs w:val="26"/>
        </w:rPr>
        <w:t>verify” those things it</w:t>
      </w:r>
      <w:r w:rsidRPr="006E05DF" w:rsidR="00961DA8">
        <w:rPr>
          <w:szCs w:val="26"/>
        </w:rPr>
        <w:t>s</w:t>
      </w:r>
      <w:r w:rsidRPr="006E05DF" w:rsidR="00D51AD2">
        <w:rPr>
          <w:szCs w:val="26"/>
        </w:rPr>
        <w:t xml:space="preserve"> contractors “likely” knew].)</w:t>
      </w:r>
      <w:r w:rsidRPr="006E05DF" w:rsidR="00EC6AF7">
        <w:rPr>
          <w:szCs w:val="26"/>
        </w:rPr>
        <w:t xml:space="preserve">  </w:t>
      </w:r>
      <w:r w:rsidRPr="006E05DF">
        <w:rPr>
          <w:szCs w:val="26"/>
        </w:rPr>
        <w:t xml:space="preserve">Sony, before releasing </w:t>
      </w:r>
      <w:r w:rsidRPr="00883750">
        <w:rPr>
          <w:i/>
          <w:iCs/>
          <w:szCs w:val="26"/>
        </w:rPr>
        <w:t>Michael</w:t>
      </w:r>
      <w:r w:rsidRPr="006E05DF">
        <w:rPr>
          <w:szCs w:val="26"/>
        </w:rPr>
        <w:t xml:space="preserve">, </w:t>
      </w:r>
      <w:r w:rsidRPr="006E05DF" w:rsidR="00FA4E5F">
        <w:rPr>
          <w:szCs w:val="26"/>
        </w:rPr>
        <w:t>conducted research</w:t>
      </w:r>
      <w:r w:rsidRPr="006E05DF" w:rsidR="00787269">
        <w:rPr>
          <w:szCs w:val="26"/>
        </w:rPr>
        <w:t xml:space="preserve"> and </w:t>
      </w:r>
      <w:r w:rsidRPr="006E05DF" w:rsidR="008B2C3F">
        <w:rPr>
          <w:szCs w:val="26"/>
        </w:rPr>
        <w:t xml:space="preserve">allegedly </w:t>
      </w:r>
      <w:r w:rsidRPr="006E05DF" w:rsidR="00787269">
        <w:rPr>
          <w:szCs w:val="26"/>
        </w:rPr>
        <w:t xml:space="preserve">had “complete confidence” in, and </w:t>
      </w:r>
      <w:r w:rsidRPr="006E05DF" w:rsidR="008B2C3F">
        <w:rPr>
          <w:szCs w:val="26"/>
        </w:rPr>
        <w:t xml:space="preserve">indeed </w:t>
      </w:r>
      <w:r w:rsidRPr="006E05DF" w:rsidR="00787269">
        <w:rPr>
          <w:szCs w:val="26"/>
        </w:rPr>
        <w:t xml:space="preserve">noted </w:t>
      </w:r>
      <w:r w:rsidRPr="006E05DF" w:rsidR="00561405">
        <w:rPr>
          <w:szCs w:val="26"/>
        </w:rPr>
        <w:t>“overwhelming objective evidence” of</w:t>
      </w:r>
      <w:r w:rsidRPr="006E05DF" w:rsidR="00787269">
        <w:rPr>
          <w:szCs w:val="26"/>
        </w:rPr>
        <w:t xml:space="preserve">, </w:t>
      </w:r>
      <w:r w:rsidRPr="006E05DF">
        <w:rPr>
          <w:szCs w:val="26"/>
        </w:rPr>
        <w:t>the authenticity of Jackson’s vocals</w:t>
      </w:r>
      <w:r w:rsidRPr="006E05DF" w:rsidR="00561405">
        <w:rPr>
          <w:szCs w:val="26"/>
        </w:rPr>
        <w:t xml:space="preserve">, </w:t>
      </w:r>
      <w:r w:rsidRPr="006E05DF" w:rsidR="00787269">
        <w:rPr>
          <w:szCs w:val="26"/>
        </w:rPr>
        <w:t xml:space="preserve">a message </w:t>
      </w:r>
      <w:r w:rsidRPr="006E05DF" w:rsidR="00561405">
        <w:rPr>
          <w:szCs w:val="26"/>
        </w:rPr>
        <w:t>at</w:t>
      </w:r>
      <w:r w:rsidRPr="006E05DF">
        <w:rPr>
          <w:szCs w:val="26"/>
        </w:rPr>
        <w:t xml:space="preserve"> least </w:t>
      </w:r>
      <w:r w:rsidRPr="006E05DF" w:rsidR="00787269">
        <w:rPr>
          <w:szCs w:val="26"/>
        </w:rPr>
        <w:t xml:space="preserve">in </w:t>
      </w:r>
      <w:r w:rsidRPr="006E05DF">
        <w:rPr>
          <w:szCs w:val="26"/>
        </w:rPr>
        <w:t xml:space="preserve">tension with its present claim that verifiability was </w:t>
      </w:r>
      <w:r w:rsidRPr="006E05DF" w:rsidR="00FA4E5F">
        <w:rPr>
          <w:szCs w:val="26"/>
        </w:rPr>
        <w:t>unattainable</w:t>
      </w:r>
      <w:r w:rsidRPr="006E05DF">
        <w:rPr>
          <w:szCs w:val="26"/>
        </w:rPr>
        <w:t xml:space="preserve">.  </w:t>
      </w:r>
    </w:p>
    <w:p w:rsidR="004860E9" w:rsidRPr="006E05DF" w:rsidP="00314A1F">
      <w:pPr>
        <w:rPr>
          <w:szCs w:val="26"/>
        </w:rPr>
      </w:pPr>
      <w:r w:rsidRPr="006E05DF">
        <w:rPr>
          <w:szCs w:val="26"/>
        </w:rPr>
        <w:tab/>
      </w:r>
      <w:r w:rsidRPr="006E05DF" w:rsidR="0020216E">
        <w:rPr>
          <w:szCs w:val="26"/>
        </w:rPr>
        <w:t xml:space="preserve">Notwithstanding </w:t>
      </w:r>
      <w:r w:rsidRPr="006E05DF" w:rsidR="00572B46">
        <w:rPr>
          <w:szCs w:val="26"/>
        </w:rPr>
        <w:t xml:space="preserve">Sony’s </w:t>
      </w:r>
      <w:r w:rsidR="00E263D7">
        <w:rPr>
          <w:szCs w:val="26"/>
        </w:rPr>
        <w:t xml:space="preserve">temporary </w:t>
      </w:r>
      <w:r w:rsidRPr="006E05DF" w:rsidR="00572B46">
        <w:rPr>
          <w:szCs w:val="26"/>
        </w:rPr>
        <w:t>concession</w:t>
      </w:r>
      <w:r w:rsidR="00E263D7">
        <w:rPr>
          <w:szCs w:val="26"/>
        </w:rPr>
        <w:t xml:space="preserve"> </w:t>
      </w:r>
      <w:r w:rsidRPr="006E05DF" w:rsidR="0020216E">
        <w:rPr>
          <w:szCs w:val="26"/>
        </w:rPr>
        <w:t>that its statements about Jackson</w:t>
      </w:r>
      <w:r w:rsidRPr="006E05DF" w:rsidR="00331377">
        <w:rPr>
          <w:szCs w:val="26"/>
        </w:rPr>
        <w:t>’s contributions</w:t>
      </w:r>
      <w:r w:rsidRPr="006E05DF" w:rsidR="0020216E">
        <w:rPr>
          <w:szCs w:val="26"/>
        </w:rPr>
        <w:t xml:space="preserve"> </w:t>
      </w:r>
      <w:r w:rsidRPr="006E05DF" w:rsidR="00243162">
        <w:rPr>
          <w:szCs w:val="26"/>
        </w:rPr>
        <w:t>turned out to be</w:t>
      </w:r>
      <w:r w:rsidRPr="006E05DF" w:rsidR="0020216E">
        <w:rPr>
          <w:szCs w:val="26"/>
        </w:rPr>
        <w:t xml:space="preserve"> false</w:t>
      </w:r>
      <w:r w:rsidRPr="006E05DF" w:rsidR="00572B46">
        <w:rPr>
          <w:szCs w:val="26"/>
        </w:rPr>
        <w:t xml:space="preserve">, it </w:t>
      </w:r>
      <w:r w:rsidRPr="006E05DF" w:rsidR="0020216E">
        <w:rPr>
          <w:szCs w:val="26"/>
        </w:rPr>
        <w:t xml:space="preserve">remains </w:t>
      </w:r>
      <w:r w:rsidRPr="006E05DF" w:rsidR="00572B46">
        <w:rPr>
          <w:szCs w:val="26"/>
        </w:rPr>
        <w:t xml:space="preserve">that </w:t>
      </w:r>
      <w:r w:rsidRPr="006E05DF" w:rsidR="00EC6AF7">
        <w:rPr>
          <w:szCs w:val="26"/>
        </w:rPr>
        <w:t>e</w:t>
      </w:r>
      <w:r w:rsidRPr="006E05DF" w:rsidR="004F4E4E">
        <w:rPr>
          <w:szCs w:val="26"/>
        </w:rPr>
        <w:t>xperts allegedly disagree on who sang the Cascio tracks</w:t>
      </w:r>
      <w:r w:rsidRPr="006E05DF" w:rsidR="0020216E">
        <w:rPr>
          <w:szCs w:val="26"/>
        </w:rPr>
        <w:t>.</w:t>
      </w:r>
      <w:r w:rsidRPr="006E05DF" w:rsidR="00D41638">
        <w:rPr>
          <w:szCs w:val="26"/>
        </w:rPr>
        <w:t xml:space="preserve"> </w:t>
      </w:r>
      <w:r w:rsidRPr="006E05DF" w:rsidR="0020216E">
        <w:rPr>
          <w:szCs w:val="26"/>
        </w:rPr>
        <w:t xml:space="preserve"> But </w:t>
      </w:r>
      <w:r w:rsidRPr="006E05DF" w:rsidR="00D41638">
        <w:rPr>
          <w:szCs w:val="26"/>
        </w:rPr>
        <w:t xml:space="preserve">expert disagreement about </w:t>
      </w:r>
      <w:r w:rsidRPr="006E05DF" w:rsidR="00B77D14">
        <w:rPr>
          <w:szCs w:val="26"/>
        </w:rPr>
        <w:t xml:space="preserve">the </w:t>
      </w:r>
      <w:r w:rsidRPr="006E05DF" w:rsidR="00D41638">
        <w:rPr>
          <w:szCs w:val="26"/>
        </w:rPr>
        <w:t xml:space="preserve">characteristics </w:t>
      </w:r>
      <w:r w:rsidRPr="006E05DF" w:rsidR="00B77D14">
        <w:rPr>
          <w:szCs w:val="26"/>
        </w:rPr>
        <w:t xml:space="preserve">of </w:t>
      </w:r>
      <w:r w:rsidRPr="006E05DF" w:rsidR="00524D20">
        <w:rPr>
          <w:szCs w:val="26"/>
        </w:rPr>
        <w:t xml:space="preserve">a </w:t>
      </w:r>
      <w:r w:rsidRPr="006E05DF" w:rsidR="00B77D14">
        <w:rPr>
          <w:szCs w:val="26"/>
        </w:rPr>
        <w:t xml:space="preserve">product does not change the fact that </w:t>
      </w:r>
      <w:r w:rsidRPr="006E05DF" w:rsidR="0020216E">
        <w:rPr>
          <w:szCs w:val="26"/>
        </w:rPr>
        <w:t>a</w:t>
      </w:r>
      <w:r w:rsidRPr="006E05DF" w:rsidR="00524D20">
        <w:rPr>
          <w:szCs w:val="26"/>
        </w:rPr>
        <w:t xml:space="preserve"> </w:t>
      </w:r>
      <w:r w:rsidRPr="006E05DF" w:rsidR="00B77D14">
        <w:rPr>
          <w:szCs w:val="26"/>
        </w:rPr>
        <w:t>seller “</w:t>
      </w:r>
      <w:r w:rsidR="00CE6584">
        <w:rPr>
          <w:szCs w:val="26"/>
        </w:rPr>
        <w:t> </w:t>
      </w:r>
      <w:r w:rsidR="00577FB0">
        <w:rPr>
          <w:szCs w:val="26"/>
        </w:rPr>
        <w:t>‘</w:t>
      </w:r>
      <w:r w:rsidRPr="006E05DF" w:rsidR="00B77D14">
        <w:rPr>
          <w:szCs w:val="26"/>
        </w:rPr>
        <w:t>presumably knows more about</w:t>
      </w:r>
      <w:r w:rsidR="00577FB0">
        <w:rPr>
          <w:szCs w:val="26"/>
        </w:rPr>
        <w:t>’</w:t>
      </w:r>
      <w:r w:rsidR="00CE6584">
        <w:rPr>
          <w:szCs w:val="26"/>
        </w:rPr>
        <w:t> </w:t>
      </w:r>
      <w:r w:rsidRPr="006E05DF" w:rsidR="00B77D14">
        <w:rPr>
          <w:szCs w:val="26"/>
        </w:rPr>
        <w:t xml:space="preserve">” </w:t>
      </w:r>
      <w:r w:rsidRPr="006E05DF" w:rsidR="00524D20">
        <w:rPr>
          <w:szCs w:val="26"/>
        </w:rPr>
        <w:t xml:space="preserve">its </w:t>
      </w:r>
      <w:r w:rsidRPr="006E05DF" w:rsidR="00B77D14">
        <w:rPr>
          <w:szCs w:val="26"/>
        </w:rPr>
        <w:t>product “</w:t>
      </w:r>
      <w:r w:rsidR="00CE6584">
        <w:rPr>
          <w:szCs w:val="26"/>
        </w:rPr>
        <w:t> </w:t>
      </w:r>
      <w:r w:rsidR="00577FB0">
        <w:rPr>
          <w:szCs w:val="26"/>
        </w:rPr>
        <w:t>‘</w:t>
      </w:r>
      <w:r w:rsidRPr="006E05DF" w:rsidR="00B77D14">
        <w:rPr>
          <w:szCs w:val="26"/>
        </w:rPr>
        <w:t>than anyone else.</w:t>
      </w:r>
      <w:r w:rsidR="00577FB0">
        <w:rPr>
          <w:szCs w:val="26"/>
        </w:rPr>
        <w:t>’</w:t>
      </w:r>
      <w:r w:rsidR="00CE6584">
        <w:rPr>
          <w:szCs w:val="26"/>
        </w:rPr>
        <w:t> </w:t>
      </w:r>
      <w:r w:rsidRPr="006E05DF" w:rsidR="00B77D14">
        <w:rPr>
          <w:szCs w:val="26"/>
        </w:rPr>
        <w:t>”  (</w:t>
      </w:r>
      <w:r w:rsidRPr="006E05DF" w:rsidR="00B77D14">
        <w:rPr>
          <w:i/>
          <w:iCs/>
          <w:szCs w:val="26"/>
        </w:rPr>
        <w:t>Kasky</w:t>
      </w:r>
      <w:r w:rsidRPr="006E05DF" w:rsidR="00B77D14">
        <w:rPr>
          <w:szCs w:val="26"/>
        </w:rPr>
        <w:t xml:space="preserve">, </w:t>
      </w:r>
      <w:r w:rsidRPr="006E05DF" w:rsidR="00B77D14">
        <w:rPr>
          <w:i/>
          <w:iCs/>
          <w:szCs w:val="26"/>
        </w:rPr>
        <w:t>supra</w:t>
      </w:r>
      <w:r w:rsidRPr="006E05DF" w:rsidR="00B77D14">
        <w:rPr>
          <w:szCs w:val="26"/>
        </w:rPr>
        <w:t xml:space="preserve">, 27 Cal.4th at p. 955.)  </w:t>
      </w:r>
      <w:r w:rsidRPr="006E05DF" w:rsidR="005B4C1E">
        <w:rPr>
          <w:szCs w:val="26"/>
        </w:rPr>
        <w:t xml:space="preserve">Such </w:t>
      </w:r>
      <w:r w:rsidRPr="006E05DF" w:rsidR="00524D20">
        <w:rPr>
          <w:szCs w:val="26"/>
        </w:rPr>
        <w:t xml:space="preserve">expert disagreements, </w:t>
      </w:r>
      <w:r w:rsidRPr="006E05DF" w:rsidR="004A7F83">
        <w:rPr>
          <w:szCs w:val="26"/>
        </w:rPr>
        <w:t>even if they porten</w:t>
      </w:r>
      <w:r w:rsidRPr="006E05DF" w:rsidR="00DF3576">
        <w:rPr>
          <w:szCs w:val="26"/>
        </w:rPr>
        <w:t>d</w:t>
      </w:r>
      <w:r w:rsidRPr="006E05DF" w:rsidR="004A7F83">
        <w:rPr>
          <w:szCs w:val="26"/>
        </w:rPr>
        <w:t xml:space="preserve"> </w:t>
      </w:r>
      <w:r w:rsidRPr="006E05DF" w:rsidR="006F2DDE">
        <w:rPr>
          <w:szCs w:val="26"/>
        </w:rPr>
        <w:t xml:space="preserve">verifiability or knowledge issues </w:t>
      </w:r>
      <w:r w:rsidRPr="006E05DF" w:rsidR="00243162">
        <w:rPr>
          <w:szCs w:val="26"/>
        </w:rPr>
        <w:t xml:space="preserve">and possibly </w:t>
      </w:r>
      <w:r w:rsidRPr="006E05DF" w:rsidR="00524D20">
        <w:rPr>
          <w:szCs w:val="26"/>
        </w:rPr>
        <w:t>difficulties of proof</w:t>
      </w:r>
      <w:r w:rsidRPr="006E05DF" w:rsidR="006F2DDE">
        <w:rPr>
          <w:szCs w:val="26"/>
        </w:rPr>
        <w:t xml:space="preserve"> at trial</w:t>
      </w:r>
      <w:r w:rsidRPr="006E05DF" w:rsidR="00524D20">
        <w:rPr>
          <w:szCs w:val="26"/>
        </w:rPr>
        <w:t xml:space="preserve">, </w:t>
      </w:r>
      <w:r w:rsidRPr="006E05DF" w:rsidR="00B77D14">
        <w:rPr>
          <w:szCs w:val="26"/>
        </w:rPr>
        <w:t>do not</w:t>
      </w:r>
      <w:r w:rsidRPr="006E05DF" w:rsidR="00FF40C4">
        <w:rPr>
          <w:szCs w:val="26"/>
        </w:rPr>
        <w:t xml:space="preserve"> render </w:t>
      </w:r>
      <w:r w:rsidRPr="006E05DF" w:rsidR="00524D20">
        <w:rPr>
          <w:szCs w:val="26"/>
        </w:rPr>
        <w:t xml:space="preserve">a seller’s promotional </w:t>
      </w:r>
      <w:r w:rsidRPr="006E05DF" w:rsidR="00FF40C4">
        <w:rPr>
          <w:szCs w:val="26"/>
        </w:rPr>
        <w:t>speech noncommercial</w:t>
      </w:r>
      <w:r w:rsidRPr="006E05DF" w:rsidR="00B77D14">
        <w:rPr>
          <w:szCs w:val="26"/>
        </w:rPr>
        <w:t xml:space="preserve"> </w:t>
      </w:r>
      <w:r w:rsidRPr="006E05DF" w:rsidR="00FF40C4">
        <w:rPr>
          <w:szCs w:val="26"/>
        </w:rPr>
        <w:t>and</w:t>
      </w:r>
      <w:r w:rsidRPr="006E05DF" w:rsidR="005C594D">
        <w:rPr>
          <w:szCs w:val="26"/>
        </w:rPr>
        <w:t xml:space="preserve">, for that </w:t>
      </w:r>
      <w:r w:rsidRPr="006E05DF" w:rsidR="00FA4E5F">
        <w:rPr>
          <w:szCs w:val="26"/>
        </w:rPr>
        <w:t>reason</w:t>
      </w:r>
      <w:r w:rsidRPr="006E05DF" w:rsidR="005C594D">
        <w:rPr>
          <w:szCs w:val="26"/>
        </w:rPr>
        <w:t>,</w:t>
      </w:r>
      <w:r w:rsidRPr="006E05DF" w:rsidR="00FF40C4">
        <w:rPr>
          <w:szCs w:val="26"/>
        </w:rPr>
        <w:t xml:space="preserve"> </w:t>
      </w:r>
      <w:r w:rsidRPr="006E05DF" w:rsidR="00524D20">
        <w:rPr>
          <w:szCs w:val="26"/>
        </w:rPr>
        <w:t xml:space="preserve">constitutionally </w:t>
      </w:r>
      <w:r w:rsidRPr="006E05DF" w:rsidR="00B77D14">
        <w:rPr>
          <w:szCs w:val="26"/>
        </w:rPr>
        <w:t>insulate</w:t>
      </w:r>
      <w:r w:rsidRPr="006E05DF" w:rsidR="005B4C1E">
        <w:rPr>
          <w:szCs w:val="26"/>
        </w:rPr>
        <w:t>d</w:t>
      </w:r>
      <w:r w:rsidRPr="006E05DF" w:rsidR="00B77D14">
        <w:rPr>
          <w:szCs w:val="26"/>
        </w:rPr>
        <w:t xml:space="preserve"> </w:t>
      </w:r>
      <w:r w:rsidRPr="006E05DF" w:rsidR="00FF40C4">
        <w:rPr>
          <w:szCs w:val="26"/>
        </w:rPr>
        <w:t xml:space="preserve">from </w:t>
      </w:r>
      <w:r w:rsidRPr="006E05DF" w:rsidR="00B77D14">
        <w:rPr>
          <w:szCs w:val="26"/>
        </w:rPr>
        <w:t xml:space="preserve">false advertising laws.  </w:t>
      </w:r>
      <w:r w:rsidRPr="006E05DF" w:rsidR="008A1875">
        <w:rPr>
          <w:szCs w:val="26"/>
        </w:rPr>
        <w:t>And a</w:t>
      </w:r>
      <w:r w:rsidRPr="006E05DF" w:rsidR="00B77D14">
        <w:rPr>
          <w:szCs w:val="26"/>
        </w:rPr>
        <w:t>s discussed above, advertising does</w:t>
      </w:r>
      <w:r w:rsidRPr="006E05DF" w:rsidR="00524D20">
        <w:rPr>
          <w:szCs w:val="26"/>
        </w:rPr>
        <w:t xml:space="preserve"> not</w:t>
      </w:r>
      <w:r w:rsidRPr="006E05DF" w:rsidR="00B77D14">
        <w:rPr>
          <w:szCs w:val="26"/>
        </w:rPr>
        <w:t xml:space="preserve"> </w:t>
      </w:r>
      <w:r w:rsidRPr="006E05DF" w:rsidR="00524D20">
        <w:rPr>
          <w:szCs w:val="26"/>
        </w:rPr>
        <w:t>shed its commercial status</w:t>
      </w:r>
      <w:r w:rsidRPr="006E05DF" w:rsidR="00B77D14">
        <w:rPr>
          <w:szCs w:val="26"/>
        </w:rPr>
        <w:t xml:space="preserve"> </w:t>
      </w:r>
      <w:r w:rsidRPr="006E05DF" w:rsidR="008A1875">
        <w:rPr>
          <w:szCs w:val="26"/>
        </w:rPr>
        <w:t xml:space="preserve">though </w:t>
      </w:r>
      <w:r w:rsidRPr="006E05DF" w:rsidR="00430F89">
        <w:rPr>
          <w:szCs w:val="26"/>
        </w:rPr>
        <w:t>it</w:t>
      </w:r>
      <w:r w:rsidRPr="006E05DF" w:rsidR="00B77D14">
        <w:rPr>
          <w:szCs w:val="26"/>
        </w:rPr>
        <w:t xml:space="preserve"> touches</w:t>
      </w:r>
      <w:r w:rsidRPr="006E05DF" w:rsidR="00430F89">
        <w:rPr>
          <w:szCs w:val="26"/>
        </w:rPr>
        <w:t xml:space="preserve"> or links a product to</w:t>
      </w:r>
      <w:r w:rsidRPr="006E05DF" w:rsidR="00B77D14">
        <w:rPr>
          <w:szCs w:val="26"/>
        </w:rPr>
        <w:t xml:space="preserve"> an important public </w:t>
      </w:r>
      <w:r w:rsidRPr="006E05DF" w:rsidR="006D1285">
        <w:rPr>
          <w:szCs w:val="26"/>
        </w:rPr>
        <w:t>debate</w:t>
      </w:r>
      <w:r w:rsidRPr="006E05DF" w:rsidR="00B77D14">
        <w:rPr>
          <w:szCs w:val="26"/>
        </w:rPr>
        <w:t>.  (</w:t>
      </w:r>
      <w:r w:rsidRPr="006E05DF" w:rsidR="00B77D14">
        <w:rPr>
          <w:i/>
          <w:iCs/>
          <w:szCs w:val="26"/>
        </w:rPr>
        <w:t>Central Hudson</w:t>
      </w:r>
      <w:r w:rsidRPr="006E05DF" w:rsidR="00B77D14">
        <w:rPr>
          <w:szCs w:val="26"/>
        </w:rPr>
        <w:t xml:space="preserve">, </w:t>
      </w:r>
      <w:r w:rsidRPr="006E05DF" w:rsidR="00430F89">
        <w:rPr>
          <w:i/>
          <w:iCs/>
          <w:szCs w:val="26"/>
        </w:rPr>
        <w:t>supra</w:t>
      </w:r>
      <w:r w:rsidRPr="006E05DF" w:rsidR="00430F89">
        <w:rPr>
          <w:szCs w:val="26"/>
        </w:rPr>
        <w:t xml:space="preserve">, 447 U.S. at p. 562, </w:t>
      </w:r>
      <w:r w:rsidRPr="006E05DF" w:rsidR="00B77D14">
        <w:rPr>
          <w:szCs w:val="26"/>
        </w:rPr>
        <w:t xml:space="preserve">fn. 5; </w:t>
      </w:r>
      <w:r w:rsidRPr="006E05DF" w:rsidR="00B77D14">
        <w:rPr>
          <w:i/>
          <w:iCs/>
          <w:szCs w:val="26"/>
        </w:rPr>
        <w:t>Kasky</w:t>
      </w:r>
      <w:r w:rsidRPr="006E05DF" w:rsidR="00B77D14">
        <w:rPr>
          <w:szCs w:val="26"/>
        </w:rPr>
        <w:t xml:space="preserve">, </w:t>
      </w:r>
      <w:r w:rsidRPr="006E05DF" w:rsidR="00B77D14">
        <w:rPr>
          <w:i/>
          <w:iCs/>
          <w:szCs w:val="26"/>
        </w:rPr>
        <w:t>supra</w:t>
      </w:r>
      <w:r w:rsidRPr="006E05DF" w:rsidR="00B77D14">
        <w:rPr>
          <w:szCs w:val="26"/>
        </w:rPr>
        <w:t>, 27 Cal.4th at p. 966</w:t>
      </w:r>
      <w:r w:rsidRPr="006E05DF" w:rsidR="00FF40C4">
        <w:rPr>
          <w:szCs w:val="26"/>
        </w:rPr>
        <w:t xml:space="preserve">; </w:t>
      </w:r>
      <w:r w:rsidRPr="006E05DF" w:rsidR="00FF40C4">
        <w:rPr>
          <w:i/>
          <w:iCs/>
          <w:szCs w:val="26"/>
        </w:rPr>
        <w:t>Eastman Chem. Co. v. PlastiPure, Inc.</w:t>
      </w:r>
      <w:r w:rsidRPr="006E05DF" w:rsidR="00FF40C4">
        <w:rPr>
          <w:szCs w:val="26"/>
        </w:rPr>
        <w:t xml:space="preserve"> (5th Cir. 2014) 775 F.3d 230, 236 [“Advertisements do not become immune from . . . scrutiny simply because their claims are open to scientific or public debate”].)</w:t>
      </w:r>
      <w:r>
        <w:rPr>
          <w:rStyle w:val="FootnoteReference"/>
          <w:szCs w:val="26"/>
        </w:rPr>
        <w:footnoteReference w:id="14"/>
      </w:r>
      <w:r w:rsidRPr="006E05DF" w:rsidR="00C27B95">
        <w:rPr>
          <w:szCs w:val="26"/>
        </w:rPr>
        <w:t xml:space="preserve">  </w:t>
      </w:r>
    </w:p>
    <w:p w:rsidR="00C26AE8" w:rsidRPr="006E05DF" w:rsidP="00314A1F">
      <w:pPr>
        <w:rPr>
          <w:szCs w:val="26"/>
        </w:rPr>
      </w:pPr>
      <w:r w:rsidRPr="006E05DF">
        <w:rPr>
          <w:szCs w:val="26"/>
        </w:rPr>
        <w:tab/>
      </w:r>
      <w:r w:rsidRPr="006E05DF" w:rsidR="009A5074">
        <w:rPr>
          <w:szCs w:val="26"/>
        </w:rPr>
        <w:t xml:space="preserve">Our conclusion </w:t>
      </w:r>
      <w:r w:rsidR="00E263D7">
        <w:rPr>
          <w:szCs w:val="26"/>
        </w:rPr>
        <w:t xml:space="preserve">would </w:t>
      </w:r>
      <w:r w:rsidRPr="006E05DF" w:rsidR="009A5074">
        <w:rPr>
          <w:szCs w:val="26"/>
        </w:rPr>
        <w:t xml:space="preserve">not foreclose Sony, despite its present willingness to </w:t>
      </w:r>
      <w:r w:rsidRPr="006E05DF" w:rsidR="00C141A0">
        <w:rPr>
          <w:szCs w:val="26"/>
        </w:rPr>
        <w:t>concede</w:t>
      </w:r>
      <w:r w:rsidRPr="006E05DF" w:rsidR="009A5074">
        <w:rPr>
          <w:szCs w:val="26"/>
        </w:rPr>
        <w:t xml:space="preserve"> falsity, from later </w:t>
      </w:r>
      <w:r w:rsidRPr="006E05DF" w:rsidR="00481365">
        <w:rPr>
          <w:szCs w:val="26"/>
        </w:rPr>
        <w:t xml:space="preserve">attempting to </w:t>
      </w:r>
      <w:r w:rsidRPr="006E05DF" w:rsidR="00320796">
        <w:rPr>
          <w:szCs w:val="26"/>
        </w:rPr>
        <w:t>argu</w:t>
      </w:r>
      <w:r w:rsidRPr="006E05DF" w:rsidR="00481365">
        <w:rPr>
          <w:szCs w:val="26"/>
        </w:rPr>
        <w:t>e</w:t>
      </w:r>
      <w:r w:rsidRPr="006E05DF" w:rsidR="009A5074">
        <w:rPr>
          <w:szCs w:val="26"/>
        </w:rPr>
        <w:t xml:space="preserve"> its statements </w:t>
      </w:r>
      <w:r w:rsidRPr="006E05DF" w:rsidR="006E4BFE">
        <w:rPr>
          <w:szCs w:val="26"/>
        </w:rPr>
        <w:t xml:space="preserve">are </w:t>
      </w:r>
      <w:r w:rsidRPr="006E05DF" w:rsidR="00320796">
        <w:rPr>
          <w:szCs w:val="26"/>
        </w:rPr>
        <w:t>in</w:t>
      </w:r>
      <w:r w:rsidRPr="006E05DF" w:rsidR="009A5074">
        <w:rPr>
          <w:szCs w:val="26"/>
        </w:rPr>
        <w:t xml:space="preserve">sufficiently false or misleading statements of fact </w:t>
      </w:r>
      <w:r w:rsidRPr="006E05DF" w:rsidR="00320796">
        <w:rPr>
          <w:szCs w:val="26"/>
        </w:rPr>
        <w:t xml:space="preserve">to be </w:t>
      </w:r>
      <w:r w:rsidRPr="006E05DF" w:rsidR="009A5074">
        <w:rPr>
          <w:szCs w:val="26"/>
        </w:rPr>
        <w:t>regulable under the CLRA or UCL</w:t>
      </w:r>
      <w:r w:rsidRPr="006E05DF" w:rsidR="00704484">
        <w:rPr>
          <w:szCs w:val="26"/>
        </w:rPr>
        <w:t xml:space="preserve">.  </w:t>
      </w:r>
      <w:r w:rsidRPr="006E05DF" w:rsidR="00524D20">
        <w:rPr>
          <w:szCs w:val="26"/>
        </w:rPr>
        <w:t>But t</w:t>
      </w:r>
      <w:r w:rsidRPr="006E05DF" w:rsidR="009A5074">
        <w:rPr>
          <w:szCs w:val="26"/>
        </w:rPr>
        <w:t>h</w:t>
      </w:r>
      <w:r w:rsidRPr="006E05DF" w:rsidR="00C141A0">
        <w:rPr>
          <w:szCs w:val="26"/>
        </w:rPr>
        <w:t>e</w:t>
      </w:r>
      <w:r w:rsidRPr="006E05DF" w:rsidR="009A5074">
        <w:rPr>
          <w:szCs w:val="26"/>
        </w:rPr>
        <w:t xml:space="preserve"> separate inquiry</w:t>
      </w:r>
      <w:r w:rsidRPr="006E05DF" w:rsidR="00843212">
        <w:rPr>
          <w:szCs w:val="26"/>
        </w:rPr>
        <w:t xml:space="preserve"> into liability</w:t>
      </w:r>
      <w:r w:rsidRPr="006E05DF" w:rsidR="009A5074">
        <w:rPr>
          <w:szCs w:val="26"/>
        </w:rPr>
        <w:t>, on which we express no opinion, is different from the speech classification issue before us</w:t>
      </w:r>
      <w:r w:rsidRPr="006E05DF" w:rsidR="00EC7821">
        <w:rPr>
          <w:szCs w:val="26"/>
        </w:rPr>
        <w:t xml:space="preserve"> now</w:t>
      </w:r>
      <w:r w:rsidRPr="006E05DF" w:rsidR="009A5074">
        <w:rPr>
          <w:szCs w:val="26"/>
        </w:rPr>
        <w:t xml:space="preserve">.  (See </w:t>
      </w:r>
      <w:r w:rsidRPr="006E05DF" w:rsidR="009A5074">
        <w:rPr>
          <w:i/>
          <w:iCs/>
          <w:szCs w:val="26"/>
        </w:rPr>
        <w:t>Kasky</w:t>
      </w:r>
      <w:r w:rsidRPr="006E05DF" w:rsidR="009A5074">
        <w:rPr>
          <w:szCs w:val="26"/>
        </w:rPr>
        <w:t xml:space="preserve">, </w:t>
      </w:r>
      <w:r w:rsidRPr="006E05DF" w:rsidR="009A5074">
        <w:rPr>
          <w:i/>
          <w:iCs/>
          <w:szCs w:val="26"/>
        </w:rPr>
        <w:t>supra</w:t>
      </w:r>
      <w:r w:rsidRPr="006E05DF" w:rsidR="009A5074">
        <w:rPr>
          <w:szCs w:val="26"/>
        </w:rPr>
        <w:t>, 27 Ca</w:t>
      </w:r>
      <w:r w:rsidRPr="006E05DF" w:rsidR="007B334B">
        <w:rPr>
          <w:szCs w:val="26"/>
        </w:rPr>
        <w:t>l</w:t>
      </w:r>
      <w:r w:rsidRPr="006E05DF" w:rsidR="009A5074">
        <w:rPr>
          <w:szCs w:val="26"/>
        </w:rPr>
        <w:t xml:space="preserve">.4th at p. 970 [noting the falsity inquiry is separate]; </w:t>
      </w:r>
      <w:r w:rsidRPr="006E05DF" w:rsidR="009A5074">
        <w:rPr>
          <w:i/>
          <w:iCs/>
          <w:szCs w:val="26"/>
        </w:rPr>
        <w:t>id.</w:t>
      </w:r>
      <w:r w:rsidRPr="006E05DF" w:rsidR="009A5074">
        <w:rPr>
          <w:szCs w:val="26"/>
        </w:rPr>
        <w:t xml:space="preserve"> a</w:t>
      </w:r>
      <w:r w:rsidR="00577FB0">
        <w:rPr>
          <w:szCs w:val="26"/>
        </w:rPr>
        <w:t>t</w:t>
      </w:r>
      <w:r w:rsidRPr="006E05DF" w:rsidR="009A5074">
        <w:rPr>
          <w:szCs w:val="26"/>
        </w:rPr>
        <w:t xml:space="preserve"> p. 974, fn. 2 (dis. op</w:t>
      </w:r>
      <w:r w:rsidRPr="006E05DF" w:rsidR="00886E16">
        <w:rPr>
          <w:szCs w:val="26"/>
        </w:rPr>
        <w:t>n</w:t>
      </w:r>
      <w:r w:rsidRPr="006E05DF" w:rsidR="009A5074">
        <w:rPr>
          <w:szCs w:val="26"/>
        </w:rPr>
        <w:t>. of Chin, J.) [“Whether a company</w:t>
      </w:r>
      <w:r w:rsidRPr="006E05DF" w:rsidR="00504147">
        <w:rPr>
          <w:szCs w:val="26"/>
        </w:rPr>
        <w:t>’</w:t>
      </w:r>
      <w:r w:rsidRPr="006E05DF" w:rsidR="009A5074">
        <w:rPr>
          <w:szCs w:val="26"/>
        </w:rPr>
        <w:t>s statements are allegedly false or misleading does not determine the threshold question</w:t>
      </w:r>
      <w:r w:rsidRPr="006E05DF" w:rsidR="00504147">
        <w:rPr>
          <w:szCs w:val="26"/>
        </w:rPr>
        <w:t xml:space="preserve">” of </w:t>
      </w:r>
      <w:r w:rsidR="00897F89">
        <w:rPr>
          <w:szCs w:val="26"/>
        </w:rPr>
        <w:t>“</w:t>
      </w:r>
      <w:r w:rsidRPr="006E05DF" w:rsidR="009A5074">
        <w:rPr>
          <w:szCs w:val="26"/>
        </w:rPr>
        <w:t>whether the speech is commercial or noncommercial”]</w:t>
      </w:r>
      <w:r w:rsidRPr="006E05DF" w:rsidR="00E34419">
        <w:rPr>
          <w:szCs w:val="26"/>
        </w:rPr>
        <w:t xml:space="preserve">; </w:t>
      </w:r>
      <w:r w:rsidRPr="006E05DF" w:rsidR="00E34419">
        <w:rPr>
          <w:i/>
          <w:iCs/>
          <w:szCs w:val="26"/>
        </w:rPr>
        <w:t>JAM</w:t>
      </w:r>
      <w:r w:rsidRPr="006E05DF" w:rsidR="009854DE">
        <w:rPr>
          <w:i/>
          <w:iCs/>
          <w:szCs w:val="26"/>
        </w:rPr>
        <w:t>S</w:t>
      </w:r>
      <w:r w:rsidRPr="006E05DF" w:rsidR="009854DE">
        <w:rPr>
          <w:szCs w:val="26"/>
        </w:rPr>
        <w:t xml:space="preserve">, </w:t>
      </w:r>
      <w:r w:rsidRPr="006E05DF" w:rsidR="009854DE">
        <w:rPr>
          <w:i/>
          <w:iCs/>
          <w:szCs w:val="26"/>
        </w:rPr>
        <w:t>supra</w:t>
      </w:r>
      <w:r w:rsidRPr="006E05DF" w:rsidR="009854DE">
        <w:rPr>
          <w:szCs w:val="26"/>
        </w:rPr>
        <w:t xml:space="preserve">, </w:t>
      </w:r>
      <w:r w:rsidRPr="006E05DF" w:rsidR="00E34419">
        <w:rPr>
          <w:szCs w:val="26"/>
        </w:rPr>
        <w:t xml:space="preserve">1 Cal.App.5th </w:t>
      </w:r>
      <w:r w:rsidRPr="006E05DF" w:rsidR="009854DE">
        <w:rPr>
          <w:szCs w:val="26"/>
        </w:rPr>
        <w:t xml:space="preserve">at p. </w:t>
      </w:r>
      <w:r w:rsidRPr="006E05DF" w:rsidR="00E34419">
        <w:rPr>
          <w:szCs w:val="26"/>
        </w:rPr>
        <w:t>995 [whether statements are true “goes to the issue of whether or not [plaintiff] can prevail on his claim, not to whether the statements qualify as commercial speech”</w:t>
      </w:r>
      <w:r w:rsidRPr="006E05DF" w:rsidR="006C2F41">
        <w:rPr>
          <w:szCs w:val="26"/>
        </w:rPr>
        <w:t xml:space="preserve"> as that term is understood]</w:t>
      </w:r>
      <w:r w:rsidRPr="006E05DF" w:rsidR="00243162">
        <w:rPr>
          <w:szCs w:val="26"/>
        </w:rPr>
        <w:t>.)</w:t>
      </w:r>
      <w:r w:rsidRPr="006E05DF" w:rsidR="006C2F41">
        <w:rPr>
          <w:szCs w:val="26"/>
        </w:rPr>
        <w:t xml:space="preserve"> </w:t>
      </w:r>
    </w:p>
    <w:p w:rsidR="00FB6724" w:rsidRPr="006E05DF" w:rsidP="00697AC4">
      <w:pPr>
        <w:spacing w:before="120" w:after="120" w:line="240" w:lineRule="auto"/>
        <w:ind w:left="1440" w:hanging="720"/>
        <w:jc w:val="left"/>
        <w:outlineLvl w:val="2"/>
        <w:rPr>
          <w:b/>
          <w:bCs/>
          <w:szCs w:val="26"/>
        </w:rPr>
      </w:pPr>
      <w:r w:rsidRPr="006E05DF">
        <w:rPr>
          <w:b/>
          <w:bCs/>
          <w:szCs w:val="26"/>
        </w:rPr>
        <w:t>6</w:t>
      </w:r>
      <w:r w:rsidRPr="006E05DF">
        <w:rPr>
          <w:b/>
          <w:bCs/>
          <w:szCs w:val="26"/>
        </w:rPr>
        <w:t>.</w:t>
      </w:r>
      <w:r w:rsidRPr="006E05DF">
        <w:rPr>
          <w:b/>
          <w:bCs/>
          <w:szCs w:val="26"/>
        </w:rPr>
        <w:tab/>
        <w:t xml:space="preserve">Strict Liability Regulation of Commercial Speech </w:t>
      </w:r>
      <w:r w:rsidRPr="006E05DF" w:rsidR="00886E16">
        <w:rPr>
          <w:b/>
          <w:bCs/>
          <w:szCs w:val="26"/>
        </w:rPr>
        <w:t>I</w:t>
      </w:r>
      <w:r w:rsidRPr="006E05DF">
        <w:rPr>
          <w:b/>
          <w:bCs/>
          <w:szCs w:val="26"/>
        </w:rPr>
        <w:t>s Common</w:t>
      </w:r>
      <w:r w:rsidR="006F2795">
        <w:rPr>
          <w:b/>
          <w:bCs/>
          <w:szCs w:val="26"/>
        </w:rPr>
        <w:t>.</w:t>
      </w:r>
    </w:p>
    <w:p w:rsidR="00723E41" w:rsidRPr="006E05DF" w:rsidP="00314A1F">
      <w:pPr>
        <w:rPr>
          <w:szCs w:val="26"/>
        </w:rPr>
      </w:pPr>
      <w:r w:rsidRPr="006E05DF">
        <w:rPr>
          <w:szCs w:val="26"/>
        </w:rPr>
        <w:tab/>
      </w:r>
      <w:r w:rsidRPr="006E05DF" w:rsidR="009B2599">
        <w:rPr>
          <w:szCs w:val="26"/>
        </w:rPr>
        <w:t>O</w:t>
      </w:r>
      <w:r w:rsidRPr="006E05DF" w:rsidR="00281540">
        <w:rPr>
          <w:szCs w:val="26"/>
        </w:rPr>
        <w:t>ffer</w:t>
      </w:r>
      <w:r w:rsidRPr="006E05DF" w:rsidR="009B2599">
        <w:rPr>
          <w:szCs w:val="26"/>
        </w:rPr>
        <w:t>ing</w:t>
      </w:r>
      <w:r w:rsidRPr="006E05DF" w:rsidR="00281540">
        <w:rPr>
          <w:szCs w:val="26"/>
        </w:rPr>
        <w:t xml:space="preserve"> </w:t>
      </w:r>
      <w:r w:rsidRPr="006E05DF" w:rsidR="00FB6724">
        <w:rPr>
          <w:szCs w:val="26"/>
        </w:rPr>
        <w:t>a variation on</w:t>
      </w:r>
      <w:r w:rsidRPr="006E05DF" w:rsidR="00CE6A91">
        <w:rPr>
          <w:szCs w:val="26"/>
        </w:rPr>
        <w:t xml:space="preserve"> its verifiability and knowledge argument</w:t>
      </w:r>
      <w:r w:rsidRPr="006E05DF" w:rsidR="009B2599">
        <w:rPr>
          <w:szCs w:val="26"/>
        </w:rPr>
        <w:t>,</w:t>
      </w:r>
      <w:r w:rsidRPr="006E05DF" w:rsidR="00281540">
        <w:rPr>
          <w:szCs w:val="26"/>
        </w:rPr>
        <w:t xml:space="preserve"> Sony argues </w:t>
      </w:r>
      <w:r w:rsidRPr="006E05DF" w:rsidR="00C26AE8">
        <w:rPr>
          <w:szCs w:val="26"/>
        </w:rPr>
        <w:t xml:space="preserve">we should classify its alleged misrepresentations about </w:t>
      </w:r>
      <w:r w:rsidRPr="00883750" w:rsidR="00C26AE8">
        <w:rPr>
          <w:i/>
          <w:iCs/>
          <w:szCs w:val="26"/>
        </w:rPr>
        <w:t>Michael</w:t>
      </w:r>
      <w:r w:rsidRPr="006E05DF" w:rsidR="00C26AE8">
        <w:rPr>
          <w:szCs w:val="26"/>
        </w:rPr>
        <w:t xml:space="preserve"> as noncommercial </w:t>
      </w:r>
      <w:r w:rsidRPr="006E05DF" w:rsidR="002252BE">
        <w:rPr>
          <w:szCs w:val="26"/>
        </w:rPr>
        <w:t xml:space="preserve">because </w:t>
      </w:r>
      <w:r w:rsidRPr="006E05DF" w:rsidR="00C141A0">
        <w:rPr>
          <w:szCs w:val="26"/>
        </w:rPr>
        <w:t xml:space="preserve">regulating </w:t>
      </w:r>
      <w:r w:rsidRPr="006E05DF" w:rsidR="00C26AE8">
        <w:rPr>
          <w:szCs w:val="26"/>
        </w:rPr>
        <w:t xml:space="preserve">them </w:t>
      </w:r>
      <w:r w:rsidRPr="006E05DF" w:rsidR="00E21A35">
        <w:rPr>
          <w:szCs w:val="26"/>
        </w:rPr>
        <w:t xml:space="preserve">on a </w:t>
      </w:r>
      <w:r w:rsidRPr="006E05DF" w:rsidR="00C141A0">
        <w:rPr>
          <w:szCs w:val="26"/>
        </w:rPr>
        <w:t xml:space="preserve">strict liability </w:t>
      </w:r>
      <w:r w:rsidRPr="006E05DF" w:rsidR="00E21A35">
        <w:rPr>
          <w:szCs w:val="26"/>
        </w:rPr>
        <w:t>basis, as Serova seeks to do under the CLRA and UCL,</w:t>
      </w:r>
      <w:r>
        <w:rPr>
          <w:rStyle w:val="FootnoteReference"/>
          <w:szCs w:val="26"/>
        </w:rPr>
        <w:footnoteReference w:id="15"/>
      </w:r>
      <w:r w:rsidRPr="006E05DF" w:rsidR="00E21A35">
        <w:rPr>
          <w:szCs w:val="26"/>
        </w:rPr>
        <w:t xml:space="preserve"> </w:t>
      </w:r>
      <w:r w:rsidRPr="006E05DF" w:rsidR="00C971EE">
        <w:rPr>
          <w:szCs w:val="26"/>
        </w:rPr>
        <w:t xml:space="preserve">would </w:t>
      </w:r>
      <w:r w:rsidRPr="006E05DF" w:rsidR="00FB6724">
        <w:rPr>
          <w:szCs w:val="26"/>
        </w:rPr>
        <w:t>unduly “</w:t>
      </w:r>
      <w:r w:rsidRPr="006E05DF" w:rsidR="00C971EE">
        <w:rPr>
          <w:szCs w:val="26"/>
        </w:rPr>
        <w:t xml:space="preserve">chill expression” </w:t>
      </w:r>
      <w:r w:rsidRPr="006E05DF" w:rsidR="0059120D">
        <w:rPr>
          <w:szCs w:val="26"/>
        </w:rPr>
        <w:t>in a way inconsistent with traditional government regulation</w:t>
      </w:r>
      <w:r w:rsidRPr="006E05DF" w:rsidR="00C971EE">
        <w:rPr>
          <w:szCs w:val="26"/>
        </w:rPr>
        <w:t xml:space="preserve">.  </w:t>
      </w:r>
    </w:p>
    <w:p w:rsidR="00723E41" w:rsidRPr="006E05DF" w:rsidP="00314A1F">
      <w:pPr>
        <w:rPr>
          <w:szCs w:val="26"/>
        </w:rPr>
      </w:pPr>
      <w:r w:rsidRPr="006E05DF">
        <w:rPr>
          <w:szCs w:val="26"/>
        </w:rPr>
        <w:tab/>
      </w:r>
      <w:r w:rsidRPr="006E05DF" w:rsidR="00D13EF8">
        <w:rPr>
          <w:szCs w:val="26"/>
        </w:rPr>
        <w:t>Yet</w:t>
      </w:r>
      <w:r w:rsidRPr="006E05DF" w:rsidR="008F0537">
        <w:rPr>
          <w:szCs w:val="26"/>
        </w:rPr>
        <w:t xml:space="preserve"> </w:t>
      </w:r>
      <w:r w:rsidRPr="006E05DF" w:rsidR="00D92BB7">
        <w:rPr>
          <w:szCs w:val="26"/>
        </w:rPr>
        <w:t>“</w:t>
      </w:r>
      <w:r w:rsidRPr="006E05DF" w:rsidR="003F3580">
        <w:rPr>
          <w:szCs w:val="26"/>
        </w:rPr>
        <w:t>[s]</w:t>
      </w:r>
      <w:r w:rsidRPr="006E05DF" w:rsidR="00D92BB7">
        <w:rPr>
          <w:szCs w:val="26"/>
        </w:rPr>
        <w:t>trict liability regimes regulating commercial speech” are not anomalou</w:t>
      </w:r>
      <w:r w:rsidRPr="006E05DF" w:rsidR="00B307C1">
        <w:rPr>
          <w:szCs w:val="26"/>
        </w:rPr>
        <w:t>s</w:t>
      </w:r>
      <w:r w:rsidRPr="006E05DF" w:rsidR="006E4A85">
        <w:rPr>
          <w:szCs w:val="26"/>
        </w:rPr>
        <w:t xml:space="preserve"> but consistent with traditional notions of government’s regulatory role</w:t>
      </w:r>
      <w:r w:rsidRPr="006E05DF" w:rsidR="00B307C1">
        <w:rPr>
          <w:szCs w:val="26"/>
        </w:rPr>
        <w:t>.</w:t>
      </w:r>
      <w:r w:rsidRPr="006E05DF">
        <w:rPr>
          <w:szCs w:val="26"/>
        </w:rPr>
        <w:t xml:space="preserve"> </w:t>
      </w:r>
      <w:r w:rsidRPr="006E05DF" w:rsidR="00D92BB7">
        <w:rPr>
          <w:szCs w:val="26"/>
        </w:rPr>
        <w:t xml:space="preserve"> (</w:t>
      </w:r>
      <w:r w:rsidRPr="006E05DF" w:rsidR="00D92BB7">
        <w:rPr>
          <w:i/>
          <w:iCs/>
          <w:szCs w:val="26"/>
        </w:rPr>
        <w:t>American-Arab Anti-Discrimination Comm. v. City of Dearborn</w:t>
      </w:r>
      <w:r w:rsidRPr="006E05DF" w:rsidR="00D92BB7">
        <w:rPr>
          <w:szCs w:val="26"/>
        </w:rPr>
        <w:t xml:space="preserve"> (6th Cir. 2005) 418 F.3d 600, 611, fn. 7.)  </w:t>
      </w:r>
      <w:r w:rsidRPr="006E05DF" w:rsidR="00B307C1">
        <w:rPr>
          <w:szCs w:val="26"/>
        </w:rPr>
        <w:t>A</w:t>
      </w:r>
      <w:r w:rsidRPr="006E05DF" w:rsidR="001E37ED">
        <w:rPr>
          <w:szCs w:val="26"/>
        </w:rPr>
        <w:t xml:space="preserve"> hundred years ago, states, in their early </w:t>
      </w:r>
      <w:r w:rsidRPr="006E05DF" w:rsidR="00BF3258">
        <w:rPr>
          <w:szCs w:val="26"/>
        </w:rPr>
        <w:t>efforts</w:t>
      </w:r>
      <w:r w:rsidRPr="006E05DF" w:rsidR="001E37ED">
        <w:rPr>
          <w:szCs w:val="26"/>
        </w:rPr>
        <w:t xml:space="preserve"> to curtail false advertising, enacted variants of a model statute criminaliz</w:t>
      </w:r>
      <w:r w:rsidRPr="006E05DF" w:rsidR="005A222E">
        <w:rPr>
          <w:szCs w:val="26"/>
        </w:rPr>
        <w:t>ing</w:t>
      </w:r>
      <w:r w:rsidRPr="006E05DF" w:rsidR="001E37ED">
        <w:rPr>
          <w:szCs w:val="26"/>
        </w:rPr>
        <w:t xml:space="preserve"> “</w:t>
      </w:r>
      <w:r w:rsidR="00CE6584">
        <w:rPr>
          <w:szCs w:val="26"/>
        </w:rPr>
        <w:t> </w:t>
      </w:r>
      <w:r w:rsidR="0040363E">
        <w:rPr>
          <w:szCs w:val="26"/>
        </w:rPr>
        <w:t>‘</w:t>
      </w:r>
      <w:r w:rsidRPr="006E05DF" w:rsidR="001E37ED">
        <w:rPr>
          <w:szCs w:val="26"/>
        </w:rPr>
        <w:t>untrue, deceptive or misleading</w:t>
      </w:r>
      <w:r w:rsidR="0040363E">
        <w:rPr>
          <w:szCs w:val="26"/>
        </w:rPr>
        <w:t>’</w:t>
      </w:r>
      <w:r w:rsidR="00CE6584">
        <w:rPr>
          <w:szCs w:val="26"/>
        </w:rPr>
        <w:t> </w:t>
      </w:r>
      <w:r w:rsidRPr="006E05DF" w:rsidR="001E37ED">
        <w:rPr>
          <w:szCs w:val="26"/>
        </w:rPr>
        <w:t xml:space="preserve">” </w:t>
      </w:r>
      <w:r w:rsidRPr="006E05DF" w:rsidR="005A222E">
        <w:rPr>
          <w:szCs w:val="26"/>
        </w:rPr>
        <w:t>advertisements</w:t>
      </w:r>
      <w:r w:rsidRPr="006E05DF" w:rsidR="001E37ED">
        <w:rPr>
          <w:szCs w:val="26"/>
        </w:rPr>
        <w:t xml:space="preserve">.  (Comment, </w:t>
      </w:r>
      <w:r w:rsidRPr="00967AA4" w:rsidR="001E37ED">
        <w:rPr>
          <w:i/>
          <w:iCs/>
          <w:szCs w:val="26"/>
        </w:rPr>
        <w:t>Untrue Advertising</w:t>
      </w:r>
      <w:r w:rsidRPr="006E05DF" w:rsidR="001E37ED">
        <w:rPr>
          <w:szCs w:val="26"/>
        </w:rPr>
        <w:t xml:space="preserve"> (1927) 36 Yale L.J. 1155, 1156</w:t>
      </w:r>
      <w:r w:rsidR="0040363E">
        <w:rPr>
          <w:szCs w:val="26"/>
        </w:rPr>
        <w:t>, fn. 6 (</w:t>
      </w:r>
      <w:r w:rsidR="0040363E">
        <w:rPr>
          <w:i/>
          <w:iCs/>
          <w:szCs w:val="26"/>
        </w:rPr>
        <w:t>Untrue Advertising</w:t>
      </w:r>
      <w:r w:rsidR="0040363E">
        <w:rPr>
          <w:szCs w:val="26"/>
        </w:rPr>
        <w:t>)</w:t>
      </w:r>
      <w:r w:rsidRPr="006E05DF" w:rsidR="001E37ED">
        <w:rPr>
          <w:szCs w:val="26"/>
        </w:rPr>
        <w:t>.)  Th</w:t>
      </w:r>
      <w:r w:rsidRPr="006E05DF" w:rsidR="00B307C1">
        <w:rPr>
          <w:szCs w:val="26"/>
        </w:rPr>
        <w:t>is Printer’s Ink Model Statute</w:t>
      </w:r>
      <w:r w:rsidRPr="006E05DF" w:rsidR="001E37ED">
        <w:rPr>
          <w:szCs w:val="26"/>
        </w:rPr>
        <w:t>,</w:t>
      </w:r>
      <w:r>
        <w:rPr>
          <w:rStyle w:val="FootnoteReference"/>
          <w:szCs w:val="26"/>
        </w:rPr>
        <w:footnoteReference w:id="16"/>
      </w:r>
      <w:r w:rsidRPr="006E05DF" w:rsidR="001E37ED">
        <w:rPr>
          <w:szCs w:val="26"/>
        </w:rPr>
        <w:t xml:space="preserve"> and a majority of the states implementing it, imposed “absolute responsibility</w:t>
      </w:r>
      <w:r w:rsidRPr="006E05DF" w:rsidR="005A222E">
        <w:rPr>
          <w:szCs w:val="26"/>
        </w:rPr>
        <w:t>,</w:t>
      </w:r>
      <w:r w:rsidRPr="006E05DF" w:rsidR="001E37ED">
        <w:rPr>
          <w:szCs w:val="26"/>
        </w:rPr>
        <w:t>” even absent “knowledge or intent to deceive.”  (</w:t>
      </w:r>
      <w:r w:rsidR="00883750">
        <w:rPr>
          <w:i/>
          <w:iCs/>
          <w:szCs w:val="26"/>
        </w:rPr>
        <w:t>Untrue Advertising</w:t>
      </w:r>
      <w:r w:rsidR="0040363E">
        <w:rPr>
          <w:szCs w:val="26"/>
        </w:rPr>
        <w:t>, at p. 1157</w:t>
      </w:r>
      <w:r w:rsidR="00883750">
        <w:rPr>
          <w:szCs w:val="26"/>
        </w:rPr>
        <w:t xml:space="preserve"> &amp; fn. 12</w:t>
      </w:r>
      <w:r w:rsidRPr="006E05DF" w:rsidR="001A3AEE">
        <w:rPr>
          <w:szCs w:val="26"/>
        </w:rPr>
        <w:t xml:space="preserve">; see </w:t>
      </w:r>
      <w:r w:rsidRPr="006E05DF" w:rsidR="001A3AEE">
        <w:rPr>
          <w:i/>
          <w:iCs/>
          <w:szCs w:val="26"/>
        </w:rPr>
        <w:t>Nationwide Biweekly Administration, Inc. v. Superior Court</w:t>
      </w:r>
      <w:r w:rsidR="00786B49">
        <w:rPr>
          <w:szCs w:val="26"/>
        </w:rPr>
        <w:t xml:space="preserve"> (2020)</w:t>
      </w:r>
      <w:r w:rsidRPr="006E05DF" w:rsidR="005E1970">
        <w:rPr>
          <w:szCs w:val="26"/>
        </w:rPr>
        <w:t xml:space="preserve"> </w:t>
      </w:r>
      <w:r w:rsidRPr="006E05DF" w:rsidR="001A3AEE">
        <w:rPr>
          <w:szCs w:val="26"/>
        </w:rPr>
        <w:t xml:space="preserve">9 Cal.5th </w:t>
      </w:r>
      <w:r w:rsidR="00786B49">
        <w:rPr>
          <w:szCs w:val="26"/>
        </w:rPr>
        <w:t>279,</w:t>
      </w:r>
      <w:r w:rsidRPr="006E05DF" w:rsidR="001A3AEE">
        <w:rPr>
          <w:szCs w:val="26"/>
        </w:rPr>
        <w:t xml:space="preserve"> 305, fn. 11 [discussing th</w:t>
      </w:r>
      <w:r w:rsidRPr="006E05DF" w:rsidR="005A222E">
        <w:rPr>
          <w:szCs w:val="26"/>
        </w:rPr>
        <w:t>e</w:t>
      </w:r>
      <w:r w:rsidRPr="006E05DF" w:rsidR="001A3AEE">
        <w:rPr>
          <w:szCs w:val="26"/>
        </w:rPr>
        <w:t xml:space="preserve"> model statute </w:t>
      </w:r>
      <w:r w:rsidRPr="006E05DF" w:rsidR="00BF3258">
        <w:rPr>
          <w:szCs w:val="26"/>
        </w:rPr>
        <w:t xml:space="preserve">in relation to California’s UCL and </w:t>
      </w:r>
      <w:r w:rsidRPr="006E05DF" w:rsidR="005A222E">
        <w:rPr>
          <w:szCs w:val="26"/>
        </w:rPr>
        <w:t>the state’s</w:t>
      </w:r>
      <w:r w:rsidRPr="006E05DF" w:rsidR="00BF3258">
        <w:rPr>
          <w:szCs w:val="26"/>
        </w:rPr>
        <w:t xml:space="preserve"> other</w:t>
      </w:r>
      <w:r w:rsidRPr="006E05DF" w:rsidR="005A222E">
        <w:rPr>
          <w:szCs w:val="26"/>
        </w:rPr>
        <w:t xml:space="preserve">, </w:t>
      </w:r>
      <w:r w:rsidRPr="006E05DF" w:rsidR="00BF3258">
        <w:rPr>
          <w:szCs w:val="26"/>
        </w:rPr>
        <w:t>more</w:t>
      </w:r>
      <w:r w:rsidRPr="006E05DF" w:rsidR="005E1970">
        <w:rPr>
          <w:szCs w:val="26"/>
        </w:rPr>
        <w:t xml:space="preserve"> </w:t>
      </w:r>
      <w:r w:rsidRPr="006E05DF" w:rsidR="00BF3258">
        <w:rPr>
          <w:szCs w:val="26"/>
        </w:rPr>
        <w:t xml:space="preserve">modern consumer protection laws, </w:t>
      </w:r>
      <w:r w:rsidRPr="006E05DF" w:rsidR="001A3AEE">
        <w:rPr>
          <w:szCs w:val="26"/>
        </w:rPr>
        <w:t xml:space="preserve">but noting California’s </w:t>
      </w:r>
      <w:r w:rsidRPr="006E05DF" w:rsidR="00D14786">
        <w:rPr>
          <w:szCs w:val="26"/>
        </w:rPr>
        <w:t xml:space="preserve">1915 </w:t>
      </w:r>
      <w:r w:rsidRPr="006E05DF" w:rsidR="001A3AEE">
        <w:rPr>
          <w:szCs w:val="26"/>
        </w:rPr>
        <w:t>version</w:t>
      </w:r>
      <w:r w:rsidRPr="006E05DF" w:rsidR="00BF3258">
        <w:rPr>
          <w:szCs w:val="26"/>
        </w:rPr>
        <w:t xml:space="preserve"> of the model statute </w:t>
      </w:r>
      <w:r w:rsidRPr="006E05DF" w:rsidR="001A3AEE">
        <w:rPr>
          <w:szCs w:val="26"/>
        </w:rPr>
        <w:t>required negligence regarding falsity].)</w:t>
      </w:r>
    </w:p>
    <w:p w:rsidR="008F0537" w:rsidRPr="006E05DF" w:rsidP="00314A1F">
      <w:pPr>
        <w:ind w:firstLine="720"/>
        <w:rPr>
          <w:szCs w:val="26"/>
        </w:rPr>
      </w:pPr>
      <w:r w:rsidRPr="006E05DF">
        <w:rPr>
          <w:szCs w:val="26"/>
        </w:rPr>
        <w:t xml:space="preserve">We have already explained why </w:t>
      </w:r>
      <w:r w:rsidRPr="006E05DF">
        <w:rPr>
          <w:i/>
          <w:iCs/>
          <w:szCs w:val="26"/>
        </w:rPr>
        <w:t>Kasky</w:t>
      </w:r>
      <w:r w:rsidRPr="006E05DF">
        <w:rPr>
          <w:szCs w:val="26"/>
        </w:rPr>
        <w:t xml:space="preserve"> does not make a speaker’s knowledge of truth or falsity </w:t>
      </w:r>
      <w:r w:rsidRPr="006E05DF" w:rsidR="00B93358">
        <w:rPr>
          <w:szCs w:val="26"/>
        </w:rPr>
        <w:t>the</w:t>
      </w:r>
      <w:r w:rsidRPr="006E05DF">
        <w:rPr>
          <w:szCs w:val="26"/>
        </w:rPr>
        <w:t xml:space="preserve"> determiner of speech’s commercial status.  Additionally, the disagreement in </w:t>
      </w:r>
      <w:r w:rsidRPr="006E05DF">
        <w:rPr>
          <w:i/>
          <w:iCs/>
          <w:szCs w:val="26"/>
        </w:rPr>
        <w:t>Kasky</w:t>
      </w:r>
      <w:r w:rsidRPr="006E05DF">
        <w:rPr>
          <w:szCs w:val="26"/>
        </w:rPr>
        <w:t xml:space="preserve"> between the majority, which found Nike’s speech regulable, and the dissents was, as the dissenters framed it, not whether the First Amendment permitted strict liability for false advertising, but what kind of corporate speech should be deemed “commercial” and </w:t>
      </w:r>
      <w:r w:rsidRPr="006E05DF" w:rsidR="005D3FF2">
        <w:rPr>
          <w:szCs w:val="26"/>
        </w:rPr>
        <w:t>therefor</w:t>
      </w:r>
      <w:r w:rsidR="005A63D1">
        <w:rPr>
          <w:szCs w:val="26"/>
        </w:rPr>
        <w:t>e</w:t>
      </w:r>
      <w:r w:rsidRPr="006E05DF" w:rsidR="005D3FF2">
        <w:rPr>
          <w:szCs w:val="26"/>
        </w:rPr>
        <w:t xml:space="preserve"> </w:t>
      </w:r>
      <w:r w:rsidRPr="006E05DF">
        <w:rPr>
          <w:szCs w:val="26"/>
        </w:rPr>
        <w:t xml:space="preserve">subject to </w:t>
      </w:r>
      <w:r w:rsidRPr="006E05DF" w:rsidR="00D13EF8">
        <w:rPr>
          <w:szCs w:val="26"/>
        </w:rPr>
        <w:t xml:space="preserve">such </w:t>
      </w:r>
      <w:r w:rsidRPr="006E05DF">
        <w:rPr>
          <w:szCs w:val="26"/>
        </w:rPr>
        <w:t>regulation.  (</w:t>
      </w:r>
      <w:r w:rsidRPr="006E05DF">
        <w:rPr>
          <w:i/>
          <w:iCs/>
          <w:szCs w:val="26"/>
        </w:rPr>
        <w:t>Kasky</w:t>
      </w:r>
      <w:r w:rsidRPr="006E05DF">
        <w:rPr>
          <w:szCs w:val="26"/>
        </w:rPr>
        <w:t xml:space="preserve">, </w:t>
      </w:r>
      <w:r w:rsidRPr="006E05DF">
        <w:rPr>
          <w:i/>
          <w:iCs/>
          <w:szCs w:val="26"/>
        </w:rPr>
        <w:t>supra</w:t>
      </w:r>
      <w:r w:rsidRPr="006E05DF">
        <w:rPr>
          <w:szCs w:val="26"/>
        </w:rPr>
        <w:t>, 27 Cal.4th at pp. 983–984, 996 &amp; fn. 8. (dis. opn. of Brown, J.)</w:t>
      </w:r>
      <w:r w:rsidR="00967AA4">
        <w:rPr>
          <w:szCs w:val="26"/>
        </w:rPr>
        <w:t xml:space="preserve">; </w:t>
      </w:r>
      <w:r w:rsidRPr="00967AA4" w:rsidR="00967AA4">
        <w:rPr>
          <w:i/>
          <w:iCs/>
          <w:szCs w:val="26"/>
        </w:rPr>
        <w:t>id.</w:t>
      </w:r>
      <w:r w:rsidR="00967AA4">
        <w:rPr>
          <w:szCs w:val="26"/>
        </w:rPr>
        <w:t xml:space="preserve"> at pp. 979</w:t>
      </w:r>
      <w:r w:rsidR="000E3193">
        <w:rPr>
          <w:szCs w:val="26"/>
        </w:rPr>
        <w:t>–</w:t>
      </w:r>
      <w:r w:rsidR="00967AA4">
        <w:rPr>
          <w:szCs w:val="26"/>
        </w:rPr>
        <w:t>980</w:t>
      </w:r>
      <w:r w:rsidRPr="006E05DF">
        <w:rPr>
          <w:szCs w:val="26"/>
        </w:rPr>
        <w:t xml:space="preserve"> </w:t>
      </w:r>
      <w:r w:rsidRPr="006E05DF" w:rsidR="00967AA4">
        <w:rPr>
          <w:szCs w:val="26"/>
        </w:rPr>
        <w:t xml:space="preserve">(dis. opn. of Brown, J.) </w:t>
      </w:r>
      <w:r w:rsidRPr="006E05DF">
        <w:rPr>
          <w:szCs w:val="26"/>
        </w:rPr>
        <w:t>[“If Nike</w:t>
      </w:r>
      <w:r w:rsidR="00896DE4">
        <w:rPr>
          <w:szCs w:val="26"/>
        </w:rPr>
        <w:t>’</w:t>
      </w:r>
      <w:r w:rsidRPr="006E05DF">
        <w:rPr>
          <w:szCs w:val="26"/>
        </w:rPr>
        <w:t xml:space="preserve">s press releases, letters and other documents are commercial speech, then the application of </w:t>
      </w:r>
      <w:r w:rsidRPr="006E05DF" w:rsidR="00F152AC">
        <w:rPr>
          <w:szCs w:val="26"/>
        </w:rPr>
        <w:t xml:space="preserve">. . . </w:t>
      </w:r>
      <w:r w:rsidRPr="006E05DF">
        <w:rPr>
          <w:szCs w:val="26"/>
        </w:rPr>
        <w:t>strict liability for false and misleading ads</w:t>
      </w:r>
      <w:r w:rsidR="00437868">
        <w:rPr>
          <w:szCs w:val="26"/>
        </w:rPr>
        <w:t> </w:t>
      </w:r>
      <w:r w:rsidRPr="006E05DF">
        <w:rPr>
          <w:szCs w:val="26"/>
        </w:rPr>
        <w:t>—</w:t>
      </w:r>
      <w:r w:rsidR="006D224C">
        <w:rPr>
          <w:szCs w:val="26"/>
        </w:rPr>
        <w:t xml:space="preserve"> </w:t>
      </w:r>
      <w:r w:rsidRPr="006E05DF">
        <w:rPr>
          <w:szCs w:val="26"/>
        </w:rPr>
        <w:t xml:space="preserve">is constitutional”]; </w:t>
      </w:r>
      <w:r w:rsidRPr="006E05DF">
        <w:rPr>
          <w:i/>
          <w:iCs/>
          <w:szCs w:val="26"/>
        </w:rPr>
        <w:t>id.</w:t>
      </w:r>
      <w:r w:rsidRPr="006E05DF">
        <w:rPr>
          <w:szCs w:val="26"/>
        </w:rPr>
        <w:t xml:space="preserve"> at p. 971 (dis. opn. of Chin, J.) [</w:t>
      </w:r>
      <w:r w:rsidRPr="006E05DF" w:rsidR="00F152AC">
        <w:rPr>
          <w:szCs w:val="26"/>
        </w:rPr>
        <w:t xml:space="preserve">warning </w:t>
      </w:r>
      <w:r w:rsidRPr="006E05DF">
        <w:rPr>
          <w:szCs w:val="26"/>
        </w:rPr>
        <w:t>strict liability</w:t>
      </w:r>
      <w:r w:rsidRPr="006E05DF" w:rsidR="00F152AC">
        <w:rPr>
          <w:szCs w:val="26"/>
        </w:rPr>
        <w:t xml:space="preserve"> would apply to Nike</w:t>
      </w:r>
      <w:r w:rsidRPr="006E05DF" w:rsidR="009163E0">
        <w:rPr>
          <w:szCs w:val="26"/>
        </w:rPr>
        <w:t xml:space="preserve"> if its speech were commercial</w:t>
      </w:r>
      <w:r w:rsidRPr="006E05DF">
        <w:rPr>
          <w:szCs w:val="26"/>
        </w:rPr>
        <w:t xml:space="preserve">].) </w:t>
      </w:r>
    </w:p>
    <w:p w:rsidR="00723E41" w:rsidRPr="006E05DF" w:rsidP="00314A1F">
      <w:pPr>
        <w:rPr>
          <w:szCs w:val="26"/>
        </w:rPr>
      </w:pPr>
      <w:r w:rsidRPr="006E05DF">
        <w:rPr>
          <w:szCs w:val="26"/>
        </w:rPr>
        <w:tab/>
      </w:r>
      <w:r w:rsidRPr="006E05DF" w:rsidR="00006429">
        <w:rPr>
          <w:szCs w:val="26"/>
        </w:rPr>
        <w:t>Further,</w:t>
      </w:r>
      <w:r w:rsidRPr="006E05DF" w:rsidR="00EB2A08">
        <w:rPr>
          <w:szCs w:val="26"/>
        </w:rPr>
        <w:t xml:space="preserve"> t</w:t>
      </w:r>
      <w:r w:rsidRPr="006E05DF" w:rsidR="005E1970">
        <w:rPr>
          <w:szCs w:val="26"/>
        </w:rPr>
        <w:t>he</w:t>
      </w:r>
      <w:r w:rsidRPr="006E05DF" w:rsidR="00964685">
        <w:rPr>
          <w:szCs w:val="26"/>
        </w:rPr>
        <w:t xml:space="preserve"> CLRA and UCL </w:t>
      </w:r>
      <w:r w:rsidRPr="006E05DF" w:rsidR="00EA6970">
        <w:rPr>
          <w:szCs w:val="26"/>
        </w:rPr>
        <w:t>provisions</w:t>
      </w:r>
      <w:r w:rsidRPr="006E05DF" w:rsidR="00964685">
        <w:rPr>
          <w:szCs w:val="26"/>
        </w:rPr>
        <w:t xml:space="preserve"> </w:t>
      </w:r>
      <w:r w:rsidRPr="006E05DF" w:rsidR="002252BE">
        <w:rPr>
          <w:szCs w:val="26"/>
        </w:rPr>
        <w:t xml:space="preserve">that </w:t>
      </w:r>
      <w:r w:rsidRPr="006E05DF" w:rsidR="00964685">
        <w:rPr>
          <w:szCs w:val="26"/>
        </w:rPr>
        <w:t xml:space="preserve">Serova invokes </w:t>
      </w:r>
      <w:r w:rsidRPr="006E05DF" w:rsidR="00EA6970">
        <w:rPr>
          <w:szCs w:val="26"/>
        </w:rPr>
        <w:t xml:space="preserve">have kinship </w:t>
      </w:r>
      <w:r w:rsidRPr="006E05DF" w:rsidR="005E1970">
        <w:rPr>
          <w:szCs w:val="26"/>
        </w:rPr>
        <w:t>with</w:t>
      </w:r>
      <w:r w:rsidRPr="006E05DF" w:rsidR="00BE07B9">
        <w:rPr>
          <w:szCs w:val="26"/>
        </w:rPr>
        <w:t xml:space="preserve"> </w:t>
      </w:r>
      <w:r w:rsidRPr="006E05DF" w:rsidR="00964685">
        <w:rPr>
          <w:szCs w:val="26"/>
        </w:rPr>
        <w:t xml:space="preserve">section 43(a) </w:t>
      </w:r>
      <w:r w:rsidRPr="006E05DF">
        <w:rPr>
          <w:szCs w:val="26"/>
        </w:rPr>
        <w:t xml:space="preserve">of </w:t>
      </w:r>
      <w:r w:rsidRPr="006E05DF" w:rsidR="00964685">
        <w:rPr>
          <w:szCs w:val="26"/>
        </w:rPr>
        <w:t>the Lanham Act</w:t>
      </w:r>
      <w:r w:rsidRPr="006E05DF" w:rsidR="00AC481A">
        <w:rPr>
          <w:szCs w:val="26"/>
        </w:rPr>
        <w:t>, which</w:t>
      </w:r>
      <w:r w:rsidRPr="006E05DF">
        <w:rPr>
          <w:szCs w:val="26"/>
        </w:rPr>
        <w:t xml:space="preserve"> </w:t>
      </w:r>
      <w:r w:rsidRPr="006E05DF" w:rsidR="00964685">
        <w:rPr>
          <w:szCs w:val="26"/>
        </w:rPr>
        <w:t>prohibit</w:t>
      </w:r>
      <w:r w:rsidRPr="006E05DF" w:rsidR="005708E7">
        <w:rPr>
          <w:szCs w:val="26"/>
        </w:rPr>
        <w:t>s</w:t>
      </w:r>
      <w:r w:rsidRPr="006E05DF" w:rsidR="00964685">
        <w:rPr>
          <w:szCs w:val="26"/>
        </w:rPr>
        <w:t xml:space="preserve">, on a strict liability basis, false designations of the origin of goods, services, or commercial activities </w:t>
      </w:r>
      <w:r w:rsidRPr="006E05DF" w:rsidR="00C7663F">
        <w:rPr>
          <w:szCs w:val="26"/>
        </w:rPr>
        <w:t xml:space="preserve">as well as </w:t>
      </w:r>
      <w:r w:rsidRPr="006E05DF" w:rsidR="00BE07B9">
        <w:rPr>
          <w:szCs w:val="26"/>
        </w:rPr>
        <w:t xml:space="preserve">false advertising.  </w:t>
      </w:r>
      <w:r w:rsidRPr="006E05DF" w:rsidR="00CD267D">
        <w:rPr>
          <w:szCs w:val="26"/>
        </w:rPr>
        <w:t>A Lanham Act</w:t>
      </w:r>
      <w:r w:rsidRPr="006E05DF" w:rsidR="00586BFE">
        <w:rPr>
          <w:szCs w:val="26"/>
        </w:rPr>
        <w:t xml:space="preserve"> false advertising</w:t>
      </w:r>
      <w:r w:rsidRPr="006E05DF" w:rsidR="00CD267D">
        <w:rPr>
          <w:szCs w:val="26"/>
        </w:rPr>
        <w:t xml:space="preserve"> claim</w:t>
      </w:r>
      <w:r w:rsidRPr="006E05DF">
        <w:rPr>
          <w:szCs w:val="26"/>
        </w:rPr>
        <w:t xml:space="preserve">, which must target “commercial advertising or promotion” </w:t>
      </w:r>
      <w:r w:rsidRPr="006E05DF" w:rsidR="00586BFE">
        <w:rPr>
          <w:szCs w:val="26"/>
        </w:rPr>
        <w:t xml:space="preserve">(15 U.S.C. § 1125(a)(1)(B), </w:t>
      </w:r>
      <w:r w:rsidRPr="006E05DF" w:rsidR="00CD267D">
        <w:rPr>
          <w:szCs w:val="26"/>
        </w:rPr>
        <w:t>“exists regardless of whether</w:t>
      </w:r>
      <w:r w:rsidRPr="006E05DF" w:rsidR="00262E58">
        <w:rPr>
          <w:szCs w:val="26"/>
        </w:rPr>
        <w:t> </w:t>
      </w:r>
      <w:r w:rsidRPr="006E05DF" w:rsidR="002252BE">
        <w:rPr>
          <w:szCs w:val="26"/>
        </w:rPr>
        <w:t xml:space="preserve">. . . </w:t>
      </w:r>
      <w:r w:rsidRPr="006E05DF" w:rsidR="00CD267D">
        <w:rPr>
          <w:szCs w:val="26"/>
        </w:rPr>
        <w:t>the defendant acted willfully or with intent to deceive</w:t>
      </w:r>
      <w:r w:rsidRPr="006E05DF" w:rsidR="00586BFE">
        <w:rPr>
          <w:szCs w:val="26"/>
        </w:rPr>
        <w:t>” (2 Callmann on Unfair Comp</w:t>
      </w:r>
      <w:r w:rsidR="005E0646">
        <w:rPr>
          <w:szCs w:val="26"/>
        </w:rPr>
        <w:t>etition,</w:t>
      </w:r>
      <w:r w:rsidRPr="006E05DF" w:rsidR="00586BFE">
        <w:rPr>
          <w:szCs w:val="26"/>
        </w:rPr>
        <w:t xml:space="preserve"> Tr</w:t>
      </w:r>
      <w:r w:rsidR="005E0646">
        <w:rPr>
          <w:szCs w:val="26"/>
        </w:rPr>
        <w:t>ademarks,</w:t>
      </w:r>
      <w:r w:rsidRPr="006E05DF" w:rsidR="00586BFE">
        <w:rPr>
          <w:szCs w:val="26"/>
        </w:rPr>
        <w:t xml:space="preserve"> </w:t>
      </w:r>
      <w:r w:rsidR="005E0646">
        <w:rPr>
          <w:szCs w:val="26"/>
        </w:rPr>
        <w:t>and</w:t>
      </w:r>
      <w:r w:rsidRPr="006E05DF" w:rsidR="00586BFE">
        <w:rPr>
          <w:szCs w:val="26"/>
        </w:rPr>
        <w:t xml:space="preserve"> Mono</w:t>
      </w:r>
      <w:r w:rsidR="005E0646">
        <w:rPr>
          <w:szCs w:val="26"/>
        </w:rPr>
        <w:t>polies</w:t>
      </w:r>
      <w:r w:rsidRPr="006E05DF" w:rsidR="00586BFE">
        <w:rPr>
          <w:szCs w:val="26"/>
        </w:rPr>
        <w:t xml:space="preserve"> </w:t>
      </w:r>
      <w:r w:rsidRPr="006E05DF" w:rsidR="005E0646">
        <w:rPr>
          <w:szCs w:val="26"/>
        </w:rPr>
        <w:t xml:space="preserve">(4th </w:t>
      </w:r>
      <w:r w:rsidR="005E0646">
        <w:rPr>
          <w:szCs w:val="26"/>
        </w:rPr>
        <w:t>e</w:t>
      </w:r>
      <w:r w:rsidRPr="006E05DF" w:rsidR="005E0646">
        <w:rPr>
          <w:szCs w:val="26"/>
        </w:rPr>
        <w:t>d., June 2022 update)</w:t>
      </w:r>
      <w:r w:rsidR="005E0646">
        <w:rPr>
          <w:szCs w:val="26"/>
        </w:rPr>
        <w:t xml:space="preserve"> </w:t>
      </w:r>
      <w:r w:rsidRPr="006E05DF" w:rsidR="00586BFE">
        <w:rPr>
          <w:szCs w:val="26"/>
        </w:rPr>
        <w:t>§ 5:3).</w:t>
      </w:r>
      <w:r w:rsidRPr="006E05DF" w:rsidR="00CD267D">
        <w:rPr>
          <w:szCs w:val="26"/>
        </w:rPr>
        <w:t xml:space="preserve">  </w:t>
      </w:r>
      <w:r w:rsidRPr="006E05DF" w:rsidR="00586BFE">
        <w:rPr>
          <w:szCs w:val="26"/>
        </w:rPr>
        <w:t>“</w:t>
      </w:r>
      <w:r w:rsidRPr="006E05DF" w:rsidR="00CD267D">
        <w:rPr>
          <w:szCs w:val="26"/>
        </w:rPr>
        <w:t>The deceptive or misleading quality of an advertisement is not vitiated by the advertiser</w:t>
      </w:r>
      <w:r w:rsidRPr="006E05DF" w:rsidR="002252BE">
        <w:rPr>
          <w:szCs w:val="26"/>
        </w:rPr>
        <w:t>’</w:t>
      </w:r>
      <w:r w:rsidRPr="006E05DF" w:rsidR="00CD267D">
        <w:rPr>
          <w:szCs w:val="26"/>
        </w:rPr>
        <w:t>s good faith and, accordingly, intent to deceive is not an element of the violation.  An innocent state of mind does not diminish the false advertiser</w:t>
      </w:r>
      <w:r w:rsidR="00200227">
        <w:rPr>
          <w:szCs w:val="26"/>
        </w:rPr>
        <w:t>’</w:t>
      </w:r>
      <w:r w:rsidRPr="006E05DF" w:rsidR="00CD267D">
        <w:rPr>
          <w:szCs w:val="26"/>
        </w:rPr>
        <w:t xml:space="preserve">s unfair advantage over competitors.”  </w:t>
      </w:r>
      <w:r w:rsidRPr="006E05DF" w:rsidR="00586BFE">
        <w:rPr>
          <w:szCs w:val="26"/>
        </w:rPr>
        <w:t>(</w:t>
      </w:r>
      <w:r w:rsidRPr="006E05DF" w:rsidR="00586BFE">
        <w:rPr>
          <w:i/>
          <w:iCs/>
          <w:szCs w:val="26"/>
        </w:rPr>
        <w:t>Ibid.</w:t>
      </w:r>
      <w:r w:rsidRPr="006E05DF" w:rsidR="00586BFE">
        <w:rPr>
          <w:szCs w:val="26"/>
        </w:rPr>
        <w:t xml:space="preserve">, </w:t>
      </w:r>
      <w:r w:rsidRPr="006E05DF" w:rsidR="005E0646">
        <w:rPr>
          <w:szCs w:val="26"/>
        </w:rPr>
        <w:t>f</w:t>
      </w:r>
      <w:r w:rsidR="005E0646">
        <w:rPr>
          <w:szCs w:val="26"/>
        </w:rPr>
        <w:t>ns.</w:t>
      </w:r>
      <w:r w:rsidRPr="006E05DF" w:rsidR="005E0646">
        <w:rPr>
          <w:szCs w:val="26"/>
        </w:rPr>
        <w:t xml:space="preserve"> </w:t>
      </w:r>
      <w:r w:rsidRPr="006E05DF" w:rsidR="00586BFE">
        <w:rPr>
          <w:szCs w:val="26"/>
        </w:rPr>
        <w:t xml:space="preserve">omitted; </w:t>
      </w:r>
      <w:r w:rsidRPr="006E05DF" w:rsidR="00CD267D">
        <w:rPr>
          <w:szCs w:val="26"/>
        </w:rPr>
        <w:t xml:space="preserve">see </w:t>
      </w:r>
      <w:r w:rsidRPr="006E05DF" w:rsidR="00BE07B9">
        <w:rPr>
          <w:i/>
          <w:iCs/>
          <w:szCs w:val="26"/>
        </w:rPr>
        <w:t>Romag Fasteners, Inc. v. Fossil, Inc.</w:t>
      </w:r>
      <w:r w:rsidRPr="006E05DF" w:rsidR="00BE07B9">
        <w:rPr>
          <w:szCs w:val="26"/>
        </w:rPr>
        <w:t xml:space="preserve"> (2020)</w:t>
      </w:r>
      <w:r w:rsidR="00374D37">
        <w:rPr>
          <w:szCs w:val="26"/>
        </w:rPr>
        <w:t xml:space="preserve"> __ U.S. __, __</w:t>
      </w:r>
      <w:r w:rsidRPr="006E05DF" w:rsidR="00BE07B9">
        <w:rPr>
          <w:szCs w:val="26"/>
        </w:rPr>
        <w:t xml:space="preserve"> </w:t>
      </w:r>
      <w:r w:rsidR="00374D37">
        <w:rPr>
          <w:szCs w:val="26"/>
        </w:rPr>
        <w:t>[</w:t>
      </w:r>
      <w:r w:rsidRPr="006E05DF" w:rsidR="00BE07B9">
        <w:rPr>
          <w:szCs w:val="26"/>
        </w:rPr>
        <w:t>140 S.Ct. 1492, 1495</w:t>
      </w:r>
      <w:r w:rsidR="00374D37">
        <w:rPr>
          <w:szCs w:val="26"/>
        </w:rPr>
        <w:t>]</w:t>
      </w:r>
      <w:r w:rsidRPr="006E05DF" w:rsidR="00BE07B9">
        <w:rPr>
          <w:szCs w:val="26"/>
        </w:rPr>
        <w:t xml:space="preserve"> [</w:t>
      </w:r>
      <w:r w:rsidRPr="006E05DF" w:rsidR="00006429">
        <w:rPr>
          <w:szCs w:val="26"/>
        </w:rPr>
        <w:t>the Lanham Act’s “</w:t>
      </w:r>
      <w:r w:rsidRPr="006E05DF" w:rsidR="00BE07B9">
        <w:rPr>
          <w:szCs w:val="26"/>
        </w:rPr>
        <w:t xml:space="preserve">language has </w:t>
      </w:r>
      <w:r w:rsidRPr="00967AA4" w:rsidR="00BE07B9">
        <w:rPr>
          <w:i/>
          <w:iCs/>
          <w:szCs w:val="26"/>
        </w:rPr>
        <w:t>never</w:t>
      </w:r>
      <w:r w:rsidRPr="006E05DF" w:rsidR="00BE07B9">
        <w:rPr>
          <w:szCs w:val="26"/>
        </w:rPr>
        <w:t xml:space="preserve"> required a showing of willfulness to win a defendant’s profits,” and its silence regarding </w:t>
      </w:r>
      <w:r w:rsidRPr="006E05DF" w:rsidR="001763A6">
        <w:rPr>
          <w:szCs w:val="26"/>
        </w:rPr>
        <w:t xml:space="preserve">a </w:t>
      </w:r>
      <w:r w:rsidRPr="006E05DF" w:rsidR="00BE07B9">
        <w:rPr>
          <w:szCs w:val="26"/>
        </w:rPr>
        <w:t>mental state is striking in a statute that</w:t>
      </w:r>
      <w:r w:rsidRPr="006E05DF" w:rsidR="001763A6">
        <w:rPr>
          <w:szCs w:val="26"/>
        </w:rPr>
        <w:t xml:space="preserve">, </w:t>
      </w:r>
      <w:r w:rsidRPr="006E05DF" w:rsidR="005A222E">
        <w:rPr>
          <w:szCs w:val="26"/>
        </w:rPr>
        <w:t>elsewhere</w:t>
      </w:r>
      <w:r w:rsidRPr="006E05DF" w:rsidR="001763A6">
        <w:rPr>
          <w:szCs w:val="26"/>
        </w:rPr>
        <w:t>,</w:t>
      </w:r>
      <w:r w:rsidRPr="006E05DF" w:rsidR="00BE07B9">
        <w:rPr>
          <w:szCs w:val="26"/>
        </w:rPr>
        <w:t xml:space="preserve"> “often and expressly” </w:t>
      </w:r>
      <w:r w:rsidRPr="006E05DF" w:rsidR="001763A6">
        <w:rPr>
          <w:szCs w:val="26"/>
        </w:rPr>
        <w:t>incorporates</w:t>
      </w:r>
      <w:r w:rsidRPr="006E05DF" w:rsidR="00BE07B9">
        <w:rPr>
          <w:szCs w:val="26"/>
        </w:rPr>
        <w:t xml:space="preserve"> them]</w:t>
      </w:r>
      <w:r w:rsidRPr="006E05DF" w:rsidR="00C7663F">
        <w:rPr>
          <w:szCs w:val="26"/>
        </w:rPr>
        <w:t>.)</w:t>
      </w:r>
      <w:r w:rsidRPr="006E05DF" w:rsidR="00BE07B9">
        <w:rPr>
          <w:szCs w:val="26"/>
        </w:rPr>
        <w:t xml:space="preserve"> </w:t>
      </w:r>
    </w:p>
    <w:p w:rsidR="00723E41" w:rsidRPr="006E05DF" w:rsidP="00314A1F">
      <w:pPr>
        <w:rPr>
          <w:szCs w:val="26"/>
        </w:rPr>
      </w:pPr>
      <w:r w:rsidRPr="006E05DF">
        <w:rPr>
          <w:szCs w:val="26"/>
        </w:rPr>
        <w:tab/>
      </w:r>
      <w:r w:rsidRPr="006E05DF" w:rsidR="00361CBB">
        <w:rPr>
          <w:szCs w:val="26"/>
        </w:rPr>
        <w:t>Strict liability under the Lanham Act has been held consistent with t</w:t>
      </w:r>
      <w:r w:rsidRPr="006E05DF" w:rsidR="00A60AF8">
        <w:rPr>
          <w:szCs w:val="26"/>
        </w:rPr>
        <w:t xml:space="preserve">he First Amendment.  (E.g., </w:t>
      </w:r>
      <w:r w:rsidRPr="006E05DF" w:rsidR="00A60AF8">
        <w:rPr>
          <w:i/>
          <w:iCs/>
          <w:szCs w:val="26"/>
        </w:rPr>
        <w:t>United States Healthcare, Inc. v. Blue Cross of Greater Phila</w:t>
      </w:r>
      <w:r w:rsidR="00B3355D">
        <w:rPr>
          <w:i/>
          <w:iCs/>
          <w:szCs w:val="26"/>
        </w:rPr>
        <w:t>delphia, supra</w:t>
      </w:r>
      <w:r w:rsidR="00B3355D">
        <w:rPr>
          <w:szCs w:val="26"/>
        </w:rPr>
        <w:t>,</w:t>
      </w:r>
      <w:r w:rsidRPr="006E05DF" w:rsidR="00A60AF8">
        <w:rPr>
          <w:szCs w:val="26"/>
        </w:rPr>
        <w:t xml:space="preserve"> 898 F.2d </w:t>
      </w:r>
      <w:r w:rsidR="00B3355D">
        <w:rPr>
          <w:szCs w:val="26"/>
        </w:rPr>
        <w:t>at p.</w:t>
      </w:r>
      <w:r w:rsidRPr="006E05DF" w:rsidR="00A60AF8">
        <w:rPr>
          <w:szCs w:val="26"/>
        </w:rPr>
        <w:t xml:space="preserve"> 937 [</w:t>
      </w:r>
      <w:r w:rsidR="00B3355D">
        <w:rPr>
          <w:szCs w:val="26"/>
        </w:rPr>
        <w:t>“</w:t>
      </w:r>
      <w:r w:rsidRPr="006E05DF" w:rsidR="00A60AF8">
        <w:rPr>
          <w:szCs w:val="26"/>
        </w:rPr>
        <w:t>the First Amendment requires no higher standard of liability than that mandated by the substantive law,” namely the Lanham Act</w:t>
      </w:r>
      <w:r w:rsidRPr="006E05DF" w:rsidR="004F0265">
        <w:rPr>
          <w:szCs w:val="26"/>
        </w:rPr>
        <w:t>, such that a heightened “actual malice” standard would not apply</w:t>
      </w:r>
      <w:r w:rsidRPr="006E05DF" w:rsidR="00A60AF8">
        <w:rPr>
          <w:szCs w:val="26"/>
        </w:rPr>
        <w:t>]</w:t>
      </w:r>
      <w:r w:rsidRPr="006E05DF" w:rsidR="00F11D12">
        <w:rPr>
          <w:szCs w:val="26"/>
        </w:rPr>
        <w:t xml:space="preserve">; </w:t>
      </w:r>
      <w:r w:rsidRPr="006E05DF" w:rsidR="00F11D12">
        <w:rPr>
          <w:i/>
          <w:iCs/>
          <w:szCs w:val="26"/>
        </w:rPr>
        <w:t>P&amp;G v. Amway Corp.</w:t>
      </w:r>
      <w:r w:rsidRPr="006E05DF" w:rsidR="001A7B04">
        <w:rPr>
          <w:szCs w:val="26"/>
        </w:rPr>
        <w:t xml:space="preserve">, </w:t>
      </w:r>
      <w:r w:rsidRPr="006E05DF" w:rsidR="001A7B04">
        <w:rPr>
          <w:i/>
          <w:iCs/>
          <w:szCs w:val="26"/>
        </w:rPr>
        <w:t>supra</w:t>
      </w:r>
      <w:r w:rsidRPr="006E05DF" w:rsidR="001A7B04">
        <w:rPr>
          <w:szCs w:val="26"/>
        </w:rPr>
        <w:t xml:space="preserve">, </w:t>
      </w:r>
      <w:r w:rsidRPr="006E05DF" w:rsidR="00F11D12">
        <w:rPr>
          <w:szCs w:val="26"/>
        </w:rPr>
        <w:t xml:space="preserve">242 F.3d </w:t>
      </w:r>
      <w:r w:rsidRPr="006E05DF" w:rsidR="001A7B04">
        <w:rPr>
          <w:szCs w:val="26"/>
        </w:rPr>
        <w:t>at p.</w:t>
      </w:r>
      <w:r w:rsidRPr="006E05DF" w:rsidR="00F11D12">
        <w:rPr>
          <w:szCs w:val="26"/>
        </w:rPr>
        <w:t xml:space="preserve"> 557 [“</w:t>
      </w:r>
      <w:r w:rsidR="00B3355D">
        <w:rPr>
          <w:szCs w:val="26"/>
        </w:rPr>
        <w:t>f</w:t>
      </w:r>
      <w:r w:rsidRPr="006E05DF" w:rsidR="00F11D12">
        <w:rPr>
          <w:szCs w:val="26"/>
        </w:rPr>
        <w:t>alse commercial speech cannot qualify for the heightened protection of the First Amendment</w:t>
      </w:r>
      <w:r w:rsidRPr="006E05DF" w:rsidR="005522A3">
        <w:rPr>
          <w:szCs w:val="26"/>
        </w:rPr>
        <w:t xml:space="preserve">,” and neither actual malice nor negligence must be shown to prove a </w:t>
      </w:r>
      <w:r w:rsidRPr="006E05DF" w:rsidR="00F11D12">
        <w:rPr>
          <w:szCs w:val="26"/>
        </w:rPr>
        <w:t>Lanham Act claim</w:t>
      </w:r>
      <w:r w:rsidRPr="006E05DF" w:rsidR="005522A3">
        <w:rPr>
          <w:szCs w:val="26"/>
        </w:rPr>
        <w:t>]</w:t>
      </w:r>
      <w:r w:rsidR="005E0646">
        <w:rPr>
          <w:szCs w:val="26"/>
        </w:rPr>
        <w:t>; see</w:t>
      </w:r>
      <w:r w:rsidRPr="006E05DF" w:rsidR="001C7E45">
        <w:rPr>
          <w:szCs w:val="26"/>
        </w:rPr>
        <w:t xml:space="preserve"> </w:t>
      </w:r>
      <w:r w:rsidRPr="006E05DF" w:rsidR="001C7E45">
        <w:rPr>
          <w:i/>
          <w:iCs/>
          <w:szCs w:val="26"/>
        </w:rPr>
        <w:t>Stewart v. Rolling Stone LLC</w:t>
      </w:r>
      <w:r w:rsidRPr="006E05DF" w:rsidR="001C7E45">
        <w:rPr>
          <w:szCs w:val="26"/>
        </w:rPr>
        <w:t xml:space="preserve"> (2010) 181 Cal.App.4th 664, 683</w:t>
      </w:r>
      <w:r w:rsidR="005E0646">
        <w:rPr>
          <w:szCs w:val="26"/>
        </w:rPr>
        <w:t xml:space="preserve"> [citing </w:t>
      </w:r>
      <w:r w:rsidR="005E0646">
        <w:rPr>
          <w:i/>
          <w:iCs/>
          <w:szCs w:val="26"/>
        </w:rPr>
        <w:t>P&amp;G</w:t>
      </w:r>
      <w:r w:rsidR="005E0646">
        <w:rPr>
          <w:szCs w:val="26"/>
        </w:rPr>
        <w:t>]</w:t>
      </w:r>
      <w:r w:rsidRPr="006E05DF" w:rsidR="001C7E45">
        <w:rPr>
          <w:szCs w:val="26"/>
        </w:rPr>
        <w:t>.)</w:t>
      </w:r>
    </w:p>
    <w:p w:rsidR="00723E41" w:rsidRPr="006E05DF" w:rsidP="00314A1F">
      <w:pPr>
        <w:rPr>
          <w:szCs w:val="26"/>
        </w:rPr>
      </w:pPr>
      <w:r w:rsidRPr="006E05DF">
        <w:rPr>
          <w:szCs w:val="26"/>
        </w:rPr>
        <w:tab/>
      </w:r>
      <w:r w:rsidRPr="006E05DF" w:rsidR="00C408EA">
        <w:rPr>
          <w:szCs w:val="26"/>
        </w:rPr>
        <w:t>Similarly</w:t>
      </w:r>
      <w:r w:rsidRPr="006E05DF" w:rsidR="00DD67E9">
        <w:rPr>
          <w:szCs w:val="26"/>
        </w:rPr>
        <w:t>, t</w:t>
      </w:r>
      <w:r w:rsidRPr="006E05DF" w:rsidR="00BE07B9">
        <w:rPr>
          <w:szCs w:val="26"/>
        </w:rPr>
        <w:t xml:space="preserve">he Federal Trade Commission Act (15 U.S.C. §§ 43, 52) has widely been held to </w:t>
      </w:r>
      <w:r w:rsidRPr="006E05DF" w:rsidR="00DD67E9">
        <w:rPr>
          <w:szCs w:val="26"/>
        </w:rPr>
        <w:t>prohibit</w:t>
      </w:r>
      <w:r w:rsidRPr="006E05DF" w:rsidR="00BE07B9">
        <w:rPr>
          <w:szCs w:val="26"/>
        </w:rPr>
        <w:t xml:space="preserve"> </w:t>
      </w:r>
      <w:r w:rsidRPr="006E05DF">
        <w:rPr>
          <w:szCs w:val="26"/>
        </w:rPr>
        <w:t xml:space="preserve">an advertiser’s </w:t>
      </w:r>
      <w:r w:rsidRPr="006E05DF" w:rsidR="00BE07B9">
        <w:rPr>
          <w:szCs w:val="26"/>
        </w:rPr>
        <w:t>deceptive acts regardless of good faith</w:t>
      </w:r>
      <w:r w:rsidRPr="006E05DF">
        <w:rPr>
          <w:szCs w:val="26"/>
        </w:rPr>
        <w:t xml:space="preserve">. </w:t>
      </w:r>
      <w:r w:rsidRPr="006E05DF" w:rsidR="00BE07B9">
        <w:rPr>
          <w:szCs w:val="26"/>
        </w:rPr>
        <w:t xml:space="preserve"> (</w:t>
      </w:r>
      <w:r w:rsidRPr="006E05DF" w:rsidR="00663939">
        <w:rPr>
          <w:i/>
          <w:iCs/>
          <w:szCs w:val="26"/>
        </w:rPr>
        <w:t>F</w:t>
      </w:r>
      <w:r w:rsidR="00663939">
        <w:rPr>
          <w:i/>
          <w:iCs/>
          <w:szCs w:val="26"/>
        </w:rPr>
        <w:t>ed. Trade Comm’n</w:t>
      </w:r>
      <w:r w:rsidRPr="006E05DF" w:rsidR="00663939">
        <w:rPr>
          <w:i/>
          <w:iCs/>
          <w:szCs w:val="26"/>
        </w:rPr>
        <w:t xml:space="preserve"> </w:t>
      </w:r>
      <w:r w:rsidRPr="006E05DF" w:rsidR="00BE07B9">
        <w:rPr>
          <w:i/>
          <w:iCs/>
          <w:szCs w:val="26"/>
        </w:rPr>
        <w:t>v. Algoma Co.</w:t>
      </w:r>
      <w:r w:rsidRPr="006E05DF" w:rsidR="00BE07B9">
        <w:rPr>
          <w:szCs w:val="26"/>
        </w:rPr>
        <w:t xml:space="preserve"> (1934) 291 U.S. 67, 81 [the act applies to representations “however innocently made”]</w:t>
      </w:r>
      <w:r w:rsidRPr="006E05DF" w:rsidR="00893437">
        <w:rPr>
          <w:szCs w:val="26"/>
        </w:rPr>
        <w:t>;</w:t>
      </w:r>
      <w:r w:rsidRPr="006E05DF" w:rsidR="00BE07B9">
        <w:rPr>
          <w:i/>
          <w:iCs/>
          <w:szCs w:val="26"/>
        </w:rPr>
        <w:t xml:space="preserve"> Curtis Lumber Co. v. La. Pac. Corp.</w:t>
      </w:r>
      <w:r w:rsidRPr="006E05DF" w:rsidR="00BE07B9">
        <w:rPr>
          <w:szCs w:val="26"/>
        </w:rPr>
        <w:t xml:space="preserve"> (8th Cir. 2010) 618 F.3d 762, 779 &amp; fn. 14 [collecting cases]</w:t>
      </w:r>
      <w:r w:rsidRPr="006E05DF" w:rsidR="00E24AD4">
        <w:rPr>
          <w:szCs w:val="26"/>
        </w:rPr>
        <w:t>; see generally Pridgen &amp; Alderman, Consumer Protection and the Law</w:t>
      </w:r>
      <w:r w:rsidR="005E0646">
        <w:rPr>
          <w:szCs w:val="26"/>
        </w:rPr>
        <w:t xml:space="preserve"> </w:t>
      </w:r>
      <w:r w:rsidRPr="006E05DF" w:rsidR="005E0646">
        <w:rPr>
          <w:szCs w:val="26"/>
        </w:rPr>
        <w:t>(</w:t>
      </w:r>
      <w:r w:rsidR="00663939">
        <w:rPr>
          <w:szCs w:val="26"/>
        </w:rPr>
        <w:t>Nov. 2021</w:t>
      </w:r>
      <w:r w:rsidRPr="006E05DF" w:rsidR="005E0646">
        <w:rPr>
          <w:szCs w:val="26"/>
        </w:rPr>
        <w:t>)</w:t>
      </w:r>
      <w:r w:rsidRPr="006E05DF" w:rsidR="00E24AD4">
        <w:rPr>
          <w:szCs w:val="26"/>
        </w:rPr>
        <w:t xml:space="preserve"> § 10</w:t>
      </w:r>
      <w:r w:rsidR="00663939">
        <w:rPr>
          <w:szCs w:val="26"/>
        </w:rPr>
        <w:t>:</w:t>
      </w:r>
      <w:r w:rsidRPr="006E05DF" w:rsidR="00E24AD4">
        <w:rPr>
          <w:szCs w:val="26"/>
        </w:rPr>
        <w:t>2 [“</w:t>
      </w:r>
      <w:r w:rsidR="005E0646">
        <w:rPr>
          <w:szCs w:val="26"/>
        </w:rPr>
        <w:t>t</w:t>
      </w:r>
      <w:r w:rsidRPr="006E05DF" w:rsidR="00E24AD4">
        <w:rPr>
          <w:szCs w:val="26"/>
        </w:rPr>
        <w:t xml:space="preserve">he Commission and the courts have concluded that the seller's intent is irrelevant to a finding that a deceptive trade practice has been committed”].)  </w:t>
      </w:r>
    </w:p>
    <w:p w:rsidR="00723E41" w:rsidRPr="006E05DF" w:rsidP="00314A1F">
      <w:pPr>
        <w:rPr>
          <w:szCs w:val="26"/>
        </w:rPr>
      </w:pPr>
      <w:r w:rsidRPr="006E05DF">
        <w:rPr>
          <w:szCs w:val="26"/>
        </w:rPr>
        <w:tab/>
      </w:r>
      <w:r w:rsidRPr="00A6717D" w:rsidR="003F3580">
        <w:rPr>
          <w:szCs w:val="26"/>
        </w:rPr>
        <w:t>In</w:t>
      </w:r>
      <w:r w:rsidRPr="00A6717D" w:rsidR="00D92BB7">
        <w:rPr>
          <w:szCs w:val="26"/>
        </w:rPr>
        <w:t xml:space="preserve"> contrast</w:t>
      </w:r>
      <w:r w:rsidRPr="00A6717D" w:rsidR="00536EF9">
        <w:rPr>
          <w:szCs w:val="26"/>
        </w:rPr>
        <w:t xml:space="preserve"> to these regulations</w:t>
      </w:r>
      <w:r w:rsidRPr="00A6717D" w:rsidR="00006429">
        <w:rPr>
          <w:szCs w:val="26"/>
        </w:rPr>
        <w:t xml:space="preserve"> of commercial speech</w:t>
      </w:r>
      <w:r w:rsidRPr="00A6717D" w:rsidR="003F3580">
        <w:rPr>
          <w:szCs w:val="26"/>
        </w:rPr>
        <w:t>,</w:t>
      </w:r>
      <w:r w:rsidRPr="00A6717D" w:rsidR="00D92BB7">
        <w:rPr>
          <w:szCs w:val="26"/>
        </w:rPr>
        <w:t xml:space="preserve"> the First Amendment requires state laws impinging on certain </w:t>
      </w:r>
      <w:r w:rsidRPr="00A6717D" w:rsidR="00D92BB7">
        <w:rPr>
          <w:i/>
          <w:iCs/>
          <w:szCs w:val="26"/>
        </w:rPr>
        <w:t>noncommercial</w:t>
      </w:r>
      <w:r w:rsidRPr="00A6717D" w:rsidR="00D92BB7">
        <w:rPr>
          <w:szCs w:val="26"/>
        </w:rPr>
        <w:t xml:space="preserve"> speech to include fault-based liability.  (</w:t>
      </w:r>
      <w:r w:rsidRPr="00A6717D" w:rsidR="00D92BB7">
        <w:rPr>
          <w:i/>
          <w:iCs/>
          <w:szCs w:val="26"/>
        </w:rPr>
        <w:t>Gertz v. Robert Welch</w:t>
      </w:r>
      <w:r w:rsidR="00A6717D">
        <w:rPr>
          <w:i/>
          <w:iCs/>
          <w:szCs w:val="26"/>
        </w:rPr>
        <w:t>, Inc.</w:t>
      </w:r>
      <w:r w:rsidRPr="00A6717D" w:rsidR="00D92BB7">
        <w:rPr>
          <w:szCs w:val="26"/>
        </w:rPr>
        <w:t xml:space="preserve"> (1974) 418 U.S. 323, 347 [defamation of private individuals requires “fault”]; </w:t>
      </w:r>
      <w:r w:rsidRPr="00A6717D" w:rsidR="00D92BB7">
        <w:rPr>
          <w:i/>
          <w:iCs/>
          <w:szCs w:val="26"/>
        </w:rPr>
        <w:t>New York Times Co. v. Sullivan</w:t>
      </w:r>
      <w:r w:rsidRPr="00A6717D" w:rsidR="00D92BB7">
        <w:rPr>
          <w:szCs w:val="26"/>
        </w:rPr>
        <w:t xml:space="preserve"> (1964) 376 U.S. 254, 279</w:t>
      </w:r>
      <w:r w:rsidRPr="00A6717D" w:rsidR="005B39C8">
        <w:rPr>
          <w:szCs w:val="26"/>
        </w:rPr>
        <w:t>–</w:t>
      </w:r>
      <w:r w:rsidRPr="00A6717D" w:rsidR="00D92BB7">
        <w:rPr>
          <w:szCs w:val="26"/>
        </w:rPr>
        <w:t xml:space="preserve">280 [defamation of a public official requires actual malice]; </w:t>
      </w:r>
      <w:r w:rsidRPr="00A6717D" w:rsidR="00D92BB7">
        <w:rPr>
          <w:i/>
          <w:iCs/>
          <w:szCs w:val="26"/>
        </w:rPr>
        <w:t>Smith v. Cal</w:t>
      </w:r>
      <w:r w:rsidR="00A6717D">
        <w:rPr>
          <w:i/>
          <w:iCs/>
          <w:szCs w:val="26"/>
        </w:rPr>
        <w:t>ifornia</w:t>
      </w:r>
      <w:r w:rsidRPr="00A6717D" w:rsidR="00D92BB7">
        <w:rPr>
          <w:szCs w:val="26"/>
        </w:rPr>
        <w:t xml:space="preserve"> (1959) 361 U.S. 147, 154 [banning the mere possession for sale of obscene books limits the nonobscene books a bookseller will review and sell, and thus the government must insist on some “mental element” for criminal liability].)</w:t>
      </w:r>
      <w:r w:rsidRPr="006E05DF" w:rsidR="00D92BB7">
        <w:rPr>
          <w:szCs w:val="26"/>
        </w:rPr>
        <w:t xml:space="preserve">  </w:t>
      </w:r>
    </w:p>
    <w:p w:rsidR="00B8603A" w:rsidRPr="006E05DF" w:rsidP="00314A1F">
      <w:pPr>
        <w:rPr>
          <w:szCs w:val="26"/>
        </w:rPr>
      </w:pPr>
      <w:r w:rsidRPr="006E05DF">
        <w:rPr>
          <w:szCs w:val="26"/>
        </w:rPr>
        <w:tab/>
      </w:r>
      <w:r w:rsidRPr="006E05DF" w:rsidR="007D2EC4">
        <w:rPr>
          <w:szCs w:val="26"/>
        </w:rPr>
        <w:t>But “the leeway for untruthful or misleading expression that has been allowed in [these] other contexts has little force in the commercial arena.”  (</w:t>
      </w:r>
      <w:r w:rsidRPr="006E05DF" w:rsidR="007D2EC4">
        <w:rPr>
          <w:i/>
          <w:iCs/>
          <w:szCs w:val="26"/>
        </w:rPr>
        <w:t>Bates v. State Bar of Ariz</w:t>
      </w:r>
      <w:r w:rsidR="00A6717D">
        <w:rPr>
          <w:i/>
          <w:iCs/>
          <w:szCs w:val="26"/>
        </w:rPr>
        <w:t>ona</w:t>
      </w:r>
      <w:r w:rsidRPr="006E05DF" w:rsidR="00172279">
        <w:rPr>
          <w:szCs w:val="26"/>
        </w:rPr>
        <w:t xml:space="preserve">, </w:t>
      </w:r>
      <w:r w:rsidRPr="006E05DF" w:rsidR="00172279">
        <w:rPr>
          <w:i/>
          <w:iCs/>
          <w:szCs w:val="26"/>
        </w:rPr>
        <w:t>supra</w:t>
      </w:r>
      <w:r w:rsidRPr="006E05DF" w:rsidR="00172279">
        <w:rPr>
          <w:szCs w:val="26"/>
        </w:rPr>
        <w:t xml:space="preserve">, </w:t>
      </w:r>
      <w:r w:rsidRPr="006E05DF" w:rsidR="007D2EC4">
        <w:rPr>
          <w:szCs w:val="26"/>
        </w:rPr>
        <w:t xml:space="preserve">433 U.S. </w:t>
      </w:r>
      <w:r w:rsidRPr="006E05DF" w:rsidR="00172279">
        <w:rPr>
          <w:szCs w:val="26"/>
        </w:rPr>
        <w:t xml:space="preserve">at p. </w:t>
      </w:r>
      <w:r w:rsidRPr="006E05DF" w:rsidR="007D2EC4">
        <w:rPr>
          <w:szCs w:val="26"/>
        </w:rPr>
        <w:t>383</w:t>
      </w:r>
      <w:r w:rsidR="00A6717D">
        <w:rPr>
          <w:szCs w:val="26"/>
        </w:rPr>
        <w:t>; see</w:t>
      </w:r>
      <w:r w:rsidRPr="006E05DF" w:rsidR="007D2EC4">
        <w:rPr>
          <w:szCs w:val="26"/>
        </w:rPr>
        <w:t xml:space="preserve"> </w:t>
      </w:r>
      <w:r w:rsidRPr="006E05DF" w:rsidR="007D2EC4">
        <w:rPr>
          <w:i/>
          <w:iCs/>
          <w:szCs w:val="26"/>
        </w:rPr>
        <w:t>Kasky</w:t>
      </w:r>
      <w:r w:rsidRPr="006E05DF" w:rsidR="007D2EC4">
        <w:rPr>
          <w:szCs w:val="26"/>
        </w:rPr>
        <w:t xml:space="preserve">, </w:t>
      </w:r>
      <w:r w:rsidRPr="006E05DF" w:rsidR="007D2EC4">
        <w:rPr>
          <w:i/>
          <w:iCs/>
          <w:szCs w:val="26"/>
        </w:rPr>
        <w:t>supra</w:t>
      </w:r>
      <w:r w:rsidRPr="006E05DF" w:rsidR="007D2EC4">
        <w:rPr>
          <w:szCs w:val="26"/>
        </w:rPr>
        <w:t>, 27 Cal.4th at pp. 953</w:t>
      </w:r>
      <w:r w:rsidRPr="006E05DF" w:rsidR="005B39C8">
        <w:rPr>
          <w:szCs w:val="26"/>
        </w:rPr>
        <w:t>–</w:t>
      </w:r>
      <w:r w:rsidRPr="006E05DF" w:rsidR="007D2EC4">
        <w:rPr>
          <w:szCs w:val="26"/>
        </w:rPr>
        <w:t>954</w:t>
      </w:r>
      <w:r w:rsidR="00A6717D">
        <w:rPr>
          <w:szCs w:val="26"/>
        </w:rPr>
        <w:t xml:space="preserve"> [quoting </w:t>
      </w:r>
      <w:r w:rsidR="00A6717D">
        <w:rPr>
          <w:i/>
          <w:iCs/>
          <w:szCs w:val="26"/>
        </w:rPr>
        <w:t>Bates</w:t>
      </w:r>
      <w:r w:rsidR="00A6717D">
        <w:rPr>
          <w:szCs w:val="26"/>
        </w:rPr>
        <w:t>]</w:t>
      </w:r>
      <w:r w:rsidRPr="006E05DF" w:rsidR="007D2EC4">
        <w:rPr>
          <w:szCs w:val="26"/>
        </w:rPr>
        <w:t xml:space="preserve">.)  “Since the advertiser knows his product and has a commercial interest in its dissemination, we have little worry that regulation to assure truthfulness will discourage protected speech.  [Citation.]  And any concern that strict requirements for truthfulness will undesirably inhibit spontaneity seems inapplicable because commercial speech generally is calculated. </w:t>
      </w:r>
      <w:r w:rsidRPr="006E05DF" w:rsidR="00462B9D">
        <w:rPr>
          <w:szCs w:val="26"/>
        </w:rPr>
        <w:t xml:space="preserve"> </w:t>
      </w:r>
      <w:r w:rsidRPr="006E05DF" w:rsidR="007D2EC4">
        <w:rPr>
          <w:szCs w:val="26"/>
        </w:rPr>
        <w:t>Indeed, the public and private benefits from commercial speech derive from confidence in its accuracy and reliability.”  (</w:t>
      </w:r>
      <w:r w:rsidR="008B63C2">
        <w:rPr>
          <w:i/>
          <w:iCs/>
          <w:szCs w:val="26"/>
        </w:rPr>
        <w:t>Bates</w:t>
      </w:r>
      <w:r w:rsidR="008B63C2">
        <w:rPr>
          <w:szCs w:val="26"/>
        </w:rPr>
        <w:t>, at p. 383.</w:t>
      </w:r>
      <w:r w:rsidRPr="006E05DF" w:rsidR="007D2EC4">
        <w:rPr>
          <w:szCs w:val="26"/>
        </w:rPr>
        <w:t>)</w:t>
      </w:r>
      <w:r w:rsidRPr="006E05DF" w:rsidR="009B2599">
        <w:rPr>
          <w:szCs w:val="26"/>
        </w:rPr>
        <w:t xml:space="preserve">  </w:t>
      </w:r>
    </w:p>
    <w:p w:rsidR="008C1218" w:rsidRPr="006E05DF" w:rsidP="00314A1F">
      <w:pPr>
        <w:ind w:firstLine="720"/>
        <w:rPr>
          <w:szCs w:val="26"/>
        </w:rPr>
      </w:pPr>
      <w:r w:rsidRPr="006E05DF">
        <w:rPr>
          <w:szCs w:val="26"/>
        </w:rPr>
        <w:t>In line with these principles, t</w:t>
      </w:r>
      <w:r w:rsidRPr="006E05DF" w:rsidR="009B2599">
        <w:rPr>
          <w:szCs w:val="26"/>
        </w:rPr>
        <w:t xml:space="preserve">he numerous cases described </w:t>
      </w:r>
      <w:r w:rsidRPr="006E05DF" w:rsidR="009B2599">
        <w:rPr>
          <w:i/>
          <w:iCs/>
          <w:szCs w:val="26"/>
        </w:rPr>
        <w:t>ante</w:t>
      </w:r>
      <w:r w:rsidRPr="006E05DF" w:rsidR="009B2599">
        <w:rPr>
          <w:szCs w:val="26"/>
        </w:rPr>
        <w:t xml:space="preserve"> at </w:t>
      </w:r>
      <w:r w:rsidRPr="00341D2C" w:rsidR="009B2599">
        <w:rPr>
          <w:szCs w:val="26"/>
        </w:rPr>
        <w:t>p</w:t>
      </w:r>
      <w:r w:rsidRPr="00341D2C" w:rsidR="007B334B">
        <w:rPr>
          <w:szCs w:val="26"/>
        </w:rPr>
        <w:t>age</w:t>
      </w:r>
      <w:r w:rsidRPr="00341D2C" w:rsidR="005A63D1">
        <w:rPr>
          <w:szCs w:val="26"/>
        </w:rPr>
        <w:t>s</w:t>
      </w:r>
      <w:r w:rsidRPr="00341D2C" w:rsidR="007B334B">
        <w:rPr>
          <w:szCs w:val="26"/>
        </w:rPr>
        <w:t xml:space="preserve"> </w:t>
      </w:r>
      <w:r w:rsidRPr="00341D2C" w:rsidR="00856ABD">
        <w:rPr>
          <w:szCs w:val="26"/>
        </w:rPr>
        <w:t>18</w:t>
      </w:r>
      <w:r w:rsidRPr="00341D2C" w:rsidR="007B334B">
        <w:rPr>
          <w:szCs w:val="26"/>
        </w:rPr>
        <w:t xml:space="preserve"> through </w:t>
      </w:r>
      <w:r w:rsidRPr="00341D2C" w:rsidR="00136D5C">
        <w:rPr>
          <w:szCs w:val="26"/>
        </w:rPr>
        <w:t>2</w:t>
      </w:r>
      <w:r w:rsidR="00AA716E">
        <w:rPr>
          <w:szCs w:val="26"/>
        </w:rPr>
        <w:t>1</w:t>
      </w:r>
      <w:r w:rsidRPr="006E05DF" w:rsidR="00136D5C">
        <w:rPr>
          <w:szCs w:val="26"/>
        </w:rPr>
        <w:t xml:space="preserve"> </w:t>
      </w:r>
      <w:r w:rsidRPr="006E05DF" w:rsidR="007F1C9F">
        <w:rPr>
          <w:szCs w:val="26"/>
        </w:rPr>
        <w:t xml:space="preserve">have long </w:t>
      </w:r>
      <w:r w:rsidRPr="006E05DF" w:rsidR="009B2599">
        <w:rPr>
          <w:szCs w:val="26"/>
        </w:rPr>
        <w:t>appl</w:t>
      </w:r>
      <w:r w:rsidRPr="006E05DF">
        <w:rPr>
          <w:szCs w:val="26"/>
        </w:rPr>
        <w:t>ied</w:t>
      </w:r>
      <w:r w:rsidRPr="006E05DF" w:rsidR="009B2599">
        <w:rPr>
          <w:szCs w:val="26"/>
        </w:rPr>
        <w:t xml:space="preserve"> the UCL and Lanham Act</w:t>
      </w:r>
      <w:r w:rsidRPr="006E05DF" w:rsidR="00447134">
        <w:rPr>
          <w:szCs w:val="26"/>
        </w:rPr>
        <w:t xml:space="preserve"> </w:t>
      </w:r>
      <w:r w:rsidRPr="006E05DF" w:rsidR="009B2599">
        <w:rPr>
          <w:szCs w:val="26"/>
        </w:rPr>
        <w:t>to representations about contributions to artistic works</w:t>
      </w:r>
      <w:r w:rsidRPr="006E05DF" w:rsidR="00447134">
        <w:rPr>
          <w:szCs w:val="26"/>
        </w:rPr>
        <w:t xml:space="preserve"> </w:t>
      </w:r>
      <w:r w:rsidRPr="006E05DF" w:rsidR="007F1C9F">
        <w:rPr>
          <w:szCs w:val="26"/>
        </w:rPr>
        <w:t xml:space="preserve">and did so </w:t>
      </w:r>
      <w:r w:rsidRPr="006E05DF" w:rsidR="00447134">
        <w:rPr>
          <w:szCs w:val="26"/>
        </w:rPr>
        <w:t>without assessing scienter</w:t>
      </w:r>
      <w:r w:rsidRPr="006E05DF" w:rsidR="009B2599">
        <w:rPr>
          <w:szCs w:val="26"/>
        </w:rPr>
        <w:t>.</w:t>
      </w:r>
      <w:r w:rsidRPr="006E05DF" w:rsidR="00853CE5">
        <w:rPr>
          <w:szCs w:val="26"/>
        </w:rPr>
        <w:t xml:space="preserve">  </w:t>
      </w:r>
      <w:r w:rsidRPr="006E05DF" w:rsidR="000B19F4">
        <w:rPr>
          <w:szCs w:val="26"/>
        </w:rPr>
        <w:t xml:space="preserve">(See, e.g., </w:t>
      </w:r>
      <w:r w:rsidRPr="006E05DF" w:rsidR="000B19F4">
        <w:rPr>
          <w:i/>
          <w:iCs/>
          <w:szCs w:val="26"/>
        </w:rPr>
        <w:t>King v. Innovation Books</w:t>
      </w:r>
      <w:r w:rsidRPr="006E05DF" w:rsidR="000B19F4">
        <w:rPr>
          <w:szCs w:val="26"/>
        </w:rPr>
        <w:t xml:space="preserve">, </w:t>
      </w:r>
      <w:r w:rsidRPr="006E05DF" w:rsidR="000B19F4">
        <w:rPr>
          <w:i/>
          <w:iCs/>
          <w:szCs w:val="26"/>
        </w:rPr>
        <w:t>supra</w:t>
      </w:r>
      <w:r w:rsidRPr="006E05DF" w:rsidR="000B19F4">
        <w:rPr>
          <w:szCs w:val="26"/>
        </w:rPr>
        <w:t xml:space="preserve">, 976 F.2d at p. 829; </w:t>
      </w:r>
      <w:r w:rsidRPr="006E05DF" w:rsidR="000B19F4">
        <w:rPr>
          <w:i/>
          <w:iCs/>
          <w:szCs w:val="26"/>
        </w:rPr>
        <w:t>PPX Enters. v. Audiofidelity Enters.</w:t>
      </w:r>
      <w:r w:rsidRPr="006E05DF" w:rsidR="000B19F4">
        <w:rPr>
          <w:szCs w:val="26"/>
        </w:rPr>
        <w:t xml:space="preserve">, </w:t>
      </w:r>
      <w:r w:rsidRPr="006E05DF" w:rsidR="000B19F4">
        <w:rPr>
          <w:i/>
          <w:iCs/>
          <w:szCs w:val="26"/>
        </w:rPr>
        <w:t>supra</w:t>
      </w:r>
      <w:r w:rsidRPr="006E05DF" w:rsidR="000B19F4">
        <w:rPr>
          <w:szCs w:val="26"/>
        </w:rPr>
        <w:t xml:space="preserve">, 818 F.2d at pp. 268, 273; </w:t>
      </w:r>
      <w:r w:rsidRPr="006E05DF" w:rsidR="000B19F4">
        <w:rPr>
          <w:i/>
          <w:iCs/>
          <w:szCs w:val="26"/>
        </w:rPr>
        <w:t>Rogers</w:t>
      </w:r>
      <w:r w:rsidRPr="006E05DF" w:rsidR="000B19F4">
        <w:rPr>
          <w:szCs w:val="26"/>
        </w:rPr>
        <w:t xml:space="preserve">, </w:t>
      </w:r>
      <w:r w:rsidRPr="006E05DF" w:rsidR="000B19F4">
        <w:rPr>
          <w:i/>
          <w:iCs/>
          <w:szCs w:val="26"/>
        </w:rPr>
        <w:t>supra</w:t>
      </w:r>
      <w:r w:rsidRPr="006E05DF" w:rsidR="000B19F4">
        <w:rPr>
          <w:szCs w:val="26"/>
        </w:rPr>
        <w:t xml:space="preserve">, 875 F.2d 994.)  </w:t>
      </w:r>
      <w:r w:rsidRPr="006E05DF" w:rsidR="00006429">
        <w:rPr>
          <w:szCs w:val="26"/>
        </w:rPr>
        <w:t xml:space="preserve">If </w:t>
      </w:r>
      <w:r w:rsidRPr="006E05DF" w:rsidR="00853CE5">
        <w:rPr>
          <w:szCs w:val="26"/>
        </w:rPr>
        <w:t xml:space="preserve">the </w:t>
      </w:r>
      <w:r w:rsidRPr="006E05DF" w:rsidR="006E4A85">
        <w:rPr>
          <w:szCs w:val="26"/>
        </w:rPr>
        <w:t xml:space="preserve">CLRA and </w:t>
      </w:r>
      <w:r w:rsidRPr="006E05DF" w:rsidR="00853CE5">
        <w:rPr>
          <w:szCs w:val="26"/>
        </w:rPr>
        <w:t xml:space="preserve">UCL lack a scienter requirement, </w:t>
      </w:r>
      <w:r w:rsidRPr="006E05DF" w:rsidR="004F0265">
        <w:rPr>
          <w:szCs w:val="26"/>
        </w:rPr>
        <w:t xml:space="preserve">we still classify </w:t>
      </w:r>
      <w:r w:rsidRPr="006E05DF" w:rsidR="00853CE5">
        <w:rPr>
          <w:szCs w:val="26"/>
        </w:rPr>
        <w:t>Sony’s speech as commercial.</w:t>
      </w:r>
    </w:p>
    <w:p w:rsidR="00F223EB" w:rsidRPr="006E05DF" w:rsidP="00314A1F">
      <w:pPr>
        <w:outlineLvl w:val="1"/>
        <w:rPr>
          <w:b/>
          <w:bCs/>
          <w:szCs w:val="26"/>
        </w:rPr>
      </w:pPr>
      <w:r w:rsidRPr="006E05DF">
        <w:rPr>
          <w:b/>
          <w:bCs/>
          <w:szCs w:val="26"/>
        </w:rPr>
        <w:t>C.</w:t>
      </w:r>
      <w:r w:rsidRPr="006E05DF">
        <w:rPr>
          <w:b/>
          <w:bCs/>
          <w:szCs w:val="26"/>
        </w:rPr>
        <w:tab/>
        <w:t>Sony’s Album Title and Artwork</w:t>
      </w:r>
    </w:p>
    <w:p w:rsidR="00794D01" w:rsidRPr="006E05DF" w:rsidP="00314A1F">
      <w:pPr>
        <w:rPr>
          <w:szCs w:val="26"/>
        </w:rPr>
      </w:pPr>
      <w:r w:rsidRPr="006E05DF">
        <w:rPr>
          <w:szCs w:val="26"/>
        </w:rPr>
        <w:tab/>
      </w:r>
      <w:r w:rsidR="00EF535E">
        <w:rPr>
          <w:szCs w:val="26"/>
        </w:rPr>
        <w:t xml:space="preserve">Serova has sufficiently </w:t>
      </w:r>
      <w:r w:rsidR="00685FAB">
        <w:rPr>
          <w:szCs w:val="26"/>
        </w:rPr>
        <w:t>established</w:t>
      </w:r>
      <w:r w:rsidR="0034513F">
        <w:rPr>
          <w:szCs w:val="26"/>
        </w:rPr>
        <w:t>,</w:t>
      </w:r>
      <w:r w:rsidR="00EF535E">
        <w:rPr>
          <w:szCs w:val="26"/>
        </w:rPr>
        <w:t xml:space="preserve"> in connection with the anti-SLAPP inquiry</w:t>
      </w:r>
      <w:r w:rsidR="00FD05E3">
        <w:rPr>
          <w:szCs w:val="26"/>
        </w:rPr>
        <w:t xml:space="preserve"> into the merits of her claims</w:t>
      </w:r>
      <w:r w:rsidR="00EF535E">
        <w:rPr>
          <w:szCs w:val="26"/>
        </w:rPr>
        <w:t xml:space="preserve">, that </w:t>
      </w:r>
      <w:r w:rsidRPr="006E05DF" w:rsidR="0094446C">
        <w:rPr>
          <w:szCs w:val="26"/>
        </w:rPr>
        <w:t xml:space="preserve">Sony’s </w:t>
      </w:r>
      <w:r w:rsidRPr="006E05DF" w:rsidR="00CB75EA">
        <w:rPr>
          <w:szCs w:val="26"/>
        </w:rPr>
        <w:t xml:space="preserve">promise of “9 previously unreleased vocal tracks performed by Michael Jackson” and its </w:t>
      </w:r>
      <w:r w:rsidRPr="006E05DF" w:rsidR="0094446C">
        <w:rPr>
          <w:szCs w:val="26"/>
        </w:rPr>
        <w:t>promotional video</w:t>
      </w:r>
      <w:r w:rsidR="008C1218">
        <w:rPr>
          <w:szCs w:val="26"/>
        </w:rPr>
        <w:t xml:space="preserve"> </w:t>
      </w:r>
      <w:r w:rsidRPr="006E05DF" w:rsidR="00CB75EA">
        <w:rPr>
          <w:szCs w:val="26"/>
        </w:rPr>
        <w:t xml:space="preserve">are </w:t>
      </w:r>
      <w:r w:rsidRPr="006E05DF" w:rsidR="0094446C">
        <w:rPr>
          <w:szCs w:val="26"/>
        </w:rPr>
        <w:t xml:space="preserve">commercial </w:t>
      </w:r>
      <w:r w:rsidRPr="006E05DF" w:rsidR="001D7528">
        <w:rPr>
          <w:szCs w:val="26"/>
        </w:rPr>
        <w:t xml:space="preserve">speech </w:t>
      </w:r>
      <w:r w:rsidRPr="006E05DF" w:rsidR="0094446C">
        <w:rPr>
          <w:szCs w:val="26"/>
        </w:rPr>
        <w:t>regulable under the CLRA and UCL</w:t>
      </w:r>
      <w:r w:rsidRPr="006E05DF" w:rsidR="00273E72">
        <w:rPr>
          <w:szCs w:val="26"/>
        </w:rPr>
        <w:t>.  W</w:t>
      </w:r>
      <w:r w:rsidRPr="006E05DF" w:rsidR="001D7528">
        <w:rPr>
          <w:szCs w:val="26"/>
        </w:rPr>
        <w:t xml:space="preserve">e turn </w:t>
      </w:r>
      <w:r w:rsidRPr="006E05DF" w:rsidR="0065263C">
        <w:rPr>
          <w:szCs w:val="26"/>
        </w:rPr>
        <w:t xml:space="preserve">briefly </w:t>
      </w:r>
      <w:r w:rsidRPr="006E05DF" w:rsidR="001D7528">
        <w:rPr>
          <w:szCs w:val="26"/>
        </w:rPr>
        <w:t xml:space="preserve">to </w:t>
      </w:r>
      <w:r w:rsidRPr="006E05DF" w:rsidR="005D3FF2">
        <w:rPr>
          <w:szCs w:val="26"/>
        </w:rPr>
        <w:t xml:space="preserve">address </w:t>
      </w:r>
      <w:r w:rsidRPr="006E05DF" w:rsidR="00483774">
        <w:rPr>
          <w:szCs w:val="26"/>
        </w:rPr>
        <w:t>the album’s title</w:t>
      </w:r>
      <w:r w:rsidRPr="006E05DF" w:rsidR="00825A8D">
        <w:rPr>
          <w:szCs w:val="26"/>
        </w:rPr>
        <w:t xml:space="preserve">, </w:t>
      </w:r>
      <w:r w:rsidRPr="00883750" w:rsidR="00825A8D">
        <w:rPr>
          <w:i/>
          <w:iCs/>
          <w:szCs w:val="26"/>
        </w:rPr>
        <w:t>Michael</w:t>
      </w:r>
      <w:r w:rsidRPr="006E05DF" w:rsidR="00825A8D">
        <w:rPr>
          <w:szCs w:val="26"/>
        </w:rPr>
        <w:t>,</w:t>
      </w:r>
      <w:r w:rsidRPr="006E05DF" w:rsidR="00483774">
        <w:rPr>
          <w:szCs w:val="26"/>
        </w:rPr>
        <w:t xml:space="preserve"> and </w:t>
      </w:r>
      <w:r w:rsidRPr="006E05DF" w:rsidR="00825A8D">
        <w:rPr>
          <w:szCs w:val="26"/>
        </w:rPr>
        <w:t xml:space="preserve">its </w:t>
      </w:r>
      <w:r w:rsidRPr="006E05DF" w:rsidR="00483774">
        <w:rPr>
          <w:szCs w:val="26"/>
        </w:rPr>
        <w:t>artwork</w:t>
      </w:r>
      <w:r w:rsidRPr="006E05DF" w:rsidR="00825A8D">
        <w:rPr>
          <w:szCs w:val="26"/>
        </w:rPr>
        <w:t>, containing images of Jackso</w:t>
      </w:r>
      <w:r w:rsidRPr="006E05DF" w:rsidR="0065263C">
        <w:rPr>
          <w:szCs w:val="26"/>
        </w:rPr>
        <w:t>n.</w:t>
      </w:r>
      <w:r w:rsidRPr="006E05DF" w:rsidR="00483774">
        <w:rPr>
          <w:szCs w:val="26"/>
        </w:rPr>
        <w:t xml:space="preserve">  </w:t>
      </w:r>
    </w:p>
    <w:p w:rsidR="0053508A" w:rsidRPr="006E05DF" w:rsidP="00314A1F">
      <w:pPr>
        <w:rPr>
          <w:szCs w:val="26"/>
        </w:rPr>
      </w:pPr>
      <w:r w:rsidRPr="006E05DF">
        <w:rPr>
          <w:szCs w:val="26"/>
        </w:rPr>
        <w:tab/>
        <w:t>As already noted, some courts view titles as integral to “expression as well as a significant means of marketing.”  (</w:t>
      </w:r>
      <w:r w:rsidRPr="006E05DF">
        <w:rPr>
          <w:i/>
          <w:iCs/>
          <w:szCs w:val="26"/>
        </w:rPr>
        <w:t>Rogers</w:t>
      </w:r>
      <w:r w:rsidRPr="006E05DF">
        <w:rPr>
          <w:szCs w:val="26"/>
        </w:rPr>
        <w:t xml:space="preserve">, </w:t>
      </w:r>
      <w:r w:rsidRPr="006E05DF">
        <w:rPr>
          <w:i/>
          <w:iCs/>
          <w:szCs w:val="26"/>
        </w:rPr>
        <w:t>supra</w:t>
      </w:r>
      <w:r w:rsidRPr="006E05DF">
        <w:rPr>
          <w:szCs w:val="26"/>
        </w:rPr>
        <w:t>, 875 F.2d 994, 998 [“The artistic and commercial elements of titles are inextricably intertwined”].)  Album art</w:t>
      </w:r>
      <w:r w:rsidRPr="006E05DF" w:rsidR="00EC73D5">
        <w:rPr>
          <w:szCs w:val="26"/>
        </w:rPr>
        <w:t xml:space="preserve"> </w:t>
      </w:r>
      <w:r w:rsidRPr="006E05DF">
        <w:rPr>
          <w:szCs w:val="26"/>
        </w:rPr>
        <w:t xml:space="preserve">might </w:t>
      </w:r>
      <w:r w:rsidRPr="006E05DF" w:rsidR="00EC73D5">
        <w:rPr>
          <w:szCs w:val="26"/>
        </w:rPr>
        <w:t xml:space="preserve">also be </w:t>
      </w:r>
      <w:r w:rsidRPr="006E05DF">
        <w:rPr>
          <w:szCs w:val="26"/>
        </w:rPr>
        <w:t xml:space="preserve">expressive.  (Compare </w:t>
      </w:r>
      <w:r w:rsidRPr="006E05DF">
        <w:rPr>
          <w:i/>
          <w:iCs/>
          <w:szCs w:val="26"/>
        </w:rPr>
        <w:t>Winchester Mystery House</w:t>
      </w:r>
      <w:r w:rsidR="000E3193">
        <w:rPr>
          <w:i/>
          <w:iCs/>
          <w:szCs w:val="26"/>
        </w:rPr>
        <w:t>, LLC</w:t>
      </w:r>
      <w:r w:rsidR="004E746A">
        <w:rPr>
          <w:i/>
          <w:iCs/>
          <w:szCs w:val="26"/>
        </w:rPr>
        <w:t xml:space="preserve"> </w:t>
      </w:r>
      <w:r w:rsidRPr="006E05DF" w:rsidR="004E746A">
        <w:rPr>
          <w:i/>
          <w:iCs/>
          <w:szCs w:val="26"/>
        </w:rPr>
        <w:t>v. Global Asylum, Inc.</w:t>
      </w:r>
      <w:r w:rsidRPr="006E05DF">
        <w:rPr>
          <w:szCs w:val="26"/>
        </w:rPr>
        <w:t xml:space="preserve">, </w:t>
      </w:r>
      <w:r w:rsidRPr="006E05DF">
        <w:rPr>
          <w:i/>
          <w:iCs/>
          <w:szCs w:val="26"/>
        </w:rPr>
        <w:t>supra</w:t>
      </w:r>
      <w:r w:rsidRPr="006E05DF">
        <w:rPr>
          <w:szCs w:val="26"/>
        </w:rPr>
        <w:t xml:space="preserve">, 210 Cal.App.4th at p. 592 [applying heightened scrutiny to trademark claims targeting artwork on DVD packaging] with </w:t>
      </w:r>
      <w:r w:rsidRPr="006E05DF">
        <w:rPr>
          <w:i/>
          <w:iCs/>
          <w:szCs w:val="26"/>
        </w:rPr>
        <w:t>No Doubt</w:t>
      </w:r>
      <w:r w:rsidR="004E746A">
        <w:rPr>
          <w:i/>
          <w:iCs/>
          <w:szCs w:val="26"/>
        </w:rPr>
        <w:t xml:space="preserve"> v. </w:t>
      </w:r>
      <w:r w:rsidRPr="006E05DF" w:rsidR="004E746A">
        <w:rPr>
          <w:i/>
          <w:iCs/>
          <w:szCs w:val="26"/>
        </w:rPr>
        <w:t>Activision Publishing, Inc.</w:t>
      </w:r>
      <w:r w:rsidRPr="006E05DF">
        <w:rPr>
          <w:szCs w:val="26"/>
        </w:rPr>
        <w:t xml:space="preserve">, </w:t>
      </w:r>
      <w:r w:rsidRPr="006E05DF">
        <w:rPr>
          <w:i/>
          <w:iCs/>
          <w:szCs w:val="26"/>
        </w:rPr>
        <w:t>supra</w:t>
      </w:r>
      <w:r w:rsidRPr="006E05DF">
        <w:rPr>
          <w:szCs w:val="26"/>
        </w:rPr>
        <w:t>, 192 Cal.App.4th at p. 1039, fn. 8 [doubting whether such heightened scrutiny should apply to a claim that use of a celebrity’s likeness in a video game was actionable as a misappropriation]</w:t>
      </w:r>
      <w:r w:rsidRPr="006E05DF" w:rsidR="009640E2">
        <w:rPr>
          <w:szCs w:val="26"/>
        </w:rPr>
        <w:t>.)</w:t>
      </w:r>
      <w:r w:rsidRPr="006E05DF">
        <w:rPr>
          <w:szCs w:val="26"/>
        </w:rPr>
        <w:t xml:space="preserve"> </w:t>
      </w:r>
    </w:p>
    <w:p w:rsidR="00CB13CB" w:rsidRPr="006E05DF" w:rsidP="00314A1F">
      <w:pPr>
        <w:rPr>
          <w:szCs w:val="26"/>
        </w:rPr>
      </w:pPr>
      <w:r w:rsidRPr="006E05DF">
        <w:rPr>
          <w:szCs w:val="26"/>
        </w:rPr>
        <w:tab/>
      </w:r>
      <w:r w:rsidRPr="006E05DF" w:rsidR="009A2497">
        <w:rPr>
          <w:szCs w:val="26"/>
        </w:rPr>
        <w:t xml:space="preserve">Given </w:t>
      </w:r>
      <w:r w:rsidRPr="006E05DF" w:rsidR="00E70CD0">
        <w:rPr>
          <w:szCs w:val="26"/>
        </w:rPr>
        <w:t xml:space="preserve">the framing of Sony’s </w:t>
      </w:r>
      <w:r w:rsidRPr="006E05DF" w:rsidR="009A2497">
        <w:rPr>
          <w:szCs w:val="26"/>
        </w:rPr>
        <w:t xml:space="preserve">anti-SLAPP motion, </w:t>
      </w:r>
      <w:r w:rsidRPr="006E05DF" w:rsidR="00256554">
        <w:rPr>
          <w:szCs w:val="26"/>
        </w:rPr>
        <w:t xml:space="preserve">however, </w:t>
      </w:r>
      <w:r w:rsidRPr="006E05DF" w:rsidR="00E70CD0">
        <w:rPr>
          <w:szCs w:val="26"/>
        </w:rPr>
        <w:t xml:space="preserve">and the conclusions we have reached so far, </w:t>
      </w:r>
      <w:r w:rsidRPr="006E05DF" w:rsidR="009A2497">
        <w:rPr>
          <w:szCs w:val="26"/>
        </w:rPr>
        <w:t xml:space="preserve">we </w:t>
      </w:r>
      <w:r w:rsidRPr="006E05DF" w:rsidR="00A27041">
        <w:rPr>
          <w:szCs w:val="26"/>
        </w:rPr>
        <w:t>do not</w:t>
      </w:r>
      <w:r w:rsidRPr="006E05DF" w:rsidR="0065263C">
        <w:rPr>
          <w:szCs w:val="26"/>
        </w:rPr>
        <w:t xml:space="preserve"> </w:t>
      </w:r>
      <w:r w:rsidRPr="006E05DF" w:rsidR="009A2497">
        <w:rPr>
          <w:szCs w:val="26"/>
        </w:rPr>
        <w:t xml:space="preserve">address </w:t>
      </w:r>
      <w:r w:rsidRPr="006E05DF" w:rsidR="00256554">
        <w:rPr>
          <w:szCs w:val="26"/>
        </w:rPr>
        <w:t xml:space="preserve">whether </w:t>
      </w:r>
      <w:r w:rsidRPr="00883750" w:rsidR="00256554">
        <w:rPr>
          <w:i/>
          <w:iCs/>
          <w:szCs w:val="26"/>
        </w:rPr>
        <w:t>Michael</w:t>
      </w:r>
      <w:r w:rsidRPr="00B92EBB" w:rsidR="00256554">
        <w:rPr>
          <w:szCs w:val="26"/>
        </w:rPr>
        <w:t xml:space="preserve">’s </w:t>
      </w:r>
      <w:r w:rsidRPr="006E05DF" w:rsidR="00256554">
        <w:rPr>
          <w:szCs w:val="26"/>
        </w:rPr>
        <w:t xml:space="preserve">artwork and title are commercial </w:t>
      </w:r>
      <w:r w:rsidRPr="006E05DF" w:rsidR="008E6E9D">
        <w:rPr>
          <w:szCs w:val="26"/>
        </w:rPr>
        <w:t xml:space="preserve">speech </w:t>
      </w:r>
      <w:r w:rsidRPr="006E05DF" w:rsidR="00256554">
        <w:rPr>
          <w:szCs w:val="26"/>
        </w:rPr>
        <w:t xml:space="preserve">or possess expressiveness that </w:t>
      </w:r>
      <w:r w:rsidRPr="006E05DF" w:rsidR="008E6E9D">
        <w:rPr>
          <w:szCs w:val="26"/>
        </w:rPr>
        <w:t xml:space="preserve">might </w:t>
      </w:r>
      <w:r w:rsidRPr="006E05DF" w:rsidR="00256554">
        <w:rPr>
          <w:szCs w:val="26"/>
        </w:rPr>
        <w:t xml:space="preserve">impact their classification </w:t>
      </w:r>
      <w:r w:rsidRPr="006E05DF" w:rsidR="008E6E9D">
        <w:rPr>
          <w:szCs w:val="26"/>
        </w:rPr>
        <w:t>or</w:t>
      </w:r>
      <w:r w:rsidRPr="006E05DF" w:rsidR="00256554">
        <w:rPr>
          <w:szCs w:val="26"/>
        </w:rPr>
        <w:t xml:space="preserve"> </w:t>
      </w:r>
      <w:r w:rsidRPr="006E05DF" w:rsidR="0014685C">
        <w:rPr>
          <w:szCs w:val="26"/>
        </w:rPr>
        <w:t xml:space="preserve">otherwise </w:t>
      </w:r>
      <w:r w:rsidRPr="006E05DF" w:rsidR="00F41CE2">
        <w:rPr>
          <w:szCs w:val="26"/>
        </w:rPr>
        <w:t xml:space="preserve">limit their </w:t>
      </w:r>
      <w:r w:rsidRPr="006E05DF" w:rsidR="00256554">
        <w:rPr>
          <w:szCs w:val="26"/>
        </w:rPr>
        <w:t>regulability</w:t>
      </w:r>
      <w:r w:rsidRPr="006E05DF" w:rsidR="00F41CE2">
        <w:rPr>
          <w:szCs w:val="26"/>
        </w:rPr>
        <w:t xml:space="preserve"> under state law</w:t>
      </w:r>
      <w:r w:rsidRPr="006E05DF" w:rsidR="00E70CD0">
        <w:rPr>
          <w:szCs w:val="26"/>
        </w:rPr>
        <w:t>.</w:t>
      </w:r>
    </w:p>
    <w:p w:rsidR="00A30C8E" w:rsidRPr="006E05DF" w:rsidP="00314A1F">
      <w:pPr>
        <w:ind w:firstLine="720"/>
        <w:rPr>
          <w:szCs w:val="26"/>
        </w:rPr>
      </w:pPr>
      <w:r w:rsidRPr="006E05DF">
        <w:rPr>
          <w:szCs w:val="26"/>
        </w:rPr>
        <w:t xml:space="preserve">Sony’s </w:t>
      </w:r>
      <w:r w:rsidRPr="006E05DF" w:rsidR="00EF4C8D">
        <w:rPr>
          <w:szCs w:val="26"/>
        </w:rPr>
        <w:t xml:space="preserve">initial </w:t>
      </w:r>
      <w:r w:rsidRPr="006E05DF" w:rsidR="004F7D73">
        <w:rPr>
          <w:szCs w:val="26"/>
        </w:rPr>
        <w:t>memorandum of points and authorities supporting its motio</w:t>
      </w:r>
      <w:r w:rsidRPr="006E05DF" w:rsidR="00B41093">
        <w:rPr>
          <w:szCs w:val="26"/>
        </w:rPr>
        <w:t>n</w:t>
      </w:r>
      <w:r w:rsidRPr="006E05DF" w:rsidR="00E70CD0">
        <w:rPr>
          <w:szCs w:val="26"/>
        </w:rPr>
        <w:t xml:space="preserve"> </w:t>
      </w:r>
      <w:r w:rsidRPr="006E05DF" w:rsidR="00C85691">
        <w:rPr>
          <w:szCs w:val="26"/>
        </w:rPr>
        <w:t>did not</w:t>
      </w:r>
      <w:r w:rsidRPr="006E05DF" w:rsidR="00A948F8">
        <w:rPr>
          <w:szCs w:val="26"/>
        </w:rPr>
        <w:t xml:space="preserve"> </w:t>
      </w:r>
      <w:r w:rsidRPr="006E05DF" w:rsidR="00450064">
        <w:rPr>
          <w:szCs w:val="26"/>
        </w:rPr>
        <w:t>address</w:t>
      </w:r>
      <w:r w:rsidRPr="006E05DF" w:rsidR="00C85691">
        <w:rPr>
          <w:szCs w:val="26"/>
        </w:rPr>
        <w:t xml:space="preserve"> </w:t>
      </w:r>
      <w:r w:rsidRPr="006E05DF">
        <w:rPr>
          <w:szCs w:val="26"/>
        </w:rPr>
        <w:t>the artwork and title</w:t>
      </w:r>
      <w:r w:rsidRPr="006E05DF" w:rsidR="00524332">
        <w:rPr>
          <w:szCs w:val="26"/>
        </w:rPr>
        <w:t xml:space="preserve">, even though </w:t>
      </w:r>
      <w:r w:rsidRPr="006E05DF" w:rsidR="00FF7ADC">
        <w:rPr>
          <w:szCs w:val="26"/>
        </w:rPr>
        <w:t xml:space="preserve">Serova’s </w:t>
      </w:r>
      <w:r w:rsidRPr="006E05DF" w:rsidR="00524332">
        <w:rPr>
          <w:szCs w:val="26"/>
        </w:rPr>
        <w:t xml:space="preserve">complaint </w:t>
      </w:r>
      <w:r w:rsidRPr="006E05DF" w:rsidR="0065263C">
        <w:rPr>
          <w:szCs w:val="26"/>
        </w:rPr>
        <w:t>noted</w:t>
      </w:r>
      <w:r w:rsidRPr="006E05DF" w:rsidR="00524332">
        <w:rPr>
          <w:szCs w:val="26"/>
        </w:rPr>
        <w:t xml:space="preserve"> </w:t>
      </w:r>
      <w:r w:rsidRPr="006E05DF" w:rsidR="00E70CD0">
        <w:rPr>
          <w:szCs w:val="26"/>
        </w:rPr>
        <w:t>th</w:t>
      </w:r>
      <w:r w:rsidRPr="006E05DF" w:rsidR="00A948F8">
        <w:rPr>
          <w:szCs w:val="26"/>
        </w:rPr>
        <w:t>e</w:t>
      </w:r>
      <w:r w:rsidRPr="006E05DF" w:rsidR="00E70CD0">
        <w:rPr>
          <w:szCs w:val="26"/>
        </w:rPr>
        <w:t>se items as relevant to her claims</w:t>
      </w:r>
      <w:r w:rsidRPr="006E05DF">
        <w:rPr>
          <w:szCs w:val="26"/>
        </w:rPr>
        <w:t>.  Sony</w:t>
      </w:r>
      <w:r w:rsidRPr="006E05DF" w:rsidR="00144041">
        <w:rPr>
          <w:szCs w:val="26"/>
        </w:rPr>
        <w:t xml:space="preserve">, discussing </w:t>
      </w:r>
      <w:r w:rsidRPr="006E05DF" w:rsidR="00EC73D5">
        <w:rPr>
          <w:szCs w:val="26"/>
        </w:rPr>
        <w:t>what it called its “</w:t>
      </w:r>
      <w:r w:rsidRPr="006E05DF" w:rsidR="00C13A9C">
        <w:rPr>
          <w:szCs w:val="26"/>
        </w:rPr>
        <w:t>attributional statements</w:t>
      </w:r>
      <w:r w:rsidRPr="006E05DF" w:rsidR="00FF7ADC">
        <w:rPr>
          <w:szCs w:val="26"/>
        </w:rPr>
        <w:t>,</w:t>
      </w:r>
      <w:r w:rsidRPr="006E05DF" w:rsidR="00EC73D5">
        <w:rPr>
          <w:szCs w:val="26"/>
        </w:rPr>
        <w:t>”</w:t>
      </w:r>
      <w:r w:rsidRPr="006E05DF" w:rsidR="00C13A9C">
        <w:rPr>
          <w:szCs w:val="26"/>
        </w:rPr>
        <w:t xml:space="preserve"> analyz</w:t>
      </w:r>
      <w:r w:rsidRPr="006E05DF" w:rsidR="00E230B7">
        <w:rPr>
          <w:szCs w:val="26"/>
        </w:rPr>
        <w:t>ed</w:t>
      </w:r>
      <w:r w:rsidRPr="006E05DF" w:rsidR="00C13A9C">
        <w:rPr>
          <w:szCs w:val="26"/>
        </w:rPr>
        <w:t xml:space="preserve"> only the </w:t>
      </w:r>
      <w:r w:rsidRPr="006E05DF">
        <w:rPr>
          <w:szCs w:val="26"/>
        </w:rPr>
        <w:t xml:space="preserve">album-back statement and video.  </w:t>
      </w:r>
      <w:r w:rsidRPr="006E05DF" w:rsidR="009A2497">
        <w:rPr>
          <w:szCs w:val="26"/>
        </w:rPr>
        <w:t>Serova, in opposition</w:t>
      </w:r>
      <w:r w:rsidRPr="006E05DF" w:rsidR="007B7D98">
        <w:rPr>
          <w:szCs w:val="26"/>
        </w:rPr>
        <w:t xml:space="preserve">, </w:t>
      </w:r>
      <w:r w:rsidRPr="006E05DF" w:rsidR="00450064">
        <w:rPr>
          <w:szCs w:val="26"/>
        </w:rPr>
        <w:t xml:space="preserve">referred to </w:t>
      </w:r>
      <w:r w:rsidRPr="006E05DF" w:rsidR="009A2497">
        <w:rPr>
          <w:szCs w:val="26"/>
        </w:rPr>
        <w:t xml:space="preserve">the </w:t>
      </w:r>
      <w:r w:rsidRPr="006E05DF" w:rsidR="00450064">
        <w:rPr>
          <w:szCs w:val="26"/>
        </w:rPr>
        <w:t xml:space="preserve">album’s artwork </w:t>
      </w:r>
      <w:r w:rsidRPr="006E05DF" w:rsidR="009A2497">
        <w:rPr>
          <w:szCs w:val="26"/>
        </w:rPr>
        <w:t>and title</w:t>
      </w:r>
      <w:r w:rsidRPr="006E05DF" w:rsidR="00A27041">
        <w:rPr>
          <w:szCs w:val="26"/>
        </w:rPr>
        <w:t xml:space="preserve"> and</w:t>
      </w:r>
      <w:r w:rsidRPr="006E05DF" w:rsidR="009A2497">
        <w:rPr>
          <w:szCs w:val="26"/>
        </w:rPr>
        <w:t xml:space="preserve"> </w:t>
      </w:r>
      <w:r w:rsidRPr="006E05DF" w:rsidR="0065263C">
        <w:rPr>
          <w:szCs w:val="26"/>
        </w:rPr>
        <w:t>assert</w:t>
      </w:r>
      <w:r w:rsidRPr="006E05DF" w:rsidR="00450064">
        <w:rPr>
          <w:szCs w:val="26"/>
        </w:rPr>
        <w:t xml:space="preserve">ed </w:t>
      </w:r>
      <w:r w:rsidRPr="006E05DF" w:rsidR="0065263C">
        <w:rPr>
          <w:szCs w:val="26"/>
        </w:rPr>
        <w:t>th</w:t>
      </w:r>
      <w:r w:rsidRPr="006E05DF" w:rsidR="005C7CC1">
        <w:rPr>
          <w:szCs w:val="26"/>
        </w:rPr>
        <w:t>ose items</w:t>
      </w:r>
      <w:r w:rsidRPr="006E05DF" w:rsidR="0065263C">
        <w:rPr>
          <w:szCs w:val="26"/>
        </w:rPr>
        <w:t xml:space="preserve"> </w:t>
      </w:r>
      <w:r w:rsidRPr="006E05DF" w:rsidR="009A2497">
        <w:rPr>
          <w:szCs w:val="26"/>
        </w:rPr>
        <w:t xml:space="preserve">were misleading, </w:t>
      </w:r>
      <w:r w:rsidRPr="006E05DF" w:rsidR="00A27041">
        <w:rPr>
          <w:szCs w:val="26"/>
        </w:rPr>
        <w:t xml:space="preserve">but </w:t>
      </w:r>
      <w:r w:rsidRPr="006E05DF" w:rsidR="009D2EA4">
        <w:rPr>
          <w:szCs w:val="26"/>
        </w:rPr>
        <w:t xml:space="preserve">grouped them with the album-back statement </w:t>
      </w:r>
      <w:r w:rsidRPr="006E05DF" w:rsidR="008D5947">
        <w:rPr>
          <w:szCs w:val="26"/>
        </w:rPr>
        <w:t>for</w:t>
      </w:r>
      <w:r w:rsidRPr="006E05DF" w:rsidR="009D2EA4">
        <w:rPr>
          <w:szCs w:val="26"/>
        </w:rPr>
        <w:t xml:space="preserve"> the commercial speech </w:t>
      </w:r>
      <w:r w:rsidRPr="006E05DF" w:rsidR="00101E9D">
        <w:rPr>
          <w:szCs w:val="26"/>
        </w:rPr>
        <w:t>analysis</w:t>
      </w:r>
      <w:r w:rsidRPr="006E05DF" w:rsidR="00450064">
        <w:rPr>
          <w:szCs w:val="26"/>
        </w:rPr>
        <w:t xml:space="preserve">. </w:t>
      </w:r>
      <w:r w:rsidRPr="006E05DF" w:rsidR="00A27041">
        <w:rPr>
          <w:szCs w:val="26"/>
        </w:rPr>
        <w:t xml:space="preserve"> </w:t>
      </w:r>
      <w:r w:rsidRPr="006E05DF" w:rsidR="00450064">
        <w:rPr>
          <w:szCs w:val="26"/>
        </w:rPr>
        <w:t xml:space="preserve">Consistent with </w:t>
      </w:r>
      <w:r w:rsidRPr="006E05DF" w:rsidR="00A27041">
        <w:rPr>
          <w:szCs w:val="26"/>
        </w:rPr>
        <w:t>this</w:t>
      </w:r>
      <w:r w:rsidRPr="006E05DF" w:rsidR="00450064">
        <w:rPr>
          <w:szCs w:val="26"/>
        </w:rPr>
        <w:t xml:space="preserve">, Serova argued elsewhere that </w:t>
      </w:r>
      <w:r w:rsidRPr="006E05DF" w:rsidR="009D2EA4">
        <w:rPr>
          <w:szCs w:val="26"/>
        </w:rPr>
        <w:t>all components of the</w:t>
      </w:r>
      <w:r w:rsidRPr="006E05DF" w:rsidR="00C63FBD">
        <w:rPr>
          <w:szCs w:val="26"/>
        </w:rPr>
        <w:t xml:space="preserve"> </w:t>
      </w:r>
      <w:r w:rsidRPr="006E05DF" w:rsidR="009A2497">
        <w:rPr>
          <w:szCs w:val="26"/>
        </w:rPr>
        <w:t>album</w:t>
      </w:r>
      <w:r w:rsidRPr="006E05DF" w:rsidR="00036779">
        <w:rPr>
          <w:szCs w:val="26"/>
        </w:rPr>
        <w:t xml:space="preserve">’s </w:t>
      </w:r>
      <w:r w:rsidRPr="006E05DF" w:rsidR="001B44E9">
        <w:rPr>
          <w:szCs w:val="26"/>
        </w:rPr>
        <w:t>packaging</w:t>
      </w:r>
      <w:r w:rsidRPr="006E05DF" w:rsidR="009A2497">
        <w:rPr>
          <w:szCs w:val="26"/>
        </w:rPr>
        <w:t xml:space="preserve"> </w:t>
      </w:r>
      <w:r w:rsidRPr="006E05DF" w:rsidR="001D0593">
        <w:rPr>
          <w:szCs w:val="26"/>
        </w:rPr>
        <w:t>should</w:t>
      </w:r>
      <w:r w:rsidRPr="006E05DF" w:rsidR="00A27041">
        <w:rPr>
          <w:szCs w:val="26"/>
        </w:rPr>
        <w:t>, in evaluating its claims,</w:t>
      </w:r>
      <w:r w:rsidRPr="006E05DF" w:rsidR="007B7D98">
        <w:rPr>
          <w:szCs w:val="26"/>
        </w:rPr>
        <w:t xml:space="preserve"> be </w:t>
      </w:r>
      <w:r w:rsidRPr="006E05DF" w:rsidR="00524332">
        <w:rPr>
          <w:szCs w:val="26"/>
        </w:rPr>
        <w:t xml:space="preserve">“taken together” and </w:t>
      </w:r>
      <w:r w:rsidRPr="006E05DF" w:rsidR="007B7D98">
        <w:rPr>
          <w:szCs w:val="26"/>
        </w:rPr>
        <w:t xml:space="preserve">viewed </w:t>
      </w:r>
      <w:r w:rsidRPr="006E05DF" w:rsidR="009A2497">
        <w:rPr>
          <w:szCs w:val="26"/>
        </w:rPr>
        <w:t xml:space="preserve">“as a whole.”  </w:t>
      </w:r>
      <w:r w:rsidRPr="006E05DF" w:rsidR="00883C96">
        <w:rPr>
          <w:szCs w:val="26"/>
        </w:rPr>
        <w:t>Sony, reply</w:t>
      </w:r>
      <w:r w:rsidRPr="006E05DF" w:rsidR="008D5947">
        <w:rPr>
          <w:szCs w:val="26"/>
        </w:rPr>
        <w:t>ing</w:t>
      </w:r>
      <w:r w:rsidRPr="006E05DF" w:rsidR="00883C96">
        <w:rPr>
          <w:szCs w:val="26"/>
        </w:rPr>
        <w:t xml:space="preserve"> on the commercial speech issue, </w:t>
      </w:r>
      <w:r w:rsidRPr="006E05DF" w:rsidR="00450064">
        <w:rPr>
          <w:szCs w:val="26"/>
        </w:rPr>
        <w:t xml:space="preserve">followed suit and </w:t>
      </w:r>
      <w:r w:rsidRPr="006E05DF" w:rsidR="00883C96">
        <w:rPr>
          <w:szCs w:val="26"/>
        </w:rPr>
        <w:t xml:space="preserve">discussed the album’s “CD case” as a </w:t>
      </w:r>
      <w:r w:rsidRPr="006E05DF" w:rsidR="00101E9D">
        <w:rPr>
          <w:szCs w:val="26"/>
        </w:rPr>
        <w:t xml:space="preserve">whole, </w:t>
      </w:r>
      <w:r w:rsidRPr="006E05DF" w:rsidR="00495627">
        <w:rPr>
          <w:szCs w:val="26"/>
        </w:rPr>
        <w:t xml:space="preserve">not singling out </w:t>
      </w:r>
      <w:r w:rsidRPr="006E05DF" w:rsidR="00101E9D">
        <w:rPr>
          <w:szCs w:val="26"/>
        </w:rPr>
        <w:t>the artwork or title</w:t>
      </w:r>
      <w:r w:rsidRPr="006E05DF" w:rsidR="00495627">
        <w:rPr>
          <w:szCs w:val="26"/>
        </w:rPr>
        <w:t xml:space="preserve"> for separate</w:t>
      </w:r>
      <w:r w:rsidRPr="006E05DF" w:rsidR="00C17555">
        <w:rPr>
          <w:szCs w:val="26"/>
        </w:rPr>
        <w:t xml:space="preserve"> </w:t>
      </w:r>
      <w:r w:rsidRPr="006E05DF" w:rsidR="00495627">
        <w:rPr>
          <w:szCs w:val="26"/>
        </w:rPr>
        <w:t>treatment</w:t>
      </w:r>
      <w:r w:rsidRPr="006E05DF" w:rsidR="00F83C29">
        <w:rPr>
          <w:szCs w:val="26"/>
        </w:rPr>
        <w:t xml:space="preserve">.  It </w:t>
      </w:r>
      <w:r w:rsidRPr="006E05DF" w:rsidR="00F41CE2">
        <w:rPr>
          <w:szCs w:val="26"/>
        </w:rPr>
        <w:t>instead assert</w:t>
      </w:r>
      <w:r w:rsidRPr="006E05DF" w:rsidR="00F83C29">
        <w:rPr>
          <w:szCs w:val="26"/>
        </w:rPr>
        <w:t>ed</w:t>
      </w:r>
      <w:r w:rsidRPr="006E05DF" w:rsidR="00F41CE2">
        <w:rPr>
          <w:szCs w:val="26"/>
        </w:rPr>
        <w:t xml:space="preserve"> </w:t>
      </w:r>
      <w:r w:rsidRPr="006E05DF" w:rsidR="00B35AA7">
        <w:rPr>
          <w:szCs w:val="26"/>
        </w:rPr>
        <w:t xml:space="preserve">“what the court must decide” is </w:t>
      </w:r>
      <w:r w:rsidRPr="006E05DF" w:rsidR="00F41CE2">
        <w:rPr>
          <w:szCs w:val="26"/>
        </w:rPr>
        <w:t>whether a</w:t>
      </w:r>
      <w:r w:rsidRPr="006E05DF" w:rsidR="00F83C29">
        <w:rPr>
          <w:szCs w:val="26"/>
        </w:rPr>
        <w:t xml:space="preserve"> statement </w:t>
      </w:r>
      <w:r w:rsidRPr="006E05DF" w:rsidR="00F41CE2">
        <w:rPr>
          <w:szCs w:val="26"/>
        </w:rPr>
        <w:t>of artistic contribution is commercial speech</w:t>
      </w:r>
      <w:r w:rsidRPr="006E05DF" w:rsidR="00B35AA7">
        <w:rPr>
          <w:szCs w:val="26"/>
        </w:rPr>
        <w:t xml:space="preserve"> and </w:t>
      </w:r>
      <w:r w:rsidRPr="006E05DF" w:rsidR="00F83C29">
        <w:rPr>
          <w:szCs w:val="26"/>
        </w:rPr>
        <w:t>argued</w:t>
      </w:r>
      <w:r w:rsidR="000956AF">
        <w:rPr>
          <w:szCs w:val="26"/>
        </w:rPr>
        <w:t>,</w:t>
      </w:r>
      <w:r w:rsidRPr="006E05DF" w:rsidR="00F83C29">
        <w:rPr>
          <w:szCs w:val="26"/>
        </w:rPr>
        <w:t xml:space="preserve"> </w:t>
      </w:r>
      <w:r w:rsidRPr="006E05DF" w:rsidR="00B35AA7">
        <w:rPr>
          <w:szCs w:val="26"/>
        </w:rPr>
        <w:t>“</w:t>
      </w:r>
      <w:r w:rsidR="000956AF">
        <w:rPr>
          <w:szCs w:val="26"/>
        </w:rPr>
        <w:t>N</w:t>
      </w:r>
      <w:r w:rsidRPr="006E05DF" w:rsidR="00B35AA7">
        <w:rPr>
          <w:szCs w:val="26"/>
        </w:rPr>
        <w:t>aming Jackson the performer of the tracks at issue is noncommercial</w:t>
      </w:r>
      <w:r w:rsidRPr="006E05DF" w:rsidR="00883C96">
        <w:rPr>
          <w:szCs w:val="26"/>
        </w:rPr>
        <w:t>.</w:t>
      </w:r>
      <w:r w:rsidRPr="006E05DF" w:rsidR="00B35AA7">
        <w:rPr>
          <w:szCs w:val="26"/>
        </w:rPr>
        <w:t>”</w:t>
      </w:r>
      <w:r w:rsidRPr="006E05DF" w:rsidR="00883C96">
        <w:rPr>
          <w:szCs w:val="26"/>
        </w:rPr>
        <w:t xml:space="preserve">  </w:t>
      </w:r>
      <w:r w:rsidRPr="006E05DF" w:rsidR="00450064">
        <w:rPr>
          <w:szCs w:val="26"/>
        </w:rPr>
        <w:t>T</w:t>
      </w:r>
      <w:r w:rsidRPr="006E05DF" w:rsidR="00D02271">
        <w:rPr>
          <w:szCs w:val="26"/>
        </w:rPr>
        <w:t xml:space="preserve">he parties’ issue-limiting stipulation, </w:t>
      </w:r>
      <w:r w:rsidRPr="006E05DF">
        <w:rPr>
          <w:szCs w:val="26"/>
        </w:rPr>
        <w:t xml:space="preserve">meanwhile, </w:t>
      </w:r>
      <w:r w:rsidRPr="006E05DF" w:rsidR="00C63FBD">
        <w:rPr>
          <w:szCs w:val="26"/>
        </w:rPr>
        <w:t xml:space="preserve">while </w:t>
      </w:r>
      <w:r w:rsidRPr="006E05DF" w:rsidR="00D02271">
        <w:rPr>
          <w:szCs w:val="26"/>
        </w:rPr>
        <w:t>acknowledging Serova’s claims arose from “various representations</w:t>
      </w:r>
      <w:r w:rsidRPr="006E05DF" w:rsidR="00D025C3">
        <w:rPr>
          <w:szCs w:val="26"/>
        </w:rPr>
        <w:t>,</w:t>
      </w:r>
      <w:r w:rsidRPr="006E05DF" w:rsidR="00D02271">
        <w:rPr>
          <w:szCs w:val="26"/>
        </w:rPr>
        <w:t xml:space="preserve">” only </w:t>
      </w:r>
      <w:r w:rsidRPr="006E05DF" w:rsidR="00E06B20">
        <w:rPr>
          <w:szCs w:val="26"/>
        </w:rPr>
        <w:t>sought</w:t>
      </w:r>
      <w:r w:rsidRPr="006E05DF" w:rsidR="00D02271">
        <w:rPr>
          <w:szCs w:val="26"/>
        </w:rPr>
        <w:t xml:space="preserve"> </w:t>
      </w:r>
      <w:r w:rsidRPr="006E05DF" w:rsidR="00E06B20">
        <w:rPr>
          <w:szCs w:val="26"/>
        </w:rPr>
        <w:t>a</w:t>
      </w:r>
      <w:r w:rsidRPr="006E05DF" w:rsidR="002D591E">
        <w:rPr>
          <w:szCs w:val="26"/>
        </w:rPr>
        <w:t xml:space="preserve"> </w:t>
      </w:r>
      <w:r w:rsidRPr="006E05DF" w:rsidR="00D02271">
        <w:rPr>
          <w:szCs w:val="26"/>
        </w:rPr>
        <w:t xml:space="preserve">determination </w:t>
      </w:r>
      <w:r w:rsidRPr="006E05DF" w:rsidR="00E06B20">
        <w:rPr>
          <w:szCs w:val="26"/>
        </w:rPr>
        <w:t xml:space="preserve">of </w:t>
      </w:r>
      <w:r w:rsidRPr="006E05DF" w:rsidR="00D02271">
        <w:rPr>
          <w:szCs w:val="26"/>
        </w:rPr>
        <w:t xml:space="preserve">whether Serova could “allege facts sufficient to constitute a cause of action under” the CLRA or UCL.  </w:t>
      </w:r>
      <w:r w:rsidRPr="006E05DF" w:rsidR="00A948F8">
        <w:rPr>
          <w:szCs w:val="26"/>
        </w:rPr>
        <w:t>When</w:t>
      </w:r>
      <w:r w:rsidRPr="006E05DF" w:rsidR="002D591E">
        <w:rPr>
          <w:szCs w:val="26"/>
        </w:rPr>
        <w:t xml:space="preserve"> </w:t>
      </w:r>
      <w:r w:rsidRPr="006E05DF" w:rsidR="00B0336E">
        <w:rPr>
          <w:szCs w:val="26"/>
        </w:rPr>
        <w:t xml:space="preserve">the superior </w:t>
      </w:r>
      <w:r w:rsidRPr="006E05DF" w:rsidR="00A948F8">
        <w:rPr>
          <w:szCs w:val="26"/>
        </w:rPr>
        <w:t xml:space="preserve">and </w:t>
      </w:r>
      <w:r w:rsidRPr="006E05DF" w:rsidR="00B0336E">
        <w:rPr>
          <w:szCs w:val="26"/>
        </w:rPr>
        <w:t>appellate court</w:t>
      </w:r>
      <w:r w:rsidRPr="006E05DF" w:rsidR="00A948F8">
        <w:rPr>
          <w:szCs w:val="26"/>
        </w:rPr>
        <w:t>s</w:t>
      </w:r>
      <w:r w:rsidRPr="006E05DF" w:rsidR="00E230B7">
        <w:rPr>
          <w:szCs w:val="26"/>
        </w:rPr>
        <w:t xml:space="preserve"> below</w:t>
      </w:r>
      <w:r w:rsidRPr="006E05DF" w:rsidR="00A948F8">
        <w:rPr>
          <w:szCs w:val="26"/>
        </w:rPr>
        <w:t xml:space="preserve"> ruled </w:t>
      </w:r>
      <w:r w:rsidRPr="006E05DF" w:rsidR="00E230B7">
        <w:rPr>
          <w:szCs w:val="26"/>
        </w:rPr>
        <w:t>on Sony’s motion</w:t>
      </w:r>
      <w:r w:rsidRPr="006E05DF" w:rsidR="00A948F8">
        <w:rPr>
          <w:szCs w:val="26"/>
        </w:rPr>
        <w:t xml:space="preserve"> and the commercial speech issue,</w:t>
      </w:r>
      <w:r w:rsidRPr="006E05DF" w:rsidR="002D591E">
        <w:rPr>
          <w:szCs w:val="26"/>
        </w:rPr>
        <w:t xml:space="preserve"> </w:t>
      </w:r>
      <w:r w:rsidRPr="006E05DF" w:rsidR="00A948F8">
        <w:rPr>
          <w:szCs w:val="26"/>
        </w:rPr>
        <w:t xml:space="preserve">neither </w:t>
      </w:r>
      <w:r w:rsidRPr="006E05DF" w:rsidR="002D591E">
        <w:rPr>
          <w:szCs w:val="26"/>
        </w:rPr>
        <w:t>consider</w:t>
      </w:r>
      <w:r w:rsidRPr="006E05DF" w:rsidR="00A948F8">
        <w:rPr>
          <w:szCs w:val="26"/>
        </w:rPr>
        <w:t>ed</w:t>
      </w:r>
      <w:r w:rsidRPr="006E05DF" w:rsidR="002D591E">
        <w:rPr>
          <w:szCs w:val="26"/>
        </w:rPr>
        <w:t xml:space="preserve"> </w:t>
      </w:r>
      <w:r w:rsidRPr="006E05DF" w:rsidR="00423DA2">
        <w:rPr>
          <w:szCs w:val="26"/>
        </w:rPr>
        <w:t xml:space="preserve">possible </w:t>
      </w:r>
      <w:r w:rsidRPr="006E05DF" w:rsidR="00144041">
        <w:rPr>
          <w:szCs w:val="26"/>
        </w:rPr>
        <w:t xml:space="preserve">doctrinal </w:t>
      </w:r>
      <w:r w:rsidRPr="006E05DF" w:rsidR="00423DA2">
        <w:rPr>
          <w:szCs w:val="26"/>
        </w:rPr>
        <w:t xml:space="preserve">wrinkles related to </w:t>
      </w:r>
      <w:r w:rsidRPr="006E05DF" w:rsidR="00E230B7">
        <w:rPr>
          <w:szCs w:val="26"/>
        </w:rPr>
        <w:t>artwork or title</w:t>
      </w:r>
      <w:r w:rsidRPr="006E05DF" w:rsidR="00423DA2">
        <w:rPr>
          <w:szCs w:val="26"/>
        </w:rPr>
        <w:t xml:space="preserve">s </w:t>
      </w:r>
      <w:r w:rsidRPr="006E05DF" w:rsidR="00A948F8">
        <w:rPr>
          <w:szCs w:val="26"/>
        </w:rPr>
        <w:t>for</w:t>
      </w:r>
      <w:r w:rsidRPr="006E05DF" w:rsidR="00423DA2">
        <w:rPr>
          <w:szCs w:val="26"/>
        </w:rPr>
        <w:t xml:space="preserve"> expressive works</w:t>
      </w:r>
      <w:r w:rsidRPr="006E05DF" w:rsidR="00C17555">
        <w:rPr>
          <w:szCs w:val="26"/>
        </w:rPr>
        <w:t xml:space="preserve"> and neither applied a unique analysis to them</w:t>
      </w:r>
      <w:r w:rsidRPr="006E05DF" w:rsidR="002D591E">
        <w:rPr>
          <w:szCs w:val="26"/>
        </w:rPr>
        <w:t>.</w:t>
      </w:r>
      <w:r w:rsidRPr="006E05DF" w:rsidR="00E230B7">
        <w:rPr>
          <w:szCs w:val="26"/>
        </w:rPr>
        <w:t xml:space="preserve"> </w:t>
      </w:r>
      <w:r w:rsidRPr="006E05DF" w:rsidR="00B0336E">
        <w:rPr>
          <w:szCs w:val="26"/>
        </w:rPr>
        <w:t xml:space="preserve"> </w:t>
      </w:r>
      <w:r w:rsidRPr="006E05DF" w:rsidR="00E230B7">
        <w:rPr>
          <w:szCs w:val="26"/>
        </w:rPr>
        <w:t>(</w:t>
      </w:r>
      <w:r w:rsidR="000956AF">
        <w:rPr>
          <w:szCs w:val="26"/>
        </w:rPr>
        <w:t>See</w:t>
      </w:r>
      <w:r w:rsidRPr="006E05DF" w:rsidR="00E230B7">
        <w:rPr>
          <w:szCs w:val="26"/>
        </w:rPr>
        <w:t xml:space="preserve"> </w:t>
      </w:r>
      <w:r w:rsidRPr="006E05DF" w:rsidR="00E230B7">
        <w:rPr>
          <w:i/>
          <w:iCs/>
          <w:szCs w:val="26"/>
        </w:rPr>
        <w:t>Serova</w:t>
      </w:r>
      <w:r w:rsidRPr="006E05DF" w:rsidR="00E230B7">
        <w:rPr>
          <w:szCs w:val="26"/>
        </w:rPr>
        <w:t xml:space="preserve">, </w:t>
      </w:r>
      <w:r w:rsidRPr="006E05DF" w:rsidR="00E230B7">
        <w:rPr>
          <w:i/>
          <w:iCs/>
          <w:szCs w:val="26"/>
        </w:rPr>
        <w:t>supra</w:t>
      </w:r>
      <w:r w:rsidRPr="006E05DF" w:rsidR="00E230B7">
        <w:rPr>
          <w:szCs w:val="26"/>
        </w:rPr>
        <w:t>, 44 Cal.App.5th at pp. 126</w:t>
      </w:r>
      <w:r w:rsidR="000956AF">
        <w:rPr>
          <w:szCs w:val="26"/>
        </w:rPr>
        <w:t>–</w:t>
      </w:r>
      <w:r w:rsidRPr="006E05DF" w:rsidR="00E230B7">
        <w:rPr>
          <w:szCs w:val="26"/>
        </w:rPr>
        <w:t>132</w:t>
      </w:r>
      <w:r w:rsidRPr="006E05DF" w:rsidR="002D591E">
        <w:rPr>
          <w:szCs w:val="26"/>
        </w:rPr>
        <w:t>.</w:t>
      </w:r>
      <w:r w:rsidRPr="006E05DF" w:rsidR="00E230B7">
        <w:rPr>
          <w:szCs w:val="26"/>
        </w:rPr>
        <w:t>)</w:t>
      </w:r>
      <w:r w:rsidRPr="006E05DF" w:rsidR="00994667">
        <w:rPr>
          <w:szCs w:val="26"/>
        </w:rPr>
        <w:t xml:space="preserve"> </w:t>
      </w:r>
      <w:r w:rsidRPr="006E05DF" w:rsidR="00F253CC">
        <w:rPr>
          <w:szCs w:val="26"/>
        </w:rPr>
        <w:t xml:space="preserve"> </w:t>
      </w:r>
    </w:p>
    <w:p w:rsidR="00994667" w:rsidRPr="006E05DF" w:rsidP="00314A1F">
      <w:pPr>
        <w:ind w:firstLine="720"/>
        <w:rPr>
          <w:szCs w:val="26"/>
        </w:rPr>
      </w:pPr>
      <w:r w:rsidRPr="006E05DF">
        <w:rPr>
          <w:szCs w:val="26"/>
        </w:rPr>
        <w:t xml:space="preserve">Sony’s motion, then, as limited by </w:t>
      </w:r>
      <w:r w:rsidRPr="006E05DF" w:rsidR="00F253CC">
        <w:rPr>
          <w:szCs w:val="26"/>
        </w:rPr>
        <w:t xml:space="preserve">the parties’ </w:t>
      </w:r>
      <w:r w:rsidRPr="006E05DF">
        <w:rPr>
          <w:szCs w:val="26"/>
        </w:rPr>
        <w:t xml:space="preserve">stipulation, does not </w:t>
      </w:r>
      <w:r w:rsidRPr="006E05DF" w:rsidR="00D72EC6">
        <w:rPr>
          <w:szCs w:val="26"/>
        </w:rPr>
        <w:t xml:space="preserve">now </w:t>
      </w:r>
      <w:r w:rsidRPr="006E05DF">
        <w:rPr>
          <w:szCs w:val="26"/>
        </w:rPr>
        <w:t xml:space="preserve">require a </w:t>
      </w:r>
      <w:r w:rsidRPr="006E05DF" w:rsidR="00036779">
        <w:rPr>
          <w:szCs w:val="26"/>
        </w:rPr>
        <w:t>stand</w:t>
      </w:r>
      <w:r w:rsidR="000956AF">
        <w:rPr>
          <w:szCs w:val="26"/>
        </w:rPr>
        <w:t>-</w:t>
      </w:r>
      <w:r w:rsidRPr="006E05DF" w:rsidR="00036779">
        <w:rPr>
          <w:szCs w:val="26"/>
        </w:rPr>
        <w:t>alone</w:t>
      </w:r>
      <w:r w:rsidRPr="006E05DF">
        <w:rPr>
          <w:szCs w:val="26"/>
        </w:rPr>
        <w:t xml:space="preserve"> assessment</w:t>
      </w:r>
      <w:r w:rsidRPr="006E05DF" w:rsidR="00B32771">
        <w:rPr>
          <w:szCs w:val="26"/>
        </w:rPr>
        <w:t xml:space="preserve"> of</w:t>
      </w:r>
      <w:r w:rsidRPr="006E05DF" w:rsidR="00CB6515">
        <w:rPr>
          <w:szCs w:val="26"/>
        </w:rPr>
        <w:t xml:space="preserve"> the commercial nature of</w:t>
      </w:r>
      <w:r w:rsidRPr="006E05DF">
        <w:rPr>
          <w:szCs w:val="26"/>
        </w:rPr>
        <w:t xml:space="preserve"> </w:t>
      </w:r>
      <w:r w:rsidRPr="00883750">
        <w:rPr>
          <w:i/>
          <w:iCs/>
          <w:szCs w:val="26"/>
        </w:rPr>
        <w:t>Michael</w:t>
      </w:r>
      <w:r w:rsidRPr="000956AF">
        <w:rPr>
          <w:szCs w:val="26"/>
        </w:rPr>
        <w:t xml:space="preserve">’s </w:t>
      </w:r>
      <w:r w:rsidRPr="006E05DF">
        <w:rPr>
          <w:szCs w:val="26"/>
        </w:rPr>
        <w:t>artwork and title</w:t>
      </w:r>
      <w:r w:rsidRPr="006E05DF" w:rsidR="00982DC3">
        <w:rPr>
          <w:szCs w:val="26"/>
        </w:rPr>
        <w:t xml:space="preserve">, especially in light of </w:t>
      </w:r>
      <w:r w:rsidR="006848C9">
        <w:rPr>
          <w:szCs w:val="26"/>
        </w:rPr>
        <w:t>Serova’s showing</w:t>
      </w:r>
      <w:r w:rsidRPr="006E05DF" w:rsidR="00982DC3">
        <w:rPr>
          <w:szCs w:val="26"/>
        </w:rPr>
        <w:t xml:space="preserve"> </w:t>
      </w:r>
      <w:r w:rsidR="000E3193">
        <w:rPr>
          <w:szCs w:val="26"/>
        </w:rPr>
        <w:t xml:space="preserve">that </w:t>
      </w:r>
      <w:r w:rsidRPr="006E05DF" w:rsidR="00982DC3">
        <w:rPr>
          <w:szCs w:val="26"/>
        </w:rPr>
        <w:t>the album packaging contains speech</w:t>
      </w:r>
      <w:r w:rsidRPr="006E05DF" w:rsidR="00C17555">
        <w:rPr>
          <w:szCs w:val="26"/>
        </w:rPr>
        <w:t xml:space="preserve"> “naming Jackson the performer” of the Cascio tracks </w:t>
      </w:r>
      <w:r w:rsidRPr="006E05DF" w:rsidR="00A948F8">
        <w:rPr>
          <w:szCs w:val="26"/>
        </w:rPr>
        <w:t xml:space="preserve">that </w:t>
      </w:r>
      <w:r w:rsidRPr="006E05DF" w:rsidR="00F96D81">
        <w:rPr>
          <w:szCs w:val="26"/>
        </w:rPr>
        <w:t xml:space="preserve">is commercial and </w:t>
      </w:r>
      <w:r w:rsidRPr="006E05DF" w:rsidR="00A948F8">
        <w:rPr>
          <w:szCs w:val="26"/>
        </w:rPr>
        <w:t xml:space="preserve">can </w:t>
      </w:r>
      <w:r w:rsidRPr="006E05DF" w:rsidR="00F96D81">
        <w:rPr>
          <w:szCs w:val="26"/>
        </w:rPr>
        <w:t xml:space="preserve">thus </w:t>
      </w:r>
      <w:r w:rsidRPr="006E05DF" w:rsidR="00A948F8">
        <w:rPr>
          <w:szCs w:val="26"/>
        </w:rPr>
        <w:t xml:space="preserve">support </w:t>
      </w:r>
      <w:r w:rsidRPr="006E05DF" w:rsidR="00A27041">
        <w:rPr>
          <w:szCs w:val="26"/>
        </w:rPr>
        <w:t xml:space="preserve">a cause of action </w:t>
      </w:r>
      <w:r w:rsidRPr="006E05DF" w:rsidR="00A948F8">
        <w:rPr>
          <w:szCs w:val="26"/>
        </w:rPr>
        <w:t xml:space="preserve">under the </w:t>
      </w:r>
      <w:r w:rsidRPr="006E05DF" w:rsidR="000263FA">
        <w:rPr>
          <w:szCs w:val="26"/>
        </w:rPr>
        <w:t>CLRA and UCL</w:t>
      </w:r>
      <w:r w:rsidRPr="006E05DF" w:rsidR="00982DC3">
        <w:rPr>
          <w:szCs w:val="26"/>
        </w:rPr>
        <w:t>.</w:t>
      </w:r>
      <w:r w:rsidRPr="006E05DF">
        <w:rPr>
          <w:szCs w:val="26"/>
        </w:rPr>
        <w:t xml:space="preserve">  </w:t>
      </w:r>
      <w:r w:rsidRPr="006E05DF" w:rsidR="00F253CC">
        <w:rPr>
          <w:szCs w:val="26"/>
        </w:rPr>
        <w:t>Consistent with our long</w:t>
      </w:r>
      <w:r w:rsidR="000956AF">
        <w:rPr>
          <w:szCs w:val="26"/>
        </w:rPr>
        <w:t>-</w:t>
      </w:r>
      <w:r w:rsidRPr="006E05DF" w:rsidR="00F253CC">
        <w:rPr>
          <w:szCs w:val="26"/>
        </w:rPr>
        <w:t xml:space="preserve">standing preference for narrower resolutions of constitutional questions (see </w:t>
      </w:r>
      <w:r w:rsidRPr="006E05DF" w:rsidR="00F253CC">
        <w:rPr>
          <w:i/>
          <w:iCs/>
          <w:szCs w:val="26"/>
        </w:rPr>
        <w:t>People v. Hoyt</w:t>
      </w:r>
      <w:r w:rsidRPr="006E05DF" w:rsidR="00F253CC">
        <w:rPr>
          <w:szCs w:val="26"/>
        </w:rPr>
        <w:t xml:space="preserve"> (2020) 8 Cal.5th 892, 949</w:t>
      </w:r>
      <w:r w:rsidRPr="006E05DF" w:rsidR="00F96D81">
        <w:rPr>
          <w:szCs w:val="26"/>
        </w:rPr>
        <w:t>; cf. Cal. Rules of C</w:t>
      </w:r>
      <w:r w:rsidR="005E0646">
        <w:rPr>
          <w:szCs w:val="26"/>
        </w:rPr>
        <w:t>ourt</w:t>
      </w:r>
      <w:r w:rsidRPr="006E05DF" w:rsidR="00F96D81">
        <w:rPr>
          <w:szCs w:val="26"/>
        </w:rPr>
        <w:t>, r</w:t>
      </w:r>
      <w:r w:rsidR="005E0646">
        <w:rPr>
          <w:szCs w:val="26"/>
        </w:rPr>
        <w:t>ule</w:t>
      </w:r>
      <w:r w:rsidRPr="006E05DF" w:rsidR="00F96D81">
        <w:rPr>
          <w:szCs w:val="26"/>
        </w:rPr>
        <w:t xml:space="preserve"> 8.516(b)(3)</w:t>
      </w:r>
      <w:r w:rsidRPr="006E05DF" w:rsidR="00625B4F">
        <w:rPr>
          <w:szCs w:val="26"/>
        </w:rPr>
        <w:t xml:space="preserve"> [this </w:t>
      </w:r>
      <w:r w:rsidR="005E0646">
        <w:rPr>
          <w:szCs w:val="26"/>
        </w:rPr>
        <w:t>c</w:t>
      </w:r>
      <w:r w:rsidRPr="006E05DF" w:rsidR="00625B4F">
        <w:rPr>
          <w:szCs w:val="26"/>
        </w:rPr>
        <w:t>ourt retains discretion over the issues to decide]</w:t>
      </w:r>
      <w:r w:rsidRPr="006E05DF" w:rsidR="00F253CC">
        <w:rPr>
          <w:szCs w:val="26"/>
        </w:rPr>
        <w:t xml:space="preserve">), we </w:t>
      </w:r>
      <w:r w:rsidR="00F758FF">
        <w:rPr>
          <w:szCs w:val="26"/>
        </w:rPr>
        <w:t xml:space="preserve">do not consider </w:t>
      </w:r>
      <w:r w:rsidRPr="006E05DF" w:rsidR="00F253CC">
        <w:rPr>
          <w:szCs w:val="26"/>
        </w:rPr>
        <w:t xml:space="preserve">how to address the artwork and title </w:t>
      </w:r>
      <w:r w:rsidRPr="006E05DF" w:rsidR="00C25E92">
        <w:rPr>
          <w:szCs w:val="26"/>
        </w:rPr>
        <w:t xml:space="preserve">consistent with </w:t>
      </w:r>
      <w:r w:rsidRPr="006E05DF" w:rsidR="00F253CC">
        <w:rPr>
          <w:szCs w:val="26"/>
        </w:rPr>
        <w:t>First Amendment</w:t>
      </w:r>
      <w:r w:rsidRPr="006E05DF" w:rsidR="00A27041">
        <w:rPr>
          <w:szCs w:val="26"/>
        </w:rPr>
        <w:t xml:space="preserve"> </w:t>
      </w:r>
      <w:r w:rsidRPr="006E05DF" w:rsidR="00C25E92">
        <w:rPr>
          <w:szCs w:val="26"/>
        </w:rPr>
        <w:t>dictates.</w:t>
      </w:r>
    </w:p>
    <w:p w:rsidR="00382896" w:rsidRPr="006E05DF" w:rsidP="00F2183B">
      <w:pPr>
        <w:keepNext/>
        <w:outlineLvl w:val="1"/>
        <w:rPr>
          <w:b/>
          <w:bCs/>
          <w:szCs w:val="26"/>
        </w:rPr>
      </w:pPr>
      <w:r w:rsidRPr="006E05DF">
        <w:rPr>
          <w:b/>
          <w:bCs/>
          <w:szCs w:val="26"/>
        </w:rPr>
        <w:t>D</w:t>
      </w:r>
      <w:r w:rsidRPr="006E05DF">
        <w:rPr>
          <w:b/>
          <w:bCs/>
          <w:szCs w:val="26"/>
        </w:rPr>
        <w:t>.</w:t>
      </w:r>
      <w:r w:rsidRPr="006E05DF">
        <w:rPr>
          <w:b/>
          <w:bCs/>
          <w:szCs w:val="26"/>
        </w:rPr>
        <w:tab/>
      </w:r>
      <w:r w:rsidRPr="006E05DF">
        <w:rPr>
          <w:b/>
          <w:bCs/>
          <w:szCs w:val="26"/>
        </w:rPr>
        <w:t>Copyright Preemption</w:t>
      </w:r>
    </w:p>
    <w:p w:rsidR="00812E63" w:rsidP="00314A1F">
      <w:pPr>
        <w:rPr>
          <w:szCs w:val="26"/>
        </w:rPr>
      </w:pPr>
      <w:r w:rsidRPr="006E05DF">
        <w:rPr>
          <w:szCs w:val="26"/>
        </w:rPr>
        <w:tab/>
      </w:r>
      <w:r w:rsidRPr="006E05DF" w:rsidR="005B712E">
        <w:rPr>
          <w:szCs w:val="26"/>
        </w:rPr>
        <w:t xml:space="preserve">There is one final matter, however, to address regarding the merits of Serova’s claims.  </w:t>
      </w:r>
      <w:r w:rsidRPr="006E05DF" w:rsidR="0007610A">
        <w:rPr>
          <w:szCs w:val="26"/>
        </w:rPr>
        <w:t>I</w:t>
      </w:r>
      <w:r w:rsidRPr="006E05DF">
        <w:rPr>
          <w:szCs w:val="26"/>
        </w:rPr>
        <w:t xml:space="preserve">n its answering brief </w:t>
      </w:r>
      <w:r w:rsidRPr="006E05DF" w:rsidR="00C25E92">
        <w:rPr>
          <w:szCs w:val="26"/>
        </w:rPr>
        <w:t xml:space="preserve">in </w:t>
      </w:r>
      <w:r w:rsidRPr="006E05DF">
        <w:rPr>
          <w:szCs w:val="26"/>
        </w:rPr>
        <w:t>this court, Sony</w:t>
      </w:r>
      <w:r w:rsidRPr="006E05DF" w:rsidR="0007610A">
        <w:rPr>
          <w:szCs w:val="26"/>
        </w:rPr>
        <w:t xml:space="preserve"> </w:t>
      </w:r>
      <w:r w:rsidRPr="006E05DF">
        <w:rPr>
          <w:szCs w:val="26"/>
        </w:rPr>
        <w:t>argue</w:t>
      </w:r>
      <w:r w:rsidRPr="006E05DF" w:rsidR="0007610A">
        <w:rPr>
          <w:szCs w:val="26"/>
        </w:rPr>
        <w:t>s, for the first time,</w:t>
      </w:r>
      <w:r w:rsidRPr="006E05DF">
        <w:rPr>
          <w:szCs w:val="26"/>
        </w:rPr>
        <w:t xml:space="preserve"> </w:t>
      </w:r>
      <w:r w:rsidRPr="006E05DF" w:rsidR="0007610A">
        <w:rPr>
          <w:szCs w:val="26"/>
        </w:rPr>
        <w:t xml:space="preserve">that </w:t>
      </w:r>
      <w:r w:rsidRPr="006E05DF" w:rsidR="009E692F">
        <w:rPr>
          <w:szCs w:val="26"/>
        </w:rPr>
        <w:t xml:space="preserve">Serova’s consumer deception claims are meritless because </w:t>
      </w:r>
      <w:r w:rsidRPr="006E05DF">
        <w:rPr>
          <w:szCs w:val="26"/>
        </w:rPr>
        <w:t xml:space="preserve">federal </w:t>
      </w:r>
      <w:r w:rsidRPr="006E05DF" w:rsidR="00BB0D12">
        <w:rPr>
          <w:szCs w:val="26"/>
        </w:rPr>
        <w:t>c</w:t>
      </w:r>
      <w:r w:rsidRPr="006E05DF">
        <w:rPr>
          <w:szCs w:val="26"/>
        </w:rPr>
        <w:t xml:space="preserve">opyright </w:t>
      </w:r>
      <w:r w:rsidRPr="006E05DF" w:rsidR="00BB0D12">
        <w:rPr>
          <w:szCs w:val="26"/>
        </w:rPr>
        <w:t xml:space="preserve">law </w:t>
      </w:r>
      <w:r w:rsidRPr="006E05DF">
        <w:rPr>
          <w:szCs w:val="26"/>
        </w:rPr>
        <w:t>preempts</w:t>
      </w:r>
      <w:r w:rsidRPr="006E05DF" w:rsidR="00F5295C">
        <w:rPr>
          <w:szCs w:val="26"/>
        </w:rPr>
        <w:t xml:space="preserve"> </w:t>
      </w:r>
      <w:r w:rsidRPr="006E05DF" w:rsidR="009E692F">
        <w:rPr>
          <w:szCs w:val="26"/>
        </w:rPr>
        <w:t xml:space="preserve">them </w:t>
      </w:r>
      <w:r w:rsidRPr="006E05DF" w:rsidR="0007610A">
        <w:rPr>
          <w:szCs w:val="26"/>
        </w:rPr>
        <w:t>and deprives California courts of subject matter jurisdiction</w:t>
      </w:r>
      <w:r w:rsidRPr="006E05DF">
        <w:rPr>
          <w:szCs w:val="26"/>
        </w:rPr>
        <w:t xml:space="preserve">.  </w:t>
      </w:r>
      <w:r w:rsidRPr="006E05DF" w:rsidR="000A61B0">
        <w:rPr>
          <w:szCs w:val="26"/>
        </w:rPr>
        <w:t xml:space="preserve">Sony </w:t>
      </w:r>
      <w:r w:rsidR="000A61B0">
        <w:rPr>
          <w:szCs w:val="26"/>
        </w:rPr>
        <w:t xml:space="preserve">believes it can argue </w:t>
      </w:r>
      <w:r w:rsidRPr="006E05DF" w:rsidR="000A61B0">
        <w:rPr>
          <w:szCs w:val="26"/>
        </w:rPr>
        <w:t>preemption</w:t>
      </w:r>
      <w:r w:rsidR="000A61B0">
        <w:rPr>
          <w:szCs w:val="26"/>
        </w:rPr>
        <w:t xml:space="preserve"> now</w:t>
      </w:r>
      <w:r w:rsidRPr="006E05DF" w:rsidR="000A61B0">
        <w:rPr>
          <w:szCs w:val="26"/>
        </w:rPr>
        <w:t>, despite the parties’ issue-limiting stipulation and the preliminary nature of an anti-SLAPP motion, because c</w:t>
      </w:r>
      <w:r w:rsidRPr="006E05DF" w:rsidR="004B57D1">
        <w:rPr>
          <w:szCs w:val="26"/>
        </w:rPr>
        <w:t xml:space="preserve">hallenges to a court’s subject matter jurisdiction can be raised at any time and </w:t>
      </w:r>
      <w:r w:rsidR="000A61B0">
        <w:rPr>
          <w:szCs w:val="26"/>
        </w:rPr>
        <w:t xml:space="preserve">because </w:t>
      </w:r>
      <w:r w:rsidRPr="006E05DF" w:rsidR="004B57D1">
        <w:rPr>
          <w:szCs w:val="26"/>
        </w:rPr>
        <w:t>subject matter jurisdiction “</w:t>
      </w:r>
      <w:r w:rsidR="00CE6584">
        <w:rPr>
          <w:szCs w:val="26"/>
        </w:rPr>
        <w:t> </w:t>
      </w:r>
      <w:r w:rsidR="00415EBD">
        <w:rPr>
          <w:szCs w:val="26"/>
        </w:rPr>
        <w:t>‘</w:t>
      </w:r>
      <w:r w:rsidR="00CE6584">
        <w:rPr>
          <w:szCs w:val="26"/>
        </w:rPr>
        <w:t> </w:t>
      </w:r>
      <w:r w:rsidR="00415EBD">
        <w:rPr>
          <w:szCs w:val="26"/>
        </w:rPr>
        <w:t>“</w:t>
      </w:r>
      <w:r w:rsidRPr="006E05DF" w:rsidR="004B57D1">
        <w:rPr>
          <w:szCs w:val="26"/>
        </w:rPr>
        <w:t>cannot be conferred by waiver, estoppel, or consent.”</w:t>
      </w:r>
      <w:r w:rsidR="00CE6584">
        <w:rPr>
          <w:szCs w:val="26"/>
        </w:rPr>
        <w:t> </w:t>
      </w:r>
      <w:r w:rsidR="00415EBD">
        <w:rPr>
          <w:szCs w:val="26"/>
        </w:rPr>
        <w:t>’</w:t>
      </w:r>
      <w:r w:rsidR="00CE6584">
        <w:rPr>
          <w:szCs w:val="26"/>
        </w:rPr>
        <w:t> </w:t>
      </w:r>
      <w:r w:rsidR="00415EBD">
        <w:rPr>
          <w:szCs w:val="26"/>
        </w:rPr>
        <w:t>”</w:t>
      </w:r>
      <w:r w:rsidRPr="006E05DF" w:rsidR="004B57D1">
        <w:rPr>
          <w:szCs w:val="26"/>
        </w:rPr>
        <w:t xml:space="preserve">  (See </w:t>
      </w:r>
      <w:r w:rsidRPr="006E05DF" w:rsidR="004B57D1">
        <w:rPr>
          <w:i/>
          <w:iCs/>
          <w:szCs w:val="26"/>
        </w:rPr>
        <w:t>Kabran v. Sharp Memorial Hospital</w:t>
      </w:r>
      <w:r w:rsidRPr="006E05DF" w:rsidR="004B57D1">
        <w:rPr>
          <w:szCs w:val="26"/>
        </w:rPr>
        <w:t xml:space="preserve"> (2017) 2 Cal.5th 330, 339.)  Serova does not </w:t>
      </w:r>
      <w:r w:rsidRPr="006E05DF" w:rsidR="00992132">
        <w:rPr>
          <w:szCs w:val="26"/>
        </w:rPr>
        <w:t>dispute</w:t>
      </w:r>
      <w:r w:rsidRPr="006E05DF">
        <w:rPr>
          <w:szCs w:val="26"/>
        </w:rPr>
        <w:t xml:space="preserve"> Sony’s framing of its preemption argument as jurisdictional</w:t>
      </w:r>
      <w:r w:rsidR="00F758FF">
        <w:rPr>
          <w:szCs w:val="26"/>
        </w:rPr>
        <w:t xml:space="preserve">.  She has, </w:t>
      </w:r>
      <w:r w:rsidRPr="006E05DF" w:rsidR="00AE2598">
        <w:rPr>
          <w:szCs w:val="26"/>
        </w:rPr>
        <w:t>in fact,</w:t>
      </w:r>
      <w:r w:rsidRPr="006E05DF">
        <w:rPr>
          <w:szCs w:val="26"/>
        </w:rPr>
        <w:t xml:space="preserve"> briefed the issue</w:t>
      </w:r>
      <w:r w:rsidR="000A61B0">
        <w:rPr>
          <w:szCs w:val="26"/>
        </w:rPr>
        <w:t xml:space="preserve"> without objecting to us considering it</w:t>
      </w:r>
      <w:r w:rsidRPr="006E05DF">
        <w:rPr>
          <w:szCs w:val="26"/>
        </w:rPr>
        <w:t xml:space="preserve">.  Whether or not Sony’s preemption claim </w:t>
      </w:r>
      <w:r w:rsidRPr="006E05DF" w:rsidR="000A5C75">
        <w:rPr>
          <w:szCs w:val="26"/>
        </w:rPr>
        <w:t>tests</w:t>
      </w:r>
      <w:r w:rsidRPr="006E05DF">
        <w:rPr>
          <w:szCs w:val="26"/>
        </w:rPr>
        <w:t xml:space="preserve"> our fundamental jurisdiction, we</w:t>
      </w:r>
      <w:r w:rsidRPr="006E05DF" w:rsidR="00CE48DE">
        <w:rPr>
          <w:szCs w:val="26"/>
        </w:rPr>
        <w:t xml:space="preserve">, out of an abundance of caution, choose to consider it, and we </w:t>
      </w:r>
      <w:r w:rsidRPr="006E05DF">
        <w:rPr>
          <w:szCs w:val="26"/>
        </w:rPr>
        <w:t>reject it.</w:t>
      </w:r>
    </w:p>
    <w:p w:rsidR="00B24C8B" w:rsidRPr="006E05DF" w:rsidP="00314A1F">
      <w:pPr>
        <w:rPr>
          <w:szCs w:val="26"/>
        </w:rPr>
      </w:pPr>
      <w:r w:rsidRPr="006E05DF">
        <w:rPr>
          <w:szCs w:val="26"/>
        </w:rPr>
        <w:tab/>
      </w:r>
      <w:r w:rsidRPr="006E05DF" w:rsidR="00447954">
        <w:rPr>
          <w:szCs w:val="26"/>
        </w:rPr>
        <w:t>C</w:t>
      </w:r>
      <w:r w:rsidRPr="006E05DF">
        <w:rPr>
          <w:szCs w:val="26"/>
        </w:rPr>
        <w:t xml:space="preserve">opyright law </w:t>
      </w:r>
      <w:r w:rsidRPr="006E05DF" w:rsidR="00DC5C6E">
        <w:rPr>
          <w:szCs w:val="26"/>
        </w:rPr>
        <w:t>is held to</w:t>
      </w:r>
      <w:r w:rsidRPr="006E05DF" w:rsidR="00447954">
        <w:rPr>
          <w:szCs w:val="26"/>
        </w:rPr>
        <w:t xml:space="preserve"> </w:t>
      </w:r>
      <w:r w:rsidRPr="006E05DF">
        <w:rPr>
          <w:szCs w:val="26"/>
        </w:rPr>
        <w:t>preempt state claim</w:t>
      </w:r>
      <w:r w:rsidRPr="006E05DF" w:rsidR="000D0BFD">
        <w:rPr>
          <w:szCs w:val="26"/>
        </w:rPr>
        <w:t>s when</w:t>
      </w:r>
      <w:r w:rsidRPr="006E05DF">
        <w:rPr>
          <w:szCs w:val="26"/>
        </w:rPr>
        <w:t xml:space="preserve"> </w:t>
      </w:r>
      <w:r w:rsidRPr="006E05DF" w:rsidR="00B6376A">
        <w:rPr>
          <w:szCs w:val="26"/>
        </w:rPr>
        <w:t xml:space="preserve">state </w:t>
      </w:r>
      <w:r w:rsidRPr="006E05DF">
        <w:rPr>
          <w:szCs w:val="26"/>
        </w:rPr>
        <w:t>claim</w:t>
      </w:r>
      <w:r w:rsidRPr="006E05DF" w:rsidR="00B6376A">
        <w:rPr>
          <w:szCs w:val="26"/>
        </w:rPr>
        <w:t>s</w:t>
      </w:r>
      <w:r w:rsidRPr="006E05DF">
        <w:rPr>
          <w:szCs w:val="26"/>
        </w:rPr>
        <w:t xml:space="preserve"> vindicate </w:t>
      </w:r>
      <w:r w:rsidRPr="006E05DF" w:rsidR="000D0BFD">
        <w:rPr>
          <w:szCs w:val="26"/>
        </w:rPr>
        <w:t xml:space="preserve">rights </w:t>
      </w:r>
      <w:r w:rsidRPr="006E05DF">
        <w:rPr>
          <w:szCs w:val="26"/>
        </w:rPr>
        <w:t>equivalent to those copyright law</w:t>
      </w:r>
      <w:r w:rsidRPr="006E05DF" w:rsidR="00F5295C">
        <w:rPr>
          <w:szCs w:val="26"/>
        </w:rPr>
        <w:t xml:space="preserve"> protects</w:t>
      </w:r>
      <w:r w:rsidRPr="006E05DF">
        <w:rPr>
          <w:szCs w:val="26"/>
        </w:rPr>
        <w:t>.  (</w:t>
      </w:r>
      <w:r w:rsidRPr="006E05DF" w:rsidR="00447954">
        <w:rPr>
          <w:szCs w:val="26"/>
        </w:rPr>
        <w:t>17 U.S.C. § 301(b)(3); s</w:t>
      </w:r>
      <w:r w:rsidRPr="006E05DF" w:rsidR="000D0BFD">
        <w:rPr>
          <w:szCs w:val="26"/>
        </w:rPr>
        <w:t xml:space="preserve">ee </w:t>
      </w:r>
      <w:r w:rsidRPr="006E05DF">
        <w:rPr>
          <w:i/>
          <w:iCs/>
          <w:szCs w:val="26"/>
        </w:rPr>
        <w:t>Kodadek v. MTV Networks, Inc.</w:t>
      </w:r>
      <w:r w:rsidRPr="006E05DF">
        <w:rPr>
          <w:szCs w:val="26"/>
        </w:rPr>
        <w:t xml:space="preserve"> (9th Cir. 1998) 152 F.3d 1209, 1212.)  </w:t>
      </w:r>
      <w:r w:rsidRPr="006E05DF" w:rsidR="00382896">
        <w:rPr>
          <w:szCs w:val="26"/>
        </w:rPr>
        <w:t xml:space="preserve">Copyright </w:t>
      </w:r>
      <w:r w:rsidRPr="006E05DF" w:rsidR="00BB0D12">
        <w:rPr>
          <w:szCs w:val="26"/>
        </w:rPr>
        <w:t xml:space="preserve">law </w:t>
      </w:r>
      <w:r w:rsidRPr="006E05DF" w:rsidR="00382896">
        <w:rPr>
          <w:szCs w:val="26"/>
        </w:rPr>
        <w:t xml:space="preserve">protects </w:t>
      </w:r>
      <w:r w:rsidRPr="006E05DF" w:rsidR="00E13F6E">
        <w:rPr>
          <w:szCs w:val="26"/>
        </w:rPr>
        <w:t>copyright owners</w:t>
      </w:r>
      <w:r w:rsidRPr="006E05DF" w:rsidR="00382896">
        <w:rPr>
          <w:szCs w:val="26"/>
        </w:rPr>
        <w:t xml:space="preserve"> against unauthorized </w:t>
      </w:r>
      <w:r w:rsidRPr="006E05DF" w:rsidR="00E13F6E">
        <w:rPr>
          <w:szCs w:val="26"/>
        </w:rPr>
        <w:t xml:space="preserve">reproduction, distribution, </w:t>
      </w:r>
      <w:r w:rsidRPr="006E05DF" w:rsidR="00382896">
        <w:rPr>
          <w:szCs w:val="26"/>
        </w:rPr>
        <w:t xml:space="preserve">and </w:t>
      </w:r>
      <w:r w:rsidRPr="006E05DF" w:rsidR="00F57472">
        <w:rPr>
          <w:szCs w:val="26"/>
        </w:rPr>
        <w:t xml:space="preserve">other </w:t>
      </w:r>
      <w:r w:rsidRPr="006E05DF" w:rsidR="00382896">
        <w:rPr>
          <w:szCs w:val="26"/>
        </w:rPr>
        <w:t>use</w:t>
      </w:r>
      <w:r w:rsidRPr="006E05DF" w:rsidR="00F57472">
        <w:rPr>
          <w:szCs w:val="26"/>
        </w:rPr>
        <w:t>s</w:t>
      </w:r>
      <w:r w:rsidRPr="006E05DF" w:rsidR="00382896">
        <w:rPr>
          <w:szCs w:val="26"/>
        </w:rPr>
        <w:t xml:space="preserve"> of their works</w:t>
      </w:r>
      <w:r w:rsidRPr="006E05DF" w:rsidR="00BB0D12">
        <w:rPr>
          <w:szCs w:val="26"/>
        </w:rPr>
        <w:t xml:space="preserve"> (17 U.S.C. § 106)</w:t>
      </w:r>
      <w:r w:rsidRPr="006E05DF" w:rsidR="00382896">
        <w:rPr>
          <w:szCs w:val="26"/>
        </w:rPr>
        <w:t xml:space="preserve"> </w:t>
      </w:r>
      <w:r w:rsidRPr="006E05DF" w:rsidR="00564159">
        <w:rPr>
          <w:szCs w:val="26"/>
        </w:rPr>
        <w:t xml:space="preserve">but </w:t>
      </w:r>
      <w:r w:rsidRPr="006E05DF" w:rsidR="00382896">
        <w:rPr>
          <w:szCs w:val="26"/>
        </w:rPr>
        <w:t xml:space="preserve">does not </w:t>
      </w:r>
      <w:r w:rsidRPr="006E05DF" w:rsidR="0081716C">
        <w:rPr>
          <w:szCs w:val="26"/>
        </w:rPr>
        <w:t>speak to</w:t>
      </w:r>
      <w:r w:rsidRPr="006E05DF" w:rsidR="00564159">
        <w:rPr>
          <w:szCs w:val="26"/>
        </w:rPr>
        <w:t xml:space="preserve"> </w:t>
      </w:r>
      <w:r w:rsidRPr="006E05DF" w:rsidR="00382896">
        <w:rPr>
          <w:szCs w:val="26"/>
        </w:rPr>
        <w:t>false advertising and consumer confusion</w:t>
      </w:r>
      <w:r w:rsidRPr="006E05DF" w:rsidR="00F84105">
        <w:rPr>
          <w:szCs w:val="26"/>
        </w:rPr>
        <w:t xml:space="preserve"> </w:t>
      </w:r>
      <w:r w:rsidRPr="006E05DF" w:rsidR="00D972C6">
        <w:rPr>
          <w:szCs w:val="26"/>
        </w:rPr>
        <w:t>as</w:t>
      </w:r>
      <w:r w:rsidRPr="006E05DF" w:rsidR="00F84105">
        <w:rPr>
          <w:szCs w:val="26"/>
        </w:rPr>
        <w:t xml:space="preserve"> the CLRA and UCL</w:t>
      </w:r>
      <w:r w:rsidRPr="006E05DF" w:rsidR="00D972C6">
        <w:rPr>
          <w:szCs w:val="26"/>
        </w:rPr>
        <w:t xml:space="preserve"> </w:t>
      </w:r>
      <w:r w:rsidRPr="006E05DF" w:rsidR="00415EBD">
        <w:rPr>
          <w:szCs w:val="26"/>
        </w:rPr>
        <w:t xml:space="preserve">do </w:t>
      </w:r>
      <w:r w:rsidRPr="006E05DF" w:rsidR="00F84105">
        <w:rPr>
          <w:szCs w:val="26"/>
        </w:rPr>
        <w:t xml:space="preserve">(Civ. Code, § 1770, subd. (a)(5) [prohibiting </w:t>
      </w:r>
      <w:r w:rsidRPr="006E05DF" w:rsidR="00D972C6">
        <w:rPr>
          <w:szCs w:val="26"/>
        </w:rPr>
        <w:t xml:space="preserve">misrepresentations about goods’ </w:t>
      </w:r>
      <w:r w:rsidRPr="006E05DF" w:rsidR="00F84105">
        <w:rPr>
          <w:szCs w:val="26"/>
        </w:rPr>
        <w:t>characteristics</w:t>
      </w:r>
      <w:r w:rsidRPr="006E05DF" w:rsidR="00D972C6">
        <w:rPr>
          <w:szCs w:val="26"/>
        </w:rPr>
        <w:t>];</w:t>
      </w:r>
      <w:r w:rsidRPr="006E05DF" w:rsidR="00F84105">
        <w:rPr>
          <w:szCs w:val="26"/>
        </w:rPr>
        <w:t xml:space="preserve"> Bus. &amp; Prof. Code, § 17200 </w:t>
      </w:r>
      <w:r w:rsidRPr="006E05DF" w:rsidR="00D972C6">
        <w:rPr>
          <w:szCs w:val="26"/>
        </w:rPr>
        <w:t xml:space="preserve">[prohibiting </w:t>
      </w:r>
      <w:r w:rsidRPr="006E05DF" w:rsidR="00F84105">
        <w:rPr>
          <w:szCs w:val="26"/>
        </w:rPr>
        <w:t>“deceptive, untrue or misleading advertising”</w:t>
      </w:r>
      <w:r w:rsidRPr="006E05DF" w:rsidR="00D972C6">
        <w:rPr>
          <w:szCs w:val="26"/>
        </w:rPr>
        <w:t>])</w:t>
      </w:r>
      <w:r w:rsidRPr="006E05DF" w:rsidR="00815ABB">
        <w:rPr>
          <w:szCs w:val="26"/>
        </w:rPr>
        <w:t>.</w:t>
      </w:r>
      <w:r w:rsidRPr="006E05DF" w:rsidR="00F84105">
        <w:rPr>
          <w:szCs w:val="26"/>
        </w:rPr>
        <w:t xml:space="preserve"> </w:t>
      </w:r>
      <w:r w:rsidRPr="006E05DF" w:rsidR="00D972C6">
        <w:rPr>
          <w:szCs w:val="26"/>
        </w:rPr>
        <w:t xml:space="preserve"> </w:t>
      </w:r>
      <w:r w:rsidRPr="006E05DF">
        <w:rPr>
          <w:szCs w:val="26"/>
        </w:rPr>
        <w:t xml:space="preserve">When a </w:t>
      </w:r>
      <w:r w:rsidRPr="006E05DF" w:rsidR="00270A32">
        <w:rPr>
          <w:szCs w:val="26"/>
        </w:rPr>
        <w:t xml:space="preserve">consumer brings </w:t>
      </w:r>
      <w:r w:rsidRPr="006E05DF" w:rsidR="00EE546E">
        <w:rPr>
          <w:szCs w:val="26"/>
        </w:rPr>
        <w:t xml:space="preserve">a CLRA or UCL </w:t>
      </w:r>
      <w:r w:rsidRPr="006E05DF">
        <w:rPr>
          <w:szCs w:val="26"/>
        </w:rPr>
        <w:t xml:space="preserve">claim </w:t>
      </w:r>
      <w:r w:rsidRPr="006E05DF" w:rsidR="00270A32">
        <w:rPr>
          <w:szCs w:val="26"/>
        </w:rPr>
        <w:t xml:space="preserve">requiring proof of </w:t>
      </w:r>
      <w:r w:rsidRPr="006E05DF">
        <w:rPr>
          <w:szCs w:val="26"/>
        </w:rPr>
        <w:t xml:space="preserve">false or misleading advertising, the claim requires something </w:t>
      </w:r>
      <w:r w:rsidRPr="006E05DF" w:rsidR="00270A32">
        <w:rPr>
          <w:szCs w:val="26"/>
        </w:rPr>
        <w:t xml:space="preserve">a </w:t>
      </w:r>
      <w:r w:rsidRPr="006E05DF">
        <w:rPr>
          <w:szCs w:val="26"/>
        </w:rPr>
        <w:t xml:space="preserve">copyright </w:t>
      </w:r>
      <w:r w:rsidRPr="006E05DF" w:rsidR="00270A32">
        <w:rPr>
          <w:szCs w:val="26"/>
        </w:rPr>
        <w:t xml:space="preserve">claim </w:t>
      </w:r>
      <w:r w:rsidRPr="006E05DF">
        <w:rPr>
          <w:szCs w:val="26"/>
        </w:rPr>
        <w:t>does not.  (</w:t>
      </w:r>
      <w:r w:rsidRPr="006E05DF" w:rsidR="00571086">
        <w:rPr>
          <w:szCs w:val="26"/>
        </w:rPr>
        <w:t xml:space="preserve">See </w:t>
      </w:r>
      <w:r w:rsidRPr="006E05DF" w:rsidR="001C4766">
        <w:rPr>
          <w:i/>
          <w:iCs/>
          <w:szCs w:val="26"/>
        </w:rPr>
        <w:t>Kabehie v. Zoland</w:t>
      </w:r>
      <w:r w:rsidRPr="006E05DF" w:rsidR="001C4766">
        <w:rPr>
          <w:szCs w:val="26"/>
        </w:rPr>
        <w:t xml:space="preserve"> (2002) 102 Cal.App.4th 513, 530 [</w:t>
      </w:r>
      <w:r w:rsidRPr="006E05DF" w:rsidR="00270A32">
        <w:rPr>
          <w:szCs w:val="26"/>
        </w:rPr>
        <w:t>noting</w:t>
      </w:r>
      <w:r w:rsidRPr="006E05DF" w:rsidR="001C4766">
        <w:rPr>
          <w:szCs w:val="26"/>
        </w:rPr>
        <w:t xml:space="preserve"> the </w:t>
      </w:r>
      <w:r w:rsidRPr="006E05DF" w:rsidR="005E7368">
        <w:rPr>
          <w:szCs w:val="26"/>
        </w:rPr>
        <w:t>“</w:t>
      </w:r>
      <w:r w:rsidR="00415EBD">
        <w:rPr>
          <w:szCs w:val="26"/>
        </w:rPr>
        <w:t> ‘ “</w:t>
      </w:r>
      <w:r w:rsidRPr="006E05DF" w:rsidR="001C4766">
        <w:rPr>
          <w:szCs w:val="26"/>
        </w:rPr>
        <w:t>extra element of misrepresentation</w:t>
      </w:r>
      <w:r w:rsidR="00415EBD">
        <w:rPr>
          <w:szCs w:val="26"/>
        </w:rPr>
        <w:t>”</w:t>
      </w:r>
      <w:r w:rsidR="00CE6584">
        <w:rPr>
          <w:szCs w:val="26"/>
        </w:rPr>
        <w:t> </w:t>
      </w:r>
      <w:r w:rsidR="00415EBD">
        <w:rPr>
          <w:szCs w:val="26"/>
        </w:rPr>
        <w:t>’</w:t>
      </w:r>
      <w:r w:rsidR="00CE6584">
        <w:rPr>
          <w:szCs w:val="26"/>
        </w:rPr>
        <w:t> </w:t>
      </w:r>
      <w:r w:rsidRPr="006E05DF" w:rsidR="005E7368">
        <w:rPr>
          <w:szCs w:val="26"/>
        </w:rPr>
        <w:t>”</w:t>
      </w:r>
      <w:r w:rsidRPr="006E05DF" w:rsidR="00567986">
        <w:rPr>
          <w:szCs w:val="26"/>
        </w:rPr>
        <w:t xml:space="preserve"> distinguishes a fraud claim from a copyright claim</w:t>
      </w:r>
      <w:r w:rsidRPr="006E05DF" w:rsidR="001C4766">
        <w:rPr>
          <w:szCs w:val="26"/>
        </w:rPr>
        <w:t xml:space="preserve">]; </w:t>
      </w:r>
      <w:r w:rsidRPr="006E05DF" w:rsidR="00571086">
        <w:rPr>
          <w:i/>
          <w:iCs/>
          <w:szCs w:val="26"/>
        </w:rPr>
        <w:t>Gladstone v. Hillel</w:t>
      </w:r>
      <w:r w:rsidRPr="006E05DF" w:rsidR="00571086">
        <w:rPr>
          <w:szCs w:val="26"/>
        </w:rPr>
        <w:t xml:space="preserve"> (1988) 203 Cal.App.3d 977, 987 [</w:t>
      </w:r>
      <w:r w:rsidRPr="006E05DF" w:rsidR="001C4766">
        <w:rPr>
          <w:szCs w:val="26"/>
        </w:rPr>
        <w:t>same</w:t>
      </w:r>
      <w:r w:rsidRPr="006E05DF" w:rsidR="00571086">
        <w:rPr>
          <w:szCs w:val="26"/>
        </w:rPr>
        <w:t>];</w:t>
      </w:r>
      <w:r w:rsidRPr="006E05DF" w:rsidR="001D3062">
        <w:rPr>
          <w:szCs w:val="26"/>
        </w:rPr>
        <w:t xml:space="preserve"> accord</w:t>
      </w:r>
      <w:r w:rsidR="00415EBD">
        <w:rPr>
          <w:szCs w:val="26"/>
        </w:rPr>
        <w:t>,</w:t>
      </w:r>
      <w:r w:rsidR="0052738F">
        <w:rPr>
          <w:szCs w:val="26"/>
        </w:rPr>
        <w:t xml:space="preserve"> </w:t>
      </w:r>
      <w:r w:rsidRPr="006E05DF" w:rsidR="00D33D62">
        <w:rPr>
          <w:i/>
          <w:iCs/>
          <w:szCs w:val="26"/>
        </w:rPr>
        <w:t>Computer Mgmt. Assistance Co. v. Robert F. DeCastro, Inc.</w:t>
      </w:r>
      <w:r w:rsidRPr="006E05DF" w:rsidR="00D33D62">
        <w:rPr>
          <w:szCs w:val="26"/>
        </w:rPr>
        <w:t xml:space="preserve"> (5th Cir. 2000) 220 F.3d 396, 404 [</w:t>
      </w:r>
      <w:r w:rsidRPr="006E05DF" w:rsidR="00270A32">
        <w:rPr>
          <w:szCs w:val="26"/>
        </w:rPr>
        <w:t xml:space="preserve">Louisiana Unfair Trade Practices Act requires proof </w:t>
      </w:r>
      <w:r w:rsidRPr="006E05DF" w:rsidR="00567986">
        <w:rPr>
          <w:szCs w:val="26"/>
        </w:rPr>
        <w:t xml:space="preserve">of </w:t>
      </w:r>
      <w:r w:rsidRPr="006E05DF" w:rsidR="00270A32">
        <w:rPr>
          <w:szCs w:val="26"/>
        </w:rPr>
        <w:t>misrepresentation, an “</w:t>
      </w:r>
      <w:r w:rsidR="00CE6584">
        <w:rPr>
          <w:szCs w:val="26"/>
        </w:rPr>
        <w:t> </w:t>
      </w:r>
      <w:r w:rsidR="00415EBD">
        <w:rPr>
          <w:szCs w:val="26"/>
        </w:rPr>
        <w:t>‘</w:t>
      </w:r>
      <w:r w:rsidRPr="006E05DF" w:rsidR="00270A32">
        <w:rPr>
          <w:szCs w:val="26"/>
        </w:rPr>
        <w:t>extra element</w:t>
      </w:r>
      <w:r w:rsidR="00415EBD">
        <w:rPr>
          <w:szCs w:val="26"/>
        </w:rPr>
        <w:t>’</w:t>
      </w:r>
      <w:r w:rsidR="00CE6584">
        <w:rPr>
          <w:szCs w:val="26"/>
        </w:rPr>
        <w:t> </w:t>
      </w:r>
      <w:r w:rsidRPr="006E05DF" w:rsidR="00270A32">
        <w:rPr>
          <w:szCs w:val="26"/>
        </w:rPr>
        <w:t>”]</w:t>
      </w:r>
      <w:r w:rsidRPr="006E05DF" w:rsidR="00D33D62">
        <w:rPr>
          <w:szCs w:val="26"/>
        </w:rPr>
        <w:t xml:space="preserve">; </w:t>
      </w:r>
      <w:r w:rsidRPr="006E05DF" w:rsidR="005D3DD6">
        <w:rPr>
          <w:i/>
          <w:iCs/>
          <w:szCs w:val="26"/>
        </w:rPr>
        <w:t>Samara Bros. v. Wal-Mart Stores, Inc.</w:t>
      </w:r>
      <w:r w:rsidRPr="006E05DF" w:rsidR="005D3DD6">
        <w:rPr>
          <w:szCs w:val="26"/>
        </w:rPr>
        <w:t xml:space="preserve"> (2d Cir. 1998) 165 F.3d 120, 131 [</w:t>
      </w:r>
      <w:r w:rsidRPr="006E05DF" w:rsidR="00270A32">
        <w:rPr>
          <w:szCs w:val="26"/>
        </w:rPr>
        <w:t>New York consumer claim</w:t>
      </w:r>
      <w:r w:rsidRPr="006E05DF" w:rsidR="005D3DD6">
        <w:rPr>
          <w:szCs w:val="26"/>
        </w:rPr>
        <w:t xml:space="preserve"> requiring </w:t>
      </w:r>
      <w:r w:rsidRPr="006E05DF" w:rsidR="000C08E7">
        <w:rPr>
          <w:szCs w:val="26"/>
        </w:rPr>
        <w:t xml:space="preserve">consumer confusion and </w:t>
      </w:r>
      <w:r w:rsidRPr="006E05DF" w:rsidR="005D3DD6">
        <w:rPr>
          <w:szCs w:val="26"/>
        </w:rPr>
        <w:t xml:space="preserve">“deceptive acts,” </w:t>
      </w:r>
      <w:r w:rsidRPr="006E05DF" w:rsidR="00ED72C6">
        <w:rPr>
          <w:szCs w:val="26"/>
        </w:rPr>
        <w:t xml:space="preserve">even if </w:t>
      </w:r>
      <w:r w:rsidRPr="006E05DF" w:rsidR="000C08E7">
        <w:rPr>
          <w:szCs w:val="26"/>
        </w:rPr>
        <w:t>un</w:t>
      </w:r>
      <w:r w:rsidRPr="006E05DF" w:rsidR="00815ABB">
        <w:rPr>
          <w:szCs w:val="26"/>
        </w:rPr>
        <w:t xml:space="preserve">intentional, </w:t>
      </w:r>
      <w:r w:rsidRPr="006E05DF" w:rsidR="000C08E7">
        <w:rPr>
          <w:szCs w:val="26"/>
        </w:rPr>
        <w:t xml:space="preserve">was </w:t>
      </w:r>
      <w:r w:rsidRPr="006E05DF" w:rsidR="00815ABB">
        <w:rPr>
          <w:szCs w:val="26"/>
        </w:rPr>
        <w:t xml:space="preserve">not preempted]; </w:t>
      </w:r>
      <w:r w:rsidRPr="006E05DF" w:rsidR="003A05B3">
        <w:rPr>
          <w:i/>
          <w:iCs/>
          <w:szCs w:val="26"/>
        </w:rPr>
        <w:t>Valente-Kritzer Video v. Pinckney</w:t>
      </w:r>
      <w:r w:rsidRPr="006E05DF" w:rsidR="003A05B3">
        <w:rPr>
          <w:szCs w:val="26"/>
        </w:rPr>
        <w:t xml:space="preserve"> (9th Cir. 1989) 881 F.2d 772, 776 [“the element of misrepresentation . . . distinguishes [a </w:t>
      </w:r>
      <w:r w:rsidRPr="006E05DF" w:rsidR="00270A32">
        <w:rPr>
          <w:szCs w:val="26"/>
        </w:rPr>
        <w:t xml:space="preserve">California </w:t>
      </w:r>
      <w:r w:rsidRPr="006E05DF" w:rsidR="003A05B3">
        <w:rPr>
          <w:szCs w:val="26"/>
        </w:rPr>
        <w:t xml:space="preserve">fraud] claim from one based on copyright”]; </w:t>
      </w:r>
      <w:r w:rsidRPr="006E05DF" w:rsidR="001D3062">
        <w:rPr>
          <w:i/>
          <w:iCs/>
          <w:szCs w:val="26"/>
        </w:rPr>
        <w:t>Meyers v. Fabrics</w:t>
      </w:r>
      <w:r w:rsidRPr="006E05DF" w:rsidR="001D3062">
        <w:rPr>
          <w:szCs w:val="26"/>
        </w:rPr>
        <w:t xml:space="preserve"> (1985) 65 N.Y.2d 75, 78</w:t>
      </w:r>
      <w:r w:rsidR="003D3D01">
        <w:rPr>
          <w:szCs w:val="26"/>
        </w:rPr>
        <w:t xml:space="preserve"> [479 N.E.2d 236, 238]</w:t>
      </w:r>
      <w:r w:rsidRPr="006E05DF" w:rsidR="001D3062">
        <w:rPr>
          <w:szCs w:val="26"/>
        </w:rPr>
        <w:t xml:space="preserve"> [</w:t>
      </w:r>
      <w:r w:rsidRPr="006E05DF" w:rsidR="00270A32">
        <w:rPr>
          <w:szCs w:val="26"/>
        </w:rPr>
        <w:t xml:space="preserve">a New York </w:t>
      </w:r>
      <w:r w:rsidRPr="006E05DF" w:rsidR="00810C75">
        <w:rPr>
          <w:szCs w:val="26"/>
        </w:rPr>
        <w:t>“</w:t>
      </w:r>
      <w:r w:rsidRPr="006E05DF" w:rsidR="001D3062">
        <w:rPr>
          <w:szCs w:val="26"/>
        </w:rPr>
        <w:t>cause of action for false labeling</w:t>
      </w:r>
      <w:r w:rsidRPr="006E05DF" w:rsidR="00810C75">
        <w:rPr>
          <w:szCs w:val="26"/>
        </w:rPr>
        <w:t>” was not preempted].</w:t>
      </w:r>
      <w:r w:rsidRPr="006E05DF">
        <w:rPr>
          <w:szCs w:val="26"/>
        </w:rPr>
        <w:t xml:space="preserve">)  </w:t>
      </w:r>
      <w:r w:rsidRPr="006E05DF" w:rsidR="00C421D1">
        <w:rPr>
          <w:szCs w:val="26"/>
        </w:rPr>
        <w:t xml:space="preserve">In fact, </w:t>
      </w:r>
      <w:r w:rsidRPr="006E05DF" w:rsidR="00EE546E">
        <w:rPr>
          <w:szCs w:val="26"/>
        </w:rPr>
        <w:t xml:space="preserve">state laws that </w:t>
      </w:r>
      <w:r w:rsidRPr="006E05DF">
        <w:rPr>
          <w:szCs w:val="26"/>
        </w:rPr>
        <w:t xml:space="preserve">“prevent consumer confusion” </w:t>
      </w:r>
      <w:r w:rsidRPr="006E05DF" w:rsidR="00ED72C6">
        <w:rPr>
          <w:szCs w:val="26"/>
        </w:rPr>
        <w:t>and prohibit “false descriptions” of products have</w:t>
      </w:r>
      <w:r w:rsidRPr="006E05DF" w:rsidR="009E692F">
        <w:rPr>
          <w:szCs w:val="26"/>
        </w:rPr>
        <w:t xml:space="preserve"> long</w:t>
      </w:r>
      <w:r w:rsidRPr="006E05DF" w:rsidR="00ED72C6">
        <w:rPr>
          <w:szCs w:val="26"/>
        </w:rPr>
        <w:t xml:space="preserve"> “coexisted </w:t>
      </w:r>
      <w:r w:rsidRPr="006E05DF">
        <w:rPr>
          <w:szCs w:val="26"/>
        </w:rPr>
        <w:t>harmoniously</w:t>
      </w:r>
      <w:r w:rsidRPr="006E05DF" w:rsidR="00ED72C6">
        <w:rPr>
          <w:szCs w:val="26"/>
        </w:rPr>
        <w:t>”</w:t>
      </w:r>
      <w:r w:rsidRPr="006E05DF">
        <w:rPr>
          <w:szCs w:val="26"/>
        </w:rPr>
        <w:t xml:space="preserve"> with federal intellectual property law.  (</w:t>
      </w:r>
      <w:r w:rsidRPr="006E05DF">
        <w:rPr>
          <w:i/>
          <w:iCs/>
          <w:szCs w:val="26"/>
        </w:rPr>
        <w:t>Bonito Boats</w:t>
      </w:r>
      <w:r w:rsidR="00762114">
        <w:rPr>
          <w:i/>
          <w:iCs/>
          <w:szCs w:val="26"/>
        </w:rPr>
        <w:t>, Inc.</w:t>
      </w:r>
      <w:r w:rsidRPr="006E05DF">
        <w:rPr>
          <w:i/>
          <w:iCs/>
          <w:szCs w:val="26"/>
        </w:rPr>
        <w:t xml:space="preserve"> v. Thunder Craft Boats</w:t>
      </w:r>
      <w:r w:rsidR="00762114">
        <w:rPr>
          <w:i/>
          <w:iCs/>
          <w:szCs w:val="26"/>
        </w:rPr>
        <w:t>, Inc.</w:t>
      </w:r>
      <w:r w:rsidRPr="006E05DF">
        <w:rPr>
          <w:szCs w:val="26"/>
        </w:rPr>
        <w:t xml:space="preserve"> (1989) 489 U.S. 141, 165–166</w:t>
      </w:r>
      <w:r w:rsidRPr="006E05DF" w:rsidR="0096172D">
        <w:rPr>
          <w:szCs w:val="26"/>
        </w:rPr>
        <w:t xml:space="preserve"> [noting the coexistence of patent law with state unfair competition laws similar to the Lanham Act].</w:t>
      </w:r>
      <w:r w:rsidRPr="006E05DF">
        <w:rPr>
          <w:szCs w:val="26"/>
        </w:rPr>
        <w:t>)</w:t>
      </w:r>
    </w:p>
    <w:p w:rsidR="00C421D1" w:rsidRPr="006E05DF" w:rsidP="00314A1F">
      <w:pPr>
        <w:rPr>
          <w:szCs w:val="26"/>
        </w:rPr>
      </w:pPr>
      <w:r w:rsidRPr="006E05DF">
        <w:rPr>
          <w:szCs w:val="26"/>
        </w:rPr>
        <w:tab/>
      </w:r>
      <w:r w:rsidRPr="006E05DF" w:rsidR="00F84105">
        <w:rPr>
          <w:szCs w:val="26"/>
        </w:rPr>
        <w:t>S</w:t>
      </w:r>
      <w:r w:rsidRPr="006E05DF" w:rsidR="00382896">
        <w:rPr>
          <w:szCs w:val="26"/>
        </w:rPr>
        <w:t xml:space="preserve">erova is </w:t>
      </w:r>
      <w:r w:rsidRPr="006E05DF" w:rsidR="00292D01">
        <w:rPr>
          <w:szCs w:val="26"/>
        </w:rPr>
        <w:t xml:space="preserve">plainly </w:t>
      </w:r>
      <w:r w:rsidRPr="006E05DF" w:rsidR="00382896">
        <w:rPr>
          <w:szCs w:val="26"/>
        </w:rPr>
        <w:t xml:space="preserve">not asserting </w:t>
      </w:r>
      <w:r w:rsidRPr="006E05DF" w:rsidR="00292D01">
        <w:rPr>
          <w:szCs w:val="26"/>
        </w:rPr>
        <w:t>ownership</w:t>
      </w:r>
      <w:r w:rsidRPr="006E05DF" w:rsidR="00382896">
        <w:rPr>
          <w:szCs w:val="26"/>
        </w:rPr>
        <w:t xml:space="preserve"> </w:t>
      </w:r>
      <w:r w:rsidRPr="006E05DF" w:rsidR="00292D01">
        <w:rPr>
          <w:szCs w:val="26"/>
        </w:rPr>
        <w:t xml:space="preserve">in </w:t>
      </w:r>
      <w:r w:rsidRPr="006E05DF" w:rsidR="00382896">
        <w:rPr>
          <w:szCs w:val="26"/>
        </w:rPr>
        <w:t xml:space="preserve">copyrightable material </w:t>
      </w:r>
      <w:r w:rsidRPr="006E05DF" w:rsidR="00292D01">
        <w:rPr>
          <w:szCs w:val="26"/>
        </w:rPr>
        <w:t xml:space="preserve">associated </w:t>
      </w:r>
      <w:r w:rsidRPr="006E05DF" w:rsidR="00382896">
        <w:rPr>
          <w:szCs w:val="26"/>
        </w:rPr>
        <w:t xml:space="preserve">with </w:t>
      </w:r>
      <w:r w:rsidRPr="00883750" w:rsidR="00382896">
        <w:rPr>
          <w:i/>
          <w:iCs/>
          <w:szCs w:val="26"/>
        </w:rPr>
        <w:t>Michael</w:t>
      </w:r>
      <w:r w:rsidRPr="006E05DF" w:rsidR="00F5295C">
        <w:rPr>
          <w:szCs w:val="26"/>
        </w:rPr>
        <w:t>.</w:t>
      </w:r>
      <w:r w:rsidRPr="006E05DF" w:rsidR="00382896">
        <w:rPr>
          <w:szCs w:val="26"/>
        </w:rPr>
        <w:t xml:space="preserve">  She sues as a consumer</w:t>
      </w:r>
      <w:r w:rsidRPr="006E05DF">
        <w:rPr>
          <w:szCs w:val="26"/>
        </w:rPr>
        <w:t xml:space="preserve">, not a </w:t>
      </w:r>
      <w:r w:rsidRPr="006E05DF" w:rsidR="004C317F">
        <w:rPr>
          <w:szCs w:val="26"/>
        </w:rPr>
        <w:t xml:space="preserve">purported </w:t>
      </w:r>
      <w:r w:rsidRPr="006E05DF">
        <w:rPr>
          <w:szCs w:val="26"/>
        </w:rPr>
        <w:t>rights holder</w:t>
      </w:r>
      <w:r w:rsidRPr="006E05DF" w:rsidR="001B10B7">
        <w:rPr>
          <w:szCs w:val="26"/>
        </w:rPr>
        <w:t xml:space="preserve"> claiming infringement</w:t>
      </w:r>
      <w:r w:rsidRPr="006E05DF">
        <w:rPr>
          <w:szCs w:val="26"/>
        </w:rPr>
        <w:t xml:space="preserve">.  </w:t>
      </w:r>
      <w:r w:rsidRPr="006E05DF" w:rsidR="001B10B7">
        <w:rPr>
          <w:szCs w:val="26"/>
        </w:rPr>
        <w:t>More than that</w:t>
      </w:r>
      <w:r w:rsidRPr="006E05DF">
        <w:rPr>
          <w:szCs w:val="26"/>
        </w:rPr>
        <w:t xml:space="preserve">, Serova’s claims do not depend on who owns such rights.  In fact, </w:t>
      </w:r>
      <w:r w:rsidRPr="006E05DF" w:rsidR="001D3062">
        <w:rPr>
          <w:szCs w:val="26"/>
        </w:rPr>
        <w:t xml:space="preserve">as Sony itself noted in its </w:t>
      </w:r>
      <w:r w:rsidRPr="006E05DF" w:rsidR="00B6376A">
        <w:rPr>
          <w:szCs w:val="26"/>
        </w:rPr>
        <w:t xml:space="preserve">answering </w:t>
      </w:r>
      <w:r w:rsidRPr="006E05DF" w:rsidR="001D3062">
        <w:rPr>
          <w:szCs w:val="26"/>
        </w:rPr>
        <w:t xml:space="preserve">brief, </w:t>
      </w:r>
      <w:r w:rsidRPr="006E05DF">
        <w:rPr>
          <w:szCs w:val="26"/>
        </w:rPr>
        <w:t>there appears to be no dispute</w:t>
      </w:r>
      <w:r w:rsidRPr="006E05DF" w:rsidR="001D3062">
        <w:rPr>
          <w:szCs w:val="26"/>
        </w:rPr>
        <w:t xml:space="preserve"> </w:t>
      </w:r>
      <w:r w:rsidRPr="006E05DF" w:rsidR="00DD4A4C">
        <w:rPr>
          <w:szCs w:val="26"/>
        </w:rPr>
        <w:t>in this lawsuit that</w:t>
      </w:r>
      <w:r w:rsidRPr="006E05DF">
        <w:rPr>
          <w:szCs w:val="26"/>
        </w:rPr>
        <w:t xml:space="preserve"> those rights belong to MJJ </w:t>
      </w:r>
      <w:r w:rsidR="00DB37D2">
        <w:rPr>
          <w:szCs w:val="26"/>
        </w:rPr>
        <w:t>P</w:t>
      </w:r>
      <w:r w:rsidRPr="006E05DF" w:rsidR="00DB37D2">
        <w:rPr>
          <w:szCs w:val="26"/>
        </w:rPr>
        <w:t>roductions</w:t>
      </w:r>
      <w:r w:rsidRPr="006E05DF" w:rsidR="00EE546E">
        <w:rPr>
          <w:szCs w:val="26"/>
        </w:rPr>
        <w:t>,</w:t>
      </w:r>
      <w:r w:rsidR="00A36736">
        <w:rPr>
          <w:szCs w:val="26"/>
        </w:rPr>
        <w:t xml:space="preserve"> Inc.,</w:t>
      </w:r>
      <w:r w:rsidRPr="006E05DF" w:rsidR="00EE546E">
        <w:rPr>
          <w:szCs w:val="26"/>
        </w:rPr>
        <w:t xml:space="preserve"> regardless of </w:t>
      </w:r>
      <w:r w:rsidRPr="006E05DF" w:rsidR="000C5C43">
        <w:rPr>
          <w:szCs w:val="26"/>
        </w:rPr>
        <w:t>who provided lead vocals for the Cascio tracks</w:t>
      </w:r>
      <w:r w:rsidRPr="006E05DF">
        <w:rPr>
          <w:szCs w:val="26"/>
        </w:rPr>
        <w:t xml:space="preserve">.  </w:t>
      </w:r>
      <w:r w:rsidRPr="006E05DF" w:rsidR="002256E6">
        <w:rPr>
          <w:szCs w:val="26"/>
        </w:rPr>
        <w:t xml:space="preserve">Finally, Serova is not seeking to enjoin reproduction </w:t>
      </w:r>
      <w:r w:rsidRPr="006E05DF" w:rsidR="002C7C97">
        <w:rPr>
          <w:szCs w:val="26"/>
        </w:rPr>
        <w:t>or distribution</w:t>
      </w:r>
      <w:r w:rsidRPr="006E05DF" w:rsidR="00B6376A">
        <w:rPr>
          <w:szCs w:val="26"/>
        </w:rPr>
        <w:t xml:space="preserve"> of </w:t>
      </w:r>
      <w:r w:rsidRPr="006E05DF" w:rsidR="00043935">
        <w:rPr>
          <w:szCs w:val="26"/>
        </w:rPr>
        <w:t xml:space="preserve">the </w:t>
      </w:r>
      <w:r w:rsidRPr="006E05DF" w:rsidR="008A1343">
        <w:rPr>
          <w:szCs w:val="26"/>
        </w:rPr>
        <w:t>sound recordings</w:t>
      </w:r>
      <w:r w:rsidRPr="006E05DF" w:rsidR="00043935">
        <w:rPr>
          <w:szCs w:val="26"/>
        </w:rPr>
        <w:t xml:space="preserve"> on </w:t>
      </w:r>
      <w:r w:rsidRPr="00883750" w:rsidR="00B6376A">
        <w:rPr>
          <w:i/>
          <w:iCs/>
          <w:szCs w:val="26"/>
        </w:rPr>
        <w:t>Michael</w:t>
      </w:r>
      <w:r w:rsidRPr="006E05DF" w:rsidR="002C7C97">
        <w:rPr>
          <w:szCs w:val="26"/>
        </w:rPr>
        <w:t xml:space="preserve">, but </w:t>
      </w:r>
      <w:r w:rsidRPr="006E05DF" w:rsidR="00E13F6E">
        <w:rPr>
          <w:szCs w:val="26"/>
        </w:rPr>
        <w:t xml:space="preserve">rather </w:t>
      </w:r>
      <w:r w:rsidRPr="006E05DF" w:rsidR="000C5C43">
        <w:rPr>
          <w:szCs w:val="26"/>
        </w:rPr>
        <w:t>contests</w:t>
      </w:r>
      <w:r w:rsidRPr="006E05DF" w:rsidR="00E13F6E">
        <w:rPr>
          <w:szCs w:val="26"/>
        </w:rPr>
        <w:t xml:space="preserve"> </w:t>
      </w:r>
      <w:r w:rsidRPr="006E05DF" w:rsidR="00043935">
        <w:rPr>
          <w:szCs w:val="26"/>
        </w:rPr>
        <w:t xml:space="preserve">the album’s </w:t>
      </w:r>
      <w:r w:rsidRPr="006E05DF" w:rsidR="002C7C97">
        <w:rPr>
          <w:szCs w:val="26"/>
        </w:rPr>
        <w:t>market</w:t>
      </w:r>
      <w:r w:rsidRPr="006E05DF" w:rsidR="00E13F6E">
        <w:rPr>
          <w:szCs w:val="26"/>
        </w:rPr>
        <w:t>ing</w:t>
      </w:r>
      <w:r w:rsidRPr="006E05DF" w:rsidR="00B6755A">
        <w:rPr>
          <w:szCs w:val="26"/>
        </w:rPr>
        <w:t xml:space="preserve"> claims</w:t>
      </w:r>
      <w:r w:rsidRPr="006E05DF" w:rsidR="002C7C97">
        <w:rPr>
          <w:szCs w:val="26"/>
        </w:rPr>
        <w:t xml:space="preserve">.  </w:t>
      </w:r>
      <w:r w:rsidRPr="006E05DF" w:rsidR="00896A7D">
        <w:rPr>
          <w:szCs w:val="26"/>
        </w:rPr>
        <w:t xml:space="preserve">(See </w:t>
      </w:r>
      <w:r w:rsidRPr="006E05DF" w:rsidR="00896A7D">
        <w:rPr>
          <w:i/>
          <w:iCs/>
          <w:szCs w:val="26"/>
        </w:rPr>
        <w:t>Sybersound Records, Inc. v. UAV Corp.</w:t>
      </w:r>
      <w:r w:rsidRPr="006E05DF" w:rsidR="00896A7D">
        <w:rPr>
          <w:szCs w:val="26"/>
        </w:rPr>
        <w:t xml:space="preserve"> (9th Cir. 2008) 517 F.3d 1137, 1152 [a UCL claim insofar as it was “based on copyright infringement” was preempted, but </w:t>
      </w:r>
      <w:r w:rsidRPr="006E05DF" w:rsidR="001B10B7">
        <w:rPr>
          <w:szCs w:val="26"/>
        </w:rPr>
        <w:t>a UCL</w:t>
      </w:r>
      <w:r w:rsidRPr="006E05DF" w:rsidR="00896A7D">
        <w:rPr>
          <w:szCs w:val="26"/>
        </w:rPr>
        <w:t xml:space="preserve"> </w:t>
      </w:r>
      <w:r w:rsidRPr="006E05DF" w:rsidR="001B10B7">
        <w:rPr>
          <w:szCs w:val="26"/>
        </w:rPr>
        <w:t xml:space="preserve">claim </w:t>
      </w:r>
      <w:r w:rsidRPr="006E05DF" w:rsidR="00896A7D">
        <w:rPr>
          <w:szCs w:val="26"/>
        </w:rPr>
        <w:t>based on “alleged misrepresentations”</w:t>
      </w:r>
      <w:r w:rsidRPr="006E05DF" w:rsidR="001B10B7">
        <w:rPr>
          <w:szCs w:val="26"/>
        </w:rPr>
        <w:t xml:space="preserve"> remained</w:t>
      </w:r>
      <w:r w:rsidRPr="006E05DF" w:rsidR="00896A7D">
        <w:rPr>
          <w:szCs w:val="26"/>
        </w:rPr>
        <w:t xml:space="preserve">].)  </w:t>
      </w:r>
      <w:r w:rsidRPr="006E05DF" w:rsidR="00B569F4">
        <w:rPr>
          <w:szCs w:val="26"/>
        </w:rPr>
        <w:t>Federal copyright law</w:t>
      </w:r>
      <w:r w:rsidRPr="006E05DF" w:rsidR="00111A3F">
        <w:rPr>
          <w:szCs w:val="26"/>
        </w:rPr>
        <w:t xml:space="preserve">, then, </w:t>
      </w:r>
      <w:r w:rsidRPr="006E05DF" w:rsidR="00B569F4">
        <w:rPr>
          <w:szCs w:val="26"/>
        </w:rPr>
        <w:t xml:space="preserve">and </w:t>
      </w:r>
      <w:r w:rsidRPr="006E05DF" w:rsidR="001D3062">
        <w:rPr>
          <w:szCs w:val="26"/>
        </w:rPr>
        <w:t xml:space="preserve">Serova’s </w:t>
      </w:r>
      <w:r w:rsidRPr="006E05DF" w:rsidR="007C7526">
        <w:rPr>
          <w:szCs w:val="26"/>
        </w:rPr>
        <w:t xml:space="preserve">consumer deception </w:t>
      </w:r>
      <w:r w:rsidRPr="006E05DF" w:rsidR="001D3062">
        <w:rPr>
          <w:szCs w:val="26"/>
        </w:rPr>
        <w:t>claims</w:t>
      </w:r>
      <w:r w:rsidR="00437868">
        <w:rPr>
          <w:szCs w:val="26"/>
        </w:rPr>
        <w:t> </w:t>
      </w:r>
      <w:r w:rsidRPr="006E05DF" w:rsidR="000C5C43">
        <w:rPr>
          <w:szCs w:val="26"/>
        </w:rPr>
        <w:t xml:space="preserve">— </w:t>
      </w:r>
      <w:r w:rsidRPr="006E05DF" w:rsidR="009813A2">
        <w:rPr>
          <w:szCs w:val="26"/>
        </w:rPr>
        <w:t xml:space="preserve">at least </w:t>
      </w:r>
      <w:r w:rsidRPr="006E05DF" w:rsidR="00175C55">
        <w:rPr>
          <w:szCs w:val="26"/>
        </w:rPr>
        <w:t xml:space="preserve">as </w:t>
      </w:r>
      <w:r w:rsidRPr="006E05DF" w:rsidR="009813A2">
        <w:rPr>
          <w:szCs w:val="26"/>
        </w:rPr>
        <w:t xml:space="preserve">they </w:t>
      </w:r>
      <w:r w:rsidRPr="006E05DF" w:rsidR="00175C55">
        <w:rPr>
          <w:szCs w:val="26"/>
        </w:rPr>
        <w:t xml:space="preserve">have taken shape </w:t>
      </w:r>
      <w:r w:rsidR="001D2A47">
        <w:rPr>
          <w:szCs w:val="26"/>
        </w:rPr>
        <w:t>here</w:t>
      </w:r>
      <w:r w:rsidRPr="006E05DF" w:rsidR="00B6755A">
        <w:rPr>
          <w:szCs w:val="26"/>
        </w:rPr>
        <w:t xml:space="preserve"> </w:t>
      </w:r>
      <w:r w:rsidRPr="006E05DF" w:rsidR="00175C55">
        <w:rPr>
          <w:szCs w:val="26"/>
        </w:rPr>
        <w:t xml:space="preserve">on </w:t>
      </w:r>
      <w:r w:rsidRPr="006E05DF" w:rsidR="009813A2">
        <w:rPr>
          <w:szCs w:val="26"/>
        </w:rPr>
        <w:t>Sony’s anti-SLAPP motion</w:t>
      </w:r>
      <w:r w:rsidR="007C10FC">
        <w:rPr>
          <w:szCs w:val="26"/>
        </w:rPr>
        <w:t> </w:t>
      </w:r>
      <w:r w:rsidRPr="006E05DF" w:rsidR="000C5C43">
        <w:rPr>
          <w:szCs w:val="26"/>
        </w:rPr>
        <w:t xml:space="preserve">— </w:t>
      </w:r>
      <w:r w:rsidRPr="006E05DF" w:rsidR="001D3062">
        <w:rPr>
          <w:szCs w:val="26"/>
        </w:rPr>
        <w:t>can coexist</w:t>
      </w:r>
      <w:r w:rsidRPr="006E05DF" w:rsidR="009D11C7">
        <w:rPr>
          <w:szCs w:val="26"/>
        </w:rPr>
        <w:t xml:space="preserve"> harmoniously</w:t>
      </w:r>
      <w:r w:rsidRPr="006E05DF" w:rsidR="004E0CFB">
        <w:rPr>
          <w:szCs w:val="26"/>
        </w:rPr>
        <w:t>.</w:t>
      </w:r>
    </w:p>
    <w:p w:rsidR="00BA39FF" w:rsidRPr="006E05DF" w:rsidP="00762B24">
      <w:pPr>
        <w:jc w:val="center"/>
        <w:outlineLvl w:val="0"/>
        <w:rPr>
          <w:b/>
          <w:bCs/>
          <w:szCs w:val="26"/>
        </w:rPr>
      </w:pPr>
      <w:r w:rsidRPr="00967AA4">
        <w:rPr>
          <w:b/>
          <w:bCs/>
        </w:rPr>
        <w:t>I</w:t>
      </w:r>
      <w:r w:rsidRPr="006E05DF" w:rsidR="001B4D26">
        <w:rPr>
          <w:b/>
          <w:bCs/>
          <w:szCs w:val="26"/>
        </w:rPr>
        <w:t xml:space="preserve">V.  </w:t>
      </w:r>
      <w:r w:rsidRPr="006E05DF">
        <w:rPr>
          <w:b/>
          <w:bCs/>
          <w:szCs w:val="26"/>
        </w:rPr>
        <w:t>CONCLUSION</w:t>
      </w:r>
    </w:p>
    <w:p w:rsidR="002B337C" w:rsidRPr="006E05DF" w:rsidP="00314A1F">
      <w:pPr>
        <w:rPr>
          <w:szCs w:val="26"/>
        </w:rPr>
      </w:pPr>
      <w:r w:rsidRPr="006E05DF">
        <w:rPr>
          <w:szCs w:val="26"/>
        </w:rPr>
        <w:tab/>
      </w:r>
      <w:r w:rsidRPr="006E05DF" w:rsidR="008E6E9D">
        <w:rPr>
          <w:szCs w:val="26"/>
        </w:rPr>
        <w:t>Serova has sufficiently demonstrated</w:t>
      </w:r>
      <w:r w:rsidR="00581A2C">
        <w:rPr>
          <w:szCs w:val="26"/>
        </w:rPr>
        <w:t xml:space="preserve">, </w:t>
      </w:r>
      <w:r w:rsidR="00CB6A38">
        <w:rPr>
          <w:szCs w:val="26"/>
        </w:rPr>
        <w:t>for purposes of the anti-SLAPP proceedings before</w:t>
      </w:r>
      <w:r w:rsidR="000A61B0">
        <w:rPr>
          <w:szCs w:val="26"/>
        </w:rPr>
        <w:t xml:space="preserve"> us</w:t>
      </w:r>
      <w:r w:rsidR="00581A2C">
        <w:rPr>
          <w:szCs w:val="26"/>
        </w:rPr>
        <w:t>,</w:t>
      </w:r>
      <w:r w:rsidR="007E3691">
        <w:rPr>
          <w:szCs w:val="26"/>
        </w:rPr>
        <w:t xml:space="preserve"> </w:t>
      </w:r>
      <w:r w:rsidRPr="006E05DF" w:rsidR="008E6E9D">
        <w:rPr>
          <w:szCs w:val="26"/>
        </w:rPr>
        <w:t xml:space="preserve">that her </w:t>
      </w:r>
      <w:r w:rsidRPr="006E05DF" w:rsidR="00881E06">
        <w:rPr>
          <w:szCs w:val="26"/>
        </w:rPr>
        <w:t>C</w:t>
      </w:r>
      <w:r w:rsidR="000F7D8B">
        <w:rPr>
          <w:szCs w:val="26"/>
        </w:rPr>
        <w:t>LR</w:t>
      </w:r>
      <w:r w:rsidRPr="006E05DF" w:rsidR="00881E06">
        <w:rPr>
          <w:szCs w:val="26"/>
        </w:rPr>
        <w:t xml:space="preserve">A and UCL </w:t>
      </w:r>
      <w:r w:rsidRPr="006E05DF" w:rsidR="008E6E9D">
        <w:rPr>
          <w:szCs w:val="26"/>
        </w:rPr>
        <w:t xml:space="preserve">claims </w:t>
      </w:r>
      <w:r w:rsidRPr="006E05DF" w:rsidR="00881E06">
        <w:rPr>
          <w:szCs w:val="26"/>
        </w:rPr>
        <w:t xml:space="preserve">related to </w:t>
      </w:r>
      <w:r w:rsidRPr="00883750" w:rsidR="00881E06">
        <w:rPr>
          <w:i/>
          <w:iCs/>
          <w:szCs w:val="26"/>
        </w:rPr>
        <w:t>Michael</w:t>
      </w:r>
      <w:r w:rsidRPr="0002032C" w:rsidR="00881E06">
        <w:rPr>
          <w:szCs w:val="26"/>
        </w:rPr>
        <w:t xml:space="preserve">’s </w:t>
      </w:r>
      <w:r w:rsidRPr="006E05DF" w:rsidR="00FE06A8">
        <w:rPr>
          <w:szCs w:val="26"/>
        </w:rPr>
        <w:t>packaging</w:t>
      </w:r>
      <w:r w:rsidRPr="006E05DF" w:rsidR="00881E06">
        <w:rPr>
          <w:szCs w:val="26"/>
        </w:rPr>
        <w:t xml:space="preserve"> and promotional </w:t>
      </w:r>
      <w:r w:rsidR="00BE2611">
        <w:rPr>
          <w:szCs w:val="26"/>
        </w:rPr>
        <w:t xml:space="preserve">video </w:t>
      </w:r>
      <w:r w:rsidR="00581A2C">
        <w:rPr>
          <w:szCs w:val="26"/>
        </w:rPr>
        <w:t>have sufficient merit</w:t>
      </w:r>
      <w:r w:rsidRPr="006E05DF" w:rsidR="008E6E9D">
        <w:rPr>
          <w:szCs w:val="26"/>
        </w:rPr>
        <w:t xml:space="preserve">.  </w:t>
      </w:r>
      <w:r w:rsidRPr="006E05DF" w:rsidR="00907C98">
        <w:rPr>
          <w:szCs w:val="26"/>
        </w:rPr>
        <w:t xml:space="preserve">Perhaps in another context </w:t>
      </w:r>
      <w:r w:rsidRPr="006E05DF" w:rsidR="00D42DA8">
        <w:rPr>
          <w:szCs w:val="26"/>
        </w:rPr>
        <w:t xml:space="preserve">the First Amendment </w:t>
      </w:r>
      <w:r w:rsidRPr="006E05DF" w:rsidR="00557093">
        <w:rPr>
          <w:szCs w:val="26"/>
        </w:rPr>
        <w:t>w</w:t>
      </w:r>
      <w:r w:rsidRPr="006E05DF" w:rsidR="00D42DA8">
        <w:rPr>
          <w:szCs w:val="26"/>
        </w:rPr>
        <w:t>ould limit the reach of our consumer protection laws,</w:t>
      </w:r>
      <w:r w:rsidRPr="006E05DF" w:rsidR="0014685C">
        <w:rPr>
          <w:szCs w:val="26"/>
        </w:rPr>
        <w:t xml:space="preserve"> </w:t>
      </w:r>
      <w:r w:rsidRPr="006E05DF" w:rsidR="00D42DA8">
        <w:rPr>
          <w:szCs w:val="26"/>
        </w:rPr>
        <w:t xml:space="preserve">but </w:t>
      </w:r>
      <w:r w:rsidRPr="006E05DF" w:rsidR="007634E4">
        <w:rPr>
          <w:szCs w:val="26"/>
        </w:rPr>
        <w:t xml:space="preserve">Sony’s </w:t>
      </w:r>
      <w:r w:rsidRPr="006E05DF" w:rsidR="00FE06A8">
        <w:rPr>
          <w:szCs w:val="26"/>
        </w:rPr>
        <w:t>album</w:t>
      </w:r>
      <w:r w:rsidR="0002032C">
        <w:rPr>
          <w:szCs w:val="26"/>
        </w:rPr>
        <w:t>-</w:t>
      </w:r>
      <w:r w:rsidRPr="006E05DF" w:rsidR="00FE06A8">
        <w:rPr>
          <w:szCs w:val="26"/>
        </w:rPr>
        <w:t>back promise and video are</w:t>
      </w:r>
      <w:r w:rsidRPr="006E05DF" w:rsidR="00D63B3F">
        <w:rPr>
          <w:szCs w:val="26"/>
        </w:rPr>
        <w:t xml:space="preserve"> </w:t>
      </w:r>
      <w:r w:rsidRPr="006E05DF" w:rsidR="007634E4">
        <w:rPr>
          <w:szCs w:val="26"/>
        </w:rPr>
        <w:t>commercial advertising making claims about a product</w:t>
      </w:r>
      <w:r w:rsidR="00A15998">
        <w:rPr>
          <w:szCs w:val="26"/>
        </w:rPr>
        <w:t>,</w:t>
      </w:r>
      <w:r w:rsidRPr="006E05DF" w:rsidR="00881E06">
        <w:rPr>
          <w:szCs w:val="26"/>
        </w:rPr>
        <w:t xml:space="preserve"> and</w:t>
      </w:r>
      <w:r w:rsidRPr="006E05DF" w:rsidR="00D42DA8">
        <w:rPr>
          <w:szCs w:val="26"/>
        </w:rPr>
        <w:t xml:space="preserve"> </w:t>
      </w:r>
      <w:r w:rsidR="00F46868">
        <w:rPr>
          <w:szCs w:val="26"/>
        </w:rPr>
        <w:t xml:space="preserve">we will not place them beyond the reach of </w:t>
      </w:r>
      <w:r w:rsidRPr="006E05DF" w:rsidR="00907C98">
        <w:rPr>
          <w:szCs w:val="26"/>
        </w:rPr>
        <w:t xml:space="preserve">state </w:t>
      </w:r>
      <w:r w:rsidRPr="006E05DF" w:rsidR="00D42DA8">
        <w:rPr>
          <w:szCs w:val="26"/>
        </w:rPr>
        <w:t>regulation</w:t>
      </w:r>
      <w:r w:rsidRPr="006E05DF" w:rsidR="00881E06">
        <w:rPr>
          <w:szCs w:val="26"/>
        </w:rPr>
        <w:t xml:space="preserve">.  </w:t>
      </w:r>
      <w:r w:rsidRPr="006E05DF" w:rsidR="00907C98">
        <w:rPr>
          <w:szCs w:val="26"/>
        </w:rPr>
        <w:t>W</w:t>
      </w:r>
      <w:r w:rsidRPr="006E05DF" w:rsidR="007634E4">
        <w:rPr>
          <w:szCs w:val="26"/>
        </w:rPr>
        <w:t xml:space="preserve">e </w:t>
      </w:r>
      <w:r w:rsidRPr="006E05DF" w:rsidR="00907C98">
        <w:rPr>
          <w:szCs w:val="26"/>
        </w:rPr>
        <w:t xml:space="preserve">therefore </w:t>
      </w:r>
      <w:r w:rsidRPr="006E05DF" w:rsidR="007634E4">
        <w:rPr>
          <w:szCs w:val="26"/>
        </w:rPr>
        <w:t xml:space="preserve">reverse the </w:t>
      </w:r>
      <w:r w:rsidRPr="006E05DF" w:rsidR="00B309F2">
        <w:rPr>
          <w:szCs w:val="26"/>
        </w:rPr>
        <w:t xml:space="preserve">judgment </w:t>
      </w:r>
      <w:r w:rsidRPr="006E05DF" w:rsidR="007634E4">
        <w:rPr>
          <w:szCs w:val="26"/>
        </w:rPr>
        <w:t xml:space="preserve">of the Court of Appeal </w:t>
      </w:r>
      <w:r w:rsidRPr="006E05DF">
        <w:rPr>
          <w:szCs w:val="26"/>
        </w:rPr>
        <w:t xml:space="preserve">insofar as it ordered </w:t>
      </w:r>
      <w:r w:rsidRPr="006E05DF" w:rsidR="009C4F34">
        <w:rPr>
          <w:szCs w:val="26"/>
        </w:rPr>
        <w:t>struck</w:t>
      </w:r>
      <w:r w:rsidR="00C05F41">
        <w:rPr>
          <w:szCs w:val="26"/>
        </w:rPr>
        <w:t>, per the anti-SLAPP statute,</w:t>
      </w:r>
      <w:r w:rsidRPr="006E05DF" w:rsidR="009C4F34">
        <w:rPr>
          <w:szCs w:val="26"/>
        </w:rPr>
        <w:t xml:space="preserve"> </w:t>
      </w:r>
      <w:r w:rsidRPr="006E05DF" w:rsidR="00881E06">
        <w:rPr>
          <w:szCs w:val="26"/>
        </w:rPr>
        <w:t xml:space="preserve">those claims of </w:t>
      </w:r>
      <w:r w:rsidRPr="006E05DF">
        <w:rPr>
          <w:szCs w:val="26"/>
        </w:rPr>
        <w:t>Serova against Sony</w:t>
      </w:r>
      <w:r w:rsidRPr="006E05DF" w:rsidR="00E64505">
        <w:rPr>
          <w:szCs w:val="26"/>
        </w:rPr>
        <w:t xml:space="preserve"> that remained after the trial court’s order</w:t>
      </w:r>
      <w:r w:rsidRPr="006E05DF" w:rsidR="00B309F2">
        <w:rPr>
          <w:szCs w:val="26"/>
        </w:rPr>
        <w:t xml:space="preserve">, and </w:t>
      </w:r>
      <w:r w:rsidRPr="006E05DF" w:rsidR="00D97CD0">
        <w:rPr>
          <w:szCs w:val="26"/>
        </w:rPr>
        <w:t xml:space="preserve">we </w:t>
      </w:r>
      <w:r w:rsidRPr="006E05DF">
        <w:rPr>
          <w:szCs w:val="26"/>
        </w:rPr>
        <w:t>remand for further proceedings</w:t>
      </w:r>
      <w:r w:rsidRPr="006E05DF" w:rsidR="00B309F2">
        <w:rPr>
          <w:szCs w:val="26"/>
        </w:rPr>
        <w:t xml:space="preserve"> consistent with this opinion</w:t>
      </w:r>
      <w:r w:rsidR="001D2A47">
        <w:rPr>
          <w:szCs w:val="26"/>
        </w:rPr>
        <w:t>, including any dismissal proceedings contemplated by the parties’ settlement agreement.</w:t>
      </w:r>
    </w:p>
    <w:p w:rsidR="00763425" w:rsidRPr="006E05DF" w:rsidP="00B161D4">
      <w:pPr>
        <w:spacing w:before="240"/>
        <w:ind w:left="5040"/>
        <w:rPr>
          <w:b/>
          <w:bCs/>
          <w:color w:val="212121"/>
          <w:szCs w:val="26"/>
        </w:rPr>
      </w:pPr>
      <w:r w:rsidRPr="006E05DF">
        <w:rPr>
          <w:b/>
          <w:bCs/>
          <w:color w:val="212121"/>
          <w:szCs w:val="26"/>
        </w:rPr>
        <w:t>JENKINS, J.</w:t>
      </w:r>
    </w:p>
    <w:p w:rsidR="00B161D4" w:rsidP="00B161D4">
      <w:pPr>
        <w:tabs>
          <w:tab w:val="left" w:pos="1440"/>
        </w:tabs>
        <w:rPr>
          <w:b/>
          <w:bCs/>
        </w:rPr>
      </w:pPr>
      <w:r w:rsidRPr="00DA7ADF">
        <w:rPr>
          <w:b/>
          <w:bCs/>
        </w:rPr>
        <w:t>We Concur:</w:t>
      </w:r>
    </w:p>
    <w:p w:rsidR="00B161D4" w:rsidP="00B161D4">
      <w:pPr>
        <w:tabs>
          <w:tab w:val="left" w:pos="1440"/>
        </w:tabs>
        <w:spacing w:after="0" w:line="240" w:lineRule="auto"/>
        <w:rPr>
          <w:b/>
          <w:bCs/>
        </w:rPr>
      </w:pPr>
      <w:r>
        <w:rPr>
          <w:b/>
          <w:bCs/>
        </w:rPr>
        <w:t>CANTIL-SAKAUYE, C.</w:t>
      </w:r>
      <w:r w:rsidR="00D13D02">
        <w:rPr>
          <w:b/>
          <w:bCs/>
        </w:rPr>
        <w:t> </w:t>
      </w:r>
      <w:r>
        <w:rPr>
          <w:b/>
          <w:bCs/>
        </w:rPr>
        <w:t>J.</w:t>
      </w:r>
    </w:p>
    <w:p w:rsidR="00B161D4" w:rsidP="00B161D4">
      <w:pPr>
        <w:tabs>
          <w:tab w:val="left" w:pos="1440"/>
        </w:tabs>
        <w:spacing w:after="0" w:line="240" w:lineRule="auto"/>
        <w:rPr>
          <w:b/>
          <w:bCs/>
        </w:rPr>
      </w:pPr>
      <w:r>
        <w:rPr>
          <w:b/>
          <w:bCs/>
        </w:rPr>
        <w:t>CORRIGAN, J.</w:t>
      </w:r>
    </w:p>
    <w:p w:rsidR="00B161D4" w:rsidP="00B161D4">
      <w:pPr>
        <w:tabs>
          <w:tab w:val="left" w:pos="1440"/>
        </w:tabs>
        <w:spacing w:after="0" w:line="240" w:lineRule="auto"/>
        <w:rPr>
          <w:b/>
          <w:bCs/>
        </w:rPr>
      </w:pPr>
      <w:r>
        <w:rPr>
          <w:b/>
          <w:bCs/>
        </w:rPr>
        <w:t>LIU, J.</w:t>
      </w:r>
    </w:p>
    <w:p w:rsidR="00B161D4" w:rsidP="00B161D4">
      <w:pPr>
        <w:tabs>
          <w:tab w:val="left" w:pos="1440"/>
        </w:tabs>
        <w:spacing w:after="0" w:line="240" w:lineRule="auto"/>
        <w:rPr>
          <w:b/>
          <w:bCs/>
        </w:rPr>
      </w:pPr>
      <w:r>
        <w:rPr>
          <w:b/>
          <w:bCs/>
        </w:rPr>
        <w:t>KRUGER, J.</w:t>
      </w:r>
    </w:p>
    <w:p w:rsidR="00B161D4" w:rsidP="00B161D4">
      <w:pPr>
        <w:tabs>
          <w:tab w:val="left" w:pos="1440"/>
        </w:tabs>
        <w:spacing w:after="0" w:line="240" w:lineRule="auto"/>
        <w:rPr>
          <w:b/>
          <w:bCs/>
        </w:rPr>
      </w:pPr>
      <w:r>
        <w:rPr>
          <w:b/>
          <w:bCs/>
        </w:rPr>
        <w:t>GROBAN, J.</w:t>
      </w:r>
    </w:p>
    <w:p w:rsidR="00B161D4" w:rsidP="00B161D4">
      <w:pPr>
        <w:tabs>
          <w:tab w:val="left" w:pos="1440"/>
        </w:tabs>
        <w:spacing w:after="0" w:line="240" w:lineRule="auto"/>
        <w:rPr>
          <w:b/>
          <w:bCs/>
        </w:rPr>
      </w:pPr>
      <w:r>
        <w:rPr>
          <w:b/>
          <w:bCs/>
        </w:rPr>
        <w:t>GUERRERO, J.</w:t>
      </w:r>
    </w:p>
    <w:p w:rsidR="009D2A90" w:rsidP="00B161D4">
      <w:pPr>
        <w:tabs>
          <w:tab w:val="left" w:pos="1440"/>
        </w:tabs>
        <w:spacing w:after="0" w:line="240" w:lineRule="auto"/>
        <w:rPr>
          <w:b/>
          <w:bCs/>
        </w:rPr>
        <w:sectPr w:rsidSect="00314A1F">
          <w:footerReference w:type="first" r:id="rId11"/>
          <w:pgSz w:w="12240" w:h="15840"/>
          <w:pgMar w:top="1800" w:right="2160" w:bottom="1440" w:left="2160" w:header="720" w:footer="720" w:gutter="0"/>
          <w:pgNumType w:start="1"/>
          <w:cols w:space="720"/>
          <w:titlePg/>
          <w:docGrid w:linePitch="367"/>
        </w:sectPr>
      </w:pPr>
    </w:p>
    <w:p w:rsidR="009D2A90" w:rsidRPr="009D2A90" w:rsidP="009D2A90">
      <w:pPr>
        <w:spacing w:after="0" w:line="240" w:lineRule="auto"/>
        <w:jc w:val="left"/>
        <w:rPr>
          <w:i/>
          <w:sz w:val="24"/>
          <w:szCs w:val="24"/>
        </w:rPr>
      </w:pPr>
      <w:r w:rsidRPr="009D2A90">
        <w:rPr>
          <w:i/>
          <w:sz w:val="24"/>
          <w:szCs w:val="24"/>
        </w:rPr>
        <w:t>See next page for addresses and telephone numbers for counsel who argued in Supreme Court.</w:t>
      </w:r>
    </w:p>
    <w:p w:rsidR="009D2A90" w:rsidRPr="009D2A90" w:rsidP="009D2A90">
      <w:pPr>
        <w:spacing w:after="0" w:line="240" w:lineRule="auto"/>
        <w:jc w:val="left"/>
        <w:rPr>
          <w:i/>
          <w:sz w:val="24"/>
          <w:szCs w:val="24"/>
        </w:rPr>
      </w:pPr>
    </w:p>
    <w:p w:rsidR="009D2A90" w:rsidRPr="009D2A90" w:rsidP="009D2A90">
      <w:pPr>
        <w:spacing w:after="0" w:line="240" w:lineRule="auto"/>
        <w:jc w:val="left"/>
        <w:rPr>
          <w:bCs/>
          <w:sz w:val="24"/>
          <w:szCs w:val="24"/>
        </w:rPr>
      </w:pPr>
      <w:r w:rsidRPr="009D2A90">
        <w:rPr>
          <w:b/>
          <w:sz w:val="24"/>
          <w:szCs w:val="24"/>
        </w:rPr>
        <w:t xml:space="preserve">Name of Opinion  </w:t>
      </w:r>
      <w:r w:rsidRPr="009D2A90">
        <w:rPr>
          <w:bCs/>
          <w:sz w:val="24"/>
          <w:szCs w:val="24"/>
        </w:rPr>
        <w:t>Serova v. Sony Music Entertainment</w:t>
      </w:r>
    </w:p>
    <w:p w:rsidR="009D2A90" w:rsidRPr="009D2A90" w:rsidP="009D2A90">
      <w:pPr>
        <w:spacing w:after="0" w:line="240" w:lineRule="auto"/>
        <w:jc w:val="left"/>
        <w:rPr>
          <w:b/>
          <w:sz w:val="24"/>
          <w:szCs w:val="24"/>
        </w:rPr>
      </w:pPr>
      <w:r w:rsidRPr="009D2A90">
        <w:rPr>
          <w:b/>
          <w:sz w:val="24"/>
          <w:szCs w:val="24"/>
        </w:rPr>
        <w:t xml:space="preserve">__________________________________________________________ </w:t>
      </w:r>
    </w:p>
    <w:p w:rsidR="009D2A90" w:rsidRPr="009D2A90" w:rsidP="009D2A90">
      <w:pPr>
        <w:spacing w:after="0" w:line="240" w:lineRule="auto"/>
        <w:jc w:val="left"/>
        <w:rPr>
          <w:b/>
          <w:sz w:val="24"/>
          <w:szCs w:val="24"/>
        </w:rPr>
      </w:pPr>
    </w:p>
    <w:p w:rsidR="009D2A90" w:rsidRPr="009D2A90" w:rsidP="009D2A90">
      <w:pPr>
        <w:spacing w:after="0" w:line="240" w:lineRule="auto"/>
        <w:jc w:val="left"/>
        <w:rPr>
          <w:sz w:val="24"/>
          <w:szCs w:val="24"/>
        </w:rPr>
      </w:pPr>
      <w:r w:rsidRPr="009D2A90">
        <w:rPr>
          <w:b/>
          <w:bCs/>
          <w:sz w:val="24"/>
          <w:szCs w:val="24"/>
          <w:u w:val="single"/>
        </w:rPr>
        <w:t>Procedural Posture</w:t>
      </w:r>
      <w:r w:rsidRPr="009D2A90">
        <w:rPr>
          <w:b/>
          <w:bCs/>
          <w:sz w:val="24"/>
          <w:szCs w:val="24"/>
        </w:rPr>
        <w:t xml:space="preserve"> </w:t>
      </w:r>
      <w:r w:rsidRPr="009D2A90">
        <w:rPr>
          <w:sz w:val="24"/>
          <w:szCs w:val="24"/>
        </w:rPr>
        <w:t>(see XX below)</w:t>
      </w:r>
    </w:p>
    <w:p w:rsidR="009D2A90" w:rsidRPr="009D2A90" w:rsidP="009D2A90">
      <w:pPr>
        <w:spacing w:after="0" w:line="240" w:lineRule="auto"/>
        <w:jc w:val="left"/>
        <w:rPr>
          <w:sz w:val="24"/>
          <w:szCs w:val="24"/>
        </w:rPr>
      </w:pPr>
      <w:r w:rsidRPr="009D2A90">
        <w:rPr>
          <w:b/>
          <w:bCs/>
          <w:sz w:val="24"/>
          <w:szCs w:val="24"/>
        </w:rPr>
        <w:t>Original Appeal</w:t>
      </w:r>
      <w:r w:rsidRPr="009D2A90">
        <w:rPr>
          <w:sz w:val="24"/>
          <w:szCs w:val="24"/>
        </w:rPr>
        <w:t xml:space="preserve"> </w:t>
      </w:r>
    </w:p>
    <w:p w:rsidR="009D2A90" w:rsidRPr="009D2A90" w:rsidP="009D2A90">
      <w:pPr>
        <w:spacing w:after="0" w:line="240" w:lineRule="auto"/>
        <w:jc w:val="left"/>
        <w:rPr>
          <w:b/>
          <w:bCs/>
          <w:sz w:val="24"/>
          <w:szCs w:val="24"/>
        </w:rPr>
      </w:pPr>
      <w:r w:rsidRPr="009D2A90">
        <w:rPr>
          <w:b/>
          <w:bCs/>
          <w:sz w:val="24"/>
          <w:szCs w:val="24"/>
        </w:rPr>
        <w:t>Original Proceeding</w:t>
      </w:r>
    </w:p>
    <w:p w:rsidR="009D2A90" w:rsidRPr="009D2A90" w:rsidP="009D2A90">
      <w:pPr>
        <w:spacing w:after="0" w:line="240" w:lineRule="auto"/>
        <w:jc w:val="left"/>
        <w:rPr>
          <w:sz w:val="24"/>
          <w:szCs w:val="24"/>
        </w:rPr>
      </w:pPr>
      <w:r w:rsidRPr="009D2A90">
        <w:rPr>
          <w:b/>
          <w:bCs/>
          <w:sz w:val="24"/>
          <w:szCs w:val="24"/>
        </w:rPr>
        <w:t>Review Granted</w:t>
      </w:r>
      <w:r w:rsidRPr="009D2A90">
        <w:rPr>
          <w:sz w:val="24"/>
          <w:szCs w:val="24"/>
        </w:rPr>
        <w:t xml:space="preserve"> </w:t>
      </w:r>
      <w:r w:rsidRPr="009D2A90">
        <w:rPr>
          <w:b/>
          <w:bCs/>
          <w:sz w:val="24"/>
          <w:szCs w:val="24"/>
        </w:rPr>
        <w:t xml:space="preserve">(published) </w:t>
      </w:r>
      <w:r w:rsidRPr="009D2A90">
        <w:rPr>
          <w:sz w:val="24"/>
          <w:szCs w:val="24"/>
        </w:rPr>
        <w:t>XX 44 Cal.App.5th 103</w:t>
      </w:r>
    </w:p>
    <w:p w:rsidR="009D2A90" w:rsidRPr="009D2A90" w:rsidP="009D2A90">
      <w:pPr>
        <w:spacing w:after="0" w:line="240" w:lineRule="auto"/>
        <w:jc w:val="left"/>
        <w:rPr>
          <w:sz w:val="24"/>
          <w:szCs w:val="24"/>
        </w:rPr>
      </w:pPr>
      <w:r w:rsidRPr="009D2A90">
        <w:rPr>
          <w:b/>
          <w:bCs/>
          <w:sz w:val="24"/>
          <w:szCs w:val="24"/>
        </w:rPr>
        <w:t xml:space="preserve">Review Granted (unpublished) </w:t>
      </w:r>
    </w:p>
    <w:p w:rsidR="009D2A90" w:rsidRPr="009D2A90" w:rsidP="009D2A90">
      <w:pPr>
        <w:spacing w:after="0" w:line="240" w:lineRule="auto"/>
        <w:jc w:val="left"/>
        <w:rPr>
          <w:b/>
          <w:bCs/>
          <w:sz w:val="24"/>
          <w:szCs w:val="24"/>
        </w:rPr>
      </w:pPr>
      <w:r w:rsidRPr="009D2A90">
        <w:rPr>
          <w:b/>
          <w:bCs/>
          <w:sz w:val="24"/>
          <w:szCs w:val="24"/>
        </w:rPr>
        <w:t>Rehearing Granted</w:t>
      </w:r>
    </w:p>
    <w:p w:rsidR="009D2A90" w:rsidRPr="009D2A90" w:rsidP="009D2A90">
      <w:pPr>
        <w:spacing w:after="0" w:line="240" w:lineRule="auto"/>
        <w:jc w:val="left"/>
        <w:rPr>
          <w:b/>
          <w:sz w:val="24"/>
          <w:szCs w:val="24"/>
        </w:rPr>
      </w:pPr>
      <w:r w:rsidRPr="009D2A90">
        <w:rPr>
          <w:b/>
          <w:sz w:val="24"/>
          <w:szCs w:val="24"/>
        </w:rPr>
        <w:t xml:space="preserve">__________________________________________________________ </w:t>
      </w:r>
    </w:p>
    <w:p w:rsidR="009D2A90" w:rsidRPr="009D2A90" w:rsidP="009D2A90">
      <w:pPr>
        <w:spacing w:after="0" w:line="240" w:lineRule="auto"/>
        <w:jc w:val="left"/>
        <w:rPr>
          <w:b/>
          <w:sz w:val="24"/>
          <w:szCs w:val="24"/>
        </w:rPr>
      </w:pPr>
    </w:p>
    <w:p w:rsidR="009D2A90" w:rsidRPr="009D2A90" w:rsidP="009D2A90">
      <w:pPr>
        <w:spacing w:after="0" w:line="240" w:lineRule="auto"/>
        <w:jc w:val="left"/>
        <w:rPr>
          <w:bCs/>
          <w:sz w:val="24"/>
          <w:szCs w:val="24"/>
        </w:rPr>
      </w:pPr>
      <w:r w:rsidRPr="009D2A90">
        <w:rPr>
          <w:b/>
          <w:sz w:val="24"/>
          <w:szCs w:val="24"/>
        </w:rPr>
        <w:t>Opinion No.</w:t>
      </w:r>
      <w:r w:rsidRPr="009D2A90">
        <w:rPr>
          <w:sz w:val="24"/>
          <w:szCs w:val="24"/>
        </w:rPr>
        <w:t xml:space="preserve"> S260736</w:t>
      </w:r>
    </w:p>
    <w:p w:rsidR="009D2A90" w:rsidRPr="009D2A90" w:rsidP="009D2A90">
      <w:pPr>
        <w:spacing w:after="0" w:line="240" w:lineRule="auto"/>
        <w:jc w:val="left"/>
        <w:rPr>
          <w:bCs/>
          <w:sz w:val="24"/>
          <w:szCs w:val="24"/>
        </w:rPr>
      </w:pPr>
      <w:r w:rsidRPr="009D2A90">
        <w:rPr>
          <w:b/>
          <w:sz w:val="24"/>
          <w:szCs w:val="24"/>
        </w:rPr>
        <w:t>Date Filed:</w:t>
      </w:r>
      <w:r w:rsidRPr="009D2A90">
        <w:rPr>
          <w:sz w:val="24"/>
          <w:szCs w:val="24"/>
        </w:rPr>
        <w:t xml:space="preserve">  August </w:t>
      </w:r>
      <w:r w:rsidR="00395C72">
        <w:rPr>
          <w:sz w:val="24"/>
          <w:szCs w:val="24"/>
        </w:rPr>
        <w:t>1</w:t>
      </w:r>
      <w:r w:rsidRPr="009D2A90">
        <w:rPr>
          <w:sz w:val="24"/>
          <w:szCs w:val="24"/>
        </w:rPr>
        <w:t>8, 2022</w:t>
      </w:r>
    </w:p>
    <w:p w:rsidR="009D2A90" w:rsidRPr="009D2A90" w:rsidP="009D2A90">
      <w:pPr>
        <w:spacing w:after="0" w:line="240" w:lineRule="auto"/>
        <w:jc w:val="left"/>
        <w:rPr>
          <w:b/>
          <w:sz w:val="24"/>
          <w:szCs w:val="24"/>
        </w:rPr>
      </w:pPr>
      <w:r w:rsidRPr="009D2A90">
        <w:rPr>
          <w:b/>
          <w:sz w:val="24"/>
          <w:szCs w:val="24"/>
        </w:rPr>
        <w:t xml:space="preserve">__________________________________________________________ </w:t>
      </w:r>
    </w:p>
    <w:p w:rsidR="009D2A90" w:rsidRPr="009D2A90" w:rsidP="009D2A90">
      <w:pPr>
        <w:spacing w:after="0" w:line="240" w:lineRule="auto"/>
        <w:jc w:val="left"/>
        <w:rPr>
          <w:b/>
          <w:sz w:val="24"/>
          <w:szCs w:val="24"/>
        </w:rPr>
      </w:pPr>
    </w:p>
    <w:p w:rsidR="009D2A90" w:rsidRPr="009D2A90" w:rsidP="009D2A90">
      <w:pPr>
        <w:spacing w:after="0" w:line="240" w:lineRule="auto"/>
        <w:jc w:val="left"/>
        <w:rPr>
          <w:bCs/>
          <w:sz w:val="24"/>
          <w:szCs w:val="24"/>
        </w:rPr>
      </w:pPr>
      <w:r w:rsidRPr="009D2A90">
        <w:rPr>
          <w:b/>
          <w:sz w:val="24"/>
          <w:szCs w:val="24"/>
        </w:rPr>
        <w:t xml:space="preserve">Court:  </w:t>
      </w:r>
      <w:r w:rsidRPr="009D2A90">
        <w:rPr>
          <w:bCs/>
          <w:sz w:val="24"/>
          <w:szCs w:val="24"/>
        </w:rPr>
        <w:t>Superior</w:t>
      </w:r>
      <w:r w:rsidRPr="009D2A90">
        <w:rPr>
          <w:b/>
          <w:sz w:val="24"/>
          <w:szCs w:val="24"/>
        </w:rPr>
        <w:t xml:space="preserve"> </w:t>
      </w:r>
    </w:p>
    <w:p w:rsidR="009D2A90" w:rsidRPr="009D2A90" w:rsidP="009D2A90">
      <w:pPr>
        <w:spacing w:after="0" w:line="240" w:lineRule="auto"/>
        <w:jc w:val="left"/>
        <w:rPr>
          <w:bCs/>
          <w:sz w:val="24"/>
          <w:szCs w:val="24"/>
        </w:rPr>
      </w:pPr>
      <w:r w:rsidRPr="009D2A90">
        <w:rPr>
          <w:b/>
          <w:sz w:val="24"/>
          <w:szCs w:val="24"/>
        </w:rPr>
        <w:t xml:space="preserve">County:  </w:t>
      </w:r>
      <w:r w:rsidRPr="009D2A90">
        <w:rPr>
          <w:bCs/>
          <w:sz w:val="24"/>
          <w:szCs w:val="24"/>
        </w:rPr>
        <w:t>Los Angeles</w:t>
      </w:r>
      <w:r w:rsidRPr="009D2A90">
        <w:rPr>
          <w:b/>
          <w:sz w:val="24"/>
          <w:szCs w:val="24"/>
        </w:rPr>
        <w:t xml:space="preserve"> </w:t>
      </w:r>
    </w:p>
    <w:p w:rsidR="009D2A90" w:rsidRPr="009D2A90" w:rsidP="009D2A90">
      <w:pPr>
        <w:spacing w:after="0" w:line="240" w:lineRule="auto"/>
        <w:ind w:left="720" w:hanging="720"/>
        <w:jc w:val="left"/>
        <w:rPr>
          <w:bCs/>
          <w:sz w:val="24"/>
          <w:szCs w:val="24"/>
        </w:rPr>
      </w:pPr>
      <w:r w:rsidRPr="009D2A90">
        <w:rPr>
          <w:b/>
          <w:sz w:val="24"/>
          <w:szCs w:val="24"/>
        </w:rPr>
        <w:t xml:space="preserve">Judge: </w:t>
      </w:r>
      <w:r w:rsidRPr="009D2A90">
        <w:rPr>
          <w:bCs/>
          <w:sz w:val="24"/>
          <w:szCs w:val="24"/>
        </w:rPr>
        <w:t xml:space="preserve"> Ann I. Jones</w:t>
      </w:r>
    </w:p>
    <w:p w:rsidR="009D2A90" w:rsidRPr="009D2A90" w:rsidP="009D2A90">
      <w:pPr>
        <w:spacing w:after="0" w:line="240" w:lineRule="auto"/>
        <w:jc w:val="left"/>
        <w:rPr>
          <w:b/>
          <w:sz w:val="24"/>
          <w:szCs w:val="24"/>
        </w:rPr>
      </w:pPr>
      <w:r w:rsidRPr="009D2A90">
        <w:rPr>
          <w:b/>
          <w:sz w:val="24"/>
          <w:szCs w:val="24"/>
        </w:rPr>
        <w:t xml:space="preserve">__________________________________________________________  </w:t>
      </w:r>
    </w:p>
    <w:p w:rsidR="009D2A90" w:rsidRPr="009D2A90" w:rsidP="009D2A90">
      <w:pPr>
        <w:spacing w:after="0" w:line="240" w:lineRule="auto"/>
        <w:jc w:val="left"/>
        <w:rPr>
          <w:b/>
          <w:sz w:val="24"/>
          <w:szCs w:val="24"/>
        </w:rPr>
      </w:pPr>
    </w:p>
    <w:p w:rsidR="009D2A90" w:rsidRPr="009D2A90" w:rsidP="009D2A90">
      <w:pPr>
        <w:spacing w:after="0" w:line="240" w:lineRule="auto"/>
        <w:jc w:val="left"/>
        <w:rPr>
          <w:b/>
          <w:sz w:val="24"/>
          <w:szCs w:val="24"/>
        </w:rPr>
      </w:pPr>
      <w:r w:rsidRPr="009D2A90">
        <w:rPr>
          <w:b/>
          <w:sz w:val="24"/>
          <w:szCs w:val="24"/>
        </w:rPr>
        <w:t>Counsel:</w:t>
      </w:r>
    </w:p>
    <w:p w:rsidR="009D2A90" w:rsidRPr="009D2A90" w:rsidP="009D2A90">
      <w:pPr>
        <w:spacing w:after="0" w:line="240" w:lineRule="auto"/>
        <w:jc w:val="left"/>
        <w:rPr>
          <w:bCs/>
          <w:sz w:val="24"/>
          <w:szCs w:val="24"/>
        </w:rPr>
      </w:pPr>
    </w:p>
    <w:p w:rsidR="009D2A90" w:rsidRPr="009D2A90" w:rsidP="009D2A90">
      <w:pPr>
        <w:spacing w:after="0" w:line="240" w:lineRule="auto"/>
        <w:jc w:val="left"/>
        <w:rPr>
          <w:color w:val="212121"/>
          <w:sz w:val="24"/>
          <w:szCs w:val="24"/>
          <w:shd w:val="clear" w:color="auto" w:fill="FFFFFF"/>
        </w:rPr>
      </w:pPr>
      <w:r w:rsidRPr="009D2A90">
        <w:rPr>
          <w:color w:val="212121"/>
          <w:sz w:val="24"/>
          <w:szCs w:val="24"/>
          <w:shd w:val="clear" w:color="auto" w:fill="FFFFFF"/>
        </w:rPr>
        <w:t>Katten Muchin Rosenman, Zia F. Modabber, Andrew J. Demko, Tami Kameda Sims, Shelby A. Palmer, Charlotte S. Wasserstein, Leah E.A. Solomon; Kinsella Weitzman Iser Kump &amp; Aldisert, Kinsella Weitzman Iser Kump, Jonathan P. Steinsapir, Howard Weitzman and Suann C. Macisaac for Defendants and Appellants.</w:t>
      </w:r>
    </w:p>
    <w:p w:rsidR="009D2A90" w:rsidRPr="009D2A90" w:rsidP="009D2A90">
      <w:pPr>
        <w:spacing w:after="0" w:line="240" w:lineRule="auto"/>
        <w:jc w:val="left"/>
        <w:rPr>
          <w:color w:val="212121"/>
          <w:sz w:val="24"/>
          <w:szCs w:val="24"/>
          <w:shd w:val="clear" w:color="auto" w:fill="FFFFFF"/>
        </w:rPr>
      </w:pPr>
    </w:p>
    <w:p w:rsidR="009D2A90" w:rsidRPr="009D2A90" w:rsidP="009D2A90">
      <w:pPr>
        <w:spacing w:after="0" w:line="240" w:lineRule="auto"/>
        <w:jc w:val="left"/>
        <w:rPr>
          <w:color w:val="212121"/>
          <w:sz w:val="24"/>
          <w:szCs w:val="24"/>
          <w:shd w:val="clear" w:color="auto" w:fill="FFFFFF"/>
        </w:rPr>
      </w:pPr>
      <w:r w:rsidRPr="009D2A90">
        <w:rPr>
          <w:color w:val="212121"/>
          <w:sz w:val="24"/>
          <w:szCs w:val="24"/>
          <w:shd w:val="clear" w:color="auto" w:fill="FFFFFF"/>
        </w:rPr>
        <w:t>Davis Wright Tremaine, Thomas R. Burke, Rochelle L. Wilcox and Dan Laidman for First Amendment Coalition as Amicus Curiae on behalf of Defendants and Appellants.</w:t>
      </w:r>
    </w:p>
    <w:p w:rsidR="009D2A90" w:rsidRPr="009D2A90" w:rsidP="009D2A90">
      <w:pPr>
        <w:spacing w:after="0" w:line="240" w:lineRule="auto"/>
        <w:jc w:val="left"/>
        <w:rPr>
          <w:color w:val="212121"/>
          <w:sz w:val="24"/>
          <w:szCs w:val="24"/>
          <w:shd w:val="clear" w:color="auto" w:fill="FFFFFF"/>
        </w:rPr>
      </w:pPr>
    </w:p>
    <w:p w:rsidR="009D2A90" w:rsidRPr="009D2A90" w:rsidP="009D2A90">
      <w:pPr>
        <w:spacing w:after="0" w:line="240" w:lineRule="auto"/>
        <w:jc w:val="left"/>
        <w:rPr>
          <w:color w:val="212121"/>
          <w:sz w:val="24"/>
          <w:szCs w:val="24"/>
          <w:shd w:val="clear" w:color="auto" w:fill="FFFFFF"/>
        </w:rPr>
      </w:pPr>
      <w:r w:rsidRPr="009D2A90">
        <w:rPr>
          <w:color w:val="212121"/>
          <w:sz w:val="24"/>
          <w:szCs w:val="24"/>
          <w:shd w:val="clear" w:color="auto" w:fill="FFFFFF"/>
        </w:rPr>
        <w:t>Moss Bollinger, Jeremy F. Bollinger, Ari E. Moss and Dennis F. Moss for Plaintiff and Respondent.</w:t>
      </w:r>
    </w:p>
    <w:p w:rsidR="009D2A90" w:rsidRPr="009D2A90" w:rsidP="009D2A90">
      <w:pPr>
        <w:spacing w:after="0" w:line="240" w:lineRule="auto"/>
        <w:jc w:val="left"/>
        <w:rPr>
          <w:color w:val="212121"/>
          <w:sz w:val="24"/>
          <w:szCs w:val="24"/>
          <w:shd w:val="clear" w:color="auto" w:fill="FFFFFF"/>
        </w:rPr>
      </w:pPr>
    </w:p>
    <w:p w:rsidR="009D2A90" w:rsidRPr="009D2A90" w:rsidP="009D2A90">
      <w:pPr>
        <w:spacing w:after="0" w:line="240" w:lineRule="auto"/>
        <w:jc w:val="left"/>
        <w:rPr>
          <w:color w:val="212121"/>
          <w:sz w:val="24"/>
          <w:szCs w:val="24"/>
          <w:shd w:val="clear" w:color="auto" w:fill="FFFFFF"/>
        </w:rPr>
      </w:pPr>
      <w:r w:rsidRPr="009D2A90">
        <w:rPr>
          <w:color w:val="212121"/>
          <w:sz w:val="24"/>
          <w:szCs w:val="24"/>
          <w:shd w:val="clear" w:color="auto" w:fill="FFFFFF"/>
        </w:rPr>
        <w:t>Seth E. Mermin and Eliza J. Duggan for UC Berkeley Center for Consumer Law and Economic Justice, Truth in Advertising, Inc., Public Counsel, Legal Aid Society of San Diego, Housing &amp; Economic Rights Advocates, East Bay Community Law Center, Consumers for Auto Reliability and Safety, Consumer Action and Bay Area Legal Aid as Amici Curiae on behalf of Plaintiff and Respondent.</w:t>
      </w:r>
    </w:p>
    <w:p w:rsidR="009D2A90" w:rsidRPr="009D2A90" w:rsidP="009D2A90">
      <w:pPr>
        <w:spacing w:after="0" w:line="240" w:lineRule="auto"/>
        <w:jc w:val="left"/>
        <w:rPr>
          <w:color w:val="212121"/>
          <w:sz w:val="24"/>
          <w:szCs w:val="24"/>
          <w:shd w:val="clear" w:color="auto" w:fill="FFFFFF"/>
        </w:rPr>
      </w:pPr>
    </w:p>
    <w:p w:rsidR="009D2A90" w:rsidRPr="009D2A90" w:rsidP="009D2A90">
      <w:pPr>
        <w:spacing w:after="0" w:line="240" w:lineRule="auto"/>
        <w:jc w:val="left"/>
        <w:rPr>
          <w:color w:val="212121"/>
          <w:sz w:val="24"/>
          <w:szCs w:val="24"/>
          <w:shd w:val="clear" w:color="auto" w:fill="FFFFFF"/>
        </w:rPr>
      </w:pPr>
      <w:r w:rsidRPr="009D2A90">
        <w:rPr>
          <w:color w:val="212121"/>
          <w:sz w:val="24"/>
          <w:szCs w:val="24"/>
          <w:shd w:val="clear" w:color="auto" w:fill="FFFFFF"/>
        </w:rPr>
        <w:t>Arbogast Law, David M. Arbogast; and Micha Star Liberty for Consumer Attorneys of California as Amicus Curiae on behalf of Plaintiff and Respondent.</w:t>
      </w:r>
    </w:p>
    <w:p w:rsidR="009D2A90" w:rsidRPr="009D2A90" w:rsidP="009D2A90">
      <w:pPr>
        <w:spacing w:after="0" w:line="240" w:lineRule="auto"/>
        <w:jc w:val="left"/>
        <w:rPr>
          <w:color w:val="212121"/>
          <w:sz w:val="24"/>
          <w:szCs w:val="24"/>
          <w:shd w:val="clear" w:color="auto" w:fill="FFFFFF"/>
        </w:rPr>
      </w:pPr>
    </w:p>
    <w:p w:rsidR="009D2A90" w:rsidRPr="009D2A90" w:rsidP="009D2A90">
      <w:pPr>
        <w:spacing w:after="0" w:line="240" w:lineRule="auto"/>
        <w:jc w:val="left"/>
        <w:rPr>
          <w:color w:val="212121"/>
          <w:sz w:val="24"/>
          <w:szCs w:val="24"/>
          <w:shd w:val="clear" w:color="auto" w:fill="FFFFFF"/>
        </w:rPr>
      </w:pPr>
      <w:r w:rsidRPr="009D2A90">
        <w:rPr>
          <w:color w:val="212121"/>
          <w:sz w:val="24"/>
          <w:szCs w:val="24"/>
          <w:shd w:val="clear" w:color="auto" w:fill="FFFFFF"/>
        </w:rPr>
        <w:t xml:space="preserve">Xavier Becerra and Rob Bonta, Attorneys General, Michael J. Mongan, State Solicitor General, Janill L. Richards, Principal Deputy State Solicitor General, Samuel T. Harbourt and Amari L. Hammonds, Deputy State Solicitors General, </w:t>
      </w:r>
      <w:r w:rsidRPr="009D2A90">
        <w:rPr>
          <w:sz w:val="24"/>
          <w:szCs w:val="24"/>
          <w:shd w:val="clear" w:color="auto" w:fill="FFFFFF"/>
        </w:rPr>
        <w:t>for the Attorney General</w:t>
      </w:r>
      <w:r w:rsidRPr="009D2A90">
        <w:rPr>
          <w:color w:val="212121"/>
          <w:sz w:val="24"/>
          <w:szCs w:val="24"/>
          <w:shd w:val="clear" w:color="auto" w:fill="FFFFFF"/>
        </w:rPr>
        <w:t xml:space="preserve"> as Amicus Curiae on behalf of Plaintiff and Respondent.</w:t>
      </w:r>
    </w:p>
    <w:p w:rsidR="009D2A90" w:rsidRPr="009D2A90" w:rsidP="009D2A90">
      <w:pPr>
        <w:spacing w:after="0" w:line="240" w:lineRule="auto"/>
        <w:jc w:val="left"/>
        <w:rPr>
          <w:color w:val="212121"/>
          <w:sz w:val="24"/>
          <w:szCs w:val="24"/>
          <w:shd w:val="clear" w:color="auto" w:fill="FFFFFF"/>
        </w:rPr>
      </w:pPr>
    </w:p>
    <w:p w:rsidR="009D2A90" w:rsidRPr="009D2A90" w:rsidP="009D2A90">
      <w:pPr>
        <w:spacing w:after="0" w:line="240" w:lineRule="auto"/>
        <w:jc w:val="left"/>
        <w:rPr>
          <w:b/>
          <w:sz w:val="24"/>
          <w:szCs w:val="24"/>
        </w:rPr>
      </w:pPr>
      <w:r w:rsidRPr="009D2A90">
        <w:rPr>
          <w:color w:val="212121"/>
          <w:sz w:val="24"/>
          <w:szCs w:val="24"/>
          <w:shd w:val="clear" w:color="auto" w:fill="FFFFFF"/>
        </w:rPr>
        <w:t xml:space="preserve">Michael N. Feuer, City Attorney (Los Angeles), Wilfredo R. Rivera, Deputy Chief City Attorney, Christina V. Tusan, William R. Pletcher and Miguel J. Ruiz, Deputy City Attorneys, </w:t>
      </w:r>
      <w:r w:rsidRPr="009D2A90">
        <w:rPr>
          <w:sz w:val="24"/>
          <w:szCs w:val="24"/>
          <w:shd w:val="clear" w:color="auto" w:fill="FFFFFF"/>
        </w:rPr>
        <w:t>for the Los Angeles City Attorney</w:t>
      </w:r>
      <w:r w:rsidRPr="009D2A90">
        <w:rPr>
          <w:color w:val="212121"/>
          <w:sz w:val="24"/>
          <w:szCs w:val="24"/>
          <w:shd w:val="clear" w:color="auto" w:fill="FFFFFF"/>
        </w:rPr>
        <w:t xml:space="preserve"> as Amicus Curiae on behalf of Plaintiff and Respondent.</w:t>
      </w:r>
      <w:r w:rsidRPr="009D2A90">
        <w:rPr>
          <w:color w:val="212121"/>
          <w:sz w:val="24"/>
          <w:szCs w:val="24"/>
          <w:shd w:val="clear" w:color="auto" w:fill="FFFFFF"/>
        </w:rPr>
        <w:br w:type="page"/>
      </w:r>
      <w:r w:rsidRPr="009D2A90">
        <w:rPr>
          <w:b/>
          <w:sz w:val="24"/>
          <w:szCs w:val="24"/>
        </w:rPr>
        <w:t>Counsel who argued in Supreme Court (not intended for publication with opinion):</w:t>
      </w:r>
    </w:p>
    <w:p w:rsidR="009D2A90" w:rsidRPr="009D2A90" w:rsidP="009D2A90">
      <w:pPr>
        <w:spacing w:after="0" w:line="240" w:lineRule="auto"/>
        <w:jc w:val="left"/>
        <w:rPr>
          <w:b/>
          <w:sz w:val="24"/>
          <w:szCs w:val="24"/>
        </w:rPr>
      </w:pPr>
    </w:p>
    <w:p w:rsidR="009D2A90" w:rsidRPr="009D2A90" w:rsidP="009D2A90">
      <w:pPr>
        <w:spacing w:after="0" w:line="240" w:lineRule="auto"/>
        <w:jc w:val="left"/>
        <w:rPr>
          <w:color w:val="212121"/>
          <w:sz w:val="24"/>
          <w:szCs w:val="24"/>
          <w:shd w:val="clear" w:color="auto" w:fill="FFFFFF"/>
        </w:rPr>
      </w:pPr>
      <w:r w:rsidRPr="009D2A90">
        <w:rPr>
          <w:color w:val="212121"/>
          <w:sz w:val="24"/>
          <w:szCs w:val="24"/>
          <w:shd w:val="clear" w:color="auto" w:fill="FFFFFF"/>
        </w:rPr>
        <w:t>Zia F. Modabber</w:t>
      </w:r>
    </w:p>
    <w:p w:rsidR="009D2A90" w:rsidRPr="009D2A90" w:rsidP="009D2A90">
      <w:pPr>
        <w:spacing w:after="0" w:line="240" w:lineRule="auto"/>
        <w:jc w:val="left"/>
        <w:rPr>
          <w:color w:val="212121"/>
          <w:sz w:val="24"/>
          <w:szCs w:val="24"/>
          <w:shd w:val="clear" w:color="auto" w:fill="FFFFFF"/>
        </w:rPr>
      </w:pPr>
      <w:r w:rsidRPr="009D2A90">
        <w:rPr>
          <w:color w:val="212121"/>
          <w:sz w:val="24"/>
          <w:szCs w:val="24"/>
          <w:shd w:val="clear" w:color="auto" w:fill="FFFFFF"/>
        </w:rPr>
        <w:t>Katten Muchin Rosenman LLP</w:t>
      </w:r>
    </w:p>
    <w:p w:rsidR="009D2A90" w:rsidRPr="009D2A90" w:rsidP="009D2A90">
      <w:pPr>
        <w:spacing w:after="0" w:line="240" w:lineRule="auto"/>
        <w:jc w:val="left"/>
        <w:rPr>
          <w:color w:val="212121"/>
          <w:sz w:val="24"/>
          <w:szCs w:val="24"/>
          <w:shd w:val="clear" w:color="auto" w:fill="FFFFFF"/>
        </w:rPr>
      </w:pPr>
      <w:r w:rsidRPr="009D2A90">
        <w:rPr>
          <w:color w:val="212121"/>
          <w:sz w:val="24"/>
          <w:szCs w:val="24"/>
          <w:shd w:val="clear" w:color="auto" w:fill="FFFFFF"/>
        </w:rPr>
        <w:t>2029 Century Park East, Suite 2600</w:t>
      </w:r>
    </w:p>
    <w:p w:rsidR="009D2A90" w:rsidRPr="009D2A90" w:rsidP="009D2A90">
      <w:pPr>
        <w:spacing w:after="0" w:line="240" w:lineRule="auto"/>
        <w:jc w:val="left"/>
        <w:rPr>
          <w:color w:val="212121"/>
          <w:sz w:val="24"/>
          <w:szCs w:val="24"/>
          <w:shd w:val="clear" w:color="auto" w:fill="FFFFFF"/>
        </w:rPr>
      </w:pPr>
      <w:r w:rsidRPr="009D2A90">
        <w:rPr>
          <w:color w:val="212121"/>
          <w:sz w:val="24"/>
          <w:szCs w:val="24"/>
          <w:shd w:val="clear" w:color="auto" w:fill="FFFFFF"/>
        </w:rPr>
        <w:t>Los Angeles, California 90067</w:t>
      </w:r>
    </w:p>
    <w:p w:rsidR="009D2A90" w:rsidRPr="009D2A90" w:rsidP="009D2A90">
      <w:pPr>
        <w:spacing w:after="0" w:line="240" w:lineRule="auto"/>
        <w:jc w:val="left"/>
        <w:rPr>
          <w:color w:val="212121"/>
          <w:sz w:val="24"/>
          <w:szCs w:val="24"/>
          <w:shd w:val="clear" w:color="auto" w:fill="FFFFFF"/>
        </w:rPr>
      </w:pPr>
      <w:r w:rsidRPr="009D2A90">
        <w:rPr>
          <w:color w:val="212121"/>
          <w:sz w:val="24"/>
          <w:szCs w:val="24"/>
          <w:shd w:val="clear" w:color="auto" w:fill="FFFFFF"/>
        </w:rPr>
        <w:t>(310) 788-4627</w:t>
      </w:r>
    </w:p>
    <w:p w:rsidR="009D2A90" w:rsidRPr="009D2A90" w:rsidP="009D2A90">
      <w:pPr>
        <w:spacing w:after="0" w:line="240" w:lineRule="auto"/>
        <w:jc w:val="left"/>
        <w:rPr>
          <w:color w:val="212121"/>
          <w:sz w:val="24"/>
          <w:szCs w:val="24"/>
          <w:shd w:val="clear" w:color="auto" w:fill="FFFFFF"/>
        </w:rPr>
      </w:pPr>
    </w:p>
    <w:p w:rsidR="009D2A90" w:rsidRPr="009D2A90" w:rsidP="009D2A90">
      <w:pPr>
        <w:spacing w:after="0" w:line="240" w:lineRule="auto"/>
        <w:jc w:val="left"/>
        <w:rPr>
          <w:color w:val="212121"/>
          <w:sz w:val="24"/>
          <w:szCs w:val="24"/>
          <w:shd w:val="clear" w:color="auto" w:fill="FFFFFF"/>
        </w:rPr>
      </w:pPr>
      <w:r w:rsidRPr="009D2A90">
        <w:rPr>
          <w:color w:val="212121"/>
          <w:sz w:val="24"/>
          <w:szCs w:val="24"/>
          <w:shd w:val="clear" w:color="auto" w:fill="FFFFFF"/>
        </w:rPr>
        <w:t>Dennis F. Moss</w:t>
      </w:r>
    </w:p>
    <w:p w:rsidR="009D2A90" w:rsidRPr="009D2A90" w:rsidP="009D2A90">
      <w:pPr>
        <w:spacing w:after="0" w:line="240" w:lineRule="auto"/>
        <w:jc w:val="left"/>
        <w:rPr>
          <w:color w:val="212121"/>
          <w:sz w:val="24"/>
          <w:szCs w:val="24"/>
          <w:shd w:val="clear" w:color="auto" w:fill="FFFFFF"/>
        </w:rPr>
      </w:pPr>
      <w:r w:rsidRPr="009D2A90">
        <w:rPr>
          <w:color w:val="212121"/>
          <w:sz w:val="24"/>
          <w:szCs w:val="24"/>
          <w:shd w:val="clear" w:color="auto" w:fill="FFFFFF"/>
        </w:rPr>
        <w:t>Moss Bollinger LLP</w:t>
      </w:r>
    </w:p>
    <w:p w:rsidR="009D2A90" w:rsidRPr="009D2A90" w:rsidP="009D2A90">
      <w:pPr>
        <w:spacing w:after="0" w:line="240" w:lineRule="auto"/>
        <w:jc w:val="left"/>
        <w:rPr>
          <w:sz w:val="24"/>
          <w:szCs w:val="24"/>
        </w:rPr>
      </w:pPr>
      <w:r w:rsidRPr="009D2A90">
        <w:rPr>
          <w:sz w:val="24"/>
          <w:szCs w:val="24"/>
        </w:rPr>
        <w:t>15300 Ventura Boulevard, Suite 207</w:t>
      </w:r>
    </w:p>
    <w:p w:rsidR="009D2A90" w:rsidRPr="009D2A90" w:rsidP="009D2A90">
      <w:pPr>
        <w:spacing w:after="0" w:line="240" w:lineRule="auto"/>
        <w:jc w:val="left"/>
        <w:rPr>
          <w:sz w:val="24"/>
          <w:szCs w:val="24"/>
        </w:rPr>
      </w:pPr>
      <w:r w:rsidRPr="009D2A90">
        <w:rPr>
          <w:sz w:val="24"/>
          <w:szCs w:val="24"/>
        </w:rPr>
        <w:t>Sherman Oaks, CA 91403</w:t>
      </w:r>
    </w:p>
    <w:p w:rsidR="009D2A90" w:rsidRPr="009D2A90" w:rsidP="009D2A90">
      <w:pPr>
        <w:spacing w:after="0" w:line="240" w:lineRule="auto"/>
        <w:jc w:val="left"/>
        <w:rPr>
          <w:sz w:val="24"/>
          <w:szCs w:val="24"/>
        </w:rPr>
      </w:pPr>
      <w:r w:rsidRPr="009D2A90">
        <w:rPr>
          <w:sz w:val="24"/>
          <w:szCs w:val="24"/>
        </w:rPr>
        <w:t>(310) 985-0555</w:t>
      </w:r>
    </w:p>
    <w:p w:rsidR="009D2A90" w:rsidRPr="009D2A90" w:rsidP="009D2A90">
      <w:pPr>
        <w:spacing w:after="0" w:line="240" w:lineRule="auto"/>
        <w:jc w:val="left"/>
        <w:rPr>
          <w:sz w:val="24"/>
          <w:szCs w:val="24"/>
        </w:rPr>
      </w:pPr>
    </w:p>
    <w:p w:rsidR="009D2A90" w:rsidRPr="009D2A90" w:rsidP="009D2A90">
      <w:pPr>
        <w:spacing w:after="0" w:line="240" w:lineRule="auto"/>
        <w:jc w:val="left"/>
        <w:rPr>
          <w:sz w:val="24"/>
          <w:szCs w:val="24"/>
        </w:rPr>
      </w:pPr>
      <w:r w:rsidRPr="009D2A90">
        <w:rPr>
          <w:sz w:val="24"/>
          <w:szCs w:val="24"/>
        </w:rPr>
        <w:t>Samuel T. Harbourt</w:t>
      </w:r>
    </w:p>
    <w:p w:rsidR="009D2A90" w:rsidRPr="009D2A90" w:rsidP="009D2A90">
      <w:pPr>
        <w:spacing w:after="0" w:line="240" w:lineRule="auto"/>
        <w:jc w:val="left"/>
        <w:rPr>
          <w:sz w:val="24"/>
          <w:szCs w:val="24"/>
        </w:rPr>
      </w:pPr>
      <w:r w:rsidRPr="009D2A90">
        <w:rPr>
          <w:sz w:val="24"/>
          <w:szCs w:val="24"/>
        </w:rPr>
        <w:t>Deputy State Solicitor General</w:t>
      </w:r>
    </w:p>
    <w:p w:rsidR="009D2A90" w:rsidRPr="009D2A90" w:rsidP="009D2A90">
      <w:pPr>
        <w:spacing w:after="0" w:line="240" w:lineRule="auto"/>
        <w:jc w:val="left"/>
        <w:rPr>
          <w:sz w:val="24"/>
          <w:szCs w:val="24"/>
        </w:rPr>
      </w:pPr>
      <w:r w:rsidRPr="009D2A90">
        <w:rPr>
          <w:sz w:val="24"/>
          <w:szCs w:val="24"/>
        </w:rPr>
        <w:t>455 Golden Gate Avenue, Suite 11000</w:t>
      </w:r>
    </w:p>
    <w:p w:rsidR="009D2A90" w:rsidRPr="009D2A90" w:rsidP="009D2A90">
      <w:pPr>
        <w:spacing w:after="0" w:line="240" w:lineRule="auto"/>
        <w:jc w:val="left"/>
        <w:rPr>
          <w:sz w:val="24"/>
          <w:szCs w:val="24"/>
        </w:rPr>
      </w:pPr>
      <w:r w:rsidRPr="009D2A90">
        <w:rPr>
          <w:sz w:val="24"/>
          <w:szCs w:val="24"/>
        </w:rPr>
        <w:t>San Francisco, CA 94102-7004</w:t>
      </w:r>
    </w:p>
    <w:p w:rsidR="009D2A90" w:rsidRPr="009D2A90" w:rsidP="009D2A90">
      <w:pPr>
        <w:spacing w:after="0" w:line="240" w:lineRule="auto"/>
        <w:jc w:val="left"/>
        <w:rPr>
          <w:sz w:val="24"/>
          <w:szCs w:val="24"/>
        </w:rPr>
      </w:pPr>
      <w:r w:rsidRPr="009D2A90">
        <w:rPr>
          <w:sz w:val="24"/>
          <w:szCs w:val="24"/>
        </w:rPr>
        <w:t>(415) 510-3919</w:t>
      </w:r>
    </w:p>
    <w:p w:rsidR="009D2A90" w:rsidP="00B161D4">
      <w:pPr>
        <w:tabs>
          <w:tab w:val="left" w:pos="1440"/>
        </w:tabs>
        <w:spacing w:after="0" w:line="240" w:lineRule="auto"/>
        <w:rPr>
          <w:b/>
          <w:bCs/>
        </w:rPr>
      </w:pPr>
    </w:p>
    <w:sectPr w:rsidSect="00EC2BB8">
      <w:headerReference w:type="even" r:id="rId12"/>
      <w:headerReference w:type="default" r:id="rId13"/>
      <w:footerReference w:type="even" r:id="rId14"/>
      <w:footerReference w:type="default" r:id="rId15"/>
      <w:headerReference w:type="first" r:id="rId16"/>
      <w:footerReference w:type="first" r:id="rId17"/>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Schoolbook">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1D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sz w:val="27"/>
        <w:szCs w:val="27"/>
      </w:rPr>
      <w:id w:val="-872386320"/>
      <w:docPartObj>
        <w:docPartGallery w:val="Page Numbers (Bottom of Page)"/>
        <w:docPartUnique/>
      </w:docPartObj>
    </w:sdtPr>
    <w:sdtEndPr>
      <w:rPr>
        <w:rFonts w:ascii="Century Schoolbook" w:hAnsi="Century Schoolbook"/>
        <w:noProof/>
      </w:rPr>
    </w:sdtEndPr>
    <w:sdtContent>
      <w:p w:rsidR="00630864" w:rsidRPr="009F5827">
        <w:pPr>
          <w:pStyle w:val="Footer"/>
          <w:rPr>
            <w:sz w:val="27"/>
            <w:szCs w:val="27"/>
          </w:rPr>
        </w:pPr>
        <w:r w:rsidRPr="008D1557">
          <w:rPr>
            <w:szCs w:val="22"/>
          </w:rPr>
          <w:fldChar w:fldCharType="begin"/>
        </w:r>
        <w:r w:rsidRPr="008D1557">
          <w:rPr>
            <w:szCs w:val="22"/>
          </w:rPr>
          <w:instrText xml:space="preserve"> PAGE   \* MERGEFORMAT </w:instrText>
        </w:r>
        <w:r w:rsidRPr="008D1557">
          <w:rPr>
            <w:szCs w:val="22"/>
          </w:rPr>
          <w:fldChar w:fldCharType="separate"/>
        </w:r>
        <w:r w:rsidRPr="008D1557">
          <w:rPr>
            <w:noProof/>
            <w:szCs w:val="22"/>
          </w:rPr>
          <w:t>2</w:t>
        </w:r>
        <w:r w:rsidRPr="008D1557">
          <w:rPr>
            <w:noProof/>
            <w:szCs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1DB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4A1F" w:rsidRPr="008D1557">
    <w:pPr>
      <w:pStyle w:val="Footer"/>
      <w:rPr>
        <w:szCs w:val="22"/>
      </w:rPr>
    </w:pPr>
    <w:r w:rsidRPr="008D1557">
      <w:rPr>
        <w:szCs w:val="22"/>
      </w:rP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24D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24D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24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C4FE9" w:rsidP="00895F45">
      <w:pPr>
        <w:spacing w:after="0" w:line="240" w:lineRule="auto"/>
      </w:pPr>
      <w:r>
        <w:separator/>
      </w:r>
    </w:p>
  </w:footnote>
  <w:footnote w:type="continuationSeparator" w:id="1">
    <w:p w:rsidR="00BC4FE9" w:rsidP="00895F45">
      <w:pPr>
        <w:spacing w:after="0" w:line="240" w:lineRule="auto"/>
      </w:pPr>
      <w:r>
        <w:continuationSeparator/>
      </w:r>
    </w:p>
  </w:footnote>
  <w:footnote w:type="continuationNotice" w:id="2">
    <w:p w:rsidR="00BC4FE9">
      <w:pPr>
        <w:spacing w:after="0" w:line="240" w:lineRule="auto"/>
      </w:pPr>
    </w:p>
  </w:footnote>
  <w:footnote w:id="3">
    <w:p w:rsidR="00630864" w:rsidRPr="004836C8" w:rsidP="00314A1F">
      <w:pPr>
        <w:pStyle w:val="FootnoteText"/>
        <w:rPr>
          <w:szCs w:val="27"/>
        </w:rPr>
      </w:pPr>
      <w:r w:rsidRPr="004836C8">
        <w:rPr>
          <w:rStyle w:val="FootnoteReference"/>
          <w:szCs w:val="27"/>
        </w:rPr>
        <w:footnoteRef/>
      </w:r>
      <w:r w:rsidRPr="004836C8">
        <w:rPr>
          <w:szCs w:val="27"/>
        </w:rPr>
        <w:t xml:space="preserve"> </w:t>
      </w:r>
      <w:r w:rsidRPr="004836C8">
        <w:rPr>
          <w:szCs w:val="27"/>
        </w:rPr>
        <w:tab/>
        <w:t>Further statutory references are to the Code of Civil Procedure unless noted.</w:t>
      </w:r>
    </w:p>
  </w:footnote>
  <w:footnote w:id="4">
    <w:p w:rsidR="00630864" w:rsidRPr="004836C8" w:rsidP="00314A1F">
      <w:pPr>
        <w:pStyle w:val="FootnoteText"/>
        <w:rPr>
          <w:szCs w:val="27"/>
        </w:rPr>
      </w:pPr>
      <w:r w:rsidRPr="004836C8">
        <w:rPr>
          <w:rStyle w:val="FootnoteReference"/>
          <w:szCs w:val="27"/>
        </w:rPr>
        <w:footnoteRef/>
      </w:r>
      <w:r w:rsidRPr="004836C8">
        <w:rPr>
          <w:szCs w:val="27"/>
        </w:rPr>
        <w:t xml:space="preserve"> </w:t>
      </w:r>
      <w:r w:rsidRPr="004836C8">
        <w:rPr>
          <w:szCs w:val="27"/>
        </w:rPr>
        <w:tab/>
        <w:t>The parties’ stipulation produced</w:t>
      </w:r>
      <w:r w:rsidRPr="004836C8" w:rsidR="00C871C9">
        <w:rPr>
          <w:szCs w:val="27"/>
        </w:rPr>
        <w:t xml:space="preserve"> </w:t>
      </w:r>
      <w:r w:rsidRPr="004836C8">
        <w:rPr>
          <w:szCs w:val="27"/>
        </w:rPr>
        <w:t xml:space="preserve">an anti-SLAPP motion with almost no evidentiary submissions.  There was no declaration from Serova explaining what she knew and why she purchased </w:t>
      </w:r>
      <w:r w:rsidRPr="000B779D">
        <w:rPr>
          <w:i/>
          <w:iCs/>
          <w:szCs w:val="27"/>
        </w:rPr>
        <w:t>Michael</w:t>
      </w:r>
      <w:r w:rsidRPr="004836C8">
        <w:rPr>
          <w:szCs w:val="27"/>
        </w:rPr>
        <w:t xml:space="preserve">, nor do we have any of the experts’ conclusions regarding </w:t>
      </w:r>
      <w:r w:rsidRPr="00ED005C">
        <w:rPr>
          <w:i/>
          <w:iCs/>
          <w:szCs w:val="27"/>
        </w:rPr>
        <w:t>Michael</w:t>
      </w:r>
      <w:r w:rsidRPr="004836C8">
        <w:rPr>
          <w:szCs w:val="27"/>
        </w:rPr>
        <w:t xml:space="preserve">.  And Serova has not had to square her alleged harm with her prepurchase knowledge of the Cascio track controversy.  (See, e.g., </w:t>
      </w:r>
      <w:r w:rsidRPr="004836C8">
        <w:rPr>
          <w:i/>
          <w:iCs/>
          <w:szCs w:val="27"/>
        </w:rPr>
        <w:t>Kwikset Corp. v. Superior Court</w:t>
      </w:r>
      <w:r w:rsidRPr="004836C8">
        <w:rPr>
          <w:szCs w:val="27"/>
        </w:rPr>
        <w:t xml:space="preserve"> (2011) 51 Cal.4th 310, 326–327 [UCL plaintiff</w:t>
      </w:r>
      <w:r w:rsidRPr="004836C8" w:rsidR="004836C8">
        <w:rPr>
          <w:szCs w:val="27"/>
        </w:rPr>
        <w:t xml:space="preserve"> </w:t>
      </w:r>
      <w:r w:rsidRPr="004836C8">
        <w:rPr>
          <w:szCs w:val="27"/>
        </w:rPr>
        <w:t>must show economic loss and causation</w:t>
      </w:r>
      <w:r w:rsidRPr="004836C8" w:rsidR="004836C8">
        <w:rPr>
          <w:szCs w:val="27"/>
        </w:rPr>
        <w:t xml:space="preserve"> to have standing to sue</w:t>
      </w:r>
      <w:r w:rsidRPr="004836C8">
        <w:rPr>
          <w:szCs w:val="27"/>
        </w:rPr>
        <w:t xml:space="preserve">].)  Initially, the superior court refused the parties’ </w:t>
      </w:r>
      <w:r w:rsidRPr="004836C8" w:rsidR="00C871C9">
        <w:rPr>
          <w:szCs w:val="27"/>
        </w:rPr>
        <w:t xml:space="preserve">issue-limiting </w:t>
      </w:r>
      <w:r w:rsidRPr="004836C8">
        <w:rPr>
          <w:szCs w:val="27"/>
        </w:rPr>
        <w:t xml:space="preserve">stipulation and declined ruling on Sony’s anti-SLAPP motion.  But Sony sought a writ petition and, after the Court of Appeal issued a </w:t>
      </w:r>
      <w:r w:rsidRPr="004836C8">
        <w:rPr>
          <w:i/>
          <w:iCs/>
          <w:szCs w:val="27"/>
        </w:rPr>
        <w:t>Palma</w:t>
      </w:r>
      <w:r w:rsidRPr="004836C8">
        <w:rPr>
          <w:szCs w:val="27"/>
        </w:rPr>
        <w:t xml:space="preserve"> notice suggesting it would grant the petition (see </w:t>
      </w:r>
      <w:r w:rsidRPr="004836C8">
        <w:rPr>
          <w:i/>
          <w:iCs/>
          <w:szCs w:val="27"/>
        </w:rPr>
        <w:t>Brown, Winfield &amp; Canzoneri, Inc. v. Superior Court</w:t>
      </w:r>
      <w:r w:rsidRPr="004836C8">
        <w:rPr>
          <w:szCs w:val="27"/>
        </w:rPr>
        <w:t xml:space="preserve"> (2010) 47 Cal.4th 1233 [describing the </w:t>
      </w:r>
      <w:r w:rsidRPr="004836C8">
        <w:rPr>
          <w:i/>
          <w:iCs/>
          <w:szCs w:val="27"/>
        </w:rPr>
        <w:t>Palma</w:t>
      </w:r>
      <w:r w:rsidRPr="004836C8">
        <w:rPr>
          <w:szCs w:val="27"/>
        </w:rPr>
        <w:t xml:space="preserve"> process]), the superior court agreed to address the anti-SLAPP motion on the parties’ terms.  We have not been called upon to address </w:t>
      </w:r>
      <w:r w:rsidRPr="004836C8" w:rsidR="00C871C9">
        <w:rPr>
          <w:szCs w:val="27"/>
        </w:rPr>
        <w:t>these procedures</w:t>
      </w:r>
      <w:r w:rsidRPr="004836C8">
        <w:rPr>
          <w:szCs w:val="27"/>
        </w:rPr>
        <w:t xml:space="preserve">. </w:t>
      </w:r>
    </w:p>
  </w:footnote>
  <w:footnote w:id="5">
    <w:p w:rsidR="00630864" w:rsidRPr="00883750" w:rsidP="00314A1F">
      <w:pPr>
        <w:pStyle w:val="FootnoteText"/>
        <w:rPr>
          <w:szCs w:val="27"/>
        </w:rPr>
      </w:pPr>
      <w:r w:rsidRPr="00883750">
        <w:rPr>
          <w:rStyle w:val="FootnoteReference"/>
          <w:szCs w:val="27"/>
        </w:rPr>
        <w:footnoteRef/>
      </w:r>
      <w:r w:rsidRPr="00883750">
        <w:rPr>
          <w:szCs w:val="27"/>
        </w:rPr>
        <w:t xml:space="preserve"> </w:t>
      </w:r>
      <w:r w:rsidRPr="00883750">
        <w:rPr>
          <w:szCs w:val="27"/>
        </w:rPr>
        <w:tab/>
        <w:t xml:space="preserve">Sony has not argued the California Constitution’s free speech clause, </w:t>
      </w:r>
      <w:r w:rsidRPr="00883750" w:rsidR="0089525C">
        <w:rPr>
          <w:szCs w:val="27"/>
        </w:rPr>
        <w:t>a</w:t>
      </w:r>
      <w:r w:rsidRPr="00883750">
        <w:rPr>
          <w:szCs w:val="27"/>
        </w:rPr>
        <w:t xml:space="preserve">rticle I, section 2, requires a different analysis of whether its speech is commercial.  (See </w:t>
      </w:r>
      <w:r w:rsidRPr="00883750">
        <w:rPr>
          <w:i/>
          <w:iCs/>
          <w:szCs w:val="27"/>
        </w:rPr>
        <w:t>Kasky</w:t>
      </w:r>
      <w:r w:rsidRPr="00883750">
        <w:rPr>
          <w:szCs w:val="27"/>
        </w:rPr>
        <w:t xml:space="preserve">, </w:t>
      </w:r>
      <w:r w:rsidRPr="00883750">
        <w:rPr>
          <w:i/>
          <w:iCs/>
          <w:szCs w:val="27"/>
        </w:rPr>
        <w:t>supra</w:t>
      </w:r>
      <w:r w:rsidRPr="00883750">
        <w:rPr>
          <w:szCs w:val="27"/>
        </w:rPr>
        <w:t xml:space="preserve">, 27 Cal.4th at p. 959 [“This court has never suggested that the state and federal Constitutions impose </w:t>
      </w:r>
      <w:r w:rsidRPr="00883750">
        <w:rPr>
          <w:i/>
          <w:iCs/>
          <w:szCs w:val="27"/>
        </w:rPr>
        <w:t>different boundaries</w:t>
      </w:r>
      <w:r w:rsidRPr="00883750">
        <w:rPr>
          <w:szCs w:val="27"/>
        </w:rPr>
        <w:t xml:space="preserve"> between the categories of commercial and noncommercial speech”].)</w:t>
      </w:r>
      <w:r w:rsidRPr="00883750" w:rsidR="00B97F1A">
        <w:rPr>
          <w:szCs w:val="27"/>
        </w:rPr>
        <w:t xml:space="preserve"> </w:t>
      </w:r>
    </w:p>
  </w:footnote>
  <w:footnote w:id="6">
    <w:p w:rsidR="0060482C" w:rsidRPr="004E746A" w:rsidP="00314A1F">
      <w:pPr>
        <w:pStyle w:val="FootnoteText"/>
        <w:rPr>
          <w:szCs w:val="27"/>
        </w:rPr>
      </w:pPr>
      <w:r w:rsidRPr="004E746A">
        <w:rPr>
          <w:rStyle w:val="FootnoteReference"/>
          <w:szCs w:val="27"/>
        </w:rPr>
        <w:footnoteRef/>
      </w:r>
      <w:r w:rsidRPr="004E746A">
        <w:rPr>
          <w:szCs w:val="27"/>
        </w:rPr>
        <w:t xml:space="preserve"> </w:t>
      </w:r>
      <w:r w:rsidRPr="004E746A">
        <w:rPr>
          <w:szCs w:val="27"/>
        </w:rPr>
        <w:tab/>
      </w:r>
      <w:r w:rsidRPr="004E746A" w:rsidR="00B02B91">
        <w:rPr>
          <w:szCs w:val="27"/>
        </w:rPr>
        <w:t xml:space="preserve">At times, the parties discuss whether </w:t>
      </w:r>
      <w:r w:rsidRPr="004E746A">
        <w:rPr>
          <w:szCs w:val="27"/>
        </w:rPr>
        <w:t xml:space="preserve">it would be fair to compel </w:t>
      </w:r>
      <w:r w:rsidRPr="004E746A" w:rsidR="00B02B91">
        <w:rPr>
          <w:szCs w:val="27"/>
        </w:rPr>
        <w:t xml:space="preserve">Sony </w:t>
      </w:r>
      <w:r w:rsidRPr="004E746A">
        <w:rPr>
          <w:szCs w:val="27"/>
        </w:rPr>
        <w:t xml:space="preserve">to say the Cascio tracks “might not” contain Jackson vocals.  But the </w:t>
      </w:r>
      <w:r w:rsidRPr="004E746A" w:rsidR="00423AD3">
        <w:rPr>
          <w:szCs w:val="27"/>
        </w:rPr>
        <w:t xml:space="preserve">precise </w:t>
      </w:r>
      <w:r w:rsidRPr="004E746A">
        <w:rPr>
          <w:szCs w:val="27"/>
        </w:rPr>
        <w:t xml:space="preserve">issue presented </w:t>
      </w:r>
      <w:r w:rsidRPr="004E746A" w:rsidR="00423AD3">
        <w:rPr>
          <w:szCs w:val="27"/>
        </w:rPr>
        <w:t xml:space="preserve">here </w:t>
      </w:r>
      <w:r w:rsidRPr="004E746A">
        <w:rPr>
          <w:szCs w:val="27"/>
        </w:rPr>
        <w:t xml:space="preserve">is whether </w:t>
      </w:r>
      <w:r w:rsidRPr="004E746A" w:rsidR="00B02B91">
        <w:rPr>
          <w:szCs w:val="27"/>
        </w:rPr>
        <w:t>the challenged</w:t>
      </w:r>
      <w:r w:rsidRPr="004E746A">
        <w:rPr>
          <w:szCs w:val="27"/>
        </w:rPr>
        <w:t xml:space="preserve"> marketing is commercial and can be </w:t>
      </w:r>
      <w:r w:rsidRPr="004E746A" w:rsidR="00703F8B">
        <w:rPr>
          <w:szCs w:val="27"/>
        </w:rPr>
        <w:t>subject to specific state law claims</w:t>
      </w:r>
      <w:r w:rsidRPr="004E746A">
        <w:rPr>
          <w:szCs w:val="27"/>
        </w:rPr>
        <w:t xml:space="preserve"> if false.</w:t>
      </w:r>
    </w:p>
  </w:footnote>
  <w:footnote w:id="7">
    <w:p w:rsidR="00630864" w:rsidRPr="004836C8" w:rsidP="00314A1F">
      <w:pPr>
        <w:pStyle w:val="FootnoteText"/>
        <w:rPr>
          <w:szCs w:val="27"/>
        </w:rPr>
      </w:pPr>
      <w:r w:rsidRPr="00883750">
        <w:rPr>
          <w:rStyle w:val="FootnoteReference"/>
          <w:szCs w:val="27"/>
        </w:rPr>
        <w:footnoteRef/>
      </w:r>
      <w:r w:rsidRPr="00883750">
        <w:rPr>
          <w:szCs w:val="27"/>
        </w:rPr>
        <w:t xml:space="preserve"> </w:t>
      </w:r>
      <w:r w:rsidRPr="00883750" w:rsidR="002651DC">
        <w:rPr>
          <w:szCs w:val="27"/>
        </w:rPr>
        <w:tab/>
      </w:r>
      <w:r w:rsidRPr="00883750">
        <w:rPr>
          <w:i/>
          <w:iCs/>
          <w:szCs w:val="27"/>
        </w:rPr>
        <w:t>Dastar</w:t>
      </w:r>
      <w:r w:rsidRPr="00883750">
        <w:rPr>
          <w:szCs w:val="27"/>
        </w:rPr>
        <w:t xml:space="preserve"> initially addressed the Lanham Act’s prohibition, in section 43(a)(1)(A) (15 U.S.C. § 1125(a)(1)(A)), on confusing designations of a good’s origin.  It held the origin of an artistic work, under that section, is the origin of the physical embodiment of the work, not the artist.  Thus, there could be no </w:t>
      </w:r>
      <w:r w:rsidRPr="00883750" w:rsidR="006E1E08">
        <w:rPr>
          <w:szCs w:val="27"/>
        </w:rPr>
        <w:t xml:space="preserve">Lanham Act </w:t>
      </w:r>
      <w:r w:rsidRPr="00883750">
        <w:rPr>
          <w:szCs w:val="27"/>
        </w:rPr>
        <w:t>section 43(a)(1)(A) claim for failure to attribute a work.  But, if an artistic work’s advertiser gave purchasers false impressions of the work, then there might be “a cause of action</w:t>
      </w:r>
      <w:r w:rsidRPr="00883750" w:rsidR="00CE6584">
        <w:rPr>
          <w:szCs w:val="27"/>
        </w:rPr>
        <w:t> </w:t>
      </w:r>
      <w:r w:rsidRPr="00883750" w:rsidR="00B06661">
        <w:rPr>
          <w:szCs w:val="27"/>
        </w:rPr>
        <w:t>—</w:t>
      </w:r>
      <w:r w:rsidRPr="00883750" w:rsidR="006E1E08">
        <w:rPr>
          <w:szCs w:val="27"/>
        </w:rPr>
        <w:t xml:space="preserve"> </w:t>
      </w:r>
      <w:r w:rsidRPr="00883750">
        <w:rPr>
          <w:szCs w:val="27"/>
        </w:rPr>
        <w:t>not . . . under the ‘confusion . . . as to the origin’ provision of § 43(a)(1)(A), but for misrepresentation under the ‘misrepresents the nature, characteristics [or] qualities’ provision of § 43(a)(1)(B).”  (</w:t>
      </w:r>
      <w:r w:rsidRPr="00883750">
        <w:rPr>
          <w:i/>
          <w:iCs/>
          <w:szCs w:val="27"/>
        </w:rPr>
        <w:t>Dastar</w:t>
      </w:r>
      <w:r w:rsidRPr="00883750">
        <w:rPr>
          <w:szCs w:val="27"/>
        </w:rPr>
        <w:t xml:space="preserve">, </w:t>
      </w:r>
      <w:r w:rsidRPr="00883750">
        <w:rPr>
          <w:i/>
          <w:iCs/>
          <w:szCs w:val="27"/>
        </w:rPr>
        <w:t>supra</w:t>
      </w:r>
      <w:r w:rsidRPr="00883750">
        <w:rPr>
          <w:szCs w:val="27"/>
        </w:rPr>
        <w:t>, 539 U.S. at p. 38; see generally 5 McCarthy on Tra</w:t>
      </w:r>
      <w:r w:rsidRPr="004E746A">
        <w:rPr>
          <w:szCs w:val="27"/>
        </w:rPr>
        <w:t>demarks and Unfair Competition</w:t>
      </w:r>
      <w:r w:rsidRPr="004E746A" w:rsidR="006E1E08">
        <w:rPr>
          <w:szCs w:val="27"/>
        </w:rPr>
        <w:t xml:space="preserve"> (5th ed. </w:t>
      </w:r>
      <w:r w:rsidR="004E746A">
        <w:rPr>
          <w:szCs w:val="27"/>
        </w:rPr>
        <w:t>June 2022 update</w:t>
      </w:r>
      <w:r w:rsidRPr="004E746A" w:rsidR="006E1E08">
        <w:rPr>
          <w:szCs w:val="27"/>
        </w:rPr>
        <w:t>)</w:t>
      </w:r>
      <w:r w:rsidRPr="00883750">
        <w:rPr>
          <w:szCs w:val="27"/>
        </w:rPr>
        <w:t xml:space="preserve"> § 27:85 [discussing </w:t>
      </w:r>
      <w:r w:rsidRPr="00883750">
        <w:rPr>
          <w:i/>
          <w:iCs/>
          <w:szCs w:val="27"/>
        </w:rPr>
        <w:t>D</w:t>
      </w:r>
      <w:r w:rsidRPr="004E746A">
        <w:rPr>
          <w:i/>
          <w:iCs/>
          <w:szCs w:val="27"/>
        </w:rPr>
        <w:t>astar</w:t>
      </w:r>
      <w:r w:rsidRPr="004E746A">
        <w:rPr>
          <w:szCs w:val="27"/>
        </w:rPr>
        <w:t xml:space="preserve">]; </w:t>
      </w:r>
      <w:r w:rsidRPr="004E746A" w:rsidR="005F54A6">
        <w:rPr>
          <w:szCs w:val="27"/>
        </w:rPr>
        <w:t xml:space="preserve">U.S. Copyrights Office, </w:t>
      </w:r>
      <w:r w:rsidRPr="004E746A">
        <w:rPr>
          <w:szCs w:val="27"/>
        </w:rPr>
        <w:t>Register of Copyrights, Authors, Attribution, and Integrity: Examining Moral Rights in the United States</w:t>
      </w:r>
      <w:r w:rsidRPr="004E746A" w:rsidR="005F54A6">
        <w:rPr>
          <w:szCs w:val="27"/>
        </w:rPr>
        <w:t xml:space="preserve"> (Apr. 2019)</w:t>
      </w:r>
      <w:r w:rsidRPr="004E746A">
        <w:rPr>
          <w:szCs w:val="27"/>
        </w:rPr>
        <w:t xml:space="preserve"> p. 55 [same].)</w:t>
      </w:r>
      <w:r w:rsidRPr="00883750">
        <w:rPr>
          <w:szCs w:val="27"/>
        </w:rPr>
        <w:t xml:space="preserve">  </w:t>
      </w:r>
      <w:r w:rsidRPr="00883750">
        <w:rPr>
          <w:i/>
          <w:iCs/>
          <w:szCs w:val="27"/>
        </w:rPr>
        <w:t>Dastar</w:t>
      </w:r>
      <w:r w:rsidRPr="00883750">
        <w:rPr>
          <w:szCs w:val="27"/>
        </w:rPr>
        <w:t>, in interpreting the Lanham Act’s scope, never suggested a First Amendment concern with applying that law, or any other consumer protection law, to expressive works.</w:t>
      </w:r>
    </w:p>
  </w:footnote>
  <w:footnote w:id="8">
    <w:p w:rsidR="004E746A" w:rsidP="004E746A">
      <w:pPr>
        <w:pStyle w:val="FootnoteText"/>
      </w:pPr>
      <w:r>
        <w:rPr>
          <w:rStyle w:val="FootnoteReference"/>
        </w:rPr>
        <w:footnoteRef/>
      </w:r>
      <w:r>
        <w:t xml:space="preserve"> </w:t>
      </w:r>
      <w:r>
        <w:tab/>
        <w:t>All Internet citations in this opinion are archived by year, docket number, and case name at &lt;http://www.courts.ca.gov/38324.htm&gt;.</w:t>
      </w:r>
    </w:p>
  </w:footnote>
  <w:footnote w:id="9">
    <w:p w:rsidR="00136CEB" w:rsidRPr="004E746A" w:rsidP="00314A1F">
      <w:pPr>
        <w:pStyle w:val="FootnoteText"/>
        <w:rPr>
          <w:szCs w:val="27"/>
        </w:rPr>
      </w:pPr>
      <w:r w:rsidRPr="004E746A">
        <w:rPr>
          <w:rStyle w:val="FootnoteReference"/>
          <w:szCs w:val="27"/>
        </w:rPr>
        <w:footnoteRef/>
      </w:r>
      <w:r w:rsidRPr="004E746A">
        <w:rPr>
          <w:szCs w:val="27"/>
        </w:rPr>
        <w:t xml:space="preserve"> </w:t>
      </w:r>
      <w:r w:rsidRPr="004E746A">
        <w:rPr>
          <w:szCs w:val="27"/>
        </w:rPr>
        <w:tab/>
        <w:t xml:space="preserve">As to artistic reputation, if Jackson’s estate believed another music publisher </w:t>
      </w:r>
      <w:r w:rsidRPr="004E746A" w:rsidR="00B2360A">
        <w:rPr>
          <w:szCs w:val="27"/>
        </w:rPr>
        <w:t xml:space="preserve">were </w:t>
      </w:r>
      <w:r w:rsidRPr="004E746A">
        <w:rPr>
          <w:szCs w:val="27"/>
        </w:rPr>
        <w:t>selling subpar recordings and erroneously attributing the lead vocals to Jackson, one could imagine the estate filing its own false advertising suit and asserting it was challenging commercial speech.  The risk of such reputational harm “is particularly acute in the arts and entertainment industries, in which the marketability of a person's goods or services is in large measure dependent upon recognition for past achievements.”  (</w:t>
      </w:r>
      <w:r w:rsidRPr="004E746A" w:rsidR="00075364">
        <w:rPr>
          <w:szCs w:val="27"/>
        </w:rPr>
        <w:t>Rest.3d</w:t>
      </w:r>
      <w:r w:rsidRPr="004E746A">
        <w:rPr>
          <w:szCs w:val="27"/>
        </w:rPr>
        <w:t xml:space="preserve"> Unfair Competition, § 5</w:t>
      </w:r>
      <w:r w:rsidRPr="004E746A" w:rsidR="00075364">
        <w:rPr>
          <w:szCs w:val="27"/>
        </w:rPr>
        <w:t xml:space="preserve">, com. c., p. </w:t>
      </w:r>
      <w:r w:rsidR="00883750">
        <w:rPr>
          <w:szCs w:val="27"/>
        </w:rPr>
        <w:t>58</w:t>
      </w:r>
      <w:r w:rsidRPr="004E746A" w:rsidR="00883750">
        <w:rPr>
          <w:szCs w:val="27"/>
        </w:rPr>
        <w:t xml:space="preserve">.)  </w:t>
      </w:r>
      <w:r w:rsidRPr="004E746A">
        <w:rPr>
          <w:szCs w:val="27"/>
        </w:rPr>
        <w:t>We have held, moreover, a celebrity may assert violations of publicity rights if another’s use of the celebrity’s name or likeness in an expressive work is not transformative</w:t>
      </w:r>
      <w:r w:rsidRPr="004E746A" w:rsidR="00CE6584">
        <w:rPr>
          <w:szCs w:val="27"/>
        </w:rPr>
        <w:t> </w:t>
      </w:r>
      <w:r w:rsidRPr="004E746A">
        <w:rPr>
          <w:szCs w:val="27"/>
        </w:rPr>
        <w:t>—</w:t>
      </w:r>
      <w:r w:rsidRPr="004E746A" w:rsidR="00075364">
        <w:rPr>
          <w:szCs w:val="27"/>
        </w:rPr>
        <w:t xml:space="preserve"> </w:t>
      </w:r>
      <w:r w:rsidRPr="004E746A">
        <w:rPr>
          <w:szCs w:val="27"/>
        </w:rPr>
        <w:t>that is, does not add some sufficient new meaning or expression.  (</w:t>
      </w:r>
      <w:r w:rsidRPr="004E746A">
        <w:rPr>
          <w:i/>
          <w:iCs/>
          <w:szCs w:val="27"/>
        </w:rPr>
        <w:t>Comedy III Productions, Inc. v. Gary Saderup, Inc.</w:t>
      </w:r>
      <w:r w:rsidRPr="004E746A">
        <w:rPr>
          <w:szCs w:val="27"/>
        </w:rPr>
        <w:t xml:space="preserve"> (2001) 25 Cal.4th 387, 405 [a T-shirt artist’s use of an image he created of The Three Stooges]; accord</w:t>
      </w:r>
      <w:r w:rsidRPr="004E746A" w:rsidR="00075364">
        <w:rPr>
          <w:szCs w:val="27"/>
        </w:rPr>
        <w:t>,</w:t>
      </w:r>
      <w:r w:rsidRPr="004E746A">
        <w:rPr>
          <w:szCs w:val="27"/>
        </w:rPr>
        <w:t xml:space="preserve"> </w:t>
      </w:r>
      <w:r w:rsidRPr="004E746A">
        <w:rPr>
          <w:i/>
          <w:iCs/>
          <w:szCs w:val="27"/>
        </w:rPr>
        <w:t>Hart v. Elec. Arts, Inc.</w:t>
      </w:r>
      <w:r w:rsidRPr="004E746A">
        <w:rPr>
          <w:szCs w:val="27"/>
        </w:rPr>
        <w:t xml:space="preserve"> (3d Cir. 2013) 717 F.3d 141, 170 [a videogame’s use of an athlete’s name and likeness].)</w:t>
      </w:r>
    </w:p>
  </w:footnote>
  <w:footnote w:id="10">
    <w:p w:rsidR="00630864" w:rsidRPr="004836C8" w:rsidP="00314A1F">
      <w:pPr>
        <w:pStyle w:val="FootnoteText"/>
        <w:rPr>
          <w:szCs w:val="27"/>
        </w:rPr>
      </w:pPr>
      <w:r w:rsidRPr="004E746A">
        <w:rPr>
          <w:rStyle w:val="FootnoteReference"/>
          <w:szCs w:val="27"/>
        </w:rPr>
        <w:footnoteRef/>
      </w:r>
      <w:r w:rsidRPr="004E746A">
        <w:rPr>
          <w:szCs w:val="27"/>
        </w:rPr>
        <w:tab/>
        <w:t xml:space="preserve">Though the reasoning of some of these Lanham Act cases may not survive </w:t>
      </w:r>
      <w:r w:rsidRPr="004E746A">
        <w:rPr>
          <w:i/>
          <w:iCs/>
          <w:szCs w:val="27"/>
        </w:rPr>
        <w:t>Dastar</w:t>
      </w:r>
      <w:r w:rsidRPr="004E746A">
        <w:rPr>
          <w:szCs w:val="27"/>
        </w:rPr>
        <w:t>’s</w:t>
      </w:r>
      <w:r w:rsidRPr="004E746A">
        <w:rPr>
          <w:i/>
          <w:iCs/>
          <w:szCs w:val="27"/>
        </w:rPr>
        <w:t xml:space="preserve"> </w:t>
      </w:r>
      <w:r w:rsidRPr="004E746A">
        <w:rPr>
          <w:szCs w:val="27"/>
        </w:rPr>
        <w:t>narrowing of what origin</w:t>
      </w:r>
      <w:r w:rsidRPr="004E746A" w:rsidR="004E746A">
        <w:rPr>
          <w:szCs w:val="27"/>
        </w:rPr>
        <w:t>-</w:t>
      </w:r>
      <w:r w:rsidRPr="004E746A">
        <w:rPr>
          <w:szCs w:val="27"/>
        </w:rPr>
        <w:t>of</w:t>
      </w:r>
      <w:r w:rsidRPr="004E746A" w:rsidR="004E746A">
        <w:rPr>
          <w:szCs w:val="27"/>
        </w:rPr>
        <w:t>-</w:t>
      </w:r>
      <w:r w:rsidRPr="004E746A">
        <w:rPr>
          <w:szCs w:val="27"/>
        </w:rPr>
        <w:t>goods claims may entail, many feature false advertising claims still potent</w:t>
      </w:r>
      <w:r w:rsidRPr="00DA05D5">
        <w:rPr>
          <w:szCs w:val="27"/>
        </w:rPr>
        <w:t xml:space="preserve">ially cognizable under the act or possibly other laws.  (See </w:t>
      </w:r>
      <w:r w:rsidRPr="00DA05D5">
        <w:rPr>
          <w:i/>
          <w:iCs/>
          <w:szCs w:val="27"/>
        </w:rPr>
        <w:t>ante</w:t>
      </w:r>
      <w:r w:rsidRPr="00DA05D5">
        <w:rPr>
          <w:szCs w:val="27"/>
        </w:rPr>
        <w:t xml:space="preserve">, </w:t>
      </w:r>
      <w:r w:rsidRPr="00341D2C">
        <w:rPr>
          <w:szCs w:val="27"/>
        </w:rPr>
        <w:t>fn.</w:t>
      </w:r>
      <w:r w:rsidRPr="00341D2C" w:rsidR="00197B26">
        <w:rPr>
          <w:szCs w:val="27"/>
        </w:rPr>
        <w:t xml:space="preserve"> </w:t>
      </w:r>
      <w:r w:rsidRPr="00341D2C" w:rsidR="00E65057">
        <w:rPr>
          <w:szCs w:val="27"/>
        </w:rPr>
        <w:t>5</w:t>
      </w:r>
      <w:r w:rsidRPr="00DA05D5" w:rsidR="00A06D18">
        <w:rPr>
          <w:szCs w:val="27"/>
        </w:rPr>
        <w:t>.)</w:t>
      </w:r>
    </w:p>
  </w:footnote>
  <w:footnote w:id="11">
    <w:p w:rsidR="00630864" w:rsidRPr="004E746A" w:rsidP="00314A1F">
      <w:pPr>
        <w:pStyle w:val="FootnoteText"/>
        <w:rPr>
          <w:szCs w:val="27"/>
        </w:rPr>
      </w:pPr>
      <w:r w:rsidRPr="004E746A">
        <w:rPr>
          <w:rStyle w:val="FootnoteReference"/>
          <w:szCs w:val="27"/>
        </w:rPr>
        <w:footnoteRef/>
      </w:r>
      <w:r w:rsidRPr="004E746A">
        <w:rPr>
          <w:szCs w:val="27"/>
        </w:rPr>
        <w:t xml:space="preserve"> </w:t>
      </w:r>
      <w:r w:rsidRPr="004E746A">
        <w:rPr>
          <w:szCs w:val="27"/>
        </w:rPr>
        <w:tab/>
      </w:r>
      <w:r w:rsidRPr="004E746A">
        <w:rPr>
          <w:i/>
          <w:iCs/>
          <w:szCs w:val="27"/>
        </w:rPr>
        <w:t>Keimer</w:t>
      </w:r>
      <w:r w:rsidRPr="004E746A">
        <w:rPr>
          <w:szCs w:val="27"/>
        </w:rPr>
        <w:t>,</w:t>
      </w:r>
      <w:r w:rsidRPr="004E746A">
        <w:rPr>
          <w:i/>
          <w:iCs/>
          <w:szCs w:val="27"/>
        </w:rPr>
        <w:t xml:space="preserve"> </w:t>
      </w:r>
      <w:r w:rsidRPr="004E746A">
        <w:rPr>
          <w:szCs w:val="27"/>
        </w:rPr>
        <w:t xml:space="preserve">which involved advertising material on a book cover excerpted directly from </w:t>
      </w:r>
      <w:r w:rsidR="004E746A">
        <w:rPr>
          <w:szCs w:val="27"/>
        </w:rPr>
        <w:t>the book’s</w:t>
      </w:r>
      <w:r w:rsidRPr="004E746A">
        <w:rPr>
          <w:szCs w:val="27"/>
        </w:rPr>
        <w:t xml:space="preserve"> text (</w:t>
      </w:r>
      <w:r w:rsidRPr="004E746A">
        <w:rPr>
          <w:i/>
          <w:iCs/>
          <w:szCs w:val="27"/>
        </w:rPr>
        <w:t>Keimer</w:t>
      </w:r>
      <w:r w:rsidRPr="004E746A">
        <w:rPr>
          <w:szCs w:val="27"/>
        </w:rPr>
        <w:t>,</w:t>
      </w:r>
      <w:r w:rsidRPr="004E746A" w:rsidR="003C247C">
        <w:rPr>
          <w:szCs w:val="27"/>
        </w:rPr>
        <w:t xml:space="preserve"> </w:t>
      </w:r>
      <w:r w:rsidRPr="004E746A" w:rsidR="003C247C">
        <w:rPr>
          <w:i/>
          <w:iCs/>
          <w:szCs w:val="27"/>
        </w:rPr>
        <w:t>supra</w:t>
      </w:r>
      <w:r w:rsidRPr="004E746A" w:rsidR="003C247C">
        <w:rPr>
          <w:szCs w:val="27"/>
        </w:rPr>
        <w:t>, 75 Cal.App.4th</w:t>
      </w:r>
      <w:r w:rsidRPr="004E746A">
        <w:rPr>
          <w:szCs w:val="27"/>
        </w:rPr>
        <w:t xml:space="preserve"> at pp. 1225, 1233), has been criticized as insufficiently protective of free speech (e.g., </w:t>
      </w:r>
      <w:r w:rsidRPr="004E746A">
        <w:rPr>
          <w:i/>
          <w:iCs/>
          <w:szCs w:val="27"/>
        </w:rPr>
        <w:t>Lacoff v. Buena Vista Publ’g, Inc.</w:t>
      </w:r>
      <w:r w:rsidRPr="004E746A">
        <w:rPr>
          <w:szCs w:val="27"/>
        </w:rPr>
        <w:t xml:space="preserve"> (2000) 705 N.Y.S.2d 183, 191</w:t>
      </w:r>
      <w:r w:rsidRPr="004E746A" w:rsidR="003C247C">
        <w:rPr>
          <w:szCs w:val="27"/>
        </w:rPr>
        <w:t xml:space="preserve"> [183 Misc.2d 600, 610]</w:t>
      </w:r>
      <w:r w:rsidRPr="004E746A">
        <w:rPr>
          <w:szCs w:val="27"/>
        </w:rPr>
        <w:t xml:space="preserve"> [classifying the identical advertising material as noncommercial and expressly rejecting </w:t>
      </w:r>
      <w:r w:rsidRPr="004E746A">
        <w:rPr>
          <w:i/>
          <w:iCs/>
          <w:szCs w:val="27"/>
        </w:rPr>
        <w:t>Keimer</w:t>
      </w:r>
      <w:r w:rsidRPr="004E746A">
        <w:rPr>
          <w:szCs w:val="27"/>
        </w:rPr>
        <w:t xml:space="preserve">]).  Given Sony’s advertising does not reproduce the music on </w:t>
      </w:r>
      <w:r w:rsidRPr="00DE47E6">
        <w:rPr>
          <w:i/>
          <w:iCs/>
          <w:szCs w:val="27"/>
        </w:rPr>
        <w:t>Michael</w:t>
      </w:r>
      <w:r w:rsidRPr="004E746A">
        <w:rPr>
          <w:szCs w:val="27"/>
        </w:rPr>
        <w:t xml:space="preserve">, we need not address this criticism of </w:t>
      </w:r>
      <w:r w:rsidRPr="004E746A">
        <w:rPr>
          <w:i/>
          <w:iCs/>
          <w:szCs w:val="27"/>
        </w:rPr>
        <w:t>Keimer</w:t>
      </w:r>
      <w:r w:rsidRPr="004E746A">
        <w:rPr>
          <w:szCs w:val="27"/>
        </w:rPr>
        <w:t xml:space="preserve">, or, for that matter, </w:t>
      </w:r>
      <w:r w:rsidRPr="004E746A" w:rsidR="00B21850">
        <w:rPr>
          <w:szCs w:val="27"/>
        </w:rPr>
        <w:t>address</w:t>
      </w:r>
      <w:r w:rsidRPr="004E746A">
        <w:rPr>
          <w:szCs w:val="27"/>
        </w:rPr>
        <w:t xml:space="preserve"> the full contours of a doctrine governing the promotion of expressive works.  (See </w:t>
      </w:r>
      <w:r w:rsidRPr="004E746A">
        <w:rPr>
          <w:i/>
          <w:iCs/>
          <w:szCs w:val="27"/>
        </w:rPr>
        <w:t>Charles</w:t>
      </w:r>
      <w:r w:rsidRPr="004E746A" w:rsidR="002D610D">
        <w:rPr>
          <w:szCs w:val="27"/>
        </w:rPr>
        <w:t xml:space="preserve"> </w:t>
      </w:r>
      <w:r w:rsidRPr="004E746A" w:rsidR="002D610D">
        <w:rPr>
          <w:i/>
          <w:iCs/>
          <w:szCs w:val="27"/>
        </w:rPr>
        <w:t>v. City of L</w:t>
      </w:r>
      <w:r w:rsidRPr="004E746A" w:rsidR="0065561F">
        <w:rPr>
          <w:i/>
          <w:iCs/>
          <w:szCs w:val="27"/>
        </w:rPr>
        <w:t xml:space="preserve">os </w:t>
      </w:r>
      <w:r w:rsidRPr="004E746A" w:rsidR="002D610D">
        <w:rPr>
          <w:i/>
          <w:iCs/>
          <w:szCs w:val="27"/>
        </w:rPr>
        <w:t>A</w:t>
      </w:r>
      <w:r w:rsidRPr="004E746A" w:rsidR="0065561F">
        <w:rPr>
          <w:i/>
          <w:iCs/>
          <w:szCs w:val="27"/>
        </w:rPr>
        <w:t>ngeles</w:t>
      </w:r>
      <w:r w:rsidRPr="004E746A">
        <w:rPr>
          <w:szCs w:val="27"/>
        </w:rPr>
        <w:t xml:space="preserve"> </w:t>
      </w:r>
      <w:r w:rsidRPr="004E746A" w:rsidR="002D610D">
        <w:rPr>
          <w:szCs w:val="27"/>
        </w:rPr>
        <w:t>(9th Cir. 2012)</w:t>
      </w:r>
      <w:r w:rsidRPr="004E746A">
        <w:rPr>
          <w:szCs w:val="27"/>
        </w:rPr>
        <w:t xml:space="preserve"> 697 F.3d </w:t>
      </w:r>
      <w:r w:rsidRPr="004E746A" w:rsidR="002D610D">
        <w:rPr>
          <w:szCs w:val="27"/>
        </w:rPr>
        <w:t>1146,</w:t>
      </w:r>
      <w:r w:rsidRPr="004E746A">
        <w:rPr>
          <w:szCs w:val="27"/>
        </w:rPr>
        <w:t xml:space="preserve"> 1155</w:t>
      </w:r>
      <w:r w:rsidRPr="004E746A" w:rsidR="002D610D">
        <w:rPr>
          <w:szCs w:val="27"/>
        </w:rPr>
        <w:t xml:space="preserve"> (</w:t>
      </w:r>
      <w:r w:rsidRPr="004E746A" w:rsidR="002D610D">
        <w:rPr>
          <w:i/>
          <w:iCs/>
          <w:szCs w:val="27"/>
        </w:rPr>
        <w:t>Charles</w:t>
      </w:r>
      <w:r w:rsidRPr="004E746A" w:rsidR="002D610D">
        <w:rPr>
          <w:szCs w:val="27"/>
        </w:rPr>
        <w:t>)</w:t>
      </w:r>
      <w:r w:rsidRPr="004E746A">
        <w:rPr>
          <w:szCs w:val="27"/>
        </w:rPr>
        <w:t xml:space="preserve"> [noting the conflict].)</w:t>
      </w:r>
    </w:p>
  </w:footnote>
  <w:footnote w:id="12">
    <w:p w:rsidR="00630864" w:rsidRPr="007563B4" w:rsidP="00314A1F">
      <w:pPr>
        <w:pStyle w:val="FootnoteText"/>
        <w:rPr>
          <w:szCs w:val="27"/>
        </w:rPr>
      </w:pPr>
      <w:r w:rsidRPr="007563B4">
        <w:rPr>
          <w:rStyle w:val="FootnoteReference"/>
          <w:szCs w:val="27"/>
        </w:rPr>
        <w:footnoteRef/>
      </w:r>
      <w:r w:rsidRPr="007563B4">
        <w:rPr>
          <w:szCs w:val="27"/>
        </w:rPr>
        <w:tab/>
        <w:t xml:space="preserve">In </w:t>
      </w:r>
      <w:r w:rsidRPr="007563B4">
        <w:rPr>
          <w:i/>
          <w:iCs/>
          <w:szCs w:val="27"/>
        </w:rPr>
        <w:t>JAMS</w:t>
      </w:r>
      <w:r w:rsidRPr="007563B4">
        <w:rPr>
          <w:szCs w:val="27"/>
        </w:rPr>
        <w:t xml:space="preserve">, the Court of Appeal </w:t>
      </w:r>
      <w:r w:rsidRPr="007563B4" w:rsidR="002E4728">
        <w:rPr>
          <w:szCs w:val="27"/>
        </w:rPr>
        <w:t xml:space="preserve">concluded </w:t>
      </w:r>
      <w:r w:rsidRPr="007563B4">
        <w:rPr>
          <w:szCs w:val="27"/>
        </w:rPr>
        <w:t xml:space="preserve">the speech </w:t>
      </w:r>
      <w:r w:rsidRPr="007563B4" w:rsidR="002E4728">
        <w:rPr>
          <w:szCs w:val="27"/>
        </w:rPr>
        <w:t xml:space="preserve">was </w:t>
      </w:r>
      <w:r w:rsidRPr="007563B4">
        <w:rPr>
          <w:szCs w:val="27"/>
        </w:rPr>
        <w:t xml:space="preserve">commercial under section 425.17, which, as explained above, exempts certain claims arising from commercial speech from the reach of the anti-SLAPP statute.  In doing so, it employed </w:t>
      </w:r>
      <w:r w:rsidRPr="007563B4">
        <w:rPr>
          <w:i/>
          <w:iCs/>
          <w:szCs w:val="27"/>
        </w:rPr>
        <w:t>Kasky</w:t>
      </w:r>
      <w:r w:rsidRPr="007563B4">
        <w:rPr>
          <w:szCs w:val="27"/>
        </w:rPr>
        <w:t>’s framework.  (</w:t>
      </w:r>
      <w:r w:rsidRPr="007563B4">
        <w:rPr>
          <w:i/>
          <w:iCs/>
          <w:szCs w:val="27"/>
        </w:rPr>
        <w:t>JAMS</w:t>
      </w:r>
      <w:r w:rsidRPr="007563B4">
        <w:rPr>
          <w:szCs w:val="27"/>
        </w:rPr>
        <w:t>,</w:t>
      </w:r>
      <w:r w:rsidRPr="007563B4">
        <w:rPr>
          <w:i/>
          <w:iCs/>
          <w:szCs w:val="27"/>
        </w:rPr>
        <w:t xml:space="preserve"> supra</w:t>
      </w:r>
      <w:r w:rsidRPr="007563B4">
        <w:rPr>
          <w:szCs w:val="27"/>
        </w:rPr>
        <w:t>,</w:t>
      </w:r>
      <w:r w:rsidRPr="007563B4">
        <w:rPr>
          <w:i/>
          <w:iCs/>
          <w:szCs w:val="27"/>
        </w:rPr>
        <w:t xml:space="preserve"> </w:t>
      </w:r>
      <w:r w:rsidRPr="007563B4">
        <w:rPr>
          <w:szCs w:val="27"/>
        </w:rPr>
        <w:t>1 Cal.App.5th at p. 994.)</w:t>
      </w:r>
    </w:p>
  </w:footnote>
  <w:footnote w:id="13">
    <w:p w:rsidR="00630864" w:rsidRPr="007563B4" w:rsidP="00314A1F">
      <w:pPr>
        <w:pStyle w:val="FootnoteText"/>
        <w:rPr>
          <w:szCs w:val="27"/>
        </w:rPr>
      </w:pPr>
      <w:r w:rsidRPr="007563B4">
        <w:rPr>
          <w:rStyle w:val="FootnoteReference"/>
          <w:szCs w:val="27"/>
        </w:rPr>
        <w:footnoteRef/>
      </w:r>
      <w:r w:rsidRPr="005F6AB3">
        <w:rPr>
          <w:szCs w:val="27"/>
        </w:rPr>
        <w:tab/>
      </w:r>
      <w:r w:rsidRPr="007563B4">
        <w:rPr>
          <w:szCs w:val="27"/>
        </w:rPr>
        <w:t>Presumably, Sony would seek to invoke any warranties, or assert fraud or other claims, against Cascio and his associates if it believed they peddled fake recordings.</w:t>
      </w:r>
    </w:p>
  </w:footnote>
  <w:footnote w:id="14">
    <w:p w:rsidR="005C594D" w:rsidRPr="00883750" w:rsidP="00314A1F">
      <w:pPr>
        <w:pStyle w:val="FootnoteText"/>
        <w:rPr>
          <w:szCs w:val="27"/>
        </w:rPr>
      </w:pPr>
      <w:r w:rsidRPr="00883750">
        <w:rPr>
          <w:rStyle w:val="FootnoteReference"/>
          <w:szCs w:val="27"/>
        </w:rPr>
        <w:footnoteRef/>
      </w:r>
      <w:r w:rsidRPr="00883750">
        <w:rPr>
          <w:szCs w:val="27"/>
        </w:rPr>
        <w:t xml:space="preserve"> </w:t>
      </w:r>
      <w:r w:rsidRPr="00883750">
        <w:rPr>
          <w:szCs w:val="27"/>
        </w:rPr>
        <w:tab/>
        <w:t>We</w:t>
      </w:r>
      <w:r w:rsidRPr="00883750" w:rsidR="001626EA">
        <w:rPr>
          <w:szCs w:val="27"/>
        </w:rPr>
        <w:t xml:space="preserve"> caution </w:t>
      </w:r>
      <w:r w:rsidRPr="00883750">
        <w:rPr>
          <w:szCs w:val="27"/>
        </w:rPr>
        <w:t>that our discussion of potential verifiability is not based on a developed factual record</w:t>
      </w:r>
      <w:r w:rsidRPr="00883750" w:rsidR="00331377">
        <w:rPr>
          <w:szCs w:val="27"/>
        </w:rPr>
        <w:t>,</w:t>
      </w:r>
      <w:r w:rsidRPr="00883750" w:rsidR="00EF3635">
        <w:rPr>
          <w:szCs w:val="27"/>
        </w:rPr>
        <w:t xml:space="preserve"> and we express no opinion on whether Sony could have </w:t>
      </w:r>
      <w:r w:rsidRPr="00883750" w:rsidR="00331377">
        <w:rPr>
          <w:szCs w:val="27"/>
        </w:rPr>
        <w:t xml:space="preserve">actually </w:t>
      </w:r>
      <w:r w:rsidRPr="00883750" w:rsidR="00EF3635">
        <w:rPr>
          <w:szCs w:val="27"/>
        </w:rPr>
        <w:t>verified the Cascio tracks’ vocals</w:t>
      </w:r>
      <w:r w:rsidRPr="00883750">
        <w:rPr>
          <w:szCs w:val="27"/>
        </w:rPr>
        <w:t xml:space="preserve">.  </w:t>
      </w:r>
      <w:r w:rsidRPr="00883750" w:rsidR="00D51552">
        <w:rPr>
          <w:szCs w:val="27"/>
        </w:rPr>
        <w:t xml:space="preserve">Verifiability as a potential </w:t>
      </w:r>
      <w:r w:rsidRPr="00883750" w:rsidR="002275D3">
        <w:rPr>
          <w:szCs w:val="27"/>
        </w:rPr>
        <w:t>requirement for commercial speech</w:t>
      </w:r>
      <w:r w:rsidRPr="00883750" w:rsidR="00FD6BD9">
        <w:rPr>
          <w:szCs w:val="27"/>
        </w:rPr>
        <w:t xml:space="preserve"> only factored into the Court of Appeal’s decision, not the superior court’s, </w:t>
      </w:r>
      <w:r w:rsidRPr="00883750" w:rsidR="002275D3">
        <w:rPr>
          <w:szCs w:val="27"/>
        </w:rPr>
        <w:t>and the parties, as evidenced by their issue-limiting stipulation, saw no need to conduct discovery concerning verif</w:t>
      </w:r>
      <w:r w:rsidRPr="0073163B" w:rsidR="002275D3">
        <w:rPr>
          <w:szCs w:val="27"/>
        </w:rPr>
        <w:t>iability</w:t>
      </w:r>
      <w:r w:rsidRPr="0073163B" w:rsidR="00A43A64">
        <w:rPr>
          <w:szCs w:val="27"/>
        </w:rPr>
        <w:t xml:space="preserve"> or </w:t>
      </w:r>
      <w:r w:rsidRPr="0073163B" w:rsidR="00EF3635">
        <w:rPr>
          <w:szCs w:val="27"/>
        </w:rPr>
        <w:t xml:space="preserve">any </w:t>
      </w:r>
      <w:r w:rsidRPr="0073163B" w:rsidR="00A43A64">
        <w:rPr>
          <w:szCs w:val="27"/>
        </w:rPr>
        <w:t>other matters related to Sony’s motion</w:t>
      </w:r>
      <w:r w:rsidRPr="0073163B" w:rsidR="002275D3">
        <w:rPr>
          <w:szCs w:val="27"/>
        </w:rPr>
        <w:t>.</w:t>
      </w:r>
      <w:r w:rsidRPr="0073163B" w:rsidR="00CF0E43">
        <w:rPr>
          <w:szCs w:val="27"/>
        </w:rPr>
        <w:t xml:space="preserve">  </w:t>
      </w:r>
      <w:r w:rsidRPr="0073163B" w:rsidR="00B103B7">
        <w:rPr>
          <w:szCs w:val="27"/>
        </w:rPr>
        <w:t xml:space="preserve">(See </w:t>
      </w:r>
      <w:r w:rsidRPr="0073163B" w:rsidR="00B103B7">
        <w:rPr>
          <w:i/>
          <w:iCs/>
          <w:szCs w:val="27"/>
        </w:rPr>
        <w:t>ante</w:t>
      </w:r>
      <w:r w:rsidRPr="0073163B" w:rsidR="00B103B7">
        <w:rPr>
          <w:szCs w:val="27"/>
        </w:rPr>
        <w:t xml:space="preserve">, </w:t>
      </w:r>
      <w:r w:rsidRPr="00341D2C" w:rsidR="00F64D96">
        <w:rPr>
          <w:szCs w:val="27"/>
        </w:rPr>
        <w:t>fn.</w:t>
      </w:r>
      <w:r w:rsidRPr="00341D2C" w:rsidR="00B103B7">
        <w:rPr>
          <w:szCs w:val="27"/>
        </w:rPr>
        <w:t xml:space="preserve"> </w:t>
      </w:r>
      <w:r w:rsidRPr="00341D2C" w:rsidR="00F64D96">
        <w:rPr>
          <w:szCs w:val="27"/>
        </w:rPr>
        <w:t>2</w:t>
      </w:r>
      <w:r w:rsidRPr="0073163B" w:rsidR="00B103B7">
        <w:rPr>
          <w:szCs w:val="27"/>
        </w:rPr>
        <w:t>.)</w:t>
      </w:r>
    </w:p>
  </w:footnote>
  <w:footnote w:id="15">
    <w:p w:rsidR="00E21A35" w:rsidRPr="00883750" w:rsidP="00314A1F">
      <w:pPr>
        <w:pStyle w:val="FootnoteText"/>
        <w:rPr>
          <w:szCs w:val="27"/>
        </w:rPr>
      </w:pPr>
      <w:r w:rsidRPr="00883750">
        <w:rPr>
          <w:rStyle w:val="FootnoteReference"/>
          <w:szCs w:val="27"/>
        </w:rPr>
        <w:footnoteRef/>
      </w:r>
      <w:r w:rsidRPr="005F6AB3">
        <w:rPr>
          <w:szCs w:val="27"/>
        </w:rPr>
        <w:tab/>
      </w:r>
      <w:r w:rsidR="0032076B">
        <w:rPr>
          <w:szCs w:val="27"/>
        </w:rPr>
        <w:t>N</w:t>
      </w:r>
      <w:r w:rsidRPr="00967AA4">
        <w:rPr>
          <w:szCs w:val="27"/>
        </w:rPr>
        <w:t>either party, nor any of the amici</w:t>
      </w:r>
      <w:r w:rsidRPr="00967AA4" w:rsidR="0040363E">
        <w:rPr>
          <w:szCs w:val="27"/>
        </w:rPr>
        <w:t xml:space="preserve"> cur</w:t>
      </w:r>
      <w:r w:rsidRPr="00967AA4" w:rsidR="00DD2C22">
        <w:rPr>
          <w:szCs w:val="27"/>
        </w:rPr>
        <w:t>i</w:t>
      </w:r>
      <w:r w:rsidRPr="00967AA4" w:rsidR="0040363E">
        <w:rPr>
          <w:szCs w:val="27"/>
        </w:rPr>
        <w:t>ae</w:t>
      </w:r>
      <w:r w:rsidRPr="00967AA4">
        <w:rPr>
          <w:szCs w:val="27"/>
        </w:rPr>
        <w:t>, contend</w:t>
      </w:r>
      <w:r w:rsidR="00A15998">
        <w:rPr>
          <w:szCs w:val="27"/>
        </w:rPr>
        <w:t>s</w:t>
      </w:r>
      <w:r w:rsidRPr="00967AA4">
        <w:rPr>
          <w:szCs w:val="27"/>
        </w:rPr>
        <w:t xml:space="preserve"> the CLRA or UCL, when applied to alleged false advertising, require</w:t>
      </w:r>
      <w:r w:rsidR="00A15998">
        <w:rPr>
          <w:szCs w:val="27"/>
        </w:rPr>
        <w:t>s</w:t>
      </w:r>
      <w:r w:rsidRPr="00967AA4">
        <w:rPr>
          <w:szCs w:val="27"/>
        </w:rPr>
        <w:t xml:space="preserve"> proof of a </w:t>
      </w:r>
      <w:r w:rsidRPr="00883750">
        <w:rPr>
          <w:szCs w:val="27"/>
        </w:rPr>
        <w:t>defendant’s knowledge.</w:t>
      </w:r>
    </w:p>
  </w:footnote>
  <w:footnote w:id="16">
    <w:p w:rsidR="00630864" w:rsidRPr="00883750" w:rsidP="00314A1F">
      <w:pPr>
        <w:pStyle w:val="FootnoteText"/>
        <w:rPr>
          <w:szCs w:val="27"/>
        </w:rPr>
      </w:pPr>
      <w:r w:rsidRPr="00883750">
        <w:rPr>
          <w:rStyle w:val="FootnoteReference"/>
          <w:szCs w:val="27"/>
        </w:rPr>
        <w:footnoteRef/>
      </w:r>
      <w:r w:rsidRPr="00883750" w:rsidR="002651DC">
        <w:rPr>
          <w:szCs w:val="27"/>
        </w:rPr>
        <w:t xml:space="preserve"> </w:t>
      </w:r>
      <w:r w:rsidRPr="00883750" w:rsidR="002651DC">
        <w:rPr>
          <w:szCs w:val="27"/>
        </w:rPr>
        <w:tab/>
      </w:r>
      <w:r w:rsidRPr="00883750">
        <w:rPr>
          <w:szCs w:val="27"/>
        </w:rPr>
        <w:t>The mo</w:t>
      </w:r>
      <w:r w:rsidRPr="00967AA4">
        <w:rPr>
          <w:szCs w:val="27"/>
        </w:rPr>
        <w:t xml:space="preserve">del statute was “drawn up in 1911 by Mr. Harry D. Nims at the instance of </w:t>
      </w:r>
      <w:r w:rsidRPr="00967AA4">
        <w:rPr>
          <w:i/>
          <w:iCs/>
          <w:szCs w:val="27"/>
        </w:rPr>
        <w:t>Printer’s Ink</w:t>
      </w:r>
      <w:r w:rsidRPr="00967AA4">
        <w:rPr>
          <w:szCs w:val="27"/>
        </w:rPr>
        <w:t>, a magazine published for advertisers.”  (</w:t>
      </w:r>
      <w:r w:rsidRPr="00967AA4">
        <w:rPr>
          <w:i/>
          <w:iCs/>
          <w:szCs w:val="27"/>
        </w:rPr>
        <w:t>Untrue Advertising</w:t>
      </w:r>
      <w:r w:rsidRPr="00967AA4">
        <w:rPr>
          <w:szCs w:val="27"/>
        </w:rPr>
        <w:t xml:space="preserve">, </w:t>
      </w:r>
      <w:r w:rsidRPr="00967AA4">
        <w:rPr>
          <w:i/>
          <w:iCs/>
          <w:szCs w:val="27"/>
        </w:rPr>
        <w:t>supra</w:t>
      </w:r>
      <w:r w:rsidRPr="00967AA4">
        <w:rPr>
          <w:szCs w:val="27"/>
        </w:rPr>
        <w:t>, 36 Yale L.J. at p. 1157.)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1D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4A1F">
    <w:pPr>
      <w:pStyle w:val="Header"/>
    </w:pPr>
    <w:r>
      <w:t>SEROVA v. SONY MUSIC ENTERTAINMENT</w:t>
    </w:r>
  </w:p>
  <w:p w:rsidR="00314A1F">
    <w:pPr>
      <w:pStyle w:val="Header"/>
    </w:pPr>
    <w:r>
      <w:t>Opinion of the Court by Jenkins, J.</w:t>
    </w:r>
  </w:p>
  <w:p w:rsidR="00314A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1DB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24D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24D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24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39B1BE9"/>
    <w:multiLevelType w:val="hybridMultilevel"/>
    <w:tmpl w:val="7D34A3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8264AC7"/>
    <w:multiLevelType w:val="hybridMultilevel"/>
    <w:tmpl w:val="ABD457E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55D771E0"/>
    <w:multiLevelType w:val="hybridMultilevel"/>
    <w:tmpl w:val="320EA73E"/>
    <w:lvl w:ilvl="0">
      <w:start w:val="2"/>
      <w:numFmt w:val="bullet"/>
      <w:lvlText w:val=""/>
      <w:lvlJc w:val="left"/>
      <w:pPr>
        <w:ind w:left="720" w:hanging="360"/>
      </w:pPr>
      <w:rPr>
        <w:rFonts w:ascii="Symbol" w:hAnsi="Symbol" w:eastAsiaTheme="minorHAnsi" w:cs="Helvetica"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7272A40"/>
    <w:multiLevelType w:val="hybridMultilevel"/>
    <w:tmpl w:val="90EC239E"/>
    <w:lvl w:ilvl="0">
      <w:start w:val="2"/>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4A1F"/>
    <w:pPr>
      <w:spacing w:after="100" w:line="400" w:lineRule="exact"/>
      <w:jc w:val="both"/>
    </w:pPr>
    <w:rPr>
      <w:rFonts w:ascii="Century Schoolbook" w:eastAsia="Times New Roman" w:hAnsi="Century Schoolbook" w:cs="Times New Roman"/>
      <w:sz w:val="27"/>
      <w:szCs w:val="20"/>
    </w:rPr>
  </w:style>
  <w:style w:type="paragraph" w:styleId="Heading1">
    <w:name w:val="heading 1"/>
    <w:basedOn w:val="Normal"/>
    <w:next w:val="Normal"/>
    <w:link w:val="Heading1Char"/>
    <w:qFormat/>
    <w:rsid w:val="00314A1F"/>
    <w:pPr>
      <w:keepNext/>
      <w:spacing w:before="140" w:line="240" w:lineRule="atLeast"/>
      <w:jc w:val="center"/>
      <w:outlineLvl w:val="0"/>
    </w:pPr>
    <w:rPr>
      <w:b/>
      <w:smallCaps/>
    </w:rPr>
  </w:style>
  <w:style w:type="paragraph" w:styleId="Heading2">
    <w:name w:val="heading 2"/>
    <w:basedOn w:val="Normal"/>
    <w:next w:val="Normal"/>
    <w:link w:val="Heading2Char"/>
    <w:qFormat/>
    <w:rsid w:val="00314A1F"/>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314A1F"/>
    <w:pPr>
      <w:keepNext/>
      <w:tabs>
        <w:tab w:val="left" w:pos="1584"/>
      </w:tabs>
      <w:spacing w:before="140" w:line="240" w:lineRule="atLeast"/>
      <w:ind w:left="1584" w:hanging="432"/>
      <w:jc w:val="left"/>
      <w:outlineLvl w:val="2"/>
    </w:pPr>
    <w:rPr>
      <w:i/>
    </w:rPr>
  </w:style>
  <w:style w:type="paragraph" w:styleId="Heading4">
    <w:name w:val="heading 4"/>
    <w:basedOn w:val="Normal"/>
    <w:link w:val="Heading4Char"/>
    <w:rsid w:val="00314A1F"/>
    <w:pPr>
      <w:keepNext/>
      <w:tabs>
        <w:tab w:val="left" w:pos="2016"/>
      </w:tabs>
      <w:spacing w:before="140" w:line="240" w:lineRule="atLeast"/>
      <w:ind w:left="2016" w:hanging="432"/>
      <w:jc w:val="left"/>
      <w:outlineLvl w:val="3"/>
    </w:pPr>
    <w:rPr>
      <w:i/>
    </w:rPr>
  </w:style>
  <w:style w:type="paragraph" w:styleId="Heading5">
    <w:name w:val="heading 5"/>
    <w:basedOn w:val="Normal"/>
    <w:link w:val="Heading5Char"/>
    <w:rsid w:val="00314A1F"/>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sit">
    <w:name w:val="ss_it"/>
    <w:basedOn w:val="DefaultParagraphFont"/>
    <w:rsid w:val="00CD586F"/>
  </w:style>
  <w:style w:type="character" w:customStyle="1" w:styleId="ssrfcpassagedeactivated">
    <w:name w:val="ss_rfcpassage_deactivated"/>
    <w:basedOn w:val="DefaultParagraphFont"/>
    <w:rsid w:val="00CD586F"/>
  </w:style>
  <w:style w:type="character" w:customStyle="1" w:styleId="ssrfcsection">
    <w:name w:val="ss_rfcsection"/>
    <w:basedOn w:val="DefaultParagraphFont"/>
    <w:rsid w:val="00CD586F"/>
  </w:style>
  <w:style w:type="character" w:customStyle="1" w:styleId="ssbf">
    <w:name w:val="ss_bf"/>
    <w:basedOn w:val="DefaultParagraphFont"/>
    <w:rsid w:val="00CC4ACD"/>
  </w:style>
  <w:style w:type="character" w:customStyle="1" w:styleId="sssh">
    <w:name w:val="ss_sh"/>
    <w:basedOn w:val="DefaultParagraphFont"/>
    <w:rsid w:val="00CC4ACD"/>
  </w:style>
  <w:style w:type="character" w:customStyle="1" w:styleId="ssib">
    <w:name w:val="ss_ib"/>
    <w:basedOn w:val="DefaultParagraphFont"/>
    <w:rsid w:val="00CC4ACD"/>
  </w:style>
  <w:style w:type="paragraph" w:styleId="NormalWeb">
    <w:name w:val="Normal (Web)"/>
    <w:basedOn w:val="Normal"/>
    <w:uiPriority w:val="99"/>
    <w:semiHidden/>
    <w:unhideWhenUsed/>
    <w:rsid w:val="004B20DB"/>
    <w:pPr>
      <w:spacing w:before="100" w:beforeAutospacing="1" w:afterAutospacing="1" w:line="240" w:lineRule="auto"/>
    </w:pPr>
    <w:rPr>
      <w:rFonts w:ascii="Times New Roman" w:hAnsi="Times New Roman"/>
      <w:sz w:val="24"/>
      <w:szCs w:val="24"/>
    </w:rPr>
  </w:style>
  <w:style w:type="paragraph" w:styleId="ListParagraph">
    <w:name w:val="List Paragraph"/>
    <w:basedOn w:val="Normal"/>
    <w:uiPriority w:val="34"/>
    <w:qFormat/>
    <w:rsid w:val="00D15AE6"/>
    <w:pPr>
      <w:ind w:left="720"/>
      <w:contextualSpacing/>
    </w:pPr>
  </w:style>
  <w:style w:type="character" w:customStyle="1" w:styleId="sh2324422603">
    <w:name w:val="sh_2324422603"/>
    <w:basedOn w:val="DefaultParagraphFont"/>
    <w:rsid w:val="00132FC5"/>
  </w:style>
  <w:style w:type="character" w:customStyle="1" w:styleId="ssprior">
    <w:name w:val="ss_prior"/>
    <w:basedOn w:val="DefaultParagraphFont"/>
    <w:rsid w:val="00BE157E"/>
  </w:style>
  <w:style w:type="character" w:customStyle="1" w:styleId="ssun">
    <w:name w:val="ss_un"/>
    <w:basedOn w:val="DefaultParagraphFont"/>
    <w:rsid w:val="00D21F93"/>
  </w:style>
  <w:style w:type="character" w:customStyle="1" w:styleId="sscrbhighlight">
    <w:name w:val="ss_crbhighlight"/>
    <w:basedOn w:val="DefaultParagraphFont"/>
    <w:rsid w:val="00881D8F"/>
  </w:style>
  <w:style w:type="character" w:styleId="Hyperlink">
    <w:name w:val="Hyperlink"/>
    <w:basedOn w:val="DefaultParagraphFont"/>
    <w:uiPriority w:val="99"/>
    <w:unhideWhenUsed/>
    <w:rsid w:val="00E206E8"/>
    <w:rPr>
      <w:color w:val="0000FF"/>
      <w:u w:val="single"/>
    </w:rPr>
  </w:style>
  <w:style w:type="character" w:customStyle="1" w:styleId="sh3052256133">
    <w:name w:val="sh_3052256133"/>
    <w:basedOn w:val="DefaultParagraphFont"/>
    <w:rsid w:val="00B65D77"/>
  </w:style>
  <w:style w:type="character" w:customStyle="1" w:styleId="sh613744374">
    <w:name w:val="sh_613744374"/>
    <w:basedOn w:val="DefaultParagraphFont"/>
    <w:rsid w:val="00517A6D"/>
  </w:style>
  <w:style w:type="character" w:styleId="Emphasis">
    <w:name w:val="Emphasis"/>
    <w:basedOn w:val="DefaultParagraphFont"/>
    <w:uiPriority w:val="20"/>
    <w:qFormat/>
    <w:rsid w:val="005D350D"/>
    <w:rPr>
      <w:i/>
      <w:iCs/>
    </w:rPr>
  </w:style>
  <w:style w:type="character" w:customStyle="1" w:styleId="coconcept3642">
    <w:name w:val="co_concept_36_42"/>
    <w:basedOn w:val="DefaultParagraphFont"/>
    <w:rsid w:val="00F54B0E"/>
  </w:style>
  <w:style w:type="character" w:customStyle="1" w:styleId="coconcept119">
    <w:name w:val="co_concept_1_19"/>
    <w:basedOn w:val="DefaultParagraphFont"/>
    <w:rsid w:val="00F54B0E"/>
  </w:style>
  <w:style w:type="character" w:customStyle="1" w:styleId="coconcept4750">
    <w:name w:val="co_concept_47_50"/>
    <w:basedOn w:val="DefaultParagraphFont"/>
    <w:rsid w:val="00F54B0E"/>
  </w:style>
  <w:style w:type="character" w:customStyle="1" w:styleId="cosmallcaps">
    <w:name w:val="co_smallcaps"/>
    <w:basedOn w:val="DefaultParagraphFont"/>
    <w:rsid w:val="00F54B0E"/>
  </w:style>
  <w:style w:type="character" w:customStyle="1" w:styleId="counderline">
    <w:name w:val="co_underline"/>
    <w:basedOn w:val="DefaultParagraphFont"/>
    <w:rsid w:val="00F54B0E"/>
  </w:style>
  <w:style w:type="character" w:customStyle="1" w:styleId="coconcept2430">
    <w:name w:val="co_concept_24_30"/>
    <w:basedOn w:val="DefaultParagraphFont"/>
    <w:rsid w:val="00F54B0E"/>
  </w:style>
  <w:style w:type="character" w:customStyle="1" w:styleId="costarpage">
    <w:name w:val="co_starpage"/>
    <w:basedOn w:val="DefaultParagraphFont"/>
    <w:rsid w:val="00F54B0E"/>
  </w:style>
  <w:style w:type="character" w:styleId="Strong">
    <w:name w:val="Strong"/>
    <w:basedOn w:val="DefaultParagraphFont"/>
    <w:uiPriority w:val="22"/>
    <w:qFormat/>
    <w:rsid w:val="0049166A"/>
    <w:rPr>
      <w:b/>
      <w:bCs/>
    </w:rPr>
  </w:style>
  <w:style w:type="paragraph" w:styleId="FootnoteText">
    <w:name w:val="footnote text"/>
    <w:basedOn w:val="Normal"/>
    <w:link w:val="FootnoteTextChar"/>
    <w:rsid w:val="00314A1F"/>
    <w:pPr>
      <w:spacing w:line="300" w:lineRule="exact"/>
    </w:pPr>
  </w:style>
  <w:style w:type="character" w:customStyle="1" w:styleId="FootnoteTextChar">
    <w:name w:val="Footnote Text Char"/>
    <w:basedOn w:val="DefaultParagraphFont"/>
    <w:link w:val="FootnoteText"/>
    <w:rsid w:val="00895F45"/>
    <w:rPr>
      <w:rFonts w:ascii="Century Schoolbook" w:eastAsia="Times New Roman" w:hAnsi="Century Schoolbook" w:cs="Times New Roman"/>
      <w:sz w:val="27"/>
      <w:szCs w:val="20"/>
    </w:rPr>
  </w:style>
  <w:style w:type="character" w:styleId="FootnoteReference">
    <w:name w:val="footnote reference"/>
    <w:basedOn w:val="DefaultParagraphFont"/>
    <w:rsid w:val="00314A1F"/>
    <w:rPr>
      <w:rFonts w:ascii="Century Schoolbook" w:hAnsi="Century Schoolbook"/>
      <w:b/>
      <w:i w:val="0"/>
      <w:position w:val="4"/>
      <w:sz w:val="27"/>
      <w:vertAlign w:val="superscript"/>
    </w:rPr>
  </w:style>
  <w:style w:type="paragraph" w:styleId="BalloonText">
    <w:name w:val="Balloon Text"/>
    <w:basedOn w:val="Normal"/>
    <w:link w:val="BalloonTextChar"/>
    <w:uiPriority w:val="99"/>
    <w:semiHidden/>
    <w:unhideWhenUsed/>
    <w:rsid w:val="000E5B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B1C"/>
    <w:rPr>
      <w:rFonts w:ascii="Segoe UI" w:hAnsi="Segoe UI" w:cs="Segoe UI"/>
      <w:sz w:val="18"/>
      <w:szCs w:val="18"/>
    </w:rPr>
  </w:style>
  <w:style w:type="character" w:customStyle="1" w:styleId="sh509151246">
    <w:name w:val="sh_509151246"/>
    <w:basedOn w:val="DefaultParagraphFont"/>
    <w:rsid w:val="00B70FFC"/>
  </w:style>
  <w:style w:type="character" w:customStyle="1" w:styleId="sh4132742829">
    <w:name w:val="sh_4132742829"/>
    <w:basedOn w:val="DefaultParagraphFont"/>
    <w:rsid w:val="00801F56"/>
  </w:style>
  <w:style w:type="character" w:customStyle="1" w:styleId="sh870826859">
    <w:name w:val="sh_870826859"/>
    <w:basedOn w:val="DefaultParagraphFont"/>
    <w:rsid w:val="00476612"/>
  </w:style>
  <w:style w:type="character" w:customStyle="1" w:styleId="ssparalabel">
    <w:name w:val="ss_paralabel"/>
    <w:basedOn w:val="DefaultParagraphFont"/>
    <w:rsid w:val="00BE39D0"/>
  </w:style>
  <w:style w:type="character" w:customStyle="1" w:styleId="ssparacontent">
    <w:name w:val="ss_paracontent"/>
    <w:basedOn w:val="DefaultParagraphFont"/>
    <w:rsid w:val="00BE39D0"/>
  </w:style>
  <w:style w:type="character" w:customStyle="1" w:styleId="UnresolvedMention">
    <w:name w:val="Unresolved Mention"/>
    <w:basedOn w:val="DefaultParagraphFont"/>
    <w:uiPriority w:val="99"/>
    <w:semiHidden/>
    <w:unhideWhenUsed/>
    <w:rsid w:val="00361992"/>
    <w:rPr>
      <w:color w:val="605E5C"/>
      <w:shd w:val="clear" w:color="auto" w:fill="E1DFDD"/>
    </w:rPr>
  </w:style>
  <w:style w:type="character" w:customStyle="1" w:styleId="sh1403361735">
    <w:name w:val="sh_1403361735"/>
    <w:basedOn w:val="DefaultParagraphFont"/>
    <w:rsid w:val="00601FA3"/>
  </w:style>
  <w:style w:type="character" w:styleId="CommentReference">
    <w:name w:val="annotation reference"/>
    <w:basedOn w:val="DefaultParagraphFont"/>
    <w:uiPriority w:val="99"/>
    <w:semiHidden/>
    <w:unhideWhenUsed/>
    <w:rsid w:val="005C3F6E"/>
    <w:rPr>
      <w:sz w:val="16"/>
      <w:szCs w:val="16"/>
    </w:rPr>
  </w:style>
  <w:style w:type="paragraph" w:styleId="CommentText">
    <w:name w:val="annotation text"/>
    <w:basedOn w:val="Normal"/>
    <w:link w:val="CommentTextChar"/>
    <w:uiPriority w:val="99"/>
    <w:unhideWhenUsed/>
    <w:rsid w:val="005C3F6E"/>
    <w:pPr>
      <w:spacing w:line="240" w:lineRule="auto"/>
    </w:pPr>
    <w:rPr>
      <w:sz w:val="20"/>
    </w:rPr>
  </w:style>
  <w:style w:type="character" w:customStyle="1" w:styleId="CommentTextChar">
    <w:name w:val="Comment Text Char"/>
    <w:basedOn w:val="DefaultParagraphFont"/>
    <w:link w:val="CommentText"/>
    <w:uiPriority w:val="99"/>
    <w:rsid w:val="005C3F6E"/>
    <w:rPr>
      <w:sz w:val="20"/>
      <w:szCs w:val="20"/>
    </w:rPr>
  </w:style>
  <w:style w:type="paragraph" w:styleId="CommentSubject">
    <w:name w:val="annotation subject"/>
    <w:basedOn w:val="CommentText"/>
    <w:next w:val="CommentText"/>
    <w:link w:val="CommentSubjectChar"/>
    <w:uiPriority w:val="99"/>
    <w:semiHidden/>
    <w:unhideWhenUsed/>
    <w:rsid w:val="005C3F6E"/>
    <w:rPr>
      <w:b/>
      <w:bCs/>
    </w:rPr>
  </w:style>
  <w:style w:type="character" w:customStyle="1" w:styleId="CommentSubjectChar">
    <w:name w:val="Comment Subject Char"/>
    <w:basedOn w:val="CommentTextChar"/>
    <w:link w:val="CommentSubject"/>
    <w:uiPriority w:val="99"/>
    <w:semiHidden/>
    <w:rsid w:val="005C3F6E"/>
    <w:rPr>
      <w:b/>
      <w:bCs/>
      <w:sz w:val="20"/>
      <w:szCs w:val="20"/>
    </w:rPr>
  </w:style>
  <w:style w:type="paragraph" w:styleId="Header">
    <w:name w:val="header"/>
    <w:basedOn w:val="Normal"/>
    <w:link w:val="HeaderChar"/>
    <w:qFormat/>
    <w:rsid w:val="00314A1F"/>
    <w:pPr>
      <w:tabs>
        <w:tab w:val="center" w:pos="3960"/>
        <w:tab w:val="right" w:pos="10080"/>
      </w:tabs>
      <w:spacing w:after="80" w:line="240" w:lineRule="auto"/>
      <w:jc w:val="center"/>
    </w:pPr>
    <w:rPr>
      <w:sz w:val="22"/>
    </w:rPr>
  </w:style>
  <w:style w:type="character" w:customStyle="1" w:styleId="HeaderChar">
    <w:name w:val="Header Char"/>
    <w:basedOn w:val="DefaultParagraphFont"/>
    <w:link w:val="Header"/>
    <w:rsid w:val="00885E09"/>
    <w:rPr>
      <w:rFonts w:ascii="Century Schoolbook" w:eastAsia="Times New Roman" w:hAnsi="Century Schoolbook" w:cs="Times New Roman"/>
      <w:szCs w:val="20"/>
    </w:rPr>
  </w:style>
  <w:style w:type="paragraph" w:styleId="Footer">
    <w:name w:val="footer"/>
    <w:basedOn w:val="Normal"/>
    <w:link w:val="FooterChar"/>
    <w:qFormat/>
    <w:rsid w:val="00314A1F"/>
    <w:pPr>
      <w:tabs>
        <w:tab w:val="center" w:pos="3960"/>
        <w:tab w:val="right" w:pos="10080"/>
      </w:tabs>
      <w:spacing w:after="0" w:line="240" w:lineRule="auto"/>
      <w:jc w:val="center"/>
    </w:pPr>
    <w:rPr>
      <w:sz w:val="22"/>
    </w:rPr>
  </w:style>
  <w:style w:type="character" w:customStyle="1" w:styleId="FooterChar">
    <w:name w:val="Footer Char"/>
    <w:basedOn w:val="DefaultParagraphFont"/>
    <w:link w:val="Footer"/>
    <w:rsid w:val="00885E09"/>
    <w:rPr>
      <w:rFonts w:ascii="Century Schoolbook" w:eastAsia="Times New Roman" w:hAnsi="Century Schoolbook" w:cs="Times New Roman"/>
      <w:szCs w:val="20"/>
    </w:rPr>
  </w:style>
  <w:style w:type="paragraph" w:styleId="Revision">
    <w:name w:val="Revision"/>
    <w:hidden/>
    <w:uiPriority w:val="99"/>
    <w:semiHidden/>
    <w:rsid w:val="00474E6D"/>
    <w:pPr>
      <w:spacing w:after="0" w:line="240" w:lineRule="auto"/>
    </w:pPr>
  </w:style>
  <w:style w:type="character" w:customStyle="1" w:styleId="sssmcaps">
    <w:name w:val="ss_smcaps"/>
    <w:basedOn w:val="DefaultParagraphFont"/>
    <w:rsid w:val="00433E5F"/>
  </w:style>
  <w:style w:type="character" w:customStyle="1" w:styleId="ssheadnotelink">
    <w:name w:val="ss_headnotelink"/>
    <w:basedOn w:val="DefaultParagraphFont"/>
    <w:rsid w:val="00053F57"/>
  </w:style>
  <w:style w:type="paragraph" w:styleId="EndnoteText">
    <w:name w:val="endnote text"/>
    <w:basedOn w:val="Normal"/>
    <w:link w:val="EndnoteTextChar"/>
    <w:uiPriority w:val="99"/>
    <w:semiHidden/>
    <w:unhideWhenUsed/>
    <w:rsid w:val="00DF4872"/>
    <w:pPr>
      <w:spacing w:after="0" w:line="240" w:lineRule="auto"/>
    </w:pPr>
    <w:rPr>
      <w:sz w:val="20"/>
    </w:rPr>
  </w:style>
  <w:style w:type="character" w:customStyle="1" w:styleId="EndnoteTextChar">
    <w:name w:val="Endnote Text Char"/>
    <w:basedOn w:val="DefaultParagraphFont"/>
    <w:link w:val="EndnoteText"/>
    <w:uiPriority w:val="99"/>
    <w:semiHidden/>
    <w:rsid w:val="00DF4872"/>
    <w:rPr>
      <w:sz w:val="20"/>
      <w:szCs w:val="20"/>
    </w:rPr>
  </w:style>
  <w:style w:type="character" w:styleId="EndnoteReference">
    <w:name w:val="endnote reference"/>
    <w:basedOn w:val="DefaultParagraphFont"/>
    <w:uiPriority w:val="99"/>
    <w:semiHidden/>
    <w:unhideWhenUsed/>
    <w:rsid w:val="00DF4872"/>
    <w:rPr>
      <w:vertAlign w:val="superscript"/>
    </w:rPr>
  </w:style>
  <w:style w:type="character" w:customStyle="1" w:styleId="Heading1Char">
    <w:name w:val="Heading 1 Char"/>
    <w:basedOn w:val="DefaultParagraphFont"/>
    <w:link w:val="Heading1"/>
    <w:rsid w:val="00314A1F"/>
    <w:rPr>
      <w:rFonts w:ascii="Century Schoolbook" w:eastAsia="Times New Roman" w:hAnsi="Century Schoolbook" w:cs="Times New Roman"/>
      <w:b/>
      <w:smallCaps/>
      <w:sz w:val="27"/>
      <w:szCs w:val="20"/>
    </w:rPr>
  </w:style>
  <w:style w:type="character" w:customStyle="1" w:styleId="Heading2Char">
    <w:name w:val="Heading 2 Char"/>
    <w:basedOn w:val="DefaultParagraphFont"/>
    <w:link w:val="Heading2"/>
    <w:rsid w:val="00314A1F"/>
    <w:rPr>
      <w:rFonts w:ascii="Century Schoolbook" w:eastAsia="Times New Roman" w:hAnsi="Century Schoolbook" w:cs="Times New Roman"/>
      <w:b/>
      <w:sz w:val="27"/>
      <w:szCs w:val="20"/>
    </w:rPr>
  </w:style>
  <w:style w:type="character" w:customStyle="1" w:styleId="Heading3Char">
    <w:name w:val="Heading 3 Char"/>
    <w:basedOn w:val="DefaultParagraphFont"/>
    <w:link w:val="Heading3"/>
    <w:rsid w:val="00314A1F"/>
    <w:rPr>
      <w:rFonts w:ascii="Century Schoolbook" w:eastAsia="Times New Roman" w:hAnsi="Century Schoolbook" w:cs="Times New Roman"/>
      <w:i/>
      <w:sz w:val="27"/>
      <w:szCs w:val="20"/>
    </w:rPr>
  </w:style>
  <w:style w:type="character" w:customStyle="1" w:styleId="Heading4Char">
    <w:name w:val="Heading 4 Char"/>
    <w:basedOn w:val="DefaultParagraphFont"/>
    <w:link w:val="Heading4"/>
    <w:rsid w:val="00314A1F"/>
    <w:rPr>
      <w:rFonts w:ascii="Century Schoolbook" w:eastAsia="Times New Roman" w:hAnsi="Century Schoolbook" w:cs="Times New Roman"/>
      <w:i/>
      <w:sz w:val="27"/>
      <w:szCs w:val="20"/>
    </w:rPr>
  </w:style>
  <w:style w:type="character" w:customStyle="1" w:styleId="Heading5Char">
    <w:name w:val="Heading 5 Char"/>
    <w:basedOn w:val="DefaultParagraphFont"/>
    <w:link w:val="Heading5"/>
    <w:rsid w:val="00314A1F"/>
    <w:rPr>
      <w:rFonts w:ascii="Century Schoolbook" w:eastAsia="Times New Roman" w:hAnsi="Century Schoolbook" w:cs="Times New Roman"/>
      <w:i/>
      <w:sz w:val="27"/>
      <w:szCs w:val="20"/>
    </w:rPr>
  </w:style>
  <w:style w:type="paragraph" w:styleId="Date">
    <w:name w:val="Date"/>
    <w:basedOn w:val="Normal"/>
    <w:link w:val="DateChar"/>
    <w:semiHidden/>
    <w:rsid w:val="00314A1F"/>
    <w:pPr>
      <w:jc w:val="right"/>
    </w:pPr>
  </w:style>
  <w:style w:type="character" w:customStyle="1" w:styleId="DateChar">
    <w:name w:val="Date Char"/>
    <w:basedOn w:val="DefaultParagraphFont"/>
    <w:link w:val="Date"/>
    <w:semiHidden/>
    <w:rsid w:val="00314A1F"/>
    <w:rPr>
      <w:rFonts w:ascii="Century Schoolbook" w:eastAsia="Times New Roman" w:hAnsi="Century Schoolbook" w:cs="Times New Roman"/>
      <w:sz w:val="27"/>
      <w:szCs w:val="20"/>
    </w:rPr>
  </w:style>
  <w:style w:type="paragraph" w:styleId="NormalIndent">
    <w:name w:val="Normal Indent"/>
    <w:basedOn w:val="Normal"/>
    <w:semiHidden/>
    <w:rsid w:val="00314A1F"/>
    <w:pPr>
      <w:ind w:left="720"/>
    </w:pPr>
  </w:style>
  <w:style w:type="character" w:styleId="PageNumber">
    <w:name w:val="page number"/>
    <w:basedOn w:val="DefaultParagraphFont"/>
    <w:semiHidden/>
    <w:rsid w:val="00314A1F"/>
  </w:style>
  <w:style w:type="paragraph" w:customStyle="1" w:styleId="Recommend">
    <w:name w:val="Recommend"/>
    <w:basedOn w:val="Normal"/>
    <w:rsid w:val="00314A1F"/>
  </w:style>
  <w:style w:type="paragraph" w:customStyle="1" w:styleId="subject">
    <w:name w:val="subject"/>
    <w:basedOn w:val="Normal"/>
    <w:rsid w:val="00314A1F"/>
    <w:pPr>
      <w:tabs>
        <w:tab w:val="left" w:pos="1008"/>
      </w:tabs>
      <w:ind w:left="990" w:hanging="990"/>
    </w:pPr>
    <w:rPr>
      <w:b/>
    </w:rPr>
  </w:style>
  <w:style w:type="paragraph" w:customStyle="1" w:styleId="Summary">
    <w:name w:val="Summary"/>
    <w:basedOn w:val="Normal"/>
    <w:rsid w:val="00314A1F"/>
    <w:pPr>
      <w:ind w:left="2160" w:hanging="2160"/>
    </w:pPr>
  </w:style>
  <w:style w:type="paragraph" w:customStyle="1" w:styleId="Text">
    <w:name w:val="Text"/>
    <w:basedOn w:val="Normal"/>
    <w:rsid w:val="00314A1F"/>
    <w:pPr>
      <w:tabs>
        <w:tab w:val="left" w:pos="720"/>
        <w:tab w:val="left" w:pos="1440"/>
        <w:tab w:val="left" w:pos="2160"/>
        <w:tab w:val="center" w:pos="4320"/>
      </w:tabs>
      <w:spacing w:line="480" w:lineRule="atLeast"/>
      <w:ind w:firstLine="540"/>
    </w:pPr>
  </w:style>
  <w:style w:type="paragraph" w:customStyle="1" w:styleId="Title1">
    <w:name w:val="Title1"/>
    <w:basedOn w:val="Normal"/>
    <w:rsid w:val="00314A1F"/>
    <w:pPr>
      <w:tabs>
        <w:tab w:val="left" w:pos="5760"/>
        <w:tab w:val="left" w:pos="6480"/>
      </w:tabs>
      <w:spacing w:line="240" w:lineRule="atLeast"/>
    </w:pPr>
  </w:style>
  <w:style w:type="paragraph" w:customStyle="1" w:styleId="Titles">
    <w:name w:val="Titles"/>
    <w:basedOn w:val="Normal"/>
    <w:rsid w:val="00314A1F"/>
    <w:pPr>
      <w:tabs>
        <w:tab w:val="left" w:pos="2160"/>
      </w:tabs>
      <w:ind w:left="2160" w:hanging="2160"/>
    </w:pPr>
    <w:rPr>
      <w:b/>
    </w:rPr>
  </w:style>
  <w:style w:type="paragraph" w:styleId="TOAHeading">
    <w:name w:val="toa heading"/>
    <w:basedOn w:val="Normal"/>
    <w:next w:val="Normal"/>
    <w:semiHidden/>
    <w:rsid w:val="00314A1F"/>
    <w:pPr>
      <w:spacing w:before="120"/>
    </w:pPr>
    <w:rPr>
      <w:b/>
    </w:rPr>
  </w:style>
  <w:style w:type="paragraph" w:styleId="TOC1">
    <w:name w:val="toc 1"/>
    <w:basedOn w:val="Normal"/>
    <w:next w:val="Normal"/>
    <w:autoRedefine/>
    <w:semiHidden/>
    <w:rsid w:val="00314A1F"/>
  </w:style>
  <w:style w:type="paragraph" w:styleId="TOC2">
    <w:name w:val="toc 2"/>
    <w:basedOn w:val="Normal"/>
    <w:next w:val="Normal"/>
    <w:autoRedefine/>
    <w:semiHidden/>
    <w:rsid w:val="00314A1F"/>
    <w:pPr>
      <w:ind w:left="259"/>
    </w:pPr>
  </w:style>
  <w:style w:type="paragraph" w:styleId="TOC3">
    <w:name w:val="toc 3"/>
    <w:basedOn w:val="Normal"/>
    <w:next w:val="Normal"/>
    <w:autoRedefine/>
    <w:semiHidden/>
    <w:rsid w:val="00314A1F"/>
    <w:pPr>
      <w:ind w:left="520"/>
    </w:pPr>
  </w:style>
  <w:style w:type="paragraph" w:styleId="TOC4">
    <w:name w:val="toc 4"/>
    <w:basedOn w:val="Normal"/>
    <w:next w:val="Normal"/>
    <w:autoRedefine/>
    <w:semiHidden/>
    <w:rsid w:val="00314A1F"/>
    <w:pPr>
      <w:ind w:left="780"/>
    </w:pPr>
  </w:style>
  <w:style w:type="paragraph" w:styleId="TOC5">
    <w:name w:val="toc 5"/>
    <w:basedOn w:val="Normal"/>
    <w:next w:val="Normal"/>
    <w:autoRedefine/>
    <w:semiHidden/>
    <w:rsid w:val="00314A1F"/>
    <w:pPr>
      <w:ind w:left="1040"/>
    </w:pPr>
  </w:style>
  <w:style w:type="paragraph" w:styleId="TOC6">
    <w:name w:val="toc 6"/>
    <w:basedOn w:val="Normal"/>
    <w:next w:val="Normal"/>
    <w:autoRedefine/>
    <w:semiHidden/>
    <w:rsid w:val="00314A1F"/>
    <w:pPr>
      <w:ind w:left="1300"/>
    </w:pPr>
  </w:style>
  <w:style w:type="paragraph" w:styleId="TOC7">
    <w:name w:val="toc 7"/>
    <w:basedOn w:val="Normal"/>
    <w:next w:val="Normal"/>
    <w:autoRedefine/>
    <w:semiHidden/>
    <w:rsid w:val="00314A1F"/>
    <w:pPr>
      <w:ind w:left="1560"/>
    </w:pPr>
  </w:style>
  <w:style w:type="paragraph" w:styleId="TOC8">
    <w:name w:val="toc 8"/>
    <w:basedOn w:val="Normal"/>
    <w:next w:val="Normal"/>
    <w:autoRedefine/>
    <w:semiHidden/>
    <w:rsid w:val="00314A1F"/>
    <w:pPr>
      <w:ind w:left="1820"/>
    </w:pPr>
  </w:style>
  <w:style w:type="paragraph" w:styleId="TOC9">
    <w:name w:val="toc 9"/>
    <w:basedOn w:val="Normal"/>
    <w:next w:val="Normal"/>
    <w:autoRedefine/>
    <w:semiHidden/>
    <w:rsid w:val="00314A1F"/>
    <w:pPr>
      <w:ind w:left="2080"/>
    </w:pPr>
  </w:style>
  <w:style w:type="paragraph" w:customStyle="1" w:styleId="Contents">
    <w:name w:val="Contents"/>
    <w:basedOn w:val="Normal"/>
    <w:rsid w:val="00314A1F"/>
    <w:pPr>
      <w:jc w:val="center"/>
    </w:pPr>
    <w:rPr>
      <w:b/>
      <w:spacing w:val="100"/>
    </w:rPr>
  </w:style>
  <w:style w:type="paragraph" w:styleId="BodyText">
    <w:name w:val="Body Text"/>
    <w:basedOn w:val="Normal"/>
    <w:link w:val="BodyTextChar"/>
    <w:qFormat/>
    <w:rsid w:val="00314A1F"/>
  </w:style>
  <w:style w:type="character" w:customStyle="1" w:styleId="BodyTextChar">
    <w:name w:val="Body Text Char"/>
    <w:basedOn w:val="DefaultParagraphFont"/>
    <w:link w:val="BodyText"/>
    <w:rsid w:val="00314A1F"/>
    <w:rPr>
      <w:rFonts w:ascii="Century Schoolbook" w:eastAsia="Times New Roman" w:hAnsi="Century Schoolbook" w:cs="Times New Roman"/>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footer" Target="footer6.xml" /><Relationship Id="rId16" Type="http://schemas.openxmlformats.org/officeDocument/2006/relationships/header" Target="header6.xml" /><Relationship Id="rId17" Type="http://schemas.openxmlformats.org/officeDocument/2006/relationships/footer" Target="footer7.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10465</Words>
  <Characters>59651</Characters>
  <Application>Microsoft Office Word</Application>
  <DocSecurity>0</DocSecurity>
  <Lines>497</Lines>
  <Paragraphs>139</Paragraphs>
  <ScaleCrop>false</ScaleCrop>
  <Company/>
  <LinksUpToDate>false</LinksUpToDate>
  <CharactersWithSpaces>69977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2022-08-18T16:19:10Z</dcterms:created>
  <dcterms:modified xsi:type="dcterms:W3CDTF">2022-08-18T16:19:10Z</dcterms:modified>
</cp:coreProperties>
</file>