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BA3" w14:textId="7062CCA1" w:rsidR="00A86E6B" w:rsidRDefault="00A86E6B" w:rsidP="00A86E6B">
      <w:pPr>
        <w:tabs>
          <w:tab w:val="left" w:pos="1440"/>
          <w:tab w:val="left" w:pos="4680"/>
          <w:tab w:val="center" w:pos="7200"/>
        </w:tabs>
        <w:spacing w:after="0"/>
        <w:jc w:val="center"/>
        <w:rPr>
          <w:b/>
          <w:sz w:val="36"/>
          <w:szCs w:val="26"/>
        </w:rPr>
      </w:pPr>
      <w:r>
        <w:rPr>
          <w:b/>
          <w:sz w:val="36"/>
          <w:szCs w:val="26"/>
        </w:rPr>
        <w:t>IN THE SUPREME COURT OF CALIFORNIA</w:t>
      </w:r>
    </w:p>
    <w:p w14:paraId="19512E9B" w14:textId="77777777" w:rsidR="00A86E6B" w:rsidRDefault="00A86E6B" w:rsidP="00A86E6B">
      <w:pPr>
        <w:tabs>
          <w:tab w:val="left" w:pos="1440"/>
          <w:tab w:val="left" w:pos="4680"/>
          <w:tab w:val="center" w:pos="7200"/>
        </w:tabs>
        <w:spacing w:after="0"/>
        <w:jc w:val="center"/>
        <w:rPr>
          <w:sz w:val="36"/>
          <w:szCs w:val="26"/>
        </w:rPr>
      </w:pPr>
    </w:p>
    <w:p w14:paraId="12E51F42" w14:textId="76200FD1" w:rsidR="00A86E6B" w:rsidRPr="00830481" w:rsidRDefault="00A86E6B" w:rsidP="008F79A0">
      <w:pPr>
        <w:tabs>
          <w:tab w:val="left" w:pos="4680"/>
          <w:tab w:val="center" w:pos="7200"/>
        </w:tabs>
        <w:spacing w:after="0"/>
        <w:jc w:val="center"/>
        <w:rPr>
          <w:sz w:val="26"/>
          <w:szCs w:val="26"/>
        </w:rPr>
      </w:pPr>
      <w:r w:rsidRPr="00830481">
        <w:rPr>
          <w:sz w:val="26"/>
          <w:szCs w:val="26"/>
        </w:rPr>
        <w:t>GUSTAVO NARANJO</w:t>
      </w:r>
      <w:r w:rsidR="001D0FE1">
        <w:rPr>
          <w:sz w:val="26"/>
          <w:szCs w:val="26"/>
        </w:rPr>
        <w:t xml:space="preserve"> et al.,</w:t>
      </w:r>
    </w:p>
    <w:p w14:paraId="7B6D7E3A" w14:textId="1C24950E" w:rsidR="00A86E6B" w:rsidRPr="00830481" w:rsidRDefault="00A86E6B" w:rsidP="008F79A0">
      <w:pPr>
        <w:tabs>
          <w:tab w:val="left" w:pos="4680"/>
          <w:tab w:val="center" w:pos="7200"/>
        </w:tabs>
        <w:spacing w:after="0"/>
        <w:jc w:val="center"/>
        <w:rPr>
          <w:sz w:val="26"/>
          <w:szCs w:val="26"/>
        </w:rPr>
      </w:pPr>
      <w:r>
        <w:rPr>
          <w:sz w:val="26"/>
          <w:szCs w:val="26"/>
        </w:rPr>
        <w:t>P</w:t>
      </w:r>
      <w:r w:rsidRPr="00830481">
        <w:rPr>
          <w:sz w:val="26"/>
          <w:szCs w:val="26"/>
        </w:rPr>
        <w:t>laintiff</w:t>
      </w:r>
      <w:r w:rsidR="00857711">
        <w:rPr>
          <w:sz w:val="26"/>
          <w:szCs w:val="26"/>
        </w:rPr>
        <w:t>s</w:t>
      </w:r>
      <w:r w:rsidR="00A3224A">
        <w:rPr>
          <w:sz w:val="26"/>
          <w:szCs w:val="26"/>
        </w:rPr>
        <w:t xml:space="preserve"> and Appellant</w:t>
      </w:r>
      <w:r w:rsidR="00857711">
        <w:rPr>
          <w:sz w:val="26"/>
          <w:szCs w:val="26"/>
        </w:rPr>
        <w:t>s</w:t>
      </w:r>
      <w:r>
        <w:rPr>
          <w:sz w:val="26"/>
          <w:szCs w:val="26"/>
        </w:rPr>
        <w:t>,</w:t>
      </w:r>
    </w:p>
    <w:p w14:paraId="60E1D23A" w14:textId="075E0077" w:rsidR="00A86E6B" w:rsidRDefault="00A86E6B" w:rsidP="008F79A0">
      <w:pPr>
        <w:tabs>
          <w:tab w:val="left" w:pos="1440"/>
          <w:tab w:val="left" w:pos="4680"/>
          <w:tab w:val="center" w:pos="7200"/>
        </w:tabs>
        <w:spacing w:after="0"/>
        <w:jc w:val="center"/>
        <w:rPr>
          <w:szCs w:val="26"/>
        </w:rPr>
      </w:pPr>
      <w:r>
        <w:rPr>
          <w:szCs w:val="26"/>
        </w:rPr>
        <w:t>v.</w:t>
      </w:r>
    </w:p>
    <w:p w14:paraId="3F595F5B" w14:textId="664AB07E" w:rsidR="00A86E6B" w:rsidRPr="00830481" w:rsidRDefault="00A86E6B" w:rsidP="008F79A0">
      <w:pPr>
        <w:tabs>
          <w:tab w:val="left" w:pos="4680"/>
          <w:tab w:val="center" w:pos="7200"/>
        </w:tabs>
        <w:spacing w:after="0"/>
        <w:jc w:val="center"/>
        <w:rPr>
          <w:sz w:val="26"/>
          <w:szCs w:val="26"/>
        </w:rPr>
      </w:pPr>
      <w:r w:rsidRPr="00830481">
        <w:rPr>
          <w:sz w:val="26"/>
          <w:szCs w:val="26"/>
        </w:rPr>
        <w:t>SPECTRUM SECURITY SERVICES,</w:t>
      </w:r>
      <w:r>
        <w:rPr>
          <w:sz w:val="26"/>
          <w:szCs w:val="26"/>
        </w:rPr>
        <w:t xml:space="preserve"> </w:t>
      </w:r>
      <w:r w:rsidRPr="00830481">
        <w:rPr>
          <w:sz w:val="26"/>
          <w:szCs w:val="26"/>
        </w:rPr>
        <w:t>INC.,</w:t>
      </w:r>
    </w:p>
    <w:p w14:paraId="3C448EB3" w14:textId="2F67E79B" w:rsidR="00A86E6B" w:rsidRDefault="00A86E6B" w:rsidP="008F79A0">
      <w:pPr>
        <w:tabs>
          <w:tab w:val="left" w:pos="1440"/>
          <w:tab w:val="left" w:pos="4680"/>
          <w:tab w:val="center" w:pos="7200"/>
        </w:tabs>
        <w:spacing w:after="0"/>
        <w:jc w:val="center"/>
        <w:rPr>
          <w:sz w:val="26"/>
          <w:szCs w:val="26"/>
        </w:rPr>
      </w:pPr>
      <w:r>
        <w:rPr>
          <w:sz w:val="26"/>
          <w:szCs w:val="26"/>
        </w:rPr>
        <w:t>Defendant</w:t>
      </w:r>
      <w:r w:rsidR="001A21DF">
        <w:rPr>
          <w:sz w:val="26"/>
          <w:szCs w:val="26"/>
        </w:rPr>
        <w:t xml:space="preserve"> and</w:t>
      </w:r>
      <w:r w:rsidRPr="00830481">
        <w:rPr>
          <w:sz w:val="26"/>
          <w:szCs w:val="26"/>
        </w:rPr>
        <w:t xml:space="preserve"> </w:t>
      </w:r>
      <w:r>
        <w:rPr>
          <w:sz w:val="26"/>
          <w:szCs w:val="26"/>
        </w:rPr>
        <w:t>Appellant.</w:t>
      </w:r>
    </w:p>
    <w:p w14:paraId="2072ED95" w14:textId="0CDF13B7" w:rsidR="00A86E6B" w:rsidRDefault="00A86E6B" w:rsidP="008F79A0">
      <w:pPr>
        <w:tabs>
          <w:tab w:val="left" w:pos="1440"/>
          <w:tab w:val="left" w:pos="4680"/>
          <w:tab w:val="center" w:pos="7200"/>
        </w:tabs>
        <w:spacing w:after="0"/>
        <w:jc w:val="center"/>
        <w:rPr>
          <w:sz w:val="26"/>
          <w:szCs w:val="26"/>
        </w:rPr>
      </w:pPr>
    </w:p>
    <w:p w14:paraId="65040C89" w14:textId="2B401229" w:rsidR="00A86E6B" w:rsidRDefault="00A86E6B" w:rsidP="008F79A0">
      <w:pPr>
        <w:tabs>
          <w:tab w:val="left" w:pos="1440"/>
          <w:tab w:val="left" w:pos="4680"/>
          <w:tab w:val="center" w:pos="7200"/>
        </w:tabs>
        <w:spacing w:after="0"/>
        <w:jc w:val="center"/>
        <w:rPr>
          <w:sz w:val="26"/>
          <w:szCs w:val="26"/>
        </w:rPr>
      </w:pPr>
      <w:r w:rsidRPr="00830481">
        <w:rPr>
          <w:sz w:val="26"/>
          <w:szCs w:val="26"/>
        </w:rPr>
        <w:t>S258966</w:t>
      </w:r>
    </w:p>
    <w:p w14:paraId="540578A0" w14:textId="77777777" w:rsidR="00A86E6B" w:rsidRDefault="00A86E6B" w:rsidP="008F79A0">
      <w:pPr>
        <w:tabs>
          <w:tab w:val="left" w:pos="1440"/>
          <w:tab w:val="left" w:pos="4680"/>
          <w:tab w:val="center" w:pos="7200"/>
        </w:tabs>
        <w:spacing w:after="0"/>
        <w:jc w:val="center"/>
        <w:rPr>
          <w:sz w:val="26"/>
          <w:szCs w:val="26"/>
        </w:rPr>
      </w:pPr>
    </w:p>
    <w:p w14:paraId="4B751216" w14:textId="77777777" w:rsidR="00EB484E" w:rsidRDefault="00EB484E" w:rsidP="008F79A0">
      <w:pPr>
        <w:tabs>
          <w:tab w:val="left" w:pos="1440"/>
          <w:tab w:val="left" w:pos="4680"/>
          <w:tab w:val="center" w:pos="7200"/>
        </w:tabs>
        <w:spacing w:after="0"/>
        <w:jc w:val="center"/>
        <w:rPr>
          <w:sz w:val="26"/>
          <w:szCs w:val="26"/>
        </w:rPr>
      </w:pPr>
      <w:r>
        <w:rPr>
          <w:sz w:val="26"/>
          <w:szCs w:val="26"/>
        </w:rPr>
        <w:t>Second Appellate District, Division Four</w:t>
      </w:r>
    </w:p>
    <w:p w14:paraId="05B154C0" w14:textId="3300F841" w:rsidR="00A86E6B" w:rsidRDefault="00A86E6B" w:rsidP="008F79A0">
      <w:pPr>
        <w:tabs>
          <w:tab w:val="left" w:pos="1440"/>
          <w:tab w:val="left" w:pos="4680"/>
          <w:tab w:val="center" w:pos="7200"/>
        </w:tabs>
        <w:spacing w:after="0"/>
        <w:jc w:val="center"/>
        <w:rPr>
          <w:sz w:val="26"/>
          <w:szCs w:val="26"/>
        </w:rPr>
      </w:pPr>
      <w:r w:rsidRPr="00830481">
        <w:rPr>
          <w:sz w:val="26"/>
          <w:szCs w:val="26"/>
        </w:rPr>
        <w:t>B256232</w:t>
      </w:r>
    </w:p>
    <w:p w14:paraId="7740C5FD" w14:textId="5A39803B" w:rsidR="00A86E6B" w:rsidRDefault="00A86E6B" w:rsidP="008F79A0">
      <w:pPr>
        <w:tabs>
          <w:tab w:val="left" w:pos="1440"/>
          <w:tab w:val="left" w:pos="4680"/>
          <w:tab w:val="center" w:pos="7200"/>
        </w:tabs>
        <w:spacing w:after="0"/>
        <w:jc w:val="center"/>
        <w:rPr>
          <w:szCs w:val="26"/>
        </w:rPr>
      </w:pPr>
    </w:p>
    <w:p w14:paraId="4102818E" w14:textId="77777777" w:rsidR="00A86E6B" w:rsidRDefault="00A86E6B" w:rsidP="008F79A0">
      <w:pPr>
        <w:tabs>
          <w:tab w:val="left" w:pos="4680"/>
          <w:tab w:val="center" w:pos="7200"/>
        </w:tabs>
        <w:spacing w:after="0"/>
        <w:jc w:val="center"/>
        <w:rPr>
          <w:sz w:val="26"/>
          <w:szCs w:val="26"/>
        </w:rPr>
      </w:pPr>
      <w:r w:rsidRPr="00830481">
        <w:rPr>
          <w:sz w:val="26"/>
          <w:szCs w:val="26"/>
        </w:rPr>
        <w:t>Los Angeles County</w:t>
      </w:r>
      <w:r>
        <w:rPr>
          <w:sz w:val="26"/>
          <w:szCs w:val="26"/>
        </w:rPr>
        <w:t xml:space="preserve"> S</w:t>
      </w:r>
      <w:r w:rsidRPr="00830481">
        <w:rPr>
          <w:sz w:val="26"/>
          <w:szCs w:val="26"/>
        </w:rPr>
        <w:t>uper</w:t>
      </w:r>
      <w:r>
        <w:rPr>
          <w:sz w:val="26"/>
          <w:szCs w:val="26"/>
        </w:rPr>
        <w:t>ior Court</w:t>
      </w:r>
    </w:p>
    <w:p w14:paraId="19068A48" w14:textId="55027A36" w:rsidR="00A86E6B" w:rsidRPr="00830481" w:rsidRDefault="00A86E6B" w:rsidP="008F79A0">
      <w:pPr>
        <w:tabs>
          <w:tab w:val="left" w:pos="4680"/>
          <w:tab w:val="center" w:pos="7200"/>
        </w:tabs>
        <w:spacing w:after="0"/>
        <w:jc w:val="center"/>
        <w:rPr>
          <w:sz w:val="26"/>
          <w:szCs w:val="26"/>
        </w:rPr>
      </w:pPr>
      <w:r w:rsidRPr="00830481">
        <w:rPr>
          <w:sz w:val="26"/>
          <w:szCs w:val="26"/>
        </w:rPr>
        <w:t>BC372146</w:t>
      </w:r>
    </w:p>
    <w:p w14:paraId="45679831" w14:textId="77777777" w:rsidR="00A86E6B" w:rsidRDefault="00A86E6B" w:rsidP="008F79A0">
      <w:pPr>
        <w:pBdr>
          <w:bottom w:val="single" w:sz="4" w:space="1" w:color="auto"/>
        </w:pBdr>
        <w:tabs>
          <w:tab w:val="left" w:pos="1440"/>
          <w:tab w:val="left" w:pos="4680"/>
          <w:tab w:val="center" w:pos="7200"/>
        </w:tabs>
        <w:spacing w:after="0"/>
        <w:jc w:val="center"/>
        <w:rPr>
          <w:szCs w:val="26"/>
        </w:rPr>
      </w:pPr>
    </w:p>
    <w:p w14:paraId="32467435" w14:textId="77777777" w:rsidR="00A86E6B" w:rsidRDefault="00A86E6B" w:rsidP="008F79A0">
      <w:pPr>
        <w:tabs>
          <w:tab w:val="left" w:pos="1440"/>
          <w:tab w:val="left" w:pos="4680"/>
          <w:tab w:val="center" w:pos="7200"/>
        </w:tabs>
        <w:spacing w:after="0"/>
        <w:jc w:val="center"/>
        <w:rPr>
          <w:szCs w:val="26"/>
        </w:rPr>
      </w:pPr>
    </w:p>
    <w:p w14:paraId="1F92BCEF" w14:textId="77777777" w:rsidR="00B42D81" w:rsidRDefault="00B42D81" w:rsidP="00B42D81">
      <w:pPr>
        <w:tabs>
          <w:tab w:val="left" w:pos="1440"/>
          <w:tab w:val="left" w:pos="4680"/>
          <w:tab w:val="center" w:pos="7200"/>
        </w:tabs>
        <w:spacing w:after="0"/>
        <w:jc w:val="center"/>
        <w:rPr>
          <w:szCs w:val="26"/>
        </w:rPr>
      </w:pPr>
      <w:r>
        <w:t>May 23</w:t>
      </w:r>
      <w:r>
        <w:rPr>
          <w:szCs w:val="26"/>
        </w:rPr>
        <w:t>, 2022</w:t>
      </w:r>
    </w:p>
    <w:p w14:paraId="5B66ED4C" w14:textId="77777777" w:rsidR="00B42D81" w:rsidRDefault="00B42D81" w:rsidP="00B42D81">
      <w:pPr>
        <w:tabs>
          <w:tab w:val="left" w:pos="1440"/>
          <w:tab w:val="left" w:pos="4680"/>
          <w:tab w:val="center" w:pos="7200"/>
        </w:tabs>
        <w:spacing w:after="0"/>
        <w:jc w:val="center"/>
        <w:rPr>
          <w:szCs w:val="26"/>
        </w:rPr>
      </w:pPr>
    </w:p>
    <w:p w14:paraId="16AA5999" w14:textId="77777777" w:rsidR="00B42D81" w:rsidRDefault="00B42D81" w:rsidP="00B42D81">
      <w:pPr>
        <w:tabs>
          <w:tab w:val="left" w:pos="1440"/>
          <w:tab w:val="left" w:pos="4680"/>
          <w:tab w:val="center" w:pos="7200"/>
        </w:tabs>
        <w:spacing w:after="0"/>
        <w:jc w:val="left"/>
      </w:pPr>
      <w:r>
        <w:t>Justice Kruger authored the opinion of the Court, in which Chief Justice Cantil-Sakauye and Justices Corrigan, Liu, Groban, Jenkins, and O’Leary</w:t>
      </w:r>
      <w:r>
        <w:rPr>
          <w:rStyle w:val="FootnoteReference"/>
        </w:rPr>
        <w:footnoteReference w:customMarkFollows="1" w:id="2"/>
        <w:t>*</w:t>
      </w:r>
      <w:r>
        <w:t xml:space="preserve"> concurred.</w:t>
      </w:r>
    </w:p>
    <w:p w14:paraId="0D68289F" w14:textId="77777777" w:rsidR="00A86E6B" w:rsidRPr="00645536" w:rsidRDefault="00A86E6B" w:rsidP="00A86E6B">
      <w:pPr>
        <w:pBdr>
          <w:bottom w:val="single" w:sz="4" w:space="1" w:color="auto"/>
        </w:pBdr>
        <w:tabs>
          <w:tab w:val="left" w:pos="1440"/>
          <w:tab w:val="left" w:pos="4680"/>
          <w:tab w:val="center" w:pos="7200"/>
        </w:tabs>
        <w:spacing w:line="240" w:lineRule="atLeast"/>
        <w:jc w:val="left"/>
        <w:rPr>
          <w:szCs w:val="26"/>
        </w:rPr>
      </w:pPr>
      <w:bookmarkStart w:id="0" w:name="Return"/>
      <w:bookmarkEnd w:id="0"/>
    </w:p>
    <w:p w14:paraId="6FEB0BA3" w14:textId="77777777" w:rsidR="00A86E6B" w:rsidRDefault="00A86E6B" w:rsidP="00A86E6B">
      <w:pPr>
        <w:tabs>
          <w:tab w:val="left" w:pos="1440"/>
          <w:tab w:val="left" w:pos="4680"/>
          <w:tab w:val="center" w:pos="7200"/>
        </w:tabs>
        <w:spacing w:line="240" w:lineRule="atLeast"/>
        <w:rPr>
          <w:szCs w:val="26"/>
        </w:rPr>
        <w:sectPr w:rsidR="00A86E6B" w:rsidSect="00DF196D">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p>
    <w:p w14:paraId="272A6F0B" w14:textId="7FDC1529" w:rsidR="00A86E6B" w:rsidRDefault="00DF196D" w:rsidP="00A86E6B">
      <w:pPr>
        <w:tabs>
          <w:tab w:val="left" w:pos="1440"/>
          <w:tab w:val="left" w:pos="4680"/>
          <w:tab w:val="center" w:pos="7200"/>
        </w:tabs>
        <w:jc w:val="center"/>
        <w:rPr>
          <w:szCs w:val="26"/>
        </w:rPr>
      </w:pPr>
      <w:r>
        <w:rPr>
          <w:szCs w:val="26"/>
        </w:rPr>
        <w:lastRenderedPageBreak/>
        <w:t>NARANJO</w:t>
      </w:r>
      <w:r w:rsidR="00A86E6B">
        <w:rPr>
          <w:szCs w:val="26"/>
        </w:rPr>
        <w:t xml:space="preserve"> v. </w:t>
      </w:r>
      <w:r w:rsidRPr="00830481">
        <w:rPr>
          <w:sz w:val="26"/>
          <w:szCs w:val="26"/>
        </w:rPr>
        <w:t>SPECTRUM SECURITY SERVICES,</w:t>
      </w:r>
      <w:r>
        <w:rPr>
          <w:sz w:val="26"/>
          <w:szCs w:val="26"/>
        </w:rPr>
        <w:t xml:space="preserve"> </w:t>
      </w:r>
      <w:r w:rsidRPr="00830481">
        <w:rPr>
          <w:sz w:val="26"/>
          <w:szCs w:val="26"/>
        </w:rPr>
        <w:t>INC.</w:t>
      </w:r>
    </w:p>
    <w:p w14:paraId="21F2B22B" w14:textId="1D937587" w:rsidR="00A86E6B" w:rsidRDefault="00DF196D" w:rsidP="00A86E6B">
      <w:pPr>
        <w:tabs>
          <w:tab w:val="left" w:pos="1440"/>
          <w:tab w:val="left" w:pos="4680"/>
          <w:tab w:val="center" w:pos="7200"/>
        </w:tabs>
        <w:jc w:val="center"/>
        <w:rPr>
          <w:szCs w:val="26"/>
        </w:rPr>
      </w:pPr>
      <w:r w:rsidRPr="00830481">
        <w:rPr>
          <w:sz w:val="26"/>
          <w:szCs w:val="26"/>
        </w:rPr>
        <w:t>S258966</w:t>
      </w:r>
    </w:p>
    <w:p w14:paraId="76A9E5CC" w14:textId="77777777" w:rsidR="00A86E6B" w:rsidRDefault="00A86E6B" w:rsidP="00A86E6B">
      <w:pPr>
        <w:tabs>
          <w:tab w:val="left" w:pos="1440"/>
          <w:tab w:val="left" w:pos="4680"/>
          <w:tab w:val="center" w:pos="7200"/>
        </w:tabs>
        <w:jc w:val="center"/>
        <w:rPr>
          <w:szCs w:val="26"/>
        </w:rPr>
      </w:pPr>
    </w:p>
    <w:p w14:paraId="6EE1BC91" w14:textId="696CDC4B" w:rsidR="00A86E6B" w:rsidRDefault="00A86E6B" w:rsidP="00A86E6B">
      <w:pPr>
        <w:tabs>
          <w:tab w:val="left" w:pos="1440"/>
          <w:tab w:val="left" w:pos="4680"/>
          <w:tab w:val="center" w:pos="7200"/>
        </w:tabs>
        <w:jc w:val="center"/>
        <w:rPr>
          <w:szCs w:val="26"/>
        </w:rPr>
      </w:pPr>
      <w:r>
        <w:rPr>
          <w:szCs w:val="26"/>
        </w:rPr>
        <w:t xml:space="preserve">Opinion of the Court by </w:t>
      </w:r>
      <w:r w:rsidR="00DF196D">
        <w:rPr>
          <w:szCs w:val="26"/>
        </w:rPr>
        <w:t>Kruger</w:t>
      </w:r>
      <w:r>
        <w:rPr>
          <w:szCs w:val="26"/>
        </w:rPr>
        <w:t>, J.</w:t>
      </w:r>
    </w:p>
    <w:p w14:paraId="7889B50D" w14:textId="511F4E36" w:rsidR="00A86E6B" w:rsidRPr="00A86E6B" w:rsidRDefault="00A86E6B" w:rsidP="00A86E6B">
      <w:pPr>
        <w:tabs>
          <w:tab w:val="left" w:pos="1440"/>
          <w:tab w:val="left" w:pos="4680"/>
          <w:tab w:val="center" w:pos="7200"/>
        </w:tabs>
        <w:rPr>
          <w:szCs w:val="26"/>
        </w:rPr>
      </w:pPr>
    </w:p>
    <w:p w14:paraId="780362D7" w14:textId="4C7A8562" w:rsidR="00C8775F" w:rsidRPr="00A86E6B" w:rsidRDefault="00400816" w:rsidP="00A86E6B">
      <w:pPr>
        <w:tabs>
          <w:tab w:val="left" w:pos="1440"/>
        </w:tabs>
        <w:ind w:firstLine="720"/>
        <w:rPr>
          <w:szCs w:val="26"/>
        </w:rPr>
      </w:pPr>
      <w:bookmarkStart w:id="1" w:name="mainstory"/>
      <w:bookmarkEnd w:id="1"/>
      <w:r w:rsidRPr="00A86E6B">
        <w:rPr>
          <w:szCs w:val="26"/>
        </w:rPr>
        <w:t>California law require</w:t>
      </w:r>
      <w:r w:rsidR="005E6261" w:rsidRPr="00A86E6B">
        <w:rPr>
          <w:szCs w:val="26"/>
        </w:rPr>
        <w:t>s</w:t>
      </w:r>
      <w:r w:rsidRPr="00A86E6B">
        <w:rPr>
          <w:szCs w:val="26"/>
        </w:rPr>
        <w:t xml:space="preserve"> </w:t>
      </w:r>
      <w:r w:rsidR="008132AA" w:rsidRPr="00A86E6B">
        <w:rPr>
          <w:szCs w:val="26"/>
        </w:rPr>
        <w:t>e</w:t>
      </w:r>
      <w:r w:rsidR="00C8775F" w:rsidRPr="00A86E6B">
        <w:rPr>
          <w:szCs w:val="26"/>
        </w:rPr>
        <w:t>mployers</w:t>
      </w:r>
      <w:r w:rsidR="00817D48" w:rsidRPr="00A86E6B">
        <w:rPr>
          <w:szCs w:val="26"/>
        </w:rPr>
        <w:t xml:space="preserve"> to </w:t>
      </w:r>
      <w:r w:rsidR="008132AA" w:rsidRPr="00A86E6B">
        <w:rPr>
          <w:szCs w:val="26"/>
        </w:rPr>
        <w:t xml:space="preserve">provide daily meal and rest breaks to most </w:t>
      </w:r>
      <w:r w:rsidR="00C8775F" w:rsidRPr="00A86E6B">
        <w:rPr>
          <w:szCs w:val="26"/>
        </w:rPr>
        <w:t xml:space="preserve">unsalaried </w:t>
      </w:r>
      <w:r w:rsidR="00D77723" w:rsidRPr="00A86E6B">
        <w:rPr>
          <w:szCs w:val="26"/>
        </w:rPr>
        <w:t>employees</w:t>
      </w:r>
      <w:r w:rsidR="00C8775F" w:rsidRPr="00A86E6B">
        <w:rPr>
          <w:szCs w:val="26"/>
        </w:rPr>
        <w:t xml:space="preserve">.  </w:t>
      </w:r>
      <w:r w:rsidR="00D77723" w:rsidRPr="00A86E6B">
        <w:rPr>
          <w:szCs w:val="26"/>
        </w:rPr>
        <w:t xml:space="preserve">If </w:t>
      </w:r>
      <w:r w:rsidR="00635471" w:rsidRPr="00A86E6B">
        <w:rPr>
          <w:szCs w:val="26"/>
        </w:rPr>
        <w:t xml:space="preserve">an </w:t>
      </w:r>
      <w:r w:rsidR="0010636D" w:rsidRPr="00A86E6B">
        <w:rPr>
          <w:szCs w:val="26"/>
        </w:rPr>
        <w:t>employer</w:t>
      </w:r>
      <w:r w:rsidR="00635471" w:rsidRPr="00A86E6B">
        <w:rPr>
          <w:szCs w:val="26"/>
        </w:rPr>
        <w:t xml:space="preserve"> </w:t>
      </w:r>
      <w:r w:rsidR="00A152C0" w:rsidRPr="00A86E6B">
        <w:rPr>
          <w:szCs w:val="26"/>
        </w:rPr>
        <w:t xml:space="preserve">unlawfully </w:t>
      </w:r>
      <w:r w:rsidR="00635471" w:rsidRPr="00A86E6B">
        <w:rPr>
          <w:szCs w:val="26"/>
        </w:rPr>
        <w:t xml:space="preserve">makes </w:t>
      </w:r>
      <w:r w:rsidR="005A659F" w:rsidRPr="00A86E6B">
        <w:rPr>
          <w:szCs w:val="26"/>
        </w:rPr>
        <w:t xml:space="preserve">an </w:t>
      </w:r>
      <w:r w:rsidR="00D77723" w:rsidRPr="00A86E6B">
        <w:rPr>
          <w:szCs w:val="26"/>
        </w:rPr>
        <w:t xml:space="preserve">employee </w:t>
      </w:r>
      <w:r w:rsidR="00EF5EC0" w:rsidRPr="00A86E6B">
        <w:rPr>
          <w:szCs w:val="26"/>
        </w:rPr>
        <w:t xml:space="preserve">work </w:t>
      </w:r>
      <w:r w:rsidR="0010636D" w:rsidRPr="00A86E6B">
        <w:rPr>
          <w:szCs w:val="26"/>
        </w:rPr>
        <w:t xml:space="preserve">during </w:t>
      </w:r>
      <w:r w:rsidR="00817D48" w:rsidRPr="00A86E6B">
        <w:rPr>
          <w:szCs w:val="26"/>
        </w:rPr>
        <w:t xml:space="preserve">all or part of a </w:t>
      </w:r>
      <w:r w:rsidR="00C8775F" w:rsidRPr="00A86E6B">
        <w:rPr>
          <w:szCs w:val="26"/>
        </w:rPr>
        <w:t xml:space="preserve">meal or rest </w:t>
      </w:r>
      <w:r w:rsidR="00817D48" w:rsidRPr="00A86E6B">
        <w:rPr>
          <w:szCs w:val="26"/>
        </w:rPr>
        <w:t>period</w:t>
      </w:r>
      <w:r w:rsidR="00EF5EC0" w:rsidRPr="00A86E6B">
        <w:rPr>
          <w:szCs w:val="26"/>
        </w:rPr>
        <w:t xml:space="preserve">, </w:t>
      </w:r>
      <w:r w:rsidR="00FF6519" w:rsidRPr="00A86E6B">
        <w:rPr>
          <w:szCs w:val="26"/>
        </w:rPr>
        <w:t>the</w:t>
      </w:r>
      <w:r w:rsidR="0010636D" w:rsidRPr="00A86E6B">
        <w:rPr>
          <w:szCs w:val="26"/>
        </w:rPr>
        <w:t xml:space="preserve"> employer must pay the employee </w:t>
      </w:r>
      <w:r w:rsidR="00157A66" w:rsidRPr="00A86E6B">
        <w:rPr>
          <w:szCs w:val="26"/>
        </w:rPr>
        <w:t xml:space="preserve">an </w:t>
      </w:r>
      <w:r w:rsidR="002E1267" w:rsidRPr="00A86E6B">
        <w:rPr>
          <w:szCs w:val="26"/>
        </w:rPr>
        <w:t xml:space="preserve">additional </w:t>
      </w:r>
      <w:r w:rsidR="00C8775F" w:rsidRPr="00A86E6B">
        <w:rPr>
          <w:szCs w:val="26"/>
        </w:rPr>
        <w:t>hour of pay</w:t>
      </w:r>
      <w:r w:rsidR="003575B8" w:rsidRPr="00A86E6B">
        <w:rPr>
          <w:szCs w:val="26"/>
        </w:rPr>
        <w:t>.</w:t>
      </w:r>
      <w:r w:rsidR="00940A8B" w:rsidRPr="00A86E6B">
        <w:rPr>
          <w:szCs w:val="26"/>
        </w:rPr>
        <w:t xml:space="preserve">  </w:t>
      </w:r>
      <w:r w:rsidR="00C8775F" w:rsidRPr="00A86E6B">
        <w:rPr>
          <w:szCs w:val="26"/>
        </w:rPr>
        <w:t>(Lab. Code, § 226.7, subd. (c)</w:t>
      </w:r>
      <w:r w:rsidR="000812BD" w:rsidRPr="00A86E6B">
        <w:rPr>
          <w:szCs w:val="26"/>
        </w:rPr>
        <w:t>; I</w:t>
      </w:r>
      <w:r w:rsidR="004566A4" w:rsidRPr="00A86E6B">
        <w:rPr>
          <w:szCs w:val="26"/>
        </w:rPr>
        <w:t xml:space="preserve">ndustrial </w:t>
      </w:r>
      <w:r w:rsidR="000812BD" w:rsidRPr="00A86E6B">
        <w:rPr>
          <w:szCs w:val="26"/>
        </w:rPr>
        <w:t>W</w:t>
      </w:r>
      <w:r w:rsidR="004566A4" w:rsidRPr="00A86E6B">
        <w:rPr>
          <w:szCs w:val="26"/>
        </w:rPr>
        <w:t xml:space="preserve">elf. </w:t>
      </w:r>
      <w:r w:rsidR="000812BD" w:rsidRPr="00A86E6B">
        <w:rPr>
          <w:szCs w:val="26"/>
        </w:rPr>
        <w:t>C</w:t>
      </w:r>
      <w:r w:rsidR="004566A4" w:rsidRPr="00A86E6B">
        <w:rPr>
          <w:szCs w:val="26"/>
        </w:rPr>
        <w:t>om.</w:t>
      </w:r>
      <w:r w:rsidR="000812BD" w:rsidRPr="00A86E6B">
        <w:rPr>
          <w:szCs w:val="26"/>
        </w:rPr>
        <w:t xml:space="preserve"> wage order </w:t>
      </w:r>
      <w:r w:rsidR="000812BD" w:rsidRPr="0076157F">
        <w:rPr>
          <w:szCs w:val="26"/>
        </w:rPr>
        <w:t xml:space="preserve">No. </w:t>
      </w:r>
      <w:r w:rsidR="00001000">
        <w:rPr>
          <w:szCs w:val="26"/>
        </w:rPr>
        <w:t>4-2001</w:t>
      </w:r>
      <w:r w:rsidR="000812BD" w:rsidRPr="00A86E6B">
        <w:rPr>
          <w:szCs w:val="26"/>
        </w:rPr>
        <w:t>, §§ 11(B), 12(B).</w:t>
      </w:r>
      <w:r w:rsidR="00C8775F" w:rsidRPr="00A86E6B">
        <w:rPr>
          <w:szCs w:val="26"/>
        </w:rPr>
        <w:t>)</w:t>
      </w:r>
      <w:r w:rsidR="000812BD" w:rsidRPr="00A86E6B">
        <w:rPr>
          <w:szCs w:val="26"/>
        </w:rPr>
        <w:t xml:space="preserve">  </w:t>
      </w:r>
      <w:r w:rsidR="00966055" w:rsidRPr="00A86E6B">
        <w:rPr>
          <w:szCs w:val="26"/>
        </w:rPr>
        <w:t xml:space="preserve">The </w:t>
      </w:r>
      <w:r w:rsidR="00EA4837" w:rsidRPr="00A86E6B">
        <w:rPr>
          <w:szCs w:val="26"/>
        </w:rPr>
        <w:t xml:space="preserve">primary </w:t>
      </w:r>
      <w:r w:rsidR="005A0A74" w:rsidRPr="00A86E6B">
        <w:rPr>
          <w:szCs w:val="26"/>
        </w:rPr>
        <w:t xml:space="preserve">issue </w:t>
      </w:r>
      <w:r w:rsidR="00966055" w:rsidRPr="00A86E6B">
        <w:rPr>
          <w:szCs w:val="26"/>
        </w:rPr>
        <w:t>before us is whether th</w:t>
      </w:r>
      <w:r w:rsidR="009F5DBB" w:rsidRPr="00A86E6B">
        <w:rPr>
          <w:szCs w:val="26"/>
        </w:rPr>
        <w:t>is</w:t>
      </w:r>
      <w:r w:rsidR="00966055" w:rsidRPr="00A86E6B">
        <w:rPr>
          <w:szCs w:val="26"/>
        </w:rPr>
        <w:t xml:space="preserve"> </w:t>
      </w:r>
      <w:r w:rsidR="003575B8" w:rsidRPr="00A86E6B">
        <w:rPr>
          <w:szCs w:val="26"/>
        </w:rPr>
        <w:t>extra pay for missed break</w:t>
      </w:r>
      <w:r w:rsidR="00962AB9" w:rsidRPr="00A86E6B">
        <w:rPr>
          <w:szCs w:val="26"/>
        </w:rPr>
        <w:t>s</w:t>
      </w:r>
      <w:r w:rsidR="003575B8" w:rsidRPr="00A86E6B">
        <w:rPr>
          <w:szCs w:val="26"/>
        </w:rPr>
        <w:t xml:space="preserve"> constitutes </w:t>
      </w:r>
      <w:r w:rsidR="00FC2C11" w:rsidRPr="00A86E6B">
        <w:rPr>
          <w:szCs w:val="26"/>
        </w:rPr>
        <w:t>“</w:t>
      </w:r>
      <w:r w:rsidR="003575B8" w:rsidRPr="00A86E6B">
        <w:rPr>
          <w:szCs w:val="26"/>
        </w:rPr>
        <w:t>wages</w:t>
      </w:r>
      <w:r w:rsidR="00FC2C11" w:rsidRPr="00A86E6B">
        <w:rPr>
          <w:szCs w:val="26"/>
        </w:rPr>
        <w:t>”</w:t>
      </w:r>
      <w:r w:rsidR="003575B8" w:rsidRPr="00A86E6B">
        <w:rPr>
          <w:szCs w:val="26"/>
        </w:rPr>
        <w:t xml:space="preserve"> </w:t>
      </w:r>
      <w:r w:rsidR="00780166" w:rsidRPr="00A86E6B">
        <w:rPr>
          <w:szCs w:val="26"/>
        </w:rPr>
        <w:t xml:space="preserve">that must be </w:t>
      </w:r>
      <w:r w:rsidR="00636903" w:rsidRPr="00A86E6B">
        <w:rPr>
          <w:szCs w:val="26"/>
        </w:rPr>
        <w:t xml:space="preserve">reported on </w:t>
      </w:r>
      <w:r w:rsidR="00F70FDD" w:rsidRPr="00A86E6B">
        <w:rPr>
          <w:szCs w:val="26"/>
        </w:rPr>
        <w:t xml:space="preserve">statutorily required wage statements </w:t>
      </w:r>
      <w:r w:rsidR="00636903" w:rsidRPr="00A86E6B">
        <w:rPr>
          <w:szCs w:val="26"/>
        </w:rPr>
        <w:t xml:space="preserve">during employment (Lab. Code, § 226) and </w:t>
      </w:r>
      <w:r w:rsidR="00780166" w:rsidRPr="00A86E6B">
        <w:rPr>
          <w:szCs w:val="26"/>
        </w:rPr>
        <w:t xml:space="preserve">paid </w:t>
      </w:r>
      <w:r w:rsidR="00EF4564" w:rsidRPr="00A86E6B">
        <w:rPr>
          <w:szCs w:val="26"/>
        </w:rPr>
        <w:t>within statutor</w:t>
      </w:r>
      <w:r w:rsidR="0080714C" w:rsidRPr="00A86E6B">
        <w:rPr>
          <w:szCs w:val="26"/>
        </w:rPr>
        <w:t>y</w:t>
      </w:r>
      <w:r w:rsidR="00EF4564" w:rsidRPr="00A86E6B">
        <w:rPr>
          <w:szCs w:val="26"/>
        </w:rPr>
        <w:t xml:space="preserve"> deadlines </w:t>
      </w:r>
      <w:r w:rsidR="000B0CED" w:rsidRPr="00A86E6B">
        <w:rPr>
          <w:szCs w:val="26"/>
        </w:rPr>
        <w:t xml:space="preserve">when </w:t>
      </w:r>
      <w:r w:rsidR="00780166" w:rsidRPr="00A86E6B">
        <w:rPr>
          <w:szCs w:val="26"/>
        </w:rPr>
        <w:t xml:space="preserve">an employee leaves the job </w:t>
      </w:r>
      <w:r w:rsidR="005B5259" w:rsidRPr="00A86E6B">
        <w:rPr>
          <w:szCs w:val="26"/>
        </w:rPr>
        <w:t>(</w:t>
      </w:r>
      <w:r w:rsidR="00636903" w:rsidRPr="00A86E6B">
        <w:rPr>
          <w:i/>
          <w:iCs/>
          <w:szCs w:val="26"/>
        </w:rPr>
        <w:t>id.</w:t>
      </w:r>
      <w:r w:rsidR="005B5259" w:rsidRPr="00A86E6B">
        <w:rPr>
          <w:szCs w:val="26"/>
        </w:rPr>
        <w:t>, §</w:t>
      </w:r>
      <w:r w:rsidR="0015586C" w:rsidRPr="00A86E6B">
        <w:rPr>
          <w:szCs w:val="26"/>
        </w:rPr>
        <w:t> </w:t>
      </w:r>
      <w:r w:rsidR="00780166" w:rsidRPr="00A86E6B">
        <w:rPr>
          <w:szCs w:val="26"/>
        </w:rPr>
        <w:t>203</w:t>
      </w:r>
      <w:r w:rsidR="005B5259" w:rsidRPr="00A86E6B">
        <w:rPr>
          <w:szCs w:val="26"/>
        </w:rPr>
        <w:t>)</w:t>
      </w:r>
      <w:r w:rsidR="00F23058" w:rsidRPr="00A86E6B">
        <w:rPr>
          <w:szCs w:val="26"/>
        </w:rPr>
        <w:t xml:space="preserve">.  </w:t>
      </w:r>
      <w:r w:rsidR="000C5401" w:rsidRPr="00A86E6B">
        <w:rPr>
          <w:szCs w:val="26"/>
        </w:rPr>
        <w:t>We conclude</w:t>
      </w:r>
      <w:r w:rsidR="00622E32" w:rsidRPr="00A86E6B">
        <w:rPr>
          <w:szCs w:val="26"/>
        </w:rPr>
        <w:t>, contrary to the Court of Appeal, that</w:t>
      </w:r>
      <w:r w:rsidR="00726543" w:rsidRPr="00A86E6B">
        <w:rPr>
          <w:szCs w:val="26"/>
        </w:rPr>
        <w:t xml:space="preserve"> </w:t>
      </w:r>
      <w:r w:rsidR="000C5401" w:rsidRPr="00A86E6B">
        <w:rPr>
          <w:szCs w:val="26"/>
        </w:rPr>
        <w:t>t</w:t>
      </w:r>
      <w:r w:rsidR="00C763D5" w:rsidRPr="00A86E6B">
        <w:rPr>
          <w:szCs w:val="26"/>
        </w:rPr>
        <w:t xml:space="preserve">he answer is yes.  </w:t>
      </w:r>
      <w:r w:rsidR="00340285">
        <w:rPr>
          <w:szCs w:val="26"/>
        </w:rPr>
        <w:t>Although t</w:t>
      </w:r>
      <w:r w:rsidR="00C763D5" w:rsidRPr="00A86E6B">
        <w:rPr>
          <w:szCs w:val="26"/>
        </w:rPr>
        <w:t xml:space="preserve">he extra pay </w:t>
      </w:r>
      <w:r w:rsidR="00340285">
        <w:rPr>
          <w:szCs w:val="26"/>
        </w:rPr>
        <w:t xml:space="preserve">is </w:t>
      </w:r>
      <w:r w:rsidR="00F54964">
        <w:rPr>
          <w:szCs w:val="26"/>
        </w:rPr>
        <w:t xml:space="preserve">designed to compensate </w:t>
      </w:r>
      <w:r w:rsidR="00CA4D2E" w:rsidRPr="00A86E6B">
        <w:rPr>
          <w:szCs w:val="26"/>
        </w:rPr>
        <w:t xml:space="preserve">for </w:t>
      </w:r>
      <w:r w:rsidR="000C5401" w:rsidRPr="00A86E6B">
        <w:rPr>
          <w:szCs w:val="26"/>
        </w:rPr>
        <w:t xml:space="preserve">the unlawful deprivation of a guaranteed break, it </w:t>
      </w:r>
      <w:r w:rsidR="00CA7DF3" w:rsidRPr="00A86E6B">
        <w:rPr>
          <w:szCs w:val="26"/>
        </w:rPr>
        <w:t xml:space="preserve">also </w:t>
      </w:r>
      <w:r w:rsidR="00DA388D" w:rsidRPr="00A86E6B">
        <w:rPr>
          <w:szCs w:val="26"/>
        </w:rPr>
        <w:t xml:space="preserve">compensates </w:t>
      </w:r>
      <w:r w:rsidR="000C5401" w:rsidRPr="00A86E6B">
        <w:rPr>
          <w:szCs w:val="26"/>
        </w:rPr>
        <w:t xml:space="preserve">for the work the employee performed during the break period. </w:t>
      </w:r>
      <w:r w:rsidR="009A71B7" w:rsidRPr="00A86E6B">
        <w:rPr>
          <w:szCs w:val="26"/>
        </w:rPr>
        <w:t xml:space="preserve"> </w:t>
      </w:r>
      <w:r w:rsidR="00C763D5" w:rsidRPr="00A86E6B">
        <w:rPr>
          <w:szCs w:val="26"/>
        </w:rPr>
        <w:t xml:space="preserve">(See </w:t>
      </w:r>
      <w:r w:rsidR="002A6023" w:rsidRPr="00A86E6B">
        <w:rPr>
          <w:i/>
          <w:iCs/>
          <w:szCs w:val="26"/>
        </w:rPr>
        <w:t>Murphy v. Kenneth Cole Productions, Inc.</w:t>
      </w:r>
      <w:r w:rsidR="002A6023" w:rsidRPr="00A86E6B">
        <w:rPr>
          <w:szCs w:val="26"/>
        </w:rPr>
        <w:t xml:space="preserve"> (2007) 40 Cal.4th 1094, 1104</w:t>
      </w:r>
      <w:r w:rsidR="000C5401" w:rsidRPr="00A86E6B">
        <w:rPr>
          <w:szCs w:val="26"/>
        </w:rPr>
        <w:t xml:space="preserve">.)  </w:t>
      </w:r>
      <w:r w:rsidR="00A064BD" w:rsidRPr="00A86E6B">
        <w:rPr>
          <w:szCs w:val="26"/>
        </w:rPr>
        <w:t>T</w:t>
      </w:r>
      <w:r w:rsidR="00940684" w:rsidRPr="00A86E6B">
        <w:rPr>
          <w:szCs w:val="26"/>
        </w:rPr>
        <w:t>h</w:t>
      </w:r>
      <w:r w:rsidR="00A50094" w:rsidRPr="00A86E6B">
        <w:rPr>
          <w:szCs w:val="26"/>
        </w:rPr>
        <w:t>e</w:t>
      </w:r>
      <w:r w:rsidR="00940684" w:rsidRPr="00A86E6B">
        <w:rPr>
          <w:szCs w:val="26"/>
        </w:rPr>
        <w:t xml:space="preserve"> extra pay</w:t>
      </w:r>
      <w:r w:rsidR="002A6023" w:rsidRPr="00A86E6B">
        <w:rPr>
          <w:szCs w:val="26"/>
        </w:rPr>
        <w:t xml:space="preserve"> thus</w:t>
      </w:r>
      <w:r w:rsidR="007A6517" w:rsidRPr="00A86E6B">
        <w:rPr>
          <w:szCs w:val="26"/>
        </w:rPr>
        <w:t xml:space="preserve"> </w:t>
      </w:r>
      <w:r w:rsidR="000A3572" w:rsidRPr="00A86E6B">
        <w:rPr>
          <w:szCs w:val="26"/>
        </w:rPr>
        <w:t>constitutes</w:t>
      </w:r>
      <w:r w:rsidR="00636903" w:rsidRPr="00A86E6B">
        <w:rPr>
          <w:szCs w:val="26"/>
        </w:rPr>
        <w:t xml:space="preserve"> </w:t>
      </w:r>
      <w:r w:rsidR="00B3765B" w:rsidRPr="00A86E6B">
        <w:rPr>
          <w:szCs w:val="26"/>
        </w:rPr>
        <w:t xml:space="preserve">wages </w:t>
      </w:r>
      <w:r w:rsidR="00711096" w:rsidRPr="00A86E6B">
        <w:rPr>
          <w:szCs w:val="26"/>
        </w:rPr>
        <w:t xml:space="preserve">subject to the same </w:t>
      </w:r>
      <w:r w:rsidR="007A6517" w:rsidRPr="00A86E6B">
        <w:rPr>
          <w:szCs w:val="26"/>
        </w:rPr>
        <w:t>timing and reporting rules as other forms of</w:t>
      </w:r>
      <w:r w:rsidR="00B3765B" w:rsidRPr="00A86E6B">
        <w:rPr>
          <w:szCs w:val="26"/>
        </w:rPr>
        <w:t xml:space="preserve"> </w:t>
      </w:r>
      <w:r w:rsidR="007A6517" w:rsidRPr="00A86E6B">
        <w:rPr>
          <w:szCs w:val="26"/>
        </w:rPr>
        <w:t>compensation</w:t>
      </w:r>
      <w:r w:rsidR="00841865" w:rsidRPr="00A86E6B">
        <w:rPr>
          <w:szCs w:val="26"/>
        </w:rPr>
        <w:t xml:space="preserve"> for </w:t>
      </w:r>
      <w:r w:rsidR="004F44C1" w:rsidRPr="00A86E6B">
        <w:rPr>
          <w:szCs w:val="26"/>
        </w:rPr>
        <w:t>work</w:t>
      </w:r>
      <w:r w:rsidR="000A3572" w:rsidRPr="00A86E6B">
        <w:rPr>
          <w:szCs w:val="26"/>
        </w:rPr>
        <w:t xml:space="preserve">.  </w:t>
      </w:r>
    </w:p>
    <w:p w14:paraId="67E18BA8" w14:textId="45C7BF63" w:rsidR="00EB484E" w:rsidRDefault="00C3662B" w:rsidP="00A86E6B">
      <w:pPr>
        <w:tabs>
          <w:tab w:val="left" w:pos="1440"/>
        </w:tabs>
        <w:ind w:firstLine="720"/>
        <w:rPr>
          <w:szCs w:val="26"/>
        </w:rPr>
      </w:pPr>
      <w:r w:rsidRPr="00A86E6B">
        <w:rPr>
          <w:szCs w:val="26"/>
        </w:rPr>
        <w:t>We</w:t>
      </w:r>
      <w:r w:rsidR="00C8775F" w:rsidRPr="00A86E6B">
        <w:rPr>
          <w:szCs w:val="26"/>
        </w:rPr>
        <w:t xml:space="preserve"> also resolve a </w:t>
      </w:r>
      <w:r w:rsidR="004C2C57" w:rsidRPr="00A86E6B">
        <w:rPr>
          <w:szCs w:val="26"/>
        </w:rPr>
        <w:t>dispute over the</w:t>
      </w:r>
      <w:r w:rsidR="00FE1A5A" w:rsidRPr="00A86E6B">
        <w:rPr>
          <w:szCs w:val="26"/>
        </w:rPr>
        <w:t xml:space="preserve"> </w:t>
      </w:r>
      <w:r w:rsidR="00C8775F" w:rsidRPr="00A86E6B">
        <w:rPr>
          <w:szCs w:val="26"/>
        </w:rPr>
        <w:t xml:space="preserve">rate of prejudgment interest </w:t>
      </w:r>
      <w:r w:rsidR="004C2C57" w:rsidRPr="00A86E6B">
        <w:rPr>
          <w:szCs w:val="26"/>
        </w:rPr>
        <w:t xml:space="preserve">that </w:t>
      </w:r>
      <w:r w:rsidR="00C8775F" w:rsidRPr="00A86E6B">
        <w:rPr>
          <w:szCs w:val="26"/>
        </w:rPr>
        <w:t>applies to amounts due for failure to provide meal and rest breaks</w:t>
      </w:r>
      <w:r w:rsidR="004C2C57" w:rsidRPr="00A86E6B">
        <w:rPr>
          <w:szCs w:val="26"/>
        </w:rPr>
        <w:t>.</w:t>
      </w:r>
      <w:r w:rsidR="00C8775F" w:rsidRPr="00A86E6B">
        <w:rPr>
          <w:szCs w:val="26"/>
        </w:rPr>
        <w:t xml:space="preserve">  </w:t>
      </w:r>
      <w:r w:rsidR="004C2C57" w:rsidRPr="00A86E6B">
        <w:rPr>
          <w:szCs w:val="26"/>
        </w:rPr>
        <w:t>Here, w</w:t>
      </w:r>
      <w:r w:rsidR="0093636F" w:rsidRPr="00A86E6B">
        <w:rPr>
          <w:szCs w:val="26"/>
        </w:rPr>
        <w:t xml:space="preserve">e </w:t>
      </w:r>
      <w:r w:rsidR="000603BE" w:rsidRPr="00A86E6B">
        <w:rPr>
          <w:szCs w:val="26"/>
        </w:rPr>
        <w:t xml:space="preserve">agree with the Court of Appeal that the </w:t>
      </w:r>
      <w:r w:rsidR="004A02EF" w:rsidRPr="00A86E6B">
        <w:rPr>
          <w:szCs w:val="26"/>
        </w:rPr>
        <w:t>7</w:t>
      </w:r>
      <w:r w:rsidR="00F12B0B" w:rsidRPr="00A86E6B">
        <w:rPr>
          <w:szCs w:val="26"/>
        </w:rPr>
        <w:t xml:space="preserve"> percent </w:t>
      </w:r>
      <w:r w:rsidR="00C8775F" w:rsidRPr="00A86E6B">
        <w:rPr>
          <w:szCs w:val="26"/>
        </w:rPr>
        <w:t xml:space="preserve">default rate set by the state Constitution </w:t>
      </w:r>
      <w:r w:rsidR="003E41BF" w:rsidRPr="00A86E6B">
        <w:rPr>
          <w:szCs w:val="26"/>
        </w:rPr>
        <w:t>applie</w:t>
      </w:r>
      <w:r w:rsidR="00C8775F" w:rsidRPr="00A86E6B">
        <w:rPr>
          <w:szCs w:val="26"/>
        </w:rPr>
        <w:t>s.</w:t>
      </w:r>
      <w:r w:rsidR="001376F7" w:rsidRPr="00A86E6B">
        <w:rPr>
          <w:szCs w:val="26"/>
        </w:rPr>
        <w:t xml:space="preserve">  (See Cal. Const., art. XV, § 1.)</w:t>
      </w:r>
    </w:p>
    <w:p w14:paraId="1B0617D4" w14:textId="77777777" w:rsidR="00EB484E" w:rsidRDefault="00EB484E">
      <w:pPr>
        <w:spacing w:after="0" w:line="240" w:lineRule="auto"/>
        <w:jc w:val="left"/>
        <w:rPr>
          <w:szCs w:val="26"/>
        </w:rPr>
      </w:pPr>
      <w:r>
        <w:rPr>
          <w:szCs w:val="26"/>
        </w:rPr>
        <w:br w:type="page"/>
      </w:r>
    </w:p>
    <w:p w14:paraId="41212475" w14:textId="44DDB593" w:rsidR="00EF18D9" w:rsidRPr="00A86E6B" w:rsidRDefault="00FF4CED" w:rsidP="00DF196D">
      <w:pPr>
        <w:tabs>
          <w:tab w:val="left" w:pos="1440"/>
        </w:tabs>
        <w:jc w:val="center"/>
        <w:rPr>
          <w:b/>
          <w:bCs/>
          <w:smallCaps/>
          <w:szCs w:val="26"/>
          <w:lang w:val="it-IT"/>
        </w:rPr>
      </w:pPr>
      <w:r w:rsidRPr="00A86E6B">
        <w:rPr>
          <w:b/>
          <w:bCs/>
          <w:smallCaps/>
          <w:szCs w:val="26"/>
          <w:lang w:val="it-IT"/>
        </w:rPr>
        <w:lastRenderedPageBreak/>
        <w:t>I.</w:t>
      </w:r>
    </w:p>
    <w:p w14:paraId="5487A28D" w14:textId="599B0D45" w:rsidR="000B1DC0" w:rsidRPr="00A86E6B" w:rsidRDefault="00C46F4D" w:rsidP="00A86E6B">
      <w:pPr>
        <w:tabs>
          <w:tab w:val="left" w:pos="1440"/>
        </w:tabs>
        <w:ind w:firstLine="720"/>
        <w:rPr>
          <w:szCs w:val="26"/>
        </w:rPr>
      </w:pPr>
      <w:r w:rsidRPr="00A86E6B">
        <w:rPr>
          <w:szCs w:val="26"/>
        </w:rPr>
        <w:t>Defendant Spectrum Security Services, Inc.</w:t>
      </w:r>
      <w:r w:rsidR="005A0A74" w:rsidRPr="00A86E6B">
        <w:rPr>
          <w:szCs w:val="26"/>
        </w:rPr>
        <w:t>,</w:t>
      </w:r>
      <w:r w:rsidRPr="00A86E6B">
        <w:rPr>
          <w:szCs w:val="26"/>
        </w:rPr>
        <w:t xml:space="preserve"> </w:t>
      </w:r>
      <w:r w:rsidR="001F227E">
        <w:rPr>
          <w:szCs w:val="26"/>
        </w:rPr>
        <w:t xml:space="preserve">(Spectrum) </w:t>
      </w:r>
      <w:r w:rsidRPr="00A86E6B">
        <w:rPr>
          <w:szCs w:val="26"/>
        </w:rPr>
        <w:t xml:space="preserve">provides </w:t>
      </w:r>
      <w:r w:rsidR="007F79E5" w:rsidRPr="00A86E6B">
        <w:rPr>
          <w:szCs w:val="26"/>
        </w:rPr>
        <w:t>secure custodial</w:t>
      </w:r>
      <w:r w:rsidRPr="00A86E6B">
        <w:rPr>
          <w:szCs w:val="26"/>
        </w:rPr>
        <w:t xml:space="preserve"> services to federal agencies</w:t>
      </w:r>
      <w:r w:rsidR="00F1681F" w:rsidRPr="00A86E6B">
        <w:rPr>
          <w:szCs w:val="26"/>
        </w:rPr>
        <w:t>.  The company</w:t>
      </w:r>
      <w:r w:rsidRPr="00A86E6B">
        <w:rPr>
          <w:szCs w:val="26"/>
        </w:rPr>
        <w:t xml:space="preserve"> </w:t>
      </w:r>
      <w:r w:rsidR="00E82012" w:rsidRPr="00A86E6B">
        <w:rPr>
          <w:szCs w:val="26"/>
        </w:rPr>
        <w:t xml:space="preserve">transports and guards </w:t>
      </w:r>
      <w:r w:rsidRPr="00A86E6B">
        <w:rPr>
          <w:szCs w:val="26"/>
        </w:rPr>
        <w:t xml:space="preserve">prisoners and detainees who require </w:t>
      </w:r>
      <w:r w:rsidR="000204FC" w:rsidRPr="00A86E6B">
        <w:rPr>
          <w:szCs w:val="26"/>
        </w:rPr>
        <w:t>outside</w:t>
      </w:r>
      <w:r w:rsidRPr="00A86E6B">
        <w:rPr>
          <w:szCs w:val="26"/>
        </w:rPr>
        <w:t xml:space="preserve"> medical attention</w:t>
      </w:r>
      <w:r w:rsidR="007F79E5" w:rsidRPr="00A86E6B">
        <w:rPr>
          <w:szCs w:val="26"/>
        </w:rPr>
        <w:t xml:space="preserve"> or have other appointments</w:t>
      </w:r>
      <w:r w:rsidR="003B69C5" w:rsidRPr="00A86E6B">
        <w:rPr>
          <w:szCs w:val="26"/>
        </w:rPr>
        <w:t xml:space="preserve"> outside custodial facilities</w:t>
      </w:r>
      <w:r w:rsidRPr="00A86E6B">
        <w:rPr>
          <w:szCs w:val="26"/>
        </w:rPr>
        <w:t xml:space="preserve">.  </w:t>
      </w:r>
      <w:r w:rsidR="00A16461" w:rsidRPr="00A86E6B">
        <w:rPr>
          <w:szCs w:val="26"/>
        </w:rPr>
        <w:t>(</w:t>
      </w:r>
      <w:r w:rsidR="00A16461" w:rsidRPr="00A86E6B">
        <w:rPr>
          <w:i/>
          <w:iCs/>
          <w:szCs w:val="26"/>
        </w:rPr>
        <w:t>Naranjo v. Spectrum Security Services, Inc.</w:t>
      </w:r>
      <w:r w:rsidR="00A16461" w:rsidRPr="00A86E6B">
        <w:rPr>
          <w:szCs w:val="26"/>
        </w:rPr>
        <w:t xml:space="preserve"> (2009) 172 Cal.App.4th 654, 660 (</w:t>
      </w:r>
      <w:r w:rsidR="00A16461" w:rsidRPr="00A86E6B">
        <w:rPr>
          <w:i/>
          <w:iCs/>
          <w:szCs w:val="26"/>
        </w:rPr>
        <w:t>Naranjo I</w:t>
      </w:r>
      <w:r w:rsidR="00A16461" w:rsidRPr="00A86E6B">
        <w:rPr>
          <w:szCs w:val="26"/>
        </w:rPr>
        <w:t>).)</w:t>
      </w:r>
      <w:r w:rsidR="00021DFB" w:rsidRPr="00A86E6B">
        <w:rPr>
          <w:szCs w:val="26"/>
        </w:rPr>
        <w:t xml:space="preserve">  </w:t>
      </w:r>
      <w:r w:rsidR="0062327A" w:rsidRPr="00A86E6B">
        <w:rPr>
          <w:szCs w:val="26"/>
        </w:rPr>
        <w:t xml:space="preserve">Plaintiff Gustavo Naranjo </w:t>
      </w:r>
      <w:r w:rsidRPr="00A86E6B">
        <w:rPr>
          <w:szCs w:val="26"/>
        </w:rPr>
        <w:t>wa</w:t>
      </w:r>
      <w:r w:rsidR="0062327A" w:rsidRPr="00A86E6B">
        <w:rPr>
          <w:szCs w:val="26"/>
        </w:rPr>
        <w:t xml:space="preserve">s a </w:t>
      </w:r>
      <w:r w:rsidRPr="00A86E6B">
        <w:rPr>
          <w:szCs w:val="26"/>
        </w:rPr>
        <w:t>guard for Spectrum.</w:t>
      </w:r>
      <w:r w:rsidR="008A6B1D" w:rsidRPr="00A86E6B">
        <w:rPr>
          <w:szCs w:val="26"/>
        </w:rPr>
        <w:t xml:space="preserve">  Naranjo was </w:t>
      </w:r>
      <w:r w:rsidR="00B750C3" w:rsidRPr="00A86E6B">
        <w:rPr>
          <w:szCs w:val="26"/>
        </w:rPr>
        <w:t xml:space="preserve">suspended and later </w:t>
      </w:r>
      <w:r w:rsidR="008A6B1D" w:rsidRPr="00A86E6B">
        <w:rPr>
          <w:szCs w:val="26"/>
        </w:rPr>
        <w:t xml:space="preserve">fired </w:t>
      </w:r>
      <w:r w:rsidR="00CC4888" w:rsidRPr="00A86E6B">
        <w:rPr>
          <w:szCs w:val="26"/>
        </w:rPr>
        <w:t>after</w:t>
      </w:r>
      <w:r w:rsidR="008A6B1D" w:rsidRPr="00A86E6B">
        <w:rPr>
          <w:szCs w:val="26"/>
        </w:rPr>
        <w:t xml:space="preserve"> leaving his post to take a meal break</w:t>
      </w:r>
      <w:r w:rsidR="00A16461" w:rsidRPr="00A86E6B">
        <w:rPr>
          <w:szCs w:val="26"/>
        </w:rPr>
        <w:t>,</w:t>
      </w:r>
      <w:r w:rsidR="00B750C3" w:rsidRPr="00A86E6B">
        <w:rPr>
          <w:szCs w:val="26"/>
        </w:rPr>
        <w:t xml:space="preserve"> </w:t>
      </w:r>
      <w:r w:rsidR="008A6B1D" w:rsidRPr="00A86E6B">
        <w:rPr>
          <w:szCs w:val="26"/>
        </w:rPr>
        <w:t xml:space="preserve">in violation of a Spectrum policy that </w:t>
      </w:r>
      <w:r w:rsidR="00A16461" w:rsidRPr="00A86E6B">
        <w:rPr>
          <w:szCs w:val="26"/>
        </w:rPr>
        <w:t>required custodial employees to remain on duty during all meal breaks</w:t>
      </w:r>
      <w:r w:rsidR="00BE4F8D" w:rsidRPr="00A86E6B">
        <w:rPr>
          <w:szCs w:val="26"/>
        </w:rPr>
        <w:t>.</w:t>
      </w:r>
      <w:r w:rsidR="008A6B1D" w:rsidRPr="00A86E6B">
        <w:rPr>
          <w:szCs w:val="26"/>
        </w:rPr>
        <w:t xml:space="preserve">  </w:t>
      </w:r>
      <w:r w:rsidR="00B94002" w:rsidRPr="00A86E6B">
        <w:rPr>
          <w:szCs w:val="26"/>
        </w:rPr>
        <w:t>(</w:t>
      </w:r>
      <w:r w:rsidR="00B94002" w:rsidRPr="00A86E6B">
        <w:rPr>
          <w:i/>
          <w:iCs/>
          <w:szCs w:val="26"/>
        </w:rPr>
        <w:t>Naranjo v. Spectrum Security Services, Inc.</w:t>
      </w:r>
      <w:r w:rsidR="00B94002" w:rsidRPr="00A86E6B">
        <w:rPr>
          <w:szCs w:val="26"/>
        </w:rPr>
        <w:t xml:space="preserve"> (2019) 40 Cal.App.5th 444, 453–454 (</w:t>
      </w:r>
      <w:r w:rsidR="00B94002" w:rsidRPr="00A86E6B">
        <w:rPr>
          <w:i/>
          <w:iCs/>
          <w:szCs w:val="26"/>
        </w:rPr>
        <w:t>Naranjo II</w:t>
      </w:r>
      <w:r w:rsidR="00B94002" w:rsidRPr="00A86E6B">
        <w:rPr>
          <w:szCs w:val="26"/>
        </w:rPr>
        <w:t>).)</w:t>
      </w:r>
    </w:p>
    <w:p w14:paraId="4661D1BD" w14:textId="18182FEB" w:rsidR="00281C85" w:rsidRPr="00A86E6B" w:rsidRDefault="000B1DC0" w:rsidP="00A86E6B">
      <w:pPr>
        <w:tabs>
          <w:tab w:val="left" w:pos="1440"/>
        </w:tabs>
        <w:ind w:firstLine="720"/>
        <w:rPr>
          <w:szCs w:val="26"/>
        </w:rPr>
      </w:pPr>
      <w:r w:rsidRPr="00A86E6B">
        <w:rPr>
          <w:szCs w:val="26"/>
        </w:rPr>
        <w:t xml:space="preserve">Naranjo </w:t>
      </w:r>
      <w:r w:rsidR="008A6B1D" w:rsidRPr="00A86E6B">
        <w:rPr>
          <w:szCs w:val="26"/>
        </w:rPr>
        <w:t xml:space="preserve">filed a </w:t>
      </w:r>
      <w:r w:rsidR="002649E0" w:rsidRPr="00A86E6B">
        <w:rPr>
          <w:szCs w:val="26"/>
        </w:rPr>
        <w:t xml:space="preserve">putative </w:t>
      </w:r>
      <w:r w:rsidR="008A6B1D" w:rsidRPr="00A86E6B">
        <w:rPr>
          <w:szCs w:val="26"/>
        </w:rPr>
        <w:t xml:space="preserve">class action </w:t>
      </w:r>
      <w:r w:rsidR="00082507" w:rsidRPr="00A86E6B">
        <w:rPr>
          <w:szCs w:val="26"/>
        </w:rPr>
        <w:t xml:space="preserve">on behalf of Spectrum employees, </w:t>
      </w:r>
      <w:r w:rsidR="008A6B1D" w:rsidRPr="00A86E6B">
        <w:rPr>
          <w:szCs w:val="26"/>
        </w:rPr>
        <w:t>alleging</w:t>
      </w:r>
      <w:r w:rsidR="00BC3A2A" w:rsidRPr="00A86E6B">
        <w:rPr>
          <w:szCs w:val="26"/>
        </w:rPr>
        <w:t xml:space="preserve"> that Spectrum had violated </w:t>
      </w:r>
      <w:r w:rsidR="008A6B1D" w:rsidRPr="00A86E6B">
        <w:rPr>
          <w:szCs w:val="26"/>
        </w:rPr>
        <w:t xml:space="preserve">state meal break </w:t>
      </w:r>
      <w:r w:rsidR="00405FFC" w:rsidRPr="00A86E6B">
        <w:rPr>
          <w:szCs w:val="26"/>
        </w:rPr>
        <w:t>requirements</w:t>
      </w:r>
      <w:r w:rsidR="007F1CCD" w:rsidRPr="00A86E6B">
        <w:rPr>
          <w:szCs w:val="26"/>
        </w:rPr>
        <w:t xml:space="preserve"> under the Labor Code and </w:t>
      </w:r>
      <w:r w:rsidR="00A121D7" w:rsidRPr="00A86E6B">
        <w:rPr>
          <w:szCs w:val="26"/>
        </w:rPr>
        <w:t>the applicable</w:t>
      </w:r>
      <w:r w:rsidR="007F1CCD" w:rsidRPr="00A86E6B">
        <w:rPr>
          <w:szCs w:val="26"/>
        </w:rPr>
        <w:t xml:space="preserve"> Industrial Welfare Commission (IWC) wage order</w:t>
      </w:r>
      <w:r w:rsidR="00DA3880" w:rsidRPr="00A86E6B">
        <w:rPr>
          <w:szCs w:val="26"/>
        </w:rPr>
        <w:t>.</w:t>
      </w:r>
      <w:r w:rsidR="00793040" w:rsidRPr="00A86E6B">
        <w:rPr>
          <w:rStyle w:val="FootnoteReference"/>
          <w:szCs w:val="26"/>
        </w:rPr>
        <w:footnoteReference w:id="3"/>
      </w:r>
      <w:r w:rsidR="008A6B1D" w:rsidRPr="00A86E6B">
        <w:rPr>
          <w:szCs w:val="26"/>
        </w:rPr>
        <w:t xml:space="preserve"> </w:t>
      </w:r>
      <w:r w:rsidR="00DA3880" w:rsidRPr="00A86E6B">
        <w:rPr>
          <w:szCs w:val="26"/>
        </w:rPr>
        <w:t xml:space="preserve"> </w:t>
      </w:r>
      <w:r w:rsidR="008A6B1D" w:rsidRPr="00A86E6B">
        <w:rPr>
          <w:szCs w:val="26"/>
        </w:rPr>
        <w:t>(Lab. Code, § 226.7</w:t>
      </w:r>
      <w:r w:rsidR="00DA70E2" w:rsidRPr="00A86E6B">
        <w:rPr>
          <w:szCs w:val="26"/>
        </w:rPr>
        <w:t>; I</w:t>
      </w:r>
      <w:r w:rsidR="009C124C" w:rsidRPr="00A86E6B">
        <w:rPr>
          <w:szCs w:val="26"/>
        </w:rPr>
        <w:t>WC</w:t>
      </w:r>
      <w:r w:rsidR="00FE1A5A" w:rsidRPr="00A86E6B">
        <w:rPr>
          <w:szCs w:val="26"/>
        </w:rPr>
        <w:t xml:space="preserve"> </w:t>
      </w:r>
      <w:r w:rsidR="00DA70E2" w:rsidRPr="00A86E6B">
        <w:rPr>
          <w:szCs w:val="26"/>
        </w:rPr>
        <w:t xml:space="preserve">wage order </w:t>
      </w:r>
      <w:r w:rsidR="003B180E" w:rsidRPr="00A86E6B">
        <w:rPr>
          <w:szCs w:val="26"/>
        </w:rPr>
        <w:t>No. </w:t>
      </w:r>
      <w:r w:rsidR="00001000">
        <w:rPr>
          <w:szCs w:val="26"/>
        </w:rPr>
        <w:t>4-2001</w:t>
      </w:r>
      <w:r w:rsidR="00DA70E2" w:rsidRPr="00A86E6B">
        <w:rPr>
          <w:szCs w:val="26"/>
        </w:rPr>
        <w:t>, § 11</w:t>
      </w:r>
      <w:r w:rsidR="00B13B02" w:rsidRPr="00A86E6B">
        <w:rPr>
          <w:szCs w:val="26"/>
        </w:rPr>
        <w:t>.</w:t>
      </w:r>
      <w:r w:rsidR="008A6B1D" w:rsidRPr="00A86E6B">
        <w:rPr>
          <w:szCs w:val="26"/>
        </w:rPr>
        <w:t>)</w:t>
      </w:r>
      <w:r w:rsidR="009456E9" w:rsidRPr="00A86E6B">
        <w:rPr>
          <w:rStyle w:val="FootnoteReference"/>
          <w:szCs w:val="26"/>
        </w:rPr>
        <w:footnoteReference w:id="4"/>
      </w:r>
      <w:r w:rsidRPr="00A86E6B">
        <w:rPr>
          <w:szCs w:val="26"/>
        </w:rPr>
        <w:t xml:space="preserve">  </w:t>
      </w:r>
      <w:r w:rsidR="004D1A70" w:rsidRPr="00A86E6B">
        <w:rPr>
          <w:szCs w:val="26"/>
        </w:rPr>
        <w:t>The complaint</w:t>
      </w:r>
      <w:r w:rsidR="007F1CCD" w:rsidRPr="00A86E6B">
        <w:rPr>
          <w:szCs w:val="26"/>
        </w:rPr>
        <w:t xml:space="preserve"> </w:t>
      </w:r>
      <w:r w:rsidR="00FE1A5A" w:rsidRPr="00A86E6B">
        <w:rPr>
          <w:szCs w:val="26"/>
        </w:rPr>
        <w:t>sought</w:t>
      </w:r>
      <w:r w:rsidR="00CB7AD2" w:rsidRPr="00A86E6B">
        <w:rPr>
          <w:szCs w:val="26"/>
        </w:rPr>
        <w:t xml:space="preserve"> </w:t>
      </w:r>
      <w:r w:rsidR="006605FF" w:rsidRPr="00A86E6B">
        <w:rPr>
          <w:szCs w:val="26"/>
        </w:rPr>
        <w:t xml:space="preserve">an </w:t>
      </w:r>
      <w:r w:rsidR="009768B1" w:rsidRPr="00A86E6B">
        <w:rPr>
          <w:szCs w:val="26"/>
        </w:rPr>
        <w:t>additional hour of pay</w:t>
      </w:r>
      <w:r w:rsidR="0015586C" w:rsidRPr="00A86E6B">
        <w:rPr>
          <w:szCs w:val="26"/>
        </w:rPr>
        <w:t> </w:t>
      </w:r>
      <w:r w:rsidR="00D94601" w:rsidRPr="00A86E6B">
        <w:rPr>
          <w:szCs w:val="26"/>
        </w:rPr>
        <w:t>— commonly referred to as “premium pay”</w:t>
      </w:r>
      <w:r w:rsidR="0015586C" w:rsidRPr="00A86E6B">
        <w:rPr>
          <w:szCs w:val="26"/>
        </w:rPr>
        <w:t> </w:t>
      </w:r>
      <w:r w:rsidR="00D94601" w:rsidRPr="00A86E6B">
        <w:rPr>
          <w:szCs w:val="26"/>
        </w:rPr>
        <w:t xml:space="preserve">— </w:t>
      </w:r>
      <w:r w:rsidR="00173FDC" w:rsidRPr="00A86E6B">
        <w:rPr>
          <w:szCs w:val="26"/>
        </w:rPr>
        <w:t xml:space="preserve">for each </w:t>
      </w:r>
      <w:r w:rsidR="00FE1A5A" w:rsidRPr="00A86E6B">
        <w:rPr>
          <w:szCs w:val="26"/>
        </w:rPr>
        <w:t>day on</w:t>
      </w:r>
      <w:r w:rsidR="00011D7F" w:rsidRPr="00A86E6B">
        <w:rPr>
          <w:szCs w:val="26"/>
        </w:rPr>
        <w:t xml:space="preserve"> which</w:t>
      </w:r>
      <w:r w:rsidR="00FE1A5A" w:rsidRPr="00A86E6B">
        <w:rPr>
          <w:szCs w:val="26"/>
        </w:rPr>
        <w:t xml:space="preserve"> </w:t>
      </w:r>
      <w:r w:rsidR="004D53FC" w:rsidRPr="00A86E6B">
        <w:rPr>
          <w:szCs w:val="26"/>
        </w:rPr>
        <w:t>Spectrum failed to provide employees a legally compliant meal break</w:t>
      </w:r>
      <w:r w:rsidR="009768B1" w:rsidRPr="00A86E6B">
        <w:rPr>
          <w:szCs w:val="26"/>
        </w:rPr>
        <w:t>.  (</w:t>
      </w:r>
      <w:r w:rsidR="00C3662B" w:rsidRPr="00A86E6B">
        <w:rPr>
          <w:szCs w:val="26"/>
        </w:rPr>
        <w:t>S</w:t>
      </w:r>
      <w:r w:rsidR="00FE1A5A" w:rsidRPr="00A86E6B">
        <w:rPr>
          <w:szCs w:val="26"/>
        </w:rPr>
        <w:t xml:space="preserve">ee </w:t>
      </w:r>
      <w:r w:rsidR="009768B1" w:rsidRPr="00A86E6B">
        <w:rPr>
          <w:szCs w:val="26"/>
        </w:rPr>
        <w:t xml:space="preserve">Lab. Code, § 226.7, subd. (c); </w:t>
      </w:r>
      <w:r w:rsidR="00FE1A5A" w:rsidRPr="00A86E6B">
        <w:rPr>
          <w:szCs w:val="26"/>
        </w:rPr>
        <w:t>IWC</w:t>
      </w:r>
      <w:r w:rsidR="009768B1" w:rsidRPr="00A86E6B">
        <w:rPr>
          <w:szCs w:val="26"/>
        </w:rPr>
        <w:t xml:space="preserve"> wage order No.</w:t>
      </w:r>
      <w:r w:rsidR="008F79A0">
        <w:rPr>
          <w:szCs w:val="26"/>
        </w:rPr>
        <w:t> </w:t>
      </w:r>
      <w:r w:rsidR="00001000">
        <w:rPr>
          <w:szCs w:val="26"/>
        </w:rPr>
        <w:t>4-2001</w:t>
      </w:r>
      <w:r w:rsidR="009768B1" w:rsidRPr="00A86E6B">
        <w:rPr>
          <w:szCs w:val="26"/>
        </w:rPr>
        <w:t>, §§ 11(B), 12(B).)</w:t>
      </w:r>
    </w:p>
    <w:p w14:paraId="3964A79B" w14:textId="486FF4D9" w:rsidR="00F733BE" w:rsidRPr="00A86E6B" w:rsidRDefault="00CC47F9" w:rsidP="00A86E6B">
      <w:pPr>
        <w:tabs>
          <w:tab w:val="left" w:pos="1440"/>
        </w:tabs>
        <w:ind w:firstLine="720"/>
        <w:rPr>
          <w:szCs w:val="26"/>
        </w:rPr>
      </w:pPr>
      <w:r w:rsidRPr="00A86E6B">
        <w:rPr>
          <w:szCs w:val="26"/>
        </w:rPr>
        <w:t xml:space="preserve">Naranjo’s </w:t>
      </w:r>
      <w:r w:rsidR="00FE1A5A" w:rsidRPr="00A86E6B">
        <w:rPr>
          <w:szCs w:val="26"/>
        </w:rPr>
        <w:t xml:space="preserve">complaint </w:t>
      </w:r>
      <w:r w:rsidR="004D1A70" w:rsidRPr="00A86E6B">
        <w:rPr>
          <w:szCs w:val="26"/>
        </w:rPr>
        <w:t xml:space="preserve">also </w:t>
      </w:r>
      <w:r w:rsidR="00FE1A5A" w:rsidRPr="00A86E6B">
        <w:rPr>
          <w:szCs w:val="26"/>
        </w:rPr>
        <w:t>alleged</w:t>
      </w:r>
      <w:r w:rsidR="00AC527B" w:rsidRPr="00A86E6B">
        <w:rPr>
          <w:szCs w:val="26"/>
        </w:rPr>
        <w:t xml:space="preserve"> two </w:t>
      </w:r>
      <w:r w:rsidR="00983658" w:rsidRPr="00A86E6B">
        <w:rPr>
          <w:szCs w:val="26"/>
        </w:rPr>
        <w:t xml:space="preserve">Labor Code </w:t>
      </w:r>
      <w:r w:rsidR="005407FD" w:rsidRPr="00A86E6B">
        <w:rPr>
          <w:szCs w:val="26"/>
        </w:rPr>
        <w:t xml:space="preserve">violations related to </w:t>
      </w:r>
      <w:r w:rsidR="00AC527B" w:rsidRPr="00A86E6B">
        <w:rPr>
          <w:szCs w:val="26"/>
        </w:rPr>
        <w:t>Spectrum’s premium pay</w:t>
      </w:r>
      <w:r w:rsidR="008A0E90" w:rsidRPr="00A86E6B">
        <w:rPr>
          <w:szCs w:val="26"/>
        </w:rPr>
        <w:t xml:space="preserve"> obligations</w:t>
      </w:r>
      <w:r w:rsidR="004D1A70" w:rsidRPr="00A86E6B">
        <w:rPr>
          <w:szCs w:val="26"/>
        </w:rPr>
        <w:t xml:space="preserve">.  </w:t>
      </w:r>
      <w:r w:rsidR="00011D7F" w:rsidRPr="00A86E6B">
        <w:rPr>
          <w:szCs w:val="26"/>
        </w:rPr>
        <w:t>According to t</w:t>
      </w:r>
      <w:r w:rsidR="004D1A70" w:rsidRPr="00A86E6B">
        <w:rPr>
          <w:szCs w:val="26"/>
        </w:rPr>
        <w:t>he complaint</w:t>
      </w:r>
      <w:r w:rsidR="00011D7F" w:rsidRPr="00A86E6B">
        <w:rPr>
          <w:szCs w:val="26"/>
        </w:rPr>
        <w:t>,</w:t>
      </w:r>
      <w:r w:rsidR="004D1A70" w:rsidRPr="00A86E6B">
        <w:rPr>
          <w:szCs w:val="26"/>
        </w:rPr>
        <w:t xml:space="preserve"> </w:t>
      </w:r>
      <w:r w:rsidR="00767D79" w:rsidRPr="00A86E6B">
        <w:rPr>
          <w:szCs w:val="26"/>
        </w:rPr>
        <w:t xml:space="preserve">Spectrum was required to </w:t>
      </w:r>
      <w:r w:rsidR="00FB74CA" w:rsidRPr="00A86E6B">
        <w:rPr>
          <w:szCs w:val="26"/>
        </w:rPr>
        <w:t xml:space="preserve">report </w:t>
      </w:r>
      <w:r w:rsidR="000963DD" w:rsidRPr="00A86E6B">
        <w:rPr>
          <w:szCs w:val="26"/>
        </w:rPr>
        <w:t xml:space="preserve">the </w:t>
      </w:r>
      <w:r w:rsidR="00FB74CA" w:rsidRPr="00A86E6B">
        <w:rPr>
          <w:szCs w:val="26"/>
        </w:rPr>
        <w:t>premium pay on employee</w:t>
      </w:r>
      <w:r w:rsidR="00FE1A5A" w:rsidRPr="00A86E6B">
        <w:rPr>
          <w:szCs w:val="26"/>
        </w:rPr>
        <w:t>s</w:t>
      </w:r>
      <w:r w:rsidR="00FB74CA" w:rsidRPr="00A86E6B">
        <w:rPr>
          <w:szCs w:val="26"/>
        </w:rPr>
        <w:t>’ wage statements (Lab. Code, §</w:t>
      </w:r>
      <w:r w:rsidR="0015586C" w:rsidRPr="00A86E6B">
        <w:rPr>
          <w:szCs w:val="26"/>
        </w:rPr>
        <w:t> </w:t>
      </w:r>
      <w:r w:rsidR="00FB74CA" w:rsidRPr="00A86E6B">
        <w:rPr>
          <w:szCs w:val="26"/>
        </w:rPr>
        <w:t xml:space="preserve">226) and timely provide the pay to employees upon </w:t>
      </w:r>
      <w:r w:rsidR="000963DD" w:rsidRPr="00A86E6B">
        <w:rPr>
          <w:szCs w:val="26"/>
        </w:rPr>
        <w:t xml:space="preserve">their </w:t>
      </w:r>
      <w:r w:rsidR="00FB74CA" w:rsidRPr="00A86E6B">
        <w:rPr>
          <w:szCs w:val="26"/>
        </w:rPr>
        <w:t>discharge or resignation (</w:t>
      </w:r>
      <w:r w:rsidR="00FB74CA" w:rsidRPr="00A86E6B">
        <w:rPr>
          <w:i/>
          <w:iCs/>
          <w:szCs w:val="26"/>
        </w:rPr>
        <w:t>id.</w:t>
      </w:r>
      <w:r w:rsidR="00FB74CA" w:rsidRPr="00A86E6B">
        <w:rPr>
          <w:szCs w:val="26"/>
        </w:rPr>
        <w:t>, §</w:t>
      </w:r>
      <w:r w:rsidR="00EE61E2" w:rsidRPr="00A86E6B">
        <w:rPr>
          <w:szCs w:val="26"/>
        </w:rPr>
        <w:t>§</w:t>
      </w:r>
      <w:r w:rsidR="004977A4" w:rsidRPr="00A86E6B">
        <w:rPr>
          <w:szCs w:val="26"/>
        </w:rPr>
        <w:t> </w:t>
      </w:r>
      <w:r w:rsidR="00EE61E2" w:rsidRPr="00A86E6B">
        <w:rPr>
          <w:szCs w:val="26"/>
        </w:rPr>
        <w:t>201, 202,</w:t>
      </w:r>
      <w:r w:rsidR="00FB74CA" w:rsidRPr="00A86E6B">
        <w:rPr>
          <w:szCs w:val="26"/>
        </w:rPr>
        <w:t xml:space="preserve"> 203)</w:t>
      </w:r>
      <w:r w:rsidR="005407FD" w:rsidRPr="00A86E6B">
        <w:rPr>
          <w:szCs w:val="26"/>
        </w:rPr>
        <w:t>, but</w:t>
      </w:r>
      <w:r w:rsidR="00FB74CA" w:rsidRPr="00A86E6B">
        <w:rPr>
          <w:szCs w:val="26"/>
        </w:rPr>
        <w:t xml:space="preserve"> had done neither</w:t>
      </w:r>
      <w:r w:rsidR="005407FD" w:rsidRPr="00A86E6B">
        <w:rPr>
          <w:szCs w:val="26"/>
        </w:rPr>
        <w:t>.  The complaint sought</w:t>
      </w:r>
      <w:r w:rsidR="00D03299" w:rsidRPr="00A86E6B">
        <w:rPr>
          <w:szCs w:val="26"/>
        </w:rPr>
        <w:t xml:space="preserve"> the</w:t>
      </w:r>
      <w:r w:rsidR="004977A4" w:rsidRPr="00A86E6B">
        <w:rPr>
          <w:szCs w:val="26"/>
        </w:rPr>
        <w:t xml:space="preserve"> </w:t>
      </w:r>
      <w:r w:rsidR="00D03299" w:rsidRPr="00A86E6B">
        <w:rPr>
          <w:szCs w:val="26"/>
        </w:rPr>
        <w:t xml:space="preserve">damages and penalties prescribed </w:t>
      </w:r>
      <w:r w:rsidR="005407FD" w:rsidRPr="00A86E6B">
        <w:rPr>
          <w:szCs w:val="26"/>
        </w:rPr>
        <w:t xml:space="preserve">by </w:t>
      </w:r>
      <w:r w:rsidR="00D03299" w:rsidRPr="00A86E6B">
        <w:rPr>
          <w:szCs w:val="26"/>
        </w:rPr>
        <w:t>those statutes</w:t>
      </w:r>
      <w:r w:rsidR="00FE1A5A" w:rsidRPr="00A86E6B">
        <w:rPr>
          <w:szCs w:val="26"/>
        </w:rPr>
        <w:t xml:space="preserve"> (</w:t>
      </w:r>
      <w:r w:rsidR="00B42D81" w:rsidRPr="002D7C1C">
        <w:rPr>
          <w:i/>
          <w:iCs/>
          <w:szCs w:val="26"/>
        </w:rPr>
        <w:t>id.</w:t>
      </w:r>
      <w:r w:rsidR="00FE1A5A" w:rsidRPr="00A86E6B">
        <w:rPr>
          <w:szCs w:val="26"/>
        </w:rPr>
        <w:t>, §§ 203, subd. (a), 226, subd. (e)(1))</w:t>
      </w:r>
      <w:r w:rsidR="00D03299" w:rsidRPr="00A86E6B">
        <w:rPr>
          <w:szCs w:val="26"/>
        </w:rPr>
        <w:t xml:space="preserve"> as well as prejudgment interest</w:t>
      </w:r>
      <w:r w:rsidR="00FB74CA" w:rsidRPr="00A86E6B">
        <w:rPr>
          <w:szCs w:val="26"/>
        </w:rPr>
        <w:t>.</w:t>
      </w:r>
    </w:p>
    <w:p w14:paraId="5DDD6851" w14:textId="7F8F1E62" w:rsidR="008B4B3B" w:rsidRPr="00A86E6B" w:rsidRDefault="00C46F4D" w:rsidP="00A86E6B">
      <w:pPr>
        <w:tabs>
          <w:tab w:val="left" w:pos="1440"/>
        </w:tabs>
        <w:ind w:firstLine="720"/>
        <w:rPr>
          <w:szCs w:val="26"/>
        </w:rPr>
      </w:pPr>
      <w:r w:rsidRPr="00A86E6B">
        <w:rPr>
          <w:szCs w:val="26"/>
        </w:rPr>
        <w:t xml:space="preserve">The trial court initially granted summary judgment </w:t>
      </w:r>
      <w:r w:rsidR="000737A9" w:rsidRPr="00A86E6B">
        <w:rPr>
          <w:szCs w:val="26"/>
        </w:rPr>
        <w:t xml:space="preserve">in favor of </w:t>
      </w:r>
      <w:r w:rsidR="006501F4" w:rsidRPr="00A86E6B">
        <w:rPr>
          <w:szCs w:val="26"/>
        </w:rPr>
        <w:t xml:space="preserve">Spectrum </w:t>
      </w:r>
      <w:r w:rsidRPr="00A86E6B">
        <w:rPr>
          <w:szCs w:val="26"/>
        </w:rPr>
        <w:t xml:space="preserve">on federal </w:t>
      </w:r>
      <w:r w:rsidR="005377C0" w:rsidRPr="00A86E6B">
        <w:rPr>
          <w:szCs w:val="26"/>
        </w:rPr>
        <w:t xml:space="preserve">law </w:t>
      </w:r>
      <w:r w:rsidRPr="00A86E6B">
        <w:rPr>
          <w:szCs w:val="26"/>
        </w:rPr>
        <w:t>grounds</w:t>
      </w:r>
      <w:r w:rsidR="005377C0" w:rsidRPr="00A86E6B">
        <w:rPr>
          <w:szCs w:val="26"/>
        </w:rPr>
        <w:t xml:space="preserve"> not relevant here</w:t>
      </w:r>
      <w:r w:rsidRPr="00A86E6B">
        <w:rPr>
          <w:szCs w:val="26"/>
        </w:rPr>
        <w:t>, but the Court of Appeal reversed</w:t>
      </w:r>
      <w:r w:rsidR="00983658" w:rsidRPr="00A86E6B">
        <w:rPr>
          <w:szCs w:val="26"/>
        </w:rPr>
        <w:t>.</w:t>
      </w:r>
      <w:r w:rsidRPr="00A86E6B">
        <w:rPr>
          <w:szCs w:val="26"/>
        </w:rPr>
        <w:t xml:space="preserve"> </w:t>
      </w:r>
      <w:r w:rsidR="00983658" w:rsidRPr="00A86E6B">
        <w:rPr>
          <w:szCs w:val="26"/>
        </w:rPr>
        <w:t xml:space="preserve"> </w:t>
      </w:r>
      <w:r w:rsidRPr="00A86E6B">
        <w:rPr>
          <w:szCs w:val="26"/>
        </w:rPr>
        <w:t>(</w:t>
      </w:r>
      <w:r w:rsidRPr="00A86E6B">
        <w:rPr>
          <w:i/>
          <w:iCs/>
          <w:szCs w:val="26"/>
        </w:rPr>
        <w:t>Naranjo</w:t>
      </w:r>
      <w:r w:rsidR="00A16461" w:rsidRPr="00A86E6B">
        <w:rPr>
          <w:i/>
          <w:iCs/>
          <w:szCs w:val="26"/>
        </w:rPr>
        <w:t xml:space="preserve"> I</w:t>
      </w:r>
      <w:r w:rsidR="00A16461" w:rsidRPr="00A86E6B">
        <w:rPr>
          <w:szCs w:val="26"/>
        </w:rPr>
        <w:t xml:space="preserve">, </w:t>
      </w:r>
      <w:r w:rsidR="00A16461" w:rsidRPr="00A86E6B">
        <w:rPr>
          <w:i/>
          <w:iCs/>
          <w:szCs w:val="26"/>
        </w:rPr>
        <w:t>supra</w:t>
      </w:r>
      <w:r w:rsidR="00A16461" w:rsidRPr="00A86E6B">
        <w:rPr>
          <w:szCs w:val="26"/>
        </w:rPr>
        <w:t>,</w:t>
      </w:r>
      <w:r w:rsidRPr="00A86E6B">
        <w:rPr>
          <w:szCs w:val="26"/>
        </w:rPr>
        <w:t xml:space="preserve"> 172 Cal.App.4th </w:t>
      </w:r>
      <w:r w:rsidR="00A16461" w:rsidRPr="00A86E6B">
        <w:rPr>
          <w:szCs w:val="26"/>
        </w:rPr>
        <w:t>at pp. </w:t>
      </w:r>
      <w:r w:rsidR="007F79E5" w:rsidRPr="00A86E6B">
        <w:rPr>
          <w:szCs w:val="26"/>
        </w:rPr>
        <w:t>66</w:t>
      </w:r>
      <w:r w:rsidR="000D22DC" w:rsidRPr="00A86E6B">
        <w:rPr>
          <w:szCs w:val="26"/>
        </w:rPr>
        <w:t>3</w:t>
      </w:r>
      <w:r w:rsidR="007F79E5" w:rsidRPr="00A86E6B">
        <w:rPr>
          <w:szCs w:val="26"/>
        </w:rPr>
        <w:t>–669</w:t>
      </w:r>
      <w:r w:rsidR="00983658" w:rsidRPr="00A86E6B">
        <w:rPr>
          <w:szCs w:val="26"/>
        </w:rPr>
        <w:t>.</w:t>
      </w:r>
      <w:r w:rsidRPr="00A86E6B">
        <w:rPr>
          <w:szCs w:val="26"/>
        </w:rPr>
        <w:t>)</w:t>
      </w:r>
      <w:r w:rsidR="00CA0707" w:rsidRPr="00A86E6B">
        <w:rPr>
          <w:szCs w:val="26"/>
        </w:rPr>
        <w:t xml:space="preserve">  </w:t>
      </w:r>
      <w:r w:rsidRPr="00A86E6B">
        <w:rPr>
          <w:szCs w:val="26"/>
        </w:rPr>
        <w:t>On remand, the t</w:t>
      </w:r>
      <w:r w:rsidR="00C8775F" w:rsidRPr="00A86E6B">
        <w:rPr>
          <w:szCs w:val="26"/>
        </w:rPr>
        <w:t>rial court</w:t>
      </w:r>
      <w:r w:rsidRPr="00A86E6B">
        <w:rPr>
          <w:szCs w:val="26"/>
        </w:rPr>
        <w:t xml:space="preserve"> certified a class </w:t>
      </w:r>
      <w:r w:rsidR="002649E0" w:rsidRPr="00A86E6B">
        <w:rPr>
          <w:szCs w:val="26"/>
        </w:rPr>
        <w:t>for</w:t>
      </w:r>
      <w:r w:rsidRPr="00A86E6B">
        <w:rPr>
          <w:szCs w:val="26"/>
        </w:rPr>
        <w:t xml:space="preserve"> </w:t>
      </w:r>
      <w:r w:rsidR="000204FC" w:rsidRPr="00A86E6B">
        <w:rPr>
          <w:szCs w:val="26"/>
        </w:rPr>
        <w:t>the</w:t>
      </w:r>
      <w:r w:rsidRPr="00A86E6B">
        <w:rPr>
          <w:szCs w:val="26"/>
        </w:rPr>
        <w:t xml:space="preserve"> </w:t>
      </w:r>
      <w:r w:rsidR="00921261" w:rsidRPr="00A86E6B">
        <w:rPr>
          <w:szCs w:val="26"/>
        </w:rPr>
        <w:t>meal break</w:t>
      </w:r>
      <w:r w:rsidR="00702EDA" w:rsidRPr="00A86E6B">
        <w:rPr>
          <w:szCs w:val="26"/>
        </w:rPr>
        <w:t xml:space="preserve"> and related</w:t>
      </w:r>
      <w:r w:rsidR="00921261" w:rsidRPr="00A86E6B">
        <w:rPr>
          <w:szCs w:val="26"/>
        </w:rPr>
        <w:t xml:space="preserve"> timely payment and wage statement </w:t>
      </w:r>
      <w:r w:rsidRPr="00A86E6B">
        <w:rPr>
          <w:szCs w:val="26"/>
        </w:rPr>
        <w:t>claims</w:t>
      </w:r>
      <w:r w:rsidR="00A121D7" w:rsidRPr="00A86E6B">
        <w:rPr>
          <w:szCs w:val="26"/>
        </w:rPr>
        <w:t xml:space="preserve"> and </w:t>
      </w:r>
      <w:r w:rsidR="00D33980">
        <w:rPr>
          <w:szCs w:val="26"/>
        </w:rPr>
        <w:t xml:space="preserve">then </w:t>
      </w:r>
      <w:r w:rsidR="00A121D7" w:rsidRPr="00A86E6B">
        <w:rPr>
          <w:szCs w:val="26"/>
        </w:rPr>
        <w:t>held a trial in stages</w:t>
      </w:r>
      <w:r w:rsidRPr="00A86E6B">
        <w:rPr>
          <w:szCs w:val="26"/>
        </w:rPr>
        <w:t>.</w:t>
      </w:r>
    </w:p>
    <w:p w14:paraId="78C0C85C" w14:textId="70F294A1" w:rsidR="0011568E" w:rsidRPr="00A86E6B" w:rsidRDefault="00176E7A" w:rsidP="00A86E6B">
      <w:pPr>
        <w:tabs>
          <w:tab w:val="left" w:pos="1440"/>
        </w:tabs>
        <w:ind w:firstLine="720"/>
        <w:rPr>
          <w:szCs w:val="26"/>
        </w:rPr>
      </w:pPr>
      <w:r w:rsidRPr="00A86E6B">
        <w:rPr>
          <w:szCs w:val="26"/>
        </w:rPr>
        <w:t>Th</w:t>
      </w:r>
      <w:r w:rsidR="009C3490" w:rsidRPr="00A86E6B">
        <w:rPr>
          <w:szCs w:val="26"/>
        </w:rPr>
        <w:t xml:space="preserve">e court </w:t>
      </w:r>
      <w:r w:rsidR="00E445C4" w:rsidRPr="00A86E6B">
        <w:rPr>
          <w:szCs w:val="26"/>
        </w:rPr>
        <w:t xml:space="preserve">first </w:t>
      </w:r>
      <w:r w:rsidR="009C3490" w:rsidRPr="00A86E6B">
        <w:rPr>
          <w:szCs w:val="26"/>
        </w:rPr>
        <w:t xml:space="preserve">considered Spectrum’s liability for meal break violations.  </w:t>
      </w:r>
      <w:r w:rsidR="00FE1A5A" w:rsidRPr="00A86E6B">
        <w:rPr>
          <w:szCs w:val="26"/>
        </w:rPr>
        <w:t>Under the governing IWC wage order,</w:t>
      </w:r>
      <w:r w:rsidR="00793040" w:rsidRPr="00A86E6B" w:rsidDel="00793040">
        <w:rPr>
          <w:rStyle w:val="FootnoteReference"/>
          <w:szCs w:val="26"/>
        </w:rPr>
        <w:t xml:space="preserve"> </w:t>
      </w:r>
      <w:r w:rsidR="00FE1A5A" w:rsidRPr="00A86E6B">
        <w:rPr>
          <w:szCs w:val="26"/>
        </w:rPr>
        <w:t xml:space="preserve"> an employer ordinarily must provide covered employees an off-duty meal period on shifts lasting longer than five hours.  (IWC wage order No. </w:t>
      </w:r>
      <w:r w:rsidR="00001000">
        <w:rPr>
          <w:szCs w:val="26"/>
        </w:rPr>
        <w:t>4-2001</w:t>
      </w:r>
      <w:r w:rsidR="00FE1A5A" w:rsidRPr="00A86E6B">
        <w:rPr>
          <w:szCs w:val="26"/>
        </w:rPr>
        <w:t xml:space="preserve">, § 11(A); see </w:t>
      </w:r>
      <w:r w:rsidR="00FE1A5A" w:rsidRPr="00A86E6B">
        <w:rPr>
          <w:i/>
          <w:iCs/>
          <w:szCs w:val="26"/>
        </w:rPr>
        <w:t>Brinker Restaurant Corp. v. Superior Court</w:t>
      </w:r>
      <w:r w:rsidR="00FE1A5A" w:rsidRPr="00A86E6B">
        <w:rPr>
          <w:szCs w:val="26"/>
        </w:rPr>
        <w:t xml:space="preserve"> (2012) 53 Cal.4th 1004, 1034–1035.)  </w:t>
      </w:r>
      <w:r w:rsidR="00FE1A5A" w:rsidRPr="00E3485B">
        <w:rPr>
          <w:szCs w:val="26"/>
        </w:rPr>
        <w:t>An exception to this requirement allows for “ ‘on duty’ ” meal periods if “the nature of the work prevents an employee from being relieved of all duty,” but only when “by written agreement between the parties an on-the-job paid meal period is agreed to.”</w:t>
      </w:r>
      <w:r w:rsidR="00FE1A5A" w:rsidRPr="00A86E6B">
        <w:rPr>
          <w:szCs w:val="26"/>
        </w:rPr>
        <w:t xml:space="preserve">  (IWC wage order No. </w:t>
      </w:r>
      <w:r w:rsidR="00001000">
        <w:rPr>
          <w:szCs w:val="26"/>
        </w:rPr>
        <w:t>4-2001</w:t>
      </w:r>
      <w:r w:rsidR="00FE1A5A" w:rsidRPr="00A86E6B">
        <w:rPr>
          <w:szCs w:val="26"/>
        </w:rPr>
        <w:t xml:space="preserve">, § 11(A); see </w:t>
      </w:r>
      <w:r w:rsidR="00FE1A5A" w:rsidRPr="00A86E6B">
        <w:rPr>
          <w:i/>
          <w:iCs/>
          <w:szCs w:val="26"/>
        </w:rPr>
        <w:t>Brinker Restaurant Corp</w:t>
      </w:r>
      <w:r w:rsidR="00FE1A5A" w:rsidRPr="00A86E6B">
        <w:rPr>
          <w:szCs w:val="26"/>
        </w:rPr>
        <w:t xml:space="preserve">., at p. 1035.)  Naranjo did not dispute that Spectrum had always required on-duty meal periods </w:t>
      </w:r>
      <w:r w:rsidR="00FC39BA" w:rsidRPr="00A86E6B">
        <w:rPr>
          <w:szCs w:val="26"/>
        </w:rPr>
        <w:t>as company policy because</w:t>
      </w:r>
      <w:r w:rsidR="00FE1A5A" w:rsidRPr="00A86E6B">
        <w:rPr>
          <w:szCs w:val="26"/>
        </w:rPr>
        <w:t xml:space="preserve"> of the nature of its guards’ work but argued that Spectrum did not have a valid written on-duty meal break agreement with its employees.  </w:t>
      </w:r>
      <w:r w:rsidR="00F40939" w:rsidRPr="00A86E6B">
        <w:rPr>
          <w:szCs w:val="26"/>
        </w:rPr>
        <w:t xml:space="preserve">Agreeing with Naranjo that Spectrum </w:t>
      </w:r>
      <w:r w:rsidR="00FC39BA" w:rsidRPr="00A86E6B">
        <w:rPr>
          <w:szCs w:val="26"/>
        </w:rPr>
        <w:t>had no</w:t>
      </w:r>
      <w:r w:rsidR="00F40939" w:rsidRPr="00A86E6B">
        <w:rPr>
          <w:szCs w:val="26"/>
        </w:rPr>
        <w:t xml:space="preserve"> valid agreement for part of the class period, t</w:t>
      </w:r>
      <w:r w:rsidR="009C3490" w:rsidRPr="00A86E6B">
        <w:rPr>
          <w:szCs w:val="26"/>
        </w:rPr>
        <w:t xml:space="preserve">he </w:t>
      </w:r>
      <w:r w:rsidR="00E9189D" w:rsidRPr="00A86E6B">
        <w:rPr>
          <w:szCs w:val="26"/>
        </w:rPr>
        <w:t xml:space="preserve">court directed a verdict for </w:t>
      </w:r>
      <w:r w:rsidR="00FC39BA" w:rsidRPr="00A86E6B">
        <w:rPr>
          <w:szCs w:val="26"/>
        </w:rPr>
        <w:t>the plaintiff class</w:t>
      </w:r>
      <w:r w:rsidR="00E9189D" w:rsidRPr="00A86E6B">
        <w:rPr>
          <w:szCs w:val="26"/>
        </w:rPr>
        <w:t xml:space="preserve"> </w:t>
      </w:r>
      <w:r w:rsidR="009D5EBC" w:rsidRPr="00A86E6B">
        <w:rPr>
          <w:szCs w:val="26"/>
        </w:rPr>
        <w:t xml:space="preserve">on the meal break claim </w:t>
      </w:r>
      <w:r w:rsidR="00E9189D" w:rsidRPr="00A86E6B">
        <w:rPr>
          <w:szCs w:val="26"/>
        </w:rPr>
        <w:t xml:space="preserve">for the period </w:t>
      </w:r>
      <w:r w:rsidR="00031F2B" w:rsidRPr="00A86E6B">
        <w:rPr>
          <w:szCs w:val="26"/>
        </w:rPr>
        <w:t xml:space="preserve">from </w:t>
      </w:r>
      <w:r w:rsidR="00E9189D" w:rsidRPr="00A86E6B">
        <w:rPr>
          <w:szCs w:val="26"/>
        </w:rPr>
        <w:t>June 2004</w:t>
      </w:r>
      <w:r w:rsidR="00031F2B" w:rsidRPr="00A86E6B">
        <w:rPr>
          <w:szCs w:val="26"/>
        </w:rPr>
        <w:t xml:space="preserve"> to </w:t>
      </w:r>
      <w:r w:rsidR="00E9189D" w:rsidRPr="00A86E6B">
        <w:rPr>
          <w:szCs w:val="26"/>
        </w:rPr>
        <w:t>September 2007</w:t>
      </w:r>
      <w:r w:rsidR="009466B9" w:rsidRPr="00A86E6B">
        <w:rPr>
          <w:szCs w:val="26"/>
        </w:rPr>
        <w:t xml:space="preserve">.  </w:t>
      </w:r>
      <w:r w:rsidR="00666600" w:rsidRPr="00A86E6B">
        <w:rPr>
          <w:szCs w:val="26"/>
        </w:rPr>
        <w:t>A</w:t>
      </w:r>
      <w:r w:rsidR="00921261" w:rsidRPr="00A86E6B">
        <w:rPr>
          <w:szCs w:val="26"/>
        </w:rPr>
        <w:t xml:space="preserve"> jury </w:t>
      </w:r>
      <w:r w:rsidR="00B13B02" w:rsidRPr="00A86E6B">
        <w:rPr>
          <w:szCs w:val="26"/>
        </w:rPr>
        <w:t xml:space="preserve">found </w:t>
      </w:r>
      <w:r w:rsidR="00921261" w:rsidRPr="00A86E6B">
        <w:rPr>
          <w:szCs w:val="26"/>
        </w:rPr>
        <w:t xml:space="preserve">Spectrum </w:t>
      </w:r>
      <w:r w:rsidR="00E9189D" w:rsidRPr="00A86E6B">
        <w:rPr>
          <w:szCs w:val="26"/>
        </w:rPr>
        <w:t xml:space="preserve">not </w:t>
      </w:r>
      <w:r w:rsidR="00921261" w:rsidRPr="00A86E6B">
        <w:rPr>
          <w:szCs w:val="26"/>
        </w:rPr>
        <w:t xml:space="preserve">liable for </w:t>
      </w:r>
      <w:r w:rsidR="00E9189D" w:rsidRPr="00A86E6B">
        <w:rPr>
          <w:szCs w:val="26"/>
        </w:rPr>
        <w:t xml:space="preserve">the period </w:t>
      </w:r>
      <w:r w:rsidR="00391B2D" w:rsidRPr="00A86E6B">
        <w:rPr>
          <w:szCs w:val="26"/>
        </w:rPr>
        <w:t xml:space="preserve">beginning on October 1, 2007, after </w:t>
      </w:r>
      <w:r w:rsidR="005C7A7C" w:rsidRPr="00A86E6B">
        <w:rPr>
          <w:szCs w:val="26"/>
        </w:rPr>
        <w:t xml:space="preserve">Spectrum </w:t>
      </w:r>
      <w:r w:rsidR="00391B2D" w:rsidRPr="00A86E6B">
        <w:rPr>
          <w:szCs w:val="26"/>
        </w:rPr>
        <w:t xml:space="preserve">had </w:t>
      </w:r>
      <w:r w:rsidR="005C7A7C" w:rsidRPr="00A86E6B">
        <w:rPr>
          <w:szCs w:val="26"/>
        </w:rPr>
        <w:t xml:space="preserve">circulated </w:t>
      </w:r>
      <w:r w:rsidR="00E9189D" w:rsidRPr="00A86E6B">
        <w:rPr>
          <w:szCs w:val="26"/>
        </w:rPr>
        <w:t>an</w:t>
      </w:r>
      <w:r w:rsidR="005407FD" w:rsidRPr="00A86E6B">
        <w:rPr>
          <w:szCs w:val="26"/>
        </w:rPr>
        <w:t>d obtained written consent to its</w:t>
      </w:r>
      <w:r w:rsidR="00834480" w:rsidRPr="00A86E6B">
        <w:rPr>
          <w:szCs w:val="26"/>
        </w:rPr>
        <w:t xml:space="preserve"> </w:t>
      </w:r>
      <w:r w:rsidR="000B6ADA" w:rsidRPr="00A86E6B">
        <w:rPr>
          <w:szCs w:val="26"/>
        </w:rPr>
        <w:t xml:space="preserve">on-duty meal break </w:t>
      </w:r>
      <w:r w:rsidR="005407FD" w:rsidRPr="00A86E6B">
        <w:rPr>
          <w:szCs w:val="26"/>
        </w:rPr>
        <w:t>policy</w:t>
      </w:r>
      <w:r w:rsidR="00E9189D" w:rsidRPr="00A86E6B">
        <w:rPr>
          <w:szCs w:val="26"/>
        </w:rPr>
        <w:t>.</w:t>
      </w:r>
    </w:p>
    <w:p w14:paraId="6BE9268E" w14:textId="461C893F" w:rsidR="00C8775F" w:rsidRPr="00A86E6B" w:rsidRDefault="00010403" w:rsidP="00A86E6B">
      <w:pPr>
        <w:tabs>
          <w:tab w:val="left" w:pos="1440"/>
        </w:tabs>
        <w:ind w:firstLine="720"/>
        <w:rPr>
          <w:szCs w:val="26"/>
        </w:rPr>
      </w:pPr>
      <w:r w:rsidRPr="00A86E6B">
        <w:rPr>
          <w:szCs w:val="26"/>
        </w:rPr>
        <w:t>T</w:t>
      </w:r>
      <w:r w:rsidR="00921261" w:rsidRPr="00A86E6B">
        <w:rPr>
          <w:szCs w:val="26"/>
        </w:rPr>
        <w:t xml:space="preserve">he court </w:t>
      </w:r>
      <w:r w:rsidRPr="00A86E6B">
        <w:rPr>
          <w:szCs w:val="26"/>
        </w:rPr>
        <w:t xml:space="preserve">then </w:t>
      </w:r>
      <w:r w:rsidR="00921261" w:rsidRPr="00A86E6B">
        <w:rPr>
          <w:szCs w:val="26"/>
        </w:rPr>
        <w:t>consider</w:t>
      </w:r>
      <w:r w:rsidR="00366AC7" w:rsidRPr="00A86E6B">
        <w:rPr>
          <w:szCs w:val="26"/>
        </w:rPr>
        <w:t>ed</w:t>
      </w:r>
      <w:r w:rsidR="00921261" w:rsidRPr="00A86E6B">
        <w:rPr>
          <w:szCs w:val="26"/>
        </w:rPr>
        <w:t xml:space="preserve"> the </w:t>
      </w:r>
      <w:r w:rsidR="00702EDA" w:rsidRPr="00A86E6B">
        <w:rPr>
          <w:szCs w:val="26"/>
        </w:rPr>
        <w:t xml:space="preserve">related </w:t>
      </w:r>
      <w:r w:rsidR="00921261" w:rsidRPr="00A86E6B">
        <w:rPr>
          <w:szCs w:val="26"/>
        </w:rPr>
        <w:t>wage statement and timely payment claims</w:t>
      </w:r>
      <w:r w:rsidR="0011568E" w:rsidRPr="00A86E6B">
        <w:rPr>
          <w:szCs w:val="26"/>
        </w:rPr>
        <w:t>.</w:t>
      </w:r>
      <w:r w:rsidR="00921261" w:rsidRPr="00A86E6B">
        <w:rPr>
          <w:szCs w:val="26"/>
        </w:rPr>
        <w:t xml:space="preserve"> </w:t>
      </w:r>
      <w:r w:rsidR="0011568E" w:rsidRPr="00A86E6B">
        <w:rPr>
          <w:szCs w:val="26"/>
        </w:rPr>
        <w:t xml:space="preserve"> </w:t>
      </w:r>
      <w:r w:rsidR="00702EDA" w:rsidRPr="00A86E6B">
        <w:rPr>
          <w:szCs w:val="26"/>
        </w:rPr>
        <w:t>The court</w:t>
      </w:r>
      <w:r w:rsidR="0011568E" w:rsidRPr="00A86E6B">
        <w:rPr>
          <w:szCs w:val="26"/>
        </w:rPr>
        <w:t xml:space="preserve"> </w:t>
      </w:r>
      <w:r w:rsidR="00565F78" w:rsidRPr="00A86E6B">
        <w:rPr>
          <w:szCs w:val="26"/>
        </w:rPr>
        <w:t xml:space="preserve">concluded </w:t>
      </w:r>
      <w:r w:rsidR="00921261" w:rsidRPr="00A86E6B">
        <w:rPr>
          <w:szCs w:val="26"/>
        </w:rPr>
        <w:t>that</w:t>
      </w:r>
      <w:r w:rsidR="00565F78" w:rsidRPr="00A86E6B">
        <w:rPr>
          <w:szCs w:val="26"/>
        </w:rPr>
        <w:t xml:space="preserve"> </w:t>
      </w:r>
      <w:r w:rsidR="005577BA" w:rsidRPr="00A86E6B">
        <w:rPr>
          <w:szCs w:val="26"/>
        </w:rPr>
        <w:t xml:space="preserve">the obligation to </w:t>
      </w:r>
      <w:r w:rsidR="0086343B" w:rsidRPr="00A86E6B">
        <w:rPr>
          <w:szCs w:val="26"/>
        </w:rPr>
        <w:t xml:space="preserve">supply meal break premium pay </w:t>
      </w:r>
      <w:r w:rsidR="005D5C70" w:rsidRPr="00A86E6B">
        <w:rPr>
          <w:szCs w:val="26"/>
        </w:rPr>
        <w:t xml:space="preserve">also </w:t>
      </w:r>
      <w:r w:rsidR="005577BA" w:rsidRPr="00A86E6B">
        <w:rPr>
          <w:szCs w:val="26"/>
        </w:rPr>
        <w:t xml:space="preserve">carried with it </w:t>
      </w:r>
      <w:r w:rsidR="00DA22B2" w:rsidRPr="00A86E6B">
        <w:rPr>
          <w:szCs w:val="26"/>
        </w:rPr>
        <w:t xml:space="preserve">reporting and timing </w:t>
      </w:r>
      <w:r w:rsidR="005577BA" w:rsidRPr="00A86E6B">
        <w:rPr>
          <w:szCs w:val="26"/>
        </w:rPr>
        <w:t>obligations</w:t>
      </w:r>
      <w:r w:rsidR="0011568E" w:rsidRPr="00A86E6B">
        <w:rPr>
          <w:szCs w:val="26"/>
        </w:rPr>
        <w:t xml:space="preserve">.  </w:t>
      </w:r>
      <w:r w:rsidR="001C317B" w:rsidRPr="00A86E6B">
        <w:rPr>
          <w:szCs w:val="26"/>
        </w:rPr>
        <w:t xml:space="preserve">Whether </w:t>
      </w:r>
      <w:r w:rsidR="00993F0C" w:rsidRPr="00A86E6B">
        <w:rPr>
          <w:szCs w:val="26"/>
        </w:rPr>
        <w:t xml:space="preserve">Spectrum </w:t>
      </w:r>
      <w:r w:rsidR="005407FD" w:rsidRPr="00A86E6B">
        <w:rPr>
          <w:szCs w:val="26"/>
        </w:rPr>
        <w:t>was monetarily liable</w:t>
      </w:r>
      <w:r w:rsidR="00993F0C" w:rsidRPr="00A86E6B">
        <w:rPr>
          <w:szCs w:val="26"/>
        </w:rPr>
        <w:t xml:space="preserve"> </w:t>
      </w:r>
      <w:r w:rsidR="00DD7D0C" w:rsidRPr="00A86E6B">
        <w:rPr>
          <w:szCs w:val="26"/>
        </w:rPr>
        <w:t xml:space="preserve">for failure to abide by those obligations depended on </w:t>
      </w:r>
      <w:r w:rsidR="009E2D87" w:rsidRPr="00A86E6B">
        <w:rPr>
          <w:szCs w:val="26"/>
        </w:rPr>
        <w:t>its state of mind</w:t>
      </w:r>
      <w:r w:rsidR="00DD7D0C" w:rsidRPr="00A86E6B">
        <w:rPr>
          <w:szCs w:val="26"/>
        </w:rPr>
        <w:t xml:space="preserve">:  </w:t>
      </w:r>
      <w:r w:rsidR="0011568E" w:rsidRPr="00A86E6B">
        <w:rPr>
          <w:szCs w:val="26"/>
        </w:rPr>
        <w:t xml:space="preserve">The wage statement statute </w:t>
      </w:r>
      <w:r w:rsidR="005407FD" w:rsidRPr="00A86E6B">
        <w:rPr>
          <w:szCs w:val="26"/>
        </w:rPr>
        <w:t xml:space="preserve">authorizes damages and </w:t>
      </w:r>
      <w:r w:rsidR="0011568E" w:rsidRPr="00A86E6B">
        <w:rPr>
          <w:szCs w:val="26"/>
        </w:rPr>
        <w:t>penalties only for “knowing and intentional” violations and excuses “isolated and unintentional payroll error due to a clerical or inadvertent mistake”</w:t>
      </w:r>
      <w:r w:rsidR="0074764F" w:rsidRPr="00A86E6B">
        <w:rPr>
          <w:szCs w:val="26"/>
        </w:rPr>
        <w:t xml:space="preserve"> </w:t>
      </w:r>
      <w:r w:rsidR="0011568E" w:rsidRPr="00A86E6B">
        <w:rPr>
          <w:szCs w:val="26"/>
        </w:rPr>
        <w:t xml:space="preserve"> (Lab. Code, § 226, subd. (e)(1), (3))</w:t>
      </w:r>
      <w:r w:rsidR="00DD7D0C" w:rsidRPr="00A86E6B">
        <w:rPr>
          <w:szCs w:val="26"/>
        </w:rPr>
        <w:t>, while the timely payment statute</w:t>
      </w:r>
      <w:r w:rsidR="003276BE" w:rsidRPr="00A86E6B">
        <w:rPr>
          <w:szCs w:val="26"/>
        </w:rPr>
        <w:t>s</w:t>
      </w:r>
      <w:r w:rsidR="00DD7D0C" w:rsidRPr="00A86E6B">
        <w:rPr>
          <w:szCs w:val="26"/>
        </w:rPr>
        <w:t xml:space="preserve"> </w:t>
      </w:r>
      <w:r w:rsidR="005407FD" w:rsidRPr="00A86E6B">
        <w:rPr>
          <w:szCs w:val="26"/>
        </w:rPr>
        <w:t xml:space="preserve">impose penalties </w:t>
      </w:r>
      <w:r w:rsidR="00DD7D0C" w:rsidRPr="00A86E6B">
        <w:rPr>
          <w:szCs w:val="26"/>
        </w:rPr>
        <w:t xml:space="preserve">only </w:t>
      </w:r>
      <w:r w:rsidR="005407FD" w:rsidRPr="00A86E6B">
        <w:rPr>
          <w:szCs w:val="26"/>
        </w:rPr>
        <w:t xml:space="preserve">for </w:t>
      </w:r>
      <w:r w:rsidR="00DD7D0C" w:rsidRPr="00A86E6B">
        <w:rPr>
          <w:szCs w:val="26"/>
        </w:rPr>
        <w:t>“willful[]” failures to make payment (</w:t>
      </w:r>
      <w:r w:rsidR="00605AFE" w:rsidRPr="00A86E6B">
        <w:rPr>
          <w:i/>
          <w:iCs/>
          <w:szCs w:val="26"/>
        </w:rPr>
        <w:t>id</w:t>
      </w:r>
      <w:r w:rsidR="00605AFE" w:rsidRPr="00A86E6B">
        <w:rPr>
          <w:szCs w:val="26"/>
        </w:rPr>
        <w:t>.</w:t>
      </w:r>
      <w:r w:rsidR="00DD7D0C" w:rsidRPr="00A86E6B">
        <w:rPr>
          <w:szCs w:val="26"/>
        </w:rPr>
        <w:t>, § 203).</w:t>
      </w:r>
      <w:r w:rsidR="00605AFE" w:rsidRPr="00A86E6B">
        <w:rPr>
          <w:szCs w:val="26"/>
        </w:rPr>
        <w:t xml:space="preserve">  T</w:t>
      </w:r>
      <w:r w:rsidR="0011568E" w:rsidRPr="00A86E6B">
        <w:rPr>
          <w:szCs w:val="26"/>
        </w:rPr>
        <w:t xml:space="preserve">he trial court concluded Spectrum’s wage statement omissions were </w:t>
      </w:r>
      <w:r w:rsidR="0011568E" w:rsidRPr="00D33980">
        <w:rPr>
          <w:szCs w:val="26"/>
        </w:rPr>
        <w:t xml:space="preserve">intentional and awarded </w:t>
      </w:r>
      <w:r w:rsidR="00FE1A5A" w:rsidRPr="00A86E6B">
        <w:rPr>
          <w:szCs w:val="26"/>
        </w:rPr>
        <w:t xml:space="preserve">Labor Code section 226 </w:t>
      </w:r>
      <w:r w:rsidR="0011568E" w:rsidRPr="00A86E6B">
        <w:rPr>
          <w:szCs w:val="26"/>
        </w:rPr>
        <w:t>penalties</w:t>
      </w:r>
      <w:r w:rsidR="005208EE" w:rsidRPr="00A86E6B">
        <w:rPr>
          <w:szCs w:val="26"/>
        </w:rPr>
        <w:t xml:space="preserve">, but </w:t>
      </w:r>
      <w:r w:rsidR="00E71DA0" w:rsidRPr="00A86E6B">
        <w:rPr>
          <w:szCs w:val="26"/>
        </w:rPr>
        <w:t>the</w:t>
      </w:r>
      <w:r w:rsidR="005208EE" w:rsidRPr="00A86E6B">
        <w:rPr>
          <w:szCs w:val="26"/>
        </w:rPr>
        <w:t xml:space="preserve"> failure to make timely payment was not willful and </w:t>
      </w:r>
      <w:r w:rsidR="00763976" w:rsidRPr="00A86E6B">
        <w:rPr>
          <w:szCs w:val="26"/>
        </w:rPr>
        <w:t xml:space="preserve">so </w:t>
      </w:r>
      <w:r w:rsidR="00286469" w:rsidRPr="00A86E6B">
        <w:rPr>
          <w:szCs w:val="26"/>
        </w:rPr>
        <w:t xml:space="preserve">Spectrum </w:t>
      </w:r>
      <w:r w:rsidR="00763976" w:rsidRPr="00A86E6B">
        <w:rPr>
          <w:szCs w:val="26"/>
        </w:rPr>
        <w:t>was not</w:t>
      </w:r>
      <w:r w:rsidR="0011568E" w:rsidRPr="00A86E6B">
        <w:rPr>
          <w:szCs w:val="26"/>
        </w:rPr>
        <w:t xml:space="preserve"> liable</w:t>
      </w:r>
      <w:r w:rsidR="000472E6" w:rsidRPr="00A86E6B">
        <w:rPr>
          <w:szCs w:val="26"/>
        </w:rPr>
        <w:t xml:space="preserve"> for section 203 penalties</w:t>
      </w:r>
      <w:r w:rsidR="00921261" w:rsidRPr="00A86E6B">
        <w:rPr>
          <w:szCs w:val="26"/>
        </w:rPr>
        <w:t>.</w:t>
      </w:r>
      <w:r w:rsidR="00002E32" w:rsidRPr="00A86E6B">
        <w:rPr>
          <w:szCs w:val="26"/>
        </w:rPr>
        <w:t xml:space="preserve">  </w:t>
      </w:r>
      <w:r w:rsidR="00921261" w:rsidRPr="00A86E6B">
        <w:rPr>
          <w:szCs w:val="26"/>
        </w:rPr>
        <w:t>The trial court</w:t>
      </w:r>
      <w:r w:rsidR="00002E32" w:rsidRPr="00A86E6B">
        <w:rPr>
          <w:szCs w:val="26"/>
        </w:rPr>
        <w:t xml:space="preserve"> </w:t>
      </w:r>
      <w:r w:rsidR="00921261" w:rsidRPr="00A86E6B">
        <w:rPr>
          <w:szCs w:val="26"/>
        </w:rPr>
        <w:t xml:space="preserve">entered judgment for </w:t>
      </w:r>
      <w:r w:rsidR="00763976" w:rsidRPr="00A86E6B">
        <w:rPr>
          <w:szCs w:val="26"/>
        </w:rPr>
        <w:t>the plaintiff class</w:t>
      </w:r>
      <w:r w:rsidR="00921261" w:rsidRPr="00A86E6B">
        <w:rPr>
          <w:szCs w:val="26"/>
        </w:rPr>
        <w:t xml:space="preserve"> on the meal break and wage statement claims and awarded attorney fees and prejudgment interest</w:t>
      </w:r>
      <w:r w:rsidR="00AE239E" w:rsidRPr="00A86E6B">
        <w:rPr>
          <w:szCs w:val="26"/>
        </w:rPr>
        <w:t xml:space="preserve"> at </w:t>
      </w:r>
      <w:r w:rsidR="00CC42AC" w:rsidRPr="00A86E6B">
        <w:rPr>
          <w:szCs w:val="26"/>
        </w:rPr>
        <w:t xml:space="preserve">a </w:t>
      </w:r>
      <w:r w:rsidR="00AE239E" w:rsidRPr="00A86E6B">
        <w:rPr>
          <w:szCs w:val="26"/>
        </w:rPr>
        <w:t>rate of 10 percent</w:t>
      </w:r>
      <w:r w:rsidR="00921261" w:rsidRPr="00A86E6B">
        <w:rPr>
          <w:szCs w:val="26"/>
        </w:rPr>
        <w:t>.</w:t>
      </w:r>
    </w:p>
    <w:p w14:paraId="6CA58725" w14:textId="1DE875EB" w:rsidR="00013F0A" w:rsidRPr="00A86E6B" w:rsidRDefault="00921261" w:rsidP="00A86E6B">
      <w:pPr>
        <w:tabs>
          <w:tab w:val="left" w:pos="1440"/>
        </w:tabs>
        <w:ind w:firstLine="720"/>
        <w:rPr>
          <w:szCs w:val="26"/>
        </w:rPr>
      </w:pPr>
      <w:r w:rsidRPr="00A86E6B">
        <w:rPr>
          <w:szCs w:val="26"/>
        </w:rPr>
        <w:t>Both sides appealed</w:t>
      </w:r>
      <w:r w:rsidR="00725F1C" w:rsidRPr="00A86E6B">
        <w:rPr>
          <w:szCs w:val="26"/>
        </w:rPr>
        <w:t>.  T</w:t>
      </w:r>
      <w:r w:rsidR="00013F0A" w:rsidRPr="00A86E6B">
        <w:rPr>
          <w:szCs w:val="26"/>
        </w:rPr>
        <w:t xml:space="preserve">he Court of Appeal </w:t>
      </w:r>
      <w:r w:rsidRPr="00A86E6B">
        <w:rPr>
          <w:szCs w:val="26"/>
        </w:rPr>
        <w:t xml:space="preserve">affirmed in part and </w:t>
      </w:r>
      <w:r w:rsidR="00013F0A" w:rsidRPr="00A86E6B">
        <w:rPr>
          <w:szCs w:val="26"/>
        </w:rPr>
        <w:t>reversed</w:t>
      </w:r>
      <w:r w:rsidRPr="00A86E6B">
        <w:rPr>
          <w:szCs w:val="26"/>
        </w:rPr>
        <w:t xml:space="preserve"> in part</w:t>
      </w:r>
      <w:r w:rsidR="00013F0A" w:rsidRPr="00A86E6B">
        <w:rPr>
          <w:szCs w:val="26"/>
        </w:rPr>
        <w:t xml:space="preserve">.  </w:t>
      </w:r>
      <w:r w:rsidRPr="00A86E6B">
        <w:rPr>
          <w:szCs w:val="26"/>
        </w:rPr>
        <w:t>As relevant here, i</w:t>
      </w:r>
      <w:r w:rsidR="00013F0A" w:rsidRPr="00A86E6B">
        <w:rPr>
          <w:szCs w:val="26"/>
        </w:rPr>
        <w:t xml:space="preserve">t </w:t>
      </w:r>
      <w:r w:rsidR="0086343B" w:rsidRPr="00A86E6B">
        <w:rPr>
          <w:szCs w:val="26"/>
        </w:rPr>
        <w:t xml:space="preserve">affirmed the </w:t>
      </w:r>
      <w:r w:rsidR="008928D7" w:rsidRPr="00A86E6B">
        <w:rPr>
          <w:szCs w:val="26"/>
        </w:rPr>
        <w:t xml:space="preserve">trial court’s </w:t>
      </w:r>
      <w:r w:rsidR="0086343B" w:rsidRPr="00A86E6B">
        <w:rPr>
          <w:szCs w:val="26"/>
        </w:rPr>
        <w:t xml:space="preserve">determination that Spectrum had violated the meal break </w:t>
      </w:r>
      <w:r w:rsidR="007E1B6F" w:rsidRPr="00A86E6B">
        <w:rPr>
          <w:szCs w:val="26"/>
        </w:rPr>
        <w:t>law</w:t>
      </w:r>
      <w:r w:rsidR="0086343B" w:rsidRPr="00A86E6B">
        <w:rPr>
          <w:szCs w:val="26"/>
        </w:rPr>
        <w:t>s</w:t>
      </w:r>
      <w:r w:rsidR="005E7E51" w:rsidRPr="00A86E6B">
        <w:rPr>
          <w:szCs w:val="26"/>
        </w:rPr>
        <w:t xml:space="preserve"> </w:t>
      </w:r>
      <w:r w:rsidR="00D533BD" w:rsidRPr="00A86E6B">
        <w:rPr>
          <w:szCs w:val="26"/>
        </w:rPr>
        <w:t xml:space="preserve">during the </w:t>
      </w:r>
      <w:r w:rsidR="0077114F" w:rsidRPr="00A86E6B">
        <w:rPr>
          <w:szCs w:val="26"/>
        </w:rPr>
        <w:t xml:space="preserve">period from </w:t>
      </w:r>
      <w:r w:rsidR="00D818AE" w:rsidRPr="00A86E6B">
        <w:rPr>
          <w:szCs w:val="26"/>
        </w:rPr>
        <w:t xml:space="preserve">June 2004 to September 2007 </w:t>
      </w:r>
      <w:r w:rsidR="005E7E51" w:rsidRPr="00A86E6B">
        <w:rPr>
          <w:szCs w:val="26"/>
        </w:rPr>
        <w:t>(</w:t>
      </w:r>
      <w:r w:rsidR="00763976" w:rsidRPr="00A86E6B">
        <w:rPr>
          <w:i/>
          <w:iCs/>
          <w:szCs w:val="26"/>
        </w:rPr>
        <w:t>Naranjo II</w:t>
      </w:r>
      <w:r w:rsidR="00763976" w:rsidRPr="00A86E6B">
        <w:rPr>
          <w:szCs w:val="26"/>
        </w:rPr>
        <w:t>,</w:t>
      </w:r>
      <w:r w:rsidR="00763976" w:rsidRPr="00A86E6B">
        <w:rPr>
          <w:i/>
          <w:iCs/>
          <w:szCs w:val="26"/>
        </w:rPr>
        <w:t xml:space="preserve"> supra</w:t>
      </w:r>
      <w:r w:rsidR="00763976" w:rsidRPr="00A86E6B">
        <w:rPr>
          <w:szCs w:val="26"/>
        </w:rPr>
        <w:t xml:space="preserve">, 40 Cal.App.5th </w:t>
      </w:r>
      <w:r w:rsidR="005E7E51" w:rsidRPr="00A86E6B">
        <w:rPr>
          <w:szCs w:val="26"/>
        </w:rPr>
        <w:t>at pp. 457–463)</w:t>
      </w:r>
      <w:r w:rsidR="0086343B" w:rsidRPr="00A86E6B">
        <w:rPr>
          <w:szCs w:val="26"/>
        </w:rPr>
        <w:t xml:space="preserve"> but </w:t>
      </w:r>
      <w:r w:rsidR="0086343B" w:rsidRPr="00A86E6B">
        <w:rPr>
          <w:szCs w:val="26"/>
          <w:shd w:val="clear" w:color="auto" w:fill="FFFFFF"/>
        </w:rPr>
        <w:t>revers</w:t>
      </w:r>
      <w:r w:rsidR="00013F0A" w:rsidRPr="00A86E6B">
        <w:rPr>
          <w:szCs w:val="26"/>
          <w:shd w:val="clear" w:color="auto" w:fill="FFFFFF"/>
        </w:rPr>
        <w:t>ed th</w:t>
      </w:r>
      <w:r w:rsidR="0086343B" w:rsidRPr="00A86E6B">
        <w:rPr>
          <w:szCs w:val="26"/>
          <w:shd w:val="clear" w:color="auto" w:fill="FFFFFF"/>
        </w:rPr>
        <w:t xml:space="preserve">e </w:t>
      </w:r>
      <w:r w:rsidR="008928D7" w:rsidRPr="00A86E6B">
        <w:rPr>
          <w:szCs w:val="26"/>
          <w:shd w:val="clear" w:color="auto" w:fill="FFFFFF"/>
        </w:rPr>
        <w:t xml:space="preserve">court’s </w:t>
      </w:r>
      <w:r w:rsidR="007E1B6F" w:rsidRPr="00A86E6B">
        <w:rPr>
          <w:szCs w:val="26"/>
          <w:shd w:val="clear" w:color="auto" w:fill="FFFFFF"/>
        </w:rPr>
        <w:t>holding</w:t>
      </w:r>
      <w:r w:rsidR="0086343B" w:rsidRPr="00A86E6B">
        <w:rPr>
          <w:szCs w:val="26"/>
          <w:shd w:val="clear" w:color="auto" w:fill="FFFFFF"/>
        </w:rPr>
        <w:t xml:space="preserve"> that a failure to pay meal break premium</w:t>
      </w:r>
      <w:r w:rsidR="007E1B6F" w:rsidRPr="00A86E6B">
        <w:rPr>
          <w:szCs w:val="26"/>
          <w:shd w:val="clear" w:color="auto" w:fill="FFFFFF"/>
        </w:rPr>
        <w:t>s</w:t>
      </w:r>
      <w:r w:rsidR="0086343B" w:rsidRPr="00A86E6B">
        <w:rPr>
          <w:szCs w:val="26"/>
          <w:shd w:val="clear" w:color="auto" w:fill="FFFFFF"/>
        </w:rPr>
        <w:t xml:space="preserve"> could support claims under the wage statement </w:t>
      </w:r>
      <w:r w:rsidR="007E1B6F" w:rsidRPr="00A86E6B">
        <w:rPr>
          <w:szCs w:val="26"/>
          <w:shd w:val="clear" w:color="auto" w:fill="FFFFFF"/>
        </w:rPr>
        <w:t>and</w:t>
      </w:r>
      <w:r w:rsidR="0086343B" w:rsidRPr="00A86E6B">
        <w:rPr>
          <w:szCs w:val="26"/>
          <w:shd w:val="clear" w:color="auto" w:fill="FFFFFF"/>
        </w:rPr>
        <w:t xml:space="preserve"> timely payment statutes (</w:t>
      </w:r>
      <w:r w:rsidR="007E1B6F" w:rsidRPr="00A86E6B">
        <w:rPr>
          <w:i/>
          <w:iCs/>
          <w:szCs w:val="26"/>
          <w:shd w:val="clear" w:color="auto" w:fill="FFFFFF"/>
        </w:rPr>
        <w:t>i</w:t>
      </w:r>
      <w:r w:rsidR="0086343B" w:rsidRPr="00A86E6B">
        <w:rPr>
          <w:i/>
          <w:iCs/>
          <w:szCs w:val="26"/>
          <w:shd w:val="clear" w:color="auto" w:fill="FFFFFF"/>
        </w:rPr>
        <w:t>d.</w:t>
      </w:r>
      <w:r w:rsidR="0086343B" w:rsidRPr="00A86E6B">
        <w:rPr>
          <w:szCs w:val="26"/>
          <w:shd w:val="clear" w:color="auto" w:fill="FFFFFF"/>
        </w:rPr>
        <w:t xml:space="preserve"> at pp. </w:t>
      </w:r>
      <w:r w:rsidR="005E7E51" w:rsidRPr="00A86E6B">
        <w:rPr>
          <w:szCs w:val="26"/>
          <w:shd w:val="clear" w:color="auto" w:fill="FFFFFF"/>
        </w:rPr>
        <w:t>463–475</w:t>
      </w:r>
      <w:r w:rsidR="007E1B6F" w:rsidRPr="00A86E6B">
        <w:rPr>
          <w:szCs w:val="26"/>
          <w:shd w:val="clear" w:color="auto" w:fill="FFFFFF"/>
        </w:rPr>
        <w:t>)</w:t>
      </w:r>
      <w:r w:rsidR="0086343B" w:rsidRPr="00A86E6B">
        <w:rPr>
          <w:szCs w:val="26"/>
          <w:shd w:val="clear" w:color="auto" w:fill="FFFFFF"/>
        </w:rPr>
        <w:t>.</w:t>
      </w:r>
      <w:r w:rsidR="00B536F5" w:rsidRPr="00A86E6B">
        <w:rPr>
          <w:szCs w:val="26"/>
          <w:shd w:val="clear" w:color="auto" w:fill="FFFFFF"/>
        </w:rPr>
        <w:t xml:space="preserve">  </w:t>
      </w:r>
      <w:r w:rsidR="0086343B" w:rsidRPr="00A86E6B">
        <w:rPr>
          <w:szCs w:val="26"/>
          <w:shd w:val="clear" w:color="auto" w:fill="FFFFFF"/>
        </w:rPr>
        <w:t xml:space="preserve">It also ordered the rate of prejudgment interest reduced from 10 to </w:t>
      </w:r>
      <w:r w:rsidR="004A02EF" w:rsidRPr="00A86E6B">
        <w:rPr>
          <w:szCs w:val="26"/>
          <w:shd w:val="clear" w:color="auto" w:fill="FFFFFF"/>
        </w:rPr>
        <w:t>7</w:t>
      </w:r>
      <w:r w:rsidR="0086343B" w:rsidRPr="00A86E6B">
        <w:rPr>
          <w:szCs w:val="26"/>
          <w:shd w:val="clear" w:color="auto" w:fill="FFFFFF"/>
        </w:rPr>
        <w:t xml:space="preserve"> percent.  (</w:t>
      </w:r>
      <w:r w:rsidR="0086343B" w:rsidRPr="00A86E6B">
        <w:rPr>
          <w:i/>
          <w:iCs/>
          <w:szCs w:val="26"/>
          <w:shd w:val="clear" w:color="auto" w:fill="FFFFFF"/>
        </w:rPr>
        <w:t>Id.</w:t>
      </w:r>
      <w:r w:rsidR="0086343B" w:rsidRPr="00A86E6B">
        <w:rPr>
          <w:szCs w:val="26"/>
          <w:shd w:val="clear" w:color="auto" w:fill="FFFFFF"/>
        </w:rPr>
        <w:t xml:space="preserve"> at p</w:t>
      </w:r>
      <w:r w:rsidR="007E1B6F" w:rsidRPr="00A86E6B">
        <w:rPr>
          <w:szCs w:val="26"/>
          <w:shd w:val="clear" w:color="auto" w:fill="FFFFFF"/>
        </w:rPr>
        <w:t>p</w:t>
      </w:r>
      <w:r w:rsidR="0086343B" w:rsidRPr="00A86E6B">
        <w:rPr>
          <w:szCs w:val="26"/>
          <w:shd w:val="clear" w:color="auto" w:fill="FFFFFF"/>
        </w:rPr>
        <w:t>. </w:t>
      </w:r>
      <w:r w:rsidR="007E1B6F" w:rsidRPr="00A86E6B">
        <w:rPr>
          <w:szCs w:val="26"/>
          <w:shd w:val="clear" w:color="auto" w:fill="FFFFFF"/>
        </w:rPr>
        <w:t>475–476</w:t>
      </w:r>
      <w:r w:rsidR="0086343B" w:rsidRPr="00A86E6B">
        <w:rPr>
          <w:szCs w:val="26"/>
          <w:shd w:val="clear" w:color="auto" w:fill="FFFFFF"/>
        </w:rPr>
        <w:t>.)</w:t>
      </w:r>
      <w:r w:rsidR="007E1B6F" w:rsidRPr="00A86E6B">
        <w:rPr>
          <w:szCs w:val="26"/>
          <w:shd w:val="clear" w:color="auto" w:fill="FFFFFF"/>
        </w:rPr>
        <w:t xml:space="preserve"> </w:t>
      </w:r>
    </w:p>
    <w:p w14:paraId="25C1552A" w14:textId="04F20A1A" w:rsidR="000A0044" w:rsidRPr="00A86E6B" w:rsidRDefault="0011568E" w:rsidP="00A86E6B">
      <w:pPr>
        <w:tabs>
          <w:tab w:val="left" w:pos="1440"/>
        </w:tabs>
        <w:ind w:firstLine="720"/>
        <w:rPr>
          <w:szCs w:val="26"/>
        </w:rPr>
      </w:pPr>
      <w:r w:rsidRPr="00A86E6B">
        <w:rPr>
          <w:szCs w:val="26"/>
        </w:rPr>
        <w:t xml:space="preserve">As the </w:t>
      </w:r>
      <w:r w:rsidR="00E73456" w:rsidRPr="00A86E6B">
        <w:rPr>
          <w:szCs w:val="26"/>
        </w:rPr>
        <w:t>C</w:t>
      </w:r>
      <w:r w:rsidRPr="00A86E6B">
        <w:rPr>
          <w:szCs w:val="26"/>
        </w:rPr>
        <w:t xml:space="preserve">ourt of </w:t>
      </w:r>
      <w:r w:rsidR="00E73456" w:rsidRPr="00A86E6B">
        <w:rPr>
          <w:szCs w:val="26"/>
        </w:rPr>
        <w:t>A</w:t>
      </w:r>
      <w:r w:rsidRPr="00A86E6B">
        <w:rPr>
          <w:szCs w:val="26"/>
        </w:rPr>
        <w:t xml:space="preserve">ppeal </w:t>
      </w:r>
      <w:r w:rsidR="006C399C" w:rsidRPr="00A86E6B">
        <w:rPr>
          <w:szCs w:val="26"/>
        </w:rPr>
        <w:t>explained</w:t>
      </w:r>
      <w:r w:rsidRPr="00A86E6B">
        <w:rPr>
          <w:szCs w:val="26"/>
        </w:rPr>
        <w:t xml:space="preserve">, </w:t>
      </w:r>
      <w:r w:rsidR="006C399C" w:rsidRPr="00A86E6B">
        <w:rPr>
          <w:szCs w:val="26"/>
        </w:rPr>
        <w:t xml:space="preserve">whether the wage statement and timely payment statutes apply to </w:t>
      </w:r>
      <w:r w:rsidR="00763976" w:rsidRPr="00A86E6B">
        <w:rPr>
          <w:szCs w:val="26"/>
        </w:rPr>
        <w:t>missed-break</w:t>
      </w:r>
      <w:r w:rsidRPr="00A86E6B">
        <w:rPr>
          <w:szCs w:val="26"/>
        </w:rPr>
        <w:t xml:space="preserve"> premium pay</w:t>
      </w:r>
      <w:r w:rsidR="006C399C" w:rsidRPr="00A86E6B">
        <w:rPr>
          <w:szCs w:val="26"/>
        </w:rPr>
        <w:t xml:space="preserve"> is a question that </w:t>
      </w:r>
      <w:r w:rsidRPr="00A86E6B">
        <w:rPr>
          <w:szCs w:val="26"/>
        </w:rPr>
        <w:t xml:space="preserve">has generated </w:t>
      </w:r>
      <w:r w:rsidR="009A6E1E" w:rsidRPr="00A86E6B">
        <w:rPr>
          <w:szCs w:val="26"/>
        </w:rPr>
        <w:t xml:space="preserve">confusion </w:t>
      </w:r>
      <w:r w:rsidRPr="00A86E6B">
        <w:rPr>
          <w:szCs w:val="26"/>
        </w:rPr>
        <w:t xml:space="preserve">in the </w:t>
      </w:r>
      <w:r w:rsidR="00E73456" w:rsidRPr="00A86E6B">
        <w:rPr>
          <w:szCs w:val="26"/>
        </w:rPr>
        <w:t>Courts of Appeal</w:t>
      </w:r>
      <w:r w:rsidRPr="00A86E6B">
        <w:rPr>
          <w:szCs w:val="26"/>
        </w:rPr>
        <w:t xml:space="preserve"> </w:t>
      </w:r>
      <w:r w:rsidR="00725F1C" w:rsidRPr="00A86E6B">
        <w:rPr>
          <w:szCs w:val="26"/>
        </w:rPr>
        <w:t xml:space="preserve">as well as </w:t>
      </w:r>
      <w:r w:rsidR="00E73456" w:rsidRPr="00A86E6B">
        <w:rPr>
          <w:szCs w:val="26"/>
        </w:rPr>
        <w:t xml:space="preserve">in </w:t>
      </w:r>
      <w:r w:rsidRPr="00A86E6B">
        <w:rPr>
          <w:szCs w:val="26"/>
        </w:rPr>
        <w:t>federal courts.  (</w:t>
      </w:r>
      <w:r w:rsidRPr="00A86E6B">
        <w:rPr>
          <w:i/>
          <w:iCs/>
          <w:szCs w:val="26"/>
        </w:rPr>
        <w:t>Naranjo II</w:t>
      </w:r>
      <w:r w:rsidRPr="00A86E6B">
        <w:rPr>
          <w:szCs w:val="26"/>
        </w:rPr>
        <w:t>,</w:t>
      </w:r>
      <w:r w:rsidRPr="00A86E6B">
        <w:rPr>
          <w:i/>
          <w:iCs/>
          <w:szCs w:val="26"/>
        </w:rPr>
        <w:t xml:space="preserve"> supra</w:t>
      </w:r>
      <w:r w:rsidRPr="00A86E6B">
        <w:rPr>
          <w:szCs w:val="26"/>
        </w:rPr>
        <w:t xml:space="preserve">, 40 Cal.App.5th at pp. 467–471.)  </w:t>
      </w:r>
      <w:r w:rsidR="00FF4CED" w:rsidRPr="00A86E6B">
        <w:rPr>
          <w:szCs w:val="26"/>
        </w:rPr>
        <w:t>We granted review</w:t>
      </w:r>
      <w:r w:rsidR="001B154C" w:rsidRPr="00A86E6B">
        <w:rPr>
          <w:szCs w:val="26"/>
        </w:rPr>
        <w:t xml:space="preserve"> to </w:t>
      </w:r>
      <w:r w:rsidR="004105AC" w:rsidRPr="00A86E6B">
        <w:rPr>
          <w:szCs w:val="26"/>
        </w:rPr>
        <w:t xml:space="preserve">consider </w:t>
      </w:r>
      <w:r w:rsidR="001B154C" w:rsidRPr="00A86E6B">
        <w:rPr>
          <w:szCs w:val="26"/>
        </w:rPr>
        <w:t>the issue.</w:t>
      </w:r>
    </w:p>
    <w:p w14:paraId="56CFEFFF" w14:textId="2C3639D8" w:rsidR="00FF4CED" w:rsidRPr="00A86E6B" w:rsidRDefault="00FF4CED" w:rsidP="00DF196D">
      <w:pPr>
        <w:keepNext/>
        <w:tabs>
          <w:tab w:val="left" w:pos="1440"/>
        </w:tabs>
        <w:jc w:val="center"/>
        <w:rPr>
          <w:b/>
          <w:bCs/>
          <w:smallCaps/>
          <w:szCs w:val="26"/>
        </w:rPr>
      </w:pPr>
      <w:r w:rsidRPr="00A86E6B">
        <w:rPr>
          <w:b/>
          <w:bCs/>
          <w:smallCaps/>
          <w:szCs w:val="26"/>
        </w:rPr>
        <w:t>II.</w:t>
      </w:r>
    </w:p>
    <w:p w14:paraId="53CEF8F9" w14:textId="3BE48B02" w:rsidR="004A444C" w:rsidRPr="00A86E6B" w:rsidRDefault="00687E15" w:rsidP="00A86E6B">
      <w:pPr>
        <w:tabs>
          <w:tab w:val="left" w:pos="1440"/>
        </w:tabs>
        <w:ind w:firstLine="720"/>
        <w:rPr>
          <w:szCs w:val="26"/>
        </w:rPr>
      </w:pPr>
      <w:r w:rsidRPr="00A86E6B">
        <w:rPr>
          <w:szCs w:val="26"/>
        </w:rPr>
        <w:t xml:space="preserve">California’s meal and rest break requirements date back to 1916 and 1932, respectively, when the </w:t>
      </w:r>
      <w:r w:rsidR="0083537E" w:rsidRPr="00A86E6B">
        <w:rPr>
          <w:szCs w:val="26"/>
        </w:rPr>
        <w:t xml:space="preserve">newly created IWC </w:t>
      </w:r>
      <w:r w:rsidR="00140E9A" w:rsidRPr="00A86E6B">
        <w:rPr>
          <w:szCs w:val="26"/>
        </w:rPr>
        <w:t xml:space="preserve">included the requirements in a </w:t>
      </w:r>
      <w:r w:rsidR="0083537E" w:rsidRPr="00A86E6B">
        <w:rPr>
          <w:szCs w:val="26"/>
        </w:rPr>
        <w:t xml:space="preserve">series of wage orders regulating terms and conditions of employment in </w:t>
      </w:r>
      <w:r w:rsidR="00B22935" w:rsidRPr="00A86E6B">
        <w:rPr>
          <w:szCs w:val="26"/>
        </w:rPr>
        <w:t>various industries and occupations.</w:t>
      </w:r>
      <w:r w:rsidR="007B34D8" w:rsidRPr="00A86E6B">
        <w:rPr>
          <w:szCs w:val="26"/>
        </w:rPr>
        <w:t xml:space="preserve">  </w:t>
      </w:r>
      <w:r w:rsidR="001E7E19" w:rsidRPr="00A86E6B">
        <w:rPr>
          <w:szCs w:val="26"/>
        </w:rPr>
        <w:t>(</w:t>
      </w:r>
      <w:r w:rsidR="00624083" w:rsidRPr="00A86E6B">
        <w:rPr>
          <w:i/>
          <w:iCs/>
          <w:szCs w:val="26"/>
        </w:rPr>
        <w:t>Murphy v. Kenneth Cole Productions, Inc.</w:t>
      </w:r>
      <w:r w:rsidR="00624083" w:rsidRPr="00A86E6B">
        <w:rPr>
          <w:szCs w:val="26"/>
        </w:rPr>
        <w:t xml:space="preserve">, </w:t>
      </w:r>
      <w:r w:rsidR="00624083" w:rsidRPr="00A86E6B">
        <w:rPr>
          <w:i/>
          <w:iCs/>
          <w:szCs w:val="26"/>
        </w:rPr>
        <w:t>supra</w:t>
      </w:r>
      <w:r w:rsidR="00624083" w:rsidRPr="00A86E6B">
        <w:rPr>
          <w:szCs w:val="26"/>
        </w:rPr>
        <w:t>, 40 Cal.4th at p. 1105 (</w:t>
      </w:r>
      <w:r w:rsidR="00624083" w:rsidRPr="00A86E6B">
        <w:rPr>
          <w:i/>
          <w:iCs/>
          <w:szCs w:val="26"/>
        </w:rPr>
        <w:t>Murphy</w:t>
      </w:r>
      <w:r w:rsidR="00624083" w:rsidRPr="00A86E6B">
        <w:rPr>
          <w:szCs w:val="26"/>
        </w:rPr>
        <w:t xml:space="preserve">); see </w:t>
      </w:r>
      <w:r w:rsidR="001E7E19" w:rsidRPr="00A86E6B">
        <w:rPr>
          <w:i/>
          <w:iCs/>
          <w:szCs w:val="26"/>
        </w:rPr>
        <w:t>Brinker Restaurant Corp. v. Superior Court</w:t>
      </w:r>
      <w:r w:rsidR="00FE1A5A" w:rsidRPr="00A86E6B">
        <w:rPr>
          <w:szCs w:val="26"/>
        </w:rPr>
        <w:t>,</w:t>
      </w:r>
      <w:r w:rsidR="00FE1A5A" w:rsidRPr="00A86E6B">
        <w:rPr>
          <w:i/>
          <w:iCs/>
          <w:szCs w:val="26"/>
        </w:rPr>
        <w:t xml:space="preserve"> supra</w:t>
      </w:r>
      <w:r w:rsidR="00FE1A5A" w:rsidRPr="00A86E6B">
        <w:rPr>
          <w:szCs w:val="26"/>
        </w:rPr>
        <w:t>,</w:t>
      </w:r>
      <w:r w:rsidR="001E7E19" w:rsidRPr="00A86E6B">
        <w:rPr>
          <w:szCs w:val="26"/>
        </w:rPr>
        <w:t xml:space="preserve"> 53 Cal.4th </w:t>
      </w:r>
      <w:r w:rsidR="00FE1A5A" w:rsidRPr="00A86E6B">
        <w:rPr>
          <w:szCs w:val="26"/>
        </w:rPr>
        <w:t>at p. </w:t>
      </w:r>
      <w:r w:rsidR="001E7E19" w:rsidRPr="00A86E6B">
        <w:rPr>
          <w:szCs w:val="26"/>
        </w:rPr>
        <w:t xml:space="preserve">1017.)  </w:t>
      </w:r>
      <w:r w:rsidR="008647B6" w:rsidRPr="00A86E6B">
        <w:rPr>
          <w:szCs w:val="26"/>
        </w:rPr>
        <w:t>F</w:t>
      </w:r>
      <w:r w:rsidR="008B351A" w:rsidRPr="00A86E6B">
        <w:rPr>
          <w:szCs w:val="26"/>
        </w:rPr>
        <w:t xml:space="preserve">or most of the </w:t>
      </w:r>
      <w:r w:rsidR="00624083" w:rsidRPr="00A86E6B">
        <w:rPr>
          <w:szCs w:val="26"/>
        </w:rPr>
        <w:t xml:space="preserve">century following the promulgation of the break </w:t>
      </w:r>
      <w:r w:rsidR="008B351A" w:rsidRPr="00A86E6B">
        <w:rPr>
          <w:szCs w:val="26"/>
        </w:rPr>
        <w:t>requirements</w:t>
      </w:r>
      <w:r w:rsidR="00413233" w:rsidRPr="00A86E6B">
        <w:rPr>
          <w:szCs w:val="26"/>
        </w:rPr>
        <w:t xml:space="preserve">, however, </w:t>
      </w:r>
      <w:r w:rsidR="00B26A6A">
        <w:rPr>
          <w:szCs w:val="26"/>
        </w:rPr>
        <w:t xml:space="preserve">the law offered limited tools for </w:t>
      </w:r>
      <w:r w:rsidR="00F54964">
        <w:rPr>
          <w:szCs w:val="26"/>
        </w:rPr>
        <w:t>enforcement</w:t>
      </w:r>
      <w:r w:rsidR="006D4C73">
        <w:rPr>
          <w:szCs w:val="26"/>
        </w:rPr>
        <w:t xml:space="preserve">: </w:t>
      </w:r>
      <w:r w:rsidR="00F54964">
        <w:rPr>
          <w:szCs w:val="26"/>
        </w:rPr>
        <w:t xml:space="preserve"> </w:t>
      </w:r>
      <w:r w:rsidR="0011568E" w:rsidRPr="00A86E6B">
        <w:rPr>
          <w:szCs w:val="26"/>
        </w:rPr>
        <w:t>“</w:t>
      </w:r>
      <w:r w:rsidR="006D4C73">
        <w:rPr>
          <w:szCs w:val="26"/>
        </w:rPr>
        <w:t>T</w:t>
      </w:r>
      <w:r w:rsidR="0011568E" w:rsidRPr="00A86E6B">
        <w:rPr>
          <w:szCs w:val="26"/>
        </w:rPr>
        <w:t>he only remedy available to employees . . . was injunctive relief aimed at preventing future abuse</w:t>
      </w:r>
      <w:r w:rsidR="007B2C31" w:rsidRPr="00A86E6B">
        <w:rPr>
          <w:szCs w:val="26"/>
        </w:rPr>
        <w:t>.</w:t>
      </w:r>
      <w:r w:rsidR="0011568E" w:rsidRPr="00A86E6B">
        <w:rPr>
          <w:szCs w:val="26"/>
        </w:rPr>
        <w:t>”</w:t>
      </w:r>
      <w:r w:rsidR="00B41C12" w:rsidRPr="00A86E6B">
        <w:rPr>
          <w:szCs w:val="26"/>
        </w:rPr>
        <w:t xml:space="preserve">  </w:t>
      </w:r>
      <w:r w:rsidR="00413233" w:rsidRPr="00A86E6B">
        <w:rPr>
          <w:szCs w:val="26"/>
        </w:rPr>
        <w:t>(</w:t>
      </w:r>
      <w:r w:rsidR="0011568E" w:rsidRPr="00A86E6B">
        <w:rPr>
          <w:i/>
          <w:iCs/>
          <w:szCs w:val="26"/>
        </w:rPr>
        <w:t>Murphy</w:t>
      </w:r>
      <w:r w:rsidR="0011568E" w:rsidRPr="00A86E6B">
        <w:rPr>
          <w:szCs w:val="26"/>
        </w:rPr>
        <w:t>, at p. 1105</w:t>
      </w:r>
      <w:r w:rsidR="003F1DE5" w:rsidRPr="00A86E6B">
        <w:rPr>
          <w:szCs w:val="26"/>
        </w:rPr>
        <w:t>.)</w:t>
      </w:r>
    </w:p>
    <w:p w14:paraId="1D513D1B" w14:textId="253CDC9A" w:rsidR="00413233" w:rsidRPr="00A86E6B" w:rsidRDefault="00ED2E10" w:rsidP="00A86E6B">
      <w:pPr>
        <w:tabs>
          <w:tab w:val="left" w:pos="1440"/>
        </w:tabs>
        <w:ind w:firstLine="720"/>
        <w:rPr>
          <w:szCs w:val="26"/>
        </w:rPr>
      </w:pPr>
      <w:r w:rsidRPr="00A86E6B">
        <w:rPr>
          <w:szCs w:val="26"/>
        </w:rPr>
        <w:t>In 2000, c</w:t>
      </w:r>
      <w:r w:rsidR="00D03167" w:rsidRPr="00A86E6B">
        <w:rPr>
          <w:szCs w:val="26"/>
        </w:rPr>
        <w:t xml:space="preserve">oncerned that the injunctive remedy </w:t>
      </w:r>
      <w:r w:rsidRPr="00A86E6B">
        <w:rPr>
          <w:szCs w:val="26"/>
        </w:rPr>
        <w:t xml:space="preserve">had not given employers enough incentive to comply with the law, the IWC </w:t>
      </w:r>
      <w:r w:rsidR="00413233" w:rsidRPr="00A86E6B">
        <w:rPr>
          <w:szCs w:val="26"/>
        </w:rPr>
        <w:t>added a</w:t>
      </w:r>
      <w:r w:rsidR="00271A66" w:rsidRPr="00A86E6B">
        <w:rPr>
          <w:szCs w:val="26"/>
        </w:rPr>
        <w:t xml:space="preserve"> new monetary remedy</w:t>
      </w:r>
      <w:r w:rsidR="00413233" w:rsidRPr="00A86E6B">
        <w:rPr>
          <w:szCs w:val="26"/>
        </w:rPr>
        <w:t xml:space="preserve">:  employees denied a meal or rest break on a given day would be due </w:t>
      </w:r>
      <w:r w:rsidR="00C875C4" w:rsidRPr="00A86E6B">
        <w:rPr>
          <w:szCs w:val="26"/>
        </w:rPr>
        <w:t>“one (1) hour of pay at the employee’s regular rate of compensation.”  (IWC wage order No.</w:t>
      </w:r>
      <w:r w:rsidR="0015586C" w:rsidRPr="00A86E6B">
        <w:rPr>
          <w:szCs w:val="26"/>
        </w:rPr>
        <w:t> </w:t>
      </w:r>
      <w:r w:rsidR="00001000">
        <w:rPr>
          <w:szCs w:val="26"/>
        </w:rPr>
        <w:t>4-2001</w:t>
      </w:r>
      <w:r w:rsidR="00C875C4" w:rsidRPr="00A86E6B">
        <w:rPr>
          <w:szCs w:val="26"/>
        </w:rPr>
        <w:t>, §§ 11(B), 12(B)</w:t>
      </w:r>
      <w:r w:rsidR="00664755" w:rsidRPr="00A86E6B">
        <w:rPr>
          <w:szCs w:val="26"/>
        </w:rPr>
        <w:t xml:space="preserve">; see </w:t>
      </w:r>
      <w:r w:rsidR="00C769D1" w:rsidRPr="00A86E6B">
        <w:rPr>
          <w:i/>
          <w:iCs/>
          <w:szCs w:val="26"/>
        </w:rPr>
        <w:t>Ferra v. Loews Hollywood Hotel, LLC</w:t>
      </w:r>
      <w:r w:rsidR="00C769D1" w:rsidRPr="00A86E6B">
        <w:rPr>
          <w:szCs w:val="26"/>
        </w:rPr>
        <w:t xml:space="preserve"> (2021) 11 Cal.5th 858, 870; </w:t>
      </w:r>
      <w:r w:rsidR="00664755" w:rsidRPr="00A86E6B">
        <w:rPr>
          <w:i/>
          <w:iCs/>
          <w:szCs w:val="26"/>
        </w:rPr>
        <w:t>Murphy</w:t>
      </w:r>
      <w:r w:rsidR="00664755" w:rsidRPr="00A86E6B">
        <w:rPr>
          <w:szCs w:val="26"/>
        </w:rPr>
        <w:t>,</w:t>
      </w:r>
      <w:r w:rsidR="00596D78" w:rsidRPr="00A86E6B">
        <w:rPr>
          <w:szCs w:val="26"/>
        </w:rPr>
        <w:t xml:space="preserve"> </w:t>
      </w:r>
      <w:r w:rsidR="00596D78" w:rsidRPr="00A86E6B">
        <w:rPr>
          <w:i/>
          <w:iCs/>
          <w:szCs w:val="26"/>
        </w:rPr>
        <w:t>supra</w:t>
      </w:r>
      <w:r w:rsidR="00596D78" w:rsidRPr="00A86E6B">
        <w:rPr>
          <w:szCs w:val="26"/>
        </w:rPr>
        <w:t>, 40 Cal.4th</w:t>
      </w:r>
      <w:r w:rsidR="00664755" w:rsidRPr="00A86E6B">
        <w:rPr>
          <w:szCs w:val="26"/>
        </w:rPr>
        <w:t xml:space="preserve"> at pp. 1105–1106, 1110</w:t>
      </w:r>
      <w:r w:rsidR="00C875C4" w:rsidRPr="00A86E6B">
        <w:rPr>
          <w:szCs w:val="26"/>
        </w:rPr>
        <w:t>.)  The Legislature followed suit the same year</w:t>
      </w:r>
      <w:r w:rsidR="004A444C" w:rsidRPr="00A86E6B">
        <w:rPr>
          <w:szCs w:val="26"/>
        </w:rPr>
        <w:t xml:space="preserve"> by enacting Labor Code section 226.7</w:t>
      </w:r>
      <w:r w:rsidR="005407FD" w:rsidRPr="00A86E6B">
        <w:rPr>
          <w:szCs w:val="26"/>
        </w:rPr>
        <w:t xml:space="preserve"> (Stats. 2000, ch. 876, § 7, p.</w:t>
      </w:r>
      <w:r w:rsidR="0015586C" w:rsidRPr="00A86E6B">
        <w:rPr>
          <w:szCs w:val="26"/>
        </w:rPr>
        <w:t> </w:t>
      </w:r>
      <w:r w:rsidR="005407FD" w:rsidRPr="00A86E6B">
        <w:rPr>
          <w:szCs w:val="26"/>
        </w:rPr>
        <w:t>6509)</w:t>
      </w:r>
      <w:r w:rsidR="00C875C4" w:rsidRPr="00A86E6B">
        <w:rPr>
          <w:szCs w:val="26"/>
        </w:rPr>
        <w:t xml:space="preserve">, </w:t>
      </w:r>
      <w:r w:rsidR="00795494" w:rsidRPr="00A86E6B">
        <w:rPr>
          <w:szCs w:val="26"/>
        </w:rPr>
        <w:t xml:space="preserve">providing that employers who </w:t>
      </w:r>
      <w:r w:rsidR="00FE1A5A" w:rsidRPr="00A86E6B">
        <w:rPr>
          <w:szCs w:val="26"/>
        </w:rPr>
        <w:t xml:space="preserve">unlawfully </w:t>
      </w:r>
      <w:r w:rsidR="00795494" w:rsidRPr="00A86E6B">
        <w:rPr>
          <w:szCs w:val="26"/>
        </w:rPr>
        <w:t xml:space="preserve">denied their employees a meal or rest period on any given day must pay the employees </w:t>
      </w:r>
      <w:r w:rsidR="00413233" w:rsidRPr="00A86E6B">
        <w:rPr>
          <w:szCs w:val="26"/>
        </w:rPr>
        <w:t xml:space="preserve">an “additional hour of pay” at their “regular rate” </w:t>
      </w:r>
      <w:r w:rsidR="00C875C4" w:rsidRPr="00A86E6B">
        <w:rPr>
          <w:szCs w:val="26"/>
        </w:rPr>
        <w:t>(</w:t>
      </w:r>
      <w:r w:rsidR="00413233" w:rsidRPr="00A86E6B">
        <w:rPr>
          <w:szCs w:val="26"/>
        </w:rPr>
        <w:t>Lab. Code, § 226.7, subd. (c) (</w:t>
      </w:r>
      <w:r w:rsidR="008F79A0">
        <w:rPr>
          <w:szCs w:val="26"/>
        </w:rPr>
        <w:t>section</w:t>
      </w:r>
      <w:r w:rsidR="00413233" w:rsidRPr="00A86E6B">
        <w:rPr>
          <w:szCs w:val="26"/>
        </w:rPr>
        <w:t> 226.7)</w:t>
      </w:r>
      <w:r w:rsidR="00B902FA" w:rsidRPr="00A86E6B">
        <w:rPr>
          <w:szCs w:val="26"/>
        </w:rPr>
        <w:t xml:space="preserve">; see </w:t>
      </w:r>
      <w:r w:rsidR="00B902FA" w:rsidRPr="00A86E6B">
        <w:rPr>
          <w:i/>
          <w:iCs/>
          <w:szCs w:val="26"/>
        </w:rPr>
        <w:t>Ferra</w:t>
      </w:r>
      <w:r w:rsidR="00596D78" w:rsidRPr="00A86E6B">
        <w:rPr>
          <w:szCs w:val="26"/>
        </w:rPr>
        <w:t>,</w:t>
      </w:r>
      <w:r w:rsidR="00B902FA" w:rsidRPr="00A86E6B">
        <w:rPr>
          <w:szCs w:val="26"/>
        </w:rPr>
        <w:t xml:space="preserve"> at pp. 869–872</w:t>
      </w:r>
      <w:r w:rsidR="005407FD" w:rsidRPr="00A86E6B">
        <w:rPr>
          <w:szCs w:val="26"/>
        </w:rPr>
        <w:t>)</w:t>
      </w:r>
      <w:r w:rsidR="00413233" w:rsidRPr="00A86E6B">
        <w:rPr>
          <w:szCs w:val="26"/>
        </w:rPr>
        <w:t>.</w:t>
      </w:r>
    </w:p>
    <w:p w14:paraId="58FAD939" w14:textId="7EDB7DE6" w:rsidR="00113711" w:rsidRPr="00A86E6B" w:rsidRDefault="00113711" w:rsidP="00A86E6B">
      <w:pPr>
        <w:tabs>
          <w:tab w:val="left" w:pos="1440"/>
        </w:tabs>
        <w:ind w:firstLine="720"/>
        <w:rPr>
          <w:szCs w:val="26"/>
        </w:rPr>
      </w:pPr>
      <w:r w:rsidRPr="00A86E6B">
        <w:rPr>
          <w:szCs w:val="26"/>
        </w:rPr>
        <w:t>The primary question</w:t>
      </w:r>
      <w:r w:rsidR="00596D78" w:rsidRPr="00A86E6B">
        <w:rPr>
          <w:szCs w:val="26"/>
        </w:rPr>
        <w:t>s</w:t>
      </w:r>
      <w:r w:rsidRPr="00A86E6B">
        <w:rPr>
          <w:szCs w:val="26"/>
        </w:rPr>
        <w:t xml:space="preserve"> in this case concern the relationship between the premium pay provision of section 226.7, subdivision (c), and the provisions of the Labor Code</w:t>
      </w:r>
      <w:r w:rsidR="00CE0F7C" w:rsidRPr="00A86E6B">
        <w:rPr>
          <w:szCs w:val="26"/>
        </w:rPr>
        <w:t xml:space="preserve"> governing the reporting </w:t>
      </w:r>
      <w:r w:rsidR="00D76E95" w:rsidRPr="00A86E6B">
        <w:rPr>
          <w:szCs w:val="26"/>
        </w:rPr>
        <w:t xml:space="preserve">of wages </w:t>
      </w:r>
      <w:r w:rsidR="00CE0F7C" w:rsidRPr="00A86E6B">
        <w:rPr>
          <w:szCs w:val="26"/>
        </w:rPr>
        <w:t>and timely payment of wages</w:t>
      </w:r>
      <w:r w:rsidR="00A60FE3" w:rsidRPr="00A86E6B">
        <w:rPr>
          <w:szCs w:val="26"/>
        </w:rPr>
        <w:t xml:space="preserve"> upon discharge or resignation</w:t>
      </w:r>
      <w:r w:rsidR="00CE0F7C" w:rsidRPr="00A86E6B">
        <w:rPr>
          <w:szCs w:val="26"/>
        </w:rPr>
        <w:t>.</w:t>
      </w:r>
      <w:r w:rsidR="00D76E95" w:rsidRPr="00A86E6B">
        <w:rPr>
          <w:szCs w:val="26"/>
        </w:rPr>
        <w:t xml:space="preserve">  </w:t>
      </w:r>
      <w:r w:rsidR="00FE1A5A" w:rsidRPr="00A86E6B">
        <w:rPr>
          <w:szCs w:val="26"/>
        </w:rPr>
        <w:t xml:space="preserve">Spectrum did not seek review of the lower courts’ determination that it violated state meal break requirements, so we take as settled that the class members </w:t>
      </w:r>
      <w:r w:rsidR="00596D78" w:rsidRPr="00A86E6B">
        <w:rPr>
          <w:szCs w:val="26"/>
        </w:rPr>
        <w:t xml:space="preserve">are </w:t>
      </w:r>
      <w:r w:rsidR="00FE1A5A" w:rsidRPr="00A86E6B">
        <w:rPr>
          <w:szCs w:val="26"/>
        </w:rPr>
        <w:t xml:space="preserve">entitled to premium pay.  </w:t>
      </w:r>
      <w:r w:rsidR="002609CA" w:rsidRPr="00A86E6B">
        <w:rPr>
          <w:szCs w:val="26"/>
        </w:rPr>
        <w:t>I</w:t>
      </w:r>
      <w:r w:rsidR="00FE1A5A" w:rsidRPr="00A86E6B">
        <w:rPr>
          <w:szCs w:val="26"/>
        </w:rPr>
        <w:t xml:space="preserve">t is </w:t>
      </w:r>
      <w:r w:rsidR="002609CA" w:rsidRPr="00A86E6B">
        <w:rPr>
          <w:szCs w:val="26"/>
        </w:rPr>
        <w:t xml:space="preserve">likewise </w:t>
      </w:r>
      <w:r w:rsidR="00FE1A5A" w:rsidRPr="00A86E6B">
        <w:rPr>
          <w:szCs w:val="26"/>
        </w:rPr>
        <w:t xml:space="preserve">undisputed that Spectrum neither paid that premium pay nor reported it as earned on employee wage statements.  </w:t>
      </w:r>
      <w:r w:rsidR="00F147DC" w:rsidRPr="00A86E6B">
        <w:rPr>
          <w:szCs w:val="26"/>
        </w:rPr>
        <w:t xml:space="preserve">When an employer unlawfully denies an employee a meal or rest period and thus becomes obligated to pay </w:t>
      </w:r>
      <w:r w:rsidR="00CC22D3" w:rsidRPr="00A86E6B">
        <w:rPr>
          <w:szCs w:val="26"/>
        </w:rPr>
        <w:t xml:space="preserve">an extra hour’s pay, can the employer </w:t>
      </w:r>
      <w:r w:rsidR="00FB2549" w:rsidRPr="00A86E6B">
        <w:rPr>
          <w:szCs w:val="26"/>
        </w:rPr>
        <w:t xml:space="preserve">be held liable under Labor Code section 203 if it fails to pay any unpaid missed break amounts within statutorily mandated deadlines?  </w:t>
      </w:r>
      <w:r w:rsidR="003D1BC5" w:rsidRPr="00A86E6B">
        <w:rPr>
          <w:szCs w:val="26"/>
        </w:rPr>
        <w:t xml:space="preserve">And can it </w:t>
      </w:r>
      <w:r w:rsidR="00CC22D3" w:rsidRPr="00A86E6B">
        <w:rPr>
          <w:szCs w:val="26"/>
        </w:rPr>
        <w:t xml:space="preserve">be held liable under Labor Code section 226 </w:t>
      </w:r>
      <w:r w:rsidR="00596D78" w:rsidRPr="00A86E6B">
        <w:rPr>
          <w:szCs w:val="26"/>
        </w:rPr>
        <w:t>if it fails</w:t>
      </w:r>
      <w:r w:rsidR="00CC22D3" w:rsidRPr="00A86E6B">
        <w:rPr>
          <w:szCs w:val="26"/>
        </w:rPr>
        <w:t xml:space="preserve"> to report that </w:t>
      </w:r>
      <w:r w:rsidR="00544282" w:rsidRPr="00A86E6B">
        <w:rPr>
          <w:szCs w:val="26"/>
        </w:rPr>
        <w:t xml:space="preserve">premium </w:t>
      </w:r>
      <w:r w:rsidR="00CC22D3" w:rsidRPr="00A86E6B">
        <w:rPr>
          <w:szCs w:val="26"/>
        </w:rPr>
        <w:t xml:space="preserve">pay on a statutorily required wage statement?  </w:t>
      </w:r>
      <w:r w:rsidR="00544282" w:rsidRPr="00A86E6B">
        <w:rPr>
          <w:szCs w:val="26"/>
        </w:rPr>
        <w:t xml:space="preserve">Spectrum argues the answer to </w:t>
      </w:r>
      <w:r w:rsidR="00C03B6E" w:rsidRPr="00A86E6B">
        <w:rPr>
          <w:szCs w:val="26"/>
        </w:rPr>
        <w:t>each</w:t>
      </w:r>
      <w:r w:rsidR="00544282" w:rsidRPr="00A86E6B">
        <w:rPr>
          <w:szCs w:val="26"/>
        </w:rPr>
        <w:t xml:space="preserve"> question is no</w:t>
      </w:r>
      <w:r w:rsidR="006F0D1D" w:rsidRPr="00A86E6B">
        <w:rPr>
          <w:szCs w:val="26"/>
        </w:rPr>
        <w:t xml:space="preserve">.  We address </w:t>
      </w:r>
      <w:r w:rsidR="00C03B6E" w:rsidRPr="00A86E6B">
        <w:rPr>
          <w:szCs w:val="26"/>
        </w:rPr>
        <w:t>its</w:t>
      </w:r>
      <w:r w:rsidR="006F0D1D" w:rsidRPr="00A86E6B">
        <w:rPr>
          <w:szCs w:val="26"/>
        </w:rPr>
        <w:t xml:space="preserve"> contentions in turn</w:t>
      </w:r>
      <w:r w:rsidR="00C36274" w:rsidRPr="00A86E6B">
        <w:rPr>
          <w:szCs w:val="26"/>
        </w:rPr>
        <w:t>, beginning</w:t>
      </w:r>
      <w:r w:rsidR="007C3D0E" w:rsidRPr="00A86E6B">
        <w:rPr>
          <w:szCs w:val="26"/>
        </w:rPr>
        <w:t xml:space="preserve"> </w:t>
      </w:r>
      <w:r w:rsidR="00C36274" w:rsidRPr="00A86E6B">
        <w:rPr>
          <w:szCs w:val="26"/>
        </w:rPr>
        <w:t xml:space="preserve">with an employer’s </w:t>
      </w:r>
      <w:r w:rsidR="00366AC7" w:rsidRPr="00A86E6B">
        <w:rPr>
          <w:szCs w:val="26"/>
        </w:rPr>
        <w:t xml:space="preserve">prompt payment </w:t>
      </w:r>
      <w:r w:rsidR="00C36274" w:rsidRPr="00A86E6B">
        <w:rPr>
          <w:szCs w:val="26"/>
        </w:rPr>
        <w:t>responsibilities</w:t>
      </w:r>
      <w:r w:rsidR="005407FD" w:rsidRPr="00A86E6B">
        <w:rPr>
          <w:szCs w:val="26"/>
        </w:rPr>
        <w:t>.  (See Lab. Code, §§</w:t>
      </w:r>
      <w:r w:rsidR="00FD6E43" w:rsidRPr="00A86E6B">
        <w:rPr>
          <w:szCs w:val="26"/>
        </w:rPr>
        <w:t> </w:t>
      </w:r>
      <w:r w:rsidR="005407FD" w:rsidRPr="00A86E6B">
        <w:rPr>
          <w:szCs w:val="26"/>
        </w:rPr>
        <w:t>201–203.)</w:t>
      </w:r>
    </w:p>
    <w:p w14:paraId="619654AA" w14:textId="7DCD53EB" w:rsidR="00B8735F" w:rsidRPr="00A86E6B" w:rsidRDefault="007B6F1A" w:rsidP="00DF196D">
      <w:pPr>
        <w:keepNext/>
        <w:tabs>
          <w:tab w:val="left" w:pos="1440"/>
        </w:tabs>
        <w:jc w:val="center"/>
        <w:rPr>
          <w:b/>
          <w:bCs/>
          <w:smallCaps/>
          <w:szCs w:val="26"/>
        </w:rPr>
      </w:pPr>
      <w:r w:rsidRPr="00A86E6B">
        <w:rPr>
          <w:b/>
          <w:bCs/>
          <w:smallCaps/>
          <w:szCs w:val="26"/>
        </w:rPr>
        <w:t>III</w:t>
      </w:r>
      <w:r w:rsidR="00B8735F" w:rsidRPr="00A86E6B">
        <w:rPr>
          <w:b/>
          <w:bCs/>
          <w:smallCaps/>
          <w:szCs w:val="26"/>
        </w:rPr>
        <w:t>.</w:t>
      </w:r>
    </w:p>
    <w:p w14:paraId="64BE1106" w14:textId="182BBE43" w:rsidR="007B6F1A" w:rsidRPr="00A86E6B" w:rsidRDefault="007B6F1A" w:rsidP="00DF196D">
      <w:pPr>
        <w:keepNext/>
        <w:tabs>
          <w:tab w:val="left" w:pos="1440"/>
        </w:tabs>
        <w:jc w:val="center"/>
        <w:rPr>
          <w:smallCaps/>
          <w:szCs w:val="26"/>
        </w:rPr>
      </w:pPr>
      <w:r w:rsidRPr="00A86E6B">
        <w:rPr>
          <w:b/>
          <w:bCs/>
          <w:smallCaps/>
          <w:szCs w:val="26"/>
        </w:rPr>
        <w:t>A.</w:t>
      </w:r>
    </w:p>
    <w:p w14:paraId="14A8F902" w14:textId="5589E0C8" w:rsidR="00AD289E" w:rsidRPr="00A86E6B" w:rsidRDefault="00BD50A8" w:rsidP="00A86E6B">
      <w:pPr>
        <w:tabs>
          <w:tab w:val="left" w:pos="1440"/>
        </w:tabs>
        <w:ind w:firstLine="720"/>
        <w:rPr>
          <w:color w:val="000000" w:themeColor="text1"/>
          <w:szCs w:val="26"/>
        </w:rPr>
      </w:pPr>
      <w:r w:rsidRPr="00A86E6B">
        <w:rPr>
          <w:szCs w:val="26"/>
        </w:rPr>
        <w:t xml:space="preserve">When an employment relationship comes to an end, </w:t>
      </w:r>
      <w:r w:rsidR="001572CE" w:rsidRPr="00A86E6B">
        <w:rPr>
          <w:szCs w:val="26"/>
        </w:rPr>
        <w:t xml:space="preserve">the Labor Code </w:t>
      </w:r>
      <w:r w:rsidR="00C963E7" w:rsidRPr="00A86E6B">
        <w:rPr>
          <w:szCs w:val="26"/>
        </w:rPr>
        <w:t>requires employers to promptly pay any unpaid wages to the departing employee</w:t>
      </w:r>
      <w:r w:rsidRPr="00A86E6B">
        <w:rPr>
          <w:szCs w:val="26"/>
        </w:rPr>
        <w:t xml:space="preserve">.  </w:t>
      </w:r>
      <w:r w:rsidR="00DD2378">
        <w:rPr>
          <w:szCs w:val="26"/>
        </w:rPr>
        <w:t xml:space="preserve">The law establishes different </w:t>
      </w:r>
      <w:r w:rsidR="00C2648A">
        <w:rPr>
          <w:szCs w:val="26"/>
        </w:rPr>
        <w:t xml:space="preserve">payment </w:t>
      </w:r>
      <w:r w:rsidR="00DD2378">
        <w:rPr>
          <w:szCs w:val="26"/>
        </w:rPr>
        <w:t>deadlines</w:t>
      </w:r>
      <w:r w:rsidR="005769C9">
        <w:rPr>
          <w:szCs w:val="26"/>
        </w:rPr>
        <w:t xml:space="preserve"> depending on the manner of departure.</w:t>
      </w:r>
      <w:r w:rsidR="006D4C73">
        <w:rPr>
          <w:szCs w:val="26"/>
        </w:rPr>
        <w:t xml:space="preserve"> </w:t>
      </w:r>
      <w:r w:rsidR="005769C9">
        <w:rPr>
          <w:szCs w:val="26"/>
        </w:rPr>
        <w:t xml:space="preserve"> </w:t>
      </w:r>
      <w:r w:rsidRPr="00A86E6B">
        <w:rPr>
          <w:szCs w:val="26"/>
        </w:rPr>
        <w:t>Labor Code section 201 establi</w:t>
      </w:r>
      <w:r w:rsidRPr="00A86E6B">
        <w:rPr>
          <w:color w:val="000000" w:themeColor="text1"/>
          <w:szCs w:val="26"/>
        </w:rPr>
        <w:t xml:space="preserve">shes </w:t>
      </w:r>
      <w:r w:rsidR="00FD3A8B" w:rsidRPr="00A86E6B">
        <w:rPr>
          <w:color w:val="000000" w:themeColor="text1"/>
          <w:szCs w:val="26"/>
        </w:rPr>
        <w:t xml:space="preserve">a </w:t>
      </w:r>
      <w:r w:rsidR="005B6F44" w:rsidRPr="00A86E6B">
        <w:rPr>
          <w:color w:val="000000" w:themeColor="text1"/>
          <w:szCs w:val="26"/>
        </w:rPr>
        <w:t xml:space="preserve">baseline </w:t>
      </w:r>
      <w:r w:rsidR="00FD3A8B" w:rsidRPr="00A86E6B">
        <w:rPr>
          <w:color w:val="000000" w:themeColor="text1"/>
          <w:szCs w:val="26"/>
        </w:rPr>
        <w:t xml:space="preserve">statutory </w:t>
      </w:r>
      <w:r w:rsidRPr="00A86E6B">
        <w:rPr>
          <w:color w:val="000000" w:themeColor="text1"/>
          <w:szCs w:val="26"/>
        </w:rPr>
        <w:t xml:space="preserve">deadline </w:t>
      </w:r>
      <w:r w:rsidR="00FD3A8B" w:rsidRPr="00A86E6B">
        <w:rPr>
          <w:color w:val="000000" w:themeColor="text1"/>
          <w:szCs w:val="26"/>
        </w:rPr>
        <w:t xml:space="preserve">for </w:t>
      </w:r>
      <w:r w:rsidRPr="00A86E6B">
        <w:rPr>
          <w:color w:val="000000" w:themeColor="text1"/>
          <w:szCs w:val="26"/>
        </w:rPr>
        <w:t>pay</w:t>
      </w:r>
      <w:r w:rsidR="00FD3A8B" w:rsidRPr="00A86E6B">
        <w:rPr>
          <w:color w:val="000000" w:themeColor="text1"/>
          <w:szCs w:val="26"/>
        </w:rPr>
        <w:t>ing</w:t>
      </w:r>
      <w:r w:rsidRPr="00A86E6B">
        <w:rPr>
          <w:color w:val="000000" w:themeColor="text1"/>
          <w:szCs w:val="26"/>
        </w:rPr>
        <w:t xml:space="preserve"> employees</w:t>
      </w:r>
      <w:r w:rsidR="00DD2378">
        <w:rPr>
          <w:color w:val="000000" w:themeColor="text1"/>
          <w:szCs w:val="26"/>
        </w:rPr>
        <w:t xml:space="preserve"> who are discharged from </w:t>
      </w:r>
      <w:r w:rsidR="001B2549">
        <w:rPr>
          <w:color w:val="000000" w:themeColor="text1"/>
          <w:szCs w:val="26"/>
        </w:rPr>
        <w:t xml:space="preserve">their </w:t>
      </w:r>
      <w:r w:rsidR="00DD2378">
        <w:rPr>
          <w:color w:val="000000" w:themeColor="text1"/>
          <w:szCs w:val="26"/>
        </w:rPr>
        <w:t>employment</w:t>
      </w:r>
      <w:r w:rsidR="002134AF" w:rsidRPr="00A86E6B">
        <w:rPr>
          <w:color w:val="000000" w:themeColor="text1"/>
          <w:szCs w:val="26"/>
        </w:rPr>
        <w:t>:  upon termination, “</w:t>
      </w:r>
      <w:r w:rsidR="00AD289E" w:rsidRPr="00A86E6B">
        <w:rPr>
          <w:color w:val="000000" w:themeColor="text1"/>
          <w:szCs w:val="26"/>
          <w:shd w:val="clear" w:color="auto" w:fill="FFFFFF"/>
        </w:rPr>
        <w:t>wages earned and unpaid at the time of discharge are due and payable immediately</w:t>
      </w:r>
      <w:r w:rsidR="002134AF" w:rsidRPr="00A86E6B">
        <w:rPr>
          <w:color w:val="000000" w:themeColor="text1"/>
          <w:szCs w:val="26"/>
          <w:shd w:val="clear" w:color="auto" w:fill="FFFFFF"/>
        </w:rPr>
        <w:t>.”  (</w:t>
      </w:r>
      <w:r w:rsidR="00CC4888" w:rsidRPr="00A86E6B">
        <w:rPr>
          <w:color w:val="000000" w:themeColor="text1"/>
          <w:szCs w:val="26"/>
          <w:shd w:val="clear" w:color="auto" w:fill="FFFFFF"/>
        </w:rPr>
        <w:t xml:space="preserve">Lab. Code, </w:t>
      </w:r>
      <w:r w:rsidR="002134AF" w:rsidRPr="00A86E6B">
        <w:rPr>
          <w:color w:val="000000" w:themeColor="text1"/>
          <w:szCs w:val="26"/>
          <w:shd w:val="clear" w:color="auto" w:fill="FFFFFF"/>
        </w:rPr>
        <w:t>§ 201, subd. (a).)</w:t>
      </w:r>
      <w:r w:rsidR="002134AF" w:rsidRPr="00A86E6B">
        <w:rPr>
          <w:szCs w:val="26"/>
        </w:rPr>
        <w:t xml:space="preserve">  </w:t>
      </w:r>
      <w:r w:rsidR="00CC4888" w:rsidRPr="00A86E6B">
        <w:rPr>
          <w:szCs w:val="26"/>
        </w:rPr>
        <w:t xml:space="preserve">Labor Code </w:t>
      </w:r>
      <w:r w:rsidRPr="00A86E6B">
        <w:rPr>
          <w:szCs w:val="26"/>
        </w:rPr>
        <w:t>section 202</w:t>
      </w:r>
      <w:r w:rsidR="00182A82" w:rsidRPr="00A86E6B">
        <w:rPr>
          <w:szCs w:val="26"/>
        </w:rPr>
        <w:t xml:space="preserve"> </w:t>
      </w:r>
      <w:r w:rsidRPr="00A86E6B">
        <w:rPr>
          <w:szCs w:val="26"/>
        </w:rPr>
        <w:t xml:space="preserve">specifies the </w:t>
      </w:r>
      <w:r w:rsidR="005B6F44" w:rsidRPr="00A86E6B">
        <w:rPr>
          <w:szCs w:val="26"/>
        </w:rPr>
        <w:t xml:space="preserve">default </w:t>
      </w:r>
      <w:r w:rsidR="001844AC" w:rsidRPr="00A86E6B">
        <w:rPr>
          <w:szCs w:val="26"/>
        </w:rPr>
        <w:t xml:space="preserve">deadline for paying employees who </w:t>
      </w:r>
      <w:r w:rsidR="00182A82" w:rsidRPr="00A86E6B">
        <w:rPr>
          <w:szCs w:val="26"/>
        </w:rPr>
        <w:t xml:space="preserve">instead </w:t>
      </w:r>
      <w:r w:rsidR="003B0B27" w:rsidRPr="00A86E6B">
        <w:rPr>
          <w:szCs w:val="26"/>
        </w:rPr>
        <w:t>resign</w:t>
      </w:r>
      <w:r w:rsidR="00182A82" w:rsidRPr="00A86E6B">
        <w:rPr>
          <w:szCs w:val="26"/>
        </w:rPr>
        <w:t xml:space="preserve">: </w:t>
      </w:r>
      <w:r w:rsidR="00A3472F" w:rsidRPr="00A86E6B">
        <w:rPr>
          <w:szCs w:val="26"/>
        </w:rPr>
        <w:t xml:space="preserve"> </w:t>
      </w:r>
      <w:r w:rsidR="00844FE1" w:rsidRPr="00A86E6B">
        <w:rPr>
          <w:szCs w:val="26"/>
        </w:rPr>
        <w:t>immediately</w:t>
      </w:r>
      <w:r w:rsidR="0053369E" w:rsidRPr="00A86E6B">
        <w:rPr>
          <w:szCs w:val="26"/>
        </w:rPr>
        <w:t xml:space="preserve"> at the time of quitting,</w:t>
      </w:r>
      <w:r w:rsidR="00844FE1" w:rsidRPr="00A86E6B">
        <w:rPr>
          <w:szCs w:val="26"/>
        </w:rPr>
        <w:t xml:space="preserve"> if the employee has given sufficient advance notice, and </w:t>
      </w:r>
      <w:r w:rsidR="0055593D" w:rsidRPr="00A86E6B">
        <w:rPr>
          <w:szCs w:val="26"/>
        </w:rPr>
        <w:t xml:space="preserve">within 72 hours </w:t>
      </w:r>
      <w:r w:rsidR="00844FE1" w:rsidRPr="00A86E6B">
        <w:rPr>
          <w:szCs w:val="26"/>
        </w:rPr>
        <w:t xml:space="preserve">if </w:t>
      </w:r>
      <w:r w:rsidR="008526A4" w:rsidRPr="00A86E6B">
        <w:rPr>
          <w:szCs w:val="26"/>
        </w:rPr>
        <w:t xml:space="preserve">the employee has </w:t>
      </w:r>
      <w:r w:rsidR="00844FE1" w:rsidRPr="00A86E6B">
        <w:rPr>
          <w:szCs w:val="26"/>
        </w:rPr>
        <w:t>not</w:t>
      </w:r>
      <w:r w:rsidRPr="00A86E6B">
        <w:rPr>
          <w:szCs w:val="26"/>
        </w:rPr>
        <w:t>.</w:t>
      </w:r>
      <w:r w:rsidR="004E022F" w:rsidRPr="00A86E6B">
        <w:rPr>
          <w:szCs w:val="26"/>
        </w:rPr>
        <w:t xml:space="preserve">  (</w:t>
      </w:r>
      <w:r w:rsidR="004E022F" w:rsidRPr="00A86E6B">
        <w:rPr>
          <w:i/>
          <w:iCs/>
          <w:szCs w:val="26"/>
        </w:rPr>
        <w:t>Id.</w:t>
      </w:r>
      <w:r w:rsidR="004E022F" w:rsidRPr="00A86E6B">
        <w:rPr>
          <w:szCs w:val="26"/>
        </w:rPr>
        <w:t>, § 202, subd. (a).)</w:t>
      </w:r>
      <w:r w:rsidR="006A5224" w:rsidRPr="00A86E6B">
        <w:rPr>
          <w:rStyle w:val="FootnoteReference"/>
          <w:szCs w:val="26"/>
        </w:rPr>
        <w:footnoteReference w:id="5"/>
      </w:r>
      <w:r w:rsidR="00B03BEC" w:rsidRPr="00A86E6B">
        <w:rPr>
          <w:szCs w:val="26"/>
        </w:rPr>
        <w:t xml:space="preserve">  </w:t>
      </w:r>
      <w:r w:rsidRPr="00A86E6B">
        <w:rPr>
          <w:szCs w:val="26"/>
        </w:rPr>
        <w:t xml:space="preserve">To enforce these deadlines, </w:t>
      </w:r>
      <w:r w:rsidR="001572CE" w:rsidRPr="00A86E6B">
        <w:rPr>
          <w:szCs w:val="26"/>
        </w:rPr>
        <w:t xml:space="preserve">Labor Code section 203 prescribes a </w:t>
      </w:r>
      <w:r w:rsidR="009E046A" w:rsidRPr="00A86E6B">
        <w:rPr>
          <w:szCs w:val="26"/>
        </w:rPr>
        <w:t>sanction for employers who “willfully fail[] to pay” the full amounts due</w:t>
      </w:r>
      <w:r w:rsidR="00C855E4" w:rsidRPr="00A86E6B">
        <w:rPr>
          <w:szCs w:val="26"/>
        </w:rPr>
        <w:t xml:space="preserve">:  </w:t>
      </w:r>
      <w:r w:rsidR="00AD289E" w:rsidRPr="00A86E6B">
        <w:rPr>
          <w:szCs w:val="26"/>
        </w:rPr>
        <w:t>absent</w:t>
      </w:r>
      <w:r w:rsidR="00C855E4" w:rsidRPr="00A86E6B">
        <w:rPr>
          <w:szCs w:val="26"/>
        </w:rPr>
        <w:t xml:space="preserve"> timely payment of “</w:t>
      </w:r>
      <w:r w:rsidR="00C855E4" w:rsidRPr="00A86E6B">
        <w:rPr>
          <w:color w:val="000000" w:themeColor="text1"/>
          <w:szCs w:val="26"/>
        </w:rPr>
        <w:t>any wages of an employee who is discharged or who quits, the wages of the employee shall continue as a penalty from the due date thereof at the same rate until paid or until an action therefor is commenced; but the wages shall not continue for more than 30 days.”  (</w:t>
      </w:r>
      <w:r w:rsidR="003540F9" w:rsidRPr="00A86E6B">
        <w:rPr>
          <w:i/>
          <w:iCs/>
          <w:color w:val="000000" w:themeColor="text1"/>
          <w:szCs w:val="26"/>
        </w:rPr>
        <w:t>Id.</w:t>
      </w:r>
      <w:r w:rsidR="003540F9" w:rsidRPr="00A86E6B">
        <w:rPr>
          <w:color w:val="000000" w:themeColor="text1"/>
          <w:szCs w:val="26"/>
        </w:rPr>
        <w:t xml:space="preserve">, </w:t>
      </w:r>
      <w:r w:rsidR="00AD289E" w:rsidRPr="00A86E6B">
        <w:rPr>
          <w:color w:val="000000" w:themeColor="text1"/>
          <w:szCs w:val="26"/>
        </w:rPr>
        <w:t>§ 203</w:t>
      </w:r>
      <w:r w:rsidR="006E4F30" w:rsidRPr="00A86E6B">
        <w:rPr>
          <w:color w:val="000000" w:themeColor="text1"/>
          <w:szCs w:val="26"/>
        </w:rPr>
        <w:t>, subd. (a)</w:t>
      </w:r>
      <w:r w:rsidR="00C855E4" w:rsidRPr="00A86E6B">
        <w:rPr>
          <w:color w:val="000000" w:themeColor="text1"/>
          <w:szCs w:val="26"/>
        </w:rPr>
        <w:t>.)</w:t>
      </w:r>
      <w:r w:rsidR="00905667" w:rsidRPr="00A86E6B">
        <w:rPr>
          <w:color w:val="000000" w:themeColor="text1"/>
          <w:szCs w:val="26"/>
        </w:rPr>
        <w:t xml:space="preserve">  Section 203 penalties for </w:t>
      </w:r>
      <w:r w:rsidR="00484689" w:rsidRPr="00A86E6B">
        <w:rPr>
          <w:color w:val="000000" w:themeColor="text1"/>
          <w:szCs w:val="26"/>
        </w:rPr>
        <w:t xml:space="preserve">willful </w:t>
      </w:r>
      <w:r w:rsidR="006E4F30" w:rsidRPr="00A86E6B">
        <w:rPr>
          <w:color w:val="000000" w:themeColor="text1"/>
          <w:szCs w:val="26"/>
        </w:rPr>
        <w:t xml:space="preserve">delays in the </w:t>
      </w:r>
      <w:r w:rsidR="00905667" w:rsidRPr="00A86E6B">
        <w:rPr>
          <w:color w:val="000000" w:themeColor="text1"/>
          <w:szCs w:val="26"/>
        </w:rPr>
        <w:t xml:space="preserve">payment of </w:t>
      </w:r>
      <w:r w:rsidR="00DD3D76" w:rsidRPr="00A86E6B">
        <w:rPr>
          <w:color w:val="000000" w:themeColor="text1"/>
          <w:szCs w:val="26"/>
        </w:rPr>
        <w:t xml:space="preserve">end-of-employment </w:t>
      </w:r>
      <w:r w:rsidR="00905667" w:rsidRPr="00A86E6B">
        <w:rPr>
          <w:color w:val="000000" w:themeColor="text1"/>
          <w:szCs w:val="26"/>
        </w:rPr>
        <w:t>wages are commonly referred to as “waiting time penalties.”  (</w:t>
      </w:r>
      <w:r w:rsidR="00B127C1" w:rsidRPr="00A86E6B">
        <w:rPr>
          <w:i/>
          <w:iCs/>
          <w:szCs w:val="26"/>
        </w:rPr>
        <w:t>Kim v. Reins International California, Inc.</w:t>
      </w:r>
      <w:r w:rsidR="00B127C1" w:rsidRPr="00A86E6B">
        <w:rPr>
          <w:szCs w:val="26"/>
        </w:rPr>
        <w:t xml:space="preserve"> (2020) 9 Cal.5th 73, 82</w:t>
      </w:r>
      <w:r w:rsidR="00905667" w:rsidRPr="00A86E6B">
        <w:rPr>
          <w:color w:val="000000" w:themeColor="text1"/>
          <w:szCs w:val="26"/>
        </w:rPr>
        <w:t>.)</w:t>
      </w:r>
    </w:p>
    <w:p w14:paraId="6FADEDB5" w14:textId="2CA939CB" w:rsidR="00331C91" w:rsidRPr="00A86E6B" w:rsidRDefault="006F1D23" w:rsidP="00A86E6B">
      <w:pPr>
        <w:tabs>
          <w:tab w:val="left" w:pos="1440"/>
        </w:tabs>
        <w:ind w:firstLine="720"/>
        <w:rPr>
          <w:color w:val="000000" w:themeColor="text1"/>
          <w:szCs w:val="26"/>
        </w:rPr>
      </w:pPr>
      <w:r w:rsidRPr="00A86E6B">
        <w:rPr>
          <w:color w:val="000000" w:themeColor="text1"/>
          <w:szCs w:val="26"/>
        </w:rPr>
        <w:t xml:space="preserve">Naranjo’s </w:t>
      </w:r>
      <w:r w:rsidR="00AD289E" w:rsidRPr="00A86E6B">
        <w:rPr>
          <w:color w:val="000000" w:themeColor="text1"/>
          <w:szCs w:val="26"/>
        </w:rPr>
        <w:t>class claim alleges that</w:t>
      </w:r>
      <w:r w:rsidR="0007159E">
        <w:rPr>
          <w:color w:val="000000" w:themeColor="text1"/>
          <w:szCs w:val="26"/>
        </w:rPr>
        <w:t>:</w:t>
      </w:r>
      <w:r w:rsidR="00AD289E" w:rsidRPr="00A86E6B">
        <w:rPr>
          <w:color w:val="000000" w:themeColor="text1"/>
          <w:szCs w:val="26"/>
        </w:rPr>
        <w:t xml:space="preserve"> </w:t>
      </w:r>
      <w:r w:rsidR="002D7C1C">
        <w:rPr>
          <w:color w:val="000000" w:themeColor="text1"/>
          <w:szCs w:val="26"/>
        </w:rPr>
        <w:t xml:space="preserve"> </w:t>
      </w:r>
      <w:r w:rsidR="00AD289E" w:rsidRPr="00A86E6B">
        <w:rPr>
          <w:color w:val="000000" w:themeColor="text1"/>
          <w:szCs w:val="26"/>
        </w:rPr>
        <w:t>(1) under section 226.7</w:t>
      </w:r>
      <w:r w:rsidR="006A5224" w:rsidRPr="00A86E6B">
        <w:rPr>
          <w:color w:val="000000" w:themeColor="text1"/>
          <w:szCs w:val="26"/>
        </w:rPr>
        <w:t xml:space="preserve"> and the applicable wage order</w:t>
      </w:r>
      <w:r w:rsidR="00AD289E" w:rsidRPr="00A86E6B">
        <w:rPr>
          <w:color w:val="000000" w:themeColor="text1"/>
          <w:szCs w:val="26"/>
        </w:rPr>
        <w:t>, Spectrum was obligated to pay premium pay for noncompliant meal periods</w:t>
      </w:r>
      <w:r w:rsidR="00550973" w:rsidRPr="00A86E6B">
        <w:rPr>
          <w:color w:val="000000" w:themeColor="text1"/>
          <w:szCs w:val="26"/>
        </w:rPr>
        <w:t xml:space="preserve"> (i.e., meal periods during which employees were required to work </w:t>
      </w:r>
      <w:r w:rsidR="006E4F30" w:rsidRPr="00A86E6B">
        <w:rPr>
          <w:color w:val="000000" w:themeColor="text1"/>
          <w:szCs w:val="26"/>
        </w:rPr>
        <w:t xml:space="preserve">without </w:t>
      </w:r>
      <w:r w:rsidR="00550973" w:rsidRPr="00A86E6B">
        <w:rPr>
          <w:color w:val="000000" w:themeColor="text1"/>
          <w:szCs w:val="26"/>
        </w:rPr>
        <w:t>a valid on-duty meal agreement</w:t>
      </w:r>
      <w:r w:rsidR="006E4F30" w:rsidRPr="00A86E6B">
        <w:rPr>
          <w:color w:val="000000" w:themeColor="text1"/>
          <w:szCs w:val="26"/>
        </w:rPr>
        <w:t xml:space="preserve"> in place</w:t>
      </w:r>
      <w:r w:rsidR="00550973" w:rsidRPr="00A86E6B">
        <w:rPr>
          <w:color w:val="000000" w:themeColor="text1"/>
          <w:szCs w:val="26"/>
        </w:rPr>
        <w:t>)</w:t>
      </w:r>
      <w:r w:rsidR="00AD289E" w:rsidRPr="00A86E6B">
        <w:rPr>
          <w:color w:val="000000" w:themeColor="text1"/>
          <w:szCs w:val="26"/>
        </w:rPr>
        <w:t xml:space="preserve">; (2) </w:t>
      </w:r>
      <w:r w:rsidR="002134AF" w:rsidRPr="00A86E6B">
        <w:rPr>
          <w:color w:val="000000" w:themeColor="text1"/>
          <w:szCs w:val="26"/>
        </w:rPr>
        <w:t xml:space="preserve">Spectrum was obligated to make these payments </w:t>
      </w:r>
      <w:r w:rsidR="000B5ED3" w:rsidRPr="00A86E6B">
        <w:rPr>
          <w:color w:val="000000" w:themeColor="text1"/>
          <w:szCs w:val="26"/>
        </w:rPr>
        <w:t>in a timely manner</w:t>
      </w:r>
      <w:r w:rsidR="002134AF" w:rsidRPr="00A86E6B">
        <w:rPr>
          <w:color w:val="000000" w:themeColor="text1"/>
          <w:szCs w:val="26"/>
        </w:rPr>
        <w:t xml:space="preserve"> </w:t>
      </w:r>
      <w:r w:rsidR="00653435" w:rsidRPr="00A86E6B">
        <w:rPr>
          <w:color w:val="000000" w:themeColor="text1"/>
          <w:szCs w:val="26"/>
        </w:rPr>
        <w:t>up</w:t>
      </w:r>
      <w:r w:rsidR="002134AF" w:rsidRPr="00A86E6B">
        <w:rPr>
          <w:color w:val="000000" w:themeColor="text1"/>
          <w:szCs w:val="26"/>
        </w:rPr>
        <w:t>on discharge</w:t>
      </w:r>
      <w:r w:rsidR="00624495" w:rsidRPr="00A86E6B">
        <w:rPr>
          <w:color w:val="000000" w:themeColor="text1"/>
          <w:szCs w:val="26"/>
        </w:rPr>
        <w:t xml:space="preserve"> or quitting</w:t>
      </w:r>
      <w:r w:rsidR="006A5224" w:rsidRPr="00A86E6B">
        <w:rPr>
          <w:color w:val="000000" w:themeColor="text1"/>
          <w:szCs w:val="26"/>
        </w:rPr>
        <w:t xml:space="preserve"> (see Lab. Code, §§ 201–202), but did not do so</w:t>
      </w:r>
      <w:r w:rsidR="002134AF" w:rsidRPr="00A86E6B">
        <w:rPr>
          <w:color w:val="000000" w:themeColor="text1"/>
          <w:szCs w:val="26"/>
        </w:rPr>
        <w:t>; and (3</w:t>
      </w:r>
      <w:r w:rsidR="002D7C1C" w:rsidRPr="00A86E6B">
        <w:rPr>
          <w:color w:val="000000" w:themeColor="text1"/>
          <w:szCs w:val="26"/>
        </w:rPr>
        <w:t>)</w:t>
      </w:r>
      <w:r w:rsidR="002D7C1C">
        <w:rPr>
          <w:color w:val="000000" w:themeColor="text1"/>
          <w:szCs w:val="26"/>
        </w:rPr>
        <w:t> </w:t>
      </w:r>
      <w:r w:rsidR="002134AF" w:rsidRPr="00A86E6B">
        <w:rPr>
          <w:color w:val="000000" w:themeColor="text1"/>
          <w:szCs w:val="26"/>
        </w:rPr>
        <w:t xml:space="preserve">this dereliction was willful, </w:t>
      </w:r>
      <w:r w:rsidR="00463D78" w:rsidRPr="00A86E6B">
        <w:rPr>
          <w:color w:val="000000" w:themeColor="text1"/>
          <w:szCs w:val="26"/>
        </w:rPr>
        <w:t xml:space="preserve">warranting imposition of </w:t>
      </w:r>
      <w:r w:rsidR="00753C48" w:rsidRPr="00A86E6B">
        <w:rPr>
          <w:color w:val="000000" w:themeColor="text1"/>
          <w:szCs w:val="26"/>
        </w:rPr>
        <w:t>waiting time</w:t>
      </w:r>
      <w:r w:rsidR="002134AF" w:rsidRPr="00A86E6B">
        <w:rPr>
          <w:color w:val="000000" w:themeColor="text1"/>
          <w:szCs w:val="26"/>
        </w:rPr>
        <w:t xml:space="preserve"> penalties under Labor Code section 203.  </w:t>
      </w:r>
      <w:r w:rsidR="004351E8" w:rsidRPr="00A86E6B">
        <w:rPr>
          <w:color w:val="000000" w:themeColor="text1"/>
          <w:szCs w:val="26"/>
        </w:rPr>
        <w:t>As noted, t</w:t>
      </w:r>
      <w:r w:rsidR="00821BFA" w:rsidRPr="00A86E6B">
        <w:rPr>
          <w:color w:val="000000" w:themeColor="text1"/>
          <w:szCs w:val="26"/>
        </w:rPr>
        <w:t xml:space="preserve">he trial court </w:t>
      </w:r>
      <w:r w:rsidR="004351E8" w:rsidRPr="00A86E6B">
        <w:rPr>
          <w:color w:val="000000" w:themeColor="text1"/>
          <w:szCs w:val="26"/>
        </w:rPr>
        <w:t xml:space="preserve">agreed with Naranjo that Spectrum owed premium pay and that </w:t>
      </w:r>
      <w:r w:rsidR="008E3B4F" w:rsidRPr="00A86E6B">
        <w:rPr>
          <w:color w:val="000000" w:themeColor="text1"/>
          <w:szCs w:val="26"/>
        </w:rPr>
        <w:t xml:space="preserve">untimely payments could trigger penalties but </w:t>
      </w:r>
      <w:r w:rsidR="0026528C" w:rsidRPr="00A86E6B">
        <w:rPr>
          <w:color w:val="000000" w:themeColor="text1"/>
          <w:szCs w:val="26"/>
        </w:rPr>
        <w:t xml:space="preserve">found </w:t>
      </w:r>
      <w:r w:rsidR="00A4620F" w:rsidRPr="00A86E6B">
        <w:rPr>
          <w:color w:val="000000" w:themeColor="text1"/>
          <w:szCs w:val="26"/>
        </w:rPr>
        <w:t xml:space="preserve">none owed here because </w:t>
      </w:r>
      <w:r w:rsidR="0026528C" w:rsidRPr="00A86E6B">
        <w:rPr>
          <w:color w:val="000000" w:themeColor="text1"/>
          <w:szCs w:val="26"/>
        </w:rPr>
        <w:t>Spectrum’s delay was not willful</w:t>
      </w:r>
      <w:r w:rsidR="00A4620F" w:rsidRPr="00A86E6B">
        <w:rPr>
          <w:color w:val="000000" w:themeColor="text1"/>
          <w:szCs w:val="26"/>
        </w:rPr>
        <w:t>.</w:t>
      </w:r>
      <w:r w:rsidR="0022160B" w:rsidRPr="00A86E6B">
        <w:rPr>
          <w:color w:val="000000" w:themeColor="text1"/>
          <w:szCs w:val="26"/>
        </w:rPr>
        <w:t xml:space="preserve">  The Court of Appeal affirmed, but on </w:t>
      </w:r>
      <w:r w:rsidR="00187026" w:rsidRPr="00A86E6B">
        <w:rPr>
          <w:color w:val="000000" w:themeColor="text1"/>
          <w:szCs w:val="26"/>
        </w:rPr>
        <w:t xml:space="preserve">very </w:t>
      </w:r>
      <w:r w:rsidR="0022160B" w:rsidRPr="00A86E6B">
        <w:rPr>
          <w:color w:val="000000" w:themeColor="text1"/>
          <w:szCs w:val="26"/>
        </w:rPr>
        <w:t xml:space="preserve">different grounds; it concluded that even a willful failure to pay amounts owed under section 226.7 </w:t>
      </w:r>
      <w:r w:rsidR="0089244C">
        <w:rPr>
          <w:color w:val="000000" w:themeColor="text1"/>
          <w:szCs w:val="26"/>
        </w:rPr>
        <w:t xml:space="preserve">can </w:t>
      </w:r>
      <w:r w:rsidR="0022160B" w:rsidRPr="00A86E6B">
        <w:rPr>
          <w:color w:val="000000" w:themeColor="text1"/>
          <w:szCs w:val="26"/>
        </w:rPr>
        <w:t>never trigger</w:t>
      </w:r>
      <w:r w:rsidR="00331C91" w:rsidRPr="00A86E6B">
        <w:rPr>
          <w:color w:val="000000" w:themeColor="text1"/>
          <w:szCs w:val="26"/>
        </w:rPr>
        <w:t xml:space="preserve"> section 203 waiting time penalties.  </w:t>
      </w:r>
      <w:r w:rsidR="00746539" w:rsidRPr="00A86E6B">
        <w:rPr>
          <w:color w:val="000000" w:themeColor="text1"/>
          <w:szCs w:val="26"/>
        </w:rPr>
        <w:t>(</w:t>
      </w:r>
      <w:r w:rsidR="00746539" w:rsidRPr="00A86E6B">
        <w:rPr>
          <w:i/>
          <w:iCs/>
          <w:color w:val="000000" w:themeColor="text1"/>
          <w:szCs w:val="26"/>
        </w:rPr>
        <w:t>Naranjo</w:t>
      </w:r>
      <w:r w:rsidR="004A02EF" w:rsidRPr="00A86E6B">
        <w:rPr>
          <w:i/>
          <w:iCs/>
          <w:color w:val="000000" w:themeColor="text1"/>
          <w:szCs w:val="26"/>
        </w:rPr>
        <w:t xml:space="preserve"> II</w:t>
      </w:r>
      <w:r w:rsidR="00746539" w:rsidRPr="00A86E6B">
        <w:rPr>
          <w:color w:val="000000" w:themeColor="text1"/>
          <w:szCs w:val="26"/>
        </w:rPr>
        <w:t xml:space="preserve">, </w:t>
      </w:r>
      <w:r w:rsidR="00746539" w:rsidRPr="00A86E6B">
        <w:rPr>
          <w:i/>
          <w:iCs/>
          <w:color w:val="000000" w:themeColor="text1"/>
          <w:szCs w:val="26"/>
        </w:rPr>
        <w:t>supra</w:t>
      </w:r>
      <w:r w:rsidR="00746539" w:rsidRPr="00A86E6B">
        <w:rPr>
          <w:color w:val="000000" w:themeColor="text1"/>
          <w:szCs w:val="26"/>
        </w:rPr>
        <w:t>, 40 Cal.App.5th at p.</w:t>
      </w:r>
      <w:r w:rsidR="00FD6E43" w:rsidRPr="00A86E6B">
        <w:rPr>
          <w:color w:val="000000" w:themeColor="text1"/>
          <w:szCs w:val="26"/>
        </w:rPr>
        <w:t> </w:t>
      </w:r>
      <w:r w:rsidR="00746539" w:rsidRPr="00A86E6B">
        <w:rPr>
          <w:color w:val="000000" w:themeColor="text1"/>
          <w:szCs w:val="26"/>
        </w:rPr>
        <w:t xml:space="preserve">474.)  </w:t>
      </w:r>
    </w:p>
    <w:p w14:paraId="7792F161" w14:textId="411E6220" w:rsidR="0095718C" w:rsidRPr="00A86E6B" w:rsidRDefault="00B563A9" w:rsidP="00A86E6B">
      <w:pPr>
        <w:tabs>
          <w:tab w:val="left" w:pos="1440"/>
        </w:tabs>
        <w:ind w:firstLine="720"/>
        <w:rPr>
          <w:szCs w:val="26"/>
          <w:shd w:val="clear" w:color="auto" w:fill="FFFFFF"/>
        </w:rPr>
      </w:pPr>
      <w:r w:rsidRPr="00A86E6B">
        <w:rPr>
          <w:color w:val="000000" w:themeColor="text1"/>
          <w:szCs w:val="26"/>
        </w:rPr>
        <w:t>The Court of Appeal</w:t>
      </w:r>
      <w:r w:rsidR="00551710">
        <w:rPr>
          <w:color w:val="000000" w:themeColor="text1"/>
          <w:szCs w:val="26"/>
        </w:rPr>
        <w:t xml:space="preserve"> began by observing </w:t>
      </w:r>
      <w:r w:rsidRPr="00A86E6B">
        <w:rPr>
          <w:color w:val="000000" w:themeColor="text1"/>
          <w:szCs w:val="26"/>
        </w:rPr>
        <w:t xml:space="preserve">that </w:t>
      </w:r>
      <w:r w:rsidR="0095718C" w:rsidRPr="00A86E6B">
        <w:rPr>
          <w:color w:val="000000" w:themeColor="text1"/>
          <w:szCs w:val="26"/>
        </w:rPr>
        <w:t xml:space="preserve">Labor Code section 203 imposes a penalty for the willful failure to timely pay </w:t>
      </w:r>
      <w:r w:rsidR="00031E13">
        <w:rPr>
          <w:color w:val="000000" w:themeColor="text1"/>
          <w:szCs w:val="26"/>
        </w:rPr>
        <w:t>“</w:t>
      </w:r>
      <w:r w:rsidR="0095718C" w:rsidRPr="00A86E6B">
        <w:rPr>
          <w:color w:val="000000" w:themeColor="text1"/>
          <w:szCs w:val="26"/>
        </w:rPr>
        <w:t xml:space="preserve">any </w:t>
      </w:r>
      <w:r w:rsidR="0095718C" w:rsidRPr="00A86E6B">
        <w:rPr>
          <w:i/>
          <w:iCs/>
          <w:color w:val="000000" w:themeColor="text1"/>
          <w:szCs w:val="26"/>
        </w:rPr>
        <w:t>wages</w:t>
      </w:r>
      <w:r w:rsidR="0095718C" w:rsidRPr="00A86E6B">
        <w:rPr>
          <w:color w:val="000000" w:themeColor="text1"/>
          <w:szCs w:val="26"/>
        </w:rPr>
        <w:t>.”  (</w:t>
      </w:r>
      <w:r w:rsidR="00031E13">
        <w:rPr>
          <w:color w:val="000000" w:themeColor="text1"/>
          <w:szCs w:val="26"/>
        </w:rPr>
        <w:t>Lab. Code, § 203, subd. (a), i</w:t>
      </w:r>
      <w:r w:rsidR="0095718C" w:rsidRPr="00A86E6B">
        <w:rPr>
          <w:color w:val="000000" w:themeColor="text1"/>
          <w:szCs w:val="26"/>
        </w:rPr>
        <w:t xml:space="preserve">talics added.)  The Labor Code defines the term “wages” to include </w:t>
      </w:r>
      <w:r w:rsidR="0095718C" w:rsidRPr="00A86E6B">
        <w:rPr>
          <w:szCs w:val="26"/>
        </w:rPr>
        <w:t>“</w:t>
      </w:r>
      <w:r w:rsidR="0095718C" w:rsidRPr="00A86E6B">
        <w:rPr>
          <w:szCs w:val="26"/>
          <w:shd w:val="clear" w:color="auto" w:fill="FFFFFF"/>
        </w:rPr>
        <w:t xml:space="preserve">all amounts for labor performed by employees of every description, whether the amount is fixed or ascertained by the standard of time, task, piece, commission basis, or other method of calculation.”  (Lab. Code, § 200, subd. (a).)  </w:t>
      </w:r>
      <w:r w:rsidR="00331C91" w:rsidRPr="00A86E6B">
        <w:rPr>
          <w:szCs w:val="26"/>
          <w:shd w:val="clear" w:color="auto" w:fill="FFFFFF"/>
        </w:rPr>
        <w:t>T</w:t>
      </w:r>
      <w:r w:rsidR="0095718C" w:rsidRPr="00A86E6B">
        <w:rPr>
          <w:szCs w:val="26"/>
          <w:shd w:val="clear" w:color="auto" w:fill="FFFFFF"/>
        </w:rPr>
        <w:t>he Court of Appeal</w:t>
      </w:r>
      <w:r w:rsidR="00331C91" w:rsidRPr="00A86E6B">
        <w:rPr>
          <w:szCs w:val="26"/>
          <w:shd w:val="clear" w:color="auto" w:fill="FFFFFF"/>
        </w:rPr>
        <w:t xml:space="preserve"> </w:t>
      </w:r>
      <w:r w:rsidR="002F59CA" w:rsidRPr="00A86E6B">
        <w:rPr>
          <w:szCs w:val="26"/>
          <w:shd w:val="clear" w:color="auto" w:fill="FFFFFF"/>
        </w:rPr>
        <w:t xml:space="preserve">reasoned </w:t>
      </w:r>
      <w:r w:rsidR="00331C91" w:rsidRPr="00A86E6B">
        <w:rPr>
          <w:szCs w:val="26"/>
          <w:shd w:val="clear" w:color="auto" w:fill="FFFFFF"/>
        </w:rPr>
        <w:t>that</w:t>
      </w:r>
      <w:r w:rsidR="0095718C" w:rsidRPr="00A86E6B">
        <w:rPr>
          <w:szCs w:val="26"/>
          <w:shd w:val="clear" w:color="auto" w:fill="FFFFFF"/>
        </w:rPr>
        <w:t xml:space="preserve"> payment under section 226</w:t>
      </w:r>
      <w:r w:rsidR="0095718C" w:rsidRPr="00A86E6B">
        <w:rPr>
          <w:color w:val="333333"/>
          <w:szCs w:val="26"/>
          <w:shd w:val="clear" w:color="auto" w:fill="FFFFFF"/>
        </w:rPr>
        <w:t xml:space="preserve">.7 is unambiguously </w:t>
      </w:r>
      <w:r w:rsidR="002F59CA" w:rsidRPr="00A86E6B">
        <w:rPr>
          <w:color w:val="333333"/>
          <w:szCs w:val="26"/>
          <w:shd w:val="clear" w:color="auto" w:fill="FFFFFF"/>
        </w:rPr>
        <w:t xml:space="preserve">beyond </w:t>
      </w:r>
      <w:r w:rsidR="0095718C" w:rsidRPr="00A86E6B">
        <w:rPr>
          <w:color w:val="333333"/>
          <w:szCs w:val="26"/>
          <w:shd w:val="clear" w:color="auto" w:fill="FFFFFF"/>
        </w:rPr>
        <w:t xml:space="preserve">the reach of the </w:t>
      </w:r>
      <w:r w:rsidR="005077C9" w:rsidRPr="00A86E6B">
        <w:rPr>
          <w:color w:val="333333"/>
          <w:szCs w:val="26"/>
          <w:shd w:val="clear" w:color="auto" w:fill="FFFFFF"/>
        </w:rPr>
        <w:t xml:space="preserve">wages </w:t>
      </w:r>
      <w:r w:rsidR="0095718C" w:rsidRPr="00A86E6B">
        <w:rPr>
          <w:color w:val="333333"/>
          <w:szCs w:val="26"/>
          <w:shd w:val="clear" w:color="auto" w:fill="FFFFFF"/>
        </w:rPr>
        <w:t>definition</w:t>
      </w:r>
      <w:r w:rsidR="00331C91" w:rsidRPr="00A86E6B">
        <w:rPr>
          <w:color w:val="333333"/>
          <w:szCs w:val="26"/>
          <w:shd w:val="clear" w:color="auto" w:fill="FFFFFF"/>
        </w:rPr>
        <w:t xml:space="preserve"> </w:t>
      </w:r>
      <w:r w:rsidR="0095718C" w:rsidRPr="00A86E6B">
        <w:rPr>
          <w:color w:val="333333"/>
          <w:szCs w:val="26"/>
          <w:shd w:val="clear" w:color="auto" w:fill="FFFFFF"/>
        </w:rPr>
        <w:t xml:space="preserve">because it is a </w:t>
      </w:r>
      <w:r w:rsidR="006A4C95" w:rsidRPr="00A86E6B">
        <w:rPr>
          <w:color w:val="333333"/>
          <w:szCs w:val="26"/>
          <w:shd w:val="clear" w:color="auto" w:fill="FFFFFF"/>
        </w:rPr>
        <w:t xml:space="preserve">legal </w:t>
      </w:r>
      <w:r w:rsidR="0095718C" w:rsidRPr="00A86E6B">
        <w:rPr>
          <w:color w:val="333333"/>
          <w:szCs w:val="26"/>
          <w:shd w:val="clear" w:color="auto" w:fill="FFFFFF"/>
        </w:rPr>
        <w:t>remedy, not payment for labor:  The premium pay is due employees not for work they performed but as a sanction on account of “the employer’s recalcitrance” regarding meal breaks.  (</w:t>
      </w:r>
      <w:r w:rsidR="0095718C" w:rsidRPr="00A86E6B">
        <w:rPr>
          <w:i/>
          <w:iCs/>
          <w:color w:val="333333"/>
          <w:szCs w:val="26"/>
          <w:shd w:val="clear" w:color="auto" w:fill="FFFFFF"/>
        </w:rPr>
        <w:t>Naranjo II</w:t>
      </w:r>
      <w:r w:rsidR="0095718C" w:rsidRPr="00A86E6B">
        <w:rPr>
          <w:color w:val="333333"/>
          <w:szCs w:val="26"/>
          <w:shd w:val="clear" w:color="auto" w:fill="FFFFFF"/>
        </w:rPr>
        <w:t xml:space="preserve">, </w:t>
      </w:r>
      <w:r w:rsidR="0095718C" w:rsidRPr="00A86E6B">
        <w:rPr>
          <w:i/>
          <w:iCs/>
          <w:color w:val="333333"/>
          <w:szCs w:val="26"/>
          <w:shd w:val="clear" w:color="auto" w:fill="FFFFFF"/>
        </w:rPr>
        <w:t>supra</w:t>
      </w:r>
      <w:r w:rsidR="0095718C" w:rsidRPr="00A86E6B">
        <w:rPr>
          <w:color w:val="333333"/>
          <w:szCs w:val="26"/>
          <w:shd w:val="clear" w:color="auto" w:fill="FFFFFF"/>
        </w:rPr>
        <w:t>, 40 Cal.App.5th at p. 473.)</w:t>
      </w:r>
      <w:r w:rsidR="00551710">
        <w:rPr>
          <w:color w:val="333333"/>
          <w:szCs w:val="26"/>
          <w:shd w:val="clear" w:color="auto" w:fill="FFFFFF"/>
        </w:rPr>
        <w:t xml:space="preserve">  </w:t>
      </w:r>
      <w:r w:rsidR="00551710" w:rsidRPr="00A86E6B">
        <w:rPr>
          <w:color w:val="000000" w:themeColor="text1"/>
          <w:szCs w:val="26"/>
        </w:rPr>
        <w:t>We now hold this was error.</w:t>
      </w:r>
    </w:p>
    <w:p w14:paraId="578CD041" w14:textId="731ADFD5" w:rsidR="009C0EFF" w:rsidRPr="00A86E6B" w:rsidRDefault="00331C91" w:rsidP="00A86E6B">
      <w:pPr>
        <w:tabs>
          <w:tab w:val="left" w:pos="1440"/>
        </w:tabs>
        <w:ind w:firstLine="720"/>
        <w:rPr>
          <w:color w:val="000000" w:themeColor="text1"/>
          <w:szCs w:val="26"/>
        </w:rPr>
      </w:pPr>
      <w:r w:rsidRPr="00A86E6B">
        <w:rPr>
          <w:color w:val="000000" w:themeColor="text1"/>
          <w:szCs w:val="26"/>
        </w:rPr>
        <w:t xml:space="preserve">The Court of Appeal was correct that premium pay is a statutory remedy for a legal violation.  </w:t>
      </w:r>
      <w:r w:rsidR="005077C9" w:rsidRPr="00A86E6B">
        <w:rPr>
          <w:color w:val="000000" w:themeColor="text1"/>
          <w:szCs w:val="26"/>
        </w:rPr>
        <w:t xml:space="preserve">But the </w:t>
      </w:r>
      <w:r w:rsidR="00DE49DA">
        <w:rPr>
          <w:color w:val="000000" w:themeColor="text1"/>
          <w:szCs w:val="26"/>
        </w:rPr>
        <w:t xml:space="preserve">court’s </w:t>
      </w:r>
      <w:r w:rsidR="005077C9" w:rsidRPr="00A86E6B">
        <w:rPr>
          <w:color w:val="000000" w:themeColor="text1"/>
          <w:szCs w:val="26"/>
        </w:rPr>
        <w:t xml:space="preserve">further conclusion that </w:t>
      </w:r>
      <w:r w:rsidR="00DE49DA">
        <w:rPr>
          <w:color w:val="000000" w:themeColor="text1"/>
          <w:szCs w:val="26"/>
        </w:rPr>
        <w:t xml:space="preserve">premium pay </w:t>
      </w:r>
      <w:r w:rsidR="005077C9" w:rsidRPr="00A86E6B">
        <w:rPr>
          <w:color w:val="000000" w:themeColor="text1"/>
          <w:szCs w:val="26"/>
        </w:rPr>
        <w:t>cannot constitute wages rests on a false dichotomy:</w:t>
      </w:r>
      <w:r w:rsidR="00E64371" w:rsidRPr="00A86E6B">
        <w:rPr>
          <w:color w:val="000000" w:themeColor="text1"/>
          <w:szCs w:val="26"/>
        </w:rPr>
        <w:t xml:space="preserve"> </w:t>
      </w:r>
      <w:r w:rsidR="002D7C1C">
        <w:rPr>
          <w:color w:val="000000" w:themeColor="text1"/>
          <w:szCs w:val="26"/>
        </w:rPr>
        <w:t xml:space="preserve"> </w:t>
      </w:r>
      <w:r w:rsidR="005077C9" w:rsidRPr="00A86E6B">
        <w:rPr>
          <w:color w:val="000000" w:themeColor="text1"/>
          <w:szCs w:val="26"/>
        </w:rPr>
        <w:t xml:space="preserve">that a payment </w:t>
      </w:r>
      <w:r w:rsidR="0022517F">
        <w:rPr>
          <w:color w:val="000000" w:themeColor="text1"/>
          <w:szCs w:val="26"/>
        </w:rPr>
        <w:t xml:space="preserve">must be either </w:t>
      </w:r>
      <w:r w:rsidR="005077C9" w:rsidRPr="00A86E6B">
        <w:rPr>
          <w:color w:val="000000" w:themeColor="text1"/>
          <w:szCs w:val="26"/>
        </w:rPr>
        <w:t xml:space="preserve">a </w:t>
      </w:r>
      <w:r w:rsidR="00960B14" w:rsidRPr="00A86E6B">
        <w:rPr>
          <w:color w:val="000000" w:themeColor="text1"/>
          <w:szCs w:val="26"/>
        </w:rPr>
        <w:t xml:space="preserve">legal </w:t>
      </w:r>
      <w:r w:rsidR="005077C9" w:rsidRPr="00A86E6B">
        <w:rPr>
          <w:color w:val="000000" w:themeColor="text1"/>
          <w:szCs w:val="26"/>
        </w:rPr>
        <w:t xml:space="preserve">remedy </w:t>
      </w:r>
      <w:r w:rsidR="005077C9" w:rsidRPr="002D7C1C">
        <w:rPr>
          <w:color w:val="000000" w:themeColor="text1"/>
          <w:szCs w:val="26"/>
        </w:rPr>
        <w:t>or</w:t>
      </w:r>
      <w:r w:rsidR="005077C9" w:rsidRPr="00A86E6B">
        <w:rPr>
          <w:color w:val="000000" w:themeColor="text1"/>
          <w:szCs w:val="26"/>
        </w:rPr>
        <w:t xml:space="preserve"> wages.  </w:t>
      </w:r>
      <w:r w:rsidR="00960B14" w:rsidRPr="00A86E6B">
        <w:rPr>
          <w:color w:val="000000" w:themeColor="text1"/>
          <w:szCs w:val="26"/>
        </w:rPr>
        <w:t>For these purposes, s</w:t>
      </w:r>
      <w:r w:rsidR="005077C9" w:rsidRPr="00A86E6B">
        <w:rPr>
          <w:color w:val="000000" w:themeColor="text1"/>
          <w:szCs w:val="26"/>
        </w:rPr>
        <w:t xml:space="preserve">ection 226.7 </w:t>
      </w:r>
      <w:r w:rsidR="00960B14" w:rsidRPr="00A86E6B">
        <w:rPr>
          <w:color w:val="000000" w:themeColor="text1"/>
          <w:szCs w:val="26"/>
        </w:rPr>
        <w:t xml:space="preserve">is </w:t>
      </w:r>
      <w:r w:rsidR="005077C9" w:rsidRPr="00A86E6B">
        <w:rPr>
          <w:color w:val="000000" w:themeColor="text1"/>
          <w:szCs w:val="26"/>
        </w:rPr>
        <w:t>both.</w:t>
      </w:r>
      <w:r w:rsidR="00BB5040" w:rsidRPr="00A86E6B">
        <w:rPr>
          <w:color w:val="000000" w:themeColor="text1"/>
          <w:szCs w:val="26"/>
        </w:rPr>
        <w:t xml:space="preserve">  That is because </w:t>
      </w:r>
      <w:r w:rsidR="006C147F" w:rsidRPr="00A86E6B">
        <w:rPr>
          <w:color w:val="000000" w:themeColor="text1"/>
          <w:szCs w:val="26"/>
        </w:rPr>
        <w:t>u</w:t>
      </w:r>
      <w:r w:rsidR="00EF5332" w:rsidRPr="00A86E6B">
        <w:rPr>
          <w:color w:val="000000" w:themeColor="text1"/>
          <w:szCs w:val="26"/>
        </w:rPr>
        <w:t>nder the relevant statute and wage order, a</w:t>
      </w:r>
      <w:r w:rsidR="00D1691A" w:rsidRPr="00A86E6B">
        <w:rPr>
          <w:color w:val="000000" w:themeColor="text1"/>
          <w:szCs w:val="26"/>
        </w:rPr>
        <w:t xml:space="preserve">n employee becomes entitled to </w:t>
      </w:r>
      <w:r w:rsidR="009521B9" w:rsidRPr="00A86E6B">
        <w:rPr>
          <w:color w:val="000000" w:themeColor="text1"/>
          <w:szCs w:val="26"/>
        </w:rPr>
        <w:t xml:space="preserve">premium </w:t>
      </w:r>
      <w:r w:rsidR="00D1691A" w:rsidRPr="00A86E6B">
        <w:rPr>
          <w:color w:val="000000" w:themeColor="text1"/>
          <w:szCs w:val="26"/>
        </w:rPr>
        <w:t xml:space="preserve">pay </w:t>
      </w:r>
      <w:r w:rsidR="009521B9" w:rsidRPr="00A86E6B">
        <w:rPr>
          <w:color w:val="000000" w:themeColor="text1"/>
          <w:szCs w:val="26"/>
        </w:rPr>
        <w:t xml:space="preserve">for missed or noncompliant meal and rest breaks </w:t>
      </w:r>
      <w:r w:rsidR="001C518C" w:rsidRPr="00A86E6B">
        <w:rPr>
          <w:color w:val="000000" w:themeColor="text1"/>
          <w:szCs w:val="26"/>
        </w:rPr>
        <w:t>precisely because she was required to work</w:t>
      </w:r>
      <w:r w:rsidR="000C3593" w:rsidRPr="00A86E6B">
        <w:rPr>
          <w:color w:val="000000" w:themeColor="text1"/>
          <w:szCs w:val="26"/>
        </w:rPr>
        <w:t xml:space="preserve"> when she should have been relieved of duty</w:t>
      </w:r>
      <w:r w:rsidR="001C518C" w:rsidRPr="00A86E6B">
        <w:rPr>
          <w:color w:val="000000" w:themeColor="text1"/>
          <w:szCs w:val="26"/>
        </w:rPr>
        <w:t>:</w:t>
      </w:r>
      <w:r w:rsidR="00AE6A51" w:rsidRPr="00A86E6B">
        <w:rPr>
          <w:color w:val="000000" w:themeColor="text1"/>
          <w:szCs w:val="26"/>
        </w:rPr>
        <w:t xml:space="preserve"> </w:t>
      </w:r>
      <w:r w:rsidR="001C518C" w:rsidRPr="00A86E6B">
        <w:rPr>
          <w:color w:val="000000" w:themeColor="text1"/>
          <w:szCs w:val="26"/>
        </w:rPr>
        <w:t xml:space="preserve"> </w:t>
      </w:r>
      <w:r w:rsidR="003903AF" w:rsidRPr="00A86E6B">
        <w:rPr>
          <w:color w:val="000000" w:themeColor="text1"/>
          <w:szCs w:val="26"/>
        </w:rPr>
        <w:t>required</w:t>
      </w:r>
      <w:r w:rsidR="00595235" w:rsidRPr="00A86E6B">
        <w:rPr>
          <w:color w:val="000000" w:themeColor="text1"/>
          <w:szCs w:val="26"/>
        </w:rPr>
        <w:t xml:space="preserve"> to work too long into a shift without a meal break</w:t>
      </w:r>
      <w:r w:rsidR="00597B01" w:rsidRPr="00A86E6B">
        <w:rPr>
          <w:color w:val="000000" w:themeColor="text1"/>
          <w:szCs w:val="26"/>
        </w:rPr>
        <w:t xml:space="preserve">; </w:t>
      </w:r>
      <w:r w:rsidR="003903AF" w:rsidRPr="00A86E6B">
        <w:rPr>
          <w:color w:val="000000" w:themeColor="text1"/>
          <w:szCs w:val="26"/>
        </w:rPr>
        <w:t xml:space="preserve">required </w:t>
      </w:r>
      <w:r w:rsidR="00597B01" w:rsidRPr="00A86E6B">
        <w:rPr>
          <w:color w:val="000000" w:themeColor="text1"/>
          <w:szCs w:val="26"/>
        </w:rPr>
        <w:t xml:space="preserve">in whole or part to work through a break; or, as was the case here, </w:t>
      </w:r>
      <w:r w:rsidR="003903AF" w:rsidRPr="00A86E6B">
        <w:rPr>
          <w:color w:val="000000" w:themeColor="text1"/>
          <w:szCs w:val="26"/>
        </w:rPr>
        <w:t xml:space="preserve">required </w:t>
      </w:r>
      <w:r w:rsidR="00597B01" w:rsidRPr="00A86E6B">
        <w:rPr>
          <w:color w:val="000000" w:themeColor="text1"/>
          <w:szCs w:val="26"/>
        </w:rPr>
        <w:t>to remai</w:t>
      </w:r>
      <w:r w:rsidR="0059412E" w:rsidRPr="00A86E6B">
        <w:rPr>
          <w:color w:val="000000" w:themeColor="text1"/>
          <w:szCs w:val="26"/>
        </w:rPr>
        <w:t>n</w:t>
      </w:r>
      <w:r w:rsidR="00597B01" w:rsidRPr="00A86E6B">
        <w:rPr>
          <w:color w:val="000000" w:themeColor="text1"/>
          <w:szCs w:val="26"/>
        </w:rPr>
        <w:t xml:space="preserve"> on duty without an appropriate agreement in place authorizing on-duty meal breaks</w:t>
      </w:r>
      <w:r w:rsidR="00692EF8" w:rsidRPr="00A86E6B">
        <w:rPr>
          <w:color w:val="000000" w:themeColor="text1"/>
          <w:szCs w:val="26"/>
        </w:rPr>
        <w:t>.</w:t>
      </w:r>
      <w:r w:rsidR="00BA6B40" w:rsidRPr="00A86E6B">
        <w:rPr>
          <w:rStyle w:val="FootnoteReference"/>
          <w:color w:val="000000" w:themeColor="text1"/>
          <w:szCs w:val="26"/>
        </w:rPr>
        <w:footnoteReference w:id="6"/>
      </w:r>
      <w:r w:rsidR="00692EF8" w:rsidRPr="00A86E6B">
        <w:rPr>
          <w:color w:val="000000" w:themeColor="text1"/>
          <w:szCs w:val="26"/>
        </w:rPr>
        <w:t xml:space="preserve">  (IWC wage order No.</w:t>
      </w:r>
      <w:r w:rsidR="00FD6E43" w:rsidRPr="00A86E6B">
        <w:rPr>
          <w:color w:val="000000" w:themeColor="text1"/>
          <w:szCs w:val="26"/>
        </w:rPr>
        <w:t> </w:t>
      </w:r>
      <w:r w:rsidR="00001000">
        <w:rPr>
          <w:szCs w:val="26"/>
        </w:rPr>
        <w:t>4-2001</w:t>
      </w:r>
      <w:r w:rsidR="00692EF8" w:rsidRPr="00A86E6B">
        <w:rPr>
          <w:color w:val="000000" w:themeColor="text1"/>
          <w:szCs w:val="26"/>
        </w:rPr>
        <w:t xml:space="preserve">, § 11(A), (B); see § 226.7, subd. (c); </w:t>
      </w:r>
      <w:r w:rsidR="00692EF8" w:rsidRPr="00A86E6B">
        <w:rPr>
          <w:i/>
          <w:iCs/>
          <w:szCs w:val="26"/>
        </w:rPr>
        <w:t>Donohue v. AMN Services, LLC</w:t>
      </w:r>
      <w:r w:rsidR="00692EF8" w:rsidRPr="00A86E6B">
        <w:rPr>
          <w:szCs w:val="26"/>
        </w:rPr>
        <w:t xml:space="preserve"> (2021) 11 Cal.5th 58, 62.</w:t>
      </w:r>
      <w:r w:rsidR="00692EF8" w:rsidRPr="00A86E6B">
        <w:rPr>
          <w:color w:val="000000" w:themeColor="text1"/>
          <w:szCs w:val="26"/>
        </w:rPr>
        <w:t xml:space="preserve">)  </w:t>
      </w:r>
    </w:p>
    <w:p w14:paraId="58FECD85" w14:textId="3B8AC377" w:rsidR="00996F4E" w:rsidRPr="00A86E6B" w:rsidRDefault="0059412E" w:rsidP="00A86E6B">
      <w:pPr>
        <w:tabs>
          <w:tab w:val="left" w:pos="1440"/>
        </w:tabs>
        <w:ind w:firstLine="720"/>
        <w:rPr>
          <w:color w:val="000000" w:themeColor="text1"/>
          <w:szCs w:val="26"/>
        </w:rPr>
      </w:pPr>
      <w:r w:rsidRPr="003366E5">
        <w:rPr>
          <w:color w:val="000000" w:themeColor="text1"/>
          <w:szCs w:val="26"/>
        </w:rPr>
        <w:t xml:space="preserve">The premium pay due for the deprivation is </w:t>
      </w:r>
      <w:r w:rsidR="00573092">
        <w:rPr>
          <w:color w:val="000000" w:themeColor="text1"/>
          <w:szCs w:val="26"/>
        </w:rPr>
        <w:t xml:space="preserve">certainly designed to compensate employees for </w:t>
      </w:r>
      <w:r w:rsidR="00597B01" w:rsidRPr="00A86E6B">
        <w:rPr>
          <w:color w:val="000000" w:themeColor="text1"/>
          <w:szCs w:val="26"/>
        </w:rPr>
        <w:t xml:space="preserve">hardships the Legislature </w:t>
      </w:r>
      <w:r w:rsidR="00692EF8" w:rsidRPr="00A86E6B">
        <w:rPr>
          <w:color w:val="000000" w:themeColor="text1"/>
          <w:szCs w:val="26"/>
        </w:rPr>
        <w:t>concluded</w:t>
      </w:r>
      <w:r w:rsidR="00597B01" w:rsidRPr="00A86E6B">
        <w:rPr>
          <w:color w:val="000000" w:themeColor="text1"/>
          <w:szCs w:val="26"/>
        </w:rPr>
        <w:t xml:space="preserve"> employees </w:t>
      </w:r>
      <w:r w:rsidR="00B2173F" w:rsidRPr="00A86E6B">
        <w:rPr>
          <w:color w:val="000000" w:themeColor="text1"/>
          <w:szCs w:val="26"/>
        </w:rPr>
        <w:t>should not be made to suffer</w:t>
      </w:r>
      <w:r w:rsidR="00597B01" w:rsidRPr="00A86E6B">
        <w:rPr>
          <w:color w:val="000000" w:themeColor="text1"/>
          <w:szCs w:val="26"/>
        </w:rPr>
        <w:t xml:space="preserve">.  </w:t>
      </w:r>
      <w:r w:rsidR="00C44981" w:rsidRPr="00A86E6B">
        <w:rPr>
          <w:color w:val="000000" w:themeColor="text1"/>
          <w:szCs w:val="26"/>
        </w:rPr>
        <w:t xml:space="preserve">But </w:t>
      </w:r>
      <w:r w:rsidR="004A3D1D" w:rsidRPr="00A86E6B">
        <w:rPr>
          <w:color w:val="000000" w:themeColor="text1"/>
          <w:szCs w:val="26"/>
        </w:rPr>
        <w:t xml:space="preserve">when </w:t>
      </w:r>
      <w:r w:rsidR="00C44981" w:rsidRPr="00A86E6B">
        <w:rPr>
          <w:color w:val="000000" w:themeColor="text1"/>
          <w:szCs w:val="26"/>
        </w:rPr>
        <w:t xml:space="preserve">those hardships include </w:t>
      </w:r>
      <w:r w:rsidR="00805ADC" w:rsidRPr="00A86E6B">
        <w:rPr>
          <w:color w:val="000000" w:themeColor="text1"/>
          <w:szCs w:val="26"/>
        </w:rPr>
        <w:t xml:space="preserve">rendering </w:t>
      </w:r>
      <w:r w:rsidR="00C44981" w:rsidRPr="00A86E6B">
        <w:rPr>
          <w:color w:val="000000" w:themeColor="text1"/>
          <w:szCs w:val="26"/>
        </w:rPr>
        <w:t xml:space="preserve">work, the </w:t>
      </w:r>
      <w:r w:rsidR="008B4426" w:rsidRPr="00A86E6B">
        <w:rPr>
          <w:color w:val="000000" w:themeColor="text1"/>
          <w:szCs w:val="26"/>
        </w:rPr>
        <w:t xml:space="preserve">pay owed </w:t>
      </w:r>
      <w:r w:rsidR="00C0011D" w:rsidRPr="00A86E6B">
        <w:rPr>
          <w:color w:val="000000" w:themeColor="text1"/>
          <w:szCs w:val="26"/>
        </w:rPr>
        <w:t xml:space="preserve">can </w:t>
      </w:r>
      <w:r w:rsidR="008B4426" w:rsidRPr="00A86E6B">
        <w:rPr>
          <w:color w:val="000000" w:themeColor="text1"/>
          <w:szCs w:val="26"/>
        </w:rPr>
        <w:t xml:space="preserve">equally be viewed as wages.  </w:t>
      </w:r>
      <w:r w:rsidR="00572BD2" w:rsidRPr="00A86E6B">
        <w:rPr>
          <w:color w:val="000000" w:themeColor="text1"/>
          <w:szCs w:val="26"/>
        </w:rPr>
        <w:t>As noted, t</w:t>
      </w:r>
      <w:r w:rsidR="008B4426" w:rsidRPr="00A86E6B">
        <w:rPr>
          <w:color w:val="000000" w:themeColor="text1"/>
          <w:szCs w:val="26"/>
        </w:rPr>
        <w:t xml:space="preserve">he Labor Code defines the term broadly, to encompass </w:t>
      </w:r>
      <w:r w:rsidR="00597B01" w:rsidRPr="00A86E6B">
        <w:rPr>
          <w:color w:val="000000" w:themeColor="text1"/>
          <w:szCs w:val="26"/>
        </w:rPr>
        <w:t>“amounts for labor performed</w:t>
      </w:r>
      <w:r w:rsidR="008B4426" w:rsidRPr="00A86E6B">
        <w:rPr>
          <w:color w:val="000000" w:themeColor="text1"/>
          <w:szCs w:val="26"/>
        </w:rPr>
        <w:t xml:space="preserve"> .</w:t>
      </w:r>
      <w:r w:rsidR="00FD6E43" w:rsidRPr="00A86E6B">
        <w:rPr>
          <w:color w:val="000000" w:themeColor="text1"/>
          <w:szCs w:val="26"/>
        </w:rPr>
        <w:t> </w:t>
      </w:r>
      <w:r w:rsidR="008B4426" w:rsidRPr="00A86E6B">
        <w:rPr>
          <w:color w:val="000000" w:themeColor="text1"/>
          <w:szCs w:val="26"/>
        </w:rPr>
        <w:t>.</w:t>
      </w:r>
      <w:r w:rsidR="00FD6E43" w:rsidRPr="00A86E6B">
        <w:rPr>
          <w:color w:val="000000" w:themeColor="text1"/>
          <w:szCs w:val="26"/>
        </w:rPr>
        <w:t> </w:t>
      </w:r>
      <w:r w:rsidR="008B4426" w:rsidRPr="00A86E6B">
        <w:rPr>
          <w:color w:val="000000" w:themeColor="text1"/>
          <w:szCs w:val="26"/>
        </w:rPr>
        <w:t>. of every description</w:t>
      </w:r>
      <w:r w:rsidR="00DF66D5" w:rsidRPr="00A86E6B">
        <w:rPr>
          <w:color w:val="000000" w:themeColor="text1"/>
          <w:szCs w:val="26"/>
        </w:rPr>
        <w:t>.</w:t>
      </w:r>
      <w:r w:rsidR="00597B01" w:rsidRPr="00A86E6B">
        <w:rPr>
          <w:color w:val="000000" w:themeColor="text1"/>
          <w:szCs w:val="26"/>
        </w:rPr>
        <w:t xml:space="preserve">” </w:t>
      </w:r>
      <w:r w:rsidR="00C0011D" w:rsidRPr="00A86E6B">
        <w:rPr>
          <w:color w:val="000000" w:themeColor="text1"/>
          <w:szCs w:val="26"/>
        </w:rPr>
        <w:t xml:space="preserve"> </w:t>
      </w:r>
      <w:r w:rsidR="00996F4E" w:rsidRPr="00A86E6B">
        <w:rPr>
          <w:color w:val="000000" w:themeColor="text1"/>
          <w:szCs w:val="26"/>
        </w:rPr>
        <w:t xml:space="preserve">(Lab. Code, § 200, subd. (a).)  An employee who remains on duty during lunch is providing the employer services; so too the employee who works without relief past the point when permission to stop to eat or rest was legally required.  </w:t>
      </w:r>
      <w:r w:rsidR="00AD7097" w:rsidRPr="00A86E6B">
        <w:rPr>
          <w:color w:val="000000" w:themeColor="text1"/>
          <w:szCs w:val="26"/>
        </w:rPr>
        <w:t xml:space="preserve">Section 226.7 reflects a </w:t>
      </w:r>
      <w:r w:rsidR="00996F4E" w:rsidRPr="00A86E6B">
        <w:rPr>
          <w:color w:val="000000" w:themeColor="text1"/>
          <w:szCs w:val="26"/>
        </w:rPr>
        <w:t>determin</w:t>
      </w:r>
      <w:r w:rsidR="00AD7097" w:rsidRPr="00A86E6B">
        <w:rPr>
          <w:color w:val="000000" w:themeColor="text1"/>
          <w:szCs w:val="26"/>
        </w:rPr>
        <w:t>ation</w:t>
      </w:r>
      <w:r w:rsidR="00996F4E" w:rsidRPr="00A86E6B">
        <w:rPr>
          <w:color w:val="000000" w:themeColor="text1"/>
          <w:szCs w:val="26"/>
        </w:rPr>
        <w:t xml:space="preserve"> that work in such circumstances is worth more</w:t>
      </w:r>
      <w:r w:rsidR="00FD6E43" w:rsidRPr="00A86E6B">
        <w:rPr>
          <w:color w:val="000000" w:themeColor="text1"/>
          <w:szCs w:val="26"/>
        </w:rPr>
        <w:t> </w:t>
      </w:r>
      <w:r w:rsidR="00996F4E" w:rsidRPr="00A86E6B">
        <w:rPr>
          <w:color w:val="000000" w:themeColor="text1"/>
          <w:szCs w:val="26"/>
        </w:rPr>
        <w:t>— or should cost the employer more</w:t>
      </w:r>
      <w:r w:rsidR="00FD6E43" w:rsidRPr="00A86E6B">
        <w:rPr>
          <w:color w:val="000000" w:themeColor="text1"/>
          <w:szCs w:val="26"/>
        </w:rPr>
        <w:t> </w:t>
      </w:r>
      <w:r w:rsidR="00996F4E" w:rsidRPr="00A86E6B">
        <w:rPr>
          <w:color w:val="000000" w:themeColor="text1"/>
          <w:szCs w:val="26"/>
        </w:rPr>
        <w:t>— than other work, and so require</w:t>
      </w:r>
      <w:r w:rsidR="000506F0">
        <w:rPr>
          <w:color w:val="000000" w:themeColor="text1"/>
          <w:szCs w:val="26"/>
        </w:rPr>
        <w:t>s</w:t>
      </w:r>
      <w:r w:rsidR="00996F4E" w:rsidRPr="00A86E6B">
        <w:rPr>
          <w:color w:val="000000" w:themeColor="text1"/>
          <w:szCs w:val="26"/>
        </w:rPr>
        <w:t xml:space="preserve"> payment </w:t>
      </w:r>
      <w:r w:rsidR="00366AC7" w:rsidRPr="00A86E6B">
        <w:rPr>
          <w:color w:val="000000" w:themeColor="text1"/>
          <w:szCs w:val="26"/>
        </w:rPr>
        <w:t xml:space="preserve">of </w:t>
      </w:r>
      <w:r w:rsidR="00996F4E" w:rsidRPr="00A86E6B">
        <w:rPr>
          <w:color w:val="000000" w:themeColor="text1"/>
          <w:szCs w:val="26"/>
        </w:rPr>
        <w:t>a premium</w:t>
      </w:r>
      <w:r w:rsidR="002B5438" w:rsidRPr="00A86E6B">
        <w:rPr>
          <w:color w:val="000000" w:themeColor="text1"/>
          <w:szCs w:val="26"/>
        </w:rPr>
        <w:t>.</w:t>
      </w:r>
    </w:p>
    <w:p w14:paraId="14281406" w14:textId="7E25336C" w:rsidR="004C2618" w:rsidRPr="00A86E6B" w:rsidRDefault="00996F4E" w:rsidP="00A86E6B">
      <w:pPr>
        <w:tabs>
          <w:tab w:val="left" w:pos="1440"/>
        </w:tabs>
        <w:ind w:firstLine="720"/>
        <w:rPr>
          <w:color w:val="000000" w:themeColor="text1"/>
          <w:szCs w:val="26"/>
        </w:rPr>
      </w:pPr>
      <w:r w:rsidRPr="00A86E6B">
        <w:rPr>
          <w:color w:val="000000" w:themeColor="text1"/>
          <w:szCs w:val="26"/>
        </w:rPr>
        <w:t xml:space="preserve">In this </w:t>
      </w:r>
      <w:r w:rsidR="00641050" w:rsidRPr="00A86E6B">
        <w:rPr>
          <w:color w:val="000000" w:themeColor="text1"/>
          <w:szCs w:val="26"/>
        </w:rPr>
        <w:t>respect</w:t>
      </w:r>
      <w:r w:rsidRPr="00A86E6B">
        <w:rPr>
          <w:color w:val="000000" w:themeColor="text1"/>
          <w:szCs w:val="26"/>
        </w:rPr>
        <w:t>, missed</w:t>
      </w:r>
      <w:r w:rsidR="00B33C15">
        <w:rPr>
          <w:color w:val="000000" w:themeColor="text1"/>
          <w:szCs w:val="26"/>
        </w:rPr>
        <w:t>-</w:t>
      </w:r>
      <w:r w:rsidRPr="00A86E6B">
        <w:rPr>
          <w:color w:val="000000" w:themeColor="text1"/>
          <w:szCs w:val="26"/>
        </w:rPr>
        <w:t xml:space="preserve">break premium pay is </w:t>
      </w:r>
      <w:r w:rsidR="00641050" w:rsidRPr="00A86E6B">
        <w:rPr>
          <w:color w:val="000000" w:themeColor="text1"/>
          <w:szCs w:val="26"/>
        </w:rPr>
        <w:t xml:space="preserve">comparable to </w:t>
      </w:r>
      <w:r w:rsidR="00F74ABF" w:rsidRPr="00A86E6B">
        <w:rPr>
          <w:color w:val="000000" w:themeColor="text1"/>
          <w:szCs w:val="26"/>
        </w:rPr>
        <w:t xml:space="preserve">other forms of payment for working under conditions of hardship.  Take </w:t>
      </w:r>
      <w:r w:rsidRPr="00A86E6B">
        <w:rPr>
          <w:color w:val="000000" w:themeColor="text1"/>
          <w:szCs w:val="26"/>
        </w:rPr>
        <w:t>overtime premium pay</w:t>
      </w:r>
      <w:r w:rsidR="00945A5B" w:rsidRPr="00A86E6B">
        <w:rPr>
          <w:color w:val="000000" w:themeColor="text1"/>
          <w:szCs w:val="26"/>
        </w:rPr>
        <w:t>, for example</w:t>
      </w:r>
      <w:r w:rsidR="00906C9A" w:rsidRPr="00A86E6B">
        <w:rPr>
          <w:color w:val="000000" w:themeColor="text1"/>
          <w:szCs w:val="26"/>
        </w:rPr>
        <w:t>:  A</w:t>
      </w:r>
      <w:r w:rsidRPr="00A86E6B">
        <w:rPr>
          <w:color w:val="000000" w:themeColor="text1"/>
          <w:szCs w:val="26"/>
        </w:rPr>
        <w:t xml:space="preserve">n employer who requires an employee to work </w:t>
      </w:r>
      <w:r w:rsidR="004C2618" w:rsidRPr="00A86E6B">
        <w:rPr>
          <w:color w:val="000000" w:themeColor="text1"/>
          <w:szCs w:val="26"/>
        </w:rPr>
        <w:t xml:space="preserve">more hours than the </w:t>
      </w:r>
      <w:r w:rsidRPr="00A86E6B">
        <w:rPr>
          <w:color w:val="000000" w:themeColor="text1"/>
          <w:szCs w:val="26"/>
        </w:rPr>
        <w:t xml:space="preserve">Legislature has determined is </w:t>
      </w:r>
      <w:r w:rsidR="001D2591" w:rsidRPr="00A86E6B">
        <w:rPr>
          <w:color w:val="000000" w:themeColor="text1"/>
          <w:szCs w:val="26"/>
        </w:rPr>
        <w:t xml:space="preserve">generally </w:t>
      </w:r>
      <w:r w:rsidRPr="00A86E6B">
        <w:rPr>
          <w:color w:val="000000" w:themeColor="text1"/>
          <w:szCs w:val="26"/>
        </w:rPr>
        <w:t>desirable</w:t>
      </w:r>
      <w:r w:rsidR="001D2591" w:rsidRPr="00A86E6B">
        <w:rPr>
          <w:color w:val="000000" w:themeColor="text1"/>
          <w:szCs w:val="26"/>
        </w:rPr>
        <w:t xml:space="preserve"> must pay </w:t>
      </w:r>
      <w:r w:rsidR="00C0011D" w:rsidRPr="00A86E6B">
        <w:rPr>
          <w:color w:val="000000" w:themeColor="text1"/>
          <w:szCs w:val="26"/>
        </w:rPr>
        <w:t xml:space="preserve">extra </w:t>
      </w:r>
      <w:r w:rsidR="001D2591" w:rsidRPr="00A86E6B">
        <w:rPr>
          <w:color w:val="000000" w:themeColor="text1"/>
          <w:szCs w:val="26"/>
        </w:rPr>
        <w:t xml:space="preserve">for the privilege, both to compensate the employee for the hardship incident </w:t>
      </w:r>
      <w:r w:rsidR="008D165B" w:rsidRPr="00A86E6B">
        <w:rPr>
          <w:color w:val="000000" w:themeColor="text1"/>
          <w:szCs w:val="26"/>
        </w:rPr>
        <w:t xml:space="preserve">to </w:t>
      </w:r>
      <w:r w:rsidR="001D2591" w:rsidRPr="00A86E6B">
        <w:rPr>
          <w:color w:val="000000" w:themeColor="text1"/>
          <w:szCs w:val="26"/>
        </w:rPr>
        <w:t>such work and to deter the employer from routinely imposing such obligations.  (</w:t>
      </w:r>
      <w:r w:rsidR="00BB40F8" w:rsidRPr="00A86E6B">
        <w:rPr>
          <w:color w:val="000000" w:themeColor="text1"/>
          <w:szCs w:val="26"/>
        </w:rPr>
        <w:t xml:space="preserve">See </w:t>
      </w:r>
      <w:r w:rsidR="00BB40F8" w:rsidRPr="00A86E6B">
        <w:rPr>
          <w:i/>
          <w:iCs/>
          <w:color w:val="000000" w:themeColor="text1"/>
          <w:szCs w:val="26"/>
        </w:rPr>
        <w:t>Murphy</w:t>
      </w:r>
      <w:r w:rsidR="00BB40F8" w:rsidRPr="00A86E6B">
        <w:rPr>
          <w:color w:val="000000" w:themeColor="text1"/>
          <w:szCs w:val="26"/>
        </w:rPr>
        <w:t xml:space="preserve">, </w:t>
      </w:r>
      <w:r w:rsidR="00BB40F8" w:rsidRPr="00A86E6B">
        <w:rPr>
          <w:i/>
          <w:iCs/>
          <w:color w:val="000000" w:themeColor="text1"/>
          <w:szCs w:val="26"/>
        </w:rPr>
        <w:t>supra</w:t>
      </w:r>
      <w:r w:rsidR="00BB40F8" w:rsidRPr="00A86E6B">
        <w:rPr>
          <w:color w:val="000000" w:themeColor="text1"/>
          <w:szCs w:val="26"/>
        </w:rPr>
        <w:t xml:space="preserve">, 40 Cal.4th at p. 1109 [“while [overtime pay’s] central purpose is to compensate employees for their time, it also serves a secondary function of shaping employer conduct”]; </w:t>
      </w:r>
      <w:r w:rsidR="00BB40F8" w:rsidRPr="00A86E6B">
        <w:rPr>
          <w:i/>
          <w:iCs/>
          <w:color w:val="000000" w:themeColor="text1"/>
          <w:szCs w:val="26"/>
        </w:rPr>
        <w:t>id.</w:t>
      </w:r>
      <w:r w:rsidR="00BB40F8" w:rsidRPr="00A86E6B">
        <w:rPr>
          <w:color w:val="000000" w:themeColor="text1"/>
          <w:szCs w:val="26"/>
        </w:rPr>
        <w:t xml:space="preserve"> at p.</w:t>
      </w:r>
      <w:r w:rsidR="00FD6E43" w:rsidRPr="00A86E6B">
        <w:rPr>
          <w:color w:val="000000" w:themeColor="text1"/>
          <w:szCs w:val="26"/>
        </w:rPr>
        <w:t> </w:t>
      </w:r>
      <w:r w:rsidR="00BB40F8" w:rsidRPr="00A86E6B">
        <w:rPr>
          <w:color w:val="000000" w:themeColor="text1"/>
          <w:szCs w:val="26"/>
        </w:rPr>
        <w:t>1110 [missed</w:t>
      </w:r>
      <w:r w:rsidR="00B33C15">
        <w:rPr>
          <w:color w:val="000000" w:themeColor="text1"/>
          <w:szCs w:val="26"/>
        </w:rPr>
        <w:t>-</w:t>
      </w:r>
      <w:r w:rsidR="00BB40F8" w:rsidRPr="00A86E6B">
        <w:rPr>
          <w:color w:val="000000" w:themeColor="text1"/>
          <w:szCs w:val="26"/>
        </w:rPr>
        <w:t>break premium pay</w:t>
      </w:r>
      <w:r w:rsidR="006E4F30" w:rsidRPr="00A86E6B">
        <w:rPr>
          <w:color w:val="000000" w:themeColor="text1"/>
          <w:szCs w:val="26"/>
        </w:rPr>
        <w:t xml:space="preserve"> is</w:t>
      </w:r>
      <w:r w:rsidR="00BB40F8" w:rsidRPr="00A86E6B">
        <w:rPr>
          <w:color w:val="000000" w:themeColor="text1"/>
          <w:szCs w:val="26"/>
        </w:rPr>
        <w:t xml:space="preserve"> intended “to compensate employees, while also acting as an incentive for employers to comply with labor standards”].</w:t>
      </w:r>
      <w:r w:rsidR="001D2591" w:rsidRPr="00A86E6B">
        <w:rPr>
          <w:color w:val="000000" w:themeColor="text1"/>
          <w:szCs w:val="26"/>
        </w:rPr>
        <w:t xml:space="preserve">)  </w:t>
      </w:r>
      <w:r w:rsidR="00D62B10" w:rsidRPr="00A86E6B">
        <w:rPr>
          <w:color w:val="000000" w:themeColor="text1"/>
          <w:szCs w:val="26"/>
        </w:rPr>
        <w:t>And precisely because it compensates the employee for work, o</w:t>
      </w:r>
      <w:r w:rsidR="001D2591" w:rsidRPr="00A86E6B">
        <w:rPr>
          <w:color w:val="000000" w:themeColor="text1"/>
          <w:szCs w:val="26"/>
        </w:rPr>
        <w:t xml:space="preserve">vertime premium pay has always </w:t>
      </w:r>
      <w:r w:rsidR="00C0011D" w:rsidRPr="00A86E6B">
        <w:rPr>
          <w:color w:val="000000" w:themeColor="text1"/>
          <w:szCs w:val="26"/>
        </w:rPr>
        <w:t xml:space="preserve">also </w:t>
      </w:r>
      <w:r w:rsidR="001D2591" w:rsidRPr="00A86E6B">
        <w:rPr>
          <w:color w:val="000000" w:themeColor="text1"/>
          <w:szCs w:val="26"/>
        </w:rPr>
        <w:t>been understood as wages for purposes of Labor Code section 200 and related statutes.  (</w:t>
      </w:r>
      <w:r w:rsidR="00194A4D" w:rsidRPr="00A86E6B">
        <w:rPr>
          <w:i/>
          <w:iCs/>
          <w:color w:val="000000" w:themeColor="text1"/>
          <w:szCs w:val="26"/>
        </w:rPr>
        <w:t>Murphy</w:t>
      </w:r>
      <w:r w:rsidR="00194A4D" w:rsidRPr="00A86E6B">
        <w:rPr>
          <w:color w:val="000000" w:themeColor="text1"/>
          <w:szCs w:val="26"/>
        </w:rPr>
        <w:t>, at p. 11</w:t>
      </w:r>
      <w:r w:rsidR="002849D8" w:rsidRPr="00A86E6B">
        <w:rPr>
          <w:color w:val="000000" w:themeColor="text1"/>
          <w:szCs w:val="26"/>
        </w:rPr>
        <w:t>09</w:t>
      </w:r>
      <w:r w:rsidR="00194A4D" w:rsidRPr="00A86E6B">
        <w:rPr>
          <w:color w:val="000000" w:themeColor="text1"/>
          <w:szCs w:val="26"/>
        </w:rPr>
        <w:t xml:space="preserve"> [</w:t>
      </w:r>
      <w:r w:rsidR="002849D8" w:rsidRPr="00A86E6B">
        <w:rPr>
          <w:color w:val="000000" w:themeColor="text1"/>
          <w:szCs w:val="26"/>
        </w:rPr>
        <w:t>“</w:t>
      </w:r>
      <w:r w:rsidR="00194A4D" w:rsidRPr="00A86E6B">
        <w:rPr>
          <w:color w:val="000000" w:themeColor="text1"/>
          <w:szCs w:val="26"/>
        </w:rPr>
        <w:t xml:space="preserve">overtime pay is </w:t>
      </w:r>
      <w:r w:rsidR="002849D8" w:rsidRPr="00A86E6B">
        <w:rPr>
          <w:color w:val="000000" w:themeColor="text1"/>
          <w:szCs w:val="26"/>
        </w:rPr>
        <w:t xml:space="preserve">considered a </w:t>
      </w:r>
      <w:r w:rsidR="00194A4D" w:rsidRPr="00A86E6B">
        <w:rPr>
          <w:color w:val="000000" w:themeColor="text1"/>
          <w:szCs w:val="26"/>
        </w:rPr>
        <w:t>wage</w:t>
      </w:r>
      <w:r w:rsidR="002849D8" w:rsidRPr="00A86E6B">
        <w:rPr>
          <w:color w:val="000000" w:themeColor="text1"/>
          <w:szCs w:val="26"/>
        </w:rPr>
        <w:t>”</w:t>
      </w:r>
      <w:r w:rsidR="00194A4D" w:rsidRPr="00A86E6B">
        <w:rPr>
          <w:color w:val="000000" w:themeColor="text1"/>
          <w:szCs w:val="26"/>
        </w:rPr>
        <w:t xml:space="preserve">]; see, e.g., </w:t>
      </w:r>
      <w:r w:rsidR="004D51F3" w:rsidRPr="00A86E6B">
        <w:rPr>
          <w:i/>
          <w:iCs/>
          <w:color w:val="000000" w:themeColor="text1"/>
          <w:szCs w:val="26"/>
        </w:rPr>
        <w:t>Ghory v. Al-Lahham</w:t>
      </w:r>
      <w:r w:rsidR="004D51F3" w:rsidRPr="00A86E6B">
        <w:rPr>
          <w:color w:val="000000" w:themeColor="text1"/>
          <w:szCs w:val="26"/>
        </w:rPr>
        <w:t xml:space="preserve"> (1989) 209 Cal.App.3d 1487, 1492 [applying Lab. Code, § 203 to nonpayment of overtime wages]; </w:t>
      </w:r>
      <w:r w:rsidR="004D51F3" w:rsidRPr="00A86E6B">
        <w:rPr>
          <w:i/>
          <w:iCs/>
          <w:color w:val="000000" w:themeColor="text1"/>
          <w:szCs w:val="26"/>
        </w:rPr>
        <w:t xml:space="preserve">Takacs v. A.G. Edwards </w:t>
      </w:r>
      <w:r w:rsidR="004A02EF" w:rsidRPr="00A86E6B">
        <w:rPr>
          <w:i/>
          <w:iCs/>
          <w:color w:val="000000" w:themeColor="text1"/>
          <w:szCs w:val="26"/>
        </w:rPr>
        <w:t>and</w:t>
      </w:r>
      <w:r w:rsidR="004D51F3" w:rsidRPr="00A86E6B">
        <w:rPr>
          <w:i/>
          <w:iCs/>
          <w:color w:val="000000" w:themeColor="text1"/>
          <w:szCs w:val="26"/>
        </w:rPr>
        <w:t xml:space="preserve"> Sons</w:t>
      </w:r>
      <w:r w:rsidR="00194A4D" w:rsidRPr="00A86E6B">
        <w:rPr>
          <w:i/>
          <w:iCs/>
          <w:color w:val="000000" w:themeColor="text1"/>
          <w:szCs w:val="26"/>
        </w:rPr>
        <w:t>, Inc.</w:t>
      </w:r>
      <w:r w:rsidR="004D51F3" w:rsidRPr="00A86E6B">
        <w:rPr>
          <w:color w:val="000000" w:themeColor="text1"/>
          <w:szCs w:val="26"/>
        </w:rPr>
        <w:t xml:space="preserve"> (S.D.Cal. 2006) 444 F.Supp.2d 1100, 1125 [plain language of Lab. Code, § 200 reaches overtime wages]</w:t>
      </w:r>
      <w:r w:rsidR="00194A4D" w:rsidRPr="00A86E6B">
        <w:rPr>
          <w:color w:val="000000" w:themeColor="text1"/>
          <w:szCs w:val="26"/>
        </w:rPr>
        <w:t>.</w:t>
      </w:r>
      <w:r w:rsidR="001D2591" w:rsidRPr="00A86E6B">
        <w:rPr>
          <w:color w:val="000000" w:themeColor="text1"/>
          <w:szCs w:val="26"/>
        </w:rPr>
        <w:t>)</w:t>
      </w:r>
      <w:r w:rsidR="004C2618" w:rsidRPr="00A86E6B">
        <w:rPr>
          <w:color w:val="000000" w:themeColor="text1"/>
          <w:szCs w:val="26"/>
        </w:rPr>
        <w:t xml:space="preserve"> </w:t>
      </w:r>
    </w:p>
    <w:p w14:paraId="01A497FD" w14:textId="42A0BB11" w:rsidR="00996F4E" w:rsidRPr="00A86E6B" w:rsidRDefault="00D62B10" w:rsidP="00A86E6B">
      <w:pPr>
        <w:tabs>
          <w:tab w:val="left" w:pos="1440"/>
        </w:tabs>
        <w:ind w:firstLine="720"/>
        <w:rPr>
          <w:color w:val="000000" w:themeColor="text1"/>
          <w:szCs w:val="26"/>
        </w:rPr>
      </w:pPr>
      <w:r w:rsidRPr="00A86E6B">
        <w:rPr>
          <w:color w:val="000000" w:themeColor="text1"/>
          <w:szCs w:val="26"/>
        </w:rPr>
        <w:t>T</w:t>
      </w:r>
      <w:r w:rsidR="00524205" w:rsidRPr="00A86E6B">
        <w:rPr>
          <w:color w:val="000000" w:themeColor="text1"/>
          <w:szCs w:val="26"/>
        </w:rPr>
        <w:t>rue, the</w:t>
      </w:r>
      <w:r w:rsidRPr="00A86E6B">
        <w:rPr>
          <w:color w:val="000000" w:themeColor="text1"/>
          <w:szCs w:val="26"/>
        </w:rPr>
        <w:t xml:space="preserve"> </w:t>
      </w:r>
      <w:r w:rsidR="00250AE1" w:rsidRPr="00A86E6B">
        <w:rPr>
          <w:color w:val="000000" w:themeColor="text1"/>
          <w:szCs w:val="26"/>
        </w:rPr>
        <w:t xml:space="preserve">hour of </w:t>
      </w:r>
      <w:r w:rsidRPr="00A86E6B">
        <w:rPr>
          <w:color w:val="000000" w:themeColor="text1"/>
          <w:szCs w:val="26"/>
        </w:rPr>
        <w:t>premium pay here, unlike overtime, is payable as a lump sum for a missed break</w:t>
      </w:r>
      <w:r w:rsidR="00524205" w:rsidRPr="00A86E6B">
        <w:rPr>
          <w:color w:val="000000" w:themeColor="text1"/>
          <w:szCs w:val="26"/>
        </w:rPr>
        <w:t xml:space="preserve"> of any duration; it is not paid </w:t>
      </w:r>
      <w:r w:rsidRPr="00A86E6B">
        <w:rPr>
          <w:color w:val="000000" w:themeColor="text1"/>
          <w:szCs w:val="26"/>
        </w:rPr>
        <w:t xml:space="preserve">pro rata.  But </w:t>
      </w:r>
      <w:r w:rsidR="00E1354D" w:rsidRPr="00A86E6B">
        <w:rPr>
          <w:color w:val="000000" w:themeColor="text1"/>
          <w:szCs w:val="26"/>
        </w:rPr>
        <w:t xml:space="preserve">premium pay is not unique in this respect; </w:t>
      </w:r>
      <w:r w:rsidR="002D3DCF" w:rsidRPr="00A86E6B">
        <w:rPr>
          <w:color w:val="000000" w:themeColor="text1"/>
          <w:szCs w:val="26"/>
        </w:rPr>
        <w:t xml:space="preserve">the law treats as wages many types of compensation for labor </w:t>
      </w:r>
      <w:r w:rsidR="00F866BB" w:rsidRPr="00A86E6B">
        <w:rPr>
          <w:color w:val="000000" w:themeColor="text1"/>
          <w:szCs w:val="26"/>
        </w:rPr>
        <w:t xml:space="preserve">where the amount of money in question lacks a perfect one-to-one correlation with </w:t>
      </w:r>
      <w:r w:rsidR="002D3DCF" w:rsidRPr="00A86E6B">
        <w:rPr>
          <w:color w:val="000000" w:themeColor="text1"/>
          <w:szCs w:val="26"/>
        </w:rPr>
        <w:t>th</w:t>
      </w:r>
      <w:r w:rsidR="00F866BB" w:rsidRPr="00A86E6B">
        <w:rPr>
          <w:color w:val="000000" w:themeColor="text1"/>
          <w:szCs w:val="26"/>
        </w:rPr>
        <w:t xml:space="preserve">e amount of time worked.  </w:t>
      </w:r>
      <w:r w:rsidR="00143A8A" w:rsidRPr="00A86E6B">
        <w:rPr>
          <w:szCs w:val="26"/>
        </w:rPr>
        <w:t>Take, for example, reporting</w:t>
      </w:r>
      <w:r w:rsidR="004C73E2" w:rsidRPr="00A86E6B">
        <w:rPr>
          <w:szCs w:val="26"/>
        </w:rPr>
        <w:t>-</w:t>
      </w:r>
      <w:r w:rsidR="00143A8A" w:rsidRPr="00A86E6B">
        <w:rPr>
          <w:szCs w:val="26"/>
        </w:rPr>
        <w:t xml:space="preserve">time pay:  </w:t>
      </w:r>
      <w:r w:rsidR="007150E0" w:rsidRPr="00A86E6B">
        <w:rPr>
          <w:szCs w:val="26"/>
        </w:rPr>
        <w:t>An employee who reports for duty but is given less than half a day’s work is generally guaranteed no less than two hours or a half-day’s pay as a reporting time premium, without regard to the precise number of hours worked.  (IWC wage order No. </w:t>
      </w:r>
      <w:r w:rsidR="00001000">
        <w:rPr>
          <w:szCs w:val="26"/>
        </w:rPr>
        <w:t>4-2001</w:t>
      </w:r>
      <w:r w:rsidR="007150E0" w:rsidRPr="00A86E6B">
        <w:rPr>
          <w:szCs w:val="26"/>
        </w:rPr>
        <w:t xml:space="preserve">, § 5(A); </w:t>
      </w:r>
      <w:r w:rsidR="006E4F30" w:rsidRPr="00A86E6B">
        <w:rPr>
          <w:szCs w:val="26"/>
        </w:rPr>
        <w:t xml:space="preserve">see </w:t>
      </w:r>
      <w:r w:rsidR="007150E0" w:rsidRPr="00A86E6B">
        <w:rPr>
          <w:i/>
          <w:iCs/>
          <w:szCs w:val="26"/>
        </w:rPr>
        <w:t>Shine v. Williams-Sonoma, Inc.</w:t>
      </w:r>
      <w:r w:rsidR="007150E0" w:rsidRPr="00A86E6B">
        <w:rPr>
          <w:szCs w:val="26"/>
        </w:rPr>
        <w:t xml:space="preserve"> (2018) 23 Cal.App.5th 1070, 1077 [“reporting-time pay is a form of wages”].)  </w:t>
      </w:r>
      <w:r w:rsidR="008D3A55" w:rsidRPr="00A86E6B">
        <w:rPr>
          <w:szCs w:val="26"/>
        </w:rPr>
        <w:t>Or split</w:t>
      </w:r>
      <w:r w:rsidR="004C73E2" w:rsidRPr="00A86E6B">
        <w:rPr>
          <w:szCs w:val="26"/>
        </w:rPr>
        <w:t>-</w:t>
      </w:r>
      <w:r w:rsidR="008D3A55" w:rsidRPr="00A86E6B">
        <w:rPr>
          <w:szCs w:val="26"/>
        </w:rPr>
        <w:t xml:space="preserve">shift pay:  </w:t>
      </w:r>
      <w:r w:rsidR="007150E0" w:rsidRPr="00A86E6B">
        <w:rPr>
          <w:szCs w:val="26"/>
        </w:rPr>
        <w:t xml:space="preserve">An employee who works a split shift is entitled to an additional hour of pay </w:t>
      </w:r>
      <w:r w:rsidR="009C6D62" w:rsidRPr="00A86E6B">
        <w:rPr>
          <w:szCs w:val="26"/>
        </w:rPr>
        <w:t xml:space="preserve">over and above the minimum wage </w:t>
      </w:r>
      <w:r w:rsidR="007150E0" w:rsidRPr="00A86E6B">
        <w:rPr>
          <w:szCs w:val="26"/>
        </w:rPr>
        <w:t>for that day</w:t>
      </w:r>
      <w:r w:rsidR="0061333E" w:rsidRPr="00A86E6B">
        <w:rPr>
          <w:szCs w:val="26"/>
        </w:rPr>
        <w:t xml:space="preserve">, again </w:t>
      </w:r>
      <w:r w:rsidR="00CA0881" w:rsidRPr="00A86E6B">
        <w:rPr>
          <w:szCs w:val="26"/>
        </w:rPr>
        <w:t xml:space="preserve">without </w:t>
      </w:r>
      <w:r w:rsidR="00AE1632" w:rsidRPr="00A86E6B">
        <w:rPr>
          <w:szCs w:val="26"/>
        </w:rPr>
        <w:t xml:space="preserve">a pro rata relation </w:t>
      </w:r>
      <w:r w:rsidR="00CA0881" w:rsidRPr="00A86E6B">
        <w:rPr>
          <w:szCs w:val="26"/>
        </w:rPr>
        <w:t>to the number of hours worked</w:t>
      </w:r>
      <w:r w:rsidR="007150E0" w:rsidRPr="00A86E6B">
        <w:rPr>
          <w:szCs w:val="26"/>
        </w:rPr>
        <w:t>.  (IWC wage order No. </w:t>
      </w:r>
      <w:r w:rsidR="00001000">
        <w:rPr>
          <w:szCs w:val="26"/>
        </w:rPr>
        <w:t>4-2001</w:t>
      </w:r>
      <w:r w:rsidR="007150E0" w:rsidRPr="00A86E6B">
        <w:rPr>
          <w:szCs w:val="26"/>
        </w:rPr>
        <w:t>, § 4(C)</w:t>
      </w:r>
      <w:r w:rsidR="002D3DCF" w:rsidRPr="00A86E6B">
        <w:rPr>
          <w:szCs w:val="26"/>
        </w:rPr>
        <w:t xml:space="preserve">; </w:t>
      </w:r>
      <w:r w:rsidR="006E4F30" w:rsidRPr="00A86E6B">
        <w:rPr>
          <w:szCs w:val="26"/>
        </w:rPr>
        <w:t xml:space="preserve">see </w:t>
      </w:r>
      <w:r w:rsidR="002D3DCF" w:rsidRPr="00A86E6B">
        <w:rPr>
          <w:i/>
          <w:iCs/>
          <w:szCs w:val="26"/>
        </w:rPr>
        <w:t>Caliber Bodyworks, Inc. v. Superior Court</w:t>
      </w:r>
      <w:r w:rsidR="002D3DCF" w:rsidRPr="00A86E6B">
        <w:rPr>
          <w:szCs w:val="26"/>
        </w:rPr>
        <w:t xml:space="preserve"> (2005) 134 Cal.App.4th 365, 386 [split-shift premium</w:t>
      </w:r>
      <w:r w:rsidR="007150E0" w:rsidRPr="00A86E6B">
        <w:rPr>
          <w:szCs w:val="26"/>
        </w:rPr>
        <w:t xml:space="preserve"> is wages</w:t>
      </w:r>
      <w:r w:rsidR="002D3DCF" w:rsidRPr="00A86E6B">
        <w:rPr>
          <w:szCs w:val="26"/>
        </w:rPr>
        <w:t>]</w:t>
      </w:r>
      <w:r w:rsidR="001D2591" w:rsidRPr="00A86E6B">
        <w:rPr>
          <w:color w:val="000000" w:themeColor="text1"/>
          <w:szCs w:val="26"/>
        </w:rPr>
        <w:t>.</w:t>
      </w:r>
      <w:r w:rsidR="0032076B" w:rsidRPr="00A86E6B">
        <w:rPr>
          <w:color w:val="000000" w:themeColor="text1"/>
          <w:szCs w:val="26"/>
        </w:rPr>
        <w:t>)</w:t>
      </w:r>
      <w:r w:rsidR="009955D8" w:rsidRPr="00A86E6B">
        <w:rPr>
          <w:color w:val="000000" w:themeColor="text1"/>
          <w:szCs w:val="26"/>
        </w:rPr>
        <w:t xml:space="preserve">  The manner in which the pay accrues </w:t>
      </w:r>
      <w:r w:rsidR="00465287" w:rsidRPr="00A86E6B">
        <w:rPr>
          <w:color w:val="000000" w:themeColor="text1"/>
          <w:szCs w:val="26"/>
        </w:rPr>
        <w:t xml:space="preserve">does not </w:t>
      </w:r>
      <w:r w:rsidR="005477A5" w:rsidRPr="00A86E6B">
        <w:rPr>
          <w:color w:val="000000" w:themeColor="text1"/>
          <w:szCs w:val="26"/>
        </w:rPr>
        <w:t xml:space="preserve">in itself </w:t>
      </w:r>
      <w:r w:rsidR="00465287" w:rsidRPr="00A86E6B">
        <w:rPr>
          <w:color w:val="000000" w:themeColor="text1"/>
          <w:szCs w:val="26"/>
        </w:rPr>
        <w:t xml:space="preserve">determine whether </w:t>
      </w:r>
      <w:r w:rsidR="009955D8" w:rsidRPr="00A86E6B">
        <w:rPr>
          <w:color w:val="000000" w:themeColor="text1"/>
          <w:szCs w:val="26"/>
        </w:rPr>
        <w:t>it is designed to compensate for labor.</w:t>
      </w:r>
      <w:r w:rsidR="009C4D84" w:rsidRPr="00A86E6B" w:rsidDel="009C4D84">
        <w:rPr>
          <w:color w:val="000000" w:themeColor="text1"/>
          <w:szCs w:val="26"/>
        </w:rPr>
        <w:t xml:space="preserve"> </w:t>
      </w:r>
    </w:p>
    <w:p w14:paraId="7B5D81E2" w14:textId="7C0EE659" w:rsidR="00C036C5" w:rsidRPr="00A86E6B" w:rsidRDefault="00EA503A" w:rsidP="00A86E6B">
      <w:pPr>
        <w:tabs>
          <w:tab w:val="left" w:pos="1440"/>
        </w:tabs>
        <w:ind w:firstLine="720"/>
        <w:rPr>
          <w:color w:val="000000" w:themeColor="text1"/>
          <w:szCs w:val="26"/>
        </w:rPr>
      </w:pPr>
      <w:r w:rsidRPr="00A86E6B">
        <w:rPr>
          <w:color w:val="000000" w:themeColor="text1"/>
          <w:szCs w:val="26"/>
        </w:rPr>
        <w:t>S</w:t>
      </w:r>
      <w:r w:rsidR="00430050" w:rsidRPr="00A86E6B">
        <w:rPr>
          <w:color w:val="000000" w:themeColor="text1"/>
          <w:szCs w:val="26"/>
        </w:rPr>
        <w:t xml:space="preserve">ection 226.7 </w:t>
      </w:r>
      <w:r w:rsidR="007D2054" w:rsidRPr="00A86E6B">
        <w:rPr>
          <w:color w:val="000000" w:themeColor="text1"/>
          <w:szCs w:val="26"/>
        </w:rPr>
        <w:t>missed</w:t>
      </w:r>
      <w:r w:rsidR="00B33C15">
        <w:rPr>
          <w:color w:val="000000" w:themeColor="text1"/>
          <w:szCs w:val="26"/>
        </w:rPr>
        <w:t>-</w:t>
      </w:r>
      <w:r w:rsidR="007D2054" w:rsidRPr="00A86E6B">
        <w:rPr>
          <w:color w:val="000000" w:themeColor="text1"/>
          <w:szCs w:val="26"/>
        </w:rPr>
        <w:t xml:space="preserve">break </w:t>
      </w:r>
      <w:r w:rsidR="00430050" w:rsidRPr="00A86E6B">
        <w:rPr>
          <w:color w:val="000000" w:themeColor="text1"/>
          <w:szCs w:val="26"/>
        </w:rPr>
        <w:t xml:space="preserve">premium pay </w:t>
      </w:r>
      <w:r w:rsidRPr="00A86E6B">
        <w:rPr>
          <w:color w:val="000000" w:themeColor="text1"/>
          <w:szCs w:val="26"/>
        </w:rPr>
        <w:t xml:space="preserve">does differ from these examples in that </w:t>
      </w:r>
      <w:r w:rsidR="00B9466F" w:rsidRPr="00A86E6B">
        <w:rPr>
          <w:color w:val="000000" w:themeColor="text1"/>
          <w:szCs w:val="26"/>
        </w:rPr>
        <w:t xml:space="preserve">it aims </w:t>
      </w:r>
      <w:r w:rsidR="000A2B7A" w:rsidRPr="00A86E6B">
        <w:rPr>
          <w:color w:val="000000" w:themeColor="text1"/>
          <w:szCs w:val="26"/>
        </w:rPr>
        <w:t xml:space="preserve">to remedy </w:t>
      </w:r>
      <w:r w:rsidR="00B9466F" w:rsidRPr="00A86E6B">
        <w:rPr>
          <w:color w:val="000000" w:themeColor="text1"/>
          <w:szCs w:val="26"/>
        </w:rPr>
        <w:t>a legal violation</w:t>
      </w:r>
      <w:r w:rsidR="002B0D0C">
        <w:rPr>
          <w:color w:val="000000" w:themeColor="text1"/>
          <w:szCs w:val="26"/>
        </w:rPr>
        <w:t>.</w:t>
      </w:r>
      <w:r w:rsidR="00B9466F" w:rsidRPr="00A86E6B">
        <w:rPr>
          <w:color w:val="000000" w:themeColor="text1"/>
          <w:szCs w:val="26"/>
        </w:rPr>
        <w:t xml:space="preserve">  </w:t>
      </w:r>
      <w:r w:rsidR="002B0D0C">
        <w:rPr>
          <w:color w:val="000000" w:themeColor="text1"/>
          <w:szCs w:val="26"/>
        </w:rPr>
        <w:t>T</w:t>
      </w:r>
      <w:r w:rsidR="00B9466F" w:rsidRPr="00A86E6B">
        <w:rPr>
          <w:color w:val="000000" w:themeColor="text1"/>
          <w:szCs w:val="26"/>
        </w:rPr>
        <w:t>he law permits an employer to allow an employee to work overtime hours, or to work a split shift, provided the employee is paid extra for it</w:t>
      </w:r>
      <w:r w:rsidR="00A94AD6" w:rsidRPr="00A86E6B">
        <w:rPr>
          <w:color w:val="000000" w:themeColor="text1"/>
          <w:szCs w:val="26"/>
        </w:rPr>
        <w:t>, b</w:t>
      </w:r>
      <w:r w:rsidR="009C4D84" w:rsidRPr="00A86E6B">
        <w:rPr>
          <w:color w:val="000000" w:themeColor="text1"/>
          <w:szCs w:val="26"/>
        </w:rPr>
        <w:t>ut</w:t>
      </w:r>
      <w:r w:rsidR="00B9466F" w:rsidRPr="00A86E6B">
        <w:rPr>
          <w:color w:val="000000" w:themeColor="text1"/>
          <w:szCs w:val="26"/>
        </w:rPr>
        <w:t xml:space="preserve"> </w:t>
      </w:r>
      <w:r w:rsidR="002B0D0C">
        <w:rPr>
          <w:color w:val="000000" w:themeColor="text1"/>
          <w:szCs w:val="26"/>
        </w:rPr>
        <w:t xml:space="preserve">the law </w:t>
      </w:r>
      <w:r w:rsidR="00B9466F" w:rsidRPr="00A86E6B">
        <w:rPr>
          <w:color w:val="000000" w:themeColor="text1"/>
          <w:szCs w:val="26"/>
        </w:rPr>
        <w:t>generally does not permit an employer to deprive an employee of a meal or rest break.</w:t>
      </w:r>
      <w:r w:rsidR="00A94AD6" w:rsidRPr="00A86E6B">
        <w:rPr>
          <w:color w:val="000000" w:themeColor="text1"/>
          <w:szCs w:val="26"/>
        </w:rPr>
        <w:t xml:space="preserve">  But why should this difference matter?</w:t>
      </w:r>
      <w:r w:rsidR="00DB2BD8" w:rsidRPr="00A86E6B">
        <w:rPr>
          <w:color w:val="000000" w:themeColor="text1"/>
          <w:szCs w:val="26"/>
        </w:rPr>
        <w:t xml:space="preserve"> </w:t>
      </w:r>
      <w:r w:rsidR="009C4D84" w:rsidRPr="00A86E6B">
        <w:rPr>
          <w:color w:val="000000" w:themeColor="text1"/>
          <w:szCs w:val="26"/>
        </w:rPr>
        <w:t xml:space="preserve"> </w:t>
      </w:r>
      <w:r w:rsidR="00DB2BD8" w:rsidRPr="00A86E6B">
        <w:rPr>
          <w:color w:val="000000" w:themeColor="text1"/>
          <w:szCs w:val="26"/>
        </w:rPr>
        <w:t xml:space="preserve">That </w:t>
      </w:r>
      <w:r w:rsidR="0045467F" w:rsidRPr="00A86E6B">
        <w:rPr>
          <w:color w:val="000000" w:themeColor="text1"/>
          <w:szCs w:val="26"/>
        </w:rPr>
        <w:t>missed</w:t>
      </w:r>
      <w:r w:rsidR="00B33C15">
        <w:rPr>
          <w:color w:val="000000" w:themeColor="text1"/>
          <w:szCs w:val="26"/>
        </w:rPr>
        <w:t>-</w:t>
      </w:r>
      <w:r w:rsidR="0045467F" w:rsidRPr="00A86E6B">
        <w:rPr>
          <w:color w:val="000000" w:themeColor="text1"/>
          <w:szCs w:val="26"/>
        </w:rPr>
        <w:t>break premium pay</w:t>
      </w:r>
      <w:r w:rsidR="00DB2BD8" w:rsidRPr="00A86E6B">
        <w:rPr>
          <w:color w:val="000000" w:themeColor="text1"/>
          <w:szCs w:val="26"/>
        </w:rPr>
        <w:t xml:space="preserve"> serves as a remedy </w:t>
      </w:r>
      <w:r w:rsidR="0002177B" w:rsidRPr="00A86E6B">
        <w:rPr>
          <w:color w:val="000000" w:themeColor="text1"/>
          <w:szCs w:val="26"/>
        </w:rPr>
        <w:t xml:space="preserve">for a legal violation does not change the fact that the premium pay also compensates for </w:t>
      </w:r>
      <w:r w:rsidR="00957DBA" w:rsidRPr="00A86E6B">
        <w:rPr>
          <w:color w:val="000000" w:themeColor="text1"/>
          <w:szCs w:val="26"/>
        </w:rPr>
        <w:t xml:space="preserve">labor performed under conditions of hardship.  </w:t>
      </w:r>
      <w:r w:rsidR="00D614CA" w:rsidRPr="00A86E6B">
        <w:rPr>
          <w:color w:val="000000" w:themeColor="text1"/>
          <w:szCs w:val="26"/>
        </w:rPr>
        <w:t>One need not exclude the other</w:t>
      </w:r>
      <w:r w:rsidR="003E65B2" w:rsidRPr="00A86E6B">
        <w:rPr>
          <w:color w:val="000000" w:themeColor="text1"/>
          <w:szCs w:val="26"/>
        </w:rPr>
        <w:t>.</w:t>
      </w:r>
      <w:r w:rsidR="00F84C87" w:rsidRPr="00A86E6B">
        <w:rPr>
          <w:color w:val="000000" w:themeColor="text1"/>
          <w:szCs w:val="26"/>
        </w:rPr>
        <w:t xml:space="preserve"> </w:t>
      </w:r>
      <w:r w:rsidR="003E65B2" w:rsidRPr="00A86E6B">
        <w:rPr>
          <w:color w:val="000000" w:themeColor="text1"/>
          <w:szCs w:val="26"/>
        </w:rPr>
        <w:t xml:space="preserve"> </w:t>
      </w:r>
      <w:r w:rsidR="00D614CA" w:rsidRPr="00A86E6B">
        <w:rPr>
          <w:color w:val="000000" w:themeColor="text1"/>
          <w:szCs w:val="26"/>
        </w:rPr>
        <w:t>The Legislature is free, if it so chooses, to establish a</w:t>
      </w:r>
      <w:r w:rsidR="006264C0">
        <w:rPr>
          <w:color w:val="000000" w:themeColor="text1"/>
          <w:szCs w:val="26"/>
        </w:rPr>
        <w:t xml:space="preserve"> remedy for the violation that takes the form of a requirement to pay </w:t>
      </w:r>
      <w:r w:rsidR="00D614CA" w:rsidRPr="00A86E6B">
        <w:rPr>
          <w:color w:val="000000" w:themeColor="text1"/>
          <w:szCs w:val="26"/>
        </w:rPr>
        <w:t>additional compensation for services provided under such disfavored conditions.</w:t>
      </w:r>
      <w:r w:rsidR="00C036C5" w:rsidRPr="00A86E6B">
        <w:rPr>
          <w:color w:val="000000" w:themeColor="text1"/>
          <w:szCs w:val="26"/>
        </w:rPr>
        <w:t xml:space="preserve">  </w:t>
      </w:r>
      <w:r w:rsidR="00311038" w:rsidRPr="00A86E6B">
        <w:rPr>
          <w:color w:val="000000" w:themeColor="text1"/>
          <w:szCs w:val="26"/>
        </w:rPr>
        <w:t xml:space="preserve">That is what it has done in section 226.7.  </w:t>
      </w:r>
      <w:r w:rsidR="00C036C5" w:rsidRPr="00A86E6B">
        <w:rPr>
          <w:szCs w:val="26"/>
        </w:rPr>
        <w:t xml:space="preserve">(See </w:t>
      </w:r>
      <w:r w:rsidR="00C036C5" w:rsidRPr="00A86E6B">
        <w:rPr>
          <w:i/>
          <w:iCs/>
          <w:szCs w:val="26"/>
        </w:rPr>
        <w:t>Kim v. Reins International California, Inc.</w:t>
      </w:r>
      <w:r w:rsidR="00B127C1" w:rsidRPr="00A86E6B">
        <w:rPr>
          <w:szCs w:val="26"/>
        </w:rPr>
        <w:t>,</w:t>
      </w:r>
      <w:r w:rsidR="00B127C1" w:rsidRPr="00A86E6B">
        <w:rPr>
          <w:i/>
          <w:iCs/>
          <w:szCs w:val="26"/>
        </w:rPr>
        <w:t xml:space="preserve"> supra</w:t>
      </w:r>
      <w:r w:rsidR="00B127C1" w:rsidRPr="00A86E6B">
        <w:rPr>
          <w:szCs w:val="26"/>
        </w:rPr>
        <w:t>,</w:t>
      </w:r>
      <w:r w:rsidR="00C036C5" w:rsidRPr="00A86E6B">
        <w:rPr>
          <w:szCs w:val="26"/>
        </w:rPr>
        <w:t xml:space="preserve"> 9 Cal.5th </w:t>
      </w:r>
      <w:r w:rsidR="00B127C1" w:rsidRPr="00A86E6B">
        <w:rPr>
          <w:szCs w:val="26"/>
        </w:rPr>
        <w:t>at p. </w:t>
      </w:r>
      <w:r w:rsidR="00C036C5" w:rsidRPr="00A86E6B">
        <w:rPr>
          <w:szCs w:val="26"/>
        </w:rPr>
        <w:t>84 [“</w:t>
      </w:r>
      <w:r w:rsidR="00C036C5" w:rsidRPr="00A86E6B">
        <w:rPr>
          <w:color w:val="222222"/>
          <w:szCs w:val="26"/>
          <w:shd w:val="clear" w:color="auto" w:fill="FFFFFF"/>
        </w:rPr>
        <w:t>additional hour of wages” is the prescribed “remedy for failing to provide meal and rest breaks”].)</w:t>
      </w:r>
      <w:r w:rsidR="00311038" w:rsidRPr="00A86E6B">
        <w:rPr>
          <w:color w:val="222222"/>
          <w:szCs w:val="26"/>
          <w:shd w:val="clear" w:color="auto" w:fill="FFFFFF"/>
        </w:rPr>
        <w:t xml:space="preserve">  </w:t>
      </w:r>
    </w:p>
    <w:p w14:paraId="082333B1" w14:textId="06439DF5" w:rsidR="00750215" w:rsidRPr="00A86E6B" w:rsidRDefault="000628BC" w:rsidP="00A86E6B">
      <w:pPr>
        <w:tabs>
          <w:tab w:val="left" w:pos="1440"/>
        </w:tabs>
        <w:ind w:firstLine="720"/>
        <w:rPr>
          <w:szCs w:val="26"/>
        </w:rPr>
      </w:pPr>
      <w:r w:rsidRPr="00A86E6B">
        <w:rPr>
          <w:color w:val="000000" w:themeColor="text1"/>
          <w:szCs w:val="26"/>
        </w:rPr>
        <w:t xml:space="preserve">These are not new </w:t>
      </w:r>
      <w:r w:rsidR="0090650E" w:rsidRPr="00A86E6B">
        <w:rPr>
          <w:color w:val="000000" w:themeColor="text1"/>
          <w:szCs w:val="26"/>
        </w:rPr>
        <w:t>observation</w:t>
      </w:r>
      <w:r w:rsidRPr="00A86E6B">
        <w:rPr>
          <w:color w:val="000000" w:themeColor="text1"/>
          <w:szCs w:val="26"/>
        </w:rPr>
        <w:t>s</w:t>
      </w:r>
      <w:r w:rsidR="00AF2312" w:rsidRPr="00A86E6B">
        <w:rPr>
          <w:color w:val="000000" w:themeColor="text1"/>
          <w:szCs w:val="26"/>
        </w:rPr>
        <w:t xml:space="preserve">.  We </w:t>
      </w:r>
      <w:r w:rsidR="00743406">
        <w:rPr>
          <w:color w:val="000000" w:themeColor="text1"/>
          <w:szCs w:val="26"/>
        </w:rPr>
        <w:t xml:space="preserve">made essentially the same points </w:t>
      </w:r>
      <w:r w:rsidR="00382814" w:rsidRPr="00A86E6B">
        <w:rPr>
          <w:color w:val="000000" w:themeColor="text1"/>
          <w:szCs w:val="26"/>
        </w:rPr>
        <w:t xml:space="preserve">in </w:t>
      </w:r>
      <w:r w:rsidR="00D614CA" w:rsidRPr="00A86E6B">
        <w:rPr>
          <w:i/>
          <w:iCs/>
          <w:color w:val="000000" w:themeColor="text1"/>
          <w:szCs w:val="26"/>
        </w:rPr>
        <w:t>Murphy</w:t>
      </w:r>
      <w:r w:rsidR="00D614CA" w:rsidRPr="00A86E6B">
        <w:rPr>
          <w:color w:val="000000" w:themeColor="text1"/>
          <w:szCs w:val="26"/>
        </w:rPr>
        <w:t xml:space="preserve">, </w:t>
      </w:r>
      <w:r w:rsidR="00575380" w:rsidRPr="00A86E6B">
        <w:rPr>
          <w:i/>
          <w:iCs/>
          <w:color w:val="000000" w:themeColor="text1"/>
          <w:szCs w:val="26"/>
        </w:rPr>
        <w:t>supra</w:t>
      </w:r>
      <w:r w:rsidR="00575380" w:rsidRPr="00A86E6B">
        <w:rPr>
          <w:color w:val="000000" w:themeColor="text1"/>
          <w:szCs w:val="26"/>
        </w:rPr>
        <w:t xml:space="preserve">, </w:t>
      </w:r>
      <w:r w:rsidR="00D614CA" w:rsidRPr="00A86E6B">
        <w:rPr>
          <w:color w:val="000000" w:themeColor="text1"/>
          <w:szCs w:val="26"/>
        </w:rPr>
        <w:t>40 Cal.4th 1094</w:t>
      </w:r>
      <w:r w:rsidRPr="00A86E6B">
        <w:rPr>
          <w:color w:val="000000" w:themeColor="text1"/>
          <w:szCs w:val="26"/>
        </w:rPr>
        <w:t xml:space="preserve">, </w:t>
      </w:r>
      <w:r w:rsidR="00922973" w:rsidRPr="00A86E6B">
        <w:rPr>
          <w:color w:val="000000" w:themeColor="text1"/>
          <w:szCs w:val="26"/>
        </w:rPr>
        <w:t xml:space="preserve">where </w:t>
      </w:r>
      <w:r w:rsidR="00E95715" w:rsidRPr="00A86E6B">
        <w:rPr>
          <w:szCs w:val="26"/>
        </w:rPr>
        <w:t>we considered the applicable statute of limitations for claims that an employee had been denied meal or rest breaks.</w:t>
      </w:r>
      <w:r w:rsidR="006F4772" w:rsidRPr="00A86E6B">
        <w:rPr>
          <w:szCs w:val="26"/>
        </w:rPr>
        <w:t xml:space="preserve"> </w:t>
      </w:r>
      <w:r w:rsidR="00E95715" w:rsidRPr="00A86E6B">
        <w:rPr>
          <w:szCs w:val="26"/>
        </w:rPr>
        <w:t xml:space="preserve"> Because Code of Civil Procedure section 340 prescribes one period for penalty claims</w:t>
      </w:r>
      <w:r w:rsidR="00D7783C">
        <w:rPr>
          <w:szCs w:val="26"/>
        </w:rPr>
        <w:t>,</w:t>
      </w:r>
      <w:r w:rsidR="00E95715" w:rsidRPr="00A86E6B">
        <w:rPr>
          <w:szCs w:val="26"/>
        </w:rPr>
        <w:t xml:space="preserve"> and </w:t>
      </w:r>
      <w:r w:rsidR="006549DE" w:rsidRPr="00A86E6B">
        <w:rPr>
          <w:szCs w:val="26"/>
        </w:rPr>
        <w:t xml:space="preserve">Code of Civil Procedure </w:t>
      </w:r>
      <w:r w:rsidR="00E95715" w:rsidRPr="00A86E6B">
        <w:rPr>
          <w:szCs w:val="26"/>
        </w:rPr>
        <w:t xml:space="preserve">section 338 </w:t>
      </w:r>
      <w:r w:rsidR="00D7783C">
        <w:rPr>
          <w:szCs w:val="26"/>
        </w:rPr>
        <w:t xml:space="preserve">provides </w:t>
      </w:r>
      <w:r w:rsidR="00E95715" w:rsidRPr="00A86E6B">
        <w:rPr>
          <w:szCs w:val="26"/>
        </w:rPr>
        <w:t xml:space="preserve">another for statutory liabilities that are not penalties, </w:t>
      </w:r>
      <w:r w:rsidR="00366AC7" w:rsidRPr="00A86E6B">
        <w:rPr>
          <w:szCs w:val="26"/>
        </w:rPr>
        <w:t>we needed</w:t>
      </w:r>
      <w:r w:rsidR="00E95715" w:rsidRPr="00A86E6B">
        <w:rPr>
          <w:szCs w:val="26"/>
        </w:rPr>
        <w:t xml:space="preserve"> to determine </w:t>
      </w:r>
      <w:r w:rsidR="002D3DCF" w:rsidRPr="00A86E6B">
        <w:rPr>
          <w:szCs w:val="26"/>
        </w:rPr>
        <w:t xml:space="preserve">whether the remedy for a missed break </w:t>
      </w:r>
      <w:r w:rsidR="00366AC7" w:rsidRPr="00A86E6B">
        <w:rPr>
          <w:szCs w:val="26"/>
        </w:rPr>
        <w:t xml:space="preserve">is </w:t>
      </w:r>
      <w:r w:rsidR="002D3DCF" w:rsidRPr="00A86E6B">
        <w:rPr>
          <w:szCs w:val="26"/>
        </w:rPr>
        <w:t>an ordinary statutory liability or a penalty</w:t>
      </w:r>
      <w:r w:rsidR="009B068F" w:rsidRPr="00A86E6B">
        <w:rPr>
          <w:szCs w:val="26"/>
        </w:rPr>
        <w:t>.  We concluded</w:t>
      </w:r>
      <w:r w:rsidR="00BA6443" w:rsidRPr="00A86E6B">
        <w:rPr>
          <w:szCs w:val="26"/>
        </w:rPr>
        <w:t xml:space="preserve"> </w:t>
      </w:r>
      <w:r w:rsidR="009B068F" w:rsidRPr="00A86E6B">
        <w:rPr>
          <w:szCs w:val="26"/>
        </w:rPr>
        <w:t>the Legislature intended for the section 226.7 payment to constitute wage</w:t>
      </w:r>
      <w:r w:rsidR="00FB0C97" w:rsidRPr="00A86E6B">
        <w:rPr>
          <w:szCs w:val="26"/>
        </w:rPr>
        <w:t xml:space="preserve"> compensation</w:t>
      </w:r>
      <w:r w:rsidR="009B068F" w:rsidRPr="00A86E6B">
        <w:rPr>
          <w:szCs w:val="26"/>
        </w:rPr>
        <w:t xml:space="preserve"> and not a penalty.  </w:t>
      </w:r>
      <w:r w:rsidR="00E95715" w:rsidRPr="00A86E6B">
        <w:rPr>
          <w:szCs w:val="26"/>
        </w:rPr>
        <w:t>(</w:t>
      </w:r>
      <w:r w:rsidR="00E95715" w:rsidRPr="00A86E6B">
        <w:rPr>
          <w:i/>
          <w:iCs/>
          <w:szCs w:val="26"/>
        </w:rPr>
        <w:t>Murphy</w:t>
      </w:r>
      <w:r w:rsidR="00E95715" w:rsidRPr="00A86E6B">
        <w:rPr>
          <w:szCs w:val="26"/>
        </w:rPr>
        <w:t xml:space="preserve">, at </w:t>
      </w:r>
      <w:r w:rsidR="00E92837" w:rsidRPr="00A86E6B">
        <w:rPr>
          <w:szCs w:val="26"/>
        </w:rPr>
        <w:t>p</w:t>
      </w:r>
      <w:r w:rsidR="00E95715" w:rsidRPr="00A86E6B">
        <w:rPr>
          <w:szCs w:val="26"/>
        </w:rPr>
        <w:t>p. </w:t>
      </w:r>
      <w:r w:rsidR="00E92837" w:rsidRPr="00A86E6B">
        <w:rPr>
          <w:szCs w:val="26"/>
        </w:rPr>
        <w:t xml:space="preserve">1099, </w:t>
      </w:r>
      <w:r w:rsidR="00E95715" w:rsidRPr="00A86E6B">
        <w:rPr>
          <w:szCs w:val="26"/>
        </w:rPr>
        <w:t>1103.)</w:t>
      </w:r>
    </w:p>
    <w:p w14:paraId="410FBC48" w14:textId="623FBA21" w:rsidR="00BE1565" w:rsidRPr="00A86E6B" w:rsidRDefault="00594DE4" w:rsidP="00A86E6B">
      <w:pPr>
        <w:tabs>
          <w:tab w:val="left" w:pos="1440"/>
        </w:tabs>
        <w:ind w:firstLine="720"/>
        <w:rPr>
          <w:szCs w:val="26"/>
        </w:rPr>
      </w:pPr>
      <w:r w:rsidRPr="00A86E6B">
        <w:rPr>
          <w:szCs w:val="26"/>
        </w:rPr>
        <w:t xml:space="preserve">We explained there, </w:t>
      </w:r>
      <w:r w:rsidR="003A1508" w:rsidRPr="00A86E6B">
        <w:rPr>
          <w:szCs w:val="26"/>
        </w:rPr>
        <w:t xml:space="preserve">as we have </w:t>
      </w:r>
      <w:r w:rsidRPr="00A86E6B">
        <w:rPr>
          <w:szCs w:val="26"/>
        </w:rPr>
        <w:t xml:space="preserve">here, that </w:t>
      </w:r>
      <w:r w:rsidR="00A67954" w:rsidRPr="00A86E6B">
        <w:rPr>
          <w:szCs w:val="26"/>
        </w:rPr>
        <w:t>t</w:t>
      </w:r>
      <w:r w:rsidR="004D2C2F" w:rsidRPr="00A86E6B">
        <w:rPr>
          <w:szCs w:val="26"/>
        </w:rPr>
        <w:t>he “</w:t>
      </w:r>
      <w:r w:rsidR="00E92837" w:rsidRPr="00A86E6B">
        <w:rPr>
          <w:szCs w:val="26"/>
        </w:rPr>
        <w:t> </w:t>
      </w:r>
      <w:r w:rsidR="000912E4" w:rsidRPr="00A86E6B">
        <w:rPr>
          <w:szCs w:val="26"/>
        </w:rPr>
        <w:t>‘</w:t>
      </w:r>
      <w:r w:rsidR="006004BC" w:rsidRPr="00A86E6B">
        <w:rPr>
          <w:szCs w:val="26"/>
        </w:rPr>
        <w:t>additional hour of pay</w:t>
      </w:r>
      <w:r w:rsidR="000912E4" w:rsidRPr="00A86E6B">
        <w:rPr>
          <w:szCs w:val="26"/>
        </w:rPr>
        <w:t>’</w:t>
      </w:r>
      <w:r w:rsidR="00E92837" w:rsidRPr="00A86E6B">
        <w:rPr>
          <w:szCs w:val="26"/>
        </w:rPr>
        <w:t> </w:t>
      </w:r>
      <w:r w:rsidR="006004BC" w:rsidRPr="00A86E6B">
        <w:rPr>
          <w:szCs w:val="26"/>
        </w:rPr>
        <w:t>”</w:t>
      </w:r>
      <w:r w:rsidR="004D2C2F" w:rsidRPr="00A86E6B">
        <w:rPr>
          <w:szCs w:val="26"/>
        </w:rPr>
        <w:t xml:space="preserve"> provided by section 226.7 </w:t>
      </w:r>
      <w:r w:rsidRPr="00A86E6B">
        <w:rPr>
          <w:szCs w:val="26"/>
        </w:rPr>
        <w:t xml:space="preserve">can </w:t>
      </w:r>
      <w:r w:rsidR="004D2C2F" w:rsidRPr="00A86E6B">
        <w:rPr>
          <w:szCs w:val="26"/>
        </w:rPr>
        <w:t xml:space="preserve">be understood </w:t>
      </w:r>
      <w:r w:rsidR="00A67954" w:rsidRPr="00A86E6B">
        <w:rPr>
          <w:szCs w:val="26"/>
        </w:rPr>
        <w:t xml:space="preserve">as </w:t>
      </w:r>
      <w:r w:rsidR="00C0345D" w:rsidRPr="00A86E6B">
        <w:rPr>
          <w:szCs w:val="26"/>
        </w:rPr>
        <w:t>“</w:t>
      </w:r>
      <w:r w:rsidR="00A67954" w:rsidRPr="00A86E6B">
        <w:rPr>
          <w:szCs w:val="26"/>
        </w:rPr>
        <w:t xml:space="preserve">a wage to compensate </w:t>
      </w:r>
      <w:r w:rsidR="00C0345D" w:rsidRPr="00A86E6B">
        <w:rPr>
          <w:szCs w:val="26"/>
        </w:rPr>
        <w:t xml:space="preserve">employees </w:t>
      </w:r>
      <w:r w:rsidR="00A67954" w:rsidRPr="00A86E6B">
        <w:rPr>
          <w:szCs w:val="26"/>
        </w:rPr>
        <w:t xml:space="preserve">for </w:t>
      </w:r>
      <w:r w:rsidR="00C0345D" w:rsidRPr="00A86E6B">
        <w:rPr>
          <w:szCs w:val="26"/>
        </w:rPr>
        <w:t>the</w:t>
      </w:r>
      <w:r w:rsidR="00A67954" w:rsidRPr="00A86E6B">
        <w:rPr>
          <w:szCs w:val="26"/>
        </w:rPr>
        <w:t xml:space="preserve"> work</w:t>
      </w:r>
      <w:r w:rsidR="00C0345D" w:rsidRPr="00A86E6B">
        <w:rPr>
          <w:szCs w:val="26"/>
        </w:rPr>
        <w:t>”</w:t>
      </w:r>
      <w:r w:rsidR="00A67954" w:rsidRPr="00A86E6B">
        <w:rPr>
          <w:szCs w:val="26"/>
        </w:rPr>
        <w:t xml:space="preserve"> </w:t>
      </w:r>
      <w:r w:rsidR="00C81D91" w:rsidRPr="00A86E6B">
        <w:rPr>
          <w:szCs w:val="26"/>
        </w:rPr>
        <w:t xml:space="preserve">they performed </w:t>
      </w:r>
      <w:r w:rsidR="005A1EFE" w:rsidRPr="00A86E6B">
        <w:rPr>
          <w:szCs w:val="26"/>
        </w:rPr>
        <w:t>during a meal or rest period</w:t>
      </w:r>
      <w:r w:rsidR="007150E0" w:rsidRPr="00A86E6B">
        <w:rPr>
          <w:szCs w:val="26"/>
        </w:rPr>
        <w:t xml:space="preserve"> (</w:t>
      </w:r>
      <w:r w:rsidR="007150E0" w:rsidRPr="00A86E6B">
        <w:rPr>
          <w:i/>
          <w:iCs/>
          <w:szCs w:val="26"/>
        </w:rPr>
        <w:t>Murphy</w:t>
      </w:r>
      <w:r w:rsidR="007150E0" w:rsidRPr="00A86E6B">
        <w:rPr>
          <w:szCs w:val="26"/>
        </w:rPr>
        <w:t>,</w:t>
      </w:r>
      <w:r w:rsidR="007150E0" w:rsidRPr="00A86E6B">
        <w:rPr>
          <w:i/>
          <w:iCs/>
          <w:szCs w:val="26"/>
        </w:rPr>
        <w:t xml:space="preserve"> supra</w:t>
      </w:r>
      <w:r w:rsidR="007150E0" w:rsidRPr="00A86E6B">
        <w:rPr>
          <w:szCs w:val="26"/>
        </w:rPr>
        <w:t>, 40 Cal.4th at p. 1104)</w:t>
      </w:r>
      <w:r w:rsidR="00BF603E" w:rsidRPr="00A86E6B">
        <w:rPr>
          <w:szCs w:val="26"/>
        </w:rPr>
        <w:t xml:space="preserve">, </w:t>
      </w:r>
      <w:r w:rsidR="001B4845" w:rsidRPr="00A86E6B">
        <w:rPr>
          <w:szCs w:val="26"/>
        </w:rPr>
        <w:t>much as overtime pay is considered wages to compensate employees for work performed in excess of the number of hours the Legislature deems desirable</w:t>
      </w:r>
      <w:r w:rsidR="00C81D91" w:rsidRPr="00A86E6B">
        <w:rPr>
          <w:szCs w:val="26"/>
        </w:rPr>
        <w:t xml:space="preserve"> </w:t>
      </w:r>
      <w:r w:rsidR="00C0345D" w:rsidRPr="00A86E6B">
        <w:rPr>
          <w:szCs w:val="26"/>
        </w:rPr>
        <w:t>(</w:t>
      </w:r>
      <w:r w:rsidR="006E4F30" w:rsidRPr="00A86E6B">
        <w:rPr>
          <w:i/>
          <w:iCs/>
          <w:szCs w:val="26"/>
        </w:rPr>
        <w:t>id</w:t>
      </w:r>
      <w:r w:rsidR="007150E0" w:rsidRPr="00A86E6B">
        <w:rPr>
          <w:i/>
          <w:iCs/>
          <w:szCs w:val="26"/>
        </w:rPr>
        <w:t>.</w:t>
      </w:r>
      <w:r w:rsidR="00C0345D" w:rsidRPr="00A86E6B">
        <w:rPr>
          <w:szCs w:val="26"/>
        </w:rPr>
        <w:t xml:space="preserve"> at p.</w:t>
      </w:r>
      <w:r w:rsidR="008F79A0">
        <w:rPr>
          <w:szCs w:val="26"/>
        </w:rPr>
        <w:t> </w:t>
      </w:r>
      <w:r w:rsidR="007150E0" w:rsidRPr="00A86E6B">
        <w:rPr>
          <w:szCs w:val="26"/>
        </w:rPr>
        <w:t>1109</w:t>
      </w:r>
      <w:r w:rsidR="00C0345D" w:rsidRPr="00A86E6B">
        <w:rPr>
          <w:szCs w:val="26"/>
        </w:rPr>
        <w:t>).</w:t>
      </w:r>
      <w:r w:rsidR="00D85883" w:rsidRPr="00A86E6B">
        <w:rPr>
          <w:szCs w:val="26"/>
        </w:rPr>
        <w:t xml:space="preserve">  </w:t>
      </w:r>
      <w:r w:rsidR="006B7637" w:rsidRPr="00A86E6B">
        <w:rPr>
          <w:szCs w:val="26"/>
        </w:rPr>
        <w:t>Indeed, w</w:t>
      </w:r>
      <w:r w:rsidR="00D85883" w:rsidRPr="00A86E6B">
        <w:rPr>
          <w:szCs w:val="26"/>
        </w:rPr>
        <w:t xml:space="preserve">e noted that the IWC commissioners who first </w:t>
      </w:r>
      <w:r w:rsidR="00791207" w:rsidRPr="00A86E6B">
        <w:rPr>
          <w:szCs w:val="26"/>
        </w:rPr>
        <w:t xml:space="preserve">decided to </w:t>
      </w:r>
      <w:r w:rsidR="00D85883" w:rsidRPr="00A86E6B">
        <w:rPr>
          <w:szCs w:val="26"/>
        </w:rPr>
        <w:t>adopt the “</w:t>
      </w:r>
      <w:r w:rsidR="00FD6E43" w:rsidRPr="00A86E6B">
        <w:rPr>
          <w:szCs w:val="26"/>
        </w:rPr>
        <w:t> </w:t>
      </w:r>
      <w:r w:rsidR="00D85883" w:rsidRPr="00A86E6B">
        <w:rPr>
          <w:szCs w:val="26"/>
        </w:rPr>
        <w:t>‘hour of pay’ remedy</w:t>
      </w:r>
      <w:r w:rsidR="006004BC" w:rsidRPr="00A86E6B">
        <w:rPr>
          <w:szCs w:val="26"/>
        </w:rPr>
        <w:t>”</w:t>
      </w:r>
      <w:r w:rsidR="00D85883" w:rsidRPr="00A86E6B">
        <w:rPr>
          <w:szCs w:val="26"/>
        </w:rPr>
        <w:t xml:space="preserve"> for meal and rest </w:t>
      </w:r>
      <w:r w:rsidR="006004BC" w:rsidRPr="00A86E6B">
        <w:rPr>
          <w:szCs w:val="26"/>
        </w:rPr>
        <w:t xml:space="preserve">break </w:t>
      </w:r>
      <w:r w:rsidR="00D85883" w:rsidRPr="00A86E6B">
        <w:rPr>
          <w:szCs w:val="26"/>
        </w:rPr>
        <w:t xml:space="preserve">violations </w:t>
      </w:r>
      <w:r w:rsidR="006B7637" w:rsidRPr="00A86E6B">
        <w:rPr>
          <w:szCs w:val="26"/>
        </w:rPr>
        <w:t xml:space="preserve">had </w:t>
      </w:r>
      <w:r w:rsidR="00D85883" w:rsidRPr="00A86E6B">
        <w:rPr>
          <w:szCs w:val="26"/>
        </w:rPr>
        <w:t>made this very same comparison</w:t>
      </w:r>
      <w:r w:rsidR="00CF5869" w:rsidRPr="00A86E6B">
        <w:rPr>
          <w:szCs w:val="26"/>
        </w:rPr>
        <w:t>.  (</w:t>
      </w:r>
      <w:r w:rsidR="00CF5869" w:rsidRPr="00A86E6B">
        <w:rPr>
          <w:i/>
          <w:iCs/>
          <w:szCs w:val="26"/>
        </w:rPr>
        <w:t>I</w:t>
      </w:r>
      <w:r w:rsidR="008F79A0">
        <w:rPr>
          <w:i/>
          <w:iCs/>
          <w:szCs w:val="26"/>
        </w:rPr>
        <w:t>bid</w:t>
      </w:r>
      <w:r w:rsidR="00CF5869" w:rsidRPr="00A86E6B">
        <w:rPr>
          <w:i/>
          <w:iCs/>
          <w:szCs w:val="26"/>
        </w:rPr>
        <w:t>.</w:t>
      </w:r>
      <w:r w:rsidR="00E92837" w:rsidRPr="00A86E6B">
        <w:rPr>
          <w:szCs w:val="26"/>
        </w:rPr>
        <w:t xml:space="preserve">; see </w:t>
      </w:r>
      <w:r w:rsidR="00E92837" w:rsidRPr="00A86E6B">
        <w:rPr>
          <w:i/>
          <w:iCs/>
          <w:szCs w:val="26"/>
        </w:rPr>
        <w:t>id.</w:t>
      </w:r>
      <w:r w:rsidR="00E92837" w:rsidRPr="00A86E6B">
        <w:rPr>
          <w:szCs w:val="26"/>
        </w:rPr>
        <w:t xml:space="preserve"> at </w:t>
      </w:r>
      <w:r w:rsidR="006B7637" w:rsidRPr="00A86E6B">
        <w:rPr>
          <w:szCs w:val="26"/>
        </w:rPr>
        <w:t>p</w:t>
      </w:r>
      <w:r w:rsidR="007150E0" w:rsidRPr="00A86E6B">
        <w:rPr>
          <w:szCs w:val="26"/>
        </w:rPr>
        <w:t>p</w:t>
      </w:r>
      <w:r w:rsidR="006B7637" w:rsidRPr="00A86E6B">
        <w:rPr>
          <w:szCs w:val="26"/>
        </w:rPr>
        <w:t>.</w:t>
      </w:r>
      <w:r w:rsidR="002A4368" w:rsidRPr="00A86E6B">
        <w:rPr>
          <w:szCs w:val="26"/>
        </w:rPr>
        <w:t> </w:t>
      </w:r>
      <w:r w:rsidR="007150E0" w:rsidRPr="00A86E6B">
        <w:rPr>
          <w:szCs w:val="26"/>
        </w:rPr>
        <w:t>1109–</w:t>
      </w:r>
      <w:r w:rsidR="006B7637" w:rsidRPr="00A86E6B">
        <w:rPr>
          <w:szCs w:val="26"/>
        </w:rPr>
        <w:t>1110.)</w:t>
      </w:r>
      <w:r w:rsidR="00BC4A0E" w:rsidRPr="00A86E6B">
        <w:rPr>
          <w:szCs w:val="26"/>
        </w:rPr>
        <w:t xml:space="preserve">  </w:t>
      </w:r>
      <w:r w:rsidR="002B05AD" w:rsidRPr="00A86E6B">
        <w:rPr>
          <w:szCs w:val="26"/>
        </w:rPr>
        <w:t>We also noted that during the drafting process, the Legislature “eliminated the requirement that an employee file an enforcement action, instead creating an affirmative obligation on the employer to pay the employee one hour of pay,” an obligation that makes the employee entitled to missed</w:t>
      </w:r>
      <w:r w:rsidR="00B33C15">
        <w:rPr>
          <w:szCs w:val="26"/>
        </w:rPr>
        <w:t>-</w:t>
      </w:r>
      <w:r w:rsidR="002B05AD" w:rsidRPr="00A86E6B">
        <w:rPr>
          <w:szCs w:val="26"/>
        </w:rPr>
        <w:t>break premium pay “immediately upon being forced to miss a rest or meal period.”  (</w:t>
      </w:r>
      <w:r w:rsidR="006E4F30" w:rsidRPr="00A86E6B">
        <w:rPr>
          <w:i/>
          <w:iCs/>
          <w:szCs w:val="26"/>
        </w:rPr>
        <w:t>Id.</w:t>
      </w:r>
      <w:r w:rsidR="002B05AD" w:rsidRPr="00A86E6B">
        <w:rPr>
          <w:szCs w:val="26"/>
        </w:rPr>
        <w:t xml:space="preserve"> at p. 1108.)  </w:t>
      </w:r>
      <w:r w:rsidR="00123516" w:rsidRPr="00A86E6B">
        <w:rPr>
          <w:szCs w:val="26"/>
        </w:rPr>
        <w:t xml:space="preserve">“In that way,” we </w:t>
      </w:r>
      <w:r w:rsidR="006E4F30" w:rsidRPr="00A86E6B">
        <w:rPr>
          <w:szCs w:val="26"/>
        </w:rPr>
        <w:t>said</w:t>
      </w:r>
      <w:r w:rsidR="00123516" w:rsidRPr="00A86E6B">
        <w:rPr>
          <w:szCs w:val="26"/>
        </w:rPr>
        <w:t>, “a payment owed pursuant to section 226.7 is akin to an employee’s immediate entitlement to payment of wages or for overtime.”</w:t>
      </w:r>
      <w:r w:rsidR="000218B3" w:rsidRPr="00A86E6B">
        <w:rPr>
          <w:szCs w:val="26"/>
        </w:rPr>
        <w:t xml:space="preserve">  (</w:t>
      </w:r>
      <w:r w:rsidR="0043511A" w:rsidRPr="00A86E6B">
        <w:rPr>
          <w:i/>
          <w:iCs/>
          <w:szCs w:val="26"/>
        </w:rPr>
        <w:t>Ibid.</w:t>
      </w:r>
      <w:r w:rsidR="000218B3" w:rsidRPr="00A86E6B">
        <w:rPr>
          <w:szCs w:val="26"/>
        </w:rPr>
        <w:t xml:space="preserve">)  </w:t>
      </w:r>
      <w:r w:rsidR="007D6F9D" w:rsidRPr="00A86E6B">
        <w:rPr>
          <w:szCs w:val="26"/>
        </w:rPr>
        <w:t>We observed that “the amount of the payment is linked to an employee’s rate of compensation, rather than a prescribed fixed amount,” a method of calculation that “further supports the position that section 226.7 payments are a form of wages.”  (</w:t>
      </w:r>
      <w:r w:rsidR="007D6F9D" w:rsidRPr="00A86E6B">
        <w:rPr>
          <w:i/>
          <w:iCs/>
          <w:szCs w:val="26"/>
        </w:rPr>
        <w:t>Id.</w:t>
      </w:r>
      <w:r w:rsidR="007D6F9D" w:rsidRPr="00A86E6B">
        <w:rPr>
          <w:szCs w:val="26"/>
        </w:rPr>
        <w:t xml:space="preserve"> at p. 1114.)  </w:t>
      </w:r>
      <w:r w:rsidR="000218B3" w:rsidRPr="00A86E6B">
        <w:rPr>
          <w:szCs w:val="26"/>
        </w:rPr>
        <w:t xml:space="preserve">Finally, we explained </w:t>
      </w:r>
      <w:r w:rsidR="00BC4A0E" w:rsidRPr="00A86E6B">
        <w:rPr>
          <w:szCs w:val="26"/>
        </w:rPr>
        <w:t>that</w:t>
      </w:r>
      <w:r w:rsidR="00DA49F3" w:rsidRPr="00A86E6B">
        <w:rPr>
          <w:szCs w:val="26"/>
        </w:rPr>
        <w:t>, as a functional matter,</w:t>
      </w:r>
      <w:r w:rsidR="006E6F92" w:rsidRPr="00A86E6B">
        <w:rPr>
          <w:szCs w:val="26"/>
        </w:rPr>
        <w:t xml:space="preserve"> </w:t>
      </w:r>
      <w:r w:rsidR="00651A5C" w:rsidRPr="00A86E6B">
        <w:rPr>
          <w:szCs w:val="26"/>
        </w:rPr>
        <w:t xml:space="preserve">neither any ancillary impact in shaping employer behavior, nor the fact premium pay </w:t>
      </w:r>
      <w:r w:rsidR="006E4F30" w:rsidRPr="00A86E6B">
        <w:rPr>
          <w:szCs w:val="26"/>
        </w:rPr>
        <w:t xml:space="preserve">is </w:t>
      </w:r>
      <w:r w:rsidR="00651A5C" w:rsidRPr="00A86E6B">
        <w:rPr>
          <w:szCs w:val="26"/>
        </w:rPr>
        <w:t xml:space="preserve">not calculated based on the amount of rest lost, </w:t>
      </w:r>
      <w:r w:rsidR="006E4F30" w:rsidRPr="00A86E6B">
        <w:rPr>
          <w:szCs w:val="26"/>
        </w:rPr>
        <w:t xml:space="preserve">precludes </w:t>
      </w:r>
      <w:r w:rsidR="00651A5C" w:rsidRPr="00A86E6B">
        <w:rPr>
          <w:szCs w:val="26"/>
        </w:rPr>
        <w:t>a determination that “the ‘additional hour of pay’ ” provided for by section 226.7 “is a premium wage intended to compensate employees</w:t>
      </w:r>
      <w:r w:rsidR="00247A1B" w:rsidRPr="00A86E6B">
        <w:rPr>
          <w:szCs w:val="26"/>
        </w:rPr>
        <w:t>, not a penalty</w:t>
      </w:r>
      <w:r w:rsidR="00651A5C" w:rsidRPr="00A86E6B">
        <w:rPr>
          <w:szCs w:val="26"/>
        </w:rPr>
        <w:t>.”  (</w:t>
      </w:r>
      <w:r w:rsidR="00651A5C" w:rsidRPr="00A86E6B">
        <w:rPr>
          <w:i/>
          <w:iCs/>
          <w:szCs w:val="26"/>
        </w:rPr>
        <w:t>Murphy</w:t>
      </w:r>
      <w:r w:rsidR="00651A5C" w:rsidRPr="00A86E6B">
        <w:rPr>
          <w:szCs w:val="26"/>
        </w:rPr>
        <w:t>, at p. 1114.)</w:t>
      </w:r>
    </w:p>
    <w:p w14:paraId="7F46D7B4" w14:textId="64C39038" w:rsidR="007F57E6" w:rsidRPr="00A86E6B" w:rsidRDefault="00F42A8A" w:rsidP="00A86E6B">
      <w:pPr>
        <w:tabs>
          <w:tab w:val="left" w:pos="1440"/>
        </w:tabs>
        <w:ind w:firstLine="720"/>
      </w:pPr>
      <w:r w:rsidRPr="00A86E6B">
        <w:rPr>
          <w:szCs w:val="26"/>
        </w:rPr>
        <w:t>N</w:t>
      </w:r>
      <w:r w:rsidR="0089058D" w:rsidRPr="00A86E6B">
        <w:rPr>
          <w:szCs w:val="26"/>
        </w:rPr>
        <w:t>otwithstanding</w:t>
      </w:r>
      <w:r w:rsidR="0084151F">
        <w:rPr>
          <w:szCs w:val="26"/>
        </w:rPr>
        <w:t xml:space="preserve"> </w:t>
      </w:r>
      <w:r w:rsidR="0089058D" w:rsidRPr="00A86E6B">
        <w:rPr>
          <w:i/>
          <w:iCs/>
          <w:szCs w:val="26"/>
        </w:rPr>
        <w:t>Murphy</w:t>
      </w:r>
      <w:r w:rsidR="0089058D" w:rsidRPr="00A86E6B">
        <w:rPr>
          <w:szCs w:val="26"/>
        </w:rPr>
        <w:t xml:space="preserve">’s unambiguous pronouncement that section 226.7 </w:t>
      </w:r>
      <w:r w:rsidR="00FF2CE1" w:rsidRPr="00A86E6B">
        <w:rPr>
          <w:szCs w:val="26"/>
        </w:rPr>
        <w:t xml:space="preserve">premium pay </w:t>
      </w:r>
      <w:r w:rsidR="0089058D" w:rsidRPr="00A86E6B">
        <w:rPr>
          <w:szCs w:val="26"/>
        </w:rPr>
        <w:t>is indeed a wage designed to compensate employees</w:t>
      </w:r>
      <w:r w:rsidR="00BA2236">
        <w:rPr>
          <w:szCs w:val="26"/>
        </w:rPr>
        <w:t xml:space="preserve"> for work</w:t>
      </w:r>
      <w:r w:rsidR="001845F3" w:rsidRPr="00A86E6B">
        <w:rPr>
          <w:szCs w:val="26"/>
        </w:rPr>
        <w:t xml:space="preserve">, </w:t>
      </w:r>
      <w:r w:rsidR="00997D96" w:rsidRPr="00A86E6B">
        <w:rPr>
          <w:szCs w:val="26"/>
        </w:rPr>
        <w:t xml:space="preserve">Spectrum argues that </w:t>
      </w:r>
      <w:r w:rsidR="0089058D" w:rsidRPr="00A86E6B">
        <w:rPr>
          <w:i/>
          <w:iCs/>
          <w:szCs w:val="26"/>
        </w:rPr>
        <w:t>Murphy</w:t>
      </w:r>
      <w:r w:rsidR="0089058D" w:rsidRPr="00A86E6B">
        <w:rPr>
          <w:szCs w:val="26"/>
        </w:rPr>
        <w:t xml:space="preserve"> </w:t>
      </w:r>
      <w:r w:rsidR="0090650E" w:rsidRPr="00A86E6B">
        <w:rPr>
          <w:szCs w:val="26"/>
        </w:rPr>
        <w:t xml:space="preserve">somehow </w:t>
      </w:r>
      <w:r w:rsidR="0089058D" w:rsidRPr="002D7C1C">
        <w:rPr>
          <w:szCs w:val="26"/>
        </w:rPr>
        <w:t>hurts</w:t>
      </w:r>
      <w:r w:rsidR="0089058D" w:rsidRPr="00A86E6B">
        <w:rPr>
          <w:szCs w:val="26"/>
        </w:rPr>
        <w:t xml:space="preserve"> </w:t>
      </w:r>
      <w:r w:rsidR="00476631">
        <w:rPr>
          <w:szCs w:val="26"/>
        </w:rPr>
        <w:t>the</w:t>
      </w:r>
      <w:r w:rsidR="00476631" w:rsidRPr="00A86E6B">
        <w:rPr>
          <w:szCs w:val="26"/>
        </w:rPr>
        <w:t xml:space="preserve"> </w:t>
      </w:r>
      <w:r w:rsidR="0089058D" w:rsidRPr="00A86E6B">
        <w:rPr>
          <w:szCs w:val="26"/>
        </w:rPr>
        <w:t>case for treating premium pay as wages</w:t>
      </w:r>
      <w:r w:rsidR="00356563" w:rsidRPr="00A86E6B">
        <w:rPr>
          <w:szCs w:val="26"/>
        </w:rPr>
        <w:t xml:space="preserve"> rather than helping it</w:t>
      </w:r>
      <w:r w:rsidR="0089058D" w:rsidRPr="00A86E6B">
        <w:rPr>
          <w:szCs w:val="26"/>
        </w:rPr>
        <w:t>.</w:t>
      </w:r>
      <w:r w:rsidR="009F09B8" w:rsidRPr="00A86E6B">
        <w:rPr>
          <w:szCs w:val="26"/>
        </w:rPr>
        <w:t xml:space="preserve"> </w:t>
      </w:r>
      <w:r w:rsidR="00FF2CE1" w:rsidRPr="00A86E6B">
        <w:rPr>
          <w:szCs w:val="26"/>
        </w:rPr>
        <w:t xml:space="preserve"> </w:t>
      </w:r>
      <w:r w:rsidR="00922E1D" w:rsidRPr="00A86E6B">
        <w:rPr>
          <w:szCs w:val="26"/>
        </w:rPr>
        <w:t xml:space="preserve">In support of this rather curious argument, </w:t>
      </w:r>
      <w:r w:rsidR="002613E3" w:rsidRPr="00A86E6B">
        <w:rPr>
          <w:szCs w:val="26"/>
        </w:rPr>
        <w:t>Spectrum</w:t>
      </w:r>
      <w:r w:rsidR="009F09B8" w:rsidRPr="00A86E6B">
        <w:rPr>
          <w:szCs w:val="26"/>
        </w:rPr>
        <w:t xml:space="preserve"> </w:t>
      </w:r>
      <w:r w:rsidR="000D69ED" w:rsidRPr="00A86E6B">
        <w:rPr>
          <w:szCs w:val="26"/>
        </w:rPr>
        <w:t xml:space="preserve">fixates </w:t>
      </w:r>
      <w:r w:rsidR="00D2699C" w:rsidRPr="00A86E6B">
        <w:rPr>
          <w:szCs w:val="26"/>
        </w:rPr>
        <w:t xml:space="preserve">on language describing </w:t>
      </w:r>
      <w:r w:rsidR="007F57E6" w:rsidRPr="00A86E6B">
        <w:rPr>
          <w:szCs w:val="26"/>
        </w:rPr>
        <w:t>missed</w:t>
      </w:r>
      <w:r w:rsidR="00B33C15">
        <w:rPr>
          <w:szCs w:val="26"/>
        </w:rPr>
        <w:t>-</w:t>
      </w:r>
      <w:r w:rsidR="007F57E6" w:rsidRPr="00A86E6B">
        <w:rPr>
          <w:szCs w:val="26"/>
        </w:rPr>
        <w:t>break premium pay</w:t>
      </w:r>
      <w:r w:rsidR="007324BD" w:rsidRPr="00A86E6B">
        <w:rPr>
          <w:szCs w:val="26"/>
        </w:rPr>
        <w:t>, like overtime pay or split shift pay,</w:t>
      </w:r>
      <w:r w:rsidR="007F57E6" w:rsidRPr="00A86E6B">
        <w:rPr>
          <w:szCs w:val="26"/>
        </w:rPr>
        <w:t xml:space="preserve"> as “compensat[ing] the employee for events </w:t>
      </w:r>
      <w:r w:rsidR="007F57E6" w:rsidRPr="00A86E6B">
        <w:rPr>
          <w:i/>
          <w:iCs/>
          <w:szCs w:val="26"/>
        </w:rPr>
        <w:t>other than time spent working</w:t>
      </w:r>
      <w:r w:rsidR="007F57E6" w:rsidRPr="00A86E6B">
        <w:rPr>
          <w:szCs w:val="26"/>
        </w:rPr>
        <w:t>” (</w:t>
      </w:r>
      <w:r w:rsidR="007F57E6" w:rsidRPr="00A86E6B">
        <w:rPr>
          <w:i/>
          <w:iCs/>
          <w:szCs w:val="26"/>
        </w:rPr>
        <w:t>Murphy</w:t>
      </w:r>
      <w:r w:rsidR="007F57E6" w:rsidRPr="00A86E6B">
        <w:rPr>
          <w:szCs w:val="26"/>
        </w:rPr>
        <w:t xml:space="preserve">, </w:t>
      </w:r>
      <w:r w:rsidR="007F57E6" w:rsidRPr="00A86E6B">
        <w:rPr>
          <w:i/>
          <w:iCs/>
          <w:szCs w:val="26"/>
        </w:rPr>
        <w:t>supra</w:t>
      </w:r>
      <w:r w:rsidR="007F57E6" w:rsidRPr="00A86E6B">
        <w:rPr>
          <w:szCs w:val="26"/>
        </w:rPr>
        <w:t>, 40 Cal.4th at p. 1113</w:t>
      </w:r>
      <w:r w:rsidR="008215BD" w:rsidRPr="00A86E6B">
        <w:rPr>
          <w:szCs w:val="26"/>
        </w:rPr>
        <w:t>, italics added</w:t>
      </w:r>
      <w:r w:rsidR="007F57E6" w:rsidRPr="00A86E6B">
        <w:rPr>
          <w:szCs w:val="26"/>
        </w:rPr>
        <w:t xml:space="preserve">; accord, </w:t>
      </w:r>
      <w:r w:rsidR="007F57E6" w:rsidRPr="00A86E6B">
        <w:rPr>
          <w:i/>
          <w:iCs/>
          <w:szCs w:val="26"/>
        </w:rPr>
        <w:t>Ferra v. Loews Hollywood Hotel, LLC</w:t>
      </w:r>
      <w:r w:rsidR="007F57E6" w:rsidRPr="00A86E6B">
        <w:rPr>
          <w:szCs w:val="26"/>
        </w:rPr>
        <w:t xml:space="preserve">, </w:t>
      </w:r>
      <w:r w:rsidR="007F57E6" w:rsidRPr="00A86E6B">
        <w:rPr>
          <w:i/>
          <w:iCs/>
          <w:szCs w:val="26"/>
        </w:rPr>
        <w:t>supra</w:t>
      </w:r>
      <w:r w:rsidR="007F57E6" w:rsidRPr="00A86E6B">
        <w:rPr>
          <w:szCs w:val="26"/>
        </w:rPr>
        <w:t>, 11 Cal.5th at p. 876)</w:t>
      </w:r>
      <w:r w:rsidR="006E4F30" w:rsidRPr="00A86E6B">
        <w:rPr>
          <w:szCs w:val="26"/>
        </w:rPr>
        <w:t>,</w:t>
      </w:r>
      <w:r w:rsidR="006D35B4" w:rsidRPr="00A86E6B">
        <w:rPr>
          <w:szCs w:val="26"/>
        </w:rPr>
        <w:t xml:space="preserve"> </w:t>
      </w:r>
      <w:r w:rsidR="008117F3" w:rsidRPr="00A86E6B">
        <w:rPr>
          <w:szCs w:val="26"/>
        </w:rPr>
        <w:t xml:space="preserve">which </w:t>
      </w:r>
      <w:r w:rsidR="006D35B4" w:rsidRPr="00A86E6B">
        <w:rPr>
          <w:szCs w:val="26"/>
        </w:rPr>
        <w:t xml:space="preserve">Spectrum understands to </w:t>
      </w:r>
      <w:r w:rsidR="000912E4" w:rsidRPr="00A86E6B">
        <w:rPr>
          <w:szCs w:val="26"/>
        </w:rPr>
        <w:t>mean</w:t>
      </w:r>
      <w:r w:rsidR="007E1F59" w:rsidRPr="00A86E6B">
        <w:rPr>
          <w:szCs w:val="26"/>
        </w:rPr>
        <w:t xml:space="preserve"> that </w:t>
      </w:r>
      <w:r w:rsidR="006D35B4" w:rsidRPr="00A86E6B">
        <w:rPr>
          <w:szCs w:val="26"/>
        </w:rPr>
        <w:t>premium pay is not actually compensation for work</w:t>
      </w:r>
      <w:r w:rsidR="007150E0" w:rsidRPr="00A86E6B">
        <w:rPr>
          <w:szCs w:val="26"/>
        </w:rPr>
        <w:t>.</w:t>
      </w:r>
      <w:r w:rsidR="00B66E2B" w:rsidRPr="00A86E6B">
        <w:rPr>
          <w:szCs w:val="26"/>
        </w:rPr>
        <w:t xml:space="preserve">  </w:t>
      </w:r>
      <w:r w:rsidR="002312A6" w:rsidRPr="00A86E6B">
        <w:rPr>
          <w:szCs w:val="26"/>
        </w:rPr>
        <w:t xml:space="preserve">Of course, </w:t>
      </w:r>
      <w:r w:rsidR="00E46870" w:rsidRPr="00A86E6B">
        <w:rPr>
          <w:szCs w:val="26"/>
        </w:rPr>
        <w:t xml:space="preserve">Spectrum reads the language out of context and </w:t>
      </w:r>
      <w:r w:rsidR="0043511A" w:rsidRPr="00A86E6B">
        <w:rPr>
          <w:szCs w:val="26"/>
        </w:rPr>
        <w:t>so</w:t>
      </w:r>
      <w:r w:rsidR="00E46870" w:rsidRPr="00A86E6B">
        <w:rPr>
          <w:szCs w:val="26"/>
        </w:rPr>
        <w:t xml:space="preserve"> misunderstands it.</w:t>
      </w:r>
      <w:r w:rsidR="00CD76B8" w:rsidRPr="00A86E6B">
        <w:rPr>
          <w:szCs w:val="26"/>
        </w:rPr>
        <w:t xml:space="preserve">  </w:t>
      </w:r>
      <w:r w:rsidR="003C344E" w:rsidRPr="00A86E6B">
        <w:rPr>
          <w:szCs w:val="26"/>
        </w:rPr>
        <w:t xml:space="preserve">The </w:t>
      </w:r>
      <w:r w:rsidR="006E4F30" w:rsidRPr="00A86E6B">
        <w:rPr>
          <w:szCs w:val="26"/>
        </w:rPr>
        <w:t>passage</w:t>
      </w:r>
      <w:r w:rsidR="003C344E" w:rsidRPr="00A86E6B">
        <w:rPr>
          <w:szCs w:val="26"/>
        </w:rPr>
        <w:t xml:space="preserve"> responded to </w:t>
      </w:r>
      <w:r w:rsidR="006E4F30" w:rsidRPr="00A86E6B">
        <w:rPr>
          <w:szCs w:val="26"/>
        </w:rPr>
        <w:t xml:space="preserve">an </w:t>
      </w:r>
      <w:r w:rsidR="003C344E" w:rsidRPr="00A86E6B">
        <w:rPr>
          <w:szCs w:val="26"/>
        </w:rPr>
        <w:t>argument that premium pay must be a penalty because “it is imposed without reference to actual damage, since an hour of pay is owed whether the employee has missed an unpaid 30-minute meal period, two paid 10-minute rest periods, or some combination thereof.”  (</w:t>
      </w:r>
      <w:r w:rsidR="003C344E" w:rsidRPr="00A86E6B">
        <w:rPr>
          <w:i/>
          <w:iCs/>
          <w:szCs w:val="26"/>
        </w:rPr>
        <w:t>Murphy</w:t>
      </w:r>
      <w:r w:rsidR="003C344E" w:rsidRPr="00A86E6B">
        <w:rPr>
          <w:szCs w:val="26"/>
        </w:rPr>
        <w:t>, at p.</w:t>
      </w:r>
      <w:r w:rsidR="00FD6E43" w:rsidRPr="00A86E6B">
        <w:rPr>
          <w:szCs w:val="26"/>
        </w:rPr>
        <w:t> </w:t>
      </w:r>
      <w:r w:rsidR="003C344E" w:rsidRPr="00A86E6B">
        <w:rPr>
          <w:szCs w:val="26"/>
        </w:rPr>
        <w:t>1112.)</w:t>
      </w:r>
      <w:r w:rsidR="00CD76B8" w:rsidRPr="00A86E6B">
        <w:rPr>
          <w:szCs w:val="26"/>
        </w:rPr>
        <w:t xml:space="preserve">  The court </w:t>
      </w:r>
      <w:r w:rsidR="00987E72" w:rsidRPr="00A86E6B">
        <w:rPr>
          <w:szCs w:val="26"/>
        </w:rPr>
        <w:t xml:space="preserve">explained </w:t>
      </w:r>
      <w:r w:rsidR="00CD76B8" w:rsidRPr="00A86E6B">
        <w:rPr>
          <w:szCs w:val="26"/>
        </w:rPr>
        <w:t xml:space="preserve">that while it is true </w:t>
      </w:r>
      <w:r w:rsidR="00987E72" w:rsidRPr="00A86E6B">
        <w:rPr>
          <w:szCs w:val="26"/>
        </w:rPr>
        <w:t xml:space="preserve">the amount of </w:t>
      </w:r>
      <w:r w:rsidR="00CD76B8" w:rsidRPr="00A86E6B">
        <w:rPr>
          <w:szCs w:val="26"/>
        </w:rPr>
        <w:t xml:space="preserve">premium pay </w:t>
      </w:r>
      <w:r w:rsidR="006E4F30" w:rsidRPr="00A86E6B">
        <w:rPr>
          <w:szCs w:val="26"/>
        </w:rPr>
        <w:t>is not calibrated to</w:t>
      </w:r>
      <w:r w:rsidR="00CD76B8" w:rsidRPr="00A86E6B">
        <w:rPr>
          <w:szCs w:val="26"/>
        </w:rPr>
        <w:t xml:space="preserve"> </w:t>
      </w:r>
      <w:r w:rsidR="001D0A09" w:rsidRPr="00A86E6B">
        <w:rPr>
          <w:szCs w:val="26"/>
        </w:rPr>
        <w:t xml:space="preserve">compensate the employee </w:t>
      </w:r>
      <w:r w:rsidR="007150E0" w:rsidRPr="00A86E6B">
        <w:rPr>
          <w:szCs w:val="26"/>
        </w:rPr>
        <w:t xml:space="preserve">according to </w:t>
      </w:r>
      <w:r w:rsidR="001D0A09" w:rsidRPr="00A86E6B">
        <w:rPr>
          <w:szCs w:val="26"/>
        </w:rPr>
        <w:t xml:space="preserve">the </w:t>
      </w:r>
      <w:r w:rsidR="004C73E2" w:rsidRPr="00A86E6B">
        <w:rPr>
          <w:szCs w:val="26"/>
        </w:rPr>
        <w:t xml:space="preserve">specific </w:t>
      </w:r>
      <w:r w:rsidR="001D0A09" w:rsidRPr="00A86E6B">
        <w:rPr>
          <w:szCs w:val="26"/>
        </w:rPr>
        <w:t xml:space="preserve">amount of time </w:t>
      </w:r>
      <w:r w:rsidR="00CD76B8" w:rsidRPr="00A86E6B">
        <w:rPr>
          <w:szCs w:val="26"/>
        </w:rPr>
        <w:t xml:space="preserve">spent working, the same is true of </w:t>
      </w:r>
      <w:r w:rsidR="00987E72" w:rsidRPr="00A86E6B">
        <w:rPr>
          <w:szCs w:val="26"/>
        </w:rPr>
        <w:t>other forms of wage compensation</w:t>
      </w:r>
      <w:r w:rsidR="001D0A09" w:rsidRPr="00A86E6B">
        <w:rPr>
          <w:szCs w:val="26"/>
        </w:rPr>
        <w:t xml:space="preserve">, such as </w:t>
      </w:r>
      <w:r w:rsidR="00535926" w:rsidRPr="00A86E6B">
        <w:rPr>
          <w:szCs w:val="26"/>
        </w:rPr>
        <w:t>split-shift pay</w:t>
      </w:r>
      <w:r w:rsidR="001D0A09" w:rsidRPr="00A86E6B">
        <w:rPr>
          <w:szCs w:val="26"/>
        </w:rPr>
        <w:t xml:space="preserve">, </w:t>
      </w:r>
      <w:r w:rsidR="00535926" w:rsidRPr="00A86E6B">
        <w:rPr>
          <w:szCs w:val="26"/>
        </w:rPr>
        <w:t xml:space="preserve">that </w:t>
      </w:r>
      <w:r w:rsidR="00453809" w:rsidRPr="00A86E6B">
        <w:rPr>
          <w:szCs w:val="26"/>
        </w:rPr>
        <w:t xml:space="preserve">also </w:t>
      </w:r>
      <w:r w:rsidR="001D0A09" w:rsidRPr="00A86E6B">
        <w:rPr>
          <w:szCs w:val="26"/>
        </w:rPr>
        <w:t xml:space="preserve">compensate for particular hardships accompanying </w:t>
      </w:r>
      <w:r w:rsidR="00535926" w:rsidRPr="00A86E6B">
        <w:rPr>
          <w:szCs w:val="26"/>
        </w:rPr>
        <w:t>the work performed</w:t>
      </w:r>
      <w:r w:rsidR="00987E72" w:rsidRPr="00A86E6B">
        <w:rPr>
          <w:szCs w:val="26"/>
        </w:rPr>
        <w:t xml:space="preserve">.  </w:t>
      </w:r>
      <w:r w:rsidR="00FC53D4" w:rsidRPr="00A86E6B">
        <w:rPr>
          <w:szCs w:val="26"/>
        </w:rPr>
        <w:t>(</w:t>
      </w:r>
      <w:r w:rsidR="004A02EF" w:rsidRPr="00A86E6B">
        <w:rPr>
          <w:i/>
          <w:iCs/>
          <w:szCs w:val="26"/>
        </w:rPr>
        <w:t>Id.</w:t>
      </w:r>
      <w:r w:rsidR="004A02EF" w:rsidRPr="00A86E6B">
        <w:rPr>
          <w:szCs w:val="26"/>
        </w:rPr>
        <w:t xml:space="preserve"> </w:t>
      </w:r>
      <w:r w:rsidR="0024694F" w:rsidRPr="00A86E6B">
        <w:rPr>
          <w:szCs w:val="26"/>
        </w:rPr>
        <w:t>at p.</w:t>
      </w:r>
      <w:r w:rsidR="00FD6E43" w:rsidRPr="00A86E6B">
        <w:rPr>
          <w:szCs w:val="26"/>
        </w:rPr>
        <w:t> </w:t>
      </w:r>
      <w:r w:rsidR="0024694F" w:rsidRPr="00A86E6B">
        <w:rPr>
          <w:szCs w:val="26"/>
        </w:rPr>
        <w:t>1113.)</w:t>
      </w:r>
      <w:r w:rsidR="00535926" w:rsidRPr="00A86E6B">
        <w:rPr>
          <w:szCs w:val="26"/>
        </w:rPr>
        <w:t xml:space="preserve">  </w:t>
      </w:r>
      <w:r w:rsidR="0000368F" w:rsidRPr="00A86E6B">
        <w:rPr>
          <w:szCs w:val="26"/>
        </w:rPr>
        <w:t>T</w:t>
      </w:r>
      <w:r w:rsidR="007D202B">
        <w:rPr>
          <w:szCs w:val="26"/>
        </w:rPr>
        <w:t xml:space="preserve">he amount of </w:t>
      </w:r>
      <w:r w:rsidR="0000368F" w:rsidRPr="00A86E6B">
        <w:rPr>
          <w:szCs w:val="26"/>
        </w:rPr>
        <w:t>missed</w:t>
      </w:r>
      <w:r w:rsidR="00B33C15">
        <w:rPr>
          <w:szCs w:val="26"/>
        </w:rPr>
        <w:t>-</w:t>
      </w:r>
      <w:r w:rsidR="0000368F" w:rsidRPr="00A86E6B">
        <w:rPr>
          <w:szCs w:val="26"/>
        </w:rPr>
        <w:t xml:space="preserve">break premium pay </w:t>
      </w:r>
      <w:r w:rsidR="00527FD8">
        <w:rPr>
          <w:szCs w:val="26"/>
        </w:rPr>
        <w:t xml:space="preserve">owed may be </w:t>
      </w:r>
      <w:r w:rsidR="0000368F" w:rsidRPr="00A86E6B">
        <w:rPr>
          <w:szCs w:val="26"/>
        </w:rPr>
        <w:t xml:space="preserve">based on considerations beyond </w:t>
      </w:r>
      <w:r w:rsidR="004C73E2" w:rsidRPr="00A86E6B">
        <w:rPr>
          <w:szCs w:val="26"/>
        </w:rPr>
        <w:t xml:space="preserve">simply the amount of time spent working, </w:t>
      </w:r>
      <w:r w:rsidR="00527FD8">
        <w:rPr>
          <w:szCs w:val="26"/>
        </w:rPr>
        <w:t xml:space="preserve">but that </w:t>
      </w:r>
      <w:r w:rsidR="00F95AE3" w:rsidRPr="00A86E6B">
        <w:rPr>
          <w:szCs w:val="26"/>
        </w:rPr>
        <w:t xml:space="preserve">does not alter the conclusion that </w:t>
      </w:r>
      <w:r w:rsidR="00527FD8">
        <w:rPr>
          <w:szCs w:val="26"/>
        </w:rPr>
        <w:t>it constitutes compensation for work</w:t>
      </w:r>
      <w:r w:rsidR="00BA2236">
        <w:rPr>
          <w:szCs w:val="26"/>
        </w:rPr>
        <w:t>, like other forms of wages</w:t>
      </w:r>
      <w:r w:rsidR="00527FD8">
        <w:rPr>
          <w:szCs w:val="26"/>
        </w:rPr>
        <w:t>.</w:t>
      </w:r>
      <w:r w:rsidR="00FE6B67" w:rsidRPr="00A86E6B">
        <w:rPr>
          <w:szCs w:val="26"/>
        </w:rPr>
        <w:t xml:space="preserve"> </w:t>
      </w:r>
      <w:r w:rsidR="00E64371" w:rsidRPr="00A86E6B">
        <w:rPr>
          <w:szCs w:val="26"/>
        </w:rPr>
        <w:t xml:space="preserve"> </w:t>
      </w:r>
      <w:r w:rsidR="00FE6B67" w:rsidRPr="00A86E6B">
        <w:rPr>
          <w:szCs w:val="26"/>
        </w:rPr>
        <w:t>(</w:t>
      </w:r>
      <w:r w:rsidR="00FE6B67" w:rsidRPr="00A86E6B">
        <w:rPr>
          <w:i/>
          <w:iCs/>
          <w:szCs w:val="26"/>
        </w:rPr>
        <w:t xml:space="preserve">Id. </w:t>
      </w:r>
      <w:r w:rsidR="00FE6B67" w:rsidRPr="00A86E6B">
        <w:rPr>
          <w:szCs w:val="26"/>
        </w:rPr>
        <w:t xml:space="preserve">at </w:t>
      </w:r>
      <w:r w:rsidR="002B3C59" w:rsidRPr="00A86E6B">
        <w:rPr>
          <w:szCs w:val="26"/>
        </w:rPr>
        <w:t>p</w:t>
      </w:r>
      <w:r w:rsidR="00FE6B67" w:rsidRPr="00A86E6B">
        <w:rPr>
          <w:szCs w:val="26"/>
        </w:rPr>
        <w:t>.</w:t>
      </w:r>
      <w:r w:rsidR="00366AC7" w:rsidRPr="00A86E6B">
        <w:rPr>
          <w:szCs w:val="26"/>
        </w:rPr>
        <w:t> </w:t>
      </w:r>
      <w:r w:rsidR="002B3C59" w:rsidRPr="00A86E6B">
        <w:rPr>
          <w:szCs w:val="26"/>
        </w:rPr>
        <w:t>1114</w:t>
      </w:r>
      <w:r w:rsidR="00FE6B67" w:rsidRPr="00A86E6B">
        <w:rPr>
          <w:szCs w:val="26"/>
        </w:rPr>
        <w:t>.)</w:t>
      </w:r>
    </w:p>
    <w:p w14:paraId="0538C86B" w14:textId="12F37B3C" w:rsidR="007150E0" w:rsidRPr="00A86E6B" w:rsidRDefault="00642601" w:rsidP="00A86E6B">
      <w:pPr>
        <w:tabs>
          <w:tab w:val="left" w:pos="1440"/>
        </w:tabs>
        <w:ind w:firstLine="720"/>
        <w:rPr>
          <w:szCs w:val="26"/>
        </w:rPr>
      </w:pPr>
      <w:r w:rsidRPr="00A86E6B">
        <w:rPr>
          <w:szCs w:val="26"/>
        </w:rPr>
        <w:t xml:space="preserve">Spectrum also seeks to limit </w:t>
      </w:r>
      <w:r w:rsidRPr="00A86E6B">
        <w:rPr>
          <w:i/>
          <w:iCs/>
          <w:szCs w:val="26"/>
        </w:rPr>
        <w:t xml:space="preserve">Murphy </w:t>
      </w:r>
      <w:r w:rsidRPr="00A86E6B">
        <w:rPr>
          <w:szCs w:val="26"/>
        </w:rPr>
        <w:t xml:space="preserve">on the ground that it was </w:t>
      </w:r>
      <w:r w:rsidR="008217DD" w:rsidRPr="00A86E6B">
        <w:rPr>
          <w:szCs w:val="26"/>
        </w:rPr>
        <w:t>a case about the statute of limitations</w:t>
      </w:r>
      <w:r w:rsidR="00321E6B" w:rsidRPr="00A86E6B">
        <w:rPr>
          <w:szCs w:val="26"/>
        </w:rPr>
        <w:t xml:space="preserve">, not </w:t>
      </w:r>
      <w:r w:rsidR="00140852" w:rsidRPr="00A86E6B">
        <w:rPr>
          <w:szCs w:val="26"/>
        </w:rPr>
        <w:t>any provision of the Labor Code governing the payment or reporting of wages</w:t>
      </w:r>
      <w:r w:rsidR="00321E6B" w:rsidRPr="00A86E6B">
        <w:rPr>
          <w:szCs w:val="26"/>
        </w:rPr>
        <w:t xml:space="preserve">.  </w:t>
      </w:r>
      <w:r w:rsidRPr="00A86E6B">
        <w:rPr>
          <w:szCs w:val="26"/>
        </w:rPr>
        <w:t xml:space="preserve">On this point, at least, Spectrum is correct.  </w:t>
      </w:r>
      <w:r w:rsidR="00321E6B" w:rsidRPr="00A86E6B">
        <w:rPr>
          <w:szCs w:val="26"/>
        </w:rPr>
        <w:t xml:space="preserve">But nothing in </w:t>
      </w:r>
      <w:r w:rsidR="00321E6B" w:rsidRPr="00A86E6B">
        <w:rPr>
          <w:i/>
          <w:iCs/>
          <w:szCs w:val="26"/>
        </w:rPr>
        <w:t>Murphy</w:t>
      </w:r>
      <w:r w:rsidR="00321E6B" w:rsidRPr="00A86E6B">
        <w:rPr>
          <w:szCs w:val="26"/>
        </w:rPr>
        <w:t xml:space="preserve">’s conclusion that premium pay constitutes wages was specific to the statute of limitations context; the conclusion instead </w:t>
      </w:r>
      <w:r w:rsidR="00FA1977" w:rsidRPr="00A86E6B">
        <w:rPr>
          <w:szCs w:val="26"/>
        </w:rPr>
        <w:t xml:space="preserve">rested on </w:t>
      </w:r>
      <w:r w:rsidR="00651A5C" w:rsidRPr="00A86E6B">
        <w:rPr>
          <w:szCs w:val="26"/>
        </w:rPr>
        <w:t>consideration of the text of Labor Code sections 200 and 226.7, as well as the legislative history underlying section 226.7</w:t>
      </w:r>
      <w:r w:rsidR="00F635C4" w:rsidRPr="00A86E6B">
        <w:rPr>
          <w:szCs w:val="26"/>
        </w:rPr>
        <w:t xml:space="preserve">.  Those are the very same provisions at issue here, and they are </w:t>
      </w:r>
      <w:r w:rsidR="00FF2CE1" w:rsidRPr="00A86E6B">
        <w:rPr>
          <w:szCs w:val="26"/>
        </w:rPr>
        <w:t xml:space="preserve">equally </w:t>
      </w:r>
      <w:r w:rsidR="00526116" w:rsidRPr="00A86E6B">
        <w:rPr>
          <w:szCs w:val="26"/>
        </w:rPr>
        <w:t xml:space="preserve">susceptible to the interpretation that </w:t>
      </w:r>
      <w:r w:rsidR="00526116" w:rsidRPr="00A86E6B">
        <w:rPr>
          <w:i/>
          <w:iCs/>
          <w:szCs w:val="26"/>
        </w:rPr>
        <w:t>Murphy</w:t>
      </w:r>
      <w:r w:rsidR="00526116" w:rsidRPr="00A86E6B">
        <w:rPr>
          <w:szCs w:val="26"/>
        </w:rPr>
        <w:t xml:space="preserve"> gave them</w:t>
      </w:r>
      <w:r w:rsidR="00DF14FC" w:rsidRPr="00A86E6B">
        <w:rPr>
          <w:szCs w:val="26"/>
        </w:rPr>
        <w:t xml:space="preserve">, for the reasons </w:t>
      </w:r>
      <w:r w:rsidR="00DF14FC" w:rsidRPr="00A86E6B">
        <w:rPr>
          <w:i/>
          <w:iCs/>
          <w:szCs w:val="26"/>
        </w:rPr>
        <w:t>Murphy</w:t>
      </w:r>
      <w:r w:rsidR="00DF14FC" w:rsidRPr="00A86E6B">
        <w:rPr>
          <w:szCs w:val="26"/>
        </w:rPr>
        <w:t xml:space="preserve"> gave</w:t>
      </w:r>
      <w:r w:rsidR="007150E0" w:rsidRPr="00A86E6B">
        <w:rPr>
          <w:szCs w:val="26"/>
        </w:rPr>
        <w:t xml:space="preserve">, when </w:t>
      </w:r>
      <w:r w:rsidR="00366AC7" w:rsidRPr="00A86E6B">
        <w:rPr>
          <w:szCs w:val="26"/>
        </w:rPr>
        <w:t xml:space="preserve">we </w:t>
      </w:r>
      <w:r w:rsidR="007150E0" w:rsidRPr="00A86E6B">
        <w:rPr>
          <w:szCs w:val="26"/>
        </w:rPr>
        <w:t xml:space="preserve">consider </w:t>
      </w:r>
      <w:r w:rsidR="006E4F30" w:rsidRPr="00A86E6B">
        <w:rPr>
          <w:szCs w:val="26"/>
        </w:rPr>
        <w:t xml:space="preserve">how </w:t>
      </w:r>
      <w:r w:rsidR="007150E0" w:rsidRPr="00A86E6B">
        <w:rPr>
          <w:szCs w:val="26"/>
        </w:rPr>
        <w:t xml:space="preserve">those provisions </w:t>
      </w:r>
      <w:r w:rsidR="00366AC7" w:rsidRPr="00A86E6B">
        <w:rPr>
          <w:szCs w:val="26"/>
        </w:rPr>
        <w:t xml:space="preserve">interact </w:t>
      </w:r>
      <w:r w:rsidR="007150E0" w:rsidRPr="00A86E6B">
        <w:rPr>
          <w:szCs w:val="26"/>
        </w:rPr>
        <w:t xml:space="preserve">with </w:t>
      </w:r>
      <w:r w:rsidR="0086593A" w:rsidRPr="00A86E6B">
        <w:rPr>
          <w:szCs w:val="26"/>
        </w:rPr>
        <w:t xml:space="preserve">the Labor Code’s prompt </w:t>
      </w:r>
      <w:r w:rsidR="00DC5C1D" w:rsidRPr="00A86E6B">
        <w:rPr>
          <w:szCs w:val="26"/>
        </w:rPr>
        <w:t xml:space="preserve">wage </w:t>
      </w:r>
      <w:r w:rsidR="0086593A" w:rsidRPr="00A86E6B">
        <w:rPr>
          <w:szCs w:val="26"/>
        </w:rPr>
        <w:t>payment requirements</w:t>
      </w:r>
      <w:r w:rsidR="00410A6D" w:rsidRPr="00A86E6B">
        <w:rPr>
          <w:szCs w:val="26"/>
        </w:rPr>
        <w:t>.</w:t>
      </w:r>
    </w:p>
    <w:p w14:paraId="24C0DF01" w14:textId="7A80E93A" w:rsidR="00007E38" w:rsidRPr="00A86E6B" w:rsidRDefault="004A5668" w:rsidP="00A86E6B">
      <w:pPr>
        <w:tabs>
          <w:tab w:val="left" w:pos="1440"/>
        </w:tabs>
        <w:ind w:firstLine="720"/>
        <w:rPr>
          <w:szCs w:val="26"/>
        </w:rPr>
      </w:pPr>
      <w:r>
        <w:rPr>
          <w:szCs w:val="26"/>
        </w:rPr>
        <w:t>T</w:t>
      </w:r>
      <w:r w:rsidR="00854E22">
        <w:rPr>
          <w:szCs w:val="26"/>
        </w:rPr>
        <w:t>h</w:t>
      </w:r>
      <w:r w:rsidR="00E57D21">
        <w:rPr>
          <w:szCs w:val="26"/>
        </w:rPr>
        <w:t>e</w:t>
      </w:r>
      <w:r w:rsidR="00854E22">
        <w:rPr>
          <w:szCs w:val="26"/>
        </w:rPr>
        <w:t xml:space="preserve"> </w:t>
      </w:r>
      <w:r w:rsidR="00EA438D">
        <w:rPr>
          <w:szCs w:val="26"/>
        </w:rPr>
        <w:t xml:space="preserve">interpretation </w:t>
      </w:r>
      <w:r w:rsidR="00854E22">
        <w:rPr>
          <w:szCs w:val="26"/>
        </w:rPr>
        <w:t>makes sense in th</w:t>
      </w:r>
      <w:r w:rsidR="00EA438D">
        <w:rPr>
          <w:szCs w:val="26"/>
        </w:rPr>
        <w:t>is statutory context</w:t>
      </w:r>
      <w:r w:rsidR="00854E22">
        <w:rPr>
          <w:szCs w:val="26"/>
        </w:rPr>
        <w:t>.</w:t>
      </w:r>
      <w:r w:rsidR="00013F2E" w:rsidRPr="00A86E6B">
        <w:rPr>
          <w:szCs w:val="26"/>
        </w:rPr>
        <w:t xml:space="preserve">  </w:t>
      </w:r>
      <w:r w:rsidR="007C5E90" w:rsidRPr="00A86E6B">
        <w:rPr>
          <w:szCs w:val="26"/>
        </w:rPr>
        <w:t xml:space="preserve">As explained above, </w:t>
      </w:r>
      <w:r w:rsidR="00BA11D0" w:rsidRPr="00A86E6B">
        <w:rPr>
          <w:szCs w:val="26"/>
        </w:rPr>
        <w:t xml:space="preserve">the Legislature </w:t>
      </w:r>
      <w:r w:rsidR="00E1464B" w:rsidRPr="00A86E6B">
        <w:rPr>
          <w:szCs w:val="26"/>
        </w:rPr>
        <w:t>require</w:t>
      </w:r>
      <w:r w:rsidR="002B3C59" w:rsidRPr="00A86E6B">
        <w:rPr>
          <w:szCs w:val="26"/>
        </w:rPr>
        <w:t>s</w:t>
      </w:r>
      <w:r w:rsidR="00E1464B" w:rsidRPr="00A86E6B">
        <w:rPr>
          <w:szCs w:val="26"/>
        </w:rPr>
        <w:t xml:space="preserve"> employers to pay </w:t>
      </w:r>
      <w:r w:rsidR="007C5E90" w:rsidRPr="00A86E6B">
        <w:rPr>
          <w:szCs w:val="26"/>
        </w:rPr>
        <w:t>missed</w:t>
      </w:r>
      <w:r w:rsidR="00B33C15">
        <w:rPr>
          <w:szCs w:val="26"/>
        </w:rPr>
        <w:t>-</w:t>
      </w:r>
      <w:r w:rsidR="007C5E90" w:rsidRPr="00A86E6B">
        <w:rPr>
          <w:szCs w:val="26"/>
        </w:rPr>
        <w:t>break premium pay on an ongoing, running basis</w:t>
      </w:r>
      <w:r w:rsidR="00807294" w:rsidRPr="00A86E6B">
        <w:rPr>
          <w:szCs w:val="26"/>
        </w:rPr>
        <w:t xml:space="preserve"> (</w:t>
      </w:r>
      <w:r w:rsidR="00807294" w:rsidRPr="00A86E6B">
        <w:rPr>
          <w:i/>
          <w:iCs/>
          <w:szCs w:val="26"/>
        </w:rPr>
        <w:t>Murphy</w:t>
      </w:r>
      <w:r w:rsidR="00807294" w:rsidRPr="00A86E6B">
        <w:rPr>
          <w:szCs w:val="26"/>
        </w:rPr>
        <w:t xml:space="preserve">, </w:t>
      </w:r>
      <w:r w:rsidR="00807294" w:rsidRPr="00A86E6B">
        <w:rPr>
          <w:i/>
          <w:iCs/>
          <w:szCs w:val="26"/>
        </w:rPr>
        <w:t>supra</w:t>
      </w:r>
      <w:r w:rsidR="00807294" w:rsidRPr="00A86E6B">
        <w:rPr>
          <w:szCs w:val="26"/>
        </w:rPr>
        <w:t>, 40 Cal.4th at p. 1108)</w:t>
      </w:r>
      <w:r w:rsidR="007C5E90" w:rsidRPr="00A86E6B">
        <w:rPr>
          <w:szCs w:val="26"/>
        </w:rPr>
        <w:t>, just like other forms of wages (</w:t>
      </w:r>
      <w:r w:rsidR="00807294" w:rsidRPr="00A86E6B">
        <w:rPr>
          <w:szCs w:val="26"/>
        </w:rPr>
        <w:t>s</w:t>
      </w:r>
      <w:r w:rsidR="007C5E90" w:rsidRPr="00A86E6B">
        <w:rPr>
          <w:szCs w:val="26"/>
        </w:rPr>
        <w:t>ee Lab. Code, § 204</w:t>
      </w:r>
      <w:r w:rsidR="00807294" w:rsidRPr="00A86E6B">
        <w:rPr>
          <w:szCs w:val="26"/>
        </w:rPr>
        <w:t>)</w:t>
      </w:r>
      <w:r w:rsidR="005268FE" w:rsidRPr="00A86E6B">
        <w:rPr>
          <w:szCs w:val="26"/>
        </w:rPr>
        <w:t xml:space="preserve">.  </w:t>
      </w:r>
      <w:r w:rsidR="00E44F1E" w:rsidRPr="00A86E6B">
        <w:rPr>
          <w:szCs w:val="26"/>
        </w:rPr>
        <w:t xml:space="preserve">It stands to reason that, </w:t>
      </w:r>
      <w:r w:rsidR="00E92837" w:rsidRPr="00A86E6B">
        <w:rPr>
          <w:szCs w:val="26"/>
        </w:rPr>
        <w:t xml:space="preserve">just </w:t>
      </w:r>
      <w:r w:rsidR="00E44F1E" w:rsidRPr="00A86E6B">
        <w:rPr>
          <w:szCs w:val="26"/>
        </w:rPr>
        <w:t xml:space="preserve">like other forms of wages, </w:t>
      </w:r>
      <w:r w:rsidR="00366AC7" w:rsidRPr="00A86E6B">
        <w:rPr>
          <w:szCs w:val="26"/>
        </w:rPr>
        <w:t xml:space="preserve">any </w:t>
      </w:r>
      <w:r w:rsidR="00E44F1E" w:rsidRPr="00A86E6B">
        <w:rPr>
          <w:szCs w:val="26"/>
        </w:rPr>
        <w:t xml:space="preserve">unpaid premium pay must be paid promptly </w:t>
      </w:r>
      <w:r w:rsidR="00DC449D" w:rsidRPr="00A86E6B">
        <w:rPr>
          <w:szCs w:val="26"/>
        </w:rPr>
        <w:t>once an employee leaves the job</w:t>
      </w:r>
      <w:r w:rsidR="00E44F1E" w:rsidRPr="00A86E6B">
        <w:rPr>
          <w:szCs w:val="26"/>
        </w:rPr>
        <w:t>.</w:t>
      </w:r>
      <w:r w:rsidR="008532D5" w:rsidRPr="00A86E6B">
        <w:rPr>
          <w:szCs w:val="26"/>
        </w:rPr>
        <w:t xml:space="preserve">  And w</w:t>
      </w:r>
      <w:r w:rsidR="00650E0B" w:rsidRPr="00A86E6B">
        <w:rPr>
          <w:szCs w:val="26"/>
        </w:rPr>
        <w:t>hen an employer willfully fails to comply with this obligation, m</w:t>
      </w:r>
      <w:r w:rsidR="00BE02F4" w:rsidRPr="00A86E6B">
        <w:rPr>
          <w:szCs w:val="26"/>
        </w:rPr>
        <w:t xml:space="preserve">aking penalties available </w:t>
      </w:r>
      <w:r w:rsidR="007C09C2" w:rsidRPr="00A86E6B">
        <w:rPr>
          <w:szCs w:val="26"/>
        </w:rPr>
        <w:t>serves the</w:t>
      </w:r>
      <w:r w:rsidR="00E72952" w:rsidRPr="00A86E6B">
        <w:rPr>
          <w:szCs w:val="26"/>
        </w:rPr>
        <w:t xml:space="preserve"> purpose</w:t>
      </w:r>
      <w:r w:rsidR="007C09C2" w:rsidRPr="00A86E6B">
        <w:rPr>
          <w:szCs w:val="26"/>
        </w:rPr>
        <w:t xml:space="preserve"> </w:t>
      </w:r>
      <w:r w:rsidR="009F52FA">
        <w:rPr>
          <w:szCs w:val="26"/>
        </w:rPr>
        <w:t>underly</w:t>
      </w:r>
      <w:r w:rsidR="007C09C2" w:rsidRPr="00A86E6B">
        <w:rPr>
          <w:szCs w:val="26"/>
        </w:rPr>
        <w:t xml:space="preserve">ing </w:t>
      </w:r>
      <w:r w:rsidR="00E92837" w:rsidRPr="00A86E6B">
        <w:rPr>
          <w:szCs w:val="26"/>
        </w:rPr>
        <w:t xml:space="preserve">Labor Code </w:t>
      </w:r>
      <w:r w:rsidR="007C09C2" w:rsidRPr="00A86E6B">
        <w:rPr>
          <w:szCs w:val="26"/>
        </w:rPr>
        <w:t>section 203</w:t>
      </w:r>
      <w:r w:rsidR="00FE0943" w:rsidRPr="00A86E6B">
        <w:rPr>
          <w:szCs w:val="26"/>
        </w:rPr>
        <w:t xml:space="preserve">:  </w:t>
      </w:r>
      <w:r w:rsidR="00E64371" w:rsidRPr="00A86E6B">
        <w:rPr>
          <w:szCs w:val="26"/>
        </w:rPr>
        <w:t>t</w:t>
      </w:r>
      <w:r w:rsidR="00FE0943" w:rsidRPr="00A86E6B">
        <w:rPr>
          <w:szCs w:val="26"/>
        </w:rPr>
        <w:t xml:space="preserve">o incentivize employers to pay end-of-employment compensation when it is due, rather than forcing employees to seek administrative relief or to go to court.  </w:t>
      </w:r>
      <w:r w:rsidR="00473FBF" w:rsidRPr="00A86E6B">
        <w:rPr>
          <w:szCs w:val="26"/>
        </w:rPr>
        <w:t>(</w:t>
      </w:r>
      <w:r w:rsidR="008546C3" w:rsidRPr="00A86E6B">
        <w:rPr>
          <w:i/>
          <w:iCs/>
          <w:szCs w:val="26"/>
        </w:rPr>
        <w:t>McLean v. State of California</w:t>
      </w:r>
      <w:r w:rsidR="0084151F">
        <w:rPr>
          <w:szCs w:val="26"/>
        </w:rPr>
        <w:t xml:space="preserve"> (2016) </w:t>
      </w:r>
      <w:r w:rsidR="008546C3" w:rsidRPr="00A86E6B">
        <w:rPr>
          <w:szCs w:val="26"/>
        </w:rPr>
        <w:t xml:space="preserve">1 Cal.5th </w:t>
      </w:r>
      <w:r w:rsidR="0084151F">
        <w:rPr>
          <w:szCs w:val="26"/>
        </w:rPr>
        <w:t xml:space="preserve">615, </w:t>
      </w:r>
      <w:r w:rsidR="008546C3" w:rsidRPr="00A86E6B">
        <w:rPr>
          <w:szCs w:val="26"/>
        </w:rPr>
        <w:t xml:space="preserve">626; </w:t>
      </w:r>
      <w:r w:rsidR="008546C3" w:rsidRPr="00A86E6B">
        <w:rPr>
          <w:i/>
          <w:iCs/>
          <w:color w:val="000000" w:themeColor="text1"/>
          <w:szCs w:val="26"/>
          <w:shd w:val="clear" w:color="auto" w:fill="FFFFFF"/>
        </w:rPr>
        <w:t>Pineda v. Bank of America, N.A.</w:t>
      </w:r>
      <w:r w:rsidR="008546C3" w:rsidRPr="00A86E6B">
        <w:rPr>
          <w:color w:val="000000" w:themeColor="text1"/>
          <w:szCs w:val="26"/>
          <w:shd w:val="clear" w:color="auto" w:fill="FFFFFF"/>
        </w:rPr>
        <w:t xml:space="preserve"> (2010) 50 Cal.4th 1389, </w:t>
      </w:r>
      <w:r w:rsidR="00473FBF" w:rsidRPr="00A86E6B">
        <w:rPr>
          <w:szCs w:val="26"/>
        </w:rPr>
        <w:t>1400</w:t>
      </w:r>
      <w:r w:rsidR="008546C3" w:rsidRPr="00A86E6B">
        <w:rPr>
          <w:szCs w:val="26"/>
        </w:rPr>
        <w:t xml:space="preserve">; </w:t>
      </w:r>
      <w:r w:rsidR="00FE0943" w:rsidRPr="00A86E6B">
        <w:rPr>
          <w:i/>
          <w:iCs/>
          <w:szCs w:val="26"/>
        </w:rPr>
        <w:t>Smith v. Superior Court</w:t>
      </w:r>
      <w:r w:rsidR="00FE0943" w:rsidRPr="00A86E6B">
        <w:rPr>
          <w:szCs w:val="26"/>
        </w:rPr>
        <w:t xml:space="preserve"> (2006) 39 Cal.4th 77, 82.</w:t>
      </w:r>
      <w:r w:rsidR="008546C3" w:rsidRPr="00A86E6B">
        <w:rPr>
          <w:szCs w:val="26"/>
        </w:rPr>
        <w:t>)</w:t>
      </w:r>
      <w:r w:rsidR="00A6651D" w:rsidRPr="00A86E6B">
        <w:rPr>
          <w:szCs w:val="26"/>
        </w:rPr>
        <w:t xml:space="preserve">  </w:t>
      </w:r>
      <w:r w:rsidR="00FF2CE1" w:rsidRPr="00A86E6B">
        <w:rPr>
          <w:szCs w:val="26"/>
        </w:rPr>
        <w:t>B</w:t>
      </w:r>
      <w:r w:rsidR="00473FBF" w:rsidRPr="00A86E6B">
        <w:rPr>
          <w:szCs w:val="26"/>
        </w:rPr>
        <w:t xml:space="preserve">y incentivizing </w:t>
      </w:r>
      <w:r w:rsidR="00554F1F" w:rsidRPr="00A86E6B">
        <w:rPr>
          <w:szCs w:val="26"/>
        </w:rPr>
        <w:t xml:space="preserve">employers to </w:t>
      </w:r>
      <w:r w:rsidR="00473FBF" w:rsidRPr="00A86E6B">
        <w:rPr>
          <w:szCs w:val="26"/>
        </w:rPr>
        <w:t xml:space="preserve">pay </w:t>
      </w:r>
      <w:r w:rsidR="00554F1F" w:rsidRPr="00A86E6B">
        <w:rPr>
          <w:szCs w:val="26"/>
        </w:rPr>
        <w:t>missed</w:t>
      </w:r>
      <w:r w:rsidR="00B33C15">
        <w:rPr>
          <w:szCs w:val="26"/>
        </w:rPr>
        <w:t>-</w:t>
      </w:r>
      <w:r w:rsidR="00554F1F" w:rsidRPr="00A86E6B">
        <w:rPr>
          <w:szCs w:val="26"/>
        </w:rPr>
        <w:t xml:space="preserve">break </w:t>
      </w:r>
      <w:r w:rsidR="00473FBF" w:rsidRPr="00A86E6B">
        <w:rPr>
          <w:szCs w:val="26"/>
        </w:rPr>
        <w:t xml:space="preserve">premium pay immediately, </w:t>
      </w:r>
      <w:r w:rsidR="00554F1F" w:rsidRPr="00A86E6B">
        <w:rPr>
          <w:szCs w:val="26"/>
        </w:rPr>
        <w:t xml:space="preserve">section 203 </w:t>
      </w:r>
      <w:r w:rsidR="0049749E" w:rsidRPr="00A86E6B">
        <w:rPr>
          <w:szCs w:val="26"/>
        </w:rPr>
        <w:t xml:space="preserve">also </w:t>
      </w:r>
      <w:r w:rsidR="00473FBF" w:rsidRPr="00A86E6B">
        <w:rPr>
          <w:szCs w:val="26"/>
        </w:rPr>
        <w:t xml:space="preserve">enhances </w:t>
      </w:r>
      <w:r w:rsidR="00554F1F" w:rsidRPr="00A86E6B">
        <w:rPr>
          <w:szCs w:val="26"/>
        </w:rPr>
        <w:t>the</w:t>
      </w:r>
      <w:r w:rsidR="00473FBF" w:rsidRPr="00A86E6B">
        <w:rPr>
          <w:szCs w:val="26"/>
        </w:rPr>
        <w:t xml:space="preserve"> </w:t>
      </w:r>
      <w:r w:rsidR="00554F1F" w:rsidRPr="00A86E6B">
        <w:rPr>
          <w:szCs w:val="26"/>
        </w:rPr>
        <w:t>effectiveness</w:t>
      </w:r>
      <w:r w:rsidR="00473FBF" w:rsidRPr="00A86E6B">
        <w:rPr>
          <w:szCs w:val="26"/>
        </w:rPr>
        <w:t xml:space="preserve"> of </w:t>
      </w:r>
      <w:r w:rsidR="00554F1F" w:rsidRPr="00A86E6B">
        <w:rPr>
          <w:szCs w:val="26"/>
        </w:rPr>
        <w:t xml:space="preserve">the section </w:t>
      </w:r>
      <w:r w:rsidR="00473FBF" w:rsidRPr="00A86E6B">
        <w:rPr>
          <w:szCs w:val="26"/>
        </w:rPr>
        <w:t>226.7 premiu</w:t>
      </w:r>
      <w:r w:rsidR="008546C3" w:rsidRPr="00A86E6B">
        <w:rPr>
          <w:szCs w:val="26"/>
        </w:rPr>
        <w:t>m</w:t>
      </w:r>
      <w:r w:rsidR="00473FBF" w:rsidRPr="00A86E6B">
        <w:rPr>
          <w:szCs w:val="26"/>
        </w:rPr>
        <w:t xml:space="preserve"> itself, which </w:t>
      </w:r>
      <w:r w:rsidR="00863FEA" w:rsidRPr="00A86E6B">
        <w:rPr>
          <w:szCs w:val="26"/>
        </w:rPr>
        <w:t xml:space="preserve">is designed in part to </w:t>
      </w:r>
      <w:r w:rsidR="003D30A6" w:rsidRPr="00A86E6B">
        <w:rPr>
          <w:szCs w:val="26"/>
        </w:rPr>
        <w:t>discour</w:t>
      </w:r>
      <w:r w:rsidR="00554F1F" w:rsidRPr="00A86E6B">
        <w:rPr>
          <w:szCs w:val="26"/>
        </w:rPr>
        <w:t>ag</w:t>
      </w:r>
      <w:r w:rsidR="00A6651D" w:rsidRPr="00A86E6B">
        <w:rPr>
          <w:szCs w:val="26"/>
        </w:rPr>
        <w:t>e</w:t>
      </w:r>
      <w:r w:rsidR="00554F1F" w:rsidRPr="00A86E6B">
        <w:rPr>
          <w:szCs w:val="26"/>
        </w:rPr>
        <w:t xml:space="preserve"> employers</w:t>
      </w:r>
      <w:r w:rsidR="00473FBF" w:rsidRPr="00A86E6B">
        <w:rPr>
          <w:szCs w:val="26"/>
        </w:rPr>
        <w:t xml:space="preserve"> </w:t>
      </w:r>
      <w:r w:rsidR="003D30A6" w:rsidRPr="00A86E6B">
        <w:rPr>
          <w:szCs w:val="26"/>
        </w:rPr>
        <w:t xml:space="preserve">from </w:t>
      </w:r>
      <w:r w:rsidR="00473FBF" w:rsidRPr="00A86E6B">
        <w:rPr>
          <w:szCs w:val="26"/>
        </w:rPr>
        <w:t>depriv</w:t>
      </w:r>
      <w:r w:rsidR="003D30A6" w:rsidRPr="00A86E6B">
        <w:rPr>
          <w:szCs w:val="26"/>
        </w:rPr>
        <w:t>ing</w:t>
      </w:r>
      <w:r w:rsidR="00473FBF" w:rsidRPr="00A86E6B">
        <w:rPr>
          <w:szCs w:val="26"/>
        </w:rPr>
        <w:t xml:space="preserve"> </w:t>
      </w:r>
      <w:r w:rsidR="00554F1F" w:rsidRPr="00A86E6B">
        <w:rPr>
          <w:szCs w:val="26"/>
        </w:rPr>
        <w:t xml:space="preserve">employees </w:t>
      </w:r>
      <w:r w:rsidR="00473FBF" w:rsidRPr="00A86E6B">
        <w:rPr>
          <w:szCs w:val="26"/>
        </w:rPr>
        <w:t>of break</w:t>
      </w:r>
      <w:r w:rsidR="00554F1F" w:rsidRPr="00A86E6B">
        <w:rPr>
          <w:szCs w:val="26"/>
        </w:rPr>
        <w:t>s</w:t>
      </w:r>
      <w:r w:rsidR="00473FBF" w:rsidRPr="00A86E6B">
        <w:rPr>
          <w:szCs w:val="26"/>
        </w:rPr>
        <w:t xml:space="preserve"> in </w:t>
      </w:r>
      <w:r w:rsidR="00554F1F" w:rsidRPr="00A86E6B">
        <w:rPr>
          <w:szCs w:val="26"/>
        </w:rPr>
        <w:t xml:space="preserve">the </w:t>
      </w:r>
      <w:r w:rsidR="00473FBF" w:rsidRPr="00A86E6B">
        <w:rPr>
          <w:szCs w:val="26"/>
        </w:rPr>
        <w:t>first place.</w:t>
      </w:r>
      <w:r w:rsidR="00561F90" w:rsidRPr="00A86E6B">
        <w:rPr>
          <w:szCs w:val="26"/>
        </w:rPr>
        <w:t xml:space="preserve">  (</w:t>
      </w:r>
      <w:r w:rsidR="00EA1A62" w:rsidRPr="00A86E6B">
        <w:rPr>
          <w:i/>
          <w:iCs/>
          <w:szCs w:val="26"/>
        </w:rPr>
        <w:t>Murphy</w:t>
      </w:r>
      <w:r w:rsidR="00554F1F" w:rsidRPr="00A86E6B">
        <w:rPr>
          <w:szCs w:val="26"/>
        </w:rPr>
        <w:t xml:space="preserve">, </w:t>
      </w:r>
      <w:r w:rsidR="00EA1A62" w:rsidRPr="00A86E6B">
        <w:rPr>
          <w:szCs w:val="26"/>
        </w:rPr>
        <w:t xml:space="preserve">at </w:t>
      </w:r>
      <w:r w:rsidR="00554F1F" w:rsidRPr="00A86E6B">
        <w:rPr>
          <w:szCs w:val="26"/>
        </w:rPr>
        <w:t>pp. 1110–</w:t>
      </w:r>
      <w:r w:rsidR="00EA1A62" w:rsidRPr="00A86E6B">
        <w:rPr>
          <w:szCs w:val="26"/>
        </w:rPr>
        <w:t>1111</w:t>
      </w:r>
      <w:r w:rsidR="00554F1F" w:rsidRPr="00A86E6B">
        <w:rPr>
          <w:szCs w:val="26"/>
        </w:rPr>
        <w:t>.</w:t>
      </w:r>
      <w:r w:rsidR="00561F90" w:rsidRPr="00A86E6B">
        <w:rPr>
          <w:szCs w:val="26"/>
        </w:rPr>
        <w:t>)</w:t>
      </w:r>
    </w:p>
    <w:p w14:paraId="4D850E6A" w14:textId="1B9C037E" w:rsidR="00B8735F" w:rsidRPr="00A86E6B" w:rsidRDefault="006A3F0A" w:rsidP="00DF196D">
      <w:pPr>
        <w:keepNext/>
        <w:tabs>
          <w:tab w:val="left" w:pos="1440"/>
        </w:tabs>
        <w:jc w:val="center"/>
        <w:rPr>
          <w:smallCaps/>
          <w:szCs w:val="26"/>
        </w:rPr>
      </w:pPr>
      <w:r w:rsidRPr="00A86E6B">
        <w:rPr>
          <w:b/>
          <w:bCs/>
          <w:smallCaps/>
          <w:szCs w:val="26"/>
        </w:rPr>
        <w:t>B</w:t>
      </w:r>
      <w:r w:rsidR="00B8735F" w:rsidRPr="00A86E6B">
        <w:rPr>
          <w:b/>
          <w:bCs/>
          <w:smallCaps/>
          <w:szCs w:val="26"/>
        </w:rPr>
        <w:t>.</w:t>
      </w:r>
    </w:p>
    <w:p w14:paraId="0BC94F34" w14:textId="41ADB454" w:rsidR="00416C6F" w:rsidRPr="00A86E6B" w:rsidRDefault="00416C6F" w:rsidP="00A86E6B">
      <w:pPr>
        <w:tabs>
          <w:tab w:val="left" w:pos="1440"/>
        </w:tabs>
        <w:ind w:firstLine="720"/>
        <w:rPr>
          <w:szCs w:val="26"/>
        </w:rPr>
      </w:pPr>
      <w:r w:rsidRPr="00A86E6B">
        <w:rPr>
          <w:szCs w:val="26"/>
        </w:rPr>
        <w:t xml:space="preserve">Spectrum offers various </w:t>
      </w:r>
      <w:r w:rsidR="0007583D" w:rsidRPr="00A86E6B">
        <w:rPr>
          <w:szCs w:val="26"/>
        </w:rPr>
        <w:t xml:space="preserve">additional </w:t>
      </w:r>
      <w:r w:rsidRPr="00A86E6B">
        <w:rPr>
          <w:szCs w:val="26"/>
        </w:rPr>
        <w:t xml:space="preserve">arguments for </w:t>
      </w:r>
      <w:r w:rsidR="00535494" w:rsidRPr="00A86E6B">
        <w:rPr>
          <w:szCs w:val="26"/>
        </w:rPr>
        <w:t>why missed</w:t>
      </w:r>
      <w:r w:rsidR="00B33C15">
        <w:rPr>
          <w:szCs w:val="26"/>
        </w:rPr>
        <w:t>-</w:t>
      </w:r>
      <w:r w:rsidR="00535494" w:rsidRPr="00A86E6B">
        <w:rPr>
          <w:szCs w:val="26"/>
        </w:rPr>
        <w:t xml:space="preserve">break premium pay should not be subject to the </w:t>
      </w:r>
      <w:r w:rsidR="00FF2524" w:rsidRPr="00A86E6B">
        <w:rPr>
          <w:szCs w:val="26"/>
        </w:rPr>
        <w:t>Labor Co</w:t>
      </w:r>
      <w:r w:rsidR="00535494" w:rsidRPr="00A86E6B">
        <w:rPr>
          <w:szCs w:val="26"/>
        </w:rPr>
        <w:t>de’s timing requirements for the payment of wages</w:t>
      </w:r>
      <w:r w:rsidR="008A652E" w:rsidRPr="00A86E6B">
        <w:rPr>
          <w:szCs w:val="26"/>
        </w:rPr>
        <w:t xml:space="preserve"> at the end of employment</w:t>
      </w:r>
      <w:r w:rsidR="00535494" w:rsidRPr="00A86E6B">
        <w:rPr>
          <w:szCs w:val="26"/>
        </w:rPr>
        <w:t xml:space="preserve">.  </w:t>
      </w:r>
      <w:r w:rsidR="00EE103D" w:rsidRPr="00A86E6B">
        <w:rPr>
          <w:szCs w:val="26"/>
        </w:rPr>
        <w:t>The arguments are u</w:t>
      </w:r>
      <w:r w:rsidR="00626FDC" w:rsidRPr="00A86E6B">
        <w:rPr>
          <w:szCs w:val="26"/>
        </w:rPr>
        <w:t>n</w:t>
      </w:r>
      <w:r w:rsidRPr="00A86E6B">
        <w:rPr>
          <w:szCs w:val="26"/>
        </w:rPr>
        <w:t>persua</w:t>
      </w:r>
      <w:r w:rsidR="00D65D27" w:rsidRPr="00A86E6B">
        <w:rPr>
          <w:szCs w:val="26"/>
        </w:rPr>
        <w:t>siv</w:t>
      </w:r>
      <w:r w:rsidRPr="00A86E6B">
        <w:rPr>
          <w:szCs w:val="26"/>
        </w:rPr>
        <w:t>e.</w:t>
      </w:r>
    </w:p>
    <w:p w14:paraId="09A95D2B" w14:textId="3E804E55" w:rsidR="00F7601C" w:rsidRPr="00A86E6B" w:rsidRDefault="0097103D" w:rsidP="00A86E6B">
      <w:pPr>
        <w:tabs>
          <w:tab w:val="left" w:pos="630"/>
          <w:tab w:val="left" w:pos="1440"/>
        </w:tabs>
        <w:ind w:firstLine="720"/>
        <w:rPr>
          <w:color w:val="222222"/>
          <w:szCs w:val="26"/>
          <w:shd w:val="clear" w:color="auto" w:fill="FFFFFF"/>
        </w:rPr>
      </w:pPr>
      <w:r w:rsidRPr="00A86E6B">
        <w:rPr>
          <w:szCs w:val="26"/>
        </w:rPr>
        <w:t>Spectrum</w:t>
      </w:r>
      <w:r w:rsidR="00464A8F" w:rsidRPr="00A86E6B">
        <w:rPr>
          <w:szCs w:val="26"/>
        </w:rPr>
        <w:t xml:space="preserve">’s primary argument is that </w:t>
      </w:r>
      <w:r w:rsidR="00EB46D1" w:rsidRPr="00A86E6B">
        <w:rPr>
          <w:szCs w:val="26"/>
        </w:rPr>
        <w:t>treati</w:t>
      </w:r>
      <w:r w:rsidR="00C27CD1" w:rsidRPr="00A86E6B">
        <w:rPr>
          <w:szCs w:val="26"/>
        </w:rPr>
        <w:t>ng premium pay as wages is inconsistent with our post-</w:t>
      </w:r>
      <w:r w:rsidR="00C27CD1" w:rsidRPr="00A86E6B">
        <w:rPr>
          <w:i/>
          <w:iCs/>
          <w:szCs w:val="26"/>
        </w:rPr>
        <w:t>Murphy</w:t>
      </w:r>
      <w:r w:rsidR="00C27CD1" w:rsidRPr="00A86E6B">
        <w:rPr>
          <w:szCs w:val="26"/>
        </w:rPr>
        <w:t xml:space="preserve"> decision in </w:t>
      </w:r>
      <w:r w:rsidRPr="00A86E6B">
        <w:rPr>
          <w:i/>
          <w:iCs/>
          <w:szCs w:val="26"/>
        </w:rPr>
        <w:t>Kirby v</w:t>
      </w:r>
      <w:r w:rsidR="00EB46D1" w:rsidRPr="00A86E6B">
        <w:rPr>
          <w:i/>
          <w:iCs/>
          <w:szCs w:val="26"/>
        </w:rPr>
        <w:t>.</w:t>
      </w:r>
      <w:r w:rsidRPr="00A86E6B">
        <w:rPr>
          <w:i/>
          <w:iCs/>
          <w:szCs w:val="26"/>
        </w:rPr>
        <w:t xml:space="preserve"> Immoos Fire Protection, Inc.</w:t>
      </w:r>
      <w:r w:rsidRPr="00A86E6B">
        <w:rPr>
          <w:szCs w:val="26"/>
        </w:rPr>
        <w:t xml:space="preserve"> (2012) 53 Cal.4th 1244 (</w:t>
      </w:r>
      <w:r w:rsidRPr="00A86E6B">
        <w:rPr>
          <w:i/>
          <w:iCs/>
          <w:szCs w:val="26"/>
        </w:rPr>
        <w:t>Kirby</w:t>
      </w:r>
      <w:r w:rsidRPr="00A86E6B">
        <w:rPr>
          <w:szCs w:val="26"/>
        </w:rPr>
        <w:t>).</w:t>
      </w:r>
      <w:r w:rsidR="00F032EE" w:rsidRPr="00A86E6B">
        <w:rPr>
          <w:szCs w:val="26"/>
        </w:rPr>
        <w:t xml:space="preserve">  </w:t>
      </w:r>
      <w:r w:rsidRPr="00A86E6B">
        <w:rPr>
          <w:i/>
          <w:iCs/>
          <w:szCs w:val="26"/>
        </w:rPr>
        <w:t xml:space="preserve">Kirby </w:t>
      </w:r>
      <w:r w:rsidRPr="00A86E6B">
        <w:rPr>
          <w:szCs w:val="26"/>
        </w:rPr>
        <w:t xml:space="preserve">considered whether an action under section 226.7 was “an </w:t>
      </w:r>
      <w:r w:rsidR="00B42D81">
        <w:rPr>
          <w:szCs w:val="26"/>
        </w:rPr>
        <w:t>‘</w:t>
      </w:r>
      <w:r w:rsidRPr="00A86E6B">
        <w:rPr>
          <w:szCs w:val="26"/>
        </w:rPr>
        <w:t>action brought for the nonpayment of wages</w:t>
      </w:r>
      <w:r w:rsidR="00E3283F">
        <w:rPr>
          <w:szCs w:val="26"/>
        </w:rPr>
        <w:t>’ </w:t>
      </w:r>
      <w:r w:rsidRPr="00A86E6B">
        <w:rPr>
          <w:szCs w:val="26"/>
        </w:rPr>
        <w:t xml:space="preserve">” for purposes </w:t>
      </w:r>
      <w:r w:rsidR="0057245A" w:rsidRPr="00A86E6B">
        <w:rPr>
          <w:szCs w:val="26"/>
        </w:rPr>
        <w:t xml:space="preserve">of </w:t>
      </w:r>
      <w:r w:rsidRPr="00A86E6B">
        <w:rPr>
          <w:szCs w:val="26"/>
        </w:rPr>
        <w:t xml:space="preserve">fee-shifting </w:t>
      </w:r>
      <w:r w:rsidR="0057245A" w:rsidRPr="00A86E6B">
        <w:rPr>
          <w:szCs w:val="26"/>
        </w:rPr>
        <w:t xml:space="preserve">under </w:t>
      </w:r>
      <w:r w:rsidRPr="00A86E6B">
        <w:rPr>
          <w:szCs w:val="26"/>
        </w:rPr>
        <w:t>Lab</w:t>
      </w:r>
      <w:r w:rsidR="0057245A" w:rsidRPr="00A86E6B">
        <w:rPr>
          <w:szCs w:val="26"/>
        </w:rPr>
        <w:t>or</w:t>
      </w:r>
      <w:r w:rsidRPr="00A86E6B">
        <w:rPr>
          <w:szCs w:val="26"/>
        </w:rPr>
        <w:t xml:space="preserve"> Code</w:t>
      </w:r>
      <w:r w:rsidR="0057245A" w:rsidRPr="00A86E6B">
        <w:rPr>
          <w:szCs w:val="26"/>
        </w:rPr>
        <w:t xml:space="preserve"> section </w:t>
      </w:r>
      <w:r w:rsidRPr="00A86E6B">
        <w:rPr>
          <w:szCs w:val="26"/>
        </w:rPr>
        <w:t>218.5.</w:t>
      </w:r>
      <w:r w:rsidR="0057245A" w:rsidRPr="00A86E6B">
        <w:rPr>
          <w:szCs w:val="26"/>
        </w:rPr>
        <w:t xml:space="preserve">  </w:t>
      </w:r>
      <w:r w:rsidR="00A84383">
        <w:rPr>
          <w:szCs w:val="26"/>
        </w:rPr>
        <w:t>(</w:t>
      </w:r>
      <w:r w:rsidR="00A84383">
        <w:rPr>
          <w:i/>
          <w:iCs/>
          <w:szCs w:val="26"/>
        </w:rPr>
        <w:t>Kirby</w:t>
      </w:r>
      <w:r w:rsidR="00A84383">
        <w:rPr>
          <w:szCs w:val="26"/>
        </w:rPr>
        <w:t>, at p.</w:t>
      </w:r>
      <w:r w:rsidR="0098142D">
        <w:rPr>
          <w:szCs w:val="26"/>
        </w:rPr>
        <w:t> </w:t>
      </w:r>
      <w:r w:rsidR="00A84383">
        <w:rPr>
          <w:szCs w:val="26"/>
        </w:rPr>
        <w:t xml:space="preserve">1251.)  </w:t>
      </w:r>
      <w:r w:rsidRPr="00A86E6B">
        <w:rPr>
          <w:szCs w:val="26"/>
        </w:rPr>
        <w:t>We explained that it was not:  “</w:t>
      </w:r>
      <w:r w:rsidRPr="00A86E6B">
        <w:rPr>
          <w:color w:val="222222"/>
          <w:szCs w:val="26"/>
          <w:shd w:val="clear" w:color="auto" w:fill="FFFFFF"/>
        </w:rPr>
        <w:t>Section 226.7 is not aimed at protecting or providing employees’ wages.  Instead, the statute is primarily concerned with ensuring the health and welfare of employees by requiring that employers provide meal and rest periods as mandated by the IWC.”  (</w:t>
      </w:r>
      <w:r w:rsidRPr="00A86E6B">
        <w:rPr>
          <w:i/>
          <w:iCs/>
          <w:color w:val="222222"/>
          <w:szCs w:val="26"/>
          <w:shd w:val="clear" w:color="auto" w:fill="FFFFFF"/>
        </w:rPr>
        <w:t>Kirby</w:t>
      </w:r>
      <w:r w:rsidRPr="00A86E6B">
        <w:rPr>
          <w:color w:val="222222"/>
          <w:szCs w:val="26"/>
          <w:shd w:val="clear" w:color="auto" w:fill="FFFFFF"/>
        </w:rPr>
        <w:t xml:space="preserve">, at p. 1255.)  Consequently, </w:t>
      </w:r>
      <w:r w:rsidR="00A93B5B" w:rsidRPr="00A86E6B">
        <w:rPr>
          <w:color w:val="222222"/>
          <w:szCs w:val="26"/>
          <w:shd w:val="clear" w:color="auto" w:fill="FFFFFF"/>
        </w:rPr>
        <w:t xml:space="preserve">we concluded, </w:t>
      </w:r>
      <w:r w:rsidRPr="00A86E6B">
        <w:rPr>
          <w:color w:val="222222"/>
          <w:szCs w:val="26"/>
          <w:shd w:val="clear" w:color="auto" w:fill="FFFFFF"/>
        </w:rPr>
        <w:t xml:space="preserve">“a section 226.7 action is brought for the </w:t>
      </w:r>
      <w:r w:rsidRPr="00A86E6B">
        <w:rPr>
          <w:i/>
          <w:iCs/>
          <w:color w:val="222222"/>
          <w:szCs w:val="26"/>
          <w:shd w:val="clear" w:color="auto" w:fill="FFFFFF"/>
        </w:rPr>
        <w:t>nonprovision of meal and rest periods</w:t>
      </w:r>
      <w:r w:rsidRPr="00A86E6B">
        <w:rPr>
          <w:color w:val="222222"/>
          <w:szCs w:val="26"/>
          <w:shd w:val="clear" w:color="auto" w:fill="FFFFFF"/>
        </w:rPr>
        <w:t>, not for the ‘nonpayment of wages.’ ”  (</w:t>
      </w:r>
      <w:r w:rsidRPr="00A86E6B">
        <w:rPr>
          <w:i/>
          <w:iCs/>
          <w:color w:val="222222"/>
          <w:szCs w:val="26"/>
          <w:shd w:val="clear" w:color="auto" w:fill="FFFFFF"/>
        </w:rPr>
        <w:t>Kirby</w:t>
      </w:r>
      <w:r w:rsidRPr="00A86E6B">
        <w:rPr>
          <w:color w:val="222222"/>
          <w:szCs w:val="26"/>
          <w:shd w:val="clear" w:color="auto" w:fill="FFFFFF"/>
        </w:rPr>
        <w:t>, at p. 1255.)</w:t>
      </w:r>
    </w:p>
    <w:p w14:paraId="6B6D504A" w14:textId="3CBC5FC2" w:rsidR="00B856FC" w:rsidRPr="00A86E6B" w:rsidRDefault="0097103D" w:rsidP="00A86E6B">
      <w:pPr>
        <w:tabs>
          <w:tab w:val="left" w:pos="1440"/>
        </w:tabs>
        <w:ind w:firstLine="720"/>
        <w:rPr>
          <w:color w:val="222222"/>
          <w:szCs w:val="26"/>
          <w:shd w:val="clear" w:color="auto" w:fill="FFFFFF"/>
        </w:rPr>
      </w:pPr>
      <w:r w:rsidRPr="00A86E6B">
        <w:rPr>
          <w:color w:val="222222"/>
          <w:szCs w:val="26"/>
          <w:shd w:val="clear" w:color="auto" w:fill="FFFFFF"/>
        </w:rPr>
        <w:t xml:space="preserve">Spectrum </w:t>
      </w:r>
      <w:r w:rsidR="00F7601C" w:rsidRPr="00A86E6B">
        <w:rPr>
          <w:color w:val="222222"/>
          <w:szCs w:val="26"/>
          <w:shd w:val="clear" w:color="auto" w:fill="FFFFFF"/>
        </w:rPr>
        <w:t xml:space="preserve">reads </w:t>
      </w:r>
      <w:r w:rsidR="008E0E1C" w:rsidRPr="00A86E6B">
        <w:rPr>
          <w:i/>
          <w:iCs/>
          <w:color w:val="222222"/>
          <w:szCs w:val="26"/>
          <w:shd w:val="clear" w:color="auto" w:fill="FFFFFF"/>
        </w:rPr>
        <w:t>Kirby</w:t>
      </w:r>
      <w:r w:rsidR="008E0E1C" w:rsidRPr="00A86E6B">
        <w:rPr>
          <w:color w:val="222222"/>
          <w:szCs w:val="26"/>
          <w:shd w:val="clear" w:color="auto" w:fill="FFFFFF"/>
        </w:rPr>
        <w:t xml:space="preserve"> </w:t>
      </w:r>
      <w:r w:rsidR="00F7601C" w:rsidRPr="00A86E6B">
        <w:rPr>
          <w:color w:val="222222"/>
          <w:szCs w:val="26"/>
          <w:shd w:val="clear" w:color="auto" w:fill="FFFFFF"/>
        </w:rPr>
        <w:t xml:space="preserve">as </w:t>
      </w:r>
      <w:r w:rsidR="007E0B91" w:rsidRPr="00A86E6B">
        <w:rPr>
          <w:color w:val="222222"/>
          <w:szCs w:val="26"/>
          <w:shd w:val="clear" w:color="auto" w:fill="FFFFFF"/>
        </w:rPr>
        <w:t xml:space="preserve">holding </w:t>
      </w:r>
      <w:r w:rsidR="00F7601C" w:rsidRPr="00A86E6B">
        <w:rPr>
          <w:color w:val="222222"/>
          <w:szCs w:val="26"/>
          <w:shd w:val="clear" w:color="auto" w:fill="FFFFFF"/>
        </w:rPr>
        <w:t xml:space="preserve">that </w:t>
      </w:r>
      <w:r w:rsidR="008E0E1C" w:rsidRPr="00A86E6B">
        <w:rPr>
          <w:color w:val="222222"/>
          <w:szCs w:val="26"/>
          <w:shd w:val="clear" w:color="auto" w:fill="FFFFFF"/>
        </w:rPr>
        <w:t>missed</w:t>
      </w:r>
      <w:r w:rsidR="00B33C15">
        <w:rPr>
          <w:color w:val="222222"/>
          <w:szCs w:val="26"/>
          <w:shd w:val="clear" w:color="auto" w:fill="FFFFFF"/>
        </w:rPr>
        <w:t>-</w:t>
      </w:r>
      <w:r w:rsidR="008E0E1C" w:rsidRPr="00A86E6B">
        <w:rPr>
          <w:color w:val="222222"/>
          <w:szCs w:val="26"/>
          <w:shd w:val="clear" w:color="auto" w:fill="FFFFFF"/>
        </w:rPr>
        <w:t>break premium pay is not a wage for purposes of Labor Code section 218.5 and</w:t>
      </w:r>
      <w:r w:rsidR="00461830" w:rsidRPr="00A86E6B">
        <w:rPr>
          <w:color w:val="222222"/>
          <w:szCs w:val="26"/>
          <w:shd w:val="clear" w:color="auto" w:fill="FFFFFF"/>
        </w:rPr>
        <w:t xml:space="preserve"> thus</w:t>
      </w:r>
      <w:r w:rsidR="008E0E1C" w:rsidRPr="00A86E6B">
        <w:rPr>
          <w:color w:val="222222"/>
          <w:szCs w:val="26"/>
          <w:shd w:val="clear" w:color="auto" w:fill="FFFFFF"/>
        </w:rPr>
        <w:t xml:space="preserve">, more generally, is not a wage for all </w:t>
      </w:r>
      <w:r w:rsidR="00A42083" w:rsidRPr="00A86E6B">
        <w:rPr>
          <w:color w:val="222222"/>
          <w:szCs w:val="26"/>
          <w:shd w:val="clear" w:color="auto" w:fill="FFFFFF"/>
        </w:rPr>
        <w:t xml:space="preserve">or most Labor Code </w:t>
      </w:r>
      <w:r w:rsidR="002D7C1C" w:rsidRPr="00A86E6B">
        <w:rPr>
          <w:color w:val="222222"/>
          <w:szCs w:val="26"/>
          <w:shd w:val="clear" w:color="auto" w:fill="FFFFFF"/>
        </w:rPr>
        <w:t>purposes</w:t>
      </w:r>
      <w:r w:rsidR="002D7C1C">
        <w:rPr>
          <w:color w:val="222222"/>
          <w:szCs w:val="26"/>
          <w:shd w:val="clear" w:color="auto" w:fill="FFFFFF"/>
        </w:rPr>
        <w:t> </w:t>
      </w:r>
      <w:r w:rsidR="00C50D76">
        <w:rPr>
          <w:color w:val="222222"/>
          <w:szCs w:val="26"/>
          <w:shd w:val="clear" w:color="auto" w:fill="FFFFFF"/>
        </w:rPr>
        <w:t>—</w:t>
      </w:r>
      <w:r w:rsidR="00184542" w:rsidRPr="00A86E6B">
        <w:rPr>
          <w:color w:val="222222"/>
          <w:szCs w:val="26"/>
          <w:shd w:val="clear" w:color="auto" w:fill="FFFFFF"/>
        </w:rPr>
        <w:t xml:space="preserve"> notwithstanding </w:t>
      </w:r>
      <w:r w:rsidR="003F3196" w:rsidRPr="00A86E6B">
        <w:rPr>
          <w:color w:val="222222"/>
          <w:szCs w:val="26"/>
          <w:shd w:val="clear" w:color="auto" w:fill="FFFFFF"/>
        </w:rPr>
        <w:t xml:space="preserve">the </w:t>
      </w:r>
      <w:r w:rsidR="00FB54D0">
        <w:rPr>
          <w:color w:val="222222"/>
          <w:szCs w:val="26"/>
          <w:shd w:val="clear" w:color="auto" w:fill="FFFFFF"/>
        </w:rPr>
        <w:t xml:space="preserve">contrary </w:t>
      </w:r>
      <w:r w:rsidR="003F3196" w:rsidRPr="00A86E6B">
        <w:rPr>
          <w:color w:val="222222"/>
          <w:szCs w:val="26"/>
          <w:shd w:val="clear" w:color="auto" w:fill="FFFFFF"/>
        </w:rPr>
        <w:t xml:space="preserve">analysis in </w:t>
      </w:r>
      <w:r w:rsidR="008E0E1C" w:rsidRPr="00A86E6B">
        <w:rPr>
          <w:i/>
          <w:iCs/>
          <w:color w:val="222222"/>
          <w:szCs w:val="26"/>
          <w:shd w:val="clear" w:color="auto" w:fill="FFFFFF"/>
        </w:rPr>
        <w:t>Murphy</w:t>
      </w:r>
      <w:r w:rsidR="008E0E1C" w:rsidRPr="00A86E6B">
        <w:rPr>
          <w:color w:val="222222"/>
          <w:szCs w:val="26"/>
          <w:shd w:val="clear" w:color="auto" w:fill="FFFFFF"/>
        </w:rPr>
        <w:t xml:space="preserve">, </w:t>
      </w:r>
      <w:r w:rsidR="008E0E1C" w:rsidRPr="00A86E6B">
        <w:rPr>
          <w:i/>
          <w:iCs/>
          <w:color w:val="222222"/>
          <w:szCs w:val="26"/>
          <w:shd w:val="clear" w:color="auto" w:fill="FFFFFF"/>
        </w:rPr>
        <w:t>supra</w:t>
      </w:r>
      <w:r w:rsidR="008E0E1C" w:rsidRPr="00A86E6B">
        <w:rPr>
          <w:color w:val="222222"/>
          <w:szCs w:val="26"/>
          <w:shd w:val="clear" w:color="auto" w:fill="FFFFFF"/>
        </w:rPr>
        <w:t xml:space="preserve">, 40 Cal.4th 1094.  </w:t>
      </w:r>
      <w:r w:rsidR="00672437" w:rsidRPr="00A86E6B">
        <w:rPr>
          <w:color w:val="222222"/>
          <w:szCs w:val="26"/>
          <w:shd w:val="clear" w:color="auto" w:fill="FFFFFF"/>
        </w:rPr>
        <w:t xml:space="preserve">Variations on </w:t>
      </w:r>
      <w:r w:rsidR="006E4F30" w:rsidRPr="00A86E6B">
        <w:rPr>
          <w:color w:val="222222"/>
          <w:szCs w:val="26"/>
          <w:shd w:val="clear" w:color="auto" w:fill="FFFFFF"/>
        </w:rPr>
        <w:t xml:space="preserve">this </w:t>
      </w:r>
      <w:r w:rsidR="00CA703F">
        <w:rPr>
          <w:color w:val="222222"/>
          <w:szCs w:val="26"/>
          <w:shd w:val="clear" w:color="auto" w:fill="FFFFFF"/>
        </w:rPr>
        <w:t xml:space="preserve">theme </w:t>
      </w:r>
      <w:r w:rsidR="00672437" w:rsidRPr="00A86E6B">
        <w:rPr>
          <w:color w:val="222222"/>
          <w:szCs w:val="26"/>
          <w:shd w:val="clear" w:color="auto" w:fill="FFFFFF"/>
        </w:rPr>
        <w:t xml:space="preserve">appear in the opinions of </w:t>
      </w:r>
      <w:r w:rsidR="0039401C" w:rsidRPr="00A86E6B">
        <w:rPr>
          <w:color w:val="222222"/>
          <w:szCs w:val="26"/>
          <w:shd w:val="clear" w:color="auto" w:fill="FFFFFF"/>
        </w:rPr>
        <w:t xml:space="preserve">a number of courts that have </w:t>
      </w:r>
      <w:r w:rsidR="00837055" w:rsidRPr="00A86E6B">
        <w:rPr>
          <w:color w:val="222222"/>
          <w:szCs w:val="26"/>
          <w:shd w:val="clear" w:color="auto" w:fill="FFFFFF"/>
        </w:rPr>
        <w:t xml:space="preserve">likewise </w:t>
      </w:r>
      <w:r w:rsidR="0039401C" w:rsidRPr="00A86E6B">
        <w:rPr>
          <w:color w:val="222222"/>
          <w:szCs w:val="26"/>
          <w:shd w:val="clear" w:color="auto" w:fill="FFFFFF"/>
        </w:rPr>
        <w:t xml:space="preserve">read </w:t>
      </w:r>
      <w:r w:rsidR="006640DD" w:rsidRPr="00A86E6B">
        <w:rPr>
          <w:i/>
          <w:iCs/>
          <w:color w:val="222222"/>
          <w:szCs w:val="26"/>
          <w:shd w:val="clear" w:color="auto" w:fill="FFFFFF"/>
        </w:rPr>
        <w:t>Kirby</w:t>
      </w:r>
      <w:r w:rsidR="006640DD" w:rsidRPr="00A86E6B">
        <w:rPr>
          <w:color w:val="222222"/>
          <w:szCs w:val="26"/>
          <w:shd w:val="clear" w:color="auto" w:fill="FFFFFF"/>
        </w:rPr>
        <w:t xml:space="preserve"> </w:t>
      </w:r>
      <w:r w:rsidR="008F70CA" w:rsidRPr="00A86E6B">
        <w:rPr>
          <w:color w:val="222222"/>
          <w:szCs w:val="26"/>
          <w:shd w:val="clear" w:color="auto" w:fill="FFFFFF"/>
        </w:rPr>
        <w:t xml:space="preserve">to mean </w:t>
      </w:r>
      <w:r w:rsidR="006640DD" w:rsidRPr="00A86E6B">
        <w:rPr>
          <w:color w:val="222222"/>
          <w:szCs w:val="26"/>
          <w:shd w:val="clear" w:color="auto" w:fill="FFFFFF"/>
        </w:rPr>
        <w:t>that missed</w:t>
      </w:r>
      <w:r w:rsidR="00B33C15">
        <w:rPr>
          <w:color w:val="222222"/>
          <w:szCs w:val="26"/>
          <w:shd w:val="clear" w:color="auto" w:fill="FFFFFF"/>
        </w:rPr>
        <w:t>-</w:t>
      </w:r>
      <w:r w:rsidR="006640DD" w:rsidRPr="00A86E6B">
        <w:rPr>
          <w:color w:val="222222"/>
          <w:szCs w:val="26"/>
          <w:shd w:val="clear" w:color="auto" w:fill="FFFFFF"/>
        </w:rPr>
        <w:t>break premium pay is not</w:t>
      </w:r>
      <w:r w:rsidR="0039401C" w:rsidRPr="00A86E6B">
        <w:rPr>
          <w:color w:val="222222"/>
          <w:szCs w:val="26"/>
          <w:shd w:val="clear" w:color="auto" w:fill="FFFFFF"/>
        </w:rPr>
        <w:t xml:space="preserve"> generally a wage.  </w:t>
      </w:r>
      <w:r w:rsidR="006C7941" w:rsidRPr="00A86E6B">
        <w:rPr>
          <w:color w:val="222222"/>
          <w:szCs w:val="26"/>
          <w:shd w:val="clear" w:color="auto" w:fill="FFFFFF"/>
        </w:rPr>
        <w:t>T</w:t>
      </w:r>
      <w:r w:rsidR="0035770E" w:rsidRPr="00A86E6B">
        <w:rPr>
          <w:color w:val="222222"/>
          <w:szCs w:val="26"/>
          <w:shd w:val="clear" w:color="auto" w:fill="FFFFFF"/>
        </w:rPr>
        <w:t>he</w:t>
      </w:r>
      <w:r w:rsidR="000076D8" w:rsidRPr="00A86E6B">
        <w:rPr>
          <w:color w:val="222222"/>
          <w:szCs w:val="26"/>
          <w:shd w:val="clear" w:color="auto" w:fill="FFFFFF"/>
        </w:rPr>
        <w:t xml:space="preserve"> Court of Appeal </w:t>
      </w:r>
      <w:r w:rsidR="001D5A44" w:rsidRPr="00A86E6B">
        <w:rPr>
          <w:color w:val="222222"/>
          <w:szCs w:val="26"/>
          <w:shd w:val="clear" w:color="auto" w:fill="FFFFFF"/>
        </w:rPr>
        <w:t xml:space="preserve">in this case </w:t>
      </w:r>
      <w:r w:rsidR="006C7941" w:rsidRPr="00A86E6B">
        <w:rPr>
          <w:color w:val="222222"/>
          <w:szCs w:val="26"/>
          <w:shd w:val="clear" w:color="auto" w:fill="FFFFFF"/>
        </w:rPr>
        <w:t xml:space="preserve">summarized </w:t>
      </w:r>
      <w:r w:rsidR="001D5A44" w:rsidRPr="00A86E6B">
        <w:rPr>
          <w:color w:val="222222"/>
          <w:szCs w:val="26"/>
          <w:shd w:val="clear" w:color="auto" w:fill="FFFFFF"/>
        </w:rPr>
        <w:t xml:space="preserve">the </w:t>
      </w:r>
      <w:r w:rsidR="004B5E90" w:rsidRPr="00A86E6B">
        <w:rPr>
          <w:color w:val="222222"/>
          <w:szCs w:val="26"/>
          <w:shd w:val="clear" w:color="auto" w:fill="FFFFFF"/>
        </w:rPr>
        <w:t>chain of thought</w:t>
      </w:r>
      <w:r w:rsidR="006C7941" w:rsidRPr="00A86E6B">
        <w:rPr>
          <w:color w:val="222222"/>
          <w:szCs w:val="26"/>
          <w:shd w:val="clear" w:color="auto" w:fill="FFFFFF"/>
        </w:rPr>
        <w:t xml:space="preserve">:  </w:t>
      </w:r>
      <w:r w:rsidR="00B856FC" w:rsidRPr="00A86E6B">
        <w:rPr>
          <w:color w:val="222222"/>
          <w:szCs w:val="26"/>
          <w:shd w:val="clear" w:color="auto" w:fill="FFFFFF"/>
        </w:rPr>
        <w:t>“ ‘</w:t>
      </w:r>
      <w:r w:rsidR="006C7941" w:rsidRPr="00A86E6B">
        <w:rPr>
          <w:color w:val="222222"/>
          <w:szCs w:val="26"/>
          <w:shd w:val="clear" w:color="auto" w:fill="FFFFFF"/>
        </w:rPr>
        <w:t>[U]</w:t>
      </w:r>
      <w:r w:rsidR="00B856FC" w:rsidRPr="00A86E6B">
        <w:rPr>
          <w:color w:val="222222"/>
          <w:szCs w:val="26"/>
          <w:shd w:val="clear" w:color="auto" w:fill="FFFFFF"/>
        </w:rPr>
        <w:t xml:space="preserve">nder </w:t>
      </w:r>
      <w:r w:rsidR="00B856FC" w:rsidRPr="00A86E6B">
        <w:rPr>
          <w:i/>
          <w:iCs/>
          <w:color w:val="222222"/>
          <w:szCs w:val="26"/>
          <w:shd w:val="clear" w:color="auto" w:fill="FFFFFF"/>
        </w:rPr>
        <w:t>Kirby</w:t>
      </w:r>
      <w:r w:rsidR="00B856FC" w:rsidRPr="00A86E6B">
        <w:rPr>
          <w:color w:val="222222"/>
          <w:szCs w:val="26"/>
          <w:shd w:val="clear" w:color="auto" w:fill="FFFFFF"/>
        </w:rPr>
        <w:t>, the legal violation underlying a section 226.7 claim is the nonprovision of meal and rest periods and the corresponding failure to “ensur[e] the health and welfare of employees,” not the nonpayment of wages.’ ”  (</w:t>
      </w:r>
      <w:r w:rsidR="00B856FC" w:rsidRPr="00A86E6B">
        <w:rPr>
          <w:i/>
          <w:iCs/>
          <w:color w:val="222222"/>
          <w:szCs w:val="26"/>
          <w:shd w:val="clear" w:color="auto" w:fill="FFFFFF"/>
        </w:rPr>
        <w:t>Naranjo II</w:t>
      </w:r>
      <w:r w:rsidR="00B856FC" w:rsidRPr="00A86E6B">
        <w:rPr>
          <w:color w:val="222222"/>
          <w:szCs w:val="26"/>
          <w:shd w:val="clear" w:color="auto" w:fill="FFFFFF"/>
        </w:rPr>
        <w:t>,</w:t>
      </w:r>
      <w:r w:rsidR="00B856FC" w:rsidRPr="00A86E6B">
        <w:rPr>
          <w:i/>
          <w:iCs/>
          <w:color w:val="222222"/>
          <w:szCs w:val="26"/>
          <w:shd w:val="clear" w:color="auto" w:fill="FFFFFF"/>
        </w:rPr>
        <w:t xml:space="preserve"> supra</w:t>
      </w:r>
      <w:r w:rsidR="00B856FC" w:rsidRPr="00A86E6B">
        <w:rPr>
          <w:color w:val="222222"/>
          <w:szCs w:val="26"/>
          <w:shd w:val="clear" w:color="auto" w:fill="FFFFFF"/>
        </w:rPr>
        <w:t>, 40 Cal.App.</w:t>
      </w:r>
      <w:r w:rsidR="004A02EF" w:rsidRPr="00A86E6B">
        <w:rPr>
          <w:color w:val="222222"/>
          <w:szCs w:val="26"/>
          <w:shd w:val="clear" w:color="auto" w:fill="FFFFFF"/>
        </w:rPr>
        <w:t>5</w:t>
      </w:r>
      <w:r w:rsidR="00B856FC" w:rsidRPr="00A86E6B">
        <w:rPr>
          <w:color w:val="222222"/>
          <w:szCs w:val="26"/>
          <w:shd w:val="clear" w:color="auto" w:fill="FFFFFF"/>
        </w:rPr>
        <w:t xml:space="preserve">th at pp. 469–470, quoting </w:t>
      </w:r>
      <w:r w:rsidR="00B856FC" w:rsidRPr="00A86E6B">
        <w:rPr>
          <w:i/>
          <w:iCs/>
          <w:szCs w:val="26"/>
        </w:rPr>
        <w:t xml:space="preserve">Jones v. Spherion Staffing LLC </w:t>
      </w:r>
      <w:r w:rsidR="00B856FC" w:rsidRPr="00A86E6B">
        <w:rPr>
          <w:szCs w:val="26"/>
        </w:rPr>
        <w:t>(</w:t>
      </w:r>
      <w:r w:rsidR="00B856FC" w:rsidRPr="00A904F8">
        <w:rPr>
          <w:szCs w:val="26"/>
        </w:rPr>
        <w:t>C.D.Cal.</w:t>
      </w:r>
      <w:r w:rsidR="004A02EF" w:rsidRPr="00A904F8">
        <w:rPr>
          <w:szCs w:val="26"/>
        </w:rPr>
        <w:t>,</w:t>
      </w:r>
      <w:r w:rsidR="00B856FC" w:rsidRPr="00A904F8">
        <w:rPr>
          <w:szCs w:val="26"/>
        </w:rPr>
        <w:t xml:space="preserve"> </w:t>
      </w:r>
      <w:r w:rsidR="004A02EF" w:rsidRPr="00A904F8">
        <w:rPr>
          <w:szCs w:val="26"/>
        </w:rPr>
        <w:t>Aug. 7, 20</w:t>
      </w:r>
      <w:r w:rsidR="00493772" w:rsidRPr="00A904F8">
        <w:rPr>
          <w:szCs w:val="26"/>
        </w:rPr>
        <w:t>12</w:t>
      </w:r>
      <w:r w:rsidR="004A02EF" w:rsidRPr="00A904F8">
        <w:rPr>
          <w:szCs w:val="26"/>
        </w:rPr>
        <w:t>, No.</w:t>
      </w:r>
      <w:r w:rsidR="00D27DAB" w:rsidRPr="00A904F8">
        <w:rPr>
          <w:szCs w:val="26"/>
        </w:rPr>
        <w:t> </w:t>
      </w:r>
      <w:r w:rsidR="004A02EF" w:rsidRPr="00A904F8">
        <w:rPr>
          <w:szCs w:val="26"/>
        </w:rPr>
        <w:t>LA CV11-06462 JAK (JCx)</w:t>
      </w:r>
      <w:r w:rsidR="00B856FC" w:rsidRPr="00A904F8">
        <w:rPr>
          <w:szCs w:val="26"/>
        </w:rPr>
        <w:t>) 2012 U</w:t>
      </w:r>
      <w:r w:rsidR="00AE6A51" w:rsidRPr="00A904F8">
        <w:rPr>
          <w:szCs w:val="26"/>
        </w:rPr>
        <w:t>.</w:t>
      </w:r>
      <w:r w:rsidR="00B856FC" w:rsidRPr="00A904F8">
        <w:rPr>
          <w:szCs w:val="26"/>
        </w:rPr>
        <w:t>S</w:t>
      </w:r>
      <w:r w:rsidR="00AE6A51" w:rsidRPr="00A904F8">
        <w:rPr>
          <w:szCs w:val="26"/>
        </w:rPr>
        <w:t>.</w:t>
      </w:r>
      <w:r w:rsidR="00B856FC" w:rsidRPr="00A904F8">
        <w:rPr>
          <w:szCs w:val="26"/>
        </w:rPr>
        <w:t xml:space="preserve">Dist. LEXIS 112396, </w:t>
      </w:r>
      <w:r w:rsidR="00D27DAB" w:rsidRPr="00A904F8">
        <w:rPr>
          <w:szCs w:val="26"/>
        </w:rPr>
        <w:t>at p.</w:t>
      </w:r>
      <w:r w:rsidR="00D27DAB" w:rsidRPr="00A904F8">
        <w:t> </w:t>
      </w:r>
      <w:r w:rsidR="00B856FC" w:rsidRPr="00A904F8">
        <w:rPr>
          <w:szCs w:val="26"/>
        </w:rPr>
        <w:t>*21</w:t>
      </w:r>
      <w:r w:rsidR="00B856FC" w:rsidRPr="00A86E6B">
        <w:rPr>
          <w:szCs w:val="26"/>
        </w:rPr>
        <w:t>.)</w:t>
      </w:r>
      <w:r w:rsidR="004B5E90" w:rsidRPr="00A86E6B">
        <w:rPr>
          <w:szCs w:val="26"/>
        </w:rPr>
        <w:t xml:space="preserve">  If a section 226.7 claim is an action for the deprivation of breaks, not the recovery of wages,</w:t>
      </w:r>
      <w:r w:rsidR="004E54F8" w:rsidRPr="00A86E6B">
        <w:rPr>
          <w:szCs w:val="26"/>
        </w:rPr>
        <w:t xml:space="preserve"> then </w:t>
      </w:r>
      <w:r w:rsidR="00512C39" w:rsidRPr="00A86E6B">
        <w:rPr>
          <w:szCs w:val="26"/>
        </w:rPr>
        <w:t>the payment promised by section 226.7 must not be a wage</w:t>
      </w:r>
      <w:r w:rsidR="00724168">
        <w:rPr>
          <w:szCs w:val="26"/>
        </w:rPr>
        <w:t> </w:t>
      </w:r>
      <w:r w:rsidR="00DA2371" w:rsidRPr="00A86E6B">
        <w:rPr>
          <w:szCs w:val="26"/>
        </w:rPr>
        <w:t xml:space="preserve">— but </w:t>
      </w:r>
      <w:r w:rsidR="000C79A1" w:rsidRPr="00A86E6B">
        <w:rPr>
          <w:szCs w:val="26"/>
        </w:rPr>
        <w:t xml:space="preserve">instead </w:t>
      </w:r>
      <w:r w:rsidR="00DA2371" w:rsidRPr="00A86E6B">
        <w:rPr>
          <w:szCs w:val="26"/>
        </w:rPr>
        <w:t>a statutory remedy “</w:t>
      </w:r>
      <w:r w:rsidR="0074764F" w:rsidRPr="00A86E6B">
        <w:rPr>
          <w:szCs w:val="26"/>
        </w:rPr>
        <w:t> </w:t>
      </w:r>
      <w:r w:rsidR="00DA2371" w:rsidRPr="00A86E6B">
        <w:rPr>
          <w:szCs w:val="26"/>
        </w:rPr>
        <w:t>‘calculated as a wage.’</w:t>
      </w:r>
      <w:r w:rsidR="0074764F" w:rsidRPr="00A86E6B">
        <w:rPr>
          <w:szCs w:val="26"/>
        </w:rPr>
        <w:t> </w:t>
      </w:r>
      <w:r w:rsidR="00DA2371" w:rsidRPr="00A86E6B">
        <w:rPr>
          <w:szCs w:val="26"/>
        </w:rPr>
        <w:t>”</w:t>
      </w:r>
      <w:r w:rsidR="00512C39" w:rsidRPr="00A86E6B">
        <w:rPr>
          <w:szCs w:val="26"/>
        </w:rPr>
        <w:t xml:space="preserve">  </w:t>
      </w:r>
      <w:r w:rsidR="00F10640" w:rsidRPr="00A86E6B">
        <w:rPr>
          <w:szCs w:val="26"/>
        </w:rPr>
        <w:t>(</w:t>
      </w:r>
      <w:r w:rsidR="00F10640" w:rsidRPr="00A86E6B">
        <w:rPr>
          <w:i/>
          <w:iCs/>
          <w:szCs w:val="26"/>
        </w:rPr>
        <w:t>Naranjo</w:t>
      </w:r>
      <w:r w:rsidR="00A904F8">
        <w:rPr>
          <w:i/>
          <w:iCs/>
          <w:szCs w:val="26"/>
        </w:rPr>
        <w:t> </w:t>
      </w:r>
      <w:r w:rsidR="00F10640" w:rsidRPr="00A86E6B">
        <w:rPr>
          <w:i/>
          <w:iCs/>
          <w:szCs w:val="26"/>
        </w:rPr>
        <w:t>II</w:t>
      </w:r>
      <w:r w:rsidR="00F10640" w:rsidRPr="00A86E6B">
        <w:rPr>
          <w:szCs w:val="26"/>
        </w:rPr>
        <w:t>,</w:t>
      </w:r>
      <w:r w:rsidR="00F10640" w:rsidRPr="00A86E6B">
        <w:rPr>
          <w:i/>
          <w:iCs/>
          <w:szCs w:val="26"/>
        </w:rPr>
        <w:t xml:space="preserve"> </w:t>
      </w:r>
      <w:r w:rsidR="00F10640" w:rsidRPr="00A86E6B">
        <w:rPr>
          <w:szCs w:val="26"/>
        </w:rPr>
        <w:t>at p</w:t>
      </w:r>
      <w:r w:rsidR="00DA2371" w:rsidRPr="00A86E6B">
        <w:rPr>
          <w:szCs w:val="26"/>
        </w:rPr>
        <w:t>.</w:t>
      </w:r>
      <w:r w:rsidR="0074764F" w:rsidRPr="00A86E6B">
        <w:rPr>
          <w:szCs w:val="26"/>
        </w:rPr>
        <w:t> </w:t>
      </w:r>
      <w:r w:rsidR="00DA2371" w:rsidRPr="00A86E6B">
        <w:rPr>
          <w:szCs w:val="26"/>
        </w:rPr>
        <w:t xml:space="preserve">470, quoting </w:t>
      </w:r>
      <w:r w:rsidR="00DA2371" w:rsidRPr="00A86E6B">
        <w:rPr>
          <w:i/>
          <w:iCs/>
          <w:szCs w:val="26"/>
        </w:rPr>
        <w:t>Jones</w:t>
      </w:r>
      <w:r w:rsidR="00DA2371" w:rsidRPr="00A86E6B">
        <w:rPr>
          <w:szCs w:val="26"/>
        </w:rPr>
        <w:t>, at p.</w:t>
      </w:r>
      <w:r w:rsidR="000D5C1A" w:rsidRPr="00A86E6B">
        <w:rPr>
          <w:szCs w:val="26"/>
        </w:rPr>
        <w:t> </w:t>
      </w:r>
      <w:r w:rsidR="00DA2371" w:rsidRPr="00A86E6B">
        <w:rPr>
          <w:szCs w:val="26"/>
        </w:rPr>
        <w:t xml:space="preserve">*21; see </w:t>
      </w:r>
      <w:r w:rsidR="00DA2371" w:rsidRPr="00A86E6B">
        <w:rPr>
          <w:i/>
          <w:iCs/>
          <w:szCs w:val="26"/>
        </w:rPr>
        <w:t>id.</w:t>
      </w:r>
      <w:r w:rsidR="00DA2371" w:rsidRPr="00A86E6B">
        <w:rPr>
          <w:szCs w:val="26"/>
        </w:rPr>
        <w:t xml:space="preserve"> at p</w:t>
      </w:r>
      <w:r w:rsidR="00F10640" w:rsidRPr="00A86E6B">
        <w:rPr>
          <w:szCs w:val="26"/>
        </w:rPr>
        <w:t>p. </w:t>
      </w:r>
      <w:r w:rsidR="00F10640" w:rsidRPr="00A86E6B">
        <w:rPr>
          <w:color w:val="222222"/>
          <w:szCs w:val="26"/>
          <w:shd w:val="clear" w:color="auto" w:fill="FFFFFF"/>
        </w:rPr>
        <w:t>469–470 [discussing cases].)</w:t>
      </w:r>
      <w:r w:rsidR="00B856FC" w:rsidRPr="00A86E6B">
        <w:rPr>
          <w:szCs w:val="26"/>
        </w:rPr>
        <w:t xml:space="preserve">  </w:t>
      </w:r>
      <w:r w:rsidR="00477CB4" w:rsidRPr="00A86E6B">
        <w:rPr>
          <w:szCs w:val="26"/>
        </w:rPr>
        <w:t>The</w:t>
      </w:r>
      <w:r w:rsidR="00174CD0" w:rsidRPr="00A86E6B">
        <w:rPr>
          <w:szCs w:val="26"/>
        </w:rPr>
        <w:t>se</w:t>
      </w:r>
      <w:r w:rsidR="00477CB4" w:rsidRPr="00A86E6B">
        <w:rPr>
          <w:szCs w:val="26"/>
        </w:rPr>
        <w:t xml:space="preserve"> courts </w:t>
      </w:r>
      <w:r w:rsidR="00174CD0" w:rsidRPr="00A86E6B">
        <w:rPr>
          <w:szCs w:val="26"/>
        </w:rPr>
        <w:t xml:space="preserve">have </w:t>
      </w:r>
      <w:r w:rsidR="000C79A1" w:rsidRPr="00A86E6B">
        <w:rPr>
          <w:szCs w:val="26"/>
        </w:rPr>
        <w:t xml:space="preserve">acknowledged that </w:t>
      </w:r>
      <w:r w:rsidR="000C79A1" w:rsidRPr="00A86E6B">
        <w:rPr>
          <w:i/>
          <w:iCs/>
          <w:szCs w:val="26"/>
        </w:rPr>
        <w:t>Murphy</w:t>
      </w:r>
      <w:r w:rsidR="000C79A1" w:rsidRPr="00A86E6B">
        <w:rPr>
          <w:szCs w:val="26"/>
        </w:rPr>
        <w:t xml:space="preserve">’s reasoning suggests otherwise but determined </w:t>
      </w:r>
      <w:r w:rsidR="000C79A1" w:rsidRPr="00A86E6B">
        <w:rPr>
          <w:i/>
          <w:iCs/>
          <w:szCs w:val="26"/>
        </w:rPr>
        <w:t>Murphy</w:t>
      </w:r>
      <w:r w:rsidR="000C79A1" w:rsidRPr="00A86E6B">
        <w:rPr>
          <w:szCs w:val="26"/>
        </w:rPr>
        <w:t xml:space="preserve"> is not authoritative on the issue because </w:t>
      </w:r>
      <w:r w:rsidR="007E79A8" w:rsidRPr="00A86E6B">
        <w:rPr>
          <w:szCs w:val="26"/>
        </w:rPr>
        <w:t>it decide</w:t>
      </w:r>
      <w:r w:rsidR="001B456E">
        <w:rPr>
          <w:szCs w:val="26"/>
        </w:rPr>
        <w:t>d</w:t>
      </w:r>
      <w:r w:rsidR="00BF7C66">
        <w:rPr>
          <w:szCs w:val="26"/>
        </w:rPr>
        <w:t xml:space="preserve"> only</w:t>
      </w:r>
      <w:r w:rsidR="007E79A8" w:rsidRPr="00A86E6B">
        <w:rPr>
          <w:szCs w:val="26"/>
        </w:rPr>
        <w:t xml:space="preserve"> </w:t>
      </w:r>
      <w:r w:rsidR="00B856FC" w:rsidRPr="00A86E6B">
        <w:rPr>
          <w:szCs w:val="26"/>
        </w:rPr>
        <w:t xml:space="preserve">whether premium pay was </w:t>
      </w:r>
      <w:r w:rsidR="007E79A8" w:rsidRPr="00A86E6B">
        <w:rPr>
          <w:szCs w:val="26"/>
        </w:rPr>
        <w:t xml:space="preserve">“more akin to </w:t>
      </w:r>
      <w:r w:rsidR="00B856FC" w:rsidRPr="00A86E6B">
        <w:rPr>
          <w:szCs w:val="26"/>
        </w:rPr>
        <w:t xml:space="preserve">a </w:t>
      </w:r>
      <w:r w:rsidR="007E79A8" w:rsidRPr="00A86E6B">
        <w:rPr>
          <w:szCs w:val="26"/>
        </w:rPr>
        <w:t xml:space="preserve">penalty or a </w:t>
      </w:r>
      <w:r w:rsidR="00B856FC" w:rsidRPr="00A86E6B">
        <w:rPr>
          <w:szCs w:val="26"/>
        </w:rPr>
        <w:t>wage</w:t>
      </w:r>
      <w:r w:rsidR="007E79A8" w:rsidRPr="00A86E6B">
        <w:rPr>
          <w:szCs w:val="26"/>
        </w:rPr>
        <w:t>” for the narrow purpose of selecting an applicable statute of limitations</w:t>
      </w:r>
      <w:r w:rsidR="00477CB4" w:rsidRPr="00A86E6B">
        <w:rPr>
          <w:szCs w:val="26"/>
        </w:rPr>
        <w:t xml:space="preserve">.  </w:t>
      </w:r>
      <w:r w:rsidR="0060563C" w:rsidRPr="00A86E6B">
        <w:rPr>
          <w:szCs w:val="26"/>
        </w:rPr>
        <w:t>(</w:t>
      </w:r>
      <w:r w:rsidR="007E79A8" w:rsidRPr="00A84383">
        <w:rPr>
          <w:i/>
          <w:iCs/>
          <w:szCs w:val="26"/>
        </w:rPr>
        <w:t>Jones</w:t>
      </w:r>
      <w:r w:rsidR="007E79A8" w:rsidRPr="00A84383">
        <w:rPr>
          <w:szCs w:val="26"/>
        </w:rPr>
        <w:t>, at p. *25</w:t>
      </w:r>
      <w:r w:rsidR="007E79A8" w:rsidRPr="00A86E6B">
        <w:rPr>
          <w:szCs w:val="26"/>
        </w:rPr>
        <w:t>.</w:t>
      </w:r>
      <w:r w:rsidR="00123705" w:rsidRPr="00A86E6B">
        <w:rPr>
          <w:szCs w:val="26"/>
        </w:rPr>
        <w:t>)</w:t>
      </w:r>
    </w:p>
    <w:p w14:paraId="706A7AB7" w14:textId="1C4D44F4" w:rsidR="00DA011F" w:rsidRPr="00A86E6B" w:rsidRDefault="000A68C3" w:rsidP="00A86E6B">
      <w:pPr>
        <w:tabs>
          <w:tab w:val="left" w:pos="1440"/>
        </w:tabs>
        <w:ind w:firstLine="720"/>
        <w:rPr>
          <w:color w:val="222222"/>
          <w:szCs w:val="26"/>
          <w:shd w:val="clear" w:color="auto" w:fill="FFFFFF"/>
        </w:rPr>
      </w:pPr>
      <w:r w:rsidRPr="00A86E6B">
        <w:rPr>
          <w:color w:val="222222"/>
          <w:szCs w:val="26"/>
          <w:shd w:val="clear" w:color="auto" w:fill="FFFFFF"/>
        </w:rPr>
        <w:t>The</w:t>
      </w:r>
      <w:r w:rsidR="008E6A0B" w:rsidRPr="00A86E6B">
        <w:rPr>
          <w:color w:val="222222"/>
          <w:szCs w:val="26"/>
          <w:shd w:val="clear" w:color="auto" w:fill="FFFFFF"/>
        </w:rPr>
        <w:t>se</w:t>
      </w:r>
      <w:r w:rsidRPr="00A86E6B">
        <w:rPr>
          <w:color w:val="222222"/>
          <w:szCs w:val="26"/>
          <w:shd w:val="clear" w:color="auto" w:fill="FFFFFF"/>
        </w:rPr>
        <w:t xml:space="preserve"> argument</w:t>
      </w:r>
      <w:r w:rsidR="008E6A0B" w:rsidRPr="00A86E6B">
        <w:rPr>
          <w:color w:val="222222"/>
          <w:szCs w:val="26"/>
          <w:shd w:val="clear" w:color="auto" w:fill="FFFFFF"/>
        </w:rPr>
        <w:t>s</w:t>
      </w:r>
      <w:r w:rsidRPr="00A86E6B">
        <w:rPr>
          <w:color w:val="222222"/>
          <w:szCs w:val="26"/>
          <w:shd w:val="clear" w:color="auto" w:fill="FFFFFF"/>
        </w:rPr>
        <w:t xml:space="preserve"> misread </w:t>
      </w:r>
      <w:r w:rsidRPr="00A86E6B">
        <w:rPr>
          <w:i/>
          <w:iCs/>
          <w:color w:val="222222"/>
          <w:szCs w:val="26"/>
          <w:shd w:val="clear" w:color="auto" w:fill="FFFFFF"/>
        </w:rPr>
        <w:t>Kirby</w:t>
      </w:r>
      <w:r w:rsidR="008E0E1C" w:rsidRPr="00A86E6B">
        <w:rPr>
          <w:color w:val="222222"/>
          <w:szCs w:val="26"/>
          <w:shd w:val="clear" w:color="auto" w:fill="FFFFFF"/>
        </w:rPr>
        <w:t xml:space="preserve">.  </w:t>
      </w:r>
      <w:r w:rsidR="008E0E1C" w:rsidRPr="00A86E6B">
        <w:rPr>
          <w:i/>
          <w:iCs/>
          <w:color w:val="222222"/>
          <w:szCs w:val="26"/>
          <w:shd w:val="clear" w:color="auto" w:fill="FFFFFF"/>
        </w:rPr>
        <w:t>Kirby</w:t>
      </w:r>
      <w:r w:rsidR="008E0E1C" w:rsidRPr="00A86E6B">
        <w:rPr>
          <w:color w:val="222222"/>
          <w:szCs w:val="26"/>
          <w:shd w:val="clear" w:color="auto" w:fill="FFFFFF"/>
        </w:rPr>
        <w:t xml:space="preserve"> did not reject or limit </w:t>
      </w:r>
      <w:r w:rsidR="008E0E1C" w:rsidRPr="00A86E6B">
        <w:rPr>
          <w:i/>
          <w:iCs/>
          <w:color w:val="222222"/>
          <w:szCs w:val="26"/>
          <w:shd w:val="clear" w:color="auto" w:fill="FFFFFF"/>
        </w:rPr>
        <w:t>Murphy</w:t>
      </w:r>
      <w:r w:rsidR="008E0E1C" w:rsidRPr="00A86E6B">
        <w:rPr>
          <w:color w:val="222222"/>
          <w:szCs w:val="26"/>
          <w:shd w:val="clear" w:color="auto" w:fill="FFFFFF"/>
        </w:rPr>
        <w:t xml:space="preserve">’s characterization of section 226.7 premium pay as </w:t>
      </w:r>
      <w:r w:rsidR="00713C58" w:rsidRPr="00A86E6B">
        <w:rPr>
          <w:color w:val="222222"/>
          <w:szCs w:val="26"/>
          <w:shd w:val="clear" w:color="auto" w:fill="FFFFFF"/>
        </w:rPr>
        <w:t>compensation for labor</w:t>
      </w:r>
      <w:r w:rsidR="008E0E1C" w:rsidRPr="00A86E6B">
        <w:rPr>
          <w:color w:val="222222"/>
          <w:szCs w:val="26"/>
          <w:shd w:val="clear" w:color="auto" w:fill="FFFFFF"/>
        </w:rPr>
        <w:t xml:space="preserve">.  </w:t>
      </w:r>
      <w:r w:rsidRPr="00A86E6B">
        <w:rPr>
          <w:color w:val="222222"/>
          <w:szCs w:val="26"/>
          <w:shd w:val="clear" w:color="auto" w:fill="FFFFFF"/>
        </w:rPr>
        <w:t>On the contrary</w:t>
      </w:r>
      <w:r w:rsidR="008E0E1C" w:rsidRPr="00A86E6B">
        <w:rPr>
          <w:color w:val="222222"/>
          <w:szCs w:val="26"/>
          <w:shd w:val="clear" w:color="auto" w:fill="FFFFFF"/>
        </w:rPr>
        <w:t xml:space="preserve">, </w:t>
      </w:r>
      <w:r w:rsidRPr="00A86E6B">
        <w:rPr>
          <w:i/>
          <w:iCs/>
          <w:color w:val="222222"/>
          <w:szCs w:val="26"/>
          <w:shd w:val="clear" w:color="auto" w:fill="FFFFFF"/>
        </w:rPr>
        <w:t xml:space="preserve">Kirby </w:t>
      </w:r>
      <w:r w:rsidR="00F510C6" w:rsidRPr="00A86E6B">
        <w:rPr>
          <w:color w:val="222222"/>
          <w:szCs w:val="26"/>
          <w:shd w:val="clear" w:color="auto" w:fill="FFFFFF"/>
        </w:rPr>
        <w:t xml:space="preserve">recited </w:t>
      </w:r>
      <w:r w:rsidR="00F510C6" w:rsidRPr="00A86E6B">
        <w:rPr>
          <w:i/>
          <w:iCs/>
          <w:color w:val="222222"/>
          <w:szCs w:val="26"/>
          <w:shd w:val="clear" w:color="auto" w:fill="FFFFFF"/>
        </w:rPr>
        <w:t>Murphy</w:t>
      </w:r>
      <w:r w:rsidR="00F510C6" w:rsidRPr="00A86E6B">
        <w:rPr>
          <w:color w:val="222222"/>
          <w:szCs w:val="26"/>
          <w:shd w:val="clear" w:color="auto" w:fill="FFFFFF"/>
        </w:rPr>
        <w:t xml:space="preserve">’s </w:t>
      </w:r>
      <w:r w:rsidR="00D80503" w:rsidRPr="00A86E6B">
        <w:rPr>
          <w:color w:val="222222"/>
          <w:szCs w:val="26"/>
          <w:shd w:val="clear" w:color="auto" w:fill="FFFFFF"/>
        </w:rPr>
        <w:t xml:space="preserve">characterization </w:t>
      </w:r>
      <w:r w:rsidR="008E0E1C" w:rsidRPr="00A86E6B">
        <w:rPr>
          <w:color w:val="222222"/>
          <w:szCs w:val="26"/>
          <w:shd w:val="clear" w:color="auto" w:fill="FFFFFF"/>
        </w:rPr>
        <w:t>with</w:t>
      </w:r>
      <w:r w:rsidR="00174CD0" w:rsidRPr="00A86E6B">
        <w:rPr>
          <w:color w:val="222222"/>
          <w:szCs w:val="26"/>
          <w:shd w:val="clear" w:color="auto" w:fill="FFFFFF"/>
        </w:rPr>
        <w:t>out</w:t>
      </w:r>
      <w:r w:rsidR="008B6A1B" w:rsidRPr="00A86E6B">
        <w:rPr>
          <w:color w:val="222222"/>
          <w:szCs w:val="26"/>
          <w:shd w:val="clear" w:color="auto" w:fill="FFFFFF"/>
        </w:rPr>
        <w:t xml:space="preserve"> </w:t>
      </w:r>
      <w:r w:rsidR="00F377DF">
        <w:rPr>
          <w:color w:val="222222"/>
          <w:szCs w:val="26"/>
          <w:shd w:val="clear" w:color="auto" w:fill="FFFFFF"/>
        </w:rPr>
        <w:t xml:space="preserve">any apparent </w:t>
      </w:r>
      <w:r w:rsidR="008B6A1B" w:rsidRPr="00A86E6B">
        <w:rPr>
          <w:color w:val="222222"/>
          <w:szCs w:val="26"/>
          <w:shd w:val="clear" w:color="auto" w:fill="FFFFFF"/>
        </w:rPr>
        <w:t>disapproval</w:t>
      </w:r>
      <w:r w:rsidRPr="00A86E6B">
        <w:rPr>
          <w:color w:val="222222"/>
          <w:szCs w:val="26"/>
          <w:shd w:val="clear" w:color="auto" w:fill="FFFFFF"/>
        </w:rPr>
        <w:t xml:space="preserve">.  </w:t>
      </w:r>
      <w:r w:rsidR="00975497" w:rsidRPr="00A86E6B">
        <w:rPr>
          <w:color w:val="222222"/>
          <w:szCs w:val="26"/>
          <w:shd w:val="clear" w:color="auto" w:fill="FFFFFF"/>
        </w:rPr>
        <w:t>(</w:t>
      </w:r>
      <w:r w:rsidR="00975497" w:rsidRPr="00A86E6B">
        <w:rPr>
          <w:i/>
          <w:iCs/>
          <w:color w:val="222222"/>
          <w:szCs w:val="26"/>
          <w:shd w:val="clear" w:color="auto" w:fill="FFFFFF"/>
        </w:rPr>
        <w:t>Kirby</w:t>
      </w:r>
      <w:r w:rsidR="006E4F30" w:rsidRPr="00A86E6B">
        <w:rPr>
          <w:color w:val="222222"/>
          <w:szCs w:val="26"/>
          <w:shd w:val="clear" w:color="auto" w:fill="FFFFFF"/>
        </w:rPr>
        <w:t>,</w:t>
      </w:r>
      <w:r w:rsidR="006E4F30" w:rsidRPr="00A86E6B">
        <w:rPr>
          <w:i/>
          <w:iCs/>
          <w:color w:val="222222"/>
          <w:szCs w:val="26"/>
          <w:shd w:val="clear" w:color="auto" w:fill="FFFFFF"/>
        </w:rPr>
        <w:t xml:space="preserve"> supra</w:t>
      </w:r>
      <w:r w:rsidR="00975497" w:rsidRPr="00A86E6B">
        <w:rPr>
          <w:color w:val="222222"/>
          <w:szCs w:val="26"/>
          <w:shd w:val="clear" w:color="auto" w:fill="FFFFFF"/>
        </w:rPr>
        <w:t xml:space="preserve">, </w:t>
      </w:r>
      <w:r w:rsidR="006E4F30" w:rsidRPr="00A86E6B">
        <w:rPr>
          <w:color w:val="222222"/>
          <w:szCs w:val="26"/>
          <w:shd w:val="clear" w:color="auto" w:fill="FFFFFF"/>
        </w:rPr>
        <w:t xml:space="preserve">53 Cal.4th </w:t>
      </w:r>
      <w:r w:rsidR="00975497" w:rsidRPr="00A86E6B">
        <w:rPr>
          <w:color w:val="222222"/>
          <w:szCs w:val="26"/>
          <w:shd w:val="clear" w:color="auto" w:fill="FFFFFF"/>
        </w:rPr>
        <w:t>at p.</w:t>
      </w:r>
      <w:r w:rsidR="007D2FA7" w:rsidRPr="00A86E6B">
        <w:rPr>
          <w:color w:val="222222"/>
          <w:szCs w:val="26"/>
          <w:shd w:val="clear" w:color="auto" w:fill="FFFFFF"/>
        </w:rPr>
        <w:t> </w:t>
      </w:r>
      <w:r w:rsidR="00975497" w:rsidRPr="00A86E6B">
        <w:rPr>
          <w:color w:val="222222"/>
          <w:szCs w:val="26"/>
          <w:shd w:val="clear" w:color="auto" w:fill="FFFFFF"/>
        </w:rPr>
        <w:t xml:space="preserve">1257.)  </w:t>
      </w:r>
      <w:r w:rsidR="00975497" w:rsidRPr="00A86E6B">
        <w:rPr>
          <w:i/>
          <w:iCs/>
          <w:color w:val="222222"/>
          <w:szCs w:val="26"/>
          <w:shd w:val="clear" w:color="auto" w:fill="FFFFFF"/>
        </w:rPr>
        <w:t>Kirby</w:t>
      </w:r>
      <w:r w:rsidR="00975497" w:rsidRPr="00A86E6B">
        <w:rPr>
          <w:color w:val="222222"/>
          <w:szCs w:val="26"/>
          <w:shd w:val="clear" w:color="auto" w:fill="FFFFFF"/>
        </w:rPr>
        <w:t xml:space="preserve"> </w:t>
      </w:r>
      <w:r w:rsidR="008B6A1B" w:rsidRPr="00A86E6B">
        <w:rPr>
          <w:color w:val="222222"/>
          <w:szCs w:val="26"/>
          <w:shd w:val="clear" w:color="auto" w:fill="FFFFFF"/>
        </w:rPr>
        <w:t xml:space="preserve">then went </w:t>
      </w:r>
      <w:r w:rsidR="00F36755" w:rsidRPr="00A86E6B">
        <w:rPr>
          <w:color w:val="222222"/>
          <w:szCs w:val="26"/>
          <w:shd w:val="clear" w:color="auto" w:fill="FFFFFF"/>
        </w:rPr>
        <w:t xml:space="preserve">on to </w:t>
      </w:r>
      <w:r w:rsidR="00234742" w:rsidRPr="00A86E6B">
        <w:rPr>
          <w:color w:val="222222"/>
          <w:szCs w:val="26"/>
          <w:shd w:val="clear" w:color="auto" w:fill="FFFFFF"/>
        </w:rPr>
        <w:t xml:space="preserve">distinguish the inquiry in </w:t>
      </w:r>
      <w:r w:rsidR="00234742" w:rsidRPr="00A86E6B">
        <w:rPr>
          <w:i/>
          <w:iCs/>
          <w:color w:val="222222"/>
          <w:szCs w:val="26"/>
          <w:shd w:val="clear" w:color="auto" w:fill="FFFFFF"/>
        </w:rPr>
        <w:t>Murphy</w:t>
      </w:r>
      <w:r w:rsidR="00234742" w:rsidRPr="00A86E6B">
        <w:rPr>
          <w:color w:val="222222"/>
          <w:szCs w:val="26"/>
          <w:shd w:val="clear" w:color="auto" w:fill="FFFFFF"/>
        </w:rPr>
        <w:t xml:space="preserve"> from the inquiry called for under </w:t>
      </w:r>
      <w:r w:rsidR="006E4F30" w:rsidRPr="00A86E6B">
        <w:rPr>
          <w:color w:val="222222"/>
          <w:szCs w:val="26"/>
          <w:shd w:val="clear" w:color="auto" w:fill="FFFFFF"/>
        </w:rPr>
        <w:t xml:space="preserve">Labor Code </w:t>
      </w:r>
      <w:r w:rsidR="00234742" w:rsidRPr="00A86E6B">
        <w:rPr>
          <w:color w:val="222222"/>
          <w:szCs w:val="26"/>
          <w:shd w:val="clear" w:color="auto" w:fill="FFFFFF"/>
        </w:rPr>
        <w:t>section 218.5</w:t>
      </w:r>
      <w:r w:rsidR="00F510C6" w:rsidRPr="00A86E6B">
        <w:rPr>
          <w:color w:val="222222"/>
          <w:szCs w:val="26"/>
          <w:shd w:val="clear" w:color="auto" w:fill="FFFFFF"/>
        </w:rPr>
        <w:t xml:space="preserve">.  </w:t>
      </w:r>
      <w:r w:rsidR="008E400D" w:rsidRPr="00A86E6B">
        <w:rPr>
          <w:i/>
          <w:iCs/>
          <w:color w:val="222222"/>
          <w:szCs w:val="26"/>
          <w:shd w:val="clear" w:color="auto" w:fill="FFFFFF"/>
        </w:rPr>
        <w:t xml:space="preserve">Kirby </w:t>
      </w:r>
      <w:r w:rsidR="008E400D" w:rsidRPr="00A86E6B">
        <w:rPr>
          <w:color w:val="222222"/>
          <w:szCs w:val="26"/>
          <w:shd w:val="clear" w:color="auto" w:fill="FFFFFF"/>
        </w:rPr>
        <w:t xml:space="preserve">explained that our prior </w:t>
      </w:r>
      <w:r w:rsidR="00DC7CD3" w:rsidRPr="00A86E6B">
        <w:rPr>
          <w:color w:val="222222"/>
          <w:szCs w:val="26"/>
          <w:shd w:val="clear" w:color="auto" w:fill="FFFFFF"/>
        </w:rPr>
        <w:t xml:space="preserve">conclusion that </w:t>
      </w:r>
      <w:r w:rsidR="00234742" w:rsidRPr="00A86E6B">
        <w:rPr>
          <w:color w:val="222222"/>
          <w:szCs w:val="26"/>
          <w:shd w:val="clear" w:color="auto" w:fill="FFFFFF"/>
        </w:rPr>
        <w:t xml:space="preserve">premium </w:t>
      </w:r>
      <w:r w:rsidR="00572506" w:rsidRPr="00A86E6B">
        <w:rPr>
          <w:color w:val="222222"/>
          <w:szCs w:val="26"/>
          <w:shd w:val="clear" w:color="auto" w:fill="FFFFFF"/>
        </w:rPr>
        <w:t xml:space="preserve">pay </w:t>
      </w:r>
      <w:r w:rsidR="00234742" w:rsidRPr="00A86E6B">
        <w:rPr>
          <w:color w:val="222222"/>
          <w:szCs w:val="26"/>
          <w:shd w:val="clear" w:color="auto" w:fill="FFFFFF"/>
        </w:rPr>
        <w:t>i</w:t>
      </w:r>
      <w:r w:rsidR="00572506" w:rsidRPr="00A86E6B">
        <w:rPr>
          <w:color w:val="222222"/>
          <w:szCs w:val="26"/>
          <w:shd w:val="clear" w:color="auto" w:fill="FFFFFF"/>
        </w:rPr>
        <w:t xml:space="preserve">s </w:t>
      </w:r>
      <w:r w:rsidR="000810D0" w:rsidRPr="00A86E6B">
        <w:rPr>
          <w:color w:val="222222"/>
          <w:szCs w:val="26"/>
          <w:shd w:val="clear" w:color="auto" w:fill="FFFFFF"/>
        </w:rPr>
        <w:t xml:space="preserve">a </w:t>
      </w:r>
      <w:r w:rsidR="00572506" w:rsidRPr="00A86E6B">
        <w:rPr>
          <w:color w:val="222222"/>
          <w:szCs w:val="26"/>
          <w:shd w:val="clear" w:color="auto" w:fill="FFFFFF"/>
        </w:rPr>
        <w:t xml:space="preserve">wage </w:t>
      </w:r>
      <w:r w:rsidR="008E0E1C" w:rsidRPr="00A86E6B">
        <w:rPr>
          <w:color w:val="222222"/>
          <w:szCs w:val="26"/>
          <w:shd w:val="clear" w:color="auto" w:fill="FFFFFF"/>
        </w:rPr>
        <w:t xml:space="preserve">did not </w:t>
      </w:r>
      <w:r w:rsidR="00A9628F" w:rsidRPr="00A86E6B">
        <w:rPr>
          <w:color w:val="222222"/>
          <w:szCs w:val="26"/>
          <w:shd w:val="clear" w:color="auto" w:fill="FFFFFF"/>
        </w:rPr>
        <w:t xml:space="preserve">necessarily mean that </w:t>
      </w:r>
      <w:r w:rsidR="008E0E1C" w:rsidRPr="00A86E6B">
        <w:rPr>
          <w:color w:val="222222"/>
          <w:szCs w:val="26"/>
          <w:shd w:val="clear" w:color="auto" w:fill="FFFFFF"/>
        </w:rPr>
        <w:t xml:space="preserve">an action under section 226.7 </w:t>
      </w:r>
      <w:r w:rsidR="00247353" w:rsidRPr="00A86E6B">
        <w:rPr>
          <w:color w:val="222222"/>
          <w:szCs w:val="26"/>
          <w:shd w:val="clear" w:color="auto" w:fill="FFFFFF"/>
        </w:rPr>
        <w:t xml:space="preserve">is </w:t>
      </w:r>
      <w:r w:rsidR="00572506" w:rsidRPr="00A86E6B">
        <w:rPr>
          <w:color w:val="222222"/>
          <w:szCs w:val="26"/>
          <w:shd w:val="clear" w:color="auto" w:fill="FFFFFF"/>
        </w:rPr>
        <w:t>an action for nonpayment of wages</w:t>
      </w:r>
      <w:r w:rsidR="00461830" w:rsidRPr="00A86E6B">
        <w:rPr>
          <w:color w:val="222222"/>
          <w:szCs w:val="26"/>
          <w:shd w:val="clear" w:color="auto" w:fill="FFFFFF"/>
        </w:rPr>
        <w:t xml:space="preserve"> under section 218.5</w:t>
      </w:r>
      <w:r w:rsidR="00975497" w:rsidRPr="00A86E6B">
        <w:rPr>
          <w:color w:val="222222"/>
          <w:szCs w:val="26"/>
          <w:shd w:val="clear" w:color="auto" w:fill="FFFFFF"/>
        </w:rPr>
        <w:t xml:space="preserve">.  </w:t>
      </w:r>
      <w:r w:rsidR="00174CD0" w:rsidRPr="00A86E6B">
        <w:rPr>
          <w:color w:val="222222"/>
          <w:szCs w:val="26"/>
          <w:shd w:val="clear" w:color="auto" w:fill="FFFFFF"/>
        </w:rPr>
        <w:t>T</w:t>
      </w:r>
      <w:r w:rsidR="00975497" w:rsidRPr="00A86E6B">
        <w:rPr>
          <w:color w:val="222222"/>
          <w:szCs w:val="26"/>
          <w:shd w:val="clear" w:color="auto" w:fill="FFFFFF"/>
        </w:rPr>
        <w:t xml:space="preserve">he characterization of the nature of an action under section 218.5 turns </w:t>
      </w:r>
      <w:r w:rsidR="000510A6" w:rsidRPr="00A86E6B">
        <w:rPr>
          <w:color w:val="222222"/>
          <w:szCs w:val="26"/>
          <w:shd w:val="clear" w:color="auto" w:fill="FFFFFF"/>
        </w:rPr>
        <w:t xml:space="preserve">instead </w:t>
      </w:r>
      <w:r w:rsidR="00975497" w:rsidRPr="00A86E6B">
        <w:rPr>
          <w:color w:val="222222"/>
          <w:szCs w:val="26"/>
          <w:shd w:val="clear" w:color="auto" w:fill="FFFFFF"/>
        </w:rPr>
        <w:t>on the nature of the underlying legal violation the action seeks to remedy, not the form of relief that might be available to cure that violation.  (</w:t>
      </w:r>
      <w:r w:rsidR="00975497" w:rsidRPr="00A86E6B">
        <w:rPr>
          <w:i/>
          <w:iCs/>
          <w:color w:val="222222"/>
          <w:szCs w:val="26"/>
          <w:shd w:val="clear" w:color="auto" w:fill="FFFFFF"/>
        </w:rPr>
        <w:t>Kirby</w:t>
      </w:r>
      <w:r w:rsidR="00975497" w:rsidRPr="00A86E6B">
        <w:rPr>
          <w:color w:val="222222"/>
          <w:szCs w:val="26"/>
          <w:shd w:val="clear" w:color="auto" w:fill="FFFFFF"/>
        </w:rPr>
        <w:t>, at pp. 1256–1257.)</w:t>
      </w:r>
      <w:r w:rsidR="00247353" w:rsidRPr="00A86E6B">
        <w:rPr>
          <w:color w:val="222222"/>
          <w:szCs w:val="26"/>
          <w:shd w:val="clear" w:color="auto" w:fill="FFFFFF"/>
        </w:rPr>
        <w:t xml:space="preserve">  And “[t]o say </w:t>
      </w:r>
      <w:r w:rsidR="00572506" w:rsidRPr="00A86E6B">
        <w:rPr>
          <w:color w:val="222222"/>
          <w:szCs w:val="26"/>
          <w:shd w:val="clear" w:color="auto" w:fill="FFFFFF"/>
        </w:rPr>
        <w:t>that a section 226.7 remedy is a wage,</w:t>
      </w:r>
      <w:r w:rsidR="00247353" w:rsidRPr="00A86E6B">
        <w:rPr>
          <w:color w:val="222222"/>
          <w:szCs w:val="26"/>
          <w:shd w:val="clear" w:color="auto" w:fill="FFFFFF"/>
        </w:rPr>
        <w:t xml:space="preserve">” as we did in </w:t>
      </w:r>
      <w:r w:rsidR="00247353" w:rsidRPr="00A86E6B">
        <w:rPr>
          <w:i/>
          <w:iCs/>
          <w:color w:val="222222"/>
          <w:szCs w:val="26"/>
          <w:shd w:val="clear" w:color="auto" w:fill="FFFFFF"/>
        </w:rPr>
        <w:t>Murphy</w:t>
      </w:r>
      <w:r w:rsidR="00247353" w:rsidRPr="00A86E6B">
        <w:rPr>
          <w:color w:val="222222"/>
          <w:szCs w:val="26"/>
          <w:shd w:val="clear" w:color="auto" w:fill="FFFFFF"/>
        </w:rPr>
        <w:t>, “</w:t>
      </w:r>
      <w:r w:rsidR="00572506" w:rsidRPr="00A86E6B">
        <w:rPr>
          <w:color w:val="222222"/>
          <w:szCs w:val="26"/>
          <w:shd w:val="clear" w:color="auto" w:fill="FFFFFF"/>
        </w:rPr>
        <w:t>is not to say that the</w:t>
      </w:r>
      <w:r w:rsidR="00366AC7" w:rsidRPr="00A86E6B">
        <w:rPr>
          <w:color w:val="222222"/>
          <w:szCs w:val="26"/>
          <w:shd w:val="clear" w:color="auto" w:fill="FFFFFF"/>
        </w:rPr>
        <w:t xml:space="preserve"> </w:t>
      </w:r>
      <w:r w:rsidR="00572506" w:rsidRPr="00A86E6B">
        <w:rPr>
          <w:i/>
          <w:iCs/>
          <w:color w:val="222222"/>
          <w:szCs w:val="26"/>
        </w:rPr>
        <w:t>legal violation</w:t>
      </w:r>
      <w:r w:rsidR="00366AC7" w:rsidRPr="00A86E6B">
        <w:rPr>
          <w:rStyle w:val="apple-converted-space"/>
          <w:color w:val="222222"/>
          <w:szCs w:val="26"/>
          <w:shd w:val="clear" w:color="auto" w:fill="FFFFFF"/>
        </w:rPr>
        <w:t xml:space="preserve"> </w:t>
      </w:r>
      <w:r w:rsidR="00572506" w:rsidRPr="00A86E6B">
        <w:rPr>
          <w:color w:val="222222"/>
          <w:szCs w:val="26"/>
          <w:shd w:val="clear" w:color="auto" w:fill="FFFFFF"/>
        </w:rPr>
        <w:t>triggering the remedy is nonpayment of wages</w:t>
      </w:r>
      <w:r w:rsidR="00F510C6" w:rsidRPr="00A86E6B">
        <w:rPr>
          <w:color w:val="222222"/>
          <w:szCs w:val="26"/>
          <w:shd w:val="clear" w:color="auto" w:fill="FFFFFF"/>
        </w:rPr>
        <w:t>,</w:t>
      </w:r>
      <w:r w:rsidR="00572506" w:rsidRPr="00A86E6B">
        <w:rPr>
          <w:color w:val="222222"/>
          <w:szCs w:val="26"/>
          <w:shd w:val="clear" w:color="auto" w:fill="FFFFFF"/>
        </w:rPr>
        <w:t>”</w:t>
      </w:r>
      <w:r w:rsidR="00F510C6" w:rsidRPr="00A86E6B">
        <w:rPr>
          <w:color w:val="222222"/>
          <w:szCs w:val="26"/>
          <w:shd w:val="clear" w:color="auto" w:fill="FFFFFF"/>
        </w:rPr>
        <w:t xml:space="preserve"> as opposed to the deprivation of meal or rest breaks.</w:t>
      </w:r>
      <w:r w:rsidR="00572506" w:rsidRPr="00A86E6B">
        <w:rPr>
          <w:color w:val="222222"/>
          <w:szCs w:val="26"/>
          <w:shd w:val="clear" w:color="auto" w:fill="FFFFFF"/>
        </w:rPr>
        <w:t xml:space="preserve">  (</w:t>
      </w:r>
      <w:r w:rsidR="00572506" w:rsidRPr="00A86E6B">
        <w:rPr>
          <w:i/>
          <w:iCs/>
          <w:color w:val="222222"/>
          <w:szCs w:val="26"/>
          <w:shd w:val="clear" w:color="auto" w:fill="FFFFFF"/>
        </w:rPr>
        <w:t>Kirby</w:t>
      </w:r>
      <w:r w:rsidR="00572506" w:rsidRPr="00A86E6B">
        <w:rPr>
          <w:color w:val="222222"/>
          <w:szCs w:val="26"/>
          <w:shd w:val="clear" w:color="auto" w:fill="FFFFFF"/>
        </w:rPr>
        <w:t>,</w:t>
      </w:r>
      <w:r w:rsidR="000810D0" w:rsidRPr="00A86E6B">
        <w:rPr>
          <w:color w:val="222222"/>
          <w:szCs w:val="26"/>
          <w:shd w:val="clear" w:color="auto" w:fill="FFFFFF"/>
        </w:rPr>
        <w:t xml:space="preserve"> </w:t>
      </w:r>
      <w:r w:rsidR="00572506" w:rsidRPr="00A86E6B">
        <w:rPr>
          <w:color w:val="222222"/>
          <w:szCs w:val="26"/>
          <w:shd w:val="clear" w:color="auto" w:fill="FFFFFF"/>
        </w:rPr>
        <w:t>at p. 1257.)</w:t>
      </w:r>
      <w:r w:rsidR="0034651A" w:rsidRPr="00A86E6B">
        <w:rPr>
          <w:rStyle w:val="FootnoteReference"/>
          <w:color w:val="222222"/>
          <w:szCs w:val="26"/>
          <w:shd w:val="clear" w:color="auto" w:fill="FFFFFF"/>
        </w:rPr>
        <w:footnoteReference w:id="7"/>
      </w:r>
      <w:r w:rsidR="0034651A" w:rsidRPr="00A86E6B">
        <w:rPr>
          <w:color w:val="222222"/>
          <w:szCs w:val="26"/>
          <w:shd w:val="clear" w:color="auto" w:fill="FFFFFF"/>
        </w:rPr>
        <w:t xml:space="preserve">  </w:t>
      </w:r>
    </w:p>
    <w:p w14:paraId="491FDF26" w14:textId="327A9CE1" w:rsidR="00AB5B5C" w:rsidRPr="00A86E6B" w:rsidRDefault="0034651A" w:rsidP="00A86E6B">
      <w:pPr>
        <w:tabs>
          <w:tab w:val="left" w:pos="1440"/>
        </w:tabs>
        <w:ind w:firstLine="720"/>
        <w:rPr>
          <w:color w:val="222222"/>
          <w:szCs w:val="26"/>
          <w:shd w:val="clear" w:color="auto" w:fill="FFFFFF"/>
        </w:rPr>
      </w:pPr>
      <w:r w:rsidRPr="00A86E6B">
        <w:rPr>
          <w:color w:val="222222"/>
          <w:szCs w:val="26"/>
          <w:shd w:val="clear" w:color="auto" w:fill="FFFFFF"/>
        </w:rPr>
        <w:t xml:space="preserve">In so distinguishing </w:t>
      </w:r>
      <w:r w:rsidRPr="00A86E6B">
        <w:rPr>
          <w:i/>
          <w:iCs/>
          <w:color w:val="222222"/>
          <w:szCs w:val="26"/>
          <w:shd w:val="clear" w:color="auto" w:fill="FFFFFF"/>
        </w:rPr>
        <w:t>Murphy</w:t>
      </w:r>
      <w:r w:rsidRPr="00A86E6B">
        <w:rPr>
          <w:color w:val="222222"/>
          <w:szCs w:val="26"/>
          <w:shd w:val="clear" w:color="auto" w:fill="FFFFFF"/>
        </w:rPr>
        <w:t xml:space="preserve">, </w:t>
      </w:r>
      <w:r w:rsidRPr="00A86E6B">
        <w:rPr>
          <w:i/>
          <w:iCs/>
          <w:color w:val="222222"/>
          <w:szCs w:val="26"/>
          <w:shd w:val="clear" w:color="auto" w:fill="FFFFFF"/>
        </w:rPr>
        <w:t xml:space="preserve">Kirby </w:t>
      </w:r>
      <w:r w:rsidRPr="00A86E6B">
        <w:rPr>
          <w:color w:val="222222"/>
          <w:szCs w:val="26"/>
          <w:shd w:val="clear" w:color="auto" w:fill="FFFFFF"/>
        </w:rPr>
        <w:t xml:space="preserve">did not repudiate or narrow </w:t>
      </w:r>
      <w:r w:rsidR="000510A6" w:rsidRPr="00A86E6B">
        <w:rPr>
          <w:color w:val="222222"/>
          <w:szCs w:val="26"/>
          <w:shd w:val="clear" w:color="auto" w:fill="FFFFFF"/>
        </w:rPr>
        <w:t>that case’</w:t>
      </w:r>
      <w:r w:rsidRPr="00A86E6B">
        <w:rPr>
          <w:color w:val="222222"/>
          <w:szCs w:val="26"/>
          <w:shd w:val="clear" w:color="auto" w:fill="FFFFFF"/>
        </w:rPr>
        <w:t xml:space="preserve">s characterization of section 226.7 pay as a wage.  It merely held </w:t>
      </w:r>
      <w:r w:rsidR="00EC2355" w:rsidRPr="00A86E6B">
        <w:rPr>
          <w:color w:val="222222"/>
          <w:szCs w:val="26"/>
          <w:shd w:val="clear" w:color="auto" w:fill="FFFFFF"/>
        </w:rPr>
        <w:t>that the nature of the remedy does not dictate the proper characterization of the legal violation triggering the remedy</w:t>
      </w:r>
      <w:r w:rsidR="00244637" w:rsidRPr="00A86E6B">
        <w:rPr>
          <w:color w:val="222222"/>
          <w:szCs w:val="26"/>
          <w:shd w:val="clear" w:color="auto" w:fill="FFFFFF"/>
        </w:rPr>
        <w:t xml:space="preserve"> under section 226.7.  </w:t>
      </w:r>
      <w:r w:rsidR="00E93428" w:rsidRPr="00A86E6B">
        <w:rPr>
          <w:color w:val="222222"/>
          <w:szCs w:val="26"/>
          <w:shd w:val="clear" w:color="auto" w:fill="FFFFFF"/>
        </w:rPr>
        <w:t xml:space="preserve">The reverse is equally true:  </w:t>
      </w:r>
      <w:r w:rsidR="00B856FC" w:rsidRPr="00A86E6B">
        <w:rPr>
          <w:color w:val="222222"/>
          <w:szCs w:val="26"/>
          <w:shd w:val="clear" w:color="auto" w:fill="FFFFFF"/>
        </w:rPr>
        <w:t>Even if the underlying violation is a failure to provide healthy working conditions by requiring excess work in place of rest, not failure to pay for labor</w:t>
      </w:r>
      <w:r w:rsidR="00527A54">
        <w:rPr>
          <w:color w:val="222222"/>
          <w:szCs w:val="26"/>
          <w:shd w:val="clear" w:color="auto" w:fill="FFFFFF"/>
        </w:rPr>
        <w:t xml:space="preserve"> (</w:t>
      </w:r>
      <w:r w:rsidR="00B856FC" w:rsidRPr="00A86E6B">
        <w:rPr>
          <w:color w:val="222222"/>
          <w:szCs w:val="26"/>
          <w:shd w:val="clear" w:color="auto" w:fill="FFFFFF"/>
        </w:rPr>
        <w:t xml:space="preserve">as </w:t>
      </w:r>
      <w:r w:rsidR="00B856FC" w:rsidRPr="00A86E6B">
        <w:rPr>
          <w:i/>
          <w:iCs/>
          <w:color w:val="222222"/>
          <w:szCs w:val="26"/>
          <w:shd w:val="clear" w:color="auto" w:fill="FFFFFF"/>
        </w:rPr>
        <w:t>Kirby</w:t>
      </w:r>
      <w:r w:rsidR="00B856FC" w:rsidRPr="00A86E6B">
        <w:rPr>
          <w:color w:val="222222"/>
          <w:szCs w:val="26"/>
          <w:shd w:val="clear" w:color="auto" w:fill="FFFFFF"/>
        </w:rPr>
        <w:t xml:space="preserve"> </w:t>
      </w:r>
      <w:r w:rsidR="00527A54">
        <w:rPr>
          <w:color w:val="222222"/>
          <w:szCs w:val="26"/>
          <w:shd w:val="clear" w:color="auto" w:fill="FFFFFF"/>
        </w:rPr>
        <w:t>says)</w:t>
      </w:r>
      <w:r w:rsidR="00B856FC" w:rsidRPr="00A86E6B">
        <w:rPr>
          <w:color w:val="222222"/>
          <w:szCs w:val="26"/>
          <w:shd w:val="clear" w:color="auto" w:fill="FFFFFF"/>
        </w:rPr>
        <w:t>, the Legislature is still free to adopt as a remedy payment of additional wages for that excess labor</w:t>
      </w:r>
      <w:r w:rsidR="00527A54">
        <w:rPr>
          <w:color w:val="222222"/>
          <w:szCs w:val="26"/>
          <w:shd w:val="clear" w:color="auto" w:fill="FFFFFF"/>
        </w:rPr>
        <w:t xml:space="preserve"> (as </w:t>
      </w:r>
      <w:r w:rsidR="00527A54">
        <w:rPr>
          <w:i/>
          <w:iCs/>
          <w:color w:val="222222"/>
          <w:szCs w:val="26"/>
          <w:shd w:val="clear" w:color="auto" w:fill="FFFFFF"/>
        </w:rPr>
        <w:t>Murphy</w:t>
      </w:r>
      <w:r w:rsidR="00527A54">
        <w:rPr>
          <w:color w:val="222222"/>
          <w:szCs w:val="26"/>
          <w:shd w:val="clear" w:color="auto" w:fill="FFFFFF"/>
        </w:rPr>
        <w:t xml:space="preserve"> said before it)</w:t>
      </w:r>
      <w:r w:rsidR="00B856FC" w:rsidRPr="00A86E6B">
        <w:rPr>
          <w:color w:val="222222"/>
          <w:szCs w:val="26"/>
          <w:shd w:val="clear" w:color="auto" w:fill="FFFFFF"/>
        </w:rPr>
        <w:t>.</w:t>
      </w:r>
    </w:p>
    <w:p w14:paraId="66FA38A4" w14:textId="3085600E" w:rsidR="002175DE" w:rsidRPr="00A86E6B" w:rsidRDefault="002175DE" w:rsidP="00A86E6B">
      <w:pPr>
        <w:tabs>
          <w:tab w:val="left" w:pos="1440"/>
        </w:tabs>
        <w:ind w:firstLine="720"/>
        <w:rPr>
          <w:color w:val="222222"/>
          <w:szCs w:val="26"/>
          <w:shd w:val="clear" w:color="auto" w:fill="FFFFFF"/>
        </w:rPr>
      </w:pPr>
      <w:r w:rsidRPr="00A86E6B">
        <w:rPr>
          <w:color w:val="222222"/>
          <w:szCs w:val="26"/>
          <w:shd w:val="clear" w:color="auto" w:fill="FFFFFF"/>
        </w:rPr>
        <w:t xml:space="preserve">As Spectrum notes, </w:t>
      </w:r>
      <w:r w:rsidRPr="00A86E6B">
        <w:rPr>
          <w:i/>
          <w:iCs/>
          <w:color w:val="222222"/>
          <w:szCs w:val="26"/>
          <w:shd w:val="clear" w:color="auto" w:fill="FFFFFF"/>
        </w:rPr>
        <w:t>Kirby</w:t>
      </w:r>
      <w:r w:rsidRPr="00A86E6B">
        <w:rPr>
          <w:color w:val="222222"/>
          <w:szCs w:val="26"/>
          <w:shd w:val="clear" w:color="auto" w:fill="FFFFFF"/>
        </w:rPr>
        <w:t xml:space="preserve"> </w:t>
      </w:r>
      <w:r w:rsidR="003D0B3F" w:rsidRPr="00A86E6B">
        <w:rPr>
          <w:color w:val="222222"/>
          <w:szCs w:val="26"/>
          <w:shd w:val="clear" w:color="auto" w:fill="FFFFFF"/>
        </w:rPr>
        <w:t xml:space="preserve">did also </w:t>
      </w:r>
      <w:r w:rsidRPr="00A86E6B">
        <w:rPr>
          <w:color w:val="222222"/>
          <w:szCs w:val="26"/>
          <w:shd w:val="clear" w:color="auto" w:fill="FFFFFF"/>
        </w:rPr>
        <w:t>distinguish actions under section</w:t>
      </w:r>
      <w:r w:rsidR="003D0B3F" w:rsidRPr="00A86E6B">
        <w:rPr>
          <w:color w:val="222222"/>
          <w:szCs w:val="26"/>
          <w:shd w:val="clear" w:color="auto" w:fill="FFFFFF"/>
        </w:rPr>
        <w:t xml:space="preserve"> 226.7 from actions under Labor Code sections</w:t>
      </w:r>
      <w:r w:rsidRPr="00A86E6B">
        <w:rPr>
          <w:color w:val="222222"/>
          <w:szCs w:val="26"/>
          <w:shd w:val="clear" w:color="auto" w:fill="FFFFFF"/>
        </w:rPr>
        <w:t xml:space="preserve"> 201 and 202.  (</w:t>
      </w:r>
      <w:r w:rsidRPr="00A86E6B">
        <w:rPr>
          <w:i/>
          <w:iCs/>
          <w:color w:val="222222"/>
          <w:szCs w:val="26"/>
          <w:shd w:val="clear" w:color="auto" w:fill="FFFFFF"/>
        </w:rPr>
        <w:t>Kirby</w:t>
      </w:r>
      <w:r w:rsidRPr="00A86E6B">
        <w:rPr>
          <w:color w:val="222222"/>
          <w:szCs w:val="26"/>
          <w:shd w:val="clear" w:color="auto" w:fill="FFFFFF"/>
        </w:rPr>
        <w:t xml:space="preserve">, </w:t>
      </w:r>
      <w:r w:rsidRPr="00A86E6B">
        <w:rPr>
          <w:i/>
          <w:iCs/>
          <w:color w:val="222222"/>
          <w:szCs w:val="26"/>
          <w:shd w:val="clear" w:color="auto" w:fill="FFFFFF"/>
        </w:rPr>
        <w:t>supra</w:t>
      </w:r>
      <w:r w:rsidRPr="00A86E6B">
        <w:rPr>
          <w:color w:val="222222"/>
          <w:szCs w:val="26"/>
          <w:shd w:val="clear" w:color="auto" w:fill="FFFFFF"/>
        </w:rPr>
        <w:t xml:space="preserve">, 53 Cal.4th at pp. 1255–1256.) </w:t>
      </w:r>
      <w:r w:rsidR="00CF5849" w:rsidRPr="00A86E6B">
        <w:rPr>
          <w:color w:val="222222"/>
          <w:szCs w:val="26"/>
          <w:shd w:val="clear" w:color="auto" w:fill="FFFFFF"/>
        </w:rPr>
        <w:t xml:space="preserve"> Unlike an employee suing under section 226.7, a</w:t>
      </w:r>
      <w:r w:rsidRPr="00A86E6B">
        <w:rPr>
          <w:color w:val="222222"/>
          <w:szCs w:val="26"/>
          <w:shd w:val="clear" w:color="auto" w:fill="FFFFFF"/>
        </w:rPr>
        <w:t xml:space="preserve">n employee suing for failure to pay wages by the deadline established in </w:t>
      </w:r>
      <w:r w:rsidR="003D0B3F" w:rsidRPr="00A86E6B">
        <w:rPr>
          <w:color w:val="222222"/>
          <w:szCs w:val="26"/>
          <w:shd w:val="clear" w:color="auto" w:fill="FFFFFF"/>
        </w:rPr>
        <w:t xml:space="preserve">the latter </w:t>
      </w:r>
      <w:r w:rsidRPr="00A86E6B">
        <w:rPr>
          <w:color w:val="222222"/>
          <w:szCs w:val="26"/>
          <w:shd w:val="clear" w:color="auto" w:fill="FFFFFF"/>
        </w:rPr>
        <w:t xml:space="preserve">statutes </w:t>
      </w:r>
      <w:r w:rsidRPr="00A86E6B">
        <w:rPr>
          <w:i/>
          <w:iCs/>
          <w:color w:val="222222"/>
          <w:szCs w:val="26"/>
          <w:shd w:val="clear" w:color="auto" w:fill="FFFFFF"/>
        </w:rPr>
        <w:t>is</w:t>
      </w:r>
      <w:r w:rsidRPr="00A86E6B">
        <w:rPr>
          <w:color w:val="222222"/>
          <w:szCs w:val="26"/>
          <w:shd w:val="clear" w:color="auto" w:fill="FFFFFF"/>
        </w:rPr>
        <w:t xml:space="preserve"> suing for nonpayment of wages</w:t>
      </w:r>
      <w:r w:rsidR="00A325A2" w:rsidRPr="00A86E6B">
        <w:rPr>
          <w:color w:val="222222"/>
          <w:szCs w:val="26"/>
          <w:shd w:val="clear" w:color="auto" w:fill="FFFFFF"/>
        </w:rPr>
        <w:t xml:space="preserve"> for purposes of </w:t>
      </w:r>
      <w:r w:rsidR="00310B47">
        <w:rPr>
          <w:color w:val="222222"/>
          <w:szCs w:val="26"/>
          <w:shd w:val="clear" w:color="auto" w:fill="FFFFFF"/>
        </w:rPr>
        <w:t xml:space="preserve">an </w:t>
      </w:r>
      <w:r w:rsidR="00826868">
        <w:rPr>
          <w:color w:val="222222"/>
          <w:szCs w:val="26"/>
          <w:shd w:val="clear" w:color="auto" w:fill="FFFFFF"/>
        </w:rPr>
        <w:t xml:space="preserve">attorney fee </w:t>
      </w:r>
      <w:r w:rsidR="00310B47">
        <w:rPr>
          <w:color w:val="222222"/>
          <w:szCs w:val="26"/>
          <w:shd w:val="clear" w:color="auto" w:fill="FFFFFF"/>
        </w:rPr>
        <w:t xml:space="preserve">award </w:t>
      </w:r>
      <w:r w:rsidR="00A325A2" w:rsidRPr="00A86E6B">
        <w:rPr>
          <w:color w:val="222222"/>
          <w:szCs w:val="26"/>
          <w:shd w:val="clear" w:color="auto" w:fill="FFFFFF"/>
        </w:rPr>
        <w:t>under Labor Code section 218.5</w:t>
      </w:r>
      <w:r w:rsidRPr="00A86E6B">
        <w:rPr>
          <w:color w:val="222222"/>
          <w:szCs w:val="26"/>
          <w:shd w:val="clear" w:color="auto" w:fill="FFFFFF"/>
        </w:rPr>
        <w:t xml:space="preserve">.  </w:t>
      </w:r>
      <w:r w:rsidR="00395B19" w:rsidRPr="00A86E6B">
        <w:rPr>
          <w:color w:val="222222"/>
          <w:szCs w:val="26"/>
          <w:shd w:val="clear" w:color="auto" w:fill="FFFFFF"/>
        </w:rPr>
        <w:t>(</w:t>
      </w:r>
      <w:r w:rsidR="00395B19" w:rsidRPr="00A86E6B">
        <w:rPr>
          <w:i/>
          <w:iCs/>
          <w:color w:val="222222"/>
          <w:szCs w:val="26"/>
          <w:shd w:val="clear" w:color="auto" w:fill="FFFFFF"/>
        </w:rPr>
        <w:t>Kirby</w:t>
      </w:r>
      <w:r w:rsidR="00395B19" w:rsidRPr="00A86E6B">
        <w:rPr>
          <w:color w:val="222222"/>
          <w:szCs w:val="26"/>
          <w:shd w:val="clear" w:color="auto" w:fill="FFFFFF"/>
        </w:rPr>
        <w:t>, at p. 1256.)</w:t>
      </w:r>
      <w:r w:rsidR="00A325A2" w:rsidRPr="00A86E6B">
        <w:rPr>
          <w:color w:val="222222"/>
          <w:szCs w:val="26"/>
          <w:shd w:val="clear" w:color="auto" w:fill="FFFFFF"/>
        </w:rPr>
        <w:t xml:space="preserve">  But </w:t>
      </w:r>
      <w:r w:rsidR="001562DD" w:rsidRPr="00A86E6B">
        <w:rPr>
          <w:color w:val="222222"/>
          <w:szCs w:val="26"/>
          <w:shd w:val="clear" w:color="auto" w:fill="FFFFFF"/>
        </w:rPr>
        <w:t xml:space="preserve">this case does not concern </w:t>
      </w:r>
      <w:r w:rsidR="0086267C">
        <w:rPr>
          <w:color w:val="222222"/>
          <w:szCs w:val="26"/>
          <w:shd w:val="clear" w:color="auto" w:fill="FFFFFF"/>
        </w:rPr>
        <w:t xml:space="preserve">attorney fees under </w:t>
      </w:r>
      <w:r w:rsidR="000810D0" w:rsidRPr="00A86E6B">
        <w:rPr>
          <w:color w:val="222222"/>
          <w:szCs w:val="26"/>
          <w:shd w:val="clear" w:color="auto" w:fill="FFFFFF"/>
        </w:rPr>
        <w:t>Labor Code section 218.5</w:t>
      </w:r>
      <w:r w:rsidR="00B05DBF">
        <w:rPr>
          <w:color w:val="222222"/>
          <w:szCs w:val="26"/>
          <w:shd w:val="clear" w:color="auto" w:fill="FFFFFF"/>
        </w:rPr>
        <w:t xml:space="preserve">, nor does it </w:t>
      </w:r>
      <w:r w:rsidR="00C85A5E">
        <w:rPr>
          <w:color w:val="222222"/>
          <w:szCs w:val="26"/>
          <w:shd w:val="clear" w:color="auto" w:fill="FFFFFF"/>
        </w:rPr>
        <w:t xml:space="preserve">otherwise </w:t>
      </w:r>
      <w:r w:rsidR="002C61BC" w:rsidRPr="00A86E6B">
        <w:rPr>
          <w:color w:val="222222"/>
          <w:szCs w:val="26"/>
          <w:shd w:val="clear" w:color="auto" w:fill="FFFFFF"/>
        </w:rPr>
        <w:t xml:space="preserve">turn on the nature of </w:t>
      </w:r>
      <w:r w:rsidR="0086267C">
        <w:rPr>
          <w:color w:val="222222"/>
          <w:szCs w:val="26"/>
          <w:shd w:val="clear" w:color="auto" w:fill="FFFFFF"/>
        </w:rPr>
        <w:t xml:space="preserve">Naranjo’s action, </w:t>
      </w:r>
      <w:r w:rsidR="00BC7D97" w:rsidRPr="00A86E6B">
        <w:rPr>
          <w:color w:val="222222"/>
          <w:szCs w:val="26"/>
          <w:shd w:val="clear" w:color="auto" w:fill="FFFFFF"/>
        </w:rPr>
        <w:t xml:space="preserve">so that </w:t>
      </w:r>
      <w:r w:rsidRPr="00A86E6B">
        <w:rPr>
          <w:color w:val="222222"/>
          <w:szCs w:val="26"/>
          <w:shd w:val="clear" w:color="auto" w:fill="FFFFFF"/>
        </w:rPr>
        <w:t xml:space="preserve">distinction </w:t>
      </w:r>
      <w:r w:rsidR="00395B19" w:rsidRPr="00A86E6B">
        <w:rPr>
          <w:color w:val="222222"/>
          <w:szCs w:val="26"/>
          <w:shd w:val="clear" w:color="auto" w:fill="FFFFFF"/>
        </w:rPr>
        <w:t>is not meaningful here.</w:t>
      </w:r>
    </w:p>
    <w:p w14:paraId="13006322" w14:textId="7966EF30" w:rsidR="0067557F" w:rsidRPr="00A86E6B" w:rsidRDefault="006B3E64" w:rsidP="00A86E6B">
      <w:pPr>
        <w:tabs>
          <w:tab w:val="left" w:pos="1440"/>
        </w:tabs>
        <w:ind w:firstLine="720"/>
        <w:rPr>
          <w:szCs w:val="26"/>
        </w:rPr>
      </w:pPr>
      <w:r w:rsidRPr="00A86E6B">
        <w:rPr>
          <w:szCs w:val="26"/>
        </w:rPr>
        <w:t xml:space="preserve">Spectrum </w:t>
      </w:r>
      <w:r w:rsidR="00885C13" w:rsidRPr="00A86E6B">
        <w:rPr>
          <w:szCs w:val="26"/>
        </w:rPr>
        <w:t>disagrees</w:t>
      </w:r>
      <w:r w:rsidR="00922E1D" w:rsidRPr="00A86E6B">
        <w:rPr>
          <w:szCs w:val="26"/>
        </w:rPr>
        <w:t xml:space="preserve"> on this point</w:t>
      </w:r>
      <w:r w:rsidR="00885C13" w:rsidRPr="00A86E6B">
        <w:rPr>
          <w:szCs w:val="26"/>
        </w:rPr>
        <w:t xml:space="preserve">, </w:t>
      </w:r>
      <w:r w:rsidRPr="00A86E6B">
        <w:rPr>
          <w:szCs w:val="26"/>
        </w:rPr>
        <w:t>argu</w:t>
      </w:r>
      <w:r w:rsidR="00885C13" w:rsidRPr="00A86E6B">
        <w:rPr>
          <w:szCs w:val="26"/>
        </w:rPr>
        <w:t>ing</w:t>
      </w:r>
      <w:r w:rsidRPr="00A86E6B">
        <w:rPr>
          <w:szCs w:val="26"/>
        </w:rPr>
        <w:t xml:space="preserve"> that the nature of a section 226.7 </w:t>
      </w:r>
      <w:r w:rsidR="002D52FA">
        <w:rPr>
          <w:szCs w:val="26"/>
        </w:rPr>
        <w:t xml:space="preserve">missed-break </w:t>
      </w:r>
      <w:r w:rsidRPr="00A86E6B">
        <w:rPr>
          <w:szCs w:val="26"/>
        </w:rPr>
        <w:t>action is critical to the operation of Labor Code section 203</w:t>
      </w:r>
      <w:r w:rsidR="00FC7A9D">
        <w:rPr>
          <w:szCs w:val="26"/>
        </w:rPr>
        <w:t xml:space="preserve">’s </w:t>
      </w:r>
      <w:r w:rsidR="0074502E">
        <w:rPr>
          <w:szCs w:val="26"/>
        </w:rPr>
        <w:t xml:space="preserve">waiting-time </w:t>
      </w:r>
      <w:r w:rsidR="00FC7A9D">
        <w:rPr>
          <w:szCs w:val="26"/>
        </w:rPr>
        <w:t>penalty provision</w:t>
      </w:r>
      <w:r w:rsidRPr="00A86E6B">
        <w:rPr>
          <w:szCs w:val="26"/>
        </w:rPr>
        <w:t xml:space="preserve">, just as it is critical to the operation of the attorney fee statute at issue in </w:t>
      </w:r>
      <w:r w:rsidRPr="00A86E6B">
        <w:rPr>
          <w:i/>
          <w:iCs/>
          <w:szCs w:val="26"/>
        </w:rPr>
        <w:t>Kirby.</w:t>
      </w:r>
      <w:r w:rsidRPr="00A86E6B">
        <w:rPr>
          <w:szCs w:val="26"/>
        </w:rPr>
        <w:t xml:space="preserve">  Spectrum borrows this argument from </w:t>
      </w:r>
      <w:r w:rsidR="0067557F" w:rsidRPr="00A86E6B">
        <w:rPr>
          <w:i/>
          <w:iCs/>
          <w:szCs w:val="26"/>
        </w:rPr>
        <w:t>Ling v. P.F. Chang’s China Bistro, Inc.</w:t>
      </w:r>
      <w:r w:rsidR="0067557F" w:rsidRPr="00A86E6B">
        <w:rPr>
          <w:szCs w:val="26"/>
        </w:rPr>
        <w:t xml:space="preserve"> (2016) 245 Cal.App.4th 1242</w:t>
      </w:r>
      <w:r w:rsidR="00874589" w:rsidRPr="00A86E6B">
        <w:rPr>
          <w:szCs w:val="26"/>
        </w:rPr>
        <w:t xml:space="preserve"> (</w:t>
      </w:r>
      <w:r w:rsidR="00874589" w:rsidRPr="00A86E6B">
        <w:rPr>
          <w:i/>
          <w:iCs/>
          <w:szCs w:val="26"/>
        </w:rPr>
        <w:t>Ling</w:t>
      </w:r>
      <w:r w:rsidR="00874589" w:rsidRPr="00A86E6B">
        <w:rPr>
          <w:szCs w:val="26"/>
        </w:rPr>
        <w:t>)</w:t>
      </w:r>
      <w:r w:rsidR="00291836" w:rsidRPr="00A86E6B">
        <w:rPr>
          <w:szCs w:val="26"/>
        </w:rPr>
        <w:t xml:space="preserve">, which in turn focused </w:t>
      </w:r>
      <w:r w:rsidR="00F56CDB" w:rsidRPr="00A86E6B">
        <w:rPr>
          <w:szCs w:val="26"/>
        </w:rPr>
        <w:t xml:space="preserve">on </w:t>
      </w:r>
      <w:r w:rsidR="00CB79F6" w:rsidRPr="00A86E6B">
        <w:rPr>
          <w:szCs w:val="26"/>
        </w:rPr>
        <w:t>the language of Labor Code section 203, subdivision (b)</w:t>
      </w:r>
      <w:r w:rsidR="00291836" w:rsidRPr="00A86E6B">
        <w:rPr>
          <w:szCs w:val="26"/>
        </w:rPr>
        <w:t>.  That provision states:</w:t>
      </w:r>
      <w:r w:rsidR="00CB79F6" w:rsidRPr="00A86E6B">
        <w:rPr>
          <w:szCs w:val="26"/>
        </w:rPr>
        <w:t xml:space="preserve">  </w:t>
      </w:r>
      <w:r w:rsidR="00530280" w:rsidRPr="00A86E6B">
        <w:rPr>
          <w:color w:val="000000" w:themeColor="text1"/>
          <w:szCs w:val="26"/>
        </w:rPr>
        <w:t>“</w:t>
      </w:r>
      <w:r w:rsidR="00530280" w:rsidRPr="00A86E6B">
        <w:rPr>
          <w:color w:val="000000" w:themeColor="text1"/>
          <w:szCs w:val="26"/>
          <w:shd w:val="clear" w:color="auto" w:fill="FFFFFF"/>
        </w:rPr>
        <w:t>Suit may be filed for these penalties at any time before the expiration of the statute of limitations on an action for the wages from which the penalties arise.”</w:t>
      </w:r>
      <w:r w:rsidR="00530280" w:rsidRPr="00A86E6B">
        <w:rPr>
          <w:color w:val="000000" w:themeColor="text1"/>
          <w:szCs w:val="26"/>
        </w:rPr>
        <w:t xml:space="preserve">  </w:t>
      </w:r>
      <w:r w:rsidR="00641BA3">
        <w:rPr>
          <w:color w:val="000000" w:themeColor="text1"/>
          <w:szCs w:val="26"/>
        </w:rPr>
        <w:t xml:space="preserve">(Lab. Code, § 203, subd. (b).)  </w:t>
      </w:r>
      <w:r w:rsidR="00CB79F6" w:rsidRPr="00A86E6B">
        <w:rPr>
          <w:szCs w:val="26"/>
        </w:rPr>
        <w:t xml:space="preserve">The </w:t>
      </w:r>
      <w:r w:rsidR="00291836" w:rsidRPr="00A86E6B">
        <w:rPr>
          <w:i/>
          <w:iCs/>
          <w:szCs w:val="26"/>
        </w:rPr>
        <w:t>Ling</w:t>
      </w:r>
      <w:r w:rsidR="00291836" w:rsidRPr="00A86E6B">
        <w:rPr>
          <w:szCs w:val="26"/>
        </w:rPr>
        <w:t xml:space="preserve"> </w:t>
      </w:r>
      <w:r w:rsidR="00CB79F6" w:rsidRPr="00A86E6B">
        <w:rPr>
          <w:szCs w:val="26"/>
        </w:rPr>
        <w:t>court reasoned</w:t>
      </w:r>
      <w:r w:rsidR="00EE18FE">
        <w:rPr>
          <w:szCs w:val="26"/>
        </w:rPr>
        <w:t>:</w:t>
      </w:r>
      <w:r w:rsidR="00CB79F6" w:rsidRPr="00A86E6B">
        <w:rPr>
          <w:szCs w:val="26"/>
        </w:rPr>
        <w:t xml:space="preserve"> </w:t>
      </w:r>
      <w:r w:rsidR="001761D8">
        <w:rPr>
          <w:szCs w:val="26"/>
        </w:rPr>
        <w:t xml:space="preserve"> </w:t>
      </w:r>
      <w:r w:rsidR="00CB79F6" w:rsidRPr="00A86E6B">
        <w:rPr>
          <w:szCs w:val="26"/>
        </w:rPr>
        <w:t>that th</w:t>
      </w:r>
      <w:r w:rsidR="001B356B" w:rsidRPr="00A86E6B">
        <w:rPr>
          <w:szCs w:val="26"/>
        </w:rPr>
        <w:t>is</w:t>
      </w:r>
      <w:r w:rsidR="00CB79F6" w:rsidRPr="00A86E6B">
        <w:rPr>
          <w:szCs w:val="26"/>
        </w:rPr>
        <w:t xml:space="preserve"> provision makes any claim for penalties under section 203 derivative of an underlying action for wages; that under </w:t>
      </w:r>
      <w:r w:rsidR="00CB79F6" w:rsidRPr="00A86E6B">
        <w:rPr>
          <w:i/>
          <w:iCs/>
          <w:szCs w:val="26"/>
        </w:rPr>
        <w:t>Kirby</w:t>
      </w:r>
      <w:r w:rsidR="00CB79F6" w:rsidRPr="00A86E6B">
        <w:rPr>
          <w:szCs w:val="26"/>
        </w:rPr>
        <w:t xml:space="preserve">, a claim for section 226.7 premium pay is not an action for wages; and thus that no section 203 </w:t>
      </w:r>
      <w:r w:rsidR="00B90B6B" w:rsidRPr="00A86E6B">
        <w:rPr>
          <w:szCs w:val="26"/>
        </w:rPr>
        <w:t xml:space="preserve">waiting time </w:t>
      </w:r>
      <w:r w:rsidR="00CB79F6" w:rsidRPr="00A86E6B">
        <w:rPr>
          <w:szCs w:val="26"/>
        </w:rPr>
        <w:t xml:space="preserve">penalties </w:t>
      </w:r>
      <w:r w:rsidR="00366AC7" w:rsidRPr="00A86E6B">
        <w:rPr>
          <w:szCs w:val="26"/>
        </w:rPr>
        <w:t xml:space="preserve">can </w:t>
      </w:r>
      <w:r w:rsidR="00CB79F6" w:rsidRPr="00A86E6B">
        <w:rPr>
          <w:szCs w:val="26"/>
        </w:rPr>
        <w:t>lie</w:t>
      </w:r>
      <w:r w:rsidR="001B356B" w:rsidRPr="00A86E6B">
        <w:rPr>
          <w:szCs w:val="26"/>
        </w:rPr>
        <w:t xml:space="preserve"> based on failure to </w:t>
      </w:r>
      <w:r w:rsidR="00B90B6B" w:rsidRPr="00A86E6B">
        <w:rPr>
          <w:szCs w:val="26"/>
        </w:rPr>
        <w:t xml:space="preserve">promptly </w:t>
      </w:r>
      <w:r w:rsidR="005A0CDD" w:rsidRPr="00A86E6B">
        <w:rPr>
          <w:szCs w:val="26"/>
        </w:rPr>
        <w:t xml:space="preserve">pay </w:t>
      </w:r>
      <w:r w:rsidR="00B90B6B" w:rsidRPr="00A86E6B">
        <w:rPr>
          <w:szCs w:val="26"/>
        </w:rPr>
        <w:t xml:space="preserve">the extra </w:t>
      </w:r>
      <w:r w:rsidR="005A0CDD" w:rsidRPr="00A86E6B">
        <w:rPr>
          <w:szCs w:val="26"/>
        </w:rPr>
        <w:t xml:space="preserve">money </w:t>
      </w:r>
      <w:r w:rsidR="00B90B6B" w:rsidRPr="00A86E6B">
        <w:rPr>
          <w:szCs w:val="26"/>
        </w:rPr>
        <w:t xml:space="preserve">owed for missed breaks under </w:t>
      </w:r>
      <w:r w:rsidR="001B356B" w:rsidRPr="00A86E6B">
        <w:rPr>
          <w:szCs w:val="26"/>
        </w:rPr>
        <w:t>section 226.7</w:t>
      </w:r>
      <w:r w:rsidR="00CB79F6" w:rsidRPr="00A86E6B">
        <w:rPr>
          <w:szCs w:val="26"/>
        </w:rPr>
        <w:t>.  (</w:t>
      </w:r>
      <w:r w:rsidR="00CB79F6" w:rsidRPr="00A86E6B">
        <w:rPr>
          <w:i/>
          <w:iCs/>
          <w:szCs w:val="26"/>
        </w:rPr>
        <w:t>Ling</w:t>
      </w:r>
      <w:r w:rsidR="00CB79F6" w:rsidRPr="00A86E6B">
        <w:rPr>
          <w:szCs w:val="26"/>
        </w:rPr>
        <w:t>, at p. 1261.)</w:t>
      </w:r>
    </w:p>
    <w:p w14:paraId="755BB144" w14:textId="6911C648" w:rsidR="00CB79F6" w:rsidRPr="00A86E6B" w:rsidRDefault="00D04EB8" w:rsidP="00A86E6B">
      <w:pPr>
        <w:tabs>
          <w:tab w:val="left" w:pos="1440"/>
        </w:tabs>
        <w:ind w:firstLine="720"/>
        <w:rPr>
          <w:color w:val="000000" w:themeColor="text1"/>
          <w:szCs w:val="26"/>
          <w:shd w:val="clear" w:color="auto" w:fill="FFFFFF"/>
        </w:rPr>
      </w:pPr>
      <w:r w:rsidRPr="00A86E6B">
        <w:rPr>
          <w:szCs w:val="26"/>
        </w:rPr>
        <w:t xml:space="preserve">The argument reads more into Labor Code section 203, subdivision (b), than the provision will bear. </w:t>
      </w:r>
      <w:r w:rsidR="003664F5" w:rsidRPr="00A86E6B">
        <w:rPr>
          <w:szCs w:val="26"/>
        </w:rPr>
        <w:t xml:space="preserve"> As already explained, the </w:t>
      </w:r>
      <w:r w:rsidR="00923D9C" w:rsidRPr="00A86E6B">
        <w:rPr>
          <w:szCs w:val="26"/>
        </w:rPr>
        <w:t xml:space="preserve">conditions for </w:t>
      </w:r>
      <w:r w:rsidR="003664F5" w:rsidRPr="00A86E6B">
        <w:rPr>
          <w:szCs w:val="26"/>
        </w:rPr>
        <w:t xml:space="preserve">substantive entitlement to waiting time penalties </w:t>
      </w:r>
      <w:r w:rsidR="00923D9C" w:rsidRPr="00A86E6B">
        <w:rPr>
          <w:szCs w:val="26"/>
        </w:rPr>
        <w:t>are</w:t>
      </w:r>
      <w:r w:rsidR="003664F5" w:rsidRPr="00A86E6B">
        <w:rPr>
          <w:szCs w:val="26"/>
        </w:rPr>
        <w:t xml:space="preserve"> </w:t>
      </w:r>
      <w:r w:rsidR="00923D9C" w:rsidRPr="00A86E6B">
        <w:rPr>
          <w:szCs w:val="26"/>
        </w:rPr>
        <w:t>defined</w:t>
      </w:r>
      <w:r w:rsidR="003664F5" w:rsidRPr="00A86E6B">
        <w:rPr>
          <w:szCs w:val="26"/>
        </w:rPr>
        <w:t xml:space="preserve"> in subdivision (a) of Labor Code section 203, which speaks simply of the willful nonpayment of “any wages of an employee who is discharged or who quits.”  (Lab. Code, </w:t>
      </w:r>
      <w:r w:rsidR="0051684F" w:rsidRPr="00A86E6B">
        <w:rPr>
          <w:szCs w:val="26"/>
        </w:rPr>
        <w:t>§</w:t>
      </w:r>
      <w:r w:rsidR="006649E9" w:rsidRPr="00A86E6B">
        <w:rPr>
          <w:szCs w:val="26"/>
        </w:rPr>
        <w:t> </w:t>
      </w:r>
      <w:r w:rsidR="0051684F" w:rsidRPr="00A86E6B">
        <w:rPr>
          <w:szCs w:val="26"/>
        </w:rPr>
        <w:t xml:space="preserve">203, subd. (a).)  </w:t>
      </w:r>
      <w:r w:rsidR="004A0E1C" w:rsidRPr="00A86E6B">
        <w:rPr>
          <w:szCs w:val="26"/>
        </w:rPr>
        <w:t>S</w:t>
      </w:r>
      <w:r w:rsidR="0051684F" w:rsidRPr="00A86E6B">
        <w:rPr>
          <w:szCs w:val="26"/>
        </w:rPr>
        <w:t>ubdivision (b)</w:t>
      </w:r>
      <w:r w:rsidR="004A0E1C" w:rsidRPr="00A86E6B">
        <w:rPr>
          <w:szCs w:val="26"/>
        </w:rPr>
        <w:t xml:space="preserve"> was added in 1939 to</w:t>
      </w:r>
      <w:r w:rsidR="0051684F" w:rsidRPr="00A86E6B">
        <w:rPr>
          <w:szCs w:val="26"/>
        </w:rPr>
        <w:t xml:space="preserve"> extend the </w:t>
      </w:r>
      <w:r w:rsidR="00CB79F6" w:rsidRPr="00A86E6B">
        <w:rPr>
          <w:szCs w:val="26"/>
        </w:rPr>
        <w:t xml:space="preserve">statute of limitations for recovering the </w:t>
      </w:r>
      <w:r w:rsidR="009A367E" w:rsidRPr="00A86E6B">
        <w:rPr>
          <w:szCs w:val="26"/>
        </w:rPr>
        <w:t xml:space="preserve">waiting time </w:t>
      </w:r>
      <w:r w:rsidR="00CB79F6" w:rsidRPr="00A86E6B">
        <w:rPr>
          <w:szCs w:val="26"/>
        </w:rPr>
        <w:t>penalt</w:t>
      </w:r>
      <w:r w:rsidR="009A367E" w:rsidRPr="00A86E6B">
        <w:rPr>
          <w:szCs w:val="26"/>
        </w:rPr>
        <w:t>ies</w:t>
      </w:r>
      <w:r w:rsidR="00CB79F6" w:rsidRPr="00A86E6B">
        <w:rPr>
          <w:szCs w:val="26"/>
        </w:rPr>
        <w:t xml:space="preserve"> provided for in subdivision (a) to equal that of the limitations period for recovering the underlying </w:t>
      </w:r>
      <w:r w:rsidR="00B4682D" w:rsidRPr="00A86E6B">
        <w:rPr>
          <w:szCs w:val="26"/>
        </w:rPr>
        <w:t xml:space="preserve">unpaid </w:t>
      </w:r>
      <w:r w:rsidR="00CB79F6" w:rsidRPr="00A86E6B">
        <w:rPr>
          <w:szCs w:val="26"/>
        </w:rPr>
        <w:t>wages.  (</w:t>
      </w:r>
      <w:r w:rsidR="004A0E1C" w:rsidRPr="00A86E6B">
        <w:rPr>
          <w:szCs w:val="26"/>
        </w:rPr>
        <w:t>Stats. 1939, ch. 1096, § 1, p. </w:t>
      </w:r>
      <w:r w:rsidR="00807294" w:rsidRPr="00A86E6B">
        <w:rPr>
          <w:szCs w:val="26"/>
        </w:rPr>
        <w:t>3026</w:t>
      </w:r>
      <w:r w:rsidR="004A0E1C" w:rsidRPr="00A86E6B">
        <w:rPr>
          <w:szCs w:val="26"/>
        </w:rPr>
        <w:t xml:space="preserve">; </w:t>
      </w:r>
      <w:r w:rsidR="00F56CDB" w:rsidRPr="00A86E6B">
        <w:rPr>
          <w:i/>
          <w:iCs/>
          <w:color w:val="000000" w:themeColor="text1"/>
          <w:szCs w:val="26"/>
          <w:shd w:val="clear" w:color="auto" w:fill="FFFFFF"/>
        </w:rPr>
        <w:t>Pineda v. Bank of America, N.A.</w:t>
      </w:r>
      <w:r w:rsidR="00F56CDB" w:rsidRPr="00A86E6B">
        <w:rPr>
          <w:color w:val="000000" w:themeColor="text1"/>
          <w:szCs w:val="26"/>
          <w:shd w:val="clear" w:color="auto" w:fill="FFFFFF"/>
        </w:rPr>
        <w:t xml:space="preserve">, </w:t>
      </w:r>
      <w:r w:rsidR="00F56CDB" w:rsidRPr="00A86E6B">
        <w:rPr>
          <w:i/>
          <w:iCs/>
          <w:color w:val="000000" w:themeColor="text1"/>
          <w:szCs w:val="26"/>
          <w:shd w:val="clear" w:color="auto" w:fill="FFFFFF"/>
        </w:rPr>
        <w:t>supra</w:t>
      </w:r>
      <w:r w:rsidR="00F56CDB" w:rsidRPr="00A86E6B">
        <w:rPr>
          <w:color w:val="000000" w:themeColor="text1"/>
          <w:szCs w:val="26"/>
          <w:shd w:val="clear" w:color="auto" w:fill="FFFFFF"/>
        </w:rPr>
        <w:t>, 50 Cal.4th at p. </w:t>
      </w:r>
      <w:r w:rsidR="00807294" w:rsidRPr="00A86E6B">
        <w:rPr>
          <w:color w:val="000000" w:themeColor="text1"/>
          <w:szCs w:val="26"/>
          <w:shd w:val="clear" w:color="auto" w:fill="FFFFFF"/>
        </w:rPr>
        <w:t>1400</w:t>
      </w:r>
      <w:r w:rsidR="00CB79F6" w:rsidRPr="00A86E6B">
        <w:rPr>
          <w:color w:val="000000" w:themeColor="text1"/>
          <w:szCs w:val="26"/>
        </w:rPr>
        <w:t xml:space="preserve">.)  </w:t>
      </w:r>
      <w:r w:rsidR="00A8446B">
        <w:rPr>
          <w:color w:val="000000" w:themeColor="text1"/>
          <w:szCs w:val="26"/>
        </w:rPr>
        <w:t>I</w:t>
      </w:r>
      <w:r w:rsidR="007E3174" w:rsidRPr="00A86E6B">
        <w:rPr>
          <w:color w:val="000000" w:themeColor="text1"/>
          <w:szCs w:val="26"/>
        </w:rPr>
        <w:t xml:space="preserve">n describing the latter limitations period, </w:t>
      </w:r>
      <w:r w:rsidR="008F10D2" w:rsidRPr="00A86E6B">
        <w:rPr>
          <w:color w:val="000000" w:themeColor="text1"/>
          <w:szCs w:val="26"/>
        </w:rPr>
        <w:t xml:space="preserve">subdivision (b) </w:t>
      </w:r>
      <w:r w:rsidR="00AF6C90">
        <w:rPr>
          <w:color w:val="000000" w:themeColor="text1"/>
          <w:szCs w:val="26"/>
        </w:rPr>
        <w:t xml:space="preserve">of section 203 </w:t>
      </w:r>
      <w:r w:rsidR="00281D99">
        <w:rPr>
          <w:color w:val="000000" w:themeColor="text1"/>
          <w:szCs w:val="26"/>
        </w:rPr>
        <w:t xml:space="preserve">does </w:t>
      </w:r>
      <w:r w:rsidR="008F10D2" w:rsidRPr="00A86E6B">
        <w:rPr>
          <w:color w:val="000000" w:themeColor="text1"/>
          <w:szCs w:val="26"/>
        </w:rPr>
        <w:t xml:space="preserve">use the phrase “action for </w:t>
      </w:r>
      <w:r w:rsidR="00F8508F" w:rsidRPr="00A86E6B">
        <w:rPr>
          <w:color w:val="000000" w:themeColor="text1"/>
          <w:szCs w:val="26"/>
        </w:rPr>
        <w:t xml:space="preserve">the </w:t>
      </w:r>
      <w:r w:rsidR="008F10D2" w:rsidRPr="00A86E6B">
        <w:rPr>
          <w:color w:val="000000" w:themeColor="text1"/>
          <w:szCs w:val="26"/>
        </w:rPr>
        <w:t xml:space="preserve">wages.”  But </w:t>
      </w:r>
      <w:r w:rsidR="008F10D2" w:rsidRPr="00A86E6B">
        <w:rPr>
          <w:color w:val="000000" w:themeColor="text1"/>
          <w:szCs w:val="26"/>
          <w:shd w:val="clear" w:color="auto" w:fill="FFFFFF"/>
        </w:rPr>
        <w:t>w</w:t>
      </w:r>
      <w:r w:rsidR="00CB79F6" w:rsidRPr="00A86E6B">
        <w:rPr>
          <w:color w:val="000000" w:themeColor="text1"/>
          <w:szCs w:val="26"/>
          <w:shd w:val="clear" w:color="auto" w:fill="FFFFFF"/>
        </w:rPr>
        <w:t xml:space="preserve">hereas Labor Code section 218.5 </w:t>
      </w:r>
      <w:r w:rsidR="001542FC" w:rsidRPr="00A86E6B">
        <w:rPr>
          <w:color w:val="000000" w:themeColor="text1"/>
          <w:szCs w:val="26"/>
          <w:shd w:val="clear" w:color="auto" w:fill="FFFFFF"/>
        </w:rPr>
        <w:t xml:space="preserve">focuses on </w:t>
      </w:r>
      <w:r w:rsidR="00CB79F6" w:rsidRPr="00A86E6B">
        <w:rPr>
          <w:color w:val="000000" w:themeColor="text1"/>
          <w:szCs w:val="26"/>
          <w:shd w:val="clear" w:color="auto" w:fill="FFFFFF"/>
        </w:rPr>
        <w:t xml:space="preserve">the </w:t>
      </w:r>
      <w:r w:rsidR="00923D9C" w:rsidRPr="00A86E6B">
        <w:rPr>
          <w:color w:val="000000" w:themeColor="text1"/>
          <w:szCs w:val="26"/>
          <w:shd w:val="clear" w:color="auto" w:fill="FFFFFF"/>
        </w:rPr>
        <w:t xml:space="preserve">nature of the </w:t>
      </w:r>
      <w:r w:rsidR="00CB79F6" w:rsidRPr="00A86E6B">
        <w:rPr>
          <w:color w:val="000000" w:themeColor="text1"/>
          <w:szCs w:val="26"/>
          <w:shd w:val="clear" w:color="auto" w:fill="FFFFFF"/>
        </w:rPr>
        <w:t xml:space="preserve">legal </w:t>
      </w:r>
      <w:r w:rsidR="00165FD1" w:rsidRPr="00A86E6B">
        <w:rPr>
          <w:color w:val="000000" w:themeColor="text1"/>
          <w:szCs w:val="26"/>
          <w:shd w:val="clear" w:color="auto" w:fill="FFFFFF"/>
        </w:rPr>
        <w:t xml:space="preserve">violation </w:t>
      </w:r>
      <w:r w:rsidR="009F206A" w:rsidRPr="00A86E6B">
        <w:rPr>
          <w:color w:val="000000" w:themeColor="text1"/>
          <w:szCs w:val="26"/>
          <w:shd w:val="clear" w:color="auto" w:fill="FFFFFF"/>
        </w:rPr>
        <w:t xml:space="preserve">challenged (an </w:t>
      </w:r>
      <w:r w:rsidR="00F8508F" w:rsidRPr="00A86E6B">
        <w:rPr>
          <w:color w:val="000000" w:themeColor="text1"/>
          <w:szCs w:val="26"/>
          <w:shd w:val="clear" w:color="auto" w:fill="FFFFFF"/>
        </w:rPr>
        <w:t>“</w:t>
      </w:r>
      <w:r w:rsidR="009F206A" w:rsidRPr="00A86E6B">
        <w:rPr>
          <w:color w:val="000000" w:themeColor="text1"/>
          <w:szCs w:val="26"/>
          <w:shd w:val="clear" w:color="auto" w:fill="FFFFFF"/>
        </w:rPr>
        <w:t xml:space="preserve">action </w:t>
      </w:r>
      <w:r w:rsidR="009F206A" w:rsidRPr="00A86E6B">
        <w:rPr>
          <w:i/>
          <w:iCs/>
          <w:color w:val="000000" w:themeColor="text1"/>
          <w:szCs w:val="26"/>
          <w:shd w:val="clear" w:color="auto" w:fill="FFFFFF"/>
        </w:rPr>
        <w:t>brought for the</w:t>
      </w:r>
      <w:r w:rsidR="009F206A" w:rsidRPr="00A86E6B">
        <w:rPr>
          <w:color w:val="000000" w:themeColor="text1"/>
          <w:szCs w:val="26"/>
          <w:shd w:val="clear" w:color="auto" w:fill="FFFFFF"/>
        </w:rPr>
        <w:t xml:space="preserve"> </w:t>
      </w:r>
      <w:r w:rsidR="009F206A" w:rsidRPr="00A86E6B">
        <w:rPr>
          <w:i/>
          <w:iCs/>
          <w:color w:val="000000" w:themeColor="text1"/>
          <w:szCs w:val="26"/>
          <w:shd w:val="clear" w:color="auto" w:fill="FFFFFF"/>
        </w:rPr>
        <w:t>nonpayment</w:t>
      </w:r>
      <w:r w:rsidR="009F206A" w:rsidRPr="00A86E6B">
        <w:rPr>
          <w:color w:val="000000" w:themeColor="text1"/>
          <w:szCs w:val="26"/>
          <w:shd w:val="clear" w:color="auto" w:fill="FFFFFF"/>
        </w:rPr>
        <w:t xml:space="preserve"> of wages,” italics added)</w:t>
      </w:r>
      <w:r w:rsidR="009F52FA">
        <w:rPr>
          <w:color w:val="000000" w:themeColor="text1"/>
          <w:szCs w:val="26"/>
          <w:shd w:val="clear" w:color="auto" w:fill="FFFFFF"/>
        </w:rPr>
        <w:t xml:space="preserve"> to limit the scope of its application</w:t>
      </w:r>
      <w:r w:rsidR="00E265CB">
        <w:rPr>
          <w:color w:val="000000" w:themeColor="text1"/>
          <w:szCs w:val="26"/>
          <w:shd w:val="clear" w:color="auto" w:fill="FFFFFF"/>
        </w:rPr>
        <w:t xml:space="preserve">, the wording of Labor Code section 203, subdivision (b), evinces no similar concern </w:t>
      </w:r>
      <w:r w:rsidR="00E265CB" w:rsidRPr="00A86E6B">
        <w:rPr>
          <w:color w:val="000000" w:themeColor="text1"/>
          <w:szCs w:val="26"/>
          <w:shd w:val="clear" w:color="auto" w:fill="FFFFFF"/>
        </w:rPr>
        <w:t xml:space="preserve">with categorizing suits according to the nature of the alleged legal violation in order to limit </w:t>
      </w:r>
      <w:r w:rsidR="009F52FA">
        <w:rPr>
          <w:color w:val="000000" w:themeColor="text1"/>
          <w:szCs w:val="26"/>
          <w:shd w:val="clear" w:color="auto" w:fill="FFFFFF"/>
        </w:rPr>
        <w:t>its</w:t>
      </w:r>
      <w:r w:rsidR="00E265CB" w:rsidRPr="00A86E6B">
        <w:rPr>
          <w:color w:val="000000" w:themeColor="text1"/>
          <w:szCs w:val="26"/>
          <w:shd w:val="clear" w:color="auto" w:fill="FFFFFF"/>
        </w:rPr>
        <w:t xml:space="preserve"> </w:t>
      </w:r>
      <w:r w:rsidR="009F52FA">
        <w:rPr>
          <w:color w:val="000000" w:themeColor="text1"/>
          <w:szCs w:val="26"/>
          <w:shd w:val="clear" w:color="auto" w:fill="FFFFFF"/>
        </w:rPr>
        <w:t>scope</w:t>
      </w:r>
      <w:r w:rsidR="00C83616" w:rsidRPr="00A86E6B">
        <w:rPr>
          <w:color w:val="000000" w:themeColor="text1"/>
          <w:szCs w:val="26"/>
          <w:shd w:val="clear" w:color="auto" w:fill="FFFFFF"/>
        </w:rPr>
        <w:t xml:space="preserve">.  </w:t>
      </w:r>
      <w:r w:rsidR="009F52FA">
        <w:rPr>
          <w:color w:val="000000" w:themeColor="text1"/>
          <w:szCs w:val="26"/>
          <w:shd w:val="clear" w:color="auto" w:fill="FFFFFF"/>
        </w:rPr>
        <w:t xml:space="preserve">The rest of the statute illustrates why </w:t>
      </w:r>
      <w:r w:rsidR="00F70A12" w:rsidRPr="00A86E6B">
        <w:rPr>
          <w:color w:val="000000" w:themeColor="text1"/>
          <w:szCs w:val="26"/>
          <w:shd w:val="clear" w:color="auto" w:fill="FFFFFF"/>
        </w:rPr>
        <w:t xml:space="preserve">this would be an unlikely reading:  </w:t>
      </w:r>
      <w:r w:rsidR="00B71EC9" w:rsidRPr="00A86E6B">
        <w:rPr>
          <w:color w:val="000000" w:themeColor="text1"/>
          <w:szCs w:val="26"/>
          <w:shd w:val="clear" w:color="auto" w:fill="FFFFFF"/>
        </w:rPr>
        <w:t>In contrast to subdivision (a), s</w:t>
      </w:r>
      <w:r w:rsidR="00136465" w:rsidRPr="00A86E6B">
        <w:rPr>
          <w:color w:val="000000" w:themeColor="text1"/>
          <w:szCs w:val="26"/>
          <w:shd w:val="clear" w:color="auto" w:fill="FFFFFF"/>
        </w:rPr>
        <w:t xml:space="preserve">ubdivision (b)’s </w:t>
      </w:r>
      <w:r w:rsidR="00436663" w:rsidRPr="00A86E6B">
        <w:rPr>
          <w:color w:val="000000" w:themeColor="text1"/>
          <w:szCs w:val="26"/>
          <w:shd w:val="clear" w:color="auto" w:fill="FFFFFF"/>
        </w:rPr>
        <w:t xml:space="preserve">only </w:t>
      </w:r>
      <w:r w:rsidR="00C83616" w:rsidRPr="00A86E6B">
        <w:rPr>
          <w:color w:val="000000" w:themeColor="text1"/>
          <w:szCs w:val="26"/>
          <w:shd w:val="clear" w:color="auto" w:fill="FFFFFF"/>
        </w:rPr>
        <w:t xml:space="preserve">function </w:t>
      </w:r>
      <w:r w:rsidR="00136465" w:rsidRPr="00A86E6B">
        <w:rPr>
          <w:color w:val="000000" w:themeColor="text1"/>
          <w:szCs w:val="26"/>
          <w:shd w:val="clear" w:color="auto" w:fill="FFFFFF"/>
        </w:rPr>
        <w:t>i</w:t>
      </w:r>
      <w:r w:rsidR="008C2FB6" w:rsidRPr="00A86E6B">
        <w:rPr>
          <w:color w:val="000000" w:themeColor="text1"/>
          <w:szCs w:val="26"/>
          <w:shd w:val="clear" w:color="auto" w:fill="FFFFFF"/>
        </w:rPr>
        <w:t xml:space="preserve">s </w:t>
      </w:r>
      <w:r w:rsidR="00136465" w:rsidRPr="00A86E6B">
        <w:rPr>
          <w:color w:val="000000" w:themeColor="text1"/>
          <w:szCs w:val="26"/>
          <w:shd w:val="clear" w:color="auto" w:fill="FFFFFF"/>
        </w:rPr>
        <w:t xml:space="preserve">to </w:t>
      </w:r>
      <w:r w:rsidR="00C83616" w:rsidRPr="00A86E6B">
        <w:rPr>
          <w:color w:val="000000" w:themeColor="text1"/>
          <w:szCs w:val="26"/>
          <w:shd w:val="clear" w:color="auto" w:fill="FFFFFF"/>
        </w:rPr>
        <w:t>extend the limitations period of</w:t>
      </w:r>
      <w:r w:rsidR="00136465" w:rsidRPr="00A86E6B">
        <w:rPr>
          <w:color w:val="000000" w:themeColor="text1"/>
          <w:szCs w:val="26"/>
          <w:shd w:val="clear" w:color="auto" w:fill="FFFFFF"/>
        </w:rPr>
        <w:t xml:space="preserve"> a suit to recover waiting time penalties </w:t>
      </w:r>
      <w:r w:rsidR="00C83616" w:rsidRPr="00A86E6B">
        <w:rPr>
          <w:color w:val="000000" w:themeColor="text1"/>
          <w:szCs w:val="26"/>
          <w:shd w:val="clear" w:color="auto" w:fill="FFFFFF"/>
        </w:rPr>
        <w:t xml:space="preserve">to match </w:t>
      </w:r>
      <w:r w:rsidR="00136465" w:rsidRPr="00A86E6B">
        <w:rPr>
          <w:color w:val="000000" w:themeColor="text1"/>
          <w:szCs w:val="26"/>
          <w:shd w:val="clear" w:color="auto" w:fill="FFFFFF"/>
        </w:rPr>
        <w:t>the timing of a</w:t>
      </w:r>
      <w:r w:rsidR="00C95B02" w:rsidRPr="00A86E6B">
        <w:rPr>
          <w:color w:val="000000" w:themeColor="text1"/>
          <w:szCs w:val="26"/>
          <w:shd w:val="clear" w:color="auto" w:fill="FFFFFF"/>
        </w:rPr>
        <w:t>ny</w:t>
      </w:r>
      <w:r w:rsidR="00136465" w:rsidRPr="00A86E6B">
        <w:rPr>
          <w:color w:val="000000" w:themeColor="text1"/>
          <w:szCs w:val="26"/>
          <w:shd w:val="clear" w:color="auto" w:fill="FFFFFF"/>
        </w:rPr>
        <w:t xml:space="preserve"> suit seeking the recovery of </w:t>
      </w:r>
      <w:r w:rsidR="00A951AD" w:rsidRPr="00A86E6B">
        <w:rPr>
          <w:color w:val="000000" w:themeColor="text1"/>
          <w:szCs w:val="26"/>
          <w:shd w:val="clear" w:color="auto" w:fill="FFFFFF"/>
        </w:rPr>
        <w:t xml:space="preserve">the underlying unpaid </w:t>
      </w:r>
      <w:r w:rsidR="00136465" w:rsidRPr="00A86E6B">
        <w:rPr>
          <w:color w:val="000000" w:themeColor="text1"/>
          <w:szCs w:val="26"/>
          <w:shd w:val="clear" w:color="auto" w:fill="FFFFFF"/>
        </w:rPr>
        <w:t>wages</w:t>
      </w:r>
      <w:r w:rsidR="00505EA1" w:rsidRPr="00A86E6B">
        <w:rPr>
          <w:color w:val="000000" w:themeColor="text1"/>
          <w:szCs w:val="26"/>
          <w:shd w:val="clear" w:color="auto" w:fill="FFFFFF"/>
        </w:rPr>
        <w:t>.  N</w:t>
      </w:r>
      <w:r w:rsidR="002C5618" w:rsidRPr="00A86E6B">
        <w:rPr>
          <w:color w:val="000000" w:themeColor="text1"/>
          <w:szCs w:val="26"/>
          <w:shd w:val="clear" w:color="auto" w:fill="FFFFFF"/>
        </w:rPr>
        <w:t>othing about that function suggests</w:t>
      </w:r>
      <w:r w:rsidR="00424ECC" w:rsidRPr="00A86E6B">
        <w:rPr>
          <w:color w:val="000000" w:themeColor="text1"/>
          <w:szCs w:val="26"/>
          <w:shd w:val="clear" w:color="auto" w:fill="FFFFFF"/>
        </w:rPr>
        <w:t xml:space="preserve"> the alleged reasons why an employer is obliged to pay the wages in the first place </w:t>
      </w:r>
      <w:r w:rsidR="002C5618" w:rsidRPr="00A86E6B">
        <w:rPr>
          <w:color w:val="000000" w:themeColor="text1"/>
          <w:szCs w:val="26"/>
          <w:shd w:val="clear" w:color="auto" w:fill="FFFFFF"/>
        </w:rPr>
        <w:t>should matter</w:t>
      </w:r>
      <w:r w:rsidR="009D5F92" w:rsidRPr="00A86E6B">
        <w:rPr>
          <w:color w:val="000000" w:themeColor="text1"/>
          <w:szCs w:val="26"/>
          <w:shd w:val="clear" w:color="auto" w:fill="FFFFFF"/>
        </w:rPr>
        <w:t>.</w:t>
      </w:r>
      <w:r w:rsidR="00B02F5C" w:rsidRPr="00A86E6B">
        <w:rPr>
          <w:color w:val="000000" w:themeColor="text1"/>
          <w:szCs w:val="26"/>
          <w:shd w:val="clear" w:color="auto" w:fill="FFFFFF"/>
        </w:rPr>
        <w:t xml:space="preserve">  </w:t>
      </w:r>
      <w:r w:rsidR="00C95B02" w:rsidRPr="00A86E6B">
        <w:rPr>
          <w:color w:val="000000" w:themeColor="text1"/>
          <w:szCs w:val="26"/>
          <w:shd w:val="clear" w:color="auto" w:fill="FFFFFF"/>
        </w:rPr>
        <w:t xml:space="preserve">We decline to interpret a </w:t>
      </w:r>
      <w:r w:rsidR="00F70A12" w:rsidRPr="00A86E6B">
        <w:rPr>
          <w:color w:val="000000" w:themeColor="text1"/>
          <w:szCs w:val="26"/>
          <w:shd w:val="clear" w:color="auto" w:fill="FFFFFF"/>
        </w:rPr>
        <w:t xml:space="preserve">limitations </w:t>
      </w:r>
      <w:r w:rsidR="00C95B02" w:rsidRPr="00A86E6B">
        <w:rPr>
          <w:color w:val="000000" w:themeColor="text1"/>
          <w:szCs w:val="26"/>
          <w:shd w:val="clear" w:color="auto" w:fill="FFFFFF"/>
        </w:rPr>
        <w:t xml:space="preserve">provision enacted </w:t>
      </w:r>
      <w:r w:rsidR="009F206A" w:rsidRPr="00A86E6B">
        <w:rPr>
          <w:color w:val="000000" w:themeColor="text1"/>
          <w:szCs w:val="26"/>
          <w:shd w:val="clear" w:color="auto" w:fill="FFFFFF"/>
        </w:rPr>
        <w:t xml:space="preserve">to extend the reach of </w:t>
      </w:r>
      <w:r w:rsidR="00C95B02" w:rsidRPr="00A86E6B">
        <w:rPr>
          <w:color w:val="000000" w:themeColor="text1"/>
          <w:szCs w:val="26"/>
          <w:shd w:val="clear" w:color="auto" w:fill="FFFFFF"/>
        </w:rPr>
        <w:t xml:space="preserve">a </w:t>
      </w:r>
      <w:r w:rsidR="009F206A" w:rsidRPr="00A86E6B">
        <w:rPr>
          <w:color w:val="000000" w:themeColor="text1"/>
          <w:szCs w:val="26"/>
          <w:shd w:val="clear" w:color="auto" w:fill="FFFFFF"/>
        </w:rPr>
        <w:t xml:space="preserve">penalty </w:t>
      </w:r>
      <w:r w:rsidR="008A35C7" w:rsidRPr="00A86E6B">
        <w:rPr>
          <w:color w:val="000000" w:themeColor="text1"/>
          <w:szCs w:val="26"/>
          <w:shd w:val="clear" w:color="auto" w:fill="FFFFFF"/>
        </w:rPr>
        <w:t xml:space="preserve">designed to </w:t>
      </w:r>
      <w:r w:rsidR="009F206A" w:rsidRPr="00A86E6B">
        <w:rPr>
          <w:color w:val="000000" w:themeColor="text1"/>
          <w:szCs w:val="26"/>
          <w:shd w:val="clear" w:color="auto" w:fill="FFFFFF"/>
        </w:rPr>
        <w:t>deter nonpayment</w:t>
      </w:r>
      <w:r w:rsidR="005208E4" w:rsidRPr="00A86E6B">
        <w:rPr>
          <w:color w:val="000000" w:themeColor="text1"/>
          <w:szCs w:val="26"/>
          <w:shd w:val="clear" w:color="auto" w:fill="FFFFFF"/>
        </w:rPr>
        <w:t xml:space="preserve"> (</w:t>
      </w:r>
      <w:r w:rsidR="005208E4" w:rsidRPr="00A86E6B">
        <w:rPr>
          <w:i/>
          <w:iCs/>
          <w:color w:val="000000" w:themeColor="text1"/>
          <w:szCs w:val="26"/>
          <w:shd w:val="clear" w:color="auto" w:fill="FFFFFF"/>
        </w:rPr>
        <w:t>Pineda</w:t>
      </w:r>
      <w:r w:rsidR="008A35C7" w:rsidRPr="00A86E6B">
        <w:rPr>
          <w:color w:val="000000" w:themeColor="text1"/>
          <w:szCs w:val="26"/>
          <w:shd w:val="clear" w:color="auto" w:fill="FFFFFF"/>
        </w:rPr>
        <w:t>, at p. </w:t>
      </w:r>
      <w:r w:rsidR="005208E4" w:rsidRPr="00A86E6B">
        <w:rPr>
          <w:color w:val="000000" w:themeColor="text1"/>
          <w:szCs w:val="26"/>
          <w:shd w:val="clear" w:color="auto" w:fill="FFFFFF"/>
        </w:rPr>
        <w:t>1400)</w:t>
      </w:r>
      <w:r w:rsidR="00F56CDB" w:rsidRPr="00A86E6B">
        <w:rPr>
          <w:color w:val="000000" w:themeColor="text1"/>
          <w:szCs w:val="26"/>
          <w:shd w:val="clear" w:color="auto" w:fill="FFFFFF"/>
        </w:rPr>
        <w:t xml:space="preserve"> </w:t>
      </w:r>
      <w:r w:rsidR="009F206A" w:rsidRPr="00A86E6B">
        <w:rPr>
          <w:color w:val="000000" w:themeColor="text1"/>
          <w:szCs w:val="26"/>
          <w:shd w:val="clear" w:color="auto" w:fill="FFFFFF"/>
        </w:rPr>
        <w:t xml:space="preserve">to </w:t>
      </w:r>
      <w:r w:rsidR="003F163F" w:rsidRPr="00A86E6B">
        <w:rPr>
          <w:color w:val="000000" w:themeColor="text1"/>
          <w:szCs w:val="26"/>
          <w:shd w:val="clear" w:color="auto" w:fill="FFFFFF"/>
        </w:rPr>
        <w:t>bar</w:t>
      </w:r>
      <w:r w:rsidR="009F206A" w:rsidRPr="00A86E6B">
        <w:rPr>
          <w:color w:val="000000" w:themeColor="text1"/>
          <w:szCs w:val="26"/>
          <w:shd w:val="clear" w:color="auto" w:fill="FFFFFF"/>
        </w:rPr>
        <w:t xml:space="preserve"> relief entirely</w:t>
      </w:r>
      <w:r w:rsidR="001C11C1" w:rsidRPr="00A86E6B">
        <w:rPr>
          <w:color w:val="000000" w:themeColor="text1"/>
          <w:szCs w:val="26"/>
          <w:shd w:val="clear" w:color="auto" w:fill="FFFFFF"/>
        </w:rPr>
        <w:t xml:space="preserve"> in a class of cases </w:t>
      </w:r>
      <w:r w:rsidR="00F70A12" w:rsidRPr="00A86E6B">
        <w:rPr>
          <w:color w:val="000000" w:themeColor="text1"/>
          <w:szCs w:val="26"/>
          <w:shd w:val="clear" w:color="auto" w:fill="FFFFFF"/>
        </w:rPr>
        <w:t>concern</w:t>
      </w:r>
      <w:r w:rsidR="006B2F0B" w:rsidRPr="00A86E6B">
        <w:rPr>
          <w:color w:val="000000" w:themeColor="text1"/>
          <w:szCs w:val="26"/>
          <w:shd w:val="clear" w:color="auto" w:fill="FFFFFF"/>
        </w:rPr>
        <w:t>ing</w:t>
      </w:r>
      <w:r w:rsidR="00F70A12" w:rsidRPr="00A86E6B">
        <w:rPr>
          <w:color w:val="000000" w:themeColor="text1"/>
          <w:szCs w:val="26"/>
          <w:shd w:val="clear" w:color="auto" w:fill="FFFFFF"/>
        </w:rPr>
        <w:t xml:space="preserve"> the </w:t>
      </w:r>
      <w:r w:rsidR="00A5353F" w:rsidRPr="00A86E6B">
        <w:rPr>
          <w:color w:val="000000" w:themeColor="text1"/>
          <w:szCs w:val="26"/>
          <w:shd w:val="clear" w:color="auto" w:fill="FFFFFF"/>
        </w:rPr>
        <w:t>willful nonpayment of wages</w:t>
      </w:r>
      <w:r w:rsidR="0035111F" w:rsidRPr="00A86E6B">
        <w:rPr>
          <w:color w:val="000000" w:themeColor="text1"/>
          <w:szCs w:val="26"/>
          <w:shd w:val="clear" w:color="auto" w:fill="FFFFFF"/>
        </w:rPr>
        <w:t>.</w:t>
      </w:r>
      <w:r w:rsidR="00922E1D" w:rsidRPr="00A86E6B">
        <w:rPr>
          <w:color w:val="000000" w:themeColor="text1"/>
          <w:szCs w:val="26"/>
          <w:shd w:val="clear" w:color="auto" w:fill="FFFFFF"/>
        </w:rPr>
        <w:t xml:space="preserve"> </w:t>
      </w:r>
    </w:p>
    <w:p w14:paraId="5B4D709A" w14:textId="041A7A8E" w:rsidR="00B856FC" w:rsidRPr="00A86E6B" w:rsidRDefault="00B856FC" w:rsidP="00A86E6B">
      <w:pPr>
        <w:tabs>
          <w:tab w:val="left" w:pos="1440"/>
        </w:tabs>
        <w:ind w:firstLine="720"/>
        <w:rPr>
          <w:color w:val="000000" w:themeColor="text1"/>
          <w:szCs w:val="26"/>
        </w:rPr>
      </w:pPr>
      <w:r w:rsidRPr="00A86E6B">
        <w:rPr>
          <w:szCs w:val="26"/>
        </w:rPr>
        <w:t xml:space="preserve">Spectrum </w:t>
      </w:r>
      <w:r w:rsidR="00F56CDB" w:rsidRPr="00A86E6B">
        <w:rPr>
          <w:szCs w:val="26"/>
        </w:rPr>
        <w:t xml:space="preserve">offers </w:t>
      </w:r>
      <w:r w:rsidR="00FE19D3" w:rsidRPr="00A86E6B">
        <w:rPr>
          <w:szCs w:val="26"/>
        </w:rPr>
        <w:t xml:space="preserve">various other </w:t>
      </w:r>
      <w:r w:rsidR="00F56CDB" w:rsidRPr="00A86E6B">
        <w:rPr>
          <w:szCs w:val="26"/>
        </w:rPr>
        <w:t>textual arguments.  It observes</w:t>
      </w:r>
      <w:r w:rsidR="00EC2E99" w:rsidRPr="00A86E6B">
        <w:rPr>
          <w:szCs w:val="26"/>
        </w:rPr>
        <w:t xml:space="preserve">, for example, </w:t>
      </w:r>
      <w:r w:rsidRPr="00A86E6B">
        <w:rPr>
          <w:szCs w:val="26"/>
        </w:rPr>
        <w:t xml:space="preserve">that the Legislature has amended Labor Code section 203 on </w:t>
      </w:r>
      <w:r w:rsidR="00EA0F6D" w:rsidRPr="00A86E6B">
        <w:rPr>
          <w:szCs w:val="26"/>
        </w:rPr>
        <w:t xml:space="preserve">several </w:t>
      </w:r>
      <w:r w:rsidRPr="00A86E6B">
        <w:rPr>
          <w:szCs w:val="26"/>
        </w:rPr>
        <w:t>occasions to specify additional statutes imposing duties to pay</w:t>
      </w:r>
      <w:r w:rsidR="00F60CEB" w:rsidRPr="00A86E6B">
        <w:rPr>
          <w:szCs w:val="26"/>
        </w:rPr>
        <w:t xml:space="preserve">, the violation of which may give rise to </w:t>
      </w:r>
      <w:r w:rsidRPr="00A86E6B">
        <w:rPr>
          <w:szCs w:val="26"/>
        </w:rPr>
        <w:t>penalties</w:t>
      </w:r>
      <w:r w:rsidR="00F60CEB" w:rsidRPr="00A86E6B">
        <w:rPr>
          <w:szCs w:val="26"/>
        </w:rPr>
        <w:t>.</w:t>
      </w:r>
      <w:r w:rsidRPr="00A86E6B">
        <w:rPr>
          <w:szCs w:val="26"/>
        </w:rPr>
        <w:t xml:space="preserve"> </w:t>
      </w:r>
      <w:r w:rsidR="00F60CEB" w:rsidRPr="00A86E6B">
        <w:rPr>
          <w:szCs w:val="26"/>
        </w:rPr>
        <w:t xml:space="preserve"> </w:t>
      </w:r>
      <w:r w:rsidRPr="00A86E6B">
        <w:rPr>
          <w:szCs w:val="26"/>
        </w:rPr>
        <w:t>(</w:t>
      </w:r>
      <w:r w:rsidR="00F60CEB" w:rsidRPr="00A86E6B">
        <w:rPr>
          <w:szCs w:val="26"/>
        </w:rPr>
        <w:t>S</w:t>
      </w:r>
      <w:r w:rsidRPr="00A86E6B">
        <w:rPr>
          <w:szCs w:val="26"/>
        </w:rPr>
        <w:t>ee, e.g., Stats. 2008, ch. 169, § 2, pp. 555–556; Stats. 2014, ch. 210, § 1; Stats. 2019, ch. 253, § 3; Stats. 2019, ch. 700, § 2</w:t>
      </w:r>
      <w:r w:rsidR="00F60CEB" w:rsidRPr="00A86E6B">
        <w:rPr>
          <w:szCs w:val="26"/>
        </w:rPr>
        <w:t>.</w:t>
      </w:r>
      <w:r w:rsidR="00F8508F" w:rsidRPr="00A86E6B">
        <w:rPr>
          <w:szCs w:val="26"/>
        </w:rPr>
        <w:t>5.</w:t>
      </w:r>
      <w:r w:rsidRPr="00A86E6B">
        <w:rPr>
          <w:szCs w:val="26"/>
        </w:rPr>
        <w:t>)</w:t>
      </w:r>
      <w:r w:rsidR="00F60CEB" w:rsidRPr="00A86E6B">
        <w:rPr>
          <w:szCs w:val="26"/>
        </w:rPr>
        <w:t xml:space="preserve">  </w:t>
      </w:r>
      <w:r w:rsidRPr="00A86E6B">
        <w:rPr>
          <w:szCs w:val="26"/>
        </w:rPr>
        <w:t>The cited amendments added references to Labor Code sections 201.3, 201.6, 201.8, and 201.9, so that the first sentence of section 203</w:t>
      </w:r>
      <w:r w:rsidR="008A2FCF" w:rsidRPr="00A86E6B">
        <w:rPr>
          <w:szCs w:val="26"/>
        </w:rPr>
        <w:t>, subdivision (a),</w:t>
      </w:r>
      <w:r w:rsidRPr="00A86E6B">
        <w:rPr>
          <w:szCs w:val="26"/>
        </w:rPr>
        <w:t xml:space="preserve"> now reads:  </w:t>
      </w:r>
      <w:r w:rsidRPr="00A86E6B">
        <w:rPr>
          <w:color w:val="000000" w:themeColor="text1"/>
          <w:szCs w:val="26"/>
        </w:rPr>
        <w:t>“If an employer willfully fails to pay, without abatement or reduction, in accordance with Sections 201, 201.3, 201.5, 201.6, 201.8, 201.9, 202, and 205.5, any wages of an employee who is discharged or who quits, the wages of the employee shall continue as a penalty from the due date thereof at the same rate until paid or until an action therefor is commenced; but the wages shall not continue for more than 30 days.”</w:t>
      </w:r>
      <w:r w:rsidRPr="00A86E6B">
        <w:rPr>
          <w:szCs w:val="26"/>
        </w:rPr>
        <w:t xml:space="preserve">  </w:t>
      </w:r>
      <w:r w:rsidR="00F71478" w:rsidRPr="00A86E6B">
        <w:rPr>
          <w:szCs w:val="26"/>
        </w:rPr>
        <w:t>The Legislature has not, however, amended the statute to add reference to section 226.7</w:t>
      </w:r>
      <w:r w:rsidR="006649E9" w:rsidRPr="00A86E6B">
        <w:rPr>
          <w:szCs w:val="26"/>
        </w:rPr>
        <w:t xml:space="preserve">.  </w:t>
      </w:r>
      <w:r w:rsidRPr="00A86E6B">
        <w:rPr>
          <w:szCs w:val="26"/>
        </w:rPr>
        <w:t>From this, Spectrum infers that the Legislature did not intend Labor Code section 203 to apply to nonpayment of section 226.7 premium pay.</w:t>
      </w:r>
    </w:p>
    <w:p w14:paraId="44E5B490" w14:textId="77F519B5" w:rsidR="00B856FC" w:rsidRPr="00A86E6B" w:rsidRDefault="00B856FC" w:rsidP="00A86E6B">
      <w:pPr>
        <w:tabs>
          <w:tab w:val="left" w:pos="1440"/>
        </w:tabs>
        <w:ind w:firstLine="720"/>
        <w:rPr>
          <w:szCs w:val="26"/>
        </w:rPr>
      </w:pPr>
      <w:r w:rsidRPr="00A86E6B">
        <w:rPr>
          <w:szCs w:val="26"/>
        </w:rPr>
        <w:t xml:space="preserve">The </w:t>
      </w:r>
      <w:r w:rsidR="00EC2E99" w:rsidRPr="00A86E6B">
        <w:rPr>
          <w:szCs w:val="26"/>
        </w:rPr>
        <w:t xml:space="preserve">inference </w:t>
      </w:r>
      <w:r w:rsidRPr="00A86E6B">
        <w:rPr>
          <w:szCs w:val="26"/>
        </w:rPr>
        <w:t xml:space="preserve">is unsound.  The statutes to which the Legislature added references share a common feature:  </w:t>
      </w:r>
      <w:r w:rsidR="0084151F">
        <w:rPr>
          <w:szCs w:val="26"/>
        </w:rPr>
        <w:t>T</w:t>
      </w:r>
      <w:r w:rsidRPr="00A86E6B">
        <w:rPr>
          <w:szCs w:val="26"/>
        </w:rPr>
        <w:t xml:space="preserve">hey are </w:t>
      </w:r>
      <w:r w:rsidR="00D57A8B" w:rsidRPr="00A86E6B">
        <w:rPr>
          <w:szCs w:val="26"/>
        </w:rPr>
        <w:t xml:space="preserve">all </w:t>
      </w:r>
      <w:r w:rsidRPr="00A86E6B">
        <w:rPr>
          <w:szCs w:val="26"/>
        </w:rPr>
        <w:t>statutes</w:t>
      </w:r>
      <w:r w:rsidR="00D57A8B" w:rsidRPr="00A86E6B">
        <w:rPr>
          <w:szCs w:val="26"/>
        </w:rPr>
        <w:t xml:space="preserve"> that set particular deadlines for paying employees in certain industries or occupations</w:t>
      </w:r>
      <w:r w:rsidRPr="00A86E6B">
        <w:rPr>
          <w:szCs w:val="26"/>
        </w:rPr>
        <w:t xml:space="preserve">.  (See, e.g., Lab. Code, §§ 201.5 [deadline for motion picture employees], 201.6 [deadline for photo shoot employees].)  The </w:t>
      </w:r>
      <w:r w:rsidR="00D57A8B" w:rsidRPr="00A86E6B">
        <w:rPr>
          <w:szCs w:val="26"/>
        </w:rPr>
        <w:t>other statutes listed in Labor Code section 203</w:t>
      </w:r>
      <w:r w:rsidR="00ED6D68" w:rsidRPr="00A86E6B">
        <w:rPr>
          <w:szCs w:val="26"/>
        </w:rPr>
        <w:t xml:space="preserve"> </w:t>
      </w:r>
      <w:r w:rsidR="00D57A8B" w:rsidRPr="00A86E6B">
        <w:rPr>
          <w:szCs w:val="26"/>
        </w:rPr>
        <w:t xml:space="preserve">likewise </w:t>
      </w:r>
      <w:r w:rsidR="00ED6D68" w:rsidRPr="00A86E6B">
        <w:rPr>
          <w:szCs w:val="26"/>
        </w:rPr>
        <w:t>set out the deadlines for payment in certain situations, including Labor Code section 201 (general deadline for payment on discharge) and Labor Code section 202 (general deadline for payment on resignation)</w:t>
      </w:r>
      <w:r w:rsidRPr="00A86E6B">
        <w:rPr>
          <w:szCs w:val="26"/>
        </w:rPr>
        <w:t xml:space="preserve">.  Labor Code section 203 says in essence that if an employer fails to meet the deadlines for payment established in section 201, section 202, or any of the other statutes </w:t>
      </w:r>
      <w:r w:rsidR="008A2FCF" w:rsidRPr="00A86E6B">
        <w:rPr>
          <w:szCs w:val="26"/>
        </w:rPr>
        <w:t>establishing</w:t>
      </w:r>
      <w:r w:rsidRPr="00A86E6B">
        <w:rPr>
          <w:szCs w:val="26"/>
        </w:rPr>
        <w:t xml:space="preserve"> specific deadlines, </w:t>
      </w:r>
      <w:r w:rsidR="00E13C1C" w:rsidRPr="00A86E6B">
        <w:rPr>
          <w:szCs w:val="26"/>
        </w:rPr>
        <w:t xml:space="preserve">the employer </w:t>
      </w:r>
      <w:r w:rsidRPr="00A86E6B">
        <w:rPr>
          <w:szCs w:val="26"/>
        </w:rPr>
        <w:t>may be liable for penalties.  None of the listed statutes addresses the</w:t>
      </w:r>
      <w:r w:rsidR="00E13C1C" w:rsidRPr="00A86E6B">
        <w:rPr>
          <w:szCs w:val="26"/>
        </w:rPr>
        <w:t xml:space="preserve"> question of </w:t>
      </w:r>
      <w:r w:rsidRPr="00A86E6B">
        <w:rPr>
          <w:szCs w:val="26"/>
        </w:rPr>
        <w:t>what</w:t>
      </w:r>
      <w:r w:rsidR="00E20E91" w:rsidRPr="00A86E6B">
        <w:rPr>
          <w:szCs w:val="26"/>
        </w:rPr>
        <w:t xml:space="preserve"> amounts</w:t>
      </w:r>
      <w:r w:rsidR="00E13C1C" w:rsidRPr="00A86E6B">
        <w:rPr>
          <w:szCs w:val="26"/>
        </w:rPr>
        <w:t xml:space="preserve">, precisely, the </w:t>
      </w:r>
      <w:r w:rsidRPr="00A86E6B">
        <w:rPr>
          <w:szCs w:val="26"/>
        </w:rPr>
        <w:t xml:space="preserve">employer </w:t>
      </w:r>
      <w:r w:rsidR="00E13C1C" w:rsidRPr="00A86E6B">
        <w:rPr>
          <w:szCs w:val="26"/>
        </w:rPr>
        <w:t xml:space="preserve">must </w:t>
      </w:r>
      <w:r w:rsidRPr="00A86E6B">
        <w:rPr>
          <w:szCs w:val="26"/>
        </w:rPr>
        <w:t>pay by the specified deadlines</w:t>
      </w:r>
      <w:r w:rsidR="00E13C1C" w:rsidRPr="00A86E6B">
        <w:rPr>
          <w:szCs w:val="26"/>
        </w:rPr>
        <w:t>.</w:t>
      </w:r>
      <w:r w:rsidRPr="00A86E6B">
        <w:rPr>
          <w:szCs w:val="26"/>
        </w:rPr>
        <w:t xml:space="preserve">  That question is </w:t>
      </w:r>
      <w:r w:rsidR="003D1940" w:rsidRPr="00A86E6B">
        <w:rPr>
          <w:szCs w:val="26"/>
        </w:rPr>
        <w:t xml:space="preserve">instead </w:t>
      </w:r>
      <w:r w:rsidRPr="00A86E6B">
        <w:rPr>
          <w:szCs w:val="26"/>
        </w:rPr>
        <w:t xml:space="preserve">answered </w:t>
      </w:r>
      <w:r w:rsidR="005634EC" w:rsidRPr="00A86E6B">
        <w:rPr>
          <w:szCs w:val="26"/>
        </w:rPr>
        <w:t>by</w:t>
      </w:r>
      <w:r w:rsidR="00E20E91" w:rsidRPr="00A86E6B">
        <w:rPr>
          <w:szCs w:val="26"/>
        </w:rPr>
        <w:t xml:space="preserve"> </w:t>
      </w:r>
      <w:r w:rsidR="003D1940" w:rsidRPr="00A86E6B">
        <w:rPr>
          <w:szCs w:val="26"/>
        </w:rPr>
        <w:t xml:space="preserve">Labor Code section 203 itself, which uses </w:t>
      </w:r>
      <w:r w:rsidRPr="00A86E6B">
        <w:rPr>
          <w:szCs w:val="26"/>
        </w:rPr>
        <w:t>the unelaborated phrase “any wages</w:t>
      </w:r>
      <w:r w:rsidR="003D1940" w:rsidRPr="00A86E6B">
        <w:rPr>
          <w:szCs w:val="26"/>
        </w:rPr>
        <w:t>”</w:t>
      </w:r>
      <w:r w:rsidR="00441901" w:rsidRPr="00A86E6B">
        <w:rPr>
          <w:szCs w:val="26"/>
        </w:rPr>
        <w:t xml:space="preserve">; </w:t>
      </w:r>
      <w:r w:rsidRPr="00A86E6B">
        <w:rPr>
          <w:szCs w:val="26"/>
        </w:rPr>
        <w:t>by Labor Code section 200</w:t>
      </w:r>
      <w:r w:rsidR="00441901" w:rsidRPr="00A86E6B">
        <w:rPr>
          <w:szCs w:val="26"/>
        </w:rPr>
        <w:t xml:space="preserve">, which </w:t>
      </w:r>
      <w:r w:rsidRPr="00A86E6B">
        <w:rPr>
          <w:szCs w:val="26"/>
        </w:rPr>
        <w:t>defin</w:t>
      </w:r>
      <w:r w:rsidR="00441901" w:rsidRPr="00A86E6B">
        <w:rPr>
          <w:szCs w:val="26"/>
        </w:rPr>
        <w:t>es</w:t>
      </w:r>
      <w:r w:rsidRPr="00A86E6B">
        <w:rPr>
          <w:szCs w:val="26"/>
        </w:rPr>
        <w:t xml:space="preserve"> what “wages” means</w:t>
      </w:r>
      <w:r w:rsidR="00441901" w:rsidRPr="00A86E6B">
        <w:rPr>
          <w:szCs w:val="26"/>
        </w:rPr>
        <w:t>;</w:t>
      </w:r>
      <w:r w:rsidRPr="00A86E6B">
        <w:rPr>
          <w:szCs w:val="26"/>
        </w:rPr>
        <w:t xml:space="preserve"> and </w:t>
      </w:r>
      <w:r w:rsidR="00441901" w:rsidRPr="00A86E6B">
        <w:rPr>
          <w:szCs w:val="26"/>
        </w:rPr>
        <w:t xml:space="preserve">by </w:t>
      </w:r>
      <w:r w:rsidRPr="00A86E6B">
        <w:rPr>
          <w:szCs w:val="26"/>
        </w:rPr>
        <w:t>a host of other statutes, wage order provisions, collective bargaining agreements, and individual contracts that spell out what an employer must pay its employees</w:t>
      </w:r>
      <w:r w:rsidR="00120DC7" w:rsidRPr="00A86E6B">
        <w:rPr>
          <w:szCs w:val="26"/>
        </w:rPr>
        <w:t xml:space="preserve"> for their work</w:t>
      </w:r>
      <w:r w:rsidRPr="00A86E6B">
        <w:rPr>
          <w:szCs w:val="26"/>
        </w:rPr>
        <w:t xml:space="preserve">.  That </w:t>
      </w:r>
      <w:r w:rsidR="00F313FD" w:rsidRPr="00A86E6B">
        <w:rPr>
          <w:szCs w:val="26"/>
        </w:rPr>
        <w:t xml:space="preserve">Labor Code section 203 does not cite </w:t>
      </w:r>
      <w:r w:rsidRPr="00A86E6B">
        <w:rPr>
          <w:szCs w:val="26"/>
        </w:rPr>
        <w:t xml:space="preserve">section 226.7 by name is no more remarkable than </w:t>
      </w:r>
      <w:r w:rsidR="00971948" w:rsidRPr="00A86E6B">
        <w:rPr>
          <w:szCs w:val="26"/>
        </w:rPr>
        <w:t xml:space="preserve">the fact that the statute does not list </w:t>
      </w:r>
      <w:r w:rsidRPr="00A86E6B">
        <w:rPr>
          <w:szCs w:val="26"/>
        </w:rPr>
        <w:t>any of these many other sources defining what</w:t>
      </w:r>
      <w:r w:rsidR="00C15C23" w:rsidRPr="00A86E6B">
        <w:rPr>
          <w:szCs w:val="26"/>
        </w:rPr>
        <w:t xml:space="preserve"> </w:t>
      </w:r>
      <w:r w:rsidRPr="00A86E6B">
        <w:rPr>
          <w:szCs w:val="26"/>
        </w:rPr>
        <w:t xml:space="preserve">an employer must pay </w:t>
      </w:r>
      <w:r w:rsidR="001704A2" w:rsidRPr="00A86E6B">
        <w:rPr>
          <w:szCs w:val="26"/>
        </w:rPr>
        <w:t>to its employees</w:t>
      </w:r>
      <w:r w:rsidR="00C15C23" w:rsidRPr="00A86E6B">
        <w:rPr>
          <w:szCs w:val="26"/>
        </w:rPr>
        <w:t xml:space="preserve"> upon their departure from employment</w:t>
      </w:r>
      <w:r w:rsidRPr="00A86E6B">
        <w:rPr>
          <w:szCs w:val="26"/>
        </w:rPr>
        <w:t>.</w:t>
      </w:r>
      <w:r w:rsidRPr="00A86E6B">
        <w:rPr>
          <w:rStyle w:val="FootnoteReference"/>
          <w:szCs w:val="26"/>
        </w:rPr>
        <w:footnoteReference w:id="8"/>
      </w:r>
    </w:p>
    <w:p w14:paraId="30D639E5" w14:textId="64BC204F" w:rsidR="00B856FC" w:rsidRPr="00A86E6B" w:rsidRDefault="00F56CDB" w:rsidP="00A86E6B">
      <w:pPr>
        <w:tabs>
          <w:tab w:val="left" w:pos="1440"/>
        </w:tabs>
        <w:ind w:firstLine="720"/>
        <w:rPr>
          <w:szCs w:val="26"/>
        </w:rPr>
      </w:pPr>
      <w:r w:rsidRPr="00A86E6B">
        <w:rPr>
          <w:szCs w:val="26"/>
        </w:rPr>
        <w:t>Next</w:t>
      </w:r>
      <w:r w:rsidR="00B856FC" w:rsidRPr="00A86E6B">
        <w:rPr>
          <w:szCs w:val="26"/>
        </w:rPr>
        <w:t xml:space="preserve">, Spectrum emphasizes that the text of section 226.7 uses the term “pay” rather than “wages”:  “the employer shall pay the employee one additional hour of </w:t>
      </w:r>
      <w:r w:rsidR="00B856FC" w:rsidRPr="00A86E6B">
        <w:rPr>
          <w:i/>
          <w:iCs/>
          <w:szCs w:val="26"/>
        </w:rPr>
        <w:t>pay</w:t>
      </w:r>
      <w:r w:rsidR="00B856FC" w:rsidRPr="00A86E6B">
        <w:rPr>
          <w:szCs w:val="26"/>
        </w:rPr>
        <w:t xml:space="preserve"> at the employee’s regular rate of compensation.”  (§ 226.7, subd. (c), italics added.)  </w:t>
      </w:r>
      <w:r w:rsidR="00212410">
        <w:rPr>
          <w:szCs w:val="26"/>
        </w:rPr>
        <w:t>But the</w:t>
      </w:r>
      <w:r w:rsidR="008E3E5F" w:rsidRPr="00A86E6B">
        <w:rPr>
          <w:szCs w:val="26"/>
        </w:rPr>
        <w:t xml:space="preserve"> difference in wording </w:t>
      </w:r>
      <w:r w:rsidR="00A849BA">
        <w:rPr>
          <w:szCs w:val="26"/>
        </w:rPr>
        <w:t>is not significant</w:t>
      </w:r>
      <w:r w:rsidR="008E3E5F" w:rsidRPr="00A86E6B">
        <w:rPr>
          <w:szCs w:val="26"/>
        </w:rPr>
        <w:t>.  D</w:t>
      </w:r>
      <w:r w:rsidR="00B856FC" w:rsidRPr="00A86E6B">
        <w:rPr>
          <w:szCs w:val="26"/>
        </w:rPr>
        <w:t>irectly addressing th</w:t>
      </w:r>
      <w:r w:rsidR="00526CE6" w:rsidRPr="00A86E6B">
        <w:rPr>
          <w:szCs w:val="26"/>
        </w:rPr>
        <w:t xml:space="preserve">is </w:t>
      </w:r>
      <w:r w:rsidR="00B856FC" w:rsidRPr="00A86E6B">
        <w:rPr>
          <w:szCs w:val="26"/>
        </w:rPr>
        <w:t xml:space="preserve">point in </w:t>
      </w:r>
      <w:r w:rsidR="00B856FC" w:rsidRPr="00A86E6B">
        <w:rPr>
          <w:i/>
          <w:iCs/>
          <w:szCs w:val="26"/>
        </w:rPr>
        <w:t>Murphy</w:t>
      </w:r>
      <w:r w:rsidR="00B856FC" w:rsidRPr="00A86E6B">
        <w:rPr>
          <w:szCs w:val="26"/>
        </w:rPr>
        <w:t>,</w:t>
      </w:r>
      <w:r w:rsidR="00B856FC" w:rsidRPr="00A86E6B">
        <w:rPr>
          <w:i/>
          <w:iCs/>
          <w:szCs w:val="26"/>
        </w:rPr>
        <w:t xml:space="preserve"> </w:t>
      </w:r>
      <w:r w:rsidR="00B856FC" w:rsidRPr="00A86E6B">
        <w:rPr>
          <w:szCs w:val="26"/>
        </w:rPr>
        <w:t>we explained that “the Legislature has frequently used the words ‘pay’ or ‘compensation’ in the Labor Code as synonyms for ‘wages.’ ”  (</w:t>
      </w:r>
      <w:r w:rsidR="00B856FC" w:rsidRPr="00A86E6B">
        <w:rPr>
          <w:i/>
          <w:iCs/>
          <w:szCs w:val="26"/>
        </w:rPr>
        <w:t>Murphy</w:t>
      </w:r>
      <w:r w:rsidR="00B856FC" w:rsidRPr="00A86E6B">
        <w:rPr>
          <w:szCs w:val="26"/>
        </w:rPr>
        <w:t xml:space="preserve">, </w:t>
      </w:r>
      <w:r w:rsidR="00B856FC" w:rsidRPr="00A86E6B">
        <w:rPr>
          <w:i/>
          <w:iCs/>
          <w:szCs w:val="26"/>
        </w:rPr>
        <w:t>supra</w:t>
      </w:r>
      <w:r w:rsidR="00B856FC" w:rsidRPr="00A86E6B">
        <w:rPr>
          <w:szCs w:val="26"/>
        </w:rPr>
        <w:t xml:space="preserve">, 40 Cal.4th at p. 1104, fn. 6 [listing examples]; see </w:t>
      </w:r>
      <w:r w:rsidR="00B856FC" w:rsidRPr="00A86E6B">
        <w:rPr>
          <w:i/>
          <w:iCs/>
          <w:szCs w:val="26"/>
        </w:rPr>
        <w:t>Ferra v. Loews Hollywood Hotel</w:t>
      </w:r>
      <w:r w:rsidR="00B52575" w:rsidRPr="00A86E6B">
        <w:rPr>
          <w:i/>
          <w:iCs/>
          <w:szCs w:val="26"/>
        </w:rPr>
        <w:t>,</w:t>
      </w:r>
      <w:r w:rsidR="00B856FC" w:rsidRPr="00A86E6B">
        <w:rPr>
          <w:i/>
          <w:iCs/>
          <w:szCs w:val="26"/>
        </w:rPr>
        <w:t xml:space="preserve"> LLC</w:t>
      </w:r>
      <w:r w:rsidR="00B856FC" w:rsidRPr="00A86E6B">
        <w:rPr>
          <w:szCs w:val="26"/>
        </w:rPr>
        <w:t xml:space="preserve">, </w:t>
      </w:r>
      <w:r w:rsidR="00B856FC" w:rsidRPr="00A86E6B">
        <w:rPr>
          <w:i/>
          <w:iCs/>
          <w:szCs w:val="26"/>
        </w:rPr>
        <w:t>supra</w:t>
      </w:r>
      <w:r w:rsidR="00B856FC" w:rsidRPr="00A86E6B">
        <w:rPr>
          <w:szCs w:val="26"/>
        </w:rPr>
        <w:t>, 11 Cal.5th at pp. </w:t>
      </w:r>
      <w:r w:rsidR="00A24454">
        <w:rPr>
          <w:szCs w:val="26"/>
        </w:rPr>
        <w:t>873, 874</w:t>
      </w:r>
      <w:r w:rsidR="00B856FC" w:rsidRPr="00A86E6B">
        <w:rPr>
          <w:szCs w:val="26"/>
        </w:rPr>
        <w:t xml:space="preserve"> [“pay” and “compensation” used </w:t>
      </w:r>
      <w:r w:rsidR="00CE3E26">
        <w:rPr>
          <w:szCs w:val="26"/>
        </w:rPr>
        <w:t>“</w:t>
      </w:r>
      <w:r w:rsidR="00B856FC" w:rsidRPr="00A86E6B">
        <w:rPr>
          <w:szCs w:val="26"/>
        </w:rPr>
        <w:t>interchangeably</w:t>
      </w:r>
      <w:r w:rsidR="00CE3E26">
        <w:rPr>
          <w:szCs w:val="26"/>
        </w:rPr>
        <w:t>”</w:t>
      </w:r>
      <w:r w:rsidR="00031E13">
        <w:rPr>
          <w:szCs w:val="26"/>
        </w:rPr>
        <w:t xml:space="preserve"> in § 226.7</w:t>
      </w:r>
      <w:r w:rsidR="00B856FC" w:rsidRPr="00A86E6B">
        <w:rPr>
          <w:szCs w:val="26"/>
        </w:rPr>
        <w:t>].)</w:t>
      </w:r>
    </w:p>
    <w:p w14:paraId="4D43A9C8" w14:textId="01EB1FF6" w:rsidR="00371EA9" w:rsidRPr="00A86E6B" w:rsidRDefault="0089373F" w:rsidP="00A86E6B">
      <w:pPr>
        <w:tabs>
          <w:tab w:val="left" w:pos="1440"/>
        </w:tabs>
        <w:ind w:firstLine="720"/>
        <w:rPr>
          <w:szCs w:val="26"/>
          <w:shd w:val="clear" w:color="auto" w:fill="FFFFFF"/>
        </w:rPr>
      </w:pPr>
      <w:r w:rsidRPr="00A86E6B">
        <w:rPr>
          <w:szCs w:val="26"/>
        </w:rPr>
        <w:t>As a final textual argument</w:t>
      </w:r>
      <w:r w:rsidR="00371EA9" w:rsidRPr="00A86E6B">
        <w:rPr>
          <w:szCs w:val="26"/>
        </w:rPr>
        <w:t xml:space="preserve">, Spectrum </w:t>
      </w:r>
      <w:r w:rsidRPr="00A86E6B">
        <w:rPr>
          <w:szCs w:val="26"/>
        </w:rPr>
        <w:t>observes that</w:t>
      </w:r>
      <w:r w:rsidR="00371EA9" w:rsidRPr="00A86E6B">
        <w:rPr>
          <w:szCs w:val="26"/>
        </w:rPr>
        <w:t xml:space="preserve"> Labor Code section 201 requires immediate payment of any “</w:t>
      </w:r>
      <w:r w:rsidR="00371EA9" w:rsidRPr="00A86E6B">
        <w:rPr>
          <w:szCs w:val="26"/>
          <w:shd w:val="clear" w:color="auto" w:fill="FFFFFF"/>
        </w:rPr>
        <w:t xml:space="preserve">wages </w:t>
      </w:r>
      <w:r w:rsidR="00371EA9" w:rsidRPr="00A86E6B">
        <w:rPr>
          <w:i/>
          <w:iCs/>
          <w:szCs w:val="26"/>
          <w:shd w:val="clear" w:color="auto" w:fill="FFFFFF"/>
        </w:rPr>
        <w:t>earned</w:t>
      </w:r>
      <w:r w:rsidR="00371EA9" w:rsidRPr="00A86E6B">
        <w:rPr>
          <w:szCs w:val="26"/>
          <w:shd w:val="clear" w:color="auto" w:fill="FFFFFF"/>
        </w:rPr>
        <w:t xml:space="preserve"> and unpaid </w:t>
      </w:r>
      <w:r w:rsidR="00371EA9" w:rsidRPr="00A86E6B">
        <w:rPr>
          <w:i/>
          <w:iCs/>
          <w:szCs w:val="26"/>
          <w:shd w:val="clear" w:color="auto" w:fill="FFFFFF"/>
        </w:rPr>
        <w:t>at the time of discharge</w:t>
      </w:r>
      <w:r w:rsidR="00371EA9" w:rsidRPr="00A86E6B">
        <w:rPr>
          <w:szCs w:val="26"/>
          <w:shd w:val="clear" w:color="auto" w:fill="FFFFFF"/>
        </w:rPr>
        <w:t>.”  (Lab. Code, § 201, subd. (a), italics added.)</w:t>
      </w:r>
      <w:r w:rsidR="00206A5A" w:rsidRPr="00A86E6B">
        <w:rPr>
          <w:szCs w:val="26"/>
          <w:shd w:val="clear" w:color="auto" w:fill="FFFFFF"/>
        </w:rPr>
        <w:t xml:space="preserve">  </w:t>
      </w:r>
      <w:r w:rsidR="00371EA9" w:rsidRPr="00A86E6B">
        <w:rPr>
          <w:szCs w:val="26"/>
          <w:shd w:val="clear" w:color="auto" w:fill="FFFFFF"/>
        </w:rPr>
        <w:t xml:space="preserve">Premium pay, Spectrum reasons, is not truly “earned” because it is not due on account of an employee’s labor, but for other reasons.  Further, Spectrum argues, such pay is not earned as of “the time of discharge,” but </w:t>
      </w:r>
      <w:r w:rsidR="008A2FCF" w:rsidRPr="00A86E6B">
        <w:rPr>
          <w:szCs w:val="26"/>
          <w:shd w:val="clear" w:color="auto" w:fill="FFFFFF"/>
        </w:rPr>
        <w:t xml:space="preserve">is </w:t>
      </w:r>
      <w:r w:rsidR="00371EA9" w:rsidRPr="00A86E6B">
        <w:rPr>
          <w:szCs w:val="26"/>
          <w:shd w:val="clear" w:color="auto" w:fill="FFFFFF"/>
        </w:rPr>
        <w:t>only due if and when a court determines meal and rest break violations have occurred.</w:t>
      </w:r>
      <w:r w:rsidR="00BD63E2" w:rsidRPr="00A86E6B">
        <w:rPr>
          <w:szCs w:val="26"/>
          <w:shd w:val="clear" w:color="auto" w:fill="FFFFFF"/>
        </w:rPr>
        <w:t xml:space="preserve">  </w:t>
      </w:r>
      <w:r w:rsidR="00E44D69" w:rsidRPr="00A86E6B">
        <w:rPr>
          <w:szCs w:val="26"/>
          <w:shd w:val="clear" w:color="auto" w:fill="FFFFFF"/>
        </w:rPr>
        <w:t>Spectrum is wrong on both points</w:t>
      </w:r>
      <w:r w:rsidR="00BD63E2" w:rsidRPr="00A86E6B">
        <w:rPr>
          <w:szCs w:val="26"/>
          <w:shd w:val="clear" w:color="auto" w:fill="FFFFFF"/>
        </w:rPr>
        <w:t>.</w:t>
      </w:r>
    </w:p>
    <w:p w14:paraId="495DF5A7" w14:textId="317DB92B" w:rsidR="00E44D69" w:rsidRPr="00A86E6B" w:rsidRDefault="00E44D69" w:rsidP="00A86E6B">
      <w:pPr>
        <w:tabs>
          <w:tab w:val="left" w:pos="1440"/>
        </w:tabs>
        <w:ind w:firstLine="720"/>
        <w:rPr>
          <w:color w:val="000000" w:themeColor="text1"/>
          <w:szCs w:val="26"/>
          <w:shd w:val="clear" w:color="auto" w:fill="FFFFFF"/>
        </w:rPr>
      </w:pPr>
      <w:r w:rsidRPr="00A86E6B">
        <w:rPr>
          <w:szCs w:val="26"/>
          <w:shd w:val="clear" w:color="auto" w:fill="FFFFFF"/>
        </w:rPr>
        <w:t xml:space="preserve">For </w:t>
      </w:r>
      <w:r w:rsidR="00E20E91" w:rsidRPr="00A86E6B">
        <w:rPr>
          <w:szCs w:val="26"/>
        </w:rPr>
        <w:t>starters</w:t>
      </w:r>
      <w:r w:rsidR="0089373F" w:rsidRPr="00A86E6B">
        <w:rPr>
          <w:szCs w:val="26"/>
        </w:rPr>
        <w:t>, the common meaning of the term “earned” is not limited to amounts accrued on the basis of particular increments of time worked; an amount can be “earned” whenever it is “acquire[d] or deserve[d] as a result of effort or action.”  (</w:t>
      </w:r>
      <w:r w:rsidR="0089373F" w:rsidRPr="00A86E6B">
        <w:rPr>
          <w:color w:val="000000" w:themeColor="text1"/>
          <w:szCs w:val="26"/>
          <w:shd w:val="clear" w:color="auto" w:fill="FFFFFF"/>
        </w:rPr>
        <w:t xml:space="preserve">American Heritage Dict. (5th ed. 2016) p. 561.)  </w:t>
      </w:r>
      <w:r w:rsidR="00394EF8" w:rsidRPr="00A86E6B">
        <w:rPr>
          <w:color w:val="000000" w:themeColor="text1"/>
          <w:szCs w:val="26"/>
          <w:shd w:val="clear" w:color="auto" w:fill="FFFFFF"/>
        </w:rPr>
        <w:t xml:space="preserve">The employee who remains on duty without a timely break has “earned” premium pay within any ordinary sense of the word.  And any argument that the Legislature intended the use of “earned” in a more specialized or restrictive sense runs aground </w:t>
      </w:r>
      <w:r w:rsidR="00481E51" w:rsidRPr="00A86E6B">
        <w:rPr>
          <w:color w:val="000000" w:themeColor="text1"/>
          <w:szCs w:val="26"/>
          <w:shd w:val="clear" w:color="auto" w:fill="FFFFFF"/>
        </w:rPr>
        <w:t xml:space="preserve">upon examination of the statutory scheme.  </w:t>
      </w:r>
      <w:r w:rsidRPr="00A86E6B">
        <w:rPr>
          <w:color w:val="000000" w:themeColor="text1"/>
          <w:szCs w:val="26"/>
          <w:shd w:val="clear" w:color="auto" w:fill="FFFFFF"/>
        </w:rPr>
        <w:t xml:space="preserve">Notably, </w:t>
      </w:r>
      <w:r w:rsidR="00403592" w:rsidRPr="00A86E6B">
        <w:rPr>
          <w:color w:val="000000" w:themeColor="text1"/>
          <w:szCs w:val="26"/>
          <w:shd w:val="clear" w:color="auto" w:fill="FFFFFF"/>
        </w:rPr>
        <w:t xml:space="preserve">the closely related Labor Code section 202, governing </w:t>
      </w:r>
      <w:r w:rsidR="00403592" w:rsidRPr="00A86E6B">
        <w:rPr>
          <w:szCs w:val="26"/>
          <w:shd w:val="clear" w:color="auto" w:fill="FFFFFF"/>
        </w:rPr>
        <w:t xml:space="preserve">the timing of payment upon an employee’s resignation, </w:t>
      </w:r>
      <w:r w:rsidR="00C561FA" w:rsidRPr="00A86E6B">
        <w:rPr>
          <w:szCs w:val="26"/>
          <w:shd w:val="clear" w:color="auto" w:fill="FFFFFF"/>
        </w:rPr>
        <w:t>does not use the word “earned.”</w:t>
      </w:r>
      <w:r w:rsidR="00403592" w:rsidRPr="00A86E6B">
        <w:rPr>
          <w:szCs w:val="26"/>
          <w:shd w:val="clear" w:color="auto" w:fill="FFFFFF"/>
        </w:rPr>
        <w:t xml:space="preserve"> </w:t>
      </w:r>
      <w:r w:rsidR="0074764F" w:rsidRPr="00A86E6B">
        <w:rPr>
          <w:szCs w:val="26"/>
          <w:shd w:val="clear" w:color="auto" w:fill="FFFFFF"/>
        </w:rPr>
        <w:t xml:space="preserve"> </w:t>
      </w:r>
      <w:r w:rsidR="00403592" w:rsidRPr="00A86E6B">
        <w:rPr>
          <w:szCs w:val="26"/>
          <w:shd w:val="clear" w:color="auto" w:fill="FFFFFF"/>
        </w:rPr>
        <w:t>(See Lab. Code, § 202, subd. (a) [establishing timing for payment of “</w:t>
      </w:r>
      <w:r w:rsidR="00BF4DFC" w:rsidRPr="00A86E6B">
        <w:rPr>
          <w:szCs w:val="26"/>
          <w:shd w:val="clear" w:color="auto" w:fill="FFFFFF"/>
        </w:rPr>
        <w:t xml:space="preserve">wages”].)  No reason appears why </w:t>
      </w:r>
      <w:r w:rsidR="00E51C36">
        <w:rPr>
          <w:szCs w:val="26"/>
          <w:shd w:val="clear" w:color="auto" w:fill="FFFFFF"/>
        </w:rPr>
        <w:t xml:space="preserve">the </w:t>
      </w:r>
      <w:r w:rsidR="003B2C8C">
        <w:rPr>
          <w:szCs w:val="26"/>
          <w:shd w:val="clear" w:color="auto" w:fill="FFFFFF"/>
        </w:rPr>
        <w:t xml:space="preserve">Labor Code </w:t>
      </w:r>
      <w:r w:rsidR="00E51C36">
        <w:rPr>
          <w:szCs w:val="26"/>
          <w:shd w:val="clear" w:color="auto" w:fill="FFFFFF"/>
        </w:rPr>
        <w:t xml:space="preserve">would impose different requirements </w:t>
      </w:r>
      <w:r w:rsidR="00006356">
        <w:rPr>
          <w:szCs w:val="26"/>
          <w:shd w:val="clear" w:color="auto" w:fill="FFFFFF"/>
        </w:rPr>
        <w:t>for what must be paid</w:t>
      </w:r>
      <w:r w:rsidR="00E51C36">
        <w:rPr>
          <w:szCs w:val="26"/>
          <w:shd w:val="clear" w:color="auto" w:fill="FFFFFF"/>
        </w:rPr>
        <w:t xml:space="preserve"> depending on </w:t>
      </w:r>
      <w:r w:rsidR="00BF4DFC" w:rsidRPr="00A86E6B">
        <w:rPr>
          <w:szCs w:val="26"/>
          <w:shd w:val="clear" w:color="auto" w:fill="FFFFFF"/>
        </w:rPr>
        <w:t xml:space="preserve">whether an employee has quit or been fired, and Spectrum offers none. </w:t>
      </w:r>
      <w:r w:rsidRPr="00A86E6B">
        <w:rPr>
          <w:color w:val="000000" w:themeColor="text1"/>
          <w:szCs w:val="26"/>
          <w:shd w:val="clear" w:color="auto" w:fill="FFFFFF"/>
        </w:rPr>
        <w:t xml:space="preserve"> </w:t>
      </w:r>
      <w:r w:rsidR="00627229" w:rsidRPr="00A86E6B">
        <w:rPr>
          <w:color w:val="000000" w:themeColor="text1"/>
          <w:szCs w:val="26"/>
          <w:shd w:val="clear" w:color="auto" w:fill="FFFFFF"/>
        </w:rPr>
        <w:t xml:space="preserve">This is because the difference in wording does not, in fact, </w:t>
      </w:r>
      <w:r w:rsidR="009F52FA">
        <w:rPr>
          <w:color w:val="000000" w:themeColor="text1"/>
          <w:szCs w:val="26"/>
          <w:shd w:val="clear" w:color="auto" w:fill="FFFFFF"/>
        </w:rPr>
        <w:t>create</w:t>
      </w:r>
      <w:r w:rsidR="00627229" w:rsidRPr="00A86E6B">
        <w:rPr>
          <w:color w:val="000000" w:themeColor="text1"/>
          <w:szCs w:val="26"/>
          <w:shd w:val="clear" w:color="auto" w:fill="FFFFFF"/>
        </w:rPr>
        <w:t xml:space="preserve"> a difference</w:t>
      </w:r>
      <w:r w:rsidR="0030266D">
        <w:rPr>
          <w:color w:val="000000" w:themeColor="text1"/>
          <w:szCs w:val="26"/>
          <w:shd w:val="clear" w:color="auto" w:fill="FFFFFF"/>
        </w:rPr>
        <w:t xml:space="preserve"> in meaning</w:t>
      </w:r>
      <w:r w:rsidR="00481E51" w:rsidRPr="00A86E6B">
        <w:rPr>
          <w:color w:val="000000" w:themeColor="text1"/>
          <w:szCs w:val="26"/>
          <w:shd w:val="clear" w:color="auto" w:fill="FFFFFF"/>
        </w:rPr>
        <w:t xml:space="preserve">, and so premium wages </w:t>
      </w:r>
      <w:r w:rsidR="004B15D2" w:rsidRPr="00A86E6B">
        <w:rPr>
          <w:color w:val="000000" w:themeColor="text1"/>
          <w:szCs w:val="26"/>
          <w:shd w:val="clear" w:color="auto" w:fill="FFFFFF"/>
        </w:rPr>
        <w:t>owed for</w:t>
      </w:r>
      <w:r w:rsidR="00481E51" w:rsidRPr="00A86E6B">
        <w:rPr>
          <w:color w:val="000000" w:themeColor="text1"/>
          <w:szCs w:val="26"/>
          <w:shd w:val="clear" w:color="auto" w:fill="FFFFFF"/>
        </w:rPr>
        <w:t xml:space="preserve"> working without a break</w:t>
      </w:r>
      <w:r w:rsidRPr="00A86E6B">
        <w:rPr>
          <w:color w:val="000000" w:themeColor="text1"/>
          <w:szCs w:val="26"/>
          <w:shd w:val="clear" w:color="auto" w:fill="FFFFFF"/>
        </w:rPr>
        <w:t xml:space="preserve"> must be </w:t>
      </w:r>
      <w:r w:rsidR="00481E51" w:rsidRPr="00A86E6B">
        <w:rPr>
          <w:color w:val="000000" w:themeColor="text1"/>
          <w:szCs w:val="26"/>
          <w:shd w:val="clear" w:color="auto" w:fill="FFFFFF"/>
        </w:rPr>
        <w:t xml:space="preserve">timely </w:t>
      </w:r>
      <w:r w:rsidRPr="00A86E6B">
        <w:rPr>
          <w:color w:val="000000" w:themeColor="text1"/>
          <w:szCs w:val="26"/>
          <w:shd w:val="clear" w:color="auto" w:fill="FFFFFF"/>
        </w:rPr>
        <w:t xml:space="preserve">paid </w:t>
      </w:r>
      <w:r w:rsidR="00481E51" w:rsidRPr="00A86E6B">
        <w:rPr>
          <w:color w:val="000000" w:themeColor="text1"/>
          <w:szCs w:val="26"/>
          <w:shd w:val="clear" w:color="auto" w:fill="FFFFFF"/>
        </w:rPr>
        <w:t>upon</w:t>
      </w:r>
      <w:r w:rsidRPr="00A86E6B">
        <w:rPr>
          <w:color w:val="000000" w:themeColor="text1"/>
          <w:szCs w:val="26"/>
          <w:shd w:val="clear" w:color="auto" w:fill="FFFFFF"/>
        </w:rPr>
        <w:t xml:space="preserve"> discharge</w:t>
      </w:r>
      <w:r w:rsidR="006A1383" w:rsidRPr="00A86E6B">
        <w:rPr>
          <w:color w:val="000000" w:themeColor="text1"/>
          <w:szCs w:val="26"/>
          <w:shd w:val="clear" w:color="auto" w:fill="FFFFFF"/>
        </w:rPr>
        <w:t>, just as they must be paid upon resignation.</w:t>
      </w:r>
    </w:p>
    <w:p w14:paraId="1A437019" w14:textId="21B25804" w:rsidR="006C6D79" w:rsidRPr="00A86E6B" w:rsidRDefault="00570772" w:rsidP="00A86E6B">
      <w:pPr>
        <w:tabs>
          <w:tab w:val="left" w:pos="1440"/>
        </w:tabs>
        <w:ind w:firstLine="720"/>
        <w:rPr>
          <w:szCs w:val="26"/>
          <w:shd w:val="clear" w:color="auto" w:fill="FFFFFF"/>
        </w:rPr>
      </w:pPr>
      <w:r w:rsidRPr="00A86E6B">
        <w:rPr>
          <w:szCs w:val="26"/>
          <w:shd w:val="clear" w:color="auto" w:fill="FFFFFF"/>
        </w:rPr>
        <w:t>As for Spectrum’s second point</w:t>
      </w:r>
      <w:r w:rsidR="00BF4DFC" w:rsidRPr="00A86E6B">
        <w:rPr>
          <w:szCs w:val="26"/>
          <w:shd w:val="clear" w:color="auto" w:fill="FFFFFF"/>
        </w:rPr>
        <w:t xml:space="preserve">, </w:t>
      </w:r>
      <w:r w:rsidR="00A96C2E">
        <w:rPr>
          <w:szCs w:val="26"/>
          <w:shd w:val="clear" w:color="auto" w:fill="FFFFFF"/>
        </w:rPr>
        <w:t xml:space="preserve">we have already explained why Spectrum is wrong to presume that </w:t>
      </w:r>
      <w:r w:rsidR="007E2628" w:rsidRPr="00A86E6B">
        <w:rPr>
          <w:szCs w:val="26"/>
          <w:shd w:val="clear" w:color="auto" w:fill="FFFFFF"/>
        </w:rPr>
        <w:t>premium pay is not owed at the time of discharge, but only once a court compels its payment</w:t>
      </w:r>
      <w:r w:rsidR="00D61D29">
        <w:rPr>
          <w:szCs w:val="26"/>
          <w:shd w:val="clear" w:color="auto" w:fill="FFFFFF"/>
        </w:rPr>
        <w:t xml:space="preserve">. </w:t>
      </w:r>
      <w:r w:rsidR="003B1054" w:rsidRPr="00A86E6B">
        <w:rPr>
          <w:szCs w:val="26"/>
          <w:shd w:val="clear" w:color="auto" w:fill="FFFFFF"/>
        </w:rPr>
        <w:t>D</w:t>
      </w:r>
      <w:r w:rsidR="007E2628" w:rsidRPr="00A86E6B">
        <w:rPr>
          <w:szCs w:val="26"/>
          <w:shd w:val="clear" w:color="auto" w:fill="FFFFFF"/>
        </w:rPr>
        <w:t>uring the drafting process</w:t>
      </w:r>
      <w:r w:rsidR="003B1054" w:rsidRPr="00A86E6B">
        <w:rPr>
          <w:szCs w:val="26"/>
          <w:shd w:val="clear" w:color="auto" w:fill="FFFFFF"/>
        </w:rPr>
        <w:t>,</w:t>
      </w:r>
      <w:r w:rsidR="007E2628" w:rsidRPr="00A86E6B">
        <w:rPr>
          <w:szCs w:val="26"/>
          <w:shd w:val="clear" w:color="auto" w:fill="FFFFFF"/>
        </w:rPr>
        <w:t xml:space="preserve"> </w:t>
      </w:r>
      <w:r w:rsidR="00206A5A" w:rsidRPr="00A86E6B">
        <w:rPr>
          <w:szCs w:val="26"/>
          <w:shd w:val="clear" w:color="auto" w:fill="FFFFFF"/>
        </w:rPr>
        <w:t xml:space="preserve">the Legislature </w:t>
      </w:r>
      <w:r w:rsidR="007E2628" w:rsidRPr="00A86E6B">
        <w:rPr>
          <w:szCs w:val="26"/>
          <w:shd w:val="clear" w:color="auto" w:fill="FFFFFF"/>
        </w:rPr>
        <w:t xml:space="preserve">eliminated the </w:t>
      </w:r>
      <w:r w:rsidR="00206A5A" w:rsidRPr="00A86E6B">
        <w:rPr>
          <w:szCs w:val="26"/>
          <w:shd w:val="clear" w:color="auto" w:fill="FFFFFF"/>
        </w:rPr>
        <w:t xml:space="preserve">need for </w:t>
      </w:r>
      <w:r w:rsidR="007E2628" w:rsidRPr="00A86E6B">
        <w:rPr>
          <w:szCs w:val="26"/>
          <w:shd w:val="clear" w:color="auto" w:fill="FFFFFF"/>
        </w:rPr>
        <w:t xml:space="preserve">employees </w:t>
      </w:r>
      <w:r w:rsidR="00206A5A" w:rsidRPr="00A86E6B">
        <w:rPr>
          <w:szCs w:val="26"/>
          <w:shd w:val="clear" w:color="auto" w:fill="FFFFFF"/>
        </w:rPr>
        <w:t xml:space="preserve">to </w:t>
      </w:r>
      <w:r w:rsidR="007E2628" w:rsidRPr="00A86E6B">
        <w:rPr>
          <w:szCs w:val="26"/>
          <w:shd w:val="clear" w:color="auto" w:fill="FFFFFF"/>
        </w:rPr>
        <w:t>file enforcement actions to obtain missed</w:t>
      </w:r>
      <w:r w:rsidR="00B33C15">
        <w:rPr>
          <w:szCs w:val="26"/>
          <w:shd w:val="clear" w:color="auto" w:fill="FFFFFF"/>
        </w:rPr>
        <w:t>-</w:t>
      </w:r>
      <w:r w:rsidR="007E2628" w:rsidRPr="00A86E6B">
        <w:rPr>
          <w:szCs w:val="26"/>
          <w:shd w:val="clear" w:color="auto" w:fill="FFFFFF"/>
        </w:rPr>
        <w:t>break premium pay</w:t>
      </w:r>
      <w:r w:rsidR="00682203" w:rsidRPr="00A86E6B">
        <w:rPr>
          <w:szCs w:val="26"/>
          <w:shd w:val="clear" w:color="auto" w:fill="FFFFFF"/>
        </w:rPr>
        <w:t xml:space="preserve">.  </w:t>
      </w:r>
      <w:r w:rsidR="00BC1D3B">
        <w:rPr>
          <w:szCs w:val="26"/>
          <w:shd w:val="clear" w:color="auto" w:fill="FFFFFF"/>
        </w:rPr>
        <w:t xml:space="preserve">Instead, under the law as enacted, </w:t>
      </w:r>
      <w:r w:rsidR="007E2628" w:rsidRPr="00A86E6B">
        <w:rPr>
          <w:szCs w:val="26"/>
          <w:shd w:val="clear" w:color="auto" w:fill="FFFFFF"/>
        </w:rPr>
        <w:t xml:space="preserve">“an employee is entitled to the additional hour of pay </w:t>
      </w:r>
      <w:r w:rsidR="007E2628" w:rsidRPr="00A86E6B">
        <w:rPr>
          <w:i/>
          <w:iCs/>
          <w:szCs w:val="26"/>
          <w:shd w:val="clear" w:color="auto" w:fill="FFFFFF"/>
        </w:rPr>
        <w:t>immediately</w:t>
      </w:r>
      <w:r w:rsidR="007E2628" w:rsidRPr="00A86E6B">
        <w:rPr>
          <w:szCs w:val="26"/>
          <w:shd w:val="clear" w:color="auto" w:fill="FFFFFF"/>
        </w:rPr>
        <w:t xml:space="preserve"> upon being forced to miss a rest or meal period</w:t>
      </w:r>
      <w:r w:rsidR="00284296" w:rsidRPr="00A86E6B">
        <w:rPr>
          <w:szCs w:val="26"/>
          <w:shd w:val="clear" w:color="auto" w:fill="FFFFFF"/>
        </w:rPr>
        <w:t>.</w:t>
      </w:r>
      <w:r w:rsidR="007E2628" w:rsidRPr="00A86E6B">
        <w:rPr>
          <w:szCs w:val="26"/>
          <w:shd w:val="clear" w:color="auto" w:fill="FFFFFF"/>
        </w:rPr>
        <w:t>”</w:t>
      </w:r>
      <w:r w:rsidR="00284296" w:rsidRPr="00A86E6B">
        <w:rPr>
          <w:szCs w:val="26"/>
          <w:shd w:val="clear" w:color="auto" w:fill="FFFFFF"/>
        </w:rPr>
        <w:t xml:space="preserve"> </w:t>
      </w:r>
      <w:r w:rsidR="007E2628" w:rsidRPr="00A86E6B">
        <w:rPr>
          <w:szCs w:val="26"/>
          <w:shd w:val="clear" w:color="auto" w:fill="FFFFFF"/>
        </w:rPr>
        <w:t xml:space="preserve"> (</w:t>
      </w:r>
      <w:r w:rsidR="0083534F" w:rsidRPr="00A86E6B">
        <w:rPr>
          <w:i/>
          <w:iCs/>
          <w:szCs w:val="26"/>
          <w:shd w:val="clear" w:color="auto" w:fill="FFFFFF"/>
        </w:rPr>
        <w:t>Murphy</w:t>
      </w:r>
      <w:r w:rsidR="0083534F" w:rsidRPr="00A86E6B">
        <w:rPr>
          <w:szCs w:val="26"/>
          <w:shd w:val="clear" w:color="auto" w:fill="FFFFFF"/>
        </w:rPr>
        <w:t xml:space="preserve">, </w:t>
      </w:r>
      <w:r w:rsidR="00E64371" w:rsidRPr="00A86E6B">
        <w:rPr>
          <w:i/>
          <w:iCs/>
          <w:szCs w:val="26"/>
          <w:shd w:val="clear" w:color="auto" w:fill="FFFFFF"/>
        </w:rPr>
        <w:t>supra</w:t>
      </w:r>
      <w:r w:rsidR="00E64371" w:rsidRPr="00A86E6B">
        <w:rPr>
          <w:szCs w:val="26"/>
          <w:shd w:val="clear" w:color="auto" w:fill="FFFFFF"/>
        </w:rPr>
        <w:t xml:space="preserve">, </w:t>
      </w:r>
      <w:r w:rsidR="0083534F" w:rsidRPr="00A86E6B">
        <w:rPr>
          <w:szCs w:val="26"/>
          <w:shd w:val="clear" w:color="auto" w:fill="FFFFFF"/>
        </w:rPr>
        <w:t xml:space="preserve">40 Cal.4th at </w:t>
      </w:r>
      <w:r w:rsidR="00BF4DFC" w:rsidRPr="00A86E6B">
        <w:rPr>
          <w:szCs w:val="26"/>
          <w:shd w:val="clear" w:color="auto" w:fill="FFFFFF"/>
        </w:rPr>
        <w:t xml:space="preserve">p. 1108, </w:t>
      </w:r>
      <w:r w:rsidR="007E2628" w:rsidRPr="00A86E6B">
        <w:rPr>
          <w:szCs w:val="26"/>
          <w:shd w:val="clear" w:color="auto" w:fill="FFFFFF"/>
        </w:rPr>
        <w:t>italics added</w:t>
      </w:r>
      <w:r w:rsidR="001761D8">
        <w:rPr>
          <w:szCs w:val="26"/>
          <w:shd w:val="clear" w:color="auto" w:fill="FFFFFF"/>
        </w:rPr>
        <w:t>.</w:t>
      </w:r>
      <w:r w:rsidR="007E2628" w:rsidRPr="00A86E6B">
        <w:rPr>
          <w:szCs w:val="26"/>
          <w:shd w:val="clear" w:color="auto" w:fill="FFFFFF"/>
        </w:rPr>
        <w:t>)</w:t>
      </w:r>
      <w:r w:rsidR="00682203" w:rsidRPr="00A86E6B">
        <w:rPr>
          <w:szCs w:val="26"/>
          <w:shd w:val="clear" w:color="auto" w:fill="FFFFFF"/>
        </w:rPr>
        <w:t xml:space="preserve">  </w:t>
      </w:r>
      <w:r w:rsidR="009B0D32" w:rsidRPr="00A86E6B">
        <w:rPr>
          <w:szCs w:val="26"/>
          <w:shd w:val="clear" w:color="auto" w:fill="FFFFFF"/>
        </w:rPr>
        <w:t xml:space="preserve">In other words, the duty to pay attaches before </w:t>
      </w:r>
      <w:r w:rsidR="003B1054" w:rsidRPr="00A86E6B">
        <w:rPr>
          <w:szCs w:val="26"/>
          <w:shd w:val="clear" w:color="auto" w:fill="FFFFFF"/>
        </w:rPr>
        <w:t xml:space="preserve">the </w:t>
      </w:r>
      <w:r w:rsidR="009B0D32" w:rsidRPr="00A86E6B">
        <w:rPr>
          <w:szCs w:val="26"/>
          <w:shd w:val="clear" w:color="auto" w:fill="FFFFFF"/>
        </w:rPr>
        <w:t>time of discharge</w:t>
      </w:r>
      <w:r w:rsidR="00926565">
        <w:rPr>
          <w:szCs w:val="26"/>
          <w:shd w:val="clear" w:color="auto" w:fill="FFFFFF"/>
        </w:rPr>
        <w:t xml:space="preserve"> and </w:t>
      </w:r>
      <w:r w:rsidR="00D64913">
        <w:rPr>
          <w:szCs w:val="26"/>
          <w:shd w:val="clear" w:color="auto" w:fill="FFFFFF"/>
        </w:rPr>
        <w:t xml:space="preserve">does not </w:t>
      </w:r>
      <w:r w:rsidR="002B460A">
        <w:rPr>
          <w:szCs w:val="26"/>
          <w:shd w:val="clear" w:color="auto" w:fill="FFFFFF"/>
        </w:rPr>
        <w:t xml:space="preserve">depend on a prior </w:t>
      </w:r>
      <w:r w:rsidR="00B73C16">
        <w:rPr>
          <w:szCs w:val="26"/>
          <w:shd w:val="clear" w:color="auto" w:fill="FFFFFF"/>
        </w:rPr>
        <w:t>court</w:t>
      </w:r>
      <w:r w:rsidR="00926565">
        <w:rPr>
          <w:szCs w:val="26"/>
          <w:shd w:val="clear" w:color="auto" w:fill="FFFFFF"/>
        </w:rPr>
        <w:t xml:space="preserve"> determination</w:t>
      </w:r>
      <w:r w:rsidR="009B0D32" w:rsidRPr="00A86E6B">
        <w:rPr>
          <w:szCs w:val="26"/>
          <w:shd w:val="clear" w:color="auto" w:fill="FFFFFF"/>
        </w:rPr>
        <w:t>.</w:t>
      </w:r>
    </w:p>
    <w:p w14:paraId="0102C8EA" w14:textId="4087BD7C" w:rsidR="00B856FC" w:rsidRPr="00A86E6B" w:rsidRDefault="00B856FC" w:rsidP="00A86E6B">
      <w:pPr>
        <w:tabs>
          <w:tab w:val="left" w:pos="1440"/>
        </w:tabs>
        <w:ind w:firstLine="720"/>
        <w:rPr>
          <w:szCs w:val="26"/>
        </w:rPr>
      </w:pPr>
      <w:r w:rsidRPr="00A86E6B">
        <w:rPr>
          <w:szCs w:val="26"/>
        </w:rPr>
        <w:t xml:space="preserve">Spectrum </w:t>
      </w:r>
      <w:r w:rsidR="00206A5A" w:rsidRPr="00A86E6B">
        <w:rPr>
          <w:szCs w:val="26"/>
        </w:rPr>
        <w:t xml:space="preserve">next argues that authorizing Labor Code section 203 waiting time penalties for willful failure to make prompt payment would </w:t>
      </w:r>
      <w:r w:rsidR="00C10DC4" w:rsidRPr="00A86E6B">
        <w:rPr>
          <w:szCs w:val="26"/>
        </w:rPr>
        <w:t xml:space="preserve">contravene </w:t>
      </w:r>
      <w:r w:rsidR="00521132" w:rsidRPr="00A86E6B">
        <w:rPr>
          <w:szCs w:val="26"/>
        </w:rPr>
        <w:t>a supposed</w:t>
      </w:r>
      <w:r w:rsidR="00206A5A" w:rsidRPr="00A86E6B">
        <w:rPr>
          <w:szCs w:val="26"/>
        </w:rPr>
        <w:t xml:space="preserve"> </w:t>
      </w:r>
      <w:r w:rsidR="00521132" w:rsidRPr="00A86E6B">
        <w:rPr>
          <w:szCs w:val="26"/>
        </w:rPr>
        <w:t>legislative</w:t>
      </w:r>
      <w:r w:rsidR="00206A5A" w:rsidRPr="00A86E6B">
        <w:rPr>
          <w:szCs w:val="26"/>
        </w:rPr>
        <w:t xml:space="preserve"> intent </w:t>
      </w:r>
      <w:r w:rsidR="00521132" w:rsidRPr="00A86E6B">
        <w:rPr>
          <w:szCs w:val="26"/>
        </w:rPr>
        <w:t xml:space="preserve">to make </w:t>
      </w:r>
      <w:r w:rsidR="00206A5A" w:rsidRPr="00A86E6B">
        <w:rPr>
          <w:szCs w:val="26"/>
        </w:rPr>
        <w:t>the premium pay in section 226.7</w:t>
      </w:r>
      <w:r w:rsidR="00521132" w:rsidRPr="00A86E6B">
        <w:rPr>
          <w:szCs w:val="26"/>
        </w:rPr>
        <w:t xml:space="preserve"> a precise and exclusive remedy</w:t>
      </w:r>
      <w:r w:rsidR="00E30E4F" w:rsidRPr="00A86E6B">
        <w:rPr>
          <w:szCs w:val="26"/>
        </w:rPr>
        <w:t xml:space="preserve"> for missed breaks</w:t>
      </w:r>
      <w:r w:rsidR="00206A5A" w:rsidRPr="00A86E6B">
        <w:rPr>
          <w:szCs w:val="26"/>
        </w:rPr>
        <w:t xml:space="preserve">.  Spectrum </w:t>
      </w:r>
      <w:r w:rsidRPr="00A86E6B">
        <w:rPr>
          <w:szCs w:val="26"/>
        </w:rPr>
        <w:t>observes that</w:t>
      </w:r>
      <w:r w:rsidR="00206A5A" w:rsidRPr="00A86E6B">
        <w:rPr>
          <w:szCs w:val="26"/>
        </w:rPr>
        <w:t xml:space="preserve"> </w:t>
      </w:r>
      <w:r w:rsidRPr="00A86E6B">
        <w:rPr>
          <w:szCs w:val="26"/>
        </w:rPr>
        <w:t xml:space="preserve">the hour of pay remedy was the product of a lengthy drafting process in which the </w:t>
      </w:r>
      <w:r w:rsidR="00E30E4F" w:rsidRPr="00A86E6B">
        <w:rPr>
          <w:szCs w:val="26"/>
        </w:rPr>
        <w:t>specified</w:t>
      </w:r>
      <w:r w:rsidRPr="00A86E6B">
        <w:rPr>
          <w:szCs w:val="26"/>
        </w:rPr>
        <w:t xml:space="preserve"> remedy for denial of meal or rest breaks went through multiple revisions before the Legislature settled on the eventual compensation</w:t>
      </w:r>
      <w:r w:rsidR="00206A5A" w:rsidRPr="00A86E6B">
        <w:rPr>
          <w:szCs w:val="26"/>
        </w:rPr>
        <w:t xml:space="preserve"> (see </w:t>
      </w:r>
      <w:r w:rsidR="00206A5A" w:rsidRPr="00A86E6B">
        <w:rPr>
          <w:i/>
          <w:iCs/>
          <w:szCs w:val="26"/>
        </w:rPr>
        <w:t>Murphy</w:t>
      </w:r>
      <w:r w:rsidR="00206A5A" w:rsidRPr="00A86E6B">
        <w:rPr>
          <w:szCs w:val="26"/>
        </w:rPr>
        <w:t xml:space="preserve">, </w:t>
      </w:r>
      <w:r w:rsidR="00206A5A" w:rsidRPr="00A86E6B">
        <w:rPr>
          <w:i/>
          <w:iCs/>
          <w:szCs w:val="26"/>
        </w:rPr>
        <w:t>supra</w:t>
      </w:r>
      <w:r w:rsidR="00206A5A" w:rsidRPr="00A86E6B">
        <w:rPr>
          <w:szCs w:val="26"/>
        </w:rPr>
        <w:t>, 40 Cal.4th at p</w:t>
      </w:r>
      <w:r w:rsidR="006649E9" w:rsidRPr="00A86E6B">
        <w:rPr>
          <w:szCs w:val="26"/>
        </w:rPr>
        <w:t>p. </w:t>
      </w:r>
      <w:r w:rsidR="00206A5A" w:rsidRPr="00A86E6B">
        <w:rPr>
          <w:szCs w:val="26"/>
        </w:rPr>
        <w:t xml:space="preserve">1106–1108), and </w:t>
      </w:r>
      <w:r w:rsidRPr="00A86E6B">
        <w:rPr>
          <w:szCs w:val="26"/>
        </w:rPr>
        <w:t xml:space="preserve">that </w:t>
      </w:r>
      <w:r w:rsidRPr="00A86E6B">
        <w:rPr>
          <w:i/>
          <w:iCs/>
          <w:szCs w:val="26"/>
        </w:rPr>
        <w:t>Murphy</w:t>
      </w:r>
      <w:r w:rsidRPr="00A86E6B">
        <w:rPr>
          <w:szCs w:val="26"/>
        </w:rPr>
        <w:t xml:space="preserve"> characterized this remedy as the “sole compensation” for denial of a meal or rest period</w:t>
      </w:r>
      <w:r w:rsidR="00206A5A" w:rsidRPr="00A86E6B">
        <w:rPr>
          <w:szCs w:val="26"/>
        </w:rPr>
        <w:t xml:space="preserve"> (</w:t>
      </w:r>
      <w:r w:rsidR="00206A5A" w:rsidRPr="00A86E6B">
        <w:rPr>
          <w:i/>
          <w:iCs/>
          <w:szCs w:val="26"/>
        </w:rPr>
        <w:t>id.</w:t>
      </w:r>
      <w:r w:rsidR="00206A5A" w:rsidRPr="00A86E6B">
        <w:rPr>
          <w:szCs w:val="26"/>
        </w:rPr>
        <w:t xml:space="preserve"> at p.</w:t>
      </w:r>
      <w:r w:rsidR="006649E9" w:rsidRPr="00A86E6B">
        <w:rPr>
          <w:szCs w:val="26"/>
        </w:rPr>
        <w:t> </w:t>
      </w:r>
      <w:r w:rsidR="00206A5A" w:rsidRPr="00A86E6B">
        <w:rPr>
          <w:szCs w:val="26"/>
        </w:rPr>
        <w:t>110</w:t>
      </w:r>
      <w:r w:rsidR="00D653AE" w:rsidRPr="00A86E6B">
        <w:rPr>
          <w:szCs w:val="26"/>
        </w:rPr>
        <w:t>7</w:t>
      </w:r>
      <w:r w:rsidR="00557506" w:rsidRPr="00A86E6B">
        <w:rPr>
          <w:szCs w:val="26"/>
        </w:rPr>
        <w:t>;</w:t>
      </w:r>
      <w:r w:rsidR="00206A5A" w:rsidRPr="00A86E6B">
        <w:rPr>
          <w:szCs w:val="26"/>
        </w:rPr>
        <w:t xml:space="preserve"> </w:t>
      </w:r>
      <w:r w:rsidRPr="00A86E6B">
        <w:rPr>
          <w:szCs w:val="26"/>
        </w:rPr>
        <w:t xml:space="preserve">see </w:t>
      </w:r>
      <w:r w:rsidR="00557506" w:rsidRPr="00A86E6B">
        <w:rPr>
          <w:i/>
          <w:iCs/>
          <w:szCs w:val="26"/>
        </w:rPr>
        <w:t>id.</w:t>
      </w:r>
      <w:r w:rsidRPr="00A86E6B">
        <w:rPr>
          <w:szCs w:val="26"/>
        </w:rPr>
        <w:t xml:space="preserve"> at p. 1104 [“only compensation”]</w:t>
      </w:r>
      <w:r w:rsidR="002D4469" w:rsidRPr="00A86E6B">
        <w:rPr>
          <w:szCs w:val="26"/>
        </w:rPr>
        <w:t>)</w:t>
      </w:r>
      <w:r w:rsidRPr="00A86E6B">
        <w:rPr>
          <w:szCs w:val="26"/>
        </w:rPr>
        <w:t>.</w:t>
      </w:r>
      <w:r w:rsidR="00C10DC4" w:rsidRPr="00A86E6B">
        <w:rPr>
          <w:szCs w:val="26"/>
        </w:rPr>
        <w:t xml:space="preserve">  </w:t>
      </w:r>
      <w:r w:rsidR="00E30E4F" w:rsidRPr="00A86E6B">
        <w:rPr>
          <w:szCs w:val="26"/>
        </w:rPr>
        <w:t xml:space="preserve">According to </w:t>
      </w:r>
      <w:r w:rsidR="00C10DC4" w:rsidRPr="00A86E6B">
        <w:rPr>
          <w:szCs w:val="26"/>
        </w:rPr>
        <w:t>Spectrum</w:t>
      </w:r>
      <w:r w:rsidR="00E30E4F" w:rsidRPr="00A86E6B">
        <w:rPr>
          <w:szCs w:val="26"/>
        </w:rPr>
        <w:t>, to layer waiting time penalties on top</w:t>
      </w:r>
      <w:r w:rsidR="00C10DC4" w:rsidRPr="00A86E6B">
        <w:rPr>
          <w:szCs w:val="26"/>
        </w:rPr>
        <w:t xml:space="preserve"> would subvert this carefully calibrated remed</w:t>
      </w:r>
      <w:r w:rsidR="00E30E4F" w:rsidRPr="00A86E6B">
        <w:rPr>
          <w:szCs w:val="26"/>
        </w:rPr>
        <w:t>ial choice</w:t>
      </w:r>
      <w:r w:rsidR="00C10DC4" w:rsidRPr="00A86E6B">
        <w:rPr>
          <w:szCs w:val="26"/>
        </w:rPr>
        <w:t>.</w:t>
      </w:r>
    </w:p>
    <w:p w14:paraId="62E262D1" w14:textId="226D7438" w:rsidR="00B856FC" w:rsidRPr="00A86E6B" w:rsidRDefault="002D4469" w:rsidP="00A86E6B">
      <w:pPr>
        <w:tabs>
          <w:tab w:val="left" w:pos="1440"/>
        </w:tabs>
        <w:ind w:firstLine="720"/>
        <w:rPr>
          <w:szCs w:val="26"/>
        </w:rPr>
      </w:pPr>
      <w:r w:rsidRPr="00A86E6B">
        <w:rPr>
          <w:szCs w:val="26"/>
        </w:rPr>
        <w:t>We</w:t>
      </w:r>
      <w:r w:rsidR="00B856FC" w:rsidRPr="00A86E6B">
        <w:rPr>
          <w:szCs w:val="26"/>
        </w:rPr>
        <w:t xml:space="preserve"> disagree.  Spectrum’s argument assumes that waiting time penalties aim at the same conduct as premium pay.  They do not.  One is a remedy for the deprivation of required rest or meal breaks; the other is a remedy for the failure to make prompt payment of unpaid wages when the employee leaves the job.  </w:t>
      </w:r>
      <w:r w:rsidR="0071685C" w:rsidRPr="00A86E6B">
        <w:rPr>
          <w:szCs w:val="26"/>
        </w:rPr>
        <w:t xml:space="preserve">One </w:t>
      </w:r>
      <w:r w:rsidR="00EC6004" w:rsidRPr="00A86E6B">
        <w:rPr>
          <w:szCs w:val="26"/>
        </w:rPr>
        <w:t xml:space="preserve">violation </w:t>
      </w:r>
      <w:r w:rsidR="0071685C" w:rsidRPr="00A86E6B">
        <w:rPr>
          <w:szCs w:val="26"/>
        </w:rPr>
        <w:t xml:space="preserve">does not necessarily imply the other:  An </w:t>
      </w:r>
      <w:r w:rsidR="00B856FC" w:rsidRPr="00A86E6B">
        <w:rPr>
          <w:szCs w:val="26"/>
        </w:rPr>
        <w:t xml:space="preserve">employer might deprive an employee of a break and then promptly and timely pay that employee the premium pay to which section 226.7 entitled the employee.  (See, e.g., </w:t>
      </w:r>
      <w:r w:rsidR="00B856FC" w:rsidRPr="00A86E6B">
        <w:rPr>
          <w:i/>
          <w:iCs/>
          <w:szCs w:val="26"/>
        </w:rPr>
        <w:t>Donohue v. AMN Services, LLC</w:t>
      </w:r>
      <w:r w:rsidR="00F8508F" w:rsidRPr="00A86E6B">
        <w:rPr>
          <w:szCs w:val="26"/>
        </w:rPr>
        <w:t xml:space="preserve">, </w:t>
      </w:r>
      <w:r w:rsidR="00F8508F" w:rsidRPr="00A86E6B">
        <w:rPr>
          <w:i/>
          <w:iCs/>
          <w:szCs w:val="26"/>
        </w:rPr>
        <w:t>supra</w:t>
      </w:r>
      <w:r w:rsidR="00F8508F" w:rsidRPr="00A86E6B">
        <w:rPr>
          <w:szCs w:val="26"/>
        </w:rPr>
        <w:t xml:space="preserve">, </w:t>
      </w:r>
      <w:r w:rsidR="00B856FC" w:rsidRPr="00A86E6B">
        <w:rPr>
          <w:szCs w:val="26"/>
        </w:rPr>
        <w:t xml:space="preserve">11 Cal.5th </w:t>
      </w:r>
      <w:r w:rsidR="00F8508F" w:rsidRPr="00A86E6B">
        <w:rPr>
          <w:szCs w:val="26"/>
        </w:rPr>
        <w:t>at pp. </w:t>
      </w:r>
      <w:r w:rsidR="00B856FC" w:rsidRPr="00A86E6B">
        <w:rPr>
          <w:szCs w:val="26"/>
        </w:rPr>
        <w:t xml:space="preserve">62–63 [describing employer that did so]; </w:t>
      </w:r>
      <w:r w:rsidR="00B856FC" w:rsidRPr="00A86E6B">
        <w:rPr>
          <w:i/>
          <w:iCs/>
          <w:szCs w:val="26"/>
        </w:rPr>
        <w:t>Ferra v. Loews Hollywood Hotel, LLC</w:t>
      </w:r>
      <w:r w:rsidR="00B856FC" w:rsidRPr="00A86E6B">
        <w:rPr>
          <w:szCs w:val="26"/>
        </w:rPr>
        <w:t xml:space="preserve">, </w:t>
      </w:r>
      <w:r w:rsidR="00B856FC" w:rsidRPr="00A86E6B">
        <w:rPr>
          <w:i/>
          <w:iCs/>
          <w:szCs w:val="26"/>
        </w:rPr>
        <w:t>supra</w:t>
      </w:r>
      <w:r w:rsidR="00B856FC" w:rsidRPr="00A86E6B">
        <w:rPr>
          <w:szCs w:val="26"/>
        </w:rPr>
        <w:t xml:space="preserve">, 11 Cal.5th at p. 864 [same].)  In that instance, there is only one statutory violation, and the premium pay compensates for that violation.  </w:t>
      </w:r>
      <w:r w:rsidR="00FD00B0" w:rsidRPr="00A86E6B">
        <w:rPr>
          <w:szCs w:val="26"/>
        </w:rPr>
        <w:t xml:space="preserve">When, by contrast, an employer </w:t>
      </w:r>
      <w:r w:rsidR="00FD00B0" w:rsidRPr="00A86E6B">
        <w:rPr>
          <w:i/>
          <w:iCs/>
          <w:szCs w:val="26"/>
        </w:rPr>
        <w:t>both</w:t>
      </w:r>
      <w:r w:rsidR="00FD00B0" w:rsidRPr="00A86E6B">
        <w:rPr>
          <w:szCs w:val="26"/>
        </w:rPr>
        <w:t xml:space="preserve"> denies the employee a meal break </w:t>
      </w:r>
      <w:r w:rsidR="00FD00B0" w:rsidRPr="00A86E6B">
        <w:rPr>
          <w:i/>
          <w:iCs/>
          <w:szCs w:val="26"/>
        </w:rPr>
        <w:t>and</w:t>
      </w:r>
      <w:r w:rsidR="00FD00B0" w:rsidRPr="00A86E6B">
        <w:rPr>
          <w:szCs w:val="26"/>
        </w:rPr>
        <w:t xml:space="preserve"> fails to </w:t>
      </w:r>
      <w:r w:rsidR="00B856FC" w:rsidRPr="00A86E6B">
        <w:rPr>
          <w:szCs w:val="26"/>
        </w:rPr>
        <w:t>provide the employee the premium wages due in a timely fashion</w:t>
      </w:r>
      <w:r w:rsidR="00EC6004" w:rsidRPr="00A86E6B">
        <w:rPr>
          <w:szCs w:val="26"/>
        </w:rPr>
        <w:t xml:space="preserve"> upon the employee’s termination, the </w:t>
      </w:r>
      <w:r w:rsidR="00B856FC" w:rsidRPr="00A86E6B">
        <w:rPr>
          <w:szCs w:val="26"/>
        </w:rPr>
        <w:t xml:space="preserve">failure to </w:t>
      </w:r>
      <w:r w:rsidR="00EC6004" w:rsidRPr="00A86E6B">
        <w:rPr>
          <w:szCs w:val="26"/>
        </w:rPr>
        <w:t xml:space="preserve">make timely payment </w:t>
      </w:r>
      <w:r w:rsidR="00B856FC" w:rsidRPr="00A86E6B">
        <w:rPr>
          <w:szCs w:val="26"/>
        </w:rPr>
        <w:t xml:space="preserve">is a second, distinct </w:t>
      </w:r>
      <w:r w:rsidR="00EC6004" w:rsidRPr="00A86E6B">
        <w:rPr>
          <w:szCs w:val="26"/>
        </w:rPr>
        <w:t xml:space="preserve">violation, </w:t>
      </w:r>
      <w:r w:rsidR="00B856FC" w:rsidRPr="00A86E6B">
        <w:rPr>
          <w:szCs w:val="26"/>
        </w:rPr>
        <w:t>for which there may</w:t>
      </w:r>
      <w:r w:rsidR="00EC6004" w:rsidRPr="00A86E6B">
        <w:rPr>
          <w:szCs w:val="26"/>
        </w:rPr>
        <w:t xml:space="preserve"> </w:t>
      </w:r>
      <w:r w:rsidR="00B856FC" w:rsidRPr="00A86E6B">
        <w:rPr>
          <w:szCs w:val="26"/>
        </w:rPr>
        <w:t>be additional remedies available.  It in no way upsets the legislative scheme to conclude that when there is a second, distinct violation of Labor Code requirements, there will be a second, distinct remedy for that further breach.</w:t>
      </w:r>
      <w:r w:rsidR="00B856FC" w:rsidRPr="00A86E6B">
        <w:rPr>
          <w:rStyle w:val="FootnoteReference"/>
          <w:szCs w:val="26"/>
        </w:rPr>
        <w:footnoteReference w:id="9"/>
      </w:r>
    </w:p>
    <w:p w14:paraId="4CA2620B" w14:textId="51E75051" w:rsidR="00007E38" w:rsidRPr="00A86E6B" w:rsidRDefault="00F56CDB" w:rsidP="00A86E6B">
      <w:pPr>
        <w:tabs>
          <w:tab w:val="left" w:pos="1440"/>
        </w:tabs>
        <w:ind w:firstLine="720"/>
        <w:rPr>
          <w:szCs w:val="26"/>
        </w:rPr>
      </w:pPr>
      <w:r w:rsidRPr="00A86E6B">
        <w:rPr>
          <w:szCs w:val="26"/>
        </w:rPr>
        <w:t xml:space="preserve">Finally, Spectrum urges that the weight of lower court authority </w:t>
      </w:r>
      <w:r w:rsidR="00ED5059" w:rsidRPr="00A86E6B">
        <w:rPr>
          <w:szCs w:val="26"/>
        </w:rPr>
        <w:t xml:space="preserve">indirectly </w:t>
      </w:r>
      <w:r w:rsidRPr="00A86E6B">
        <w:rPr>
          <w:szCs w:val="26"/>
        </w:rPr>
        <w:t>supports its view</w:t>
      </w:r>
      <w:r w:rsidR="00ED5059" w:rsidRPr="00A86E6B">
        <w:rPr>
          <w:szCs w:val="26"/>
        </w:rPr>
        <w:t>:</w:t>
      </w:r>
      <w:r w:rsidR="005634EC" w:rsidRPr="00A86E6B">
        <w:rPr>
          <w:szCs w:val="26"/>
        </w:rPr>
        <w:t xml:space="preserve"> </w:t>
      </w:r>
      <w:r w:rsidR="00FA5FE9">
        <w:rPr>
          <w:szCs w:val="26"/>
        </w:rPr>
        <w:t xml:space="preserve"> B</w:t>
      </w:r>
      <w:r w:rsidR="00ED5059" w:rsidRPr="00A86E6B">
        <w:rPr>
          <w:szCs w:val="26"/>
        </w:rPr>
        <w:t xml:space="preserve">ecause the Legislature has </w:t>
      </w:r>
      <w:r w:rsidR="005634EC" w:rsidRPr="00A86E6B">
        <w:rPr>
          <w:szCs w:val="26"/>
        </w:rPr>
        <w:t>take</w:t>
      </w:r>
      <w:r w:rsidR="00ED5059" w:rsidRPr="00A86E6B">
        <w:rPr>
          <w:szCs w:val="26"/>
        </w:rPr>
        <w:t>n no</w:t>
      </w:r>
      <w:r w:rsidR="005634EC" w:rsidRPr="00A86E6B">
        <w:rPr>
          <w:szCs w:val="26"/>
        </w:rPr>
        <w:t xml:space="preserve"> action in response to the </w:t>
      </w:r>
      <w:r w:rsidR="00CE7D2A" w:rsidRPr="00A86E6B">
        <w:rPr>
          <w:szCs w:val="26"/>
        </w:rPr>
        <w:t xml:space="preserve">existing </w:t>
      </w:r>
      <w:r w:rsidR="005634EC" w:rsidRPr="00A86E6B">
        <w:rPr>
          <w:szCs w:val="26"/>
        </w:rPr>
        <w:t>case law, Spectrum argues</w:t>
      </w:r>
      <w:r w:rsidR="00ED5059" w:rsidRPr="00A86E6B">
        <w:rPr>
          <w:szCs w:val="26"/>
        </w:rPr>
        <w:t>,</w:t>
      </w:r>
      <w:r w:rsidR="005634EC" w:rsidRPr="00A86E6B">
        <w:rPr>
          <w:szCs w:val="26"/>
        </w:rPr>
        <w:t xml:space="preserve"> the Legislature has effectively acquiesced in </w:t>
      </w:r>
      <w:r w:rsidR="00CE7D2A" w:rsidRPr="00A86E6B">
        <w:rPr>
          <w:szCs w:val="26"/>
        </w:rPr>
        <w:t>its</w:t>
      </w:r>
      <w:r w:rsidR="005634EC" w:rsidRPr="00A86E6B">
        <w:rPr>
          <w:szCs w:val="26"/>
        </w:rPr>
        <w:t xml:space="preserve"> conclusions.  Legislative acquiescence arguments of this type rarely do much to persuade; </w:t>
      </w:r>
      <w:r w:rsidR="00A130AF" w:rsidRPr="00A86E6B">
        <w:rPr>
          <w:szCs w:val="26"/>
        </w:rPr>
        <w:t xml:space="preserve">even when a clear consensus has emerged in the appellate case law, we have noted that legislative inaction supplies only </w:t>
      </w:r>
      <w:r w:rsidR="005634EC" w:rsidRPr="00A86E6B">
        <w:rPr>
          <w:szCs w:val="26"/>
        </w:rPr>
        <w:t>a “ ‘ “ ‘ “weak reed upon which to lean” ’</w:t>
      </w:r>
      <w:r w:rsidR="00390E3E">
        <w:rPr>
          <w:szCs w:val="26"/>
        </w:rPr>
        <w:t>. . . .</w:t>
      </w:r>
      <w:r w:rsidR="005634EC" w:rsidRPr="00A86E6B">
        <w:rPr>
          <w:szCs w:val="26"/>
        </w:rPr>
        <w:t xml:space="preserve">” ’ ” in inferring </w:t>
      </w:r>
      <w:r w:rsidR="00FE2A66" w:rsidRPr="00A86E6B">
        <w:rPr>
          <w:szCs w:val="26"/>
        </w:rPr>
        <w:t xml:space="preserve">legislative </w:t>
      </w:r>
      <w:r w:rsidR="005634EC" w:rsidRPr="00A86E6B">
        <w:rPr>
          <w:szCs w:val="26"/>
        </w:rPr>
        <w:t>intent.  (</w:t>
      </w:r>
      <w:r w:rsidR="005634EC" w:rsidRPr="00A86E6B">
        <w:rPr>
          <w:i/>
          <w:iCs/>
          <w:szCs w:val="26"/>
        </w:rPr>
        <w:t>Mendoza v. Fonseca McElroy Grinding Co., Inc.</w:t>
      </w:r>
      <w:r w:rsidR="005634EC" w:rsidRPr="00A86E6B">
        <w:rPr>
          <w:szCs w:val="26"/>
        </w:rPr>
        <w:t xml:space="preserve"> (2021) 11 Cal.5th 1118, 1139.)</w:t>
      </w:r>
      <w:r w:rsidR="00A130AF" w:rsidRPr="00A86E6B">
        <w:rPr>
          <w:szCs w:val="26"/>
        </w:rPr>
        <w:t xml:space="preserve">  </w:t>
      </w:r>
      <w:r w:rsidR="00ED5059" w:rsidRPr="00A86E6B">
        <w:rPr>
          <w:szCs w:val="26"/>
        </w:rPr>
        <w:t>H</w:t>
      </w:r>
      <w:r w:rsidR="00A130AF" w:rsidRPr="00A86E6B">
        <w:rPr>
          <w:szCs w:val="26"/>
        </w:rPr>
        <w:t xml:space="preserve">ere, there is </w:t>
      </w:r>
      <w:r w:rsidR="00ED5059" w:rsidRPr="00A86E6B">
        <w:rPr>
          <w:szCs w:val="26"/>
        </w:rPr>
        <w:t xml:space="preserve">not even a </w:t>
      </w:r>
      <w:r w:rsidR="00A130AF" w:rsidRPr="00A86E6B">
        <w:rPr>
          <w:szCs w:val="26"/>
        </w:rPr>
        <w:t xml:space="preserve">clear consensus.  Only three Courts of Appeal have </w:t>
      </w:r>
      <w:r w:rsidR="00ED5059" w:rsidRPr="00A86E6B">
        <w:rPr>
          <w:szCs w:val="26"/>
        </w:rPr>
        <w:t xml:space="preserve">examined </w:t>
      </w:r>
      <w:r w:rsidR="00A130AF" w:rsidRPr="00A86E6B">
        <w:rPr>
          <w:szCs w:val="26"/>
        </w:rPr>
        <w:t>the issue we now consider.  All three cases were decided in the last five years; all contain a page or less of analysis buried in lengthy opinions focused on other questions; and two of those three (including the Court of Appeal decision in this very case) are not even final but</w:t>
      </w:r>
      <w:r w:rsidR="00933F27">
        <w:rPr>
          <w:szCs w:val="26"/>
        </w:rPr>
        <w:t xml:space="preserve"> are</w:t>
      </w:r>
      <w:r w:rsidR="00A130AF" w:rsidRPr="00A86E6B">
        <w:rPr>
          <w:szCs w:val="26"/>
        </w:rPr>
        <w:t xml:space="preserve"> under review in this court.  (See </w:t>
      </w:r>
      <w:r w:rsidR="00874589" w:rsidRPr="00A86E6B">
        <w:rPr>
          <w:i/>
          <w:iCs/>
          <w:szCs w:val="26"/>
        </w:rPr>
        <w:t>Betancourt v. OS Restaurant Services, LLC</w:t>
      </w:r>
      <w:r w:rsidR="00874589" w:rsidRPr="00A86E6B">
        <w:rPr>
          <w:szCs w:val="26"/>
        </w:rPr>
        <w:t xml:space="preserve"> (2020) 49 Cal.App.5th 240</w:t>
      </w:r>
      <w:r w:rsidR="00F8508F" w:rsidRPr="00A86E6B">
        <w:rPr>
          <w:szCs w:val="26"/>
        </w:rPr>
        <w:t>, review granted Aug</w:t>
      </w:r>
      <w:r w:rsidR="009A7A17">
        <w:rPr>
          <w:szCs w:val="26"/>
        </w:rPr>
        <w:t>.</w:t>
      </w:r>
      <w:r w:rsidR="00F8508F" w:rsidRPr="00A86E6B">
        <w:rPr>
          <w:szCs w:val="26"/>
        </w:rPr>
        <w:t xml:space="preserve"> 19, 2020, S262866</w:t>
      </w:r>
      <w:r w:rsidR="009A7A17">
        <w:rPr>
          <w:szCs w:val="26"/>
        </w:rPr>
        <w:t xml:space="preserve">; see also </w:t>
      </w:r>
      <w:r w:rsidR="009A7A17" w:rsidRPr="00A86E6B">
        <w:rPr>
          <w:i/>
          <w:iCs/>
          <w:szCs w:val="26"/>
        </w:rPr>
        <w:t>Ling</w:t>
      </w:r>
      <w:r w:rsidR="009A7A17" w:rsidRPr="00A86E6B">
        <w:rPr>
          <w:szCs w:val="26"/>
        </w:rPr>
        <w:t xml:space="preserve">, </w:t>
      </w:r>
      <w:r w:rsidR="009A7A17" w:rsidRPr="00A86E6B">
        <w:rPr>
          <w:i/>
          <w:iCs/>
          <w:szCs w:val="26"/>
        </w:rPr>
        <w:t>supra</w:t>
      </w:r>
      <w:r w:rsidR="009A7A17" w:rsidRPr="00A86E6B">
        <w:rPr>
          <w:szCs w:val="26"/>
        </w:rPr>
        <w:t>, 245 Cal.App.4th 1242</w:t>
      </w:r>
      <w:r w:rsidR="00874589" w:rsidRPr="00A86E6B">
        <w:rPr>
          <w:szCs w:val="26"/>
        </w:rPr>
        <w:t>.</w:t>
      </w:r>
      <w:r w:rsidR="00A130AF" w:rsidRPr="00A86E6B">
        <w:rPr>
          <w:szCs w:val="26"/>
        </w:rPr>
        <w:t>)</w:t>
      </w:r>
      <w:r w:rsidR="00874589" w:rsidRPr="00A86E6B">
        <w:rPr>
          <w:szCs w:val="26"/>
        </w:rPr>
        <w:t xml:space="preserve">  </w:t>
      </w:r>
      <w:r w:rsidR="00ED5059" w:rsidRPr="00A86E6B">
        <w:rPr>
          <w:szCs w:val="26"/>
        </w:rPr>
        <w:t>N</w:t>
      </w:r>
      <w:r w:rsidR="00CF0434" w:rsidRPr="00A86E6B">
        <w:rPr>
          <w:szCs w:val="26"/>
        </w:rPr>
        <w:t xml:space="preserve">umerous </w:t>
      </w:r>
      <w:r w:rsidR="001C6119" w:rsidRPr="00A86E6B">
        <w:rPr>
          <w:szCs w:val="26"/>
        </w:rPr>
        <w:t>f</w:t>
      </w:r>
      <w:r w:rsidR="00CF0434" w:rsidRPr="00A86E6B">
        <w:rPr>
          <w:szCs w:val="26"/>
        </w:rPr>
        <w:t xml:space="preserve">ederal district court </w:t>
      </w:r>
      <w:r w:rsidR="001C6119" w:rsidRPr="00A86E6B">
        <w:rPr>
          <w:szCs w:val="26"/>
        </w:rPr>
        <w:t xml:space="preserve">decisions </w:t>
      </w:r>
      <w:r w:rsidR="00CF0434" w:rsidRPr="00A86E6B">
        <w:rPr>
          <w:szCs w:val="26"/>
        </w:rPr>
        <w:t xml:space="preserve">have </w:t>
      </w:r>
      <w:r w:rsidR="00ED5059" w:rsidRPr="00A86E6B">
        <w:rPr>
          <w:szCs w:val="26"/>
        </w:rPr>
        <w:t xml:space="preserve">also </w:t>
      </w:r>
      <w:r w:rsidR="00CF0434" w:rsidRPr="00A86E6B">
        <w:rPr>
          <w:szCs w:val="26"/>
        </w:rPr>
        <w:t>considered the question</w:t>
      </w:r>
      <w:r w:rsidR="0058222C" w:rsidRPr="00A86E6B">
        <w:rPr>
          <w:szCs w:val="26"/>
        </w:rPr>
        <w:t xml:space="preserve"> but</w:t>
      </w:r>
      <w:r w:rsidR="00ED5059" w:rsidRPr="00A86E6B">
        <w:rPr>
          <w:szCs w:val="26"/>
        </w:rPr>
        <w:t>,</w:t>
      </w:r>
      <w:r w:rsidR="0058222C" w:rsidRPr="00A86E6B">
        <w:rPr>
          <w:szCs w:val="26"/>
        </w:rPr>
        <w:t xml:space="preserve"> a</w:t>
      </w:r>
      <w:r w:rsidR="00CF0434" w:rsidRPr="00A86E6B">
        <w:rPr>
          <w:szCs w:val="26"/>
        </w:rPr>
        <w:t xml:space="preserve">s </w:t>
      </w:r>
      <w:r w:rsidR="0000295C" w:rsidRPr="00A86E6B">
        <w:rPr>
          <w:szCs w:val="26"/>
        </w:rPr>
        <w:t>Spectrum</w:t>
      </w:r>
      <w:r w:rsidR="00CF0434" w:rsidRPr="00A86E6B">
        <w:rPr>
          <w:szCs w:val="26"/>
        </w:rPr>
        <w:t xml:space="preserve"> acknowledge</w:t>
      </w:r>
      <w:r w:rsidR="0000295C" w:rsidRPr="00A86E6B">
        <w:rPr>
          <w:szCs w:val="26"/>
        </w:rPr>
        <w:t>s</w:t>
      </w:r>
      <w:r w:rsidR="00CF0434" w:rsidRPr="00A86E6B">
        <w:rPr>
          <w:szCs w:val="26"/>
        </w:rPr>
        <w:t xml:space="preserve">, these </w:t>
      </w:r>
      <w:r w:rsidR="001C6119" w:rsidRPr="00A86E6B">
        <w:rPr>
          <w:szCs w:val="26"/>
        </w:rPr>
        <w:t>court</w:t>
      </w:r>
      <w:r w:rsidR="00CF0434" w:rsidRPr="00A86E6B">
        <w:rPr>
          <w:szCs w:val="26"/>
        </w:rPr>
        <w:t xml:space="preserve">s are </w:t>
      </w:r>
      <w:r w:rsidR="007809C6" w:rsidRPr="00A86E6B">
        <w:rPr>
          <w:szCs w:val="26"/>
        </w:rPr>
        <w:t xml:space="preserve">deeply </w:t>
      </w:r>
      <w:r w:rsidR="00CF0434" w:rsidRPr="00A86E6B">
        <w:rPr>
          <w:szCs w:val="26"/>
        </w:rPr>
        <w:t xml:space="preserve">split over whether </w:t>
      </w:r>
      <w:r w:rsidR="00C47AD9">
        <w:rPr>
          <w:szCs w:val="26"/>
        </w:rPr>
        <w:t xml:space="preserve">unpaid </w:t>
      </w:r>
      <w:r w:rsidR="00CF0434" w:rsidRPr="00A86E6B">
        <w:rPr>
          <w:szCs w:val="26"/>
        </w:rPr>
        <w:t>missed</w:t>
      </w:r>
      <w:r w:rsidR="00B33C15">
        <w:rPr>
          <w:szCs w:val="26"/>
        </w:rPr>
        <w:t>-</w:t>
      </w:r>
      <w:r w:rsidR="00CF0434" w:rsidRPr="00A86E6B">
        <w:rPr>
          <w:szCs w:val="26"/>
        </w:rPr>
        <w:t xml:space="preserve">break </w:t>
      </w:r>
      <w:r w:rsidR="00C47AD9">
        <w:rPr>
          <w:szCs w:val="26"/>
        </w:rPr>
        <w:t>premium pay</w:t>
      </w:r>
      <w:r w:rsidR="00CF0434" w:rsidRPr="00A86E6B">
        <w:rPr>
          <w:szCs w:val="26"/>
        </w:rPr>
        <w:t xml:space="preserve"> may support a Labor Code section 203 claim, with many decisions on both sides of the issue.</w:t>
      </w:r>
      <w:r w:rsidR="00F54755" w:rsidRPr="00A86E6B">
        <w:rPr>
          <w:szCs w:val="26"/>
        </w:rPr>
        <w:t xml:space="preserve">  (</w:t>
      </w:r>
      <w:r w:rsidR="00F54755" w:rsidRPr="00A86E6B">
        <w:rPr>
          <w:i/>
          <w:iCs/>
          <w:szCs w:val="26"/>
        </w:rPr>
        <w:t>Stewart v. San Luis Ambulance, Inc.</w:t>
      </w:r>
      <w:r w:rsidR="00F54755" w:rsidRPr="00A86E6B">
        <w:rPr>
          <w:szCs w:val="26"/>
        </w:rPr>
        <w:t xml:space="preserve"> (9th Cir. 2017) 878 F.3d 883, 887–888 [noting federal split]; compare, e.g.,</w:t>
      </w:r>
      <w:r w:rsidR="00723A78" w:rsidRPr="00A86E6B">
        <w:rPr>
          <w:szCs w:val="26"/>
        </w:rPr>
        <w:t xml:space="preserve"> </w:t>
      </w:r>
      <w:r w:rsidR="00723A78" w:rsidRPr="00A86E6B">
        <w:rPr>
          <w:i/>
          <w:iCs/>
          <w:szCs w:val="26"/>
        </w:rPr>
        <w:t>In re Autozone, Inc.</w:t>
      </w:r>
      <w:r w:rsidR="00723A78" w:rsidRPr="00A86E6B">
        <w:rPr>
          <w:szCs w:val="26"/>
        </w:rPr>
        <w:t xml:space="preserve"> (N.D.Cal.</w:t>
      </w:r>
      <w:r w:rsidR="00CA2C85" w:rsidRPr="00A86E6B">
        <w:rPr>
          <w:szCs w:val="26"/>
        </w:rPr>
        <w:t>, Aug. 10, 2016, No</w:t>
      </w:r>
      <w:r w:rsidR="001761D8" w:rsidRPr="00A86E6B">
        <w:rPr>
          <w:szCs w:val="26"/>
        </w:rPr>
        <w:t>.</w:t>
      </w:r>
      <w:r w:rsidR="001761D8">
        <w:rPr>
          <w:szCs w:val="26"/>
        </w:rPr>
        <w:t> </w:t>
      </w:r>
      <w:r w:rsidR="00CA2C85" w:rsidRPr="00A86E6B">
        <w:rPr>
          <w:szCs w:val="26"/>
        </w:rPr>
        <w:t>3:10-md-02159-CRB</w:t>
      </w:r>
      <w:r w:rsidR="00723A78" w:rsidRPr="00A86E6B">
        <w:rPr>
          <w:szCs w:val="26"/>
        </w:rPr>
        <w:t>) 2016 U.S.Dist. LEXIS 105746, *19–</w:t>
      </w:r>
      <w:r w:rsidR="00CA2C85" w:rsidRPr="00A86E6B">
        <w:rPr>
          <w:szCs w:val="26"/>
        </w:rPr>
        <w:t>*</w:t>
      </w:r>
      <w:r w:rsidR="00723A78" w:rsidRPr="00A86E6B">
        <w:rPr>
          <w:szCs w:val="26"/>
        </w:rPr>
        <w:t>24 [recovery available under Lab. Code, § 203] with</w:t>
      </w:r>
      <w:r w:rsidR="00F54755" w:rsidRPr="00A86E6B">
        <w:rPr>
          <w:szCs w:val="26"/>
        </w:rPr>
        <w:t xml:space="preserve"> </w:t>
      </w:r>
      <w:r w:rsidR="00F54755" w:rsidRPr="00A86E6B">
        <w:rPr>
          <w:i/>
          <w:iCs/>
          <w:szCs w:val="26"/>
        </w:rPr>
        <w:t>Jones v. Spherion Staffing LLC</w:t>
      </w:r>
      <w:r w:rsidR="00F54755" w:rsidRPr="00A86E6B">
        <w:rPr>
          <w:szCs w:val="26"/>
        </w:rPr>
        <w:t xml:space="preserve">, </w:t>
      </w:r>
      <w:r w:rsidR="00F54755" w:rsidRPr="00A86E6B">
        <w:rPr>
          <w:i/>
          <w:iCs/>
          <w:szCs w:val="26"/>
        </w:rPr>
        <w:t>supra</w:t>
      </w:r>
      <w:r w:rsidR="00F54755" w:rsidRPr="00A86E6B">
        <w:rPr>
          <w:szCs w:val="26"/>
        </w:rPr>
        <w:t>, 2012 U</w:t>
      </w:r>
      <w:r w:rsidR="001C6119" w:rsidRPr="00A86E6B">
        <w:rPr>
          <w:szCs w:val="26"/>
        </w:rPr>
        <w:t>.</w:t>
      </w:r>
      <w:r w:rsidR="00F54755" w:rsidRPr="00A86E6B">
        <w:rPr>
          <w:szCs w:val="26"/>
        </w:rPr>
        <w:t>S</w:t>
      </w:r>
      <w:r w:rsidR="001C6119" w:rsidRPr="00A86E6B">
        <w:rPr>
          <w:szCs w:val="26"/>
        </w:rPr>
        <w:t>.</w:t>
      </w:r>
      <w:r w:rsidR="00F54755" w:rsidRPr="00A86E6B">
        <w:rPr>
          <w:szCs w:val="26"/>
        </w:rPr>
        <w:t>Dist. LEXIS 112396</w:t>
      </w:r>
      <w:r w:rsidR="001C6119" w:rsidRPr="00A86E6B">
        <w:rPr>
          <w:szCs w:val="26"/>
        </w:rPr>
        <w:t>, *21–</w:t>
      </w:r>
      <w:r w:rsidR="00CA2C85" w:rsidRPr="00A86E6B">
        <w:rPr>
          <w:szCs w:val="26"/>
        </w:rPr>
        <w:t>*</w:t>
      </w:r>
      <w:r w:rsidR="001C6119" w:rsidRPr="00A86E6B">
        <w:rPr>
          <w:szCs w:val="26"/>
        </w:rPr>
        <w:t>26</w:t>
      </w:r>
      <w:r w:rsidR="00F54755" w:rsidRPr="00A86E6B">
        <w:rPr>
          <w:szCs w:val="26"/>
        </w:rPr>
        <w:t xml:space="preserve"> [no recovery under Lab. Code, § 203]</w:t>
      </w:r>
      <w:r w:rsidR="001C6119" w:rsidRPr="00A86E6B">
        <w:rPr>
          <w:szCs w:val="26"/>
        </w:rPr>
        <w:t xml:space="preserve">.)  </w:t>
      </w:r>
      <w:r w:rsidR="007F5D98" w:rsidRPr="00A86E6B">
        <w:rPr>
          <w:szCs w:val="26"/>
        </w:rPr>
        <w:t xml:space="preserve">That the Legislature has failed to act in the face of </w:t>
      </w:r>
      <w:r w:rsidR="00E423F5" w:rsidRPr="00A86E6B">
        <w:rPr>
          <w:szCs w:val="26"/>
        </w:rPr>
        <w:t xml:space="preserve">these </w:t>
      </w:r>
      <w:r w:rsidR="007F5D98" w:rsidRPr="00A86E6B">
        <w:rPr>
          <w:szCs w:val="26"/>
        </w:rPr>
        <w:t>conflicting authorities tells us exactly nothing about its views.</w:t>
      </w:r>
    </w:p>
    <w:p w14:paraId="209F1291" w14:textId="0291C425" w:rsidR="00B500BC" w:rsidRPr="00A86E6B" w:rsidRDefault="0058222C" w:rsidP="00A86E6B">
      <w:pPr>
        <w:tabs>
          <w:tab w:val="left" w:pos="1440"/>
        </w:tabs>
        <w:ind w:firstLine="720"/>
      </w:pPr>
      <w:r w:rsidRPr="00A86E6B">
        <w:rPr>
          <w:szCs w:val="26"/>
        </w:rPr>
        <w:t>In short, m</w:t>
      </w:r>
      <w:r w:rsidR="00791AC7" w:rsidRPr="00A86E6B">
        <w:rPr>
          <w:szCs w:val="26"/>
        </w:rPr>
        <w:t>issed</w:t>
      </w:r>
      <w:r w:rsidR="00B33C15">
        <w:rPr>
          <w:szCs w:val="26"/>
        </w:rPr>
        <w:t>-</w:t>
      </w:r>
      <w:r w:rsidR="00791AC7" w:rsidRPr="00A86E6B">
        <w:rPr>
          <w:szCs w:val="26"/>
        </w:rPr>
        <w:t xml:space="preserve">break premium pay constitutes wages for purposes of Labor Code section 203, and so waiting time penalties are available under </w:t>
      </w:r>
      <w:r w:rsidR="006F5F69" w:rsidRPr="00A86E6B">
        <w:rPr>
          <w:szCs w:val="26"/>
        </w:rPr>
        <w:t>th</w:t>
      </w:r>
      <w:r w:rsidR="00791AC7" w:rsidRPr="00A86E6B">
        <w:rPr>
          <w:szCs w:val="26"/>
        </w:rPr>
        <w:t>at statute if the premium pay is not timely paid.</w:t>
      </w:r>
      <w:r w:rsidR="00D33980">
        <w:rPr>
          <w:szCs w:val="26"/>
        </w:rPr>
        <w:t xml:space="preserve">  </w:t>
      </w:r>
      <w:r w:rsidR="00D33980">
        <w:t xml:space="preserve">We disapprove </w:t>
      </w:r>
      <w:r w:rsidR="00D33980">
        <w:rPr>
          <w:i/>
          <w:iCs/>
        </w:rPr>
        <w:t>Ling v. P.F. Chang’s China Bistro, Inc.</w:t>
      </w:r>
      <w:r w:rsidR="00D33980">
        <w:t xml:space="preserve">, </w:t>
      </w:r>
      <w:r w:rsidR="00D33980">
        <w:rPr>
          <w:i/>
          <w:iCs/>
        </w:rPr>
        <w:t>supra</w:t>
      </w:r>
      <w:r w:rsidR="00D33980">
        <w:t>, 245 Cal.App.4th 1242, to the extent its discussion of Labor Code sections 203 and 226.7 is inconsistent with this opinion.</w:t>
      </w:r>
    </w:p>
    <w:p w14:paraId="6DC74C97" w14:textId="4365EB44" w:rsidR="00C8775F" w:rsidRPr="00A86E6B" w:rsidRDefault="006A3F0A" w:rsidP="00DF196D">
      <w:pPr>
        <w:keepNext/>
        <w:tabs>
          <w:tab w:val="left" w:pos="1440"/>
        </w:tabs>
        <w:jc w:val="center"/>
        <w:rPr>
          <w:smallCaps/>
          <w:szCs w:val="26"/>
        </w:rPr>
      </w:pPr>
      <w:r w:rsidRPr="00A86E6B">
        <w:rPr>
          <w:b/>
          <w:bCs/>
          <w:smallCaps/>
          <w:szCs w:val="26"/>
        </w:rPr>
        <w:t>IV.</w:t>
      </w:r>
    </w:p>
    <w:p w14:paraId="68DD0B47" w14:textId="37F77ED0" w:rsidR="00F56CDB" w:rsidRPr="00A86E6B" w:rsidRDefault="0018522C" w:rsidP="00A86E6B">
      <w:pPr>
        <w:tabs>
          <w:tab w:val="left" w:pos="1440"/>
        </w:tabs>
        <w:ind w:firstLine="720"/>
        <w:rPr>
          <w:szCs w:val="26"/>
        </w:rPr>
      </w:pPr>
      <w:r w:rsidRPr="00A86E6B">
        <w:rPr>
          <w:szCs w:val="26"/>
        </w:rPr>
        <w:t>We</w:t>
      </w:r>
      <w:r w:rsidR="00517C46" w:rsidRPr="00A86E6B">
        <w:rPr>
          <w:szCs w:val="26"/>
        </w:rPr>
        <w:t xml:space="preserve"> turn </w:t>
      </w:r>
      <w:r w:rsidR="0092213D" w:rsidRPr="00A86E6B">
        <w:rPr>
          <w:szCs w:val="26"/>
        </w:rPr>
        <w:t xml:space="preserve">now </w:t>
      </w:r>
      <w:r w:rsidR="00517C46" w:rsidRPr="00A86E6B">
        <w:rPr>
          <w:szCs w:val="26"/>
        </w:rPr>
        <w:t xml:space="preserve">to the </w:t>
      </w:r>
      <w:r w:rsidR="009E584B">
        <w:rPr>
          <w:szCs w:val="26"/>
        </w:rPr>
        <w:t xml:space="preserve">question of </w:t>
      </w:r>
      <w:r w:rsidR="00517C46" w:rsidRPr="00A86E6B">
        <w:rPr>
          <w:szCs w:val="26"/>
        </w:rPr>
        <w:t xml:space="preserve">wage </w:t>
      </w:r>
      <w:r w:rsidR="00610225" w:rsidRPr="00A86E6B">
        <w:rPr>
          <w:szCs w:val="26"/>
        </w:rPr>
        <w:t>statement</w:t>
      </w:r>
      <w:r w:rsidR="009E584B">
        <w:rPr>
          <w:szCs w:val="26"/>
        </w:rPr>
        <w:t>s</w:t>
      </w:r>
      <w:r w:rsidR="00610225" w:rsidRPr="00A86E6B">
        <w:rPr>
          <w:szCs w:val="26"/>
        </w:rPr>
        <w:t xml:space="preserve">.  </w:t>
      </w:r>
      <w:r w:rsidR="00517C46" w:rsidRPr="00A86E6B">
        <w:rPr>
          <w:szCs w:val="26"/>
        </w:rPr>
        <w:t xml:space="preserve">The </w:t>
      </w:r>
      <w:r w:rsidR="009E584B">
        <w:rPr>
          <w:szCs w:val="26"/>
        </w:rPr>
        <w:t xml:space="preserve">wage statement </w:t>
      </w:r>
      <w:r w:rsidR="00610225" w:rsidRPr="00A86E6B">
        <w:rPr>
          <w:szCs w:val="26"/>
        </w:rPr>
        <w:t>statute</w:t>
      </w:r>
      <w:r w:rsidR="00517C46" w:rsidRPr="00A86E6B">
        <w:rPr>
          <w:szCs w:val="26"/>
        </w:rPr>
        <w:t xml:space="preserve"> </w:t>
      </w:r>
      <w:r w:rsidR="009E584B" w:rsidRPr="00A86E6B">
        <w:rPr>
          <w:szCs w:val="26"/>
        </w:rPr>
        <w:t xml:space="preserve">(Lab. Code, § 226) </w:t>
      </w:r>
      <w:r w:rsidR="00517C46" w:rsidRPr="00A86E6B">
        <w:rPr>
          <w:szCs w:val="26"/>
        </w:rPr>
        <w:t xml:space="preserve">began as </w:t>
      </w:r>
      <w:r w:rsidR="001C51CC" w:rsidRPr="00A86E6B">
        <w:rPr>
          <w:szCs w:val="26"/>
        </w:rPr>
        <w:t xml:space="preserve">a </w:t>
      </w:r>
      <w:r w:rsidR="00101BA9" w:rsidRPr="00A86E6B">
        <w:rPr>
          <w:szCs w:val="26"/>
        </w:rPr>
        <w:t>simple</w:t>
      </w:r>
      <w:r w:rsidR="00CD02E7" w:rsidRPr="00A86E6B">
        <w:rPr>
          <w:szCs w:val="26"/>
        </w:rPr>
        <w:t xml:space="preserve"> requirement that employers report deductions from pay (</w:t>
      </w:r>
      <w:r w:rsidR="00B32C62">
        <w:rPr>
          <w:szCs w:val="26"/>
        </w:rPr>
        <w:t xml:space="preserve">see </w:t>
      </w:r>
      <w:r w:rsidR="00CD02E7" w:rsidRPr="00A86E6B">
        <w:rPr>
          <w:szCs w:val="26"/>
        </w:rPr>
        <w:t xml:space="preserve">Stats. 1943, ch. 1027, § 1, p. 2965) but has since </w:t>
      </w:r>
      <w:r w:rsidR="001A49C2" w:rsidRPr="00A86E6B">
        <w:rPr>
          <w:szCs w:val="26"/>
        </w:rPr>
        <w:t xml:space="preserve">expanded </w:t>
      </w:r>
      <w:r w:rsidR="00CD02E7" w:rsidRPr="00A86E6B">
        <w:rPr>
          <w:szCs w:val="26"/>
        </w:rPr>
        <w:t xml:space="preserve">to require a detailed list of information, including hours worked, wages earned, hourly rates, and employee- and employer-identifying information (Lab. Code, § 226, subd. (a); </w:t>
      </w:r>
      <w:r w:rsidR="00CD02E7" w:rsidRPr="00A86E6B">
        <w:rPr>
          <w:i/>
          <w:iCs/>
          <w:color w:val="222222"/>
          <w:szCs w:val="26"/>
          <w:shd w:val="clear" w:color="auto" w:fill="FFFFFF"/>
        </w:rPr>
        <w:t>Ward v. United Airlines, Inc.</w:t>
      </w:r>
      <w:r w:rsidR="00CA2C85" w:rsidRPr="00A86E6B">
        <w:rPr>
          <w:color w:val="222222"/>
          <w:szCs w:val="26"/>
          <w:shd w:val="clear" w:color="auto" w:fill="FFFFFF"/>
        </w:rPr>
        <w:t xml:space="preserve"> </w:t>
      </w:r>
      <w:r w:rsidR="002C22BF">
        <w:rPr>
          <w:color w:val="222222"/>
          <w:szCs w:val="26"/>
          <w:shd w:val="clear" w:color="auto" w:fill="FFFFFF"/>
        </w:rPr>
        <w:t>(2020)</w:t>
      </w:r>
      <w:r w:rsidR="00CA2C85" w:rsidRPr="00A86E6B">
        <w:rPr>
          <w:color w:val="222222"/>
          <w:szCs w:val="26"/>
          <w:shd w:val="clear" w:color="auto" w:fill="FFFFFF"/>
        </w:rPr>
        <w:t xml:space="preserve"> </w:t>
      </w:r>
      <w:r w:rsidR="00CD02E7" w:rsidRPr="00A86E6B">
        <w:rPr>
          <w:color w:val="222222"/>
          <w:szCs w:val="26"/>
          <w:shd w:val="clear" w:color="auto" w:fill="FFFFFF"/>
        </w:rPr>
        <w:t xml:space="preserve">9 Cal.5th </w:t>
      </w:r>
      <w:r w:rsidR="002C22BF">
        <w:rPr>
          <w:color w:val="222222"/>
          <w:szCs w:val="26"/>
          <w:shd w:val="clear" w:color="auto" w:fill="FFFFFF"/>
        </w:rPr>
        <w:t>732,</w:t>
      </w:r>
      <w:r w:rsidR="00CA2C85" w:rsidRPr="00A86E6B">
        <w:rPr>
          <w:color w:val="222222"/>
          <w:szCs w:val="26"/>
          <w:shd w:val="clear" w:color="auto" w:fill="FFFFFF"/>
        </w:rPr>
        <w:t> </w:t>
      </w:r>
      <w:r w:rsidR="00CD02E7" w:rsidRPr="00A86E6B">
        <w:rPr>
          <w:color w:val="222222"/>
          <w:szCs w:val="26"/>
          <w:shd w:val="clear" w:color="auto" w:fill="FFFFFF"/>
        </w:rPr>
        <w:t>744–745 &amp; fn. 3</w:t>
      </w:r>
      <w:r w:rsidR="00610225" w:rsidRPr="00A86E6B">
        <w:rPr>
          <w:color w:val="222222"/>
          <w:szCs w:val="26"/>
          <w:shd w:val="clear" w:color="auto" w:fill="FFFFFF"/>
        </w:rPr>
        <w:t>)</w:t>
      </w:r>
      <w:r w:rsidR="00CD02E7" w:rsidRPr="00A86E6B">
        <w:rPr>
          <w:color w:val="222222"/>
          <w:szCs w:val="26"/>
          <w:shd w:val="clear" w:color="auto" w:fill="FFFFFF"/>
        </w:rPr>
        <w:t>.</w:t>
      </w:r>
      <w:r w:rsidR="00CD02E7" w:rsidRPr="00A86E6B">
        <w:rPr>
          <w:rStyle w:val="FootnoteReference"/>
          <w:szCs w:val="26"/>
        </w:rPr>
        <w:footnoteReference w:id="10"/>
      </w:r>
      <w:r w:rsidR="00101BA9" w:rsidRPr="00A86E6B">
        <w:rPr>
          <w:szCs w:val="26"/>
        </w:rPr>
        <w:t xml:space="preserve">  </w:t>
      </w:r>
      <w:r w:rsidR="00A96507" w:rsidRPr="00A86E6B">
        <w:rPr>
          <w:szCs w:val="26"/>
        </w:rPr>
        <w:t xml:space="preserve">As particularly relevant </w:t>
      </w:r>
      <w:r w:rsidR="00CD02E7" w:rsidRPr="00A86E6B">
        <w:rPr>
          <w:szCs w:val="26"/>
        </w:rPr>
        <w:t xml:space="preserve">here, </w:t>
      </w:r>
      <w:r w:rsidR="002E4C06" w:rsidRPr="00A86E6B">
        <w:rPr>
          <w:szCs w:val="26"/>
        </w:rPr>
        <w:t>Labor Code section 226</w:t>
      </w:r>
      <w:r w:rsidR="00CD02E7" w:rsidRPr="00A86E6B">
        <w:rPr>
          <w:szCs w:val="26"/>
        </w:rPr>
        <w:t xml:space="preserve"> requires that an employer report both “gross wages earned” and “net wages earned.”  (Lab. Code, § 226, subd. (a)</w:t>
      </w:r>
      <w:r w:rsidR="00F93415">
        <w:rPr>
          <w:szCs w:val="26"/>
        </w:rPr>
        <w:t>(1), (5)</w:t>
      </w:r>
      <w:r w:rsidR="00CD02E7" w:rsidRPr="00A86E6B">
        <w:rPr>
          <w:szCs w:val="26"/>
        </w:rPr>
        <w:t>.)</w:t>
      </w:r>
      <w:r w:rsidR="00E51553" w:rsidRPr="00A86E6B">
        <w:rPr>
          <w:szCs w:val="26"/>
        </w:rPr>
        <w:t xml:space="preserve">  To enforce this provision, the Legislature has provided that employees</w:t>
      </w:r>
      <w:r w:rsidR="00030CCB" w:rsidRPr="00A86E6B">
        <w:rPr>
          <w:szCs w:val="26"/>
        </w:rPr>
        <w:t xml:space="preserve"> who are</w:t>
      </w:r>
      <w:r w:rsidR="00E51553" w:rsidRPr="00A86E6B">
        <w:rPr>
          <w:szCs w:val="26"/>
        </w:rPr>
        <w:t xml:space="preserve"> injured by a “knowing and intentional failure </w:t>
      </w:r>
      <w:r w:rsidR="00CA2C85" w:rsidRPr="00A86E6B">
        <w:rPr>
          <w:szCs w:val="26"/>
        </w:rPr>
        <w:t xml:space="preserve">by an employer </w:t>
      </w:r>
      <w:r w:rsidR="00E51553" w:rsidRPr="00A86E6B">
        <w:rPr>
          <w:szCs w:val="26"/>
        </w:rPr>
        <w:t xml:space="preserve">to comply with” this requirement may </w:t>
      </w:r>
      <w:r w:rsidR="00E51553" w:rsidRPr="00A86E6B">
        <w:rPr>
          <w:color w:val="000000" w:themeColor="text1"/>
          <w:szCs w:val="26"/>
        </w:rPr>
        <w:t>recover “the greater of all actual damages or fifty dollars ($50) for the initial pay period in which a violation occurs and one hundred dollars ($100) per employee for each violation in a subsequent pay period, not to exceed an aggregate penalty of four thousand dollars ($4,000)” as well as “costs and reasonable attorney’s fees.”  (</w:t>
      </w:r>
      <w:r w:rsidR="004F78A3" w:rsidRPr="00A86E6B">
        <w:rPr>
          <w:i/>
          <w:iCs/>
          <w:color w:val="000000" w:themeColor="text1"/>
          <w:szCs w:val="26"/>
        </w:rPr>
        <w:t>Id.</w:t>
      </w:r>
      <w:r w:rsidR="004F78A3" w:rsidRPr="00A86E6B">
        <w:rPr>
          <w:color w:val="000000" w:themeColor="text1"/>
          <w:szCs w:val="26"/>
        </w:rPr>
        <w:t xml:space="preserve">, </w:t>
      </w:r>
      <w:r w:rsidR="00E51553" w:rsidRPr="00A86E6B">
        <w:rPr>
          <w:color w:val="000000" w:themeColor="text1"/>
          <w:szCs w:val="26"/>
        </w:rPr>
        <w:t>subd. (e)(1).)</w:t>
      </w:r>
    </w:p>
    <w:p w14:paraId="2D6E1C13" w14:textId="5236AB60" w:rsidR="00C93EF7" w:rsidRPr="00A86E6B" w:rsidRDefault="00C21AF4" w:rsidP="00A86E6B">
      <w:pPr>
        <w:tabs>
          <w:tab w:val="left" w:pos="1440"/>
        </w:tabs>
        <w:ind w:firstLine="720"/>
        <w:rPr>
          <w:szCs w:val="26"/>
        </w:rPr>
      </w:pPr>
      <w:r w:rsidRPr="00A86E6B">
        <w:rPr>
          <w:szCs w:val="26"/>
        </w:rPr>
        <w:t>W</w:t>
      </w:r>
      <w:r w:rsidR="00101BA9" w:rsidRPr="00A86E6B">
        <w:rPr>
          <w:szCs w:val="26"/>
        </w:rPr>
        <w:t xml:space="preserve">e must consider whether the </w:t>
      </w:r>
      <w:r w:rsidR="00B057CB" w:rsidRPr="00A86E6B">
        <w:rPr>
          <w:szCs w:val="26"/>
        </w:rPr>
        <w:t xml:space="preserve">requirement that </w:t>
      </w:r>
      <w:r w:rsidR="00101BA9" w:rsidRPr="00A86E6B">
        <w:rPr>
          <w:szCs w:val="26"/>
        </w:rPr>
        <w:t xml:space="preserve">“wages” be reported </w:t>
      </w:r>
      <w:r w:rsidR="00B057CB" w:rsidRPr="00A86E6B">
        <w:rPr>
          <w:szCs w:val="26"/>
        </w:rPr>
        <w:t>extends to</w:t>
      </w:r>
      <w:r w:rsidR="00101BA9" w:rsidRPr="00A86E6B">
        <w:rPr>
          <w:szCs w:val="26"/>
        </w:rPr>
        <w:t xml:space="preserve"> payments under section 226.7 for </w:t>
      </w:r>
      <w:r w:rsidR="00723A78" w:rsidRPr="00A86E6B">
        <w:rPr>
          <w:szCs w:val="26"/>
        </w:rPr>
        <w:t>missed</w:t>
      </w:r>
      <w:r w:rsidR="00101BA9" w:rsidRPr="00A86E6B">
        <w:rPr>
          <w:szCs w:val="26"/>
        </w:rPr>
        <w:t xml:space="preserve"> breaks.</w:t>
      </w:r>
      <w:r w:rsidR="00B31CA8" w:rsidRPr="00A86E6B">
        <w:rPr>
          <w:szCs w:val="26"/>
        </w:rPr>
        <w:t xml:space="preserve">  </w:t>
      </w:r>
      <w:r w:rsidR="00F82EEC" w:rsidRPr="00A86E6B">
        <w:rPr>
          <w:szCs w:val="26"/>
        </w:rPr>
        <w:t xml:space="preserve">We have already explained </w:t>
      </w:r>
      <w:r w:rsidR="003741F7" w:rsidRPr="00A86E6B">
        <w:rPr>
          <w:szCs w:val="26"/>
        </w:rPr>
        <w:t xml:space="preserve">that </w:t>
      </w:r>
      <w:r w:rsidR="00F82EEC" w:rsidRPr="00A86E6B">
        <w:rPr>
          <w:szCs w:val="26"/>
        </w:rPr>
        <w:t xml:space="preserve">premium pay </w:t>
      </w:r>
      <w:r w:rsidR="007C750C">
        <w:rPr>
          <w:szCs w:val="26"/>
        </w:rPr>
        <w:t xml:space="preserve">is </w:t>
      </w:r>
      <w:r w:rsidR="001B4685">
        <w:rPr>
          <w:szCs w:val="26"/>
        </w:rPr>
        <w:t>fairly</w:t>
      </w:r>
      <w:r w:rsidR="007C750C">
        <w:rPr>
          <w:szCs w:val="26"/>
        </w:rPr>
        <w:t xml:space="preserve"> understood </w:t>
      </w:r>
      <w:r w:rsidR="00803799">
        <w:rPr>
          <w:szCs w:val="26"/>
        </w:rPr>
        <w:t xml:space="preserve">as </w:t>
      </w:r>
      <w:r w:rsidR="00F82EEC" w:rsidRPr="00A86E6B">
        <w:rPr>
          <w:szCs w:val="26"/>
        </w:rPr>
        <w:t>fall</w:t>
      </w:r>
      <w:r w:rsidR="00803799">
        <w:rPr>
          <w:szCs w:val="26"/>
        </w:rPr>
        <w:t>ing</w:t>
      </w:r>
      <w:r w:rsidR="00F82EEC" w:rsidRPr="00A86E6B">
        <w:rPr>
          <w:szCs w:val="26"/>
        </w:rPr>
        <w:t xml:space="preserve"> within the Labor Code’s general definition of wages.  </w:t>
      </w:r>
      <w:r w:rsidR="003741F7" w:rsidRPr="00A86E6B">
        <w:rPr>
          <w:szCs w:val="26"/>
        </w:rPr>
        <w:t xml:space="preserve">Spectrum makes various additional arguments for why </w:t>
      </w:r>
      <w:r w:rsidRPr="00A86E6B">
        <w:rPr>
          <w:szCs w:val="26"/>
        </w:rPr>
        <w:t xml:space="preserve">premium pay </w:t>
      </w:r>
      <w:r w:rsidR="002054CF">
        <w:rPr>
          <w:szCs w:val="26"/>
        </w:rPr>
        <w:t xml:space="preserve">should not be treated as reportable wages </w:t>
      </w:r>
      <w:r w:rsidRPr="00A86E6B">
        <w:rPr>
          <w:szCs w:val="26"/>
        </w:rPr>
        <w:t>under Labor Code</w:t>
      </w:r>
      <w:r w:rsidR="003741F7" w:rsidRPr="00A86E6B">
        <w:rPr>
          <w:szCs w:val="26"/>
        </w:rPr>
        <w:t xml:space="preserve"> section 226, but those arguments fail to persuade</w:t>
      </w:r>
      <w:r w:rsidR="00F82EEC" w:rsidRPr="00A86E6B">
        <w:rPr>
          <w:szCs w:val="26"/>
        </w:rPr>
        <w:t>.</w:t>
      </w:r>
    </w:p>
    <w:p w14:paraId="33CD3636" w14:textId="0F45CF1B" w:rsidR="00806D35" w:rsidRPr="00A86E6B" w:rsidRDefault="005D7A05" w:rsidP="00A86E6B">
      <w:pPr>
        <w:tabs>
          <w:tab w:val="left" w:pos="1440"/>
        </w:tabs>
        <w:ind w:firstLine="720"/>
        <w:rPr>
          <w:szCs w:val="26"/>
        </w:rPr>
      </w:pPr>
      <w:r w:rsidRPr="00A86E6B">
        <w:rPr>
          <w:szCs w:val="26"/>
        </w:rPr>
        <w:t xml:space="preserve">As an initial matter, </w:t>
      </w:r>
      <w:r w:rsidR="00DB2BB7" w:rsidRPr="00A86E6B">
        <w:rPr>
          <w:szCs w:val="26"/>
        </w:rPr>
        <w:t>Spectrum observes that Labor Code section 226 lists many categories of information that must be reported but contains no separate requirement that missed</w:t>
      </w:r>
      <w:r w:rsidR="00B33C15">
        <w:rPr>
          <w:szCs w:val="26"/>
        </w:rPr>
        <w:t>-</w:t>
      </w:r>
      <w:r w:rsidR="00DB2BB7" w:rsidRPr="00A86E6B">
        <w:rPr>
          <w:szCs w:val="26"/>
        </w:rPr>
        <w:t>break premium pay be reported.  This is true,</w:t>
      </w:r>
      <w:r w:rsidR="001C4747" w:rsidRPr="00A86E6B">
        <w:rPr>
          <w:szCs w:val="26"/>
        </w:rPr>
        <w:t xml:space="preserve"> </w:t>
      </w:r>
      <w:r w:rsidR="00DB2BB7" w:rsidRPr="00A86E6B">
        <w:rPr>
          <w:szCs w:val="26"/>
        </w:rPr>
        <w:t xml:space="preserve">but </w:t>
      </w:r>
      <w:r w:rsidR="001D485F" w:rsidRPr="00A86E6B">
        <w:rPr>
          <w:szCs w:val="26"/>
        </w:rPr>
        <w:t xml:space="preserve">it is not meaningful; </w:t>
      </w:r>
      <w:r w:rsidR="00F56CDB" w:rsidRPr="00A86E6B">
        <w:rPr>
          <w:szCs w:val="26"/>
        </w:rPr>
        <w:t xml:space="preserve">the statute likewise contains no provision expressly </w:t>
      </w:r>
      <w:r w:rsidR="00AE778A" w:rsidRPr="00A86E6B">
        <w:rPr>
          <w:szCs w:val="26"/>
        </w:rPr>
        <w:t>calling out</w:t>
      </w:r>
      <w:r w:rsidR="00F56CDB" w:rsidRPr="00A86E6B">
        <w:rPr>
          <w:szCs w:val="26"/>
        </w:rPr>
        <w:t xml:space="preserve"> </w:t>
      </w:r>
      <w:r w:rsidR="00FE013D" w:rsidRPr="00A86E6B">
        <w:rPr>
          <w:szCs w:val="26"/>
        </w:rPr>
        <w:t xml:space="preserve">any </w:t>
      </w:r>
      <w:r w:rsidR="00F56CDB" w:rsidRPr="00A86E6B">
        <w:rPr>
          <w:szCs w:val="26"/>
        </w:rPr>
        <w:t xml:space="preserve">other </w:t>
      </w:r>
      <w:r w:rsidR="00FE013D" w:rsidRPr="00A86E6B">
        <w:rPr>
          <w:szCs w:val="26"/>
        </w:rPr>
        <w:t xml:space="preserve">specific </w:t>
      </w:r>
      <w:r w:rsidR="00F56CDB" w:rsidRPr="00A86E6B">
        <w:rPr>
          <w:szCs w:val="26"/>
        </w:rPr>
        <w:t xml:space="preserve">sorts of pay, such as </w:t>
      </w:r>
      <w:r w:rsidR="00DB2BB7" w:rsidRPr="00A86E6B">
        <w:rPr>
          <w:szCs w:val="26"/>
        </w:rPr>
        <w:t>overtime pay under Labor Code section 510</w:t>
      </w:r>
      <w:r w:rsidR="00EB32FA" w:rsidRPr="00A86E6B">
        <w:rPr>
          <w:szCs w:val="26"/>
        </w:rPr>
        <w:t>, that compensate employees for their work</w:t>
      </w:r>
      <w:r w:rsidR="00FE013D" w:rsidRPr="00A86E6B">
        <w:rPr>
          <w:szCs w:val="26"/>
        </w:rPr>
        <w:t xml:space="preserve"> and</w:t>
      </w:r>
      <w:r w:rsidR="00AE778A" w:rsidRPr="00A86E6B">
        <w:rPr>
          <w:szCs w:val="26"/>
        </w:rPr>
        <w:t xml:space="preserve"> therefore </w:t>
      </w:r>
      <w:r w:rsidR="00FE013D" w:rsidRPr="00A86E6B">
        <w:rPr>
          <w:szCs w:val="26"/>
        </w:rPr>
        <w:t>must be reported</w:t>
      </w:r>
      <w:r w:rsidR="00806D35" w:rsidRPr="00A86E6B">
        <w:rPr>
          <w:szCs w:val="26"/>
        </w:rPr>
        <w:t xml:space="preserve">.  </w:t>
      </w:r>
      <w:r w:rsidR="00DB2BB7" w:rsidRPr="00A86E6B">
        <w:rPr>
          <w:szCs w:val="26"/>
        </w:rPr>
        <w:t xml:space="preserve">(See, e.g., </w:t>
      </w:r>
      <w:r w:rsidR="00DB2BB7" w:rsidRPr="00A86E6B">
        <w:rPr>
          <w:i/>
          <w:iCs/>
          <w:szCs w:val="26"/>
        </w:rPr>
        <w:t>General Atomics v. Superior Court</w:t>
      </w:r>
      <w:r w:rsidR="00DB2BB7" w:rsidRPr="00A86E6B">
        <w:rPr>
          <w:szCs w:val="26"/>
        </w:rPr>
        <w:t xml:space="preserve"> (2021) 64 Cal.App.5th 987, 991 [wage statement that shows overtime hours worked and overtime premiums complies with Lab. Code, § 226].)</w:t>
      </w:r>
      <w:r w:rsidR="00806D35" w:rsidRPr="00A86E6B">
        <w:rPr>
          <w:szCs w:val="26"/>
        </w:rPr>
        <w:t xml:space="preserve">  </w:t>
      </w:r>
    </w:p>
    <w:p w14:paraId="58DBA18F" w14:textId="7B853214" w:rsidR="007F3721" w:rsidRPr="00A86E6B" w:rsidRDefault="00423DF8" w:rsidP="00A86E6B">
      <w:pPr>
        <w:tabs>
          <w:tab w:val="left" w:pos="1440"/>
        </w:tabs>
        <w:ind w:firstLine="720"/>
        <w:rPr>
          <w:b/>
          <w:bCs/>
          <w:color w:val="000000" w:themeColor="text1"/>
          <w:szCs w:val="26"/>
          <w:shd w:val="clear" w:color="auto" w:fill="FFFFFF"/>
        </w:rPr>
      </w:pPr>
      <w:r w:rsidRPr="00A86E6B">
        <w:rPr>
          <w:szCs w:val="26"/>
        </w:rPr>
        <w:t xml:space="preserve">Spectrum </w:t>
      </w:r>
      <w:r w:rsidR="005D7A05" w:rsidRPr="00A86E6B">
        <w:rPr>
          <w:szCs w:val="26"/>
        </w:rPr>
        <w:t xml:space="preserve">also </w:t>
      </w:r>
      <w:r w:rsidR="005D7747">
        <w:rPr>
          <w:szCs w:val="26"/>
        </w:rPr>
        <w:t xml:space="preserve">emphasizes </w:t>
      </w:r>
      <w:r w:rsidRPr="00A86E6B">
        <w:rPr>
          <w:szCs w:val="26"/>
        </w:rPr>
        <w:t xml:space="preserve">that Labor Code section 226 </w:t>
      </w:r>
      <w:r w:rsidR="00EB32FA" w:rsidRPr="00A86E6B">
        <w:rPr>
          <w:szCs w:val="26"/>
        </w:rPr>
        <w:t xml:space="preserve">requires </w:t>
      </w:r>
      <w:r w:rsidRPr="00A86E6B">
        <w:rPr>
          <w:szCs w:val="26"/>
        </w:rPr>
        <w:t xml:space="preserve">the reporting of “wages </w:t>
      </w:r>
      <w:r w:rsidRPr="00A86E6B">
        <w:rPr>
          <w:i/>
          <w:iCs/>
          <w:szCs w:val="26"/>
        </w:rPr>
        <w:t>earned</w:t>
      </w:r>
      <w:r w:rsidRPr="00A86E6B">
        <w:rPr>
          <w:szCs w:val="26"/>
        </w:rPr>
        <w:t xml:space="preserve">” </w:t>
      </w:r>
      <w:r w:rsidR="008F5EE9" w:rsidRPr="00A86E6B">
        <w:rPr>
          <w:szCs w:val="26"/>
        </w:rPr>
        <w:t>(</w:t>
      </w:r>
      <w:r w:rsidR="00D76C1F" w:rsidRPr="00A86E6B">
        <w:rPr>
          <w:szCs w:val="26"/>
        </w:rPr>
        <w:t xml:space="preserve">Lab. Code, </w:t>
      </w:r>
      <w:r w:rsidR="008F5EE9" w:rsidRPr="00A86E6B">
        <w:rPr>
          <w:szCs w:val="26"/>
        </w:rPr>
        <w:t>§ 226, subd. (a)</w:t>
      </w:r>
      <w:r w:rsidR="00EE4E5B" w:rsidRPr="00A86E6B">
        <w:rPr>
          <w:szCs w:val="26"/>
        </w:rPr>
        <w:t>, italics added</w:t>
      </w:r>
      <w:r w:rsidR="008F5EE9" w:rsidRPr="00A86E6B">
        <w:rPr>
          <w:szCs w:val="26"/>
        </w:rPr>
        <w:t xml:space="preserve">) </w:t>
      </w:r>
      <w:r w:rsidRPr="00A86E6B">
        <w:rPr>
          <w:szCs w:val="26"/>
        </w:rPr>
        <w:t xml:space="preserve">and </w:t>
      </w:r>
      <w:r w:rsidR="005D7747">
        <w:rPr>
          <w:szCs w:val="26"/>
        </w:rPr>
        <w:t xml:space="preserve">argues that </w:t>
      </w:r>
      <w:r w:rsidRPr="00A86E6B">
        <w:rPr>
          <w:szCs w:val="26"/>
        </w:rPr>
        <w:t>even if missed</w:t>
      </w:r>
      <w:r w:rsidR="00B33C15">
        <w:rPr>
          <w:szCs w:val="26"/>
        </w:rPr>
        <w:t>-</w:t>
      </w:r>
      <w:r w:rsidRPr="00A86E6B">
        <w:rPr>
          <w:szCs w:val="26"/>
        </w:rPr>
        <w:t xml:space="preserve">break premium pay is a wage, it is not “earned” </w:t>
      </w:r>
      <w:r w:rsidR="00665FE2" w:rsidRPr="00A86E6B">
        <w:rPr>
          <w:szCs w:val="26"/>
        </w:rPr>
        <w:t>because it is not pay for time spent working</w:t>
      </w:r>
      <w:r w:rsidRPr="00A86E6B">
        <w:rPr>
          <w:szCs w:val="26"/>
        </w:rPr>
        <w:t xml:space="preserve">.  </w:t>
      </w:r>
      <w:r w:rsidR="00EC56EA" w:rsidRPr="00A86E6B">
        <w:rPr>
          <w:szCs w:val="26"/>
        </w:rPr>
        <w:t xml:space="preserve">We have discussed and rejected this same argument </w:t>
      </w:r>
      <w:r w:rsidR="007768DF">
        <w:rPr>
          <w:szCs w:val="26"/>
        </w:rPr>
        <w:t>in connection with</w:t>
      </w:r>
      <w:r w:rsidR="00EC56EA" w:rsidRPr="00A86E6B">
        <w:rPr>
          <w:szCs w:val="26"/>
        </w:rPr>
        <w:t xml:space="preserve"> Labor Code section 203, and it has no greater force here.  (See </w:t>
      </w:r>
      <w:r w:rsidR="00EC56EA" w:rsidRPr="00A86E6B">
        <w:rPr>
          <w:i/>
          <w:iCs/>
          <w:szCs w:val="26"/>
        </w:rPr>
        <w:t>ante</w:t>
      </w:r>
      <w:r w:rsidR="00EC56EA" w:rsidRPr="00A86E6B">
        <w:rPr>
          <w:szCs w:val="26"/>
        </w:rPr>
        <w:t>, p</w:t>
      </w:r>
      <w:r w:rsidR="00083FB1" w:rsidRPr="00A86E6B">
        <w:rPr>
          <w:szCs w:val="26"/>
        </w:rPr>
        <w:t>p. </w:t>
      </w:r>
      <w:r w:rsidR="00083FB1" w:rsidRPr="00D62E1B">
        <w:rPr>
          <w:szCs w:val="26"/>
        </w:rPr>
        <w:t>2</w:t>
      </w:r>
      <w:r w:rsidR="006223F1" w:rsidRPr="00D62E1B">
        <w:rPr>
          <w:szCs w:val="26"/>
        </w:rPr>
        <w:t>2</w:t>
      </w:r>
      <w:r w:rsidR="00083FB1" w:rsidRPr="00D62E1B">
        <w:rPr>
          <w:szCs w:val="26"/>
        </w:rPr>
        <w:t>–2</w:t>
      </w:r>
      <w:r w:rsidR="006223F1" w:rsidRPr="00D62E1B">
        <w:rPr>
          <w:szCs w:val="26"/>
        </w:rPr>
        <w:t>3</w:t>
      </w:r>
      <w:r w:rsidR="00083FB1" w:rsidRPr="00A86E6B">
        <w:rPr>
          <w:szCs w:val="26"/>
        </w:rPr>
        <w:t>.)</w:t>
      </w:r>
    </w:p>
    <w:p w14:paraId="09D9FDE7" w14:textId="317DACC6" w:rsidR="005407FD" w:rsidRPr="00A86E6B" w:rsidRDefault="004A416C" w:rsidP="00A86E6B">
      <w:pPr>
        <w:tabs>
          <w:tab w:val="left" w:pos="1440"/>
        </w:tabs>
        <w:ind w:firstLine="720"/>
        <w:rPr>
          <w:color w:val="222222"/>
          <w:szCs w:val="26"/>
          <w:shd w:val="clear" w:color="auto" w:fill="FFFFFF"/>
        </w:rPr>
      </w:pPr>
      <w:r w:rsidRPr="00A86E6B">
        <w:rPr>
          <w:color w:val="222222"/>
          <w:szCs w:val="26"/>
          <w:shd w:val="clear" w:color="auto" w:fill="FFFFFF"/>
        </w:rPr>
        <w:t xml:space="preserve">It is true, as Spectrum </w:t>
      </w:r>
      <w:r w:rsidR="008D536E" w:rsidRPr="00A86E6B">
        <w:rPr>
          <w:color w:val="222222"/>
          <w:szCs w:val="26"/>
          <w:shd w:val="clear" w:color="auto" w:fill="FFFFFF"/>
        </w:rPr>
        <w:t>says</w:t>
      </w:r>
      <w:r w:rsidRPr="00A86E6B">
        <w:rPr>
          <w:color w:val="222222"/>
          <w:szCs w:val="26"/>
          <w:shd w:val="clear" w:color="auto" w:fill="FFFFFF"/>
        </w:rPr>
        <w:t xml:space="preserve">, that the requirement to report </w:t>
      </w:r>
      <w:r w:rsidR="008A2FCF" w:rsidRPr="00A86E6B">
        <w:rPr>
          <w:color w:val="222222"/>
          <w:szCs w:val="26"/>
          <w:shd w:val="clear" w:color="auto" w:fill="FFFFFF"/>
        </w:rPr>
        <w:t>“</w:t>
      </w:r>
      <w:r w:rsidRPr="00A86E6B">
        <w:rPr>
          <w:color w:val="222222"/>
          <w:szCs w:val="26"/>
          <w:shd w:val="clear" w:color="auto" w:fill="FFFFFF"/>
        </w:rPr>
        <w:t>wages earned</w:t>
      </w:r>
      <w:r w:rsidR="008A2FCF" w:rsidRPr="00A86E6B">
        <w:rPr>
          <w:color w:val="222222"/>
          <w:szCs w:val="26"/>
          <w:shd w:val="clear" w:color="auto" w:fill="FFFFFF"/>
        </w:rPr>
        <w:t>”</w:t>
      </w:r>
      <w:r w:rsidRPr="00A86E6B">
        <w:rPr>
          <w:color w:val="222222"/>
          <w:szCs w:val="26"/>
          <w:shd w:val="clear" w:color="auto" w:fill="FFFFFF"/>
        </w:rPr>
        <w:t xml:space="preserve"> predates the enactment of section 226.7 and the creation of a premium pay remedy.  But nothing in the text of </w:t>
      </w:r>
      <w:r w:rsidR="00507CE4" w:rsidRPr="00A86E6B">
        <w:rPr>
          <w:color w:val="222222"/>
          <w:szCs w:val="26"/>
          <w:shd w:val="clear" w:color="auto" w:fill="FFFFFF"/>
        </w:rPr>
        <w:t>Labor Code section 226</w:t>
      </w:r>
      <w:r w:rsidRPr="00A86E6B">
        <w:rPr>
          <w:color w:val="222222"/>
          <w:szCs w:val="26"/>
          <w:shd w:val="clear" w:color="auto" w:fill="FFFFFF"/>
        </w:rPr>
        <w:t xml:space="preserve"> suggests that the reporting requirement </w:t>
      </w:r>
      <w:r w:rsidR="008E65EA" w:rsidRPr="00A86E6B">
        <w:rPr>
          <w:color w:val="222222"/>
          <w:szCs w:val="26"/>
          <w:shd w:val="clear" w:color="auto" w:fill="FFFFFF"/>
        </w:rPr>
        <w:t xml:space="preserve">is </w:t>
      </w:r>
      <w:r w:rsidRPr="00A86E6B">
        <w:rPr>
          <w:color w:val="222222"/>
          <w:szCs w:val="26"/>
          <w:shd w:val="clear" w:color="auto" w:fill="FFFFFF"/>
        </w:rPr>
        <w:t xml:space="preserve">limited to </w:t>
      </w:r>
      <w:r w:rsidR="001E4D58" w:rsidRPr="00A86E6B">
        <w:rPr>
          <w:color w:val="222222"/>
          <w:szCs w:val="26"/>
          <w:shd w:val="clear" w:color="auto" w:fill="FFFFFF"/>
        </w:rPr>
        <w:t xml:space="preserve">categories of </w:t>
      </w:r>
      <w:r w:rsidRPr="00A86E6B">
        <w:rPr>
          <w:color w:val="222222"/>
          <w:szCs w:val="26"/>
          <w:shd w:val="clear" w:color="auto" w:fill="FFFFFF"/>
        </w:rPr>
        <w:t>compensation that were known at the time the reporting requirement was enacted.</w:t>
      </w:r>
      <w:r w:rsidR="00703AD1" w:rsidRPr="00A86E6B">
        <w:rPr>
          <w:szCs w:val="26"/>
        </w:rPr>
        <w:t xml:space="preserve">  And</w:t>
      </w:r>
      <w:r w:rsidR="00F65990" w:rsidRPr="00A86E6B">
        <w:rPr>
          <w:szCs w:val="26"/>
        </w:rPr>
        <w:t xml:space="preserve"> Naranjo’s</w:t>
      </w:r>
      <w:r w:rsidR="00703AD1" w:rsidRPr="00A86E6B">
        <w:rPr>
          <w:szCs w:val="26"/>
        </w:rPr>
        <w:t xml:space="preserve"> </w:t>
      </w:r>
      <w:r w:rsidR="004C2A46" w:rsidRPr="00A86E6B">
        <w:rPr>
          <w:szCs w:val="26"/>
        </w:rPr>
        <w:t>broader</w:t>
      </w:r>
      <w:r w:rsidR="008A2FCF" w:rsidRPr="00A86E6B">
        <w:rPr>
          <w:szCs w:val="26"/>
        </w:rPr>
        <w:t xml:space="preserve"> </w:t>
      </w:r>
      <w:r w:rsidR="005D7A05" w:rsidRPr="00A86E6B">
        <w:rPr>
          <w:szCs w:val="26"/>
        </w:rPr>
        <w:t xml:space="preserve">understanding </w:t>
      </w:r>
      <w:r w:rsidR="00F65990" w:rsidRPr="00A86E6B">
        <w:rPr>
          <w:szCs w:val="26"/>
        </w:rPr>
        <w:t xml:space="preserve">of </w:t>
      </w:r>
      <w:r w:rsidR="005D7A05" w:rsidRPr="00A86E6B">
        <w:rPr>
          <w:szCs w:val="26"/>
        </w:rPr>
        <w:t xml:space="preserve">the scope of section 226’s </w:t>
      </w:r>
      <w:r w:rsidR="004C2A46" w:rsidRPr="00A86E6B">
        <w:rPr>
          <w:szCs w:val="26"/>
        </w:rPr>
        <w:t xml:space="preserve">obligation </w:t>
      </w:r>
      <w:r w:rsidR="005D7A05" w:rsidRPr="00A86E6B">
        <w:rPr>
          <w:szCs w:val="26"/>
        </w:rPr>
        <w:t>to repor</w:t>
      </w:r>
      <w:r w:rsidR="004C2A46" w:rsidRPr="00A86E6B">
        <w:rPr>
          <w:szCs w:val="26"/>
        </w:rPr>
        <w:t>t</w:t>
      </w:r>
      <w:r w:rsidR="005D7A05" w:rsidRPr="00A86E6B">
        <w:rPr>
          <w:szCs w:val="26"/>
        </w:rPr>
        <w:t xml:space="preserve"> wages earned fits </w:t>
      </w:r>
      <w:r w:rsidR="008A2FCF" w:rsidRPr="00A86E6B">
        <w:rPr>
          <w:szCs w:val="26"/>
        </w:rPr>
        <w:t xml:space="preserve">better </w:t>
      </w:r>
      <w:r w:rsidR="005D7A05" w:rsidRPr="00A86E6B">
        <w:rPr>
          <w:szCs w:val="26"/>
        </w:rPr>
        <w:t xml:space="preserve">with the </w:t>
      </w:r>
      <w:r w:rsidR="006C60F2" w:rsidRPr="00A86E6B">
        <w:rPr>
          <w:szCs w:val="26"/>
        </w:rPr>
        <w:t>“core</w:t>
      </w:r>
      <w:r w:rsidR="00BD6FBC" w:rsidRPr="00A86E6B">
        <w:rPr>
          <w:szCs w:val="26"/>
        </w:rPr>
        <w:t xml:space="preserve"> </w:t>
      </w:r>
      <w:r w:rsidR="005D7A05" w:rsidRPr="00A86E6B">
        <w:rPr>
          <w:szCs w:val="26"/>
        </w:rPr>
        <w:t>purpose</w:t>
      </w:r>
      <w:r w:rsidR="006C60F2" w:rsidRPr="00A86E6B">
        <w:rPr>
          <w:szCs w:val="26"/>
        </w:rPr>
        <w:t>”</w:t>
      </w:r>
      <w:r w:rsidR="005D7A05" w:rsidRPr="00A86E6B">
        <w:rPr>
          <w:szCs w:val="26"/>
        </w:rPr>
        <w:t xml:space="preserve"> </w:t>
      </w:r>
      <w:r w:rsidR="00942941" w:rsidRPr="00A86E6B">
        <w:rPr>
          <w:szCs w:val="26"/>
        </w:rPr>
        <w:t>behind</w:t>
      </w:r>
      <w:r w:rsidR="005D7A05" w:rsidRPr="00A86E6B">
        <w:rPr>
          <w:szCs w:val="26"/>
        </w:rPr>
        <w:t xml:space="preserve"> requir</w:t>
      </w:r>
      <w:r w:rsidR="006C60F2" w:rsidRPr="00A86E6B">
        <w:rPr>
          <w:szCs w:val="26"/>
        </w:rPr>
        <w:t xml:space="preserve">ing </w:t>
      </w:r>
      <w:r w:rsidR="00942941" w:rsidRPr="00A86E6B">
        <w:rPr>
          <w:szCs w:val="26"/>
        </w:rPr>
        <w:t>an employer to “ ‘ </w:t>
      </w:r>
      <w:r w:rsidR="008F5EE9" w:rsidRPr="00A86E6B">
        <w:rPr>
          <w:color w:val="222222"/>
          <w:szCs w:val="26"/>
          <w:shd w:val="clear" w:color="auto" w:fill="FFFFFF"/>
        </w:rPr>
        <w:t>“document[] the basis of the employee compensation payments”</w:t>
      </w:r>
      <w:r w:rsidR="00942941" w:rsidRPr="00A86E6B">
        <w:rPr>
          <w:color w:val="222222"/>
          <w:szCs w:val="26"/>
          <w:shd w:val="clear" w:color="auto" w:fill="FFFFFF"/>
        </w:rPr>
        <w:t xml:space="preserve"> ’ ” — to enable employees to </w:t>
      </w:r>
      <w:r w:rsidR="004C2A46" w:rsidRPr="00A86E6B">
        <w:rPr>
          <w:color w:val="222222"/>
          <w:szCs w:val="26"/>
          <w:shd w:val="clear" w:color="auto" w:fill="FFFFFF"/>
        </w:rPr>
        <w:t>verify they have been compensated properly, without shortchanging or improper deduction.</w:t>
      </w:r>
      <w:r w:rsidR="00116334" w:rsidRPr="00A86E6B">
        <w:rPr>
          <w:color w:val="222222"/>
          <w:szCs w:val="26"/>
          <w:shd w:val="clear" w:color="auto" w:fill="FFFFFF"/>
        </w:rPr>
        <w:t xml:space="preserve">  (</w:t>
      </w:r>
      <w:r w:rsidR="00116334" w:rsidRPr="00A86E6B">
        <w:rPr>
          <w:i/>
          <w:iCs/>
          <w:color w:val="222222"/>
          <w:szCs w:val="26"/>
          <w:shd w:val="clear" w:color="auto" w:fill="FFFFFF"/>
        </w:rPr>
        <w:t>Ward v. United Airlines, Inc.</w:t>
      </w:r>
      <w:r w:rsidR="00CA2C85" w:rsidRPr="00A86E6B">
        <w:rPr>
          <w:color w:val="222222"/>
          <w:szCs w:val="26"/>
          <w:shd w:val="clear" w:color="auto" w:fill="FFFFFF"/>
        </w:rPr>
        <w:t xml:space="preserve">, </w:t>
      </w:r>
      <w:r w:rsidR="00CA2C85" w:rsidRPr="00A86E6B">
        <w:rPr>
          <w:i/>
          <w:iCs/>
          <w:color w:val="222222"/>
          <w:szCs w:val="26"/>
          <w:shd w:val="clear" w:color="auto" w:fill="FFFFFF"/>
        </w:rPr>
        <w:t>supra</w:t>
      </w:r>
      <w:r w:rsidR="00CA2C85" w:rsidRPr="00A86E6B">
        <w:rPr>
          <w:color w:val="222222"/>
          <w:szCs w:val="26"/>
          <w:shd w:val="clear" w:color="auto" w:fill="FFFFFF"/>
        </w:rPr>
        <w:t xml:space="preserve">, </w:t>
      </w:r>
      <w:r w:rsidR="00116334" w:rsidRPr="00A86E6B">
        <w:rPr>
          <w:color w:val="222222"/>
          <w:szCs w:val="26"/>
          <w:shd w:val="clear" w:color="auto" w:fill="FFFFFF"/>
        </w:rPr>
        <w:t xml:space="preserve">9 Cal.5th </w:t>
      </w:r>
      <w:r w:rsidR="00CA2C85" w:rsidRPr="00A86E6B">
        <w:rPr>
          <w:color w:val="222222"/>
          <w:szCs w:val="26"/>
          <w:shd w:val="clear" w:color="auto" w:fill="FFFFFF"/>
        </w:rPr>
        <w:t>at p. </w:t>
      </w:r>
      <w:r w:rsidR="00116334" w:rsidRPr="00A86E6B">
        <w:rPr>
          <w:color w:val="222222"/>
          <w:szCs w:val="26"/>
          <w:shd w:val="clear" w:color="auto" w:fill="FFFFFF"/>
        </w:rPr>
        <w:t>752</w:t>
      </w:r>
      <w:r w:rsidR="004C2A46" w:rsidRPr="00A86E6B">
        <w:rPr>
          <w:color w:val="222222"/>
          <w:szCs w:val="26"/>
          <w:shd w:val="clear" w:color="auto" w:fill="FFFFFF"/>
        </w:rPr>
        <w:t>; s</w:t>
      </w:r>
      <w:r w:rsidR="00116334" w:rsidRPr="00A86E6B">
        <w:rPr>
          <w:color w:val="222222"/>
          <w:szCs w:val="26"/>
          <w:shd w:val="clear" w:color="auto" w:fill="FFFFFF"/>
        </w:rPr>
        <w:t xml:space="preserve">ee </w:t>
      </w:r>
      <w:r w:rsidR="00116334" w:rsidRPr="00A86E6B">
        <w:rPr>
          <w:i/>
          <w:iCs/>
          <w:color w:val="222222"/>
          <w:szCs w:val="26"/>
          <w:shd w:val="clear" w:color="auto" w:fill="FFFFFF"/>
        </w:rPr>
        <w:t>id.</w:t>
      </w:r>
      <w:r w:rsidR="00116334" w:rsidRPr="00A86E6B">
        <w:rPr>
          <w:color w:val="222222"/>
          <w:szCs w:val="26"/>
          <w:shd w:val="clear" w:color="auto" w:fill="FFFFFF"/>
        </w:rPr>
        <w:t xml:space="preserve"> at pp. 752–753, 755.)</w:t>
      </w:r>
      <w:r w:rsidR="002849FB" w:rsidRPr="00A86E6B">
        <w:rPr>
          <w:rStyle w:val="FootnoteReference"/>
          <w:color w:val="222222"/>
          <w:szCs w:val="26"/>
          <w:shd w:val="clear" w:color="auto" w:fill="FFFFFF"/>
        </w:rPr>
        <w:footnoteReference w:id="11"/>
      </w:r>
      <w:r w:rsidR="00116334" w:rsidRPr="00A86E6B">
        <w:rPr>
          <w:color w:val="222222"/>
          <w:szCs w:val="26"/>
          <w:shd w:val="clear" w:color="auto" w:fill="FFFFFF"/>
        </w:rPr>
        <w:t xml:space="preserve"> </w:t>
      </w:r>
      <w:r w:rsidR="00B35106" w:rsidRPr="00A86E6B">
        <w:rPr>
          <w:color w:val="222222"/>
          <w:szCs w:val="26"/>
          <w:shd w:val="clear" w:color="auto" w:fill="FFFFFF"/>
        </w:rPr>
        <w:t xml:space="preserve"> </w:t>
      </w:r>
      <w:r w:rsidR="0076315B" w:rsidRPr="00A86E6B">
        <w:rPr>
          <w:color w:val="222222"/>
          <w:szCs w:val="26"/>
          <w:shd w:val="clear" w:color="auto" w:fill="FFFFFF"/>
        </w:rPr>
        <w:t>T</w:t>
      </w:r>
      <w:r w:rsidR="00F65990" w:rsidRPr="00A86E6B">
        <w:rPr>
          <w:color w:val="222222"/>
          <w:szCs w:val="26"/>
          <w:shd w:val="clear" w:color="auto" w:fill="FFFFFF"/>
        </w:rPr>
        <w:t xml:space="preserve">his </w:t>
      </w:r>
      <w:r w:rsidR="00116334" w:rsidRPr="00A86E6B">
        <w:rPr>
          <w:color w:val="222222"/>
          <w:szCs w:val="26"/>
          <w:shd w:val="clear" w:color="auto" w:fill="FFFFFF"/>
        </w:rPr>
        <w:t xml:space="preserve">purpose would </w:t>
      </w:r>
      <w:r w:rsidR="0076315B" w:rsidRPr="00A86E6B">
        <w:rPr>
          <w:color w:val="222222"/>
          <w:szCs w:val="26"/>
          <w:shd w:val="clear" w:color="auto" w:fill="FFFFFF"/>
        </w:rPr>
        <w:t xml:space="preserve">not </w:t>
      </w:r>
      <w:r w:rsidR="00116334" w:rsidRPr="00A86E6B">
        <w:rPr>
          <w:color w:val="222222"/>
          <w:szCs w:val="26"/>
          <w:shd w:val="clear" w:color="auto" w:fill="FFFFFF"/>
        </w:rPr>
        <w:t>be served by read</w:t>
      </w:r>
      <w:r w:rsidR="00572775" w:rsidRPr="00A86E6B">
        <w:rPr>
          <w:color w:val="222222"/>
          <w:szCs w:val="26"/>
          <w:shd w:val="clear" w:color="auto" w:fill="FFFFFF"/>
        </w:rPr>
        <w:t>ing</w:t>
      </w:r>
      <w:r w:rsidR="00116334" w:rsidRPr="00A86E6B">
        <w:rPr>
          <w:color w:val="222222"/>
          <w:szCs w:val="26"/>
          <w:shd w:val="clear" w:color="auto" w:fill="FFFFFF"/>
        </w:rPr>
        <w:t xml:space="preserve"> into the choice of the word “earned” a distinction between different kinds of wages </w:t>
      </w:r>
      <w:r w:rsidR="00010478" w:rsidRPr="00A86E6B">
        <w:rPr>
          <w:color w:val="222222"/>
          <w:szCs w:val="26"/>
          <w:shd w:val="clear" w:color="auto" w:fill="FFFFFF"/>
        </w:rPr>
        <w:t>presently owed</w:t>
      </w:r>
      <w:r w:rsidR="00B8498B" w:rsidRPr="00A86E6B">
        <w:rPr>
          <w:color w:val="222222"/>
          <w:szCs w:val="26"/>
          <w:shd w:val="clear" w:color="auto" w:fill="FFFFFF"/>
        </w:rPr>
        <w:t>, depending on how the employee became entitled to them</w:t>
      </w:r>
      <w:r w:rsidR="00F505CE" w:rsidRPr="00A86E6B">
        <w:rPr>
          <w:color w:val="222222"/>
          <w:szCs w:val="26"/>
          <w:shd w:val="clear" w:color="auto" w:fill="FFFFFF"/>
        </w:rPr>
        <w:t> </w:t>
      </w:r>
      <w:r w:rsidR="00CE180A" w:rsidRPr="00A86E6B">
        <w:rPr>
          <w:color w:val="222222"/>
          <w:szCs w:val="26"/>
          <w:shd w:val="clear" w:color="auto" w:fill="FFFFFF"/>
        </w:rPr>
        <w:t>— whether because of missed breaks or otherwise.</w:t>
      </w:r>
    </w:p>
    <w:p w14:paraId="015F6C1B" w14:textId="08BDE2E1" w:rsidR="00EB0FC1" w:rsidRPr="00A86E6B" w:rsidRDefault="00132310" w:rsidP="00A86E6B">
      <w:pPr>
        <w:tabs>
          <w:tab w:val="left" w:pos="1440"/>
        </w:tabs>
        <w:ind w:firstLine="720"/>
        <w:rPr>
          <w:szCs w:val="26"/>
        </w:rPr>
      </w:pPr>
      <w:r w:rsidRPr="00A86E6B">
        <w:rPr>
          <w:szCs w:val="26"/>
        </w:rPr>
        <w:t xml:space="preserve">Spectrum </w:t>
      </w:r>
      <w:r w:rsidR="00EF3CC9">
        <w:rPr>
          <w:szCs w:val="26"/>
        </w:rPr>
        <w:t xml:space="preserve">next </w:t>
      </w:r>
      <w:r w:rsidRPr="00A86E6B">
        <w:rPr>
          <w:szCs w:val="26"/>
        </w:rPr>
        <w:t xml:space="preserve">argues it </w:t>
      </w:r>
      <w:r w:rsidR="00A03416" w:rsidRPr="00A86E6B">
        <w:rPr>
          <w:szCs w:val="26"/>
        </w:rPr>
        <w:t>cannot be liable for violating Labor Code section 226 based on failure to report missed</w:t>
      </w:r>
      <w:r w:rsidR="00B33C15">
        <w:rPr>
          <w:szCs w:val="26"/>
        </w:rPr>
        <w:t>-</w:t>
      </w:r>
      <w:r w:rsidR="00A03416" w:rsidRPr="00A86E6B">
        <w:rPr>
          <w:szCs w:val="26"/>
        </w:rPr>
        <w:t xml:space="preserve">break premium pay on employee wage statements because these amounts were not actually paid, but </w:t>
      </w:r>
      <w:r w:rsidR="003642B7">
        <w:rPr>
          <w:szCs w:val="26"/>
        </w:rPr>
        <w:t xml:space="preserve">were </w:t>
      </w:r>
      <w:r w:rsidR="000E7E19" w:rsidRPr="00A86E6B">
        <w:rPr>
          <w:szCs w:val="26"/>
        </w:rPr>
        <w:t xml:space="preserve">instead </w:t>
      </w:r>
      <w:r w:rsidR="00A03416" w:rsidRPr="00A86E6B">
        <w:rPr>
          <w:szCs w:val="26"/>
        </w:rPr>
        <w:t>(illegally) withheld</w:t>
      </w:r>
      <w:r w:rsidR="00CE57FD" w:rsidRPr="00A86E6B">
        <w:rPr>
          <w:szCs w:val="26"/>
        </w:rPr>
        <w:t>, and nothing in the statute requires that an employer report amounts not paid during a pay period.</w:t>
      </w:r>
      <w:r w:rsidR="00A03416" w:rsidRPr="00A86E6B">
        <w:rPr>
          <w:szCs w:val="26"/>
        </w:rPr>
        <w:t xml:space="preserve">  </w:t>
      </w:r>
    </w:p>
    <w:p w14:paraId="66A817C3" w14:textId="6C60CEBE" w:rsidR="00C349CA" w:rsidRPr="00A86E6B" w:rsidRDefault="000F3D83" w:rsidP="00A86E6B">
      <w:pPr>
        <w:tabs>
          <w:tab w:val="left" w:pos="1440"/>
        </w:tabs>
        <w:ind w:firstLine="720"/>
        <w:rPr>
          <w:color w:val="333333"/>
          <w:szCs w:val="26"/>
          <w:shd w:val="clear" w:color="auto" w:fill="FFFFFF"/>
        </w:rPr>
      </w:pPr>
      <w:r>
        <w:rPr>
          <w:szCs w:val="26"/>
        </w:rPr>
        <w:t xml:space="preserve">This </w:t>
      </w:r>
      <w:r w:rsidR="00FE4D92" w:rsidRPr="00A86E6B">
        <w:rPr>
          <w:szCs w:val="26"/>
        </w:rPr>
        <w:t xml:space="preserve">argument </w:t>
      </w:r>
      <w:r w:rsidR="00FB185E" w:rsidRPr="00A86E6B">
        <w:rPr>
          <w:szCs w:val="26"/>
        </w:rPr>
        <w:t xml:space="preserve">ignores </w:t>
      </w:r>
      <w:r w:rsidR="00FE4D92" w:rsidRPr="00A86E6B">
        <w:rPr>
          <w:szCs w:val="26"/>
        </w:rPr>
        <w:t xml:space="preserve">the statutory text.  </w:t>
      </w:r>
      <w:r w:rsidR="0097513F" w:rsidRPr="00A86E6B">
        <w:rPr>
          <w:szCs w:val="26"/>
        </w:rPr>
        <w:t xml:space="preserve">Labor Code section 226 </w:t>
      </w:r>
      <w:r w:rsidR="003266D9" w:rsidRPr="00A86E6B">
        <w:rPr>
          <w:szCs w:val="26"/>
        </w:rPr>
        <w:t xml:space="preserve">does not require employers to report </w:t>
      </w:r>
      <w:r w:rsidR="00D633B8">
        <w:rPr>
          <w:szCs w:val="26"/>
        </w:rPr>
        <w:t xml:space="preserve">only those </w:t>
      </w:r>
      <w:r w:rsidR="003266D9" w:rsidRPr="00A86E6B">
        <w:rPr>
          <w:szCs w:val="26"/>
        </w:rPr>
        <w:t xml:space="preserve">amounts </w:t>
      </w:r>
      <w:r w:rsidR="00D633B8">
        <w:rPr>
          <w:szCs w:val="26"/>
        </w:rPr>
        <w:t>it deigns to pay</w:t>
      </w:r>
      <w:r w:rsidR="003266D9" w:rsidRPr="00A86E6B">
        <w:rPr>
          <w:szCs w:val="26"/>
        </w:rPr>
        <w:t xml:space="preserve">; </w:t>
      </w:r>
      <w:r w:rsidR="005407FD" w:rsidRPr="00A86E6B">
        <w:rPr>
          <w:szCs w:val="26"/>
        </w:rPr>
        <w:t xml:space="preserve">rather, </w:t>
      </w:r>
      <w:r w:rsidR="003266D9" w:rsidRPr="00A86E6B">
        <w:rPr>
          <w:szCs w:val="26"/>
        </w:rPr>
        <w:t xml:space="preserve">it </w:t>
      </w:r>
      <w:r w:rsidR="0097513F" w:rsidRPr="00A86E6B">
        <w:rPr>
          <w:szCs w:val="26"/>
        </w:rPr>
        <w:t>requires an employer to accompany “</w:t>
      </w:r>
      <w:r w:rsidR="0097513F" w:rsidRPr="00A86E6B">
        <w:rPr>
          <w:color w:val="333333"/>
          <w:szCs w:val="26"/>
          <w:shd w:val="clear" w:color="auto" w:fill="FFFFFF"/>
        </w:rPr>
        <w:t>each payment of wages” with “an accurate itemized statement” specifying, among other details, the “gross wages earned” and “net wage</w:t>
      </w:r>
      <w:r w:rsidR="002D7C1C">
        <w:rPr>
          <w:color w:val="333333"/>
          <w:szCs w:val="26"/>
          <w:shd w:val="clear" w:color="auto" w:fill="FFFFFF"/>
        </w:rPr>
        <w:t>s</w:t>
      </w:r>
      <w:r w:rsidR="0097513F" w:rsidRPr="00A86E6B">
        <w:rPr>
          <w:color w:val="333333"/>
          <w:szCs w:val="26"/>
          <w:shd w:val="clear" w:color="auto" w:fill="FFFFFF"/>
        </w:rPr>
        <w:t xml:space="preserve"> earned” — </w:t>
      </w:r>
      <w:r w:rsidR="003266D9" w:rsidRPr="00A86E6B">
        <w:rPr>
          <w:color w:val="333333"/>
          <w:szCs w:val="26"/>
          <w:shd w:val="clear" w:color="auto" w:fill="FFFFFF"/>
        </w:rPr>
        <w:t xml:space="preserve">in other words, </w:t>
      </w:r>
      <w:r w:rsidR="00010478" w:rsidRPr="00A86E6B">
        <w:rPr>
          <w:color w:val="333333"/>
          <w:szCs w:val="26"/>
          <w:shd w:val="clear" w:color="auto" w:fill="FFFFFF"/>
        </w:rPr>
        <w:t xml:space="preserve">all amounts </w:t>
      </w:r>
      <w:r w:rsidR="00EC74C2" w:rsidRPr="00A86E6B">
        <w:rPr>
          <w:color w:val="333333"/>
          <w:szCs w:val="26"/>
          <w:shd w:val="clear" w:color="auto" w:fill="FFFFFF"/>
        </w:rPr>
        <w:t xml:space="preserve">earned and now </w:t>
      </w:r>
      <w:r w:rsidR="00010478" w:rsidRPr="00A86E6B">
        <w:rPr>
          <w:color w:val="333333"/>
          <w:szCs w:val="26"/>
          <w:shd w:val="clear" w:color="auto" w:fill="FFFFFF"/>
        </w:rPr>
        <w:t>ow</w:t>
      </w:r>
      <w:r w:rsidR="003939CC" w:rsidRPr="00A86E6B">
        <w:rPr>
          <w:color w:val="333333"/>
          <w:szCs w:val="26"/>
          <w:shd w:val="clear" w:color="auto" w:fill="FFFFFF"/>
        </w:rPr>
        <w:t>ing</w:t>
      </w:r>
      <w:r w:rsidR="00010478" w:rsidRPr="00A86E6B">
        <w:rPr>
          <w:color w:val="333333"/>
          <w:szCs w:val="26"/>
          <w:shd w:val="clear" w:color="auto" w:fill="FFFFFF"/>
        </w:rPr>
        <w:t xml:space="preserve">, </w:t>
      </w:r>
      <w:r w:rsidR="0097513F" w:rsidRPr="00A86E6B">
        <w:rPr>
          <w:color w:val="333333"/>
          <w:szCs w:val="26"/>
          <w:shd w:val="clear" w:color="auto" w:fill="FFFFFF"/>
        </w:rPr>
        <w:t xml:space="preserve">not just </w:t>
      </w:r>
      <w:r w:rsidR="00010478" w:rsidRPr="00A86E6B">
        <w:rPr>
          <w:color w:val="333333"/>
          <w:szCs w:val="26"/>
          <w:shd w:val="clear" w:color="auto" w:fill="FFFFFF"/>
        </w:rPr>
        <w:t>those amounts</w:t>
      </w:r>
      <w:r w:rsidR="0097513F" w:rsidRPr="00A86E6B">
        <w:rPr>
          <w:color w:val="333333"/>
          <w:szCs w:val="26"/>
          <w:shd w:val="clear" w:color="auto" w:fill="FFFFFF"/>
        </w:rPr>
        <w:t xml:space="preserve"> </w:t>
      </w:r>
      <w:r w:rsidR="00D633B8">
        <w:rPr>
          <w:color w:val="333333"/>
          <w:szCs w:val="26"/>
          <w:shd w:val="clear" w:color="auto" w:fill="FFFFFF"/>
        </w:rPr>
        <w:t xml:space="preserve">actually </w:t>
      </w:r>
      <w:r w:rsidR="0097513F" w:rsidRPr="00A86E6B">
        <w:rPr>
          <w:color w:val="333333"/>
          <w:szCs w:val="26"/>
          <w:shd w:val="clear" w:color="auto" w:fill="FFFFFF"/>
        </w:rPr>
        <w:t>paid.  (</w:t>
      </w:r>
      <w:r w:rsidR="00CA2C85" w:rsidRPr="00A86E6B">
        <w:rPr>
          <w:color w:val="333333"/>
          <w:szCs w:val="26"/>
          <w:shd w:val="clear" w:color="auto" w:fill="FFFFFF"/>
        </w:rPr>
        <w:t xml:space="preserve">Lab. Code, </w:t>
      </w:r>
      <w:r w:rsidR="0097513F" w:rsidRPr="00A86E6B">
        <w:rPr>
          <w:color w:val="333333"/>
          <w:szCs w:val="26"/>
          <w:shd w:val="clear" w:color="auto" w:fill="FFFFFF"/>
        </w:rPr>
        <w:t xml:space="preserve">§ 226, subd. (a).)  A statement that conceals amounts earned, on the ground that they also were not paid, is </w:t>
      </w:r>
      <w:r w:rsidR="004C44BB" w:rsidRPr="00A86E6B">
        <w:rPr>
          <w:color w:val="333333"/>
          <w:szCs w:val="26"/>
          <w:shd w:val="clear" w:color="auto" w:fill="FFFFFF"/>
        </w:rPr>
        <w:t xml:space="preserve">not an </w:t>
      </w:r>
      <w:r w:rsidR="0097513F" w:rsidRPr="00A86E6B">
        <w:rPr>
          <w:color w:val="333333"/>
          <w:szCs w:val="26"/>
          <w:shd w:val="clear" w:color="auto" w:fill="FFFFFF"/>
        </w:rPr>
        <w:t>accurate</w:t>
      </w:r>
      <w:r w:rsidR="00C349CA" w:rsidRPr="00A86E6B">
        <w:rPr>
          <w:color w:val="333333"/>
          <w:szCs w:val="26"/>
          <w:shd w:val="clear" w:color="auto" w:fill="FFFFFF"/>
        </w:rPr>
        <w:t xml:space="preserve"> </w:t>
      </w:r>
      <w:r w:rsidR="004C44BB" w:rsidRPr="00A86E6B">
        <w:rPr>
          <w:color w:val="333333"/>
          <w:szCs w:val="26"/>
          <w:shd w:val="clear" w:color="auto" w:fill="FFFFFF"/>
        </w:rPr>
        <w:t>statement</w:t>
      </w:r>
      <w:r w:rsidR="002D0DFF" w:rsidRPr="00A86E6B">
        <w:rPr>
          <w:color w:val="333333"/>
          <w:szCs w:val="26"/>
          <w:shd w:val="clear" w:color="auto" w:fill="FFFFFF"/>
        </w:rPr>
        <w:t>, and it does not comply with the statute.</w:t>
      </w:r>
      <w:r w:rsidR="00D046D3" w:rsidRPr="00A86E6B">
        <w:rPr>
          <w:rStyle w:val="FootnoteReference"/>
          <w:color w:val="333333"/>
          <w:szCs w:val="26"/>
          <w:shd w:val="clear" w:color="auto" w:fill="FFFFFF"/>
        </w:rPr>
        <w:footnoteReference w:id="12"/>
      </w:r>
    </w:p>
    <w:p w14:paraId="38EAD78D" w14:textId="691EF277" w:rsidR="00083FB1" w:rsidRPr="00A86E6B" w:rsidRDefault="00E35165" w:rsidP="00A86E6B">
      <w:pPr>
        <w:tabs>
          <w:tab w:val="left" w:pos="1440"/>
        </w:tabs>
        <w:ind w:firstLine="720"/>
        <w:rPr>
          <w:color w:val="333333"/>
          <w:szCs w:val="26"/>
          <w:shd w:val="clear" w:color="auto" w:fill="FFFFFF"/>
        </w:rPr>
      </w:pPr>
      <w:r w:rsidRPr="00A86E6B">
        <w:rPr>
          <w:color w:val="333333"/>
          <w:szCs w:val="26"/>
          <w:shd w:val="clear" w:color="auto" w:fill="FFFFFF"/>
        </w:rPr>
        <w:t>Spectrum</w:t>
      </w:r>
      <w:r w:rsidR="006A5F19" w:rsidRPr="00A86E6B">
        <w:rPr>
          <w:color w:val="333333"/>
          <w:szCs w:val="26"/>
          <w:shd w:val="clear" w:color="auto" w:fill="FFFFFF"/>
        </w:rPr>
        <w:t xml:space="preserve"> </w:t>
      </w:r>
      <w:r w:rsidR="009F52FA">
        <w:rPr>
          <w:color w:val="333333"/>
          <w:szCs w:val="26"/>
          <w:shd w:val="clear" w:color="auto" w:fill="FFFFFF"/>
        </w:rPr>
        <w:t>look</w:t>
      </w:r>
      <w:r w:rsidR="006A5F19" w:rsidRPr="00A86E6B">
        <w:rPr>
          <w:color w:val="333333"/>
          <w:szCs w:val="26"/>
          <w:shd w:val="clear" w:color="auto" w:fill="FFFFFF"/>
        </w:rPr>
        <w:t xml:space="preserve">s to case law </w:t>
      </w:r>
      <w:r w:rsidR="009F52FA">
        <w:rPr>
          <w:color w:val="333333"/>
          <w:szCs w:val="26"/>
          <w:shd w:val="clear" w:color="auto" w:fill="FFFFFF"/>
        </w:rPr>
        <w:t>to</w:t>
      </w:r>
      <w:r w:rsidR="006A5F19" w:rsidRPr="00A86E6B">
        <w:rPr>
          <w:color w:val="333333"/>
          <w:szCs w:val="26"/>
          <w:shd w:val="clear" w:color="auto" w:fill="FFFFFF"/>
        </w:rPr>
        <w:t xml:space="preserve"> support</w:t>
      </w:r>
      <w:r w:rsidR="00917C10" w:rsidRPr="00A86E6B">
        <w:rPr>
          <w:color w:val="333333"/>
          <w:szCs w:val="26"/>
          <w:shd w:val="clear" w:color="auto" w:fill="FFFFFF"/>
        </w:rPr>
        <w:t xml:space="preserve"> its unlikely reading of Labor Code section 226</w:t>
      </w:r>
      <w:r w:rsidR="006A5F19" w:rsidRPr="00A86E6B">
        <w:rPr>
          <w:color w:val="333333"/>
          <w:szCs w:val="26"/>
          <w:shd w:val="clear" w:color="auto" w:fill="FFFFFF"/>
        </w:rPr>
        <w:t xml:space="preserve"> but finds no</w:t>
      </w:r>
      <w:r w:rsidR="009F52FA">
        <w:rPr>
          <w:color w:val="333333"/>
          <w:szCs w:val="26"/>
          <w:shd w:val="clear" w:color="auto" w:fill="FFFFFF"/>
        </w:rPr>
        <w:t xml:space="preserve"> help</w:t>
      </w:r>
      <w:r w:rsidR="006A5F19" w:rsidRPr="00A86E6B">
        <w:rPr>
          <w:color w:val="333333"/>
          <w:szCs w:val="26"/>
          <w:shd w:val="clear" w:color="auto" w:fill="FFFFFF"/>
        </w:rPr>
        <w:t xml:space="preserve"> there.  </w:t>
      </w:r>
      <w:r w:rsidR="000C67A4" w:rsidRPr="00A86E6B">
        <w:rPr>
          <w:color w:val="333333"/>
          <w:szCs w:val="26"/>
          <w:shd w:val="clear" w:color="auto" w:fill="FFFFFF"/>
        </w:rPr>
        <w:t>T</w:t>
      </w:r>
      <w:r w:rsidR="00756A40" w:rsidRPr="00A86E6B">
        <w:rPr>
          <w:color w:val="333333"/>
          <w:szCs w:val="26"/>
          <w:shd w:val="clear" w:color="auto" w:fill="FFFFFF"/>
        </w:rPr>
        <w:t>h</w:t>
      </w:r>
      <w:r w:rsidR="004E407D" w:rsidRPr="00A86E6B">
        <w:rPr>
          <w:color w:val="333333"/>
          <w:szCs w:val="26"/>
          <w:shd w:val="clear" w:color="auto" w:fill="FFFFFF"/>
        </w:rPr>
        <w:t>ough the</w:t>
      </w:r>
      <w:r w:rsidR="00756A40" w:rsidRPr="00A86E6B">
        <w:rPr>
          <w:color w:val="333333"/>
          <w:szCs w:val="26"/>
          <w:shd w:val="clear" w:color="auto" w:fill="FFFFFF"/>
        </w:rPr>
        <w:t xml:space="preserve"> Court of Appeal </w:t>
      </w:r>
      <w:r w:rsidR="000C67A4" w:rsidRPr="00A86E6B">
        <w:rPr>
          <w:color w:val="333333"/>
          <w:szCs w:val="26"/>
          <w:shd w:val="clear" w:color="auto" w:fill="FFFFFF"/>
        </w:rPr>
        <w:t xml:space="preserve">in this case </w:t>
      </w:r>
      <w:r w:rsidR="004E407D" w:rsidRPr="00A86E6B">
        <w:rPr>
          <w:color w:val="333333"/>
          <w:szCs w:val="26"/>
          <w:shd w:val="clear" w:color="auto" w:fill="FFFFFF"/>
        </w:rPr>
        <w:t xml:space="preserve">agreed </w:t>
      </w:r>
      <w:r w:rsidR="008256FD" w:rsidRPr="00A86E6B">
        <w:rPr>
          <w:color w:val="333333"/>
          <w:szCs w:val="26"/>
          <w:shd w:val="clear" w:color="auto" w:fill="FFFFFF"/>
        </w:rPr>
        <w:t>with Spectrum</w:t>
      </w:r>
      <w:r w:rsidR="008A2FCF" w:rsidRPr="00A86E6B">
        <w:rPr>
          <w:color w:val="333333"/>
          <w:szCs w:val="26"/>
          <w:shd w:val="clear" w:color="auto" w:fill="FFFFFF"/>
        </w:rPr>
        <w:t> </w:t>
      </w:r>
      <w:r w:rsidR="004E407D" w:rsidRPr="00A86E6B">
        <w:rPr>
          <w:color w:val="333333"/>
          <w:szCs w:val="26"/>
          <w:shd w:val="clear" w:color="auto" w:fill="FFFFFF"/>
        </w:rPr>
        <w:t>— incorrectly</w:t>
      </w:r>
      <w:r w:rsidR="008A2FCF" w:rsidRPr="00A86E6B">
        <w:rPr>
          <w:color w:val="333333"/>
          <w:szCs w:val="26"/>
          <w:shd w:val="clear" w:color="auto" w:fill="FFFFFF"/>
        </w:rPr>
        <w:t> </w:t>
      </w:r>
      <w:r w:rsidR="004E407D" w:rsidRPr="00A86E6B">
        <w:rPr>
          <w:color w:val="333333"/>
          <w:szCs w:val="26"/>
          <w:shd w:val="clear" w:color="auto" w:fill="FFFFFF"/>
        </w:rPr>
        <w:t xml:space="preserve">— that </w:t>
      </w:r>
      <w:r w:rsidR="00B20A9F" w:rsidRPr="00A86E6B">
        <w:rPr>
          <w:color w:val="333333"/>
          <w:szCs w:val="26"/>
          <w:shd w:val="clear" w:color="auto" w:fill="FFFFFF"/>
        </w:rPr>
        <w:t>missed</w:t>
      </w:r>
      <w:r w:rsidR="00B33C15">
        <w:rPr>
          <w:color w:val="333333"/>
          <w:szCs w:val="26"/>
          <w:shd w:val="clear" w:color="auto" w:fill="FFFFFF"/>
        </w:rPr>
        <w:t>-</w:t>
      </w:r>
      <w:r w:rsidR="00B20A9F" w:rsidRPr="00A86E6B">
        <w:rPr>
          <w:color w:val="333333"/>
          <w:szCs w:val="26"/>
          <w:shd w:val="clear" w:color="auto" w:fill="FFFFFF"/>
        </w:rPr>
        <w:t xml:space="preserve">break premium pay cannot constitute wages, the court </w:t>
      </w:r>
      <w:r w:rsidR="00837757" w:rsidRPr="00A86E6B">
        <w:rPr>
          <w:color w:val="333333"/>
          <w:szCs w:val="26"/>
          <w:shd w:val="clear" w:color="auto" w:fill="FFFFFF"/>
        </w:rPr>
        <w:t xml:space="preserve">still </w:t>
      </w:r>
      <w:r w:rsidR="00756A40" w:rsidRPr="00A86E6B">
        <w:rPr>
          <w:color w:val="333333"/>
          <w:szCs w:val="26"/>
          <w:shd w:val="clear" w:color="auto" w:fill="FFFFFF"/>
        </w:rPr>
        <w:t>recognized that an itemized wage statement that “omit</w:t>
      </w:r>
      <w:r w:rsidR="00837757" w:rsidRPr="00A86E6B">
        <w:rPr>
          <w:color w:val="333333"/>
          <w:szCs w:val="26"/>
          <w:shd w:val="clear" w:color="auto" w:fill="FFFFFF"/>
        </w:rPr>
        <w:t>s</w:t>
      </w:r>
      <w:r w:rsidR="00756A40" w:rsidRPr="00A86E6B">
        <w:rPr>
          <w:color w:val="333333"/>
          <w:szCs w:val="26"/>
          <w:shd w:val="clear" w:color="auto" w:fill="FFFFFF"/>
        </w:rPr>
        <w:t xml:space="preserve"> gross and net ‘wages earned’ ” would run afoul of Labor Code section 226’s requirements.  (</w:t>
      </w:r>
      <w:r w:rsidR="00756A40" w:rsidRPr="00A86E6B">
        <w:rPr>
          <w:i/>
          <w:iCs/>
          <w:color w:val="333333"/>
          <w:szCs w:val="26"/>
          <w:shd w:val="clear" w:color="auto" w:fill="FFFFFF"/>
        </w:rPr>
        <w:t>Naranjo</w:t>
      </w:r>
      <w:r w:rsidR="0098437A">
        <w:rPr>
          <w:i/>
          <w:iCs/>
          <w:color w:val="333333"/>
          <w:szCs w:val="26"/>
          <w:shd w:val="clear" w:color="auto" w:fill="FFFFFF"/>
        </w:rPr>
        <w:t> </w:t>
      </w:r>
      <w:r w:rsidR="00756A40" w:rsidRPr="00A86E6B">
        <w:rPr>
          <w:i/>
          <w:iCs/>
          <w:color w:val="333333"/>
          <w:szCs w:val="26"/>
          <w:shd w:val="clear" w:color="auto" w:fill="FFFFFF"/>
        </w:rPr>
        <w:t>II</w:t>
      </w:r>
      <w:r w:rsidR="00756A40" w:rsidRPr="00A86E6B">
        <w:rPr>
          <w:color w:val="333333"/>
          <w:szCs w:val="26"/>
          <w:shd w:val="clear" w:color="auto" w:fill="FFFFFF"/>
        </w:rPr>
        <w:t xml:space="preserve">, </w:t>
      </w:r>
      <w:r w:rsidR="00756A40" w:rsidRPr="00A86E6B">
        <w:rPr>
          <w:i/>
          <w:iCs/>
          <w:color w:val="333333"/>
          <w:szCs w:val="26"/>
          <w:shd w:val="clear" w:color="auto" w:fill="FFFFFF"/>
        </w:rPr>
        <w:t>supra</w:t>
      </w:r>
      <w:r w:rsidR="00756A40" w:rsidRPr="00A86E6B">
        <w:rPr>
          <w:color w:val="333333"/>
          <w:szCs w:val="26"/>
          <w:shd w:val="clear" w:color="auto" w:fill="FFFFFF"/>
        </w:rPr>
        <w:t xml:space="preserve">, 40 Cal.App.5th at p. 474.)  </w:t>
      </w:r>
      <w:r w:rsidR="0037016F" w:rsidRPr="00A86E6B">
        <w:rPr>
          <w:color w:val="333333"/>
          <w:szCs w:val="26"/>
          <w:shd w:val="clear" w:color="auto" w:fill="FFFFFF"/>
        </w:rPr>
        <w:t xml:space="preserve">The same is true of </w:t>
      </w:r>
      <w:r w:rsidR="00756A40" w:rsidRPr="00A86E6B">
        <w:rPr>
          <w:i/>
          <w:iCs/>
          <w:color w:val="333333"/>
          <w:szCs w:val="26"/>
          <w:shd w:val="clear" w:color="auto" w:fill="FFFFFF"/>
        </w:rPr>
        <w:t>Maldonado v. Epsilon Plastics</w:t>
      </w:r>
      <w:r w:rsidR="00B52575" w:rsidRPr="00A86E6B">
        <w:rPr>
          <w:i/>
          <w:iCs/>
          <w:color w:val="333333"/>
          <w:szCs w:val="26"/>
          <w:shd w:val="clear" w:color="auto" w:fill="FFFFFF"/>
        </w:rPr>
        <w:t>, Inc.</w:t>
      </w:r>
      <w:r w:rsidR="00756A40" w:rsidRPr="00A86E6B">
        <w:rPr>
          <w:color w:val="333333"/>
          <w:szCs w:val="26"/>
          <w:shd w:val="clear" w:color="auto" w:fill="FFFFFF"/>
        </w:rPr>
        <w:t xml:space="preserve"> (2018) 22 Cal.App.5th 1308</w:t>
      </w:r>
      <w:r w:rsidR="00083FB1" w:rsidRPr="00A86E6B">
        <w:rPr>
          <w:color w:val="333333"/>
          <w:szCs w:val="26"/>
          <w:shd w:val="clear" w:color="auto" w:fill="FFFFFF"/>
        </w:rPr>
        <w:t xml:space="preserve"> (</w:t>
      </w:r>
      <w:r w:rsidR="00083FB1" w:rsidRPr="00A86E6B">
        <w:rPr>
          <w:i/>
          <w:iCs/>
          <w:color w:val="333333"/>
          <w:szCs w:val="26"/>
          <w:shd w:val="clear" w:color="auto" w:fill="FFFFFF"/>
        </w:rPr>
        <w:t>Maldonado</w:t>
      </w:r>
      <w:r w:rsidR="00083FB1" w:rsidRPr="00A86E6B">
        <w:rPr>
          <w:color w:val="333333"/>
          <w:szCs w:val="26"/>
          <w:shd w:val="clear" w:color="auto" w:fill="FFFFFF"/>
        </w:rPr>
        <w:t>)</w:t>
      </w:r>
      <w:r w:rsidR="00756A40" w:rsidRPr="00A86E6B">
        <w:rPr>
          <w:color w:val="333333"/>
          <w:szCs w:val="26"/>
          <w:shd w:val="clear" w:color="auto" w:fill="FFFFFF"/>
        </w:rPr>
        <w:t xml:space="preserve">, </w:t>
      </w:r>
      <w:r w:rsidR="00FA2671" w:rsidRPr="00A86E6B">
        <w:rPr>
          <w:color w:val="333333"/>
          <w:szCs w:val="26"/>
          <w:shd w:val="clear" w:color="auto" w:fill="FFFFFF"/>
        </w:rPr>
        <w:t>which Spectrum</w:t>
      </w:r>
      <w:r w:rsidR="00AC6FF3" w:rsidRPr="00A86E6B">
        <w:rPr>
          <w:color w:val="333333"/>
          <w:szCs w:val="26"/>
          <w:shd w:val="clear" w:color="auto" w:fill="FFFFFF"/>
        </w:rPr>
        <w:t xml:space="preserve"> </w:t>
      </w:r>
      <w:r w:rsidR="00F65990" w:rsidRPr="00A86E6B">
        <w:rPr>
          <w:color w:val="333333"/>
          <w:szCs w:val="26"/>
          <w:shd w:val="clear" w:color="auto" w:fill="FFFFFF"/>
        </w:rPr>
        <w:t>reads as establishing that only paid amounts need be reported</w:t>
      </w:r>
      <w:r w:rsidR="00FA2671" w:rsidRPr="00A86E6B">
        <w:rPr>
          <w:color w:val="333333"/>
          <w:szCs w:val="26"/>
          <w:shd w:val="clear" w:color="auto" w:fill="FFFFFF"/>
        </w:rPr>
        <w:t>.</w:t>
      </w:r>
      <w:r w:rsidR="00F65990" w:rsidRPr="00A86E6B">
        <w:rPr>
          <w:szCs w:val="26"/>
        </w:rPr>
        <w:t xml:space="preserve">  </w:t>
      </w:r>
      <w:r w:rsidR="000A3641" w:rsidRPr="00A86E6B">
        <w:rPr>
          <w:szCs w:val="26"/>
        </w:rPr>
        <w:t xml:space="preserve">In </w:t>
      </w:r>
      <w:r w:rsidR="000A3641" w:rsidRPr="00A86E6B">
        <w:rPr>
          <w:i/>
          <w:iCs/>
          <w:szCs w:val="26"/>
        </w:rPr>
        <w:t>Maldonado</w:t>
      </w:r>
      <w:r w:rsidR="000A3641" w:rsidRPr="00A86E6B">
        <w:rPr>
          <w:szCs w:val="26"/>
        </w:rPr>
        <w:t>, the Court of Appeal addressed a claim that the employer had misreported overtime hours as regular hours</w:t>
      </w:r>
      <w:r w:rsidR="00162467" w:rsidRPr="00A86E6B">
        <w:rPr>
          <w:szCs w:val="26"/>
        </w:rPr>
        <w:t xml:space="preserve"> and failed to report </w:t>
      </w:r>
      <w:r w:rsidR="00E57987" w:rsidRPr="00A86E6B">
        <w:rPr>
          <w:szCs w:val="26"/>
        </w:rPr>
        <w:t xml:space="preserve">the </w:t>
      </w:r>
      <w:r w:rsidR="00162467" w:rsidRPr="00A86E6B">
        <w:rPr>
          <w:szCs w:val="26"/>
        </w:rPr>
        <w:t>corresponding overtime premiums</w:t>
      </w:r>
      <w:r w:rsidR="00E57987" w:rsidRPr="00A86E6B">
        <w:rPr>
          <w:szCs w:val="26"/>
        </w:rPr>
        <w:t xml:space="preserve"> as wages</w:t>
      </w:r>
      <w:r w:rsidR="000A3641" w:rsidRPr="00A86E6B">
        <w:rPr>
          <w:szCs w:val="26"/>
        </w:rPr>
        <w:t>.</w:t>
      </w:r>
      <w:r w:rsidR="00162467" w:rsidRPr="00A86E6B">
        <w:rPr>
          <w:szCs w:val="26"/>
        </w:rPr>
        <w:t xml:space="preserve">  </w:t>
      </w:r>
      <w:r w:rsidR="00162467" w:rsidRPr="00A86E6B">
        <w:rPr>
          <w:color w:val="333333"/>
          <w:szCs w:val="26"/>
          <w:shd w:val="clear" w:color="auto" w:fill="FFFFFF"/>
        </w:rPr>
        <w:t>C</w:t>
      </w:r>
      <w:r w:rsidR="00F65990" w:rsidRPr="00A86E6B">
        <w:rPr>
          <w:color w:val="333333"/>
          <w:szCs w:val="26"/>
          <w:shd w:val="clear" w:color="auto" w:fill="FFFFFF"/>
        </w:rPr>
        <w:t>ontrary</w:t>
      </w:r>
      <w:r w:rsidR="00162467" w:rsidRPr="00A86E6B">
        <w:rPr>
          <w:color w:val="333333"/>
          <w:szCs w:val="26"/>
          <w:shd w:val="clear" w:color="auto" w:fill="FFFFFF"/>
        </w:rPr>
        <w:t xml:space="preserve"> to Spectrum’s view</w:t>
      </w:r>
      <w:r w:rsidR="00F65990" w:rsidRPr="00A86E6B">
        <w:rPr>
          <w:color w:val="333333"/>
          <w:szCs w:val="26"/>
          <w:shd w:val="clear" w:color="auto" w:fill="FFFFFF"/>
        </w:rPr>
        <w:t>, t</w:t>
      </w:r>
      <w:r w:rsidR="00FA2671" w:rsidRPr="00A86E6B">
        <w:rPr>
          <w:color w:val="333333"/>
          <w:szCs w:val="26"/>
          <w:shd w:val="clear" w:color="auto" w:fill="FFFFFF"/>
        </w:rPr>
        <w:t xml:space="preserve">he court in </w:t>
      </w:r>
      <w:r w:rsidR="00F65990" w:rsidRPr="00A86E6B">
        <w:rPr>
          <w:i/>
          <w:iCs/>
          <w:color w:val="333333"/>
          <w:szCs w:val="26"/>
          <w:shd w:val="clear" w:color="auto" w:fill="FFFFFF"/>
        </w:rPr>
        <w:t>Maldonado</w:t>
      </w:r>
      <w:r w:rsidR="00FA2671" w:rsidRPr="00A86E6B">
        <w:rPr>
          <w:color w:val="333333"/>
          <w:szCs w:val="26"/>
          <w:shd w:val="clear" w:color="auto" w:fill="FFFFFF"/>
        </w:rPr>
        <w:t xml:space="preserve">, too, </w:t>
      </w:r>
      <w:r w:rsidR="00756A40" w:rsidRPr="00A86E6B">
        <w:rPr>
          <w:color w:val="333333"/>
          <w:szCs w:val="26"/>
          <w:shd w:val="clear" w:color="auto" w:fill="FFFFFF"/>
        </w:rPr>
        <w:t xml:space="preserve">recognized that </w:t>
      </w:r>
      <w:r w:rsidR="00D437CC" w:rsidRPr="00A86E6B">
        <w:rPr>
          <w:color w:val="333333"/>
          <w:szCs w:val="26"/>
          <w:shd w:val="clear" w:color="auto" w:fill="FFFFFF"/>
        </w:rPr>
        <w:t>“[w]age statements should include the hours </w:t>
      </w:r>
      <w:r w:rsidR="00D437CC" w:rsidRPr="00A86E6B">
        <w:rPr>
          <w:i/>
          <w:iCs/>
          <w:color w:val="333333"/>
          <w:szCs w:val="26"/>
          <w:shd w:val="clear" w:color="auto" w:fill="FFFFFF"/>
        </w:rPr>
        <w:t>worked</w:t>
      </w:r>
      <w:r w:rsidR="00D437CC" w:rsidRPr="00A86E6B">
        <w:rPr>
          <w:color w:val="333333"/>
          <w:szCs w:val="26"/>
          <w:shd w:val="clear" w:color="auto" w:fill="FFFFFF"/>
        </w:rPr>
        <w:t> at each rate and the wages </w:t>
      </w:r>
      <w:r w:rsidR="00D437CC" w:rsidRPr="00A86E6B">
        <w:rPr>
          <w:i/>
          <w:iCs/>
          <w:color w:val="333333"/>
          <w:szCs w:val="26"/>
          <w:shd w:val="clear" w:color="auto" w:fill="FFFFFF"/>
        </w:rPr>
        <w:t>earned</w:t>
      </w:r>
      <w:r w:rsidR="00D437CC" w:rsidRPr="00A86E6B">
        <w:rPr>
          <w:color w:val="333333"/>
          <w:szCs w:val="26"/>
          <w:shd w:val="clear" w:color="auto" w:fill="FFFFFF"/>
        </w:rPr>
        <w:t xml:space="preserve">” — not just </w:t>
      </w:r>
      <w:r w:rsidR="00261A07" w:rsidRPr="00A86E6B">
        <w:rPr>
          <w:color w:val="333333"/>
          <w:szCs w:val="26"/>
          <w:shd w:val="clear" w:color="auto" w:fill="FFFFFF"/>
        </w:rPr>
        <w:t xml:space="preserve">wages actually </w:t>
      </w:r>
      <w:r w:rsidR="00D437CC" w:rsidRPr="00A86E6B">
        <w:rPr>
          <w:color w:val="333333"/>
          <w:szCs w:val="26"/>
          <w:shd w:val="clear" w:color="auto" w:fill="FFFFFF"/>
        </w:rPr>
        <w:t>paid.  (</w:t>
      </w:r>
      <w:r w:rsidR="00D437CC" w:rsidRPr="00A86E6B">
        <w:rPr>
          <w:i/>
          <w:iCs/>
          <w:color w:val="333333"/>
          <w:szCs w:val="26"/>
          <w:shd w:val="clear" w:color="auto" w:fill="FFFFFF"/>
        </w:rPr>
        <w:t>Id.</w:t>
      </w:r>
      <w:r w:rsidR="00D437CC" w:rsidRPr="00A86E6B">
        <w:rPr>
          <w:color w:val="333333"/>
          <w:szCs w:val="26"/>
          <w:shd w:val="clear" w:color="auto" w:fill="FFFFFF"/>
        </w:rPr>
        <w:t xml:space="preserve"> at p. 1336.)  </w:t>
      </w:r>
      <w:r w:rsidR="00F65990" w:rsidRPr="00A86E6B">
        <w:rPr>
          <w:color w:val="333333"/>
          <w:szCs w:val="26"/>
          <w:shd w:val="clear" w:color="auto" w:fill="FFFFFF"/>
        </w:rPr>
        <w:t xml:space="preserve">The court denied recovery under Labor Code section 226 not because employers are permitted to omit </w:t>
      </w:r>
      <w:r w:rsidR="00D437CC" w:rsidRPr="00A86E6B">
        <w:rPr>
          <w:color w:val="333333"/>
          <w:szCs w:val="26"/>
          <w:shd w:val="clear" w:color="auto" w:fill="FFFFFF"/>
        </w:rPr>
        <w:t xml:space="preserve">earned but </w:t>
      </w:r>
      <w:r w:rsidR="00F65990" w:rsidRPr="00A86E6B">
        <w:rPr>
          <w:color w:val="333333"/>
          <w:szCs w:val="26"/>
          <w:shd w:val="clear" w:color="auto" w:fill="FFFFFF"/>
        </w:rPr>
        <w:t>unpaid wages but because the plaintiff employees could not show they were injured</w:t>
      </w:r>
      <w:r w:rsidR="00162467" w:rsidRPr="00A86E6B">
        <w:rPr>
          <w:color w:val="333333"/>
          <w:szCs w:val="26"/>
          <w:shd w:val="clear" w:color="auto" w:fill="FFFFFF"/>
        </w:rPr>
        <w:t>, under section 226’s specific definition of injury,</w:t>
      </w:r>
      <w:r w:rsidR="00F65990" w:rsidRPr="00A86E6B">
        <w:rPr>
          <w:color w:val="333333"/>
          <w:szCs w:val="26"/>
          <w:shd w:val="clear" w:color="auto" w:fill="FFFFFF"/>
        </w:rPr>
        <w:t xml:space="preserve"> by the particular wage statement inaccuracies </w:t>
      </w:r>
      <w:r w:rsidR="00D437CC" w:rsidRPr="00A86E6B">
        <w:rPr>
          <w:color w:val="333333"/>
          <w:szCs w:val="26"/>
          <w:shd w:val="clear" w:color="auto" w:fill="FFFFFF"/>
        </w:rPr>
        <w:t xml:space="preserve">there </w:t>
      </w:r>
      <w:r w:rsidR="00F65990" w:rsidRPr="00A86E6B">
        <w:rPr>
          <w:color w:val="333333"/>
          <w:szCs w:val="26"/>
          <w:shd w:val="clear" w:color="auto" w:fill="FFFFFF"/>
        </w:rPr>
        <w:t>at issue.  (</w:t>
      </w:r>
      <w:r w:rsidR="00F65990" w:rsidRPr="00A86E6B">
        <w:rPr>
          <w:i/>
          <w:iCs/>
          <w:color w:val="333333"/>
          <w:szCs w:val="26"/>
          <w:shd w:val="clear" w:color="auto" w:fill="FFFFFF"/>
        </w:rPr>
        <w:t>Maldonado</w:t>
      </w:r>
      <w:r w:rsidR="00F65990" w:rsidRPr="00A86E6B">
        <w:rPr>
          <w:color w:val="333333"/>
          <w:szCs w:val="26"/>
          <w:shd w:val="clear" w:color="auto" w:fill="FFFFFF"/>
        </w:rPr>
        <w:t>, at pp. 1334–1337; see Lab. Code, § 226, subd. (e).)</w:t>
      </w:r>
    </w:p>
    <w:p w14:paraId="69408D36" w14:textId="5CD311B7" w:rsidR="005729DD" w:rsidRPr="00A86E6B" w:rsidRDefault="00083FB1" w:rsidP="00A86E6B">
      <w:pPr>
        <w:tabs>
          <w:tab w:val="left" w:pos="1440"/>
        </w:tabs>
        <w:ind w:firstLine="720"/>
        <w:rPr>
          <w:szCs w:val="26"/>
        </w:rPr>
      </w:pPr>
      <w:r w:rsidRPr="00A86E6B">
        <w:rPr>
          <w:color w:val="333333"/>
          <w:szCs w:val="26"/>
          <w:shd w:val="clear" w:color="auto" w:fill="FFFFFF"/>
        </w:rPr>
        <w:t xml:space="preserve">Leaving aside whether </w:t>
      </w:r>
      <w:r w:rsidRPr="00A86E6B">
        <w:rPr>
          <w:i/>
          <w:iCs/>
          <w:color w:val="333333"/>
          <w:szCs w:val="26"/>
          <w:shd w:val="clear" w:color="auto" w:fill="FFFFFF"/>
        </w:rPr>
        <w:t>Maldonado</w:t>
      </w:r>
      <w:r w:rsidRPr="00A86E6B">
        <w:rPr>
          <w:color w:val="333333"/>
          <w:szCs w:val="26"/>
          <w:shd w:val="clear" w:color="auto" w:fill="FFFFFF"/>
        </w:rPr>
        <w:t xml:space="preserve">, </w:t>
      </w:r>
      <w:r w:rsidRPr="00A86E6B">
        <w:rPr>
          <w:i/>
          <w:iCs/>
          <w:color w:val="333333"/>
          <w:szCs w:val="26"/>
          <w:shd w:val="clear" w:color="auto" w:fill="FFFFFF"/>
        </w:rPr>
        <w:t>supra</w:t>
      </w:r>
      <w:r w:rsidRPr="00A86E6B">
        <w:rPr>
          <w:color w:val="333333"/>
          <w:szCs w:val="26"/>
          <w:shd w:val="clear" w:color="auto" w:fill="FFFFFF"/>
        </w:rPr>
        <w:t>, 22 Cal.App.5th 1308 correctly determined that no injury could be shown on the facts before it, no similar shortcoming is present here</w:t>
      </w:r>
      <w:r w:rsidR="00FC0326" w:rsidRPr="00A86E6B">
        <w:rPr>
          <w:color w:val="333333"/>
          <w:szCs w:val="26"/>
          <w:shd w:val="clear" w:color="auto" w:fill="FFFFFF"/>
        </w:rPr>
        <w:t>.</w:t>
      </w:r>
      <w:r w:rsidR="00A65CFA" w:rsidRPr="00A86E6B">
        <w:rPr>
          <w:color w:val="333333"/>
          <w:szCs w:val="26"/>
          <w:shd w:val="clear" w:color="auto" w:fill="FFFFFF"/>
        </w:rPr>
        <w:t xml:space="preserve">  </w:t>
      </w:r>
      <w:r w:rsidR="00FC0326" w:rsidRPr="00A86E6B">
        <w:rPr>
          <w:color w:val="333333"/>
          <w:szCs w:val="26"/>
          <w:shd w:val="clear" w:color="auto" w:fill="FFFFFF"/>
        </w:rPr>
        <w:t>T</w:t>
      </w:r>
      <w:r w:rsidR="00A65CFA" w:rsidRPr="00A86E6B">
        <w:rPr>
          <w:color w:val="333333"/>
          <w:szCs w:val="26"/>
          <w:shd w:val="clear" w:color="auto" w:fill="FFFFFF"/>
        </w:rPr>
        <w:t xml:space="preserve">he trial court found that Spectrum’s employees had “clearly suffered an injury since they could not determine from the wage statements the correct wages to which they were entitled.”  </w:t>
      </w:r>
      <w:r w:rsidR="005346D1" w:rsidRPr="00A86E6B">
        <w:rPr>
          <w:color w:val="333333"/>
          <w:szCs w:val="26"/>
          <w:shd w:val="clear" w:color="auto" w:fill="FFFFFF"/>
        </w:rPr>
        <w:t xml:space="preserve">A brief review of the statute shows why that conclusion </w:t>
      </w:r>
      <w:r w:rsidR="005729DD" w:rsidRPr="00A86E6B">
        <w:rPr>
          <w:color w:val="333333"/>
          <w:szCs w:val="26"/>
          <w:shd w:val="clear" w:color="auto" w:fill="FFFFFF"/>
        </w:rPr>
        <w:t>was correct</w:t>
      </w:r>
      <w:r w:rsidR="007C6181" w:rsidRPr="00A86E6B">
        <w:rPr>
          <w:color w:val="333333"/>
          <w:szCs w:val="26"/>
          <w:shd w:val="clear" w:color="auto" w:fill="FFFFFF"/>
        </w:rPr>
        <w:t>:</w:t>
      </w:r>
      <w:r w:rsidR="005729DD" w:rsidRPr="00A86E6B">
        <w:rPr>
          <w:color w:val="333333"/>
          <w:szCs w:val="26"/>
          <w:shd w:val="clear" w:color="auto" w:fill="FFFFFF"/>
        </w:rPr>
        <w:t xml:space="preserve">  </w:t>
      </w:r>
      <w:r w:rsidR="005729DD" w:rsidRPr="00A86E6B">
        <w:rPr>
          <w:szCs w:val="26"/>
        </w:rPr>
        <w:t xml:space="preserve">Labor Code section 226, subdivision (e)(2) deems injury </w:t>
      </w:r>
      <w:r w:rsidR="005F32A5" w:rsidRPr="00A86E6B">
        <w:rPr>
          <w:szCs w:val="26"/>
        </w:rPr>
        <w:t xml:space="preserve">has occurred </w:t>
      </w:r>
      <w:r w:rsidR="005729DD" w:rsidRPr="00A86E6B">
        <w:rPr>
          <w:szCs w:val="26"/>
        </w:rPr>
        <w:t>when</w:t>
      </w:r>
      <w:r w:rsidR="00D078F3" w:rsidRPr="00A86E6B">
        <w:rPr>
          <w:szCs w:val="26"/>
        </w:rPr>
        <w:t>ever</w:t>
      </w:r>
      <w:r w:rsidR="005729DD" w:rsidRPr="00A86E6B">
        <w:rPr>
          <w:szCs w:val="26"/>
        </w:rPr>
        <w:t xml:space="preserve"> the employee cannot easily determine certain required information, including </w:t>
      </w:r>
      <w:r w:rsidR="00F940E1" w:rsidRPr="00A86E6B">
        <w:rPr>
          <w:szCs w:val="26"/>
        </w:rPr>
        <w:t xml:space="preserve">rates of pay and all </w:t>
      </w:r>
      <w:r w:rsidR="005729DD" w:rsidRPr="00A86E6B">
        <w:rPr>
          <w:szCs w:val="26"/>
        </w:rPr>
        <w:t>“hours worked” (</w:t>
      </w:r>
      <w:r w:rsidR="00D078F3" w:rsidRPr="00A86E6B">
        <w:rPr>
          <w:i/>
          <w:iCs/>
          <w:szCs w:val="26"/>
        </w:rPr>
        <w:t>id.</w:t>
      </w:r>
      <w:r w:rsidR="005729DD" w:rsidRPr="00A86E6B">
        <w:rPr>
          <w:szCs w:val="26"/>
        </w:rPr>
        <w:t xml:space="preserve">, subd. (a)(9)) </w:t>
      </w:r>
      <w:r w:rsidR="00F940E1" w:rsidRPr="00A86E6B">
        <w:rPr>
          <w:szCs w:val="26"/>
        </w:rPr>
        <w:t xml:space="preserve">at each rate, that would allow the employee to </w:t>
      </w:r>
      <w:r w:rsidR="003026EA" w:rsidRPr="00A86E6B">
        <w:rPr>
          <w:szCs w:val="26"/>
        </w:rPr>
        <w:t>ascertain</w:t>
      </w:r>
      <w:r w:rsidR="005729DD" w:rsidRPr="00A86E6B">
        <w:rPr>
          <w:szCs w:val="26"/>
        </w:rPr>
        <w:t xml:space="preserve"> whether </w:t>
      </w:r>
      <w:r w:rsidR="00B053B0" w:rsidRPr="00A86E6B">
        <w:rPr>
          <w:szCs w:val="26"/>
        </w:rPr>
        <w:t>the payment is correct</w:t>
      </w:r>
      <w:r w:rsidR="00D078F3" w:rsidRPr="00A86E6B">
        <w:rPr>
          <w:szCs w:val="26"/>
        </w:rPr>
        <w:t xml:space="preserve"> (see </w:t>
      </w:r>
      <w:r w:rsidR="00D078F3" w:rsidRPr="00A86E6B">
        <w:rPr>
          <w:i/>
          <w:iCs/>
          <w:szCs w:val="26"/>
        </w:rPr>
        <w:t>id.</w:t>
      </w:r>
      <w:r w:rsidR="00D078F3" w:rsidRPr="00A86E6B">
        <w:rPr>
          <w:szCs w:val="26"/>
        </w:rPr>
        <w:t>, subd. (e)(2)(B)(i))</w:t>
      </w:r>
      <w:r w:rsidR="005729DD" w:rsidRPr="00A86E6B">
        <w:rPr>
          <w:szCs w:val="26"/>
        </w:rPr>
        <w:t xml:space="preserve">.  </w:t>
      </w:r>
      <w:r w:rsidR="0084151F">
        <w:rPr>
          <w:szCs w:val="26"/>
        </w:rPr>
        <w:t>S</w:t>
      </w:r>
      <w:r w:rsidR="005729DD" w:rsidRPr="00A86E6B">
        <w:rPr>
          <w:szCs w:val="26"/>
        </w:rPr>
        <w:t>ection 226.7 requires an employer to pay “one additional hour of pay” for each day in which a lawful break is not provided.  (§ 226.7, subd. (</w:t>
      </w:r>
      <w:r w:rsidR="00F8204F">
        <w:rPr>
          <w:szCs w:val="26"/>
        </w:rPr>
        <w:t>c</w:t>
      </w:r>
      <w:r w:rsidR="005729DD" w:rsidRPr="00A86E6B">
        <w:rPr>
          <w:szCs w:val="26"/>
        </w:rPr>
        <w:t xml:space="preserve">).)  </w:t>
      </w:r>
      <w:r w:rsidR="00827FBD" w:rsidRPr="00A86E6B">
        <w:rPr>
          <w:szCs w:val="26"/>
        </w:rPr>
        <w:t xml:space="preserve">In that situation, </w:t>
      </w:r>
      <w:r w:rsidR="00260E98" w:rsidRPr="00A86E6B">
        <w:rPr>
          <w:szCs w:val="26"/>
        </w:rPr>
        <w:t xml:space="preserve">both that </w:t>
      </w:r>
      <w:r w:rsidR="00521DFF" w:rsidRPr="00A86E6B">
        <w:rPr>
          <w:szCs w:val="26"/>
        </w:rPr>
        <w:t xml:space="preserve">additional </w:t>
      </w:r>
      <w:r w:rsidR="00260E98" w:rsidRPr="00A86E6B">
        <w:rPr>
          <w:szCs w:val="26"/>
        </w:rPr>
        <w:t xml:space="preserve">credited hour of work and the corresponding premium pay owed must be reported on the wage statement.  </w:t>
      </w:r>
      <w:r w:rsidR="00D078F3" w:rsidRPr="00A86E6B">
        <w:rPr>
          <w:szCs w:val="26"/>
        </w:rPr>
        <w:t xml:space="preserve">Failure to do so </w:t>
      </w:r>
      <w:r w:rsidR="0053233D" w:rsidRPr="00A86E6B">
        <w:rPr>
          <w:szCs w:val="26"/>
        </w:rPr>
        <w:t xml:space="preserve">deprives </w:t>
      </w:r>
      <w:r w:rsidR="007937BB" w:rsidRPr="00A86E6B">
        <w:rPr>
          <w:szCs w:val="26"/>
        </w:rPr>
        <w:t xml:space="preserve">the employee of information needed to evaluate whether the payment is correct, and in so doing results in </w:t>
      </w:r>
      <w:r w:rsidR="00D078F3" w:rsidRPr="00A86E6B">
        <w:rPr>
          <w:szCs w:val="26"/>
        </w:rPr>
        <w:t>injury</w:t>
      </w:r>
      <w:r w:rsidR="00FC0326" w:rsidRPr="00A86E6B">
        <w:rPr>
          <w:szCs w:val="26"/>
        </w:rPr>
        <w:t xml:space="preserve"> under the terms of the statute.  (See </w:t>
      </w:r>
      <w:r w:rsidR="00521DFF" w:rsidRPr="00A86E6B">
        <w:rPr>
          <w:szCs w:val="26"/>
        </w:rPr>
        <w:t xml:space="preserve">Lab. Code, </w:t>
      </w:r>
      <w:r w:rsidR="00FC0326" w:rsidRPr="00A86E6B">
        <w:rPr>
          <w:szCs w:val="26"/>
        </w:rPr>
        <w:t>§ </w:t>
      </w:r>
      <w:r w:rsidR="00D078F3" w:rsidRPr="00A86E6B">
        <w:rPr>
          <w:szCs w:val="26"/>
        </w:rPr>
        <w:t>226, subd</w:t>
      </w:r>
      <w:r w:rsidR="00FC0326" w:rsidRPr="00A86E6B">
        <w:rPr>
          <w:szCs w:val="26"/>
        </w:rPr>
        <w:t>.</w:t>
      </w:r>
      <w:r w:rsidR="00D078F3" w:rsidRPr="00A86E6B">
        <w:rPr>
          <w:szCs w:val="26"/>
        </w:rPr>
        <w:t xml:space="preserve"> (e)(2)(B).</w:t>
      </w:r>
      <w:r w:rsidR="00FC0326" w:rsidRPr="00A86E6B">
        <w:rPr>
          <w:szCs w:val="26"/>
        </w:rPr>
        <w:t>)</w:t>
      </w:r>
      <w:r w:rsidR="00E57987" w:rsidRPr="00A86E6B" w:rsidDel="00E57987">
        <w:rPr>
          <w:szCs w:val="26"/>
        </w:rPr>
        <w:t xml:space="preserve"> </w:t>
      </w:r>
    </w:p>
    <w:p w14:paraId="7A17DA2E" w14:textId="180E3D64" w:rsidR="00B949B7" w:rsidRPr="00A86E6B" w:rsidRDefault="00B6405C" w:rsidP="00A86E6B">
      <w:pPr>
        <w:tabs>
          <w:tab w:val="left" w:pos="1440"/>
        </w:tabs>
        <w:ind w:firstLine="720"/>
        <w:rPr>
          <w:color w:val="333333"/>
          <w:szCs w:val="26"/>
          <w:shd w:val="clear" w:color="auto" w:fill="FFFFFF"/>
        </w:rPr>
      </w:pPr>
      <w:r w:rsidRPr="00A86E6B">
        <w:rPr>
          <w:color w:val="333333"/>
          <w:szCs w:val="26"/>
          <w:shd w:val="clear" w:color="auto" w:fill="FFFFFF"/>
        </w:rPr>
        <w:t xml:space="preserve">The other case Spectrum relies on, </w:t>
      </w:r>
      <w:r w:rsidRPr="00A86E6B">
        <w:rPr>
          <w:i/>
          <w:iCs/>
          <w:color w:val="333333"/>
          <w:szCs w:val="26"/>
          <w:shd w:val="clear" w:color="auto" w:fill="FFFFFF"/>
        </w:rPr>
        <w:t>Soto v. Motel 6 Operating, L.P.</w:t>
      </w:r>
      <w:r w:rsidRPr="00A86E6B">
        <w:rPr>
          <w:color w:val="333333"/>
          <w:szCs w:val="26"/>
          <w:shd w:val="clear" w:color="auto" w:fill="FFFFFF"/>
        </w:rPr>
        <w:t xml:space="preserve"> (2016) 4 Cal.App.5th 385, is similarly unhelpful</w:t>
      </w:r>
      <w:r w:rsidR="00FD6D6C" w:rsidRPr="00A86E6B">
        <w:rPr>
          <w:color w:val="333333"/>
          <w:szCs w:val="26"/>
          <w:shd w:val="clear" w:color="auto" w:fill="FFFFFF"/>
        </w:rPr>
        <w:t xml:space="preserve"> to its argument</w:t>
      </w:r>
      <w:r w:rsidRPr="00A86E6B">
        <w:rPr>
          <w:color w:val="333333"/>
          <w:szCs w:val="26"/>
          <w:shd w:val="clear" w:color="auto" w:fill="FFFFFF"/>
        </w:rPr>
        <w:t xml:space="preserve">.  </w:t>
      </w:r>
      <w:r w:rsidRPr="00A86E6B">
        <w:rPr>
          <w:i/>
          <w:iCs/>
          <w:color w:val="333333"/>
          <w:szCs w:val="26"/>
          <w:shd w:val="clear" w:color="auto" w:fill="FFFFFF"/>
        </w:rPr>
        <w:t>Soto</w:t>
      </w:r>
      <w:r w:rsidRPr="00A86E6B">
        <w:rPr>
          <w:color w:val="333333"/>
          <w:szCs w:val="26"/>
          <w:shd w:val="clear" w:color="auto" w:fill="FFFFFF"/>
        </w:rPr>
        <w:t xml:space="preserve"> involved a</w:t>
      </w:r>
      <w:r w:rsidR="00FD6D6C" w:rsidRPr="00A86E6B">
        <w:rPr>
          <w:color w:val="333333"/>
          <w:szCs w:val="26"/>
          <w:shd w:val="clear" w:color="auto" w:fill="FFFFFF"/>
        </w:rPr>
        <w:t>n employee’s</w:t>
      </w:r>
      <w:r w:rsidRPr="00A86E6B">
        <w:rPr>
          <w:color w:val="333333"/>
          <w:szCs w:val="26"/>
          <w:shd w:val="clear" w:color="auto" w:fill="FFFFFF"/>
        </w:rPr>
        <w:t xml:space="preserve"> claim that wage statements should </w:t>
      </w:r>
      <w:r w:rsidR="00521DFF" w:rsidRPr="00A86E6B">
        <w:rPr>
          <w:color w:val="333333"/>
          <w:szCs w:val="26"/>
          <w:shd w:val="clear" w:color="auto" w:fill="FFFFFF"/>
        </w:rPr>
        <w:t>report</w:t>
      </w:r>
      <w:r w:rsidRPr="00A86E6B">
        <w:rPr>
          <w:color w:val="333333"/>
          <w:szCs w:val="26"/>
          <w:shd w:val="clear" w:color="auto" w:fill="FFFFFF"/>
        </w:rPr>
        <w:t xml:space="preserve"> vacation pay</w:t>
      </w:r>
      <w:r w:rsidR="00FD6D6C" w:rsidRPr="00A86E6B">
        <w:rPr>
          <w:color w:val="333333"/>
          <w:szCs w:val="26"/>
          <w:shd w:val="clear" w:color="auto" w:fill="FFFFFF"/>
        </w:rPr>
        <w:t xml:space="preserve">.  Under the Labor Code, vacation pay </w:t>
      </w:r>
      <w:r w:rsidRPr="00A86E6B">
        <w:rPr>
          <w:color w:val="333333"/>
          <w:szCs w:val="26"/>
          <w:shd w:val="clear" w:color="auto" w:fill="FFFFFF"/>
        </w:rPr>
        <w:t xml:space="preserve">is </w:t>
      </w:r>
      <w:r w:rsidR="00FD6D6C" w:rsidRPr="00A86E6B">
        <w:rPr>
          <w:color w:val="333333"/>
          <w:szCs w:val="26"/>
          <w:shd w:val="clear" w:color="auto" w:fill="FFFFFF"/>
        </w:rPr>
        <w:t xml:space="preserve">considered </w:t>
      </w:r>
      <w:r w:rsidRPr="00A86E6B">
        <w:rPr>
          <w:color w:val="333333"/>
          <w:szCs w:val="26"/>
          <w:shd w:val="clear" w:color="auto" w:fill="FFFFFF"/>
        </w:rPr>
        <w:t>a deferred wage that accrues and vests as employment continues but does not actually become a quantifiable wage until the end of employment, when unused vacation time converts into an owed wage.  (</w:t>
      </w:r>
      <w:r w:rsidRPr="00A86E6B">
        <w:rPr>
          <w:i/>
          <w:iCs/>
          <w:color w:val="333333"/>
          <w:szCs w:val="26"/>
          <w:shd w:val="clear" w:color="auto" w:fill="FFFFFF"/>
        </w:rPr>
        <w:t>Id.</w:t>
      </w:r>
      <w:r w:rsidRPr="00A86E6B">
        <w:rPr>
          <w:color w:val="333333"/>
          <w:szCs w:val="26"/>
          <w:shd w:val="clear" w:color="auto" w:fill="FFFFFF"/>
        </w:rPr>
        <w:t xml:space="preserve"> at pp. 391–392; see Lab. Code, § 227.3.)  </w:t>
      </w:r>
      <w:r w:rsidRPr="00A86E6B">
        <w:rPr>
          <w:i/>
          <w:iCs/>
          <w:color w:val="333333"/>
          <w:szCs w:val="26"/>
          <w:shd w:val="clear" w:color="auto" w:fill="FFFFFF"/>
        </w:rPr>
        <w:t>Soto</w:t>
      </w:r>
      <w:r w:rsidRPr="00A86E6B">
        <w:rPr>
          <w:color w:val="333333"/>
          <w:szCs w:val="26"/>
          <w:shd w:val="clear" w:color="auto" w:fill="FFFFFF"/>
        </w:rPr>
        <w:t xml:space="preserve"> rejected the claim</w:t>
      </w:r>
      <w:r w:rsidR="00D2044C" w:rsidRPr="00A86E6B">
        <w:rPr>
          <w:color w:val="333333"/>
          <w:szCs w:val="26"/>
          <w:shd w:val="clear" w:color="auto" w:fill="FFFFFF"/>
        </w:rPr>
        <w:t xml:space="preserve"> that vacation pay must be reported on an ongoing basis</w:t>
      </w:r>
      <w:r w:rsidRPr="00A86E6B">
        <w:rPr>
          <w:color w:val="333333"/>
          <w:szCs w:val="26"/>
          <w:shd w:val="clear" w:color="auto" w:fill="FFFFFF"/>
        </w:rPr>
        <w:t xml:space="preserve">, explaining that </w:t>
      </w:r>
      <w:r w:rsidR="00D2044C" w:rsidRPr="00A86E6B">
        <w:rPr>
          <w:color w:val="333333"/>
          <w:szCs w:val="26"/>
          <w:shd w:val="clear" w:color="auto" w:fill="FFFFFF"/>
        </w:rPr>
        <w:t xml:space="preserve">under </w:t>
      </w:r>
      <w:r w:rsidRPr="00A86E6B">
        <w:rPr>
          <w:color w:val="333333"/>
          <w:szCs w:val="26"/>
          <w:shd w:val="clear" w:color="auto" w:fill="FFFFFF"/>
        </w:rPr>
        <w:t xml:space="preserve">Labor Code section 226 a statement </w:t>
      </w:r>
      <w:r w:rsidR="00D2044C" w:rsidRPr="00A86E6B">
        <w:rPr>
          <w:color w:val="333333"/>
          <w:szCs w:val="26"/>
          <w:shd w:val="clear" w:color="auto" w:fill="FFFFFF"/>
        </w:rPr>
        <w:t>need only</w:t>
      </w:r>
      <w:r w:rsidRPr="00A86E6B">
        <w:rPr>
          <w:color w:val="333333"/>
          <w:szCs w:val="26"/>
          <w:shd w:val="clear" w:color="auto" w:fill="FFFFFF"/>
        </w:rPr>
        <w:t xml:space="preserve"> “</w:t>
      </w:r>
      <w:r w:rsidRPr="00A86E6B">
        <w:rPr>
          <w:i/>
          <w:iCs/>
          <w:color w:val="333333"/>
          <w:szCs w:val="26"/>
          <w:shd w:val="clear" w:color="auto" w:fill="FFFFFF"/>
        </w:rPr>
        <w:t>document</w:t>
      </w:r>
      <w:r w:rsidRPr="00A86E6B">
        <w:rPr>
          <w:color w:val="333333"/>
          <w:szCs w:val="26"/>
          <w:shd w:val="clear" w:color="auto" w:fill="FFFFFF"/>
        </w:rPr>
        <w:t xml:space="preserve"> the </w:t>
      </w:r>
      <w:r w:rsidRPr="00A86E6B">
        <w:rPr>
          <w:i/>
          <w:iCs/>
          <w:color w:val="333333"/>
          <w:szCs w:val="26"/>
          <w:shd w:val="clear" w:color="auto" w:fill="FFFFFF"/>
        </w:rPr>
        <w:t>paid wages</w:t>
      </w:r>
      <w:r w:rsidRPr="00A86E6B">
        <w:rPr>
          <w:color w:val="333333"/>
          <w:szCs w:val="26"/>
          <w:shd w:val="clear" w:color="auto" w:fill="FFFFFF"/>
        </w:rPr>
        <w:t>” during a pay period</w:t>
      </w:r>
      <w:r w:rsidR="001E10FC" w:rsidRPr="00A86E6B">
        <w:rPr>
          <w:color w:val="333333"/>
          <w:szCs w:val="26"/>
          <w:shd w:val="clear" w:color="auto" w:fill="FFFFFF"/>
        </w:rPr>
        <w:t xml:space="preserve">. </w:t>
      </w:r>
      <w:r w:rsidR="00B949B7" w:rsidRPr="00A86E6B">
        <w:rPr>
          <w:color w:val="333333"/>
          <w:szCs w:val="26"/>
          <w:shd w:val="clear" w:color="auto" w:fill="FFFFFF"/>
        </w:rPr>
        <w:t xml:space="preserve"> (</w:t>
      </w:r>
      <w:r w:rsidR="00B949B7" w:rsidRPr="00A86E6B">
        <w:rPr>
          <w:i/>
          <w:iCs/>
          <w:color w:val="333333"/>
          <w:szCs w:val="26"/>
          <w:shd w:val="clear" w:color="auto" w:fill="FFFFFF"/>
        </w:rPr>
        <w:t>Soto</w:t>
      </w:r>
      <w:r w:rsidR="00B949B7" w:rsidRPr="00A86E6B">
        <w:rPr>
          <w:color w:val="333333"/>
          <w:szCs w:val="26"/>
          <w:shd w:val="clear" w:color="auto" w:fill="FFFFFF"/>
        </w:rPr>
        <w:t>, at p. 392</w:t>
      </w:r>
      <w:r w:rsidR="001E10FC" w:rsidRPr="00A86E6B">
        <w:rPr>
          <w:color w:val="333333"/>
          <w:szCs w:val="26"/>
          <w:shd w:val="clear" w:color="auto" w:fill="FFFFFF"/>
        </w:rPr>
        <w:t>.</w:t>
      </w:r>
      <w:r w:rsidR="00B949B7" w:rsidRPr="00A86E6B">
        <w:rPr>
          <w:color w:val="333333"/>
          <w:szCs w:val="26"/>
          <w:shd w:val="clear" w:color="auto" w:fill="FFFFFF"/>
        </w:rPr>
        <w:t>)</w:t>
      </w:r>
      <w:r w:rsidR="001E10FC" w:rsidRPr="00A86E6B">
        <w:rPr>
          <w:color w:val="333333"/>
          <w:szCs w:val="26"/>
          <w:shd w:val="clear" w:color="auto" w:fill="FFFFFF"/>
        </w:rPr>
        <w:t xml:space="preserve">  Spectrum seizes on the italicized language</w:t>
      </w:r>
      <w:r w:rsidR="00B642B9" w:rsidRPr="00A86E6B">
        <w:rPr>
          <w:color w:val="333333"/>
          <w:szCs w:val="26"/>
          <w:shd w:val="clear" w:color="auto" w:fill="FFFFFF"/>
        </w:rPr>
        <w:t>.  B</w:t>
      </w:r>
      <w:r w:rsidR="001E10FC" w:rsidRPr="00A86E6B">
        <w:rPr>
          <w:color w:val="333333"/>
          <w:szCs w:val="26"/>
          <w:shd w:val="clear" w:color="auto" w:fill="FFFFFF"/>
        </w:rPr>
        <w:t xml:space="preserve">ut </w:t>
      </w:r>
      <w:r w:rsidR="00B949B7" w:rsidRPr="00A86E6B">
        <w:rPr>
          <w:color w:val="333333"/>
          <w:szCs w:val="26"/>
          <w:shd w:val="clear" w:color="auto" w:fill="FFFFFF"/>
        </w:rPr>
        <w:t xml:space="preserve">read in context, </w:t>
      </w:r>
      <w:r w:rsidR="001E10FC" w:rsidRPr="00A86E6B">
        <w:rPr>
          <w:i/>
          <w:iCs/>
          <w:color w:val="333333"/>
          <w:szCs w:val="26"/>
          <w:shd w:val="clear" w:color="auto" w:fill="FFFFFF"/>
        </w:rPr>
        <w:t>Soto</w:t>
      </w:r>
      <w:r w:rsidR="001E10FC" w:rsidRPr="00A86E6B">
        <w:rPr>
          <w:color w:val="333333"/>
          <w:szCs w:val="26"/>
          <w:shd w:val="clear" w:color="auto" w:fill="FFFFFF"/>
        </w:rPr>
        <w:t xml:space="preserve"> </w:t>
      </w:r>
      <w:r w:rsidR="00B949B7" w:rsidRPr="00A86E6B">
        <w:rPr>
          <w:color w:val="333333"/>
          <w:szCs w:val="26"/>
          <w:shd w:val="clear" w:color="auto" w:fill="FFFFFF"/>
        </w:rPr>
        <w:t xml:space="preserve">was only clarifying that the </w:t>
      </w:r>
      <w:r w:rsidR="007529A9" w:rsidRPr="00A86E6B">
        <w:rPr>
          <w:color w:val="333333"/>
          <w:szCs w:val="26"/>
          <w:shd w:val="clear" w:color="auto" w:fill="FFFFFF"/>
        </w:rPr>
        <w:t xml:space="preserve">wage </w:t>
      </w:r>
      <w:r w:rsidR="00B949B7" w:rsidRPr="00A86E6B">
        <w:rPr>
          <w:color w:val="333333"/>
          <w:szCs w:val="26"/>
          <w:shd w:val="clear" w:color="auto" w:fill="FFFFFF"/>
        </w:rPr>
        <w:t xml:space="preserve">statement need not reflect compensation vesting but not owed </w:t>
      </w:r>
      <w:r w:rsidR="007A07B4" w:rsidRPr="00A86E6B">
        <w:rPr>
          <w:color w:val="333333"/>
          <w:szCs w:val="26"/>
          <w:shd w:val="clear" w:color="auto" w:fill="FFFFFF"/>
        </w:rPr>
        <w:t xml:space="preserve">and due </w:t>
      </w:r>
      <w:r w:rsidR="00B949B7" w:rsidRPr="00A86E6B">
        <w:rPr>
          <w:color w:val="333333"/>
          <w:szCs w:val="26"/>
          <w:shd w:val="clear" w:color="auto" w:fill="FFFFFF"/>
        </w:rPr>
        <w:t>during the given pay period</w:t>
      </w:r>
      <w:r w:rsidR="008A2FCF" w:rsidRPr="00A86E6B">
        <w:rPr>
          <w:color w:val="333333"/>
          <w:szCs w:val="26"/>
          <w:shd w:val="clear" w:color="auto" w:fill="FFFFFF"/>
        </w:rPr>
        <w:t> </w:t>
      </w:r>
      <w:r w:rsidR="00B949B7" w:rsidRPr="00A86E6B">
        <w:rPr>
          <w:color w:val="333333"/>
          <w:szCs w:val="26"/>
          <w:shd w:val="clear" w:color="auto" w:fill="FFFFFF"/>
        </w:rPr>
        <w:t xml:space="preserve">— such as the monetary value of an employee’s accrued vacation balance.  </w:t>
      </w:r>
      <w:r w:rsidR="00B949B7" w:rsidRPr="00A86E6B">
        <w:rPr>
          <w:i/>
          <w:iCs/>
          <w:color w:val="333333"/>
          <w:szCs w:val="26"/>
          <w:shd w:val="clear" w:color="auto" w:fill="FFFFFF"/>
        </w:rPr>
        <w:t>Soto</w:t>
      </w:r>
      <w:r w:rsidR="00B949B7" w:rsidRPr="00A86E6B">
        <w:rPr>
          <w:color w:val="333333"/>
          <w:szCs w:val="26"/>
          <w:shd w:val="clear" w:color="auto" w:fill="FFFFFF"/>
        </w:rPr>
        <w:t xml:space="preserve"> did not purport to hold wage statements need not reflect amounts </w:t>
      </w:r>
      <w:r w:rsidR="00521DFF" w:rsidRPr="00A86E6B">
        <w:rPr>
          <w:color w:val="333333"/>
          <w:szCs w:val="26"/>
          <w:shd w:val="clear" w:color="auto" w:fill="FFFFFF"/>
        </w:rPr>
        <w:t xml:space="preserve">that </w:t>
      </w:r>
      <w:r w:rsidR="00521DFF" w:rsidRPr="00A86E6B">
        <w:rPr>
          <w:i/>
          <w:iCs/>
          <w:color w:val="333333"/>
          <w:szCs w:val="26"/>
          <w:shd w:val="clear" w:color="auto" w:fill="FFFFFF"/>
        </w:rPr>
        <w:t xml:space="preserve">are </w:t>
      </w:r>
      <w:r w:rsidR="00B949B7" w:rsidRPr="00A86E6B">
        <w:rPr>
          <w:color w:val="333333"/>
          <w:szCs w:val="26"/>
          <w:shd w:val="clear" w:color="auto" w:fill="FFFFFF"/>
        </w:rPr>
        <w:t>owed and due during a pay per</w:t>
      </w:r>
      <w:r w:rsidR="00841241" w:rsidRPr="00A86E6B">
        <w:rPr>
          <w:color w:val="333333"/>
          <w:szCs w:val="26"/>
          <w:shd w:val="clear" w:color="auto" w:fill="FFFFFF"/>
        </w:rPr>
        <w:t>iod</w:t>
      </w:r>
      <w:r w:rsidR="007529A9" w:rsidRPr="00A86E6B">
        <w:rPr>
          <w:color w:val="333333"/>
          <w:szCs w:val="26"/>
          <w:shd w:val="clear" w:color="auto" w:fill="FFFFFF"/>
        </w:rPr>
        <w:t>, like missed</w:t>
      </w:r>
      <w:r w:rsidR="00B33C15">
        <w:rPr>
          <w:color w:val="333333"/>
          <w:szCs w:val="26"/>
          <w:shd w:val="clear" w:color="auto" w:fill="FFFFFF"/>
        </w:rPr>
        <w:t>-</w:t>
      </w:r>
      <w:r w:rsidR="007529A9" w:rsidRPr="00A86E6B">
        <w:rPr>
          <w:color w:val="333333"/>
          <w:szCs w:val="26"/>
          <w:shd w:val="clear" w:color="auto" w:fill="FFFFFF"/>
        </w:rPr>
        <w:t xml:space="preserve">break premium pay </w:t>
      </w:r>
      <w:r w:rsidR="00B949B7" w:rsidRPr="00A86E6B">
        <w:rPr>
          <w:color w:val="333333"/>
          <w:szCs w:val="26"/>
          <w:shd w:val="clear" w:color="auto" w:fill="FFFFFF"/>
        </w:rPr>
        <w:t>(</w:t>
      </w:r>
      <w:r w:rsidR="00841241" w:rsidRPr="00A86E6B">
        <w:rPr>
          <w:color w:val="333333"/>
          <w:szCs w:val="26"/>
          <w:shd w:val="clear" w:color="auto" w:fill="FFFFFF"/>
        </w:rPr>
        <w:t>s</w:t>
      </w:r>
      <w:r w:rsidR="007529A9" w:rsidRPr="00A86E6B">
        <w:rPr>
          <w:color w:val="333333"/>
          <w:szCs w:val="26"/>
          <w:shd w:val="clear" w:color="auto" w:fill="FFFFFF"/>
        </w:rPr>
        <w:t xml:space="preserve">ee </w:t>
      </w:r>
      <w:r w:rsidR="00427B0F" w:rsidRPr="00A86E6B">
        <w:rPr>
          <w:i/>
          <w:iCs/>
          <w:color w:val="333333"/>
          <w:szCs w:val="26"/>
          <w:shd w:val="clear" w:color="auto" w:fill="FFFFFF"/>
        </w:rPr>
        <w:t>Murphy</w:t>
      </w:r>
      <w:r w:rsidR="00427B0F" w:rsidRPr="00A86E6B">
        <w:rPr>
          <w:color w:val="333333"/>
          <w:szCs w:val="26"/>
          <w:shd w:val="clear" w:color="auto" w:fill="FFFFFF"/>
        </w:rPr>
        <w:t xml:space="preserve">, </w:t>
      </w:r>
      <w:r w:rsidR="00427B0F" w:rsidRPr="00A86E6B">
        <w:rPr>
          <w:i/>
          <w:iCs/>
          <w:color w:val="333333"/>
          <w:szCs w:val="26"/>
          <w:shd w:val="clear" w:color="auto" w:fill="FFFFFF"/>
        </w:rPr>
        <w:t>supra</w:t>
      </w:r>
      <w:r w:rsidR="00427B0F" w:rsidRPr="00A86E6B">
        <w:rPr>
          <w:color w:val="333333"/>
          <w:szCs w:val="26"/>
          <w:shd w:val="clear" w:color="auto" w:fill="FFFFFF"/>
        </w:rPr>
        <w:t>, 40 Cal.4th at p. 1108</w:t>
      </w:r>
      <w:r w:rsidR="008A2FCF" w:rsidRPr="00A86E6B">
        <w:rPr>
          <w:color w:val="333333"/>
          <w:szCs w:val="26"/>
          <w:shd w:val="clear" w:color="auto" w:fill="FFFFFF"/>
        </w:rPr>
        <w:t xml:space="preserve"> [premium pay </w:t>
      </w:r>
      <w:r w:rsidR="00123C27" w:rsidRPr="00A86E6B">
        <w:rPr>
          <w:color w:val="333333"/>
          <w:szCs w:val="26"/>
          <w:shd w:val="clear" w:color="auto" w:fill="FFFFFF"/>
        </w:rPr>
        <w:t xml:space="preserve">is </w:t>
      </w:r>
      <w:r w:rsidR="008A2FCF" w:rsidRPr="00A86E6B">
        <w:rPr>
          <w:color w:val="333333"/>
          <w:szCs w:val="26"/>
          <w:shd w:val="clear" w:color="auto" w:fill="FFFFFF"/>
        </w:rPr>
        <w:t>due “immediately”]</w:t>
      </w:r>
      <w:r w:rsidR="00427B0F" w:rsidRPr="00A86E6B">
        <w:rPr>
          <w:color w:val="333333"/>
          <w:szCs w:val="26"/>
          <w:shd w:val="clear" w:color="auto" w:fill="FFFFFF"/>
        </w:rPr>
        <w:t>)</w:t>
      </w:r>
      <w:r w:rsidR="00841241" w:rsidRPr="00A86E6B">
        <w:rPr>
          <w:color w:val="333333"/>
          <w:szCs w:val="26"/>
          <w:shd w:val="clear" w:color="auto" w:fill="FFFFFF"/>
        </w:rPr>
        <w:t>, whenever an employer chooses not to pay them.</w:t>
      </w:r>
      <w:r w:rsidR="00B949B7" w:rsidRPr="00A86E6B">
        <w:rPr>
          <w:color w:val="333333"/>
          <w:szCs w:val="26"/>
          <w:shd w:val="clear" w:color="auto" w:fill="FFFFFF"/>
        </w:rPr>
        <w:t xml:space="preserve"> </w:t>
      </w:r>
    </w:p>
    <w:p w14:paraId="0EB5911A" w14:textId="69A47153" w:rsidR="00BE292B" w:rsidRPr="00A86E6B" w:rsidRDefault="00966DDD" w:rsidP="00A86E6B">
      <w:pPr>
        <w:tabs>
          <w:tab w:val="left" w:pos="1440"/>
        </w:tabs>
        <w:ind w:firstLine="720"/>
        <w:rPr>
          <w:szCs w:val="26"/>
        </w:rPr>
      </w:pPr>
      <w:r w:rsidRPr="00A86E6B">
        <w:rPr>
          <w:szCs w:val="26"/>
        </w:rPr>
        <w:t>Finally</w:t>
      </w:r>
      <w:r w:rsidR="00DC22B3" w:rsidRPr="00A86E6B">
        <w:rPr>
          <w:szCs w:val="26"/>
        </w:rPr>
        <w:t xml:space="preserve">, </w:t>
      </w:r>
      <w:r w:rsidR="00C82E86" w:rsidRPr="00A86E6B">
        <w:rPr>
          <w:szCs w:val="26"/>
        </w:rPr>
        <w:t xml:space="preserve">Spectrum again argues that </w:t>
      </w:r>
      <w:r w:rsidR="00532836" w:rsidRPr="00A86E6B">
        <w:rPr>
          <w:szCs w:val="26"/>
        </w:rPr>
        <w:t xml:space="preserve">the Legislature’s </w:t>
      </w:r>
      <w:r w:rsidR="00C82E86" w:rsidRPr="00A86E6B">
        <w:rPr>
          <w:szCs w:val="26"/>
        </w:rPr>
        <w:t xml:space="preserve">inaction </w:t>
      </w:r>
      <w:r w:rsidR="00532836" w:rsidRPr="00A86E6B">
        <w:rPr>
          <w:szCs w:val="26"/>
        </w:rPr>
        <w:t xml:space="preserve">in the face of court rulings agreeing with its position </w:t>
      </w:r>
      <w:r w:rsidR="009624B9" w:rsidRPr="00A86E6B">
        <w:rPr>
          <w:szCs w:val="26"/>
        </w:rPr>
        <w:t>on the reporting of missed</w:t>
      </w:r>
      <w:r w:rsidR="00B33C15">
        <w:rPr>
          <w:szCs w:val="26"/>
        </w:rPr>
        <w:t>-</w:t>
      </w:r>
      <w:r w:rsidR="009624B9" w:rsidRPr="00A86E6B">
        <w:rPr>
          <w:szCs w:val="26"/>
        </w:rPr>
        <w:t xml:space="preserve">break premium pay </w:t>
      </w:r>
      <w:r w:rsidR="00C82E86" w:rsidRPr="00A86E6B">
        <w:rPr>
          <w:szCs w:val="26"/>
        </w:rPr>
        <w:t xml:space="preserve">demonstrates </w:t>
      </w:r>
      <w:r w:rsidR="00206331" w:rsidRPr="00A86E6B">
        <w:rPr>
          <w:szCs w:val="26"/>
        </w:rPr>
        <w:t xml:space="preserve">the Legislature’s </w:t>
      </w:r>
      <w:r w:rsidR="004A6C79" w:rsidRPr="00A86E6B">
        <w:rPr>
          <w:szCs w:val="26"/>
        </w:rPr>
        <w:t xml:space="preserve">acquiescence to </w:t>
      </w:r>
      <w:r w:rsidR="00206331" w:rsidRPr="00A86E6B">
        <w:rPr>
          <w:szCs w:val="26"/>
        </w:rPr>
        <w:t>that position</w:t>
      </w:r>
      <w:r w:rsidR="00C82E86" w:rsidRPr="00A86E6B">
        <w:rPr>
          <w:szCs w:val="26"/>
        </w:rPr>
        <w:t xml:space="preserve">.  But </w:t>
      </w:r>
      <w:r w:rsidR="00DC22B3" w:rsidRPr="00A86E6B">
        <w:rPr>
          <w:szCs w:val="26"/>
        </w:rPr>
        <w:t>e</w:t>
      </w:r>
      <w:r w:rsidR="00BE292B" w:rsidRPr="00A86E6B">
        <w:rPr>
          <w:szCs w:val="26"/>
        </w:rPr>
        <w:t xml:space="preserve">ven more so than for Labor Code section 203, there is no </w:t>
      </w:r>
      <w:r w:rsidR="004A6C79" w:rsidRPr="00A86E6B">
        <w:rPr>
          <w:szCs w:val="26"/>
        </w:rPr>
        <w:t xml:space="preserve">clear </w:t>
      </w:r>
      <w:r w:rsidR="00FD6660" w:rsidRPr="00A86E6B">
        <w:rPr>
          <w:szCs w:val="26"/>
        </w:rPr>
        <w:t xml:space="preserve">body of precedent </w:t>
      </w:r>
      <w:r w:rsidR="00C82E86" w:rsidRPr="00A86E6B">
        <w:rPr>
          <w:szCs w:val="26"/>
        </w:rPr>
        <w:t>to which the Legislature might be thought to have acquiesced</w:t>
      </w:r>
      <w:r w:rsidR="00FD6660" w:rsidRPr="00A86E6B">
        <w:rPr>
          <w:szCs w:val="26"/>
        </w:rPr>
        <w:t xml:space="preserve">.  </w:t>
      </w:r>
      <w:r w:rsidR="00563B04" w:rsidRPr="00A86E6B">
        <w:rPr>
          <w:szCs w:val="26"/>
        </w:rPr>
        <w:t xml:space="preserve">The Court of Appeal in this case is the only </w:t>
      </w:r>
      <w:r w:rsidR="00A07CE9">
        <w:rPr>
          <w:szCs w:val="26"/>
        </w:rPr>
        <w:t xml:space="preserve">appellate </w:t>
      </w:r>
      <w:r w:rsidR="00563B04" w:rsidRPr="00A86E6B">
        <w:rPr>
          <w:szCs w:val="26"/>
        </w:rPr>
        <w:t xml:space="preserve">court to have squarely addressed the Labor Code section 226 issue; </w:t>
      </w:r>
      <w:r w:rsidR="002B7A81" w:rsidRPr="00A86E6B">
        <w:rPr>
          <w:szCs w:val="26"/>
        </w:rPr>
        <w:t xml:space="preserve">the Court of Appeal’s later opinion in </w:t>
      </w:r>
      <w:r w:rsidR="00BA6786" w:rsidRPr="00A86E6B">
        <w:rPr>
          <w:i/>
          <w:iCs/>
          <w:szCs w:val="26"/>
        </w:rPr>
        <w:t>Betancourt v. OS Restaurant Services, LLC</w:t>
      </w:r>
      <w:r w:rsidR="00BA6786" w:rsidRPr="00A86E6B">
        <w:rPr>
          <w:szCs w:val="26"/>
        </w:rPr>
        <w:t xml:space="preserve">, </w:t>
      </w:r>
      <w:r w:rsidR="00BA6786" w:rsidRPr="00A86E6B">
        <w:rPr>
          <w:i/>
          <w:iCs/>
          <w:szCs w:val="26"/>
        </w:rPr>
        <w:t>supra</w:t>
      </w:r>
      <w:r w:rsidR="00BA6786" w:rsidRPr="00A86E6B">
        <w:rPr>
          <w:szCs w:val="26"/>
        </w:rPr>
        <w:t>, 49 Cal.App.5th 240</w:t>
      </w:r>
      <w:r w:rsidR="00CA2C85" w:rsidRPr="00A86E6B">
        <w:rPr>
          <w:szCs w:val="26"/>
        </w:rPr>
        <w:t>, review granted,</w:t>
      </w:r>
      <w:r w:rsidR="00BA6786" w:rsidRPr="00A86E6B">
        <w:rPr>
          <w:szCs w:val="26"/>
        </w:rPr>
        <w:t xml:space="preserve"> </w:t>
      </w:r>
      <w:r w:rsidR="00FD6660" w:rsidRPr="00A86E6B">
        <w:rPr>
          <w:szCs w:val="26"/>
        </w:rPr>
        <w:t>simply agree</w:t>
      </w:r>
      <w:r w:rsidR="00D2044C" w:rsidRPr="00A86E6B">
        <w:rPr>
          <w:szCs w:val="26"/>
        </w:rPr>
        <w:t>s</w:t>
      </w:r>
      <w:r w:rsidR="00FD6660" w:rsidRPr="00A86E6B">
        <w:rPr>
          <w:szCs w:val="26"/>
        </w:rPr>
        <w:t xml:space="preserve"> with the Court of Appeal in this case without offering any independent analysis of its own.  A</w:t>
      </w:r>
      <w:r w:rsidR="00563B04" w:rsidRPr="00A86E6B">
        <w:rPr>
          <w:szCs w:val="26"/>
        </w:rPr>
        <w:t xml:space="preserve">nd </w:t>
      </w:r>
      <w:r w:rsidR="00C82E86" w:rsidRPr="00A86E6B">
        <w:rPr>
          <w:szCs w:val="26"/>
        </w:rPr>
        <w:t xml:space="preserve">even Spectrum acknowledges that </w:t>
      </w:r>
      <w:r w:rsidR="00FD6660" w:rsidRPr="00A86E6B">
        <w:rPr>
          <w:szCs w:val="26"/>
        </w:rPr>
        <w:t>a split of authority has developed</w:t>
      </w:r>
      <w:r w:rsidR="00C1300C">
        <w:rPr>
          <w:szCs w:val="26"/>
        </w:rPr>
        <w:t xml:space="preserve"> </w:t>
      </w:r>
      <w:r w:rsidR="00C1300C" w:rsidRPr="00A86E6B">
        <w:rPr>
          <w:szCs w:val="26"/>
        </w:rPr>
        <w:t xml:space="preserve">among the many federal </w:t>
      </w:r>
      <w:r w:rsidR="00A07CE9">
        <w:rPr>
          <w:szCs w:val="26"/>
        </w:rPr>
        <w:t xml:space="preserve">district court </w:t>
      </w:r>
      <w:r w:rsidR="00C1300C" w:rsidRPr="00A86E6B">
        <w:rPr>
          <w:szCs w:val="26"/>
        </w:rPr>
        <w:t>cases to consider the question</w:t>
      </w:r>
      <w:r w:rsidR="00C82E86" w:rsidRPr="00A86E6B">
        <w:rPr>
          <w:szCs w:val="26"/>
        </w:rPr>
        <w:t>.</w:t>
      </w:r>
    </w:p>
    <w:p w14:paraId="61F709A0" w14:textId="204CBE7F" w:rsidR="004B689B" w:rsidRPr="00A86E6B" w:rsidRDefault="007344EC" w:rsidP="00A86E6B">
      <w:pPr>
        <w:tabs>
          <w:tab w:val="left" w:pos="1440"/>
        </w:tabs>
        <w:ind w:firstLine="720"/>
        <w:rPr>
          <w:szCs w:val="26"/>
        </w:rPr>
      </w:pPr>
      <w:r w:rsidRPr="00A86E6B">
        <w:rPr>
          <w:szCs w:val="26"/>
        </w:rPr>
        <w:t xml:space="preserve">In sum, </w:t>
      </w:r>
      <w:r w:rsidR="00DE729F" w:rsidRPr="00A86E6B">
        <w:rPr>
          <w:szCs w:val="26"/>
        </w:rPr>
        <w:t xml:space="preserve">we hold </w:t>
      </w:r>
      <w:r w:rsidR="00FA4838">
        <w:rPr>
          <w:szCs w:val="26"/>
        </w:rPr>
        <w:t xml:space="preserve">that </w:t>
      </w:r>
      <w:r w:rsidR="00C0331C" w:rsidRPr="00A86E6B">
        <w:rPr>
          <w:szCs w:val="26"/>
        </w:rPr>
        <w:t>an employer’s obligation under Labor Code section 226 to report wages earned includes an obligation to report premium pay for missed breaks.  This means that</w:t>
      </w:r>
      <w:r w:rsidR="00F307C2" w:rsidRPr="00A86E6B">
        <w:rPr>
          <w:szCs w:val="26"/>
        </w:rPr>
        <w:t xml:space="preserve">, provided the conditions specified in the statute are otherwise met, </w:t>
      </w:r>
      <w:r w:rsidR="007433CC" w:rsidRPr="00A86E6B">
        <w:rPr>
          <w:szCs w:val="26"/>
        </w:rPr>
        <w:t xml:space="preserve">failure to report </w:t>
      </w:r>
      <w:r w:rsidR="00D91273" w:rsidRPr="00A86E6B">
        <w:rPr>
          <w:szCs w:val="26"/>
        </w:rPr>
        <w:t xml:space="preserve">premium </w:t>
      </w:r>
      <w:r w:rsidR="007433CC" w:rsidRPr="00A86E6B">
        <w:rPr>
          <w:szCs w:val="26"/>
        </w:rPr>
        <w:t xml:space="preserve">pay </w:t>
      </w:r>
      <w:r w:rsidR="00D91273" w:rsidRPr="00A86E6B">
        <w:rPr>
          <w:szCs w:val="26"/>
        </w:rPr>
        <w:t xml:space="preserve">for missed breaks </w:t>
      </w:r>
      <w:r w:rsidR="007433CC" w:rsidRPr="00A86E6B">
        <w:rPr>
          <w:szCs w:val="26"/>
        </w:rPr>
        <w:t>can</w:t>
      </w:r>
      <w:r w:rsidR="00A61797" w:rsidRPr="00A86E6B">
        <w:rPr>
          <w:szCs w:val="26"/>
        </w:rPr>
        <w:t xml:space="preserve"> </w:t>
      </w:r>
      <w:r w:rsidR="007433CC" w:rsidRPr="00A86E6B">
        <w:rPr>
          <w:szCs w:val="26"/>
        </w:rPr>
        <w:t xml:space="preserve">support </w:t>
      </w:r>
      <w:r w:rsidR="00275540" w:rsidRPr="00A86E6B">
        <w:rPr>
          <w:szCs w:val="26"/>
        </w:rPr>
        <w:t xml:space="preserve">monetary </w:t>
      </w:r>
      <w:r w:rsidR="007433CC" w:rsidRPr="00A86E6B">
        <w:rPr>
          <w:szCs w:val="26"/>
        </w:rPr>
        <w:t xml:space="preserve">liability under section 226 for failure to supply an accurate itemized statement reflecting an employee’s gross </w:t>
      </w:r>
      <w:r w:rsidR="00841241" w:rsidRPr="00A86E6B">
        <w:rPr>
          <w:szCs w:val="26"/>
        </w:rPr>
        <w:t>wages earned,</w:t>
      </w:r>
      <w:r w:rsidR="007433CC" w:rsidRPr="00A86E6B">
        <w:rPr>
          <w:szCs w:val="26"/>
        </w:rPr>
        <w:t xml:space="preserve"> net wages earned</w:t>
      </w:r>
      <w:r w:rsidR="00841241" w:rsidRPr="00A86E6B">
        <w:rPr>
          <w:szCs w:val="26"/>
        </w:rPr>
        <w:t>, and credited hours worked</w:t>
      </w:r>
      <w:r w:rsidR="007433CC" w:rsidRPr="00A86E6B">
        <w:rPr>
          <w:szCs w:val="26"/>
        </w:rPr>
        <w:t>.</w:t>
      </w:r>
    </w:p>
    <w:p w14:paraId="6A002859" w14:textId="5D4C820F" w:rsidR="00FF4CED" w:rsidRPr="00A86E6B" w:rsidRDefault="006A3F0A" w:rsidP="00DF196D">
      <w:pPr>
        <w:keepNext/>
        <w:tabs>
          <w:tab w:val="left" w:pos="1440"/>
        </w:tabs>
        <w:jc w:val="center"/>
        <w:rPr>
          <w:smallCaps/>
          <w:szCs w:val="26"/>
        </w:rPr>
      </w:pPr>
      <w:r w:rsidRPr="00A86E6B">
        <w:rPr>
          <w:b/>
          <w:bCs/>
          <w:smallCaps/>
          <w:szCs w:val="26"/>
        </w:rPr>
        <w:t>V</w:t>
      </w:r>
      <w:r w:rsidR="00FF4CED" w:rsidRPr="00A86E6B">
        <w:rPr>
          <w:b/>
          <w:bCs/>
          <w:smallCaps/>
          <w:szCs w:val="26"/>
        </w:rPr>
        <w:t>.</w:t>
      </w:r>
    </w:p>
    <w:p w14:paraId="321370C3" w14:textId="14523BA1" w:rsidR="00F12B0B" w:rsidRPr="00A86E6B" w:rsidRDefault="00AB4AC2" w:rsidP="00A86E6B">
      <w:pPr>
        <w:tabs>
          <w:tab w:val="left" w:pos="1440"/>
        </w:tabs>
        <w:ind w:firstLine="720"/>
        <w:rPr>
          <w:szCs w:val="26"/>
        </w:rPr>
      </w:pPr>
      <w:r w:rsidRPr="00A86E6B">
        <w:rPr>
          <w:szCs w:val="26"/>
        </w:rPr>
        <w:t xml:space="preserve">We </w:t>
      </w:r>
      <w:r w:rsidR="003810CE" w:rsidRPr="00A86E6B">
        <w:rPr>
          <w:szCs w:val="26"/>
        </w:rPr>
        <w:t xml:space="preserve">now </w:t>
      </w:r>
      <w:r w:rsidRPr="00A86E6B">
        <w:rPr>
          <w:szCs w:val="26"/>
        </w:rPr>
        <w:t>turn</w:t>
      </w:r>
      <w:r w:rsidR="003810CE" w:rsidRPr="00A86E6B">
        <w:rPr>
          <w:szCs w:val="26"/>
        </w:rPr>
        <w:t xml:space="preserve"> </w:t>
      </w:r>
      <w:r w:rsidRPr="00A86E6B">
        <w:rPr>
          <w:szCs w:val="26"/>
        </w:rPr>
        <w:t xml:space="preserve">to </w:t>
      </w:r>
      <w:r w:rsidR="008B1139" w:rsidRPr="00A86E6B">
        <w:rPr>
          <w:szCs w:val="26"/>
        </w:rPr>
        <w:t xml:space="preserve">a question concerning </w:t>
      </w:r>
      <w:r w:rsidRPr="00A86E6B">
        <w:rPr>
          <w:szCs w:val="26"/>
        </w:rPr>
        <w:t xml:space="preserve">the </w:t>
      </w:r>
      <w:r w:rsidR="000E0E12" w:rsidRPr="00A86E6B">
        <w:rPr>
          <w:szCs w:val="26"/>
        </w:rPr>
        <w:t xml:space="preserve">calculation of </w:t>
      </w:r>
      <w:r w:rsidRPr="00A86E6B">
        <w:rPr>
          <w:szCs w:val="26"/>
        </w:rPr>
        <w:t xml:space="preserve">prejudgment interest.  </w:t>
      </w:r>
      <w:r w:rsidR="00F12B0B" w:rsidRPr="00A86E6B">
        <w:rPr>
          <w:szCs w:val="26"/>
        </w:rPr>
        <w:t xml:space="preserve">The trial court awarded Naranjo 10 percent prejudgment interest on his meal break claim.  The Court of Appeal reversed </w:t>
      </w:r>
      <w:r w:rsidR="001D41BF" w:rsidRPr="00A86E6B">
        <w:rPr>
          <w:szCs w:val="26"/>
        </w:rPr>
        <w:t xml:space="preserve">with instructions to </w:t>
      </w:r>
      <w:r w:rsidR="00B371E3" w:rsidRPr="00A86E6B">
        <w:rPr>
          <w:szCs w:val="26"/>
        </w:rPr>
        <w:t>recalculate the award</w:t>
      </w:r>
      <w:r w:rsidR="00F12B0B" w:rsidRPr="00A86E6B">
        <w:rPr>
          <w:szCs w:val="26"/>
        </w:rPr>
        <w:t xml:space="preserve"> based on a </w:t>
      </w:r>
      <w:r w:rsidR="00CA2C85" w:rsidRPr="00A86E6B">
        <w:rPr>
          <w:szCs w:val="26"/>
        </w:rPr>
        <w:t>7 </w:t>
      </w:r>
      <w:r w:rsidR="00F12B0B" w:rsidRPr="00A86E6B">
        <w:rPr>
          <w:szCs w:val="26"/>
        </w:rPr>
        <w:t xml:space="preserve">percent rate.  </w:t>
      </w:r>
      <w:r w:rsidR="00005F2E" w:rsidRPr="00A86E6B">
        <w:rPr>
          <w:szCs w:val="26"/>
        </w:rPr>
        <w:t>(</w:t>
      </w:r>
      <w:r w:rsidR="001D41BF" w:rsidRPr="00A86E6B">
        <w:rPr>
          <w:i/>
          <w:iCs/>
          <w:szCs w:val="26"/>
        </w:rPr>
        <w:t>Naranjo</w:t>
      </w:r>
      <w:r w:rsidR="00CA2C85" w:rsidRPr="00A86E6B">
        <w:rPr>
          <w:i/>
          <w:iCs/>
          <w:szCs w:val="26"/>
        </w:rPr>
        <w:t xml:space="preserve"> II</w:t>
      </w:r>
      <w:r w:rsidR="001D41BF" w:rsidRPr="00A86E6B">
        <w:rPr>
          <w:szCs w:val="26"/>
        </w:rPr>
        <w:t xml:space="preserve">, </w:t>
      </w:r>
      <w:r w:rsidR="001D41BF" w:rsidRPr="00A86E6B">
        <w:rPr>
          <w:i/>
          <w:iCs/>
          <w:szCs w:val="26"/>
        </w:rPr>
        <w:t>supra</w:t>
      </w:r>
      <w:r w:rsidR="001D41BF" w:rsidRPr="00A86E6B">
        <w:rPr>
          <w:szCs w:val="26"/>
        </w:rPr>
        <w:t>, 40 Cal.App.5th at pp. 475–476.</w:t>
      </w:r>
      <w:r w:rsidR="00005F2E" w:rsidRPr="00A86E6B">
        <w:rPr>
          <w:szCs w:val="26"/>
        </w:rPr>
        <w:t xml:space="preserve">)  </w:t>
      </w:r>
      <w:r w:rsidR="008E1D91" w:rsidRPr="00A86E6B">
        <w:rPr>
          <w:szCs w:val="26"/>
        </w:rPr>
        <w:t>T</w:t>
      </w:r>
      <w:r w:rsidR="00F12B0B" w:rsidRPr="00A86E6B">
        <w:rPr>
          <w:szCs w:val="26"/>
        </w:rPr>
        <w:t>he Court of Appeal</w:t>
      </w:r>
      <w:r w:rsidR="00FE2A66" w:rsidRPr="00A86E6B">
        <w:rPr>
          <w:szCs w:val="26"/>
        </w:rPr>
        <w:t xml:space="preserve"> was correct to identify 7 percent as the applicable rate</w:t>
      </w:r>
      <w:r w:rsidR="001D41BF" w:rsidRPr="00A86E6B">
        <w:rPr>
          <w:szCs w:val="26"/>
        </w:rPr>
        <w:t>.</w:t>
      </w:r>
    </w:p>
    <w:p w14:paraId="010D2AA0" w14:textId="729D8FF9" w:rsidR="00F12B0B" w:rsidRPr="00A86E6B" w:rsidRDefault="00C8775F" w:rsidP="00A86E6B">
      <w:pPr>
        <w:tabs>
          <w:tab w:val="left" w:pos="1440"/>
        </w:tabs>
        <w:ind w:firstLine="720"/>
        <w:rPr>
          <w:szCs w:val="26"/>
        </w:rPr>
      </w:pPr>
      <w:r w:rsidRPr="00A86E6B">
        <w:rPr>
          <w:szCs w:val="26"/>
        </w:rPr>
        <w:t xml:space="preserve">The </w:t>
      </w:r>
      <w:r w:rsidR="00F12B0B" w:rsidRPr="00A86E6B">
        <w:rPr>
          <w:szCs w:val="26"/>
        </w:rPr>
        <w:t xml:space="preserve">state Constitution establishes a default interest rate of </w:t>
      </w:r>
      <w:r w:rsidR="00CA2C85" w:rsidRPr="00A86E6B">
        <w:rPr>
          <w:szCs w:val="26"/>
        </w:rPr>
        <w:t>7</w:t>
      </w:r>
      <w:r w:rsidR="004977A4" w:rsidRPr="00A86E6B">
        <w:rPr>
          <w:szCs w:val="26"/>
        </w:rPr>
        <w:t xml:space="preserve"> </w:t>
      </w:r>
      <w:r w:rsidR="00F12B0B" w:rsidRPr="00A86E6B">
        <w:rPr>
          <w:szCs w:val="26"/>
        </w:rPr>
        <w:t xml:space="preserve">percent “upon the loan or forbearance of any </w:t>
      </w:r>
      <w:r w:rsidR="00051087" w:rsidRPr="00A86E6B">
        <w:rPr>
          <w:szCs w:val="26"/>
        </w:rPr>
        <w:t xml:space="preserve">money, goods, or </w:t>
      </w:r>
      <w:r w:rsidR="00F12B0B" w:rsidRPr="00A86E6B">
        <w:rPr>
          <w:szCs w:val="26"/>
        </w:rPr>
        <w:t>things in action</w:t>
      </w:r>
      <w:r w:rsidR="00303ADA" w:rsidRPr="00A86E6B">
        <w:rPr>
          <w:szCs w:val="26"/>
        </w:rPr>
        <w:t>, or on accounts after demand</w:t>
      </w:r>
      <w:r w:rsidR="00F12B0B" w:rsidRPr="00A86E6B">
        <w:rPr>
          <w:szCs w:val="26"/>
        </w:rPr>
        <w:t xml:space="preserve">.”  (Cal. Const., art. XV, § 1.)  Prevailing civil parties are entitled to this </w:t>
      </w:r>
      <w:r w:rsidR="005C4C21" w:rsidRPr="00A86E6B">
        <w:rPr>
          <w:szCs w:val="26"/>
        </w:rPr>
        <w:t xml:space="preserve">interest </w:t>
      </w:r>
      <w:r w:rsidR="00F12B0B" w:rsidRPr="00A86E6B">
        <w:rPr>
          <w:szCs w:val="26"/>
        </w:rPr>
        <w:t xml:space="preserve">rate </w:t>
      </w:r>
      <w:r w:rsidR="00F14E41" w:rsidRPr="00A86E6B">
        <w:rPr>
          <w:szCs w:val="26"/>
        </w:rPr>
        <w:t xml:space="preserve">in the calculation of </w:t>
      </w:r>
      <w:r w:rsidR="00F12B0B" w:rsidRPr="00A86E6B">
        <w:rPr>
          <w:szCs w:val="26"/>
        </w:rPr>
        <w:t xml:space="preserve">prejudgment interest </w:t>
      </w:r>
      <w:r w:rsidR="002C6941" w:rsidRPr="00A86E6B">
        <w:rPr>
          <w:szCs w:val="26"/>
        </w:rPr>
        <w:t>absent a</w:t>
      </w:r>
      <w:r w:rsidR="00C5442E" w:rsidRPr="00A86E6B">
        <w:rPr>
          <w:szCs w:val="26"/>
        </w:rPr>
        <w:t xml:space="preserve"> </w:t>
      </w:r>
      <w:r w:rsidR="00F12B0B" w:rsidRPr="00A86E6B">
        <w:rPr>
          <w:szCs w:val="26"/>
        </w:rPr>
        <w:t xml:space="preserve">statute </w:t>
      </w:r>
      <w:r w:rsidR="00F6771D" w:rsidRPr="00A86E6B">
        <w:rPr>
          <w:szCs w:val="26"/>
        </w:rPr>
        <w:t>specifying</w:t>
      </w:r>
      <w:r w:rsidR="00F12B0B" w:rsidRPr="00A86E6B">
        <w:rPr>
          <w:szCs w:val="26"/>
        </w:rPr>
        <w:t xml:space="preserve"> </w:t>
      </w:r>
      <w:r w:rsidR="005E7E51" w:rsidRPr="00A86E6B">
        <w:rPr>
          <w:szCs w:val="26"/>
        </w:rPr>
        <w:t>a</w:t>
      </w:r>
      <w:r w:rsidR="00F12B0B" w:rsidRPr="00A86E6B">
        <w:rPr>
          <w:szCs w:val="26"/>
        </w:rPr>
        <w:t xml:space="preserve"> higher rate.  (</w:t>
      </w:r>
      <w:r w:rsidR="0000755E" w:rsidRPr="00A86E6B">
        <w:rPr>
          <w:szCs w:val="26"/>
        </w:rPr>
        <w:t>E</w:t>
      </w:r>
      <w:r w:rsidR="00E40391" w:rsidRPr="00A86E6B">
        <w:rPr>
          <w:szCs w:val="26"/>
        </w:rPr>
        <w:t xml:space="preserve">.g., </w:t>
      </w:r>
      <w:r w:rsidR="00E40391" w:rsidRPr="00A86E6B">
        <w:rPr>
          <w:i/>
          <w:iCs/>
          <w:szCs w:val="26"/>
        </w:rPr>
        <w:t>Brown v. California Unemployment Ins. Appeals Bd.</w:t>
      </w:r>
      <w:r w:rsidR="00E40391" w:rsidRPr="00A86E6B">
        <w:rPr>
          <w:szCs w:val="26"/>
        </w:rPr>
        <w:t xml:space="preserve"> (2018) 20 Cal.App.5th 1107, 1116; </w:t>
      </w:r>
      <w:r w:rsidR="00E40391" w:rsidRPr="00A86E6B">
        <w:rPr>
          <w:i/>
          <w:iCs/>
          <w:szCs w:val="26"/>
        </w:rPr>
        <w:t>Bu</w:t>
      </w:r>
      <w:r w:rsidR="00083BC3" w:rsidRPr="00A86E6B">
        <w:rPr>
          <w:i/>
          <w:iCs/>
          <w:szCs w:val="26"/>
        </w:rPr>
        <w:t>l</w:t>
      </w:r>
      <w:r w:rsidR="00E40391" w:rsidRPr="00A86E6B">
        <w:rPr>
          <w:i/>
          <w:iCs/>
          <w:szCs w:val="26"/>
        </w:rPr>
        <w:t>lock v. Philip Morris USA, Inc.</w:t>
      </w:r>
      <w:r w:rsidR="00E40391" w:rsidRPr="00A86E6B">
        <w:rPr>
          <w:szCs w:val="26"/>
        </w:rPr>
        <w:t xml:space="preserve"> (2011) </w:t>
      </w:r>
      <w:r w:rsidR="00083BC3" w:rsidRPr="00A86E6B">
        <w:rPr>
          <w:szCs w:val="26"/>
        </w:rPr>
        <w:t>198 Cal.App.4th 543, 573</w:t>
      </w:r>
      <w:r w:rsidR="004E6B5E" w:rsidRPr="00A86E6B">
        <w:rPr>
          <w:szCs w:val="26"/>
        </w:rPr>
        <w:t>; see also Civ. Code, § </w:t>
      </w:r>
      <w:r w:rsidR="00833384">
        <w:rPr>
          <w:szCs w:val="26"/>
        </w:rPr>
        <w:t>1916.1.</w:t>
      </w:r>
      <w:r w:rsidR="00F12B0B" w:rsidRPr="00A86E6B">
        <w:rPr>
          <w:szCs w:val="26"/>
        </w:rPr>
        <w:t>)</w:t>
      </w:r>
    </w:p>
    <w:p w14:paraId="1C63E52B" w14:textId="38AD32B5" w:rsidR="00B371E3" w:rsidRPr="00A86E6B" w:rsidRDefault="00C2658E" w:rsidP="00A86E6B">
      <w:pPr>
        <w:tabs>
          <w:tab w:val="left" w:pos="1440"/>
        </w:tabs>
        <w:ind w:firstLine="720"/>
        <w:rPr>
          <w:szCs w:val="26"/>
          <w:shd w:val="clear" w:color="auto" w:fill="FFFFFF"/>
        </w:rPr>
      </w:pPr>
      <w:r w:rsidRPr="00A86E6B">
        <w:rPr>
          <w:szCs w:val="26"/>
        </w:rPr>
        <w:t xml:space="preserve">No statute specifies the rate of prejudgment interest for most tort </w:t>
      </w:r>
      <w:r w:rsidR="00B44F05" w:rsidRPr="00A86E6B">
        <w:rPr>
          <w:szCs w:val="26"/>
        </w:rPr>
        <w:t xml:space="preserve">or other noncontract claims, </w:t>
      </w:r>
      <w:r w:rsidR="00F148A4" w:rsidRPr="00A86E6B">
        <w:rPr>
          <w:szCs w:val="26"/>
        </w:rPr>
        <w:t>so</w:t>
      </w:r>
      <w:r w:rsidR="00C532DC">
        <w:rPr>
          <w:szCs w:val="26"/>
        </w:rPr>
        <w:t>,</w:t>
      </w:r>
      <w:r w:rsidR="00F148A4" w:rsidRPr="00A86E6B">
        <w:rPr>
          <w:szCs w:val="26"/>
        </w:rPr>
        <w:t xml:space="preserve"> in such cases, the default constitutional rate of </w:t>
      </w:r>
      <w:r w:rsidR="00CA2C85" w:rsidRPr="00A86E6B">
        <w:rPr>
          <w:szCs w:val="26"/>
        </w:rPr>
        <w:t>7</w:t>
      </w:r>
      <w:r w:rsidR="008A2FCF" w:rsidRPr="00A86E6B">
        <w:rPr>
          <w:szCs w:val="26"/>
        </w:rPr>
        <w:t xml:space="preserve"> </w:t>
      </w:r>
      <w:r w:rsidRPr="00A86E6B">
        <w:rPr>
          <w:szCs w:val="26"/>
        </w:rPr>
        <w:t xml:space="preserve">percent </w:t>
      </w:r>
      <w:r w:rsidR="002D4747" w:rsidRPr="00A86E6B">
        <w:rPr>
          <w:szCs w:val="26"/>
        </w:rPr>
        <w:t>typically</w:t>
      </w:r>
      <w:r w:rsidR="00A753C7" w:rsidRPr="00A86E6B">
        <w:rPr>
          <w:szCs w:val="26"/>
        </w:rPr>
        <w:t xml:space="preserve"> </w:t>
      </w:r>
      <w:r w:rsidRPr="00A86E6B">
        <w:rPr>
          <w:szCs w:val="26"/>
        </w:rPr>
        <w:t>applies.  (</w:t>
      </w:r>
      <w:r w:rsidR="00A753C7" w:rsidRPr="00A86E6B">
        <w:rPr>
          <w:szCs w:val="26"/>
        </w:rPr>
        <w:t>See</w:t>
      </w:r>
      <w:r w:rsidR="008A2FCF" w:rsidRPr="00A86E6B">
        <w:rPr>
          <w:szCs w:val="26"/>
        </w:rPr>
        <w:t>, e.g.,</w:t>
      </w:r>
      <w:r w:rsidR="00A753C7" w:rsidRPr="00A86E6B">
        <w:rPr>
          <w:szCs w:val="26"/>
        </w:rPr>
        <w:t xml:space="preserve"> </w:t>
      </w:r>
      <w:r w:rsidR="00A753C7" w:rsidRPr="00A86E6B">
        <w:rPr>
          <w:i/>
          <w:iCs/>
          <w:szCs w:val="26"/>
        </w:rPr>
        <w:t>Michelson v. Hamada</w:t>
      </w:r>
      <w:r w:rsidR="00A753C7" w:rsidRPr="00A86E6B">
        <w:rPr>
          <w:szCs w:val="26"/>
        </w:rPr>
        <w:t xml:space="preserve"> (1994) 29 Cal.App.4th 1566, 1585</w:t>
      </w:r>
      <w:r w:rsidR="00857BA6" w:rsidRPr="00A86E6B">
        <w:rPr>
          <w:szCs w:val="26"/>
        </w:rPr>
        <w:t xml:space="preserve"> [</w:t>
      </w:r>
      <w:r w:rsidR="009F52FA">
        <w:rPr>
          <w:szCs w:val="26"/>
        </w:rPr>
        <w:t xml:space="preserve">applying 7 percent rate to </w:t>
      </w:r>
      <w:r w:rsidR="00857BA6" w:rsidRPr="00A86E6B">
        <w:rPr>
          <w:szCs w:val="26"/>
        </w:rPr>
        <w:t>fraud</w:t>
      </w:r>
      <w:r w:rsidR="009F52FA">
        <w:rPr>
          <w:szCs w:val="26"/>
        </w:rPr>
        <w:t xml:space="preserve"> claim</w:t>
      </w:r>
      <w:r w:rsidR="00857BA6" w:rsidRPr="00A86E6B">
        <w:rPr>
          <w:szCs w:val="26"/>
        </w:rPr>
        <w:t>]</w:t>
      </w:r>
      <w:r w:rsidR="00A753C7" w:rsidRPr="00A86E6B">
        <w:rPr>
          <w:szCs w:val="26"/>
        </w:rPr>
        <w:t xml:space="preserve">; cf. </w:t>
      </w:r>
      <w:r w:rsidR="009E0960" w:rsidRPr="00A86E6B">
        <w:rPr>
          <w:szCs w:val="26"/>
        </w:rPr>
        <w:t>Civ. Code, §</w:t>
      </w:r>
      <w:r w:rsidR="00BE5E1A">
        <w:rPr>
          <w:szCs w:val="26"/>
        </w:rPr>
        <w:t> </w:t>
      </w:r>
      <w:r w:rsidR="009E0960" w:rsidRPr="00A86E6B">
        <w:rPr>
          <w:szCs w:val="26"/>
        </w:rPr>
        <w:t xml:space="preserve">3291 [specifying 10 percent rate in personal injury action </w:t>
      </w:r>
      <w:r w:rsidR="00B371E3" w:rsidRPr="00A86E6B">
        <w:rPr>
          <w:szCs w:val="26"/>
        </w:rPr>
        <w:t xml:space="preserve">when a </w:t>
      </w:r>
      <w:r w:rsidR="009E0960" w:rsidRPr="00A86E6B">
        <w:rPr>
          <w:szCs w:val="26"/>
        </w:rPr>
        <w:t>defendant rejects a settlement offer</w:t>
      </w:r>
      <w:r w:rsidR="00F00251" w:rsidRPr="00A86E6B">
        <w:rPr>
          <w:szCs w:val="26"/>
        </w:rPr>
        <w:t xml:space="preserve"> less favorable than the final judgment</w:t>
      </w:r>
      <w:r w:rsidR="009E0960" w:rsidRPr="00A86E6B">
        <w:rPr>
          <w:szCs w:val="26"/>
        </w:rPr>
        <w:t>].</w:t>
      </w:r>
      <w:r w:rsidR="00A753C7" w:rsidRPr="00A86E6B">
        <w:rPr>
          <w:szCs w:val="26"/>
        </w:rPr>
        <w:t>)</w:t>
      </w:r>
      <w:r w:rsidR="00962EC1" w:rsidRPr="00A86E6B">
        <w:rPr>
          <w:szCs w:val="26"/>
        </w:rPr>
        <w:t xml:space="preserve">  For many years, </w:t>
      </w:r>
      <w:r w:rsidR="002D4747" w:rsidRPr="00A86E6B">
        <w:rPr>
          <w:szCs w:val="26"/>
        </w:rPr>
        <w:t xml:space="preserve">the same was true of contract claims.  But </w:t>
      </w:r>
      <w:r w:rsidR="00DA1D3A" w:rsidRPr="00A86E6B">
        <w:rPr>
          <w:szCs w:val="26"/>
        </w:rPr>
        <w:t xml:space="preserve">in </w:t>
      </w:r>
      <w:r w:rsidR="002D4747" w:rsidRPr="00A86E6B">
        <w:rPr>
          <w:szCs w:val="26"/>
        </w:rPr>
        <w:t xml:space="preserve">1985, the </w:t>
      </w:r>
      <w:r w:rsidR="00DA1D3A" w:rsidRPr="00A86E6B">
        <w:rPr>
          <w:szCs w:val="26"/>
        </w:rPr>
        <w:t xml:space="preserve">Legislature enacted a special </w:t>
      </w:r>
      <w:r w:rsidR="003E12F6" w:rsidRPr="00A86E6B">
        <w:rPr>
          <w:szCs w:val="26"/>
        </w:rPr>
        <w:t xml:space="preserve">default </w:t>
      </w:r>
      <w:r w:rsidR="00DA1D3A" w:rsidRPr="00A86E6B">
        <w:rPr>
          <w:szCs w:val="26"/>
        </w:rPr>
        <w:t xml:space="preserve">rule governing </w:t>
      </w:r>
      <w:r w:rsidR="006D0252" w:rsidRPr="00A86E6B">
        <w:rPr>
          <w:szCs w:val="26"/>
        </w:rPr>
        <w:t>such</w:t>
      </w:r>
      <w:r w:rsidR="00DA1D3A" w:rsidRPr="00A86E6B">
        <w:rPr>
          <w:szCs w:val="26"/>
        </w:rPr>
        <w:t xml:space="preserve"> claims: </w:t>
      </w:r>
      <w:r w:rsidR="00655F20" w:rsidRPr="00A86E6B">
        <w:rPr>
          <w:szCs w:val="26"/>
        </w:rPr>
        <w:t xml:space="preserve"> “If a contract entered into after January 1, 1986, does not stipulate a legal rate of interest, the obligation shall bear interest at a rate of 10 percent per annum after a breach.</w:t>
      </w:r>
      <w:r w:rsidR="003E12F6" w:rsidRPr="00A86E6B">
        <w:rPr>
          <w:szCs w:val="26"/>
        </w:rPr>
        <w:t xml:space="preserve">”  </w:t>
      </w:r>
      <w:r w:rsidR="002D4747" w:rsidRPr="00A86E6B">
        <w:rPr>
          <w:szCs w:val="26"/>
        </w:rPr>
        <w:t>(</w:t>
      </w:r>
      <w:r w:rsidR="009059B6" w:rsidRPr="00A86E6B">
        <w:rPr>
          <w:szCs w:val="26"/>
        </w:rPr>
        <w:t>Civ. Code, §</w:t>
      </w:r>
      <w:r w:rsidR="00FB7E3F" w:rsidRPr="00A86E6B">
        <w:rPr>
          <w:szCs w:val="26"/>
        </w:rPr>
        <w:t> </w:t>
      </w:r>
      <w:r w:rsidR="009059B6" w:rsidRPr="00A86E6B">
        <w:rPr>
          <w:szCs w:val="26"/>
        </w:rPr>
        <w:t>3289, subd. (b)</w:t>
      </w:r>
      <w:r w:rsidR="00123B7D" w:rsidRPr="00A86E6B">
        <w:rPr>
          <w:szCs w:val="26"/>
        </w:rPr>
        <w:t xml:space="preserve">, </w:t>
      </w:r>
      <w:r w:rsidR="009F52FA">
        <w:rPr>
          <w:szCs w:val="26"/>
        </w:rPr>
        <w:t>as amended</w:t>
      </w:r>
      <w:r w:rsidR="00123B7D" w:rsidRPr="00A86E6B">
        <w:rPr>
          <w:szCs w:val="26"/>
        </w:rPr>
        <w:t xml:space="preserve"> by Stats.</w:t>
      </w:r>
      <w:r w:rsidR="00E64371" w:rsidRPr="00A86E6B">
        <w:rPr>
          <w:szCs w:val="26"/>
        </w:rPr>
        <w:t xml:space="preserve"> </w:t>
      </w:r>
      <w:r w:rsidR="00123B7D" w:rsidRPr="00A86E6B">
        <w:rPr>
          <w:szCs w:val="26"/>
        </w:rPr>
        <w:t xml:space="preserve">1985, </w:t>
      </w:r>
      <w:r w:rsidR="0000014E" w:rsidRPr="00A86E6B">
        <w:rPr>
          <w:szCs w:val="26"/>
        </w:rPr>
        <w:t>ch. 663, §</w:t>
      </w:r>
      <w:r w:rsidR="00FB7E3F" w:rsidRPr="00A86E6B">
        <w:rPr>
          <w:szCs w:val="26"/>
        </w:rPr>
        <w:t> </w:t>
      </w:r>
      <w:r w:rsidR="0000014E" w:rsidRPr="00A86E6B">
        <w:rPr>
          <w:szCs w:val="26"/>
        </w:rPr>
        <w:t>1, p.</w:t>
      </w:r>
      <w:r w:rsidR="00FB7E3F" w:rsidRPr="00A86E6B">
        <w:rPr>
          <w:szCs w:val="26"/>
        </w:rPr>
        <w:t> </w:t>
      </w:r>
      <w:r w:rsidR="0000014E" w:rsidRPr="00A86E6B">
        <w:rPr>
          <w:szCs w:val="26"/>
        </w:rPr>
        <w:t>2251</w:t>
      </w:r>
      <w:r w:rsidR="00731E8A" w:rsidRPr="00A86E6B">
        <w:rPr>
          <w:szCs w:val="26"/>
        </w:rPr>
        <w:t>, and Stats. 1986, ch. 176, § 1, p. 406</w:t>
      </w:r>
      <w:r w:rsidR="0000014E" w:rsidRPr="00A86E6B">
        <w:rPr>
          <w:szCs w:val="26"/>
        </w:rPr>
        <w:t>.</w:t>
      </w:r>
      <w:r w:rsidR="009059B6" w:rsidRPr="00A86E6B">
        <w:rPr>
          <w:szCs w:val="26"/>
        </w:rPr>
        <w:t>)</w:t>
      </w:r>
      <w:r w:rsidR="0002400D" w:rsidRPr="00A86E6B">
        <w:rPr>
          <w:szCs w:val="26"/>
        </w:rPr>
        <w:t xml:space="preserve">  </w:t>
      </w:r>
      <w:r w:rsidR="00705063" w:rsidRPr="00A86E6B">
        <w:rPr>
          <w:szCs w:val="26"/>
        </w:rPr>
        <w:t>Then, i</w:t>
      </w:r>
      <w:r w:rsidR="00CA6ECD" w:rsidRPr="00A86E6B">
        <w:rPr>
          <w:szCs w:val="26"/>
        </w:rPr>
        <w:t xml:space="preserve">n 2000, as part of the same </w:t>
      </w:r>
      <w:r w:rsidR="001C1544" w:rsidRPr="00A86E6B">
        <w:rPr>
          <w:szCs w:val="26"/>
        </w:rPr>
        <w:t xml:space="preserve">legislation that enacted </w:t>
      </w:r>
      <w:r w:rsidR="00BF0F64" w:rsidRPr="00A86E6B">
        <w:rPr>
          <w:szCs w:val="26"/>
        </w:rPr>
        <w:t xml:space="preserve">section 226.7, the Legislature </w:t>
      </w:r>
      <w:r w:rsidR="006D0252" w:rsidRPr="00A86E6B">
        <w:rPr>
          <w:szCs w:val="26"/>
        </w:rPr>
        <w:t xml:space="preserve">extended the </w:t>
      </w:r>
      <w:r w:rsidR="00AE0A5A" w:rsidRPr="00A86E6B">
        <w:rPr>
          <w:szCs w:val="26"/>
        </w:rPr>
        <w:t xml:space="preserve">higher </w:t>
      </w:r>
      <w:r w:rsidR="00824252" w:rsidRPr="00A86E6B">
        <w:rPr>
          <w:szCs w:val="26"/>
        </w:rPr>
        <w:t>contract</w:t>
      </w:r>
      <w:r w:rsidR="00AE0A5A" w:rsidRPr="00A86E6B">
        <w:rPr>
          <w:szCs w:val="26"/>
        </w:rPr>
        <w:t xml:space="preserve"> </w:t>
      </w:r>
      <w:r w:rsidR="00824252" w:rsidRPr="00A86E6B">
        <w:rPr>
          <w:szCs w:val="26"/>
        </w:rPr>
        <w:t xml:space="preserve">claim interest </w:t>
      </w:r>
      <w:r w:rsidR="00AE0A5A" w:rsidRPr="00A86E6B">
        <w:rPr>
          <w:szCs w:val="26"/>
        </w:rPr>
        <w:t xml:space="preserve">rate </w:t>
      </w:r>
      <w:r w:rsidR="00824252" w:rsidRPr="00A86E6B">
        <w:rPr>
          <w:szCs w:val="26"/>
        </w:rPr>
        <w:t>to</w:t>
      </w:r>
      <w:r w:rsidR="00AE0A5A" w:rsidRPr="00A86E6B">
        <w:rPr>
          <w:szCs w:val="26"/>
        </w:rPr>
        <w:t xml:space="preserve"> wage nonpayment actions.  </w:t>
      </w:r>
      <w:r w:rsidR="008A2FCF" w:rsidRPr="00A86E6B">
        <w:rPr>
          <w:szCs w:val="26"/>
        </w:rPr>
        <w:t>(Stats. 2000, ch. 876, § 5, p.</w:t>
      </w:r>
      <w:r w:rsidR="00FB7E3F" w:rsidRPr="00A86E6B">
        <w:rPr>
          <w:szCs w:val="26"/>
        </w:rPr>
        <w:t> </w:t>
      </w:r>
      <w:r w:rsidR="008A2FCF" w:rsidRPr="00A86E6B">
        <w:rPr>
          <w:szCs w:val="26"/>
        </w:rPr>
        <w:t>6508.)</w:t>
      </w:r>
      <w:r w:rsidR="00C1631A" w:rsidRPr="00A86E6B">
        <w:rPr>
          <w:szCs w:val="26"/>
        </w:rPr>
        <w:t xml:space="preserve">  </w:t>
      </w:r>
      <w:r w:rsidR="00F12B0B" w:rsidRPr="00A86E6B">
        <w:rPr>
          <w:szCs w:val="26"/>
        </w:rPr>
        <w:t xml:space="preserve">Labor Code section </w:t>
      </w:r>
      <w:r w:rsidR="00C8775F" w:rsidRPr="00A86E6B">
        <w:rPr>
          <w:szCs w:val="26"/>
        </w:rPr>
        <w:t>218.6</w:t>
      </w:r>
      <w:r w:rsidR="00AE0A5A" w:rsidRPr="00A86E6B">
        <w:rPr>
          <w:szCs w:val="26"/>
        </w:rPr>
        <w:t xml:space="preserve"> provides</w:t>
      </w:r>
      <w:r w:rsidR="00F12B0B" w:rsidRPr="00A86E6B">
        <w:rPr>
          <w:szCs w:val="26"/>
        </w:rPr>
        <w:t>:  “</w:t>
      </w:r>
      <w:r w:rsidR="00F12B0B" w:rsidRPr="00A86E6B">
        <w:rPr>
          <w:szCs w:val="26"/>
          <w:shd w:val="clear" w:color="auto" w:fill="FFFFFF"/>
        </w:rPr>
        <w:t>In any action brought for the nonpayment of wages, the court shall award interest on all due and unpaid wages at the rate of interest specified in subdivision (b) of Section 3289 of the Civil Code”</w:t>
      </w:r>
      <w:r w:rsidR="00824252" w:rsidRPr="00A86E6B">
        <w:rPr>
          <w:szCs w:val="26"/>
          <w:shd w:val="clear" w:color="auto" w:fill="FFFFFF"/>
        </w:rPr>
        <w:t xml:space="preserve"> — i.e., </w:t>
      </w:r>
      <w:r w:rsidR="00F12B0B" w:rsidRPr="00A86E6B">
        <w:rPr>
          <w:szCs w:val="26"/>
          <w:shd w:val="clear" w:color="auto" w:fill="FFFFFF"/>
        </w:rPr>
        <w:t>10 percent per annum.</w:t>
      </w:r>
    </w:p>
    <w:p w14:paraId="62AF2158" w14:textId="77777777" w:rsidR="00824252" w:rsidRPr="00A86E6B" w:rsidRDefault="00E77E93" w:rsidP="00A86E6B">
      <w:pPr>
        <w:tabs>
          <w:tab w:val="left" w:pos="1440"/>
        </w:tabs>
        <w:ind w:firstLine="720"/>
        <w:rPr>
          <w:szCs w:val="26"/>
        </w:rPr>
      </w:pPr>
      <w:r w:rsidRPr="00A86E6B">
        <w:rPr>
          <w:szCs w:val="26"/>
          <w:shd w:val="clear" w:color="auto" w:fill="FFFFFF"/>
        </w:rPr>
        <w:t xml:space="preserve">The trial court in this case awarded prejudgment interest at </w:t>
      </w:r>
      <w:r w:rsidR="003E12F6" w:rsidRPr="00A86E6B">
        <w:rPr>
          <w:szCs w:val="26"/>
          <w:shd w:val="clear" w:color="auto" w:fill="FFFFFF"/>
        </w:rPr>
        <w:t>this</w:t>
      </w:r>
      <w:r w:rsidRPr="00A86E6B">
        <w:rPr>
          <w:szCs w:val="26"/>
          <w:shd w:val="clear" w:color="auto" w:fill="FFFFFF"/>
        </w:rPr>
        <w:t xml:space="preserve"> 10 percent rate.  </w:t>
      </w:r>
      <w:r w:rsidR="00A573AD" w:rsidRPr="00A86E6B">
        <w:rPr>
          <w:szCs w:val="26"/>
          <w:shd w:val="clear" w:color="auto" w:fill="FFFFFF"/>
        </w:rPr>
        <w:t xml:space="preserve">Although the trial court </w:t>
      </w:r>
      <w:r w:rsidR="00835B99" w:rsidRPr="00A86E6B">
        <w:rPr>
          <w:szCs w:val="26"/>
          <w:shd w:val="clear" w:color="auto" w:fill="FFFFFF"/>
        </w:rPr>
        <w:t xml:space="preserve">did not </w:t>
      </w:r>
      <w:r w:rsidR="00824252" w:rsidRPr="00A86E6B">
        <w:rPr>
          <w:szCs w:val="26"/>
          <w:shd w:val="clear" w:color="auto" w:fill="FFFFFF"/>
        </w:rPr>
        <w:t>specify</w:t>
      </w:r>
      <w:r w:rsidR="00835B99" w:rsidRPr="00A86E6B">
        <w:rPr>
          <w:szCs w:val="26"/>
          <w:shd w:val="clear" w:color="auto" w:fill="FFFFFF"/>
        </w:rPr>
        <w:t xml:space="preserve"> the statutory </w:t>
      </w:r>
      <w:r w:rsidR="00824252" w:rsidRPr="00A86E6B">
        <w:rPr>
          <w:szCs w:val="26"/>
          <w:shd w:val="clear" w:color="auto" w:fill="FFFFFF"/>
        </w:rPr>
        <w:t>authority</w:t>
      </w:r>
      <w:r w:rsidR="00835B99" w:rsidRPr="00A86E6B">
        <w:rPr>
          <w:szCs w:val="26"/>
          <w:shd w:val="clear" w:color="auto" w:fill="FFFFFF"/>
        </w:rPr>
        <w:t xml:space="preserve"> for the award</w:t>
      </w:r>
      <w:r w:rsidR="00A573AD" w:rsidRPr="00A86E6B">
        <w:rPr>
          <w:szCs w:val="26"/>
          <w:shd w:val="clear" w:color="auto" w:fill="FFFFFF"/>
        </w:rPr>
        <w:t xml:space="preserve">, the Court of Appeal assumed </w:t>
      </w:r>
      <w:r w:rsidR="00835B99" w:rsidRPr="00A86E6B">
        <w:rPr>
          <w:szCs w:val="26"/>
          <w:shd w:val="clear" w:color="auto" w:fill="FFFFFF"/>
        </w:rPr>
        <w:t xml:space="preserve">it </w:t>
      </w:r>
      <w:r w:rsidR="00F1056E" w:rsidRPr="00A86E6B">
        <w:rPr>
          <w:szCs w:val="26"/>
          <w:shd w:val="clear" w:color="auto" w:fill="FFFFFF"/>
        </w:rPr>
        <w:t xml:space="preserve">was based on </w:t>
      </w:r>
      <w:r w:rsidR="0000755E" w:rsidRPr="00A86E6B">
        <w:rPr>
          <w:szCs w:val="26"/>
          <w:shd w:val="clear" w:color="auto" w:fill="FFFFFF"/>
        </w:rPr>
        <w:t xml:space="preserve">Labor Code </w:t>
      </w:r>
      <w:r w:rsidR="00F1056E" w:rsidRPr="00A86E6B">
        <w:rPr>
          <w:szCs w:val="26"/>
          <w:shd w:val="clear" w:color="auto" w:fill="FFFFFF"/>
        </w:rPr>
        <w:t>section 218.6</w:t>
      </w:r>
      <w:r w:rsidR="003C6C5B" w:rsidRPr="00A86E6B">
        <w:rPr>
          <w:szCs w:val="26"/>
          <w:shd w:val="clear" w:color="auto" w:fill="FFFFFF"/>
        </w:rPr>
        <w:t xml:space="preserve"> </w:t>
      </w:r>
      <w:r w:rsidR="00054E9C" w:rsidRPr="00A86E6B">
        <w:rPr>
          <w:szCs w:val="26"/>
          <w:shd w:val="clear" w:color="auto" w:fill="FFFFFF"/>
        </w:rPr>
        <w:t>and held this was error.  (</w:t>
      </w:r>
      <w:r w:rsidR="00054E9C" w:rsidRPr="00A86E6B">
        <w:rPr>
          <w:i/>
          <w:iCs/>
          <w:szCs w:val="26"/>
          <w:shd w:val="clear" w:color="auto" w:fill="FFFFFF"/>
        </w:rPr>
        <w:t>Naranjo II</w:t>
      </w:r>
      <w:r w:rsidR="00054E9C" w:rsidRPr="00A86E6B">
        <w:rPr>
          <w:szCs w:val="26"/>
          <w:shd w:val="clear" w:color="auto" w:fill="FFFFFF"/>
        </w:rPr>
        <w:t>,</w:t>
      </w:r>
      <w:r w:rsidR="00054E9C" w:rsidRPr="00A86E6B">
        <w:rPr>
          <w:i/>
          <w:iCs/>
          <w:szCs w:val="26"/>
          <w:shd w:val="clear" w:color="auto" w:fill="FFFFFF"/>
        </w:rPr>
        <w:t xml:space="preserve"> supra</w:t>
      </w:r>
      <w:r w:rsidR="00054E9C" w:rsidRPr="00A86E6B">
        <w:rPr>
          <w:szCs w:val="26"/>
          <w:shd w:val="clear" w:color="auto" w:fill="FFFFFF"/>
        </w:rPr>
        <w:t>, 40 Cal.App.5th at p. 475.)</w:t>
      </w:r>
    </w:p>
    <w:p w14:paraId="5A043343" w14:textId="7741C2BC" w:rsidR="001528AD" w:rsidRPr="00A86E6B" w:rsidRDefault="00CB053E" w:rsidP="00A86E6B">
      <w:pPr>
        <w:tabs>
          <w:tab w:val="left" w:pos="1440"/>
        </w:tabs>
        <w:ind w:firstLine="720"/>
        <w:rPr>
          <w:szCs w:val="26"/>
          <w:shd w:val="clear" w:color="auto" w:fill="FFFFFF"/>
        </w:rPr>
      </w:pPr>
      <w:r w:rsidRPr="00A86E6B">
        <w:rPr>
          <w:szCs w:val="26"/>
        </w:rPr>
        <w:t>We agree s</w:t>
      </w:r>
      <w:r w:rsidR="00914053" w:rsidRPr="00A86E6B">
        <w:rPr>
          <w:szCs w:val="26"/>
        </w:rPr>
        <w:t xml:space="preserve">ection 218.6 is </w:t>
      </w:r>
      <w:r w:rsidR="00824252" w:rsidRPr="00A86E6B">
        <w:rPr>
          <w:szCs w:val="26"/>
        </w:rPr>
        <w:t xml:space="preserve">indeed </w:t>
      </w:r>
      <w:r w:rsidR="00914053" w:rsidRPr="00A86E6B">
        <w:rPr>
          <w:szCs w:val="26"/>
        </w:rPr>
        <w:t xml:space="preserve">inapplicable here.  </w:t>
      </w:r>
      <w:r w:rsidR="00B558AB" w:rsidRPr="00A86E6B">
        <w:rPr>
          <w:szCs w:val="26"/>
        </w:rPr>
        <w:t>As explained above, i</w:t>
      </w:r>
      <w:r w:rsidR="00C8775F" w:rsidRPr="00A86E6B">
        <w:rPr>
          <w:szCs w:val="26"/>
        </w:rPr>
        <w:t xml:space="preserve">n </w:t>
      </w:r>
      <w:r w:rsidR="00C8775F" w:rsidRPr="00A86E6B">
        <w:rPr>
          <w:i/>
          <w:iCs/>
          <w:szCs w:val="26"/>
        </w:rPr>
        <w:t>Kirby</w:t>
      </w:r>
      <w:r w:rsidR="00005F2E" w:rsidRPr="00A86E6B">
        <w:rPr>
          <w:szCs w:val="26"/>
        </w:rPr>
        <w:t xml:space="preserve">, </w:t>
      </w:r>
      <w:r w:rsidR="00005F2E" w:rsidRPr="00A86E6B">
        <w:rPr>
          <w:i/>
          <w:iCs/>
          <w:szCs w:val="26"/>
        </w:rPr>
        <w:t>supra</w:t>
      </w:r>
      <w:r w:rsidR="00005F2E" w:rsidRPr="00A86E6B">
        <w:rPr>
          <w:szCs w:val="26"/>
        </w:rPr>
        <w:t>, 53 Cal.4th 1244,</w:t>
      </w:r>
      <w:r w:rsidR="00C8775F" w:rsidRPr="00A86E6B">
        <w:rPr>
          <w:szCs w:val="26"/>
        </w:rPr>
        <w:t xml:space="preserve"> we </w:t>
      </w:r>
      <w:r w:rsidR="006B08CB" w:rsidRPr="00A86E6B">
        <w:rPr>
          <w:szCs w:val="26"/>
        </w:rPr>
        <w:t>conclud</w:t>
      </w:r>
      <w:r w:rsidR="00005F2E" w:rsidRPr="00A86E6B">
        <w:rPr>
          <w:szCs w:val="26"/>
        </w:rPr>
        <w:t xml:space="preserve">ed that </w:t>
      </w:r>
      <w:r w:rsidR="00A47F74" w:rsidRPr="00A86E6B">
        <w:rPr>
          <w:szCs w:val="26"/>
        </w:rPr>
        <w:t xml:space="preserve">the neighboring </w:t>
      </w:r>
      <w:r w:rsidR="00005F2E" w:rsidRPr="00A86E6B">
        <w:rPr>
          <w:szCs w:val="26"/>
        </w:rPr>
        <w:t>attorney</w:t>
      </w:r>
      <w:r w:rsidR="007A49DB" w:rsidRPr="00A86E6B">
        <w:rPr>
          <w:szCs w:val="26"/>
        </w:rPr>
        <w:t xml:space="preserve"> </w:t>
      </w:r>
      <w:r w:rsidR="00005F2E" w:rsidRPr="00A86E6B">
        <w:rPr>
          <w:szCs w:val="26"/>
        </w:rPr>
        <w:t xml:space="preserve">fee-shifting statute, Labor Code section 218.5, was inapplicable to </w:t>
      </w:r>
      <w:r w:rsidR="000F3299" w:rsidRPr="00A86E6B">
        <w:rPr>
          <w:szCs w:val="26"/>
        </w:rPr>
        <w:t>a section 226.7 suit because such a</w:t>
      </w:r>
      <w:r w:rsidR="00BA37A5" w:rsidRPr="00A86E6B">
        <w:rPr>
          <w:szCs w:val="26"/>
        </w:rPr>
        <w:t xml:space="preserve">n action </w:t>
      </w:r>
      <w:r w:rsidR="00005F2E" w:rsidRPr="00A86E6B">
        <w:rPr>
          <w:szCs w:val="26"/>
          <w:shd w:val="clear" w:color="auto" w:fill="FFFFFF"/>
        </w:rPr>
        <w:t>“is brought for the</w:t>
      </w:r>
      <w:r w:rsidR="00A15B1A" w:rsidRPr="00A86E6B">
        <w:rPr>
          <w:szCs w:val="26"/>
          <w:shd w:val="clear" w:color="auto" w:fill="FFFFFF"/>
        </w:rPr>
        <w:t xml:space="preserve"> </w:t>
      </w:r>
      <w:r w:rsidR="00005F2E" w:rsidRPr="00A86E6B">
        <w:rPr>
          <w:szCs w:val="26"/>
        </w:rPr>
        <w:t>nonprovision of meal and rest periods,</w:t>
      </w:r>
      <w:r w:rsidR="00A15B1A" w:rsidRPr="00A86E6B">
        <w:rPr>
          <w:rStyle w:val="apple-converted-space"/>
          <w:szCs w:val="26"/>
          <w:shd w:val="clear" w:color="auto" w:fill="FFFFFF"/>
        </w:rPr>
        <w:t xml:space="preserve"> </w:t>
      </w:r>
      <w:r w:rsidR="00005F2E" w:rsidRPr="00A86E6B">
        <w:rPr>
          <w:szCs w:val="26"/>
          <w:shd w:val="clear" w:color="auto" w:fill="FFFFFF"/>
        </w:rPr>
        <w:t>not for the ‘nonpayment of wages.’ ”  (</w:t>
      </w:r>
      <w:r w:rsidR="00005F2E" w:rsidRPr="00A86E6B">
        <w:rPr>
          <w:i/>
          <w:iCs/>
          <w:szCs w:val="26"/>
          <w:shd w:val="clear" w:color="auto" w:fill="FFFFFF"/>
        </w:rPr>
        <w:t>Kirby</w:t>
      </w:r>
      <w:r w:rsidR="00005F2E" w:rsidRPr="00A86E6B">
        <w:rPr>
          <w:szCs w:val="26"/>
          <w:shd w:val="clear" w:color="auto" w:fill="FFFFFF"/>
        </w:rPr>
        <w:t>, at p. 1255</w:t>
      </w:r>
      <w:r w:rsidR="00F56E86" w:rsidRPr="00A86E6B">
        <w:rPr>
          <w:szCs w:val="26"/>
          <w:shd w:val="clear" w:color="auto" w:fill="FFFFFF"/>
        </w:rPr>
        <w:t>, italics omitted</w:t>
      </w:r>
      <w:r w:rsidR="00005F2E" w:rsidRPr="00A86E6B">
        <w:rPr>
          <w:szCs w:val="26"/>
          <w:shd w:val="clear" w:color="auto" w:fill="FFFFFF"/>
        </w:rPr>
        <w:t xml:space="preserve">.)  </w:t>
      </w:r>
      <w:r w:rsidR="007422F4" w:rsidRPr="00A86E6B">
        <w:rPr>
          <w:szCs w:val="26"/>
          <w:shd w:val="clear" w:color="auto" w:fill="FFFFFF"/>
        </w:rPr>
        <w:t xml:space="preserve">It follows that </w:t>
      </w:r>
      <w:r w:rsidR="00324341" w:rsidRPr="00A86E6B">
        <w:rPr>
          <w:szCs w:val="26"/>
          <w:shd w:val="clear" w:color="auto" w:fill="FFFFFF"/>
        </w:rPr>
        <w:t xml:space="preserve">for purposes of prejudgment interest under Labor Code section 218.6, a </w:t>
      </w:r>
      <w:r w:rsidR="007422F4" w:rsidRPr="00A86E6B">
        <w:rPr>
          <w:szCs w:val="26"/>
          <w:shd w:val="clear" w:color="auto" w:fill="FFFFFF"/>
        </w:rPr>
        <w:t xml:space="preserve">section 226.7 suit is </w:t>
      </w:r>
      <w:r w:rsidR="0000755E" w:rsidRPr="00A86E6B">
        <w:rPr>
          <w:szCs w:val="26"/>
          <w:shd w:val="clear" w:color="auto" w:fill="FFFFFF"/>
        </w:rPr>
        <w:t xml:space="preserve">also </w:t>
      </w:r>
      <w:r w:rsidR="007422F4" w:rsidRPr="00A86E6B">
        <w:rPr>
          <w:szCs w:val="26"/>
          <w:shd w:val="clear" w:color="auto" w:fill="FFFFFF"/>
        </w:rPr>
        <w:t xml:space="preserve">not </w:t>
      </w:r>
      <w:r w:rsidR="00005F2E" w:rsidRPr="00A86E6B">
        <w:rPr>
          <w:szCs w:val="26"/>
          <w:shd w:val="clear" w:color="auto" w:fill="FFFFFF"/>
        </w:rPr>
        <w:t xml:space="preserve">an </w:t>
      </w:r>
      <w:r w:rsidR="00B371E3" w:rsidRPr="00A86E6B">
        <w:rPr>
          <w:szCs w:val="26"/>
          <w:shd w:val="clear" w:color="auto" w:fill="FFFFFF"/>
        </w:rPr>
        <w:t>“</w:t>
      </w:r>
      <w:r w:rsidR="00005F2E" w:rsidRPr="00A86E6B">
        <w:rPr>
          <w:szCs w:val="26"/>
          <w:shd w:val="clear" w:color="auto" w:fill="FFFFFF"/>
        </w:rPr>
        <w:t xml:space="preserve">action </w:t>
      </w:r>
      <w:r w:rsidR="008A2FCF" w:rsidRPr="00A86E6B">
        <w:rPr>
          <w:szCs w:val="26"/>
          <w:shd w:val="clear" w:color="auto" w:fill="FFFFFF"/>
        </w:rPr>
        <w:t xml:space="preserve">brought </w:t>
      </w:r>
      <w:r w:rsidR="00005F2E" w:rsidRPr="00A86E6B">
        <w:rPr>
          <w:szCs w:val="26"/>
          <w:shd w:val="clear" w:color="auto" w:fill="FFFFFF"/>
        </w:rPr>
        <w:t xml:space="preserve">for </w:t>
      </w:r>
      <w:r w:rsidR="008A2FCF" w:rsidRPr="00A86E6B">
        <w:rPr>
          <w:szCs w:val="26"/>
          <w:shd w:val="clear" w:color="auto" w:fill="FFFFFF"/>
        </w:rPr>
        <w:t xml:space="preserve">the </w:t>
      </w:r>
      <w:r w:rsidR="00005F2E" w:rsidRPr="00A86E6B">
        <w:rPr>
          <w:szCs w:val="26"/>
          <w:shd w:val="clear" w:color="auto" w:fill="FFFFFF"/>
        </w:rPr>
        <w:t>nonpayment of wages</w:t>
      </w:r>
      <w:r w:rsidR="00250788" w:rsidRPr="00A86E6B">
        <w:rPr>
          <w:szCs w:val="26"/>
          <w:shd w:val="clear" w:color="auto" w:fill="FFFFFF"/>
        </w:rPr>
        <w:t>,</w:t>
      </w:r>
      <w:r w:rsidR="00005F2E" w:rsidRPr="00A86E6B">
        <w:rPr>
          <w:szCs w:val="26"/>
          <w:shd w:val="clear" w:color="auto" w:fill="FFFFFF"/>
        </w:rPr>
        <w:t>”</w:t>
      </w:r>
      <w:r w:rsidR="00250788" w:rsidRPr="00A86E6B">
        <w:rPr>
          <w:szCs w:val="26"/>
          <w:shd w:val="clear" w:color="auto" w:fill="FFFFFF"/>
        </w:rPr>
        <w:t xml:space="preserve"> as section 218.6 requires, and so does not qualify for that statute’s higher rate.</w:t>
      </w:r>
    </w:p>
    <w:p w14:paraId="6DF93ABF" w14:textId="649C7D21" w:rsidR="006E48D4" w:rsidRPr="00A86E6B" w:rsidRDefault="00054E9C" w:rsidP="00A86E6B">
      <w:pPr>
        <w:tabs>
          <w:tab w:val="left" w:pos="1440"/>
        </w:tabs>
        <w:ind w:firstLine="720"/>
        <w:rPr>
          <w:szCs w:val="26"/>
        </w:rPr>
      </w:pPr>
      <w:r w:rsidRPr="00A86E6B">
        <w:rPr>
          <w:szCs w:val="26"/>
          <w:shd w:val="clear" w:color="auto" w:fill="FFFFFF"/>
        </w:rPr>
        <w:t>Naranjo</w:t>
      </w:r>
      <w:r w:rsidR="009D4739" w:rsidRPr="00A86E6B">
        <w:rPr>
          <w:szCs w:val="26"/>
          <w:shd w:val="clear" w:color="auto" w:fill="FFFFFF"/>
        </w:rPr>
        <w:t xml:space="preserve"> </w:t>
      </w:r>
      <w:r w:rsidR="00B371E3" w:rsidRPr="00A86E6B">
        <w:rPr>
          <w:szCs w:val="26"/>
          <w:shd w:val="clear" w:color="auto" w:fill="FFFFFF"/>
        </w:rPr>
        <w:t>contends</w:t>
      </w:r>
      <w:r w:rsidR="00BE32A6">
        <w:rPr>
          <w:szCs w:val="26"/>
          <w:shd w:val="clear" w:color="auto" w:fill="FFFFFF"/>
        </w:rPr>
        <w:t>, however,</w:t>
      </w:r>
      <w:r w:rsidR="00B371E3" w:rsidRPr="00A86E6B">
        <w:rPr>
          <w:szCs w:val="26"/>
          <w:shd w:val="clear" w:color="auto" w:fill="FFFFFF"/>
        </w:rPr>
        <w:t xml:space="preserve"> </w:t>
      </w:r>
      <w:r w:rsidR="002E021F" w:rsidRPr="00A86E6B">
        <w:rPr>
          <w:szCs w:val="26"/>
          <w:shd w:val="clear" w:color="auto" w:fill="FFFFFF"/>
        </w:rPr>
        <w:t>that the trial court’s award of prejudgment interest should be upheld</w:t>
      </w:r>
      <w:r w:rsidR="009D4739" w:rsidRPr="00A86E6B">
        <w:rPr>
          <w:szCs w:val="26"/>
          <w:shd w:val="clear" w:color="auto" w:fill="FFFFFF"/>
        </w:rPr>
        <w:t xml:space="preserve"> on other grounds.  </w:t>
      </w:r>
      <w:r w:rsidR="002E4ED8" w:rsidRPr="00A86E6B">
        <w:rPr>
          <w:szCs w:val="26"/>
          <w:shd w:val="clear" w:color="auto" w:fill="FFFFFF"/>
        </w:rPr>
        <w:t>Specifically, h</w:t>
      </w:r>
      <w:r w:rsidR="009D4739" w:rsidRPr="00A86E6B">
        <w:rPr>
          <w:szCs w:val="26"/>
          <w:shd w:val="clear" w:color="auto" w:fill="FFFFFF"/>
        </w:rPr>
        <w:t xml:space="preserve">e </w:t>
      </w:r>
      <w:r w:rsidR="00250788" w:rsidRPr="00A86E6B">
        <w:rPr>
          <w:szCs w:val="26"/>
          <w:shd w:val="clear" w:color="auto" w:fill="FFFFFF"/>
        </w:rPr>
        <w:t>argue</w:t>
      </w:r>
      <w:r w:rsidR="002E4ED8" w:rsidRPr="00A86E6B">
        <w:rPr>
          <w:szCs w:val="26"/>
          <w:shd w:val="clear" w:color="auto" w:fill="FFFFFF"/>
        </w:rPr>
        <w:t xml:space="preserve">s </w:t>
      </w:r>
      <w:r w:rsidR="00F00856" w:rsidRPr="00A86E6B">
        <w:rPr>
          <w:szCs w:val="26"/>
        </w:rPr>
        <w:t xml:space="preserve">the trial court’s </w:t>
      </w:r>
      <w:r w:rsidR="008A2FCF" w:rsidRPr="00A86E6B">
        <w:rPr>
          <w:szCs w:val="26"/>
        </w:rPr>
        <w:t xml:space="preserve">use of a </w:t>
      </w:r>
      <w:r w:rsidR="009D4739" w:rsidRPr="00A86E6B">
        <w:rPr>
          <w:szCs w:val="26"/>
        </w:rPr>
        <w:t xml:space="preserve">10 percent prejudgment </w:t>
      </w:r>
      <w:r w:rsidR="00F00856" w:rsidRPr="00A86E6B">
        <w:rPr>
          <w:szCs w:val="26"/>
        </w:rPr>
        <w:t xml:space="preserve">interest rate is supported not by </w:t>
      </w:r>
      <w:r w:rsidR="008A2FCF" w:rsidRPr="00A86E6B">
        <w:rPr>
          <w:szCs w:val="26"/>
        </w:rPr>
        <w:t xml:space="preserve">Labor Code </w:t>
      </w:r>
      <w:r w:rsidR="00F00856" w:rsidRPr="00A86E6B">
        <w:rPr>
          <w:szCs w:val="26"/>
        </w:rPr>
        <w:t>section 218.6 but</w:t>
      </w:r>
      <w:r w:rsidR="00C2365C" w:rsidRPr="00A86E6B">
        <w:rPr>
          <w:szCs w:val="26"/>
        </w:rPr>
        <w:t xml:space="preserve"> directly</w:t>
      </w:r>
      <w:r w:rsidR="00F00856" w:rsidRPr="00A86E6B">
        <w:rPr>
          <w:szCs w:val="26"/>
        </w:rPr>
        <w:t xml:space="preserve"> by the contract-rate statute, Civil Code section 3289</w:t>
      </w:r>
      <w:r w:rsidR="0028277B" w:rsidRPr="00A86E6B">
        <w:rPr>
          <w:szCs w:val="26"/>
        </w:rPr>
        <w:t xml:space="preserve">, subdivision </w:t>
      </w:r>
      <w:r w:rsidR="00F00856" w:rsidRPr="00A86E6B">
        <w:rPr>
          <w:szCs w:val="26"/>
        </w:rPr>
        <w:t>(b).</w:t>
      </w:r>
      <w:r w:rsidR="001A6DC2" w:rsidRPr="00A86E6B">
        <w:rPr>
          <w:szCs w:val="26"/>
        </w:rPr>
        <w:t xml:space="preserve">  </w:t>
      </w:r>
      <w:r w:rsidR="00C2365C" w:rsidRPr="00A86E6B">
        <w:rPr>
          <w:szCs w:val="26"/>
        </w:rPr>
        <w:t>The complaint</w:t>
      </w:r>
      <w:r w:rsidR="006E48D4" w:rsidRPr="00A86E6B">
        <w:rPr>
          <w:szCs w:val="26"/>
        </w:rPr>
        <w:t xml:space="preserve"> alleges a violation of a statutory and regulatory requirement, not a breach of any term of Spectrum’s agreements with its employee</w:t>
      </w:r>
      <w:r w:rsidR="00452E6E" w:rsidRPr="00A86E6B">
        <w:rPr>
          <w:szCs w:val="26"/>
        </w:rPr>
        <w:t xml:space="preserve">s; at no point has Naranjo asserted claims </w:t>
      </w:r>
      <w:r w:rsidR="00324341" w:rsidRPr="00A86E6B">
        <w:rPr>
          <w:szCs w:val="26"/>
        </w:rPr>
        <w:t xml:space="preserve">for </w:t>
      </w:r>
      <w:r w:rsidR="00452E6E" w:rsidRPr="00A86E6B">
        <w:rPr>
          <w:szCs w:val="26"/>
        </w:rPr>
        <w:t xml:space="preserve">breach of contract based on the meal break violations.  </w:t>
      </w:r>
      <w:r w:rsidR="00EE2503" w:rsidRPr="00A86E6B">
        <w:rPr>
          <w:szCs w:val="26"/>
        </w:rPr>
        <w:t xml:space="preserve">But </w:t>
      </w:r>
      <w:r w:rsidR="00452E6E" w:rsidRPr="00A86E6B">
        <w:rPr>
          <w:szCs w:val="26"/>
        </w:rPr>
        <w:t xml:space="preserve">Naranjo </w:t>
      </w:r>
      <w:r w:rsidR="006E48D4" w:rsidRPr="00A86E6B">
        <w:rPr>
          <w:szCs w:val="26"/>
        </w:rPr>
        <w:t>argues that section 3289</w:t>
      </w:r>
      <w:r w:rsidR="0028277B" w:rsidRPr="00A86E6B">
        <w:rPr>
          <w:szCs w:val="26"/>
        </w:rPr>
        <w:t xml:space="preserve">, subdivision </w:t>
      </w:r>
      <w:r w:rsidR="006E48D4" w:rsidRPr="00A86E6B">
        <w:rPr>
          <w:szCs w:val="26"/>
        </w:rPr>
        <w:t xml:space="preserve">(b) nonetheless applies because </w:t>
      </w:r>
      <w:r w:rsidR="00AE1EA0" w:rsidRPr="00A86E6B">
        <w:rPr>
          <w:szCs w:val="26"/>
        </w:rPr>
        <w:t xml:space="preserve">every </w:t>
      </w:r>
      <w:r w:rsidR="006E48D4" w:rsidRPr="00A86E6B">
        <w:rPr>
          <w:szCs w:val="26"/>
        </w:rPr>
        <w:t xml:space="preserve">contract of employment </w:t>
      </w:r>
      <w:r w:rsidR="00E01EE6" w:rsidRPr="00A86E6B">
        <w:rPr>
          <w:szCs w:val="26"/>
        </w:rPr>
        <w:t xml:space="preserve">implicitly </w:t>
      </w:r>
      <w:r w:rsidR="006E48D4" w:rsidRPr="00A86E6B">
        <w:rPr>
          <w:szCs w:val="26"/>
        </w:rPr>
        <w:t>incorporate</w:t>
      </w:r>
      <w:r w:rsidR="00AE1EA0" w:rsidRPr="00A86E6B">
        <w:rPr>
          <w:szCs w:val="26"/>
        </w:rPr>
        <w:t>s</w:t>
      </w:r>
      <w:r w:rsidR="006E48D4" w:rsidRPr="00A86E6B">
        <w:rPr>
          <w:szCs w:val="26"/>
        </w:rPr>
        <w:t xml:space="preserve"> mandatory statutory duties</w:t>
      </w:r>
      <w:r w:rsidR="00C2365C" w:rsidRPr="00A86E6B">
        <w:rPr>
          <w:szCs w:val="26"/>
        </w:rPr>
        <w:t>, including here</w:t>
      </w:r>
      <w:r w:rsidR="006E48D4" w:rsidRPr="00A86E6B">
        <w:rPr>
          <w:szCs w:val="26"/>
        </w:rPr>
        <w:t xml:space="preserve"> the duty to pay premium pay if an employee is unlawfully deprived of a meal or rest break</w:t>
      </w:r>
      <w:r w:rsidR="00324341" w:rsidRPr="00A86E6B">
        <w:rPr>
          <w:szCs w:val="26"/>
        </w:rPr>
        <w:t>, so that a violation of statute is also a breach of contract</w:t>
      </w:r>
      <w:r w:rsidR="006E48D4" w:rsidRPr="00A86E6B">
        <w:rPr>
          <w:szCs w:val="26"/>
        </w:rPr>
        <w:t>.</w:t>
      </w:r>
    </w:p>
    <w:p w14:paraId="3CC69860" w14:textId="652A6564" w:rsidR="008F2029" w:rsidRPr="00A86E6B" w:rsidRDefault="00920D75" w:rsidP="00A86E6B">
      <w:pPr>
        <w:tabs>
          <w:tab w:val="left" w:pos="1440"/>
        </w:tabs>
        <w:ind w:firstLine="720"/>
        <w:rPr>
          <w:szCs w:val="26"/>
        </w:rPr>
      </w:pPr>
      <w:r w:rsidRPr="00A86E6B">
        <w:rPr>
          <w:szCs w:val="26"/>
        </w:rPr>
        <w:t xml:space="preserve">Naranjo relies for this </w:t>
      </w:r>
      <w:r w:rsidR="002864FC" w:rsidRPr="00A86E6B">
        <w:rPr>
          <w:szCs w:val="26"/>
        </w:rPr>
        <w:t xml:space="preserve">argument on </w:t>
      </w:r>
      <w:r w:rsidR="00525495" w:rsidRPr="00A86E6B">
        <w:rPr>
          <w:i/>
          <w:iCs/>
          <w:szCs w:val="26"/>
        </w:rPr>
        <w:t>Bell v. Farmers Ins. Exchange</w:t>
      </w:r>
      <w:r w:rsidR="00525495" w:rsidRPr="00A86E6B">
        <w:rPr>
          <w:szCs w:val="26"/>
        </w:rPr>
        <w:t xml:space="preserve"> (2006) 135 Cal.App.4th 1138</w:t>
      </w:r>
      <w:r w:rsidR="008A2FCF" w:rsidRPr="00A86E6B">
        <w:rPr>
          <w:szCs w:val="26"/>
        </w:rPr>
        <w:t xml:space="preserve"> (</w:t>
      </w:r>
      <w:r w:rsidR="008A2FCF" w:rsidRPr="00A86E6B">
        <w:rPr>
          <w:i/>
          <w:iCs/>
          <w:szCs w:val="26"/>
        </w:rPr>
        <w:t>Bell</w:t>
      </w:r>
      <w:r w:rsidR="008A2FCF" w:rsidRPr="00A86E6B">
        <w:rPr>
          <w:szCs w:val="26"/>
        </w:rPr>
        <w:t>)</w:t>
      </w:r>
      <w:r w:rsidR="005663AF" w:rsidRPr="00A86E6B">
        <w:rPr>
          <w:szCs w:val="26"/>
        </w:rPr>
        <w:t xml:space="preserve">, which considered the prejudgment interest rate </w:t>
      </w:r>
      <w:r w:rsidR="006337D6" w:rsidRPr="00A86E6B">
        <w:rPr>
          <w:szCs w:val="26"/>
        </w:rPr>
        <w:t xml:space="preserve">applicable </w:t>
      </w:r>
      <w:r w:rsidR="005663AF" w:rsidRPr="00A86E6B">
        <w:rPr>
          <w:szCs w:val="26"/>
        </w:rPr>
        <w:t xml:space="preserve">to </w:t>
      </w:r>
      <w:r w:rsidR="006337D6" w:rsidRPr="00A86E6B">
        <w:rPr>
          <w:szCs w:val="26"/>
        </w:rPr>
        <w:t xml:space="preserve">claims for </w:t>
      </w:r>
      <w:r w:rsidR="005663AF" w:rsidRPr="00A86E6B">
        <w:rPr>
          <w:szCs w:val="26"/>
        </w:rPr>
        <w:t>unpaid overtime wages</w:t>
      </w:r>
      <w:r w:rsidR="00976D76" w:rsidRPr="00A86E6B">
        <w:rPr>
          <w:szCs w:val="26"/>
        </w:rPr>
        <w:t xml:space="preserve"> </w:t>
      </w:r>
      <w:r w:rsidR="00F26DBC" w:rsidRPr="00A86E6B">
        <w:rPr>
          <w:szCs w:val="26"/>
        </w:rPr>
        <w:t xml:space="preserve">accruing </w:t>
      </w:r>
      <w:r w:rsidR="006337D6" w:rsidRPr="00A86E6B">
        <w:rPr>
          <w:szCs w:val="26"/>
        </w:rPr>
        <w:t xml:space="preserve">both before and </w:t>
      </w:r>
      <w:r w:rsidR="00976D76" w:rsidRPr="00A86E6B">
        <w:rPr>
          <w:szCs w:val="26"/>
        </w:rPr>
        <w:t>after Labor Code section 218.6</w:t>
      </w:r>
      <w:r w:rsidR="0065440D" w:rsidRPr="00A86E6B">
        <w:rPr>
          <w:szCs w:val="26"/>
        </w:rPr>
        <w:t xml:space="preserve"> </w:t>
      </w:r>
      <w:r w:rsidR="000F3C85" w:rsidRPr="00A86E6B">
        <w:rPr>
          <w:szCs w:val="26"/>
        </w:rPr>
        <w:t>took effect</w:t>
      </w:r>
      <w:r w:rsidR="005152D3" w:rsidRPr="00A86E6B">
        <w:rPr>
          <w:szCs w:val="26"/>
        </w:rPr>
        <w:t xml:space="preserve">.  </w:t>
      </w:r>
      <w:r w:rsidR="0065440D" w:rsidRPr="00A86E6B">
        <w:rPr>
          <w:szCs w:val="26"/>
        </w:rPr>
        <w:t xml:space="preserve">For claims </w:t>
      </w:r>
      <w:r w:rsidR="00F26DBC" w:rsidRPr="00A86E6B">
        <w:rPr>
          <w:szCs w:val="26"/>
        </w:rPr>
        <w:t xml:space="preserve">accruing </w:t>
      </w:r>
      <w:r w:rsidR="0065440D" w:rsidRPr="00A86E6B">
        <w:rPr>
          <w:szCs w:val="26"/>
        </w:rPr>
        <w:t xml:space="preserve">after section 218.6’s effective date, the </w:t>
      </w:r>
      <w:r w:rsidR="000F3C85" w:rsidRPr="00A86E6B">
        <w:rPr>
          <w:szCs w:val="26"/>
        </w:rPr>
        <w:t xml:space="preserve">statute specified the </w:t>
      </w:r>
      <w:r w:rsidR="0065440D" w:rsidRPr="00A86E6B">
        <w:rPr>
          <w:szCs w:val="26"/>
        </w:rPr>
        <w:t xml:space="preserve">interest rate was </w:t>
      </w:r>
      <w:r w:rsidR="00D65216" w:rsidRPr="00A86E6B">
        <w:rPr>
          <w:szCs w:val="26"/>
        </w:rPr>
        <w:t xml:space="preserve">10 percent.  </w:t>
      </w:r>
      <w:r w:rsidR="00B371E3" w:rsidRPr="00A86E6B">
        <w:rPr>
          <w:szCs w:val="26"/>
        </w:rPr>
        <w:t xml:space="preserve">Even for </w:t>
      </w:r>
      <w:r w:rsidR="0000755E" w:rsidRPr="00A86E6B">
        <w:rPr>
          <w:szCs w:val="26"/>
        </w:rPr>
        <w:t xml:space="preserve">claims </w:t>
      </w:r>
      <w:r w:rsidR="00F26DBC" w:rsidRPr="00A86E6B">
        <w:rPr>
          <w:szCs w:val="26"/>
        </w:rPr>
        <w:t xml:space="preserve">accruing </w:t>
      </w:r>
      <w:r w:rsidR="0000755E" w:rsidRPr="00A86E6B">
        <w:rPr>
          <w:szCs w:val="26"/>
        </w:rPr>
        <w:t xml:space="preserve">before section 218.6 took effect, however, the </w:t>
      </w:r>
      <w:r w:rsidR="0065440D" w:rsidRPr="00A86E6B">
        <w:rPr>
          <w:szCs w:val="26"/>
        </w:rPr>
        <w:t xml:space="preserve">Court of Appeal </w:t>
      </w:r>
      <w:r w:rsidR="00B371E3" w:rsidRPr="00A86E6B">
        <w:rPr>
          <w:szCs w:val="26"/>
        </w:rPr>
        <w:t xml:space="preserve">applied </w:t>
      </w:r>
      <w:r w:rsidR="0065440D" w:rsidRPr="00A86E6B">
        <w:rPr>
          <w:szCs w:val="26"/>
        </w:rPr>
        <w:t xml:space="preserve">the same </w:t>
      </w:r>
      <w:r w:rsidR="00B371E3" w:rsidRPr="00A86E6B">
        <w:rPr>
          <w:szCs w:val="26"/>
        </w:rPr>
        <w:t>rate</w:t>
      </w:r>
      <w:r w:rsidR="000F3C85" w:rsidRPr="00A86E6B">
        <w:rPr>
          <w:szCs w:val="26"/>
        </w:rPr>
        <w:t>.</w:t>
      </w:r>
      <w:r w:rsidR="0065440D" w:rsidRPr="00A86E6B">
        <w:rPr>
          <w:szCs w:val="26"/>
        </w:rPr>
        <w:t xml:space="preserve"> </w:t>
      </w:r>
      <w:r w:rsidR="008A7E91" w:rsidRPr="00A86E6B">
        <w:rPr>
          <w:szCs w:val="26"/>
        </w:rPr>
        <w:t xml:space="preserve"> </w:t>
      </w:r>
      <w:r w:rsidR="00B371E3" w:rsidRPr="00A86E6B">
        <w:rPr>
          <w:szCs w:val="26"/>
        </w:rPr>
        <w:t>Any objection to that rate had been waived</w:t>
      </w:r>
      <w:r w:rsidR="00632487" w:rsidRPr="00A86E6B">
        <w:rPr>
          <w:szCs w:val="26"/>
        </w:rPr>
        <w:t xml:space="preserve"> by the defendant</w:t>
      </w:r>
      <w:r w:rsidR="00B371E3" w:rsidRPr="00A86E6B">
        <w:rPr>
          <w:szCs w:val="26"/>
        </w:rPr>
        <w:t>, and in any event the language of</w:t>
      </w:r>
      <w:r w:rsidR="0065440D" w:rsidRPr="00A86E6B">
        <w:rPr>
          <w:szCs w:val="26"/>
        </w:rPr>
        <w:t xml:space="preserve"> </w:t>
      </w:r>
      <w:r w:rsidR="00D65216" w:rsidRPr="00A86E6B">
        <w:rPr>
          <w:szCs w:val="26"/>
        </w:rPr>
        <w:t xml:space="preserve">section 218.6 </w:t>
      </w:r>
      <w:r w:rsidR="00B371E3" w:rsidRPr="00A86E6B">
        <w:rPr>
          <w:szCs w:val="26"/>
        </w:rPr>
        <w:t>supported</w:t>
      </w:r>
      <w:r w:rsidR="000F3C85" w:rsidRPr="00A86E6B">
        <w:rPr>
          <w:szCs w:val="26"/>
        </w:rPr>
        <w:t xml:space="preserve"> </w:t>
      </w:r>
      <w:r w:rsidR="00D65216" w:rsidRPr="00A86E6B">
        <w:rPr>
          <w:szCs w:val="26"/>
        </w:rPr>
        <w:t>retroactive</w:t>
      </w:r>
      <w:r w:rsidR="00B371E3" w:rsidRPr="00A86E6B">
        <w:rPr>
          <w:szCs w:val="26"/>
        </w:rPr>
        <w:t xml:space="preserve"> application to wage claims accruing before enactment</w:t>
      </w:r>
      <w:r w:rsidR="00D65B65" w:rsidRPr="00A86E6B">
        <w:rPr>
          <w:szCs w:val="26"/>
        </w:rPr>
        <w:t xml:space="preserve">.  </w:t>
      </w:r>
      <w:r w:rsidR="00B371E3" w:rsidRPr="00A86E6B">
        <w:rPr>
          <w:szCs w:val="26"/>
        </w:rPr>
        <w:t>(</w:t>
      </w:r>
      <w:r w:rsidR="00B371E3" w:rsidRPr="00A86E6B">
        <w:rPr>
          <w:i/>
          <w:iCs/>
          <w:szCs w:val="26"/>
        </w:rPr>
        <w:t>Bell</w:t>
      </w:r>
      <w:r w:rsidR="00B371E3" w:rsidRPr="00A86E6B">
        <w:rPr>
          <w:szCs w:val="26"/>
        </w:rPr>
        <w:t xml:space="preserve">, at pp. 1145–1146.)  </w:t>
      </w:r>
      <w:r w:rsidR="006F7AF2" w:rsidRPr="00A86E6B">
        <w:rPr>
          <w:szCs w:val="26"/>
        </w:rPr>
        <w:t xml:space="preserve">The court went on to conclude, as a third basis for its decision, that </w:t>
      </w:r>
      <w:r w:rsidR="00B371E3" w:rsidRPr="00A86E6B">
        <w:rPr>
          <w:szCs w:val="26"/>
        </w:rPr>
        <w:t xml:space="preserve">the Legislature might </w:t>
      </w:r>
      <w:r w:rsidR="001A6DC2" w:rsidRPr="00A86E6B">
        <w:rPr>
          <w:szCs w:val="26"/>
        </w:rPr>
        <w:t xml:space="preserve">also </w:t>
      </w:r>
      <w:r w:rsidR="00B371E3" w:rsidRPr="00A86E6B">
        <w:rPr>
          <w:szCs w:val="26"/>
        </w:rPr>
        <w:t xml:space="preserve">have </w:t>
      </w:r>
      <w:r w:rsidR="003B1CC3" w:rsidRPr="00A86E6B">
        <w:rPr>
          <w:szCs w:val="26"/>
        </w:rPr>
        <w:t xml:space="preserve">thought </w:t>
      </w:r>
      <w:r w:rsidR="0028277B" w:rsidRPr="00A86E6B">
        <w:rPr>
          <w:szCs w:val="26"/>
        </w:rPr>
        <w:t xml:space="preserve">Labor Code </w:t>
      </w:r>
      <w:r w:rsidR="00CB12AD" w:rsidRPr="00A86E6B">
        <w:rPr>
          <w:szCs w:val="26"/>
        </w:rPr>
        <w:t xml:space="preserve">section 218.6 did not change existing law, </w:t>
      </w:r>
      <w:r w:rsidR="001A6DC2" w:rsidRPr="00A86E6B">
        <w:rPr>
          <w:szCs w:val="26"/>
        </w:rPr>
        <w:t>because</w:t>
      </w:r>
      <w:r w:rsidR="001E58E4" w:rsidRPr="00A86E6B">
        <w:rPr>
          <w:szCs w:val="26"/>
        </w:rPr>
        <w:t xml:space="preserve"> </w:t>
      </w:r>
      <w:r w:rsidR="00B371E3" w:rsidRPr="00A86E6B">
        <w:rPr>
          <w:szCs w:val="26"/>
        </w:rPr>
        <w:t xml:space="preserve">Civil Code </w:t>
      </w:r>
      <w:r w:rsidR="00BC1672" w:rsidRPr="00A86E6B">
        <w:rPr>
          <w:szCs w:val="26"/>
        </w:rPr>
        <w:t>section 3289</w:t>
      </w:r>
      <w:r w:rsidR="0028277B" w:rsidRPr="00A86E6B">
        <w:rPr>
          <w:szCs w:val="26"/>
        </w:rPr>
        <w:t xml:space="preserve">, subdivision </w:t>
      </w:r>
      <w:r w:rsidR="00BC1672" w:rsidRPr="00A86E6B">
        <w:rPr>
          <w:szCs w:val="26"/>
        </w:rPr>
        <w:t>(b)</w:t>
      </w:r>
      <w:r w:rsidR="00C546F7" w:rsidRPr="00A86E6B">
        <w:rPr>
          <w:szCs w:val="26"/>
        </w:rPr>
        <w:t xml:space="preserve"> </w:t>
      </w:r>
      <w:r w:rsidR="001A6DC2" w:rsidRPr="00A86E6B">
        <w:rPr>
          <w:szCs w:val="26"/>
        </w:rPr>
        <w:t xml:space="preserve">already applied </w:t>
      </w:r>
      <w:r w:rsidR="00C546F7" w:rsidRPr="00A86E6B">
        <w:rPr>
          <w:szCs w:val="26"/>
        </w:rPr>
        <w:t>to claims of wage nonpayment</w:t>
      </w:r>
      <w:r w:rsidR="001A6DC2" w:rsidRPr="00A86E6B">
        <w:rPr>
          <w:szCs w:val="26"/>
        </w:rPr>
        <w:t>, and merely intended the enactment as a clarification</w:t>
      </w:r>
      <w:r w:rsidR="005F1CEB" w:rsidRPr="00A86E6B">
        <w:rPr>
          <w:szCs w:val="26"/>
        </w:rPr>
        <w:t xml:space="preserve">.  </w:t>
      </w:r>
      <w:r w:rsidR="005F1CEB" w:rsidRPr="00A86E6B">
        <w:rPr>
          <w:i/>
          <w:iCs/>
          <w:szCs w:val="26"/>
        </w:rPr>
        <w:t>Bell</w:t>
      </w:r>
      <w:r w:rsidR="00273D3E" w:rsidRPr="00A86E6B">
        <w:rPr>
          <w:szCs w:val="26"/>
        </w:rPr>
        <w:t xml:space="preserve"> cited the </w:t>
      </w:r>
      <w:r w:rsidR="00327F84" w:rsidRPr="00A86E6B">
        <w:rPr>
          <w:szCs w:val="26"/>
        </w:rPr>
        <w:t>common law principle that contracts</w:t>
      </w:r>
      <w:r w:rsidR="00273D3E" w:rsidRPr="00A86E6B">
        <w:rPr>
          <w:szCs w:val="26"/>
        </w:rPr>
        <w:t>, including employment contracts,</w:t>
      </w:r>
      <w:r w:rsidR="00327F84" w:rsidRPr="00A86E6B">
        <w:rPr>
          <w:szCs w:val="26"/>
        </w:rPr>
        <w:t xml:space="preserve"> must ordinarily </w:t>
      </w:r>
      <w:r w:rsidR="008A2FCF" w:rsidRPr="00A86E6B">
        <w:rPr>
          <w:szCs w:val="26"/>
        </w:rPr>
        <w:t>“</w:t>
      </w:r>
      <w:r w:rsidR="001C0919" w:rsidRPr="00A86E6B">
        <w:rPr>
          <w:szCs w:val="26"/>
        </w:rPr>
        <w:t> ‘</w:t>
      </w:r>
      <w:r w:rsidR="0098563A" w:rsidRPr="00A86E6B">
        <w:rPr>
          <w:szCs w:val="26"/>
        </w:rPr>
        <w:t xml:space="preserve">be held to have been made in </w:t>
      </w:r>
      <w:r w:rsidR="008A2FCF" w:rsidRPr="00A86E6B">
        <w:rPr>
          <w:szCs w:val="26"/>
        </w:rPr>
        <w:t xml:space="preserve">the </w:t>
      </w:r>
      <w:r w:rsidR="0098563A" w:rsidRPr="00A86E6B">
        <w:rPr>
          <w:szCs w:val="26"/>
        </w:rPr>
        <w:t xml:space="preserve">light of, and to have incorporated, the </w:t>
      </w:r>
      <w:r w:rsidR="008A2FCF" w:rsidRPr="00A86E6B">
        <w:rPr>
          <w:szCs w:val="26"/>
        </w:rPr>
        <w:t xml:space="preserve">provisions of </w:t>
      </w:r>
      <w:r w:rsidR="0098563A" w:rsidRPr="00A86E6B">
        <w:rPr>
          <w:szCs w:val="26"/>
        </w:rPr>
        <w:t>existing law.</w:t>
      </w:r>
      <w:r w:rsidR="001C0919" w:rsidRPr="00A86E6B">
        <w:rPr>
          <w:szCs w:val="26"/>
        </w:rPr>
        <w:t>’ </w:t>
      </w:r>
      <w:r w:rsidR="0098563A" w:rsidRPr="00A86E6B">
        <w:rPr>
          <w:szCs w:val="26"/>
        </w:rPr>
        <w:t>”</w:t>
      </w:r>
      <w:r w:rsidR="00BA3B50" w:rsidRPr="00A86E6B">
        <w:rPr>
          <w:szCs w:val="26"/>
        </w:rPr>
        <w:t xml:space="preserve">  </w:t>
      </w:r>
      <w:r w:rsidR="00F6384C" w:rsidRPr="00A86E6B">
        <w:rPr>
          <w:szCs w:val="26"/>
        </w:rPr>
        <w:t>(</w:t>
      </w:r>
      <w:r w:rsidR="001C0919" w:rsidRPr="00A86E6B">
        <w:rPr>
          <w:i/>
          <w:iCs/>
          <w:szCs w:val="26"/>
        </w:rPr>
        <w:t>Bell</w:t>
      </w:r>
      <w:r w:rsidR="001C0919" w:rsidRPr="00A86E6B">
        <w:rPr>
          <w:szCs w:val="26"/>
        </w:rPr>
        <w:t xml:space="preserve">, at p. 1147, quoting </w:t>
      </w:r>
      <w:r w:rsidR="00F6384C" w:rsidRPr="00A86E6B">
        <w:rPr>
          <w:i/>
          <w:iCs/>
          <w:szCs w:val="26"/>
        </w:rPr>
        <w:t>Lockheed Aircraft Corp</w:t>
      </w:r>
      <w:r w:rsidR="00B52575" w:rsidRPr="00A86E6B">
        <w:rPr>
          <w:i/>
          <w:iCs/>
          <w:szCs w:val="26"/>
        </w:rPr>
        <w:t>.</w:t>
      </w:r>
      <w:r w:rsidR="00F6384C" w:rsidRPr="00A86E6B">
        <w:rPr>
          <w:i/>
          <w:iCs/>
          <w:szCs w:val="26"/>
        </w:rPr>
        <w:t xml:space="preserve"> v. Superior Court</w:t>
      </w:r>
      <w:r w:rsidR="00F6384C" w:rsidRPr="00A86E6B">
        <w:rPr>
          <w:szCs w:val="26"/>
        </w:rPr>
        <w:t xml:space="preserve"> (1946) 28 Cal.2d 481, 486</w:t>
      </w:r>
      <w:r w:rsidR="00327F84" w:rsidRPr="00A86E6B">
        <w:rPr>
          <w:szCs w:val="26"/>
        </w:rPr>
        <w:t>.</w:t>
      </w:r>
      <w:r w:rsidR="00F6384C" w:rsidRPr="00A86E6B">
        <w:rPr>
          <w:szCs w:val="26"/>
        </w:rPr>
        <w:t xml:space="preserve">)  </w:t>
      </w:r>
      <w:r w:rsidR="00E96BB7" w:rsidRPr="00A86E6B">
        <w:rPr>
          <w:szCs w:val="26"/>
        </w:rPr>
        <w:t xml:space="preserve">The </w:t>
      </w:r>
      <w:r w:rsidR="008F2029" w:rsidRPr="00A86E6B">
        <w:rPr>
          <w:i/>
          <w:iCs/>
          <w:szCs w:val="26"/>
        </w:rPr>
        <w:t>Bell</w:t>
      </w:r>
      <w:r w:rsidR="008F2029" w:rsidRPr="00A86E6B">
        <w:rPr>
          <w:szCs w:val="26"/>
        </w:rPr>
        <w:t xml:space="preserve"> court acknowledged other cases treating suits </w:t>
      </w:r>
      <w:r w:rsidR="008A2FCF" w:rsidRPr="00A86E6B">
        <w:rPr>
          <w:szCs w:val="26"/>
        </w:rPr>
        <w:t xml:space="preserve">for unpaid statutory </w:t>
      </w:r>
      <w:r w:rsidR="008F2029" w:rsidRPr="00A86E6B">
        <w:rPr>
          <w:szCs w:val="26"/>
        </w:rPr>
        <w:t>wages as claims to enforce statutory obligations rather tha</w:t>
      </w:r>
      <w:r w:rsidR="00AB7264" w:rsidRPr="00A86E6B">
        <w:rPr>
          <w:szCs w:val="26"/>
        </w:rPr>
        <w:t xml:space="preserve">n </w:t>
      </w:r>
      <w:r w:rsidR="00B371E3" w:rsidRPr="00A86E6B">
        <w:rPr>
          <w:szCs w:val="26"/>
        </w:rPr>
        <w:t>contractual ones</w:t>
      </w:r>
      <w:r w:rsidR="00AB7264" w:rsidRPr="00A86E6B">
        <w:rPr>
          <w:szCs w:val="26"/>
        </w:rPr>
        <w:t>.  (</w:t>
      </w:r>
      <w:r w:rsidR="00AB7264" w:rsidRPr="00A86E6B">
        <w:rPr>
          <w:i/>
          <w:iCs/>
          <w:szCs w:val="26"/>
        </w:rPr>
        <w:t>Bell</w:t>
      </w:r>
      <w:r w:rsidR="00AB7264" w:rsidRPr="00A86E6B">
        <w:rPr>
          <w:szCs w:val="26"/>
        </w:rPr>
        <w:t>, at p.</w:t>
      </w:r>
      <w:r w:rsidR="008A2FCF" w:rsidRPr="00A86E6B">
        <w:rPr>
          <w:szCs w:val="26"/>
        </w:rPr>
        <w:t> </w:t>
      </w:r>
      <w:r w:rsidR="00AB7264" w:rsidRPr="00A86E6B">
        <w:rPr>
          <w:szCs w:val="26"/>
        </w:rPr>
        <w:t xml:space="preserve">1148.)  But the court </w:t>
      </w:r>
      <w:r w:rsidR="00D02BCF" w:rsidRPr="00A86E6B">
        <w:rPr>
          <w:szCs w:val="26"/>
        </w:rPr>
        <w:t xml:space="preserve">deemed </w:t>
      </w:r>
      <w:r w:rsidR="00AB7264" w:rsidRPr="00A86E6B">
        <w:rPr>
          <w:szCs w:val="26"/>
        </w:rPr>
        <w:t>“more persuasive”</w:t>
      </w:r>
      <w:r w:rsidR="001F1EE0" w:rsidRPr="00A86E6B">
        <w:rPr>
          <w:szCs w:val="26"/>
        </w:rPr>
        <w:t xml:space="preserve"> </w:t>
      </w:r>
      <w:r w:rsidR="00B371E3" w:rsidRPr="00A86E6B">
        <w:rPr>
          <w:szCs w:val="26"/>
        </w:rPr>
        <w:t xml:space="preserve">case law implying that </w:t>
      </w:r>
      <w:r w:rsidR="00500335" w:rsidRPr="00A86E6B">
        <w:rPr>
          <w:szCs w:val="26"/>
        </w:rPr>
        <w:t>statutory duties like the duty to pay overtime</w:t>
      </w:r>
      <w:r w:rsidR="00B371E3" w:rsidRPr="00A86E6B">
        <w:rPr>
          <w:szCs w:val="26"/>
        </w:rPr>
        <w:t xml:space="preserve"> could be incorporated into contracts</w:t>
      </w:r>
      <w:r w:rsidR="001F1EE0" w:rsidRPr="00A86E6B">
        <w:rPr>
          <w:szCs w:val="26"/>
        </w:rPr>
        <w:t>.</w:t>
      </w:r>
      <w:r w:rsidR="00AB7264" w:rsidRPr="00A86E6B">
        <w:rPr>
          <w:szCs w:val="26"/>
        </w:rPr>
        <w:t xml:space="preserve">  (</w:t>
      </w:r>
      <w:r w:rsidR="004F78A3" w:rsidRPr="00A86E6B">
        <w:rPr>
          <w:i/>
          <w:iCs/>
          <w:szCs w:val="26"/>
        </w:rPr>
        <w:t>Id.</w:t>
      </w:r>
      <w:r w:rsidR="004F78A3" w:rsidRPr="00A86E6B">
        <w:rPr>
          <w:szCs w:val="26"/>
        </w:rPr>
        <w:t xml:space="preserve"> </w:t>
      </w:r>
      <w:r w:rsidR="001F1EE0" w:rsidRPr="00A86E6B">
        <w:rPr>
          <w:szCs w:val="26"/>
        </w:rPr>
        <w:t>at p.</w:t>
      </w:r>
      <w:r w:rsidR="00B371E3" w:rsidRPr="00A86E6B">
        <w:rPr>
          <w:szCs w:val="26"/>
        </w:rPr>
        <w:t> </w:t>
      </w:r>
      <w:r w:rsidR="001F1EE0" w:rsidRPr="00A86E6B">
        <w:rPr>
          <w:szCs w:val="26"/>
        </w:rPr>
        <w:t xml:space="preserve">1149.)  “At the very least,” the court concluded, “the argument for the application of </w:t>
      </w:r>
      <w:r w:rsidR="0028277B" w:rsidRPr="00A86E6B">
        <w:rPr>
          <w:szCs w:val="26"/>
        </w:rPr>
        <w:t xml:space="preserve">the </w:t>
      </w:r>
      <w:r w:rsidR="001F1EE0" w:rsidRPr="00A86E6B">
        <w:rPr>
          <w:szCs w:val="26"/>
        </w:rPr>
        <w:t>breach-of-contract</w:t>
      </w:r>
      <w:r w:rsidR="00500335" w:rsidRPr="00A86E6B">
        <w:rPr>
          <w:szCs w:val="26"/>
        </w:rPr>
        <w:t xml:space="preserve"> prejudgment interest rate of Civil Code section 3289 carries sufficient logic to support the assumption” that </w:t>
      </w:r>
      <w:r w:rsidR="008E36D5" w:rsidRPr="00A86E6B">
        <w:rPr>
          <w:szCs w:val="26"/>
        </w:rPr>
        <w:t xml:space="preserve">the </w:t>
      </w:r>
      <w:r w:rsidR="00B371E3" w:rsidRPr="00A86E6B">
        <w:rPr>
          <w:szCs w:val="26"/>
        </w:rPr>
        <w:t xml:space="preserve">legislative </w:t>
      </w:r>
      <w:r w:rsidR="008E36D5" w:rsidRPr="00A86E6B">
        <w:rPr>
          <w:szCs w:val="26"/>
        </w:rPr>
        <w:t xml:space="preserve">choice to extend this default breach-of-contract rate to wage nonpayment actions in </w:t>
      </w:r>
      <w:r w:rsidR="00500335" w:rsidRPr="00A86E6B">
        <w:rPr>
          <w:szCs w:val="26"/>
        </w:rPr>
        <w:t xml:space="preserve">Labor Code section 218.6 was intended </w:t>
      </w:r>
      <w:r w:rsidR="00F30AF1" w:rsidRPr="00A86E6B">
        <w:rPr>
          <w:szCs w:val="26"/>
        </w:rPr>
        <w:t xml:space="preserve">merely </w:t>
      </w:r>
      <w:r w:rsidR="008E36D5" w:rsidRPr="00A86E6B">
        <w:rPr>
          <w:szCs w:val="26"/>
        </w:rPr>
        <w:t xml:space="preserve">as a clarification of </w:t>
      </w:r>
      <w:r w:rsidR="00500335" w:rsidRPr="00A86E6B">
        <w:rPr>
          <w:szCs w:val="26"/>
        </w:rPr>
        <w:t>existing law.  (</w:t>
      </w:r>
      <w:r w:rsidR="00B371E3" w:rsidRPr="00A86E6B">
        <w:rPr>
          <w:i/>
          <w:iCs/>
          <w:szCs w:val="26"/>
        </w:rPr>
        <w:t>Bell</w:t>
      </w:r>
      <w:r w:rsidR="00B371E3" w:rsidRPr="00A86E6B">
        <w:rPr>
          <w:szCs w:val="26"/>
        </w:rPr>
        <w:t>, at p. 1149</w:t>
      </w:r>
      <w:r w:rsidR="00500335" w:rsidRPr="00A86E6B">
        <w:rPr>
          <w:i/>
          <w:iCs/>
          <w:szCs w:val="26"/>
        </w:rPr>
        <w:t>.</w:t>
      </w:r>
      <w:r w:rsidR="00500335" w:rsidRPr="00A86E6B">
        <w:rPr>
          <w:szCs w:val="26"/>
        </w:rPr>
        <w:t>)</w:t>
      </w:r>
    </w:p>
    <w:p w14:paraId="73520A5A" w14:textId="0F061782" w:rsidR="0099066A" w:rsidRPr="00A86E6B" w:rsidRDefault="004D3DE0" w:rsidP="00A86E6B">
      <w:pPr>
        <w:tabs>
          <w:tab w:val="left" w:pos="1440"/>
        </w:tabs>
        <w:ind w:firstLine="720"/>
        <w:rPr>
          <w:szCs w:val="26"/>
        </w:rPr>
      </w:pPr>
      <w:r w:rsidRPr="00A86E6B">
        <w:rPr>
          <w:szCs w:val="26"/>
        </w:rPr>
        <w:t xml:space="preserve">The Court of Appeal </w:t>
      </w:r>
      <w:r w:rsidR="00036AAE" w:rsidRPr="00A86E6B">
        <w:rPr>
          <w:szCs w:val="26"/>
        </w:rPr>
        <w:t xml:space="preserve">in this case </w:t>
      </w:r>
      <w:r w:rsidRPr="00A86E6B">
        <w:rPr>
          <w:szCs w:val="26"/>
        </w:rPr>
        <w:t xml:space="preserve">dismissed </w:t>
      </w:r>
      <w:r w:rsidR="00E96BB7" w:rsidRPr="00A86E6B">
        <w:rPr>
          <w:i/>
          <w:iCs/>
          <w:szCs w:val="26"/>
        </w:rPr>
        <w:t>Bell</w:t>
      </w:r>
      <w:r w:rsidR="00E96BB7" w:rsidRPr="00A86E6B">
        <w:rPr>
          <w:szCs w:val="26"/>
        </w:rPr>
        <w:t xml:space="preserve"> </w:t>
      </w:r>
      <w:r w:rsidRPr="00A86E6B">
        <w:rPr>
          <w:szCs w:val="26"/>
        </w:rPr>
        <w:t>as inapposite</w:t>
      </w:r>
      <w:r w:rsidR="0006042A" w:rsidRPr="00A86E6B">
        <w:rPr>
          <w:szCs w:val="26"/>
        </w:rPr>
        <w:t xml:space="preserve">, </w:t>
      </w:r>
      <w:r w:rsidR="00B80C19" w:rsidRPr="00A86E6B">
        <w:rPr>
          <w:szCs w:val="26"/>
        </w:rPr>
        <w:t xml:space="preserve">reasoning </w:t>
      </w:r>
      <w:r w:rsidR="0006042A" w:rsidRPr="00A86E6B">
        <w:rPr>
          <w:szCs w:val="26"/>
        </w:rPr>
        <w:t xml:space="preserve">that </w:t>
      </w:r>
      <w:r w:rsidR="0006042A" w:rsidRPr="00A86E6B">
        <w:rPr>
          <w:i/>
          <w:iCs/>
          <w:szCs w:val="26"/>
        </w:rPr>
        <w:t>Bell</w:t>
      </w:r>
      <w:r w:rsidR="0006042A" w:rsidRPr="00A86E6B">
        <w:rPr>
          <w:szCs w:val="26"/>
        </w:rPr>
        <w:t xml:space="preserve"> is </w:t>
      </w:r>
      <w:r w:rsidRPr="00A86E6B">
        <w:rPr>
          <w:szCs w:val="26"/>
        </w:rPr>
        <w:t>relevant only to wage</w:t>
      </w:r>
      <w:r w:rsidR="00180711" w:rsidRPr="00A86E6B">
        <w:rPr>
          <w:szCs w:val="26"/>
        </w:rPr>
        <w:t xml:space="preserve"> suit</w:t>
      </w:r>
      <w:r w:rsidR="00DD5BF7" w:rsidRPr="00A86E6B">
        <w:rPr>
          <w:szCs w:val="26"/>
        </w:rPr>
        <w:t>s</w:t>
      </w:r>
      <w:r w:rsidR="00A8446B">
        <w:rPr>
          <w:szCs w:val="26"/>
        </w:rPr>
        <w:t xml:space="preserve"> covered by Labor Code section 218.6</w:t>
      </w:r>
      <w:r w:rsidRPr="00A86E6B">
        <w:rPr>
          <w:szCs w:val="26"/>
        </w:rPr>
        <w:t>.  (</w:t>
      </w:r>
      <w:r w:rsidRPr="00A86E6B">
        <w:rPr>
          <w:i/>
          <w:iCs/>
          <w:szCs w:val="26"/>
        </w:rPr>
        <w:t>Naranjo II</w:t>
      </w:r>
      <w:r w:rsidRPr="00A86E6B">
        <w:rPr>
          <w:szCs w:val="26"/>
        </w:rPr>
        <w:t>,</w:t>
      </w:r>
      <w:r w:rsidRPr="00A86E6B">
        <w:rPr>
          <w:i/>
          <w:iCs/>
          <w:szCs w:val="26"/>
        </w:rPr>
        <w:t xml:space="preserve"> supra</w:t>
      </w:r>
      <w:r w:rsidRPr="00A86E6B">
        <w:rPr>
          <w:szCs w:val="26"/>
        </w:rPr>
        <w:t xml:space="preserve">, 40 Cal.App.5th at p. 475.)  </w:t>
      </w:r>
      <w:r w:rsidR="00F46A55" w:rsidRPr="00A86E6B">
        <w:rPr>
          <w:szCs w:val="26"/>
        </w:rPr>
        <w:t xml:space="preserve">The court </w:t>
      </w:r>
      <w:r w:rsidR="00FB4690" w:rsidRPr="00A86E6B">
        <w:rPr>
          <w:szCs w:val="26"/>
        </w:rPr>
        <w:t xml:space="preserve">did not address Naranjo’s argument that </w:t>
      </w:r>
      <w:r w:rsidR="00FB4690" w:rsidRPr="00A86E6B">
        <w:rPr>
          <w:i/>
          <w:iCs/>
          <w:szCs w:val="26"/>
        </w:rPr>
        <w:t>Bell</w:t>
      </w:r>
      <w:r w:rsidR="00FB4690" w:rsidRPr="00A86E6B">
        <w:rPr>
          <w:szCs w:val="26"/>
        </w:rPr>
        <w:t xml:space="preserve"> could support a 10 percent </w:t>
      </w:r>
      <w:r w:rsidR="00F46A55" w:rsidRPr="00A86E6B">
        <w:rPr>
          <w:szCs w:val="26"/>
        </w:rPr>
        <w:t xml:space="preserve">rate </w:t>
      </w:r>
      <w:r w:rsidR="00A8446B">
        <w:rPr>
          <w:szCs w:val="26"/>
        </w:rPr>
        <w:t xml:space="preserve">in this case </w:t>
      </w:r>
      <w:r w:rsidR="00FB4690" w:rsidRPr="00A86E6B">
        <w:rPr>
          <w:szCs w:val="26"/>
        </w:rPr>
        <w:t>under Civil Code section 3289.</w:t>
      </w:r>
      <w:r w:rsidR="000B76EE" w:rsidRPr="00A86E6B">
        <w:rPr>
          <w:szCs w:val="26"/>
        </w:rPr>
        <w:t xml:space="preserve">  But </w:t>
      </w:r>
      <w:r w:rsidR="004C2C57" w:rsidRPr="00A86E6B">
        <w:rPr>
          <w:szCs w:val="26"/>
        </w:rPr>
        <w:t>we</w:t>
      </w:r>
      <w:r w:rsidR="000B76EE" w:rsidRPr="00A86E6B">
        <w:rPr>
          <w:szCs w:val="26"/>
        </w:rPr>
        <w:t xml:space="preserve"> nonetheless agree with the Court of Appeal that </w:t>
      </w:r>
      <w:r w:rsidR="0099066A" w:rsidRPr="00A86E6B">
        <w:rPr>
          <w:szCs w:val="26"/>
        </w:rPr>
        <w:t>if</w:t>
      </w:r>
      <w:r w:rsidR="004C546E" w:rsidRPr="00A86E6B">
        <w:rPr>
          <w:szCs w:val="26"/>
        </w:rPr>
        <w:t xml:space="preserve"> </w:t>
      </w:r>
      <w:r w:rsidR="001A6DC2" w:rsidRPr="00A86E6B">
        <w:rPr>
          <w:szCs w:val="26"/>
        </w:rPr>
        <w:t xml:space="preserve">Labor Code section 218.6 does not establish </w:t>
      </w:r>
      <w:r w:rsidR="0099066A" w:rsidRPr="00A86E6B">
        <w:rPr>
          <w:szCs w:val="26"/>
        </w:rPr>
        <w:t xml:space="preserve">a 10 percent interest rate </w:t>
      </w:r>
      <w:r w:rsidR="001A6DC2" w:rsidRPr="00A86E6B">
        <w:rPr>
          <w:szCs w:val="26"/>
        </w:rPr>
        <w:t>for</w:t>
      </w:r>
      <w:r w:rsidR="0099066A" w:rsidRPr="00A86E6B">
        <w:rPr>
          <w:szCs w:val="26"/>
        </w:rPr>
        <w:t xml:space="preserve"> </w:t>
      </w:r>
      <w:r w:rsidR="00ED5059" w:rsidRPr="00A86E6B">
        <w:rPr>
          <w:szCs w:val="26"/>
        </w:rPr>
        <w:t>missed</w:t>
      </w:r>
      <w:r w:rsidR="00B33C15">
        <w:rPr>
          <w:szCs w:val="26"/>
        </w:rPr>
        <w:t>-</w:t>
      </w:r>
      <w:r w:rsidR="00ED5059" w:rsidRPr="00A86E6B">
        <w:rPr>
          <w:szCs w:val="26"/>
        </w:rPr>
        <w:t xml:space="preserve">break </w:t>
      </w:r>
      <w:r w:rsidR="0099066A" w:rsidRPr="00A86E6B">
        <w:rPr>
          <w:szCs w:val="26"/>
        </w:rPr>
        <w:t xml:space="preserve">premium pay awards, then </w:t>
      </w:r>
      <w:r w:rsidR="0099066A" w:rsidRPr="00A86E6B">
        <w:rPr>
          <w:i/>
          <w:iCs/>
          <w:szCs w:val="26"/>
        </w:rPr>
        <w:t>Bell</w:t>
      </w:r>
      <w:r w:rsidR="0099066A" w:rsidRPr="00A86E6B">
        <w:rPr>
          <w:szCs w:val="26"/>
        </w:rPr>
        <w:t xml:space="preserve"> </w:t>
      </w:r>
      <w:r w:rsidR="00F46A55" w:rsidRPr="00A86E6B">
        <w:rPr>
          <w:szCs w:val="26"/>
        </w:rPr>
        <w:t xml:space="preserve">and Civil Code section 3289 </w:t>
      </w:r>
      <w:r w:rsidR="0099066A" w:rsidRPr="00A86E6B">
        <w:rPr>
          <w:szCs w:val="26"/>
        </w:rPr>
        <w:t xml:space="preserve">do not </w:t>
      </w:r>
      <w:r w:rsidR="001A6DC2" w:rsidRPr="00A86E6B">
        <w:rPr>
          <w:szCs w:val="26"/>
        </w:rPr>
        <w:t>justify that rate either</w:t>
      </w:r>
      <w:r w:rsidR="0099066A" w:rsidRPr="00A86E6B">
        <w:rPr>
          <w:szCs w:val="26"/>
        </w:rPr>
        <w:t>.</w:t>
      </w:r>
    </w:p>
    <w:p w14:paraId="7ECA3DCF" w14:textId="7E1D14A7" w:rsidR="00A821D6" w:rsidRPr="00A86E6B" w:rsidRDefault="00816731" w:rsidP="00A86E6B">
      <w:pPr>
        <w:tabs>
          <w:tab w:val="left" w:pos="1440"/>
        </w:tabs>
        <w:ind w:firstLine="720"/>
        <w:rPr>
          <w:szCs w:val="26"/>
        </w:rPr>
      </w:pPr>
      <w:r w:rsidRPr="00A86E6B">
        <w:rPr>
          <w:szCs w:val="26"/>
        </w:rPr>
        <w:t xml:space="preserve">As an initial matter, </w:t>
      </w:r>
      <w:r w:rsidR="004D3DE0" w:rsidRPr="00A86E6B">
        <w:rPr>
          <w:i/>
          <w:iCs/>
          <w:szCs w:val="26"/>
        </w:rPr>
        <w:t>Bell</w:t>
      </w:r>
      <w:r w:rsidR="008A5883" w:rsidRPr="00A86E6B">
        <w:rPr>
          <w:szCs w:val="26"/>
        </w:rPr>
        <w:t xml:space="preserve"> </w:t>
      </w:r>
      <w:r w:rsidRPr="00A86E6B">
        <w:rPr>
          <w:szCs w:val="26"/>
        </w:rPr>
        <w:t xml:space="preserve">itself </w:t>
      </w:r>
      <w:r w:rsidR="00C67E7F" w:rsidRPr="00A86E6B">
        <w:rPr>
          <w:szCs w:val="26"/>
        </w:rPr>
        <w:t xml:space="preserve">was a case about </w:t>
      </w:r>
      <w:r w:rsidR="00324341" w:rsidRPr="00A86E6B">
        <w:rPr>
          <w:szCs w:val="26"/>
        </w:rPr>
        <w:t xml:space="preserve">the reach of </w:t>
      </w:r>
      <w:r w:rsidR="00C67E7F" w:rsidRPr="00A86E6B">
        <w:rPr>
          <w:szCs w:val="26"/>
        </w:rPr>
        <w:t>Labor Code section 218.</w:t>
      </w:r>
      <w:r w:rsidRPr="00A86E6B">
        <w:rPr>
          <w:szCs w:val="26"/>
        </w:rPr>
        <w:t>6</w:t>
      </w:r>
      <w:r w:rsidR="00C67E7F" w:rsidRPr="00A86E6B">
        <w:rPr>
          <w:szCs w:val="26"/>
        </w:rPr>
        <w:t xml:space="preserve">.  </w:t>
      </w:r>
      <w:r w:rsidR="007940C7" w:rsidRPr="00A86E6B">
        <w:rPr>
          <w:i/>
          <w:iCs/>
          <w:szCs w:val="26"/>
          <w:shd w:val="clear" w:color="auto" w:fill="FFFFFF"/>
        </w:rPr>
        <w:t>Bell</w:t>
      </w:r>
      <w:r w:rsidR="007940C7" w:rsidRPr="00A86E6B">
        <w:rPr>
          <w:szCs w:val="26"/>
          <w:shd w:val="clear" w:color="auto" w:fill="FFFFFF"/>
        </w:rPr>
        <w:t xml:space="preserve"> </w:t>
      </w:r>
      <w:r w:rsidR="001A6DC2" w:rsidRPr="00A86E6B">
        <w:rPr>
          <w:szCs w:val="26"/>
          <w:shd w:val="clear" w:color="auto" w:fill="FFFFFF"/>
        </w:rPr>
        <w:t xml:space="preserve">arrived at </w:t>
      </w:r>
      <w:r w:rsidRPr="00A86E6B">
        <w:rPr>
          <w:szCs w:val="26"/>
          <w:shd w:val="clear" w:color="auto" w:fill="FFFFFF"/>
        </w:rPr>
        <w:t>no definitive conclusions about</w:t>
      </w:r>
      <w:r w:rsidR="000B14D1" w:rsidRPr="00A86E6B">
        <w:rPr>
          <w:szCs w:val="26"/>
          <w:shd w:val="clear" w:color="auto" w:fill="FFFFFF"/>
        </w:rPr>
        <w:t xml:space="preserve"> whether t</w:t>
      </w:r>
      <w:r w:rsidR="007940C7" w:rsidRPr="00A86E6B">
        <w:rPr>
          <w:szCs w:val="26"/>
          <w:shd w:val="clear" w:color="auto" w:fill="FFFFFF"/>
        </w:rPr>
        <w:t xml:space="preserve">he </w:t>
      </w:r>
      <w:r w:rsidR="00333BE8" w:rsidRPr="00A86E6B">
        <w:rPr>
          <w:szCs w:val="26"/>
          <w:shd w:val="clear" w:color="auto" w:fill="FFFFFF"/>
        </w:rPr>
        <w:t xml:space="preserve">10 percent </w:t>
      </w:r>
      <w:r w:rsidR="007940C7" w:rsidRPr="00A86E6B">
        <w:rPr>
          <w:szCs w:val="26"/>
          <w:shd w:val="clear" w:color="auto" w:fill="FFFFFF"/>
        </w:rPr>
        <w:t xml:space="preserve">contract rate </w:t>
      </w:r>
      <w:r w:rsidR="00333BE8" w:rsidRPr="00A86E6B">
        <w:rPr>
          <w:szCs w:val="26"/>
          <w:shd w:val="clear" w:color="auto" w:fill="FFFFFF"/>
        </w:rPr>
        <w:t xml:space="preserve">would have applied </w:t>
      </w:r>
      <w:r w:rsidR="00B20772" w:rsidRPr="00A86E6B">
        <w:rPr>
          <w:szCs w:val="26"/>
          <w:shd w:val="clear" w:color="auto" w:fill="FFFFFF"/>
        </w:rPr>
        <w:t xml:space="preserve">in wage nonpayment actions </w:t>
      </w:r>
      <w:r w:rsidR="001A6DC2" w:rsidRPr="00A86E6B">
        <w:rPr>
          <w:szCs w:val="26"/>
          <w:shd w:val="clear" w:color="auto" w:fill="FFFFFF"/>
        </w:rPr>
        <w:t>had</w:t>
      </w:r>
      <w:r w:rsidR="00333BE8" w:rsidRPr="00A86E6B">
        <w:rPr>
          <w:szCs w:val="26"/>
          <w:shd w:val="clear" w:color="auto" w:fill="FFFFFF"/>
        </w:rPr>
        <w:t xml:space="preserve"> section 218.6 never been enacted.  </w:t>
      </w:r>
      <w:r w:rsidR="00FA6FFE" w:rsidRPr="00A86E6B">
        <w:rPr>
          <w:szCs w:val="26"/>
        </w:rPr>
        <w:t xml:space="preserve">The court in </w:t>
      </w:r>
      <w:r w:rsidR="00FA6FFE" w:rsidRPr="00A86E6B">
        <w:rPr>
          <w:i/>
          <w:iCs/>
          <w:szCs w:val="26"/>
        </w:rPr>
        <w:t>Bell</w:t>
      </w:r>
      <w:r w:rsidR="00FA6FFE" w:rsidRPr="00A86E6B">
        <w:rPr>
          <w:szCs w:val="26"/>
        </w:rPr>
        <w:t xml:space="preserve"> recognized there was no </w:t>
      </w:r>
      <w:r w:rsidR="001A6DC2" w:rsidRPr="00A86E6B">
        <w:rPr>
          <w:szCs w:val="26"/>
        </w:rPr>
        <w:t>pre</w:t>
      </w:r>
      <w:r w:rsidR="004F78A3" w:rsidRPr="00A86E6B">
        <w:rPr>
          <w:szCs w:val="26"/>
        </w:rPr>
        <w:t>-</w:t>
      </w:r>
      <w:r w:rsidR="001A6DC2" w:rsidRPr="00A86E6B">
        <w:rPr>
          <w:szCs w:val="26"/>
        </w:rPr>
        <w:t xml:space="preserve">section 218.6 </w:t>
      </w:r>
      <w:r w:rsidR="00FA6FFE" w:rsidRPr="00A86E6B">
        <w:rPr>
          <w:szCs w:val="26"/>
        </w:rPr>
        <w:t>precedent</w:t>
      </w:r>
      <w:r w:rsidR="0080622E" w:rsidRPr="00A86E6B">
        <w:rPr>
          <w:szCs w:val="26"/>
        </w:rPr>
        <w:t xml:space="preserve"> adopting or applying the contract rate in wage nonpayment cases</w:t>
      </w:r>
      <w:r w:rsidR="00FA6FFE" w:rsidRPr="00A86E6B">
        <w:rPr>
          <w:szCs w:val="26"/>
        </w:rPr>
        <w:t xml:space="preserve">.  </w:t>
      </w:r>
      <w:r w:rsidR="00351C4A" w:rsidRPr="00A86E6B">
        <w:rPr>
          <w:szCs w:val="26"/>
        </w:rPr>
        <w:t>(</w:t>
      </w:r>
      <w:r w:rsidR="00351C4A" w:rsidRPr="00A86E6B">
        <w:rPr>
          <w:i/>
          <w:iCs/>
          <w:szCs w:val="26"/>
        </w:rPr>
        <w:t>Bell</w:t>
      </w:r>
      <w:r w:rsidR="008A2FCF" w:rsidRPr="00A86E6B">
        <w:rPr>
          <w:szCs w:val="26"/>
        </w:rPr>
        <w:t>,</w:t>
      </w:r>
      <w:r w:rsidR="008A2FCF" w:rsidRPr="00A86E6B">
        <w:rPr>
          <w:i/>
          <w:iCs/>
          <w:szCs w:val="26"/>
        </w:rPr>
        <w:t xml:space="preserve"> supra</w:t>
      </w:r>
      <w:r w:rsidR="00351C4A" w:rsidRPr="00A86E6B">
        <w:rPr>
          <w:szCs w:val="26"/>
        </w:rPr>
        <w:t>, 135 Cal.App.4th at p</w:t>
      </w:r>
      <w:r w:rsidR="008A2FCF" w:rsidRPr="00A86E6B">
        <w:rPr>
          <w:szCs w:val="26"/>
        </w:rPr>
        <w:t>. </w:t>
      </w:r>
      <w:r w:rsidR="00351C4A" w:rsidRPr="00A86E6B">
        <w:rPr>
          <w:szCs w:val="26"/>
        </w:rPr>
        <w:t xml:space="preserve">1147.)  The court also recognized that there were conflicting authorities on the proper characterization of such </w:t>
      </w:r>
      <w:r w:rsidR="00FA6FFE" w:rsidRPr="00A86E6B">
        <w:rPr>
          <w:szCs w:val="26"/>
        </w:rPr>
        <w:t xml:space="preserve">wage nonpayment </w:t>
      </w:r>
      <w:r w:rsidR="00351C4A" w:rsidRPr="00A86E6B">
        <w:rPr>
          <w:szCs w:val="26"/>
        </w:rPr>
        <w:t>actions</w:t>
      </w:r>
      <w:r w:rsidR="00B371E3" w:rsidRPr="00A86E6B">
        <w:rPr>
          <w:szCs w:val="26"/>
        </w:rPr>
        <w:t>:</w:t>
      </w:r>
      <w:r w:rsidR="00351C4A" w:rsidRPr="00A86E6B">
        <w:rPr>
          <w:szCs w:val="26"/>
        </w:rPr>
        <w:t xml:space="preserve"> </w:t>
      </w:r>
      <w:r w:rsidR="00B52575" w:rsidRPr="00A86E6B">
        <w:rPr>
          <w:szCs w:val="26"/>
        </w:rPr>
        <w:t xml:space="preserve"> </w:t>
      </w:r>
      <w:r w:rsidR="00351C4A" w:rsidRPr="00A86E6B">
        <w:rPr>
          <w:szCs w:val="26"/>
        </w:rPr>
        <w:t>for statute of limitations purposes, for example, courts have held that the three-year statute governing actions for statutory liabilities applies rather than the two-year statute for unwritten contracts.  (</w:t>
      </w:r>
      <w:r w:rsidR="00351C4A" w:rsidRPr="00A86E6B">
        <w:rPr>
          <w:i/>
          <w:iCs/>
          <w:szCs w:val="26"/>
        </w:rPr>
        <w:t>Id.</w:t>
      </w:r>
      <w:r w:rsidR="00351C4A" w:rsidRPr="00A86E6B">
        <w:rPr>
          <w:szCs w:val="26"/>
        </w:rPr>
        <w:t xml:space="preserve"> at p.</w:t>
      </w:r>
      <w:r w:rsidR="008A2FCF" w:rsidRPr="00A86E6B">
        <w:rPr>
          <w:szCs w:val="26"/>
        </w:rPr>
        <w:t> 1148</w:t>
      </w:r>
      <w:r w:rsidR="00351C4A" w:rsidRPr="00A86E6B">
        <w:rPr>
          <w:szCs w:val="26"/>
        </w:rPr>
        <w:t xml:space="preserve">.)  </w:t>
      </w:r>
      <w:r w:rsidR="001A6DC2" w:rsidRPr="00A86E6B">
        <w:rPr>
          <w:szCs w:val="26"/>
        </w:rPr>
        <w:t>And t</w:t>
      </w:r>
      <w:r w:rsidR="00351C4A" w:rsidRPr="00A86E6B">
        <w:rPr>
          <w:szCs w:val="26"/>
        </w:rPr>
        <w:t xml:space="preserve">reating a </w:t>
      </w:r>
      <w:r w:rsidR="00B371E3" w:rsidRPr="00A86E6B">
        <w:rPr>
          <w:szCs w:val="26"/>
        </w:rPr>
        <w:t xml:space="preserve">statutory </w:t>
      </w:r>
      <w:r w:rsidR="00351C4A" w:rsidRPr="00A86E6B">
        <w:rPr>
          <w:szCs w:val="26"/>
        </w:rPr>
        <w:t>claim for wage underpayment as a contract claim for interest purposes</w:t>
      </w:r>
      <w:r w:rsidR="00B371E3" w:rsidRPr="00A86E6B">
        <w:rPr>
          <w:szCs w:val="26"/>
        </w:rPr>
        <w:t>, even when no statute directs that treatment,</w:t>
      </w:r>
      <w:r w:rsidR="00351C4A" w:rsidRPr="00A86E6B">
        <w:rPr>
          <w:szCs w:val="26"/>
        </w:rPr>
        <w:t xml:space="preserve"> would </w:t>
      </w:r>
      <w:r w:rsidR="00B371E3" w:rsidRPr="00A86E6B">
        <w:rPr>
          <w:szCs w:val="26"/>
        </w:rPr>
        <w:t>allow parties to have their cake and eat it too</w:t>
      </w:r>
      <w:r w:rsidR="00351C4A" w:rsidRPr="00A86E6B">
        <w:rPr>
          <w:szCs w:val="26"/>
        </w:rPr>
        <w:t xml:space="preserve">.  </w:t>
      </w:r>
      <w:r w:rsidR="00B371E3" w:rsidRPr="00A86E6B">
        <w:rPr>
          <w:szCs w:val="26"/>
        </w:rPr>
        <w:t>A</w:t>
      </w:r>
      <w:r w:rsidR="00351C4A" w:rsidRPr="00A86E6B">
        <w:rPr>
          <w:szCs w:val="26"/>
        </w:rPr>
        <w:t xml:space="preserve"> party to an oral contract </w:t>
      </w:r>
      <w:r w:rsidR="00B371E3" w:rsidRPr="00A86E6B">
        <w:rPr>
          <w:szCs w:val="26"/>
        </w:rPr>
        <w:t xml:space="preserve">could </w:t>
      </w:r>
      <w:r w:rsidR="00351C4A" w:rsidRPr="00A86E6B">
        <w:rPr>
          <w:szCs w:val="26"/>
        </w:rPr>
        <w:t xml:space="preserve">recover </w:t>
      </w:r>
      <w:r w:rsidR="00B371E3" w:rsidRPr="00A86E6B">
        <w:rPr>
          <w:szCs w:val="26"/>
        </w:rPr>
        <w:t>an extra</w:t>
      </w:r>
      <w:r w:rsidR="00351C4A" w:rsidRPr="00A86E6B">
        <w:rPr>
          <w:szCs w:val="26"/>
        </w:rPr>
        <w:t xml:space="preserve"> year of premium pay because the liability is created by statute, not contract (Code Civ. Proc., §§ 338, 339</w:t>
      </w:r>
      <w:r w:rsidR="008A2FCF" w:rsidRPr="00A86E6B">
        <w:rPr>
          <w:szCs w:val="26"/>
        </w:rPr>
        <w:t xml:space="preserve">; see </w:t>
      </w:r>
      <w:r w:rsidR="008A2FCF" w:rsidRPr="00A86E6B">
        <w:rPr>
          <w:i/>
          <w:iCs/>
          <w:szCs w:val="26"/>
        </w:rPr>
        <w:t>Murphy</w:t>
      </w:r>
      <w:r w:rsidR="008A2FCF" w:rsidRPr="00A86E6B">
        <w:rPr>
          <w:szCs w:val="26"/>
        </w:rPr>
        <w:t>,</w:t>
      </w:r>
      <w:r w:rsidR="008A2FCF" w:rsidRPr="00A86E6B">
        <w:rPr>
          <w:i/>
          <w:iCs/>
          <w:szCs w:val="26"/>
        </w:rPr>
        <w:t xml:space="preserve"> supra</w:t>
      </w:r>
      <w:r w:rsidR="008A2FCF" w:rsidRPr="00A86E6B">
        <w:rPr>
          <w:szCs w:val="26"/>
        </w:rPr>
        <w:t>, 40 Cal.4th at pp. 1099, 1102 [applying three-year period to missed</w:t>
      </w:r>
      <w:r w:rsidR="00B33C15">
        <w:rPr>
          <w:szCs w:val="26"/>
        </w:rPr>
        <w:t xml:space="preserve"> </w:t>
      </w:r>
      <w:r w:rsidR="008A2FCF" w:rsidRPr="00A86E6B">
        <w:rPr>
          <w:szCs w:val="26"/>
        </w:rPr>
        <w:t xml:space="preserve">break pay]; </w:t>
      </w:r>
      <w:r w:rsidR="008A2FCF" w:rsidRPr="00A86E6B">
        <w:rPr>
          <w:i/>
          <w:iCs/>
          <w:szCs w:val="26"/>
        </w:rPr>
        <w:t>Aubry v. Goldhor</w:t>
      </w:r>
      <w:r w:rsidR="008A2FCF" w:rsidRPr="00A86E6B">
        <w:rPr>
          <w:szCs w:val="26"/>
        </w:rPr>
        <w:t xml:space="preserve"> (1988) 201 Cal.App.3d 399, 404–406 [applying three-year period to unpaid overtime</w:t>
      </w:r>
      <w:r w:rsidR="005367F6" w:rsidRPr="00A86E6B">
        <w:rPr>
          <w:szCs w:val="26"/>
        </w:rPr>
        <w:t>]) </w:t>
      </w:r>
      <w:r w:rsidR="00351C4A" w:rsidRPr="00A86E6B">
        <w:rPr>
          <w:szCs w:val="26"/>
        </w:rPr>
        <w:t xml:space="preserve">— while simultaneously </w:t>
      </w:r>
      <w:r w:rsidR="00B371E3" w:rsidRPr="00A86E6B">
        <w:rPr>
          <w:szCs w:val="26"/>
        </w:rPr>
        <w:t xml:space="preserve">receiving </w:t>
      </w:r>
      <w:r w:rsidR="00351C4A" w:rsidRPr="00A86E6B">
        <w:rPr>
          <w:szCs w:val="26"/>
        </w:rPr>
        <w:t xml:space="preserve">prejudgment interest at </w:t>
      </w:r>
      <w:r w:rsidR="00B371E3" w:rsidRPr="00A86E6B">
        <w:rPr>
          <w:szCs w:val="26"/>
        </w:rPr>
        <w:t xml:space="preserve">the higher </w:t>
      </w:r>
      <w:r w:rsidR="00351C4A" w:rsidRPr="00A86E6B">
        <w:rPr>
          <w:szCs w:val="26"/>
        </w:rPr>
        <w:t>10 percent rate</w:t>
      </w:r>
      <w:r w:rsidR="00B371E3" w:rsidRPr="00A86E6B">
        <w:rPr>
          <w:szCs w:val="26"/>
        </w:rPr>
        <w:t xml:space="preserve"> on the theory that</w:t>
      </w:r>
      <w:r w:rsidR="00351C4A" w:rsidRPr="00A86E6B">
        <w:rPr>
          <w:szCs w:val="26"/>
        </w:rPr>
        <w:t xml:space="preserve"> the liability is created by contract and not simply by statute</w:t>
      </w:r>
      <w:r w:rsidR="00FB693C" w:rsidRPr="00A86E6B">
        <w:rPr>
          <w:szCs w:val="26"/>
        </w:rPr>
        <w:t xml:space="preserve"> (</w:t>
      </w:r>
      <w:r w:rsidR="008A2FCF" w:rsidRPr="00A86E6B">
        <w:rPr>
          <w:szCs w:val="26"/>
        </w:rPr>
        <w:t>Civ. Code</w:t>
      </w:r>
      <w:r w:rsidR="00FB693C" w:rsidRPr="00A86E6B">
        <w:rPr>
          <w:szCs w:val="26"/>
        </w:rPr>
        <w:t xml:space="preserve">, </w:t>
      </w:r>
      <w:r w:rsidR="008A2FCF" w:rsidRPr="00A86E6B">
        <w:rPr>
          <w:szCs w:val="26"/>
        </w:rPr>
        <w:t>§ 3289</w:t>
      </w:r>
      <w:r w:rsidR="0028277B" w:rsidRPr="00A86E6B">
        <w:rPr>
          <w:szCs w:val="26"/>
        </w:rPr>
        <w:t xml:space="preserve">, subd. </w:t>
      </w:r>
      <w:r w:rsidR="00FB693C" w:rsidRPr="00A86E6B">
        <w:rPr>
          <w:szCs w:val="26"/>
        </w:rPr>
        <w:t>(b))</w:t>
      </w:r>
      <w:r w:rsidR="00351C4A" w:rsidRPr="00A86E6B">
        <w:rPr>
          <w:szCs w:val="26"/>
        </w:rPr>
        <w:t xml:space="preserve">.  The court in </w:t>
      </w:r>
      <w:r w:rsidR="00351C4A" w:rsidRPr="00A86E6B">
        <w:rPr>
          <w:i/>
          <w:iCs/>
          <w:szCs w:val="26"/>
        </w:rPr>
        <w:t>Bell</w:t>
      </w:r>
      <w:r w:rsidR="00351C4A" w:rsidRPr="00A86E6B">
        <w:rPr>
          <w:szCs w:val="26"/>
        </w:rPr>
        <w:t xml:space="preserve"> did not resolve this </w:t>
      </w:r>
      <w:r w:rsidR="00521666" w:rsidRPr="00A86E6B">
        <w:rPr>
          <w:szCs w:val="26"/>
        </w:rPr>
        <w:t>seeming inconsistency</w:t>
      </w:r>
      <w:r w:rsidR="00705197" w:rsidRPr="00A86E6B">
        <w:rPr>
          <w:szCs w:val="26"/>
        </w:rPr>
        <w:t xml:space="preserve">.  And in the end, the court did not </w:t>
      </w:r>
      <w:r w:rsidR="002D6153" w:rsidRPr="00A86E6B">
        <w:rPr>
          <w:szCs w:val="26"/>
        </w:rPr>
        <w:t>definitively</w:t>
      </w:r>
      <w:r w:rsidR="00351C4A" w:rsidRPr="00A86E6B">
        <w:rPr>
          <w:szCs w:val="26"/>
        </w:rPr>
        <w:t xml:space="preserve"> hold that the statutory contract rate would have applied in overtime suits even if </w:t>
      </w:r>
      <w:r w:rsidR="004F78A3" w:rsidRPr="00A86E6B">
        <w:rPr>
          <w:szCs w:val="26"/>
        </w:rPr>
        <w:t xml:space="preserve">Labor Code </w:t>
      </w:r>
      <w:r w:rsidR="00351C4A" w:rsidRPr="00A86E6B">
        <w:rPr>
          <w:szCs w:val="26"/>
        </w:rPr>
        <w:t xml:space="preserve">section 218.6 had never </w:t>
      </w:r>
      <w:r w:rsidR="002D6153" w:rsidRPr="00A86E6B">
        <w:rPr>
          <w:szCs w:val="26"/>
        </w:rPr>
        <w:t>been enacted</w:t>
      </w:r>
      <w:r w:rsidR="00696FE4" w:rsidRPr="00A86E6B">
        <w:rPr>
          <w:szCs w:val="26"/>
        </w:rPr>
        <w:t> </w:t>
      </w:r>
      <w:r w:rsidR="00D1538C" w:rsidRPr="00A86E6B">
        <w:rPr>
          <w:szCs w:val="26"/>
        </w:rPr>
        <w:t xml:space="preserve">— it </w:t>
      </w:r>
      <w:r w:rsidR="00F64754" w:rsidRPr="00A86E6B">
        <w:rPr>
          <w:szCs w:val="26"/>
        </w:rPr>
        <w:t xml:space="preserve">said </w:t>
      </w:r>
      <w:r w:rsidR="00D1538C" w:rsidRPr="00A86E6B">
        <w:rPr>
          <w:szCs w:val="26"/>
        </w:rPr>
        <w:t xml:space="preserve">only </w:t>
      </w:r>
      <w:r w:rsidR="00B371E3" w:rsidRPr="00A86E6B">
        <w:rPr>
          <w:szCs w:val="26"/>
        </w:rPr>
        <w:t>that the Legislature might well have thought so</w:t>
      </w:r>
      <w:r w:rsidR="00351C4A" w:rsidRPr="00A86E6B">
        <w:rPr>
          <w:szCs w:val="26"/>
        </w:rPr>
        <w:t>.  (</w:t>
      </w:r>
      <w:r w:rsidR="00351C4A" w:rsidRPr="00A86E6B">
        <w:rPr>
          <w:i/>
          <w:iCs/>
          <w:szCs w:val="26"/>
        </w:rPr>
        <w:t>Bell</w:t>
      </w:r>
      <w:r w:rsidR="00351C4A" w:rsidRPr="00A86E6B">
        <w:rPr>
          <w:szCs w:val="26"/>
        </w:rPr>
        <w:t xml:space="preserve">, at </w:t>
      </w:r>
      <w:r w:rsidR="001A6DC2" w:rsidRPr="00A86E6B">
        <w:rPr>
          <w:szCs w:val="26"/>
        </w:rPr>
        <w:t>p</w:t>
      </w:r>
      <w:r w:rsidR="00351C4A" w:rsidRPr="00A86E6B">
        <w:rPr>
          <w:szCs w:val="26"/>
        </w:rPr>
        <w:t>p.</w:t>
      </w:r>
      <w:r w:rsidR="00696FE4" w:rsidRPr="00A86E6B">
        <w:rPr>
          <w:szCs w:val="26"/>
        </w:rPr>
        <w:t> </w:t>
      </w:r>
      <w:r w:rsidR="001A6DC2" w:rsidRPr="00A86E6B">
        <w:rPr>
          <w:szCs w:val="26"/>
        </w:rPr>
        <w:t xml:space="preserve">1146, </w:t>
      </w:r>
      <w:r w:rsidR="00351C4A" w:rsidRPr="00A86E6B">
        <w:rPr>
          <w:szCs w:val="26"/>
        </w:rPr>
        <w:t>1149</w:t>
      </w:r>
      <w:r w:rsidR="00B52575" w:rsidRPr="00A86E6B">
        <w:rPr>
          <w:szCs w:val="26"/>
        </w:rPr>
        <w:t>.</w:t>
      </w:r>
      <w:r w:rsidR="00351C4A" w:rsidRPr="00A86E6B">
        <w:rPr>
          <w:szCs w:val="26"/>
        </w:rPr>
        <w:t>)</w:t>
      </w:r>
    </w:p>
    <w:p w14:paraId="18EBB318" w14:textId="70699156" w:rsidR="006B7286" w:rsidRPr="00A86E6B" w:rsidRDefault="00FF26D7" w:rsidP="00A86E6B">
      <w:pPr>
        <w:tabs>
          <w:tab w:val="left" w:pos="1440"/>
        </w:tabs>
        <w:ind w:firstLine="720"/>
        <w:rPr>
          <w:szCs w:val="26"/>
        </w:rPr>
      </w:pPr>
      <w:r w:rsidRPr="00A86E6B">
        <w:rPr>
          <w:szCs w:val="26"/>
        </w:rPr>
        <w:t xml:space="preserve">Whatever the merits of </w:t>
      </w:r>
      <w:r w:rsidR="003D0DE0" w:rsidRPr="00A86E6B">
        <w:rPr>
          <w:i/>
          <w:iCs/>
          <w:szCs w:val="26"/>
        </w:rPr>
        <w:t>Bell</w:t>
      </w:r>
      <w:r w:rsidRPr="00A86E6B">
        <w:rPr>
          <w:szCs w:val="26"/>
        </w:rPr>
        <w:t>’s reasoning</w:t>
      </w:r>
      <w:r w:rsidR="00A117A0" w:rsidRPr="00A86E6B">
        <w:rPr>
          <w:szCs w:val="26"/>
        </w:rPr>
        <w:t xml:space="preserve"> with regard to overtime pay, </w:t>
      </w:r>
      <w:r w:rsidR="00012A34" w:rsidRPr="00A86E6B">
        <w:rPr>
          <w:szCs w:val="26"/>
        </w:rPr>
        <w:t xml:space="preserve">that reasoning cannot be extended to </w:t>
      </w:r>
      <w:r w:rsidR="003D0DE0" w:rsidRPr="00A86E6B">
        <w:rPr>
          <w:szCs w:val="26"/>
        </w:rPr>
        <w:t xml:space="preserve">nonpayment of </w:t>
      </w:r>
      <w:r w:rsidR="00012A34" w:rsidRPr="00A86E6B">
        <w:rPr>
          <w:szCs w:val="26"/>
        </w:rPr>
        <w:t xml:space="preserve">section 226.7 </w:t>
      </w:r>
      <w:r w:rsidR="003D0DE0" w:rsidRPr="00A86E6B">
        <w:rPr>
          <w:szCs w:val="26"/>
        </w:rPr>
        <w:t>premium pay</w:t>
      </w:r>
      <w:r w:rsidR="00012A34" w:rsidRPr="00A86E6B">
        <w:rPr>
          <w:szCs w:val="26"/>
        </w:rPr>
        <w:t>, because</w:t>
      </w:r>
      <w:r w:rsidR="00D252E9" w:rsidRPr="00A86E6B">
        <w:rPr>
          <w:szCs w:val="26"/>
        </w:rPr>
        <w:t xml:space="preserve"> </w:t>
      </w:r>
      <w:r w:rsidR="00012A34" w:rsidRPr="00A86E6B">
        <w:rPr>
          <w:szCs w:val="26"/>
        </w:rPr>
        <w:t>t</w:t>
      </w:r>
      <w:r w:rsidR="00B33590" w:rsidRPr="00A86E6B">
        <w:rPr>
          <w:szCs w:val="26"/>
        </w:rPr>
        <w:t xml:space="preserve">he </w:t>
      </w:r>
      <w:r w:rsidR="00B613D6" w:rsidRPr="00A86E6B">
        <w:rPr>
          <w:szCs w:val="26"/>
        </w:rPr>
        <w:t xml:space="preserve">available </w:t>
      </w:r>
      <w:r w:rsidR="00B33590" w:rsidRPr="00A86E6B">
        <w:rPr>
          <w:szCs w:val="26"/>
        </w:rPr>
        <w:t xml:space="preserve">evidence </w:t>
      </w:r>
      <w:r w:rsidR="00B613D6" w:rsidRPr="00A86E6B">
        <w:rPr>
          <w:szCs w:val="26"/>
        </w:rPr>
        <w:t xml:space="preserve">indicates the </w:t>
      </w:r>
      <w:r w:rsidR="00DD5E79" w:rsidRPr="00A86E6B">
        <w:rPr>
          <w:szCs w:val="26"/>
        </w:rPr>
        <w:t xml:space="preserve">Legislature has not understood </w:t>
      </w:r>
      <w:r w:rsidR="00B33590" w:rsidRPr="00A86E6B">
        <w:rPr>
          <w:szCs w:val="26"/>
        </w:rPr>
        <w:t>the failure to pay missed</w:t>
      </w:r>
      <w:r w:rsidR="00B33C15">
        <w:rPr>
          <w:szCs w:val="26"/>
        </w:rPr>
        <w:t>-</w:t>
      </w:r>
      <w:r w:rsidR="00B33590" w:rsidRPr="00A86E6B">
        <w:rPr>
          <w:szCs w:val="26"/>
        </w:rPr>
        <w:t xml:space="preserve">break premium pay as a breach of contract subject to contract-rate interest.  In </w:t>
      </w:r>
      <w:r w:rsidR="00FB005B" w:rsidRPr="00A86E6B">
        <w:rPr>
          <w:szCs w:val="26"/>
        </w:rPr>
        <w:t>the very legislation that enacted section 226.7, Assembly Bill No.</w:t>
      </w:r>
      <w:r w:rsidR="008A2FCF" w:rsidRPr="00A86E6B">
        <w:rPr>
          <w:szCs w:val="26"/>
        </w:rPr>
        <w:t> </w:t>
      </w:r>
      <w:r w:rsidR="00FB005B" w:rsidRPr="00A86E6B">
        <w:rPr>
          <w:szCs w:val="26"/>
        </w:rPr>
        <w:t>2509 (1999–2000 Reg. Sess.)</w:t>
      </w:r>
      <w:r w:rsidR="006A4419" w:rsidRPr="00A86E6B">
        <w:rPr>
          <w:szCs w:val="26"/>
        </w:rPr>
        <w:t xml:space="preserve">, </w:t>
      </w:r>
      <w:r w:rsidR="00FB005B" w:rsidRPr="00A86E6B">
        <w:rPr>
          <w:szCs w:val="26"/>
        </w:rPr>
        <w:t>the Legislature elected to adjust the prejudgment interest rate for certain wage and hour claims</w:t>
      </w:r>
      <w:r w:rsidR="00EC6405" w:rsidRPr="00A86E6B">
        <w:rPr>
          <w:szCs w:val="26"/>
        </w:rPr>
        <w:t xml:space="preserve"> by incorporating </w:t>
      </w:r>
      <w:r w:rsidR="00FB005B" w:rsidRPr="00A86E6B">
        <w:rPr>
          <w:szCs w:val="26"/>
        </w:rPr>
        <w:t>Civil Code section 3289</w:t>
      </w:r>
      <w:r w:rsidR="0028277B" w:rsidRPr="00A86E6B">
        <w:rPr>
          <w:szCs w:val="26"/>
        </w:rPr>
        <w:t xml:space="preserve">, subdivision </w:t>
      </w:r>
      <w:r w:rsidR="00EC6405" w:rsidRPr="00A86E6B">
        <w:rPr>
          <w:szCs w:val="26"/>
        </w:rPr>
        <w:t>(b)</w:t>
      </w:r>
      <w:r w:rsidR="00FB005B" w:rsidRPr="00A86E6B">
        <w:rPr>
          <w:szCs w:val="26"/>
        </w:rPr>
        <w:t xml:space="preserve">’s 10 percent rate.  </w:t>
      </w:r>
      <w:r w:rsidR="0080060A" w:rsidRPr="00A86E6B">
        <w:rPr>
          <w:szCs w:val="26"/>
        </w:rPr>
        <w:t>One provision enacted Labor Code section 218.6 (Stats. 2000, ch. 876, § 5, p.</w:t>
      </w:r>
      <w:r w:rsidR="008A2FCF" w:rsidRPr="00A86E6B">
        <w:rPr>
          <w:szCs w:val="26"/>
        </w:rPr>
        <w:t> </w:t>
      </w:r>
      <w:r w:rsidR="0080060A" w:rsidRPr="00A86E6B">
        <w:rPr>
          <w:szCs w:val="26"/>
        </w:rPr>
        <w:t>6508)</w:t>
      </w:r>
      <w:r w:rsidR="0021314D" w:rsidRPr="00A86E6B">
        <w:rPr>
          <w:szCs w:val="26"/>
        </w:rPr>
        <w:t>, which, as discussed, is by its terms too narrow to reach missed-break premium-pay claims.</w:t>
      </w:r>
      <w:r w:rsidR="0080060A" w:rsidRPr="00A86E6B">
        <w:rPr>
          <w:szCs w:val="26"/>
        </w:rPr>
        <w:t xml:space="preserve">  </w:t>
      </w:r>
      <w:r w:rsidR="008E2D57" w:rsidRPr="00A86E6B">
        <w:rPr>
          <w:szCs w:val="26"/>
        </w:rPr>
        <w:t xml:space="preserve">Another </w:t>
      </w:r>
      <w:r w:rsidR="00FB005B" w:rsidRPr="00A86E6B">
        <w:rPr>
          <w:szCs w:val="26"/>
        </w:rPr>
        <w:t xml:space="preserve">provision amended an existing statute governing administrative claims for unpaid wages, Labor Code section 98.1, </w:t>
      </w:r>
      <w:r w:rsidR="00EC2AA0" w:rsidRPr="00A86E6B">
        <w:rPr>
          <w:szCs w:val="26"/>
        </w:rPr>
        <w:t xml:space="preserve">substituting </w:t>
      </w:r>
      <w:r w:rsidR="00FB005B" w:rsidRPr="00A86E6B">
        <w:rPr>
          <w:szCs w:val="26"/>
        </w:rPr>
        <w:t xml:space="preserve">the </w:t>
      </w:r>
      <w:r w:rsidR="00AB058A" w:rsidRPr="00A86E6B">
        <w:rPr>
          <w:szCs w:val="26"/>
        </w:rPr>
        <w:t xml:space="preserve">default contract </w:t>
      </w:r>
      <w:r w:rsidR="00FB005B" w:rsidRPr="00A86E6B">
        <w:rPr>
          <w:szCs w:val="26"/>
        </w:rPr>
        <w:t xml:space="preserve">rate </w:t>
      </w:r>
      <w:r w:rsidR="00DF2401" w:rsidRPr="00A86E6B">
        <w:rPr>
          <w:szCs w:val="26"/>
        </w:rPr>
        <w:t xml:space="preserve">for a repealed statutory rate for purposes of </w:t>
      </w:r>
      <w:r w:rsidR="0028794C" w:rsidRPr="00A86E6B">
        <w:rPr>
          <w:szCs w:val="26"/>
        </w:rPr>
        <w:t>administrative awards of</w:t>
      </w:r>
      <w:r w:rsidR="00FA7A9F" w:rsidRPr="00A86E6B">
        <w:rPr>
          <w:szCs w:val="26"/>
        </w:rPr>
        <w:t xml:space="preserve"> unpaid wages</w:t>
      </w:r>
      <w:r w:rsidR="00FB005B" w:rsidRPr="00A86E6B">
        <w:rPr>
          <w:szCs w:val="26"/>
        </w:rPr>
        <w:t xml:space="preserve">. </w:t>
      </w:r>
      <w:r w:rsidR="00FA7A9F" w:rsidRPr="00A86E6B">
        <w:rPr>
          <w:szCs w:val="26"/>
        </w:rPr>
        <w:t xml:space="preserve"> </w:t>
      </w:r>
      <w:r w:rsidR="00FB005B" w:rsidRPr="00A86E6B">
        <w:rPr>
          <w:szCs w:val="26"/>
        </w:rPr>
        <w:t>(Stats. 2000, ch. 876, § 1, p.</w:t>
      </w:r>
      <w:r w:rsidR="008A2FCF" w:rsidRPr="00A86E6B">
        <w:rPr>
          <w:szCs w:val="26"/>
        </w:rPr>
        <w:t> </w:t>
      </w:r>
      <w:r w:rsidR="00782F0E" w:rsidRPr="00A86E6B">
        <w:rPr>
          <w:szCs w:val="26"/>
        </w:rPr>
        <w:t>6505</w:t>
      </w:r>
      <w:r w:rsidR="00DF2401" w:rsidRPr="00A86E6B">
        <w:rPr>
          <w:szCs w:val="26"/>
        </w:rPr>
        <w:t xml:space="preserve">; see </w:t>
      </w:r>
      <w:r w:rsidR="00DF2401" w:rsidRPr="00A86E6B">
        <w:rPr>
          <w:i/>
          <w:iCs/>
          <w:szCs w:val="26"/>
        </w:rPr>
        <w:t>Bell</w:t>
      </w:r>
      <w:r w:rsidR="00DF2401" w:rsidRPr="00A86E6B">
        <w:rPr>
          <w:szCs w:val="26"/>
        </w:rPr>
        <w:t xml:space="preserve">, </w:t>
      </w:r>
      <w:r w:rsidR="00DF2401" w:rsidRPr="00A86E6B">
        <w:rPr>
          <w:i/>
          <w:iCs/>
          <w:szCs w:val="26"/>
        </w:rPr>
        <w:t>supra</w:t>
      </w:r>
      <w:r w:rsidR="00DF2401" w:rsidRPr="00A86E6B">
        <w:rPr>
          <w:szCs w:val="26"/>
        </w:rPr>
        <w:t xml:space="preserve">, 135 Cal.App.4th at </w:t>
      </w:r>
      <w:r w:rsidR="008A2FCF" w:rsidRPr="00A86E6B">
        <w:rPr>
          <w:szCs w:val="26"/>
        </w:rPr>
        <w:t>p</w:t>
      </w:r>
      <w:r w:rsidR="00DF2401" w:rsidRPr="00A86E6B">
        <w:rPr>
          <w:szCs w:val="26"/>
        </w:rPr>
        <w:t>p.</w:t>
      </w:r>
      <w:r w:rsidR="008A2FCF" w:rsidRPr="00A86E6B">
        <w:rPr>
          <w:szCs w:val="26"/>
        </w:rPr>
        <w:t> </w:t>
      </w:r>
      <w:r w:rsidR="00DF2401" w:rsidRPr="00A86E6B">
        <w:rPr>
          <w:szCs w:val="26"/>
        </w:rPr>
        <w:t>1149</w:t>
      </w:r>
      <w:r w:rsidR="008A2FCF" w:rsidRPr="00A86E6B">
        <w:rPr>
          <w:szCs w:val="26"/>
        </w:rPr>
        <w:t>–1150</w:t>
      </w:r>
      <w:r w:rsidR="00FB005B" w:rsidRPr="00A86E6B">
        <w:rPr>
          <w:szCs w:val="26"/>
        </w:rPr>
        <w:t>.)</w:t>
      </w:r>
      <w:r w:rsidR="00E159D4" w:rsidRPr="00A86E6B">
        <w:rPr>
          <w:szCs w:val="26"/>
        </w:rPr>
        <w:t xml:space="preserve">  </w:t>
      </w:r>
      <w:r w:rsidR="00FB005B" w:rsidRPr="00A86E6B">
        <w:rPr>
          <w:szCs w:val="26"/>
        </w:rPr>
        <w:t xml:space="preserve">Yet, when drafting and enacting a new remedy for the denial of proper meal and rest breaks, the Legislature </w:t>
      </w:r>
      <w:r w:rsidR="00B33590" w:rsidRPr="00A86E6B">
        <w:rPr>
          <w:szCs w:val="26"/>
        </w:rPr>
        <w:t xml:space="preserve">included </w:t>
      </w:r>
      <w:r w:rsidR="00FB005B" w:rsidRPr="00A86E6B">
        <w:rPr>
          <w:szCs w:val="26"/>
        </w:rPr>
        <w:t xml:space="preserve">no </w:t>
      </w:r>
      <w:r w:rsidR="00B33590" w:rsidRPr="00A86E6B">
        <w:rPr>
          <w:szCs w:val="26"/>
        </w:rPr>
        <w:t xml:space="preserve">similar extension </w:t>
      </w:r>
      <w:r w:rsidR="00FB005B" w:rsidRPr="00A86E6B">
        <w:rPr>
          <w:szCs w:val="26"/>
        </w:rPr>
        <w:t>of Civil Code section 3289</w:t>
      </w:r>
      <w:r w:rsidR="0028277B" w:rsidRPr="00A86E6B">
        <w:rPr>
          <w:szCs w:val="26"/>
        </w:rPr>
        <w:t xml:space="preserve">, subdivision </w:t>
      </w:r>
      <w:r w:rsidR="00B33590" w:rsidRPr="00A86E6B">
        <w:rPr>
          <w:szCs w:val="26"/>
        </w:rPr>
        <w:t>(b)</w:t>
      </w:r>
      <w:r w:rsidR="00FB005B" w:rsidRPr="00A86E6B">
        <w:rPr>
          <w:szCs w:val="26"/>
        </w:rPr>
        <w:t>.  (See Stats. 2000, ch.</w:t>
      </w:r>
      <w:r w:rsidR="008A2FCF" w:rsidRPr="00A86E6B">
        <w:rPr>
          <w:szCs w:val="26"/>
        </w:rPr>
        <w:t> </w:t>
      </w:r>
      <w:r w:rsidR="00FB005B" w:rsidRPr="00A86E6B">
        <w:rPr>
          <w:szCs w:val="26"/>
        </w:rPr>
        <w:t>876, § 7, p.</w:t>
      </w:r>
      <w:r w:rsidR="00B33590" w:rsidRPr="00A86E6B">
        <w:rPr>
          <w:szCs w:val="26"/>
        </w:rPr>
        <w:t> </w:t>
      </w:r>
      <w:r w:rsidR="00782F0E" w:rsidRPr="00A86E6B">
        <w:rPr>
          <w:szCs w:val="26"/>
        </w:rPr>
        <w:t>6509</w:t>
      </w:r>
      <w:r w:rsidR="00FB005B" w:rsidRPr="00A86E6B">
        <w:rPr>
          <w:szCs w:val="26"/>
        </w:rPr>
        <w:t>.)</w:t>
      </w:r>
    </w:p>
    <w:p w14:paraId="4E16FFA8" w14:textId="285B8215" w:rsidR="00FB005B" w:rsidRPr="00A86E6B" w:rsidRDefault="003A7527" w:rsidP="00A86E6B">
      <w:pPr>
        <w:tabs>
          <w:tab w:val="left" w:pos="1440"/>
        </w:tabs>
        <w:ind w:firstLine="720"/>
        <w:rPr>
          <w:szCs w:val="26"/>
        </w:rPr>
      </w:pPr>
      <w:r w:rsidRPr="00A86E6B">
        <w:rPr>
          <w:szCs w:val="26"/>
        </w:rPr>
        <w:t xml:space="preserve">The result is a statutory scheme that </w:t>
      </w:r>
      <w:r w:rsidR="00B33590" w:rsidRPr="00A86E6B">
        <w:rPr>
          <w:szCs w:val="26"/>
        </w:rPr>
        <w:t xml:space="preserve">expressly </w:t>
      </w:r>
      <w:r w:rsidRPr="00A86E6B">
        <w:rPr>
          <w:szCs w:val="26"/>
        </w:rPr>
        <w:t xml:space="preserve">applies contract rates of prejudgment interest to claims </w:t>
      </w:r>
      <w:r w:rsidR="00B42518" w:rsidRPr="00A86E6B">
        <w:rPr>
          <w:szCs w:val="26"/>
        </w:rPr>
        <w:t>for the nonpayment of wages</w:t>
      </w:r>
      <w:r w:rsidR="00D7568F" w:rsidRPr="00A86E6B">
        <w:rPr>
          <w:szCs w:val="26"/>
        </w:rPr>
        <w:t xml:space="preserve"> but excludes claims seeking statutory remedies for violation of </w:t>
      </w:r>
      <w:r w:rsidR="00E92837" w:rsidRPr="00A86E6B">
        <w:rPr>
          <w:szCs w:val="26"/>
        </w:rPr>
        <w:t>working condition</w:t>
      </w:r>
      <w:r w:rsidR="00D3660D" w:rsidRPr="00A86E6B">
        <w:rPr>
          <w:szCs w:val="26"/>
        </w:rPr>
        <w:t xml:space="preserve"> requirement</w:t>
      </w:r>
      <w:r w:rsidR="00B33590" w:rsidRPr="00A86E6B">
        <w:rPr>
          <w:szCs w:val="26"/>
        </w:rPr>
        <w:t>s</w:t>
      </w:r>
      <w:r w:rsidR="00D3660D" w:rsidRPr="00A86E6B">
        <w:rPr>
          <w:szCs w:val="26"/>
        </w:rPr>
        <w:t xml:space="preserve"> under section 226.7.</w:t>
      </w:r>
      <w:r w:rsidR="00A324CB" w:rsidRPr="00A86E6B">
        <w:rPr>
          <w:szCs w:val="26"/>
        </w:rPr>
        <w:t xml:space="preserve"> </w:t>
      </w:r>
      <w:r w:rsidR="00612E9B" w:rsidRPr="00A86E6B">
        <w:rPr>
          <w:szCs w:val="26"/>
        </w:rPr>
        <w:t xml:space="preserve"> </w:t>
      </w:r>
      <w:r w:rsidR="00B33590" w:rsidRPr="00A86E6B">
        <w:rPr>
          <w:szCs w:val="26"/>
        </w:rPr>
        <w:t xml:space="preserve">(See Lab. Code, § 218.6; </w:t>
      </w:r>
      <w:r w:rsidR="00B33590" w:rsidRPr="00A86E6B">
        <w:rPr>
          <w:i/>
          <w:iCs/>
          <w:szCs w:val="26"/>
        </w:rPr>
        <w:t>Kirby</w:t>
      </w:r>
      <w:r w:rsidR="00B33590" w:rsidRPr="00A86E6B">
        <w:rPr>
          <w:szCs w:val="26"/>
        </w:rPr>
        <w:t>,</w:t>
      </w:r>
      <w:r w:rsidR="00B33590" w:rsidRPr="00A86E6B">
        <w:rPr>
          <w:i/>
          <w:iCs/>
          <w:szCs w:val="26"/>
        </w:rPr>
        <w:t xml:space="preserve"> supra</w:t>
      </w:r>
      <w:r w:rsidR="00B33590" w:rsidRPr="00A86E6B">
        <w:rPr>
          <w:szCs w:val="26"/>
        </w:rPr>
        <w:t xml:space="preserve">, 53 Cal.4th at p. 1255.)  </w:t>
      </w:r>
      <w:r w:rsidR="00FB005B" w:rsidRPr="00A86E6B">
        <w:rPr>
          <w:szCs w:val="26"/>
        </w:rPr>
        <w:t xml:space="preserve">This </w:t>
      </w:r>
      <w:r w:rsidR="00126510" w:rsidRPr="00A86E6B">
        <w:rPr>
          <w:szCs w:val="26"/>
        </w:rPr>
        <w:t xml:space="preserve">disparate </w:t>
      </w:r>
      <w:r w:rsidR="00FB005B" w:rsidRPr="00A86E6B">
        <w:rPr>
          <w:szCs w:val="26"/>
        </w:rPr>
        <w:t>specification of which particular statutes or types of actions are subject to Civil Code section 3289</w:t>
      </w:r>
      <w:r w:rsidR="0028277B" w:rsidRPr="00A86E6B">
        <w:rPr>
          <w:szCs w:val="26"/>
        </w:rPr>
        <w:t xml:space="preserve">, subdivision </w:t>
      </w:r>
      <w:r w:rsidR="008A2FCF" w:rsidRPr="00A86E6B">
        <w:rPr>
          <w:szCs w:val="26"/>
        </w:rPr>
        <w:t>(b)</w:t>
      </w:r>
      <w:r w:rsidR="00FB005B" w:rsidRPr="00A86E6B">
        <w:rPr>
          <w:szCs w:val="26"/>
        </w:rPr>
        <w:t xml:space="preserve">’s interest rate </w:t>
      </w:r>
      <w:r w:rsidR="00182C59" w:rsidRPr="00A86E6B">
        <w:rPr>
          <w:szCs w:val="26"/>
        </w:rPr>
        <w:t xml:space="preserve">implies </w:t>
      </w:r>
      <w:r w:rsidR="00FB005B" w:rsidRPr="00A86E6B">
        <w:rPr>
          <w:szCs w:val="26"/>
        </w:rPr>
        <w:t xml:space="preserve">the Legislature did not understand or intend all statutory wage and hour obligations to automatically be governed by </w:t>
      </w:r>
      <w:r w:rsidR="00612E9B" w:rsidRPr="00A86E6B">
        <w:rPr>
          <w:szCs w:val="26"/>
        </w:rPr>
        <w:t>the contract rat</w:t>
      </w:r>
      <w:r w:rsidR="00850016" w:rsidRPr="00A86E6B">
        <w:rPr>
          <w:szCs w:val="26"/>
        </w:rPr>
        <w:t>e</w:t>
      </w:r>
      <w:r w:rsidR="008A2FCF" w:rsidRPr="00A86E6B">
        <w:rPr>
          <w:szCs w:val="26"/>
        </w:rPr>
        <w:t> </w:t>
      </w:r>
      <w:r w:rsidR="003A04C4" w:rsidRPr="00A86E6B">
        <w:rPr>
          <w:szCs w:val="26"/>
        </w:rPr>
        <w:t xml:space="preserve">— and, in particular, that the Legislature intended a difference in treatment for </w:t>
      </w:r>
      <w:r w:rsidR="00B64494" w:rsidRPr="00A86E6B">
        <w:rPr>
          <w:szCs w:val="26"/>
        </w:rPr>
        <w:t>section 226.7 claims</w:t>
      </w:r>
      <w:r w:rsidR="00515CC2" w:rsidRPr="00A86E6B">
        <w:rPr>
          <w:szCs w:val="26"/>
        </w:rPr>
        <w:t xml:space="preserve"> </w:t>
      </w:r>
      <w:r w:rsidR="003A04C4" w:rsidRPr="00A86E6B">
        <w:rPr>
          <w:szCs w:val="26"/>
        </w:rPr>
        <w:t xml:space="preserve">versus </w:t>
      </w:r>
      <w:r w:rsidR="00515CC2" w:rsidRPr="00A86E6B">
        <w:rPr>
          <w:szCs w:val="26"/>
        </w:rPr>
        <w:t xml:space="preserve">other claims concerning the payment or nonpayment of wages </w:t>
      </w:r>
      <w:r w:rsidR="003E1EB4" w:rsidRPr="00A86E6B">
        <w:rPr>
          <w:szCs w:val="26"/>
        </w:rPr>
        <w:t xml:space="preserve">in accordance with the basic </w:t>
      </w:r>
      <w:r w:rsidR="00814BE8" w:rsidRPr="00A86E6B">
        <w:rPr>
          <w:szCs w:val="26"/>
        </w:rPr>
        <w:t>employment bargain.</w:t>
      </w:r>
      <w:r w:rsidR="00D14024" w:rsidRPr="00A86E6B">
        <w:rPr>
          <w:rStyle w:val="FootnoteReference"/>
          <w:szCs w:val="26"/>
        </w:rPr>
        <w:footnoteReference w:id="13"/>
      </w:r>
      <w:r w:rsidR="0023744A" w:rsidRPr="00A86E6B">
        <w:rPr>
          <w:szCs w:val="26"/>
        </w:rPr>
        <w:t xml:space="preserve">  </w:t>
      </w:r>
      <w:r w:rsidR="00E804FA" w:rsidRPr="00A86E6B">
        <w:rPr>
          <w:szCs w:val="26"/>
        </w:rPr>
        <w:t>Naranjo offers no persuasive reason for us to read a common</w:t>
      </w:r>
      <w:r w:rsidR="0011131D" w:rsidRPr="00A86E6B">
        <w:rPr>
          <w:szCs w:val="26"/>
        </w:rPr>
        <w:t xml:space="preserve"> </w:t>
      </w:r>
      <w:r w:rsidR="00E804FA" w:rsidRPr="00A86E6B">
        <w:rPr>
          <w:szCs w:val="26"/>
        </w:rPr>
        <w:t>law contract interpretation doctrine as overriding the choices the Legislature has made.</w:t>
      </w:r>
    </w:p>
    <w:p w14:paraId="6C378926" w14:textId="3037FB78" w:rsidR="00CC7744" w:rsidRPr="00A86E6B" w:rsidRDefault="00FB005B" w:rsidP="00A86E6B">
      <w:pPr>
        <w:tabs>
          <w:tab w:val="left" w:pos="1440"/>
        </w:tabs>
        <w:ind w:firstLine="720"/>
        <w:rPr>
          <w:szCs w:val="26"/>
        </w:rPr>
      </w:pPr>
      <w:r w:rsidRPr="00A86E6B">
        <w:rPr>
          <w:szCs w:val="26"/>
        </w:rPr>
        <w:t xml:space="preserve">Naranjo </w:t>
      </w:r>
      <w:r w:rsidR="006B7286" w:rsidRPr="00A86E6B">
        <w:rPr>
          <w:szCs w:val="26"/>
        </w:rPr>
        <w:t xml:space="preserve">also </w:t>
      </w:r>
      <w:r w:rsidRPr="00A86E6B">
        <w:rPr>
          <w:szCs w:val="26"/>
        </w:rPr>
        <w:t>argues</w:t>
      </w:r>
      <w:r w:rsidR="00E97246" w:rsidRPr="00A86E6B">
        <w:rPr>
          <w:szCs w:val="26"/>
        </w:rPr>
        <w:t xml:space="preserve"> </w:t>
      </w:r>
      <w:r w:rsidRPr="00A86E6B">
        <w:rPr>
          <w:szCs w:val="26"/>
        </w:rPr>
        <w:t>that</w:t>
      </w:r>
      <w:r w:rsidR="00E97246" w:rsidRPr="00A86E6B">
        <w:rPr>
          <w:szCs w:val="26"/>
        </w:rPr>
        <w:t xml:space="preserve"> </w:t>
      </w:r>
      <w:r w:rsidR="00E94DA6" w:rsidRPr="00A86E6B">
        <w:rPr>
          <w:szCs w:val="26"/>
        </w:rPr>
        <w:t>principles of</w:t>
      </w:r>
      <w:r w:rsidRPr="00A86E6B">
        <w:rPr>
          <w:szCs w:val="26"/>
        </w:rPr>
        <w:t xml:space="preserve"> parity </w:t>
      </w:r>
      <w:r w:rsidR="00E94DA6" w:rsidRPr="00A86E6B">
        <w:rPr>
          <w:szCs w:val="26"/>
        </w:rPr>
        <w:t>require</w:t>
      </w:r>
      <w:r w:rsidRPr="00A86E6B">
        <w:rPr>
          <w:szCs w:val="26"/>
        </w:rPr>
        <w:t xml:space="preserve"> the </w:t>
      </w:r>
      <w:r w:rsidR="00E94DA6" w:rsidRPr="00A86E6B">
        <w:rPr>
          <w:szCs w:val="26"/>
        </w:rPr>
        <w:t xml:space="preserve">same </w:t>
      </w:r>
      <w:r w:rsidRPr="00A86E6B">
        <w:rPr>
          <w:szCs w:val="26"/>
        </w:rPr>
        <w:t xml:space="preserve">treatment </w:t>
      </w:r>
      <w:r w:rsidR="00E94DA6" w:rsidRPr="00A86E6B">
        <w:rPr>
          <w:szCs w:val="26"/>
        </w:rPr>
        <w:t>for</w:t>
      </w:r>
      <w:r w:rsidRPr="00A86E6B">
        <w:rPr>
          <w:szCs w:val="26"/>
        </w:rPr>
        <w:t xml:space="preserve"> civil claims under section 226.7 a</w:t>
      </w:r>
      <w:r w:rsidR="00E94DA6" w:rsidRPr="00A86E6B">
        <w:rPr>
          <w:szCs w:val="26"/>
        </w:rPr>
        <w:t>s for</w:t>
      </w:r>
      <w:r w:rsidRPr="00A86E6B">
        <w:rPr>
          <w:szCs w:val="26"/>
        </w:rPr>
        <w:t xml:space="preserve"> administrative unpaid wage claims under Labor Code section 98.1.  The argument for parity founders on the disparate statutory language.  As discussed, in 2000, the Legislature amended section 98.1 to </w:t>
      </w:r>
      <w:r w:rsidR="00A324CB" w:rsidRPr="00A86E6B">
        <w:rPr>
          <w:szCs w:val="26"/>
        </w:rPr>
        <w:t xml:space="preserve">expressly </w:t>
      </w:r>
      <w:r w:rsidRPr="00A86E6B">
        <w:rPr>
          <w:szCs w:val="26"/>
        </w:rPr>
        <w:t>provide that unpaid wages recovered through administrative proceedings should be subject to Civil Code section 3289</w:t>
      </w:r>
      <w:r w:rsidR="0028277B" w:rsidRPr="00A86E6B">
        <w:rPr>
          <w:szCs w:val="26"/>
        </w:rPr>
        <w:t xml:space="preserve">, subdivision </w:t>
      </w:r>
      <w:r w:rsidR="00A324CB" w:rsidRPr="00A86E6B">
        <w:rPr>
          <w:szCs w:val="26"/>
        </w:rPr>
        <w:t>(b)</w:t>
      </w:r>
      <w:r w:rsidRPr="00A86E6B">
        <w:rPr>
          <w:szCs w:val="26"/>
        </w:rPr>
        <w:t xml:space="preserve">’s 10 percent prejudgment interest rate.  (See Lab. Code, § 98.1, subd. (c).)  </w:t>
      </w:r>
      <w:r w:rsidR="002E7995" w:rsidRPr="00A86E6B">
        <w:rPr>
          <w:szCs w:val="26"/>
        </w:rPr>
        <w:t xml:space="preserve">The legislation </w:t>
      </w:r>
      <w:r w:rsidRPr="00A86E6B">
        <w:rPr>
          <w:szCs w:val="26"/>
        </w:rPr>
        <w:t>made no similar provision for heightened interest on missed-break claim judgments under section 226.7.</w:t>
      </w:r>
      <w:r w:rsidR="009436ED" w:rsidRPr="00A86E6B">
        <w:rPr>
          <w:szCs w:val="26"/>
        </w:rPr>
        <w:t xml:space="preserve">  We cannot supply what the Legislature chose to omit.</w:t>
      </w:r>
    </w:p>
    <w:p w14:paraId="7D9BD751" w14:textId="0E957A5B" w:rsidR="00FF4CED" w:rsidRPr="00A86E6B" w:rsidRDefault="00FF4CED" w:rsidP="00DF196D">
      <w:pPr>
        <w:keepNext/>
        <w:tabs>
          <w:tab w:val="left" w:pos="1440"/>
        </w:tabs>
        <w:jc w:val="center"/>
        <w:rPr>
          <w:smallCaps/>
          <w:szCs w:val="26"/>
        </w:rPr>
      </w:pPr>
      <w:r w:rsidRPr="00A86E6B">
        <w:rPr>
          <w:b/>
          <w:bCs/>
          <w:smallCaps/>
          <w:szCs w:val="26"/>
        </w:rPr>
        <w:t>V</w:t>
      </w:r>
      <w:r w:rsidR="00A6651D" w:rsidRPr="00A86E6B">
        <w:rPr>
          <w:b/>
          <w:bCs/>
          <w:smallCaps/>
          <w:szCs w:val="26"/>
        </w:rPr>
        <w:t>I</w:t>
      </w:r>
      <w:r w:rsidRPr="00A86E6B">
        <w:rPr>
          <w:b/>
          <w:bCs/>
          <w:smallCaps/>
          <w:szCs w:val="26"/>
        </w:rPr>
        <w:t>.</w:t>
      </w:r>
    </w:p>
    <w:p w14:paraId="08A3D5E4" w14:textId="2C149CC4" w:rsidR="005F01D7" w:rsidRPr="00A86E6B" w:rsidRDefault="00F973A7" w:rsidP="00A86E6B">
      <w:pPr>
        <w:tabs>
          <w:tab w:val="left" w:pos="1440"/>
        </w:tabs>
        <w:ind w:firstLine="720"/>
        <w:rPr>
          <w:szCs w:val="26"/>
        </w:rPr>
      </w:pPr>
      <w:r w:rsidRPr="00A86E6B">
        <w:rPr>
          <w:szCs w:val="26"/>
        </w:rPr>
        <w:t>We emphasize the limits of our holdings concerning Labor Code sections 203 and 226.  The Court of Appeal held that</w:t>
      </w:r>
      <w:r w:rsidR="00512987">
        <w:rPr>
          <w:szCs w:val="26"/>
        </w:rPr>
        <w:t>,</w:t>
      </w:r>
      <w:r w:rsidRPr="00A86E6B">
        <w:rPr>
          <w:szCs w:val="26"/>
        </w:rPr>
        <w:t xml:space="preserve"> as a matter of law, section 226.7 missed</w:t>
      </w:r>
      <w:r w:rsidR="00B33C15">
        <w:rPr>
          <w:szCs w:val="26"/>
        </w:rPr>
        <w:t>-</w:t>
      </w:r>
      <w:r w:rsidRPr="00A86E6B">
        <w:rPr>
          <w:szCs w:val="26"/>
        </w:rPr>
        <w:t xml:space="preserve">break premium pay is not “wages” for purposes of Labor Code sections 203 and 226.  As such, the failure to timely pay or report such payments can never support penalties under either section 203 or 226.  We conclude those holdings were incorrect:  </w:t>
      </w:r>
      <w:r w:rsidR="00B33C15">
        <w:rPr>
          <w:szCs w:val="26"/>
        </w:rPr>
        <w:t>M</w:t>
      </w:r>
      <w:r w:rsidRPr="00A86E6B">
        <w:rPr>
          <w:szCs w:val="26"/>
        </w:rPr>
        <w:t>issed</w:t>
      </w:r>
      <w:r w:rsidR="00B33C15">
        <w:rPr>
          <w:szCs w:val="26"/>
        </w:rPr>
        <w:t>-</w:t>
      </w:r>
      <w:r w:rsidRPr="00A86E6B">
        <w:rPr>
          <w:szCs w:val="26"/>
        </w:rPr>
        <w:t>break premium pay is indeed wages</w:t>
      </w:r>
      <w:r w:rsidR="005E71F3" w:rsidRPr="00A86E6B">
        <w:rPr>
          <w:szCs w:val="26"/>
        </w:rPr>
        <w:t xml:space="preserve"> subject to the Labor Code’s timely payment and reporting requirements</w:t>
      </w:r>
      <w:r w:rsidRPr="00A86E6B">
        <w:rPr>
          <w:szCs w:val="26"/>
        </w:rPr>
        <w:t>, and it can support section 203 waiting time penalties and section 226 wage statement penalties</w:t>
      </w:r>
      <w:r w:rsidR="005F01D7" w:rsidRPr="00A86E6B">
        <w:rPr>
          <w:szCs w:val="26"/>
        </w:rPr>
        <w:t xml:space="preserve"> where the relevant conditions for imposing penalties are met</w:t>
      </w:r>
      <w:r w:rsidRPr="00A86E6B">
        <w:rPr>
          <w:szCs w:val="26"/>
        </w:rPr>
        <w:t>.</w:t>
      </w:r>
    </w:p>
    <w:p w14:paraId="1F044C3F" w14:textId="62793E1E" w:rsidR="00F973A7" w:rsidRPr="00A86E6B" w:rsidRDefault="00F973A7" w:rsidP="00A86E6B">
      <w:pPr>
        <w:tabs>
          <w:tab w:val="left" w:pos="1440"/>
        </w:tabs>
        <w:ind w:firstLine="720"/>
        <w:rPr>
          <w:szCs w:val="26"/>
        </w:rPr>
      </w:pPr>
      <w:r w:rsidRPr="00A86E6B">
        <w:rPr>
          <w:szCs w:val="26"/>
        </w:rPr>
        <w:t xml:space="preserve">Whether such penalties are available in this </w:t>
      </w:r>
      <w:r w:rsidR="00D54300">
        <w:rPr>
          <w:szCs w:val="26"/>
        </w:rPr>
        <w:t xml:space="preserve">particular </w:t>
      </w:r>
      <w:r w:rsidRPr="00A86E6B">
        <w:rPr>
          <w:szCs w:val="26"/>
        </w:rPr>
        <w:t xml:space="preserve">case is a matter that </w:t>
      </w:r>
      <w:r w:rsidR="004B1C71" w:rsidRPr="00A86E6B">
        <w:rPr>
          <w:szCs w:val="26"/>
        </w:rPr>
        <w:t xml:space="preserve">has yet </w:t>
      </w:r>
      <w:r w:rsidRPr="00A86E6B">
        <w:rPr>
          <w:szCs w:val="26"/>
        </w:rPr>
        <w:t>to be determined</w:t>
      </w:r>
      <w:r w:rsidR="00E94DA6" w:rsidRPr="00A86E6B">
        <w:rPr>
          <w:szCs w:val="26"/>
        </w:rPr>
        <w:t>.  B</w:t>
      </w:r>
      <w:r w:rsidRPr="00A86E6B">
        <w:rPr>
          <w:szCs w:val="26"/>
        </w:rPr>
        <w:t>ecause of its conclusion about the nature of missed</w:t>
      </w:r>
      <w:r w:rsidR="00B33C15">
        <w:rPr>
          <w:szCs w:val="26"/>
        </w:rPr>
        <w:t>-</w:t>
      </w:r>
      <w:r w:rsidRPr="00A86E6B">
        <w:rPr>
          <w:szCs w:val="26"/>
        </w:rPr>
        <w:t>break premium pay, the Court of Appeal had no occasion to address Naranjo’s argument that the trial court erred in finding Spectrum had not acted willfully (</w:t>
      </w:r>
      <w:r w:rsidR="008761A9">
        <w:rPr>
          <w:szCs w:val="26"/>
        </w:rPr>
        <w:t xml:space="preserve">which </w:t>
      </w:r>
      <w:r w:rsidRPr="00A86E6B">
        <w:rPr>
          <w:szCs w:val="26"/>
        </w:rPr>
        <w:t>bar</w:t>
      </w:r>
      <w:r w:rsidR="009F52FA">
        <w:rPr>
          <w:szCs w:val="26"/>
        </w:rPr>
        <w:t>red</w:t>
      </w:r>
      <w:r w:rsidRPr="00A86E6B">
        <w:rPr>
          <w:szCs w:val="26"/>
        </w:rPr>
        <w:t xml:space="preserve"> recovery under </w:t>
      </w:r>
      <w:r w:rsidR="004F78A3" w:rsidRPr="00A86E6B">
        <w:rPr>
          <w:szCs w:val="26"/>
        </w:rPr>
        <w:t xml:space="preserve">Lab. Code, </w:t>
      </w:r>
      <w:r w:rsidR="0011131D" w:rsidRPr="00A86E6B">
        <w:rPr>
          <w:szCs w:val="26"/>
        </w:rPr>
        <w:t>§ </w:t>
      </w:r>
      <w:r w:rsidRPr="00A86E6B">
        <w:rPr>
          <w:szCs w:val="26"/>
        </w:rPr>
        <w:t>203)</w:t>
      </w:r>
      <w:r w:rsidR="008761A9">
        <w:rPr>
          <w:szCs w:val="26"/>
        </w:rPr>
        <w:t>;</w:t>
      </w:r>
      <w:r w:rsidRPr="00A86E6B">
        <w:rPr>
          <w:szCs w:val="26"/>
        </w:rPr>
        <w:t xml:space="preserve"> </w:t>
      </w:r>
      <w:r w:rsidR="008761A9">
        <w:rPr>
          <w:szCs w:val="26"/>
        </w:rPr>
        <w:t>likewise,</w:t>
      </w:r>
      <w:r w:rsidRPr="00A86E6B">
        <w:rPr>
          <w:szCs w:val="26"/>
        </w:rPr>
        <w:t xml:space="preserve"> Spectrum’s argument that its failure to report missed</w:t>
      </w:r>
      <w:r w:rsidR="00B33C15">
        <w:rPr>
          <w:szCs w:val="26"/>
        </w:rPr>
        <w:t>-</w:t>
      </w:r>
      <w:r w:rsidRPr="00A86E6B">
        <w:rPr>
          <w:szCs w:val="26"/>
        </w:rPr>
        <w:t xml:space="preserve">break premium pay on wage statements was not knowing and intentional, </w:t>
      </w:r>
      <w:r w:rsidR="009F52FA">
        <w:rPr>
          <w:szCs w:val="26"/>
        </w:rPr>
        <w:t>as</w:t>
      </w:r>
      <w:r w:rsidRPr="00A86E6B">
        <w:rPr>
          <w:szCs w:val="26"/>
        </w:rPr>
        <w:t xml:space="preserve"> is necessary for recovery under </w:t>
      </w:r>
      <w:r w:rsidR="0011131D" w:rsidRPr="00A86E6B">
        <w:rPr>
          <w:szCs w:val="26"/>
        </w:rPr>
        <w:t xml:space="preserve">Labor Code </w:t>
      </w:r>
      <w:r w:rsidRPr="00A86E6B">
        <w:rPr>
          <w:szCs w:val="26"/>
        </w:rPr>
        <w:t>section 226</w:t>
      </w:r>
      <w:r w:rsidR="00441FA1">
        <w:rPr>
          <w:szCs w:val="26"/>
        </w:rPr>
        <w:t>, was not addressed on appeal</w:t>
      </w:r>
      <w:r w:rsidRPr="00A86E6B">
        <w:rPr>
          <w:szCs w:val="26"/>
        </w:rPr>
        <w:t>.  Those issues remain to be resolved on remand.</w:t>
      </w:r>
    </w:p>
    <w:p w14:paraId="1723A627" w14:textId="57070CA2" w:rsidR="00A0010B" w:rsidRPr="00A86E6B" w:rsidRDefault="008E1D91" w:rsidP="00A86E6B">
      <w:pPr>
        <w:keepNext/>
        <w:tabs>
          <w:tab w:val="left" w:pos="1440"/>
        </w:tabs>
        <w:ind w:firstLine="720"/>
        <w:rPr>
          <w:szCs w:val="26"/>
        </w:rPr>
      </w:pPr>
      <w:r w:rsidRPr="00A86E6B">
        <w:rPr>
          <w:szCs w:val="26"/>
        </w:rPr>
        <w:t>W</w:t>
      </w:r>
      <w:r w:rsidR="00156EBB" w:rsidRPr="00A86E6B">
        <w:rPr>
          <w:szCs w:val="26"/>
        </w:rPr>
        <w:t xml:space="preserve">e </w:t>
      </w:r>
      <w:r w:rsidR="006A2929" w:rsidRPr="00A86E6B">
        <w:rPr>
          <w:szCs w:val="26"/>
        </w:rPr>
        <w:t>reverse in part</w:t>
      </w:r>
      <w:r w:rsidR="00156EBB" w:rsidRPr="00A86E6B">
        <w:rPr>
          <w:szCs w:val="26"/>
        </w:rPr>
        <w:t xml:space="preserve"> the judgment of the Court of Appeal</w:t>
      </w:r>
      <w:r w:rsidR="0028794C" w:rsidRPr="00A86E6B">
        <w:rPr>
          <w:szCs w:val="26"/>
        </w:rPr>
        <w:t xml:space="preserve">, insofar as it held the failure to timely pay or report </w:t>
      </w:r>
      <w:r w:rsidR="00B754AC" w:rsidRPr="00A86E6B">
        <w:rPr>
          <w:szCs w:val="26"/>
        </w:rPr>
        <w:t>section 226.7</w:t>
      </w:r>
      <w:r w:rsidR="0028794C" w:rsidRPr="00A86E6B">
        <w:rPr>
          <w:szCs w:val="26"/>
        </w:rPr>
        <w:t xml:space="preserve"> premium pay can never support relief under Labor Code sections 203 and 226,</w:t>
      </w:r>
      <w:r w:rsidR="006A2929" w:rsidRPr="00A86E6B">
        <w:rPr>
          <w:szCs w:val="26"/>
        </w:rPr>
        <w:t xml:space="preserve"> and remand for further proceedings </w:t>
      </w:r>
      <w:r w:rsidR="009F52FA">
        <w:rPr>
          <w:szCs w:val="26"/>
        </w:rPr>
        <w:t xml:space="preserve">in the Court of Appeal </w:t>
      </w:r>
      <w:r w:rsidR="006A2929" w:rsidRPr="00A86E6B">
        <w:rPr>
          <w:szCs w:val="26"/>
        </w:rPr>
        <w:t>not inconsistent with this opinion.</w:t>
      </w:r>
    </w:p>
    <w:p w14:paraId="4FA4568B" w14:textId="77777777" w:rsidR="00DF196D" w:rsidRDefault="00DF196D" w:rsidP="00A86E6B">
      <w:pPr>
        <w:keepNext/>
        <w:tabs>
          <w:tab w:val="left" w:pos="1440"/>
        </w:tabs>
        <w:ind w:firstLine="720"/>
        <w:rPr>
          <w:szCs w:val="26"/>
        </w:rPr>
      </w:pPr>
    </w:p>
    <w:p w14:paraId="07885E0C" w14:textId="5B174361" w:rsidR="00F73229" w:rsidRPr="00A86E6B" w:rsidRDefault="00F73229" w:rsidP="00A86E6B">
      <w:pPr>
        <w:keepNext/>
        <w:tabs>
          <w:tab w:val="left" w:pos="1440"/>
        </w:tabs>
        <w:ind w:firstLine="720"/>
        <w:rPr>
          <w:b/>
          <w:bCs/>
          <w:szCs w:val="26"/>
        </w:rPr>
      </w:pPr>
      <w:r w:rsidRPr="00A86E6B">
        <w:rPr>
          <w:szCs w:val="26"/>
        </w:rPr>
        <w:tab/>
      </w:r>
      <w:r w:rsidRPr="00A86E6B">
        <w:rPr>
          <w:szCs w:val="26"/>
        </w:rPr>
        <w:tab/>
      </w:r>
      <w:r w:rsidRPr="00A86E6B">
        <w:rPr>
          <w:szCs w:val="26"/>
        </w:rPr>
        <w:tab/>
      </w:r>
      <w:r w:rsidRPr="00A86E6B">
        <w:rPr>
          <w:szCs w:val="26"/>
        </w:rPr>
        <w:tab/>
      </w:r>
      <w:r w:rsidRPr="00A86E6B">
        <w:rPr>
          <w:szCs w:val="26"/>
        </w:rPr>
        <w:tab/>
      </w:r>
      <w:r w:rsidRPr="00A86E6B">
        <w:rPr>
          <w:szCs w:val="26"/>
        </w:rPr>
        <w:tab/>
      </w:r>
      <w:r w:rsidR="00DF196D">
        <w:rPr>
          <w:szCs w:val="26"/>
        </w:rPr>
        <w:tab/>
        <w:t xml:space="preserve">    </w:t>
      </w:r>
      <w:r w:rsidRPr="00A86E6B">
        <w:rPr>
          <w:b/>
          <w:bCs/>
          <w:szCs w:val="26"/>
        </w:rPr>
        <w:t>KRUGER, J.</w:t>
      </w:r>
    </w:p>
    <w:p w14:paraId="130E19D0" w14:textId="43CE6BE8" w:rsidR="007E14E9" w:rsidRPr="00A86E6B" w:rsidRDefault="007E14E9" w:rsidP="00A86E6B">
      <w:pPr>
        <w:keepNext/>
        <w:tabs>
          <w:tab w:val="left" w:pos="1440"/>
        </w:tabs>
        <w:ind w:firstLine="720"/>
        <w:rPr>
          <w:szCs w:val="26"/>
        </w:rPr>
      </w:pPr>
    </w:p>
    <w:p w14:paraId="51CAD709" w14:textId="77777777" w:rsidR="002D7C1C" w:rsidRPr="00A86E6B" w:rsidRDefault="002D7C1C" w:rsidP="002D7C1C">
      <w:pPr>
        <w:rPr>
          <w:b/>
          <w:bCs/>
          <w:szCs w:val="26"/>
        </w:rPr>
      </w:pPr>
      <w:r w:rsidRPr="00A86E6B">
        <w:rPr>
          <w:b/>
          <w:bCs/>
          <w:szCs w:val="26"/>
        </w:rPr>
        <w:t>We Concur:</w:t>
      </w:r>
    </w:p>
    <w:p w14:paraId="6DA84CD5" w14:textId="5E063692" w:rsidR="002D7C1C" w:rsidRDefault="002D7C1C" w:rsidP="002D7C1C">
      <w:pPr>
        <w:spacing w:after="0" w:line="240" w:lineRule="auto"/>
        <w:rPr>
          <w:b/>
          <w:bCs/>
          <w:szCs w:val="26"/>
        </w:rPr>
      </w:pPr>
      <w:r>
        <w:rPr>
          <w:b/>
          <w:bCs/>
          <w:szCs w:val="26"/>
        </w:rPr>
        <w:t>CANTIL-SAKAUYE, C.</w:t>
      </w:r>
      <w:r w:rsidR="0034289F">
        <w:rPr>
          <w:b/>
          <w:bCs/>
          <w:szCs w:val="26"/>
        </w:rPr>
        <w:t> </w:t>
      </w:r>
      <w:r>
        <w:rPr>
          <w:b/>
          <w:bCs/>
          <w:szCs w:val="26"/>
        </w:rPr>
        <w:t>J.</w:t>
      </w:r>
    </w:p>
    <w:p w14:paraId="6C987C0A" w14:textId="77777777" w:rsidR="002D7C1C" w:rsidRDefault="002D7C1C" w:rsidP="002D7C1C">
      <w:pPr>
        <w:spacing w:after="0" w:line="240" w:lineRule="auto"/>
        <w:rPr>
          <w:b/>
          <w:bCs/>
          <w:szCs w:val="26"/>
        </w:rPr>
      </w:pPr>
      <w:r>
        <w:rPr>
          <w:b/>
          <w:bCs/>
          <w:szCs w:val="26"/>
        </w:rPr>
        <w:t>CORRIGAN, J.</w:t>
      </w:r>
    </w:p>
    <w:p w14:paraId="30DB84CB" w14:textId="77777777" w:rsidR="002D7C1C" w:rsidRDefault="002D7C1C" w:rsidP="002D7C1C">
      <w:pPr>
        <w:spacing w:after="0" w:line="240" w:lineRule="auto"/>
        <w:rPr>
          <w:b/>
          <w:bCs/>
          <w:szCs w:val="26"/>
        </w:rPr>
      </w:pPr>
      <w:r>
        <w:rPr>
          <w:b/>
          <w:bCs/>
          <w:szCs w:val="26"/>
        </w:rPr>
        <w:t>LIU, J.</w:t>
      </w:r>
    </w:p>
    <w:p w14:paraId="70822EA5" w14:textId="77777777" w:rsidR="002D7C1C" w:rsidRDefault="002D7C1C" w:rsidP="002D7C1C">
      <w:pPr>
        <w:spacing w:after="0" w:line="240" w:lineRule="auto"/>
        <w:rPr>
          <w:b/>
          <w:bCs/>
          <w:szCs w:val="26"/>
        </w:rPr>
      </w:pPr>
      <w:r>
        <w:rPr>
          <w:b/>
          <w:bCs/>
          <w:szCs w:val="26"/>
        </w:rPr>
        <w:t>GROBAN, J.</w:t>
      </w:r>
    </w:p>
    <w:p w14:paraId="4D44540C" w14:textId="77777777" w:rsidR="002D7C1C" w:rsidRDefault="002D7C1C" w:rsidP="002D7C1C">
      <w:pPr>
        <w:spacing w:after="0" w:line="240" w:lineRule="auto"/>
        <w:rPr>
          <w:b/>
          <w:bCs/>
          <w:szCs w:val="26"/>
        </w:rPr>
      </w:pPr>
      <w:r>
        <w:rPr>
          <w:b/>
          <w:bCs/>
          <w:szCs w:val="26"/>
        </w:rPr>
        <w:t>JENKINS, J.</w:t>
      </w:r>
    </w:p>
    <w:p w14:paraId="51591D9C" w14:textId="77777777" w:rsidR="002D7C1C" w:rsidRPr="00A86E6B" w:rsidRDefault="002D7C1C" w:rsidP="002D7C1C">
      <w:pPr>
        <w:spacing w:after="0" w:line="240" w:lineRule="auto"/>
        <w:rPr>
          <w:b/>
          <w:bCs/>
          <w:szCs w:val="26"/>
        </w:rPr>
      </w:pPr>
      <w:r>
        <w:rPr>
          <w:b/>
          <w:bCs/>
          <w:szCs w:val="26"/>
        </w:rPr>
        <w:t>O’LEARY, J.</w:t>
      </w:r>
      <w:r>
        <w:rPr>
          <w:rStyle w:val="FootnoteReference"/>
          <w:b w:val="0"/>
          <w:bCs/>
          <w:szCs w:val="26"/>
        </w:rPr>
        <w:footnoteReference w:customMarkFollows="1" w:id="14"/>
        <w:t>*</w:t>
      </w:r>
    </w:p>
    <w:p w14:paraId="198485B7" w14:textId="77777777" w:rsidR="001B3B05" w:rsidRDefault="001B3B05" w:rsidP="00A86E6B">
      <w:pPr>
        <w:rPr>
          <w:b/>
          <w:bCs/>
          <w:szCs w:val="26"/>
        </w:rPr>
        <w:sectPr w:rsidR="001B3B05" w:rsidSect="00EB484E">
          <w:headerReference w:type="even" r:id="rId14"/>
          <w:headerReference w:type="default" r:id="rId15"/>
          <w:footerReference w:type="even" r:id="rId16"/>
          <w:footerReference w:type="default" r:id="rId17"/>
          <w:headerReference w:type="first" r:id="rId18"/>
          <w:footerReference w:type="first" r:id="rId19"/>
          <w:pgSz w:w="12240" w:h="15840"/>
          <w:pgMar w:top="1800" w:right="2160" w:bottom="1440" w:left="2160" w:header="720" w:footer="720" w:gutter="0"/>
          <w:pgNumType w:start="1"/>
          <w:cols w:space="720"/>
          <w:titlePg/>
          <w:docGrid w:linePitch="367"/>
        </w:sectPr>
      </w:pPr>
    </w:p>
    <w:p w14:paraId="1AB7D8B7" w14:textId="77777777" w:rsidR="001B3B05" w:rsidRPr="001B3B05" w:rsidRDefault="001B3B05" w:rsidP="001B3B05">
      <w:pPr>
        <w:spacing w:after="0" w:line="240" w:lineRule="auto"/>
        <w:jc w:val="left"/>
        <w:rPr>
          <w:i/>
          <w:sz w:val="24"/>
          <w:szCs w:val="24"/>
        </w:rPr>
      </w:pPr>
      <w:r w:rsidRPr="001B3B05">
        <w:rPr>
          <w:i/>
          <w:sz w:val="24"/>
          <w:szCs w:val="24"/>
        </w:rPr>
        <w:t>See next page for addresses and telephone numbers for counsel who argued in Supreme Court.</w:t>
      </w:r>
    </w:p>
    <w:p w14:paraId="1A0192A4" w14:textId="77777777" w:rsidR="001B3B05" w:rsidRPr="001B3B05" w:rsidRDefault="001B3B05" w:rsidP="001B3B05">
      <w:pPr>
        <w:spacing w:after="0" w:line="240" w:lineRule="auto"/>
        <w:jc w:val="left"/>
        <w:rPr>
          <w:i/>
          <w:sz w:val="24"/>
          <w:szCs w:val="24"/>
        </w:rPr>
      </w:pPr>
    </w:p>
    <w:p w14:paraId="49634CDC" w14:textId="77777777" w:rsidR="001B3B05" w:rsidRPr="001B3B05" w:rsidRDefault="001B3B05" w:rsidP="001B3B05">
      <w:pPr>
        <w:spacing w:after="0" w:line="240" w:lineRule="auto"/>
        <w:jc w:val="left"/>
        <w:rPr>
          <w:bCs/>
          <w:sz w:val="24"/>
          <w:szCs w:val="24"/>
        </w:rPr>
      </w:pPr>
      <w:r w:rsidRPr="001B3B05">
        <w:rPr>
          <w:b/>
          <w:sz w:val="24"/>
          <w:szCs w:val="24"/>
        </w:rPr>
        <w:t xml:space="preserve">Name of Opinion  </w:t>
      </w:r>
      <w:r w:rsidRPr="001B3B05">
        <w:rPr>
          <w:bCs/>
          <w:sz w:val="24"/>
          <w:szCs w:val="24"/>
        </w:rPr>
        <w:t>Naranjo v. Spectrum Security Services, Inc.</w:t>
      </w:r>
    </w:p>
    <w:p w14:paraId="01885F01" w14:textId="77777777" w:rsidR="001B3B05" w:rsidRPr="001B3B05" w:rsidRDefault="001B3B05" w:rsidP="001B3B05">
      <w:pPr>
        <w:spacing w:after="0" w:line="240" w:lineRule="auto"/>
        <w:jc w:val="left"/>
        <w:rPr>
          <w:b/>
          <w:sz w:val="24"/>
          <w:szCs w:val="24"/>
        </w:rPr>
      </w:pPr>
      <w:r w:rsidRPr="001B3B05">
        <w:rPr>
          <w:b/>
          <w:sz w:val="24"/>
          <w:szCs w:val="24"/>
        </w:rPr>
        <w:t xml:space="preserve">__________________________________________________________ </w:t>
      </w:r>
    </w:p>
    <w:p w14:paraId="67B15CFD" w14:textId="77777777" w:rsidR="001B3B05" w:rsidRPr="001B3B05" w:rsidRDefault="001B3B05" w:rsidP="001B3B05">
      <w:pPr>
        <w:spacing w:after="0" w:line="240" w:lineRule="auto"/>
        <w:jc w:val="left"/>
        <w:rPr>
          <w:b/>
          <w:sz w:val="24"/>
          <w:szCs w:val="24"/>
        </w:rPr>
      </w:pPr>
    </w:p>
    <w:p w14:paraId="1A493586" w14:textId="77777777" w:rsidR="001B3B05" w:rsidRPr="001B3B05" w:rsidRDefault="001B3B05" w:rsidP="001B3B05">
      <w:pPr>
        <w:spacing w:after="0" w:line="240" w:lineRule="auto"/>
        <w:jc w:val="left"/>
        <w:rPr>
          <w:sz w:val="24"/>
          <w:szCs w:val="24"/>
        </w:rPr>
      </w:pPr>
      <w:r w:rsidRPr="001B3B05">
        <w:rPr>
          <w:b/>
          <w:bCs/>
          <w:sz w:val="24"/>
          <w:szCs w:val="24"/>
          <w:u w:val="single"/>
        </w:rPr>
        <w:t>Procedural Posture</w:t>
      </w:r>
      <w:r w:rsidRPr="001B3B05">
        <w:rPr>
          <w:b/>
          <w:bCs/>
          <w:sz w:val="24"/>
          <w:szCs w:val="24"/>
        </w:rPr>
        <w:t xml:space="preserve"> </w:t>
      </w:r>
      <w:r w:rsidRPr="001B3B05">
        <w:rPr>
          <w:sz w:val="24"/>
          <w:szCs w:val="24"/>
        </w:rPr>
        <w:t>(see XX below)</w:t>
      </w:r>
    </w:p>
    <w:p w14:paraId="05970BEF" w14:textId="77777777" w:rsidR="001B3B05" w:rsidRPr="001B3B05" w:rsidRDefault="001B3B05" w:rsidP="001B3B05">
      <w:pPr>
        <w:spacing w:after="0" w:line="240" w:lineRule="auto"/>
        <w:jc w:val="left"/>
        <w:rPr>
          <w:sz w:val="24"/>
          <w:szCs w:val="24"/>
        </w:rPr>
      </w:pPr>
      <w:r w:rsidRPr="001B3B05">
        <w:rPr>
          <w:b/>
          <w:bCs/>
          <w:sz w:val="24"/>
          <w:szCs w:val="24"/>
        </w:rPr>
        <w:t>Original Appeal</w:t>
      </w:r>
      <w:r w:rsidRPr="001B3B05">
        <w:rPr>
          <w:sz w:val="24"/>
          <w:szCs w:val="24"/>
        </w:rPr>
        <w:t xml:space="preserve"> </w:t>
      </w:r>
    </w:p>
    <w:p w14:paraId="0EB1706C" w14:textId="77777777" w:rsidR="001B3B05" w:rsidRPr="001B3B05" w:rsidRDefault="001B3B05" w:rsidP="001B3B05">
      <w:pPr>
        <w:spacing w:after="0" w:line="240" w:lineRule="auto"/>
        <w:jc w:val="left"/>
        <w:rPr>
          <w:b/>
          <w:bCs/>
          <w:sz w:val="24"/>
          <w:szCs w:val="24"/>
        </w:rPr>
      </w:pPr>
      <w:r w:rsidRPr="001B3B05">
        <w:rPr>
          <w:b/>
          <w:bCs/>
          <w:sz w:val="24"/>
          <w:szCs w:val="24"/>
        </w:rPr>
        <w:t>Original Proceeding</w:t>
      </w:r>
    </w:p>
    <w:p w14:paraId="4832933C" w14:textId="77777777" w:rsidR="001B3B05" w:rsidRPr="001B3B05" w:rsidRDefault="001B3B05" w:rsidP="001B3B05">
      <w:pPr>
        <w:spacing w:after="0" w:line="240" w:lineRule="auto"/>
        <w:jc w:val="left"/>
        <w:rPr>
          <w:sz w:val="24"/>
          <w:szCs w:val="24"/>
        </w:rPr>
      </w:pPr>
      <w:r w:rsidRPr="001B3B05">
        <w:rPr>
          <w:b/>
          <w:bCs/>
          <w:sz w:val="24"/>
          <w:szCs w:val="24"/>
        </w:rPr>
        <w:t>Review Granted</w:t>
      </w:r>
      <w:r w:rsidRPr="001B3B05">
        <w:rPr>
          <w:sz w:val="24"/>
          <w:szCs w:val="24"/>
        </w:rPr>
        <w:t xml:space="preserve"> </w:t>
      </w:r>
      <w:r w:rsidRPr="001B3B05">
        <w:rPr>
          <w:b/>
          <w:bCs/>
          <w:sz w:val="24"/>
          <w:szCs w:val="24"/>
        </w:rPr>
        <w:t xml:space="preserve">(published) </w:t>
      </w:r>
      <w:r w:rsidRPr="001B3B05">
        <w:rPr>
          <w:sz w:val="24"/>
          <w:szCs w:val="24"/>
        </w:rPr>
        <w:t>XX 40 Cal.App.5th 444</w:t>
      </w:r>
    </w:p>
    <w:p w14:paraId="574740E2" w14:textId="77777777" w:rsidR="001B3B05" w:rsidRPr="001B3B05" w:rsidRDefault="001B3B05" w:rsidP="001B3B05">
      <w:pPr>
        <w:spacing w:after="0" w:line="240" w:lineRule="auto"/>
        <w:jc w:val="left"/>
        <w:rPr>
          <w:sz w:val="24"/>
          <w:szCs w:val="24"/>
        </w:rPr>
      </w:pPr>
      <w:r w:rsidRPr="001B3B05">
        <w:rPr>
          <w:b/>
          <w:bCs/>
          <w:sz w:val="24"/>
          <w:szCs w:val="24"/>
        </w:rPr>
        <w:t xml:space="preserve">Review Granted (unpublished) </w:t>
      </w:r>
    </w:p>
    <w:p w14:paraId="63910101" w14:textId="77777777" w:rsidR="001B3B05" w:rsidRPr="001B3B05" w:rsidRDefault="001B3B05" w:rsidP="001B3B05">
      <w:pPr>
        <w:spacing w:after="0" w:line="240" w:lineRule="auto"/>
        <w:jc w:val="left"/>
        <w:rPr>
          <w:b/>
          <w:bCs/>
          <w:sz w:val="24"/>
          <w:szCs w:val="24"/>
        </w:rPr>
      </w:pPr>
      <w:r w:rsidRPr="001B3B05">
        <w:rPr>
          <w:b/>
          <w:bCs/>
          <w:sz w:val="24"/>
          <w:szCs w:val="24"/>
        </w:rPr>
        <w:t>Rehearing Granted</w:t>
      </w:r>
    </w:p>
    <w:p w14:paraId="4CE07A93" w14:textId="77777777" w:rsidR="001B3B05" w:rsidRPr="001B3B05" w:rsidRDefault="001B3B05" w:rsidP="001B3B05">
      <w:pPr>
        <w:spacing w:after="0" w:line="240" w:lineRule="auto"/>
        <w:jc w:val="left"/>
        <w:rPr>
          <w:b/>
          <w:sz w:val="24"/>
          <w:szCs w:val="24"/>
        </w:rPr>
      </w:pPr>
      <w:r w:rsidRPr="001B3B05">
        <w:rPr>
          <w:b/>
          <w:sz w:val="24"/>
          <w:szCs w:val="24"/>
        </w:rPr>
        <w:t xml:space="preserve">__________________________________________________________ </w:t>
      </w:r>
    </w:p>
    <w:p w14:paraId="5ACB32DE" w14:textId="77777777" w:rsidR="001B3B05" w:rsidRPr="001B3B05" w:rsidRDefault="001B3B05" w:rsidP="001B3B05">
      <w:pPr>
        <w:spacing w:after="0" w:line="240" w:lineRule="auto"/>
        <w:jc w:val="left"/>
        <w:rPr>
          <w:b/>
          <w:sz w:val="24"/>
          <w:szCs w:val="24"/>
        </w:rPr>
      </w:pPr>
    </w:p>
    <w:p w14:paraId="406B43D8" w14:textId="77777777" w:rsidR="001B3B05" w:rsidRPr="001B3B05" w:rsidRDefault="001B3B05" w:rsidP="001B3B05">
      <w:pPr>
        <w:spacing w:after="0" w:line="240" w:lineRule="auto"/>
        <w:jc w:val="left"/>
        <w:rPr>
          <w:bCs/>
          <w:sz w:val="24"/>
          <w:szCs w:val="24"/>
        </w:rPr>
      </w:pPr>
      <w:r w:rsidRPr="001B3B05">
        <w:rPr>
          <w:b/>
          <w:sz w:val="24"/>
          <w:szCs w:val="24"/>
        </w:rPr>
        <w:t>Opinion No.</w:t>
      </w:r>
      <w:r w:rsidRPr="001B3B05">
        <w:rPr>
          <w:sz w:val="24"/>
          <w:szCs w:val="24"/>
        </w:rPr>
        <w:t xml:space="preserve"> S258966</w:t>
      </w:r>
    </w:p>
    <w:p w14:paraId="6E167D19" w14:textId="77777777" w:rsidR="001B3B05" w:rsidRPr="001B3B05" w:rsidRDefault="001B3B05" w:rsidP="001B3B05">
      <w:pPr>
        <w:spacing w:after="0" w:line="240" w:lineRule="auto"/>
        <w:jc w:val="left"/>
        <w:rPr>
          <w:bCs/>
          <w:sz w:val="24"/>
          <w:szCs w:val="24"/>
        </w:rPr>
      </w:pPr>
      <w:r w:rsidRPr="001B3B05">
        <w:rPr>
          <w:b/>
          <w:sz w:val="24"/>
          <w:szCs w:val="24"/>
        </w:rPr>
        <w:t>Date Filed:</w:t>
      </w:r>
      <w:r w:rsidRPr="001B3B05">
        <w:rPr>
          <w:sz w:val="24"/>
          <w:szCs w:val="24"/>
        </w:rPr>
        <w:t xml:space="preserve">  May 23, 2022 </w:t>
      </w:r>
    </w:p>
    <w:p w14:paraId="6FCA1ACB" w14:textId="77777777" w:rsidR="001B3B05" w:rsidRPr="001B3B05" w:rsidRDefault="001B3B05" w:rsidP="001B3B05">
      <w:pPr>
        <w:spacing w:after="0" w:line="240" w:lineRule="auto"/>
        <w:jc w:val="left"/>
        <w:rPr>
          <w:b/>
          <w:sz w:val="24"/>
          <w:szCs w:val="24"/>
        </w:rPr>
      </w:pPr>
      <w:r w:rsidRPr="001B3B05">
        <w:rPr>
          <w:b/>
          <w:sz w:val="24"/>
          <w:szCs w:val="24"/>
        </w:rPr>
        <w:t xml:space="preserve">__________________________________________________________ </w:t>
      </w:r>
    </w:p>
    <w:p w14:paraId="3772E18C" w14:textId="77777777" w:rsidR="001B3B05" w:rsidRPr="001B3B05" w:rsidRDefault="001B3B05" w:rsidP="001B3B05">
      <w:pPr>
        <w:spacing w:after="0" w:line="240" w:lineRule="auto"/>
        <w:jc w:val="left"/>
        <w:rPr>
          <w:b/>
          <w:sz w:val="24"/>
          <w:szCs w:val="24"/>
        </w:rPr>
      </w:pPr>
    </w:p>
    <w:p w14:paraId="4D437ED1" w14:textId="77777777" w:rsidR="001B3B05" w:rsidRPr="001B3B05" w:rsidRDefault="001B3B05" w:rsidP="001B3B05">
      <w:pPr>
        <w:spacing w:after="0" w:line="240" w:lineRule="auto"/>
        <w:jc w:val="left"/>
        <w:rPr>
          <w:bCs/>
          <w:sz w:val="24"/>
          <w:szCs w:val="24"/>
        </w:rPr>
      </w:pPr>
      <w:r w:rsidRPr="001B3B05">
        <w:rPr>
          <w:b/>
          <w:sz w:val="24"/>
          <w:szCs w:val="24"/>
        </w:rPr>
        <w:t xml:space="preserve">Court:  </w:t>
      </w:r>
      <w:r w:rsidRPr="001B3B05">
        <w:rPr>
          <w:bCs/>
          <w:sz w:val="24"/>
          <w:szCs w:val="24"/>
        </w:rPr>
        <w:t>Superior</w:t>
      </w:r>
      <w:r w:rsidRPr="001B3B05">
        <w:rPr>
          <w:b/>
          <w:sz w:val="24"/>
          <w:szCs w:val="24"/>
        </w:rPr>
        <w:t xml:space="preserve"> </w:t>
      </w:r>
    </w:p>
    <w:p w14:paraId="3164F24A" w14:textId="77777777" w:rsidR="001B3B05" w:rsidRPr="001B3B05" w:rsidRDefault="001B3B05" w:rsidP="001B3B05">
      <w:pPr>
        <w:spacing w:after="0" w:line="240" w:lineRule="auto"/>
        <w:jc w:val="left"/>
        <w:rPr>
          <w:bCs/>
          <w:sz w:val="24"/>
          <w:szCs w:val="24"/>
        </w:rPr>
      </w:pPr>
      <w:r w:rsidRPr="001B3B05">
        <w:rPr>
          <w:b/>
          <w:sz w:val="24"/>
          <w:szCs w:val="24"/>
        </w:rPr>
        <w:t xml:space="preserve">County:  </w:t>
      </w:r>
      <w:r w:rsidRPr="001B3B05">
        <w:rPr>
          <w:bCs/>
          <w:sz w:val="24"/>
          <w:szCs w:val="24"/>
        </w:rPr>
        <w:t>Los Angeles</w:t>
      </w:r>
      <w:r w:rsidRPr="001B3B05">
        <w:rPr>
          <w:b/>
          <w:sz w:val="24"/>
          <w:szCs w:val="24"/>
        </w:rPr>
        <w:t xml:space="preserve"> </w:t>
      </w:r>
    </w:p>
    <w:p w14:paraId="08AFDCF9" w14:textId="77777777" w:rsidR="001B3B05" w:rsidRPr="001B3B05" w:rsidRDefault="001B3B05" w:rsidP="001B3B05">
      <w:pPr>
        <w:spacing w:after="0" w:line="240" w:lineRule="auto"/>
        <w:ind w:left="720" w:hanging="720"/>
        <w:jc w:val="left"/>
        <w:rPr>
          <w:bCs/>
          <w:sz w:val="24"/>
          <w:szCs w:val="24"/>
        </w:rPr>
      </w:pPr>
      <w:r w:rsidRPr="001B3B05">
        <w:rPr>
          <w:b/>
          <w:sz w:val="24"/>
          <w:szCs w:val="24"/>
        </w:rPr>
        <w:t xml:space="preserve">Judge: </w:t>
      </w:r>
      <w:r w:rsidRPr="001B3B05">
        <w:rPr>
          <w:bCs/>
          <w:sz w:val="24"/>
          <w:szCs w:val="24"/>
        </w:rPr>
        <w:t xml:space="preserve"> John A. Kronstadt and Barbara Marie Scheper</w:t>
      </w:r>
    </w:p>
    <w:p w14:paraId="5DBCF8FF" w14:textId="77777777" w:rsidR="001B3B05" w:rsidRPr="001B3B05" w:rsidRDefault="001B3B05" w:rsidP="001B3B05">
      <w:pPr>
        <w:spacing w:after="0" w:line="240" w:lineRule="auto"/>
        <w:jc w:val="left"/>
        <w:rPr>
          <w:b/>
          <w:sz w:val="24"/>
          <w:szCs w:val="24"/>
        </w:rPr>
      </w:pPr>
      <w:r w:rsidRPr="001B3B05">
        <w:rPr>
          <w:b/>
          <w:sz w:val="24"/>
          <w:szCs w:val="24"/>
        </w:rPr>
        <w:t xml:space="preserve">__________________________________________________________  </w:t>
      </w:r>
    </w:p>
    <w:p w14:paraId="35A945D9" w14:textId="77777777" w:rsidR="001B3B05" w:rsidRPr="001B3B05" w:rsidRDefault="001B3B05" w:rsidP="001B3B05">
      <w:pPr>
        <w:spacing w:after="0" w:line="240" w:lineRule="auto"/>
        <w:jc w:val="left"/>
        <w:rPr>
          <w:b/>
          <w:sz w:val="24"/>
          <w:szCs w:val="24"/>
        </w:rPr>
      </w:pPr>
    </w:p>
    <w:p w14:paraId="39E96F4C" w14:textId="77777777" w:rsidR="001B3B05" w:rsidRPr="001B3B05" w:rsidRDefault="001B3B05" w:rsidP="001B3B05">
      <w:pPr>
        <w:spacing w:after="0" w:line="240" w:lineRule="auto"/>
        <w:jc w:val="left"/>
        <w:rPr>
          <w:b/>
          <w:sz w:val="24"/>
          <w:szCs w:val="24"/>
        </w:rPr>
      </w:pPr>
      <w:r w:rsidRPr="001B3B05">
        <w:rPr>
          <w:b/>
          <w:sz w:val="24"/>
          <w:szCs w:val="24"/>
        </w:rPr>
        <w:t>Counsel:</w:t>
      </w:r>
    </w:p>
    <w:p w14:paraId="4B5F8BCD" w14:textId="77777777" w:rsidR="001B3B05" w:rsidRPr="001B3B05" w:rsidRDefault="001B3B05" w:rsidP="001B3B05">
      <w:pPr>
        <w:spacing w:after="0" w:line="240" w:lineRule="auto"/>
        <w:jc w:val="left"/>
        <w:rPr>
          <w:bCs/>
          <w:sz w:val="24"/>
          <w:szCs w:val="24"/>
        </w:rPr>
      </w:pPr>
    </w:p>
    <w:p w14:paraId="2B832578" w14:textId="073CD386" w:rsidR="001B3B05" w:rsidRPr="001B3B05" w:rsidRDefault="001B3B05" w:rsidP="001B3B05">
      <w:pPr>
        <w:spacing w:after="0" w:line="240" w:lineRule="auto"/>
        <w:jc w:val="left"/>
        <w:rPr>
          <w:bCs/>
          <w:sz w:val="24"/>
          <w:szCs w:val="24"/>
        </w:rPr>
      </w:pPr>
      <w:r w:rsidRPr="001B3B05">
        <w:rPr>
          <w:bCs/>
          <w:sz w:val="24"/>
          <w:szCs w:val="24"/>
        </w:rPr>
        <w:t>Rosen Marsili Rapp; Posner &amp; Rosen, Howard Z. Rosen, Jason C. Marsili, Brianna Primozic Rapp and Amanda Pitrof for Plaintiff</w:t>
      </w:r>
      <w:r w:rsidR="00F97A71">
        <w:rPr>
          <w:bCs/>
          <w:sz w:val="24"/>
          <w:szCs w:val="24"/>
        </w:rPr>
        <w:t>s</w:t>
      </w:r>
      <w:r w:rsidRPr="001B3B05">
        <w:rPr>
          <w:bCs/>
          <w:sz w:val="24"/>
          <w:szCs w:val="24"/>
        </w:rPr>
        <w:t xml:space="preserve"> and Appellant</w:t>
      </w:r>
      <w:r w:rsidR="00F97A71">
        <w:rPr>
          <w:bCs/>
          <w:sz w:val="24"/>
          <w:szCs w:val="24"/>
        </w:rPr>
        <w:t>s</w:t>
      </w:r>
      <w:r w:rsidRPr="001B3B05">
        <w:rPr>
          <w:bCs/>
          <w:sz w:val="24"/>
          <w:szCs w:val="24"/>
        </w:rPr>
        <w:t>.</w:t>
      </w:r>
    </w:p>
    <w:p w14:paraId="614138F2" w14:textId="77777777" w:rsidR="001B3B05" w:rsidRPr="001B3B05" w:rsidRDefault="001B3B05" w:rsidP="001B3B05">
      <w:pPr>
        <w:spacing w:after="0" w:line="240" w:lineRule="auto"/>
        <w:jc w:val="left"/>
        <w:rPr>
          <w:bCs/>
          <w:sz w:val="24"/>
          <w:szCs w:val="24"/>
        </w:rPr>
      </w:pPr>
    </w:p>
    <w:p w14:paraId="1E327947" w14:textId="57D7FBD5" w:rsidR="001B3B05" w:rsidRPr="001B3B05" w:rsidRDefault="001B3B05" w:rsidP="001B3B05">
      <w:pPr>
        <w:spacing w:after="0" w:line="240" w:lineRule="auto"/>
        <w:jc w:val="left"/>
        <w:rPr>
          <w:bCs/>
          <w:sz w:val="24"/>
          <w:szCs w:val="24"/>
        </w:rPr>
      </w:pPr>
      <w:r w:rsidRPr="001B3B05">
        <w:rPr>
          <w:bCs/>
          <w:sz w:val="24"/>
          <w:szCs w:val="24"/>
        </w:rPr>
        <w:t>Ehlert Hicks and Allison L. Ehlert for California Employment Lawyers Association as Amicus Curiae on behalf of Plaintiff</w:t>
      </w:r>
      <w:r w:rsidR="00F97A71">
        <w:rPr>
          <w:bCs/>
          <w:sz w:val="24"/>
          <w:szCs w:val="24"/>
        </w:rPr>
        <w:t>s</w:t>
      </w:r>
      <w:r w:rsidRPr="001B3B05">
        <w:rPr>
          <w:bCs/>
          <w:sz w:val="24"/>
          <w:szCs w:val="24"/>
        </w:rPr>
        <w:t xml:space="preserve"> and Appellant</w:t>
      </w:r>
      <w:r w:rsidR="00F97A71">
        <w:rPr>
          <w:bCs/>
          <w:sz w:val="24"/>
          <w:szCs w:val="24"/>
        </w:rPr>
        <w:t>s</w:t>
      </w:r>
      <w:r w:rsidRPr="001B3B05">
        <w:rPr>
          <w:bCs/>
          <w:sz w:val="24"/>
          <w:szCs w:val="24"/>
        </w:rPr>
        <w:t xml:space="preserve">. </w:t>
      </w:r>
    </w:p>
    <w:p w14:paraId="116358B6" w14:textId="77777777" w:rsidR="001B3B05" w:rsidRPr="001B3B05" w:rsidRDefault="001B3B05" w:rsidP="001B3B05">
      <w:pPr>
        <w:spacing w:after="0" w:line="240" w:lineRule="auto"/>
        <w:jc w:val="left"/>
        <w:rPr>
          <w:bCs/>
          <w:sz w:val="24"/>
          <w:szCs w:val="24"/>
        </w:rPr>
      </w:pPr>
    </w:p>
    <w:p w14:paraId="2B4EEF46" w14:textId="50B382F0" w:rsidR="001B3B05" w:rsidRPr="001B3B05" w:rsidRDefault="001B3B05" w:rsidP="001B3B05">
      <w:pPr>
        <w:spacing w:after="0" w:line="240" w:lineRule="auto"/>
        <w:jc w:val="left"/>
        <w:rPr>
          <w:bCs/>
          <w:sz w:val="24"/>
          <w:szCs w:val="24"/>
        </w:rPr>
      </w:pPr>
      <w:r w:rsidRPr="001B3B05">
        <w:rPr>
          <w:bCs/>
          <w:sz w:val="24"/>
          <w:szCs w:val="24"/>
        </w:rPr>
        <w:t>Cynthia L. Rice, Verónica Meléndez; George Warner, Carole Vigne; Capstone Law, Ryan H. Wu; Winifred Kao; Jesse Newmark; Miye Goishi; and Jora Trang for California Rural Legal Assistance Foundation, Legal Aid at Work, Bet Tzedek, Asian Americans for Advancing Justice – Asian Law Caucus, Centro Legal de la Raza, UC Hastings Community Justice Clinics and Worksafe as Amici Curiae on behalf of Plaintiff</w:t>
      </w:r>
      <w:r w:rsidR="00F97A71">
        <w:rPr>
          <w:bCs/>
          <w:sz w:val="24"/>
          <w:szCs w:val="24"/>
        </w:rPr>
        <w:t>s</w:t>
      </w:r>
      <w:r w:rsidRPr="001B3B05">
        <w:rPr>
          <w:bCs/>
          <w:sz w:val="24"/>
          <w:szCs w:val="24"/>
        </w:rPr>
        <w:t xml:space="preserve"> and Appellant</w:t>
      </w:r>
      <w:r w:rsidR="00F97A71">
        <w:rPr>
          <w:bCs/>
          <w:sz w:val="24"/>
          <w:szCs w:val="24"/>
        </w:rPr>
        <w:t>s</w:t>
      </w:r>
      <w:r w:rsidRPr="001B3B05">
        <w:rPr>
          <w:bCs/>
          <w:sz w:val="24"/>
          <w:szCs w:val="24"/>
        </w:rPr>
        <w:t>.</w:t>
      </w:r>
    </w:p>
    <w:p w14:paraId="0E3E09E7" w14:textId="77777777" w:rsidR="001B3B05" w:rsidRPr="001B3B05" w:rsidRDefault="001B3B05" w:rsidP="001B3B05">
      <w:pPr>
        <w:spacing w:after="0" w:line="240" w:lineRule="auto"/>
        <w:jc w:val="left"/>
        <w:rPr>
          <w:bCs/>
          <w:sz w:val="24"/>
          <w:szCs w:val="24"/>
        </w:rPr>
      </w:pPr>
    </w:p>
    <w:p w14:paraId="7D0EA29B" w14:textId="1F0822B5" w:rsidR="001B3B05" w:rsidRPr="001B3B05" w:rsidRDefault="001B3B05" w:rsidP="001B3B05">
      <w:pPr>
        <w:spacing w:after="0" w:line="240" w:lineRule="auto"/>
        <w:jc w:val="left"/>
        <w:rPr>
          <w:bCs/>
          <w:sz w:val="24"/>
          <w:szCs w:val="24"/>
        </w:rPr>
      </w:pPr>
      <w:r w:rsidRPr="001B3B05">
        <w:rPr>
          <w:bCs/>
          <w:sz w:val="24"/>
          <w:szCs w:val="24"/>
        </w:rPr>
        <w:t>Arbogast Law, David M. Arbogast; The Bronson Firm and Steven M. Bronson for Consumer Attorneys of California as Amicus Curiae on behalf of Plaintiff</w:t>
      </w:r>
      <w:r w:rsidR="00F97A71">
        <w:rPr>
          <w:bCs/>
          <w:sz w:val="24"/>
          <w:szCs w:val="24"/>
        </w:rPr>
        <w:t>s</w:t>
      </w:r>
      <w:r w:rsidRPr="001B3B05">
        <w:rPr>
          <w:bCs/>
          <w:sz w:val="24"/>
          <w:szCs w:val="24"/>
        </w:rPr>
        <w:t xml:space="preserve"> and Appellant</w:t>
      </w:r>
      <w:r w:rsidR="00F97A71">
        <w:rPr>
          <w:bCs/>
          <w:sz w:val="24"/>
          <w:szCs w:val="24"/>
        </w:rPr>
        <w:t>s</w:t>
      </w:r>
      <w:r w:rsidRPr="001B3B05">
        <w:rPr>
          <w:bCs/>
          <w:sz w:val="24"/>
          <w:szCs w:val="24"/>
        </w:rPr>
        <w:t xml:space="preserve">. </w:t>
      </w:r>
    </w:p>
    <w:p w14:paraId="3580FD49" w14:textId="77777777" w:rsidR="001B3B05" w:rsidRPr="001B3B05" w:rsidRDefault="001B3B05" w:rsidP="001B3B05">
      <w:pPr>
        <w:spacing w:after="0" w:line="240" w:lineRule="auto"/>
        <w:jc w:val="left"/>
        <w:rPr>
          <w:bCs/>
          <w:sz w:val="24"/>
          <w:szCs w:val="24"/>
        </w:rPr>
      </w:pPr>
    </w:p>
    <w:p w14:paraId="30819F6E" w14:textId="77777777" w:rsidR="001B3B05" w:rsidRPr="001B3B05" w:rsidRDefault="001B3B05" w:rsidP="001B3B05">
      <w:pPr>
        <w:spacing w:after="0" w:line="240" w:lineRule="auto"/>
        <w:jc w:val="left"/>
        <w:rPr>
          <w:bCs/>
          <w:sz w:val="24"/>
          <w:szCs w:val="24"/>
        </w:rPr>
      </w:pPr>
      <w:r w:rsidRPr="001B3B05">
        <w:rPr>
          <w:bCs/>
          <w:sz w:val="24"/>
          <w:szCs w:val="24"/>
        </w:rPr>
        <w:t>Carothers DiSante &amp; Freudenberger, Dave Carothers, Robin E. Largent, Steven A. Micheli; Duane Morris and Paul J. Killion for Defendant and Appellant.</w:t>
      </w:r>
    </w:p>
    <w:p w14:paraId="77CE047E" w14:textId="77777777" w:rsidR="001B3B05" w:rsidRPr="001B3B05" w:rsidRDefault="001B3B05" w:rsidP="001B3B05">
      <w:pPr>
        <w:spacing w:after="0" w:line="240" w:lineRule="auto"/>
        <w:jc w:val="left"/>
        <w:rPr>
          <w:bCs/>
          <w:sz w:val="24"/>
          <w:szCs w:val="24"/>
        </w:rPr>
      </w:pPr>
    </w:p>
    <w:p w14:paraId="358F4531" w14:textId="77777777" w:rsidR="001B3B05" w:rsidRPr="001B3B05" w:rsidRDefault="001B3B05" w:rsidP="001B3B05">
      <w:pPr>
        <w:spacing w:after="0" w:line="240" w:lineRule="auto"/>
        <w:jc w:val="left"/>
        <w:rPr>
          <w:bCs/>
          <w:sz w:val="24"/>
          <w:szCs w:val="24"/>
        </w:rPr>
      </w:pPr>
      <w:r w:rsidRPr="001B3B05">
        <w:rPr>
          <w:bCs/>
          <w:sz w:val="24"/>
          <w:szCs w:val="24"/>
        </w:rPr>
        <w:t>Casey Raymond for Department of Industrial Relations, Division of Labor Standards Enforcement as Amicus Curiae.</w:t>
      </w:r>
    </w:p>
    <w:p w14:paraId="545E4689" w14:textId="77777777" w:rsidR="001B3B05" w:rsidRPr="001B3B05" w:rsidRDefault="001B3B05" w:rsidP="001B3B05">
      <w:pPr>
        <w:spacing w:after="0" w:line="240" w:lineRule="auto"/>
        <w:jc w:val="left"/>
        <w:rPr>
          <w:b/>
          <w:sz w:val="24"/>
          <w:szCs w:val="24"/>
        </w:rPr>
      </w:pPr>
      <w:r w:rsidRPr="001B3B05">
        <w:rPr>
          <w:color w:val="212121"/>
          <w:sz w:val="24"/>
          <w:szCs w:val="24"/>
          <w:shd w:val="clear" w:color="auto" w:fill="FFFFFF"/>
        </w:rPr>
        <w:br w:type="page"/>
      </w:r>
      <w:r w:rsidRPr="001B3B05">
        <w:rPr>
          <w:b/>
          <w:sz w:val="24"/>
          <w:szCs w:val="24"/>
        </w:rPr>
        <w:t>Counsel who argued in Supreme Court (not intended for publication with opinion):</w:t>
      </w:r>
    </w:p>
    <w:p w14:paraId="3FC4D886" w14:textId="77777777" w:rsidR="001B3B05" w:rsidRPr="001B3B05" w:rsidRDefault="001B3B05" w:rsidP="001B3B05">
      <w:pPr>
        <w:spacing w:after="0" w:line="240" w:lineRule="auto"/>
        <w:jc w:val="left"/>
        <w:rPr>
          <w:b/>
          <w:sz w:val="24"/>
          <w:szCs w:val="24"/>
        </w:rPr>
      </w:pPr>
    </w:p>
    <w:p w14:paraId="7DB375F3" w14:textId="77777777" w:rsidR="001B3B05" w:rsidRPr="001B3B05" w:rsidRDefault="001B3B05" w:rsidP="001B3B05">
      <w:pPr>
        <w:spacing w:after="0" w:line="240" w:lineRule="auto"/>
        <w:jc w:val="left"/>
        <w:rPr>
          <w:bCs/>
          <w:sz w:val="24"/>
          <w:szCs w:val="24"/>
        </w:rPr>
      </w:pPr>
      <w:r w:rsidRPr="001B3B05">
        <w:rPr>
          <w:bCs/>
          <w:sz w:val="24"/>
          <w:szCs w:val="24"/>
        </w:rPr>
        <w:t>Paul J. Killion</w:t>
      </w:r>
    </w:p>
    <w:p w14:paraId="68C0F358" w14:textId="77777777" w:rsidR="001B3B05" w:rsidRPr="001B3B05" w:rsidRDefault="001B3B05" w:rsidP="001B3B05">
      <w:pPr>
        <w:spacing w:after="0" w:line="240" w:lineRule="auto"/>
        <w:jc w:val="left"/>
        <w:rPr>
          <w:sz w:val="24"/>
          <w:szCs w:val="24"/>
        </w:rPr>
      </w:pPr>
      <w:r w:rsidRPr="001B3B05">
        <w:rPr>
          <w:sz w:val="24"/>
          <w:szCs w:val="24"/>
        </w:rPr>
        <w:t>Duane Morris LLP</w:t>
      </w:r>
    </w:p>
    <w:p w14:paraId="4D4471C7" w14:textId="77777777" w:rsidR="001B3B05" w:rsidRPr="001B3B05" w:rsidRDefault="001B3B05" w:rsidP="001B3B05">
      <w:pPr>
        <w:spacing w:after="0" w:line="240" w:lineRule="auto"/>
        <w:jc w:val="left"/>
        <w:rPr>
          <w:sz w:val="24"/>
          <w:szCs w:val="24"/>
        </w:rPr>
      </w:pPr>
      <w:r w:rsidRPr="001B3B05">
        <w:rPr>
          <w:sz w:val="24"/>
          <w:szCs w:val="24"/>
        </w:rPr>
        <w:t>Spear Tower</w:t>
      </w:r>
    </w:p>
    <w:p w14:paraId="55CDADF7" w14:textId="77777777" w:rsidR="001B3B05" w:rsidRPr="001B3B05" w:rsidRDefault="001B3B05" w:rsidP="001B3B05">
      <w:pPr>
        <w:spacing w:after="0" w:line="240" w:lineRule="auto"/>
        <w:jc w:val="left"/>
        <w:rPr>
          <w:sz w:val="24"/>
          <w:szCs w:val="24"/>
        </w:rPr>
      </w:pPr>
      <w:r w:rsidRPr="001B3B05">
        <w:rPr>
          <w:sz w:val="24"/>
          <w:szCs w:val="24"/>
        </w:rPr>
        <w:t>One Market Plaza, Suite 2200</w:t>
      </w:r>
    </w:p>
    <w:p w14:paraId="4E97D24B" w14:textId="77777777" w:rsidR="001B3B05" w:rsidRPr="001B3B05" w:rsidRDefault="001B3B05" w:rsidP="001B3B05">
      <w:pPr>
        <w:spacing w:after="0" w:line="240" w:lineRule="auto"/>
        <w:jc w:val="left"/>
        <w:rPr>
          <w:sz w:val="24"/>
          <w:szCs w:val="24"/>
        </w:rPr>
      </w:pPr>
      <w:r w:rsidRPr="001B3B05">
        <w:rPr>
          <w:sz w:val="24"/>
          <w:szCs w:val="24"/>
        </w:rPr>
        <w:t>San Francisco, CA 94105-1127</w:t>
      </w:r>
    </w:p>
    <w:p w14:paraId="316B60DD" w14:textId="77777777" w:rsidR="001B3B05" w:rsidRPr="001B3B05" w:rsidRDefault="001B3B05" w:rsidP="001B3B05">
      <w:pPr>
        <w:spacing w:after="0" w:line="240" w:lineRule="auto"/>
        <w:jc w:val="left"/>
        <w:rPr>
          <w:sz w:val="24"/>
          <w:szCs w:val="24"/>
        </w:rPr>
      </w:pPr>
      <w:r w:rsidRPr="001B3B05">
        <w:rPr>
          <w:sz w:val="24"/>
          <w:szCs w:val="24"/>
        </w:rPr>
        <w:t>(415) 957-3141</w:t>
      </w:r>
    </w:p>
    <w:p w14:paraId="7F6FBB0C" w14:textId="77777777" w:rsidR="001B3B05" w:rsidRPr="001B3B05" w:rsidRDefault="001B3B05" w:rsidP="001B3B05">
      <w:pPr>
        <w:spacing w:after="0" w:line="240" w:lineRule="auto"/>
        <w:jc w:val="left"/>
        <w:rPr>
          <w:sz w:val="24"/>
          <w:szCs w:val="24"/>
        </w:rPr>
      </w:pPr>
    </w:p>
    <w:p w14:paraId="7C67C779" w14:textId="77777777" w:rsidR="001B3B05" w:rsidRPr="001B3B05" w:rsidRDefault="001B3B05" w:rsidP="001B3B05">
      <w:pPr>
        <w:spacing w:after="0" w:line="240" w:lineRule="auto"/>
        <w:jc w:val="left"/>
        <w:rPr>
          <w:bCs/>
          <w:sz w:val="24"/>
          <w:szCs w:val="24"/>
        </w:rPr>
      </w:pPr>
      <w:r w:rsidRPr="001B3B05">
        <w:rPr>
          <w:bCs/>
          <w:sz w:val="24"/>
          <w:szCs w:val="24"/>
        </w:rPr>
        <w:t>Jason C. Marsili</w:t>
      </w:r>
    </w:p>
    <w:p w14:paraId="345C6093" w14:textId="77777777" w:rsidR="001B3B05" w:rsidRPr="001B3B05" w:rsidRDefault="001B3B05" w:rsidP="001B3B05">
      <w:pPr>
        <w:spacing w:after="0" w:line="240" w:lineRule="auto"/>
        <w:jc w:val="left"/>
        <w:rPr>
          <w:sz w:val="24"/>
          <w:szCs w:val="24"/>
        </w:rPr>
      </w:pPr>
      <w:r w:rsidRPr="001B3B05">
        <w:rPr>
          <w:bCs/>
          <w:sz w:val="24"/>
          <w:szCs w:val="24"/>
        </w:rPr>
        <w:t>Rosen Marsili Rapp LLP</w:t>
      </w:r>
    </w:p>
    <w:p w14:paraId="56F1A55E" w14:textId="77777777" w:rsidR="001B3B05" w:rsidRPr="001B3B05" w:rsidRDefault="001B3B05" w:rsidP="001B3B05">
      <w:pPr>
        <w:spacing w:after="0" w:line="240" w:lineRule="auto"/>
        <w:jc w:val="left"/>
        <w:rPr>
          <w:sz w:val="24"/>
          <w:szCs w:val="24"/>
        </w:rPr>
      </w:pPr>
      <w:r w:rsidRPr="001B3B05">
        <w:rPr>
          <w:sz w:val="24"/>
          <w:szCs w:val="24"/>
        </w:rPr>
        <w:t>11150 West Olympic Boulevard, Suite 990</w:t>
      </w:r>
    </w:p>
    <w:p w14:paraId="0F61E94F" w14:textId="77777777" w:rsidR="001B3B05" w:rsidRPr="001B3B05" w:rsidRDefault="001B3B05" w:rsidP="001B3B05">
      <w:pPr>
        <w:spacing w:after="0" w:line="240" w:lineRule="auto"/>
        <w:jc w:val="left"/>
        <w:rPr>
          <w:sz w:val="24"/>
          <w:szCs w:val="24"/>
        </w:rPr>
      </w:pPr>
      <w:r w:rsidRPr="001B3B05">
        <w:rPr>
          <w:sz w:val="24"/>
          <w:szCs w:val="24"/>
        </w:rPr>
        <w:t>Los Angeles, CA 90064</w:t>
      </w:r>
    </w:p>
    <w:p w14:paraId="3A402D3A" w14:textId="77777777" w:rsidR="001B3B05" w:rsidRPr="001B3B05" w:rsidRDefault="001B3B05" w:rsidP="001B3B05">
      <w:pPr>
        <w:spacing w:after="0" w:line="240" w:lineRule="auto"/>
        <w:jc w:val="left"/>
        <w:rPr>
          <w:sz w:val="24"/>
          <w:szCs w:val="24"/>
        </w:rPr>
      </w:pPr>
      <w:r w:rsidRPr="001B3B05">
        <w:rPr>
          <w:sz w:val="24"/>
          <w:szCs w:val="24"/>
        </w:rPr>
        <w:t>(213) 389-6050</w:t>
      </w:r>
    </w:p>
    <w:p w14:paraId="75E93D2C" w14:textId="77777777" w:rsidR="00C3662B" w:rsidRPr="00A86E6B" w:rsidRDefault="00C3662B" w:rsidP="00A86E6B">
      <w:pPr>
        <w:rPr>
          <w:b/>
          <w:bCs/>
          <w:szCs w:val="26"/>
        </w:rPr>
      </w:pPr>
    </w:p>
    <w:sectPr w:rsidR="00C3662B" w:rsidRPr="00A86E6B" w:rsidSect="00EC2BB8">
      <w:headerReference w:type="even" r:id="rId20"/>
      <w:headerReference w:type="default" r:id="rId21"/>
      <w:footerReference w:type="even" r:id="rId22"/>
      <w:footerReference w:type="default" r:id="rId23"/>
      <w:headerReference w:type="first" r:id="rId24"/>
      <w:footerReference w:type="first" r:id="rId25"/>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74DBB" w14:textId="77777777" w:rsidR="00654637" w:rsidRDefault="00654637">
      <w:r>
        <w:separator/>
      </w:r>
    </w:p>
  </w:endnote>
  <w:endnote w:type="continuationSeparator" w:id="0">
    <w:p w14:paraId="29F162AB" w14:textId="77777777" w:rsidR="00654637" w:rsidRDefault="0065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83E9" w14:textId="77777777" w:rsidR="006675EC" w:rsidRDefault="00667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A76F" w14:textId="77777777" w:rsidR="00A86E6B" w:rsidRDefault="00A86E6B">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6EAE" w14:textId="77777777" w:rsidR="006675EC" w:rsidRDefault="006675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793873"/>
      <w:docPartObj>
        <w:docPartGallery w:val="Page Numbers (Bottom of Page)"/>
        <w:docPartUnique/>
      </w:docPartObj>
    </w:sdtPr>
    <w:sdtEndPr>
      <w:rPr>
        <w:rStyle w:val="PageNumber"/>
      </w:rPr>
    </w:sdtEndPr>
    <w:sdtContent>
      <w:p w14:paraId="5CD6325E" w14:textId="49840576" w:rsidR="000D2969" w:rsidRDefault="000D2969" w:rsidP="008F32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7CA3C" w14:textId="77777777" w:rsidR="000D2969" w:rsidRDefault="000D29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4090784"/>
      <w:docPartObj>
        <w:docPartGallery w:val="Page Numbers (Bottom of Page)"/>
        <w:docPartUnique/>
      </w:docPartObj>
    </w:sdtPr>
    <w:sdtEndPr>
      <w:rPr>
        <w:rStyle w:val="PageNumber"/>
      </w:rPr>
    </w:sdtEndPr>
    <w:sdtContent>
      <w:p w14:paraId="7E654A2D" w14:textId="4A593492" w:rsidR="000D2969" w:rsidRDefault="000D2969" w:rsidP="008F32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9D39760" w14:textId="430DAAFB" w:rsidR="000D2969" w:rsidRDefault="000D29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B1B0" w14:textId="77777777" w:rsidR="00A86E6B" w:rsidRDefault="00A86E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E21A" w14:textId="77777777" w:rsidR="00FF30AE" w:rsidRDefault="006675E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5F19" w14:textId="77777777" w:rsidR="00FF30AE" w:rsidRDefault="006675E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699A" w14:textId="77777777" w:rsidR="00FF30AE" w:rsidRDefault="00667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837D" w14:textId="77777777" w:rsidR="00654637" w:rsidRDefault="00654637">
      <w:r>
        <w:separator/>
      </w:r>
    </w:p>
  </w:footnote>
  <w:footnote w:type="continuationSeparator" w:id="0">
    <w:p w14:paraId="1B821A82" w14:textId="77777777" w:rsidR="00654637" w:rsidRPr="005701A3" w:rsidRDefault="00654637" w:rsidP="005701A3">
      <w:pPr>
        <w:pStyle w:val="Footer"/>
      </w:pPr>
    </w:p>
  </w:footnote>
  <w:footnote w:type="continuationNotice" w:id="1">
    <w:p w14:paraId="4AB6F789" w14:textId="77777777" w:rsidR="00654637" w:rsidRDefault="00654637" w:rsidP="000F5BEA">
      <w:pPr>
        <w:ind w:right="8800"/>
        <w:jc w:val="right"/>
        <w:rPr>
          <w:i/>
          <w:sz w:val="20"/>
        </w:rPr>
      </w:pPr>
    </w:p>
  </w:footnote>
  <w:footnote w:id="2">
    <w:p w14:paraId="39BFB393" w14:textId="77777777" w:rsidR="00B42D81" w:rsidRDefault="00B42D81" w:rsidP="00B42D81">
      <w:pPr>
        <w:pStyle w:val="FootnoteText"/>
      </w:pPr>
      <w:r>
        <w:rPr>
          <w:rStyle w:val="FootnoteReference"/>
        </w:rPr>
        <w:t>*</w:t>
      </w:r>
      <w:r>
        <w:tab/>
      </w:r>
      <w:r w:rsidRPr="005D4D30">
        <w:rPr>
          <w:szCs w:val="27"/>
        </w:rPr>
        <w:t xml:space="preserve">Presiding </w:t>
      </w:r>
      <w:r w:rsidRPr="00BE53DE">
        <w:rPr>
          <w:szCs w:val="27"/>
        </w:rPr>
        <w:t xml:space="preserve">Justice of the Court of Appeal, </w:t>
      </w:r>
      <w:r>
        <w:rPr>
          <w:szCs w:val="27"/>
        </w:rPr>
        <w:t>Fourth</w:t>
      </w:r>
      <w:r w:rsidRPr="00BE53DE">
        <w:rPr>
          <w:szCs w:val="27"/>
        </w:rPr>
        <w:t xml:space="preserve"> Appellate District, </w:t>
      </w:r>
      <w:r w:rsidRPr="00BE53DE">
        <w:rPr>
          <w:rFonts w:cs="Arial"/>
          <w:szCs w:val="27"/>
        </w:rPr>
        <w:t>Division</w:t>
      </w:r>
      <w:r w:rsidRPr="00BE53DE">
        <w:rPr>
          <w:szCs w:val="27"/>
        </w:rPr>
        <w:t xml:space="preserve"> Three, assigned by the Chief Justice pursuant to article VI, section 6 of the California Constitution.</w:t>
      </w:r>
    </w:p>
  </w:footnote>
  <w:footnote w:id="3">
    <w:p w14:paraId="4112E9AB" w14:textId="40D68737" w:rsidR="00793040" w:rsidRDefault="00793040" w:rsidP="00A86E6B">
      <w:pPr>
        <w:pStyle w:val="FootnoteText"/>
      </w:pPr>
      <w:r>
        <w:rPr>
          <w:rStyle w:val="FootnoteReference"/>
        </w:rPr>
        <w:footnoteRef/>
      </w:r>
      <w:r>
        <w:t xml:space="preserve"> </w:t>
      </w:r>
      <w:r>
        <w:tab/>
        <w:t xml:space="preserve">IWC wage order No. </w:t>
      </w:r>
      <w:r w:rsidR="00001000">
        <w:rPr>
          <w:szCs w:val="26"/>
        </w:rPr>
        <w:t>4-2001</w:t>
      </w:r>
      <w:r>
        <w:t xml:space="preserve"> regulates professional, technical, clerical, mechanical, and similar employment, including security guard service, and so covers the class members here.</w:t>
      </w:r>
    </w:p>
  </w:footnote>
  <w:footnote w:id="4">
    <w:p w14:paraId="7FA91849" w14:textId="1B46D5C6" w:rsidR="000D2969" w:rsidRDefault="000D2969" w:rsidP="00A86E6B">
      <w:pPr>
        <w:pStyle w:val="FootnoteText"/>
      </w:pPr>
      <w:r>
        <w:rPr>
          <w:rStyle w:val="FootnoteReference"/>
        </w:rPr>
        <w:footnoteRef/>
      </w:r>
      <w:r>
        <w:tab/>
        <w:t xml:space="preserve">Naranjo also alleged that Spectrum violated state rest break requirements.  </w:t>
      </w:r>
      <w:r w:rsidR="005407FD">
        <w:t xml:space="preserve">(Lab. Code, § 226.7; </w:t>
      </w:r>
      <w:r w:rsidR="004A02EF">
        <w:t>IWC w</w:t>
      </w:r>
      <w:r w:rsidR="005407FD">
        <w:t>age order No. </w:t>
      </w:r>
      <w:r w:rsidR="00001000">
        <w:rPr>
          <w:szCs w:val="26"/>
        </w:rPr>
        <w:t>4-2001</w:t>
      </w:r>
      <w:r w:rsidR="005407FD">
        <w:t xml:space="preserve">, § 12.)  </w:t>
      </w:r>
      <w:r>
        <w:t>The trial court denied class certification on Naranjo’s rest break claims</w:t>
      </w:r>
      <w:r w:rsidR="0030515B">
        <w:t xml:space="preserve"> because of purported </w:t>
      </w:r>
      <w:r w:rsidR="006F705A">
        <w:t>variations in the putative class members’ claims.  T</w:t>
      </w:r>
      <w:r>
        <w:t xml:space="preserve">he Court of Appeal reversed that decision and </w:t>
      </w:r>
      <w:r w:rsidR="00E82012">
        <w:t>dire</w:t>
      </w:r>
      <w:r w:rsidR="0030515B">
        <w:t>ct</w:t>
      </w:r>
      <w:r w:rsidR="00E82012">
        <w:t>ed</w:t>
      </w:r>
      <w:r w:rsidR="0030515B">
        <w:t xml:space="preserve"> the trial court </w:t>
      </w:r>
      <w:r w:rsidR="00E82012">
        <w:t xml:space="preserve">on remand to </w:t>
      </w:r>
      <w:r w:rsidR="0030515B">
        <w:t>certify a class</w:t>
      </w:r>
      <w:r w:rsidR="004E1B34">
        <w:t xml:space="preserve"> challeng</w:t>
      </w:r>
      <w:r w:rsidR="00E82012">
        <w:t>ing</w:t>
      </w:r>
      <w:r w:rsidR="004E1B34">
        <w:t xml:space="preserve"> Spectrum’s alleged companywide policy of </w:t>
      </w:r>
      <w:r w:rsidR="00E92837">
        <w:t>denying off-duty</w:t>
      </w:r>
      <w:r w:rsidR="004E1B34">
        <w:t xml:space="preserve"> rest breaks</w:t>
      </w:r>
      <w:r>
        <w:t>.  (</w:t>
      </w:r>
      <w:r w:rsidRPr="00830481">
        <w:rPr>
          <w:i/>
          <w:iCs/>
        </w:rPr>
        <w:t xml:space="preserve">Naranjo </w:t>
      </w:r>
      <w:r w:rsidR="008F79A0">
        <w:rPr>
          <w:i/>
          <w:iCs/>
        </w:rPr>
        <w:t>II</w:t>
      </w:r>
      <w:r w:rsidR="005D3164">
        <w:t xml:space="preserve">, </w:t>
      </w:r>
      <w:r w:rsidR="005D3164">
        <w:rPr>
          <w:i/>
          <w:iCs/>
        </w:rPr>
        <w:t>supra</w:t>
      </w:r>
      <w:r w:rsidR="005D3164">
        <w:t>,</w:t>
      </w:r>
      <w:r w:rsidRPr="00830481">
        <w:t xml:space="preserve"> 40 Cal.App.5th </w:t>
      </w:r>
      <w:r w:rsidR="005D3164">
        <w:t>at pp. </w:t>
      </w:r>
      <w:r>
        <w:t xml:space="preserve">476–481.)  </w:t>
      </w:r>
      <w:r w:rsidR="004E1B34">
        <w:t xml:space="preserve">Spectrum has not </w:t>
      </w:r>
      <w:r w:rsidR="00E738E7">
        <w:t xml:space="preserve">sought review of </w:t>
      </w:r>
      <w:r w:rsidR="004E1B34">
        <w:t>that ruling, and we do not address it</w:t>
      </w:r>
      <w:r w:rsidR="00471E8A">
        <w:t>.</w:t>
      </w:r>
    </w:p>
  </w:footnote>
  <w:footnote w:id="5">
    <w:p w14:paraId="2667A45F" w14:textId="55821076" w:rsidR="000D2969" w:rsidRPr="00C855E4" w:rsidRDefault="000D2969" w:rsidP="00A86E6B">
      <w:pPr>
        <w:pStyle w:val="FootnoteText"/>
      </w:pPr>
      <w:r>
        <w:rPr>
          <w:rStyle w:val="FootnoteReference"/>
        </w:rPr>
        <w:footnoteRef/>
      </w:r>
      <w:r>
        <w:t xml:space="preserve"> </w:t>
      </w:r>
      <w:r>
        <w:tab/>
      </w:r>
      <w:r w:rsidRPr="002134AF">
        <w:t xml:space="preserve">Other adjacent statutes supply more specific </w:t>
      </w:r>
      <w:r w:rsidR="000B5ED3">
        <w:t>rul</w:t>
      </w:r>
      <w:r w:rsidRPr="002134AF">
        <w:t>es for employees in particular industries.  (See Lab. Code, §§</w:t>
      </w:r>
      <w:r w:rsidR="00FD6E43">
        <w:t> </w:t>
      </w:r>
      <w:r w:rsidRPr="002134AF">
        <w:t>201.3 [temporary employees], 201.5 [motion picture employees], 201.6 [photo shoot employees], 201.7 [oil drilling employees], 201.8 [pro baseball venue employees], 201.9 [concert event employees].)</w:t>
      </w:r>
    </w:p>
  </w:footnote>
  <w:footnote w:id="6">
    <w:p w14:paraId="640A3762" w14:textId="0783BCE3" w:rsidR="000D2969" w:rsidRPr="0032076B" w:rsidRDefault="000D2969" w:rsidP="00A86E6B">
      <w:pPr>
        <w:pStyle w:val="FootnoteText"/>
      </w:pPr>
      <w:r>
        <w:rPr>
          <w:rStyle w:val="FootnoteReference"/>
        </w:rPr>
        <w:footnoteRef/>
      </w:r>
      <w:r>
        <w:t xml:space="preserve"> </w:t>
      </w:r>
      <w:r>
        <w:tab/>
      </w:r>
      <w:r w:rsidR="0004354C">
        <w:t>By law, r</w:t>
      </w:r>
      <w:r>
        <w:t xml:space="preserve">emaining on duty for the benefit of one’s employer is compensable work.  (See </w:t>
      </w:r>
      <w:r>
        <w:rPr>
          <w:color w:val="000000" w:themeColor="text1"/>
        </w:rPr>
        <w:t>IWC wage order No.</w:t>
      </w:r>
      <w:r w:rsidR="00FD6E43">
        <w:rPr>
          <w:color w:val="000000" w:themeColor="text1"/>
        </w:rPr>
        <w:t> </w:t>
      </w:r>
      <w:r w:rsidR="00001000">
        <w:rPr>
          <w:szCs w:val="26"/>
        </w:rPr>
        <w:t>4-2001</w:t>
      </w:r>
      <w:r>
        <w:rPr>
          <w:color w:val="000000" w:themeColor="text1"/>
        </w:rPr>
        <w:t>, § 11(A) [</w:t>
      </w:r>
      <w:r>
        <w:t xml:space="preserve">if an employee is required to remain on duty, “the meal period shall be considered an ‘on duty’ meal period and counted as time worked”]; </w:t>
      </w:r>
      <w:r>
        <w:rPr>
          <w:i/>
          <w:iCs/>
        </w:rPr>
        <w:t>Augustus v. ABM Security Services, Inc.</w:t>
      </w:r>
      <w:r>
        <w:t xml:space="preserve"> (2016) 2 Cal.5th 257, 265–266 [if an employer “require[s] employees to remain on duty during breaks,” that time “plainly require[s] payment of wages”].)</w:t>
      </w:r>
    </w:p>
  </w:footnote>
  <w:footnote w:id="7">
    <w:p w14:paraId="4D4F9260" w14:textId="03E25F1F" w:rsidR="000D2969" w:rsidRPr="00253118" w:rsidRDefault="000D2969" w:rsidP="00A86E6B">
      <w:pPr>
        <w:pStyle w:val="FootnoteText"/>
      </w:pPr>
      <w:r>
        <w:rPr>
          <w:rStyle w:val="FootnoteReference"/>
        </w:rPr>
        <w:footnoteRef/>
      </w:r>
      <w:r>
        <w:t xml:space="preserve"> </w:t>
      </w:r>
      <w:r>
        <w:tab/>
        <w:t xml:space="preserve">To see </w:t>
      </w:r>
      <w:r>
        <w:rPr>
          <w:i/>
          <w:iCs/>
        </w:rPr>
        <w:t>Kirby</w:t>
      </w:r>
      <w:r>
        <w:t xml:space="preserve">’s point, recall that premium pay is but one available remedy for a violation of section 226.7.  Then consider a situation in which an employer </w:t>
      </w:r>
      <w:r>
        <w:rPr>
          <w:color w:val="222222"/>
          <w:shd w:val="clear" w:color="auto" w:fill="FFFFFF"/>
        </w:rPr>
        <w:t>routinely denies meal breaks but</w:t>
      </w:r>
      <w:r w:rsidR="007D2FA7">
        <w:rPr>
          <w:color w:val="222222"/>
          <w:shd w:val="clear" w:color="auto" w:fill="FFFFFF"/>
        </w:rPr>
        <w:t xml:space="preserve"> </w:t>
      </w:r>
      <w:r>
        <w:rPr>
          <w:color w:val="222222"/>
          <w:shd w:val="clear" w:color="auto" w:fill="FFFFFF"/>
        </w:rPr>
        <w:t xml:space="preserve">(unlike Spectrum) pays its employees the premium pay due under section 226.7.  An aggrieved employee might seek an injunction to stop the underlying unlawful practice.  No wages are at stake; the action is simply one to ensure that, going forward, employees receive the breaks to which they are lawfully entitled.  Such a claim certainly would not be an “action for the nonpayment of wages.”  The holding of </w:t>
      </w:r>
      <w:r>
        <w:rPr>
          <w:i/>
          <w:iCs/>
          <w:color w:val="222222"/>
          <w:shd w:val="clear" w:color="auto" w:fill="FFFFFF"/>
        </w:rPr>
        <w:t>Kirby</w:t>
      </w:r>
      <w:r>
        <w:rPr>
          <w:color w:val="222222"/>
          <w:shd w:val="clear" w:color="auto" w:fill="FFFFFF"/>
        </w:rPr>
        <w:t xml:space="preserve"> reflects a conclusion that a case in which premium pay </w:t>
      </w:r>
      <w:r w:rsidRPr="00FF600A">
        <w:rPr>
          <w:color w:val="222222"/>
          <w:shd w:val="clear" w:color="auto" w:fill="FFFFFF"/>
        </w:rPr>
        <w:t>is</w:t>
      </w:r>
      <w:r>
        <w:rPr>
          <w:color w:val="222222"/>
          <w:shd w:val="clear" w:color="auto" w:fill="FFFFFF"/>
        </w:rPr>
        <w:t xml:space="preserve"> withheld and sought as a remedy should be treated no differently:  “whether or not [premium pay] has been paid is irrelevant to whether section 226.7 was violated . . . and an employer’s provision of an additional hour of pay does not excuse a section 226.7 violation.”  (</w:t>
      </w:r>
      <w:r>
        <w:rPr>
          <w:i/>
          <w:iCs/>
          <w:color w:val="222222"/>
          <w:shd w:val="clear" w:color="auto" w:fill="FFFFFF"/>
        </w:rPr>
        <w:t>Kirby</w:t>
      </w:r>
      <w:r>
        <w:rPr>
          <w:color w:val="222222"/>
          <w:shd w:val="clear" w:color="auto" w:fill="FFFFFF"/>
        </w:rPr>
        <w:t xml:space="preserve">, </w:t>
      </w:r>
      <w:r>
        <w:rPr>
          <w:i/>
          <w:iCs/>
          <w:color w:val="222222"/>
          <w:shd w:val="clear" w:color="auto" w:fill="FFFFFF"/>
        </w:rPr>
        <w:t>supra</w:t>
      </w:r>
      <w:r>
        <w:rPr>
          <w:color w:val="222222"/>
          <w:shd w:val="clear" w:color="auto" w:fill="FFFFFF"/>
        </w:rPr>
        <w:t>, 53 Cal.4th at p. 1256.)</w:t>
      </w:r>
    </w:p>
  </w:footnote>
  <w:footnote w:id="8">
    <w:p w14:paraId="3B4CD260" w14:textId="00DC49ED" w:rsidR="000D2969" w:rsidRPr="00DA24F6" w:rsidRDefault="000D2969" w:rsidP="00A86E6B">
      <w:pPr>
        <w:pStyle w:val="FootnoteText"/>
      </w:pPr>
      <w:r>
        <w:rPr>
          <w:rStyle w:val="FootnoteReference"/>
        </w:rPr>
        <w:footnoteRef/>
      </w:r>
      <w:r>
        <w:t xml:space="preserve"> </w:t>
      </w:r>
      <w:r>
        <w:tab/>
        <w:t xml:space="preserve">The Court of Appeal made a different point about the Legislature’s failure to amend the Labor Code to expressly account for section 226.7:  </w:t>
      </w:r>
      <w:r w:rsidR="0084151F">
        <w:t>I</w:t>
      </w:r>
      <w:r>
        <w:t>t observed that the Legislature had not amended Labor Code section 200 to include missed</w:t>
      </w:r>
      <w:r w:rsidR="00B33C15">
        <w:t>-</w:t>
      </w:r>
      <w:r>
        <w:t xml:space="preserve">break premium pay in the definition of wages in the wake of </w:t>
      </w:r>
      <w:r>
        <w:rPr>
          <w:i/>
          <w:iCs/>
        </w:rPr>
        <w:t>Murphy</w:t>
      </w:r>
      <w:r>
        <w:t>.  (</w:t>
      </w:r>
      <w:r>
        <w:rPr>
          <w:i/>
          <w:iCs/>
        </w:rPr>
        <w:t>Naranjo II</w:t>
      </w:r>
      <w:r>
        <w:t xml:space="preserve">, </w:t>
      </w:r>
      <w:r>
        <w:rPr>
          <w:i/>
          <w:iCs/>
        </w:rPr>
        <w:t>supra</w:t>
      </w:r>
      <w:r>
        <w:t xml:space="preserve">, 40 Cal.App.5th at p. 473.)  But no amendment was needed; as </w:t>
      </w:r>
      <w:r>
        <w:rPr>
          <w:i/>
          <w:iCs/>
        </w:rPr>
        <w:t>Murphy</w:t>
      </w:r>
      <w:r>
        <w:t xml:space="preserve"> itself explained, missed</w:t>
      </w:r>
      <w:r w:rsidR="00B33C15">
        <w:t>-</w:t>
      </w:r>
      <w:r>
        <w:t>break premium pay already fit comfortably within the existing definition of wages.  (</w:t>
      </w:r>
      <w:r>
        <w:rPr>
          <w:i/>
          <w:iCs/>
        </w:rPr>
        <w:t>Murphy</w:t>
      </w:r>
      <w:r>
        <w:t xml:space="preserve">, </w:t>
      </w:r>
      <w:r>
        <w:rPr>
          <w:i/>
          <w:iCs/>
        </w:rPr>
        <w:t>supra</w:t>
      </w:r>
      <w:r>
        <w:t>, 40 Cal.4th at pp. 1103–1104.)</w:t>
      </w:r>
    </w:p>
  </w:footnote>
  <w:footnote w:id="9">
    <w:p w14:paraId="21F5D368" w14:textId="068CCF9B" w:rsidR="000D2969" w:rsidRPr="00D33980" w:rsidRDefault="000D2969" w:rsidP="00A86E6B">
      <w:pPr>
        <w:spacing w:line="300" w:lineRule="exact"/>
        <w:rPr>
          <w:szCs w:val="27"/>
        </w:rPr>
      </w:pPr>
      <w:r>
        <w:rPr>
          <w:rStyle w:val="FootnoteReference"/>
        </w:rPr>
        <w:footnoteRef/>
      </w:r>
      <w:r>
        <w:t xml:space="preserve"> </w:t>
      </w:r>
      <w:r>
        <w:tab/>
      </w:r>
      <w:r w:rsidRPr="00D33980">
        <w:rPr>
          <w:szCs w:val="27"/>
        </w:rPr>
        <w:t xml:space="preserve">Drawing on an example posed in </w:t>
      </w:r>
      <w:r w:rsidRPr="00D33980">
        <w:rPr>
          <w:i/>
          <w:iCs/>
          <w:szCs w:val="27"/>
        </w:rPr>
        <w:t>Jones v. Spherion Staffing LLC</w:t>
      </w:r>
      <w:r w:rsidRPr="00D33980">
        <w:rPr>
          <w:szCs w:val="27"/>
        </w:rPr>
        <w:t>,</w:t>
      </w:r>
      <w:r w:rsidRPr="00D33980">
        <w:rPr>
          <w:i/>
          <w:iCs/>
          <w:szCs w:val="27"/>
        </w:rPr>
        <w:t xml:space="preserve"> supra</w:t>
      </w:r>
      <w:r w:rsidRPr="00D33980">
        <w:rPr>
          <w:szCs w:val="27"/>
        </w:rPr>
        <w:t>,</w:t>
      </w:r>
      <w:r w:rsidRPr="00D33980">
        <w:rPr>
          <w:i/>
          <w:iCs/>
          <w:szCs w:val="27"/>
        </w:rPr>
        <w:t xml:space="preserve"> </w:t>
      </w:r>
      <w:r w:rsidRPr="00D33980">
        <w:rPr>
          <w:szCs w:val="27"/>
        </w:rPr>
        <w:t>2012 U</w:t>
      </w:r>
      <w:r w:rsidR="00B52575" w:rsidRPr="00D33980">
        <w:rPr>
          <w:szCs w:val="27"/>
        </w:rPr>
        <w:t>.</w:t>
      </w:r>
      <w:r w:rsidRPr="00D33980">
        <w:rPr>
          <w:szCs w:val="27"/>
        </w:rPr>
        <w:t>S</w:t>
      </w:r>
      <w:r w:rsidR="00B52575" w:rsidRPr="00D33980">
        <w:rPr>
          <w:szCs w:val="27"/>
        </w:rPr>
        <w:t>.</w:t>
      </w:r>
      <w:r w:rsidRPr="00D33980">
        <w:rPr>
          <w:szCs w:val="27"/>
        </w:rPr>
        <w:t xml:space="preserve">Dist. LEXIS 112396, at page *9, Spectrum describes </w:t>
      </w:r>
      <w:r w:rsidR="00134C32" w:rsidRPr="00D33980">
        <w:rPr>
          <w:szCs w:val="27"/>
        </w:rPr>
        <w:t xml:space="preserve">a scenario in which </w:t>
      </w:r>
      <w:r w:rsidRPr="00D33980">
        <w:rPr>
          <w:szCs w:val="27"/>
        </w:rPr>
        <w:t xml:space="preserve">denial of a single meal period could </w:t>
      </w:r>
      <w:r w:rsidR="00D777B0" w:rsidRPr="00D33980">
        <w:rPr>
          <w:szCs w:val="27"/>
        </w:rPr>
        <w:t xml:space="preserve">lead to </w:t>
      </w:r>
      <w:r w:rsidR="0058222C" w:rsidRPr="00D33980">
        <w:rPr>
          <w:szCs w:val="27"/>
        </w:rPr>
        <w:t xml:space="preserve">liability for </w:t>
      </w:r>
      <w:r w:rsidRPr="00D33980">
        <w:rPr>
          <w:szCs w:val="27"/>
        </w:rPr>
        <w:t xml:space="preserve">premium pay under section 226.7, </w:t>
      </w:r>
      <w:r w:rsidR="00D777B0" w:rsidRPr="00D33980">
        <w:rPr>
          <w:szCs w:val="27"/>
        </w:rPr>
        <w:t xml:space="preserve">plus </w:t>
      </w:r>
      <w:r w:rsidRPr="00D33980">
        <w:rPr>
          <w:szCs w:val="27"/>
        </w:rPr>
        <w:t xml:space="preserve">waiting time penalties under Labor Code section 203, </w:t>
      </w:r>
      <w:r w:rsidR="00D777B0" w:rsidRPr="00D33980">
        <w:rPr>
          <w:szCs w:val="27"/>
        </w:rPr>
        <w:t xml:space="preserve">plus </w:t>
      </w:r>
      <w:r w:rsidRPr="00D33980">
        <w:rPr>
          <w:szCs w:val="27"/>
        </w:rPr>
        <w:t xml:space="preserve">actual damages or statutory penalties under Labor Code section 226, </w:t>
      </w:r>
      <w:r w:rsidR="00D777B0" w:rsidRPr="00D33980">
        <w:rPr>
          <w:szCs w:val="27"/>
        </w:rPr>
        <w:t xml:space="preserve">plus </w:t>
      </w:r>
      <w:r w:rsidRPr="00D33980">
        <w:rPr>
          <w:szCs w:val="27"/>
        </w:rPr>
        <w:t xml:space="preserve">a civil penalty under the </w:t>
      </w:r>
      <w:r w:rsidRPr="00D33980">
        <w:rPr>
          <w:color w:val="222222"/>
          <w:szCs w:val="27"/>
          <w:shd w:val="clear" w:color="auto" w:fill="FFFFFF"/>
        </w:rPr>
        <w:t>Labor Code</w:t>
      </w:r>
      <w:r w:rsidR="00AE1D2D" w:rsidRPr="00D33980">
        <w:rPr>
          <w:color w:val="222222"/>
          <w:szCs w:val="27"/>
          <w:shd w:val="clear" w:color="auto" w:fill="FFFFFF"/>
        </w:rPr>
        <w:t>’s</w:t>
      </w:r>
      <w:r w:rsidRPr="00D33980">
        <w:rPr>
          <w:color w:val="222222"/>
          <w:szCs w:val="27"/>
          <w:shd w:val="clear" w:color="auto" w:fill="FFFFFF"/>
        </w:rPr>
        <w:t xml:space="preserve"> Private Attorneys General Act of 2004 (Lab. Code, §</w:t>
      </w:r>
      <w:r w:rsidR="006649E9" w:rsidRPr="00D33980">
        <w:rPr>
          <w:color w:val="222222"/>
          <w:szCs w:val="27"/>
          <w:shd w:val="clear" w:color="auto" w:fill="FFFFFF"/>
        </w:rPr>
        <w:t> </w:t>
      </w:r>
      <w:r w:rsidRPr="00D33980">
        <w:rPr>
          <w:color w:val="222222"/>
          <w:szCs w:val="27"/>
          <w:shd w:val="clear" w:color="auto" w:fill="FFFFFF"/>
        </w:rPr>
        <w:t>2698 et seq.).</w:t>
      </w:r>
      <w:r w:rsidRPr="00D33980">
        <w:rPr>
          <w:szCs w:val="27"/>
        </w:rPr>
        <w:t xml:space="preserve">  But</w:t>
      </w:r>
      <w:r w:rsidR="00374298" w:rsidRPr="00D33980">
        <w:rPr>
          <w:szCs w:val="27"/>
        </w:rPr>
        <w:t xml:space="preserve"> in this hypothetical</w:t>
      </w:r>
      <w:r w:rsidR="00001AF2" w:rsidRPr="00D33980">
        <w:rPr>
          <w:szCs w:val="27"/>
        </w:rPr>
        <w:t xml:space="preserve"> scenario</w:t>
      </w:r>
      <w:r w:rsidR="00374298" w:rsidRPr="00D33980">
        <w:rPr>
          <w:szCs w:val="27"/>
        </w:rPr>
        <w:t xml:space="preserve">, </w:t>
      </w:r>
      <w:r w:rsidRPr="00D33980">
        <w:rPr>
          <w:szCs w:val="27"/>
        </w:rPr>
        <w:t>an employer could chop off liability at the root by simply paying an hour of premium pay in the next pay cycle</w:t>
      </w:r>
      <w:r w:rsidR="00017382" w:rsidRPr="00D33980">
        <w:rPr>
          <w:szCs w:val="27"/>
        </w:rPr>
        <w:t xml:space="preserve"> and recording such pay in the wage statement</w:t>
      </w:r>
      <w:r w:rsidRPr="00D33980">
        <w:rPr>
          <w:szCs w:val="27"/>
        </w:rPr>
        <w:t>.  All the additional remedies arise only if an employer doubles down by not doing so, and then by “willfully” (Lab. Code, § 203, subd. (a)) refusing to pay even after termination.</w:t>
      </w:r>
    </w:p>
  </w:footnote>
  <w:footnote w:id="10">
    <w:p w14:paraId="4862B060" w14:textId="0E4160DE" w:rsidR="000D2969" w:rsidRDefault="000D2969" w:rsidP="00A86E6B">
      <w:pPr>
        <w:pStyle w:val="FootnoteText"/>
      </w:pPr>
      <w:r>
        <w:rPr>
          <w:rStyle w:val="FootnoteReference"/>
        </w:rPr>
        <w:footnoteRef/>
      </w:r>
      <w:r>
        <w:t xml:space="preserve"> </w:t>
      </w:r>
      <w:r>
        <w:tab/>
        <w:t xml:space="preserve">Subdivision (a) </w:t>
      </w:r>
      <w:r w:rsidR="00610225">
        <w:t>requires employers to provide employees at regular intervals</w:t>
      </w:r>
      <w:r>
        <w:t xml:space="preserve"> “</w:t>
      </w:r>
      <w:r w:rsidRPr="00E51553">
        <w:rPr>
          <w:color w:val="333333"/>
          <w:shd w:val="clear" w:color="auto" w:fill="FFFFFF"/>
        </w:rPr>
        <w:t>an accurate itemized statement in writing showing (1) gross wages earned, (2) total hours worked by the employee, except as provided in subdivision (j), (3) the number of piece-rate units earned and any applicable piece rate if the employee is paid on a piece-rate basis, (4) all deductions, provided that all deductions made on written orders of the employee may be aggregated and shown as one item, (5) net wages earned, (6) the inclusive dates of the period for which the employee is paid, (7) the name of the employee and only the last four digits of his or her social security number or an employee identification number other than a social security number, (8) the name and address of the legal entity that is the employer and, if the employer is a farm labor contractor, as defined in subdivision (b) of Section 1682, the name and address of the legal entity that secured the services of the employer, and (9) all applicable hourly rates in effect during the pay period and the corresponding number of hours worked at each hourly rate by the employee and, beginning July 1, 2013, if the employer is a temporary services employer as defined in Section 201.3, the rate of pay and the total hours worked for each temporary services assignment.</w:t>
      </w:r>
      <w:r w:rsidR="00610225">
        <w:rPr>
          <w:color w:val="333333"/>
          <w:shd w:val="clear" w:color="auto" w:fill="FFFFFF"/>
        </w:rPr>
        <w:t>”  (Lab. Code, § 226, subd. (a).)</w:t>
      </w:r>
    </w:p>
  </w:footnote>
  <w:footnote w:id="11">
    <w:p w14:paraId="5AD59AFF" w14:textId="75518F42" w:rsidR="000D2969" w:rsidRDefault="000D2969" w:rsidP="00A86E6B">
      <w:pPr>
        <w:pStyle w:val="FootnoteText"/>
      </w:pPr>
      <w:r>
        <w:rPr>
          <w:rStyle w:val="FootnoteReference"/>
        </w:rPr>
        <w:footnoteRef/>
      </w:r>
      <w:r>
        <w:tab/>
      </w:r>
      <w:r>
        <w:rPr>
          <w:color w:val="222222"/>
          <w:shd w:val="clear" w:color="auto" w:fill="FFFFFF"/>
        </w:rPr>
        <w:t xml:space="preserve">The requirement that both “gross wages earned” and “net wages earned” be listed was added to </w:t>
      </w:r>
      <w:r w:rsidR="00906110">
        <w:rPr>
          <w:color w:val="222222"/>
          <w:shd w:val="clear" w:color="auto" w:fill="FFFFFF"/>
        </w:rPr>
        <w:t>section 226</w:t>
      </w:r>
      <w:r>
        <w:rPr>
          <w:color w:val="222222"/>
          <w:shd w:val="clear" w:color="auto" w:fill="FFFFFF"/>
        </w:rPr>
        <w:t xml:space="preserve"> in 1976.  (</w:t>
      </w:r>
      <w:r w:rsidRPr="00A83AD4">
        <w:rPr>
          <w:color w:val="222222"/>
          <w:shd w:val="clear" w:color="auto" w:fill="FFFFFF"/>
        </w:rPr>
        <w:t>Stats. 1976, ch. 832, §</w:t>
      </w:r>
      <w:r w:rsidR="00F505CE">
        <w:rPr>
          <w:color w:val="222222"/>
          <w:shd w:val="clear" w:color="auto" w:fill="FFFFFF"/>
        </w:rPr>
        <w:t> </w:t>
      </w:r>
      <w:r w:rsidRPr="00A83AD4">
        <w:rPr>
          <w:color w:val="222222"/>
          <w:shd w:val="clear" w:color="auto" w:fill="FFFFFF"/>
        </w:rPr>
        <w:t>1, p</w:t>
      </w:r>
      <w:r>
        <w:rPr>
          <w:color w:val="222222"/>
          <w:shd w:val="clear" w:color="auto" w:fill="FFFFFF"/>
        </w:rPr>
        <w:t>p</w:t>
      </w:r>
      <w:r w:rsidRPr="00A83AD4">
        <w:rPr>
          <w:color w:val="222222"/>
          <w:shd w:val="clear" w:color="auto" w:fill="FFFFFF"/>
        </w:rPr>
        <w:t>.</w:t>
      </w:r>
      <w:r w:rsidR="00F505CE">
        <w:rPr>
          <w:color w:val="222222"/>
          <w:shd w:val="clear" w:color="auto" w:fill="FFFFFF"/>
        </w:rPr>
        <w:t> </w:t>
      </w:r>
      <w:r w:rsidRPr="00A83AD4">
        <w:rPr>
          <w:color w:val="222222"/>
          <w:shd w:val="clear" w:color="auto" w:fill="FFFFFF"/>
        </w:rPr>
        <w:t>1899</w:t>
      </w:r>
      <w:r>
        <w:rPr>
          <w:color w:val="222222"/>
          <w:shd w:val="clear" w:color="auto" w:fill="FFFFFF"/>
        </w:rPr>
        <w:t>–1900.)  The Assembly Committee on Labor Relations described the purpose of the added detail as “insur[ing] that employees are adequately informed of compensation received and are not shortchanged by their employers.”  (</w:t>
      </w:r>
      <w:r w:rsidRPr="009F52FA">
        <w:rPr>
          <w:color w:val="222222"/>
          <w:shd w:val="clear" w:color="auto" w:fill="FFFFFF"/>
        </w:rPr>
        <w:t xml:space="preserve">Assem. Com. </w:t>
      </w:r>
      <w:r w:rsidR="00B52575" w:rsidRPr="009F52FA">
        <w:rPr>
          <w:color w:val="222222"/>
          <w:shd w:val="clear" w:color="auto" w:fill="FFFFFF"/>
        </w:rPr>
        <w:t>o</w:t>
      </w:r>
      <w:r w:rsidRPr="009F52FA">
        <w:rPr>
          <w:color w:val="222222"/>
          <w:shd w:val="clear" w:color="auto" w:fill="FFFFFF"/>
        </w:rPr>
        <w:t>n Lab. Rel., analysis of Assem. Bill No. 3731 (1975</w:t>
      </w:r>
      <w:r>
        <w:rPr>
          <w:color w:val="222222"/>
          <w:shd w:val="clear" w:color="auto" w:fill="FFFFFF"/>
        </w:rPr>
        <w:t>–1976 Reg. Sess.) as amended May 12, 1976, p. 1; accord, Assem. 3d reading analysis</w:t>
      </w:r>
      <w:r w:rsidRPr="00527C49">
        <w:rPr>
          <w:color w:val="222222"/>
          <w:shd w:val="clear" w:color="auto" w:fill="FFFFFF"/>
        </w:rPr>
        <w:t xml:space="preserve"> </w:t>
      </w:r>
      <w:r>
        <w:rPr>
          <w:color w:val="222222"/>
          <w:shd w:val="clear" w:color="auto" w:fill="FFFFFF"/>
        </w:rPr>
        <w:t>of Assem. Bill No.</w:t>
      </w:r>
      <w:r w:rsidR="00F505CE">
        <w:rPr>
          <w:color w:val="222222"/>
          <w:shd w:val="clear" w:color="auto" w:fill="FFFFFF"/>
        </w:rPr>
        <w:t> </w:t>
      </w:r>
      <w:r>
        <w:rPr>
          <w:color w:val="222222"/>
          <w:shd w:val="clear" w:color="auto" w:fill="FFFFFF"/>
        </w:rPr>
        <w:t>3731 (1975–1976 Reg. Sess.) as amended May 21, 1976, p. 1.)</w:t>
      </w:r>
    </w:p>
  </w:footnote>
  <w:footnote w:id="12">
    <w:p w14:paraId="7836134F" w14:textId="349D6ED0" w:rsidR="00B36AD9" w:rsidRDefault="00D046D3" w:rsidP="00A86E6B">
      <w:pPr>
        <w:pStyle w:val="FootnoteText"/>
      </w:pPr>
      <w:r>
        <w:rPr>
          <w:rStyle w:val="FootnoteReference"/>
        </w:rPr>
        <w:footnoteRef/>
      </w:r>
      <w:r>
        <w:t xml:space="preserve"> </w:t>
      </w:r>
      <w:r>
        <w:tab/>
      </w:r>
      <w:r>
        <w:rPr>
          <w:color w:val="333333"/>
          <w:shd w:val="clear" w:color="auto" w:fill="FFFFFF"/>
        </w:rPr>
        <w:t xml:space="preserve">Permitting employers to conceal underpayments — including </w:t>
      </w:r>
      <w:r w:rsidR="00837757">
        <w:rPr>
          <w:color w:val="333333"/>
          <w:shd w:val="clear" w:color="auto" w:fill="FFFFFF"/>
        </w:rPr>
        <w:t xml:space="preserve">owed but </w:t>
      </w:r>
      <w:r>
        <w:rPr>
          <w:color w:val="333333"/>
          <w:shd w:val="clear" w:color="auto" w:fill="FFFFFF"/>
        </w:rPr>
        <w:t>unpaid missed</w:t>
      </w:r>
      <w:r w:rsidR="00B33C15">
        <w:rPr>
          <w:color w:val="333333"/>
          <w:shd w:val="clear" w:color="auto" w:fill="FFFFFF"/>
        </w:rPr>
        <w:t>-</w:t>
      </w:r>
      <w:r>
        <w:rPr>
          <w:color w:val="333333"/>
          <w:shd w:val="clear" w:color="auto" w:fill="FFFFFF"/>
        </w:rPr>
        <w:t xml:space="preserve">break premium pay — would </w:t>
      </w:r>
      <w:r w:rsidR="00513F50">
        <w:rPr>
          <w:color w:val="333333"/>
          <w:shd w:val="clear" w:color="auto" w:fill="FFFFFF"/>
        </w:rPr>
        <w:t xml:space="preserve">also </w:t>
      </w:r>
      <w:r w:rsidR="00E75EC0">
        <w:rPr>
          <w:color w:val="333333"/>
          <w:shd w:val="clear" w:color="auto" w:fill="FFFFFF"/>
        </w:rPr>
        <w:t xml:space="preserve">impede </w:t>
      </w:r>
      <w:r>
        <w:rPr>
          <w:color w:val="333333"/>
          <w:shd w:val="clear" w:color="auto" w:fill="FFFFFF"/>
        </w:rPr>
        <w:t>employees’ ability to verify they have been paid properly</w:t>
      </w:r>
      <w:r w:rsidR="00837757">
        <w:rPr>
          <w:color w:val="333333"/>
          <w:shd w:val="clear" w:color="auto" w:fill="FFFFFF"/>
        </w:rPr>
        <w:t xml:space="preserve"> and</w:t>
      </w:r>
      <w:r>
        <w:rPr>
          <w:color w:val="333333"/>
          <w:shd w:val="clear" w:color="auto" w:fill="FFFFFF"/>
        </w:rPr>
        <w:t xml:space="preserve">, </w:t>
      </w:r>
      <w:r w:rsidR="00837757">
        <w:rPr>
          <w:color w:val="333333"/>
          <w:shd w:val="clear" w:color="auto" w:fill="FFFFFF"/>
        </w:rPr>
        <w:t xml:space="preserve">as amicus curiae the Division of Labor Standards Enforcement observes, </w:t>
      </w:r>
      <w:r w:rsidR="00671C04">
        <w:rPr>
          <w:color w:val="333333"/>
          <w:shd w:val="clear" w:color="auto" w:fill="FFFFFF"/>
        </w:rPr>
        <w:t xml:space="preserve">would </w:t>
      </w:r>
      <w:r w:rsidR="00837757">
        <w:rPr>
          <w:color w:val="333333"/>
          <w:shd w:val="clear" w:color="auto" w:fill="FFFFFF"/>
        </w:rPr>
        <w:t xml:space="preserve">undermine </w:t>
      </w:r>
      <w:r>
        <w:rPr>
          <w:color w:val="333333"/>
          <w:shd w:val="clear" w:color="auto" w:fill="FFFFFF"/>
        </w:rPr>
        <w:t>administrative enforcement of wage and hour protections</w:t>
      </w:r>
      <w:r w:rsidR="00837757">
        <w:rPr>
          <w:color w:val="333333"/>
          <w:shd w:val="clear" w:color="auto" w:fill="FFFFFF"/>
        </w:rPr>
        <w:t>.</w:t>
      </w:r>
    </w:p>
  </w:footnote>
  <w:footnote w:id="13">
    <w:p w14:paraId="12B1AEE8" w14:textId="76C38F89" w:rsidR="00D14024" w:rsidRDefault="00D14024" w:rsidP="00D14024">
      <w:pPr>
        <w:pStyle w:val="FootnoteText"/>
      </w:pPr>
      <w:r>
        <w:rPr>
          <w:rStyle w:val="FootnoteReference"/>
        </w:rPr>
        <w:footnoteRef/>
      </w:r>
      <w:r>
        <w:t xml:space="preserve"> </w:t>
      </w:r>
      <w:r>
        <w:tab/>
        <w:t>Aside from the express statutory scheme, the legislative history makes clear that the Legislature understood different wage claims might be subject to different interest regimes.  Commenting on changes wrought by the amendment of Labor Code section 218.5 and the enactment of Labor Code section 218.6, the Senate Industrial Relations Committee observed that “[t]</w:t>
      </w:r>
      <w:r w:rsidRPr="00F77642">
        <w:t xml:space="preserve">his bill would clarify two overlapping sections of the law, specifying that an employee, </w:t>
      </w:r>
      <w:r w:rsidRPr="00D14024">
        <w:rPr>
          <w:i/>
          <w:iCs/>
        </w:rPr>
        <w:t>separate from other wage cases</w:t>
      </w:r>
      <w:r w:rsidRPr="00F77642">
        <w:t>, is eligible to be awarded interest, in addition to wages due and attorney</w:t>
      </w:r>
      <w:r>
        <w:t>’</w:t>
      </w:r>
      <w:r w:rsidRPr="00F77642">
        <w:t>s fees and costs</w:t>
      </w:r>
      <w:r>
        <w:t>.”  (</w:t>
      </w:r>
      <w:r w:rsidRPr="00953F76">
        <w:t xml:space="preserve">Sen. Com. on Industrial Relations, Analysis of Assem. Bill </w:t>
      </w:r>
      <w:r>
        <w:t>No. </w:t>
      </w:r>
      <w:r w:rsidRPr="00953F76">
        <w:t>2509 (1999–2000 Reg. Sess.) as amended June 26, 2000, p.</w:t>
      </w:r>
      <w:r w:rsidR="00B36AD9">
        <w:t> </w:t>
      </w:r>
      <w:r w:rsidRPr="00953F76">
        <w:t>3</w:t>
      </w:r>
      <w:r>
        <w:t>, italics added</w:t>
      </w:r>
      <w:r w:rsidRPr="00953F76">
        <w:t>.)</w:t>
      </w:r>
      <w:r>
        <w:t xml:space="preserve">  In short, the Legislature did not understand the new section 218.6, and its 10 percent interest rate, to apply to all wage claims, but only to a subset — a subset that, as our discussion in </w:t>
      </w:r>
      <w:r>
        <w:rPr>
          <w:i/>
          <w:iCs/>
        </w:rPr>
        <w:t>Kirby</w:t>
      </w:r>
      <w:r w:rsidR="0084151F">
        <w:t xml:space="preserve">, </w:t>
      </w:r>
      <w:r w:rsidR="0084151F" w:rsidRPr="0084151F">
        <w:rPr>
          <w:i/>
          <w:iCs/>
        </w:rPr>
        <w:t>supra</w:t>
      </w:r>
      <w:r w:rsidR="0084151F">
        <w:t xml:space="preserve">, </w:t>
      </w:r>
      <w:r>
        <w:t xml:space="preserve">53 Cal.4th </w:t>
      </w:r>
      <w:r w:rsidR="0084151F">
        <w:t>at p</w:t>
      </w:r>
      <w:r w:rsidR="00C0011B">
        <w:t>age</w:t>
      </w:r>
      <w:r w:rsidR="0084151F">
        <w:t> </w:t>
      </w:r>
      <w:r>
        <w:t>1255 makes clear, does not include missed-break premium pay claims.</w:t>
      </w:r>
    </w:p>
  </w:footnote>
  <w:footnote w:id="14">
    <w:p w14:paraId="62D1CDED" w14:textId="77777777" w:rsidR="002D7C1C" w:rsidRDefault="002D7C1C" w:rsidP="002D7C1C">
      <w:pPr>
        <w:pStyle w:val="FootnoteText"/>
      </w:pPr>
      <w:r>
        <w:rPr>
          <w:rStyle w:val="FootnoteReference"/>
        </w:rPr>
        <w:t>*</w:t>
      </w:r>
      <w:r>
        <w:tab/>
      </w:r>
      <w:r w:rsidRPr="005D4D30">
        <w:rPr>
          <w:szCs w:val="27"/>
        </w:rPr>
        <w:t xml:space="preserve">Presiding </w:t>
      </w:r>
      <w:r w:rsidRPr="00BE53DE">
        <w:rPr>
          <w:szCs w:val="27"/>
        </w:rPr>
        <w:t xml:space="preserve">Justice of the Court of Appeal, </w:t>
      </w:r>
      <w:r>
        <w:rPr>
          <w:szCs w:val="27"/>
        </w:rPr>
        <w:t>Fourth</w:t>
      </w:r>
      <w:r w:rsidRPr="00BE53DE">
        <w:rPr>
          <w:szCs w:val="27"/>
        </w:rPr>
        <w:t xml:space="preserve"> Appellate District, </w:t>
      </w:r>
      <w:r w:rsidRPr="00BE53DE">
        <w:rPr>
          <w:rFonts w:cs="Arial"/>
          <w:szCs w:val="27"/>
        </w:rPr>
        <w:t>Division</w:t>
      </w:r>
      <w:r w:rsidRPr="00BE53DE">
        <w:rPr>
          <w:szCs w:val="27"/>
        </w:rPr>
        <w:t xml:space="preserve">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24C9" w14:textId="77777777" w:rsidR="006675EC" w:rsidRDefault="00667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9C7A" w14:textId="77777777" w:rsidR="00A86E6B" w:rsidRDefault="00A86E6B">
    <w:pPr>
      <w:pStyle w:val="Header"/>
    </w:pPr>
    <w:r>
      <w:t xml:space="preserve">PULLIAM v. HNL AUTOMOTIVE INC. </w:t>
    </w:r>
  </w:p>
  <w:p w14:paraId="6191A3AC" w14:textId="77777777" w:rsidR="00A86E6B" w:rsidRDefault="00A86E6B">
    <w:pPr>
      <w:pStyle w:val="Header"/>
    </w:pPr>
    <w:r>
      <w:t>Opinion of the Court by Liu, J.</w:t>
    </w:r>
  </w:p>
  <w:p w14:paraId="2B40F5E5" w14:textId="77777777" w:rsidR="00A86E6B" w:rsidRDefault="00A86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8A3A" w14:textId="22D12F36" w:rsidR="001D0FE1" w:rsidRPr="001D0FE1" w:rsidRDefault="001D0FE1" w:rsidP="001D0FE1">
    <w:pPr>
      <w:pStyle w:val="Header"/>
      <w:jc w:val="right"/>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329D" w14:textId="77777777" w:rsidR="00A86E6B" w:rsidRDefault="00A86E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A9C1" w14:textId="5F148910" w:rsidR="00EB484E" w:rsidRPr="00EB484E" w:rsidRDefault="00EB484E">
    <w:pPr>
      <w:pStyle w:val="Header"/>
      <w:rPr>
        <w:smallCaps/>
      </w:rPr>
    </w:pPr>
    <w:r w:rsidRPr="00EB484E">
      <w:rPr>
        <w:smallCaps/>
      </w:rPr>
      <w:t xml:space="preserve">Naranjo </w:t>
    </w:r>
    <w:r w:rsidRPr="00BE5E1A">
      <w:t>v.</w:t>
    </w:r>
    <w:r w:rsidRPr="00EB484E">
      <w:rPr>
        <w:smallCaps/>
      </w:rPr>
      <w:t xml:space="preserve"> Spectrum Security Services, Inc.</w:t>
    </w:r>
  </w:p>
  <w:p w14:paraId="3636DF85" w14:textId="15528739" w:rsidR="00EB484E" w:rsidRDefault="00EB484E">
    <w:pPr>
      <w:pStyle w:val="Header"/>
    </w:pPr>
    <w:r>
      <w:t>Opinion of the Court by Kruger, J.</w:t>
    </w:r>
  </w:p>
  <w:p w14:paraId="3D03C604" w14:textId="75A42BF2" w:rsidR="00EB484E" w:rsidRDefault="00EB48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1B52" w14:textId="77777777" w:rsidR="00A86E6B" w:rsidRDefault="00A86E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E662" w14:textId="77777777" w:rsidR="00FF30AE" w:rsidRDefault="006675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2A35" w14:textId="77777777" w:rsidR="00FF30AE" w:rsidRDefault="006675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514B" w14:textId="77777777" w:rsidR="00FF30AE" w:rsidRDefault="00667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331"/>
    <w:multiLevelType w:val="multilevel"/>
    <w:tmpl w:val="F5FE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67499"/>
    <w:multiLevelType w:val="multilevel"/>
    <w:tmpl w:val="53C0824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0C16EEB"/>
    <w:multiLevelType w:val="multilevel"/>
    <w:tmpl w:val="53C0824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b w:val="0"/>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53C72FB"/>
    <w:multiLevelType w:val="hybridMultilevel"/>
    <w:tmpl w:val="1D3842C8"/>
    <w:lvl w:ilvl="0" w:tplc="1E446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983414">
    <w:abstractNumId w:val="2"/>
  </w:num>
  <w:num w:numId="2" w16cid:durableId="259877111">
    <w:abstractNumId w:val="0"/>
  </w:num>
  <w:num w:numId="3" w16cid:durableId="1997569053">
    <w:abstractNumId w:val="1"/>
  </w:num>
  <w:num w:numId="4" w16cid:durableId="1757244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it-IT"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C5"/>
    <w:rsid w:val="0000014E"/>
    <w:rsid w:val="00001000"/>
    <w:rsid w:val="00001AF2"/>
    <w:rsid w:val="0000265F"/>
    <w:rsid w:val="0000295C"/>
    <w:rsid w:val="00002E32"/>
    <w:rsid w:val="0000368F"/>
    <w:rsid w:val="00003CE5"/>
    <w:rsid w:val="00005719"/>
    <w:rsid w:val="00005ABD"/>
    <w:rsid w:val="00005F2E"/>
    <w:rsid w:val="000060D0"/>
    <w:rsid w:val="00006356"/>
    <w:rsid w:val="00007006"/>
    <w:rsid w:val="0000755E"/>
    <w:rsid w:val="000076D8"/>
    <w:rsid w:val="0000798D"/>
    <w:rsid w:val="00007E38"/>
    <w:rsid w:val="00010403"/>
    <w:rsid w:val="00010478"/>
    <w:rsid w:val="0001075D"/>
    <w:rsid w:val="00010BBC"/>
    <w:rsid w:val="000117F6"/>
    <w:rsid w:val="00011D02"/>
    <w:rsid w:val="00011D7F"/>
    <w:rsid w:val="00012349"/>
    <w:rsid w:val="00012A34"/>
    <w:rsid w:val="00013F0A"/>
    <w:rsid w:val="00013F2E"/>
    <w:rsid w:val="000148E0"/>
    <w:rsid w:val="00014C80"/>
    <w:rsid w:val="00014ED9"/>
    <w:rsid w:val="00015124"/>
    <w:rsid w:val="00015409"/>
    <w:rsid w:val="0001670D"/>
    <w:rsid w:val="00017275"/>
    <w:rsid w:val="00017382"/>
    <w:rsid w:val="00017E09"/>
    <w:rsid w:val="000201BD"/>
    <w:rsid w:val="000204FC"/>
    <w:rsid w:val="0002068D"/>
    <w:rsid w:val="0002177B"/>
    <w:rsid w:val="000218B3"/>
    <w:rsid w:val="00021DFB"/>
    <w:rsid w:val="00023354"/>
    <w:rsid w:val="00023CF7"/>
    <w:rsid w:val="00023FB6"/>
    <w:rsid w:val="0002400D"/>
    <w:rsid w:val="00024D64"/>
    <w:rsid w:val="0002507C"/>
    <w:rsid w:val="0002529A"/>
    <w:rsid w:val="00025A2D"/>
    <w:rsid w:val="00025F96"/>
    <w:rsid w:val="00026220"/>
    <w:rsid w:val="00027000"/>
    <w:rsid w:val="000271DE"/>
    <w:rsid w:val="000272AB"/>
    <w:rsid w:val="00027EC7"/>
    <w:rsid w:val="00030CCB"/>
    <w:rsid w:val="00031E13"/>
    <w:rsid w:val="00031F06"/>
    <w:rsid w:val="00031F2B"/>
    <w:rsid w:val="00031FF5"/>
    <w:rsid w:val="00032704"/>
    <w:rsid w:val="00033341"/>
    <w:rsid w:val="00035324"/>
    <w:rsid w:val="000364A7"/>
    <w:rsid w:val="00036AAE"/>
    <w:rsid w:val="00036EDD"/>
    <w:rsid w:val="00037021"/>
    <w:rsid w:val="00037185"/>
    <w:rsid w:val="00040294"/>
    <w:rsid w:val="00042007"/>
    <w:rsid w:val="0004354C"/>
    <w:rsid w:val="00043D9C"/>
    <w:rsid w:val="00043FFD"/>
    <w:rsid w:val="000446F2"/>
    <w:rsid w:val="000450F5"/>
    <w:rsid w:val="000460DC"/>
    <w:rsid w:val="0004617A"/>
    <w:rsid w:val="000461CE"/>
    <w:rsid w:val="000472E6"/>
    <w:rsid w:val="000506F0"/>
    <w:rsid w:val="00051087"/>
    <w:rsid w:val="000510A6"/>
    <w:rsid w:val="000518E6"/>
    <w:rsid w:val="00052604"/>
    <w:rsid w:val="00053532"/>
    <w:rsid w:val="000539ED"/>
    <w:rsid w:val="00053C25"/>
    <w:rsid w:val="00054E9C"/>
    <w:rsid w:val="00055116"/>
    <w:rsid w:val="00055C53"/>
    <w:rsid w:val="000563B9"/>
    <w:rsid w:val="00057241"/>
    <w:rsid w:val="000573F8"/>
    <w:rsid w:val="000603BE"/>
    <w:rsid w:val="0006042A"/>
    <w:rsid w:val="00061350"/>
    <w:rsid w:val="000628BC"/>
    <w:rsid w:val="000630E2"/>
    <w:rsid w:val="00065036"/>
    <w:rsid w:val="00066610"/>
    <w:rsid w:val="000678AF"/>
    <w:rsid w:val="00067E75"/>
    <w:rsid w:val="0007159E"/>
    <w:rsid w:val="00071B87"/>
    <w:rsid w:val="000737A9"/>
    <w:rsid w:val="000752E8"/>
    <w:rsid w:val="000754FA"/>
    <w:rsid w:val="0007583D"/>
    <w:rsid w:val="0007663D"/>
    <w:rsid w:val="00076CE4"/>
    <w:rsid w:val="00076E3A"/>
    <w:rsid w:val="00080CD5"/>
    <w:rsid w:val="00080FCF"/>
    <w:rsid w:val="000810D0"/>
    <w:rsid w:val="000812BD"/>
    <w:rsid w:val="000813B7"/>
    <w:rsid w:val="00082507"/>
    <w:rsid w:val="0008282B"/>
    <w:rsid w:val="00082AC8"/>
    <w:rsid w:val="00082D3F"/>
    <w:rsid w:val="0008317C"/>
    <w:rsid w:val="00083221"/>
    <w:rsid w:val="00083346"/>
    <w:rsid w:val="00083B7C"/>
    <w:rsid w:val="00083BC3"/>
    <w:rsid w:val="00083FB1"/>
    <w:rsid w:val="00084224"/>
    <w:rsid w:val="000847E1"/>
    <w:rsid w:val="000855D1"/>
    <w:rsid w:val="00087AAE"/>
    <w:rsid w:val="00090411"/>
    <w:rsid w:val="000910D5"/>
    <w:rsid w:val="000912E4"/>
    <w:rsid w:val="0009136E"/>
    <w:rsid w:val="00091A93"/>
    <w:rsid w:val="0009278C"/>
    <w:rsid w:val="00093BD6"/>
    <w:rsid w:val="0009575D"/>
    <w:rsid w:val="00095F95"/>
    <w:rsid w:val="0009617F"/>
    <w:rsid w:val="000963DD"/>
    <w:rsid w:val="00096992"/>
    <w:rsid w:val="000A0044"/>
    <w:rsid w:val="000A1421"/>
    <w:rsid w:val="000A1424"/>
    <w:rsid w:val="000A2B7A"/>
    <w:rsid w:val="000A2F73"/>
    <w:rsid w:val="000A3572"/>
    <w:rsid w:val="000A3641"/>
    <w:rsid w:val="000A3CEB"/>
    <w:rsid w:val="000A4562"/>
    <w:rsid w:val="000A4B3D"/>
    <w:rsid w:val="000A4D80"/>
    <w:rsid w:val="000A5301"/>
    <w:rsid w:val="000A68C3"/>
    <w:rsid w:val="000A6B3F"/>
    <w:rsid w:val="000A71A2"/>
    <w:rsid w:val="000A79AE"/>
    <w:rsid w:val="000A7AE0"/>
    <w:rsid w:val="000B0CED"/>
    <w:rsid w:val="000B1337"/>
    <w:rsid w:val="000B14D1"/>
    <w:rsid w:val="000B1AFE"/>
    <w:rsid w:val="000B1DC0"/>
    <w:rsid w:val="000B3809"/>
    <w:rsid w:val="000B3D28"/>
    <w:rsid w:val="000B3FF1"/>
    <w:rsid w:val="000B48BE"/>
    <w:rsid w:val="000B4B0E"/>
    <w:rsid w:val="000B5ED3"/>
    <w:rsid w:val="000B6826"/>
    <w:rsid w:val="000B6A60"/>
    <w:rsid w:val="000B6ADA"/>
    <w:rsid w:val="000B7138"/>
    <w:rsid w:val="000B76EE"/>
    <w:rsid w:val="000C024D"/>
    <w:rsid w:val="000C0AF2"/>
    <w:rsid w:val="000C0F2C"/>
    <w:rsid w:val="000C1244"/>
    <w:rsid w:val="000C3593"/>
    <w:rsid w:val="000C4CE0"/>
    <w:rsid w:val="000C51CE"/>
    <w:rsid w:val="000C52ED"/>
    <w:rsid w:val="000C5401"/>
    <w:rsid w:val="000C552F"/>
    <w:rsid w:val="000C57FA"/>
    <w:rsid w:val="000C5F03"/>
    <w:rsid w:val="000C640D"/>
    <w:rsid w:val="000C64F2"/>
    <w:rsid w:val="000C65BB"/>
    <w:rsid w:val="000C67A4"/>
    <w:rsid w:val="000C6CF9"/>
    <w:rsid w:val="000C723B"/>
    <w:rsid w:val="000C727D"/>
    <w:rsid w:val="000C72C3"/>
    <w:rsid w:val="000C79A1"/>
    <w:rsid w:val="000D046C"/>
    <w:rsid w:val="000D22DC"/>
    <w:rsid w:val="000D2969"/>
    <w:rsid w:val="000D2F9B"/>
    <w:rsid w:val="000D38CC"/>
    <w:rsid w:val="000D5C1A"/>
    <w:rsid w:val="000D5E02"/>
    <w:rsid w:val="000D5E9E"/>
    <w:rsid w:val="000D69ED"/>
    <w:rsid w:val="000D7920"/>
    <w:rsid w:val="000D79B2"/>
    <w:rsid w:val="000E08FB"/>
    <w:rsid w:val="000E0E12"/>
    <w:rsid w:val="000E1B87"/>
    <w:rsid w:val="000E1DBC"/>
    <w:rsid w:val="000E2216"/>
    <w:rsid w:val="000E3F47"/>
    <w:rsid w:val="000E540A"/>
    <w:rsid w:val="000E5BEF"/>
    <w:rsid w:val="000E7892"/>
    <w:rsid w:val="000E7E19"/>
    <w:rsid w:val="000E7EA0"/>
    <w:rsid w:val="000F14E4"/>
    <w:rsid w:val="000F2D82"/>
    <w:rsid w:val="000F3299"/>
    <w:rsid w:val="000F3C85"/>
    <w:rsid w:val="000F3D83"/>
    <w:rsid w:val="000F482E"/>
    <w:rsid w:val="000F5B60"/>
    <w:rsid w:val="000F5BEA"/>
    <w:rsid w:val="001000B3"/>
    <w:rsid w:val="00100383"/>
    <w:rsid w:val="00100792"/>
    <w:rsid w:val="00100CA2"/>
    <w:rsid w:val="00101B87"/>
    <w:rsid w:val="00101BA9"/>
    <w:rsid w:val="0010333C"/>
    <w:rsid w:val="0010511E"/>
    <w:rsid w:val="0010636D"/>
    <w:rsid w:val="0011131D"/>
    <w:rsid w:val="001121DC"/>
    <w:rsid w:val="00112BA3"/>
    <w:rsid w:val="001134BC"/>
    <w:rsid w:val="00113711"/>
    <w:rsid w:val="0011445E"/>
    <w:rsid w:val="00114619"/>
    <w:rsid w:val="0011568E"/>
    <w:rsid w:val="001162D4"/>
    <w:rsid w:val="00116334"/>
    <w:rsid w:val="00116C7C"/>
    <w:rsid w:val="00116DE9"/>
    <w:rsid w:val="00117E5F"/>
    <w:rsid w:val="001201DC"/>
    <w:rsid w:val="001204A3"/>
    <w:rsid w:val="00120D88"/>
    <w:rsid w:val="00120DC7"/>
    <w:rsid w:val="00121678"/>
    <w:rsid w:val="0012292A"/>
    <w:rsid w:val="00122FE0"/>
    <w:rsid w:val="00123117"/>
    <w:rsid w:val="00123516"/>
    <w:rsid w:val="00123705"/>
    <w:rsid w:val="00123B7D"/>
    <w:rsid w:val="00123C27"/>
    <w:rsid w:val="00124F24"/>
    <w:rsid w:val="001253A0"/>
    <w:rsid w:val="001253ED"/>
    <w:rsid w:val="001254EC"/>
    <w:rsid w:val="00126510"/>
    <w:rsid w:val="00127688"/>
    <w:rsid w:val="00132310"/>
    <w:rsid w:val="00132DB8"/>
    <w:rsid w:val="00133098"/>
    <w:rsid w:val="00134C32"/>
    <w:rsid w:val="00135A70"/>
    <w:rsid w:val="00136465"/>
    <w:rsid w:val="00136CA2"/>
    <w:rsid w:val="001376F7"/>
    <w:rsid w:val="001379F7"/>
    <w:rsid w:val="00137A94"/>
    <w:rsid w:val="00140712"/>
    <w:rsid w:val="00140852"/>
    <w:rsid w:val="00140E9A"/>
    <w:rsid w:val="00141950"/>
    <w:rsid w:val="001425AB"/>
    <w:rsid w:val="0014270E"/>
    <w:rsid w:val="0014357D"/>
    <w:rsid w:val="00143A8A"/>
    <w:rsid w:val="00144226"/>
    <w:rsid w:val="00144599"/>
    <w:rsid w:val="001449DE"/>
    <w:rsid w:val="00144BAE"/>
    <w:rsid w:val="00145A85"/>
    <w:rsid w:val="00145F57"/>
    <w:rsid w:val="00147257"/>
    <w:rsid w:val="00150A4D"/>
    <w:rsid w:val="00151600"/>
    <w:rsid w:val="0015161D"/>
    <w:rsid w:val="00151BB9"/>
    <w:rsid w:val="001528AD"/>
    <w:rsid w:val="001542FC"/>
    <w:rsid w:val="00154682"/>
    <w:rsid w:val="00154854"/>
    <w:rsid w:val="00154E79"/>
    <w:rsid w:val="0015568A"/>
    <w:rsid w:val="0015586C"/>
    <w:rsid w:val="001562DD"/>
    <w:rsid w:val="00156A6F"/>
    <w:rsid w:val="00156EBB"/>
    <w:rsid w:val="0015725D"/>
    <w:rsid w:val="001572CE"/>
    <w:rsid w:val="00157347"/>
    <w:rsid w:val="00157A66"/>
    <w:rsid w:val="00161104"/>
    <w:rsid w:val="00161533"/>
    <w:rsid w:val="00162467"/>
    <w:rsid w:val="001637E6"/>
    <w:rsid w:val="00163FDA"/>
    <w:rsid w:val="001659E5"/>
    <w:rsid w:val="00165FD1"/>
    <w:rsid w:val="00166F71"/>
    <w:rsid w:val="0016707B"/>
    <w:rsid w:val="00167EE4"/>
    <w:rsid w:val="00167F25"/>
    <w:rsid w:val="0017049B"/>
    <w:rsid w:val="001704A2"/>
    <w:rsid w:val="00172AEE"/>
    <w:rsid w:val="001739F9"/>
    <w:rsid w:val="00173FDC"/>
    <w:rsid w:val="00174415"/>
    <w:rsid w:val="00174CD0"/>
    <w:rsid w:val="00175AF2"/>
    <w:rsid w:val="001760BB"/>
    <w:rsid w:val="00176178"/>
    <w:rsid w:val="001761D8"/>
    <w:rsid w:val="00176722"/>
    <w:rsid w:val="00176E7A"/>
    <w:rsid w:val="001772E3"/>
    <w:rsid w:val="00180711"/>
    <w:rsid w:val="00180F9D"/>
    <w:rsid w:val="00181FCA"/>
    <w:rsid w:val="00182A82"/>
    <w:rsid w:val="00182C59"/>
    <w:rsid w:val="00182D44"/>
    <w:rsid w:val="00184348"/>
    <w:rsid w:val="001844AC"/>
    <w:rsid w:val="00184542"/>
    <w:rsid w:val="001845F3"/>
    <w:rsid w:val="00184B1B"/>
    <w:rsid w:val="0018522C"/>
    <w:rsid w:val="00187026"/>
    <w:rsid w:val="0018765B"/>
    <w:rsid w:val="00190690"/>
    <w:rsid w:val="001909B3"/>
    <w:rsid w:val="00190BAF"/>
    <w:rsid w:val="00191B95"/>
    <w:rsid w:val="00191D03"/>
    <w:rsid w:val="001923B9"/>
    <w:rsid w:val="0019360A"/>
    <w:rsid w:val="00193913"/>
    <w:rsid w:val="001948F2"/>
    <w:rsid w:val="00194A4D"/>
    <w:rsid w:val="00194D48"/>
    <w:rsid w:val="00195C53"/>
    <w:rsid w:val="00196CA0"/>
    <w:rsid w:val="00197F0E"/>
    <w:rsid w:val="001A04D3"/>
    <w:rsid w:val="001A203B"/>
    <w:rsid w:val="001A21DF"/>
    <w:rsid w:val="001A320E"/>
    <w:rsid w:val="001A4465"/>
    <w:rsid w:val="001A49C2"/>
    <w:rsid w:val="001A54C6"/>
    <w:rsid w:val="001A5C21"/>
    <w:rsid w:val="001A6D8A"/>
    <w:rsid w:val="001A6DC2"/>
    <w:rsid w:val="001A6E5F"/>
    <w:rsid w:val="001B0020"/>
    <w:rsid w:val="001B154C"/>
    <w:rsid w:val="001B2549"/>
    <w:rsid w:val="001B2DC7"/>
    <w:rsid w:val="001B356B"/>
    <w:rsid w:val="001B3B05"/>
    <w:rsid w:val="001B3DCC"/>
    <w:rsid w:val="001B456E"/>
    <w:rsid w:val="001B4685"/>
    <w:rsid w:val="001B4845"/>
    <w:rsid w:val="001B4EF0"/>
    <w:rsid w:val="001B6A37"/>
    <w:rsid w:val="001B7849"/>
    <w:rsid w:val="001B7939"/>
    <w:rsid w:val="001C0919"/>
    <w:rsid w:val="001C0ADF"/>
    <w:rsid w:val="001C11C1"/>
    <w:rsid w:val="001C1544"/>
    <w:rsid w:val="001C156F"/>
    <w:rsid w:val="001C1681"/>
    <w:rsid w:val="001C183D"/>
    <w:rsid w:val="001C1BDF"/>
    <w:rsid w:val="001C1CD9"/>
    <w:rsid w:val="001C2353"/>
    <w:rsid w:val="001C25F3"/>
    <w:rsid w:val="001C317B"/>
    <w:rsid w:val="001C3917"/>
    <w:rsid w:val="001C4747"/>
    <w:rsid w:val="001C518C"/>
    <w:rsid w:val="001C51CC"/>
    <w:rsid w:val="001C523F"/>
    <w:rsid w:val="001C528F"/>
    <w:rsid w:val="001C6119"/>
    <w:rsid w:val="001C6BC8"/>
    <w:rsid w:val="001C7450"/>
    <w:rsid w:val="001D0A09"/>
    <w:rsid w:val="001D0FE1"/>
    <w:rsid w:val="001D1B5A"/>
    <w:rsid w:val="001D2591"/>
    <w:rsid w:val="001D3065"/>
    <w:rsid w:val="001D3229"/>
    <w:rsid w:val="001D36B7"/>
    <w:rsid w:val="001D396D"/>
    <w:rsid w:val="001D4090"/>
    <w:rsid w:val="001D418C"/>
    <w:rsid w:val="001D41BF"/>
    <w:rsid w:val="001D485F"/>
    <w:rsid w:val="001D5A44"/>
    <w:rsid w:val="001D5DB1"/>
    <w:rsid w:val="001D643A"/>
    <w:rsid w:val="001D7670"/>
    <w:rsid w:val="001E052F"/>
    <w:rsid w:val="001E10FC"/>
    <w:rsid w:val="001E1F36"/>
    <w:rsid w:val="001E22BF"/>
    <w:rsid w:val="001E2408"/>
    <w:rsid w:val="001E267F"/>
    <w:rsid w:val="001E2867"/>
    <w:rsid w:val="001E4D58"/>
    <w:rsid w:val="001E518C"/>
    <w:rsid w:val="001E564F"/>
    <w:rsid w:val="001E58E4"/>
    <w:rsid w:val="001E5DD4"/>
    <w:rsid w:val="001E67A4"/>
    <w:rsid w:val="001E7E19"/>
    <w:rsid w:val="001F03C1"/>
    <w:rsid w:val="001F0755"/>
    <w:rsid w:val="001F0D21"/>
    <w:rsid w:val="001F1050"/>
    <w:rsid w:val="001F11B5"/>
    <w:rsid w:val="001F1EE0"/>
    <w:rsid w:val="001F227E"/>
    <w:rsid w:val="001F36AD"/>
    <w:rsid w:val="001F412D"/>
    <w:rsid w:val="001F4343"/>
    <w:rsid w:val="001F4664"/>
    <w:rsid w:val="001F5B95"/>
    <w:rsid w:val="001F6501"/>
    <w:rsid w:val="001F6A01"/>
    <w:rsid w:val="001F7C44"/>
    <w:rsid w:val="0020087E"/>
    <w:rsid w:val="00200F15"/>
    <w:rsid w:val="002012C9"/>
    <w:rsid w:val="002016D1"/>
    <w:rsid w:val="00203F76"/>
    <w:rsid w:val="002054CF"/>
    <w:rsid w:val="00205659"/>
    <w:rsid w:val="00206331"/>
    <w:rsid w:val="0020635E"/>
    <w:rsid w:val="00206531"/>
    <w:rsid w:val="00206688"/>
    <w:rsid w:val="00206A5A"/>
    <w:rsid w:val="002072BE"/>
    <w:rsid w:val="00207D82"/>
    <w:rsid w:val="00211563"/>
    <w:rsid w:val="00212410"/>
    <w:rsid w:val="00212DC5"/>
    <w:rsid w:val="0021314D"/>
    <w:rsid w:val="002134AF"/>
    <w:rsid w:val="00214339"/>
    <w:rsid w:val="002150C6"/>
    <w:rsid w:val="0021593A"/>
    <w:rsid w:val="002165D0"/>
    <w:rsid w:val="00216A4D"/>
    <w:rsid w:val="0021721F"/>
    <w:rsid w:val="002172FA"/>
    <w:rsid w:val="002175DE"/>
    <w:rsid w:val="002206A1"/>
    <w:rsid w:val="0022076F"/>
    <w:rsid w:val="0022160B"/>
    <w:rsid w:val="00223A7F"/>
    <w:rsid w:val="00223F5E"/>
    <w:rsid w:val="00224ED4"/>
    <w:rsid w:val="0022517F"/>
    <w:rsid w:val="00226688"/>
    <w:rsid w:val="00227F76"/>
    <w:rsid w:val="002305A6"/>
    <w:rsid w:val="00230B17"/>
    <w:rsid w:val="00230F4E"/>
    <w:rsid w:val="00231176"/>
    <w:rsid w:val="002311F7"/>
    <w:rsid w:val="002312A6"/>
    <w:rsid w:val="002315A4"/>
    <w:rsid w:val="00231917"/>
    <w:rsid w:val="0023240F"/>
    <w:rsid w:val="00233134"/>
    <w:rsid w:val="00233212"/>
    <w:rsid w:val="002337DB"/>
    <w:rsid w:val="00233C2A"/>
    <w:rsid w:val="002342D2"/>
    <w:rsid w:val="00234742"/>
    <w:rsid w:val="00234E29"/>
    <w:rsid w:val="00235A61"/>
    <w:rsid w:val="0023744A"/>
    <w:rsid w:val="002377D2"/>
    <w:rsid w:val="00237BB5"/>
    <w:rsid w:val="002421C3"/>
    <w:rsid w:val="00242337"/>
    <w:rsid w:val="0024297F"/>
    <w:rsid w:val="00242DA9"/>
    <w:rsid w:val="0024428C"/>
    <w:rsid w:val="002445C9"/>
    <w:rsid w:val="00244637"/>
    <w:rsid w:val="00244E06"/>
    <w:rsid w:val="00245C0D"/>
    <w:rsid w:val="0024694F"/>
    <w:rsid w:val="00247353"/>
    <w:rsid w:val="00247710"/>
    <w:rsid w:val="00247922"/>
    <w:rsid w:val="00247A1B"/>
    <w:rsid w:val="00250788"/>
    <w:rsid w:val="00250AE1"/>
    <w:rsid w:val="00251981"/>
    <w:rsid w:val="00253118"/>
    <w:rsid w:val="002532DA"/>
    <w:rsid w:val="0025365F"/>
    <w:rsid w:val="00254AA4"/>
    <w:rsid w:val="00256D67"/>
    <w:rsid w:val="002576A2"/>
    <w:rsid w:val="002609CA"/>
    <w:rsid w:val="00260E98"/>
    <w:rsid w:val="002613E3"/>
    <w:rsid w:val="00261A07"/>
    <w:rsid w:val="00261B5F"/>
    <w:rsid w:val="00262207"/>
    <w:rsid w:val="00262DBD"/>
    <w:rsid w:val="00263510"/>
    <w:rsid w:val="002638AE"/>
    <w:rsid w:val="0026395B"/>
    <w:rsid w:val="0026488A"/>
    <w:rsid w:val="002649E0"/>
    <w:rsid w:val="0026528C"/>
    <w:rsid w:val="00266831"/>
    <w:rsid w:val="00266A8E"/>
    <w:rsid w:val="00267134"/>
    <w:rsid w:val="002712C2"/>
    <w:rsid w:val="002712E3"/>
    <w:rsid w:val="002716C2"/>
    <w:rsid w:val="00271A66"/>
    <w:rsid w:val="0027278E"/>
    <w:rsid w:val="00272D4F"/>
    <w:rsid w:val="00272F64"/>
    <w:rsid w:val="0027367C"/>
    <w:rsid w:val="00273D3E"/>
    <w:rsid w:val="002741DB"/>
    <w:rsid w:val="00274822"/>
    <w:rsid w:val="00275540"/>
    <w:rsid w:val="0027650D"/>
    <w:rsid w:val="002767B4"/>
    <w:rsid w:val="00276EB9"/>
    <w:rsid w:val="00277076"/>
    <w:rsid w:val="00280282"/>
    <w:rsid w:val="00280576"/>
    <w:rsid w:val="00280A45"/>
    <w:rsid w:val="00280EC5"/>
    <w:rsid w:val="00281C85"/>
    <w:rsid w:val="00281D99"/>
    <w:rsid w:val="0028233C"/>
    <w:rsid w:val="0028277B"/>
    <w:rsid w:val="00282CCB"/>
    <w:rsid w:val="002838C0"/>
    <w:rsid w:val="00284296"/>
    <w:rsid w:val="002842C6"/>
    <w:rsid w:val="002849D8"/>
    <w:rsid w:val="002849FB"/>
    <w:rsid w:val="002861B6"/>
    <w:rsid w:val="00286469"/>
    <w:rsid w:val="002864FC"/>
    <w:rsid w:val="00286AAD"/>
    <w:rsid w:val="0028794C"/>
    <w:rsid w:val="00291836"/>
    <w:rsid w:val="00292B93"/>
    <w:rsid w:val="00295062"/>
    <w:rsid w:val="002950DA"/>
    <w:rsid w:val="002A0A8E"/>
    <w:rsid w:val="002A0ED0"/>
    <w:rsid w:val="002A1198"/>
    <w:rsid w:val="002A173B"/>
    <w:rsid w:val="002A2A7D"/>
    <w:rsid w:val="002A32B4"/>
    <w:rsid w:val="002A3C99"/>
    <w:rsid w:val="002A4368"/>
    <w:rsid w:val="002A48C9"/>
    <w:rsid w:val="002A5915"/>
    <w:rsid w:val="002A6023"/>
    <w:rsid w:val="002A717E"/>
    <w:rsid w:val="002B05AD"/>
    <w:rsid w:val="002B0D0C"/>
    <w:rsid w:val="002B0F53"/>
    <w:rsid w:val="002B180B"/>
    <w:rsid w:val="002B1823"/>
    <w:rsid w:val="002B1C2F"/>
    <w:rsid w:val="002B2520"/>
    <w:rsid w:val="002B2989"/>
    <w:rsid w:val="002B39CB"/>
    <w:rsid w:val="002B3C59"/>
    <w:rsid w:val="002B3CB5"/>
    <w:rsid w:val="002B41A4"/>
    <w:rsid w:val="002B460A"/>
    <w:rsid w:val="002B4B9E"/>
    <w:rsid w:val="002B4E69"/>
    <w:rsid w:val="002B5438"/>
    <w:rsid w:val="002B5823"/>
    <w:rsid w:val="002B6D13"/>
    <w:rsid w:val="002B7A81"/>
    <w:rsid w:val="002B7F74"/>
    <w:rsid w:val="002C14FB"/>
    <w:rsid w:val="002C1CB1"/>
    <w:rsid w:val="002C22BF"/>
    <w:rsid w:val="002C230F"/>
    <w:rsid w:val="002C2E23"/>
    <w:rsid w:val="002C3012"/>
    <w:rsid w:val="002C4FC4"/>
    <w:rsid w:val="002C5110"/>
    <w:rsid w:val="002C5116"/>
    <w:rsid w:val="002C5618"/>
    <w:rsid w:val="002C5947"/>
    <w:rsid w:val="002C61BC"/>
    <w:rsid w:val="002C6941"/>
    <w:rsid w:val="002C6CD0"/>
    <w:rsid w:val="002C6E69"/>
    <w:rsid w:val="002C7652"/>
    <w:rsid w:val="002C76A8"/>
    <w:rsid w:val="002D0257"/>
    <w:rsid w:val="002D0DFF"/>
    <w:rsid w:val="002D1EDA"/>
    <w:rsid w:val="002D2772"/>
    <w:rsid w:val="002D289C"/>
    <w:rsid w:val="002D3957"/>
    <w:rsid w:val="002D3DCF"/>
    <w:rsid w:val="002D4469"/>
    <w:rsid w:val="002D4747"/>
    <w:rsid w:val="002D52FA"/>
    <w:rsid w:val="002D5690"/>
    <w:rsid w:val="002D6153"/>
    <w:rsid w:val="002D717E"/>
    <w:rsid w:val="002D74AD"/>
    <w:rsid w:val="002D7C1C"/>
    <w:rsid w:val="002D7D3B"/>
    <w:rsid w:val="002E021F"/>
    <w:rsid w:val="002E0AE7"/>
    <w:rsid w:val="002E1267"/>
    <w:rsid w:val="002E1EF6"/>
    <w:rsid w:val="002E34D5"/>
    <w:rsid w:val="002E3F1C"/>
    <w:rsid w:val="002E4C06"/>
    <w:rsid w:val="002E4ED8"/>
    <w:rsid w:val="002E701B"/>
    <w:rsid w:val="002E7408"/>
    <w:rsid w:val="002E7995"/>
    <w:rsid w:val="002F0F53"/>
    <w:rsid w:val="002F3BB0"/>
    <w:rsid w:val="002F505E"/>
    <w:rsid w:val="002F5792"/>
    <w:rsid w:val="002F59CA"/>
    <w:rsid w:val="002F5FB9"/>
    <w:rsid w:val="002F6DB7"/>
    <w:rsid w:val="002F6F67"/>
    <w:rsid w:val="002F723A"/>
    <w:rsid w:val="00300A54"/>
    <w:rsid w:val="0030266D"/>
    <w:rsid w:val="003026EA"/>
    <w:rsid w:val="00302F7D"/>
    <w:rsid w:val="00303444"/>
    <w:rsid w:val="00303ADA"/>
    <w:rsid w:val="00303F4B"/>
    <w:rsid w:val="00303FC6"/>
    <w:rsid w:val="0030515B"/>
    <w:rsid w:val="003058FB"/>
    <w:rsid w:val="0030593F"/>
    <w:rsid w:val="00305D81"/>
    <w:rsid w:val="00305FFE"/>
    <w:rsid w:val="003072A5"/>
    <w:rsid w:val="00307C35"/>
    <w:rsid w:val="0031020C"/>
    <w:rsid w:val="00310AD9"/>
    <w:rsid w:val="00310B47"/>
    <w:rsid w:val="00311038"/>
    <w:rsid w:val="0031104C"/>
    <w:rsid w:val="00312543"/>
    <w:rsid w:val="00312BC7"/>
    <w:rsid w:val="00314B1E"/>
    <w:rsid w:val="00314C37"/>
    <w:rsid w:val="00314C88"/>
    <w:rsid w:val="00315556"/>
    <w:rsid w:val="00315590"/>
    <w:rsid w:val="00315C7E"/>
    <w:rsid w:val="00317A13"/>
    <w:rsid w:val="0032076B"/>
    <w:rsid w:val="00320D0F"/>
    <w:rsid w:val="00321E6B"/>
    <w:rsid w:val="00323EE6"/>
    <w:rsid w:val="00324341"/>
    <w:rsid w:val="003246A4"/>
    <w:rsid w:val="003256AD"/>
    <w:rsid w:val="00325805"/>
    <w:rsid w:val="003266D9"/>
    <w:rsid w:val="00326D44"/>
    <w:rsid w:val="003276BE"/>
    <w:rsid w:val="003278AB"/>
    <w:rsid w:val="00327F84"/>
    <w:rsid w:val="003308E0"/>
    <w:rsid w:val="00330FF8"/>
    <w:rsid w:val="00331B39"/>
    <w:rsid w:val="00331B6B"/>
    <w:rsid w:val="00331C91"/>
    <w:rsid w:val="0033249E"/>
    <w:rsid w:val="00332928"/>
    <w:rsid w:val="00332B8D"/>
    <w:rsid w:val="00332EA5"/>
    <w:rsid w:val="00333BE8"/>
    <w:rsid w:val="00333E16"/>
    <w:rsid w:val="0033443D"/>
    <w:rsid w:val="00335C07"/>
    <w:rsid w:val="003366E5"/>
    <w:rsid w:val="003368AC"/>
    <w:rsid w:val="003374D5"/>
    <w:rsid w:val="003401D7"/>
    <w:rsid w:val="00340285"/>
    <w:rsid w:val="0034086B"/>
    <w:rsid w:val="00340916"/>
    <w:rsid w:val="00340F83"/>
    <w:rsid w:val="0034241C"/>
    <w:rsid w:val="0034289F"/>
    <w:rsid w:val="00342BEE"/>
    <w:rsid w:val="003446A0"/>
    <w:rsid w:val="00344BBC"/>
    <w:rsid w:val="0034651A"/>
    <w:rsid w:val="00347A6A"/>
    <w:rsid w:val="00347E37"/>
    <w:rsid w:val="00350DA3"/>
    <w:rsid w:val="0035111F"/>
    <w:rsid w:val="00351BFA"/>
    <w:rsid w:val="00351C4A"/>
    <w:rsid w:val="00352CBB"/>
    <w:rsid w:val="00352E5C"/>
    <w:rsid w:val="00353235"/>
    <w:rsid w:val="003540F9"/>
    <w:rsid w:val="00354F0F"/>
    <w:rsid w:val="00355B0F"/>
    <w:rsid w:val="00355B9A"/>
    <w:rsid w:val="00356563"/>
    <w:rsid w:val="003575B8"/>
    <w:rsid w:val="0035770E"/>
    <w:rsid w:val="00361C72"/>
    <w:rsid w:val="0036235C"/>
    <w:rsid w:val="003642B7"/>
    <w:rsid w:val="00365276"/>
    <w:rsid w:val="00366232"/>
    <w:rsid w:val="003664F5"/>
    <w:rsid w:val="00366AC7"/>
    <w:rsid w:val="0037016F"/>
    <w:rsid w:val="0037082D"/>
    <w:rsid w:val="003709E7"/>
    <w:rsid w:val="00371AE9"/>
    <w:rsid w:val="00371B10"/>
    <w:rsid w:val="00371EA9"/>
    <w:rsid w:val="00372577"/>
    <w:rsid w:val="00372C70"/>
    <w:rsid w:val="0037399F"/>
    <w:rsid w:val="00373DA8"/>
    <w:rsid w:val="003741F7"/>
    <w:rsid w:val="00374298"/>
    <w:rsid w:val="00374C18"/>
    <w:rsid w:val="00375022"/>
    <w:rsid w:val="00375368"/>
    <w:rsid w:val="00376835"/>
    <w:rsid w:val="00376AF3"/>
    <w:rsid w:val="0037723D"/>
    <w:rsid w:val="00377462"/>
    <w:rsid w:val="00380091"/>
    <w:rsid w:val="00380783"/>
    <w:rsid w:val="003810CE"/>
    <w:rsid w:val="003822D6"/>
    <w:rsid w:val="00382814"/>
    <w:rsid w:val="003830E6"/>
    <w:rsid w:val="00386DA7"/>
    <w:rsid w:val="00387FD7"/>
    <w:rsid w:val="00390275"/>
    <w:rsid w:val="003903AF"/>
    <w:rsid w:val="00390DBD"/>
    <w:rsid w:val="00390E3E"/>
    <w:rsid w:val="003912F4"/>
    <w:rsid w:val="00391345"/>
    <w:rsid w:val="00391B2D"/>
    <w:rsid w:val="0039245F"/>
    <w:rsid w:val="003932B0"/>
    <w:rsid w:val="003939CC"/>
    <w:rsid w:val="00393B43"/>
    <w:rsid w:val="0039401C"/>
    <w:rsid w:val="00394933"/>
    <w:rsid w:val="00394949"/>
    <w:rsid w:val="00394995"/>
    <w:rsid w:val="00394EF8"/>
    <w:rsid w:val="00395A85"/>
    <w:rsid w:val="00395B19"/>
    <w:rsid w:val="00396E4B"/>
    <w:rsid w:val="003A03E0"/>
    <w:rsid w:val="003A04C4"/>
    <w:rsid w:val="003A0809"/>
    <w:rsid w:val="003A1508"/>
    <w:rsid w:val="003A1752"/>
    <w:rsid w:val="003A1B1E"/>
    <w:rsid w:val="003A2015"/>
    <w:rsid w:val="003A20D6"/>
    <w:rsid w:val="003A3F22"/>
    <w:rsid w:val="003A6041"/>
    <w:rsid w:val="003A6250"/>
    <w:rsid w:val="003A6294"/>
    <w:rsid w:val="003A6741"/>
    <w:rsid w:val="003A6895"/>
    <w:rsid w:val="003A731F"/>
    <w:rsid w:val="003A7527"/>
    <w:rsid w:val="003A7C68"/>
    <w:rsid w:val="003B0377"/>
    <w:rsid w:val="003B0B27"/>
    <w:rsid w:val="003B0C4F"/>
    <w:rsid w:val="003B1054"/>
    <w:rsid w:val="003B11F0"/>
    <w:rsid w:val="003B180E"/>
    <w:rsid w:val="003B19CE"/>
    <w:rsid w:val="003B1B0F"/>
    <w:rsid w:val="003B1CC3"/>
    <w:rsid w:val="003B1E09"/>
    <w:rsid w:val="003B2C8C"/>
    <w:rsid w:val="003B2E84"/>
    <w:rsid w:val="003B3BDE"/>
    <w:rsid w:val="003B4044"/>
    <w:rsid w:val="003B43CA"/>
    <w:rsid w:val="003B69C5"/>
    <w:rsid w:val="003B6A1E"/>
    <w:rsid w:val="003B6AC8"/>
    <w:rsid w:val="003B6C41"/>
    <w:rsid w:val="003B7B3F"/>
    <w:rsid w:val="003B7D57"/>
    <w:rsid w:val="003C0E27"/>
    <w:rsid w:val="003C344E"/>
    <w:rsid w:val="003C4150"/>
    <w:rsid w:val="003C45E1"/>
    <w:rsid w:val="003C5113"/>
    <w:rsid w:val="003C55D6"/>
    <w:rsid w:val="003C6C5B"/>
    <w:rsid w:val="003D0B3F"/>
    <w:rsid w:val="003D0DE0"/>
    <w:rsid w:val="003D1940"/>
    <w:rsid w:val="003D1A7B"/>
    <w:rsid w:val="003D1BC5"/>
    <w:rsid w:val="003D1E54"/>
    <w:rsid w:val="003D2247"/>
    <w:rsid w:val="003D30A6"/>
    <w:rsid w:val="003D316B"/>
    <w:rsid w:val="003D3172"/>
    <w:rsid w:val="003D31B6"/>
    <w:rsid w:val="003D4DEB"/>
    <w:rsid w:val="003D5ABF"/>
    <w:rsid w:val="003D5B37"/>
    <w:rsid w:val="003D60D2"/>
    <w:rsid w:val="003E0214"/>
    <w:rsid w:val="003E0266"/>
    <w:rsid w:val="003E103D"/>
    <w:rsid w:val="003E12F6"/>
    <w:rsid w:val="003E161B"/>
    <w:rsid w:val="003E1EB4"/>
    <w:rsid w:val="003E2A52"/>
    <w:rsid w:val="003E3F20"/>
    <w:rsid w:val="003E41BF"/>
    <w:rsid w:val="003E4634"/>
    <w:rsid w:val="003E51B3"/>
    <w:rsid w:val="003E65B2"/>
    <w:rsid w:val="003E6682"/>
    <w:rsid w:val="003E6C2A"/>
    <w:rsid w:val="003E72A6"/>
    <w:rsid w:val="003E7988"/>
    <w:rsid w:val="003F0E5D"/>
    <w:rsid w:val="003F138B"/>
    <w:rsid w:val="003F15ED"/>
    <w:rsid w:val="003F163F"/>
    <w:rsid w:val="003F1DE5"/>
    <w:rsid w:val="003F2090"/>
    <w:rsid w:val="003F2835"/>
    <w:rsid w:val="003F3196"/>
    <w:rsid w:val="003F36DB"/>
    <w:rsid w:val="003F3E1A"/>
    <w:rsid w:val="003F5212"/>
    <w:rsid w:val="003F6323"/>
    <w:rsid w:val="00400380"/>
    <w:rsid w:val="0040050D"/>
    <w:rsid w:val="00400816"/>
    <w:rsid w:val="0040188D"/>
    <w:rsid w:val="00401906"/>
    <w:rsid w:val="00401C7D"/>
    <w:rsid w:val="004033A2"/>
    <w:rsid w:val="00403592"/>
    <w:rsid w:val="00403D9F"/>
    <w:rsid w:val="0040462F"/>
    <w:rsid w:val="00405FFC"/>
    <w:rsid w:val="004066CB"/>
    <w:rsid w:val="00406B75"/>
    <w:rsid w:val="0040724C"/>
    <w:rsid w:val="00407BC0"/>
    <w:rsid w:val="004105AC"/>
    <w:rsid w:val="00410A6D"/>
    <w:rsid w:val="00410D8F"/>
    <w:rsid w:val="004117B7"/>
    <w:rsid w:val="004120B9"/>
    <w:rsid w:val="004126A6"/>
    <w:rsid w:val="00413023"/>
    <w:rsid w:val="004130F3"/>
    <w:rsid w:val="00413194"/>
    <w:rsid w:val="00413233"/>
    <w:rsid w:val="004142E9"/>
    <w:rsid w:val="00416881"/>
    <w:rsid w:val="00416C6F"/>
    <w:rsid w:val="00420ADB"/>
    <w:rsid w:val="004211BD"/>
    <w:rsid w:val="00421DF4"/>
    <w:rsid w:val="00422741"/>
    <w:rsid w:val="004228A2"/>
    <w:rsid w:val="00423DF8"/>
    <w:rsid w:val="0042422B"/>
    <w:rsid w:val="00424984"/>
    <w:rsid w:val="00424ECC"/>
    <w:rsid w:val="00425709"/>
    <w:rsid w:val="004276E3"/>
    <w:rsid w:val="004278A6"/>
    <w:rsid w:val="00427B0F"/>
    <w:rsid w:val="00430050"/>
    <w:rsid w:val="00431ED9"/>
    <w:rsid w:val="00432146"/>
    <w:rsid w:val="004323D4"/>
    <w:rsid w:val="00434823"/>
    <w:rsid w:val="00434EF1"/>
    <w:rsid w:val="0043511A"/>
    <w:rsid w:val="004351E8"/>
    <w:rsid w:val="00435A12"/>
    <w:rsid w:val="00435B29"/>
    <w:rsid w:val="00435CCD"/>
    <w:rsid w:val="004364FC"/>
    <w:rsid w:val="00436663"/>
    <w:rsid w:val="004373EB"/>
    <w:rsid w:val="00437697"/>
    <w:rsid w:val="00441901"/>
    <w:rsid w:val="00441FA1"/>
    <w:rsid w:val="00442113"/>
    <w:rsid w:val="00442441"/>
    <w:rsid w:val="00442A14"/>
    <w:rsid w:val="00444F43"/>
    <w:rsid w:val="004451D7"/>
    <w:rsid w:val="004451F8"/>
    <w:rsid w:val="00446073"/>
    <w:rsid w:val="00446838"/>
    <w:rsid w:val="00446BCD"/>
    <w:rsid w:val="00446E48"/>
    <w:rsid w:val="0045202C"/>
    <w:rsid w:val="00452DA2"/>
    <w:rsid w:val="00452E6E"/>
    <w:rsid w:val="00453809"/>
    <w:rsid w:val="0045467F"/>
    <w:rsid w:val="00455676"/>
    <w:rsid w:val="0045624B"/>
    <w:rsid w:val="004566A4"/>
    <w:rsid w:val="00456A13"/>
    <w:rsid w:val="004577B5"/>
    <w:rsid w:val="00457A5F"/>
    <w:rsid w:val="00457F8F"/>
    <w:rsid w:val="00460889"/>
    <w:rsid w:val="00460E42"/>
    <w:rsid w:val="00461830"/>
    <w:rsid w:val="0046320C"/>
    <w:rsid w:val="0046348D"/>
    <w:rsid w:val="004634A8"/>
    <w:rsid w:val="00463D78"/>
    <w:rsid w:val="00464399"/>
    <w:rsid w:val="00464A8F"/>
    <w:rsid w:val="00464CAC"/>
    <w:rsid w:val="00465287"/>
    <w:rsid w:val="004654BE"/>
    <w:rsid w:val="00466495"/>
    <w:rsid w:val="004671D0"/>
    <w:rsid w:val="00470240"/>
    <w:rsid w:val="00470623"/>
    <w:rsid w:val="0047129D"/>
    <w:rsid w:val="00471926"/>
    <w:rsid w:val="00471E8A"/>
    <w:rsid w:val="00472065"/>
    <w:rsid w:val="00472148"/>
    <w:rsid w:val="0047302A"/>
    <w:rsid w:val="00473FBF"/>
    <w:rsid w:val="0047492D"/>
    <w:rsid w:val="0047605D"/>
    <w:rsid w:val="0047656B"/>
    <w:rsid w:val="00476631"/>
    <w:rsid w:val="00477083"/>
    <w:rsid w:val="00477CB4"/>
    <w:rsid w:val="00480C1A"/>
    <w:rsid w:val="004819C6"/>
    <w:rsid w:val="00481A4E"/>
    <w:rsid w:val="00481E51"/>
    <w:rsid w:val="004823E8"/>
    <w:rsid w:val="00484689"/>
    <w:rsid w:val="00484EBB"/>
    <w:rsid w:val="00486260"/>
    <w:rsid w:val="00487509"/>
    <w:rsid w:val="00487DAB"/>
    <w:rsid w:val="00492C23"/>
    <w:rsid w:val="004933A3"/>
    <w:rsid w:val="00493772"/>
    <w:rsid w:val="00493DDA"/>
    <w:rsid w:val="00494059"/>
    <w:rsid w:val="004946CE"/>
    <w:rsid w:val="004955E4"/>
    <w:rsid w:val="004972D1"/>
    <w:rsid w:val="0049749E"/>
    <w:rsid w:val="004977A4"/>
    <w:rsid w:val="004A0285"/>
    <w:rsid w:val="004A02EF"/>
    <w:rsid w:val="004A049F"/>
    <w:rsid w:val="004A0E1C"/>
    <w:rsid w:val="004A16F3"/>
    <w:rsid w:val="004A3ACF"/>
    <w:rsid w:val="004A3D1D"/>
    <w:rsid w:val="004A3D3D"/>
    <w:rsid w:val="004A3EEB"/>
    <w:rsid w:val="004A416C"/>
    <w:rsid w:val="004A444C"/>
    <w:rsid w:val="004A4481"/>
    <w:rsid w:val="004A4D50"/>
    <w:rsid w:val="004A5162"/>
    <w:rsid w:val="004A5668"/>
    <w:rsid w:val="004A635F"/>
    <w:rsid w:val="004A6C79"/>
    <w:rsid w:val="004A7AF5"/>
    <w:rsid w:val="004B0817"/>
    <w:rsid w:val="004B15D2"/>
    <w:rsid w:val="004B1C71"/>
    <w:rsid w:val="004B3194"/>
    <w:rsid w:val="004B339A"/>
    <w:rsid w:val="004B3BB3"/>
    <w:rsid w:val="004B3D2A"/>
    <w:rsid w:val="004B409A"/>
    <w:rsid w:val="004B4322"/>
    <w:rsid w:val="004B5E90"/>
    <w:rsid w:val="004B689B"/>
    <w:rsid w:val="004B757D"/>
    <w:rsid w:val="004B79D4"/>
    <w:rsid w:val="004C0174"/>
    <w:rsid w:val="004C01C9"/>
    <w:rsid w:val="004C15FC"/>
    <w:rsid w:val="004C1814"/>
    <w:rsid w:val="004C1EA1"/>
    <w:rsid w:val="004C1F42"/>
    <w:rsid w:val="004C2618"/>
    <w:rsid w:val="004C28FD"/>
    <w:rsid w:val="004C2A46"/>
    <w:rsid w:val="004C2C57"/>
    <w:rsid w:val="004C37E4"/>
    <w:rsid w:val="004C3E7A"/>
    <w:rsid w:val="004C4320"/>
    <w:rsid w:val="004C439D"/>
    <w:rsid w:val="004C44BB"/>
    <w:rsid w:val="004C4BEC"/>
    <w:rsid w:val="004C4FD9"/>
    <w:rsid w:val="004C546E"/>
    <w:rsid w:val="004C54B5"/>
    <w:rsid w:val="004C6DA4"/>
    <w:rsid w:val="004C73E2"/>
    <w:rsid w:val="004C7436"/>
    <w:rsid w:val="004D05B3"/>
    <w:rsid w:val="004D0CD3"/>
    <w:rsid w:val="004D113E"/>
    <w:rsid w:val="004D18C6"/>
    <w:rsid w:val="004D1A41"/>
    <w:rsid w:val="004D1A70"/>
    <w:rsid w:val="004D1A7C"/>
    <w:rsid w:val="004D1B6E"/>
    <w:rsid w:val="004D2C2F"/>
    <w:rsid w:val="004D35F4"/>
    <w:rsid w:val="004D3801"/>
    <w:rsid w:val="004D3DE0"/>
    <w:rsid w:val="004D41E0"/>
    <w:rsid w:val="004D49A0"/>
    <w:rsid w:val="004D4D9D"/>
    <w:rsid w:val="004D4DC4"/>
    <w:rsid w:val="004D51F3"/>
    <w:rsid w:val="004D52B3"/>
    <w:rsid w:val="004D53FC"/>
    <w:rsid w:val="004D69D7"/>
    <w:rsid w:val="004D73CE"/>
    <w:rsid w:val="004D756E"/>
    <w:rsid w:val="004E022F"/>
    <w:rsid w:val="004E062B"/>
    <w:rsid w:val="004E1B34"/>
    <w:rsid w:val="004E309D"/>
    <w:rsid w:val="004E3968"/>
    <w:rsid w:val="004E3DD1"/>
    <w:rsid w:val="004E402E"/>
    <w:rsid w:val="004E407D"/>
    <w:rsid w:val="004E48C1"/>
    <w:rsid w:val="004E4B94"/>
    <w:rsid w:val="004E508B"/>
    <w:rsid w:val="004E5132"/>
    <w:rsid w:val="004E54F8"/>
    <w:rsid w:val="004E57CA"/>
    <w:rsid w:val="004E57ED"/>
    <w:rsid w:val="004E6816"/>
    <w:rsid w:val="004E6B5E"/>
    <w:rsid w:val="004F025F"/>
    <w:rsid w:val="004F05FA"/>
    <w:rsid w:val="004F1401"/>
    <w:rsid w:val="004F1B99"/>
    <w:rsid w:val="004F228C"/>
    <w:rsid w:val="004F386A"/>
    <w:rsid w:val="004F44C1"/>
    <w:rsid w:val="004F5057"/>
    <w:rsid w:val="004F68F7"/>
    <w:rsid w:val="004F6C62"/>
    <w:rsid w:val="004F7351"/>
    <w:rsid w:val="004F78A3"/>
    <w:rsid w:val="00500335"/>
    <w:rsid w:val="0050072A"/>
    <w:rsid w:val="00500991"/>
    <w:rsid w:val="00500E6E"/>
    <w:rsid w:val="0050151F"/>
    <w:rsid w:val="00502B55"/>
    <w:rsid w:val="005031C0"/>
    <w:rsid w:val="0050381D"/>
    <w:rsid w:val="00503C16"/>
    <w:rsid w:val="00505799"/>
    <w:rsid w:val="00505C3B"/>
    <w:rsid w:val="00505EA1"/>
    <w:rsid w:val="00506012"/>
    <w:rsid w:val="00506977"/>
    <w:rsid w:val="00506C5D"/>
    <w:rsid w:val="005076BC"/>
    <w:rsid w:val="005077C9"/>
    <w:rsid w:val="00507CE4"/>
    <w:rsid w:val="00507D56"/>
    <w:rsid w:val="0051013A"/>
    <w:rsid w:val="00512092"/>
    <w:rsid w:val="00512987"/>
    <w:rsid w:val="00512C39"/>
    <w:rsid w:val="00513F50"/>
    <w:rsid w:val="00514A8B"/>
    <w:rsid w:val="005152D3"/>
    <w:rsid w:val="00515CC2"/>
    <w:rsid w:val="0051684F"/>
    <w:rsid w:val="00517C46"/>
    <w:rsid w:val="00520359"/>
    <w:rsid w:val="00520706"/>
    <w:rsid w:val="005207B4"/>
    <w:rsid w:val="005208B1"/>
    <w:rsid w:val="005208E4"/>
    <w:rsid w:val="005208EE"/>
    <w:rsid w:val="005208F2"/>
    <w:rsid w:val="00521132"/>
    <w:rsid w:val="00521666"/>
    <w:rsid w:val="00521DFF"/>
    <w:rsid w:val="005231DD"/>
    <w:rsid w:val="00524171"/>
    <w:rsid w:val="00524205"/>
    <w:rsid w:val="00525495"/>
    <w:rsid w:val="005255FC"/>
    <w:rsid w:val="00525692"/>
    <w:rsid w:val="00525BEA"/>
    <w:rsid w:val="00526116"/>
    <w:rsid w:val="0052635E"/>
    <w:rsid w:val="00526838"/>
    <w:rsid w:val="005268FE"/>
    <w:rsid w:val="00526C42"/>
    <w:rsid w:val="00526CE6"/>
    <w:rsid w:val="00527148"/>
    <w:rsid w:val="00527A54"/>
    <w:rsid w:val="00527C1E"/>
    <w:rsid w:val="00527C49"/>
    <w:rsid w:val="00527FD8"/>
    <w:rsid w:val="00530280"/>
    <w:rsid w:val="00530665"/>
    <w:rsid w:val="00530C93"/>
    <w:rsid w:val="00530CCF"/>
    <w:rsid w:val="00531141"/>
    <w:rsid w:val="0053233D"/>
    <w:rsid w:val="00532836"/>
    <w:rsid w:val="0053369E"/>
    <w:rsid w:val="005346D1"/>
    <w:rsid w:val="00534800"/>
    <w:rsid w:val="005353FF"/>
    <w:rsid w:val="00535494"/>
    <w:rsid w:val="00535926"/>
    <w:rsid w:val="005367A8"/>
    <w:rsid w:val="005367F6"/>
    <w:rsid w:val="00536A1D"/>
    <w:rsid w:val="0053731F"/>
    <w:rsid w:val="005377C0"/>
    <w:rsid w:val="005407FD"/>
    <w:rsid w:val="0054193E"/>
    <w:rsid w:val="00541960"/>
    <w:rsid w:val="00541C52"/>
    <w:rsid w:val="0054367E"/>
    <w:rsid w:val="00543A41"/>
    <w:rsid w:val="00544131"/>
    <w:rsid w:val="00544282"/>
    <w:rsid w:val="00546872"/>
    <w:rsid w:val="0054709F"/>
    <w:rsid w:val="005477A5"/>
    <w:rsid w:val="00550973"/>
    <w:rsid w:val="00550CAE"/>
    <w:rsid w:val="00551710"/>
    <w:rsid w:val="00552DAB"/>
    <w:rsid w:val="005536CE"/>
    <w:rsid w:val="005548B3"/>
    <w:rsid w:val="00554A46"/>
    <w:rsid w:val="00554F1F"/>
    <w:rsid w:val="0055593D"/>
    <w:rsid w:val="00556FC8"/>
    <w:rsid w:val="005574E3"/>
    <w:rsid w:val="00557506"/>
    <w:rsid w:val="005577BA"/>
    <w:rsid w:val="00561F90"/>
    <w:rsid w:val="005634EC"/>
    <w:rsid w:val="00563B04"/>
    <w:rsid w:val="005643D3"/>
    <w:rsid w:val="00565A23"/>
    <w:rsid w:val="00565F78"/>
    <w:rsid w:val="0056625F"/>
    <w:rsid w:val="00566382"/>
    <w:rsid w:val="005663AF"/>
    <w:rsid w:val="0056690A"/>
    <w:rsid w:val="005674FB"/>
    <w:rsid w:val="005701A3"/>
    <w:rsid w:val="00570304"/>
    <w:rsid w:val="00570772"/>
    <w:rsid w:val="0057245A"/>
    <w:rsid w:val="00572506"/>
    <w:rsid w:val="00572775"/>
    <w:rsid w:val="00572830"/>
    <w:rsid w:val="005729DD"/>
    <w:rsid w:val="005729E1"/>
    <w:rsid w:val="00572BD2"/>
    <w:rsid w:val="00573092"/>
    <w:rsid w:val="005730AB"/>
    <w:rsid w:val="00573327"/>
    <w:rsid w:val="00574273"/>
    <w:rsid w:val="005748A1"/>
    <w:rsid w:val="00574F45"/>
    <w:rsid w:val="00575380"/>
    <w:rsid w:val="00575623"/>
    <w:rsid w:val="005761AD"/>
    <w:rsid w:val="005769C9"/>
    <w:rsid w:val="00577292"/>
    <w:rsid w:val="00577E5E"/>
    <w:rsid w:val="005802A4"/>
    <w:rsid w:val="005802E8"/>
    <w:rsid w:val="00580CE6"/>
    <w:rsid w:val="0058222C"/>
    <w:rsid w:val="00582CE9"/>
    <w:rsid w:val="00582E6F"/>
    <w:rsid w:val="00583AFD"/>
    <w:rsid w:val="00583CD7"/>
    <w:rsid w:val="00585A87"/>
    <w:rsid w:val="0058648A"/>
    <w:rsid w:val="005902A6"/>
    <w:rsid w:val="00590AB5"/>
    <w:rsid w:val="00590B37"/>
    <w:rsid w:val="00591E00"/>
    <w:rsid w:val="005921C5"/>
    <w:rsid w:val="005924D6"/>
    <w:rsid w:val="005930E7"/>
    <w:rsid w:val="0059341D"/>
    <w:rsid w:val="0059344B"/>
    <w:rsid w:val="0059382D"/>
    <w:rsid w:val="0059412E"/>
    <w:rsid w:val="0059476B"/>
    <w:rsid w:val="00594DE4"/>
    <w:rsid w:val="00595235"/>
    <w:rsid w:val="00595B5B"/>
    <w:rsid w:val="00596D78"/>
    <w:rsid w:val="00597B01"/>
    <w:rsid w:val="00597EFD"/>
    <w:rsid w:val="005A0A74"/>
    <w:rsid w:val="005A0CDD"/>
    <w:rsid w:val="005A15C8"/>
    <w:rsid w:val="005A1C41"/>
    <w:rsid w:val="005A1EFE"/>
    <w:rsid w:val="005A23D5"/>
    <w:rsid w:val="005A26BC"/>
    <w:rsid w:val="005A2D98"/>
    <w:rsid w:val="005A3164"/>
    <w:rsid w:val="005A3B8B"/>
    <w:rsid w:val="005A3FDD"/>
    <w:rsid w:val="005A442B"/>
    <w:rsid w:val="005A4C98"/>
    <w:rsid w:val="005A4F4D"/>
    <w:rsid w:val="005A5D65"/>
    <w:rsid w:val="005A659F"/>
    <w:rsid w:val="005A6A0F"/>
    <w:rsid w:val="005B2515"/>
    <w:rsid w:val="005B3919"/>
    <w:rsid w:val="005B5259"/>
    <w:rsid w:val="005B6887"/>
    <w:rsid w:val="005B6F44"/>
    <w:rsid w:val="005C0CFC"/>
    <w:rsid w:val="005C479E"/>
    <w:rsid w:val="005C4C21"/>
    <w:rsid w:val="005C50BA"/>
    <w:rsid w:val="005C58FE"/>
    <w:rsid w:val="005C598F"/>
    <w:rsid w:val="005C72BE"/>
    <w:rsid w:val="005C79A6"/>
    <w:rsid w:val="005C7A30"/>
    <w:rsid w:val="005C7A7C"/>
    <w:rsid w:val="005D1900"/>
    <w:rsid w:val="005D264C"/>
    <w:rsid w:val="005D2885"/>
    <w:rsid w:val="005D2C05"/>
    <w:rsid w:val="005D3164"/>
    <w:rsid w:val="005D3F4A"/>
    <w:rsid w:val="005D4561"/>
    <w:rsid w:val="005D5203"/>
    <w:rsid w:val="005D54E9"/>
    <w:rsid w:val="005D5C70"/>
    <w:rsid w:val="005D660F"/>
    <w:rsid w:val="005D6AC7"/>
    <w:rsid w:val="005D7381"/>
    <w:rsid w:val="005D7747"/>
    <w:rsid w:val="005D7A05"/>
    <w:rsid w:val="005D7FD0"/>
    <w:rsid w:val="005E0D26"/>
    <w:rsid w:val="005E1C9F"/>
    <w:rsid w:val="005E2517"/>
    <w:rsid w:val="005E365B"/>
    <w:rsid w:val="005E3B27"/>
    <w:rsid w:val="005E3DB7"/>
    <w:rsid w:val="005E4338"/>
    <w:rsid w:val="005E52CC"/>
    <w:rsid w:val="005E54CF"/>
    <w:rsid w:val="005E6261"/>
    <w:rsid w:val="005E71F3"/>
    <w:rsid w:val="005E7E51"/>
    <w:rsid w:val="005F01D7"/>
    <w:rsid w:val="005F04BA"/>
    <w:rsid w:val="005F0A5D"/>
    <w:rsid w:val="005F1CEB"/>
    <w:rsid w:val="005F3287"/>
    <w:rsid w:val="005F32A5"/>
    <w:rsid w:val="005F49DE"/>
    <w:rsid w:val="005F4F7C"/>
    <w:rsid w:val="005F5526"/>
    <w:rsid w:val="005F5823"/>
    <w:rsid w:val="005F649F"/>
    <w:rsid w:val="005F7F3B"/>
    <w:rsid w:val="00600292"/>
    <w:rsid w:val="006004BC"/>
    <w:rsid w:val="00600EDE"/>
    <w:rsid w:val="006016A0"/>
    <w:rsid w:val="006017DB"/>
    <w:rsid w:val="0060280C"/>
    <w:rsid w:val="00602FFB"/>
    <w:rsid w:val="00603843"/>
    <w:rsid w:val="0060563C"/>
    <w:rsid w:val="00605AFE"/>
    <w:rsid w:val="00606415"/>
    <w:rsid w:val="00606D3B"/>
    <w:rsid w:val="00606FC7"/>
    <w:rsid w:val="00610225"/>
    <w:rsid w:val="00610B5D"/>
    <w:rsid w:val="00612E9B"/>
    <w:rsid w:val="00613109"/>
    <w:rsid w:val="0061333E"/>
    <w:rsid w:val="006133E0"/>
    <w:rsid w:val="00613D31"/>
    <w:rsid w:val="006144BD"/>
    <w:rsid w:val="00614B2E"/>
    <w:rsid w:val="00615424"/>
    <w:rsid w:val="00615643"/>
    <w:rsid w:val="00615AB1"/>
    <w:rsid w:val="0061722D"/>
    <w:rsid w:val="00617A37"/>
    <w:rsid w:val="00620FC0"/>
    <w:rsid w:val="006213F2"/>
    <w:rsid w:val="006215AA"/>
    <w:rsid w:val="00621DC7"/>
    <w:rsid w:val="006223F1"/>
    <w:rsid w:val="00622A07"/>
    <w:rsid w:val="00622C3D"/>
    <w:rsid w:val="00622E32"/>
    <w:rsid w:val="006230B9"/>
    <w:rsid w:val="0062327A"/>
    <w:rsid w:val="00624083"/>
    <w:rsid w:val="00624495"/>
    <w:rsid w:val="006246D7"/>
    <w:rsid w:val="006258BE"/>
    <w:rsid w:val="00625CD0"/>
    <w:rsid w:val="00626492"/>
    <w:rsid w:val="006264C0"/>
    <w:rsid w:val="00626FDC"/>
    <w:rsid w:val="006271FE"/>
    <w:rsid w:val="00627229"/>
    <w:rsid w:val="00627A11"/>
    <w:rsid w:val="00630884"/>
    <w:rsid w:val="00630DC3"/>
    <w:rsid w:val="00630E82"/>
    <w:rsid w:val="00631BFE"/>
    <w:rsid w:val="00632487"/>
    <w:rsid w:val="00632624"/>
    <w:rsid w:val="00632FCB"/>
    <w:rsid w:val="006337D6"/>
    <w:rsid w:val="006349C2"/>
    <w:rsid w:val="006349EA"/>
    <w:rsid w:val="00635471"/>
    <w:rsid w:val="006356E0"/>
    <w:rsid w:val="00635B2D"/>
    <w:rsid w:val="00635FD8"/>
    <w:rsid w:val="006368ED"/>
    <w:rsid w:val="00636903"/>
    <w:rsid w:val="0063764D"/>
    <w:rsid w:val="0063782A"/>
    <w:rsid w:val="0063792F"/>
    <w:rsid w:val="00637D6C"/>
    <w:rsid w:val="006401CA"/>
    <w:rsid w:val="00640306"/>
    <w:rsid w:val="0064047B"/>
    <w:rsid w:val="00641050"/>
    <w:rsid w:val="00641081"/>
    <w:rsid w:val="006411DF"/>
    <w:rsid w:val="00641BA3"/>
    <w:rsid w:val="00642601"/>
    <w:rsid w:val="00642CBE"/>
    <w:rsid w:val="00643D5F"/>
    <w:rsid w:val="00646CE3"/>
    <w:rsid w:val="0064717D"/>
    <w:rsid w:val="006477D1"/>
    <w:rsid w:val="006501F4"/>
    <w:rsid w:val="00650E0B"/>
    <w:rsid w:val="006510F5"/>
    <w:rsid w:val="00651691"/>
    <w:rsid w:val="00651A5C"/>
    <w:rsid w:val="00651D86"/>
    <w:rsid w:val="00652A11"/>
    <w:rsid w:val="00653435"/>
    <w:rsid w:val="00653DF4"/>
    <w:rsid w:val="00653F95"/>
    <w:rsid w:val="00654039"/>
    <w:rsid w:val="0065440D"/>
    <w:rsid w:val="00654637"/>
    <w:rsid w:val="006549DE"/>
    <w:rsid w:val="0065529A"/>
    <w:rsid w:val="00655C04"/>
    <w:rsid w:val="00655F20"/>
    <w:rsid w:val="00656CF3"/>
    <w:rsid w:val="0065757C"/>
    <w:rsid w:val="0066030E"/>
    <w:rsid w:val="006605FF"/>
    <w:rsid w:val="00661022"/>
    <w:rsid w:val="006612E8"/>
    <w:rsid w:val="00661845"/>
    <w:rsid w:val="0066194D"/>
    <w:rsid w:val="006640DD"/>
    <w:rsid w:val="00664755"/>
    <w:rsid w:val="006648DD"/>
    <w:rsid w:val="006649E9"/>
    <w:rsid w:val="00664A3F"/>
    <w:rsid w:val="0066510E"/>
    <w:rsid w:val="00665E52"/>
    <w:rsid w:val="00665FE2"/>
    <w:rsid w:val="00666348"/>
    <w:rsid w:val="00666600"/>
    <w:rsid w:val="00666AB3"/>
    <w:rsid w:val="00666EBF"/>
    <w:rsid w:val="00667194"/>
    <w:rsid w:val="006675EC"/>
    <w:rsid w:val="00670546"/>
    <w:rsid w:val="00670AB9"/>
    <w:rsid w:val="00670BDF"/>
    <w:rsid w:val="00671C04"/>
    <w:rsid w:val="00672437"/>
    <w:rsid w:val="006725A4"/>
    <w:rsid w:val="00672771"/>
    <w:rsid w:val="006734FD"/>
    <w:rsid w:val="00673F0E"/>
    <w:rsid w:val="00674430"/>
    <w:rsid w:val="00674804"/>
    <w:rsid w:val="00674B0A"/>
    <w:rsid w:val="0067557F"/>
    <w:rsid w:val="00677505"/>
    <w:rsid w:val="00682203"/>
    <w:rsid w:val="0068238F"/>
    <w:rsid w:val="00682C6C"/>
    <w:rsid w:val="00682E1B"/>
    <w:rsid w:val="00683C9A"/>
    <w:rsid w:val="006846EF"/>
    <w:rsid w:val="00684A29"/>
    <w:rsid w:val="00684D22"/>
    <w:rsid w:val="0068525E"/>
    <w:rsid w:val="006869E0"/>
    <w:rsid w:val="00687E15"/>
    <w:rsid w:val="00690A82"/>
    <w:rsid w:val="00690E1C"/>
    <w:rsid w:val="0069225E"/>
    <w:rsid w:val="00692D4E"/>
    <w:rsid w:val="00692EBE"/>
    <w:rsid w:val="00692EF8"/>
    <w:rsid w:val="006939C0"/>
    <w:rsid w:val="006940C5"/>
    <w:rsid w:val="00694711"/>
    <w:rsid w:val="00694AE4"/>
    <w:rsid w:val="00694DA3"/>
    <w:rsid w:val="006959C3"/>
    <w:rsid w:val="0069666C"/>
    <w:rsid w:val="00696855"/>
    <w:rsid w:val="00696972"/>
    <w:rsid w:val="00696FC8"/>
    <w:rsid w:val="00696FE4"/>
    <w:rsid w:val="006A050B"/>
    <w:rsid w:val="006A0891"/>
    <w:rsid w:val="006A1383"/>
    <w:rsid w:val="006A1F3A"/>
    <w:rsid w:val="006A2929"/>
    <w:rsid w:val="006A30F5"/>
    <w:rsid w:val="006A3F0A"/>
    <w:rsid w:val="006A4419"/>
    <w:rsid w:val="006A4C95"/>
    <w:rsid w:val="006A5224"/>
    <w:rsid w:val="006A5F19"/>
    <w:rsid w:val="006A7B97"/>
    <w:rsid w:val="006A7C8D"/>
    <w:rsid w:val="006B02A5"/>
    <w:rsid w:val="006B0535"/>
    <w:rsid w:val="006B0588"/>
    <w:rsid w:val="006B059B"/>
    <w:rsid w:val="006B082A"/>
    <w:rsid w:val="006B08CB"/>
    <w:rsid w:val="006B1E34"/>
    <w:rsid w:val="006B27A6"/>
    <w:rsid w:val="006B2F0B"/>
    <w:rsid w:val="006B35F0"/>
    <w:rsid w:val="006B3E64"/>
    <w:rsid w:val="006B55A3"/>
    <w:rsid w:val="006B657A"/>
    <w:rsid w:val="006B7286"/>
    <w:rsid w:val="006B730B"/>
    <w:rsid w:val="006B7637"/>
    <w:rsid w:val="006C054D"/>
    <w:rsid w:val="006C0FFB"/>
    <w:rsid w:val="006C147F"/>
    <w:rsid w:val="006C1542"/>
    <w:rsid w:val="006C38BB"/>
    <w:rsid w:val="006C399C"/>
    <w:rsid w:val="006C41CF"/>
    <w:rsid w:val="006C4260"/>
    <w:rsid w:val="006C49D4"/>
    <w:rsid w:val="006C4A4B"/>
    <w:rsid w:val="006C5084"/>
    <w:rsid w:val="006C5A3D"/>
    <w:rsid w:val="006C5BDC"/>
    <w:rsid w:val="006C5DDB"/>
    <w:rsid w:val="006C60F2"/>
    <w:rsid w:val="006C6D79"/>
    <w:rsid w:val="006C7941"/>
    <w:rsid w:val="006D0252"/>
    <w:rsid w:val="006D101E"/>
    <w:rsid w:val="006D10F7"/>
    <w:rsid w:val="006D2C57"/>
    <w:rsid w:val="006D32F4"/>
    <w:rsid w:val="006D34F5"/>
    <w:rsid w:val="006D35B4"/>
    <w:rsid w:val="006D368A"/>
    <w:rsid w:val="006D3C90"/>
    <w:rsid w:val="006D40C0"/>
    <w:rsid w:val="006D44F4"/>
    <w:rsid w:val="006D4C73"/>
    <w:rsid w:val="006D5B90"/>
    <w:rsid w:val="006D640A"/>
    <w:rsid w:val="006D6BDB"/>
    <w:rsid w:val="006D6D5C"/>
    <w:rsid w:val="006D6F9A"/>
    <w:rsid w:val="006D748B"/>
    <w:rsid w:val="006D7948"/>
    <w:rsid w:val="006E0FDA"/>
    <w:rsid w:val="006E150A"/>
    <w:rsid w:val="006E154F"/>
    <w:rsid w:val="006E1BC9"/>
    <w:rsid w:val="006E2ED5"/>
    <w:rsid w:val="006E3841"/>
    <w:rsid w:val="006E43A4"/>
    <w:rsid w:val="006E46E7"/>
    <w:rsid w:val="006E48D4"/>
    <w:rsid w:val="006E4F30"/>
    <w:rsid w:val="006E4F5C"/>
    <w:rsid w:val="006E5921"/>
    <w:rsid w:val="006E6F92"/>
    <w:rsid w:val="006F0D1D"/>
    <w:rsid w:val="006F1D23"/>
    <w:rsid w:val="006F2A88"/>
    <w:rsid w:val="006F37E7"/>
    <w:rsid w:val="006F4772"/>
    <w:rsid w:val="006F5F69"/>
    <w:rsid w:val="006F6EEC"/>
    <w:rsid w:val="006F705A"/>
    <w:rsid w:val="006F7600"/>
    <w:rsid w:val="006F7AF2"/>
    <w:rsid w:val="00700194"/>
    <w:rsid w:val="00701732"/>
    <w:rsid w:val="007019D4"/>
    <w:rsid w:val="00701BA4"/>
    <w:rsid w:val="0070222A"/>
    <w:rsid w:val="00702811"/>
    <w:rsid w:val="00702EDA"/>
    <w:rsid w:val="00703364"/>
    <w:rsid w:val="00703AD1"/>
    <w:rsid w:val="007047A4"/>
    <w:rsid w:val="00705063"/>
    <w:rsid w:val="00705197"/>
    <w:rsid w:val="0070583F"/>
    <w:rsid w:val="00705919"/>
    <w:rsid w:val="00705E22"/>
    <w:rsid w:val="00707624"/>
    <w:rsid w:val="00707DE8"/>
    <w:rsid w:val="00710FED"/>
    <w:rsid w:val="00711096"/>
    <w:rsid w:val="00711173"/>
    <w:rsid w:val="00711AB5"/>
    <w:rsid w:val="00712E1A"/>
    <w:rsid w:val="00713C58"/>
    <w:rsid w:val="007150E0"/>
    <w:rsid w:val="0071567B"/>
    <w:rsid w:val="00716007"/>
    <w:rsid w:val="0071685C"/>
    <w:rsid w:val="00716EFA"/>
    <w:rsid w:val="00717CCC"/>
    <w:rsid w:val="00717F84"/>
    <w:rsid w:val="00720874"/>
    <w:rsid w:val="00720E73"/>
    <w:rsid w:val="007219A6"/>
    <w:rsid w:val="00721A79"/>
    <w:rsid w:val="00721CEA"/>
    <w:rsid w:val="00721EC9"/>
    <w:rsid w:val="0072223C"/>
    <w:rsid w:val="007230D0"/>
    <w:rsid w:val="00723A78"/>
    <w:rsid w:val="00723D25"/>
    <w:rsid w:val="00724168"/>
    <w:rsid w:val="007243E5"/>
    <w:rsid w:val="00725F1C"/>
    <w:rsid w:val="00726543"/>
    <w:rsid w:val="0072691A"/>
    <w:rsid w:val="00727D4E"/>
    <w:rsid w:val="00731707"/>
    <w:rsid w:val="00731D17"/>
    <w:rsid w:val="00731E8A"/>
    <w:rsid w:val="007324BD"/>
    <w:rsid w:val="00733270"/>
    <w:rsid w:val="00733C1F"/>
    <w:rsid w:val="00733F20"/>
    <w:rsid w:val="007344EC"/>
    <w:rsid w:val="0073551B"/>
    <w:rsid w:val="00735606"/>
    <w:rsid w:val="00736373"/>
    <w:rsid w:val="00736FEB"/>
    <w:rsid w:val="0074014A"/>
    <w:rsid w:val="00741818"/>
    <w:rsid w:val="00742230"/>
    <w:rsid w:val="007422F4"/>
    <w:rsid w:val="0074238B"/>
    <w:rsid w:val="007424A4"/>
    <w:rsid w:val="00742CA7"/>
    <w:rsid w:val="007433CC"/>
    <w:rsid w:val="00743406"/>
    <w:rsid w:val="0074502E"/>
    <w:rsid w:val="00745408"/>
    <w:rsid w:val="00746539"/>
    <w:rsid w:val="00746818"/>
    <w:rsid w:val="00747273"/>
    <w:rsid w:val="0074764F"/>
    <w:rsid w:val="00747780"/>
    <w:rsid w:val="00747D15"/>
    <w:rsid w:val="0075018E"/>
    <w:rsid w:val="00750215"/>
    <w:rsid w:val="00750BFF"/>
    <w:rsid w:val="00752753"/>
    <w:rsid w:val="00752768"/>
    <w:rsid w:val="007529A9"/>
    <w:rsid w:val="00753C48"/>
    <w:rsid w:val="0075450A"/>
    <w:rsid w:val="007556DB"/>
    <w:rsid w:val="00755A21"/>
    <w:rsid w:val="00755D30"/>
    <w:rsid w:val="00756A40"/>
    <w:rsid w:val="0075752C"/>
    <w:rsid w:val="007577E9"/>
    <w:rsid w:val="007602A2"/>
    <w:rsid w:val="0076157F"/>
    <w:rsid w:val="007615DC"/>
    <w:rsid w:val="00761691"/>
    <w:rsid w:val="007619EE"/>
    <w:rsid w:val="00762851"/>
    <w:rsid w:val="0076287F"/>
    <w:rsid w:val="00762AE6"/>
    <w:rsid w:val="0076315B"/>
    <w:rsid w:val="00763976"/>
    <w:rsid w:val="00763FC5"/>
    <w:rsid w:val="007643ED"/>
    <w:rsid w:val="007659E3"/>
    <w:rsid w:val="007668B6"/>
    <w:rsid w:val="00767D79"/>
    <w:rsid w:val="0077114F"/>
    <w:rsid w:val="007727B2"/>
    <w:rsid w:val="00773030"/>
    <w:rsid w:val="00773149"/>
    <w:rsid w:val="00773DF2"/>
    <w:rsid w:val="00774690"/>
    <w:rsid w:val="007756F2"/>
    <w:rsid w:val="007757DF"/>
    <w:rsid w:val="00775910"/>
    <w:rsid w:val="00775AB2"/>
    <w:rsid w:val="007765F2"/>
    <w:rsid w:val="007768DF"/>
    <w:rsid w:val="00777985"/>
    <w:rsid w:val="0078005F"/>
    <w:rsid w:val="00780166"/>
    <w:rsid w:val="0078089C"/>
    <w:rsid w:val="007809C6"/>
    <w:rsid w:val="00780DD3"/>
    <w:rsid w:val="00781884"/>
    <w:rsid w:val="007823CE"/>
    <w:rsid w:val="00782F0E"/>
    <w:rsid w:val="00783ECD"/>
    <w:rsid w:val="00784FF9"/>
    <w:rsid w:val="00785EDA"/>
    <w:rsid w:val="00787370"/>
    <w:rsid w:val="007873B5"/>
    <w:rsid w:val="0079068F"/>
    <w:rsid w:val="00791207"/>
    <w:rsid w:val="00791AC7"/>
    <w:rsid w:val="00791ED4"/>
    <w:rsid w:val="0079213D"/>
    <w:rsid w:val="007926EB"/>
    <w:rsid w:val="007926FF"/>
    <w:rsid w:val="00793040"/>
    <w:rsid w:val="0079325F"/>
    <w:rsid w:val="007937BB"/>
    <w:rsid w:val="007940C7"/>
    <w:rsid w:val="0079478F"/>
    <w:rsid w:val="00794AD8"/>
    <w:rsid w:val="00795494"/>
    <w:rsid w:val="00795C14"/>
    <w:rsid w:val="00797797"/>
    <w:rsid w:val="007A0205"/>
    <w:rsid w:val="007A0738"/>
    <w:rsid w:val="007A07B4"/>
    <w:rsid w:val="007A0E8C"/>
    <w:rsid w:val="007A171E"/>
    <w:rsid w:val="007A24E1"/>
    <w:rsid w:val="007A2EE9"/>
    <w:rsid w:val="007A3E1C"/>
    <w:rsid w:val="007A440D"/>
    <w:rsid w:val="007A4422"/>
    <w:rsid w:val="007A49DB"/>
    <w:rsid w:val="007A6517"/>
    <w:rsid w:val="007A6B95"/>
    <w:rsid w:val="007A79CB"/>
    <w:rsid w:val="007B0ABF"/>
    <w:rsid w:val="007B11C8"/>
    <w:rsid w:val="007B14AE"/>
    <w:rsid w:val="007B159E"/>
    <w:rsid w:val="007B1B62"/>
    <w:rsid w:val="007B1BE1"/>
    <w:rsid w:val="007B2020"/>
    <w:rsid w:val="007B2C31"/>
    <w:rsid w:val="007B3188"/>
    <w:rsid w:val="007B34D8"/>
    <w:rsid w:val="007B3CDD"/>
    <w:rsid w:val="007B54BF"/>
    <w:rsid w:val="007B566F"/>
    <w:rsid w:val="007B59DC"/>
    <w:rsid w:val="007B6F1A"/>
    <w:rsid w:val="007B791E"/>
    <w:rsid w:val="007B7C25"/>
    <w:rsid w:val="007C0819"/>
    <w:rsid w:val="007C090D"/>
    <w:rsid w:val="007C098A"/>
    <w:rsid w:val="007C09C2"/>
    <w:rsid w:val="007C13ED"/>
    <w:rsid w:val="007C14EC"/>
    <w:rsid w:val="007C2C7A"/>
    <w:rsid w:val="007C3D0E"/>
    <w:rsid w:val="007C4E36"/>
    <w:rsid w:val="007C50B5"/>
    <w:rsid w:val="007C50FF"/>
    <w:rsid w:val="007C54E4"/>
    <w:rsid w:val="007C5BC2"/>
    <w:rsid w:val="007C5E90"/>
    <w:rsid w:val="007C6181"/>
    <w:rsid w:val="007C6992"/>
    <w:rsid w:val="007C6D37"/>
    <w:rsid w:val="007C6F69"/>
    <w:rsid w:val="007C716E"/>
    <w:rsid w:val="007C749B"/>
    <w:rsid w:val="007C750C"/>
    <w:rsid w:val="007C7E52"/>
    <w:rsid w:val="007D0885"/>
    <w:rsid w:val="007D1A3C"/>
    <w:rsid w:val="007D1C7F"/>
    <w:rsid w:val="007D202B"/>
    <w:rsid w:val="007D2054"/>
    <w:rsid w:val="007D2B43"/>
    <w:rsid w:val="007D2FA7"/>
    <w:rsid w:val="007D33F5"/>
    <w:rsid w:val="007D3E97"/>
    <w:rsid w:val="007D3F24"/>
    <w:rsid w:val="007D471B"/>
    <w:rsid w:val="007D5027"/>
    <w:rsid w:val="007D55AE"/>
    <w:rsid w:val="007D5C64"/>
    <w:rsid w:val="007D67A4"/>
    <w:rsid w:val="007D6F9D"/>
    <w:rsid w:val="007D706D"/>
    <w:rsid w:val="007D7D54"/>
    <w:rsid w:val="007E0B91"/>
    <w:rsid w:val="007E14E9"/>
    <w:rsid w:val="007E1B6F"/>
    <w:rsid w:val="007E1F59"/>
    <w:rsid w:val="007E2585"/>
    <w:rsid w:val="007E2628"/>
    <w:rsid w:val="007E3120"/>
    <w:rsid w:val="007E3174"/>
    <w:rsid w:val="007E6276"/>
    <w:rsid w:val="007E6EC7"/>
    <w:rsid w:val="007E7896"/>
    <w:rsid w:val="007E79A8"/>
    <w:rsid w:val="007F14EA"/>
    <w:rsid w:val="007F1CCD"/>
    <w:rsid w:val="007F2033"/>
    <w:rsid w:val="007F32A8"/>
    <w:rsid w:val="007F33BC"/>
    <w:rsid w:val="007F371A"/>
    <w:rsid w:val="007F3721"/>
    <w:rsid w:val="007F4349"/>
    <w:rsid w:val="007F57E6"/>
    <w:rsid w:val="007F5D98"/>
    <w:rsid w:val="007F6A35"/>
    <w:rsid w:val="007F6C2B"/>
    <w:rsid w:val="007F79E5"/>
    <w:rsid w:val="007F7A82"/>
    <w:rsid w:val="007F7BC2"/>
    <w:rsid w:val="0080060A"/>
    <w:rsid w:val="00800A18"/>
    <w:rsid w:val="00801066"/>
    <w:rsid w:val="008010DF"/>
    <w:rsid w:val="00801A87"/>
    <w:rsid w:val="0080203F"/>
    <w:rsid w:val="00802081"/>
    <w:rsid w:val="00802BE1"/>
    <w:rsid w:val="00802F3D"/>
    <w:rsid w:val="00803799"/>
    <w:rsid w:val="0080379A"/>
    <w:rsid w:val="00804AB9"/>
    <w:rsid w:val="00804D58"/>
    <w:rsid w:val="00804FF3"/>
    <w:rsid w:val="00805ADC"/>
    <w:rsid w:val="008061BA"/>
    <w:rsid w:val="0080622E"/>
    <w:rsid w:val="0080699F"/>
    <w:rsid w:val="00806C79"/>
    <w:rsid w:val="00806D35"/>
    <w:rsid w:val="0080714C"/>
    <w:rsid w:val="00807294"/>
    <w:rsid w:val="00807F3D"/>
    <w:rsid w:val="00811209"/>
    <w:rsid w:val="008112CE"/>
    <w:rsid w:val="008117F3"/>
    <w:rsid w:val="008132AA"/>
    <w:rsid w:val="008142B1"/>
    <w:rsid w:val="00814B5E"/>
    <w:rsid w:val="00814BE8"/>
    <w:rsid w:val="00815B28"/>
    <w:rsid w:val="008165CF"/>
    <w:rsid w:val="00816616"/>
    <w:rsid w:val="00816731"/>
    <w:rsid w:val="00817205"/>
    <w:rsid w:val="00817852"/>
    <w:rsid w:val="00817D48"/>
    <w:rsid w:val="008207DE"/>
    <w:rsid w:val="00820C4C"/>
    <w:rsid w:val="0082103B"/>
    <w:rsid w:val="008215BD"/>
    <w:rsid w:val="008217DD"/>
    <w:rsid w:val="008219F6"/>
    <w:rsid w:val="00821BFA"/>
    <w:rsid w:val="008223C5"/>
    <w:rsid w:val="008223ED"/>
    <w:rsid w:val="008231E0"/>
    <w:rsid w:val="008235C0"/>
    <w:rsid w:val="00824252"/>
    <w:rsid w:val="00824437"/>
    <w:rsid w:val="00824EFC"/>
    <w:rsid w:val="008256FD"/>
    <w:rsid w:val="0082616E"/>
    <w:rsid w:val="008261AA"/>
    <w:rsid w:val="0082637D"/>
    <w:rsid w:val="00826868"/>
    <w:rsid w:val="008268A8"/>
    <w:rsid w:val="008269A3"/>
    <w:rsid w:val="00826FEB"/>
    <w:rsid w:val="008278BF"/>
    <w:rsid w:val="00827FBD"/>
    <w:rsid w:val="00830481"/>
    <w:rsid w:val="00830AF1"/>
    <w:rsid w:val="008318CA"/>
    <w:rsid w:val="00833384"/>
    <w:rsid w:val="008335D3"/>
    <w:rsid w:val="00834480"/>
    <w:rsid w:val="00834B03"/>
    <w:rsid w:val="0083534F"/>
    <w:rsid w:val="0083537E"/>
    <w:rsid w:val="00835B99"/>
    <w:rsid w:val="00837055"/>
    <w:rsid w:val="00837380"/>
    <w:rsid w:val="00837757"/>
    <w:rsid w:val="00840614"/>
    <w:rsid w:val="00841241"/>
    <w:rsid w:val="0084151F"/>
    <w:rsid w:val="00841865"/>
    <w:rsid w:val="008419C1"/>
    <w:rsid w:val="00842A01"/>
    <w:rsid w:val="008436CA"/>
    <w:rsid w:val="00844FE1"/>
    <w:rsid w:val="0084716E"/>
    <w:rsid w:val="00850016"/>
    <w:rsid w:val="008500DF"/>
    <w:rsid w:val="008507C8"/>
    <w:rsid w:val="00850EA0"/>
    <w:rsid w:val="008514F4"/>
    <w:rsid w:val="00851BC5"/>
    <w:rsid w:val="008526A4"/>
    <w:rsid w:val="00852713"/>
    <w:rsid w:val="00852A1D"/>
    <w:rsid w:val="00852C2B"/>
    <w:rsid w:val="0085301C"/>
    <w:rsid w:val="008532D5"/>
    <w:rsid w:val="00853657"/>
    <w:rsid w:val="00853CC2"/>
    <w:rsid w:val="008546C3"/>
    <w:rsid w:val="00854A4C"/>
    <w:rsid w:val="00854C44"/>
    <w:rsid w:val="00854E22"/>
    <w:rsid w:val="00855B12"/>
    <w:rsid w:val="00856507"/>
    <w:rsid w:val="00856678"/>
    <w:rsid w:val="00856692"/>
    <w:rsid w:val="00857452"/>
    <w:rsid w:val="00857711"/>
    <w:rsid w:val="00857BA6"/>
    <w:rsid w:val="00857D86"/>
    <w:rsid w:val="0086267C"/>
    <w:rsid w:val="008627F0"/>
    <w:rsid w:val="008628F0"/>
    <w:rsid w:val="00862EFE"/>
    <w:rsid w:val="0086343B"/>
    <w:rsid w:val="00863690"/>
    <w:rsid w:val="00863BBE"/>
    <w:rsid w:val="00863FEA"/>
    <w:rsid w:val="0086404A"/>
    <w:rsid w:val="008647B6"/>
    <w:rsid w:val="0086593A"/>
    <w:rsid w:val="0086655E"/>
    <w:rsid w:val="008666CC"/>
    <w:rsid w:val="008673A9"/>
    <w:rsid w:val="0087020B"/>
    <w:rsid w:val="0087122B"/>
    <w:rsid w:val="00871B9E"/>
    <w:rsid w:val="00872753"/>
    <w:rsid w:val="00872904"/>
    <w:rsid w:val="0087349F"/>
    <w:rsid w:val="00873C25"/>
    <w:rsid w:val="00874558"/>
    <w:rsid w:val="00874589"/>
    <w:rsid w:val="0087490A"/>
    <w:rsid w:val="00874BD7"/>
    <w:rsid w:val="00875CE4"/>
    <w:rsid w:val="008761A9"/>
    <w:rsid w:val="00876971"/>
    <w:rsid w:val="00876DE2"/>
    <w:rsid w:val="008804DA"/>
    <w:rsid w:val="00881DC4"/>
    <w:rsid w:val="00882B0B"/>
    <w:rsid w:val="00885C13"/>
    <w:rsid w:val="0089058D"/>
    <w:rsid w:val="008911AD"/>
    <w:rsid w:val="00891DC6"/>
    <w:rsid w:val="008921CD"/>
    <w:rsid w:val="0089244C"/>
    <w:rsid w:val="008924BB"/>
    <w:rsid w:val="00892787"/>
    <w:rsid w:val="008928D7"/>
    <w:rsid w:val="00892C8C"/>
    <w:rsid w:val="0089373F"/>
    <w:rsid w:val="00894D9A"/>
    <w:rsid w:val="008950C4"/>
    <w:rsid w:val="00895282"/>
    <w:rsid w:val="008953CF"/>
    <w:rsid w:val="008956EA"/>
    <w:rsid w:val="008961BC"/>
    <w:rsid w:val="00896B39"/>
    <w:rsid w:val="0089722C"/>
    <w:rsid w:val="008A0E90"/>
    <w:rsid w:val="008A127C"/>
    <w:rsid w:val="008A2FCF"/>
    <w:rsid w:val="008A31D7"/>
    <w:rsid w:val="008A35C7"/>
    <w:rsid w:val="008A5883"/>
    <w:rsid w:val="008A5FE7"/>
    <w:rsid w:val="008A63BB"/>
    <w:rsid w:val="008A652E"/>
    <w:rsid w:val="008A6B1D"/>
    <w:rsid w:val="008A6E39"/>
    <w:rsid w:val="008A72A2"/>
    <w:rsid w:val="008A7E91"/>
    <w:rsid w:val="008B1139"/>
    <w:rsid w:val="008B351A"/>
    <w:rsid w:val="008B38F5"/>
    <w:rsid w:val="008B3C9C"/>
    <w:rsid w:val="008B4426"/>
    <w:rsid w:val="008B4435"/>
    <w:rsid w:val="008B44BE"/>
    <w:rsid w:val="008B4B3B"/>
    <w:rsid w:val="008B5416"/>
    <w:rsid w:val="008B5BBD"/>
    <w:rsid w:val="008B5E3A"/>
    <w:rsid w:val="008B6299"/>
    <w:rsid w:val="008B6A1B"/>
    <w:rsid w:val="008C1324"/>
    <w:rsid w:val="008C147E"/>
    <w:rsid w:val="008C2905"/>
    <w:rsid w:val="008C2A4B"/>
    <w:rsid w:val="008C2FB6"/>
    <w:rsid w:val="008C3965"/>
    <w:rsid w:val="008C3A48"/>
    <w:rsid w:val="008C3E30"/>
    <w:rsid w:val="008C4BC4"/>
    <w:rsid w:val="008C522D"/>
    <w:rsid w:val="008C527D"/>
    <w:rsid w:val="008C550F"/>
    <w:rsid w:val="008C556E"/>
    <w:rsid w:val="008C6428"/>
    <w:rsid w:val="008C64AC"/>
    <w:rsid w:val="008C7413"/>
    <w:rsid w:val="008D076B"/>
    <w:rsid w:val="008D0A34"/>
    <w:rsid w:val="008D165B"/>
    <w:rsid w:val="008D186F"/>
    <w:rsid w:val="008D1C63"/>
    <w:rsid w:val="008D3A55"/>
    <w:rsid w:val="008D40FF"/>
    <w:rsid w:val="008D4399"/>
    <w:rsid w:val="008D4626"/>
    <w:rsid w:val="008D536E"/>
    <w:rsid w:val="008D5D12"/>
    <w:rsid w:val="008D6787"/>
    <w:rsid w:val="008D6F7F"/>
    <w:rsid w:val="008D70C1"/>
    <w:rsid w:val="008D7238"/>
    <w:rsid w:val="008E0E1C"/>
    <w:rsid w:val="008E0FFB"/>
    <w:rsid w:val="008E1542"/>
    <w:rsid w:val="008E1D91"/>
    <w:rsid w:val="008E2375"/>
    <w:rsid w:val="008E2632"/>
    <w:rsid w:val="008E2874"/>
    <w:rsid w:val="008E2D57"/>
    <w:rsid w:val="008E36D5"/>
    <w:rsid w:val="008E3907"/>
    <w:rsid w:val="008E3945"/>
    <w:rsid w:val="008E3B4F"/>
    <w:rsid w:val="008E3B8A"/>
    <w:rsid w:val="008E3E5F"/>
    <w:rsid w:val="008E400D"/>
    <w:rsid w:val="008E431D"/>
    <w:rsid w:val="008E5289"/>
    <w:rsid w:val="008E5B25"/>
    <w:rsid w:val="008E5DE5"/>
    <w:rsid w:val="008E60E2"/>
    <w:rsid w:val="008E65EA"/>
    <w:rsid w:val="008E67EC"/>
    <w:rsid w:val="008E6A0B"/>
    <w:rsid w:val="008F0256"/>
    <w:rsid w:val="008F05ED"/>
    <w:rsid w:val="008F10D2"/>
    <w:rsid w:val="008F112B"/>
    <w:rsid w:val="008F1168"/>
    <w:rsid w:val="008F2029"/>
    <w:rsid w:val="008F28E9"/>
    <w:rsid w:val="008F3026"/>
    <w:rsid w:val="008F329A"/>
    <w:rsid w:val="008F5EE9"/>
    <w:rsid w:val="008F70CA"/>
    <w:rsid w:val="008F79A0"/>
    <w:rsid w:val="00901749"/>
    <w:rsid w:val="009043DE"/>
    <w:rsid w:val="0090451A"/>
    <w:rsid w:val="00905667"/>
    <w:rsid w:val="009059B6"/>
    <w:rsid w:val="00905F8F"/>
    <w:rsid w:val="00905FB7"/>
    <w:rsid w:val="00906110"/>
    <w:rsid w:val="0090650E"/>
    <w:rsid w:val="00906C9A"/>
    <w:rsid w:val="009103BD"/>
    <w:rsid w:val="0091069E"/>
    <w:rsid w:val="0091086E"/>
    <w:rsid w:val="0091099A"/>
    <w:rsid w:val="009109ED"/>
    <w:rsid w:val="0091257F"/>
    <w:rsid w:val="009132B4"/>
    <w:rsid w:val="00914053"/>
    <w:rsid w:val="00914182"/>
    <w:rsid w:val="00914CDB"/>
    <w:rsid w:val="00915EC0"/>
    <w:rsid w:val="00915F44"/>
    <w:rsid w:val="00916301"/>
    <w:rsid w:val="00916DDD"/>
    <w:rsid w:val="009171EB"/>
    <w:rsid w:val="0091760E"/>
    <w:rsid w:val="0091797A"/>
    <w:rsid w:val="00917C10"/>
    <w:rsid w:val="00917E0E"/>
    <w:rsid w:val="00920D75"/>
    <w:rsid w:val="00921261"/>
    <w:rsid w:val="00921C8D"/>
    <w:rsid w:val="0092213D"/>
    <w:rsid w:val="00922973"/>
    <w:rsid w:val="00922E1D"/>
    <w:rsid w:val="009238C2"/>
    <w:rsid w:val="00923D9C"/>
    <w:rsid w:val="0092429A"/>
    <w:rsid w:val="00924808"/>
    <w:rsid w:val="00925AEF"/>
    <w:rsid w:val="009262B0"/>
    <w:rsid w:val="00926565"/>
    <w:rsid w:val="00930590"/>
    <w:rsid w:val="00930A2B"/>
    <w:rsid w:val="00932585"/>
    <w:rsid w:val="00933AC8"/>
    <w:rsid w:val="00933F27"/>
    <w:rsid w:val="00934E13"/>
    <w:rsid w:val="00934E44"/>
    <w:rsid w:val="00935807"/>
    <w:rsid w:val="0093636F"/>
    <w:rsid w:val="00937403"/>
    <w:rsid w:val="00940684"/>
    <w:rsid w:val="009409D6"/>
    <w:rsid w:val="00940A00"/>
    <w:rsid w:val="00940A8B"/>
    <w:rsid w:val="00941368"/>
    <w:rsid w:val="00942941"/>
    <w:rsid w:val="00943538"/>
    <w:rsid w:val="009436ED"/>
    <w:rsid w:val="00944741"/>
    <w:rsid w:val="0094507E"/>
    <w:rsid w:val="009456C4"/>
    <w:rsid w:val="009456E9"/>
    <w:rsid w:val="00945A5B"/>
    <w:rsid w:val="00945CD3"/>
    <w:rsid w:val="009462A9"/>
    <w:rsid w:val="009462EB"/>
    <w:rsid w:val="009466B9"/>
    <w:rsid w:val="009521B9"/>
    <w:rsid w:val="00952D1E"/>
    <w:rsid w:val="0095454F"/>
    <w:rsid w:val="0095467D"/>
    <w:rsid w:val="00954C51"/>
    <w:rsid w:val="0095560C"/>
    <w:rsid w:val="00955853"/>
    <w:rsid w:val="00955A78"/>
    <w:rsid w:val="0095718C"/>
    <w:rsid w:val="009575E7"/>
    <w:rsid w:val="009575FB"/>
    <w:rsid w:val="00957DBA"/>
    <w:rsid w:val="00957E2E"/>
    <w:rsid w:val="00957E5D"/>
    <w:rsid w:val="00960B14"/>
    <w:rsid w:val="00960C0A"/>
    <w:rsid w:val="00961090"/>
    <w:rsid w:val="00961A5D"/>
    <w:rsid w:val="00961C58"/>
    <w:rsid w:val="0096227D"/>
    <w:rsid w:val="009624B9"/>
    <w:rsid w:val="00962AB9"/>
    <w:rsid w:val="00962C2C"/>
    <w:rsid w:val="00962EC1"/>
    <w:rsid w:val="009633C8"/>
    <w:rsid w:val="00963AAC"/>
    <w:rsid w:val="00965F8A"/>
    <w:rsid w:val="00965FD0"/>
    <w:rsid w:val="00966055"/>
    <w:rsid w:val="0096665A"/>
    <w:rsid w:val="00966DDD"/>
    <w:rsid w:val="009671C5"/>
    <w:rsid w:val="00970138"/>
    <w:rsid w:val="009703A6"/>
    <w:rsid w:val="0097076B"/>
    <w:rsid w:val="009708D9"/>
    <w:rsid w:val="0097103D"/>
    <w:rsid w:val="00971948"/>
    <w:rsid w:val="009720B1"/>
    <w:rsid w:val="0097453B"/>
    <w:rsid w:val="00974A4A"/>
    <w:rsid w:val="00974EDF"/>
    <w:rsid w:val="0097513F"/>
    <w:rsid w:val="00975497"/>
    <w:rsid w:val="00975498"/>
    <w:rsid w:val="00976845"/>
    <w:rsid w:val="009768B1"/>
    <w:rsid w:val="00976D76"/>
    <w:rsid w:val="00976FBD"/>
    <w:rsid w:val="009774C7"/>
    <w:rsid w:val="0097789C"/>
    <w:rsid w:val="00977DD7"/>
    <w:rsid w:val="00977E6A"/>
    <w:rsid w:val="009807F5"/>
    <w:rsid w:val="0098142D"/>
    <w:rsid w:val="00981636"/>
    <w:rsid w:val="0098301A"/>
    <w:rsid w:val="00983658"/>
    <w:rsid w:val="00983705"/>
    <w:rsid w:val="00983777"/>
    <w:rsid w:val="00983AC5"/>
    <w:rsid w:val="00983B64"/>
    <w:rsid w:val="0098436C"/>
    <w:rsid w:val="0098437A"/>
    <w:rsid w:val="0098463F"/>
    <w:rsid w:val="0098563A"/>
    <w:rsid w:val="009870D1"/>
    <w:rsid w:val="00987AA9"/>
    <w:rsid w:val="00987E72"/>
    <w:rsid w:val="0099066A"/>
    <w:rsid w:val="00991295"/>
    <w:rsid w:val="00991B13"/>
    <w:rsid w:val="00991F66"/>
    <w:rsid w:val="009921D9"/>
    <w:rsid w:val="00992BFF"/>
    <w:rsid w:val="00993F0C"/>
    <w:rsid w:val="009945F0"/>
    <w:rsid w:val="009955D8"/>
    <w:rsid w:val="00995E83"/>
    <w:rsid w:val="0099601B"/>
    <w:rsid w:val="009962DF"/>
    <w:rsid w:val="00996F4E"/>
    <w:rsid w:val="00997D96"/>
    <w:rsid w:val="009A00F4"/>
    <w:rsid w:val="009A03E3"/>
    <w:rsid w:val="009A0756"/>
    <w:rsid w:val="009A1D26"/>
    <w:rsid w:val="009A367E"/>
    <w:rsid w:val="009A3C02"/>
    <w:rsid w:val="009A44B2"/>
    <w:rsid w:val="009A4C2D"/>
    <w:rsid w:val="009A58C9"/>
    <w:rsid w:val="009A6D44"/>
    <w:rsid w:val="009A6E1E"/>
    <w:rsid w:val="009A71B7"/>
    <w:rsid w:val="009A7A17"/>
    <w:rsid w:val="009B068F"/>
    <w:rsid w:val="009B08AA"/>
    <w:rsid w:val="009B0D32"/>
    <w:rsid w:val="009B1F02"/>
    <w:rsid w:val="009B2273"/>
    <w:rsid w:val="009B251F"/>
    <w:rsid w:val="009B2B82"/>
    <w:rsid w:val="009B3DD7"/>
    <w:rsid w:val="009B4BE9"/>
    <w:rsid w:val="009B5AD6"/>
    <w:rsid w:val="009B5BB4"/>
    <w:rsid w:val="009B5F03"/>
    <w:rsid w:val="009B6510"/>
    <w:rsid w:val="009B7B37"/>
    <w:rsid w:val="009C0EFF"/>
    <w:rsid w:val="009C124C"/>
    <w:rsid w:val="009C3490"/>
    <w:rsid w:val="009C3BE6"/>
    <w:rsid w:val="009C4D84"/>
    <w:rsid w:val="009C589C"/>
    <w:rsid w:val="009C5ABD"/>
    <w:rsid w:val="009C6565"/>
    <w:rsid w:val="009C6755"/>
    <w:rsid w:val="009C6A6F"/>
    <w:rsid w:val="009C6D62"/>
    <w:rsid w:val="009D006A"/>
    <w:rsid w:val="009D1E37"/>
    <w:rsid w:val="009D23A2"/>
    <w:rsid w:val="009D3202"/>
    <w:rsid w:val="009D3831"/>
    <w:rsid w:val="009D4739"/>
    <w:rsid w:val="009D4862"/>
    <w:rsid w:val="009D4A7D"/>
    <w:rsid w:val="009D4BD9"/>
    <w:rsid w:val="009D5D10"/>
    <w:rsid w:val="009D5EBC"/>
    <w:rsid w:val="009D5EFB"/>
    <w:rsid w:val="009D5F92"/>
    <w:rsid w:val="009D745F"/>
    <w:rsid w:val="009E0457"/>
    <w:rsid w:val="009E046A"/>
    <w:rsid w:val="009E0960"/>
    <w:rsid w:val="009E1902"/>
    <w:rsid w:val="009E2D87"/>
    <w:rsid w:val="009E3B57"/>
    <w:rsid w:val="009E4618"/>
    <w:rsid w:val="009E4791"/>
    <w:rsid w:val="009E584B"/>
    <w:rsid w:val="009E5A93"/>
    <w:rsid w:val="009E6314"/>
    <w:rsid w:val="009E63AB"/>
    <w:rsid w:val="009E658C"/>
    <w:rsid w:val="009E7001"/>
    <w:rsid w:val="009F067F"/>
    <w:rsid w:val="009F09B8"/>
    <w:rsid w:val="009F0C8B"/>
    <w:rsid w:val="009F162C"/>
    <w:rsid w:val="009F1BA4"/>
    <w:rsid w:val="009F206A"/>
    <w:rsid w:val="009F3F91"/>
    <w:rsid w:val="009F47CA"/>
    <w:rsid w:val="009F48F8"/>
    <w:rsid w:val="009F4BEC"/>
    <w:rsid w:val="009F52FA"/>
    <w:rsid w:val="009F5DBB"/>
    <w:rsid w:val="009F63F9"/>
    <w:rsid w:val="009F7F6B"/>
    <w:rsid w:val="00A0010B"/>
    <w:rsid w:val="00A0082A"/>
    <w:rsid w:val="00A01366"/>
    <w:rsid w:val="00A03416"/>
    <w:rsid w:val="00A037C1"/>
    <w:rsid w:val="00A03E8E"/>
    <w:rsid w:val="00A0591C"/>
    <w:rsid w:val="00A05FAC"/>
    <w:rsid w:val="00A064BD"/>
    <w:rsid w:val="00A07CE9"/>
    <w:rsid w:val="00A10B5B"/>
    <w:rsid w:val="00A117A0"/>
    <w:rsid w:val="00A11EFF"/>
    <w:rsid w:val="00A121D7"/>
    <w:rsid w:val="00A130AF"/>
    <w:rsid w:val="00A152C0"/>
    <w:rsid w:val="00A152DA"/>
    <w:rsid w:val="00A158CE"/>
    <w:rsid w:val="00A15A17"/>
    <w:rsid w:val="00A15B1A"/>
    <w:rsid w:val="00A15DA3"/>
    <w:rsid w:val="00A160ED"/>
    <w:rsid w:val="00A16461"/>
    <w:rsid w:val="00A20798"/>
    <w:rsid w:val="00A20E2D"/>
    <w:rsid w:val="00A2394E"/>
    <w:rsid w:val="00A24454"/>
    <w:rsid w:val="00A24D08"/>
    <w:rsid w:val="00A26297"/>
    <w:rsid w:val="00A302AA"/>
    <w:rsid w:val="00A3037D"/>
    <w:rsid w:val="00A311AB"/>
    <w:rsid w:val="00A312C0"/>
    <w:rsid w:val="00A3224A"/>
    <w:rsid w:val="00A324CB"/>
    <w:rsid w:val="00A325A2"/>
    <w:rsid w:val="00A329F7"/>
    <w:rsid w:val="00A33666"/>
    <w:rsid w:val="00A3472F"/>
    <w:rsid w:val="00A35537"/>
    <w:rsid w:val="00A35956"/>
    <w:rsid w:val="00A3598B"/>
    <w:rsid w:val="00A362C9"/>
    <w:rsid w:val="00A37074"/>
    <w:rsid w:val="00A401C0"/>
    <w:rsid w:val="00A40AB8"/>
    <w:rsid w:val="00A40F06"/>
    <w:rsid w:val="00A410F2"/>
    <w:rsid w:val="00A42083"/>
    <w:rsid w:val="00A42506"/>
    <w:rsid w:val="00A431AC"/>
    <w:rsid w:val="00A4429F"/>
    <w:rsid w:val="00A44483"/>
    <w:rsid w:val="00A44668"/>
    <w:rsid w:val="00A44DD6"/>
    <w:rsid w:val="00A4620F"/>
    <w:rsid w:val="00A46402"/>
    <w:rsid w:val="00A4684C"/>
    <w:rsid w:val="00A46F27"/>
    <w:rsid w:val="00A4710B"/>
    <w:rsid w:val="00A473CB"/>
    <w:rsid w:val="00A47EC3"/>
    <w:rsid w:val="00A47F74"/>
    <w:rsid w:val="00A50094"/>
    <w:rsid w:val="00A50CEC"/>
    <w:rsid w:val="00A52107"/>
    <w:rsid w:val="00A52B43"/>
    <w:rsid w:val="00A52BE4"/>
    <w:rsid w:val="00A533B7"/>
    <w:rsid w:val="00A5353F"/>
    <w:rsid w:val="00A54A5D"/>
    <w:rsid w:val="00A55E75"/>
    <w:rsid w:val="00A5711D"/>
    <w:rsid w:val="00A573AD"/>
    <w:rsid w:val="00A57A63"/>
    <w:rsid w:val="00A60295"/>
    <w:rsid w:val="00A608B2"/>
    <w:rsid w:val="00A60FE3"/>
    <w:rsid w:val="00A61536"/>
    <w:rsid w:val="00A61797"/>
    <w:rsid w:val="00A63E62"/>
    <w:rsid w:val="00A65CFA"/>
    <w:rsid w:val="00A6620B"/>
    <w:rsid w:val="00A6651D"/>
    <w:rsid w:val="00A67954"/>
    <w:rsid w:val="00A70BAD"/>
    <w:rsid w:val="00A71845"/>
    <w:rsid w:val="00A71DBF"/>
    <w:rsid w:val="00A723D2"/>
    <w:rsid w:val="00A73585"/>
    <w:rsid w:val="00A753C7"/>
    <w:rsid w:val="00A754DD"/>
    <w:rsid w:val="00A7594F"/>
    <w:rsid w:val="00A7776C"/>
    <w:rsid w:val="00A80FE2"/>
    <w:rsid w:val="00A81140"/>
    <w:rsid w:val="00A81335"/>
    <w:rsid w:val="00A821D6"/>
    <w:rsid w:val="00A8357D"/>
    <w:rsid w:val="00A83891"/>
    <w:rsid w:val="00A838CB"/>
    <w:rsid w:val="00A83AD4"/>
    <w:rsid w:val="00A83F48"/>
    <w:rsid w:val="00A84383"/>
    <w:rsid w:val="00A8446B"/>
    <w:rsid w:val="00A84579"/>
    <w:rsid w:val="00A847D0"/>
    <w:rsid w:val="00A849BA"/>
    <w:rsid w:val="00A851D7"/>
    <w:rsid w:val="00A86451"/>
    <w:rsid w:val="00A86764"/>
    <w:rsid w:val="00A867B1"/>
    <w:rsid w:val="00A86E6B"/>
    <w:rsid w:val="00A86F20"/>
    <w:rsid w:val="00A87848"/>
    <w:rsid w:val="00A87E83"/>
    <w:rsid w:val="00A90288"/>
    <w:rsid w:val="00A9042B"/>
    <w:rsid w:val="00A904F8"/>
    <w:rsid w:val="00A9207D"/>
    <w:rsid w:val="00A923FE"/>
    <w:rsid w:val="00A924F6"/>
    <w:rsid w:val="00A92A30"/>
    <w:rsid w:val="00A92EFB"/>
    <w:rsid w:val="00A93B5B"/>
    <w:rsid w:val="00A94AD6"/>
    <w:rsid w:val="00A951AD"/>
    <w:rsid w:val="00A95F86"/>
    <w:rsid w:val="00A9628F"/>
    <w:rsid w:val="00A96507"/>
    <w:rsid w:val="00A96BD8"/>
    <w:rsid w:val="00A96C2E"/>
    <w:rsid w:val="00A96C7B"/>
    <w:rsid w:val="00A96CF4"/>
    <w:rsid w:val="00A97FB9"/>
    <w:rsid w:val="00A97FC7"/>
    <w:rsid w:val="00AA0EDC"/>
    <w:rsid w:val="00AA3F0A"/>
    <w:rsid w:val="00AA530A"/>
    <w:rsid w:val="00AA539C"/>
    <w:rsid w:val="00AA5541"/>
    <w:rsid w:val="00AA58C4"/>
    <w:rsid w:val="00AA58F0"/>
    <w:rsid w:val="00AA5A5F"/>
    <w:rsid w:val="00AA5C18"/>
    <w:rsid w:val="00AA660A"/>
    <w:rsid w:val="00AA7CD0"/>
    <w:rsid w:val="00AB058A"/>
    <w:rsid w:val="00AB1E93"/>
    <w:rsid w:val="00AB387B"/>
    <w:rsid w:val="00AB3B7A"/>
    <w:rsid w:val="00AB43AC"/>
    <w:rsid w:val="00AB43DC"/>
    <w:rsid w:val="00AB4AC2"/>
    <w:rsid w:val="00AB4BC0"/>
    <w:rsid w:val="00AB5B5C"/>
    <w:rsid w:val="00AB5C0A"/>
    <w:rsid w:val="00AB65FE"/>
    <w:rsid w:val="00AB6D42"/>
    <w:rsid w:val="00AB7264"/>
    <w:rsid w:val="00AC0EE6"/>
    <w:rsid w:val="00AC14CB"/>
    <w:rsid w:val="00AC18B6"/>
    <w:rsid w:val="00AC241A"/>
    <w:rsid w:val="00AC2648"/>
    <w:rsid w:val="00AC2A66"/>
    <w:rsid w:val="00AC375C"/>
    <w:rsid w:val="00AC3762"/>
    <w:rsid w:val="00AC41E0"/>
    <w:rsid w:val="00AC429D"/>
    <w:rsid w:val="00AC4B1E"/>
    <w:rsid w:val="00AC4DBC"/>
    <w:rsid w:val="00AC527B"/>
    <w:rsid w:val="00AC5547"/>
    <w:rsid w:val="00AC5E45"/>
    <w:rsid w:val="00AC6524"/>
    <w:rsid w:val="00AC6CB4"/>
    <w:rsid w:val="00AC6FF3"/>
    <w:rsid w:val="00AC727C"/>
    <w:rsid w:val="00AD02A4"/>
    <w:rsid w:val="00AD03F9"/>
    <w:rsid w:val="00AD2852"/>
    <w:rsid w:val="00AD289E"/>
    <w:rsid w:val="00AD2CC5"/>
    <w:rsid w:val="00AD4ED7"/>
    <w:rsid w:val="00AD4EE3"/>
    <w:rsid w:val="00AD6719"/>
    <w:rsid w:val="00AD69BE"/>
    <w:rsid w:val="00AD6D4D"/>
    <w:rsid w:val="00AD7097"/>
    <w:rsid w:val="00AD7BB1"/>
    <w:rsid w:val="00AD7BF9"/>
    <w:rsid w:val="00AD7EF2"/>
    <w:rsid w:val="00AE03AC"/>
    <w:rsid w:val="00AE0940"/>
    <w:rsid w:val="00AE0A5A"/>
    <w:rsid w:val="00AE1632"/>
    <w:rsid w:val="00AE174E"/>
    <w:rsid w:val="00AE1D2D"/>
    <w:rsid w:val="00AE1EA0"/>
    <w:rsid w:val="00AE239E"/>
    <w:rsid w:val="00AE27B0"/>
    <w:rsid w:val="00AE2CFB"/>
    <w:rsid w:val="00AE3651"/>
    <w:rsid w:val="00AE3E4F"/>
    <w:rsid w:val="00AE4324"/>
    <w:rsid w:val="00AE47AF"/>
    <w:rsid w:val="00AE5DBB"/>
    <w:rsid w:val="00AE5E48"/>
    <w:rsid w:val="00AE6A51"/>
    <w:rsid w:val="00AE778A"/>
    <w:rsid w:val="00AE7EC8"/>
    <w:rsid w:val="00AE7FD9"/>
    <w:rsid w:val="00AF1DB1"/>
    <w:rsid w:val="00AF2312"/>
    <w:rsid w:val="00AF27A3"/>
    <w:rsid w:val="00AF49A4"/>
    <w:rsid w:val="00AF50A1"/>
    <w:rsid w:val="00AF561F"/>
    <w:rsid w:val="00AF602C"/>
    <w:rsid w:val="00AF63E1"/>
    <w:rsid w:val="00AF6C90"/>
    <w:rsid w:val="00AF705A"/>
    <w:rsid w:val="00AF7AF0"/>
    <w:rsid w:val="00B00CE7"/>
    <w:rsid w:val="00B00ED1"/>
    <w:rsid w:val="00B01070"/>
    <w:rsid w:val="00B013F4"/>
    <w:rsid w:val="00B0256A"/>
    <w:rsid w:val="00B02AAC"/>
    <w:rsid w:val="00B02F5C"/>
    <w:rsid w:val="00B035BD"/>
    <w:rsid w:val="00B03868"/>
    <w:rsid w:val="00B03BEC"/>
    <w:rsid w:val="00B03DCE"/>
    <w:rsid w:val="00B046A3"/>
    <w:rsid w:val="00B04CDB"/>
    <w:rsid w:val="00B04EEF"/>
    <w:rsid w:val="00B053B0"/>
    <w:rsid w:val="00B057CB"/>
    <w:rsid w:val="00B05DBF"/>
    <w:rsid w:val="00B10167"/>
    <w:rsid w:val="00B104E8"/>
    <w:rsid w:val="00B10D83"/>
    <w:rsid w:val="00B10E89"/>
    <w:rsid w:val="00B10EAA"/>
    <w:rsid w:val="00B10FF7"/>
    <w:rsid w:val="00B12471"/>
    <w:rsid w:val="00B127C1"/>
    <w:rsid w:val="00B12863"/>
    <w:rsid w:val="00B13B02"/>
    <w:rsid w:val="00B13FC2"/>
    <w:rsid w:val="00B14542"/>
    <w:rsid w:val="00B14B8B"/>
    <w:rsid w:val="00B15410"/>
    <w:rsid w:val="00B16BEB"/>
    <w:rsid w:val="00B16EE5"/>
    <w:rsid w:val="00B20238"/>
    <w:rsid w:val="00B20347"/>
    <w:rsid w:val="00B20772"/>
    <w:rsid w:val="00B20A9F"/>
    <w:rsid w:val="00B2173F"/>
    <w:rsid w:val="00B21ADC"/>
    <w:rsid w:val="00B21FC6"/>
    <w:rsid w:val="00B22338"/>
    <w:rsid w:val="00B2237A"/>
    <w:rsid w:val="00B22927"/>
    <w:rsid w:val="00B22935"/>
    <w:rsid w:val="00B229BE"/>
    <w:rsid w:val="00B22CD0"/>
    <w:rsid w:val="00B231B3"/>
    <w:rsid w:val="00B23A0F"/>
    <w:rsid w:val="00B24697"/>
    <w:rsid w:val="00B24B7C"/>
    <w:rsid w:val="00B25527"/>
    <w:rsid w:val="00B25604"/>
    <w:rsid w:val="00B265DA"/>
    <w:rsid w:val="00B26A6A"/>
    <w:rsid w:val="00B2702C"/>
    <w:rsid w:val="00B308F0"/>
    <w:rsid w:val="00B30BCF"/>
    <w:rsid w:val="00B31CA8"/>
    <w:rsid w:val="00B32597"/>
    <w:rsid w:val="00B32731"/>
    <w:rsid w:val="00B32C62"/>
    <w:rsid w:val="00B33590"/>
    <w:rsid w:val="00B33C15"/>
    <w:rsid w:val="00B33F64"/>
    <w:rsid w:val="00B34968"/>
    <w:rsid w:val="00B35106"/>
    <w:rsid w:val="00B35265"/>
    <w:rsid w:val="00B352CE"/>
    <w:rsid w:val="00B35DFA"/>
    <w:rsid w:val="00B367B2"/>
    <w:rsid w:val="00B369F7"/>
    <w:rsid w:val="00B36AC5"/>
    <w:rsid w:val="00B36AD9"/>
    <w:rsid w:val="00B37017"/>
    <w:rsid w:val="00B371E3"/>
    <w:rsid w:val="00B3765B"/>
    <w:rsid w:val="00B41C12"/>
    <w:rsid w:val="00B42518"/>
    <w:rsid w:val="00B42D81"/>
    <w:rsid w:val="00B43034"/>
    <w:rsid w:val="00B43485"/>
    <w:rsid w:val="00B4391F"/>
    <w:rsid w:val="00B4426E"/>
    <w:rsid w:val="00B44C41"/>
    <w:rsid w:val="00B44DF7"/>
    <w:rsid w:val="00B44F05"/>
    <w:rsid w:val="00B45139"/>
    <w:rsid w:val="00B4682D"/>
    <w:rsid w:val="00B477BB"/>
    <w:rsid w:val="00B500BC"/>
    <w:rsid w:val="00B519B1"/>
    <w:rsid w:val="00B52575"/>
    <w:rsid w:val="00B536F5"/>
    <w:rsid w:val="00B53DB8"/>
    <w:rsid w:val="00B558AB"/>
    <w:rsid w:val="00B55E2B"/>
    <w:rsid w:val="00B563A9"/>
    <w:rsid w:val="00B5640F"/>
    <w:rsid w:val="00B572C5"/>
    <w:rsid w:val="00B57788"/>
    <w:rsid w:val="00B60C02"/>
    <w:rsid w:val="00B613D6"/>
    <w:rsid w:val="00B63C67"/>
    <w:rsid w:val="00B6405C"/>
    <w:rsid w:val="00B642B9"/>
    <w:rsid w:val="00B64494"/>
    <w:rsid w:val="00B66E2B"/>
    <w:rsid w:val="00B67BBF"/>
    <w:rsid w:val="00B67CE7"/>
    <w:rsid w:val="00B7065F"/>
    <w:rsid w:val="00B706CC"/>
    <w:rsid w:val="00B71DC5"/>
    <w:rsid w:val="00B71EC9"/>
    <w:rsid w:val="00B720FF"/>
    <w:rsid w:val="00B73C16"/>
    <w:rsid w:val="00B73DF0"/>
    <w:rsid w:val="00B74D35"/>
    <w:rsid w:val="00B750C3"/>
    <w:rsid w:val="00B75240"/>
    <w:rsid w:val="00B754AC"/>
    <w:rsid w:val="00B766BB"/>
    <w:rsid w:val="00B76B62"/>
    <w:rsid w:val="00B7728C"/>
    <w:rsid w:val="00B778FB"/>
    <w:rsid w:val="00B77B18"/>
    <w:rsid w:val="00B80146"/>
    <w:rsid w:val="00B80714"/>
    <w:rsid w:val="00B80C19"/>
    <w:rsid w:val="00B80F01"/>
    <w:rsid w:val="00B820B9"/>
    <w:rsid w:val="00B83343"/>
    <w:rsid w:val="00B83D96"/>
    <w:rsid w:val="00B843E6"/>
    <w:rsid w:val="00B8498B"/>
    <w:rsid w:val="00B856FC"/>
    <w:rsid w:val="00B85A90"/>
    <w:rsid w:val="00B85C6E"/>
    <w:rsid w:val="00B860C0"/>
    <w:rsid w:val="00B86CB4"/>
    <w:rsid w:val="00B8735F"/>
    <w:rsid w:val="00B8798F"/>
    <w:rsid w:val="00B87A38"/>
    <w:rsid w:val="00B87F20"/>
    <w:rsid w:val="00B902FA"/>
    <w:rsid w:val="00B90646"/>
    <w:rsid w:val="00B90B6B"/>
    <w:rsid w:val="00B91459"/>
    <w:rsid w:val="00B93EE3"/>
    <w:rsid w:val="00B94002"/>
    <w:rsid w:val="00B943AA"/>
    <w:rsid w:val="00B9466F"/>
    <w:rsid w:val="00B9478C"/>
    <w:rsid w:val="00B949B7"/>
    <w:rsid w:val="00BA0380"/>
    <w:rsid w:val="00BA11D0"/>
    <w:rsid w:val="00BA1642"/>
    <w:rsid w:val="00BA1AD2"/>
    <w:rsid w:val="00BA1E79"/>
    <w:rsid w:val="00BA2236"/>
    <w:rsid w:val="00BA37A5"/>
    <w:rsid w:val="00BA3B50"/>
    <w:rsid w:val="00BA3C94"/>
    <w:rsid w:val="00BA5AC9"/>
    <w:rsid w:val="00BA6443"/>
    <w:rsid w:val="00BA6786"/>
    <w:rsid w:val="00BA67E5"/>
    <w:rsid w:val="00BA68E1"/>
    <w:rsid w:val="00BA6B40"/>
    <w:rsid w:val="00BA7B52"/>
    <w:rsid w:val="00BB0260"/>
    <w:rsid w:val="00BB0C6C"/>
    <w:rsid w:val="00BB1064"/>
    <w:rsid w:val="00BB16A9"/>
    <w:rsid w:val="00BB1E1B"/>
    <w:rsid w:val="00BB2BD6"/>
    <w:rsid w:val="00BB389E"/>
    <w:rsid w:val="00BB3B2A"/>
    <w:rsid w:val="00BB40F8"/>
    <w:rsid w:val="00BB5040"/>
    <w:rsid w:val="00BB78E5"/>
    <w:rsid w:val="00BC016E"/>
    <w:rsid w:val="00BC02E4"/>
    <w:rsid w:val="00BC0C91"/>
    <w:rsid w:val="00BC1113"/>
    <w:rsid w:val="00BC1672"/>
    <w:rsid w:val="00BC167A"/>
    <w:rsid w:val="00BC1D3B"/>
    <w:rsid w:val="00BC2A72"/>
    <w:rsid w:val="00BC2E4C"/>
    <w:rsid w:val="00BC2F39"/>
    <w:rsid w:val="00BC31DB"/>
    <w:rsid w:val="00BC3873"/>
    <w:rsid w:val="00BC3A2A"/>
    <w:rsid w:val="00BC4027"/>
    <w:rsid w:val="00BC431C"/>
    <w:rsid w:val="00BC4A0E"/>
    <w:rsid w:val="00BC5D36"/>
    <w:rsid w:val="00BC5DE6"/>
    <w:rsid w:val="00BC7D30"/>
    <w:rsid w:val="00BC7D97"/>
    <w:rsid w:val="00BD2223"/>
    <w:rsid w:val="00BD3088"/>
    <w:rsid w:val="00BD3A0C"/>
    <w:rsid w:val="00BD50A8"/>
    <w:rsid w:val="00BD53DA"/>
    <w:rsid w:val="00BD5415"/>
    <w:rsid w:val="00BD5984"/>
    <w:rsid w:val="00BD63E2"/>
    <w:rsid w:val="00BD6A75"/>
    <w:rsid w:val="00BD6FBC"/>
    <w:rsid w:val="00BD7524"/>
    <w:rsid w:val="00BD76A3"/>
    <w:rsid w:val="00BE02F4"/>
    <w:rsid w:val="00BE0C42"/>
    <w:rsid w:val="00BE0DD1"/>
    <w:rsid w:val="00BE1565"/>
    <w:rsid w:val="00BE1870"/>
    <w:rsid w:val="00BE292B"/>
    <w:rsid w:val="00BE2E5A"/>
    <w:rsid w:val="00BE3102"/>
    <w:rsid w:val="00BE32A6"/>
    <w:rsid w:val="00BE3A79"/>
    <w:rsid w:val="00BE3AAA"/>
    <w:rsid w:val="00BE4F8D"/>
    <w:rsid w:val="00BE58F7"/>
    <w:rsid w:val="00BE5E1A"/>
    <w:rsid w:val="00BE6532"/>
    <w:rsid w:val="00BF0ADF"/>
    <w:rsid w:val="00BF0F64"/>
    <w:rsid w:val="00BF275F"/>
    <w:rsid w:val="00BF3A8F"/>
    <w:rsid w:val="00BF41B7"/>
    <w:rsid w:val="00BF4DFC"/>
    <w:rsid w:val="00BF5856"/>
    <w:rsid w:val="00BF58FB"/>
    <w:rsid w:val="00BF5DA6"/>
    <w:rsid w:val="00BF603E"/>
    <w:rsid w:val="00BF6577"/>
    <w:rsid w:val="00BF71C7"/>
    <w:rsid w:val="00BF7C66"/>
    <w:rsid w:val="00C0011B"/>
    <w:rsid w:val="00C0011D"/>
    <w:rsid w:val="00C017E0"/>
    <w:rsid w:val="00C01E3E"/>
    <w:rsid w:val="00C02A3F"/>
    <w:rsid w:val="00C02A84"/>
    <w:rsid w:val="00C0331C"/>
    <w:rsid w:val="00C0345D"/>
    <w:rsid w:val="00C036C5"/>
    <w:rsid w:val="00C03B6E"/>
    <w:rsid w:val="00C03E8A"/>
    <w:rsid w:val="00C050A1"/>
    <w:rsid w:val="00C05A89"/>
    <w:rsid w:val="00C0618E"/>
    <w:rsid w:val="00C06BB8"/>
    <w:rsid w:val="00C077F8"/>
    <w:rsid w:val="00C10DC4"/>
    <w:rsid w:val="00C11D6B"/>
    <w:rsid w:val="00C11D96"/>
    <w:rsid w:val="00C122AE"/>
    <w:rsid w:val="00C12A16"/>
    <w:rsid w:val="00C12CE5"/>
    <w:rsid w:val="00C12D40"/>
    <w:rsid w:val="00C1300C"/>
    <w:rsid w:val="00C13EA4"/>
    <w:rsid w:val="00C14450"/>
    <w:rsid w:val="00C146E1"/>
    <w:rsid w:val="00C155A0"/>
    <w:rsid w:val="00C15C23"/>
    <w:rsid w:val="00C1631A"/>
    <w:rsid w:val="00C177D5"/>
    <w:rsid w:val="00C21603"/>
    <w:rsid w:val="00C21730"/>
    <w:rsid w:val="00C219B3"/>
    <w:rsid w:val="00C21AF4"/>
    <w:rsid w:val="00C21B3E"/>
    <w:rsid w:val="00C223D3"/>
    <w:rsid w:val="00C22817"/>
    <w:rsid w:val="00C22850"/>
    <w:rsid w:val="00C2365C"/>
    <w:rsid w:val="00C243AB"/>
    <w:rsid w:val="00C24DC9"/>
    <w:rsid w:val="00C2648A"/>
    <w:rsid w:val="00C26579"/>
    <w:rsid w:val="00C2658E"/>
    <w:rsid w:val="00C26877"/>
    <w:rsid w:val="00C27759"/>
    <w:rsid w:val="00C27CD1"/>
    <w:rsid w:val="00C3037D"/>
    <w:rsid w:val="00C306AF"/>
    <w:rsid w:val="00C307BC"/>
    <w:rsid w:val="00C30812"/>
    <w:rsid w:val="00C3111C"/>
    <w:rsid w:val="00C314B0"/>
    <w:rsid w:val="00C31740"/>
    <w:rsid w:val="00C327D9"/>
    <w:rsid w:val="00C32FD1"/>
    <w:rsid w:val="00C330E5"/>
    <w:rsid w:val="00C3366D"/>
    <w:rsid w:val="00C34085"/>
    <w:rsid w:val="00C349CA"/>
    <w:rsid w:val="00C34C26"/>
    <w:rsid w:val="00C36274"/>
    <w:rsid w:val="00C3662B"/>
    <w:rsid w:val="00C373E1"/>
    <w:rsid w:val="00C37CFD"/>
    <w:rsid w:val="00C40F4B"/>
    <w:rsid w:val="00C420FA"/>
    <w:rsid w:val="00C424FE"/>
    <w:rsid w:val="00C44981"/>
    <w:rsid w:val="00C451D3"/>
    <w:rsid w:val="00C45834"/>
    <w:rsid w:val="00C469C2"/>
    <w:rsid w:val="00C46E1D"/>
    <w:rsid w:val="00C46F4D"/>
    <w:rsid w:val="00C47AD9"/>
    <w:rsid w:val="00C47D31"/>
    <w:rsid w:val="00C50D76"/>
    <w:rsid w:val="00C50F07"/>
    <w:rsid w:val="00C532DC"/>
    <w:rsid w:val="00C53B7C"/>
    <w:rsid w:val="00C5442E"/>
    <w:rsid w:val="00C546F7"/>
    <w:rsid w:val="00C54949"/>
    <w:rsid w:val="00C54F40"/>
    <w:rsid w:val="00C561FA"/>
    <w:rsid w:val="00C57049"/>
    <w:rsid w:val="00C573C5"/>
    <w:rsid w:val="00C63B3A"/>
    <w:rsid w:val="00C648EB"/>
    <w:rsid w:val="00C64917"/>
    <w:rsid w:val="00C652EA"/>
    <w:rsid w:val="00C654A3"/>
    <w:rsid w:val="00C67B93"/>
    <w:rsid w:val="00C67C24"/>
    <w:rsid w:val="00C67DA0"/>
    <w:rsid w:val="00C67E7F"/>
    <w:rsid w:val="00C70613"/>
    <w:rsid w:val="00C708A0"/>
    <w:rsid w:val="00C70F85"/>
    <w:rsid w:val="00C71222"/>
    <w:rsid w:val="00C733A6"/>
    <w:rsid w:val="00C73DAF"/>
    <w:rsid w:val="00C7550B"/>
    <w:rsid w:val="00C756FD"/>
    <w:rsid w:val="00C763D5"/>
    <w:rsid w:val="00C765D2"/>
    <w:rsid w:val="00C769D1"/>
    <w:rsid w:val="00C76AB7"/>
    <w:rsid w:val="00C803BC"/>
    <w:rsid w:val="00C805DA"/>
    <w:rsid w:val="00C80C94"/>
    <w:rsid w:val="00C81D91"/>
    <w:rsid w:val="00C81D9C"/>
    <w:rsid w:val="00C82E86"/>
    <w:rsid w:val="00C83616"/>
    <w:rsid w:val="00C83640"/>
    <w:rsid w:val="00C83A6B"/>
    <w:rsid w:val="00C8498A"/>
    <w:rsid w:val="00C855E4"/>
    <w:rsid w:val="00C85A5E"/>
    <w:rsid w:val="00C875C4"/>
    <w:rsid w:val="00C8775F"/>
    <w:rsid w:val="00C9035C"/>
    <w:rsid w:val="00C907E8"/>
    <w:rsid w:val="00C92050"/>
    <w:rsid w:val="00C92512"/>
    <w:rsid w:val="00C93EF7"/>
    <w:rsid w:val="00C94D71"/>
    <w:rsid w:val="00C95B02"/>
    <w:rsid w:val="00C963E7"/>
    <w:rsid w:val="00C96DB6"/>
    <w:rsid w:val="00C976FB"/>
    <w:rsid w:val="00C97E23"/>
    <w:rsid w:val="00CA0707"/>
    <w:rsid w:val="00CA0881"/>
    <w:rsid w:val="00CA2401"/>
    <w:rsid w:val="00CA2C85"/>
    <w:rsid w:val="00CA3C1E"/>
    <w:rsid w:val="00CA4AE7"/>
    <w:rsid w:val="00CA4D2E"/>
    <w:rsid w:val="00CA590C"/>
    <w:rsid w:val="00CA6149"/>
    <w:rsid w:val="00CA6ECD"/>
    <w:rsid w:val="00CA703F"/>
    <w:rsid w:val="00CA7496"/>
    <w:rsid w:val="00CA7DF3"/>
    <w:rsid w:val="00CB03EB"/>
    <w:rsid w:val="00CB0413"/>
    <w:rsid w:val="00CB053E"/>
    <w:rsid w:val="00CB0892"/>
    <w:rsid w:val="00CB12AD"/>
    <w:rsid w:val="00CB2032"/>
    <w:rsid w:val="00CB2094"/>
    <w:rsid w:val="00CB26AA"/>
    <w:rsid w:val="00CB3580"/>
    <w:rsid w:val="00CB39D6"/>
    <w:rsid w:val="00CB5E75"/>
    <w:rsid w:val="00CB64D9"/>
    <w:rsid w:val="00CB661B"/>
    <w:rsid w:val="00CB6644"/>
    <w:rsid w:val="00CB6C46"/>
    <w:rsid w:val="00CB6DD8"/>
    <w:rsid w:val="00CB77CE"/>
    <w:rsid w:val="00CB79F6"/>
    <w:rsid w:val="00CB7AD2"/>
    <w:rsid w:val="00CC0E63"/>
    <w:rsid w:val="00CC0E8C"/>
    <w:rsid w:val="00CC1792"/>
    <w:rsid w:val="00CC17F7"/>
    <w:rsid w:val="00CC19F9"/>
    <w:rsid w:val="00CC22D3"/>
    <w:rsid w:val="00CC2C5A"/>
    <w:rsid w:val="00CC42AC"/>
    <w:rsid w:val="00CC47F9"/>
    <w:rsid w:val="00CC4888"/>
    <w:rsid w:val="00CC4C13"/>
    <w:rsid w:val="00CC5377"/>
    <w:rsid w:val="00CC5A08"/>
    <w:rsid w:val="00CC6257"/>
    <w:rsid w:val="00CC7744"/>
    <w:rsid w:val="00CC785D"/>
    <w:rsid w:val="00CC78CD"/>
    <w:rsid w:val="00CD02E7"/>
    <w:rsid w:val="00CD1CD0"/>
    <w:rsid w:val="00CD26A7"/>
    <w:rsid w:val="00CD4646"/>
    <w:rsid w:val="00CD5A19"/>
    <w:rsid w:val="00CD5FEF"/>
    <w:rsid w:val="00CD671D"/>
    <w:rsid w:val="00CD6C02"/>
    <w:rsid w:val="00CD70B7"/>
    <w:rsid w:val="00CD76B8"/>
    <w:rsid w:val="00CD7DE7"/>
    <w:rsid w:val="00CE0A06"/>
    <w:rsid w:val="00CE0F7C"/>
    <w:rsid w:val="00CE179A"/>
    <w:rsid w:val="00CE180A"/>
    <w:rsid w:val="00CE1BD6"/>
    <w:rsid w:val="00CE3E26"/>
    <w:rsid w:val="00CE5772"/>
    <w:rsid w:val="00CE57FD"/>
    <w:rsid w:val="00CE67A8"/>
    <w:rsid w:val="00CE6DE3"/>
    <w:rsid w:val="00CE7169"/>
    <w:rsid w:val="00CE7D2A"/>
    <w:rsid w:val="00CE7D7B"/>
    <w:rsid w:val="00CF0434"/>
    <w:rsid w:val="00CF08BC"/>
    <w:rsid w:val="00CF1488"/>
    <w:rsid w:val="00CF1C6D"/>
    <w:rsid w:val="00CF2660"/>
    <w:rsid w:val="00CF2877"/>
    <w:rsid w:val="00CF3576"/>
    <w:rsid w:val="00CF3986"/>
    <w:rsid w:val="00CF3DC0"/>
    <w:rsid w:val="00CF4709"/>
    <w:rsid w:val="00CF5523"/>
    <w:rsid w:val="00CF5702"/>
    <w:rsid w:val="00CF5849"/>
    <w:rsid w:val="00CF5869"/>
    <w:rsid w:val="00CF5B4A"/>
    <w:rsid w:val="00CF5E49"/>
    <w:rsid w:val="00CF75CD"/>
    <w:rsid w:val="00CF7E72"/>
    <w:rsid w:val="00D010CC"/>
    <w:rsid w:val="00D02133"/>
    <w:rsid w:val="00D023BB"/>
    <w:rsid w:val="00D02BCF"/>
    <w:rsid w:val="00D02FCB"/>
    <w:rsid w:val="00D03017"/>
    <w:rsid w:val="00D03167"/>
    <w:rsid w:val="00D03299"/>
    <w:rsid w:val="00D03571"/>
    <w:rsid w:val="00D03CAC"/>
    <w:rsid w:val="00D046D3"/>
    <w:rsid w:val="00D04EB8"/>
    <w:rsid w:val="00D05B27"/>
    <w:rsid w:val="00D061CA"/>
    <w:rsid w:val="00D065AB"/>
    <w:rsid w:val="00D06CE5"/>
    <w:rsid w:val="00D078F3"/>
    <w:rsid w:val="00D079D7"/>
    <w:rsid w:val="00D12E63"/>
    <w:rsid w:val="00D12F45"/>
    <w:rsid w:val="00D13D02"/>
    <w:rsid w:val="00D13DC9"/>
    <w:rsid w:val="00D14024"/>
    <w:rsid w:val="00D1439F"/>
    <w:rsid w:val="00D1538C"/>
    <w:rsid w:val="00D158FE"/>
    <w:rsid w:val="00D1691A"/>
    <w:rsid w:val="00D2044C"/>
    <w:rsid w:val="00D207BA"/>
    <w:rsid w:val="00D20827"/>
    <w:rsid w:val="00D20994"/>
    <w:rsid w:val="00D20DAF"/>
    <w:rsid w:val="00D20E2C"/>
    <w:rsid w:val="00D21319"/>
    <w:rsid w:val="00D21486"/>
    <w:rsid w:val="00D220FE"/>
    <w:rsid w:val="00D22829"/>
    <w:rsid w:val="00D252E9"/>
    <w:rsid w:val="00D257FB"/>
    <w:rsid w:val="00D2585D"/>
    <w:rsid w:val="00D25F35"/>
    <w:rsid w:val="00D267F8"/>
    <w:rsid w:val="00D2699C"/>
    <w:rsid w:val="00D26E81"/>
    <w:rsid w:val="00D27DAB"/>
    <w:rsid w:val="00D27DD2"/>
    <w:rsid w:val="00D317E2"/>
    <w:rsid w:val="00D3197D"/>
    <w:rsid w:val="00D323B9"/>
    <w:rsid w:val="00D33980"/>
    <w:rsid w:val="00D33D29"/>
    <w:rsid w:val="00D348FE"/>
    <w:rsid w:val="00D35560"/>
    <w:rsid w:val="00D35FC7"/>
    <w:rsid w:val="00D361F1"/>
    <w:rsid w:val="00D3660D"/>
    <w:rsid w:val="00D3743B"/>
    <w:rsid w:val="00D37765"/>
    <w:rsid w:val="00D41CAE"/>
    <w:rsid w:val="00D42119"/>
    <w:rsid w:val="00D437CC"/>
    <w:rsid w:val="00D43809"/>
    <w:rsid w:val="00D4502A"/>
    <w:rsid w:val="00D47726"/>
    <w:rsid w:val="00D5060F"/>
    <w:rsid w:val="00D508CA"/>
    <w:rsid w:val="00D533BD"/>
    <w:rsid w:val="00D53D62"/>
    <w:rsid w:val="00D54300"/>
    <w:rsid w:val="00D54583"/>
    <w:rsid w:val="00D54C51"/>
    <w:rsid w:val="00D54D40"/>
    <w:rsid w:val="00D54EC2"/>
    <w:rsid w:val="00D561BE"/>
    <w:rsid w:val="00D56B6A"/>
    <w:rsid w:val="00D573D3"/>
    <w:rsid w:val="00D574AE"/>
    <w:rsid w:val="00D57A8B"/>
    <w:rsid w:val="00D57F61"/>
    <w:rsid w:val="00D605F9"/>
    <w:rsid w:val="00D608EC"/>
    <w:rsid w:val="00D60FA7"/>
    <w:rsid w:val="00D614CA"/>
    <w:rsid w:val="00D61D29"/>
    <w:rsid w:val="00D61D69"/>
    <w:rsid w:val="00D6246E"/>
    <w:rsid w:val="00D62B10"/>
    <w:rsid w:val="00D62E1B"/>
    <w:rsid w:val="00D630F4"/>
    <w:rsid w:val="00D633B8"/>
    <w:rsid w:val="00D64440"/>
    <w:rsid w:val="00D64778"/>
    <w:rsid w:val="00D64913"/>
    <w:rsid w:val="00D65216"/>
    <w:rsid w:val="00D653AE"/>
    <w:rsid w:val="00D65B65"/>
    <w:rsid w:val="00D65BDE"/>
    <w:rsid w:val="00D65D27"/>
    <w:rsid w:val="00D664FE"/>
    <w:rsid w:val="00D66BD5"/>
    <w:rsid w:val="00D66DFE"/>
    <w:rsid w:val="00D67114"/>
    <w:rsid w:val="00D6724E"/>
    <w:rsid w:val="00D672B7"/>
    <w:rsid w:val="00D725AD"/>
    <w:rsid w:val="00D729B9"/>
    <w:rsid w:val="00D73DCC"/>
    <w:rsid w:val="00D747B7"/>
    <w:rsid w:val="00D7568F"/>
    <w:rsid w:val="00D76251"/>
    <w:rsid w:val="00D76C1F"/>
    <w:rsid w:val="00D76E95"/>
    <w:rsid w:val="00D77380"/>
    <w:rsid w:val="00D77723"/>
    <w:rsid w:val="00D777B0"/>
    <w:rsid w:val="00D7783C"/>
    <w:rsid w:val="00D779C5"/>
    <w:rsid w:val="00D77F45"/>
    <w:rsid w:val="00D80008"/>
    <w:rsid w:val="00D80503"/>
    <w:rsid w:val="00D80AC3"/>
    <w:rsid w:val="00D81287"/>
    <w:rsid w:val="00D814C5"/>
    <w:rsid w:val="00D818AE"/>
    <w:rsid w:val="00D81AC1"/>
    <w:rsid w:val="00D81C17"/>
    <w:rsid w:val="00D824AE"/>
    <w:rsid w:val="00D82C03"/>
    <w:rsid w:val="00D839DB"/>
    <w:rsid w:val="00D83C2C"/>
    <w:rsid w:val="00D83D85"/>
    <w:rsid w:val="00D83DA4"/>
    <w:rsid w:val="00D84EB2"/>
    <w:rsid w:val="00D85883"/>
    <w:rsid w:val="00D85983"/>
    <w:rsid w:val="00D85992"/>
    <w:rsid w:val="00D85FFD"/>
    <w:rsid w:val="00D86099"/>
    <w:rsid w:val="00D875D4"/>
    <w:rsid w:val="00D87861"/>
    <w:rsid w:val="00D87BC7"/>
    <w:rsid w:val="00D90498"/>
    <w:rsid w:val="00D90825"/>
    <w:rsid w:val="00D90CA6"/>
    <w:rsid w:val="00D91273"/>
    <w:rsid w:val="00D918D6"/>
    <w:rsid w:val="00D91BCA"/>
    <w:rsid w:val="00D9254B"/>
    <w:rsid w:val="00D9284F"/>
    <w:rsid w:val="00D94367"/>
    <w:rsid w:val="00D94601"/>
    <w:rsid w:val="00D94DF8"/>
    <w:rsid w:val="00D95050"/>
    <w:rsid w:val="00D955BB"/>
    <w:rsid w:val="00D95968"/>
    <w:rsid w:val="00DA0049"/>
    <w:rsid w:val="00DA011F"/>
    <w:rsid w:val="00DA09CC"/>
    <w:rsid w:val="00DA0DCF"/>
    <w:rsid w:val="00DA0E37"/>
    <w:rsid w:val="00DA136F"/>
    <w:rsid w:val="00DA19C4"/>
    <w:rsid w:val="00DA1D3A"/>
    <w:rsid w:val="00DA22B2"/>
    <w:rsid w:val="00DA2371"/>
    <w:rsid w:val="00DA24F6"/>
    <w:rsid w:val="00DA26D6"/>
    <w:rsid w:val="00DA2EE5"/>
    <w:rsid w:val="00DA31B2"/>
    <w:rsid w:val="00DA3880"/>
    <w:rsid w:val="00DA388D"/>
    <w:rsid w:val="00DA3DE9"/>
    <w:rsid w:val="00DA44CE"/>
    <w:rsid w:val="00DA49F3"/>
    <w:rsid w:val="00DA60D2"/>
    <w:rsid w:val="00DA70E2"/>
    <w:rsid w:val="00DA757D"/>
    <w:rsid w:val="00DA762F"/>
    <w:rsid w:val="00DA7AE2"/>
    <w:rsid w:val="00DA7CA4"/>
    <w:rsid w:val="00DB159D"/>
    <w:rsid w:val="00DB15CA"/>
    <w:rsid w:val="00DB2127"/>
    <w:rsid w:val="00DB2426"/>
    <w:rsid w:val="00DB2BB7"/>
    <w:rsid w:val="00DB2BD8"/>
    <w:rsid w:val="00DB2D72"/>
    <w:rsid w:val="00DB36AD"/>
    <w:rsid w:val="00DB4BDA"/>
    <w:rsid w:val="00DB4FD9"/>
    <w:rsid w:val="00DB5FF1"/>
    <w:rsid w:val="00DB6006"/>
    <w:rsid w:val="00DC05B5"/>
    <w:rsid w:val="00DC05FF"/>
    <w:rsid w:val="00DC0A07"/>
    <w:rsid w:val="00DC0A47"/>
    <w:rsid w:val="00DC22B3"/>
    <w:rsid w:val="00DC3717"/>
    <w:rsid w:val="00DC3A52"/>
    <w:rsid w:val="00DC4038"/>
    <w:rsid w:val="00DC449D"/>
    <w:rsid w:val="00DC50A5"/>
    <w:rsid w:val="00DC564A"/>
    <w:rsid w:val="00DC5C1D"/>
    <w:rsid w:val="00DC5F2A"/>
    <w:rsid w:val="00DC647C"/>
    <w:rsid w:val="00DC6F84"/>
    <w:rsid w:val="00DC765C"/>
    <w:rsid w:val="00DC7C56"/>
    <w:rsid w:val="00DC7CD3"/>
    <w:rsid w:val="00DD1EFF"/>
    <w:rsid w:val="00DD2378"/>
    <w:rsid w:val="00DD2A4F"/>
    <w:rsid w:val="00DD3145"/>
    <w:rsid w:val="00DD3D76"/>
    <w:rsid w:val="00DD4017"/>
    <w:rsid w:val="00DD5BF7"/>
    <w:rsid w:val="00DD5CF6"/>
    <w:rsid w:val="00DD5E79"/>
    <w:rsid w:val="00DD6C37"/>
    <w:rsid w:val="00DD6D6E"/>
    <w:rsid w:val="00DD7516"/>
    <w:rsid w:val="00DD7883"/>
    <w:rsid w:val="00DD7941"/>
    <w:rsid w:val="00DD79E1"/>
    <w:rsid w:val="00DD7D0C"/>
    <w:rsid w:val="00DE083C"/>
    <w:rsid w:val="00DE0B96"/>
    <w:rsid w:val="00DE122D"/>
    <w:rsid w:val="00DE1382"/>
    <w:rsid w:val="00DE201F"/>
    <w:rsid w:val="00DE2CC5"/>
    <w:rsid w:val="00DE2ED6"/>
    <w:rsid w:val="00DE49DA"/>
    <w:rsid w:val="00DE4CA3"/>
    <w:rsid w:val="00DE5E90"/>
    <w:rsid w:val="00DE63DD"/>
    <w:rsid w:val="00DE6467"/>
    <w:rsid w:val="00DE729F"/>
    <w:rsid w:val="00DE7566"/>
    <w:rsid w:val="00DF09C5"/>
    <w:rsid w:val="00DF1442"/>
    <w:rsid w:val="00DF14FC"/>
    <w:rsid w:val="00DF196D"/>
    <w:rsid w:val="00DF2401"/>
    <w:rsid w:val="00DF29D1"/>
    <w:rsid w:val="00DF3C81"/>
    <w:rsid w:val="00DF3CE6"/>
    <w:rsid w:val="00DF4048"/>
    <w:rsid w:val="00DF42D3"/>
    <w:rsid w:val="00DF49BC"/>
    <w:rsid w:val="00DF5434"/>
    <w:rsid w:val="00DF66D5"/>
    <w:rsid w:val="00DF683E"/>
    <w:rsid w:val="00E017E7"/>
    <w:rsid w:val="00E01C66"/>
    <w:rsid w:val="00E01EE6"/>
    <w:rsid w:val="00E022A9"/>
    <w:rsid w:val="00E032B7"/>
    <w:rsid w:val="00E03AD0"/>
    <w:rsid w:val="00E041E6"/>
    <w:rsid w:val="00E044AB"/>
    <w:rsid w:val="00E05584"/>
    <w:rsid w:val="00E061E4"/>
    <w:rsid w:val="00E06D7B"/>
    <w:rsid w:val="00E074BB"/>
    <w:rsid w:val="00E106C0"/>
    <w:rsid w:val="00E10B3F"/>
    <w:rsid w:val="00E112D1"/>
    <w:rsid w:val="00E12F43"/>
    <w:rsid w:val="00E1354D"/>
    <w:rsid w:val="00E13A2A"/>
    <w:rsid w:val="00E13C1C"/>
    <w:rsid w:val="00E13F05"/>
    <w:rsid w:val="00E1464B"/>
    <w:rsid w:val="00E148A4"/>
    <w:rsid w:val="00E159D4"/>
    <w:rsid w:val="00E15EBD"/>
    <w:rsid w:val="00E16F3B"/>
    <w:rsid w:val="00E1711F"/>
    <w:rsid w:val="00E204C5"/>
    <w:rsid w:val="00E20E91"/>
    <w:rsid w:val="00E21193"/>
    <w:rsid w:val="00E21EC8"/>
    <w:rsid w:val="00E2370A"/>
    <w:rsid w:val="00E24707"/>
    <w:rsid w:val="00E25505"/>
    <w:rsid w:val="00E25F41"/>
    <w:rsid w:val="00E265CB"/>
    <w:rsid w:val="00E3056E"/>
    <w:rsid w:val="00E30E4F"/>
    <w:rsid w:val="00E31664"/>
    <w:rsid w:val="00E3194A"/>
    <w:rsid w:val="00E319CA"/>
    <w:rsid w:val="00E31D42"/>
    <w:rsid w:val="00E31E7D"/>
    <w:rsid w:val="00E327AA"/>
    <w:rsid w:val="00E3283F"/>
    <w:rsid w:val="00E3485B"/>
    <w:rsid w:val="00E34F84"/>
    <w:rsid w:val="00E35165"/>
    <w:rsid w:val="00E35CD9"/>
    <w:rsid w:val="00E35FE8"/>
    <w:rsid w:val="00E369FC"/>
    <w:rsid w:val="00E36CB5"/>
    <w:rsid w:val="00E37B45"/>
    <w:rsid w:val="00E40391"/>
    <w:rsid w:val="00E40DD5"/>
    <w:rsid w:val="00E41C6F"/>
    <w:rsid w:val="00E41DD9"/>
    <w:rsid w:val="00E423F5"/>
    <w:rsid w:val="00E4331B"/>
    <w:rsid w:val="00E445C4"/>
    <w:rsid w:val="00E44D69"/>
    <w:rsid w:val="00E44F1E"/>
    <w:rsid w:val="00E45E44"/>
    <w:rsid w:val="00E46591"/>
    <w:rsid w:val="00E46870"/>
    <w:rsid w:val="00E46875"/>
    <w:rsid w:val="00E473B4"/>
    <w:rsid w:val="00E475B7"/>
    <w:rsid w:val="00E47A79"/>
    <w:rsid w:val="00E5116A"/>
    <w:rsid w:val="00E51553"/>
    <w:rsid w:val="00E51C36"/>
    <w:rsid w:val="00E51FC4"/>
    <w:rsid w:val="00E51FFA"/>
    <w:rsid w:val="00E529B5"/>
    <w:rsid w:val="00E5378C"/>
    <w:rsid w:val="00E53ABF"/>
    <w:rsid w:val="00E544BF"/>
    <w:rsid w:val="00E54DB9"/>
    <w:rsid w:val="00E570AB"/>
    <w:rsid w:val="00E572F9"/>
    <w:rsid w:val="00E573BA"/>
    <w:rsid w:val="00E576C7"/>
    <w:rsid w:val="00E57987"/>
    <w:rsid w:val="00E57D21"/>
    <w:rsid w:val="00E618DF"/>
    <w:rsid w:val="00E62D9C"/>
    <w:rsid w:val="00E62E40"/>
    <w:rsid w:val="00E6385B"/>
    <w:rsid w:val="00E6394B"/>
    <w:rsid w:val="00E64371"/>
    <w:rsid w:val="00E6502F"/>
    <w:rsid w:val="00E6635E"/>
    <w:rsid w:val="00E67C6C"/>
    <w:rsid w:val="00E67D51"/>
    <w:rsid w:val="00E7105D"/>
    <w:rsid w:val="00E71741"/>
    <w:rsid w:val="00E71DA0"/>
    <w:rsid w:val="00E7255A"/>
    <w:rsid w:val="00E72952"/>
    <w:rsid w:val="00E73456"/>
    <w:rsid w:val="00E738E7"/>
    <w:rsid w:val="00E742F3"/>
    <w:rsid w:val="00E74C8A"/>
    <w:rsid w:val="00E74CA1"/>
    <w:rsid w:val="00E7571B"/>
    <w:rsid w:val="00E75EC0"/>
    <w:rsid w:val="00E7621A"/>
    <w:rsid w:val="00E76A83"/>
    <w:rsid w:val="00E77E93"/>
    <w:rsid w:val="00E804FA"/>
    <w:rsid w:val="00E807C8"/>
    <w:rsid w:val="00E80CF8"/>
    <w:rsid w:val="00E80EE7"/>
    <w:rsid w:val="00E81E14"/>
    <w:rsid w:val="00E82012"/>
    <w:rsid w:val="00E82920"/>
    <w:rsid w:val="00E82B4B"/>
    <w:rsid w:val="00E83419"/>
    <w:rsid w:val="00E8419F"/>
    <w:rsid w:val="00E8453F"/>
    <w:rsid w:val="00E84658"/>
    <w:rsid w:val="00E84A77"/>
    <w:rsid w:val="00E84C39"/>
    <w:rsid w:val="00E85F51"/>
    <w:rsid w:val="00E85FE1"/>
    <w:rsid w:val="00E871B9"/>
    <w:rsid w:val="00E87202"/>
    <w:rsid w:val="00E8740D"/>
    <w:rsid w:val="00E90833"/>
    <w:rsid w:val="00E90D1B"/>
    <w:rsid w:val="00E90E05"/>
    <w:rsid w:val="00E9189D"/>
    <w:rsid w:val="00E9192D"/>
    <w:rsid w:val="00E91E29"/>
    <w:rsid w:val="00E92837"/>
    <w:rsid w:val="00E92AD0"/>
    <w:rsid w:val="00E93428"/>
    <w:rsid w:val="00E936F0"/>
    <w:rsid w:val="00E93FCD"/>
    <w:rsid w:val="00E94DA6"/>
    <w:rsid w:val="00E95715"/>
    <w:rsid w:val="00E96BB7"/>
    <w:rsid w:val="00E97246"/>
    <w:rsid w:val="00E9728F"/>
    <w:rsid w:val="00E976C8"/>
    <w:rsid w:val="00EA02E2"/>
    <w:rsid w:val="00EA0F6D"/>
    <w:rsid w:val="00EA1A14"/>
    <w:rsid w:val="00EA1A62"/>
    <w:rsid w:val="00EA1DAE"/>
    <w:rsid w:val="00EA20DF"/>
    <w:rsid w:val="00EA2457"/>
    <w:rsid w:val="00EA2D33"/>
    <w:rsid w:val="00EA2FFE"/>
    <w:rsid w:val="00EA4316"/>
    <w:rsid w:val="00EA438D"/>
    <w:rsid w:val="00EA4837"/>
    <w:rsid w:val="00EA4CC3"/>
    <w:rsid w:val="00EA503A"/>
    <w:rsid w:val="00EA5092"/>
    <w:rsid w:val="00EA5C49"/>
    <w:rsid w:val="00EA5EF1"/>
    <w:rsid w:val="00EA7409"/>
    <w:rsid w:val="00EB039B"/>
    <w:rsid w:val="00EB0FC1"/>
    <w:rsid w:val="00EB32C3"/>
    <w:rsid w:val="00EB32FA"/>
    <w:rsid w:val="00EB344C"/>
    <w:rsid w:val="00EB43B2"/>
    <w:rsid w:val="00EB46D1"/>
    <w:rsid w:val="00EB484E"/>
    <w:rsid w:val="00EB4B0F"/>
    <w:rsid w:val="00EB50A6"/>
    <w:rsid w:val="00EB5C98"/>
    <w:rsid w:val="00EB5DC6"/>
    <w:rsid w:val="00EB71B1"/>
    <w:rsid w:val="00EB7375"/>
    <w:rsid w:val="00EC142B"/>
    <w:rsid w:val="00EC1E7B"/>
    <w:rsid w:val="00EC2355"/>
    <w:rsid w:val="00EC2AA0"/>
    <w:rsid w:val="00EC2E99"/>
    <w:rsid w:val="00EC56EA"/>
    <w:rsid w:val="00EC5CD6"/>
    <w:rsid w:val="00EC6004"/>
    <w:rsid w:val="00EC6405"/>
    <w:rsid w:val="00EC688E"/>
    <w:rsid w:val="00EC74C2"/>
    <w:rsid w:val="00EC7B05"/>
    <w:rsid w:val="00ED02A0"/>
    <w:rsid w:val="00ED03AD"/>
    <w:rsid w:val="00ED1012"/>
    <w:rsid w:val="00ED164A"/>
    <w:rsid w:val="00ED2E10"/>
    <w:rsid w:val="00ED303B"/>
    <w:rsid w:val="00ED3394"/>
    <w:rsid w:val="00ED39D8"/>
    <w:rsid w:val="00ED3CB7"/>
    <w:rsid w:val="00ED5059"/>
    <w:rsid w:val="00ED5498"/>
    <w:rsid w:val="00ED66DA"/>
    <w:rsid w:val="00ED6CAC"/>
    <w:rsid w:val="00ED6D68"/>
    <w:rsid w:val="00ED6DDE"/>
    <w:rsid w:val="00ED7508"/>
    <w:rsid w:val="00EE06C3"/>
    <w:rsid w:val="00EE0EAC"/>
    <w:rsid w:val="00EE103D"/>
    <w:rsid w:val="00EE1311"/>
    <w:rsid w:val="00EE18FE"/>
    <w:rsid w:val="00EE2503"/>
    <w:rsid w:val="00EE3754"/>
    <w:rsid w:val="00EE3DBB"/>
    <w:rsid w:val="00EE40BA"/>
    <w:rsid w:val="00EE4327"/>
    <w:rsid w:val="00EE4E5B"/>
    <w:rsid w:val="00EE5680"/>
    <w:rsid w:val="00EE578E"/>
    <w:rsid w:val="00EE61E2"/>
    <w:rsid w:val="00EE67CF"/>
    <w:rsid w:val="00EE6EC1"/>
    <w:rsid w:val="00EE7120"/>
    <w:rsid w:val="00EE7F24"/>
    <w:rsid w:val="00EF18D9"/>
    <w:rsid w:val="00EF198D"/>
    <w:rsid w:val="00EF229D"/>
    <w:rsid w:val="00EF2488"/>
    <w:rsid w:val="00EF2F34"/>
    <w:rsid w:val="00EF34E1"/>
    <w:rsid w:val="00EF3CC9"/>
    <w:rsid w:val="00EF4564"/>
    <w:rsid w:val="00EF4AF2"/>
    <w:rsid w:val="00EF4D82"/>
    <w:rsid w:val="00EF51C4"/>
    <w:rsid w:val="00EF5332"/>
    <w:rsid w:val="00EF5AD9"/>
    <w:rsid w:val="00EF5EC0"/>
    <w:rsid w:val="00EF6206"/>
    <w:rsid w:val="00EF6550"/>
    <w:rsid w:val="00EF6FB7"/>
    <w:rsid w:val="00EF758C"/>
    <w:rsid w:val="00F00251"/>
    <w:rsid w:val="00F0083A"/>
    <w:rsid w:val="00F00856"/>
    <w:rsid w:val="00F02A38"/>
    <w:rsid w:val="00F02AEE"/>
    <w:rsid w:val="00F02F28"/>
    <w:rsid w:val="00F030A0"/>
    <w:rsid w:val="00F032EE"/>
    <w:rsid w:val="00F05117"/>
    <w:rsid w:val="00F05929"/>
    <w:rsid w:val="00F05A72"/>
    <w:rsid w:val="00F0664C"/>
    <w:rsid w:val="00F06C6F"/>
    <w:rsid w:val="00F071ED"/>
    <w:rsid w:val="00F100F7"/>
    <w:rsid w:val="00F1056E"/>
    <w:rsid w:val="00F10640"/>
    <w:rsid w:val="00F10B6A"/>
    <w:rsid w:val="00F11412"/>
    <w:rsid w:val="00F11900"/>
    <w:rsid w:val="00F11FE9"/>
    <w:rsid w:val="00F12912"/>
    <w:rsid w:val="00F12B0B"/>
    <w:rsid w:val="00F14789"/>
    <w:rsid w:val="00F147DC"/>
    <w:rsid w:val="00F148A4"/>
    <w:rsid w:val="00F14A3E"/>
    <w:rsid w:val="00F14E41"/>
    <w:rsid w:val="00F14EF6"/>
    <w:rsid w:val="00F1681F"/>
    <w:rsid w:val="00F16C15"/>
    <w:rsid w:val="00F16EAF"/>
    <w:rsid w:val="00F1762E"/>
    <w:rsid w:val="00F17B9E"/>
    <w:rsid w:val="00F203BD"/>
    <w:rsid w:val="00F20BC9"/>
    <w:rsid w:val="00F22350"/>
    <w:rsid w:val="00F23058"/>
    <w:rsid w:val="00F23106"/>
    <w:rsid w:val="00F237DA"/>
    <w:rsid w:val="00F23B75"/>
    <w:rsid w:val="00F2444A"/>
    <w:rsid w:val="00F2475A"/>
    <w:rsid w:val="00F258E9"/>
    <w:rsid w:val="00F269A0"/>
    <w:rsid w:val="00F26B99"/>
    <w:rsid w:val="00F26DBC"/>
    <w:rsid w:val="00F27322"/>
    <w:rsid w:val="00F27662"/>
    <w:rsid w:val="00F27F01"/>
    <w:rsid w:val="00F307C2"/>
    <w:rsid w:val="00F30985"/>
    <w:rsid w:val="00F30AF1"/>
    <w:rsid w:val="00F30E53"/>
    <w:rsid w:val="00F3123F"/>
    <w:rsid w:val="00F313FD"/>
    <w:rsid w:val="00F31E73"/>
    <w:rsid w:val="00F33228"/>
    <w:rsid w:val="00F33A01"/>
    <w:rsid w:val="00F34396"/>
    <w:rsid w:val="00F34B14"/>
    <w:rsid w:val="00F34E16"/>
    <w:rsid w:val="00F34FC8"/>
    <w:rsid w:val="00F35292"/>
    <w:rsid w:val="00F358DF"/>
    <w:rsid w:val="00F3671A"/>
    <w:rsid w:val="00F36755"/>
    <w:rsid w:val="00F377DF"/>
    <w:rsid w:val="00F37B92"/>
    <w:rsid w:val="00F40939"/>
    <w:rsid w:val="00F40FF2"/>
    <w:rsid w:val="00F41AB4"/>
    <w:rsid w:val="00F42A24"/>
    <w:rsid w:val="00F42A8A"/>
    <w:rsid w:val="00F430F9"/>
    <w:rsid w:val="00F43B1B"/>
    <w:rsid w:val="00F44094"/>
    <w:rsid w:val="00F46A55"/>
    <w:rsid w:val="00F47C25"/>
    <w:rsid w:val="00F502A1"/>
    <w:rsid w:val="00F505CE"/>
    <w:rsid w:val="00F510C6"/>
    <w:rsid w:val="00F514D2"/>
    <w:rsid w:val="00F525B0"/>
    <w:rsid w:val="00F52CFB"/>
    <w:rsid w:val="00F53A43"/>
    <w:rsid w:val="00F54755"/>
    <w:rsid w:val="00F54964"/>
    <w:rsid w:val="00F54C83"/>
    <w:rsid w:val="00F55670"/>
    <w:rsid w:val="00F56CDB"/>
    <w:rsid w:val="00F56E86"/>
    <w:rsid w:val="00F578E3"/>
    <w:rsid w:val="00F60092"/>
    <w:rsid w:val="00F60923"/>
    <w:rsid w:val="00F60CEB"/>
    <w:rsid w:val="00F61262"/>
    <w:rsid w:val="00F62537"/>
    <w:rsid w:val="00F62724"/>
    <w:rsid w:val="00F635C4"/>
    <w:rsid w:val="00F6365A"/>
    <w:rsid w:val="00F6384C"/>
    <w:rsid w:val="00F63B4B"/>
    <w:rsid w:val="00F63EB4"/>
    <w:rsid w:val="00F64754"/>
    <w:rsid w:val="00F65990"/>
    <w:rsid w:val="00F6771D"/>
    <w:rsid w:val="00F6796C"/>
    <w:rsid w:val="00F67AD1"/>
    <w:rsid w:val="00F70A12"/>
    <w:rsid w:val="00F70FDD"/>
    <w:rsid w:val="00F71478"/>
    <w:rsid w:val="00F71800"/>
    <w:rsid w:val="00F7232A"/>
    <w:rsid w:val="00F7257C"/>
    <w:rsid w:val="00F72DF3"/>
    <w:rsid w:val="00F73229"/>
    <w:rsid w:val="00F733BE"/>
    <w:rsid w:val="00F73400"/>
    <w:rsid w:val="00F73917"/>
    <w:rsid w:val="00F74ABF"/>
    <w:rsid w:val="00F74B2E"/>
    <w:rsid w:val="00F74E08"/>
    <w:rsid w:val="00F758F5"/>
    <w:rsid w:val="00F7601C"/>
    <w:rsid w:val="00F76630"/>
    <w:rsid w:val="00F7697C"/>
    <w:rsid w:val="00F76BFC"/>
    <w:rsid w:val="00F77AA9"/>
    <w:rsid w:val="00F80B8B"/>
    <w:rsid w:val="00F8204F"/>
    <w:rsid w:val="00F82EEC"/>
    <w:rsid w:val="00F83574"/>
    <w:rsid w:val="00F84C24"/>
    <w:rsid w:val="00F84C87"/>
    <w:rsid w:val="00F84FF6"/>
    <w:rsid w:val="00F8508F"/>
    <w:rsid w:val="00F85C2A"/>
    <w:rsid w:val="00F866BB"/>
    <w:rsid w:val="00F86E6C"/>
    <w:rsid w:val="00F9031D"/>
    <w:rsid w:val="00F9100B"/>
    <w:rsid w:val="00F91776"/>
    <w:rsid w:val="00F922F8"/>
    <w:rsid w:val="00F92F20"/>
    <w:rsid w:val="00F93415"/>
    <w:rsid w:val="00F940E1"/>
    <w:rsid w:val="00F95718"/>
    <w:rsid w:val="00F95AE3"/>
    <w:rsid w:val="00F968ED"/>
    <w:rsid w:val="00F96D8D"/>
    <w:rsid w:val="00F96EA0"/>
    <w:rsid w:val="00F971C5"/>
    <w:rsid w:val="00F973A7"/>
    <w:rsid w:val="00F97A71"/>
    <w:rsid w:val="00F97B59"/>
    <w:rsid w:val="00FA14B5"/>
    <w:rsid w:val="00FA1841"/>
    <w:rsid w:val="00FA1977"/>
    <w:rsid w:val="00FA1AE5"/>
    <w:rsid w:val="00FA2671"/>
    <w:rsid w:val="00FA26F5"/>
    <w:rsid w:val="00FA2888"/>
    <w:rsid w:val="00FA31C3"/>
    <w:rsid w:val="00FA3273"/>
    <w:rsid w:val="00FA3EAE"/>
    <w:rsid w:val="00FA4838"/>
    <w:rsid w:val="00FA4886"/>
    <w:rsid w:val="00FA4D10"/>
    <w:rsid w:val="00FA5CB0"/>
    <w:rsid w:val="00FA5F4F"/>
    <w:rsid w:val="00FA5FE9"/>
    <w:rsid w:val="00FA60FD"/>
    <w:rsid w:val="00FA6713"/>
    <w:rsid w:val="00FA6AF7"/>
    <w:rsid w:val="00FA6F67"/>
    <w:rsid w:val="00FA6FFE"/>
    <w:rsid w:val="00FA7A9F"/>
    <w:rsid w:val="00FB005B"/>
    <w:rsid w:val="00FB0C97"/>
    <w:rsid w:val="00FB185E"/>
    <w:rsid w:val="00FB1F4F"/>
    <w:rsid w:val="00FB2031"/>
    <w:rsid w:val="00FB2549"/>
    <w:rsid w:val="00FB2EA8"/>
    <w:rsid w:val="00FB4690"/>
    <w:rsid w:val="00FB54D0"/>
    <w:rsid w:val="00FB693C"/>
    <w:rsid w:val="00FB74CA"/>
    <w:rsid w:val="00FB7D57"/>
    <w:rsid w:val="00FB7E3F"/>
    <w:rsid w:val="00FC0326"/>
    <w:rsid w:val="00FC0A79"/>
    <w:rsid w:val="00FC1756"/>
    <w:rsid w:val="00FC2270"/>
    <w:rsid w:val="00FC2C11"/>
    <w:rsid w:val="00FC39BA"/>
    <w:rsid w:val="00FC4E2B"/>
    <w:rsid w:val="00FC53D4"/>
    <w:rsid w:val="00FC6E4E"/>
    <w:rsid w:val="00FC6FD7"/>
    <w:rsid w:val="00FC758E"/>
    <w:rsid w:val="00FC79D0"/>
    <w:rsid w:val="00FC7A9D"/>
    <w:rsid w:val="00FD00B0"/>
    <w:rsid w:val="00FD01A3"/>
    <w:rsid w:val="00FD112E"/>
    <w:rsid w:val="00FD1218"/>
    <w:rsid w:val="00FD1266"/>
    <w:rsid w:val="00FD1F6F"/>
    <w:rsid w:val="00FD260F"/>
    <w:rsid w:val="00FD3704"/>
    <w:rsid w:val="00FD3A74"/>
    <w:rsid w:val="00FD3A8B"/>
    <w:rsid w:val="00FD588D"/>
    <w:rsid w:val="00FD5AE8"/>
    <w:rsid w:val="00FD5E24"/>
    <w:rsid w:val="00FD6457"/>
    <w:rsid w:val="00FD6660"/>
    <w:rsid w:val="00FD6D6C"/>
    <w:rsid w:val="00FD6E43"/>
    <w:rsid w:val="00FD7AAC"/>
    <w:rsid w:val="00FE013D"/>
    <w:rsid w:val="00FE0943"/>
    <w:rsid w:val="00FE10FC"/>
    <w:rsid w:val="00FE1246"/>
    <w:rsid w:val="00FE19D3"/>
    <w:rsid w:val="00FE1A5A"/>
    <w:rsid w:val="00FE2A66"/>
    <w:rsid w:val="00FE4AD7"/>
    <w:rsid w:val="00FE4D92"/>
    <w:rsid w:val="00FE4FC3"/>
    <w:rsid w:val="00FE56F2"/>
    <w:rsid w:val="00FE5B96"/>
    <w:rsid w:val="00FE6467"/>
    <w:rsid w:val="00FE67A4"/>
    <w:rsid w:val="00FE67DA"/>
    <w:rsid w:val="00FE6B67"/>
    <w:rsid w:val="00FE7527"/>
    <w:rsid w:val="00FE7626"/>
    <w:rsid w:val="00FE78DB"/>
    <w:rsid w:val="00FF0318"/>
    <w:rsid w:val="00FF16BE"/>
    <w:rsid w:val="00FF2338"/>
    <w:rsid w:val="00FF2524"/>
    <w:rsid w:val="00FF26D7"/>
    <w:rsid w:val="00FF2CE1"/>
    <w:rsid w:val="00FF3A06"/>
    <w:rsid w:val="00FF45CC"/>
    <w:rsid w:val="00FF46D2"/>
    <w:rsid w:val="00FF4CED"/>
    <w:rsid w:val="00FF5DF2"/>
    <w:rsid w:val="00FF5F0E"/>
    <w:rsid w:val="00FF600A"/>
    <w:rsid w:val="00FF6519"/>
    <w:rsid w:val="00FF7725"/>
    <w:rsid w:val="00FF7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212121"/>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6B"/>
    <w:pPr>
      <w:spacing w:after="100" w:line="400" w:lineRule="exact"/>
      <w:jc w:val="both"/>
    </w:pPr>
    <w:rPr>
      <w:rFonts w:ascii="Century Schoolbook" w:hAnsi="Century Schoolbook"/>
      <w:color w:val="auto"/>
      <w:sz w:val="27"/>
      <w:szCs w:val="20"/>
    </w:rPr>
  </w:style>
  <w:style w:type="paragraph" w:styleId="Heading1">
    <w:name w:val="heading 1"/>
    <w:basedOn w:val="Normal"/>
    <w:next w:val="Normal"/>
    <w:qFormat/>
    <w:rsid w:val="00A86E6B"/>
    <w:pPr>
      <w:keepNext/>
      <w:spacing w:before="140" w:line="240" w:lineRule="atLeast"/>
      <w:jc w:val="center"/>
      <w:outlineLvl w:val="0"/>
    </w:pPr>
    <w:rPr>
      <w:b/>
      <w:smallCaps/>
    </w:rPr>
  </w:style>
  <w:style w:type="paragraph" w:styleId="Heading2">
    <w:name w:val="heading 2"/>
    <w:basedOn w:val="Normal"/>
    <w:next w:val="Normal"/>
    <w:qFormat/>
    <w:rsid w:val="00A86E6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86E6B"/>
    <w:pPr>
      <w:keepNext/>
      <w:tabs>
        <w:tab w:val="left" w:pos="1584"/>
      </w:tabs>
      <w:spacing w:before="140" w:line="240" w:lineRule="atLeast"/>
      <w:ind w:left="1584" w:hanging="432"/>
      <w:jc w:val="left"/>
      <w:outlineLvl w:val="2"/>
    </w:pPr>
    <w:rPr>
      <w:i/>
    </w:rPr>
  </w:style>
  <w:style w:type="paragraph" w:styleId="Heading4">
    <w:name w:val="heading 4"/>
    <w:basedOn w:val="Normal"/>
    <w:rsid w:val="00A86E6B"/>
    <w:pPr>
      <w:keepNext/>
      <w:tabs>
        <w:tab w:val="left" w:pos="2016"/>
      </w:tabs>
      <w:spacing w:before="140" w:line="240" w:lineRule="atLeast"/>
      <w:ind w:left="2016" w:hanging="432"/>
      <w:jc w:val="left"/>
      <w:outlineLvl w:val="3"/>
    </w:pPr>
    <w:rPr>
      <w:i/>
    </w:rPr>
  </w:style>
  <w:style w:type="paragraph" w:styleId="Heading5">
    <w:name w:val="heading 5"/>
    <w:basedOn w:val="Normal"/>
    <w:rsid w:val="00A86E6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86E6B"/>
    <w:pPr>
      <w:ind w:left="720"/>
    </w:pPr>
  </w:style>
  <w:style w:type="paragraph" w:styleId="Footer">
    <w:name w:val="footer"/>
    <w:basedOn w:val="Normal"/>
    <w:qFormat/>
    <w:rsid w:val="00A86E6B"/>
    <w:pPr>
      <w:tabs>
        <w:tab w:val="center" w:pos="3960"/>
        <w:tab w:val="right" w:pos="10080"/>
      </w:tabs>
      <w:spacing w:after="0" w:line="240" w:lineRule="auto"/>
      <w:jc w:val="center"/>
    </w:pPr>
    <w:rPr>
      <w:sz w:val="22"/>
    </w:rPr>
  </w:style>
  <w:style w:type="paragraph" w:styleId="Header">
    <w:name w:val="header"/>
    <w:basedOn w:val="Normal"/>
    <w:link w:val="HeaderChar"/>
    <w:uiPriority w:val="99"/>
    <w:qFormat/>
    <w:rsid w:val="00A86E6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86E6B"/>
    <w:rPr>
      <w:rFonts w:ascii="Century Schoolbook" w:hAnsi="Century Schoolbook"/>
      <w:b/>
      <w:i w:val="0"/>
      <w:position w:val="4"/>
      <w:sz w:val="27"/>
      <w:vertAlign w:val="superscript"/>
    </w:rPr>
  </w:style>
  <w:style w:type="paragraph" w:styleId="FootnoteText">
    <w:name w:val="footnote text"/>
    <w:basedOn w:val="Normal"/>
    <w:link w:val="FootnoteTextChar"/>
    <w:rsid w:val="00A86E6B"/>
    <w:pPr>
      <w:spacing w:line="300" w:lineRule="exact"/>
    </w:pPr>
  </w:style>
  <w:style w:type="paragraph" w:customStyle="1" w:styleId="Title1">
    <w:name w:val="Title1"/>
    <w:basedOn w:val="Normal"/>
    <w:rsid w:val="00A86E6B"/>
    <w:pPr>
      <w:tabs>
        <w:tab w:val="left" w:pos="5760"/>
        <w:tab w:val="left" w:pos="6480"/>
      </w:tabs>
      <w:spacing w:line="240" w:lineRule="atLeast"/>
    </w:pPr>
  </w:style>
  <w:style w:type="paragraph" w:customStyle="1" w:styleId="Recommend">
    <w:name w:val="Recommend"/>
    <w:basedOn w:val="Normal"/>
    <w:rsid w:val="00A86E6B"/>
  </w:style>
  <w:style w:type="paragraph" w:customStyle="1" w:styleId="Summary">
    <w:name w:val="Summary"/>
    <w:basedOn w:val="Normal"/>
    <w:rsid w:val="00A86E6B"/>
    <w:pPr>
      <w:ind w:left="2160" w:hanging="2160"/>
    </w:pPr>
  </w:style>
  <w:style w:type="paragraph" w:customStyle="1" w:styleId="Text">
    <w:name w:val="Text"/>
    <w:basedOn w:val="Normal"/>
    <w:rsid w:val="00A86E6B"/>
    <w:pPr>
      <w:tabs>
        <w:tab w:val="left" w:pos="720"/>
        <w:tab w:val="left" w:pos="1440"/>
        <w:tab w:val="left" w:pos="2160"/>
        <w:tab w:val="center" w:pos="4320"/>
      </w:tabs>
      <w:spacing w:line="480" w:lineRule="atLeast"/>
      <w:ind w:firstLine="540"/>
    </w:pPr>
  </w:style>
  <w:style w:type="paragraph" w:styleId="Date">
    <w:name w:val="Date"/>
    <w:basedOn w:val="Normal"/>
    <w:semiHidden/>
    <w:rsid w:val="00A86E6B"/>
    <w:pPr>
      <w:jc w:val="right"/>
    </w:pPr>
  </w:style>
  <w:style w:type="character" w:styleId="PageNumber">
    <w:name w:val="page number"/>
    <w:basedOn w:val="DefaultParagraphFont"/>
    <w:semiHidden/>
    <w:rsid w:val="00A86E6B"/>
  </w:style>
  <w:style w:type="paragraph" w:customStyle="1" w:styleId="subject">
    <w:name w:val="subject"/>
    <w:basedOn w:val="Normal"/>
    <w:rsid w:val="00A86E6B"/>
    <w:pPr>
      <w:tabs>
        <w:tab w:val="left" w:pos="1008"/>
      </w:tabs>
      <w:ind w:left="990" w:hanging="990"/>
    </w:pPr>
    <w:rPr>
      <w:b/>
    </w:rPr>
  </w:style>
  <w:style w:type="paragraph" w:customStyle="1" w:styleId="Titles">
    <w:name w:val="Titles"/>
    <w:basedOn w:val="Normal"/>
    <w:rsid w:val="00A86E6B"/>
    <w:pPr>
      <w:tabs>
        <w:tab w:val="left" w:pos="2160"/>
      </w:tabs>
      <w:ind w:left="2160" w:hanging="2160"/>
    </w:pPr>
    <w:rPr>
      <w:b/>
    </w:rPr>
  </w:style>
  <w:style w:type="paragraph" w:styleId="TOAHeading">
    <w:name w:val="toa heading"/>
    <w:basedOn w:val="Normal"/>
    <w:next w:val="Normal"/>
    <w:semiHidden/>
    <w:rsid w:val="00A86E6B"/>
    <w:pPr>
      <w:spacing w:before="120"/>
    </w:pPr>
    <w:rPr>
      <w:b/>
    </w:rPr>
  </w:style>
  <w:style w:type="paragraph" w:styleId="TOC1">
    <w:name w:val="toc 1"/>
    <w:basedOn w:val="Normal"/>
    <w:next w:val="Normal"/>
    <w:autoRedefine/>
    <w:semiHidden/>
    <w:rsid w:val="00A86E6B"/>
  </w:style>
  <w:style w:type="paragraph" w:styleId="TOC2">
    <w:name w:val="toc 2"/>
    <w:basedOn w:val="Normal"/>
    <w:next w:val="Normal"/>
    <w:autoRedefine/>
    <w:semiHidden/>
    <w:rsid w:val="00A86E6B"/>
    <w:pPr>
      <w:ind w:left="259"/>
    </w:pPr>
  </w:style>
  <w:style w:type="paragraph" w:styleId="TOC3">
    <w:name w:val="toc 3"/>
    <w:basedOn w:val="Normal"/>
    <w:next w:val="Normal"/>
    <w:autoRedefine/>
    <w:semiHidden/>
    <w:rsid w:val="00A86E6B"/>
    <w:pPr>
      <w:ind w:left="520"/>
    </w:pPr>
  </w:style>
  <w:style w:type="paragraph" w:styleId="TOC4">
    <w:name w:val="toc 4"/>
    <w:basedOn w:val="Normal"/>
    <w:next w:val="Normal"/>
    <w:autoRedefine/>
    <w:semiHidden/>
    <w:rsid w:val="00A86E6B"/>
    <w:pPr>
      <w:ind w:left="780"/>
    </w:pPr>
  </w:style>
  <w:style w:type="paragraph" w:styleId="TOC5">
    <w:name w:val="toc 5"/>
    <w:basedOn w:val="Normal"/>
    <w:next w:val="Normal"/>
    <w:autoRedefine/>
    <w:semiHidden/>
    <w:rsid w:val="00A86E6B"/>
    <w:pPr>
      <w:ind w:left="1040"/>
    </w:pPr>
  </w:style>
  <w:style w:type="paragraph" w:styleId="TOC6">
    <w:name w:val="toc 6"/>
    <w:basedOn w:val="Normal"/>
    <w:next w:val="Normal"/>
    <w:autoRedefine/>
    <w:semiHidden/>
    <w:rsid w:val="00A86E6B"/>
    <w:pPr>
      <w:ind w:left="1300"/>
    </w:pPr>
  </w:style>
  <w:style w:type="paragraph" w:styleId="TOC7">
    <w:name w:val="toc 7"/>
    <w:basedOn w:val="Normal"/>
    <w:next w:val="Normal"/>
    <w:autoRedefine/>
    <w:semiHidden/>
    <w:rsid w:val="00A86E6B"/>
    <w:pPr>
      <w:ind w:left="1560"/>
    </w:pPr>
  </w:style>
  <w:style w:type="paragraph" w:styleId="TOC8">
    <w:name w:val="toc 8"/>
    <w:basedOn w:val="Normal"/>
    <w:next w:val="Normal"/>
    <w:autoRedefine/>
    <w:semiHidden/>
    <w:rsid w:val="00A86E6B"/>
    <w:pPr>
      <w:ind w:left="1820"/>
    </w:pPr>
  </w:style>
  <w:style w:type="paragraph" w:styleId="TOC9">
    <w:name w:val="toc 9"/>
    <w:basedOn w:val="Normal"/>
    <w:next w:val="Normal"/>
    <w:autoRedefine/>
    <w:semiHidden/>
    <w:rsid w:val="00A86E6B"/>
    <w:pPr>
      <w:ind w:left="2080"/>
    </w:pPr>
  </w:style>
  <w:style w:type="paragraph" w:customStyle="1" w:styleId="Contents">
    <w:name w:val="Contents"/>
    <w:basedOn w:val="Normal"/>
    <w:rsid w:val="00A86E6B"/>
    <w:pPr>
      <w:jc w:val="center"/>
    </w:pPr>
    <w:rPr>
      <w:b/>
      <w:spacing w:val="100"/>
    </w:rPr>
  </w:style>
  <w:style w:type="paragraph" w:styleId="BalloonText">
    <w:name w:val="Balloon Text"/>
    <w:basedOn w:val="Normal"/>
    <w:link w:val="BalloonTextChar"/>
    <w:uiPriority w:val="99"/>
    <w:semiHidden/>
    <w:unhideWhenUsed/>
    <w:rsid w:val="008E0FFB"/>
    <w:rPr>
      <w:color w:val="212121"/>
      <w:sz w:val="18"/>
      <w:szCs w:val="18"/>
    </w:rPr>
  </w:style>
  <w:style w:type="character" w:customStyle="1" w:styleId="BalloonTextChar">
    <w:name w:val="Balloon Text Char"/>
    <w:basedOn w:val="DefaultParagraphFont"/>
    <w:link w:val="BalloonText"/>
    <w:uiPriority w:val="99"/>
    <w:semiHidden/>
    <w:rsid w:val="008E0FFB"/>
    <w:rPr>
      <w:sz w:val="18"/>
      <w:szCs w:val="18"/>
    </w:rPr>
  </w:style>
  <w:style w:type="paragraph" w:styleId="NormalWeb">
    <w:name w:val="Normal (Web)"/>
    <w:basedOn w:val="Normal"/>
    <w:uiPriority w:val="99"/>
    <w:unhideWhenUsed/>
    <w:rsid w:val="000D79B2"/>
    <w:pPr>
      <w:spacing w:before="100" w:beforeAutospacing="1" w:afterAutospacing="1"/>
    </w:pPr>
    <w:rPr>
      <w:color w:val="212121"/>
      <w:szCs w:val="26"/>
    </w:rPr>
  </w:style>
  <w:style w:type="character" w:styleId="Hyperlink">
    <w:name w:val="Hyperlink"/>
    <w:basedOn w:val="DefaultParagraphFont"/>
    <w:uiPriority w:val="99"/>
    <w:semiHidden/>
    <w:unhideWhenUsed/>
    <w:rsid w:val="000A0044"/>
    <w:rPr>
      <w:color w:val="0000FF"/>
      <w:u w:val="single"/>
    </w:rPr>
  </w:style>
  <w:style w:type="character" w:customStyle="1" w:styleId="apple-converted-space">
    <w:name w:val="apple-converted-space"/>
    <w:basedOn w:val="DefaultParagraphFont"/>
    <w:rsid w:val="00005F2E"/>
  </w:style>
  <w:style w:type="character" w:styleId="CommentReference">
    <w:name w:val="annotation reference"/>
    <w:basedOn w:val="DefaultParagraphFont"/>
    <w:uiPriority w:val="99"/>
    <w:semiHidden/>
    <w:unhideWhenUsed/>
    <w:rsid w:val="001D41BF"/>
    <w:rPr>
      <w:sz w:val="16"/>
      <w:szCs w:val="16"/>
    </w:rPr>
  </w:style>
  <w:style w:type="paragraph" w:styleId="CommentText">
    <w:name w:val="annotation text"/>
    <w:basedOn w:val="Normal"/>
    <w:link w:val="CommentTextChar"/>
    <w:uiPriority w:val="99"/>
    <w:unhideWhenUsed/>
    <w:rsid w:val="001D41BF"/>
    <w:rPr>
      <w:sz w:val="20"/>
    </w:rPr>
  </w:style>
  <w:style w:type="character" w:customStyle="1" w:styleId="CommentTextChar">
    <w:name w:val="Comment Text Char"/>
    <w:basedOn w:val="DefaultParagraphFont"/>
    <w:link w:val="CommentText"/>
    <w:uiPriority w:val="99"/>
    <w:rsid w:val="001D41BF"/>
    <w:rPr>
      <w:color w:val="auto"/>
      <w:sz w:val="20"/>
      <w:szCs w:val="20"/>
      <w:lang w:eastAsia="zh-CN"/>
    </w:rPr>
  </w:style>
  <w:style w:type="paragraph" w:styleId="CommentSubject">
    <w:name w:val="annotation subject"/>
    <w:basedOn w:val="CommentText"/>
    <w:next w:val="CommentText"/>
    <w:link w:val="CommentSubjectChar"/>
    <w:uiPriority w:val="99"/>
    <w:semiHidden/>
    <w:unhideWhenUsed/>
    <w:rsid w:val="001D41BF"/>
    <w:rPr>
      <w:b/>
      <w:bCs/>
    </w:rPr>
  </w:style>
  <w:style w:type="character" w:customStyle="1" w:styleId="CommentSubjectChar">
    <w:name w:val="Comment Subject Char"/>
    <w:basedOn w:val="CommentTextChar"/>
    <w:link w:val="CommentSubject"/>
    <w:uiPriority w:val="99"/>
    <w:semiHidden/>
    <w:rsid w:val="001D41BF"/>
    <w:rPr>
      <w:b/>
      <w:bCs/>
      <w:color w:val="auto"/>
      <w:sz w:val="20"/>
      <w:szCs w:val="20"/>
      <w:lang w:eastAsia="zh-CN"/>
    </w:rPr>
  </w:style>
  <w:style w:type="paragraph" w:styleId="Revision">
    <w:name w:val="Revision"/>
    <w:hidden/>
    <w:uiPriority w:val="99"/>
    <w:semiHidden/>
    <w:rsid w:val="004566A4"/>
    <w:rPr>
      <w:color w:val="auto"/>
      <w:sz w:val="24"/>
      <w:szCs w:val="24"/>
      <w:lang w:eastAsia="zh-CN"/>
    </w:rPr>
  </w:style>
  <w:style w:type="character" w:customStyle="1" w:styleId="FootnoteTextChar">
    <w:name w:val="Footnote Text Char"/>
    <w:basedOn w:val="DefaultParagraphFont"/>
    <w:link w:val="FootnoteText"/>
    <w:rsid w:val="000C0F2C"/>
    <w:rPr>
      <w:rFonts w:ascii="Century Schoolbook" w:hAnsi="Century Schoolbook"/>
      <w:color w:val="auto"/>
      <w:sz w:val="27"/>
      <w:szCs w:val="20"/>
    </w:rPr>
  </w:style>
  <w:style w:type="character" w:styleId="Emphasis">
    <w:name w:val="Emphasis"/>
    <w:basedOn w:val="DefaultParagraphFont"/>
    <w:uiPriority w:val="20"/>
    <w:qFormat/>
    <w:rsid w:val="00A158CE"/>
    <w:rPr>
      <w:i/>
      <w:iCs/>
    </w:rPr>
  </w:style>
  <w:style w:type="paragraph" w:styleId="BodyText">
    <w:name w:val="Body Text"/>
    <w:basedOn w:val="Normal"/>
    <w:link w:val="BodyTextChar"/>
    <w:qFormat/>
    <w:rsid w:val="00A86E6B"/>
  </w:style>
  <w:style w:type="character" w:customStyle="1" w:styleId="BodyTextChar">
    <w:name w:val="Body Text Char"/>
    <w:basedOn w:val="DefaultParagraphFont"/>
    <w:link w:val="BodyText"/>
    <w:rsid w:val="00A86E6B"/>
    <w:rPr>
      <w:rFonts w:ascii="Century Schoolbook" w:hAnsi="Century Schoolbook"/>
      <w:color w:val="auto"/>
      <w:sz w:val="27"/>
      <w:szCs w:val="20"/>
    </w:rPr>
  </w:style>
  <w:style w:type="character" w:customStyle="1" w:styleId="HeaderChar">
    <w:name w:val="Header Char"/>
    <w:basedOn w:val="DefaultParagraphFont"/>
    <w:link w:val="Header"/>
    <w:uiPriority w:val="99"/>
    <w:rsid w:val="00EB484E"/>
    <w:rPr>
      <w:rFonts w:ascii="Century Schoolbook" w:hAnsi="Century Schoolbook"/>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8489">
          <w:marLeft w:val="0"/>
          <w:marRight w:val="0"/>
          <w:marTop w:val="0"/>
          <w:marBottom w:val="0"/>
          <w:divBdr>
            <w:top w:val="none" w:sz="0" w:space="0" w:color="auto"/>
            <w:left w:val="none" w:sz="0" w:space="0" w:color="auto"/>
            <w:bottom w:val="none" w:sz="0" w:space="0" w:color="auto"/>
            <w:right w:val="none" w:sz="0" w:space="0" w:color="auto"/>
          </w:divBdr>
          <w:divsChild>
            <w:div w:id="151873797">
              <w:marLeft w:val="0"/>
              <w:marRight w:val="0"/>
              <w:marTop w:val="0"/>
              <w:marBottom w:val="0"/>
              <w:divBdr>
                <w:top w:val="none" w:sz="0" w:space="0" w:color="auto"/>
                <w:left w:val="none" w:sz="0" w:space="0" w:color="auto"/>
                <w:bottom w:val="none" w:sz="0" w:space="0" w:color="auto"/>
                <w:right w:val="none" w:sz="0" w:space="0" w:color="auto"/>
              </w:divBdr>
              <w:divsChild>
                <w:div w:id="487675723">
                  <w:marLeft w:val="0"/>
                  <w:marRight w:val="0"/>
                  <w:marTop w:val="0"/>
                  <w:marBottom w:val="0"/>
                  <w:divBdr>
                    <w:top w:val="none" w:sz="0" w:space="0" w:color="auto"/>
                    <w:left w:val="none" w:sz="0" w:space="0" w:color="auto"/>
                    <w:bottom w:val="none" w:sz="0" w:space="0" w:color="auto"/>
                    <w:right w:val="none" w:sz="0" w:space="0" w:color="auto"/>
                  </w:divBdr>
                </w:div>
              </w:divsChild>
            </w:div>
            <w:div w:id="158739413">
              <w:marLeft w:val="0"/>
              <w:marRight w:val="0"/>
              <w:marTop w:val="0"/>
              <w:marBottom w:val="0"/>
              <w:divBdr>
                <w:top w:val="none" w:sz="0" w:space="0" w:color="auto"/>
                <w:left w:val="none" w:sz="0" w:space="0" w:color="auto"/>
                <w:bottom w:val="none" w:sz="0" w:space="0" w:color="auto"/>
                <w:right w:val="none" w:sz="0" w:space="0" w:color="auto"/>
              </w:divBdr>
              <w:divsChild>
                <w:div w:id="395279567">
                  <w:marLeft w:val="0"/>
                  <w:marRight w:val="0"/>
                  <w:marTop w:val="0"/>
                  <w:marBottom w:val="0"/>
                  <w:divBdr>
                    <w:top w:val="none" w:sz="0" w:space="0" w:color="auto"/>
                    <w:left w:val="none" w:sz="0" w:space="0" w:color="auto"/>
                    <w:bottom w:val="none" w:sz="0" w:space="0" w:color="auto"/>
                    <w:right w:val="none" w:sz="0" w:space="0" w:color="auto"/>
                  </w:divBdr>
                </w:div>
                <w:div w:id="1325163697">
                  <w:marLeft w:val="0"/>
                  <w:marRight w:val="0"/>
                  <w:marTop w:val="0"/>
                  <w:marBottom w:val="0"/>
                  <w:divBdr>
                    <w:top w:val="none" w:sz="0" w:space="0" w:color="auto"/>
                    <w:left w:val="none" w:sz="0" w:space="0" w:color="auto"/>
                    <w:bottom w:val="none" w:sz="0" w:space="0" w:color="auto"/>
                    <w:right w:val="none" w:sz="0" w:space="0" w:color="auto"/>
                  </w:divBdr>
                </w:div>
              </w:divsChild>
            </w:div>
            <w:div w:id="309755207">
              <w:marLeft w:val="0"/>
              <w:marRight w:val="0"/>
              <w:marTop w:val="0"/>
              <w:marBottom w:val="0"/>
              <w:divBdr>
                <w:top w:val="none" w:sz="0" w:space="0" w:color="auto"/>
                <w:left w:val="none" w:sz="0" w:space="0" w:color="auto"/>
                <w:bottom w:val="none" w:sz="0" w:space="0" w:color="auto"/>
                <w:right w:val="none" w:sz="0" w:space="0" w:color="auto"/>
              </w:divBdr>
              <w:divsChild>
                <w:div w:id="872886057">
                  <w:marLeft w:val="0"/>
                  <w:marRight w:val="0"/>
                  <w:marTop w:val="0"/>
                  <w:marBottom w:val="0"/>
                  <w:divBdr>
                    <w:top w:val="none" w:sz="0" w:space="0" w:color="auto"/>
                    <w:left w:val="none" w:sz="0" w:space="0" w:color="auto"/>
                    <w:bottom w:val="none" w:sz="0" w:space="0" w:color="auto"/>
                    <w:right w:val="none" w:sz="0" w:space="0" w:color="auto"/>
                  </w:divBdr>
                </w:div>
                <w:div w:id="1600141857">
                  <w:marLeft w:val="0"/>
                  <w:marRight w:val="0"/>
                  <w:marTop w:val="0"/>
                  <w:marBottom w:val="0"/>
                  <w:divBdr>
                    <w:top w:val="none" w:sz="0" w:space="0" w:color="auto"/>
                    <w:left w:val="none" w:sz="0" w:space="0" w:color="auto"/>
                    <w:bottom w:val="none" w:sz="0" w:space="0" w:color="auto"/>
                    <w:right w:val="none" w:sz="0" w:space="0" w:color="auto"/>
                  </w:divBdr>
                </w:div>
              </w:divsChild>
            </w:div>
            <w:div w:id="1996178367">
              <w:marLeft w:val="0"/>
              <w:marRight w:val="0"/>
              <w:marTop w:val="0"/>
              <w:marBottom w:val="0"/>
              <w:divBdr>
                <w:top w:val="none" w:sz="0" w:space="0" w:color="auto"/>
                <w:left w:val="none" w:sz="0" w:space="0" w:color="auto"/>
                <w:bottom w:val="none" w:sz="0" w:space="0" w:color="auto"/>
                <w:right w:val="none" w:sz="0" w:space="0" w:color="auto"/>
              </w:divBdr>
              <w:divsChild>
                <w:div w:id="636378561">
                  <w:marLeft w:val="0"/>
                  <w:marRight w:val="0"/>
                  <w:marTop w:val="0"/>
                  <w:marBottom w:val="0"/>
                  <w:divBdr>
                    <w:top w:val="none" w:sz="0" w:space="0" w:color="auto"/>
                    <w:left w:val="none" w:sz="0" w:space="0" w:color="auto"/>
                    <w:bottom w:val="none" w:sz="0" w:space="0" w:color="auto"/>
                    <w:right w:val="none" w:sz="0" w:space="0" w:color="auto"/>
                  </w:divBdr>
                </w:div>
                <w:div w:id="1212956252">
                  <w:marLeft w:val="0"/>
                  <w:marRight w:val="0"/>
                  <w:marTop w:val="0"/>
                  <w:marBottom w:val="0"/>
                  <w:divBdr>
                    <w:top w:val="none" w:sz="0" w:space="0" w:color="auto"/>
                    <w:left w:val="none" w:sz="0" w:space="0" w:color="auto"/>
                    <w:bottom w:val="none" w:sz="0" w:space="0" w:color="auto"/>
                    <w:right w:val="none" w:sz="0" w:space="0" w:color="auto"/>
                  </w:divBdr>
                </w:div>
              </w:divsChild>
            </w:div>
            <w:div w:id="2109303476">
              <w:marLeft w:val="0"/>
              <w:marRight w:val="0"/>
              <w:marTop w:val="0"/>
              <w:marBottom w:val="0"/>
              <w:divBdr>
                <w:top w:val="none" w:sz="0" w:space="0" w:color="auto"/>
                <w:left w:val="none" w:sz="0" w:space="0" w:color="auto"/>
                <w:bottom w:val="none" w:sz="0" w:space="0" w:color="auto"/>
                <w:right w:val="none" w:sz="0" w:space="0" w:color="auto"/>
              </w:divBdr>
              <w:divsChild>
                <w:div w:id="186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433">
      <w:bodyDiv w:val="1"/>
      <w:marLeft w:val="0"/>
      <w:marRight w:val="0"/>
      <w:marTop w:val="0"/>
      <w:marBottom w:val="0"/>
      <w:divBdr>
        <w:top w:val="none" w:sz="0" w:space="0" w:color="auto"/>
        <w:left w:val="none" w:sz="0" w:space="0" w:color="auto"/>
        <w:bottom w:val="none" w:sz="0" w:space="0" w:color="auto"/>
        <w:right w:val="none" w:sz="0" w:space="0" w:color="auto"/>
      </w:divBdr>
    </w:div>
    <w:div w:id="47532831">
      <w:bodyDiv w:val="1"/>
      <w:marLeft w:val="0"/>
      <w:marRight w:val="0"/>
      <w:marTop w:val="0"/>
      <w:marBottom w:val="0"/>
      <w:divBdr>
        <w:top w:val="none" w:sz="0" w:space="0" w:color="auto"/>
        <w:left w:val="none" w:sz="0" w:space="0" w:color="auto"/>
        <w:bottom w:val="none" w:sz="0" w:space="0" w:color="auto"/>
        <w:right w:val="none" w:sz="0" w:space="0" w:color="auto"/>
      </w:divBdr>
    </w:div>
    <w:div w:id="134107465">
      <w:bodyDiv w:val="1"/>
      <w:marLeft w:val="0"/>
      <w:marRight w:val="0"/>
      <w:marTop w:val="0"/>
      <w:marBottom w:val="0"/>
      <w:divBdr>
        <w:top w:val="none" w:sz="0" w:space="0" w:color="auto"/>
        <w:left w:val="none" w:sz="0" w:space="0" w:color="auto"/>
        <w:bottom w:val="none" w:sz="0" w:space="0" w:color="auto"/>
        <w:right w:val="none" w:sz="0" w:space="0" w:color="auto"/>
      </w:divBdr>
    </w:div>
    <w:div w:id="221448833">
      <w:bodyDiv w:val="1"/>
      <w:marLeft w:val="0"/>
      <w:marRight w:val="0"/>
      <w:marTop w:val="0"/>
      <w:marBottom w:val="0"/>
      <w:divBdr>
        <w:top w:val="none" w:sz="0" w:space="0" w:color="auto"/>
        <w:left w:val="none" w:sz="0" w:space="0" w:color="auto"/>
        <w:bottom w:val="none" w:sz="0" w:space="0" w:color="auto"/>
        <w:right w:val="none" w:sz="0" w:space="0" w:color="auto"/>
      </w:divBdr>
    </w:div>
    <w:div w:id="228852146">
      <w:bodyDiv w:val="1"/>
      <w:marLeft w:val="0"/>
      <w:marRight w:val="0"/>
      <w:marTop w:val="0"/>
      <w:marBottom w:val="0"/>
      <w:divBdr>
        <w:top w:val="none" w:sz="0" w:space="0" w:color="auto"/>
        <w:left w:val="none" w:sz="0" w:space="0" w:color="auto"/>
        <w:bottom w:val="none" w:sz="0" w:space="0" w:color="auto"/>
        <w:right w:val="none" w:sz="0" w:space="0" w:color="auto"/>
      </w:divBdr>
      <w:divsChild>
        <w:div w:id="1937204315">
          <w:marLeft w:val="0"/>
          <w:marRight w:val="0"/>
          <w:marTop w:val="0"/>
          <w:marBottom w:val="0"/>
          <w:divBdr>
            <w:top w:val="none" w:sz="0" w:space="0" w:color="auto"/>
            <w:left w:val="none" w:sz="0" w:space="0" w:color="auto"/>
            <w:bottom w:val="none" w:sz="0" w:space="0" w:color="auto"/>
            <w:right w:val="none" w:sz="0" w:space="0" w:color="auto"/>
          </w:divBdr>
          <w:divsChild>
            <w:div w:id="2072536851">
              <w:marLeft w:val="0"/>
              <w:marRight w:val="0"/>
              <w:marTop w:val="0"/>
              <w:marBottom w:val="0"/>
              <w:divBdr>
                <w:top w:val="none" w:sz="0" w:space="0" w:color="auto"/>
                <w:left w:val="none" w:sz="0" w:space="0" w:color="auto"/>
                <w:bottom w:val="none" w:sz="0" w:space="0" w:color="auto"/>
                <w:right w:val="none" w:sz="0" w:space="0" w:color="auto"/>
              </w:divBdr>
              <w:divsChild>
                <w:div w:id="1466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7307">
      <w:bodyDiv w:val="1"/>
      <w:marLeft w:val="0"/>
      <w:marRight w:val="0"/>
      <w:marTop w:val="0"/>
      <w:marBottom w:val="0"/>
      <w:divBdr>
        <w:top w:val="none" w:sz="0" w:space="0" w:color="auto"/>
        <w:left w:val="none" w:sz="0" w:space="0" w:color="auto"/>
        <w:bottom w:val="none" w:sz="0" w:space="0" w:color="auto"/>
        <w:right w:val="none" w:sz="0" w:space="0" w:color="auto"/>
      </w:divBdr>
    </w:div>
    <w:div w:id="289676797">
      <w:bodyDiv w:val="1"/>
      <w:marLeft w:val="0"/>
      <w:marRight w:val="0"/>
      <w:marTop w:val="0"/>
      <w:marBottom w:val="0"/>
      <w:divBdr>
        <w:top w:val="none" w:sz="0" w:space="0" w:color="auto"/>
        <w:left w:val="none" w:sz="0" w:space="0" w:color="auto"/>
        <w:bottom w:val="none" w:sz="0" w:space="0" w:color="auto"/>
        <w:right w:val="none" w:sz="0" w:space="0" w:color="auto"/>
      </w:divBdr>
    </w:div>
    <w:div w:id="319969074">
      <w:bodyDiv w:val="1"/>
      <w:marLeft w:val="0"/>
      <w:marRight w:val="0"/>
      <w:marTop w:val="0"/>
      <w:marBottom w:val="0"/>
      <w:divBdr>
        <w:top w:val="none" w:sz="0" w:space="0" w:color="auto"/>
        <w:left w:val="none" w:sz="0" w:space="0" w:color="auto"/>
        <w:bottom w:val="none" w:sz="0" w:space="0" w:color="auto"/>
        <w:right w:val="none" w:sz="0" w:space="0" w:color="auto"/>
      </w:divBdr>
    </w:div>
    <w:div w:id="344329248">
      <w:bodyDiv w:val="1"/>
      <w:marLeft w:val="0"/>
      <w:marRight w:val="0"/>
      <w:marTop w:val="0"/>
      <w:marBottom w:val="0"/>
      <w:divBdr>
        <w:top w:val="none" w:sz="0" w:space="0" w:color="auto"/>
        <w:left w:val="none" w:sz="0" w:space="0" w:color="auto"/>
        <w:bottom w:val="none" w:sz="0" w:space="0" w:color="auto"/>
        <w:right w:val="none" w:sz="0" w:space="0" w:color="auto"/>
      </w:divBdr>
    </w:div>
    <w:div w:id="361976163">
      <w:bodyDiv w:val="1"/>
      <w:marLeft w:val="0"/>
      <w:marRight w:val="0"/>
      <w:marTop w:val="0"/>
      <w:marBottom w:val="0"/>
      <w:divBdr>
        <w:top w:val="none" w:sz="0" w:space="0" w:color="auto"/>
        <w:left w:val="none" w:sz="0" w:space="0" w:color="auto"/>
        <w:bottom w:val="none" w:sz="0" w:space="0" w:color="auto"/>
        <w:right w:val="none" w:sz="0" w:space="0" w:color="auto"/>
      </w:divBdr>
    </w:div>
    <w:div w:id="378631769">
      <w:bodyDiv w:val="1"/>
      <w:marLeft w:val="0"/>
      <w:marRight w:val="0"/>
      <w:marTop w:val="0"/>
      <w:marBottom w:val="0"/>
      <w:divBdr>
        <w:top w:val="none" w:sz="0" w:space="0" w:color="auto"/>
        <w:left w:val="none" w:sz="0" w:space="0" w:color="auto"/>
        <w:bottom w:val="none" w:sz="0" w:space="0" w:color="auto"/>
        <w:right w:val="none" w:sz="0" w:space="0" w:color="auto"/>
      </w:divBdr>
    </w:div>
    <w:div w:id="418217004">
      <w:bodyDiv w:val="1"/>
      <w:marLeft w:val="0"/>
      <w:marRight w:val="0"/>
      <w:marTop w:val="0"/>
      <w:marBottom w:val="0"/>
      <w:divBdr>
        <w:top w:val="none" w:sz="0" w:space="0" w:color="auto"/>
        <w:left w:val="none" w:sz="0" w:space="0" w:color="auto"/>
        <w:bottom w:val="none" w:sz="0" w:space="0" w:color="auto"/>
        <w:right w:val="none" w:sz="0" w:space="0" w:color="auto"/>
      </w:divBdr>
    </w:div>
    <w:div w:id="463474963">
      <w:bodyDiv w:val="1"/>
      <w:marLeft w:val="0"/>
      <w:marRight w:val="0"/>
      <w:marTop w:val="0"/>
      <w:marBottom w:val="0"/>
      <w:divBdr>
        <w:top w:val="none" w:sz="0" w:space="0" w:color="auto"/>
        <w:left w:val="none" w:sz="0" w:space="0" w:color="auto"/>
        <w:bottom w:val="none" w:sz="0" w:space="0" w:color="auto"/>
        <w:right w:val="none" w:sz="0" w:space="0" w:color="auto"/>
      </w:divBdr>
    </w:div>
    <w:div w:id="482815062">
      <w:bodyDiv w:val="1"/>
      <w:marLeft w:val="0"/>
      <w:marRight w:val="0"/>
      <w:marTop w:val="0"/>
      <w:marBottom w:val="0"/>
      <w:divBdr>
        <w:top w:val="none" w:sz="0" w:space="0" w:color="auto"/>
        <w:left w:val="none" w:sz="0" w:space="0" w:color="auto"/>
        <w:bottom w:val="none" w:sz="0" w:space="0" w:color="auto"/>
        <w:right w:val="none" w:sz="0" w:space="0" w:color="auto"/>
      </w:divBdr>
    </w:div>
    <w:div w:id="4910236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239">
          <w:marLeft w:val="0"/>
          <w:marRight w:val="0"/>
          <w:marTop w:val="0"/>
          <w:marBottom w:val="0"/>
          <w:divBdr>
            <w:top w:val="none" w:sz="0" w:space="0" w:color="auto"/>
            <w:left w:val="none" w:sz="0" w:space="0" w:color="auto"/>
            <w:bottom w:val="none" w:sz="0" w:space="0" w:color="auto"/>
            <w:right w:val="none" w:sz="0" w:space="0" w:color="auto"/>
          </w:divBdr>
          <w:divsChild>
            <w:div w:id="1989433029">
              <w:marLeft w:val="0"/>
              <w:marRight w:val="0"/>
              <w:marTop w:val="0"/>
              <w:marBottom w:val="0"/>
              <w:divBdr>
                <w:top w:val="none" w:sz="0" w:space="0" w:color="auto"/>
                <w:left w:val="none" w:sz="0" w:space="0" w:color="auto"/>
                <w:bottom w:val="none" w:sz="0" w:space="0" w:color="auto"/>
                <w:right w:val="none" w:sz="0" w:space="0" w:color="auto"/>
              </w:divBdr>
              <w:divsChild>
                <w:div w:id="11670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7963">
      <w:bodyDiv w:val="1"/>
      <w:marLeft w:val="0"/>
      <w:marRight w:val="0"/>
      <w:marTop w:val="0"/>
      <w:marBottom w:val="0"/>
      <w:divBdr>
        <w:top w:val="none" w:sz="0" w:space="0" w:color="auto"/>
        <w:left w:val="none" w:sz="0" w:space="0" w:color="auto"/>
        <w:bottom w:val="none" w:sz="0" w:space="0" w:color="auto"/>
        <w:right w:val="none" w:sz="0" w:space="0" w:color="auto"/>
      </w:divBdr>
    </w:div>
    <w:div w:id="522402176">
      <w:bodyDiv w:val="1"/>
      <w:marLeft w:val="0"/>
      <w:marRight w:val="0"/>
      <w:marTop w:val="0"/>
      <w:marBottom w:val="0"/>
      <w:divBdr>
        <w:top w:val="none" w:sz="0" w:space="0" w:color="auto"/>
        <w:left w:val="none" w:sz="0" w:space="0" w:color="auto"/>
        <w:bottom w:val="none" w:sz="0" w:space="0" w:color="auto"/>
        <w:right w:val="none" w:sz="0" w:space="0" w:color="auto"/>
      </w:divBdr>
    </w:div>
    <w:div w:id="530799091">
      <w:bodyDiv w:val="1"/>
      <w:marLeft w:val="0"/>
      <w:marRight w:val="0"/>
      <w:marTop w:val="0"/>
      <w:marBottom w:val="0"/>
      <w:divBdr>
        <w:top w:val="none" w:sz="0" w:space="0" w:color="auto"/>
        <w:left w:val="none" w:sz="0" w:space="0" w:color="auto"/>
        <w:bottom w:val="none" w:sz="0" w:space="0" w:color="auto"/>
        <w:right w:val="none" w:sz="0" w:space="0" w:color="auto"/>
      </w:divBdr>
    </w:div>
    <w:div w:id="555433061">
      <w:bodyDiv w:val="1"/>
      <w:marLeft w:val="0"/>
      <w:marRight w:val="0"/>
      <w:marTop w:val="0"/>
      <w:marBottom w:val="0"/>
      <w:divBdr>
        <w:top w:val="none" w:sz="0" w:space="0" w:color="auto"/>
        <w:left w:val="none" w:sz="0" w:space="0" w:color="auto"/>
        <w:bottom w:val="none" w:sz="0" w:space="0" w:color="auto"/>
        <w:right w:val="none" w:sz="0" w:space="0" w:color="auto"/>
      </w:divBdr>
    </w:div>
    <w:div w:id="578178842">
      <w:bodyDiv w:val="1"/>
      <w:marLeft w:val="0"/>
      <w:marRight w:val="0"/>
      <w:marTop w:val="0"/>
      <w:marBottom w:val="0"/>
      <w:divBdr>
        <w:top w:val="none" w:sz="0" w:space="0" w:color="auto"/>
        <w:left w:val="none" w:sz="0" w:space="0" w:color="auto"/>
        <w:bottom w:val="none" w:sz="0" w:space="0" w:color="auto"/>
        <w:right w:val="none" w:sz="0" w:space="0" w:color="auto"/>
      </w:divBdr>
    </w:div>
    <w:div w:id="593055181">
      <w:bodyDiv w:val="1"/>
      <w:marLeft w:val="0"/>
      <w:marRight w:val="0"/>
      <w:marTop w:val="0"/>
      <w:marBottom w:val="0"/>
      <w:divBdr>
        <w:top w:val="none" w:sz="0" w:space="0" w:color="auto"/>
        <w:left w:val="none" w:sz="0" w:space="0" w:color="auto"/>
        <w:bottom w:val="none" w:sz="0" w:space="0" w:color="auto"/>
        <w:right w:val="none" w:sz="0" w:space="0" w:color="auto"/>
      </w:divBdr>
    </w:div>
    <w:div w:id="631248979">
      <w:bodyDiv w:val="1"/>
      <w:marLeft w:val="0"/>
      <w:marRight w:val="0"/>
      <w:marTop w:val="0"/>
      <w:marBottom w:val="0"/>
      <w:divBdr>
        <w:top w:val="none" w:sz="0" w:space="0" w:color="auto"/>
        <w:left w:val="none" w:sz="0" w:space="0" w:color="auto"/>
        <w:bottom w:val="none" w:sz="0" w:space="0" w:color="auto"/>
        <w:right w:val="none" w:sz="0" w:space="0" w:color="auto"/>
      </w:divBdr>
    </w:div>
    <w:div w:id="743987421">
      <w:bodyDiv w:val="1"/>
      <w:marLeft w:val="0"/>
      <w:marRight w:val="0"/>
      <w:marTop w:val="0"/>
      <w:marBottom w:val="0"/>
      <w:divBdr>
        <w:top w:val="none" w:sz="0" w:space="0" w:color="auto"/>
        <w:left w:val="none" w:sz="0" w:space="0" w:color="auto"/>
        <w:bottom w:val="none" w:sz="0" w:space="0" w:color="auto"/>
        <w:right w:val="none" w:sz="0" w:space="0" w:color="auto"/>
      </w:divBdr>
    </w:div>
    <w:div w:id="812064677">
      <w:bodyDiv w:val="1"/>
      <w:marLeft w:val="0"/>
      <w:marRight w:val="0"/>
      <w:marTop w:val="0"/>
      <w:marBottom w:val="0"/>
      <w:divBdr>
        <w:top w:val="none" w:sz="0" w:space="0" w:color="auto"/>
        <w:left w:val="none" w:sz="0" w:space="0" w:color="auto"/>
        <w:bottom w:val="none" w:sz="0" w:space="0" w:color="auto"/>
        <w:right w:val="none" w:sz="0" w:space="0" w:color="auto"/>
      </w:divBdr>
      <w:divsChild>
        <w:div w:id="1600334769">
          <w:marLeft w:val="0"/>
          <w:marRight w:val="0"/>
          <w:marTop w:val="0"/>
          <w:marBottom w:val="0"/>
          <w:divBdr>
            <w:top w:val="none" w:sz="0" w:space="0" w:color="auto"/>
            <w:left w:val="none" w:sz="0" w:space="0" w:color="auto"/>
            <w:bottom w:val="none" w:sz="0" w:space="0" w:color="auto"/>
            <w:right w:val="none" w:sz="0" w:space="0" w:color="auto"/>
          </w:divBdr>
          <w:divsChild>
            <w:div w:id="1394429026">
              <w:marLeft w:val="0"/>
              <w:marRight w:val="0"/>
              <w:marTop w:val="0"/>
              <w:marBottom w:val="0"/>
              <w:divBdr>
                <w:top w:val="none" w:sz="0" w:space="0" w:color="auto"/>
                <w:left w:val="none" w:sz="0" w:space="0" w:color="auto"/>
                <w:bottom w:val="none" w:sz="0" w:space="0" w:color="auto"/>
                <w:right w:val="none" w:sz="0" w:space="0" w:color="auto"/>
              </w:divBdr>
              <w:divsChild>
                <w:div w:id="12454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5244">
      <w:bodyDiv w:val="1"/>
      <w:marLeft w:val="0"/>
      <w:marRight w:val="0"/>
      <w:marTop w:val="0"/>
      <w:marBottom w:val="0"/>
      <w:divBdr>
        <w:top w:val="none" w:sz="0" w:space="0" w:color="auto"/>
        <w:left w:val="none" w:sz="0" w:space="0" w:color="auto"/>
        <w:bottom w:val="none" w:sz="0" w:space="0" w:color="auto"/>
        <w:right w:val="none" w:sz="0" w:space="0" w:color="auto"/>
      </w:divBdr>
    </w:div>
    <w:div w:id="897282756">
      <w:bodyDiv w:val="1"/>
      <w:marLeft w:val="0"/>
      <w:marRight w:val="0"/>
      <w:marTop w:val="0"/>
      <w:marBottom w:val="0"/>
      <w:divBdr>
        <w:top w:val="none" w:sz="0" w:space="0" w:color="auto"/>
        <w:left w:val="none" w:sz="0" w:space="0" w:color="auto"/>
        <w:bottom w:val="none" w:sz="0" w:space="0" w:color="auto"/>
        <w:right w:val="none" w:sz="0" w:space="0" w:color="auto"/>
      </w:divBdr>
    </w:div>
    <w:div w:id="916941989">
      <w:bodyDiv w:val="1"/>
      <w:marLeft w:val="0"/>
      <w:marRight w:val="0"/>
      <w:marTop w:val="0"/>
      <w:marBottom w:val="0"/>
      <w:divBdr>
        <w:top w:val="none" w:sz="0" w:space="0" w:color="auto"/>
        <w:left w:val="none" w:sz="0" w:space="0" w:color="auto"/>
        <w:bottom w:val="none" w:sz="0" w:space="0" w:color="auto"/>
        <w:right w:val="none" w:sz="0" w:space="0" w:color="auto"/>
      </w:divBdr>
    </w:div>
    <w:div w:id="979307495">
      <w:bodyDiv w:val="1"/>
      <w:marLeft w:val="0"/>
      <w:marRight w:val="0"/>
      <w:marTop w:val="0"/>
      <w:marBottom w:val="0"/>
      <w:divBdr>
        <w:top w:val="none" w:sz="0" w:space="0" w:color="auto"/>
        <w:left w:val="none" w:sz="0" w:space="0" w:color="auto"/>
        <w:bottom w:val="none" w:sz="0" w:space="0" w:color="auto"/>
        <w:right w:val="none" w:sz="0" w:space="0" w:color="auto"/>
      </w:divBdr>
    </w:div>
    <w:div w:id="992181478">
      <w:bodyDiv w:val="1"/>
      <w:marLeft w:val="0"/>
      <w:marRight w:val="0"/>
      <w:marTop w:val="0"/>
      <w:marBottom w:val="0"/>
      <w:divBdr>
        <w:top w:val="none" w:sz="0" w:space="0" w:color="auto"/>
        <w:left w:val="none" w:sz="0" w:space="0" w:color="auto"/>
        <w:bottom w:val="none" w:sz="0" w:space="0" w:color="auto"/>
        <w:right w:val="none" w:sz="0" w:space="0" w:color="auto"/>
      </w:divBdr>
    </w:div>
    <w:div w:id="1089691409">
      <w:bodyDiv w:val="1"/>
      <w:marLeft w:val="0"/>
      <w:marRight w:val="0"/>
      <w:marTop w:val="0"/>
      <w:marBottom w:val="0"/>
      <w:divBdr>
        <w:top w:val="none" w:sz="0" w:space="0" w:color="auto"/>
        <w:left w:val="none" w:sz="0" w:space="0" w:color="auto"/>
        <w:bottom w:val="none" w:sz="0" w:space="0" w:color="auto"/>
        <w:right w:val="none" w:sz="0" w:space="0" w:color="auto"/>
      </w:divBdr>
    </w:div>
    <w:div w:id="1103306345">
      <w:bodyDiv w:val="1"/>
      <w:marLeft w:val="0"/>
      <w:marRight w:val="0"/>
      <w:marTop w:val="0"/>
      <w:marBottom w:val="0"/>
      <w:divBdr>
        <w:top w:val="none" w:sz="0" w:space="0" w:color="auto"/>
        <w:left w:val="none" w:sz="0" w:space="0" w:color="auto"/>
        <w:bottom w:val="none" w:sz="0" w:space="0" w:color="auto"/>
        <w:right w:val="none" w:sz="0" w:space="0" w:color="auto"/>
      </w:divBdr>
    </w:div>
    <w:div w:id="1126506854">
      <w:bodyDiv w:val="1"/>
      <w:marLeft w:val="0"/>
      <w:marRight w:val="0"/>
      <w:marTop w:val="0"/>
      <w:marBottom w:val="0"/>
      <w:divBdr>
        <w:top w:val="none" w:sz="0" w:space="0" w:color="auto"/>
        <w:left w:val="none" w:sz="0" w:space="0" w:color="auto"/>
        <w:bottom w:val="none" w:sz="0" w:space="0" w:color="auto"/>
        <w:right w:val="none" w:sz="0" w:space="0" w:color="auto"/>
      </w:divBdr>
    </w:div>
    <w:div w:id="1177040512">
      <w:bodyDiv w:val="1"/>
      <w:marLeft w:val="0"/>
      <w:marRight w:val="0"/>
      <w:marTop w:val="0"/>
      <w:marBottom w:val="0"/>
      <w:divBdr>
        <w:top w:val="none" w:sz="0" w:space="0" w:color="auto"/>
        <w:left w:val="none" w:sz="0" w:space="0" w:color="auto"/>
        <w:bottom w:val="none" w:sz="0" w:space="0" w:color="auto"/>
        <w:right w:val="none" w:sz="0" w:space="0" w:color="auto"/>
      </w:divBdr>
    </w:div>
    <w:div w:id="1178425953">
      <w:bodyDiv w:val="1"/>
      <w:marLeft w:val="0"/>
      <w:marRight w:val="0"/>
      <w:marTop w:val="0"/>
      <w:marBottom w:val="0"/>
      <w:divBdr>
        <w:top w:val="none" w:sz="0" w:space="0" w:color="auto"/>
        <w:left w:val="none" w:sz="0" w:space="0" w:color="auto"/>
        <w:bottom w:val="none" w:sz="0" w:space="0" w:color="auto"/>
        <w:right w:val="none" w:sz="0" w:space="0" w:color="auto"/>
      </w:divBdr>
    </w:div>
    <w:div w:id="1218709705">
      <w:bodyDiv w:val="1"/>
      <w:marLeft w:val="0"/>
      <w:marRight w:val="0"/>
      <w:marTop w:val="0"/>
      <w:marBottom w:val="0"/>
      <w:divBdr>
        <w:top w:val="none" w:sz="0" w:space="0" w:color="auto"/>
        <w:left w:val="none" w:sz="0" w:space="0" w:color="auto"/>
        <w:bottom w:val="none" w:sz="0" w:space="0" w:color="auto"/>
        <w:right w:val="none" w:sz="0" w:space="0" w:color="auto"/>
      </w:divBdr>
    </w:div>
    <w:div w:id="1242527222">
      <w:bodyDiv w:val="1"/>
      <w:marLeft w:val="0"/>
      <w:marRight w:val="0"/>
      <w:marTop w:val="0"/>
      <w:marBottom w:val="0"/>
      <w:divBdr>
        <w:top w:val="none" w:sz="0" w:space="0" w:color="auto"/>
        <w:left w:val="none" w:sz="0" w:space="0" w:color="auto"/>
        <w:bottom w:val="none" w:sz="0" w:space="0" w:color="auto"/>
        <w:right w:val="none" w:sz="0" w:space="0" w:color="auto"/>
      </w:divBdr>
      <w:divsChild>
        <w:div w:id="1247693564">
          <w:marLeft w:val="0"/>
          <w:marRight w:val="0"/>
          <w:marTop w:val="0"/>
          <w:marBottom w:val="0"/>
          <w:divBdr>
            <w:top w:val="none" w:sz="0" w:space="0" w:color="auto"/>
            <w:left w:val="none" w:sz="0" w:space="0" w:color="auto"/>
            <w:bottom w:val="none" w:sz="0" w:space="0" w:color="auto"/>
            <w:right w:val="none" w:sz="0" w:space="0" w:color="auto"/>
          </w:divBdr>
          <w:divsChild>
            <w:div w:id="1189757245">
              <w:marLeft w:val="0"/>
              <w:marRight w:val="0"/>
              <w:marTop w:val="0"/>
              <w:marBottom w:val="0"/>
              <w:divBdr>
                <w:top w:val="none" w:sz="0" w:space="0" w:color="auto"/>
                <w:left w:val="none" w:sz="0" w:space="0" w:color="auto"/>
                <w:bottom w:val="none" w:sz="0" w:space="0" w:color="auto"/>
                <w:right w:val="none" w:sz="0" w:space="0" w:color="auto"/>
              </w:divBdr>
              <w:divsChild>
                <w:div w:id="712117892">
                  <w:marLeft w:val="0"/>
                  <w:marRight w:val="0"/>
                  <w:marTop w:val="0"/>
                  <w:marBottom w:val="0"/>
                  <w:divBdr>
                    <w:top w:val="none" w:sz="0" w:space="0" w:color="auto"/>
                    <w:left w:val="none" w:sz="0" w:space="0" w:color="auto"/>
                    <w:bottom w:val="none" w:sz="0" w:space="0" w:color="auto"/>
                    <w:right w:val="none" w:sz="0" w:space="0" w:color="auto"/>
                  </w:divBdr>
                </w:div>
                <w:div w:id="1597983080">
                  <w:marLeft w:val="0"/>
                  <w:marRight w:val="0"/>
                  <w:marTop w:val="0"/>
                  <w:marBottom w:val="0"/>
                  <w:divBdr>
                    <w:top w:val="none" w:sz="0" w:space="0" w:color="auto"/>
                    <w:left w:val="none" w:sz="0" w:space="0" w:color="auto"/>
                    <w:bottom w:val="none" w:sz="0" w:space="0" w:color="auto"/>
                    <w:right w:val="none" w:sz="0" w:space="0" w:color="auto"/>
                  </w:divBdr>
                </w:div>
              </w:divsChild>
            </w:div>
            <w:div w:id="1236935014">
              <w:marLeft w:val="0"/>
              <w:marRight w:val="0"/>
              <w:marTop w:val="0"/>
              <w:marBottom w:val="0"/>
              <w:divBdr>
                <w:top w:val="none" w:sz="0" w:space="0" w:color="auto"/>
                <w:left w:val="none" w:sz="0" w:space="0" w:color="auto"/>
                <w:bottom w:val="none" w:sz="0" w:space="0" w:color="auto"/>
                <w:right w:val="none" w:sz="0" w:space="0" w:color="auto"/>
              </w:divBdr>
              <w:divsChild>
                <w:div w:id="23606250">
                  <w:marLeft w:val="0"/>
                  <w:marRight w:val="0"/>
                  <w:marTop w:val="0"/>
                  <w:marBottom w:val="0"/>
                  <w:divBdr>
                    <w:top w:val="none" w:sz="0" w:space="0" w:color="auto"/>
                    <w:left w:val="none" w:sz="0" w:space="0" w:color="auto"/>
                    <w:bottom w:val="none" w:sz="0" w:space="0" w:color="auto"/>
                    <w:right w:val="none" w:sz="0" w:space="0" w:color="auto"/>
                  </w:divBdr>
                </w:div>
                <w:div w:id="812676453">
                  <w:marLeft w:val="0"/>
                  <w:marRight w:val="0"/>
                  <w:marTop w:val="0"/>
                  <w:marBottom w:val="0"/>
                  <w:divBdr>
                    <w:top w:val="none" w:sz="0" w:space="0" w:color="auto"/>
                    <w:left w:val="none" w:sz="0" w:space="0" w:color="auto"/>
                    <w:bottom w:val="none" w:sz="0" w:space="0" w:color="auto"/>
                    <w:right w:val="none" w:sz="0" w:space="0" w:color="auto"/>
                  </w:divBdr>
                </w:div>
              </w:divsChild>
            </w:div>
            <w:div w:id="1543010000">
              <w:marLeft w:val="0"/>
              <w:marRight w:val="0"/>
              <w:marTop w:val="0"/>
              <w:marBottom w:val="0"/>
              <w:divBdr>
                <w:top w:val="none" w:sz="0" w:space="0" w:color="auto"/>
                <w:left w:val="none" w:sz="0" w:space="0" w:color="auto"/>
                <w:bottom w:val="none" w:sz="0" w:space="0" w:color="auto"/>
                <w:right w:val="none" w:sz="0" w:space="0" w:color="auto"/>
              </w:divBdr>
              <w:divsChild>
                <w:div w:id="1019087204">
                  <w:marLeft w:val="0"/>
                  <w:marRight w:val="0"/>
                  <w:marTop w:val="0"/>
                  <w:marBottom w:val="0"/>
                  <w:divBdr>
                    <w:top w:val="none" w:sz="0" w:space="0" w:color="auto"/>
                    <w:left w:val="none" w:sz="0" w:space="0" w:color="auto"/>
                    <w:bottom w:val="none" w:sz="0" w:space="0" w:color="auto"/>
                    <w:right w:val="none" w:sz="0" w:space="0" w:color="auto"/>
                  </w:divBdr>
                </w:div>
                <w:div w:id="1593706048">
                  <w:marLeft w:val="0"/>
                  <w:marRight w:val="0"/>
                  <w:marTop w:val="0"/>
                  <w:marBottom w:val="0"/>
                  <w:divBdr>
                    <w:top w:val="none" w:sz="0" w:space="0" w:color="auto"/>
                    <w:left w:val="none" w:sz="0" w:space="0" w:color="auto"/>
                    <w:bottom w:val="none" w:sz="0" w:space="0" w:color="auto"/>
                    <w:right w:val="none" w:sz="0" w:space="0" w:color="auto"/>
                  </w:divBdr>
                </w:div>
              </w:divsChild>
            </w:div>
            <w:div w:id="1581787966">
              <w:marLeft w:val="0"/>
              <w:marRight w:val="0"/>
              <w:marTop w:val="0"/>
              <w:marBottom w:val="0"/>
              <w:divBdr>
                <w:top w:val="none" w:sz="0" w:space="0" w:color="auto"/>
                <w:left w:val="none" w:sz="0" w:space="0" w:color="auto"/>
                <w:bottom w:val="none" w:sz="0" w:space="0" w:color="auto"/>
                <w:right w:val="none" w:sz="0" w:space="0" w:color="auto"/>
              </w:divBdr>
              <w:divsChild>
                <w:div w:id="1697583571">
                  <w:marLeft w:val="0"/>
                  <w:marRight w:val="0"/>
                  <w:marTop w:val="0"/>
                  <w:marBottom w:val="0"/>
                  <w:divBdr>
                    <w:top w:val="none" w:sz="0" w:space="0" w:color="auto"/>
                    <w:left w:val="none" w:sz="0" w:space="0" w:color="auto"/>
                    <w:bottom w:val="none" w:sz="0" w:space="0" w:color="auto"/>
                    <w:right w:val="none" w:sz="0" w:space="0" w:color="auto"/>
                  </w:divBdr>
                </w:div>
              </w:divsChild>
            </w:div>
            <w:div w:id="2014453338">
              <w:marLeft w:val="0"/>
              <w:marRight w:val="0"/>
              <w:marTop w:val="0"/>
              <w:marBottom w:val="0"/>
              <w:divBdr>
                <w:top w:val="none" w:sz="0" w:space="0" w:color="auto"/>
                <w:left w:val="none" w:sz="0" w:space="0" w:color="auto"/>
                <w:bottom w:val="none" w:sz="0" w:space="0" w:color="auto"/>
                <w:right w:val="none" w:sz="0" w:space="0" w:color="auto"/>
              </w:divBdr>
              <w:divsChild>
                <w:div w:id="95695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8834">
      <w:bodyDiv w:val="1"/>
      <w:marLeft w:val="0"/>
      <w:marRight w:val="0"/>
      <w:marTop w:val="0"/>
      <w:marBottom w:val="0"/>
      <w:divBdr>
        <w:top w:val="none" w:sz="0" w:space="0" w:color="auto"/>
        <w:left w:val="none" w:sz="0" w:space="0" w:color="auto"/>
        <w:bottom w:val="none" w:sz="0" w:space="0" w:color="auto"/>
        <w:right w:val="none" w:sz="0" w:space="0" w:color="auto"/>
      </w:divBdr>
    </w:div>
    <w:div w:id="1267732745">
      <w:bodyDiv w:val="1"/>
      <w:marLeft w:val="0"/>
      <w:marRight w:val="0"/>
      <w:marTop w:val="0"/>
      <w:marBottom w:val="0"/>
      <w:divBdr>
        <w:top w:val="none" w:sz="0" w:space="0" w:color="auto"/>
        <w:left w:val="none" w:sz="0" w:space="0" w:color="auto"/>
        <w:bottom w:val="none" w:sz="0" w:space="0" w:color="auto"/>
        <w:right w:val="none" w:sz="0" w:space="0" w:color="auto"/>
      </w:divBdr>
    </w:div>
    <w:div w:id="1288317769">
      <w:bodyDiv w:val="1"/>
      <w:marLeft w:val="0"/>
      <w:marRight w:val="0"/>
      <w:marTop w:val="0"/>
      <w:marBottom w:val="0"/>
      <w:divBdr>
        <w:top w:val="none" w:sz="0" w:space="0" w:color="auto"/>
        <w:left w:val="none" w:sz="0" w:space="0" w:color="auto"/>
        <w:bottom w:val="none" w:sz="0" w:space="0" w:color="auto"/>
        <w:right w:val="none" w:sz="0" w:space="0" w:color="auto"/>
      </w:divBdr>
    </w:div>
    <w:div w:id="1329943313">
      <w:bodyDiv w:val="1"/>
      <w:marLeft w:val="0"/>
      <w:marRight w:val="0"/>
      <w:marTop w:val="0"/>
      <w:marBottom w:val="0"/>
      <w:divBdr>
        <w:top w:val="none" w:sz="0" w:space="0" w:color="auto"/>
        <w:left w:val="none" w:sz="0" w:space="0" w:color="auto"/>
        <w:bottom w:val="none" w:sz="0" w:space="0" w:color="auto"/>
        <w:right w:val="none" w:sz="0" w:space="0" w:color="auto"/>
      </w:divBdr>
    </w:div>
    <w:div w:id="1330673657">
      <w:bodyDiv w:val="1"/>
      <w:marLeft w:val="0"/>
      <w:marRight w:val="0"/>
      <w:marTop w:val="0"/>
      <w:marBottom w:val="0"/>
      <w:divBdr>
        <w:top w:val="none" w:sz="0" w:space="0" w:color="auto"/>
        <w:left w:val="none" w:sz="0" w:space="0" w:color="auto"/>
        <w:bottom w:val="none" w:sz="0" w:space="0" w:color="auto"/>
        <w:right w:val="none" w:sz="0" w:space="0" w:color="auto"/>
      </w:divBdr>
      <w:divsChild>
        <w:div w:id="933365802">
          <w:marLeft w:val="0"/>
          <w:marRight w:val="0"/>
          <w:marTop w:val="0"/>
          <w:marBottom w:val="0"/>
          <w:divBdr>
            <w:top w:val="none" w:sz="0" w:space="0" w:color="auto"/>
            <w:left w:val="none" w:sz="0" w:space="0" w:color="auto"/>
            <w:bottom w:val="none" w:sz="0" w:space="0" w:color="auto"/>
            <w:right w:val="none" w:sz="0" w:space="0" w:color="auto"/>
          </w:divBdr>
          <w:divsChild>
            <w:div w:id="859666098">
              <w:marLeft w:val="0"/>
              <w:marRight w:val="0"/>
              <w:marTop w:val="0"/>
              <w:marBottom w:val="0"/>
              <w:divBdr>
                <w:top w:val="none" w:sz="0" w:space="0" w:color="auto"/>
                <w:left w:val="none" w:sz="0" w:space="0" w:color="auto"/>
                <w:bottom w:val="none" w:sz="0" w:space="0" w:color="auto"/>
                <w:right w:val="none" w:sz="0" w:space="0" w:color="auto"/>
              </w:divBdr>
              <w:divsChild>
                <w:div w:id="5879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19364">
      <w:bodyDiv w:val="1"/>
      <w:marLeft w:val="0"/>
      <w:marRight w:val="0"/>
      <w:marTop w:val="0"/>
      <w:marBottom w:val="0"/>
      <w:divBdr>
        <w:top w:val="none" w:sz="0" w:space="0" w:color="auto"/>
        <w:left w:val="none" w:sz="0" w:space="0" w:color="auto"/>
        <w:bottom w:val="none" w:sz="0" w:space="0" w:color="auto"/>
        <w:right w:val="none" w:sz="0" w:space="0" w:color="auto"/>
      </w:divBdr>
    </w:div>
    <w:div w:id="1382707504">
      <w:bodyDiv w:val="1"/>
      <w:marLeft w:val="0"/>
      <w:marRight w:val="0"/>
      <w:marTop w:val="0"/>
      <w:marBottom w:val="0"/>
      <w:divBdr>
        <w:top w:val="none" w:sz="0" w:space="0" w:color="auto"/>
        <w:left w:val="none" w:sz="0" w:space="0" w:color="auto"/>
        <w:bottom w:val="none" w:sz="0" w:space="0" w:color="auto"/>
        <w:right w:val="none" w:sz="0" w:space="0" w:color="auto"/>
      </w:divBdr>
    </w:div>
    <w:div w:id="1399207568">
      <w:bodyDiv w:val="1"/>
      <w:marLeft w:val="0"/>
      <w:marRight w:val="0"/>
      <w:marTop w:val="0"/>
      <w:marBottom w:val="0"/>
      <w:divBdr>
        <w:top w:val="none" w:sz="0" w:space="0" w:color="auto"/>
        <w:left w:val="none" w:sz="0" w:space="0" w:color="auto"/>
        <w:bottom w:val="none" w:sz="0" w:space="0" w:color="auto"/>
        <w:right w:val="none" w:sz="0" w:space="0" w:color="auto"/>
      </w:divBdr>
    </w:div>
    <w:div w:id="1429154786">
      <w:bodyDiv w:val="1"/>
      <w:marLeft w:val="0"/>
      <w:marRight w:val="0"/>
      <w:marTop w:val="0"/>
      <w:marBottom w:val="0"/>
      <w:divBdr>
        <w:top w:val="none" w:sz="0" w:space="0" w:color="auto"/>
        <w:left w:val="none" w:sz="0" w:space="0" w:color="auto"/>
        <w:bottom w:val="none" w:sz="0" w:space="0" w:color="auto"/>
        <w:right w:val="none" w:sz="0" w:space="0" w:color="auto"/>
      </w:divBdr>
    </w:div>
    <w:div w:id="1452168192">
      <w:bodyDiv w:val="1"/>
      <w:marLeft w:val="0"/>
      <w:marRight w:val="0"/>
      <w:marTop w:val="0"/>
      <w:marBottom w:val="0"/>
      <w:divBdr>
        <w:top w:val="none" w:sz="0" w:space="0" w:color="auto"/>
        <w:left w:val="none" w:sz="0" w:space="0" w:color="auto"/>
        <w:bottom w:val="none" w:sz="0" w:space="0" w:color="auto"/>
        <w:right w:val="none" w:sz="0" w:space="0" w:color="auto"/>
      </w:divBdr>
    </w:div>
    <w:div w:id="1521967482">
      <w:bodyDiv w:val="1"/>
      <w:marLeft w:val="0"/>
      <w:marRight w:val="0"/>
      <w:marTop w:val="0"/>
      <w:marBottom w:val="0"/>
      <w:divBdr>
        <w:top w:val="none" w:sz="0" w:space="0" w:color="auto"/>
        <w:left w:val="none" w:sz="0" w:space="0" w:color="auto"/>
        <w:bottom w:val="none" w:sz="0" w:space="0" w:color="auto"/>
        <w:right w:val="none" w:sz="0" w:space="0" w:color="auto"/>
      </w:divBdr>
    </w:div>
    <w:div w:id="1564103298">
      <w:bodyDiv w:val="1"/>
      <w:marLeft w:val="0"/>
      <w:marRight w:val="0"/>
      <w:marTop w:val="0"/>
      <w:marBottom w:val="0"/>
      <w:divBdr>
        <w:top w:val="none" w:sz="0" w:space="0" w:color="auto"/>
        <w:left w:val="none" w:sz="0" w:space="0" w:color="auto"/>
        <w:bottom w:val="none" w:sz="0" w:space="0" w:color="auto"/>
        <w:right w:val="none" w:sz="0" w:space="0" w:color="auto"/>
      </w:divBdr>
    </w:div>
    <w:div w:id="1574975258">
      <w:bodyDiv w:val="1"/>
      <w:marLeft w:val="0"/>
      <w:marRight w:val="0"/>
      <w:marTop w:val="0"/>
      <w:marBottom w:val="0"/>
      <w:divBdr>
        <w:top w:val="none" w:sz="0" w:space="0" w:color="auto"/>
        <w:left w:val="none" w:sz="0" w:space="0" w:color="auto"/>
        <w:bottom w:val="none" w:sz="0" w:space="0" w:color="auto"/>
        <w:right w:val="none" w:sz="0" w:space="0" w:color="auto"/>
      </w:divBdr>
    </w:div>
    <w:div w:id="1595092870">
      <w:bodyDiv w:val="1"/>
      <w:marLeft w:val="0"/>
      <w:marRight w:val="0"/>
      <w:marTop w:val="0"/>
      <w:marBottom w:val="0"/>
      <w:divBdr>
        <w:top w:val="none" w:sz="0" w:space="0" w:color="auto"/>
        <w:left w:val="none" w:sz="0" w:space="0" w:color="auto"/>
        <w:bottom w:val="none" w:sz="0" w:space="0" w:color="auto"/>
        <w:right w:val="none" w:sz="0" w:space="0" w:color="auto"/>
      </w:divBdr>
    </w:div>
    <w:div w:id="1638563788">
      <w:bodyDiv w:val="1"/>
      <w:marLeft w:val="0"/>
      <w:marRight w:val="0"/>
      <w:marTop w:val="0"/>
      <w:marBottom w:val="0"/>
      <w:divBdr>
        <w:top w:val="none" w:sz="0" w:space="0" w:color="auto"/>
        <w:left w:val="none" w:sz="0" w:space="0" w:color="auto"/>
        <w:bottom w:val="none" w:sz="0" w:space="0" w:color="auto"/>
        <w:right w:val="none" w:sz="0" w:space="0" w:color="auto"/>
      </w:divBdr>
      <w:divsChild>
        <w:div w:id="409424671">
          <w:marLeft w:val="0"/>
          <w:marRight w:val="0"/>
          <w:marTop w:val="0"/>
          <w:marBottom w:val="0"/>
          <w:divBdr>
            <w:top w:val="none" w:sz="0" w:space="0" w:color="auto"/>
            <w:left w:val="none" w:sz="0" w:space="0" w:color="auto"/>
            <w:bottom w:val="none" w:sz="0" w:space="0" w:color="auto"/>
            <w:right w:val="none" w:sz="0" w:space="0" w:color="auto"/>
          </w:divBdr>
        </w:div>
      </w:divsChild>
    </w:div>
    <w:div w:id="1679193563">
      <w:bodyDiv w:val="1"/>
      <w:marLeft w:val="0"/>
      <w:marRight w:val="0"/>
      <w:marTop w:val="0"/>
      <w:marBottom w:val="0"/>
      <w:divBdr>
        <w:top w:val="none" w:sz="0" w:space="0" w:color="auto"/>
        <w:left w:val="none" w:sz="0" w:space="0" w:color="auto"/>
        <w:bottom w:val="none" w:sz="0" w:space="0" w:color="auto"/>
        <w:right w:val="none" w:sz="0" w:space="0" w:color="auto"/>
      </w:divBdr>
      <w:divsChild>
        <w:div w:id="606160099">
          <w:marLeft w:val="0"/>
          <w:marRight w:val="0"/>
          <w:marTop w:val="0"/>
          <w:marBottom w:val="0"/>
          <w:divBdr>
            <w:top w:val="none" w:sz="0" w:space="0" w:color="auto"/>
            <w:left w:val="none" w:sz="0" w:space="0" w:color="auto"/>
            <w:bottom w:val="none" w:sz="0" w:space="0" w:color="auto"/>
            <w:right w:val="none" w:sz="0" w:space="0" w:color="auto"/>
          </w:divBdr>
          <w:divsChild>
            <w:div w:id="1331717131">
              <w:marLeft w:val="0"/>
              <w:marRight w:val="0"/>
              <w:marTop w:val="0"/>
              <w:marBottom w:val="0"/>
              <w:divBdr>
                <w:top w:val="none" w:sz="0" w:space="0" w:color="auto"/>
                <w:left w:val="none" w:sz="0" w:space="0" w:color="auto"/>
                <w:bottom w:val="none" w:sz="0" w:space="0" w:color="auto"/>
                <w:right w:val="none" w:sz="0" w:space="0" w:color="auto"/>
              </w:divBdr>
              <w:divsChild>
                <w:div w:id="20866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5651">
      <w:bodyDiv w:val="1"/>
      <w:marLeft w:val="0"/>
      <w:marRight w:val="0"/>
      <w:marTop w:val="0"/>
      <w:marBottom w:val="0"/>
      <w:divBdr>
        <w:top w:val="none" w:sz="0" w:space="0" w:color="auto"/>
        <w:left w:val="none" w:sz="0" w:space="0" w:color="auto"/>
        <w:bottom w:val="none" w:sz="0" w:space="0" w:color="auto"/>
        <w:right w:val="none" w:sz="0" w:space="0" w:color="auto"/>
      </w:divBdr>
    </w:div>
    <w:div w:id="1782987927">
      <w:bodyDiv w:val="1"/>
      <w:marLeft w:val="0"/>
      <w:marRight w:val="0"/>
      <w:marTop w:val="0"/>
      <w:marBottom w:val="0"/>
      <w:divBdr>
        <w:top w:val="none" w:sz="0" w:space="0" w:color="auto"/>
        <w:left w:val="none" w:sz="0" w:space="0" w:color="auto"/>
        <w:bottom w:val="none" w:sz="0" w:space="0" w:color="auto"/>
        <w:right w:val="none" w:sz="0" w:space="0" w:color="auto"/>
      </w:divBdr>
    </w:div>
    <w:div w:id="1855529164">
      <w:bodyDiv w:val="1"/>
      <w:marLeft w:val="0"/>
      <w:marRight w:val="0"/>
      <w:marTop w:val="0"/>
      <w:marBottom w:val="0"/>
      <w:divBdr>
        <w:top w:val="none" w:sz="0" w:space="0" w:color="auto"/>
        <w:left w:val="none" w:sz="0" w:space="0" w:color="auto"/>
        <w:bottom w:val="none" w:sz="0" w:space="0" w:color="auto"/>
        <w:right w:val="none" w:sz="0" w:space="0" w:color="auto"/>
      </w:divBdr>
    </w:div>
    <w:div w:id="2029674013">
      <w:bodyDiv w:val="1"/>
      <w:marLeft w:val="0"/>
      <w:marRight w:val="0"/>
      <w:marTop w:val="0"/>
      <w:marBottom w:val="0"/>
      <w:divBdr>
        <w:top w:val="none" w:sz="0" w:space="0" w:color="auto"/>
        <w:left w:val="none" w:sz="0" w:space="0" w:color="auto"/>
        <w:bottom w:val="none" w:sz="0" w:space="0" w:color="auto"/>
        <w:right w:val="none" w:sz="0" w:space="0" w:color="auto"/>
      </w:divBdr>
    </w:div>
    <w:div w:id="2046366495">
      <w:bodyDiv w:val="1"/>
      <w:marLeft w:val="0"/>
      <w:marRight w:val="0"/>
      <w:marTop w:val="0"/>
      <w:marBottom w:val="0"/>
      <w:divBdr>
        <w:top w:val="none" w:sz="0" w:space="0" w:color="auto"/>
        <w:left w:val="none" w:sz="0" w:space="0" w:color="auto"/>
        <w:bottom w:val="none" w:sz="0" w:space="0" w:color="auto"/>
        <w:right w:val="none" w:sz="0" w:space="0" w:color="auto"/>
      </w:divBdr>
    </w:div>
    <w:div w:id="2126534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C9049-8CC2-4AA5-952A-1A6C8534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11125</Words>
  <Characters>57119</Characters>
  <Application>Microsoft Office Word</Application>
  <DocSecurity>0</DocSecurity>
  <Lines>1223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2022-05-23T16:27:40.0824011Z</dcterms:created>
  <dcterms:modified xsi:type="dcterms:W3CDTF">2022-05-23T16:27:40.0824011Z</dcterms:modified>
</cp:coreProperties>
</file>